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bCs/>
          <w:sz w:val="44"/>
          <w:szCs w:val="52"/>
        </w:rPr>
      </w:pPr>
    </w:p>
    <w:p>
      <w:pPr>
        <w:pStyle w:val="54"/>
        <w:jc w:val="center"/>
        <w:rPr>
          <w:b/>
          <w:bCs/>
          <w:sz w:val="52"/>
          <w:szCs w:val="52"/>
        </w:rPr>
      </w:pPr>
      <w:r>
        <w:rPr>
          <w:b/>
          <w:bCs/>
          <w:sz w:val="52"/>
          <w:szCs w:val="52"/>
        </w:rPr>
        <w:t>乌恰县人民医院信息化升级改造项目</w:t>
      </w:r>
    </w:p>
    <w:p>
      <w:pPr>
        <w:pStyle w:val="54"/>
      </w:pPr>
    </w:p>
    <w:p>
      <w:pPr>
        <w:widowControl/>
        <w:tabs>
          <w:tab w:val="left" w:pos="6013"/>
        </w:tabs>
        <w:autoSpaceDE w:val="0"/>
        <w:autoSpaceDN w:val="0"/>
        <w:ind w:right="-26"/>
        <w:jc w:val="center"/>
        <w:textAlignment w:val="bottom"/>
        <w:rPr>
          <w:rFonts w:ascii="宋体" w:hAnsi="宋体" w:cs="宋体"/>
          <w:kern w:val="0"/>
          <w:sz w:val="32"/>
          <w:szCs w:val="32"/>
          <w:shd w:val="clear" w:color="auto" w:fill="FFFFFF"/>
        </w:rPr>
      </w:pPr>
    </w:p>
    <w:p>
      <w:pPr>
        <w:widowControl/>
        <w:tabs>
          <w:tab w:val="left" w:pos="6013"/>
        </w:tabs>
        <w:autoSpaceDE w:val="0"/>
        <w:autoSpaceDN w:val="0"/>
        <w:ind w:right="-26"/>
        <w:jc w:val="center"/>
        <w:textAlignment w:val="bottom"/>
        <w:rPr>
          <w:rFonts w:hint="default" w:ascii="宋体" w:hAnsi="宋体" w:cs="宋体"/>
          <w:kern w:val="0"/>
          <w:sz w:val="32"/>
          <w:szCs w:val="32"/>
          <w:shd w:val="clear" w:color="auto" w:fill="FFFFFF"/>
          <w:lang w:val="en-US" w:eastAsia="zh-CN"/>
        </w:rPr>
      </w:pPr>
      <w:r>
        <w:rPr>
          <w:rFonts w:hint="eastAsia" w:ascii="宋体" w:hAnsi="宋体" w:cs="宋体"/>
          <w:kern w:val="0"/>
          <w:sz w:val="32"/>
          <w:szCs w:val="32"/>
          <w:shd w:val="clear" w:color="auto" w:fill="FFFFFF"/>
        </w:rPr>
        <w:t>项目编号：WQZFCG(ZB)-2023</w:t>
      </w:r>
      <w:r>
        <w:rPr>
          <w:rFonts w:hint="eastAsia" w:ascii="宋体" w:hAnsi="宋体" w:cs="宋体"/>
          <w:kern w:val="0"/>
          <w:sz w:val="32"/>
          <w:szCs w:val="32"/>
          <w:shd w:val="clear" w:color="auto" w:fill="FFFFFF"/>
          <w:lang w:val="en-US" w:eastAsia="zh-CN"/>
        </w:rPr>
        <w:t>-111</w:t>
      </w:r>
    </w:p>
    <w:p>
      <w:pPr>
        <w:widowControl/>
        <w:tabs>
          <w:tab w:val="left" w:pos="6013"/>
        </w:tabs>
        <w:autoSpaceDE w:val="0"/>
        <w:autoSpaceDN w:val="0"/>
        <w:ind w:right="-26"/>
        <w:textAlignment w:val="bottom"/>
        <w:rPr>
          <w:rFonts w:ascii="宋体" w:hAnsi="宋体"/>
          <w:sz w:val="84"/>
          <w:szCs w:val="84"/>
        </w:rPr>
      </w:pPr>
    </w:p>
    <w:p>
      <w:pPr>
        <w:widowControl/>
        <w:tabs>
          <w:tab w:val="left" w:pos="6013"/>
        </w:tabs>
        <w:autoSpaceDE w:val="0"/>
        <w:autoSpaceDN w:val="0"/>
        <w:ind w:right="-26"/>
        <w:jc w:val="center"/>
        <w:textAlignment w:val="bottom"/>
        <w:outlineLvl w:val="0"/>
        <w:rPr>
          <w:rFonts w:ascii="宋体" w:hAnsi="宋体"/>
          <w:sz w:val="84"/>
          <w:szCs w:val="84"/>
        </w:rPr>
      </w:pPr>
      <w:r>
        <w:rPr>
          <w:rFonts w:hint="eastAsia" w:ascii="宋体" w:hAnsi="宋体"/>
          <w:sz w:val="84"/>
          <w:szCs w:val="84"/>
        </w:rPr>
        <w:t>招</w:t>
      </w:r>
    </w:p>
    <w:p>
      <w:pPr>
        <w:widowControl/>
        <w:tabs>
          <w:tab w:val="left" w:pos="6013"/>
        </w:tabs>
        <w:autoSpaceDE w:val="0"/>
        <w:autoSpaceDN w:val="0"/>
        <w:ind w:right="-26"/>
        <w:jc w:val="center"/>
        <w:textAlignment w:val="bottom"/>
        <w:outlineLvl w:val="0"/>
        <w:rPr>
          <w:rFonts w:ascii="宋体" w:hAnsi="宋体"/>
          <w:sz w:val="84"/>
          <w:szCs w:val="84"/>
        </w:rPr>
      </w:pPr>
      <w:r>
        <w:rPr>
          <w:rFonts w:hint="eastAsia" w:ascii="宋体" w:hAnsi="宋体"/>
          <w:sz w:val="84"/>
          <w:szCs w:val="84"/>
        </w:rPr>
        <w:t>标</w:t>
      </w:r>
    </w:p>
    <w:p>
      <w:pPr>
        <w:widowControl/>
        <w:tabs>
          <w:tab w:val="left" w:pos="4502"/>
          <w:tab w:val="center" w:pos="4832"/>
        </w:tabs>
        <w:autoSpaceDE w:val="0"/>
        <w:autoSpaceDN w:val="0"/>
        <w:ind w:right="-26"/>
        <w:jc w:val="center"/>
        <w:textAlignment w:val="bottom"/>
        <w:rPr>
          <w:rFonts w:ascii="宋体" w:hAnsi="宋体"/>
          <w:sz w:val="84"/>
          <w:szCs w:val="84"/>
        </w:rPr>
      </w:pPr>
      <w:r>
        <w:rPr>
          <w:rFonts w:hint="eastAsia" w:ascii="宋体" w:hAnsi="宋体"/>
          <w:sz w:val="84"/>
          <w:szCs w:val="84"/>
        </w:rPr>
        <w:t>文</w:t>
      </w:r>
    </w:p>
    <w:p>
      <w:pPr>
        <w:widowControl/>
        <w:autoSpaceDE w:val="0"/>
        <w:autoSpaceDN w:val="0"/>
        <w:ind w:right="-26"/>
        <w:jc w:val="center"/>
        <w:textAlignment w:val="bottom"/>
        <w:outlineLvl w:val="0"/>
        <w:rPr>
          <w:rFonts w:ascii="宋体" w:hAnsi="宋体"/>
          <w:sz w:val="52"/>
          <w:szCs w:val="52"/>
        </w:rPr>
      </w:pPr>
      <w:r>
        <w:rPr>
          <w:rFonts w:hint="eastAsia" w:ascii="宋体" w:hAnsi="宋体"/>
          <w:sz w:val="84"/>
          <w:szCs w:val="84"/>
        </w:rPr>
        <w:t>件</w:t>
      </w:r>
    </w:p>
    <w:p>
      <w:pPr>
        <w:pStyle w:val="69"/>
        <w:rPr>
          <w:color w:val="auto"/>
        </w:rPr>
      </w:pPr>
    </w:p>
    <w:p>
      <w:pPr>
        <w:pStyle w:val="69"/>
        <w:rPr>
          <w:color w:val="auto"/>
        </w:rPr>
      </w:pPr>
    </w:p>
    <w:p>
      <w:pPr>
        <w:pStyle w:val="69"/>
        <w:rPr>
          <w:color w:val="auto"/>
        </w:rPr>
      </w:pPr>
    </w:p>
    <w:p>
      <w:pPr>
        <w:widowControl/>
        <w:autoSpaceDE w:val="0"/>
        <w:autoSpaceDN w:val="0"/>
        <w:ind w:left="2241" w:leftChars="304" w:right="-26" w:hanging="1603" w:hangingChars="501"/>
        <w:textAlignment w:val="bottom"/>
        <w:rPr>
          <w:rFonts w:ascii="黑体" w:eastAsia="黑体"/>
          <w:b/>
          <w:color w:val="000000"/>
          <w:sz w:val="32"/>
          <w:lang w:val="zh-CN"/>
        </w:rPr>
      </w:pPr>
      <w:r>
        <w:rPr>
          <w:rFonts w:hint="eastAsia" w:ascii="黑体" w:eastAsia="黑体"/>
          <w:b/>
          <w:color w:val="000000"/>
          <w:sz w:val="32"/>
        </w:rPr>
        <w:t>采购单位：乌恰县人民医院</w:t>
      </w:r>
      <w:r>
        <w:rPr>
          <w:rFonts w:hint="eastAsia" w:ascii="黑体" w:eastAsia="黑体"/>
          <w:b/>
          <w:color w:val="000000"/>
          <w:sz w:val="32"/>
          <w:lang w:val="zh-CN"/>
        </w:rPr>
        <w:t>（盖章）</w:t>
      </w:r>
    </w:p>
    <w:p>
      <w:pPr>
        <w:pStyle w:val="6"/>
        <w:rPr>
          <w:color w:val="000000"/>
        </w:rPr>
      </w:pPr>
    </w:p>
    <w:p>
      <w:pPr>
        <w:widowControl/>
        <w:autoSpaceDE w:val="0"/>
        <w:autoSpaceDN w:val="0"/>
        <w:ind w:left="2241" w:leftChars="304" w:right="-26" w:hanging="1603" w:hangingChars="501"/>
        <w:textAlignment w:val="bottom"/>
        <w:rPr>
          <w:rFonts w:ascii="黑体" w:eastAsia="黑体"/>
          <w:b/>
          <w:color w:val="000000"/>
          <w:sz w:val="32"/>
        </w:rPr>
      </w:pPr>
      <w:r>
        <w:rPr>
          <w:rFonts w:hint="eastAsia" w:ascii="黑体" w:eastAsia="黑体"/>
          <w:b/>
          <w:color w:val="000000"/>
          <w:sz w:val="32"/>
        </w:rPr>
        <w:t>代理机构：新疆建硕项目管理咨询有限公司</w:t>
      </w:r>
    </w:p>
    <w:p>
      <w:pPr>
        <w:pStyle w:val="6"/>
        <w:rPr>
          <w:color w:val="000000"/>
        </w:rPr>
      </w:pPr>
    </w:p>
    <w:p>
      <w:pPr>
        <w:widowControl/>
        <w:autoSpaceDE w:val="0"/>
        <w:autoSpaceDN w:val="0"/>
        <w:ind w:left="2241" w:leftChars="304" w:right="-26" w:hanging="1603" w:hangingChars="501"/>
        <w:textAlignment w:val="bottom"/>
        <w:rPr>
          <w:rFonts w:ascii="黑体" w:eastAsia="黑体"/>
          <w:b/>
          <w:color w:val="000000"/>
          <w:sz w:val="32"/>
        </w:rPr>
      </w:pPr>
      <w:r>
        <w:rPr>
          <w:rFonts w:hint="eastAsia" w:ascii="黑体" w:eastAsia="黑体"/>
          <w:b/>
          <w:color w:val="000000"/>
          <w:sz w:val="32"/>
        </w:rPr>
        <w:t>联 系 人：朱先生</w:t>
      </w:r>
    </w:p>
    <w:p>
      <w:pPr>
        <w:pStyle w:val="6"/>
        <w:rPr>
          <w:color w:val="000000"/>
        </w:rPr>
      </w:pPr>
    </w:p>
    <w:p>
      <w:pPr>
        <w:widowControl/>
        <w:autoSpaceDE w:val="0"/>
        <w:autoSpaceDN w:val="0"/>
        <w:ind w:left="2241" w:leftChars="304" w:right="-26" w:hanging="1603" w:hangingChars="501"/>
        <w:textAlignment w:val="bottom"/>
        <w:rPr>
          <w:rFonts w:ascii="宋体" w:hAnsi="宋体"/>
          <w:sz w:val="32"/>
          <w:szCs w:val="32"/>
        </w:rPr>
      </w:pPr>
      <w:r>
        <w:rPr>
          <w:rFonts w:hint="eastAsia" w:ascii="黑体" w:eastAsia="黑体"/>
          <w:b/>
          <w:color w:val="000000"/>
          <w:sz w:val="32"/>
        </w:rPr>
        <w:t>联系电话:15770150301</w:t>
      </w:r>
      <w:r>
        <w:rPr>
          <w:rFonts w:hint="eastAsia" w:ascii="宋体" w:hAnsi="宋体"/>
          <w:sz w:val="32"/>
          <w:szCs w:val="32"/>
        </w:rPr>
        <w:t xml:space="preserve"> </w:t>
      </w:r>
    </w:p>
    <w:p>
      <w:pPr>
        <w:pStyle w:val="10"/>
      </w:pPr>
    </w:p>
    <w:p>
      <w:pPr>
        <w:jc w:val="center"/>
        <w:rPr>
          <w:sz w:val="36"/>
        </w:rPr>
        <w:sectPr>
          <w:footerReference r:id="rId3" w:type="default"/>
          <w:pgSz w:w="11906" w:h="16838"/>
          <w:pgMar w:top="1440" w:right="1080" w:bottom="1440" w:left="1080" w:header="851" w:footer="992" w:gutter="0"/>
          <w:cols w:space="720" w:num="1"/>
          <w:docGrid w:type="linesAndChars" w:linePitch="312" w:charSpace="0"/>
        </w:sectPr>
      </w:pPr>
      <w:bookmarkStart w:id="0" w:name="_Hlt10567911"/>
      <w:bookmarkEnd w:id="0"/>
      <w:bookmarkStart w:id="1" w:name="_Hlt10523642"/>
      <w:bookmarkEnd w:id="1"/>
      <w:bookmarkStart w:id="2" w:name="_Hlt42956379"/>
      <w:bookmarkEnd w:id="2"/>
      <w:bookmarkStart w:id="3" w:name="_Hlt10524018"/>
      <w:bookmarkEnd w:id="3"/>
      <w:bookmarkStart w:id="4" w:name="_Hlt10524010"/>
      <w:bookmarkEnd w:id="4"/>
      <w:bookmarkStart w:id="5" w:name="_Hlt10524029"/>
      <w:bookmarkEnd w:id="5"/>
      <w:bookmarkStart w:id="6" w:name="_Hlt10529670"/>
      <w:bookmarkEnd w:id="6"/>
      <w:bookmarkStart w:id="7" w:name="_Hlt42956360"/>
      <w:bookmarkEnd w:id="7"/>
      <w:bookmarkStart w:id="8" w:name="_Hlt10519329"/>
      <w:bookmarkEnd w:id="8"/>
      <w:bookmarkStart w:id="9" w:name="_Hlt10462525"/>
      <w:bookmarkEnd w:id="9"/>
    </w:p>
    <w:p>
      <w:pPr>
        <w:pStyle w:val="45"/>
      </w:pPr>
    </w:p>
    <w:p>
      <w:pPr>
        <w:jc w:val="center"/>
        <w:rPr>
          <w:sz w:val="36"/>
        </w:rPr>
      </w:pPr>
      <w:r>
        <w:rPr>
          <w:rFonts w:hint="eastAsia"/>
          <w:sz w:val="36"/>
        </w:rPr>
        <w:t>目  录</w:t>
      </w:r>
    </w:p>
    <w:p>
      <w:pPr>
        <w:pStyle w:val="18"/>
        <w:tabs>
          <w:tab w:val="left" w:pos="1050"/>
          <w:tab w:val="right" w:leader="dot" w:pos="8296"/>
        </w:tabs>
        <w:spacing w:line="440" w:lineRule="exact"/>
        <w:ind w:firstLine="480" w:firstLineChars="200"/>
        <w:rPr>
          <w:rFonts w:ascii="宋体" w:hAnsi="宋体"/>
          <w:szCs w:val="22"/>
        </w:rPr>
      </w:pPr>
      <w:r>
        <w:rPr>
          <w:rFonts w:hint="eastAsia" w:ascii="宋体" w:hAnsi="宋体" w:cs="宋体"/>
          <w:sz w:val="24"/>
        </w:rPr>
        <w:fldChar w:fldCharType="begin"/>
      </w:r>
      <w:r>
        <w:rPr>
          <w:rFonts w:hint="eastAsia" w:ascii="宋体" w:hAnsi="宋体" w:cs="宋体"/>
          <w:sz w:val="24"/>
        </w:rPr>
        <w:instrText xml:space="preserve"> TOC \o "1-3" \h \z \u </w:instrText>
      </w:r>
      <w:r>
        <w:rPr>
          <w:rFonts w:hint="eastAsia" w:ascii="宋体" w:hAnsi="宋体" w:cs="宋体"/>
          <w:sz w:val="24"/>
        </w:rPr>
        <w:fldChar w:fldCharType="separate"/>
      </w:r>
      <w:r>
        <w:fldChar w:fldCharType="begin"/>
      </w:r>
      <w:r>
        <w:instrText xml:space="preserve"> HYPERLINK \l "_Toc469495720" </w:instrText>
      </w:r>
      <w:r>
        <w:fldChar w:fldCharType="separate"/>
      </w:r>
      <w:r>
        <w:rPr>
          <w:rStyle w:val="38"/>
          <w:rFonts w:hint="eastAsia" w:ascii="宋体" w:hAnsi="宋体"/>
          <w:color w:val="auto"/>
        </w:rPr>
        <w:t>第一章 招标公告</w:t>
      </w:r>
      <w:r>
        <w:rPr>
          <w:rFonts w:ascii="宋体" w:hAnsi="宋体"/>
          <w:szCs w:val="22"/>
        </w:rPr>
        <w:tab/>
      </w:r>
      <w:r>
        <w:rPr>
          <w:rFonts w:hint="eastAsia" w:ascii="宋体" w:hAnsi="宋体"/>
          <w:szCs w:val="22"/>
        </w:rPr>
        <w:t>4</w:t>
      </w:r>
      <w:r>
        <w:rPr>
          <w:rFonts w:hint="eastAsia" w:ascii="宋体" w:hAnsi="宋体"/>
          <w:szCs w:val="22"/>
        </w:rPr>
        <w:fldChar w:fldCharType="end"/>
      </w:r>
    </w:p>
    <w:p>
      <w:pPr>
        <w:pStyle w:val="18"/>
        <w:tabs>
          <w:tab w:val="right" w:leader="dot" w:pos="8296"/>
        </w:tabs>
        <w:spacing w:line="440" w:lineRule="exact"/>
        <w:ind w:firstLine="420" w:firstLineChars="200"/>
        <w:rPr>
          <w:rFonts w:ascii="宋体" w:hAnsi="宋体"/>
          <w:szCs w:val="22"/>
        </w:rPr>
      </w:pPr>
      <w:r>
        <w:fldChar w:fldCharType="begin"/>
      </w:r>
      <w:r>
        <w:instrText xml:space="preserve"> HYPERLINK \l "_Toc469495721" </w:instrText>
      </w:r>
      <w:r>
        <w:fldChar w:fldCharType="separate"/>
      </w:r>
      <w:r>
        <w:rPr>
          <w:rStyle w:val="38"/>
          <w:rFonts w:hint="eastAsia" w:ascii="宋体" w:hAnsi="宋体"/>
          <w:color w:val="auto"/>
        </w:rPr>
        <w:t>第二章</w:t>
      </w:r>
      <w:r>
        <w:rPr>
          <w:rStyle w:val="38"/>
          <w:rFonts w:ascii="宋体" w:hAnsi="宋体"/>
          <w:color w:val="auto"/>
        </w:rPr>
        <w:t xml:space="preserve"> </w:t>
      </w:r>
      <w:r>
        <w:rPr>
          <w:rStyle w:val="38"/>
          <w:rFonts w:hint="eastAsia" w:ascii="宋体" w:hAnsi="宋体"/>
          <w:color w:val="auto"/>
        </w:rPr>
        <w:t>投标人须知</w:t>
      </w:r>
      <w:r>
        <w:rPr>
          <w:rFonts w:ascii="宋体" w:hAnsi="宋体"/>
        </w:rPr>
        <w:tab/>
      </w:r>
      <w:r>
        <w:rPr>
          <w:rFonts w:hint="eastAsia" w:ascii="宋体" w:hAnsi="宋体"/>
        </w:rPr>
        <w:t>9</w:t>
      </w:r>
      <w:r>
        <w:rPr>
          <w:rFonts w:hint="eastAsia" w:ascii="宋体" w:hAnsi="宋体"/>
        </w:rPr>
        <w:fldChar w:fldCharType="end"/>
      </w:r>
    </w:p>
    <w:p>
      <w:pPr>
        <w:pStyle w:val="21"/>
        <w:tabs>
          <w:tab w:val="right" w:leader="dot" w:pos="8296"/>
        </w:tabs>
        <w:spacing w:line="440" w:lineRule="exact"/>
        <w:ind w:left="420" w:firstLine="420" w:firstLineChars="200"/>
        <w:rPr>
          <w:rFonts w:ascii="宋体" w:hAnsi="宋体"/>
          <w:szCs w:val="22"/>
        </w:rPr>
      </w:pPr>
      <w:r>
        <w:fldChar w:fldCharType="begin"/>
      </w:r>
      <w:r>
        <w:instrText xml:space="preserve"> HYPERLINK \l "_Toc469495722" </w:instrText>
      </w:r>
      <w:r>
        <w:fldChar w:fldCharType="separate"/>
      </w:r>
      <w:r>
        <w:rPr>
          <w:rStyle w:val="38"/>
          <w:rFonts w:hint="eastAsia" w:ascii="宋体" w:hAnsi="宋体"/>
          <w:color w:val="auto"/>
        </w:rPr>
        <w:t>一、投标人须知前附表</w:t>
      </w:r>
      <w:r>
        <w:rPr>
          <w:rFonts w:ascii="宋体" w:hAnsi="宋体"/>
        </w:rPr>
        <w:tab/>
      </w:r>
      <w:r>
        <w:rPr>
          <w:rFonts w:hint="eastAsia" w:ascii="宋体" w:hAnsi="宋体"/>
        </w:rPr>
        <w:t>9</w:t>
      </w:r>
      <w:r>
        <w:rPr>
          <w:rFonts w:hint="eastAsia" w:ascii="宋体" w:hAnsi="宋体"/>
        </w:rPr>
        <w:fldChar w:fldCharType="end"/>
      </w:r>
    </w:p>
    <w:p>
      <w:pPr>
        <w:pStyle w:val="21"/>
        <w:tabs>
          <w:tab w:val="left" w:pos="945"/>
          <w:tab w:val="right" w:leader="dot" w:pos="8296"/>
        </w:tabs>
        <w:spacing w:line="440" w:lineRule="exact"/>
        <w:ind w:left="420" w:firstLine="420" w:firstLineChars="200"/>
        <w:rPr>
          <w:rFonts w:ascii="宋体" w:hAnsi="宋体"/>
        </w:rPr>
      </w:pPr>
      <w:r>
        <w:fldChar w:fldCharType="begin"/>
      </w:r>
      <w:r>
        <w:instrText xml:space="preserve"> HYPERLINK \l "_Toc469495723" </w:instrText>
      </w:r>
      <w:r>
        <w:fldChar w:fldCharType="separate"/>
      </w:r>
      <w:r>
        <w:rPr>
          <w:rFonts w:hint="eastAsia" w:ascii="宋体" w:hAnsi="宋体"/>
        </w:rPr>
        <w:t>二、投标人须知</w:t>
      </w:r>
      <w:r>
        <w:rPr>
          <w:rFonts w:ascii="宋体" w:hAnsi="宋体"/>
        </w:rPr>
        <w:tab/>
      </w:r>
      <w:r>
        <w:rPr>
          <w:rFonts w:hint="eastAsia" w:ascii="宋体" w:hAnsi="宋体"/>
        </w:rPr>
        <w:t>1</w:t>
      </w:r>
      <w:r>
        <w:rPr>
          <w:rFonts w:hint="eastAsia" w:ascii="宋体" w:hAnsi="宋体"/>
        </w:rPr>
        <w:fldChar w:fldCharType="end"/>
      </w:r>
      <w:r>
        <w:rPr>
          <w:rFonts w:hint="eastAsia" w:ascii="宋体" w:hAnsi="宋体"/>
        </w:rPr>
        <w:t>7</w:t>
      </w:r>
    </w:p>
    <w:p>
      <w:pPr>
        <w:pStyle w:val="21"/>
        <w:tabs>
          <w:tab w:val="left" w:pos="945"/>
          <w:tab w:val="right" w:leader="dot" w:pos="8296"/>
        </w:tabs>
        <w:spacing w:line="440" w:lineRule="exact"/>
        <w:ind w:left="420" w:firstLine="420" w:firstLineChars="200"/>
        <w:rPr>
          <w:rFonts w:ascii="宋体" w:hAnsi="宋体"/>
        </w:rPr>
      </w:pPr>
      <w:r>
        <w:rPr>
          <w:rFonts w:hint="eastAsia" w:ascii="宋体" w:hAnsi="宋体"/>
        </w:rPr>
        <w:t>1.政府采购投诉书(范本、质疑函范本）..................................36</w:t>
      </w:r>
    </w:p>
    <w:p>
      <w:pPr>
        <w:pStyle w:val="21"/>
        <w:tabs>
          <w:tab w:val="left" w:pos="945"/>
          <w:tab w:val="right" w:leader="dot" w:pos="8296"/>
        </w:tabs>
        <w:spacing w:line="440" w:lineRule="exact"/>
        <w:ind w:left="420" w:firstLine="630" w:firstLineChars="300"/>
        <w:rPr>
          <w:rFonts w:ascii="宋体" w:hAnsi="宋体"/>
        </w:rPr>
      </w:pPr>
      <w:r>
        <w:rPr>
          <w:rFonts w:hint="eastAsia" w:ascii="宋体" w:hAnsi="宋体"/>
        </w:rPr>
        <w:t>政府采购投诉书范本...............................................36</w:t>
      </w:r>
    </w:p>
    <w:p>
      <w:pPr>
        <w:pStyle w:val="21"/>
        <w:tabs>
          <w:tab w:val="left" w:pos="945"/>
          <w:tab w:val="right" w:leader="dot" w:pos="8296"/>
        </w:tabs>
        <w:spacing w:line="440" w:lineRule="exact"/>
        <w:ind w:left="420" w:firstLine="420" w:firstLineChars="200"/>
        <w:rPr>
          <w:rFonts w:ascii="宋体" w:hAnsi="宋体"/>
        </w:rPr>
      </w:pPr>
      <w:r>
        <w:rPr>
          <w:rFonts w:hint="eastAsia" w:ascii="宋体" w:hAnsi="宋体"/>
        </w:rPr>
        <w:t>2.投诉相关说明.....................................................37</w:t>
      </w:r>
    </w:p>
    <w:p>
      <w:pPr>
        <w:pStyle w:val="21"/>
        <w:tabs>
          <w:tab w:val="left" w:pos="945"/>
          <w:tab w:val="right" w:leader="dot" w:pos="8296"/>
        </w:tabs>
        <w:spacing w:line="440" w:lineRule="exact"/>
        <w:ind w:left="420" w:firstLine="420" w:firstLineChars="200"/>
        <w:rPr>
          <w:rFonts w:ascii="宋体" w:hAnsi="宋体"/>
        </w:rPr>
      </w:pPr>
      <w:r>
        <w:rPr>
          <w:rFonts w:hint="eastAsia" w:ascii="宋体" w:hAnsi="宋体"/>
        </w:rPr>
        <w:t>3.质疑函范本.......................................................39</w:t>
      </w:r>
    </w:p>
    <w:p>
      <w:pPr>
        <w:pStyle w:val="18"/>
        <w:tabs>
          <w:tab w:val="right" w:leader="dot" w:pos="8296"/>
        </w:tabs>
        <w:spacing w:line="440" w:lineRule="exact"/>
        <w:ind w:firstLine="420" w:firstLineChars="200"/>
        <w:rPr>
          <w:rFonts w:ascii="宋体" w:hAnsi="宋体"/>
          <w:szCs w:val="22"/>
        </w:rPr>
      </w:pPr>
      <w:r>
        <w:fldChar w:fldCharType="begin"/>
      </w:r>
      <w:r>
        <w:instrText xml:space="preserve"> HYPERLINK \l "_Toc469495731" </w:instrText>
      </w:r>
      <w:r>
        <w:fldChar w:fldCharType="separate"/>
      </w:r>
      <w:r>
        <w:rPr>
          <w:rStyle w:val="38"/>
          <w:rFonts w:hint="eastAsia" w:ascii="宋体" w:hAnsi="宋体"/>
          <w:color w:val="auto"/>
        </w:rPr>
        <w:t>第三章</w:t>
      </w:r>
      <w:r>
        <w:rPr>
          <w:rStyle w:val="38"/>
          <w:rFonts w:ascii="宋体" w:hAnsi="宋体"/>
          <w:color w:val="auto"/>
        </w:rPr>
        <w:t xml:space="preserve">  </w:t>
      </w:r>
      <w:r>
        <w:rPr>
          <w:rStyle w:val="38"/>
          <w:rFonts w:hint="eastAsia" w:ascii="宋体" w:hAnsi="宋体"/>
          <w:color w:val="auto"/>
        </w:rPr>
        <w:t>评标办法</w:t>
      </w:r>
      <w:r>
        <w:rPr>
          <w:rFonts w:ascii="宋体" w:hAnsi="宋体"/>
        </w:rPr>
        <w:tab/>
      </w:r>
      <w:r>
        <w:rPr>
          <w:rFonts w:hint="eastAsia" w:ascii="宋体" w:hAnsi="宋体"/>
        </w:rPr>
        <w:t>4</w:t>
      </w:r>
      <w:r>
        <w:rPr>
          <w:rFonts w:hint="eastAsia" w:ascii="宋体" w:hAnsi="宋体"/>
        </w:rPr>
        <w:fldChar w:fldCharType="end"/>
      </w:r>
      <w:r>
        <w:rPr>
          <w:rFonts w:hint="eastAsia" w:ascii="宋体" w:hAnsi="宋体"/>
        </w:rPr>
        <w:t>0</w:t>
      </w:r>
    </w:p>
    <w:p>
      <w:pPr>
        <w:pStyle w:val="21"/>
        <w:tabs>
          <w:tab w:val="right" w:leader="dot" w:pos="8296"/>
        </w:tabs>
        <w:spacing w:line="440" w:lineRule="exact"/>
        <w:ind w:left="420" w:firstLine="420" w:firstLineChars="200"/>
        <w:rPr>
          <w:rFonts w:ascii="宋体" w:hAnsi="宋体"/>
          <w:szCs w:val="22"/>
        </w:rPr>
      </w:pPr>
      <w:r>
        <w:fldChar w:fldCharType="begin"/>
      </w:r>
      <w:r>
        <w:instrText xml:space="preserve"> HYPERLINK \l "_Toc469495732" </w:instrText>
      </w:r>
      <w:r>
        <w:fldChar w:fldCharType="separate"/>
      </w:r>
      <w:r>
        <w:rPr>
          <w:rStyle w:val="38"/>
          <w:rFonts w:hint="eastAsia" w:ascii="宋体" w:hAnsi="宋体"/>
          <w:color w:val="auto"/>
        </w:rPr>
        <w:t>一</w:t>
      </w:r>
      <w:r>
        <w:rPr>
          <w:rStyle w:val="38"/>
          <w:rFonts w:ascii="宋体" w:hAnsi="宋体"/>
          <w:color w:val="auto"/>
        </w:rPr>
        <w:t xml:space="preserve">  </w:t>
      </w:r>
      <w:r>
        <w:rPr>
          <w:rStyle w:val="38"/>
          <w:rFonts w:hint="eastAsia" w:ascii="宋体" w:hAnsi="宋体"/>
          <w:color w:val="auto"/>
        </w:rPr>
        <w:t>总则</w:t>
      </w:r>
      <w:r>
        <w:rPr>
          <w:rFonts w:ascii="宋体" w:hAnsi="宋体"/>
        </w:rPr>
        <w:tab/>
      </w:r>
      <w:r>
        <w:rPr>
          <w:rFonts w:hint="eastAsia" w:ascii="宋体" w:hAnsi="宋体"/>
        </w:rPr>
        <w:t>4</w:t>
      </w:r>
      <w:r>
        <w:rPr>
          <w:rFonts w:hint="eastAsia" w:ascii="宋体" w:hAnsi="宋体"/>
        </w:rPr>
        <w:fldChar w:fldCharType="end"/>
      </w:r>
      <w:r>
        <w:rPr>
          <w:rFonts w:hint="eastAsia" w:ascii="宋体" w:hAnsi="宋体"/>
        </w:rPr>
        <w:t>0</w:t>
      </w:r>
    </w:p>
    <w:p>
      <w:pPr>
        <w:pStyle w:val="21"/>
        <w:tabs>
          <w:tab w:val="right" w:leader="dot" w:pos="8296"/>
        </w:tabs>
        <w:spacing w:line="440" w:lineRule="exact"/>
        <w:ind w:left="420" w:firstLine="420" w:firstLineChars="200"/>
        <w:rPr>
          <w:rFonts w:ascii="宋体" w:hAnsi="宋体"/>
          <w:szCs w:val="22"/>
        </w:rPr>
      </w:pPr>
      <w:r>
        <w:fldChar w:fldCharType="begin"/>
      </w:r>
      <w:r>
        <w:instrText xml:space="preserve"> HYPERLINK \l "_Toc469495733" </w:instrText>
      </w:r>
      <w:r>
        <w:fldChar w:fldCharType="separate"/>
      </w:r>
      <w:r>
        <w:rPr>
          <w:rStyle w:val="38"/>
          <w:rFonts w:hint="eastAsia" w:ascii="宋体" w:hAnsi="宋体"/>
          <w:color w:val="auto"/>
        </w:rPr>
        <w:t>二</w:t>
      </w:r>
      <w:r>
        <w:rPr>
          <w:rStyle w:val="38"/>
          <w:rFonts w:ascii="宋体" w:hAnsi="宋体"/>
          <w:color w:val="auto"/>
        </w:rPr>
        <w:t xml:space="preserve">  </w:t>
      </w:r>
      <w:r>
        <w:rPr>
          <w:rStyle w:val="38"/>
          <w:rFonts w:hint="eastAsia" w:ascii="宋体" w:hAnsi="宋体"/>
          <w:color w:val="auto"/>
        </w:rPr>
        <w:t>投标文件初审</w:t>
      </w:r>
      <w:r>
        <w:rPr>
          <w:rFonts w:ascii="宋体" w:hAnsi="宋体"/>
        </w:rPr>
        <w:tab/>
      </w:r>
      <w:r>
        <w:rPr>
          <w:rFonts w:hint="eastAsia" w:ascii="宋体" w:hAnsi="宋体"/>
        </w:rPr>
        <w:t>4</w:t>
      </w:r>
      <w:r>
        <w:rPr>
          <w:rFonts w:hint="eastAsia" w:ascii="宋体" w:hAnsi="宋体"/>
        </w:rPr>
        <w:fldChar w:fldCharType="end"/>
      </w:r>
      <w:r>
        <w:rPr>
          <w:rFonts w:hint="eastAsia" w:ascii="宋体" w:hAnsi="宋体"/>
        </w:rPr>
        <w:t>2</w:t>
      </w:r>
    </w:p>
    <w:p>
      <w:pPr>
        <w:pStyle w:val="21"/>
        <w:tabs>
          <w:tab w:val="right" w:leader="dot" w:pos="8296"/>
        </w:tabs>
        <w:spacing w:line="440" w:lineRule="exact"/>
        <w:ind w:left="420" w:firstLine="420" w:firstLineChars="200"/>
        <w:rPr>
          <w:rFonts w:ascii="宋体" w:hAnsi="宋体"/>
          <w:szCs w:val="22"/>
        </w:rPr>
      </w:pPr>
      <w:r>
        <w:fldChar w:fldCharType="begin"/>
      </w:r>
      <w:r>
        <w:instrText xml:space="preserve"> HYPERLINK \l "_Toc469495734" </w:instrText>
      </w:r>
      <w:r>
        <w:fldChar w:fldCharType="separate"/>
      </w:r>
      <w:r>
        <w:rPr>
          <w:rStyle w:val="38"/>
          <w:rFonts w:hint="eastAsia" w:ascii="宋体" w:hAnsi="宋体"/>
          <w:color w:val="auto"/>
        </w:rPr>
        <w:t>三</w:t>
      </w:r>
      <w:r>
        <w:rPr>
          <w:rStyle w:val="38"/>
          <w:rFonts w:ascii="宋体" w:hAnsi="宋体"/>
          <w:color w:val="auto"/>
        </w:rPr>
        <w:t xml:space="preserve">  </w:t>
      </w:r>
      <w:r>
        <w:rPr>
          <w:rStyle w:val="38"/>
          <w:rFonts w:hint="eastAsia" w:ascii="宋体" w:hAnsi="宋体"/>
          <w:color w:val="auto"/>
        </w:rPr>
        <w:t>投标文件的澄清和补正</w:t>
      </w:r>
      <w:r>
        <w:rPr>
          <w:rFonts w:ascii="宋体" w:hAnsi="宋体"/>
        </w:rPr>
        <w:tab/>
      </w:r>
      <w:r>
        <w:rPr>
          <w:rFonts w:hint="eastAsia" w:ascii="宋体" w:hAnsi="宋体"/>
        </w:rPr>
        <w:t>4</w:t>
      </w:r>
      <w:r>
        <w:rPr>
          <w:rFonts w:hint="eastAsia" w:ascii="宋体" w:hAnsi="宋体"/>
        </w:rPr>
        <w:fldChar w:fldCharType="end"/>
      </w:r>
      <w:r>
        <w:rPr>
          <w:rFonts w:hint="eastAsia" w:ascii="宋体" w:hAnsi="宋体"/>
        </w:rPr>
        <w:t>3</w:t>
      </w:r>
    </w:p>
    <w:p>
      <w:pPr>
        <w:pStyle w:val="21"/>
        <w:tabs>
          <w:tab w:val="right" w:leader="dot" w:pos="8296"/>
        </w:tabs>
        <w:spacing w:line="440" w:lineRule="exact"/>
        <w:ind w:left="420" w:firstLine="420" w:firstLineChars="200"/>
        <w:rPr>
          <w:rFonts w:ascii="宋体" w:hAnsi="宋体"/>
          <w:szCs w:val="22"/>
        </w:rPr>
      </w:pPr>
      <w:r>
        <w:fldChar w:fldCharType="begin"/>
      </w:r>
      <w:r>
        <w:instrText xml:space="preserve"> HYPERLINK \l "_Toc469495735" </w:instrText>
      </w:r>
      <w:r>
        <w:fldChar w:fldCharType="separate"/>
      </w:r>
      <w:r>
        <w:rPr>
          <w:rStyle w:val="38"/>
          <w:rFonts w:hint="eastAsia" w:ascii="宋体" w:hAnsi="宋体"/>
          <w:color w:val="auto"/>
        </w:rPr>
        <w:t>四</w:t>
      </w:r>
      <w:r>
        <w:rPr>
          <w:rStyle w:val="38"/>
          <w:rFonts w:ascii="宋体" w:hAnsi="宋体"/>
          <w:color w:val="auto"/>
        </w:rPr>
        <w:t xml:space="preserve"> </w:t>
      </w:r>
      <w:r>
        <w:rPr>
          <w:rStyle w:val="38"/>
          <w:rFonts w:hint="eastAsia" w:ascii="宋体" w:hAnsi="宋体"/>
          <w:color w:val="auto"/>
        </w:rPr>
        <w:t xml:space="preserve"> 比较与评价</w:t>
      </w:r>
      <w:r>
        <w:rPr>
          <w:rFonts w:ascii="宋体" w:hAnsi="宋体"/>
        </w:rPr>
        <w:tab/>
      </w:r>
      <w:r>
        <w:rPr>
          <w:rFonts w:hint="eastAsia" w:ascii="宋体" w:hAnsi="宋体"/>
        </w:rPr>
        <w:t>4</w:t>
      </w:r>
      <w:r>
        <w:rPr>
          <w:rFonts w:hint="eastAsia" w:ascii="宋体" w:hAnsi="宋体"/>
        </w:rPr>
        <w:fldChar w:fldCharType="end"/>
      </w:r>
      <w:r>
        <w:rPr>
          <w:rFonts w:hint="eastAsia" w:ascii="宋体" w:hAnsi="宋体"/>
        </w:rPr>
        <w:t>4</w:t>
      </w:r>
    </w:p>
    <w:p>
      <w:pPr>
        <w:pStyle w:val="21"/>
        <w:tabs>
          <w:tab w:val="left" w:pos="945"/>
          <w:tab w:val="right" w:leader="dot" w:pos="8296"/>
        </w:tabs>
        <w:spacing w:line="440" w:lineRule="exact"/>
        <w:ind w:left="420" w:firstLine="420" w:firstLineChars="200"/>
        <w:rPr>
          <w:rFonts w:ascii="宋体" w:hAnsi="宋体"/>
        </w:rPr>
      </w:pPr>
      <w:r>
        <w:fldChar w:fldCharType="begin"/>
      </w:r>
      <w:r>
        <w:instrText xml:space="preserve"> HYPERLINK \l "_Toc469495736" </w:instrText>
      </w:r>
      <w:r>
        <w:fldChar w:fldCharType="separate"/>
      </w:r>
      <w:r>
        <w:rPr>
          <w:rFonts w:hint="eastAsia" w:ascii="宋体" w:hAnsi="宋体"/>
        </w:rPr>
        <w:t>五</w:t>
      </w:r>
      <w:r>
        <w:rPr>
          <w:rFonts w:ascii="宋体" w:hAnsi="宋体"/>
        </w:rPr>
        <w:t xml:space="preserve">  </w:t>
      </w:r>
      <w:r>
        <w:rPr>
          <w:rFonts w:hint="eastAsia" w:ascii="宋体" w:hAnsi="宋体"/>
        </w:rPr>
        <w:t>推荐中标候选人</w:t>
      </w:r>
      <w:r>
        <w:rPr>
          <w:rFonts w:ascii="宋体" w:hAnsi="宋体"/>
        </w:rPr>
        <w:tab/>
      </w:r>
      <w:r>
        <w:rPr>
          <w:rFonts w:ascii="宋体" w:hAnsi="宋体"/>
        </w:rPr>
        <w:fldChar w:fldCharType="end"/>
      </w:r>
      <w:r>
        <w:rPr>
          <w:rFonts w:hint="eastAsia" w:ascii="宋体" w:hAnsi="宋体"/>
        </w:rPr>
        <w:t>47</w:t>
      </w:r>
    </w:p>
    <w:p>
      <w:pPr>
        <w:pStyle w:val="21"/>
        <w:tabs>
          <w:tab w:val="left" w:pos="945"/>
          <w:tab w:val="right" w:leader="dot" w:pos="8296"/>
        </w:tabs>
        <w:spacing w:line="440" w:lineRule="exact"/>
        <w:ind w:left="420"/>
        <w:rPr>
          <w:rFonts w:ascii="宋体" w:hAnsi="宋体"/>
        </w:rPr>
      </w:pPr>
      <w:r>
        <w:rPr>
          <w:rFonts w:hint="eastAsia" w:ascii="宋体" w:hAnsi="宋体"/>
        </w:rPr>
        <w:t>第四章  采购内容及技术要求..............................................49</w:t>
      </w:r>
    </w:p>
    <w:p>
      <w:pPr>
        <w:pStyle w:val="18"/>
        <w:tabs>
          <w:tab w:val="right" w:leader="dot" w:pos="8296"/>
        </w:tabs>
        <w:spacing w:line="440" w:lineRule="exact"/>
        <w:ind w:firstLine="420" w:firstLineChars="200"/>
        <w:rPr>
          <w:rFonts w:ascii="宋体" w:hAnsi="宋体"/>
          <w:szCs w:val="22"/>
        </w:rPr>
      </w:pPr>
      <w:r>
        <w:fldChar w:fldCharType="begin"/>
      </w:r>
      <w:r>
        <w:instrText xml:space="preserve"> HYPERLINK \l "_Toc469495740" </w:instrText>
      </w:r>
      <w:r>
        <w:fldChar w:fldCharType="separate"/>
      </w:r>
      <w:r>
        <w:rPr>
          <w:rStyle w:val="38"/>
          <w:rFonts w:hint="eastAsia" w:ascii="宋体" w:hAnsi="宋体"/>
          <w:color w:val="auto"/>
        </w:rPr>
        <w:t>第五章</w:t>
      </w:r>
      <w:r>
        <w:rPr>
          <w:rStyle w:val="38"/>
          <w:rFonts w:ascii="宋体" w:hAnsi="宋体"/>
          <w:color w:val="auto"/>
        </w:rPr>
        <w:t xml:space="preserve">  </w:t>
      </w:r>
      <w:r>
        <w:rPr>
          <w:rStyle w:val="38"/>
          <w:rFonts w:hint="eastAsia" w:ascii="宋体" w:hAnsi="宋体"/>
          <w:color w:val="auto"/>
        </w:rPr>
        <w:t>合同条款及格式</w:t>
      </w:r>
      <w:r>
        <w:rPr>
          <w:rFonts w:ascii="宋体" w:hAnsi="宋体"/>
        </w:rPr>
        <w:tab/>
      </w:r>
      <w:r>
        <w:rPr>
          <w:rFonts w:ascii="宋体" w:hAnsi="宋体"/>
        </w:rPr>
        <w:fldChar w:fldCharType="end"/>
      </w:r>
      <w:r>
        <w:rPr>
          <w:rFonts w:hint="eastAsia" w:ascii="宋体" w:hAnsi="宋体"/>
        </w:rPr>
        <w:t>58</w:t>
      </w:r>
    </w:p>
    <w:p>
      <w:pPr>
        <w:pStyle w:val="21"/>
        <w:tabs>
          <w:tab w:val="left" w:pos="945"/>
          <w:tab w:val="right" w:leader="dot" w:pos="8296"/>
        </w:tabs>
        <w:spacing w:line="440" w:lineRule="exact"/>
        <w:ind w:left="420" w:firstLine="420" w:firstLineChars="200"/>
        <w:rPr>
          <w:rFonts w:ascii="宋体" w:hAnsi="宋体"/>
          <w:szCs w:val="22"/>
        </w:rPr>
      </w:pPr>
      <w:r>
        <w:fldChar w:fldCharType="begin"/>
      </w:r>
      <w:r>
        <w:instrText xml:space="preserve"> HYPERLINK \l "_Toc469495741" </w:instrText>
      </w:r>
      <w:r>
        <w:fldChar w:fldCharType="separate"/>
      </w:r>
      <w:r>
        <w:rPr>
          <w:rStyle w:val="38"/>
          <w:rFonts w:hint="eastAsia" w:ascii="宋体" w:hAnsi="宋体"/>
          <w:color w:val="auto"/>
        </w:rPr>
        <w:t>一  合同协议书</w:t>
      </w:r>
      <w:r>
        <w:rPr>
          <w:rFonts w:ascii="宋体" w:hAnsi="宋体"/>
        </w:rPr>
        <w:tab/>
      </w:r>
      <w:r>
        <w:rPr>
          <w:rFonts w:ascii="宋体" w:hAnsi="宋体"/>
        </w:rPr>
        <w:fldChar w:fldCharType="end"/>
      </w:r>
      <w:r>
        <w:rPr>
          <w:rFonts w:hint="eastAsia" w:ascii="宋体" w:hAnsi="宋体"/>
        </w:rPr>
        <w:t>58</w:t>
      </w:r>
    </w:p>
    <w:p>
      <w:pPr>
        <w:pStyle w:val="21"/>
        <w:tabs>
          <w:tab w:val="right" w:leader="dot" w:pos="8296"/>
        </w:tabs>
        <w:spacing w:line="440" w:lineRule="exact"/>
        <w:ind w:left="420" w:firstLine="420" w:firstLineChars="200"/>
        <w:rPr>
          <w:rFonts w:ascii="宋体" w:hAnsi="宋体"/>
          <w:szCs w:val="22"/>
        </w:rPr>
      </w:pPr>
      <w:r>
        <w:fldChar w:fldCharType="begin"/>
      </w:r>
      <w:r>
        <w:instrText xml:space="preserve"> HYPERLINK \l "_Toc469495742" </w:instrText>
      </w:r>
      <w:r>
        <w:fldChar w:fldCharType="separate"/>
      </w:r>
      <w:r>
        <w:rPr>
          <w:rStyle w:val="38"/>
          <w:rFonts w:hint="eastAsia" w:ascii="宋体" w:hAnsi="宋体"/>
          <w:color w:val="auto"/>
        </w:rPr>
        <w:t>二</w:t>
      </w:r>
      <w:r>
        <w:rPr>
          <w:rStyle w:val="38"/>
          <w:rFonts w:ascii="宋体" w:hAnsi="宋体"/>
          <w:color w:val="auto"/>
        </w:rPr>
        <w:t xml:space="preserve">  </w:t>
      </w:r>
      <w:r>
        <w:rPr>
          <w:rStyle w:val="38"/>
          <w:rFonts w:hint="eastAsia" w:ascii="宋体" w:hAnsi="宋体"/>
          <w:color w:val="auto"/>
        </w:rPr>
        <w:t>合同条款</w:t>
      </w:r>
      <w:r>
        <w:rPr>
          <w:rFonts w:ascii="宋体" w:hAnsi="宋体"/>
        </w:rPr>
        <w:tab/>
      </w:r>
      <w:r>
        <w:rPr>
          <w:rFonts w:hint="eastAsia" w:ascii="宋体" w:hAnsi="宋体"/>
        </w:rPr>
        <w:t>.</w:t>
      </w:r>
      <w:r>
        <w:rPr>
          <w:rFonts w:hint="eastAsia" w:ascii="宋体" w:hAnsi="宋体"/>
        </w:rPr>
        <w:fldChar w:fldCharType="end"/>
      </w:r>
      <w:r>
        <w:rPr>
          <w:rFonts w:hint="eastAsia" w:ascii="宋体" w:hAnsi="宋体"/>
        </w:rPr>
        <w:t>59</w:t>
      </w:r>
    </w:p>
    <w:p>
      <w:pPr>
        <w:pStyle w:val="18"/>
        <w:tabs>
          <w:tab w:val="right" w:leader="dot" w:pos="8296"/>
        </w:tabs>
        <w:spacing w:line="440" w:lineRule="exact"/>
        <w:ind w:firstLine="420" w:firstLineChars="200"/>
        <w:rPr>
          <w:rFonts w:ascii="宋体" w:hAnsi="宋体"/>
          <w:szCs w:val="22"/>
        </w:rPr>
      </w:pPr>
      <w:r>
        <w:fldChar w:fldCharType="begin"/>
      </w:r>
      <w:r>
        <w:instrText xml:space="preserve"> HYPERLINK \l "_Toc469495743" </w:instrText>
      </w:r>
      <w:r>
        <w:fldChar w:fldCharType="separate"/>
      </w:r>
      <w:r>
        <w:rPr>
          <w:rStyle w:val="38"/>
          <w:rFonts w:hint="eastAsia" w:ascii="宋体" w:hAnsi="宋体"/>
          <w:color w:val="auto"/>
        </w:rPr>
        <w:t>第六章</w:t>
      </w:r>
      <w:r>
        <w:rPr>
          <w:rStyle w:val="38"/>
          <w:rFonts w:ascii="宋体" w:hAnsi="宋体"/>
          <w:color w:val="auto"/>
        </w:rPr>
        <w:t xml:space="preserve">  </w:t>
      </w:r>
      <w:r>
        <w:rPr>
          <w:rStyle w:val="38"/>
          <w:rFonts w:hint="eastAsia" w:ascii="宋体" w:hAnsi="宋体"/>
          <w:color w:val="auto"/>
        </w:rPr>
        <w:t>投标文件格式</w:t>
      </w:r>
      <w:r>
        <w:rPr>
          <w:rFonts w:ascii="宋体" w:hAnsi="宋体"/>
        </w:rPr>
        <w:tab/>
      </w:r>
      <w:r>
        <w:rPr>
          <w:rFonts w:hint="eastAsia" w:ascii="宋体" w:hAnsi="宋体"/>
        </w:rPr>
        <w:t>.6</w:t>
      </w:r>
      <w:r>
        <w:rPr>
          <w:rFonts w:hint="eastAsia" w:ascii="宋体" w:hAnsi="宋体"/>
        </w:rPr>
        <w:fldChar w:fldCharType="end"/>
      </w:r>
      <w:r>
        <w:rPr>
          <w:rFonts w:hint="eastAsia" w:ascii="宋体" w:hAnsi="宋体"/>
        </w:rPr>
        <w:t>4</w:t>
      </w:r>
    </w:p>
    <w:p>
      <w:pPr>
        <w:spacing w:line="440" w:lineRule="exact"/>
        <w:ind w:firstLine="480" w:firstLineChars="200"/>
        <w:jc w:val="distribute"/>
        <w:rPr>
          <w:rFonts w:ascii="宋体" w:hAnsi="宋体" w:cs="宋体"/>
          <w:sz w:val="24"/>
        </w:rPr>
      </w:pPr>
      <w:r>
        <w:rPr>
          <w:rFonts w:hint="eastAsia" w:ascii="宋体" w:hAnsi="宋体" w:cs="宋体"/>
          <w:sz w:val="24"/>
        </w:rPr>
        <w:fldChar w:fldCharType="end"/>
      </w:r>
    </w:p>
    <w:p>
      <w:pPr>
        <w:jc w:val="center"/>
        <w:rPr>
          <w:rFonts w:ascii="宋体" w:hAnsi="宋体" w:cs="宋体"/>
          <w:kern w:val="36"/>
          <w:sz w:val="36"/>
          <w:szCs w:val="36"/>
        </w:rPr>
      </w:pPr>
      <w:r>
        <w:rPr>
          <w:rFonts w:hint="eastAsia" w:ascii="宋体" w:hAnsi="宋体" w:cs="宋体"/>
          <w:sz w:val="24"/>
        </w:rPr>
        <w:br w:type="page"/>
      </w:r>
    </w:p>
    <w:p>
      <w:pPr>
        <w:pStyle w:val="23"/>
        <w:autoSpaceDE w:val="0"/>
        <w:spacing w:before="75" w:beforeAutospacing="0" w:after="75" w:afterAutospacing="0" w:line="600" w:lineRule="exact"/>
        <w:ind w:firstLine="800" w:firstLineChars="200"/>
        <w:jc w:val="center"/>
        <w:rPr>
          <w:rFonts w:ascii="新宋体" w:hAnsi="新宋体" w:eastAsia="新宋体" w:cs="新宋体"/>
          <w:b/>
          <w:bCs/>
          <w:sz w:val="40"/>
          <w:szCs w:val="40"/>
          <w:lang w:bidi="ar"/>
        </w:rPr>
      </w:pPr>
      <w:r>
        <w:rPr>
          <w:rFonts w:hint="eastAsia" w:ascii="新宋体" w:hAnsi="新宋体" w:eastAsia="新宋体" w:cs="新宋体"/>
          <w:sz w:val="40"/>
          <w:szCs w:val="40"/>
          <w:lang w:bidi="ar"/>
        </w:rPr>
        <w:t xml:space="preserve"> </w:t>
      </w:r>
      <w:r>
        <w:rPr>
          <w:rFonts w:hint="eastAsia" w:ascii="新宋体" w:hAnsi="新宋体" w:eastAsia="新宋体" w:cs="新宋体"/>
          <w:b/>
          <w:bCs/>
          <w:sz w:val="40"/>
          <w:szCs w:val="40"/>
          <w:lang w:bidi="ar"/>
        </w:rPr>
        <w:t>乌恰县人民医院信息化升级改造项目</w:t>
      </w:r>
    </w:p>
    <w:p>
      <w:pPr>
        <w:pStyle w:val="23"/>
        <w:autoSpaceDE w:val="0"/>
        <w:spacing w:before="75" w:beforeAutospacing="0" w:after="75" w:afterAutospacing="0" w:line="600" w:lineRule="exact"/>
        <w:ind w:firstLine="800" w:firstLineChars="200"/>
        <w:jc w:val="center"/>
        <w:rPr>
          <w:rFonts w:ascii="新宋体" w:hAnsi="新宋体" w:eastAsia="新宋体" w:cs="新宋体"/>
          <w:b/>
          <w:bCs/>
          <w:sz w:val="40"/>
          <w:szCs w:val="40"/>
          <w:lang w:bidi="ar"/>
        </w:rPr>
      </w:pPr>
      <w:r>
        <w:rPr>
          <w:rFonts w:hint="eastAsia" w:ascii="新宋体" w:hAnsi="新宋体" w:eastAsia="新宋体" w:cs="新宋体"/>
          <w:b/>
          <w:bCs/>
          <w:sz w:val="40"/>
          <w:szCs w:val="40"/>
          <w:lang w:bidi="ar"/>
        </w:rPr>
        <w:t>公开招标公告</w:t>
      </w:r>
    </w:p>
    <w:tbl>
      <w:tblPr>
        <w:tblStyle w:val="27"/>
        <w:tblpPr w:leftFromText="180" w:rightFromText="180" w:vertAnchor="page" w:horzAnchor="page" w:tblpX="1354" w:tblpY="3713"/>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9280" w:type="dxa"/>
            <w:tcBorders>
              <w:top w:val="single" w:color="auto" w:sz="4" w:space="0"/>
              <w:left w:val="single" w:color="auto" w:sz="4" w:space="0"/>
              <w:bottom w:val="single" w:color="auto" w:sz="4" w:space="0"/>
              <w:right w:val="single" w:color="auto" w:sz="4" w:space="0"/>
            </w:tcBorders>
          </w:tcPr>
          <w:p>
            <w:pPr>
              <w:pStyle w:val="23"/>
              <w:autoSpaceDE w:val="0"/>
              <w:spacing w:before="75" w:beforeAutospacing="0" w:after="75" w:afterAutospacing="0" w:line="300" w:lineRule="exact"/>
              <w:rPr>
                <w:rFonts w:ascii="仿宋" w:hAnsi="仿宋" w:eastAsia="仿宋" w:cs="仿宋"/>
                <w:sz w:val="28"/>
                <w:szCs w:val="28"/>
              </w:rPr>
            </w:pPr>
            <w:r>
              <w:rPr>
                <w:rFonts w:hint="eastAsia" w:ascii="仿宋" w:hAnsi="仿宋" w:eastAsia="仿宋" w:cs="仿宋"/>
                <w:sz w:val="28"/>
                <w:szCs w:val="28"/>
              </w:rPr>
              <w:t>项目概况</w:t>
            </w:r>
          </w:p>
          <w:p>
            <w:pPr>
              <w:pStyle w:val="23"/>
              <w:autoSpaceDE w:val="0"/>
              <w:spacing w:before="75" w:beforeAutospacing="0" w:after="75" w:afterAutospacing="0" w:line="300" w:lineRule="exact"/>
              <w:rPr>
                <w:rFonts w:ascii="新宋体" w:hAnsi="新宋体" w:eastAsia="新宋体" w:cs="新宋体"/>
                <w:sz w:val="21"/>
                <w:szCs w:val="21"/>
              </w:rPr>
            </w:pPr>
            <w:r>
              <w:rPr>
                <w:rFonts w:hint="eastAsia" w:ascii="仿宋" w:hAnsi="仿宋" w:eastAsia="仿宋" w:cs="仿宋"/>
                <w:sz w:val="28"/>
                <w:szCs w:val="28"/>
              </w:rPr>
              <w:t xml:space="preserve">    乌恰县人民医院信息化升级改造项目的潜在投标人应在供应商登陆政采云平台http://www.zcygov.cn/，在线申请获取招标文件（登录政府采购云平台 → 项目采购 → 获取招标文件，如有操作性问题，可与政采云在线客服进行咨询，咨询电话：95763）获取采购文件，并于</w:t>
            </w:r>
            <w:r>
              <w:rPr>
                <w:rFonts w:hint="eastAsia" w:ascii="仿宋" w:hAnsi="仿宋" w:eastAsia="仿宋" w:cs="仿宋"/>
                <w:color w:val="C0504D" w:themeColor="accent2"/>
                <w:sz w:val="28"/>
                <w:szCs w:val="28"/>
                <w14:textFill>
                  <w14:solidFill>
                    <w14:schemeClr w14:val="accent2"/>
                  </w14:solidFill>
                </w14:textFill>
              </w:rPr>
              <w:t>2023年11月</w:t>
            </w:r>
            <w:r>
              <w:rPr>
                <w:rFonts w:hint="eastAsia" w:ascii="仿宋" w:hAnsi="仿宋" w:eastAsia="仿宋" w:cs="仿宋"/>
                <w:color w:val="C0504D" w:themeColor="accent2"/>
                <w:sz w:val="28"/>
                <w:szCs w:val="28"/>
                <w:lang w:val="en-US" w:eastAsia="zh-CN"/>
                <w14:textFill>
                  <w14:solidFill>
                    <w14:schemeClr w14:val="accent2"/>
                  </w14:solidFill>
                </w14:textFill>
              </w:rPr>
              <w:t>15</w:t>
            </w:r>
            <w:r>
              <w:rPr>
                <w:rFonts w:hint="eastAsia" w:ascii="仿宋" w:hAnsi="仿宋" w:eastAsia="仿宋" w:cs="仿宋"/>
                <w:color w:val="C0504D" w:themeColor="accent2"/>
                <w:sz w:val="28"/>
                <w:szCs w:val="28"/>
                <w14:textFill>
                  <w14:solidFill>
                    <w14:schemeClr w14:val="accent2"/>
                  </w14:solidFill>
                </w14:textFill>
              </w:rPr>
              <w:t xml:space="preserve">日 </w:t>
            </w:r>
            <w:r>
              <w:rPr>
                <w:rFonts w:hint="eastAsia" w:ascii="仿宋" w:hAnsi="仿宋" w:eastAsia="仿宋" w:cs="仿宋"/>
                <w:color w:val="C0504D" w:themeColor="accent2"/>
                <w:sz w:val="28"/>
                <w:szCs w:val="28"/>
                <w:lang w:val="en-US" w:eastAsia="zh-CN"/>
                <w14:textFill>
                  <w14:solidFill>
                    <w14:schemeClr w14:val="accent2"/>
                  </w14:solidFill>
                </w14:textFill>
              </w:rPr>
              <w:t>11</w:t>
            </w:r>
            <w:r>
              <w:rPr>
                <w:rFonts w:hint="eastAsia" w:ascii="仿宋" w:hAnsi="仿宋" w:eastAsia="仿宋" w:cs="仿宋"/>
                <w:color w:val="C0504D" w:themeColor="accent2"/>
                <w:sz w:val="28"/>
                <w:szCs w:val="28"/>
                <w14:textFill>
                  <w14:solidFill>
                    <w14:schemeClr w14:val="accent2"/>
                  </w14:solidFill>
                </w14:textFill>
              </w:rPr>
              <w:t>:</w:t>
            </w:r>
            <w:r>
              <w:rPr>
                <w:rFonts w:hint="eastAsia" w:ascii="仿宋" w:hAnsi="仿宋" w:eastAsia="仿宋" w:cs="仿宋"/>
                <w:color w:val="C0504D" w:themeColor="accent2"/>
                <w:sz w:val="28"/>
                <w:szCs w:val="28"/>
                <w:lang w:val="en-US" w:eastAsia="zh-CN"/>
                <w14:textFill>
                  <w14:solidFill>
                    <w14:schemeClr w14:val="accent2"/>
                  </w14:solidFill>
                </w14:textFill>
              </w:rPr>
              <w:t>0</w:t>
            </w:r>
            <w:r>
              <w:rPr>
                <w:rFonts w:hint="eastAsia" w:ascii="仿宋" w:hAnsi="仿宋" w:eastAsia="仿宋" w:cs="仿宋"/>
                <w:color w:val="C0504D" w:themeColor="accent2"/>
                <w:sz w:val="28"/>
                <w:szCs w:val="28"/>
                <w14:textFill>
                  <w14:solidFill>
                    <w14:schemeClr w14:val="accent2"/>
                  </w14:solidFill>
                </w14:textFill>
              </w:rPr>
              <w:t>0（</w:t>
            </w:r>
            <w:r>
              <w:rPr>
                <w:rFonts w:hint="eastAsia" w:ascii="仿宋" w:hAnsi="仿宋" w:eastAsia="仿宋" w:cs="仿宋"/>
                <w:sz w:val="28"/>
                <w:szCs w:val="28"/>
              </w:rPr>
              <w:t>北京时间）前递交投标文件。</w:t>
            </w:r>
          </w:p>
        </w:tc>
      </w:tr>
    </w:tbl>
    <w:p>
      <w:pPr>
        <w:pStyle w:val="23"/>
        <w:autoSpaceDE w:val="0"/>
        <w:spacing w:before="0" w:beforeAutospacing="0" w:after="0" w:afterAutospacing="0" w:line="380" w:lineRule="exact"/>
        <w:jc w:val="both"/>
        <w:rPr>
          <w:rFonts w:ascii="新宋体" w:hAnsi="新宋体" w:eastAsia="新宋体" w:cs="新宋体"/>
          <w:b/>
          <w:bCs/>
          <w:sz w:val="21"/>
          <w:szCs w:val="21"/>
        </w:rPr>
      </w:pPr>
    </w:p>
    <w:p>
      <w:pPr>
        <w:pStyle w:val="23"/>
        <w:autoSpaceDE w:val="0"/>
        <w:spacing w:before="0" w:beforeAutospacing="0" w:after="0" w:afterAutospacing="0" w:line="380" w:lineRule="exact"/>
        <w:ind w:firstLine="560" w:firstLineChars="200"/>
        <w:jc w:val="both"/>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一、项目基本情况</w:t>
      </w:r>
    </w:p>
    <w:p>
      <w:pPr>
        <w:pStyle w:val="23"/>
        <w:autoSpaceDE w:val="0"/>
        <w:spacing w:before="0" w:beforeAutospacing="0" w:after="0" w:afterAutospacing="0" w:line="380" w:lineRule="exact"/>
        <w:ind w:firstLine="560" w:firstLineChars="200"/>
        <w:jc w:val="both"/>
        <w:rPr>
          <w:rFonts w:hint="eastAsia" w:asciiTheme="minorEastAsia" w:hAnsiTheme="minorEastAsia" w:eastAsiaTheme="minorEastAsia" w:cstheme="minorEastAsia"/>
          <w:sz w:val="28"/>
          <w:szCs w:val="28"/>
          <w:lang w:val="en-US" w:eastAsia="zh-CN" w:bidi="ar"/>
        </w:rPr>
      </w:pPr>
      <w:r>
        <w:rPr>
          <w:rFonts w:hint="eastAsia" w:asciiTheme="minorEastAsia" w:hAnsiTheme="minorEastAsia" w:eastAsiaTheme="minorEastAsia" w:cstheme="minorEastAsia"/>
          <w:sz w:val="28"/>
          <w:szCs w:val="28"/>
          <w:lang w:bidi="ar"/>
        </w:rPr>
        <w:t>项目编号：</w:t>
      </w:r>
      <w:r>
        <w:rPr>
          <w:rFonts w:hint="eastAsia" w:asciiTheme="minorEastAsia" w:hAnsiTheme="minorEastAsia" w:eastAsiaTheme="minorEastAsia" w:cstheme="minorEastAsia"/>
          <w:color w:val="000000" w:themeColor="text1"/>
          <w:sz w:val="28"/>
          <w:szCs w:val="28"/>
          <w:lang w:bidi="ar"/>
          <w14:textFill>
            <w14:solidFill>
              <w14:schemeClr w14:val="tx1"/>
            </w14:solidFill>
          </w14:textFill>
        </w:rPr>
        <w:t>WQZFCG(ZB)-2023</w:t>
      </w:r>
      <w:r>
        <w:rPr>
          <w:rFonts w:hint="eastAsia" w:asciiTheme="minorEastAsia" w:hAnsiTheme="minorEastAsia" w:eastAsiaTheme="minorEastAsia" w:cstheme="minorEastAsia"/>
          <w:color w:val="000000" w:themeColor="text1"/>
          <w:sz w:val="28"/>
          <w:szCs w:val="28"/>
          <w:lang w:val="en-US" w:eastAsia="zh-CN" w:bidi="ar"/>
          <w14:textFill>
            <w14:solidFill>
              <w14:schemeClr w14:val="tx1"/>
            </w14:solidFill>
          </w14:textFill>
        </w:rPr>
        <w:t>-111</w:t>
      </w:r>
    </w:p>
    <w:p>
      <w:pPr>
        <w:pStyle w:val="23"/>
        <w:autoSpaceDE w:val="0"/>
        <w:spacing w:before="0" w:beforeAutospacing="0" w:after="0" w:afterAutospacing="0" w:line="380" w:lineRule="exact"/>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项目名称：乌恰县人民医院信息化升级改造项目</w:t>
      </w:r>
    </w:p>
    <w:p>
      <w:pPr>
        <w:pStyle w:val="23"/>
        <w:autoSpaceDE w:val="0"/>
        <w:spacing w:before="75" w:beforeAutospacing="0" w:after="75" w:afterAutospacing="0" w:line="380" w:lineRule="exact"/>
        <w:ind w:firstLine="560" w:firstLineChars="200"/>
        <w:rPr>
          <w:rFonts w:asciiTheme="minorEastAsia" w:hAnsiTheme="minorEastAsia" w:eastAsiaTheme="minorEastAsia" w:cstheme="minorEastAsia"/>
          <w:sz w:val="28"/>
          <w:szCs w:val="28"/>
          <w:lang w:bidi="ar"/>
        </w:rPr>
      </w:pPr>
      <w:r>
        <w:rPr>
          <w:rFonts w:hint="eastAsia" w:asciiTheme="minorEastAsia" w:hAnsiTheme="minorEastAsia" w:eastAsiaTheme="minorEastAsia" w:cstheme="minorEastAsia"/>
          <w:sz w:val="28"/>
          <w:szCs w:val="28"/>
          <w:lang w:bidi="ar"/>
        </w:rPr>
        <w:t>采购方式：公开招标</w:t>
      </w:r>
    </w:p>
    <w:p>
      <w:pPr>
        <w:pStyle w:val="23"/>
        <w:autoSpaceDE w:val="0"/>
        <w:spacing w:before="75" w:beforeAutospacing="0" w:after="75" w:afterAutospacing="0" w:line="380" w:lineRule="exact"/>
        <w:ind w:firstLine="480"/>
        <w:rPr>
          <w:rFonts w:hint="default" w:asciiTheme="minorEastAsia" w:hAnsiTheme="minorEastAsia" w:eastAsiaTheme="minorEastAsia" w:cstheme="minorEastAsia"/>
          <w:sz w:val="28"/>
          <w:szCs w:val="28"/>
          <w:lang w:val="en-US" w:eastAsia="zh-CN" w:bidi="ar"/>
        </w:rPr>
      </w:pPr>
      <w:r>
        <w:rPr>
          <w:rFonts w:hint="eastAsia" w:asciiTheme="minorEastAsia" w:hAnsiTheme="minorEastAsia" w:eastAsiaTheme="minorEastAsia" w:cstheme="minorEastAsia"/>
          <w:sz w:val="28"/>
          <w:szCs w:val="28"/>
        </w:rPr>
        <w:t>预算金额（元）</w:t>
      </w:r>
      <w:r>
        <w:rPr>
          <w:rFonts w:hint="eastAsia" w:asciiTheme="minorEastAsia" w:hAnsiTheme="minorEastAsia" w:eastAsiaTheme="minorEastAsia" w:cstheme="minorEastAsia"/>
          <w:sz w:val="28"/>
          <w:szCs w:val="28"/>
          <w:lang w:bidi="ar"/>
        </w:rPr>
        <w:t>：5496562</w:t>
      </w:r>
      <w:r>
        <w:rPr>
          <w:rFonts w:hint="eastAsia" w:asciiTheme="minorEastAsia" w:hAnsiTheme="minorEastAsia" w:eastAsiaTheme="minorEastAsia" w:cstheme="minorEastAsia"/>
          <w:sz w:val="28"/>
          <w:szCs w:val="28"/>
          <w:lang w:val="en-US" w:eastAsia="zh-CN" w:bidi="ar"/>
        </w:rPr>
        <w:t>.00</w:t>
      </w:r>
    </w:p>
    <w:p>
      <w:pPr>
        <w:pStyle w:val="23"/>
        <w:autoSpaceDE w:val="0"/>
        <w:spacing w:before="75" w:beforeAutospacing="0" w:after="75" w:afterAutospacing="0" w:line="380" w:lineRule="exact"/>
        <w:ind w:firstLine="480"/>
        <w:rPr>
          <w:rFonts w:hint="default" w:asciiTheme="minorEastAsia" w:hAnsiTheme="minorEastAsia" w:eastAsiaTheme="minorEastAsia" w:cstheme="minorEastAsia"/>
          <w:sz w:val="28"/>
          <w:szCs w:val="28"/>
          <w:lang w:val="en-US" w:eastAsia="zh-CN" w:bidi="ar"/>
        </w:rPr>
      </w:pPr>
      <w:r>
        <w:rPr>
          <w:rFonts w:hint="eastAsia" w:asciiTheme="minorEastAsia" w:hAnsiTheme="minorEastAsia" w:eastAsiaTheme="minorEastAsia" w:cstheme="minorEastAsia"/>
          <w:sz w:val="28"/>
          <w:szCs w:val="28"/>
          <w:lang w:bidi="ar"/>
        </w:rPr>
        <w:t>最高限价（元）：5496562</w:t>
      </w:r>
      <w:r>
        <w:rPr>
          <w:rFonts w:hint="eastAsia" w:asciiTheme="minorEastAsia" w:hAnsiTheme="minorEastAsia" w:eastAsiaTheme="minorEastAsia" w:cstheme="minorEastAsia"/>
          <w:sz w:val="28"/>
          <w:szCs w:val="28"/>
          <w:lang w:val="en-US" w:eastAsia="zh-CN" w:bidi="ar"/>
        </w:rPr>
        <w:t>.00</w:t>
      </w:r>
    </w:p>
    <w:p>
      <w:pPr>
        <w:pStyle w:val="23"/>
        <w:autoSpaceDE w:val="0"/>
        <w:spacing w:before="75" w:beforeAutospacing="0" w:after="75" w:afterAutospacing="0" w:line="380" w:lineRule="exact"/>
        <w:ind w:firstLine="48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采购需求：</w:t>
      </w:r>
    </w:p>
    <w:p>
      <w:pPr>
        <w:pStyle w:val="23"/>
        <w:autoSpaceDE w:val="0"/>
        <w:spacing w:before="75" w:beforeAutospacing="0" w:after="75" w:afterAutospacing="0" w:line="3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标项名称: 乌恰县人民医院信息化升级改造项目</w:t>
      </w:r>
    </w:p>
    <w:p>
      <w:pPr>
        <w:pStyle w:val="23"/>
        <w:autoSpaceDE w:val="0"/>
        <w:spacing w:before="75" w:beforeAutospacing="0" w:after="75" w:afterAutospacing="0" w:line="3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数量: 1  </w:t>
      </w:r>
    </w:p>
    <w:p>
      <w:pPr>
        <w:pStyle w:val="23"/>
        <w:autoSpaceDE w:val="0"/>
        <w:spacing w:before="75" w:beforeAutospacing="0" w:after="75" w:afterAutospacing="0" w:line="380" w:lineRule="exact"/>
        <w:ind w:firstLine="48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预算金额（元）:5496562</w:t>
      </w:r>
      <w:r>
        <w:rPr>
          <w:rFonts w:hint="eastAsia" w:asciiTheme="minorEastAsia" w:hAnsiTheme="minorEastAsia" w:eastAsiaTheme="minorEastAsia" w:cstheme="minorEastAsia"/>
          <w:sz w:val="28"/>
          <w:szCs w:val="28"/>
          <w:lang w:val="en-US" w:eastAsia="zh-CN"/>
        </w:rPr>
        <w:t>.00</w:t>
      </w:r>
    </w:p>
    <w:p>
      <w:pPr>
        <w:pStyle w:val="23"/>
        <w:autoSpaceDE w:val="0"/>
        <w:spacing w:before="75" w:beforeAutospacing="0" w:after="75" w:afterAutospacing="0" w:line="3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单位：批</w:t>
      </w:r>
    </w:p>
    <w:p>
      <w:pPr>
        <w:pStyle w:val="23"/>
        <w:autoSpaceDE w:val="0"/>
        <w:spacing w:before="75" w:beforeAutospacing="0" w:after="75" w:afterAutospacing="0" w:line="3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简要规格描述或项目基本概况介绍、用途：采购一批HIS、EMR、PACS等系统。</w:t>
      </w:r>
    </w:p>
    <w:p>
      <w:pPr>
        <w:pStyle w:val="23"/>
        <w:autoSpaceDE w:val="0"/>
        <w:spacing w:before="75" w:beforeAutospacing="0" w:after="75" w:afterAutospacing="0" w:line="3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备注：具体详见招标文件采购内容及参数要求</w:t>
      </w:r>
    </w:p>
    <w:p>
      <w:pPr>
        <w:pStyle w:val="23"/>
        <w:autoSpaceDE w:val="0"/>
        <w:spacing w:before="75" w:beforeAutospacing="0" w:after="75" w:afterAutospacing="0" w:line="3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合同履行期限详见招标文件 </w:t>
      </w:r>
    </w:p>
    <w:p>
      <w:pPr>
        <w:pStyle w:val="10"/>
        <w:tabs>
          <w:tab w:val="left" w:pos="562"/>
          <w:tab w:val="left" w:pos="3372"/>
          <w:tab w:val="left" w:pos="3653"/>
        </w:tabs>
        <w:spacing w:line="380" w:lineRule="exact"/>
        <w:ind w:firstLine="560" w:firstLineChars="200"/>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本项目（否）接受联合体投标</w:t>
      </w:r>
    </w:p>
    <w:p>
      <w:pPr>
        <w:pStyle w:val="23"/>
        <w:autoSpaceDE w:val="0"/>
        <w:spacing w:before="255" w:beforeAutospacing="0" w:after="255" w:afterAutospacing="0" w:line="380" w:lineRule="exact"/>
        <w:ind w:firstLine="560" w:firstLineChars="200"/>
        <w:jc w:val="both"/>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二、申请人的资格要求：</w:t>
      </w:r>
    </w:p>
    <w:p>
      <w:pPr>
        <w:pStyle w:val="23"/>
        <w:autoSpaceDE w:val="0"/>
        <w:spacing w:before="255" w:beforeAutospacing="0" w:after="255" w:afterAutospacing="0" w:line="380" w:lineRule="exact"/>
        <w:ind w:firstLine="560" w:firstLineChars="200"/>
        <w:jc w:val="both"/>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1.满足《中华人民共和国政府采购法》第二十二条规定；</w:t>
      </w:r>
    </w:p>
    <w:p>
      <w:pPr>
        <w:pStyle w:val="23"/>
        <w:autoSpaceDE w:val="0"/>
        <w:spacing w:before="75" w:beforeAutospacing="0" w:after="75" w:afterAutospacing="0" w:line="380" w:lineRule="exact"/>
        <w:ind w:firstLine="560" w:firstLineChars="200"/>
        <w:rPr>
          <w:rFonts w:asciiTheme="minorEastAsia" w:hAnsiTheme="minorEastAsia" w:eastAsiaTheme="minorEastAsia" w:cstheme="minorEastAsia"/>
          <w:sz w:val="28"/>
          <w:szCs w:val="28"/>
          <w:lang w:bidi="ar"/>
        </w:rPr>
      </w:pPr>
      <w:r>
        <w:rPr>
          <w:rFonts w:hint="eastAsia" w:asciiTheme="minorEastAsia" w:hAnsiTheme="minorEastAsia" w:eastAsiaTheme="minorEastAsia" w:cstheme="minorEastAsia"/>
          <w:sz w:val="28"/>
          <w:szCs w:val="28"/>
          <w:lang w:bidi="ar"/>
        </w:rPr>
        <w:t>2.落实政府采购政策需满足的资格要求：</w:t>
      </w:r>
      <w:r>
        <w:rPr>
          <w:rFonts w:hint="eastAsia" w:asciiTheme="minorEastAsia" w:hAnsiTheme="minorEastAsia" w:eastAsiaTheme="minorEastAsia" w:cstheme="minorEastAsia"/>
          <w:color w:val="000000" w:themeColor="text1"/>
          <w:sz w:val="28"/>
          <w:szCs w:val="28"/>
          <w:lang w:bidi="ar"/>
          <w14:textFill>
            <w14:solidFill>
              <w14:schemeClr w14:val="tx1"/>
            </w14:solidFill>
          </w14:textFill>
        </w:rPr>
        <w:t>供应商为中小企业。</w:t>
      </w:r>
      <w:r>
        <w:rPr>
          <w:rFonts w:hint="eastAsia" w:asciiTheme="minorEastAsia" w:hAnsiTheme="minorEastAsia" w:eastAsiaTheme="minorEastAsia" w:cstheme="minorEastAsia"/>
          <w:sz w:val="28"/>
          <w:szCs w:val="28"/>
          <w:lang w:bidi="ar"/>
        </w:rPr>
        <w:t> </w:t>
      </w:r>
    </w:p>
    <w:p>
      <w:pPr>
        <w:pStyle w:val="23"/>
        <w:autoSpaceDE w:val="0"/>
        <w:spacing w:before="75" w:beforeAutospacing="0" w:after="75" w:afterAutospacing="0" w:line="380" w:lineRule="exact"/>
        <w:ind w:firstLine="560" w:firstLineChars="200"/>
        <w:rPr>
          <w:rFonts w:asciiTheme="minorEastAsia" w:hAnsiTheme="minorEastAsia" w:eastAsiaTheme="minorEastAsia" w:cstheme="minorEastAsia"/>
          <w:sz w:val="28"/>
          <w:szCs w:val="28"/>
          <w:lang w:bidi="ar"/>
        </w:rPr>
      </w:pPr>
      <w:r>
        <w:rPr>
          <w:rFonts w:hint="eastAsia" w:asciiTheme="minorEastAsia" w:hAnsiTheme="minorEastAsia" w:eastAsiaTheme="minorEastAsia" w:cstheme="minorEastAsia"/>
          <w:sz w:val="28"/>
          <w:szCs w:val="28"/>
          <w:lang w:bidi="ar"/>
        </w:rPr>
        <w:t>3.本项目的特定资格要求：标项1：</w:t>
      </w:r>
    </w:p>
    <w:p>
      <w:pPr>
        <w:spacing w:line="380" w:lineRule="exact"/>
        <w:ind w:firstLine="560" w:firstLineChars="200"/>
        <w:jc w:val="left"/>
        <w:rPr>
          <w:rFonts w:asciiTheme="minorEastAsia" w:hAnsiTheme="minorEastAsia" w:eastAsiaTheme="minorEastAsia" w:cstheme="minorEastAsia"/>
          <w:kern w:val="0"/>
          <w:sz w:val="28"/>
          <w:szCs w:val="28"/>
          <w:lang w:bidi="ar"/>
        </w:rPr>
      </w:pPr>
      <w:r>
        <w:rPr>
          <w:rFonts w:hint="eastAsia" w:asciiTheme="minorEastAsia" w:hAnsiTheme="minorEastAsia" w:eastAsiaTheme="minorEastAsia" w:cstheme="minorEastAsia"/>
          <w:kern w:val="0"/>
          <w:sz w:val="28"/>
          <w:szCs w:val="28"/>
          <w:lang w:bidi="ar"/>
        </w:rPr>
        <w:t>1).具备三证合一营业执照副本；</w:t>
      </w:r>
    </w:p>
    <w:p>
      <w:pPr>
        <w:spacing w:line="380" w:lineRule="exact"/>
        <w:ind w:firstLine="560" w:firstLineChars="200"/>
        <w:jc w:val="left"/>
        <w:rPr>
          <w:rFonts w:asciiTheme="minorEastAsia" w:hAnsiTheme="minorEastAsia" w:eastAsiaTheme="minorEastAsia" w:cstheme="minorEastAsia"/>
          <w:kern w:val="0"/>
          <w:sz w:val="28"/>
          <w:szCs w:val="28"/>
          <w:lang w:bidi="ar"/>
        </w:rPr>
      </w:pPr>
      <w:r>
        <w:rPr>
          <w:rFonts w:hint="eastAsia" w:asciiTheme="minorEastAsia" w:hAnsiTheme="minorEastAsia" w:eastAsiaTheme="minorEastAsia" w:cstheme="minorEastAsia"/>
          <w:kern w:val="0"/>
          <w:sz w:val="28"/>
          <w:szCs w:val="28"/>
          <w:lang w:bidi="ar"/>
        </w:rPr>
        <w:t>2).法定代表人投标需提供法定代表人资格证明书，委托代理人投标需提供法定代表人授权委托书；</w:t>
      </w:r>
    </w:p>
    <w:p>
      <w:pPr>
        <w:spacing w:line="380" w:lineRule="exact"/>
        <w:ind w:firstLine="560" w:firstLineChars="200"/>
        <w:jc w:val="left"/>
        <w:rPr>
          <w:rFonts w:asciiTheme="minorEastAsia" w:hAnsiTheme="minorEastAsia" w:eastAsiaTheme="minorEastAsia" w:cstheme="minorEastAsia"/>
          <w:kern w:val="0"/>
          <w:sz w:val="28"/>
          <w:szCs w:val="28"/>
          <w:lang w:bidi="ar"/>
        </w:rPr>
      </w:pPr>
      <w:r>
        <w:rPr>
          <w:rFonts w:hint="eastAsia" w:asciiTheme="minorEastAsia" w:hAnsiTheme="minorEastAsia" w:eastAsiaTheme="minorEastAsia" w:cstheme="minorEastAsia"/>
          <w:kern w:val="0"/>
          <w:sz w:val="28"/>
          <w:szCs w:val="28"/>
          <w:lang w:bidi="ar"/>
        </w:rPr>
        <w:t>3).投标企业须提供投标人（被授权在职人员）近6个月有效的社保证明；</w:t>
      </w:r>
    </w:p>
    <w:p>
      <w:pPr>
        <w:pStyle w:val="23"/>
        <w:autoSpaceDE w:val="0"/>
        <w:spacing w:before="75" w:beforeAutospacing="0" w:after="75" w:afterAutospacing="0" w:line="380" w:lineRule="exact"/>
        <w:ind w:firstLine="560" w:firstLineChars="200"/>
        <w:rPr>
          <w:rFonts w:asciiTheme="minorEastAsia" w:hAnsiTheme="minorEastAsia" w:eastAsiaTheme="minorEastAsia" w:cstheme="minorEastAsia"/>
          <w:b/>
          <w:bCs/>
          <w:sz w:val="28"/>
          <w:szCs w:val="28"/>
          <w:lang w:bidi="ar"/>
        </w:rPr>
      </w:pPr>
      <w:r>
        <w:rPr>
          <w:rFonts w:hint="eastAsia" w:asciiTheme="minorEastAsia" w:hAnsiTheme="minorEastAsia" w:eastAsiaTheme="minorEastAsia" w:cstheme="minorEastAsia"/>
          <w:sz w:val="28"/>
          <w:szCs w:val="28"/>
          <w:lang w:bidi="ar"/>
        </w:rPr>
        <w:t>4).未被“信用中国”（www.creditchina.gov.cn）、中国政府采购网（www.ccgp.gov.cn）列入失信被执行人、重大税收违法案件当事人名单、政府采购严重违法失信行为记录名单；</w:t>
      </w:r>
    </w:p>
    <w:p>
      <w:pPr>
        <w:pStyle w:val="23"/>
        <w:autoSpaceDE w:val="0"/>
        <w:spacing w:before="75" w:beforeAutospacing="0" w:after="75" w:afterAutospacing="0" w:line="380" w:lineRule="exact"/>
        <w:ind w:firstLine="560" w:firstLineChars="200"/>
        <w:rPr>
          <w:rFonts w:asciiTheme="minorEastAsia" w:hAnsiTheme="minorEastAsia" w:eastAsiaTheme="minorEastAsia" w:cstheme="minorEastAsia"/>
          <w:sz w:val="28"/>
          <w:szCs w:val="28"/>
          <w:lang w:bidi="ar"/>
        </w:rPr>
      </w:pPr>
      <w:r>
        <w:rPr>
          <w:rFonts w:hint="eastAsia" w:asciiTheme="minorEastAsia" w:hAnsiTheme="minorEastAsia" w:eastAsiaTheme="minorEastAsia" w:cstheme="minorEastAsia"/>
          <w:b/>
          <w:bCs/>
          <w:sz w:val="28"/>
          <w:szCs w:val="28"/>
          <w:lang w:bidi="ar"/>
        </w:rPr>
        <w:t>三、获取招标文件</w:t>
      </w:r>
    </w:p>
    <w:p>
      <w:pPr>
        <w:pStyle w:val="23"/>
        <w:autoSpaceDE w:val="0"/>
        <w:spacing w:before="75" w:beforeAutospacing="0" w:after="75" w:afterAutospacing="0" w:line="380" w:lineRule="exact"/>
        <w:ind w:firstLine="560" w:firstLineChars="200"/>
        <w:rPr>
          <w:rFonts w:asciiTheme="minorEastAsia" w:hAnsiTheme="minorEastAsia" w:eastAsiaTheme="minorEastAsia" w:cstheme="minorEastAsia"/>
          <w:sz w:val="28"/>
          <w:szCs w:val="28"/>
          <w:lang w:bidi="ar"/>
        </w:rPr>
      </w:pPr>
      <w:r>
        <w:rPr>
          <w:rFonts w:hint="eastAsia" w:asciiTheme="minorEastAsia" w:hAnsiTheme="minorEastAsia" w:eastAsiaTheme="minorEastAsia" w:cstheme="minorEastAsia"/>
          <w:sz w:val="28"/>
          <w:szCs w:val="28"/>
          <w:lang w:bidi="ar"/>
        </w:rPr>
        <w:t>时间：2023年10月</w:t>
      </w:r>
      <w:r>
        <w:rPr>
          <w:rFonts w:hint="eastAsia" w:asciiTheme="minorEastAsia" w:hAnsiTheme="minorEastAsia" w:eastAsiaTheme="minorEastAsia" w:cstheme="minorEastAsia"/>
          <w:sz w:val="28"/>
          <w:szCs w:val="28"/>
          <w:lang w:val="en-US" w:eastAsia="zh-CN" w:bidi="ar"/>
        </w:rPr>
        <w:t>26</w:t>
      </w:r>
      <w:r>
        <w:rPr>
          <w:rFonts w:hint="eastAsia" w:asciiTheme="minorEastAsia" w:hAnsiTheme="minorEastAsia" w:eastAsiaTheme="minorEastAsia" w:cstheme="minorEastAsia"/>
          <w:sz w:val="28"/>
          <w:szCs w:val="28"/>
          <w:lang w:bidi="ar"/>
        </w:rPr>
        <w:t>日至2023年</w:t>
      </w:r>
      <w:r>
        <w:rPr>
          <w:rFonts w:hint="eastAsia" w:asciiTheme="minorEastAsia" w:hAnsiTheme="minorEastAsia" w:eastAsiaTheme="minorEastAsia" w:cstheme="minorEastAsia"/>
          <w:sz w:val="28"/>
          <w:szCs w:val="28"/>
          <w:lang w:val="en-US" w:eastAsia="zh-CN" w:bidi="ar"/>
        </w:rPr>
        <w:t>11</w:t>
      </w:r>
      <w:r>
        <w:rPr>
          <w:rFonts w:hint="eastAsia" w:asciiTheme="minorEastAsia" w:hAnsiTheme="minorEastAsia" w:eastAsiaTheme="minorEastAsia" w:cstheme="minorEastAsia"/>
          <w:sz w:val="28"/>
          <w:szCs w:val="28"/>
          <w:lang w:bidi="ar"/>
        </w:rPr>
        <w:t>月</w:t>
      </w:r>
      <w:r>
        <w:rPr>
          <w:rFonts w:hint="eastAsia" w:asciiTheme="minorEastAsia" w:hAnsiTheme="minorEastAsia" w:eastAsiaTheme="minorEastAsia" w:cstheme="minorEastAsia"/>
          <w:sz w:val="28"/>
          <w:szCs w:val="28"/>
          <w:lang w:val="en-US" w:eastAsia="zh-CN" w:bidi="ar"/>
        </w:rPr>
        <w:t>2</w:t>
      </w:r>
      <w:r>
        <w:rPr>
          <w:rFonts w:hint="eastAsia" w:asciiTheme="minorEastAsia" w:hAnsiTheme="minorEastAsia" w:eastAsiaTheme="minorEastAsia" w:cstheme="minorEastAsia"/>
          <w:sz w:val="28"/>
          <w:szCs w:val="28"/>
          <w:lang w:bidi="ar"/>
        </w:rPr>
        <w:t>日，每天上午10:00至14:00，下午16:00至</w:t>
      </w:r>
      <w:r>
        <w:rPr>
          <w:rFonts w:hint="eastAsia" w:asciiTheme="minorEastAsia" w:hAnsiTheme="minorEastAsia" w:eastAsiaTheme="minorEastAsia" w:cstheme="minorEastAsia"/>
          <w:sz w:val="28"/>
          <w:szCs w:val="28"/>
          <w:lang w:val="en-US" w:eastAsia="zh-CN" w:bidi="ar"/>
        </w:rPr>
        <w:t>19</w:t>
      </w:r>
      <w:r>
        <w:rPr>
          <w:rFonts w:hint="eastAsia" w:asciiTheme="minorEastAsia" w:hAnsiTheme="minorEastAsia" w:eastAsiaTheme="minorEastAsia" w:cstheme="minorEastAsia"/>
          <w:sz w:val="28"/>
          <w:szCs w:val="28"/>
          <w:lang w:bidi="ar"/>
        </w:rPr>
        <w:t>：</w:t>
      </w:r>
      <w:r>
        <w:rPr>
          <w:rFonts w:hint="eastAsia" w:asciiTheme="minorEastAsia" w:hAnsiTheme="minorEastAsia" w:eastAsiaTheme="minorEastAsia" w:cstheme="minorEastAsia"/>
          <w:sz w:val="28"/>
          <w:szCs w:val="28"/>
          <w:lang w:val="en-US" w:eastAsia="zh-CN" w:bidi="ar"/>
        </w:rPr>
        <w:t>3</w:t>
      </w:r>
      <w:r>
        <w:rPr>
          <w:rFonts w:hint="eastAsia" w:asciiTheme="minorEastAsia" w:hAnsiTheme="minorEastAsia" w:eastAsiaTheme="minorEastAsia" w:cstheme="minorEastAsia"/>
          <w:sz w:val="28"/>
          <w:szCs w:val="28"/>
          <w:lang w:bidi="ar"/>
        </w:rPr>
        <w:t>0（北京时间，法定节假日除外）</w:t>
      </w:r>
    </w:p>
    <w:p>
      <w:pPr>
        <w:pStyle w:val="23"/>
        <w:autoSpaceDE w:val="0"/>
        <w:spacing w:before="75" w:beforeAutospacing="0" w:after="75" w:afterAutospacing="0" w:line="380" w:lineRule="exact"/>
        <w:ind w:firstLine="560" w:firstLineChars="200"/>
        <w:rPr>
          <w:rFonts w:asciiTheme="minorEastAsia" w:hAnsiTheme="minorEastAsia" w:eastAsiaTheme="minorEastAsia" w:cstheme="minorEastAsia"/>
          <w:sz w:val="28"/>
          <w:szCs w:val="28"/>
          <w:lang w:bidi="ar"/>
        </w:rPr>
      </w:pPr>
      <w:r>
        <w:rPr>
          <w:rFonts w:hint="eastAsia" w:asciiTheme="minorEastAsia" w:hAnsiTheme="minorEastAsia" w:eastAsiaTheme="minorEastAsia" w:cstheme="minorEastAsia"/>
          <w:sz w:val="28"/>
          <w:szCs w:val="28"/>
          <w:lang w:bidi="ar"/>
        </w:rPr>
        <w:t>地点：供应商登陆政采云平台http://www.zcygov.cn/，在线申请获取招标文件（登录政府采购云平台 → 项目采购 → 获取招标文件，如有操作性问题，可与政采云在线客服进行咨询，咨询电话：</w:t>
      </w:r>
      <w:r>
        <w:rPr>
          <w:rFonts w:hint="eastAsia" w:asciiTheme="minorEastAsia" w:hAnsiTheme="minorEastAsia" w:eastAsiaTheme="minorEastAsia" w:cstheme="minorEastAsia"/>
          <w:sz w:val="28"/>
          <w:szCs w:val="28"/>
        </w:rPr>
        <w:t>95763</w:t>
      </w:r>
      <w:r>
        <w:rPr>
          <w:rFonts w:hint="eastAsia" w:asciiTheme="minorEastAsia" w:hAnsiTheme="minorEastAsia" w:eastAsiaTheme="minorEastAsia" w:cstheme="minorEastAsia"/>
          <w:sz w:val="28"/>
          <w:szCs w:val="28"/>
          <w:lang w:bidi="ar"/>
        </w:rPr>
        <w:t>）。</w:t>
      </w:r>
    </w:p>
    <w:p>
      <w:pPr>
        <w:pStyle w:val="23"/>
        <w:autoSpaceDE w:val="0"/>
        <w:spacing w:before="75" w:beforeAutospacing="0" w:after="75" w:afterAutospacing="0" w:line="380" w:lineRule="exact"/>
        <w:ind w:firstLine="560" w:firstLineChars="200"/>
        <w:rPr>
          <w:rFonts w:asciiTheme="minorEastAsia" w:hAnsiTheme="minorEastAsia" w:eastAsiaTheme="minorEastAsia" w:cstheme="minorEastAsia"/>
          <w:sz w:val="28"/>
          <w:szCs w:val="28"/>
          <w:lang w:bidi="ar"/>
        </w:rPr>
      </w:pPr>
      <w:r>
        <w:rPr>
          <w:rFonts w:hint="eastAsia" w:asciiTheme="minorEastAsia" w:hAnsiTheme="minorEastAsia" w:eastAsiaTheme="minorEastAsia" w:cstheme="minorEastAsia"/>
          <w:sz w:val="28"/>
          <w:szCs w:val="28"/>
          <w:lang w:bidi="ar"/>
        </w:rPr>
        <w:t>方式：（1）线上获取（登录政府采购云平台 → 项目采购 → 获取招标文件）。本次招标不提供纸质版招标文件。</w:t>
      </w:r>
    </w:p>
    <w:p>
      <w:pPr>
        <w:pStyle w:val="23"/>
        <w:autoSpaceDE w:val="0"/>
        <w:spacing w:before="75" w:beforeAutospacing="0" w:after="75" w:afterAutospacing="0" w:line="380" w:lineRule="exact"/>
        <w:ind w:firstLine="560" w:firstLineChars="200"/>
        <w:rPr>
          <w:rFonts w:asciiTheme="minorEastAsia" w:hAnsiTheme="minorEastAsia" w:eastAsiaTheme="minorEastAsia" w:cstheme="minorEastAsia"/>
          <w:sz w:val="28"/>
          <w:szCs w:val="28"/>
          <w:lang w:bidi="ar"/>
        </w:rPr>
      </w:pPr>
      <w:r>
        <w:rPr>
          <w:rFonts w:hint="eastAsia" w:asciiTheme="minorEastAsia" w:hAnsiTheme="minorEastAsia" w:eastAsiaTheme="minorEastAsia" w:cstheme="minorEastAsia"/>
          <w:sz w:val="28"/>
          <w:szCs w:val="28"/>
          <w:lang w:bidi="ar"/>
        </w:rPr>
        <w:t>（2）供应商获取招标文件前应注册成为政府采购云平台正式供应商。</w:t>
      </w:r>
    </w:p>
    <w:p>
      <w:pPr>
        <w:pStyle w:val="23"/>
        <w:autoSpaceDE w:val="0"/>
        <w:spacing w:before="75" w:beforeAutospacing="0" w:after="75" w:afterAutospacing="0" w:line="380" w:lineRule="exact"/>
        <w:ind w:firstLine="560" w:firstLineChars="200"/>
        <w:rPr>
          <w:rFonts w:asciiTheme="minorEastAsia" w:hAnsiTheme="minorEastAsia" w:eastAsiaTheme="minorEastAsia" w:cstheme="minorEastAsia"/>
          <w:sz w:val="28"/>
          <w:szCs w:val="28"/>
          <w:lang w:bidi="ar"/>
        </w:rPr>
      </w:pPr>
      <w:r>
        <w:rPr>
          <w:rFonts w:hint="eastAsia" w:asciiTheme="minorEastAsia" w:hAnsiTheme="minorEastAsia" w:eastAsiaTheme="minorEastAsia" w:cstheme="minorEastAsia"/>
          <w:sz w:val="28"/>
          <w:szCs w:val="28"/>
          <w:lang w:bidi="ar"/>
        </w:rPr>
        <w:t>售价（元）：0</w:t>
      </w:r>
    </w:p>
    <w:p>
      <w:pPr>
        <w:pStyle w:val="23"/>
        <w:autoSpaceDE w:val="0"/>
        <w:spacing w:before="75" w:beforeAutospacing="0" w:after="75" w:afterAutospacing="0" w:line="380" w:lineRule="exact"/>
        <w:ind w:firstLine="560" w:firstLineChars="200"/>
        <w:rPr>
          <w:rFonts w:asciiTheme="minorEastAsia" w:hAnsiTheme="minorEastAsia" w:eastAsiaTheme="minorEastAsia" w:cstheme="minorEastAsia"/>
          <w:b/>
          <w:bCs/>
          <w:sz w:val="28"/>
          <w:szCs w:val="28"/>
          <w:lang w:bidi="ar"/>
        </w:rPr>
      </w:pPr>
      <w:r>
        <w:rPr>
          <w:rFonts w:hint="eastAsia" w:asciiTheme="minorEastAsia" w:hAnsiTheme="minorEastAsia" w:eastAsiaTheme="minorEastAsia" w:cstheme="minorEastAsia"/>
          <w:b/>
          <w:bCs/>
          <w:sz w:val="28"/>
          <w:szCs w:val="28"/>
          <w:lang w:bidi="ar"/>
        </w:rPr>
        <w:t>四、提交投标文件截止时间、开标时间和地点</w:t>
      </w:r>
    </w:p>
    <w:p>
      <w:pPr>
        <w:pStyle w:val="23"/>
        <w:autoSpaceDE w:val="0"/>
        <w:spacing w:before="75" w:beforeAutospacing="0" w:after="75" w:afterAutospacing="0" w:line="380" w:lineRule="exact"/>
        <w:ind w:firstLine="560" w:firstLineChars="200"/>
        <w:rPr>
          <w:rFonts w:asciiTheme="minorEastAsia" w:hAnsiTheme="minorEastAsia" w:eastAsiaTheme="minorEastAsia" w:cstheme="minorEastAsia"/>
          <w:sz w:val="28"/>
          <w:szCs w:val="28"/>
          <w:lang w:bidi="ar"/>
        </w:rPr>
      </w:pPr>
      <w:r>
        <w:rPr>
          <w:rFonts w:hint="eastAsia" w:asciiTheme="minorEastAsia" w:hAnsiTheme="minorEastAsia" w:eastAsiaTheme="minorEastAsia" w:cstheme="minorEastAsia"/>
          <w:sz w:val="28"/>
          <w:szCs w:val="28"/>
          <w:lang w:bidi="ar"/>
        </w:rPr>
        <w:t>提交投标文件截止时间：</w:t>
      </w:r>
      <w:r>
        <w:rPr>
          <w:rFonts w:hint="eastAsia" w:asciiTheme="minorEastAsia" w:hAnsiTheme="minorEastAsia" w:eastAsiaTheme="minorEastAsia" w:cstheme="minorEastAsia"/>
          <w:color w:val="C0504D" w:themeColor="accent2"/>
          <w:sz w:val="28"/>
          <w:szCs w:val="28"/>
          <w:lang w:bidi="ar"/>
          <w14:textFill>
            <w14:solidFill>
              <w14:schemeClr w14:val="accent2"/>
            </w14:solidFill>
          </w14:textFill>
        </w:rPr>
        <w:t>2023年11月1</w:t>
      </w:r>
      <w:r>
        <w:rPr>
          <w:rFonts w:hint="eastAsia" w:asciiTheme="minorEastAsia" w:hAnsiTheme="minorEastAsia" w:eastAsiaTheme="minorEastAsia" w:cstheme="minorEastAsia"/>
          <w:color w:val="C0504D" w:themeColor="accent2"/>
          <w:sz w:val="28"/>
          <w:szCs w:val="28"/>
          <w:lang w:val="en-US" w:eastAsia="zh-CN" w:bidi="ar"/>
          <w14:textFill>
            <w14:solidFill>
              <w14:schemeClr w14:val="accent2"/>
            </w14:solidFill>
          </w14:textFill>
        </w:rPr>
        <w:t>5</w:t>
      </w:r>
      <w:r>
        <w:rPr>
          <w:rFonts w:hint="eastAsia" w:asciiTheme="minorEastAsia" w:hAnsiTheme="minorEastAsia" w:eastAsiaTheme="minorEastAsia" w:cstheme="minorEastAsia"/>
          <w:color w:val="C0504D" w:themeColor="accent2"/>
          <w:sz w:val="28"/>
          <w:szCs w:val="28"/>
          <w:lang w:bidi="ar"/>
          <w14:textFill>
            <w14:solidFill>
              <w14:schemeClr w14:val="accent2"/>
            </w14:solidFill>
          </w14:textFill>
        </w:rPr>
        <w:t xml:space="preserve">日 </w:t>
      </w:r>
      <w:r>
        <w:rPr>
          <w:rFonts w:hint="eastAsia" w:asciiTheme="minorEastAsia" w:hAnsiTheme="minorEastAsia" w:eastAsiaTheme="minorEastAsia" w:cstheme="minorEastAsia"/>
          <w:color w:val="C0504D" w:themeColor="accent2"/>
          <w:sz w:val="28"/>
          <w:szCs w:val="28"/>
          <w:lang w:val="en-US" w:eastAsia="zh-CN" w:bidi="ar"/>
          <w14:textFill>
            <w14:solidFill>
              <w14:schemeClr w14:val="accent2"/>
            </w14:solidFill>
          </w14:textFill>
        </w:rPr>
        <w:t>11</w:t>
      </w:r>
      <w:r>
        <w:rPr>
          <w:rFonts w:hint="eastAsia" w:asciiTheme="minorEastAsia" w:hAnsiTheme="minorEastAsia" w:eastAsiaTheme="minorEastAsia" w:cstheme="minorEastAsia"/>
          <w:color w:val="C0504D" w:themeColor="accent2"/>
          <w:sz w:val="28"/>
          <w:szCs w:val="28"/>
          <w:lang w:bidi="ar"/>
          <w14:textFill>
            <w14:solidFill>
              <w14:schemeClr w14:val="accent2"/>
            </w14:solidFill>
          </w14:textFill>
        </w:rPr>
        <w:t>：</w:t>
      </w:r>
      <w:r>
        <w:rPr>
          <w:rFonts w:hint="eastAsia" w:asciiTheme="minorEastAsia" w:hAnsiTheme="minorEastAsia" w:eastAsiaTheme="minorEastAsia" w:cstheme="minorEastAsia"/>
          <w:color w:val="C0504D" w:themeColor="accent2"/>
          <w:sz w:val="28"/>
          <w:szCs w:val="28"/>
          <w:lang w:val="en-US" w:eastAsia="zh-CN" w:bidi="ar"/>
          <w14:textFill>
            <w14:solidFill>
              <w14:schemeClr w14:val="accent2"/>
            </w14:solidFill>
          </w14:textFill>
        </w:rPr>
        <w:t>0</w:t>
      </w:r>
      <w:r>
        <w:rPr>
          <w:rFonts w:hint="eastAsia" w:asciiTheme="minorEastAsia" w:hAnsiTheme="minorEastAsia" w:eastAsiaTheme="minorEastAsia" w:cstheme="minorEastAsia"/>
          <w:color w:val="C0504D" w:themeColor="accent2"/>
          <w:sz w:val="28"/>
          <w:szCs w:val="28"/>
          <w:lang w:bidi="ar"/>
          <w14:textFill>
            <w14:solidFill>
              <w14:schemeClr w14:val="accent2"/>
            </w14:solidFill>
          </w14:textFill>
        </w:rPr>
        <w:t>0</w:t>
      </w:r>
      <w:r>
        <w:rPr>
          <w:rFonts w:hint="eastAsia" w:asciiTheme="minorEastAsia" w:hAnsiTheme="minorEastAsia" w:eastAsiaTheme="minorEastAsia" w:cstheme="minorEastAsia"/>
          <w:sz w:val="28"/>
          <w:szCs w:val="28"/>
          <w:lang w:bidi="ar"/>
        </w:rPr>
        <w:t xml:space="preserve"> （北京时间）</w:t>
      </w:r>
    </w:p>
    <w:p>
      <w:pPr>
        <w:pStyle w:val="23"/>
        <w:autoSpaceDE w:val="0"/>
        <w:spacing w:before="75" w:beforeAutospacing="0" w:after="75" w:afterAutospacing="0" w:line="380" w:lineRule="exact"/>
        <w:ind w:firstLine="560" w:firstLineChars="200"/>
        <w:rPr>
          <w:rFonts w:asciiTheme="minorEastAsia" w:hAnsiTheme="minorEastAsia" w:eastAsiaTheme="minorEastAsia" w:cstheme="minorEastAsia"/>
          <w:sz w:val="28"/>
          <w:szCs w:val="28"/>
          <w:lang w:bidi="ar"/>
        </w:rPr>
      </w:pPr>
      <w:r>
        <w:rPr>
          <w:rFonts w:hint="eastAsia" w:asciiTheme="minorEastAsia" w:hAnsiTheme="minorEastAsia" w:eastAsiaTheme="minorEastAsia" w:cstheme="minorEastAsia"/>
          <w:sz w:val="28"/>
          <w:szCs w:val="28"/>
          <w:lang w:bidi="ar"/>
        </w:rPr>
        <w:t>投标地点：政府采购云平台（</w:t>
      </w:r>
      <w:r>
        <w:fldChar w:fldCharType="begin"/>
      </w:r>
      <w:r>
        <w:instrText xml:space="preserve"> HYPERLINK "http://www.zcygov.cn/" </w:instrText>
      </w:r>
      <w:r>
        <w:fldChar w:fldCharType="separate"/>
      </w:r>
      <w:r>
        <w:rPr>
          <w:rFonts w:hint="eastAsia" w:asciiTheme="minorEastAsia" w:hAnsiTheme="minorEastAsia" w:eastAsiaTheme="minorEastAsia" w:cstheme="minorEastAsia"/>
          <w:sz w:val="28"/>
          <w:szCs w:val="28"/>
          <w:lang w:bidi="ar"/>
        </w:rPr>
        <w:t>www.zcygov.cn</w:t>
      </w:r>
      <w:r>
        <w:rPr>
          <w:rFonts w:hint="eastAsia" w:asciiTheme="minorEastAsia" w:hAnsiTheme="minorEastAsia" w:eastAsiaTheme="minorEastAsia" w:cstheme="minorEastAsia"/>
          <w:sz w:val="28"/>
          <w:szCs w:val="28"/>
          <w:lang w:bidi="ar"/>
        </w:rPr>
        <w:fldChar w:fldCharType="end"/>
      </w:r>
      <w:r>
        <w:rPr>
          <w:rFonts w:hint="eastAsia" w:asciiTheme="minorEastAsia" w:hAnsiTheme="minorEastAsia" w:eastAsiaTheme="minorEastAsia" w:cstheme="minorEastAsia"/>
          <w:sz w:val="28"/>
          <w:szCs w:val="28"/>
          <w:lang w:bidi="ar"/>
        </w:rPr>
        <w:t>）</w:t>
      </w:r>
    </w:p>
    <w:p>
      <w:pPr>
        <w:pStyle w:val="23"/>
        <w:autoSpaceDE w:val="0"/>
        <w:spacing w:before="75" w:beforeAutospacing="0" w:after="75" w:afterAutospacing="0" w:line="380" w:lineRule="exact"/>
        <w:ind w:firstLine="560" w:firstLineChars="200"/>
        <w:rPr>
          <w:rFonts w:asciiTheme="minorEastAsia" w:hAnsiTheme="minorEastAsia" w:eastAsiaTheme="minorEastAsia" w:cstheme="minorEastAsia"/>
          <w:sz w:val="28"/>
          <w:szCs w:val="28"/>
          <w:lang w:bidi="ar"/>
        </w:rPr>
      </w:pPr>
      <w:r>
        <w:rPr>
          <w:rFonts w:hint="eastAsia" w:asciiTheme="minorEastAsia" w:hAnsiTheme="minorEastAsia" w:eastAsiaTheme="minorEastAsia" w:cstheme="minorEastAsia"/>
          <w:sz w:val="28"/>
          <w:szCs w:val="28"/>
          <w:lang w:bidi="ar"/>
        </w:rPr>
        <w:t>开标时间：</w:t>
      </w:r>
      <w:r>
        <w:rPr>
          <w:rFonts w:hint="eastAsia" w:asciiTheme="minorEastAsia" w:hAnsiTheme="minorEastAsia" w:eastAsiaTheme="minorEastAsia" w:cstheme="minorEastAsia"/>
          <w:color w:val="C0504D" w:themeColor="accent2"/>
          <w:sz w:val="28"/>
          <w:szCs w:val="28"/>
          <w:lang w:bidi="ar"/>
          <w14:textFill>
            <w14:solidFill>
              <w14:schemeClr w14:val="accent2"/>
            </w14:solidFill>
          </w14:textFill>
        </w:rPr>
        <w:t>2023年11月1</w:t>
      </w:r>
      <w:r>
        <w:rPr>
          <w:rFonts w:hint="eastAsia" w:asciiTheme="minorEastAsia" w:hAnsiTheme="minorEastAsia" w:eastAsiaTheme="minorEastAsia" w:cstheme="minorEastAsia"/>
          <w:color w:val="C0504D" w:themeColor="accent2"/>
          <w:sz w:val="28"/>
          <w:szCs w:val="28"/>
          <w:lang w:val="en-US" w:eastAsia="zh-CN" w:bidi="ar"/>
          <w14:textFill>
            <w14:solidFill>
              <w14:schemeClr w14:val="accent2"/>
            </w14:solidFill>
          </w14:textFill>
        </w:rPr>
        <w:t>5</w:t>
      </w:r>
      <w:r>
        <w:rPr>
          <w:rFonts w:hint="eastAsia" w:asciiTheme="minorEastAsia" w:hAnsiTheme="minorEastAsia" w:eastAsiaTheme="minorEastAsia" w:cstheme="minorEastAsia"/>
          <w:color w:val="C0504D" w:themeColor="accent2"/>
          <w:sz w:val="28"/>
          <w:szCs w:val="28"/>
          <w:lang w:bidi="ar"/>
          <w14:textFill>
            <w14:solidFill>
              <w14:schemeClr w14:val="accent2"/>
            </w14:solidFill>
          </w14:textFill>
        </w:rPr>
        <w:t xml:space="preserve">日 </w:t>
      </w:r>
      <w:r>
        <w:rPr>
          <w:rFonts w:hint="eastAsia" w:asciiTheme="minorEastAsia" w:hAnsiTheme="minorEastAsia" w:eastAsiaTheme="minorEastAsia" w:cstheme="minorEastAsia"/>
          <w:color w:val="C0504D" w:themeColor="accent2"/>
          <w:sz w:val="28"/>
          <w:szCs w:val="28"/>
          <w:lang w:val="en-US" w:eastAsia="zh-CN" w:bidi="ar"/>
          <w14:textFill>
            <w14:solidFill>
              <w14:schemeClr w14:val="accent2"/>
            </w14:solidFill>
          </w14:textFill>
        </w:rPr>
        <w:t>11</w:t>
      </w:r>
      <w:r>
        <w:rPr>
          <w:rFonts w:hint="eastAsia" w:asciiTheme="minorEastAsia" w:hAnsiTheme="minorEastAsia" w:eastAsiaTheme="minorEastAsia" w:cstheme="minorEastAsia"/>
          <w:color w:val="C0504D" w:themeColor="accent2"/>
          <w:sz w:val="28"/>
          <w:szCs w:val="28"/>
          <w:lang w:bidi="ar"/>
          <w14:textFill>
            <w14:solidFill>
              <w14:schemeClr w14:val="accent2"/>
            </w14:solidFill>
          </w14:textFill>
        </w:rPr>
        <w:t>：</w:t>
      </w:r>
      <w:r>
        <w:rPr>
          <w:rFonts w:hint="eastAsia" w:asciiTheme="minorEastAsia" w:hAnsiTheme="minorEastAsia" w:eastAsiaTheme="minorEastAsia" w:cstheme="minorEastAsia"/>
          <w:color w:val="C0504D" w:themeColor="accent2"/>
          <w:sz w:val="28"/>
          <w:szCs w:val="28"/>
          <w:lang w:val="en-US" w:eastAsia="zh-CN" w:bidi="ar"/>
          <w14:textFill>
            <w14:solidFill>
              <w14:schemeClr w14:val="accent2"/>
            </w14:solidFill>
          </w14:textFill>
        </w:rPr>
        <w:t>0</w:t>
      </w:r>
      <w:r>
        <w:rPr>
          <w:rFonts w:hint="eastAsia" w:asciiTheme="minorEastAsia" w:hAnsiTheme="minorEastAsia" w:eastAsiaTheme="minorEastAsia" w:cstheme="minorEastAsia"/>
          <w:color w:val="C0504D" w:themeColor="accent2"/>
          <w:sz w:val="28"/>
          <w:szCs w:val="28"/>
          <w:lang w:bidi="ar"/>
          <w14:textFill>
            <w14:solidFill>
              <w14:schemeClr w14:val="accent2"/>
            </w14:solidFill>
          </w14:textFill>
        </w:rPr>
        <w:t>0</w:t>
      </w:r>
      <w:r>
        <w:rPr>
          <w:rFonts w:hint="eastAsia" w:asciiTheme="minorEastAsia" w:hAnsiTheme="minorEastAsia" w:eastAsiaTheme="minorEastAsia" w:cstheme="minorEastAsia"/>
          <w:sz w:val="28"/>
          <w:szCs w:val="28"/>
          <w:lang w:bidi="ar"/>
        </w:rPr>
        <w:t>（北京时间）</w:t>
      </w:r>
    </w:p>
    <w:p>
      <w:pPr>
        <w:pStyle w:val="23"/>
        <w:autoSpaceDE w:val="0"/>
        <w:spacing w:before="75" w:beforeAutospacing="0" w:after="75" w:afterAutospacing="0" w:line="3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开标地点：在政府采购云平台（</w:t>
      </w:r>
      <w:r>
        <w:fldChar w:fldCharType="begin"/>
      </w:r>
      <w:r>
        <w:instrText xml:space="preserve"> HYPERLINK "http://www.zcygov.cn/" </w:instrText>
      </w:r>
      <w:r>
        <w:fldChar w:fldCharType="separate"/>
      </w:r>
      <w:r>
        <w:rPr>
          <w:rFonts w:hint="eastAsia" w:asciiTheme="minorEastAsia" w:hAnsiTheme="minorEastAsia" w:eastAsiaTheme="minorEastAsia" w:cstheme="minorEastAsia"/>
          <w:sz w:val="28"/>
          <w:szCs w:val="28"/>
        </w:rPr>
        <w:t>www.zcygov.cn</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）上开启投标文件</w:t>
      </w:r>
    </w:p>
    <w:p>
      <w:pPr>
        <w:pStyle w:val="23"/>
        <w:autoSpaceDE w:val="0"/>
        <w:spacing w:before="75" w:beforeAutospacing="0" w:after="75" w:afterAutospacing="0" w:line="380" w:lineRule="exact"/>
        <w:ind w:firstLine="560" w:firstLineChars="200"/>
        <w:rPr>
          <w:rFonts w:asciiTheme="minorEastAsia" w:hAnsiTheme="minorEastAsia" w:eastAsiaTheme="minorEastAsia" w:cstheme="minorEastAsia"/>
          <w:b/>
          <w:bCs/>
          <w:sz w:val="28"/>
          <w:szCs w:val="28"/>
          <w:lang w:bidi="ar"/>
        </w:rPr>
      </w:pPr>
      <w:r>
        <w:rPr>
          <w:rFonts w:hint="eastAsia" w:asciiTheme="minorEastAsia" w:hAnsiTheme="minorEastAsia" w:eastAsiaTheme="minorEastAsia" w:cstheme="minorEastAsia"/>
          <w:b/>
          <w:bCs/>
          <w:sz w:val="28"/>
          <w:szCs w:val="28"/>
          <w:lang w:bidi="ar"/>
        </w:rPr>
        <w:t>五、公告期限</w:t>
      </w:r>
    </w:p>
    <w:p>
      <w:pPr>
        <w:pStyle w:val="23"/>
        <w:autoSpaceDE w:val="0"/>
        <w:spacing w:before="75" w:beforeAutospacing="0" w:after="75" w:afterAutospacing="0" w:line="380" w:lineRule="exact"/>
        <w:ind w:firstLine="560" w:firstLineChars="200"/>
        <w:rPr>
          <w:rFonts w:asciiTheme="minorEastAsia" w:hAnsiTheme="minorEastAsia" w:eastAsiaTheme="minorEastAsia" w:cstheme="minorEastAsia"/>
          <w:sz w:val="28"/>
          <w:szCs w:val="28"/>
          <w:lang w:bidi="ar"/>
        </w:rPr>
      </w:pPr>
      <w:r>
        <w:rPr>
          <w:rFonts w:hint="eastAsia" w:asciiTheme="minorEastAsia" w:hAnsiTheme="minorEastAsia" w:eastAsiaTheme="minorEastAsia" w:cstheme="minorEastAsia"/>
          <w:sz w:val="28"/>
          <w:szCs w:val="28"/>
          <w:lang w:bidi="ar"/>
        </w:rPr>
        <w:t>自本公告发布之日5个工作日</w:t>
      </w:r>
    </w:p>
    <w:p>
      <w:pPr>
        <w:pStyle w:val="23"/>
        <w:autoSpaceDE w:val="0"/>
        <w:spacing w:before="75" w:beforeAutospacing="0" w:after="75" w:afterAutospacing="0" w:line="380" w:lineRule="exact"/>
        <w:ind w:firstLine="560" w:firstLineChars="200"/>
        <w:rPr>
          <w:rFonts w:asciiTheme="minorEastAsia" w:hAnsiTheme="minorEastAsia" w:eastAsiaTheme="minorEastAsia" w:cstheme="minorEastAsia"/>
          <w:b/>
          <w:bCs/>
          <w:sz w:val="28"/>
          <w:szCs w:val="28"/>
          <w:lang w:bidi="ar"/>
        </w:rPr>
      </w:pPr>
      <w:r>
        <w:rPr>
          <w:rFonts w:hint="eastAsia" w:asciiTheme="minorEastAsia" w:hAnsiTheme="minorEastAsia" w:eastAsiaTheme="minorEastAsia" w:cstheme="minorEastAsia"/>
          <w:b/>
          <w:bCs/>
          <w:sz w:val="28"/>
          <w:szCs w:val="28"/>
          <w:lang w:bidi="ar"/>
        </w:rPr>
        <w:t>六、其他补充事宜</w:t>
      </w:r>
    </w:p>
    <w:p>
      <w:pPr>
        <w:pStyle w:val="23"/>
        <w:spacing w:before="60" w:beforeAutospacing="0" w:after="60" w:afterAutospacing="0" w:line="408" w:lineRule="atLeast"/>
        <w:ind w:firstLine="1200" w:firstLineChars="500"/>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w:t>
      </w:r>
    </w:p>
    <w:p>
      <w:pPr>
        <w:pStyle w:val="23"/>
        <w:autoSpaceDE w:val="0"/>
        <w:spacing w:before="75" w:beforeAutospacing="0" w:after="75" w:afterAutospacing="0" w:line="380" w:lineRule="exact"/>
        <w:ind w:firstLine="560" w:firstLineChars="200"/>
        <w:rPr>
          <w:rFonts w:asciiTheme="minorEastAsia" w:hAnsiTheme="minorEastAsia" w:eastAsiaTheme="minorEastAsia" w:cstheme="minorEastAsia"/>
          <w:sz w:val="28"/>
          <w:szCs w:val="28"/>
          <w:lang w:bidi="ar"/>
        </w:rPr>
      </w:pPr>
      <w:r>
        <w:rPr>
          <w:rFonts w:hint="eastAsia" w:asciiTheme="minorEastAsia" w:hAnsiTheme="minorEastAsia" w:eastAsiaTheme="minorEastAsia" w:cstheme="minorEastAsia"/>
          <w:sz w:val="28"/>
          <w:szCs w:val="28"/>
          <w:lang w:bidi="ar"/>
        </w:rPr>
        <w:t>特别提示：</w:t>
      </w:r>
    </w:p>
    <w:p>
      <w:pPr>
        <w:pStyle w:val="23"/>
        <w:autoSpaceDE w:val="0"/>
        <w:spacing w:before="75" w:beforeAutospacing="0" w:after="75" w:afterAutospacing="0" w:line="380" w:lineRule="exact"/>
        <w:ind w:firstLine="560" w:firstLineChars="200"/>
        <w:rPr>
          <w:rFonts w:asciiTheme="minorEastAsia" w:hAnsiTheme="minorEastAsia" w:eastAsiaTheme="minorEastAsia" w:cstheme="minorEastAsia"/>
          <w:sz w:val="28"/>
          <w:szCs w:val="28"/>
          <w:lang w:bidi="ar"/>
        </w:rPr>
      </w:pPr>
      <w:r>
        <w:rPr>
          <w:rFonts w:hint="eastAsia" w:asciiTheme="minorEastAsia" w:hAnsiTheme="minorEastAsia" w:eastAsiaTheme="minorEastAsia" w:cstheme="minorEastAsia"/>
          <w:sz w:val="28"/>
          <w:szCs w:val="28"/>
          <w:lang w:bidi="ar"/>
        </w:rPr>
        <w:t>1、采购限额标准以上，200万元以下的货物和服务采购项目、400万元以下的工程采购项目，适宜由中小企业提供的，采购人应当专门面向中小企业采购。</w:t>
      </w:r>
    </w:p>
    <w:p>
      <w:pPr>
        <w:pStyle w:val="23"/>
        <w:autoSpaceDE w:val="0"/>
        <w:spacing w:before="75" w:beforeAutospacing="0" w:after="75" w:afterAutospacing="0" w:line="380" w:lineRule="exact"/>
        <w:ind w:firstLine="560" w:firstLineChars="200"/>
        <w:rPr>
          <w:rFonts w:asciiTheme="minorEastAsia" w:hAnsiTheme="minorEastAsia" w:eastAsiaTheme="minorEastAsia" w:cstheme="minorEastAsia"/>
          <w:sz w:val="28"/>
          <w:szCs w:val="28"/>
          <w:lang w:bidi="ar"/>
        </w:rPr>
      </w:pPr>
      <w:r>
        <w:rPr>
          <w:rFonts w:hint="eastAsia" w:asciiTheme="minorEastAsia" w:hAnsiTheme="minorEastAsia" w:eastAsiaTheme="minorEastAsia" w:cstheme="minorEastAsia"/>
          <w:sz w:val="28"/>
          <w:szCs w:val="28"/>
          <w:lang w:bidi="ar"/>
        </w:rPr>
        <w:t>2、超过200万元的货物和服务采购项目，预留该部分采购项目预算总额的30%以上专门面向中小企业采购，其中预留给小微企业的比例不低于60%。</w:t>
      </w:r>
    </w:p>
    <w:p>
      <w:pPr>
        <w:pStyle w:val="23"/>
        <w:autoSpaceDE w:val="0"/>
        <w:spacing w:before="75" w:beforeAutospacing="0" w:after="75" w:afterAutospacing="0" w:line="380" w:lineRule="exact"/>
        <w:ind w:firstLine="560" w:firstLineChars="200"/>
        <w:rPr>
          <w:rFonts w:asciiTheme="minorEastAsia" w:hAnsiTheme="minorEastAsia" w:eastAsiaTheme="minorEastAsia" w:cstheme="minorEastAsia"/>
          <w:sz w:val="28"/>
          <w:szCs w:val="28"/>
          <w:lang w:bidi="ar"/>
        </w:rPr>
      </w:pPr>
      <w:r>
        <w:rPr>
          <w:rFonts w:hint="eastAsia" w:asciiTheme="minorEastAsia" w:hAnsiTheme="minorEastAsia" w:eastAsiaTheme="minorEastAsia" w:cstheme="minorEastAsia"/>
          <w:sz w:val="28"/>
          <w:szCs w:val="28"/>
          <w:lang w:bidi="ar"/>
        </w:rPr>
        <w:t>3、超过400万元的工程采购项目中适宜由中小企业提供的，预留该部分采购项目预算总额的40%以上专门面向中小企业采购，其中预留给小微企业的比例不低于60%。</w:t>
      </w:r>
    </w:p>
    <w:p>
      <w:pPr>
        <w:pStyle w:val="23"/>
        <w:autoSpaceDE w:val="0"/>
        <w:spacing w:before="75" w:beforeAutospacing="0" w:after="75" w:afterAutospacing="0" w:line="380" w:lineRule="exact"/>
        <w:ind w:firstLine="560" w:firstLineChars="200"/>
        <w:rPr>
          <w:rFonts w:asciiTheme="minorEastAsia" w:hAnsiTheme="minorEastAsia" w:eastAsiaTheme="minorEastAsia" w:cstheme="minorEastAsia"/>
          <w:sz w:val="28"/>
          <w:szCs w:val="28"/>
          <w:lang w:bidi="ar"/>
        </w:rPr>
      </w:pPr>
      <w:r>
        <w:rPr>
          <w:rFonts w:hint="eastAsia" w:asciiTheme="minorEastAsia" w:hAnsiTheme="minorEastAsia" w:eastAsiaTheme="minorEastAsia" w:cstheme="minorEastAsia"/>
          <w:sz w:val="28"/>
          <w:szCs w:val="28"/>
          <w:lang w:bidi="ar"/>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23"/>
        <w:autoSpaceDE w:val="0"/>
        <w:spacing w:before="75" w:beforeAutospacing="0" w:after="75" w:afterAutospacing="0" w:line="380" w:lineRule="exact"/>
        <w:ind w:firstLine="560" w:firstLineChars="200"/>
        <w:rPr>
          <w:rFonts w:asciiTheme="minorEastAsia" w:hAnsiTheme="minorEastAsia" w:eastAsiaTheme="minorEastAsia" w:cstheme="minorEastAsia"/>
          <w:sz w:val="28"/>
          <w:szCs w:val="28"/>
          <w:lang w:bidi="ar"/>
        </w:rPr>
      </w:pPr>
      <w:r>
        <w:rPr>
          <w:rFonts w:hint="eastAsia" w:asciiTheme="minorEastAsia" w:hAnsiTheme="minorEastAsia" w:eastAsiaTheme="minorEastAsia" w:cstheme="minorEastAsia"/>
          <w:sz w:val="28"/>
          <w:szCs w:val="28"/>
          <w:lang w:bidi="ar"/>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23"/>
        <w:spacing w:before="60" w:beforeAutospacing="0" w:after="60" w:afterAutospacing="0" w:line="400" w:lineRule="atLeast"/>
        <w:ind w:firstLine="420"/>
        <w:rPr>
          <w:rFonts w:asciiTheme="minorEastAsia" w:hAnsiTheme="minorEastAsia" w:eastAsiaTheme="minorEastAsia" w:cstheme="minorEastAsia"/>
          <w:b/>
          <w:bCs/>
          <w:lang w:bidi="ar"/>
        </w:rPr>
      </w:pPr>
    </w:p>
    <w:p>
      <w:pPr>
        <w:pStyle w:val="23"/>
        <w:autoSpaceDE w:val="0"/>
        <w:spacing w:before="75" w:beforeAutospacing="0" w:after="75" w:afterAutospacing="0" w:line="380" w:lineRule="exact"/>
        <w:rPr>
          <w:rFonts w:asciiTheme="minorEastAsia" w:hAnsiTheme="minorEastAsia" w:eastAsiaTheme="minorEastAsia" w:cstheme="minorEastAsia"/>
          <w:sz w:val="28"/>
          <w:szCs w:val="28"/>
          <w:lang w:bidi="ar"/>
        </w:rPr>
      </w:pPr>
      <w:r>
        <w:rPr>
          <w:rFonts w:hint="eastAsia" w:asciiTheme="minorEastAsia" w:hAnsiTheme="minorEastAsia" w:eastAsiaTheme="minorEastAsia" w:cstheme="minorEastAsia"/>
          <w:sz w:val="28"/>
          <w:szCs w:val="28"/>
          <w:lang w:bidi="ar"/>
        </w:rPr>
        <w:t>七、</w:t>
      </w:r>
      <w:r>
        <w:rPr>
          <w:rFonts w:hint="eastAsia" w:asciiTheme="minorEastAsia" w:hAnsiTheme="minorEastAsia" w:eastAsiaTheme="minorEastAsia" w:cstheme="minorEastAsia"/>
          <w:b/>
          <w:bCs/>
          <w:sz w:val="28"/>
          <w:szCs w:val="28"/>
          <w:lang w:bidi="ar"/>
        </w:rPr>
        <w:t xml:space="preserve">对本次采购提出询问，请按以下方式联系 </w:t>
      </w:r>
      <w:r>
        <w:rPr>
          <w:rFonts w:hint="eastAsia" w:asciiTheme="minorEastAsia" w:hAnsiTheme="minorEastAsia" w:eastAsiaTheme="minorEastAsia" w:cstheme="minorEastAsia"/>
          <w:sz w:val="28"/>
          <w:szCs w:val="28"/>
          <w:lang w:bidi="ar"/>
        </w:rPr>
        <w:t xml:space="preserve">        </w:t>
      </w:r>
    </w:p>
    <w:p>
      <w:pPr>
        <w:pStyle w:val="23"/>
        <w:autoSpaceDE w:val="0"/>
        <w:spacing w:before="75" w:beforeAutospacing="0" w:after="75" w:afterAutospacing="0" w:line="380" w:lineRule="exact"/>
        <w:ind w:firstLine="560" w:firstLineChars="200"/>
        <w:rPr>
          <w:rFonts w:asciiTheme="minorEastAsia" w:hAnsiTheme="minorEastAsia" w:eastAsiaTheme="minorEastAsia" w:cstheme="minorEastAsia"/>
          <w:sz w:val="28"/>
          <w:szCs w:val="28"/>
          <w:lang w:bidi="ar"/>
        </w:rPr>
      </w:pPr>
      <w:r>
        <w:rPr>
          <w:rFonts w:hint="eastAsia" w:asciiTheme="minorEastAsia" w:hAnsiTheme="minorEastAsia" w:eastAsiaTheme="minorEastAsia" w:cstheme="minorEastAsia"/>
          <w:sz w:val="28"/>
          <w:szCs w:val="28"/>
          <w:lang w:bidi="ar"/>
        </w:rPr>
        <w:t>1.采购人信息</w:t>
      </w:r>
    </w:p>
    <w:p>
      <w:pPr>
        <w:pStyle w:val="23"/>
        <w:autoSpaceDE w:val="0"/>
        <w:spacing w:before="75" w:beforeAutospacing="0" w:after="75" w:afterAutospacing="0" w:line="380" w:lineRule="exact"/>
        <w:ind w:firstLine="560" w:firstLineChars="200"/>
        <w:rPr>
          <w:rFonts w:asciiTheme="minorEastAsia" w:hAnsiTheme="minorEastAsia" w:eastAsiaTheme="minorEastAsia" w:cstheme="minorEastAsia"/>
          <w:sz w:val="28"/>
          <w:szCs w:val="28"/>
          <w:lang w:bidi="ar"/>
        </w:rPr>
      </w:pPr>
      <w:r>
        <w:rPr>
          <w:rFonts w:hint="eastAsia" w:asciiTheme="minorEastAsia" w:hAnsiTheme="minorEastAsia" w:eastAsiaTheme="minorEastAsia" w:cstheme="minorEastAsia"/>
          <w:sz w:val="28"/>
          <w:szCs w:val="28"/>
          <w:lang w:bidi="ar"/>
        </w:rPr>
        <w:t>名 称：乌恰县人民医院</w:t>
      </w:r>
    </w:p>
    <w:p>
      <w:pPr>
        <w:pStyle w:val="23"/>
        <w:autoSpaceDE w:val="0"/>
        <w:spacing w:before="75" w:beforeAutospacing="0" w:after="75" w:afterAutospacing="0" w:line="380" w:lineRule="exact"/>
        <w:ind w:firstLine="560" w:firstLineChars="200"/>
        <w:rPr>
          <w:rFonts w:asciiTheme="minorEastAsia" w:hAnsiTheme="minorEastAsia" w:eastAsiaTheme="minorEastAsia" w:cstheme="minorEastAsia"/>
          <w:sz w:val="28"/>
          <w:szCs w:val="28"/>
          <w:lang w:bidi="ar"/>
        </w:rPr>
      </w:pPr>
      <w:r>
        <w:rPr>
          <w:rFonts w:hint="eastAsia" w:asciiTheme="minorEastAsia" w:hAnsiTheme="minorEastAsia" w:eastAsiaTheme="minorEastAsia" w:cstheme="minorEastAsia"/>
          <w:sz w:val="28"/>
          <w:szCs w:val="28"/>
          <w:lang w:bidi="ar"/>
        </w:rPr>
        <w:t>地 址：乌恰县健康路8号</w:t>
      </w:r>
    </w:p>
    <w:p>
      <w:pPr>
        <w:pStyle w:val="23"/>
        <w:autoSpaceDE w:val="0"/>
        <w:spacing w:before="75" w:beforeAutospacing="0" w:after="75" w:afterAutospacing="0" w:line="380" w:lineRule="exact"/>
        <w:ind w:firstLine="560" w:firstLineChars="200"/>
        <w:rPr>
          <w:rFonts w:asciiTheme="minorEastAsia" w:hAnsiTheme="minorEastAsia" w:eastAsiaTheme="minorEastAsia" w:cstheme="minorEastAsia"/>
          <w:sz w:val="28"/>
          <w:szCs w:val="28"/>
          <w:lang w:bidi="ar"/>
        </w:rPr>
      </w:pPr>
      <w:r>
        <w:rPr>
          <w:rFonts w:hint="eastAsia" w:asciiTheme="minorEastAsia" w:hAnsiTheme="minorEastAsia" w:eastAsiaTheme="minorEastAsia" w:cstheme="minorEastAsia"/>
          <w:sz w:val="28"/>
          <w:szCs w:val="28"/>
          <w:lang w:bidi="ar"/>
        </w:rPr>
        <w:t>联系方式：0908-4622373</w:t>
      </w:r>
    </w:p>
    <w:p>
      <w:pPr>
        <w:pStyle w:val="23"/>
        <w:autoSpaceDE w:val="0"/>
        <w:spacing w:before="75" w:beforeAutospacing="0" w:after="75" w:afterAutospacing="0" w:line="380" w:lineRule="exact"/>
        <w:ind w:firstLine="560" w:firstLineChars="200"/>
        <w:rPr>
          <w:rFonts w:asciiTheme="minorEastAsia" w:hAnsiTheme="minorEastAsia" w:eastAsiaTheme="minorEastAsia" w:cstheme="minorEastAsia"/>
          <w:sz w:val="28"/>
          <w:szCs w:val="28"/>
          <w:lang w:bidi="ar"/>
        </w:rPr>
      </w:pPr>
      <w:r>
        <w:rPr>
          <w:rFonts w:hint="eastAsia" w:asciiTheme="minorEastAsia" w:hAnsiTheme="minorEastAsia" w:eastAsiaTheme="minorEastAsia" w:cstheme="minorEastAsia"/>
          <w:sz w:val="28"/>
          <w:szCs w:val="28"/>
          <w:lang w:bidi="ar"/>
        </w:rPr>
        <w:t>2.采购代理机构信息</w:t>
      </w:r>
    </w:p>
    <w:p>
      <w:pPr>
        <w:pStyle w:val="23"/>
        <w:autoSpaceDE w:val="0"/>
        <w:spacing w:before="75" w:beforeAutospacing="0" w:after="75" w:afterAutospacing="0" w:line="380" w:lineRule="exact"/>
        <w:ind w:firstLine="560" w:firstLineChars="200"/>
        <w:rPr>
          <w:rFonts w:asciiTheme="minorEastAsia" w:hAnsiTheme="minorEastAsia" w:eastAsiaTheme="minorEastAsia" w:cstheme="minorEastAsia"/>
          <w:sz w:val="28"/>
          <w:szCs w:val="28"/>
          <w:lang w:bidi="ar"/>
        </w:rPr>
      </w:pPr>
      <w:r>
        <w:rPr>
          <w:rFonts w:hint="eastAsia" w:asciiTheme="minorEastAsia" w:hAnsiTheme="minorEastAsia" w:eastAsiaTheme="minorEastAsia" w:cstheme="minorEastAsia"/>
          <w:sz w:val="28"/>
          <w:szCs w:val="28"/>
          <w:lang w:bidi="ar"/>
        </w:rPr>
        <w:t>名 称：新疆建硕项目管理咨询有限公司</w:t>
      </w:r>
    </w:p>
    <w:p>
      <w:pPr>
        <w:pStyle w:val="23"/>
        <w:autoSpaceDE w:val="0"/>
        <w:spacing w:before="75" w:beforeAutospacing="0" w:after="75" w:afterAutospacing="0" w:line="380" w:lineRule="exact"/>
        <w:ind w:firstLine="560" w:firstLineChars="200"/>
        <w:rPr>
          <w:rFonts w:asciiTheme="minorEastAsia" w:hAnsiTheme="minorEastAsia" w:eastAsiaTheme="minorEastAsia" w:cstheme="minorEastAsia"/>
          <w:sz w:val="28"/>
          <w:szCs w:val="28"/>
          <w:lang w:bidi="ar"/>
        </w:rPr>
      </w:pPr>
      <w:r>
        <w:rPr>
          <w:rFonts w:hint="eastAsia" w:asciiTheme="minorEastAsia" w:hAnsiTheme="minorEastAsia" w:eastAsiaTheme="minorEastAsia" w:cstheme="minorEastAsia"/>
          <w:sz w:val="28"/>
          <w:szCs w:val="28"/>
          <w:lang w:bidi="ar"/>
        </w:rPr>
        <w:t>地 址：新疆克州阿图什市前进路17-1-16号四楼</w:t>
      </w:r>
    </w:p>
    <w:p>
      <w:pPr>
        <w:pStyle w:val="23"/>
        <w:autoSpaceDE w:val="0"/>
        <w:spacing w:before="75" w:beforeAutospacing="0" w:after="75" w:afterAutospacing="0" w:line="380" w:lineRule="exact"/>
        <w:ind w:firstLine="560" w:firstLineChars="200"/>
        <w:rPr>
          <w:rFonts w:asciiTheme="minorEastAsia" w:hAnsiTheme="minorEastAsia" w:eastAsiaTheme="minorEastAsia" w:cstheme="minorEastAsia"/>
          <w:sz w:val="28"/>
          <w:szCs w:val="28"/>
          <w:lang w:bidi="ar"/>
        </w:rPr>
      </w:pPr>
      <w:r>
        <w:rPr>
          <w:rFonts w:hint="eastAsia" w:asciiTheme="minorEastAsia" w:hAnsiTheme="minorEastAsia" w:eastAsiaTheme="minorEastAsia" w:cstheme="minorEastAsia"/>
          <w:sz w:val="28"/>
          <w:szCs w:val="28"/>
          <w:lang w:bidi="ar"/>
        </w:rPr>
        <w:t>联系方式：15770150301</w:t>
      </w:r>
    </w:p>
    <w:p>
      <w:pPr>
        <w:pStyle w:val="23"/>
        <w:autoSpaceDE w:val="0"/>
        <w:spacing w:before="75" w:beforeAutospacing="0" w:after="75" w:afterAutospacing="0" w:line="380" w:lineRule="exact"/>
        <w:ind w:firstLine="560" w:firstLineChars="200"/>
        <w:rPr>
          <w:rFonts w:asciiTheme="minorEastAsia" w:hAnsiTheme="minorEastAsia" w:eastAsiaTheme="minorEastAsia" w:cstheme="minorEastAsia"/>
          <w:sz w:val="28"/>
          <w:szCs w:val="28"/>
          <w:lang w:bidi="ar"/>
        </w:rPr>
      </w:pPr>
      <w:r>
        <w:rPr>
          <w:rFonts w:hint="eastAsia" w:asciiTheme="minorEastAsia" w:hAnsiTheme="minorEastAsia" w:eastAsiaTheme="minorEastAsia" w:cstheme="minorEastAsia"/>
          <w:sz w:val="28"/>
          <w:szCs w:val="28"/>
          <w:lang w:bidi="ar"/>
        </w:rPr>
        <w:t>3.项目联系方式</w:t>
      </w:r>
    </w:p>
    <w:p>
      <w:pPr>
        <w:pStyle w:val="23"/>
        <w:autoSpaceDE w:val="0"/>
        <w:spacing w:before="75" w:beforeAutospacing="0" w:after="75" w:afterAutospacing="0" w:line="380" w:lineRule="exact"/>
        <w:ind w:firstLine="560" w:firstLineChars="200"/>
        <w:rPr>
          <w:rFonts w:asciiTheme="minorEastAsia" w:hAnsiTheme="minorEastAsia" w:eastAsiaTheme="minorEastAsia" w:cstheme="minorEastAsia"/>
          <w:sz w:val="28"/>
          <w:szCs w:val="28"/>
          <w:lang w:bidi="ar"/>
        </w:rPr>
      </w:pPr>
      <w:r>
        <w:rPr>
          <w:rFonts w:hint="eastAsia" w:asciiTheme="minorEastAsia" w:hAnsiTheme="minorEastAsia" w:eastAsiaTheme="minorEastAsia" w:cstheme="minorEastAsia"/>
          <w:sz w:val="28"/>
          <w:szCs w:val="28"/>
          <w:lang w:bidi="ar"/>
        </w:rPr>
        <w:t>项目联系人：朱先生</w:t>
      </w:r>
    </w:p>
    <w:p>
      <w:pPr>
        <w:pStyle w:val="23"/>
        <w:autoSpaceDE w:val="0"/>
        <w:spacing w:before="75" w:beforeAutospacing="0" w:after="75" w:afterAutospacing="0" w:line="380" w:lineRule="exact"/>
        <w:ind w:firstLine="560" w:firstLineChars="200"/>
        <w:rPr>
          <w:rFonts w:asciiTheme="minorEastAsia" w:hAnsiTheme="minorEastAsia" w:eastAsiaTheme="minorEastAsia" w:cstheme="minorEastAsia"/>
          <w:sz w:val="28"/>
          <w:szCs w:val="28"/>
          <w:lang w:bidi="ar"/>
        </w:rPr>
      </w:pPr>
      <w:r>
        <w:rPr>
          <w:rFonts w:hint="eastAsia" w:asciiTheme="minorEastAsia" w:hAnsiTheme="minorEastAsia" w:eastAsiaTheme="minorEastAsia" w:cstheme="minorEastAsia"/>
          <w:sz w:val="28"/>
          <w:szCs w:val="28"/>
          <w:lang w:bidi="ar"/>
        </w:rPr>
        <w:t>电 话：15770150301</w:t>
      </w:r>
    </w:p>
    <w:p/>
    <w:p>
      <w:pPr>
        <w:pStyle w:val="23"/>
        <w:autoSpaceDE w:val="0"/>
        <w:spacing w:before="75" w:beforeAutospacing="0" w:after="75" w:afterAutospacing="0" w:line="400" w:lineRule="exact"/>
        <w:ind w:firstLine="420" w:firstLineChars="200"/>
        <w:rPr>
          <w:rFonts w:ascii="新宋体" w:hAnsi="新宋体" w:eastAsia="新宋体" w:cs="新宋体"/>
          <w:sz w:val="21"/>
          <w:szCs w:val="21"/>
        </w:rPr>
      </w:pPr>
    </w:p>
    <w:p>
      <w:pPr>
        <w:pStyle w:val="23"/>
        <w:autoSpaceDE w:val="0"/>
        <w:spacing w:before="75" w:beforeAutospacing="0" w:after="75" w:afterAutospacing="0" w:line="400" w:lineRule="exact"/>
        <w:rPr>
          <w:rFonts w:ascii="新宋体" w:hAnsi="新宋体" w:eastAsia="新宋体" w:cs="新宋体"/>
        </w:rPr>
      </w:pPr>
    </w:p>
    <w:p>
      <w:pPr>
        <w:pStyle w:val="23"/>
        <w:spacing w:before="204" w:beforeAutospacing="0" w:after="204" w:afterAutospacing="0" w:line="360" w:lineRule="atLeast"/>
        <w:jc w:val="center"/>
        <w:rPr>
          <w:rStyle w:val="30"/>
          <w:rFonts w:ascii="黑体" w:eastAsia="黑体" w:cs="黑体"/>
          <w:sz w:val="40"/>
          <w:szCs w:val="40"/>
        </w:rPr>
      </w:pPr>
    </w:p>
    <w:p>
      <w:pPr>
        <w:pStyle w:val="7"/>
      </w:pPr>
      <w:bookmarkStart w:id="10" w:name="_Toc469495723"/>
    </w:p>
    <w:p>
      <w:pPr>
        <w:ind w:firstLine="320" w:firstLineChars="100"/>
        <w:jc w:val="center"/>
        <w:rPr>
          <w:rFonts w:ascii="宋体"/>
          <w:sz w:val="32"/>
          <w:szCs w:val="32"/>
        </w:rPr>
      </w:pPr>
      <w:r>
        <w:rPr>
          <w:rFonts w:hint="eastAsia" w:ascii="宋体"/>
          <w:sz w:val="32"/>
          <w:szCs w:val="32"/>
        </w:rPr>
        <w:t>第二章 投标人须知</w:t>
      </w:r>
      <w:bookmarkStart w:id="11" w:name="_Toc469495722"/>
    </w:p>
    <w:p>
      <w:pPr>
        <w:numPr>
          <w:ilvl w:val="0"/>
          <w:numId w:val="3"/>
        </w:numPr>
        <w:spacing w:line="500" w:lineRule="exact"/>
        <w:ind w:firstLine="3520"/>
        <w:outlineLvl w:val="1"/>
      </w:pPr>
      <w:r>
        <w:rPr>
          <w:rFonts w:hint="eastAsia" w:ascii="宋体"/>
          <w:sz w:val="28"/>
          <w:szCs w:val="28"/>
        </w:rPr>
        <w:t>投标人须知前附表</w:t>
      </w:r>
      <w:bookmarkEnd w:id="11"/>
    </w:p>
    <w:tbl>
      <w:tblPr>
        <w:tblStyle w:val="27"/>
        <w:tblW w:w="983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12"/>
        <w:gridCol w:w="1536"/>
        <w:gridCol w:w="728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1012" w:type="dxa"/>
            <w:vAlign w:val="center"/>
          </w:tcPr>
          <w:p>
            <w:pPr>
              <w:pStyle w:val="13"/>
              <w:snapToGrid w:val="0"/>
              <w:spacing w:line="290" w:lineRule="exact"/>
              <w:ind w:left="-94" w:leftChars="-45" w:right="-81" w:rightChars="-39"/>
              <w:jc w:val="center"/>
              <w:rPr>
                <w:color w:val="auto"/>
                <w:szCs w:val="21"/>
              </w:rPr>
            </w:pPr>
            <w:r>
              <w:rPr>
                <w:rFonts w:hint="eastAsia"/>
                <w:color w:val="auto"/>
                <w:szCs w:val="21"/>
              </w:rPr>
              <w:t>条款号</w:t>
            </w:r>
          </w:p>
        </w:tc>
        <w:tc>
          <w:tcPr>
            <w:tcW w:w="1536" w:type="dxa"/>
            <w:vAlign w:val="center"/>
          </w:tcPr>
          <w:p>
            <w:pPr>
              <w:pStyle w:val="13"/>
              <w:snapToGrid w:val="0"/>
              <w:spacing w:line="290" w:lineRule="exact"/>
              <w:jc w:val="center"/>
              <w:rPr>
                <w:color w:val="auto"/>
                <w:szCs w:val="21"/>
              </w:rPr>
            </w:pPr>
            <w:r>
              <w:rPr>
                <w:rFonts w:hint="eastAsia"/>
                <w:color w:val="auto"/>
                <w:szCs w:val="21"/>
              </w:rPr>
              <w:t>内容</w:t>
            </w:r>
          </w:p>
        </w:tc>
        <w:tc>
          <w:tcPr>
            <w:tcW w:w="7288" w:type="dxa"/>
            <w:vAlign w:val="center"/>
          </w:tcPr>
          <w:p>
            <w:pPr>
              <w:pStyle w:val="13"/>
              <w:snapToGrid w:val="0"/>
              <w:spacing w:line="290" w:lineRule="exact"/>
              <w:ind w:firstLine="2100" w:firstLineChars="1000"/>
              <w:rPr>
                <w:color w:val="auto"/>
                <w:szCs w:val="21"/>
              </w:rPr>
            </w:pPr>
            <w:r>
              <w:rPr>
                <w:rFonts w:hint="eastAsia"/>
                <w:color w:val="auto"/>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9" w:hRule="atLeast"/>
          <w:jc w:val="center"/>
        </w:trPr>
        <w:tc>
          <w:tcPr>
            <w:tcW w:w="1012" w:type="dxa"/>
            <w:vAlign w:val="center"/>
          </w:tcPr>
          <w:p>
            <w:pPr>
              <w:pStyle w:val="13"/>
              <w:snapToGrid w:val="0"/>
              <w:spacing w:line="290" w:lineRule="exact"/>
              <w:jc w:val="center"/>
              <w:rPr>
                <w:color w:val="auto"/>
                <w:szCs w:val="21"/>
              </w:rPr>
            </w:pPr>
            <w:r>
              <w:rPr>
                <w:rFonts w:hint="eastAsia"/>
                <w:color w:val="auto"/>
                <w:szCs w:val="21"/>
              </w:rPr>
              <w:t>1</w:t>
            </w:r>
          </w:p>
        </w:tc>
        <w:tc>
          <w:tcPr>
            <w:tcW w:w="1536" w:type="dxa"/>
            <w:vAlign w:val="center"/>
          </w:tcPr>
          <w:p>
            <w:pPr>
              <w:widowControl/>
              <w:spacing w:line="360" w:lineRule="auto"/>
              <w:jc w:val="center"/>
              <w:rPr>
                <w:rFonts w:ascii="宋体" w:hAnsi="宋体" w:cs="宋体"/>
                <w:szCs w:val="21"/>
              </w:rPr>
            </w:pPr>
            <w:r>
              <w:rPr>
                <w:rFonts w:hint="eastAsia" w:ascii="宋体" w:hAnsi="宋体" w:cs="宋体"/>
                <w:szCs w:val="21"/>
              </w:rPr>
              <w:t>采购人信息</w:t>
            </w:r>
          </w:p>
        </w:tc>
        <w:tc>
          <w:tcPr>
            <w:tcW w:w="7288" w:type="dxa"/>
            <w:vAlign w:val="center"/>
          </w:tcPr>
          <w:p>
            <w:pPr>
              <w:spacing w:line="360" w:lineRule="auto"/>
              <w:rPr>
                <w:szCs w:val="21"/>
              </w:rPr>
            </w:pPr>
            <w:r>
              <w:rPr>
                <w:rFonts w:hint="eastAsia"/>
                <w:szCs w:val="21"/>
              </w:rPr>
              <w:t>采购单位：乌恰县人民医院</w:t>
            </w:r>
          </w:p>
          <w:p>
            <w:pPr>
              <w:spacing w:line="360" w:lineRule="auto"/>
              <w:rPr>
                <w:szCs w:val="21"/>
              </w:rPr>
            </w:pPr>
            <w:r>
              <w:rPr>
                <w:rFonts w:hint="eastAsia"/>
                <w:szCs w:val="21"/>
              </w:rPr>
              <w:t>联系人：冯先生        联系电话：</w:t>
            </w:r>
            <w:r>
              <w:rPr>
                <w:rFonts w:hint="eastAsia" w:ascii="新宋体" w:hAnsi="新宋体" w:eastAsia="新宋体" w:cs="新宋体"/>
                <w:kern w:val="0"/>
                <w:szCs w:val="21"/>
                <w:lang w:bidi="ar"/>
              </w:rPr>
              <w:t>0908-4622373</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9" w:hRule="atLeast"/>
          <w:jc w:val="center"/>
        </w:trPr>
        <w:tc>
          <w:tcPr>
            <w:tcW w:w="1012" w:type="dxa"/>
            <w:vAlign w:val="center"/>
          </w:tcPr>
          <w:p>
            <w:pPr>
              <w:pStyle w:val="13"/>
              <w:snapToGrid w:val="0"/>
              <w:spacing w:line="290" w:lineRule="exact"/>
              <w:jc w:val="center"/>
              <w:rPr>
                <w:color w:val="auto"/>
                <w:szCs w:val="21"/>
              </w:rPr>
            </w:pPr>
            <w:r>
              <w:rPr>
                <w:color w:val="auto"/>
                <w:szCs w:val="21"/>
              </w:rPr>
              <w:t>2</w:t>
            </w:r>
          </w:p>
        </w:tc>
        <w:tc>
          <w:tcPr>
            <w:tcW w:w="1536" w:type="dxa"/>
            <w:vAlign w:val="center"/>
          </w:tcPr>
          <w:p>
            <w:pPr>
              <w:widowControl/>
              <w:spacing w:line="290" w:lineRule="exact"/>
              <w:jc w:val="center"/>
              <w:rPr>
                <w:szCs w:val="21"/>
              </w:rPr>
            </w:pPr>
            <w:r>
              <w:rPr>
                <w:rFonts w:hint="eastAsia" w:ascii="宋体" w:hAnsi="宋体" w:cs="宋体"/>
                <w:szCs w:val="21"/>
              </w:rPr>
              <w:t>采购代理机构</w:t>
            </w:r>
          </w:p>
        </w:tc>
        <w:tc>
          <w:tcPr>
            <w:tcW w:w="7288" w:type="dxa"/>
            <w:vAlign w:val="center"/>
          </w:tcPr>
          <w:p>
            <w:pPr>
              <w:widowControl/>
              <w:spacing w:line="530" w:lineRule="exact"/>
              <w:rPr>
                <w:szCs w:val="21"/>
              </w:rPr>
            </w:pPr>
            <w:r>
              <w:rPr>
                <w:rFonts w:hint="eastAsia"/>
                <w:szCs w:val="21"/>
              </w:rPr>
              <w:t>名  称：新疆建硕项目管理咨询有限公司</w:t>
            </w:r>
          </w:p>
          <w:p>
            <w:pPr>
              <w:widowControl/>
              <w:spacing w:line="530" w:lineRule="exact"/>
              <w:rPr>
                <w:szCs w:val="21"/>
              </w:rPr>
            </w:pPr>
            <w:r>
              <w:rPr>
                <w:rFonts w:hint="eastAsia"/>
                <w:szCs w:val="21"/>
              </w:rPr>
              <w:t>地  址：新疆克州阿图什市前进路17-1-16四楼</w:t>
            </w:r>
          </w:p>
          <w:p>
            <w:pPr>
              <w:widowControl/>
              <w:spacing w:line="530" w:lineRule="exact"/>
              <w:rPr>
                <w:szCs w:val="21"/>
              </w:rPr>
            </w:pPr>
            <w:r>
              <w:rPr>
                <w:rFonts w:hint="eastAsia"/>
                <w:szCs w:val="21"/>
              </w:rPr>
              <w:t>联系人：朱先生       电  话：15770150301</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33" w:hRule="atLeast"/>
          <w:jc w:val="center"/>
        </w:trPr>
        <w:tc>
          <w:tcPr>
            <w:tcW w:w="1012" w:type="dxa"/>
            <w:vAlign w:val="center"/>
          </w:tcPr>
          <w:p>
            <w:pPr>
              <w:pStyle w:val="13"/>
              <w:snapToGrid w:val="0"/>
              <w:spacing w:line="290" w:lineRule="exact"/>
              <w:jc w:val="center"/>
              <w:rPr>
                <w:color w:val="auto"/>
                <w:szCs w:val="21"/>
              </w:rPr>
            </w:pPr>
            <w:r>
              <w:rPr>
                <w:rFonts w:hint="eastAsia"/>
                <w:color w:val="auto"/>
                <w:szCs w:val="21"/>
              </w:rPr>
              <w:t>3</w:t>
            </w:r>
          </w:p>
        </w:tc>
        <w:tc>
          <w:tcPr>
            <w:tcW w:w="1536" w:type="dxa"/>
            <w:vAlign w:val="center"/>
          </w:tcPr>
          <w:p>
            <w:pPr>
              <w:pStyle w:val="23"/>
              <w:spacing w:before="0" w:beforeAutospacing="0" w:after="0" w:afterAutospacing="0" w:line="510" w:lineRule="atLeast"/>
              <w:jc w:val="center"/>
              <w:rPr>
                <w:rFonts w:ascii="Times New Roman" w:hAnsi="Times New Roman" w:cs="Times New Roman"/>
                <w:kern w:val="2"/>
                <w:sz w:val="21"/>
                <w:szCs w:val="21"/>
              </w:rPr>
            </w:pPr>
            <w:r>
              <w:rPr>
                <w:rFonts w:hint="eastAsia" w:ascii="Times New Roman" w:hAnsi="Times New Roman" w:cs="Times New Roman"/>
                <w:kern w:val="2"/>
                <w:sz w:val="21"/>
                <w:szCs w:val="21"/>
              </w:rPr>
              <w:t>项目名称</w:t>
            </w:r>
          </w:p>
          <w:p>
            <w:pPr>
              <w:pStyle w:val="23"/>
              <w:spacing w:before="0" w:beforeAutospacing="0" w:after="0" w:afterAutospacing="0" w:line="510" w:lineRule="atLeast"/>
              <w:jc w:val="center"/>
              <w:rPr>
                <w:rFonts w:ascii="Times New Roman" w:hAnsi="Times New Roman" w:cs="Times New Roman"/>
                <w:kern w:val="2"/>
                <w:sz w:val="21"/>
                <w:szCs w:val="21"/>
              </w:rPr>
            </w:pPr>
            <w:r>
              <w:rPr>
                <w:rFonts w:hint="eastAsia" w:ascii="Times New Roman" w:hAnsi="Times New Roman" w:cs="Times New Roman"/>
                <w:kern w:val="2"/>
                <w:sz w:val="21"/>
                <w:szCs w:val="21"/>
              </w:rPr>
              <w:t>项目编号</w:t>
            </w:r>
          </w:p>
          <w:p>
            <w:pPr>
              <w:pStyle w:val="23"/>
              <w:spacing w:before="0" w:beforeAutospacing="0" w:after="0" w:afterAutospacing="0" w:line="510" w:lineRule="atLeast"/>
              <w:jc w:val="center"/>
              <w:rPr>
                <w:rFonts w:ascii="Times New Roman" w:hAnsi="Times New Roman" w:cs="Times New Roman"/>
                <w:kern w:val="2"/>
                <w:sz w:val="21"/>
                <w:szCs w:val="21"/>
              </w:rPr>
            </w:pPr>
            <w:r>
              <w:rPr>
                <w:rFonts w:hint="eastAsia" w:ascii="Times New Roman" w:hAnsi="Times New Roman" w:cs="Times New Roman"/>
                <w:kern w:val="2"/>
                <w:sz w:val="21"/>
                <w:szCs w:val="21"/>
              </w:rPr>
              <w:t>采购内容</w:t>
            </w:r>
          </w:p>
        </w:tc>
        <w:tc>
          <w:tcPr>
            <w:tcW w:w="7288" w:type="dxa"/>
            <w:vAlign w:val="center"/>
          </w:tcPr>
          <w:p>
            <w:pPr>
              <w:pStyle w:val="23"/>
              <w:spacing w:before="0" w:beforeAutospacing="0" w:after="0" w:afterAutospacing="0" w:line="510" w:lineRule="atLeast"/>
              <w:jc w:val="both"/>
              <w:rPr>
                <w:rFonts w:ascii="Times New Roman" w:hAnsi="Times New Roman" w:cs="Times New Roman"/>
                <w:kern w:val="2"/>
                <w:sz w:val="21"/>
                <w:szCs w:val="21"/>
              </w:rPr>
            </w:pPr>
            <w:r>
              <w:rPr>
                <w:rFonts w:hint="eastAsia" w:ascii="Times New Roman" w:hAnsi="Times New Roman" w:cs="Times New Roman"/>
                <w:kern w:val="2"/>
                <w:sz w:val="21"/>
                <w:szCs w:val="21"/>
              </w:rPr>
              <w:t>项目名称：乌恰县人民医院信息化升级改造项目</w:t>
            </w:r>
          </w:p>
          <w:p>
            <w:pPr>
              <w:pStyle w:val="23"/>
              <w:spacing w:before="0" w:beforeAutospacing="0" w:after="0" w:afterAutospacing="0" w:line="510" w:lineRule="atLeast"/>
              <w:jc w:val="both"/>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rPr>
              <w:t>项目编号：</w:t>
            </w:r>
            <w:r>
              <w:rPr>
                <w:rFonts w:hint="eastAsia" w:ascii="Times New Roman" w:hAnsi="Times New Roman" w:cs="Times New Roman"/>
                <w:color w:val="C0504D" w:themeColor="accent2"/>
                <w:kern w:val="2"/>
                <w:sz w:val="21"/>
                <w:szCs w:val="21"/>
                <w14:textFill>
                  <w14:solidFill>
                    <w14:schemeClr w14:val="accent2"/>
                  </w14:solidFill>
                </w14:textFill>
              </w:rPr>
              <w:t>WQZFCG(ZB)-2023-</w:t>
            </w:r>
            <w:r>
              <w:rPr>
                <w:rFonts w:hint="eastAsia" w:ascii="Times New Roman" w:hAnsi="Times New Roman" w:cs="Times New Roman"/>
                <w:color w:val="C0504D" w:themeColor="accent2"/>
                <w:kern w:val="2"/>
                <w:sz w:val="21"/>
                <w:szCs w:val="21"/>
                <w:lang w:val="en-US" w:eastAsia="zh-CN"/>
                <w14:textFill>
                  <w14:solidFill>
                    <w14:schemeClr w14:val="accent2"/>
                  </w14:solidFill>
                </w14:textFill>
              </w:rPr>
              <w:t>111</w:t>
            </w:r>
          </w:p>
          <w:p>
            <w:pPr>
              <w:pStyle w:val="23"/>
              <w:spacing w:before="0" w:beforeAutospacing="0" w:after="0" w:afterAutospacing="0" w:line="510" w:lineRule="atLeast"/>
              <w:rPr>
                <w:rFonts w:ascii="Times New Roman" w:hAnsi="Times New Roman" w:cs="Times New Roman"/>
                <w:kern w:val="2"/>
                <w:sz w:val="21"/>
                <w:szCs w:val="21"/>
              </w:rPr>
            </w:pPr>
            <w:r>
              <w:rPr>
                <w:rFonts w:hint="eastAsia" w:ascii="Times New Roman" w:hAnsi="Times New Roman" w:cs="Times New Roman"/>
                <w:kern w:val="2"/>
                <w:sz w:val="21"/>
                <w:szCs w:val="21"/>
              </w:rPr>
              <w:t>服务内容：采购一批HIS、EMR、PACS等系统。（具体详见招标文件采购内容及参数要求）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1012" w:type="dxa"/>
            <w:vAlign w:val="center"/>
          </w:tcPr>
          <w:p>
            <w:pPr>
              <w:pStyle w:val="13"/>
              <w:snapToGrid w:val="0"/>
              <w:spacing w:line="290" w:lineRule="exact"/>
              <w:jc w:val="center"/>
              <w:rPr>
                <w:color w:val="auto"/>
                <w:szCs w:val="21"/>
              </w:rPr>
            </w:pPr>
            <w:r>
              <w:rPr>
                <w:rFonts w:hint="eastAsia"/>
                <w:color w:val="auto"/>
                <w:szCs w:val="21"/>
              </w:rPr>
              <w:t>4</w:t>
            </w:r>
          </w:p>
        </w:tc>
        <w:tc>
          <w:tcPr>
            <w:tcW w:w="1536" w:type="dxa"/>
            <w:vAlign w:val="center"/>
          </w:tcPr>
          <w:p>
            <w:pPr>
              <w:pStyle w:val="23"/>
              <w:spacing w:before="0" w:beforeAutospacing="0" w:after="0" w:afterAutospacing="0" w:line="510" w:lineRule="atLeast"/>
              <w:jc w:val="center"/>
              <w:rPr>
                <w:rFonts w:ascii="Times New Roman" w:hAnsi="Times New Roman" w:cs="Times New Roman"/>
                <w:kern w:val="2"/>
                <w:sz w:val="21"/>
                <w:szCs w:val="21"/>
              </w:rPr>
            </w:pPr>
            <w:r>
              <w:rPr>
                <w:rFonts w:hint="eastAsia" w:ascii="Times New Roman" w:hAnsi="Times New Roman" w:cs="Times New Roman"/>
                <w:kern w:val="2"/>
                <w:sz w:val="21"/>
                <w:szCs w:val="21"/>
              </w:rPr>
              <w:t>采购预算</w:t>
            </w:r>
          </w:p>
          <w:p>
            <w:pPr>
              <w:pStyle w:val="23"/>
              <w:spacing w:before="0" w:beforeAutospacing="0" w:after="0" w:afterAutospacing="0" w:line="510" w:lineRule="atLeast"/>
              <w:jc w:val="center"/>
              <w:rPr>
                <w:rFonts w:ascii="Times New Roman" w:hAnsi="Times New Roman" w:cs="Times New Roman"/>
                <w:kern w:val="2"/>
                <w:sz w:val="21"/>
                <w:szCs w:val="21"/>
              </w:rPr>
            </w:pPr>
            <w:r>
              <w:rPr>
                <w:rFonts w:hint="eastAsia" w:ascii="Times New Roman" w:hAnsi="Times New Roman" w:cs="Times New Roman"/>
                <w:kern w:val="2"/>
                <w:sz w:val="21"/>
                <w:szCs w:val="21"/>
              </w:rPr>
              <w:t>最高投标限价</w:t>
            </w:r>
          </w:p>
        </w:tc>
        <w:tc>
          <w:tcPr>
            <w:tcW w:w="7288" w:type="dxa"/>
            <w:vAlign w:val="center"/>
          </w:tcPr>
          <w:p>
            <w:pPr>
              <w:pStyle w:val="23"/>
              <w:spacing w:before="0" w:beforeAutospacing="0" w:after="0" w:afterAutospacing="0" w:line="510" w:lineRule="atLeast"/>
              <w:rPr>
                <w:rFonts w:ascii="Times New Roman" w:hAnsi="Times New Roman" w:cs="Times New Roman"/>
                <w:kern w:val="2"/>
                <w:sz w:val="21"/>
                <w:szCs w:val="21"/>
              </w:rPr>
            </w:pPr>
            <w:r>
              <w:rPr>
                <w:rFonts w:hint="eastAsia" w:ascii="Times New Roman" w:hAnsi="Times New Roman" w:cs="Times New Roman"/>
                <w:kern w:val="2"/>
                <w:sz w:val="21"/>
                <w:szCs w:val="21"/>
              </w:rPr>
              <w:t>采购预算：5496562元</w:t>
            </w:r>
          </w:p>
          <w:p>
            <w:pPr>
              <w:pStyle w:val="23"/>
              <w:spacing w:before="0" w:beforeAutospacing="0" w:after="0" w:afterAutospacing="0" w:line="510" w:lineRule="atLeast"/>
              <w:rPr>
                <w:rFonts w:ascii="Times New Roman" w:hAnsi="Times New Roman" w:cs="Times New Roman"/>
                <w:kern w:val="2"/>
                <w:sz w:val="21"/>
                <w:szCs w:val="21"/>
              </w:rPr>
            </w:pPr>
            <w:r>
              <w:rPr>
                <w:rFonts w:hint="eastAsia" w:ascii="Times New Roman" w:hAnsi="Times New Roman" w:cs="Times New Roman"/>
                <w:kern w:val="2"/>
                <w:sz w:val="21"/>
                <w:szCs w:val="21"/>
              </w:rPr>
              <w:t>最高投标限价：5496562元，投标人的投标报价不得高于最高投标限价，否则其投标将被否决。</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1012" w:type="dxa"/>
            <w:vAlign w:val="center"/>
          </w:tcPr>
          <w:p>
            <w:pPr>
              <w:pStyle w:val="13"/>
              <w:snapToGrid w:val="0"/>
              <w:jc w:val="center"/>
              <w:rPr>
                <w:color w:val="auto"/>
                <w:szCs w:val="21"/>
              </w:rPr>
            </w:pPr>
            <w:r>
              <w:rPr>
                <w:rFonts w:hint="eastAsia"/>
                <w:color w:val="auto"/>
                <w:szCs w:val="21"/>
              </w:rPr>
              <w:t>5</w:t>
            </w:r>
          </w:p>
        </w:tc>
        <w:tc>
          <w:tcPr>
            <w:tcW w:w="1536" w:type="dxa"/>
            <w:vAlign w:val="center"/>
          </w:tcPr>
          <w:p>
            <w:pPr>
              <w:widowControl/>
              <w:jc w:val="center"/>
              <w:rPr>
                <w:szCs w:val="21"/>
              </w:rPr>
            </w:pPr>
            <w:r>
              <w:rPr>
                <w:rFonts w:hint="eastAsia"/>
                <w:szCs w:val="21"/>
              </w:rPr>
              <w:t>资金来源</w:t>
            </w:r>
          </w:p>
        </w:tc>
        <w:tc>
          <w:tcPr>
            <w:tcW w:w="7288" w:type="dxa"/>
            <w:vAlign w:val="center"/>
          </w:tcPr>
          <w:p>
            <w:pPr>
              <w:widowControl/>
              <w:rPr>
                <w:rFonts w:ascii="宋体" w:hAnsi="宋体" w:cs="宋体"/>
                <w:kern w:val="0"/>
                <w:szCs w:val="21"/>
              </w:rPr>
            </w:pPr>
            <w:r>
              <w:rPr>
                <w:rFonts w:hint="eastAsia" w:ascii="宋体" w:hAnsi="宋体" w:cs="宋体"/>
                <w:kern w:val="0"/>
                <w:szCs w:val="21"/>
              </w:rPr>
              <w:t>援疆资金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67" w:hRule="atLeast"/>
          <w:jc w:val="center"/>
        </w:trPr>
        <w:tc>
          <w:tcPr>
            <w:tcW w:w="1012" w:type="dxa"/>
            <w:vAlign w:val="center"/>
          </w:tcPr>
          <w:p>
            <w:pPr>
              <w:pStyle w:val="13"/>
              <w:snapToGrid w:val="0"/>
              <w:jc w:val="center"/>
              <w:rPr>
                <w:color w:val="auto"/>
                <w:szCs w:val="21"/>
              </w:rPr>
            </w:pPr>
            <w:r>
              <w:rPr>
                <w:rFonts w:hint="eastAsia"/>
                <w:color w:val="auto"/>
                <w:szCs w:val="21"/>
              </w:rPr>
              <w:t>6</w:t>
            </w:r>
          </w:p>
        </w:tc>
        <w:tc>
          <w:tcPr>
            <w:tcW w:w="1536" w:type="dxa"/>
            <w:vAlign w:val="center"/>
          </w:tcPr>
          <w:p>
            <w:pPr>
              <w:widowControl/>
              <w:spacing w:line="300" w:lineRule="exact"/>
              <w:jc w:val="center"/>
              <w:rPr>
                <w:szCs w:val="21"/>
              </w:rPr>
            </w:pPr>
            <w:r>
              <w:rPr>
                <w:rFonts w:hint="eastAsia"/>
                <w:szCs w:val="21"/>
              </w:rPr>
              <w:t>实施（供货）时间</w:t>
            </w:r>
          </w:p>
        </w:tc>
        <w:tc>
          <w:tcPr>
            <w:tcW w:w="7288" w:type="dxa"/>
            <w:vAlign w:val="center"/>
          </w:tcPr>
          <w:p>
            <w:pPr>
              <w:pStyle w:val="23"/>
              <w:spacing w:before="256" w:beforeAutospacing="0" w:after="256" w:afterAutospacing="0" w:line="300" w:lineRule="exact"/>
              <w:jc w:val="both"/>
              <w:rPr>
                <w:rFonts w:ascii="Times New Roman" w:hAnsi="Times New Roman" w:cs="Times New Roman"/>
                <w:kern w:val="2"/>
                <w:sz w:val="21"/>
                <w:szCs w:val="21"/>
              </w:rPr>
            </w:pPr>
            <w:r>
              <w:rPr>
                <w:rFonts w:hint="eastAsia"/>
                <w:color w:val="FF0000"/>
                <w:kern w:val="2"/>
                <w:sz w:val="21"/>
                <w:szCs w:val="21"/>
                <w:highlight w:val="none"/>
              </w:rPr>
              <w:t>合同签订后于</w:t>
            </w:r>
            <w:r>
              <w:rPr>
                <w:color w:val="FF0000"/>
                <w:kern w:val="2"/>
                <w:sz w:val="21"/>
                <w:szCs w:val="21"/>
                <w:highlight w:val="none"/>
              </w:rPr>
              <w:t>90</w:t>
            </w:r>
            <w:r>
              <w:rPr>
                <w:rFonts w:hint="eastAsia"/>
                <w:color w:val="FF0000"/>
                <w:kern w:val="2"/>
                <w:sz w:val="21"/>
                <w:szCs w:val="21"/>
                <w:highlight w:val="none"/>
              </w:rPr>
              <w:t>日内全部安装、调试、试运行完毕。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7" w:hRule="atLeast"/>
          <w:jc w:val="center"/>
        </w:trPr>
        <w:tc>
          <w:tcPr>
            <w:tcW w:w="1012" w:type="dxa"/>
            <w:vAlign w:val="center"/>
          </w:tcPr>
          <w:p>
            <w:pPr>
              <w:pStyle w:val="13"/>
              <w:snapToGrid w:val="0"/>
              <w:jc w:val="center"/>
              <w:rPr>
                <w:color w:val="auto"/>
                <w:szCs w:val="21"/>
              </w:rPr>
            </w:pPr>
            <w:r>
              <w:rPr>
                <w:rFonts w:hint="eastAsia"/>
                <w:color w:val="auto"/>
                <w:szCs w:val="21"/>
              </w:rPr>
              <w:t>7</w:t>
            </w:r>
          </w:p>
        </w:tc>
        <w:tc>
          <w:tcPr>
            <w:tcW w:w="1536" w:type="dxa"/>
            <w:vAlign w:val="center"/>
          </w:tcPr>
          <w:p>
            <w:pPr>
              <w:widowControl/>
              <w:jc w:val="center"/>
              <w:rPr>
                <w:szCs w:val="21"/>
              </w:rPr>
            </w:pPr>
            <w:r>
              <w:rPr>
                <w:rFonts w:hint="eastAsia"/>
                <w:szCs w:val="21"/>
              </w:rPr>
              <w:t>实施（供货）</w:t>
            </w:r>
            <w:r>
              <w:rPr>
                <w:rFonts w:hint="eastAsia" w:ascii="宋体" w:hAnsi="宋体" w:cs="宋体"/>
                <w:szCs w:val="21"/>
              </w:rPr>
              <w:t>地点</w:t>
            </w:r>
          </w:p>
        </w:tc>
        <w:tc>
          <w:tcPr>
            <w:tcW w:w="7288" w:type="dxa"/>
            <w:vAlign w:val="center"/>
          </w:tcPr>
          <w:p>
            <w:pPr>
              <w:spacing w:line="440" w:lineRule="exact"/>
              <w:rPr>
                <w:rFonts w:ascii="宋体" w:hAnsi="宋体" w:cs="宋体"/>
                <w:sz w:val="24"/>
              </w:rPr>
            </w:pPr>
            <w:r>
              <w:rPr>
                <w:rFonts w:hint="eastAsia" w:ascii="宋体" w:hAnsi="宋体" w:cs="宋体"/>
                <w:b/>
                <w:bCs/>
                <w:szCs w:val="21"/>
              </w:rPr>
              <w:t>乌恰县</w:t>
            </w:r>
          </w:p>
          <w:p>
            <w:pPr>
              <w:widowControl/>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4" w:hRule="atLeast"/>
          <w:jc w:val="center"/>
        </w:trPr>
        <w:tc>
          <w:tcPr>
            <w:tcW w:w="1012" w:type="dxa"/>
            <w:vAlign w:val="center"/>
          </w:tcPr>
          <w:p>
            <w:pPr>
              <w:pStyle w:val="13"/>
              <w:snapToGrid w:val="0"/>
              <w:spacing w:line="290" w:lineRule="exact"/>
              <w:jc w:val="center"/>
              <w:rPr>
                <w:color w:val="auto"/>
                <w:szCs w:val="21"/>
              </w:rPr>
            </w:pPr>
            <w:r>
              <w:rPr>
                <w:rFonts w:hint="eastAsia"/>
                <w:color w:val="auto"/>
                <w:szCs w:val="21"/>
              </w:rPr>
              <w:t>8</w:t>
            </w:r>
          </w:p>
        </w:tc>
        <w:tc>
          <w:tcPr>
            <w:tcW w:w="1536" w:type="dxa"/>
            <w:vAlign w:val="center"/>
          </w:tcPr>
          <w:p>
            <w:pPr>
              <w:widowControl/>
              <w:spacing w:line="290" w:lineRule="exact"/>
              <w:jc w:val="center"/>
              <w:rPr>
                <w:rFonts w:ascii="宋体" w:hAnsi="宋体" w:cs="宋体"/>
                <w:szCs w:val="21"/>
              </w:rPr>
            </w:pPr>
            <w:r>
              <w:rPr>
                <w:rFonts w:hint="eastAsia" w:ascii="宋体" w:hAnsi="宋体" w:cs="宋体"/>
                <w:szCs w:val="21"/>
              </w:rPr>
              <w:t>质保期</w:t>
            </w:r>
          </w:p>
        </w:tc>
        <w:tc>
          <w:tcPr>
            <w:tcW w:w="7288" w:type="dxa"/>
            <w:vAlign w:val="center"/>
          </w:tcPr>
          <w:p>
            <w:pPr>
              <w:widowControl/>
              <w:spacing w:line="290" w:lineRule="exact"/>
              <w:rPr>
                <w:szCs w:val="21"/>
              </w:rPr>
            </w:pPr>
            <w:r>
              <w:rPr>
                <w:rFonts w:hint="eastAsia" w:ascii="宋体" w:hAnsi="宋体" w:cs="宋体"/>
                <w:color w:val="FF0000"/>
                <w:szCs w:val="21"/>
              </w:rPr>
              <w:t>2年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5" w:hRule="atLeast"/>
          <w:jc w:val="center"/>
        </w:trPr>
        <w:tc>
          <w:tcPr>
            <w:tcW w:w="1012" w:type="dxa"/>
            <w:vAlign w:val="center"/>
          </w:tcPr>
          <w:p>
            <w:pPr>
              <w:pStyle w:val="13"/>
              <w:snapToGrid w:val="0"/>
              <w:spacing w:line="290" w:lineRule="exact"/>
              <w:jc w:val="center"/>
              <w:rPr>
                <w:color w:val="auto"/>
                <w:szCs w:val="21"/>
              </w:rPr>
            </w:pPr>
            <w:r>
              <w:rPr>
                <w:rFonts w:hint="eastAsia"/>
                <w:color w:val="auto"/>
                <w:szCs w:val="21"/>
              </w:rPr>
              <w:t>9</w:t>
            </w:r>
          </w:p>
        </w:tc>
        <w:tc>
          <w:tcPr>
            <w:tcW w:w="1536" w:type="dxa"/>
            <w:vAlign w:val="center"/>
          </w:tcPr>
          <w:p>
            <w:pPr>
              <w:widowControl/>
              <w:spacing w:line="290" w:lineRule="exact"/>
              <w:jc w:val="center"/>
              <w:rPr>
                <w:szCs w:val="21"/>
              </w:rPr>
            </w:pPr>
            <w:r>
              <w:rPr>
                <w:rFonts w:hint="eastAsia" w:ascii="宋体" w:hAnsi="宋体" w:cs="宋体"/>
                <w:szCs w:val="21"/>
              </w:rPr>
              <w:t>付款方式</w:t>
            </w:r>
          </w:p>
        </w:tc>
        <w:tc>
          <w:tcPr>
            <w:tcW w:w="7288" w:type="dxa"/>
            <w:vAlign w:val="center"/>
          </w:tcPr>
          <w:p>
            <w:pPr>
              <w:pStyle w:val="10"/>
              <w:spacing w:line="360" w:lineRule="auto"/>
              <w:rPr>
                <w:rFonts w:ascii="宋体" w:hAnsi="宋体" w:cs="宋体"/>
                <w:szCs w:val="21"/>
              </w:rPr>
            </w:pPr>
            <w:r>
              <w:rPr>
                <w:rFonts w:hint="eastAsia" w:ascii="宋体" w:hAnsi="宋体" w:cs="宋体"/>
                <w:color w:val="FF0000"/>
                <w:szCs w:val="21"/>
              </w:rPr>
              <w:t>甲乙双方签订合同后付合同总价的50%，供货完成验收合格后付剩余50%。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8" w:hRule="atLeast"/>
          <w:jc w:val="center"/>
        </w:trPr>
        <w:tc>
          <w:tcPr>
            <w:tcW w:w="1012" w:type="dxa"/>
            <w:vAlign w:val="center"/>
          </w:tcPr>
          <w:p>
            <w:pPr>
              <w:pStyle w:val="13"/>
              <w:snapToGrid w:val="0"/>
              <w:spacing w:line="290" w:lineRule="exact"/>
              <w:jc w:val="center"/>
              <w:rPr>
                <w:color w:val="auto"/>
                <w:szCs w:val="21"/>
              </w:rPr>
            </w:pPr>
            <w:r>
              <w:rPr>
                <w:rFonts w:hint="eastAsia"/>
                <w:color w:val="auto"/>
                <w:szCs w:val="21"/>
              </w:rPr>
              <w:t>10</w:t>
            </w:r>
          </w:p>
        </w:tc>
        <w:tc>
          <w:tcPr>
            <w:tcW w:w="1536" w:type="dxa"/>
            <w:vAlign w:val="center"/>
          </w:tcPr>
          <w:p>
            <w:pPr>
              <w:pStyle w:val="13"/>
              <w:snapToGrid w:val="0"/>
              <w:spacing w:line="290" w:lineRule="exact"/>
              <w:jc w:val="center"/>
              <w:rPr>
                <w:color w:val="auto"/>
                <w:szCs w:val="21"/>
              </w:rPr>
            </w:pPr>
            <w:r>
              <w:rPr>
                <w:rFonts w:hint="eastAsia"/>
                <w:color w:val="auto"/>
                <w:szCs w:val="21"/>
              </w:rPr>
              <w:t>招标方式</w:t>
            </w:r>
          </w:p>
        </w:tc>
        <w:tc>
          <w:tcPr>
            <w:tcW w:w="7288" w:type="dxa"/>
            <w:vAlign w:val="center"/>
          </w:tcPr>
          <w:p>
            <w:pPr>
              <w:pStyle w:val="13"/>
              <w:snapToGrid w:val="0"/>
              <w:spacing w:line="290" w:lineRule="exact"/>
              <w:rPr>
                <w:color w:val="auto"/>
                <w:szCs w:val="21"/>
              </w:rPr>
            </w:pPr>
            <w:r>
              <w:rPr>
                <w:rFonts w:hint="eastAsia"/>
                <w:color w:val="auto"/>
                <w:szCs w:val="21"/>
              </w:rPr>
              <w:t>公开招标</w:t>
            </w:r>
            <w:r>
              <w:rPr>
                <w:rFonts w:hint="eastAsia" w:hAnsi="宋体" w:cs="宋体-18030"/>
                <w:color w:val="auto"/>
                <w:szCs w:val="21"/>
              </w:rPr>
              <w:t>(本项目采用网上电子招投标)</w:t>
            </w:r>
            <w:r>
              <w:rPr>
                <w:rFonts w:hint="eastAsia"/>
                <w:color w:val="auto"/>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vAlign w:val="center"/>
          </w:tcPr>
          <w:p>
            <w:pPr>
              <w:pStyle w:val="13"/>
              <w:snapToGrid w:val="0"/>
              <w:spacing w:line="290" w:lineRule="exact"/>
              <w:jc w:val="center"/>
              <w:rPr>
                <w:color w:val="auto"/>
                <w:szCs w:val="21"/>
              </w:rPr>
            </w:pPr>
            <w:r>
              <w:rPr>
                <w:rFonts w:hint="eastAsia"/>
                <w:color w:val="auto"/>
                <w:szCs w:val="21"/>
              </w:rPr>
              <w:t>11</w:t>
            </w:r>
          </w:p>
        </w:tc>
        <w:tc>
          <w:tcPr>
            <w:tcW w:w="1536" w:type="dxa"/>
            <w:vAlign w:val="center"/>
          </w:tcPr>
          <w:p>
            <w:pPr>
              <w:pStyle w:val="13"/>
              <w:snapToGrid w:val="0"/>
              <w:spacing w:line="290" w:lineRule="exact"/>
              <w:jc w:val="center"/>
              <w:rPr>
                <w:color w:val="auto"/>
                <w:szCs w:val="21"/>
              </w:rPr>
            </w:pPr>
            <w:r>
              <w:rPr>
                <w:rFonts w:hint="eastAsia"/>
                <w:color w:val="auto"/>
                <w:szCs w:val="21"/>
              </w:rPr>
              <w:t>投标人资格条件及其他要求</w:t>
            </w:r>
          </w:p>
        </w:tc>
        <w:tc>
          <w:tcPr>
            <w:tcW w:w="7288" w:type="dxa"/>
            <w:vAlign w:val="center"/>
          </w:tcPr>
          <w:p>
            <w:pPr>
              <w:pStyle w:val="13"/>
              <w:snapToGrid w:val="0"/>
              <w:spacing w:line="360" w:lineRule="auto"/>
              <w:jc w:val="left"/>
              <w:rPr>
                <w:color w:val="auto"/>
                <w:szCs w:val="21"/>
              </w:rPr>
            </w:pPr>
            <w:r>
              <w:rPr>
                <w:rFonts w:hint="eastAsia"/>
                <w:color w:val="auto"/>
                <w:szCs w:val="21"/>
              </w:rPr>
              <w:t>1.满足《中华人民共和国政府采购法》第二十二条规定；</w:t>
            </w:r>
          </w:p>
          <w:p>
            <w:pPr>
              <w:pStyle w:val="13"/>
              <w:snapToGrid w:val="0"/>
              <w:spacing w:line="360" w:lineRule="auto"/>
              <w:jc w:val="left"/>
              <w:rPr>
                <w:color w:val="auto"/>
                <w:szCs w:val="21"/>
              </w:rPr>
            </w:pPr>
            <w:r>
              <w:rPr>
                <w:rFonts w:hint="eastAsia"/>
                <w:color w:val="auto"/>
                <w:szCs w:val="21"/>
              </w:rPr>
              <w:t>2.落实政府采购政策需满足的资格要求：标项1：供应商为中小企业。 </w:t>
            </w:r>
          </w:p>
          <w:p>
            <w:pPr>
              <w:pStyle w:val="13"/>
              <w:snapToGrid w:val="0"/>
              <w:spacing w:line="360" w:lineRule="auto"/>
              <w:jc w:val="left"/>
              <w:rPr>
                <w:color w:val="auto"/>
                <w:szCs w:val="21"/>
              </w:rPr>
            </w:pPr>
            <w:r>
              <w:rPr>
                <w:rFonts w:hint="eastAsia"/>
                <w:color w:val="auto"/>
                <w:szCs w:val="21"/>
              </w:rPr>
              <w:t>3.本项目的特定资格要求：标项1：</w:t>
            </w:r>
          </w:p>
          <w:p>
            <w:pPr>
              <w:pStyle w:val="13"/>
              <w:snapToGrid w:val="0"/>
              <w:spacing w:line="360" w:lineRule="auto"/>
              <w:jc w:val="left"/>
              <w:rPr>
                <w:color w:val="auto"/>
                <w:szCs w:val="21"/>
              </w:rPr>
            </w:pPr>
            <w:r>
              <w:rPr>
                <w:rFonts w:hint="eastAsia"/>
                <w:color w:val="auto"/>
                <w:szCs w:val="21"/>
              </w:rPr>
              <w:t>1).具备三证合一营业执照副本；</w:t>
            </w:r>
          </w:p>
          <w:p>
            <w:pPr>
              <w:pStyle w:val="13"/>
              <w:snapToGrid w:val="0"/>
              <w:spacing w:line="360" w:lineRule="auto"/>
              <w:jc w:val="left"/>
              <w:rPr>
                <w:color w:val="auto"/>
                <w:szCs w:val="21"/>
              </w:rPr>
            </w:pPr>
            <w:r>
              <w:rPr>
                <w:rFonts w:hint="eastAsia"/>
                <w:color w:val="auto"/>
                <w:szCs w:val="21"/>
              </w:rPr>
              <w:t>2).法定代表人投标需提供法定代表人资格证明书，委托代理人投标需提供法定代表人授权委托书；</w:t>
            </w:r>
          </w:p>
          <w:p>
            <w:pPr>
              <w:pStyle w:val="13"/>
              <w:snapToGrid w:val="0"/>
              <w:spacing w:line="360" w:lineRule="auto"/>
              <w:jc w:val="left"/>
              <w:rPr>
                <w:color w:val="auto"/>
                <w:szCs w:val="21"/>
              </w:rPr>
            </w:pPr>
            <w:r>
              <w:rPr>
                <w:rFonts w:hint="eastAsia"/>
                <w:color w:val="auto"/>
                <w:szCs w:val="21"/>
              </w:rPr>
              <w:t>3).投标企业须提供投标人（被授权在职人员）近6个月有效的社保证明；</w:t>
            </w:r>
          </w:p>
          <w:p>
            <w:pPr>
              <w:pStyle w:val="13"/>
              <w:snapToGrid w:val="0"/>
              <w:spacing w:line="360" w:lineRule="auto"/>
              <w:jc w:val="left"/>
              <w:rPr>
                <w:color w:val="auto"/>
                <w:szCs w:val="21"/>
              </w:rPr>
            </w:pPr>
            <w:r>
              <w:rPr>
                <w:rFonts w:hint="eastAsia"/>
                <w:color w:val="auto"/>
                <w:szCs w:val="21"/>
              </w:rPr>
              <w:t>4).未被“信用中国”（www.creditchina.gov.cn）、中国政府采购网（www.ccgp.gov.cn）列入失信被执行人、重大税收违法案件当事人名单、政府采购严重违法失信行为记录名单；</w:t>
            </w:r>
          </w:p>
          <w:p>
            <w:pPr>
              <w:pStyle w:val="13"/>
              <w:snapToGrid w:val="0"/>
              <w:spacing w:line="360" w:lineRule="auto"/>
              <w:jc w:val="left"/>
              <w:rPr>
                <w:color w:val="auto"/>
              </w:rPr>
            </w:pPr>
            <w:r>
              <w:rPr>
                <w:rFonts w:hint="eastAsia"/>
                <w:color w:val="auto"/>
                <w:szCs w:val="21"/>
              </w:rPr>
              <w:t>5).本项目不接受联合体投标。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1012" w:type="dxa"/>
            <w:vAlign w:val="center"/>
          </w:tcPr>
          <w:p>
            <w:pPr>
              <w:pStyle w:val="13"/>
              <w:snapToGrid w:val="0"/>
              <w:spacing w:line="290" w:lineRule="exact"/>
              <w:jc w:val="center"/>
              <w:rPr>
                <w:color w:val="auto"/>
                <w:szCs w:val="21"/>
              </w:rPr>
            </w:pPr>
            <w:r>
              <w:rPr>
                <w:rFonts w:hint="eastAsia"/>
                <w:color w:val="auto"/>
                <w:szCs w:val="21"/>
              </w:rPr>
              <w:t>12</w:t>
            </w:r>
          </w:p>
        </w:tc>
        <w:tc>
          <w:tcPr>
            <w:tcW w:w="1536" w:type="dxa"/>
            <w:vAlign w:val="center"/>
          </w:tcPr>
          <w:p>
            <w:pPr>
              <w:pStyle w:val="13"/>
              <w:snapToGrid w:val="0"/>
              <w:spacing w:line="290" w:lineRule="exact"/>
              <w:jc w:val="center"/>
              <w:rPr>
                <w:color w:val="auto"/>
                <w:szCs w:val="21"/>
              </w:rPr>
            </w:pPr>
            <w:r>
              <w:rPr>
                <w:rFonts w:hint="eastAsia"/>
                <w:color w:val="auto"/>
                <w:szCs w:val="21"/>
              </w:rPr>
              <w:t>供应商信用</w:t>
            </w:r>
          </w:p>
          <w:p>
            <w:pPr>
              <w:pStyle w:val="13"/>
              <w:snapToGrid w:val="0"/>
              <w:spacing w:line="290" w:lineRule="exact"/>
              <w:jc w:val="center"/>
              <w:rPr>
                <w:color w:val="auto"/>
                <w:szCs w:val="21"/>
              </w:rPr>
            </w:pPr>
            <w:r>
              <w:rPr>
                <w:rFonts w:hint="eastAsia"/>
                <w:color w:val="auto"/>
                <w:szCs w:val="21"/>
              </w:rPr>
              <w:t>查询</w:t>
            </w:r>
          </w:p>
        </w:tc>
        <w:tc>
          <w:tcPr>
            <w:tcW w:w="7288" w:type="dxa"/>
            <w:vAlign w:val="center"/>
          </w:tcPr>
          <w:p>
            <w:pPr>
              <w:pStyle w:val="13"/>
              <w:snapToGrid w:val="0"/>
              <w:spacing w:line="360" w:lineRule="auto"/>
              <w:jc w:val="left"/>
              <w:rPr>
                <w:color w:val="auto"/>
                <w:szCs w:val="21"/>
              </w:rPr>
            </w:pPr>
            <w:r>
              <w:rPr>
                <w:rFonts w:hint="eastAsia"/>
                <w:color w:val="auto"/>
                <w:szCs w:val="21"/>
              </w:rPr>
              <w:t>1、查询渠道：信用中国（网址：http://www.creditchina.gov.cn）、中国政府采购网(网址：http://www.ccgp.gov.cn）。</w:t>
            </w:r>
          </w:p>
          <w:p>
            <w:pPr>
              <w:pStyle w:val="13"/>
              <w:snapToGrid w:val="0"/>
              <w:spacing w:line="360" w:lineRule="auto"/>
              <w:jc w:val="left"/>
              <w:rPr>
                <w:color w:val="auto"/>
                <w:szCs w:val="21"/>
              </w:rPr>
            </w:pPr>
            <w:r>
              <w:rPr>
                <w:rFonts w:hint="eastAsia"/>
                <w:color w:val="auto"/>
                <w:szCs w:val="21"/>
              </w:rPr>
              <w:t>2、截止时点：开标后评标前。</w:t>
            </w:r>
          </w:p>
          <w:p>
            <w:pPr>
              <w:pStyle w:val="13"/>
              <w:snapToGrid w:val="0"/>
              <w:spacing w:line="360" w:lineRule="auto"/>
              <w:jc w:val="left"/>
              <w:rPr>
                <w:color w:val="auto"/>
                <w:szCs w:val="21"/>
              </w:rPr>
            </w:pPr>
            <w:r>
              <w:rPr>
                <w:rFonts w:hint="eastAsia"/>
                <w:color w:val="auto"/>
                <w:szCs w:val="21"/>
              </w:rPr>
              <w:t>3、信用信息查询记录和证据留存的具体方式：由采购组织机构在规定查询时间内打印信用信息查询记录并归入项目档案。</w:t>
            </w:r>
          </w:p>
          <w:p>
            <w:pPr>
              <w:pStyle w:val="13"/>
              <w:snapToGrid w:val="0"/>
              <w:spacing w:line="360" w:lineRule="auto"/>
              <w:jc w:val="left"/>
              <w:rPr>
                <w:color w:val="auto"/>
                <w:szCs w:val="21"/>
              </w:rPr>
            </w:pPr>
            <w:r>
              <w:rPr>
                <w:rFonts w:hint="eastAsia"/>
                <w:color w:val="auto"/>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1012" w:type="dxa"/>
            <w:vAlign w:val="center"/>
          </w:tcPr>
          <w:p>
            <w:pPr>
              <w:pStyle w:val="13"/>
              <w:snapToGrid w:val="0"/>
              <w:spacing w:line="290" w:lineRule="exact"/>
              <w:jc w:val="center"/>
              <w:rPr>
                <w:color w:val="auto"/>
                <w:szCs w:val="21"/>
              </w:rPr>
            </w:pPr>
            <w:r>
              <w:rPr>
                <w:rFonts w:hint="eastAsia"/>
                <w:color w:val="auto"/>
                <w:szCs w:val="21"/>
              </w:rPr>
              <w:t>13</w:t>
            </w:r>
          </w:p>
        </w:tc>
        <w:tc>
          <w:tcPr>
            <w:tcW w:w="1536" w:type="dxa"/>
            <w:vAlign w:val="center"/>
          </w:tcPr>
          <w:p>
            <w:pPr>
              <w:pStyle w:val="13"/>
              <w:snapToGrid w:val="0"/>
              <w:spacing w:line="290" w:lineRule="exact"/>
              <w:jc w:val="center"/>
              <w:rPr>
                <w:color w:val="auto"/>
                <w:szCs w:val="21"/>
              </w:rPr>
            </w:pPr>
            <w:r>
              <w:rPr>
                <w:rFonts w:hint="eastAsia"/>
                <w:color w:val="auto"/>
                <w:szCs w:val="21"/>
              </w:rPr>
              <w:t>踏勘现场</w:t>
            </w:r>
          </w:p>
        </w:tc>
        <w:tc>
          <w:tcPr>
            <w:tcW w:w="7288" w:type="dxa"/>
            <w:vAlign w:val="center"/>
          </w:tcPr>
          <w:p>
            <w:pPr>
              <w:pStyle w:val="13"/>
              <w:snapToGrid w:val="0"/>
              <w:spacing w:line="290" w:lineRule="exact"/>
              <w:rPr>
                <w:color w:val="auto"/>
                <w:szCs w:val="21"/>
              </w:rPr>
            </w:pPr>
            <w:r>
              <w:rPr>
                <w:rFonts w:hint="eastAsia"/>
                <w:color w:val="auto"/>
                <w:szCs w:val="21"/>
              </w:rPr>
              <w:t>自行踏勘现场。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1012" w:type="dxa"/>
            <w:vAlign w:val="center"/>
          </w:tcPr>
          <w:p>
            <w:pPr>
              <w:pStyle w:val="13"/>
              <w:snapToGrid w:val="0"/>
              <w:spacing w:line="290" w:lineRule="exact"/>
              <w:jc w:val="center"/>
              <w:rPr>
                <w:color w:val="auto"/>
                <w:szCs w:val="21"/>
              </w:rPr>
            </w:pPr>
            <w:r>
              <w:rPr>
                <w:rFonts w:hint="eastAsia"/>
                <w:color w:val="auto"/>
                <w:szCs w:val="21"/>
              </w:rPr>
              <w:t>14</w:t>
            </w:r>
          </w:p>
        </w:tc>
        <w:tc>
          <w:tcPr>
            <w:tcW w:w="1536" w:type="dxa"/>
            <w:vAlign w:val="center"/>
          </w:tcPr>
          <w:p>
            <w:pPr>
              <w:pStyle w:val="13"/>
              <w:snapToGrid w:val="0"/>
              <w:spacing w:line="290" w:lineRule="exact"/>
              <w:jc w:val="center"/>
              <w:rPr>
                <w:color w:val="auto"/>
                <w:szCs w:val="21"/>
              </w:rPr>
            </w:pPr>
            <w:r>
              <w:rPr>
                <w:rFonts w:hint="eastAsia"/>
                <w:color w:val="auto"/>
                <w:szCs w:val="21"/>
              </w:rPr>
              <w:t>投标预备会</w:t>
            </w:r>
          </w:p>
        </w:tc>
        <w:tc>
          <w:tcPr>
            <w:tcW w:w="7288" w:type="dxa"/>
            <w:vAlign w:val="center"/>
          </w:tcPr>
          <w:p>
            <w:pPr>
              <w:pStyle w:val="13"/>
              <w:snapToGrid w:val="0"/>
              <w:spacing w:line="290" w:lineRule="exact"/>
              <w:rPr>
                <w:color w:val="auto"/>
                <w:szCs w:val="21"/>
              </w:rPr>
            </w:pPr>
            <w:r>
              <w:rPr>
                <w:rFonts w:hint="eastAsia"/>
                <w:color w:val="auto"/>
                <w:szCs w:val="21"/>
              </w:rPr>
              <w:t>不召开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12" w:type="dxa"/>
            <w:vAlign w:val="center"/>
          </w:tcPr>
          <w:p>
            <w:pPr>
              <w:snapToGrid w:val="0"/>
              <w:spacing w:line="290" w:lineRule="exact"/>
              <w:jc w:val="center"/>
              <w:rPr>
                <w:szCs w:val="21"/>
              </w:rPr>
            </w:pPr>
            <w:r>
              <w:rPr>
                <w:rFonts w:hint="eastAsia" w:ascii="宋体" w:cs="宋体"/>
                <w:szCs w:val="21"/>
              </w:rPr>
              <w:t>15</w:t>
            </w:r>
          </w:p>
        </w:tc>
        <w:tc>
          <w:tcPr>
            <w:tcW w:w="1536" w:type="dxa"/>
            <w:vAlign w:val="center"/>
          </w:tcPr>
          <w:p>
            <w:pPr>
              <w:pStyle w:val="13"/>
              <w:snapToGrid w:val="0"/>
              <w:spacing w:line="290" w:lineRule="exact"/>
              <w:jc w:val="center"/>
              <w:rPr>
                <w:color w:val="auto"/>
                <w:szCs w:val="21"/>
              </w:rPr>
            </w:pPr>
            <w:r>
              <w:rPr>
                <w:rFonts w:hint="eastAsia"/>
                <w:color w:val="auto"/>
                <w:szCs w:val="21"/>
              </w:rPr>
              <w:t>联合体投标</w:t>
            </w:r>
          </w:p>
        </w:tc>
        <w:tc>
          <w:tcPr>
            <w:tcW w:w="7288" w:type="dxa"/>
            <w:vAlign w:val="center"/>
          </w:tcPr>
          <w:p>
            <w:pPr>
              <w:spacing w:line="360" w:lineRule="auto"/>
              <w:rPr>
                <w:rFonts w:ascii="宋体" w:hAnsi="宋体" w:cs="宋体"/>
                <w:szCs w:val="21"/>
              </w:rPr>
            </w:pPr>
            <w:r>
              <w:rPr>
                <w:rFonts w:hint="eastAsia" w:hAnsi="宋体" w:cs="宋体"/>
                <w:szCs w:val="21"/>
              </w:rPr>
              <w:t>☑</w:t>
            </w:r>
            <w:r>
              <w:rPr>
                <w:rFonts w:hint="eastAsia" w:ascii="宋体" w:hAnsi="宋体" w:cs="宋体"/>
                <w:szCs w:val="21"/>
              </w:rPr>
              <w:t>不接受</w:t>
            </w:r>
          </w:p>
          <w:p>
            <w:pPr>
              <w:pStyle w:val="13"/>
              <w:snapToGrid w:val="0"/>
              <w:spacing w:line="360" w:lineRule="auto"/>
              <w:rPr>
                <w:color w:val="auto"/>
                <w:szCs w:val="21"/>
              </w:rPr>
            </w:pPr>
            <w:r>
              <w:rPr>
                <w:rFonts w:hint="eastAsia" w:hAnsi="宋体" w:cs="宋体"/>
                <w:color w:val="auto"/>
                <w:szCs w:val="21"/>
              </w:rPr>
              <w:t>□接受，联合体投标的须在投标文件中提供联合体协议书，联合体所有成员不得超过2家，联合体的任何一方均不得再与其他投标单位联合。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12" w:type="dxa"/>
            <w:vAlign w:val="center"/>
          </w:tcPr>
          <w:p>
            <w:pPr>
              <w:snapToGrid w:val="0"/>
              <w:spacing w:line="290" w:lineRule="exact"/>
              <w:jc w:val="center"/>
              <w:rPr>
                <w:rFonts w:ascii="宋体" w:cs="宋体"/>
                <w:szCs w:val="21"/>
              </w:rPr>
            </w:pPr>
            <w:r>
              <w:rPr>
                <w:rFonts w:hint="eastAsia" w:ascii="宋体" w:cs="宋体"/>
                <w:szCs w:val="21"/>
              </w:rPr>
              <w:t>16</w:t>
            </w:r>
          </w:p>
        </w:tc>
        <w:tc>
          <w:tcPr>
            <w:tcW w:w="1536" w:type="dxa"/>
            <w:vAlign w:val="center"/>
          </w:tcPr>
          <w:p>
            <w:pPr>
              <w:snapToGrid w:val="0"/>
              <w:spacing w:line="290" w:lineRule="exact"/>
              <w:jc w:val="center"/>
              <w:rPr>
                <w:rFonts w:ascii="宋体"/>
                <w:szCs w:val="21"/>
              </w:rPr>
            </w:pPr>
            <w:r>
              <w:rPr>
                <w:rFonts w:hint="eastAsia" w:ascii="宋体"/>
                <w:szCs w:val="21"/>
              </w:rPr>
              <w:t>招标代理费</w:t>
            </w:r>
          </w:p>
        </w:tc>
        <w:tc>
          <w:tcPr>
            <w:tcW w:w="7288" w:type="dxa"/>
            <w:vAlign w:val="center"/>
          </w:tcPr>
          <w:p>
            <w:pPr>
              <w:snapToGrid w:val="0"/>
              <w:spacing w:line="360" w:lineRule="auto"/>
              <w:rPr>
                <w:rFonts w:ascii="宋体" w:hAnsi="宋体" w:cs="宋体"/>
                <w:snapToGrid w:val="0"/>
                <w:szCs w:val="21"/>
              </w:rPr>
            </w:pPr>
            <w:r>
              <w:rPr>
                <w:rFonts w:hint="eastAsia" w:ascii="宋体" w:hAnsi="宋体" w:cs="宋体"/>
                <w:snapToGrid w:val="0"/>
                <w:szCs w:val="21"/>
              </w:rPr>
              <w:t>中标单位在领取本项目中标通知书时，按照《国家计委关于印发招标代理服务收费管理暂行办法的通知（计价格[2002]1980号）及《招标代理服务收费有关问题》（发改办价格〔2003〕857号文）中规定向招标代理机构支付本项目代理费。收费标准如下：</w:t>
            </w:r>
          </w:p>
          <w:p>
            <w:pPr>
              <w:snapToGrid w:val="0"/>
              <w:spacing w:line="360" w:lineRule="auto"/>
              <w:ind w:firstLine="2100" w:firstLineChars="1000"/>
              <w:rPr>
                <w:rFonts w:ascii="宋体" w:hAnsi="宋体" w:cs="宋体"/>
                <w:snapToGrid w:val="0"/>
                <w:szCs w:val="21"/>
              </w:rPr>
            </w:pPr>
            <w:r>
              <w:rPr>
                <w:rFonts w:hint="eastAsia" w:ascii="宋体" w:hAnsi="宋体" w:cs="宋体"/>
                <w:snapToGrid w:val="0"/>
                <w:szCs w:val="21"/>
              </w:rPr>
              <w:t>招标代理服务收费标准</w:t>
            </w:r>
          </w:p>
          <w:tbl>
            <w:tblPr>
              <w:tblStyle w:val="27"/>
              <w:tblW w:w="6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546"/>
              <w:gridCol w:w="1907"/>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953" w:type="dxa"/>
                </w:tcPr>
                <w:p>
                  <w:pPr>
                    <w:snapToGrid w:val="0"/>
                    <w:spacing w:line="290" w:lineRule="exact"/>
                    <w:jc w:val="center"/>
                    <w:rPr>
                      <w:rFonts w:ascii="宋体" w:hAnsi="宋体" w:cs="宋体"/>
                      <w:snapToGrid w:val="0"/>
                      <w:szCs w:val="21"/>
                    </w:rPr>
                  </w:pPr>
                  <w:r>
                    <w:rPr>
                      <w:rFonts w:hint="eastAsia" w:ascii="宋体" w:hAnsi="宋体" w:cs="宋体"/>
                      <w:snapToGrid w:val="0"/>
                      <w:szCs w:val="21"/>
                    </w:rPr>
                    <w:t>中标金额（万元）</w:t>
                  </w:r>
                </w:p>
              </w:tc>
              <w:tc>
                <w:tcPr>
                  <w:tcW w:w="1546" w:type="dxa"/>
                </w:tcPr>
                <w:p>
                  <w:pPr>
                    <w:snapToGrid w:val="0"/>
                    <w:spacing w:line="290" w:lineRule="exact"/>
                    <w:jc w:val="center"/>
                    <w:rPr>
                      <w:rFonts w:ascii="宋体" w:hAnsi="宋体" w:cs="宋体"/>
                      <w:snapToGrid w:val="0"/>
                      <w:szCs w:val="21"/>
                    </w:rPr>
                  </w:pPr>
                  <w:r>
                    <w:rPr>
                      <w:rFonts w:hint="eastAsia" w:ascii="宋体" w:hAnsi="宋体" w:cs="宋体"/>
                      <w:snapToGrid w:val="0"/>
                      <w:szCs w:val="21"/>
                    </w:rPr>
                    <w:t>货物招标</w:t>
                  </w:r>
                </w:p>
              </w:tc>
              <w:tc>
                <w:tcPr>
                  <w:tcW w:w="1907" w:type="dxa"/>
                </w:tcPr>
                <w:p>
                  <w:pPr>
                    <w:snapToGrid w:val="0"/>
                    <w:spacing w:line="290" w:lineRule="exact"/>
                    <w:jc w:val="center"/>
                    <w:rPr>
                      <w:rFonts w:ascii="宋体" w:hAnsi="宋体" w:cs="宋体"/>
                      <w:snapToGrid w:val="0"/>
                      <w:szCs w:val="21"/>
                    </w:rPr>
                  </w:pPr>
                  <w:r>
                    <w:rPr>
                      <w:rFonts w:hint="eastAsia" w:ascii="宋体" w:hAnsi="宋体" w:cs="宋体"/>
                      <w:snapToGrid w:val="0"/>
                      <w:szCs w:val="21"/>
                    </w:rPr>
                    <w:t>服务招标</w:t>
                  </w:r>
                </w:p>
              </w:tc>
              <w:tc>
                <w:tcPr>
                  <w:tcW w:w="1547" w:type="dxa"/>
                </w:tcPr>
                <w:p>
                  <w:pPr>
                    <w:snapToGrid w:val="0"/>
                    <w:spacing w:line="290" w:lineRule="exact"/>
                    <w:jc w:val="center"/>
                    <w:rPr>
                      <w:rFonts w:ascii="宋体" w:hAnsi="宋体" w:cs="宋体"/>
                      <w:snapToGrid w:val="0"/>
                      <w:szCs w:val="21"/>
                    </w:rPr>
                  </w:pPr>
                  <w:r>
                    <w:rPr>
                      <w:rFonts w:hint="eastAsia" w:ascii="宋体" w:hAnsi="宋体" w:cs="宋体"/>
                      <w:snapToGrid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953" w:type="dxa"/>
                  <w:vAlign w:val="center"/>
                </w:tcPr>
                <w:p>
                  <w:pPr>
                    <w:snapToGrid w:val="0"/>
                    <w:spacing w:line="290" w:lineRule="exact"/>
                    <w:jc w:val="center"/>
                    <w:rPr>
                      <w:rFonts w:ascii="宋体" w:hAnsi="宋体" w:cs="宋体"/>
                      <w:snapToGrid w:val="0"/>
                      <w:szCs w:val="21"/>
                    </w:rPr>
                  </w:pPr>
                  <w:r>
                    <w:rPr>
                      <w:rFonts w:hint="eastAsia" w:ascii="宋体" w:hAnsi="宋体" w:cs="宋体"/>
                      <w:snapToGrid w:val="0"/>
                      <w:szCs w:val="21"/>
                    </w:rPr>
                    <w:t>100以下</w:t>
                  </w:r>
                </w:p>
              </w:tc>
              <w:tc>
                <w:tcPr>
                  <w:tcW w:w="1546" w:type="dxa"/>
                  <w:vAlign w:val="center"/>
                </w:tcPr>
                <w:p>
                  <w:pPr>
                    <w:snapToGrid w:val="0"/>
                    <w:spacing w:line="290" w:lineRule="exact"/>
                    <w:jc w:val="center"/>
                    <w:rPr>
                      <w:rFonts w:ascii="宋体" w:hAnsi="宋体" w:cs="宋体"/>
                      <w:snapToGrid w:val="0"/>
                      <w:szCs w:val="21"/>
                    </w:rPr>
                  </w:pPr>
                  <w:r>
                    <w:rPr>
                      <w:rFonts w:hint="eastAsia" w:ascii="宋体" w:hAnsi="宋体" w:cs="宋体"/>
                      <w:snapToGrid w:val="0"/>
                      <w:szCs w:val="21"/>
                    </w:rPr>
                    <w:t>1.50%</w:t>
                  </w:r>
                </w:p>
              </w:tc>
              <w:tc>
                <w:tcPr>
                  <w:tcW w:w="1907" w:type="dxa"/>
                  <w:vAlign w:val="center"/>
                </w:tcPr>
                <w:p>
                  <w:pPr>
                    <w:snapToGrid w:val="0"/>
                    <w:spacing w:line="290" w:lineRule="exact"/>
                    <w:jc w:val="center"/>
                    <w:rPr>
                      <w:rFonts w:ascii="宋体" w:hAnsi="宋体" w:cs="宋体"/>
                      <w:snapToGrid w:val="0"/>
                      <w:szCs w:val="21"/>
                    </w:rPr>
                  </w:pPr>
                  <w:r>
                    <w:rPr>
                      <w:rFonts w:hint="eastAsia" w:ascii="宋体" w:hAnsi="宋体" w:cs="宋体"/>
                      <w:snapToGrid w:val="0"/>
                      <w:szCs w:val="21"/>
                    </w:rPr>
                    <w:t>1.50%</w:t>
                  </w:r>
                </w:p>
              </w:tc>
              <w:tc>
                <w:tcPr>
                  <w:tcW w:w="1547" w:type="dxa"/>
                </w:tcPr>
                <w:p>
                  <w:pPr>
                    <w:snapToGrid w:val="0"/>
                    <w:spacing w:line="290" w:lineRule="exact"/>
                    <w:jc w:val="center"/>
                    <w:rPr>
                      <w:rFonts w:ascii="宋体" w:hAnsi="宋体" w:cs="宋体"/>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953" w:type="dxa"/>
                  <w:vAlign w:val="center"/>
                </w:tcPr>
                <w:p>
                  <w:pPr>
                    <w:snapToGrid w:val="0"/>
                    <w:spacing w:line="290" w:lineRule="exact"/>
                    <w:jc w:val="center"/>
                    <w:rPr>
                      <w:rFonts w:ascii="宋体" w:hAnsi="宋体" w:cs="宋体"/>
                      <w:snapToGrid w:val="0"/>
                      <w:szCs w:val="21"/>
                    </w:rPr>
                  </w:pPr>
                  <w:r>
                    <w:rPr>
                      <w:rFonts w:hint="eastAsia" w:ascii="宋体" w:hAnsi="宋体" w:cs="宋体"/>
                      <w:snapToGrid w:val="0"/>
                      <w:szCs w:val="21"/>
                    </w:rPr>
                    <w:t>100-500</w:t>
                  </w:r>
                </w:p>
              </w:tc>
              <w:tc>
                <w:tcPr>
                  <w:tcW w:w="1546" w:type="dxa"/>
                  <w:vAlign w:val="center"/>
                </w:tcPr>
                <w:p>
                  <w:pPr>
                    <w:snapToGrid w:val="0"/>
                    <w:spacing w:line="290" w:lineRule="exact"/>
                    <w:jc w:val="center"/>
                    <w:rPr>
                      <w:rFonts w:ascii="宋体" w:hAnsi="宋体" w:cs="宋体"/>
                      <w:snapToGrid w:val="0"/>
                      <w:szCs w:val="21"/>
                    </w:rPr>
                  </w:pPr>
                  <w:r>
                    <w:rPr>
                      <w:rFonts w:hint="eastAsia" w:ascii="宋体" w:hAnsi="宋体" w:cs="宋体"/>
                      <w:snapToGrid w:val="0"/>
                      <w:szCs w:val="21"/>
                    </w:rPr>
                    <w:t>1.10%</w:t>
                  </w:r>
                </w:p>
              </w:tc>
              <w:tc>
                <w:tcPr>
                  <w:tcW w:w="1907" w:type="dxa"/>
                  <w:vAlign w:val="center"/>
                </w:tcPr>
                <w:p>
                  <w:pPr>
                    <w:snapToGrid w:val="0"/>
                    <w:spacing w:line="290" w:lineRule="exact"/>
                    <w:jc w:val="center"/>
                    <w:rPr>
                      <w:rFonts w:ascii="宋体" w:hAnsi="宋体" w:cs="宋体"/>
                      <w:snapToGrid w:val="0"/>
                      <w:szCs w:val="21"/>
                    </w:rPr>
                  </w:pPr>
                  <w:r>
                    <w:rPr>
                      <w:rFonts w:hint="eastAsia" w:ascii="宋体" w:hAnsi="宋体" w:cs="宋体"/>
                      <w:snapToGrid w:val="0"/>
                      <w:szCs w:val="21"/>
                    </w:rPr>
                    <w:t>0.80%</w:t>
                  </w:r>
                </w:p>
              </w:tc>
              <w:tc>
                <w:tcPr>
                  <w:tcW w:w="1547" w:type="dxa"/>
                </w:tcPr>
                <w:p>
                  <w:pPr>
                    <w:snapToGrid w:val="0"/>
                    <w:spacing w:line="290" w:lineRule="exact"/>
                    <w:jc w:val="center"/>
                    <w:rPr>
                      <w:rFonts w:ascii="宋体" w:hAnsi="宋体" w:cs="宋体"/>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953" w:type="dxa"/>
                  <w:vAlign w:val="center"/>
                </w:tcPr>
                <w:p>
                  <w:pPr>
                    <w:snapToGrid w:val="0"/>
                    <w:spacing w:line="290" w:lineRule="exact"/>
                    <w:jc w:val="center"/>
                    <w:rPr>
                      <w:rFonts w:ascii="宋体" w:hAnsi="宋体" w:cs="宋体"/>
                      <w:snapToGrid w:val="0"/>
                      <w:szCs w:val="21"/>
                    </w:rPr>
                  </w:pPr>
                  <w:r>
                    <w:rPr>
                      <w:rFonts w:hint="eastAsia" w:ascii="宋体" w:hAnsi="宋体" w:cs="宋体"/>
                      <w:snapToGrid w:val="0"/>
                      <w:szCs w:val="21"/>
                    </w:rPr>
                    <w:t>500-1000</w:t>
                  </w:r>
                </w:p>
              </w:tc>
              <w:tc>
                <w:tcPr>
                  <w:tcW w:w="1546" w:type="dxa"/>
                  <w:vAlign w:val="center"/>
                </w:tcPr>
                <w:p>
                  <w:pPr>
                    <w:snapToGrid w:val="0"/>
                    <w:spacing w:line="290" w:lineRule="exact"/>
                    <w:jc w:val="center"/>
                    <w:rPr>
                      <w:rFonts w:ascii="宋体" w:hAnsi="宋体" w:cs="宋体"/>
                      <w:snapToGrid w:val="0"/>
                      <w:szCs w:val="21"/>
                    </w:rPr>
                  </w:pPr>
                  <w:r>
                    <w:rPr>
                      <w:rFonts w:hint="eastAsia" w:ascii="宋体" w:hAnsi="宋体" w:cs="宋体"/>
                      <w:snapToGrid w:val="0"/>
                      <w:szCs w:val="21"/>
                    </w:rPr>
                    <w:t>0.80%</w:t>
                  </w:r>
                </w:p>
              </w:tc>
              <w:tc>
                <w:tcPr>
                  <w:tcW w:w="1907" w:type="dxa"/>
                  <w:vAlign w:val="center"/>
                </w:tcPr>
                <w:p>
                  <w:pPr>
                    <w:snapToGrid w:val="0"/>
                    <w:spacing w:line="290" w:lineRule="exact"/>
                    <w:jc w:val="center"/>
                    <w:rPr>
                      <w:rFonts w:ascii="宋体" w:hAnsi="宋体" w:cs="宋体"/>
                      <w:snapToGrid w:val="0"/>
                      <w:szCs w:val="21"/>
                    </w:rPr>
                  </w:pPr>
                  <w:r>
                    <w:rPr>
                      <w:rFonts w:hint="eastAsia" w:ascii="宋体" w:hAnsi="宋体" w:cs="宋体"/>
                      <w:snapToGrid w:val="0"/>
                      <w:szCs w:val="21"/>
                    </w:rPr>
                    <w:t>0.45%</w:t>
                  </w:r>
                </w:p>
              </w:tc>
              <w:tc>
                <w:tcPr>
                  <w:tcW w:w="1547" w:type="dxa"/>
                </w:tcPr>
                <w:p>
                  <w:pPr>
                    <w:snapToGrid w:val="0"/>
                    <w:spacing w:line="290" w:lineRule="exact"/>
                    <w:jc w:val="center"/>
                    <w:rPr>
                      <w:rFonts w:ascii="宋体" w:hAnsi="宋体" w:cs="宋体"/>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953" w:type="dxa"/>
                  <w:vAlign w:val="center"/>
                </w:tcPr>
                <w:p>
                  <w:pPr>
                    <w:snapToGrid w:val="0"/>
                    <w:spacing w:line="290" w:lineRule="exact"/>
                    <w:jc w:val="center"/>
                    <w:rPr>
                      <w:rFonts w:ascii="宋体" w:hAnsi="宋体" w:cs="宋体"/>
                      <w:snapToGrid w:val="0"/>
                      <w:szCs w:val="21"/>
                    </w:rPr>
                  </w:pPr>
                  <w:r>
                    <w:rPr>
                      <w:rFonts w:hint="eastAsia" w:ascii="宋体" w:hAnsi="宋体" w:cs="宋体"/>
                      <w:snapToGrid w:val="0"/>
                      <w:szCs w:val="21"/>
                    </w:rPr>
                    <w:t>1000-5000</w:t>
                  </w:r>
                </w:p>
              </w:tc>
              <w:tc>
                <w:tcPr>
                  <w:tcW w:w="1546" w:type="dxa"/>
                  <w:vAlign w:val="center"/>
                </w:tcPr>
                <w:p>
                  <w:pPr>
                    <w:snapToGrid w:val="0"/>
                    <w:spacing w:line="290" w:lineRule="exact"/>
                    <w:jc w:val="center"/>
                    <w:rPr>
                      <w:rFonts w:ascii="宋体" w:hAnsi="宋体" w:cs="宋体"/>
                      <w:snapToGrid w:val="0"/>
                      <w:szCs w:val="21"/>
                    </w:rPr>
                  </w:pPr>
                  <w:r>
                    <w:rPr>
                      <w:rFonts w:hint="eastAsia" w:ascii="宋体" w:hAnsi="宋体" w:cs="宋体"/>
                      <w:snapToGrid w:val="0"/>
                      <w:szCs w:val="21"/>
                    </w:rPr>
                    <w:t>0.50%</w:t>
                  </w:r>
                </w:p>
              </w:tc>
              <w:tc>
                <w:tcPr>
                  <w:tcW w:w="1907" w:type="dxa"/>
                  <w:vAlign w:val="center"/>
                </w:tcPr>
                <w:p>
                  <w:pPr>
                    <w:snapToGrid w:val="0"/>
                    <w:spacing w:line="290" w:lineRule="exact"/>
                    <w:jc w:val="center"/>
                    <w:rPr>
                      <w:rFonts w:ascii="宋体" w:hAnsi="宋体" w:cs="宋体"/>
                      <w:snapToGrid w:val="0"/>
                      <w:szCs w:val="21"/>
                    </w:rPr>
                  </w:pPr>
                  <w:r>
                    <w:rPr>
                      <w:rFonts w:hint="eastAsia" w:ascii="宋体" w:hAnsi="宋体" w:cs="宋体"/>
                      <w:snapToGrid w:val="0"/>
                      <w:szCs w:val="21"/>
                    </w:rPr>
                    <w:t>0.25%</w:t>
                  </w:r>
                </w:p>
              </w:tc>
              <w:tc>
                <w:tcPr>
                  <w:tcW w:w="1547" w:type="dxa"/>
                </w:tcPr>
                <w:p>
                  <w:pPr>
                    <w:snapToGrid w:val="0"/>
                    <w:spacing w:line="290" w:lineRule="exact"/>
                    <w:jc w:val="center"/>
                    <w:rPr>
                      <w:rFonts w:ascii="宋体" w:hAnsi="宋体" w:cs="宋体"/>
                      <w:snapToGrid w:val="0"/>
                      <w:szCs w:val="21"/>
                    </w:rPr>
                  </w:pPr>
                </w:p>
              </w:tc>
            </w:tr>
          </w:tbl>
          <w:p>
            <w:pPr>
              <w:snapToGrid w:val="0"/>
              <w:spacing w:line="360" w:lineRule="auto"/>
              <w:rPr>
                <w:rFonts w:ascii="宋体" w:hAnsi="宋体" w:cs="宋体"/>
                <w:snapToGrid w:val="0"/>
                <w:szCs w:val="21"/>
              </w:rPr>
            </w:pPr>
            <w:r>
              <w:rPr>
                <w:rFonts w:hint="eastAsia" w:ascii="宋体" w:hAnsi="宋体" w:cs="宋体"/>
                <w:snapToGrid w:val="0"/>
                <w:szCs w:val="21"/>
              </w:rPr>
              <w:t>招标代理服务收费按差额定率累进法计算。例如：某项目招标代理业务中标金额为2000万元，计算招标代理服务收费额如下：</w:t>
            </w:r>
          </w:p>
          <w:p>
            <w:pPr>
              <w:snapToGrid w:val="0"/>
              <w:spacing w:line="360" w:lineRule="auto"/>
              <w:rPr>
                <w:rFonts w:ascii="宋体" w:hAnsi="宋体" w:cs="宋体"/>
                <w:snapToGrid w:val="0"/>
                <w:szCs w:val="21"/>
              </w:rPr>
            </w:pPr>
            <w:r>
              <w:rPr>
                <w:rFonts w:hint="eastAsia" w:ascii="宋体" w:hAnsi="宋体" w:cs="宋体"/>
                <w:snapToGrid w:val="0"/>
                <w:szCs w:val="21"/>
              </w:rPr>
              <w:t xml:space="preserve"> 100万元×1.50%=1.5（万元）；</w:t>
            </w:r>
          </w:p>
          <w:p>
            <w:pPr>
              <w:snapToGrid w:val="0"/>
              <w:spacing w:line="360" w:lineRule="auto"/>
              <w:rPr>
                <w:rFonts w:ascii="宋体" w:hAnsi="宋体" w:cs="宋体"/>
                <w:snapToGrid w:val="0"/>
                <w:szCs w:val="21"/>
              </w:rPr>
            </w:pPr>
            <w:r>
              <w:rPr>
                <w:rFonts w:hint="eastAsia" w:ascii="宋体" w:hAnsi="宋体" w:cs="宋体"/>
                <w:snapToGrid w:val="0"/>
                <w:szCs w:val="21"/>
              </w:rPr>
              <w:t>（500-100）万元×1.10%=4.4（万元）</w:t>
            </w:r>
          </w:p>
          <w:p>
            <w:pPr>
              <w:snapToGrid w:val="0"/>
              <w:spacing w:line="360" w:lineRule="auto"/>
              <w:rPr>
                <w:rFonts w:ascii="宋体" w:hAnsi="宋体" w:cs="宋体"/>
                <w:snapToGrid w:val="0"/>
                <w:szCs w:val="21"/>
              </w:rPr>
            </w:pPr>
            <w:r>
              <w:rPr>
                <w:rFonts w:hint="eastAsia" w:ascii="宋体" w:hAnsi="宋体" w:cs="宋体"/>
                <w:snapToGrid w:val="0"/>
                <w:szCs w:val="21"/>
              </w:rPr>
              <w:t>（1000-500）万元×0.80%=4.0（万元）</w:t>
            </w:r>
          </w:p>
          <w:p>
            <w:pPr>
              <w:snapToGrid w:val="0"/>
              <w:spacing w:line="360" w:lineRule="auto"/>
              <w:rPr>
                <w:rFonts w:ascii="宋体" w:hAnsi="宋体" w:cs="宋体"/>
                <w:snapToGrid w:val="0"/>
                <w:szCs w:val="21"/>
              </w:rPr>
            </w:pPr>
            <w:r>
              <w:rPr>
                <w:rFonts w:hint="eastAsia" w:ascii="宋体" w:hAnsi="宋体" w:cs="宋体"/>
                <w:snapToGrid w:val="0"/>
                <w:szCs w:val="21"/>
              </w:rPr>
              <w:t>（2000-1000）万元×0.50%=5.0（万元）</w:t>
            </w:r>
          </w:p>
          <w:p>
            <w:pPr>
              <w:snapToGrid w:val="0"/>
              <w:spacing w:line="360" w:lineRule="auto"/>
              <w:rPr>
                <w:rFonts w:ascii="宋体" w:hAnsi="宋体"/>
                <w:szCs w:val="21"/>
              </w:rPr>
            </w:pPr>
            <w:r>
              <w:rPr>
                <w:rFonts w:hint="eastAsia" w:ascii="宋体" w:hAnsi="宋体" w:cs="宋体"/>
                <w:snapToGrid w:val="0"/>
                <w:szCs w:val="21"/>
              </w:rPr>
              <w:t>合计收费=1.5+4.4+4.0+5.0=14.9(万元)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vAlign w:val="center"/>
          </w:tcPr>
          <w:p>
            <w:pPr>
              <w:snapToGrid w:val="0"/>
              <w:spacing w:line="290" w:lineRule="exact"/>
              <w:jc w:val="center"/>
              <w:rPr>
                <w:szCs w:val="21"/>
              </w:rPr>
            </w:pPr>
            <w:r>
              <w:rPr>
                <w:rFonts w:hint="eastAsia" w:ascii="宋体" w:cs="宋体"/>
                <w:szCs w:val="21"/>
              </w:rPr>
              <w:t>17</w:t>
            </w:r>
          </w:p>
        </w:tc>
        <w:tc>
          <w:tcPr>
            <w:tcW w:w="1536" w:type="dxa"/>
            <w:vAlign w:val="center"/>
          </w:tcPr>
          <w:p>
            <w:pPr>
              <w:pStyle w:val="13"/>
              <w:snapToGrid w:val="0"/>
              <w:spacing w:line="290" w:lineRule="exact"/>
              <w:jc w:val="center"/>
              <w:rPr>
                <w:color w:val="auto"/>
                <w:szCs w:val="21"/>
              </w:rPr>
            </w:pPr>
            <w:r>
              <w:rPr>
                <w:color w:val="auto"/>
                <w:szCs w:val="21"/>
              </w:rPr>
              <w:t>投标有效期</w:t>
            </w:r>
          </w:p>
        </w:tc>
        <w:tc>
          <w:tcPr>
            <w:tcW w:w="7288" w:type="dxa"/>
            <w:vAlign w:val="center"/>
          </w:tcPr>
          <w:p>
            <w:pPr>
              <w:pStyle w:val="13"/>
              <w:snapToGrid w:val="0"/>
              <w:spacing w:line="360" w:lineRule="auto"/>
              <w:rPr>
                <w:color w:val="auto"/>
                <w:szCs w:val="21"/>
              </w:rPr>
            </w:pPr>
            <w:r>
              <w:rPr>
                <w:rFonts w:hint="eastAsia"/>
                <w:color w:val="auto"/>
                <w:szCs w:val="21"/>
              </w:rPr>
              <w:t>投标有效期为</w:t>
            </w:r>
            <w:r>
              <w:rPr>
                <w:rFonts w:hint="eastAsia"/>
                <w:color w:val="auto"/>
                <w:szCs w:val="21"/>
                <w:u w:val="single"/>
              </w:rPr>
              <w:t xml:space="preserve"> 60 日历</w:t>
            </w:r>
            <w:r>
              <w:rPr>
                <w:rFonts w:hint="eastAsia"/>
                <w:color w:val="auto"/>
                <w:szCs w:val="21"/>
              </w:rPr>
              <w:t>天（从投标截止之日算起）。在此期限内，凡符合本采购文件要求的投标文件均保持有效。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vAlign w:val="center"/>
          </w:tcPr>
          <w:p>
            <w:pPr>
              <w:snapToGrid w:val="0"/>
              <w:spacing w:line="290" w:lineRule="exact"/>
              <w:jc w:val="center"/>
              <w:rPr>
                <w:rFonts w:ascii="宋体" w:cs="宋体"/>
                <w:szCs w:val="21"/>
              </w:rPr>
            </w:pPr>
            <w:r>
              <w:rPr>
                <w:rFonts w:hint="eastAsia" w:ascii="宋体" w:cs="宋体"/>
                <w:szCs w:val="21"/>
              </w:rPr>
              <w:t>19</w:t>
            </w:r>
          </w:p>
        </w:tc>
        <w:tc>
          <w:tcPr>
            <w:tcW w:w="1536" w:type="dxa"/>
            <w:vAlign w:val="center"/>
          </w:tcPr>
          <w:p>
            <w:pPr>
              <w:pStyle w:val="13"/>
              <w:snapToGrid w:val="0"/>
              <w:spacing w:line="290" w:lineRule="exact"/>
              <w:jc w:val="center"/>
              <w:rPr>
                <w:color w:val="auto"/>
                <w:szCs w:val="21"/>
              </w:rPr>
            </w:pPr>
            <w:r>
              <w:rPr>
                <w:rFonts w:hint="eastAsia"/>
                <w:color w:val="auto"/>
                <w:szCs w:val="21"/>
              </w:rPr>
              <w:t>投标保证金</w:t>
            </w:r>
          </w:p>
        </w:tc>
        <w:tc>
          <w:tcPr>
            <w:tcW w:w="7288" w:type="dxa"/>
            <w:vAlign w:val="center"/>
          </w:tcPr>
          <w:p>
            <w:r>
              <w:rPr>
                <w:rFonts w:hint="eastAsia"/>
              </w:rPr>
              <w:t>投标保证金交纳要求：</w:t>
            </w:r>
          </w:p>
          <w:p>
            <w:pPr>
              <w:pStyle w:val="13"/>
              <w:snapToGrid w:val="0"/>
              <w:spacing w:line="360" w:lineRule="auto"/>
              <w:rPr>
                <w:rFonts w:hAnsi="宋体" w:cs="宋体-18030"/>
                <w:color w:val="auto"/>
                <w:szCs w:val="21"/>
              </w:rPr>
            </w:pPr>
            <w:r>
              <w:rPr>
                <w:rFonts w:hint="eastAsia"/>
                <w:color w:val="auto"/>
              </w:rPr>
              <w:t>投标保证金应当以支票、汇票、本票、网上银行支付或者金融机构、担保机构出具的保函等非现金形式缴纳。</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65" w:hRule="atLeast"/>
          <w:jc w:val="center"/>
        </w:trPr>
        <w:tc>
          <w:tcPr>
            <w:tcW w:w="1012" w:type="dxa"/>
            <w:vAlign w:val="center"/>
          </w:tcPr>
          <w:p>
            <w:pPr>
              <w:pStyle w:val="13"/>
              <w:snapToGrid w:val="0"/>
              <w:spacing w:line="290" w:lineRule="exact"/>
              <w:jc w:val="center"/>
              <w:rPr>
                <w:color w:val="auto"/>
                <w:szCs w:val="21"/>
              </w:rPr>
            </w:pPr>
            <w:r>
              <w:rPr>
                <w:rFonts w:hint="eastAsia"/>
                <w:color w:val="auto"/>
                <w:szCs w:val="21"/>
              </w:rPr>
              <w:t>20</w:t>
            </w:r>
          </w:p>
        </w:tc>
        <w:tc>
          <w:tcPr>
            <w:tcW w:w="1536" w:type="dxa"/>
            <w:tcBorders>
              <w:bottom w:val="single" w:color="auto" w:sz="4" w:space="0"/>
            </w:tcBorders>
            <w:vAlign w:val="center"/>
          </w:tcPr>
          <w:p>
            <w:pPr>
              <w:snapToGrid w:val="0"/>
              <w:spacing w:line="290" w:lineRule="exact"/>
              <w:jc w:val="center"/>
              <w:rPr>
                <w:rFonts w:ascii="宋体"/>
                <w:szCs w:val="21"/>
              </w:rPr>
            </w:pPr>
            <w:r>
              <w:rPr>
                <w:rFonts w:hint="eastAsia" w:ascii="宋体" w:hAnsi="宋体"/>
                <w:szCs w:val="21"/>
              </w:rPr>
              <w:t>投标保证金</w:t>
            </w:r>
          </w:p>
        </w:tc>
        <w:tc>
          <w:tcPr>
            <w:tcW w:w="7288" w:type="dxa"/>
            <w:tcBorders>
              <w:bottom w:val="single" w:color="auto" w:sz="4" w:space="0"/>
            </w:tcBorders>
          </w:tcPr>
          <w:p>
            <w:r>
              <w:rPr>
                <w:rFonts w:hint="eastAsia"/>
              </w:rPr>
              <w:t>投标保证金金额：60000元（大写：陆万元整）</w:t>
            </w:r>
          </w:p>
          <w:p>
            <w:r>
              <w:rPr>
                <w:rFonts w:hint="eastAsia"/>
              </w:rPr>
              <w:t>投标保证金以电汇、网银等转账形式提交的，应在投标截止时间</w:t>
            </w:r>
            <w:r>
              <w:rPr>
                <w:rFonts w:hint="eastAsia"/>
                <w:color w:val="C0504D" w:themeColor="accent2"/>
                <w14:textFill>
                  <w14:solidFill>
                    <w14:schemeClr w14:val="accent2"/>
                  </w14:solidFill>
                </w14:textFill>
              </w:rPr>
              <w:t>2023年11月 1</w:t>
            </w:r>
            <w:r>
              <w:rPr>
                <w:rFonts w:hint="eastAsia"/>
                <w:color w:val="C0504D" w:themeColor="accent2"/>
                <w:lang w:val="en-US" w:eastAsia="zh-CN"/>
                <w14:textFill>
                  <w14:solidFill>
                    <w14:schemeClr w14:val="accent2"/>
                  </w14:solidFill>
                </w14:textFill>
              </w:rPr>
              <w:t>5</w:t>
            </w:r>
            <w:r>
              <w:rPr>
                <w:rFonts w:hint="eastAsia"/>
                <w:color w:val="C0504D" w:themeColor="accent2"/>
                <w14:textFill>
                  <w14:solidFill>
                    <w14:schemeClr w14:val="accent2"/>
                  </w14:solidFill>
                </w14:textFill>
              </w:rPr>
              <w:t xml:space="preserve">日 </w:t>
            </w:r>
            <w:r>
              <w:rPr>
                <w:rFonts w:hint="eastAsia"/>
                <w:color w:val="C0504D" w:themeColor="accent2"/>
                <w:lang w:val="en-US" w:eastAsia="zh-CN"/>
                <w14:textFill>
                  <w14:solidFill>
                    <w14:schemeClr w14:val="accent2"/>
                  </w14:solidFill>
                </w14:textFill>
              </w:rPr>
              <w:t>11</w:t>
            </w:r>
            <w:r>
              <w:rPr>
                <w:rFonts w:hint="eastAsia"/>
                <w:color w:val="C0504D" w:themeColor="accent2"/>
                <w14:textFill>
                  <w14:solidFill>
                    <w14:schemeClr w14:val="accent2"/>
                  </w14:solidFill>
                </w14:textFill>
              </w:rPr>
              <w:t>：</w:t>
            </w:r>
            <w:r>
              <w:rPr>
                <w:rFonts w:hint="eastAsia"/>
                <w:color w:val="C0504D" w:themeColor="accent2"/>
                <w:lang w:val="en-US" w:eastAsia="zh-CN"/>
                <w14:textFill>
                  <w14:solidFill>
                    <w14:schemeClr w14:val="accent2"/>
                  </w14:solidFill>
                </w14:textFill>
              </w:rPr>
              <w:t>0</w:t>
            </w:r>
            <w:r>
              <w:rPr>
                <w:rFonts w:hint="eastAsia"/>
                <w:color w:val="C0504D" w:themeColor="accent2"/>
                <w14:textFill>
                  <w14:solidFill>
                    <w14:schemeClr w14:val="accent2"/>
                  </w14:solidFill>
                </w14:textFill>
              </w:rPr>
              <w:t>0  时</w:t>
            </w:r>
            <w:r>
              <w:rPr>
                <w:rFonts w:hint="eastAsia"/>
              </w:rPr>
              <w:t>（北京时间）前以总公司的基本账户一次性汇入指定账户（以到账时间为准），不接受现金及任何个人汇款。确认到账后，持银行交款单、基本户开户许可证（基本存款账户信息）到乌恰县政务服务和公共资源交易中心（乌恰县天合路32号）换取票据收据，项目开具的票据收据原件须扫描上传，标书内附有此票据收据。</w:t>
            </w:r>
          </w:p>
          <w:p>
            <w:r>
              <w:rPr>
                <w:rFonts w:hint="eastAsia"/>
              </w:rPr>
              <w:t>2、投标保证金以保函等票据形式提交的，金融机构、担保机构出具的票据原件须扫描上传，标书内附有此票据。</w:t>
            </w:r>
          </w:p>
          <w:p>
            <w:r>
              <w:rPr>
                <w:rFonts w:hint="eastAsia"/>
              </w:rPr>
              <w:t>3、有效投标保证金成功交纳后，截止开标时间，供应商无正当理由不参加该项目投标且不递交弃标函，投标保证金不予退还。</w:t>
            </w:r>
          </w:p>
          <w:p>
            <w:r>
              <w:rPr>
                <w:rFonts w:hint="eastAsia"/>
              </w:rPr>
              <w:t> 户名：乌恰县政务服务和公共资源交易中心</w:t>
            </w:r>
          </w:p>
          <w:p>
            <w:r>
              <w:rPr>
                <w:rFonts w:hint="eastAsia"/>
              </w:rPr>
              <w:t>账号：30470101040018134</w:t>
            </w:r>
          </w:p>
          <w:p>
            <w:r>
              <w:rPr>
                <w:rFonts w:hint="eastAsia"/>
              </w:rPr>
              <w:t>行名：中国农业银行乌恰县支行</w:t>
            </w:r>
          </w:p>
          <w:p>
            <w:r>
              <w:rPr>
                <w:rFonts w:hint="eastAsia"/>
              </w:rPr>
              <w:t>联系人：唐先生</w:t>
            </w:r>
          </w:p>
          <w:p>
            <w:r>
              <w:rPr>
                <w:rFonts w:hint="eastAsia"/>
              </w:rPr>
              <w:t xml:space="preserve">  电话：0908-4623359、15509080607</w:t>
            </w:r>
          </w:p>
          <w:p>
            <w:r>
              <w:rPr>
                <w:rFonts w:hint="eastAsia"/>
              </w:rPr>
              <w:t>（备注：必须写清楚某某公司某某项目保证金）</w:t>
            </w:r>
          </w:p>
          <w:p>
            <w:r>
              <w:rPr>
                <w:rFonts w:hint="eastAsia"/>
              </w:rPr>
              <w:t>投标退保证金需准备以下相关资料</w:t>
            </w:r>
          </w:p>
          <w:p>
            <w:r>
              <w:rPr>
                <w:rFonts w:hint="eastAsia"/>
              </w:rPr>
              <w:t>1．本单位给投标公司开的收据原件；5日内办理</w:t>
            </w:r>
          </w:p>
          <w:p>
            <w:r>
              <w:rPr>
                <w:rFonts w:hint="eastAsia"/>
              </w:rPr>
              <w:t>2．投标公司请给我单位反开收据原件；5日内办理</w:t>
            </w:r>
          </w:p>
          <w:p>
            <w:r>
              <w:rPr>
                <w:rFonts w:hint="eastAsia"/>
              </w:rPr>
              <w:t>3．开户许可证复印件及联系方式</w:t>
            </w:r>
          </w:p>
          <w:p>
            <w:r>
              <w:rPr>
                <w:rFonts w:hint="eastAsia"/>
              </w:rPr>
              <w:t>4．银行打保证金的电子回单复印件</w:t>
            </w:r>
          </w:p>
          <w:p>
            <w:r>
              <w:rPr>
                <w:rFonts w:hint="eastAsia"/>
              </w:rPr>
              <w:t>5．中标企业需提供合同</w:t>
            </w:r>
          </w:p>
          <w:p>
            <w:r>
              <w:rPr>
                <w:rFonts w:hint="eastAsia"/>
              </w:rPr>
              <w:t>因供应商自身原因耽搁领取，超过退还时限，不承担延后退还责任。</w:t>
            </w:r>
          </w:p>
          <w:p>
            <w:pPr>
              <w:pStyle w:val="13"/>
              <w:snapToGrid w:val="0"/>
              <w:spacing w:line="290" w:lineRule="exact"/>
              <w:rPr>
                <w:rFonts w:hAnsi="宋体" w:cs="宋体-18030"/>
                <w:color w:val="auto"/>
                <w:szCs w:val="21"/>
              </w:rPr>
            </w:pPr>
            <w:r>
              <w:rPr>
                <w:rFonts w:hint="eastAsia" w:hAnsi="宋体" w:cs="宋体"/>
                <w:color w:val="auto"/>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012" w:type="dxa"/>
            <w:vAlign w:val="center"/>
          </w:tcPr>
          <w:p>
            <w:pPr>
              <w:snapToGrid w:val="0"/>
              <w:spacing w:line="290" w:lineRule="exact"/>
              <w:jc w:val="center"/>
              <w:rPr>
                <w:szCs w:val="21"/>
              </w:rPr>
            </w:pPr>
            <w:r>
              <w:rPr>
                <w:rFonts w:hint="eastAsia" w:ascii="宋体" w:cs="宋体"/>
                <w:szCs w:val="21"/>
              </w:rPr>
              <w:t>21</w:t>
            </w:r>
          </w:p>
        </w:tc>
        <w:tc>
          <w:tcPr>
            <w:tcW w:w="1536" w:type="dxa"/>
            <w:vAlign w:val="center"/>
          </w:tcPr>
          <w:p>
            <w:pPr>
              <w:pStyle w:val="13"/>
              <w:snapToGrid w:val="0"/>
              <w:spacing w:line="290" w:lineRule="exact"/>
              <w:jc w:val="center"/>
              <w:rPr>
                <w:color w:val="auto"/>
                <w:szCs w:val="21"/>
              </w:rPr>
            </w:pPr>
            <w:r>
              <w:rPr>
                <w:rFonts w:hint="eastAsia"/>
                <w:color w:val="auto"/>
                <w:szCs w:val="21"/>
              </w:rPr>
              <w:t>投标文件形式</w:t>
            </w:r>
          </w:p>
        </w:tc>
        <w:tc>
          <w:tcPr>
            <w:tcW w:w="7288" w:type="dxa"/>
            <w:vAlign w:val="center"/>
          </w:tcPr>
          <w:p>
            <w:pPr>
              <w:pStyle w:val="13"/>
              <w:snapToGrid w:val="0"/>
              <w:spacing w:line="290" w:lineRule="exact"/>
              <w:rPr>
                <w:color w:val="auto"/>
                <w:szCs w:val="21"/>
              </w:rPr>
            </w:pPr>
            <w:r>
              <w:rPr>
                <w:rFonts w:hint="eastAsia"/>
                <w:color w:val="auto"/>
                <w:szCs w:val="21"/>
              </w:rPr>
              <w:t>电子投标文件包括“电子加密投标文件”和“备份投标文件”，在投标文件编制完成后同时生成。</w:t>
            </w:r>
          </w:p>
          <w:p>
            <w:pPr>
              <w:pStyle w:val="13"/>
              <w:snapToGrid w:val="0"/>
              <w:spacing w:line="290" w:lineRule="exact"/>
              <w:rPr>
                <w:color w:val="auto"/>
                <w:szCs w:val="21"/>
              </w:rPr>
            </w:pPr>
            <w:r>
              <w:rPr>
                <w:rFonts w:hint="eastAsia"/>
                <w:color w:val="auto"/>
                <w:szCs w:val="21"/>
              </w:rPr>
              <w:t>1、“电子加密投标文件”是指通过“政采云电子交易客户端”完成投标文件编制后生成并加密的数据电文形式的投标文件。</w:t>
            </w:r>
          </w:p>
          <w:p>
            <w:pPr>
              <w:pStyle w:val="14"/>
              <w:ind w:left="0" w:leftChars="0"/>
            </w:pPr>
            <w:r>
              <w:rPr>
                <w:rFonts w:hint="eastAsia"/>
                <w:szCs w:val="21"/>
              </w:rPr>
              <w:t>2、“备份投标文件”是指与“电子加密投标文件”同时生成的数据电文形式的电子文件（备份标书，用于供应商标书解密异常时应急使用），其他方式编制的备份投标文件视为无效备份投标文件。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6" w:hRule="atLeast"/>
          <w:jc w:val="center"/>
        </w:trPr>
        <w:tc>
          <w:tcPr>
            <w:tcW w:w="1012" w:type="dxa"/>
            <w:vAlign w:val="center"/>
          </w:tcPr>
          <w:p>
            <w:pPr>
              <w:snapToGrid w:val="0"/>
              <w:spacing w:line="290" w:lineRule="exact"/>
              <w:ind w:left="-77" w:leftChars="-37" w:right="-94" w:rightChars="-45"/>
              <w:jc w:val="center"/>
              <w:rPr>
                <w:rFonts w:ascii="宋体" w:cs="宋体"/>
                <w:szCs w:val="21"/>
              </w:rPr>
            </w:pPr>
            <w:r>
              <w:rPr>
                <w:rFonts w:hint="eastAsia" w:ascii="宋体" w:cs="宋体"/>
                <w:szCs w:val="21"/>
              </w:rPr>
              <w:t>22</w:t>
            </w:r>
          </w:p>
        </w:tc>
        <w:tc>
          <w:tcPr>
            <w:tcW w:w="1536" w:type="dxa"/>
            <w:vAlign w:val="center"/>
          </w:tcPr>
          <w:p>
            <w:pPr>
              <w:pStyle w:val="13"/>
              <w:snapToGrid w:val="0"/>
              <w:spacing w:line="290" w:lineRule="exact"/>
              <w:jc w:val="center"/>
              <w:rPr>
                <w:color w:val="auto"/>
                <w:szCs w:val="21"/>
              </w:rPr>
            </w:pPr>
            <w:r>
              <w:rPr>
                <w:rFonts w:hint="eastAsia"/>
                <w:color w:val="auto"/>
                <w:szCs w:val="21"/>
              </w:rPr>
              <w:t>投标文件份数及要求</w:t>
            </w:r>
          </w:p>
        </w:tc>
        <w:tc>
          <w:tcPr>
            <w:tcW w:w="7288" w:type="dxa"/>
            <w:vAlign w:val="center"/>
          </w:tcPr>
          <w:p>
            <w:pPr>
              <w:pStyle w:val="13"/>
              <w:snapToGrid w:val="0"/>
              <w:spacing w:line="360" w:lineRule="auto"/>
              <w:rPr>
                <w:color w:val="auto"/>
                <w:szCs w:val="21"/>
              </w:rPr>
            </w:pPr>
            <w:r>
              <w:rPr>
                <w:color w:val="auto"/>
                <w:szCs w:val="21"/>
              </w:rPr>
              <w:t>1、一份电子加密标书（“.jmbs”格式），一份备份标书文件（“.bfbs”格式）。</w:t>
            </w:r>
          </w:p>
          <w:p>
            <w:pPr>
              <w:pStyle w:val="13"/>
              <w:snapToGrid w:val="0"/>
              <w:spacing w:line="360" w:lineRule="auto"/>
              <w:rPr>
                <w:color w:val="auto"/>
                <w:szCs w:val="21"/>
              </w:rPr>
            </w:pPr>
            <w:r>
              <w:rPr>
                <w:color w:val="auto"/>
                <w:szCs w:val="21"/>
              </w:rPr>
              <w:t>2、每份电子投标文件应包括资格证明文件和商务及技术文件两部分。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90" w:hRule="atLeast"/>
          <w:jc w:val="center"/>
        </w:trPr>
        <w:tc>
          <w:tcPr>
            <w:tcW w:w="1012" w:type="dxa"/>
            <w:vAlign w:val="center"/>
          </w:tcPr>
          <w:p>
            <w:pPr>
              <w:snapToGrid w:val="0"/>
              <w:spacing w:line="290" w:lineRule="exact"/>
              <w:ind w:left="-77" w:leftChars="-37" w:right="-94" w:rightChars="-45"/>
              <w:jc w:val="center"/>
              <w:rPr>
                <w:rFonts w:ascii="宋体" w:cs="宋体"/>
                <w:szCs w:val="21"/>
              </w:rPr>
            </w:pPr>
            <w:r>
              <w:rPr>
                <w:rFonts w:hint="eastAsia" w:ascii="宋体" w:cs="宋体"/>
                <w:szCs w:val="21"/>
              </w:rPr>
              <w:t>23</w:t>
            </w:r>
          </w:p>
        </w:tc>
        <w:tc>
          <w:tcPr>
            <w:tcW w:w="1536" w:type="dxa"/>
            <w:vAlign w:val="center"/>
          </w:tcPr>
          <w:p>
            <w:pPr>
              <w:pStyle w:val="13"/>
              <w:snapToGrid w:val="0"/>
              <w:spacing w:line="290" w:lineRule="exact"/>
              <w:jc w:val="center"/>
              <w:rPr>
                <w:rFonts w:hAnsi="宋体" w:cs="宋体"/>
                <w:color w:val="auto"/>
                <w:szCs w:val="21"/>
              </w:rPr>
            </w:pPr>
            <w:r>
              <w:rPr>
                <w:rFonts w:hint="eastAsia" w:hAnsi="宋体" w:cs="宋体"/>
                <w:color w:val="auto"/>
                <w:szCs w:val="21"/>
                <w:lang w:bidi="zh-CN"/>
              </w:rPr>
              <w:t>投标文件的上传和递交</w:t>
            </w:r>
          </w:p>
        </w:tc>
        <w:tc>
          <w:tcPr>
            <w:tcW w:w="7288" w:type="dxa"/>
            <w:vAlign w:val="center"/>
          </w:tcPr>
          <w:p>
            <w:pPr>
              <w:pStyle w:val="13"/>
              <w:snapToGrid w:val="0"/>
              <w:spacing w:line="360" w:lineRule="auto"/>
              <w:rPr>
                <w:color w:val="auto"/>
              </w:rPr>
            </w:pPr>
            <w:r>
              <w:rPr>
                <w:rFonts w:hint="eastAsia"/>
                <w:color w:val="auto"/>
              </w:rPr>
              <w:t>1.电子加密投标文件：投标文件制作完成并生成加密标书，在投标截止时间前，供应商需将加密的投标文件上传至政采云平台，在开标时间开始后，待采购组织机构发出解密通知后30分钟内解密投标文件。</w:t>
            </w:r>
          </w:p>
          <w:p>
            <w:pPr>
              <w:pStyle w:val="13"/>
              <w:snapToGrid w:val="0"/>
              <w:spacing w:line="360" w:lineRule="auto"/>
              <w:rPr>
                <w:color w:val="auto"/>
              </w:rPr>
            </w:pPr>
            <w:r>
              <w:rPr>
                <w:rFonts w:hint="eastAsia"/>
                <w:color w:val="auto"/>
              </w:rPr>
              <w:t>a.供应商未能在投标截止时间前成功上传电子加密投标文件的投标无效。</w:t>
            </w:r>
          </w:p>
          <w:p>
            <w:pPr>
              <w:pStyle w:val="13"/>
              <w:snapToGrid w:val="0"/>
              <w:spacing w:line="360" w:lineRule="auto"/>
              <w:rPr>
                <w:color w:val="auto"/>
              </w:rPr>
            </w:pPr>
            <w:r>
              <w:rPr>
                <w:rFonts w:hint="eastAsia"/>
                <w:color w:val="auto"/>
              </w:rPr>
              <w:t>b.供应商成功上传电子加密投标文件后，可自行打印投标文件接收回执。</w:t>
            </w:r>
          </w:p>
          <w:p>
            <w:pPr>
              <w:pStyle w:val="14"/>
              <w:ind w:left="0" w:leftChars="0"/>
            </w:pPr>
            <w:r>
              <w:rPr>
                <w:rFonts w:hint="eastAsia"/>
              </w:rPr>
              <w:t>2.备份投标文件：供应商在投标截止时间前将加密的投标文件上传至政府采购云平台，还可以在投标截止时间前以电子邮件方式提供备份投标文件1份（接收人邮箱：188871622@qq.com，接收人：朱先生，电话：</w:t>
            </w:r>
            <w:r>
              <w:rPr>
                <w:rFonts w:hint="eastAsia"/>
                <w:szCs w:val="21"/>
              </w:rPr>
              <w:t>15770150301</w:t>
            </w:r>
            <w:r>
              <w:rPr>
                <w:rFonts w:hint="eastAsia"/>
              </w:rPr>
              <w:t>），“备份投标文件”由供应商自愿提供，招标文件 不作强制性要求；如不提供或未按要求提供的，当电子投标文件无法解密时，将导致无备份投标文件而失去投标资格。</w:t>
            </w:r>
          </w:p>
          <w:p>
            <w:pPr>
              <w:pStyle w:val="14"/>
              <w:ind w:left="0" w:leftChars="0"/>
            </w:pPr>
            <w:r>
              <w:rPr>
                <w:rFonts w:hint="eastAsia"/>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pPr>
              <w:pStyle w:val="14"/>
              <w:ind w:left="0" w:leftChars="0"/>
            </w:pPr>
            <w:r>
              <w:rPr>
                <w:rFonts w:hint="eastAsia"/>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7" w:hRule="atLeast"/>
          <w:jc w:val="center"/>
        </w:trPr>
        <w:tc>
          <w:tcPr>
            <w:tcW w:w="1012" w:type="dxa"/>
            <w:vAlign w:val="center"/>
          </w:tcPr>
          <w:p>
            <w:pPr>
              <w:snapToGrid w:val="0"/>
              <w:spacing w:line="290" w:lineRule="exact"/>
              <w:ind w:left="-77" w:leftChars="-37" w:right="-94" w:rightChars="-45"/>
              <w:jc w:val="center"/>
              <w:rPr>
                <w:rFonts w:ascii="宋体" w:cs="宋体"/>
                <w:szCs w:val="21"/>
              </w:rPr>
            </w:pPr>
            <w:r>
              <w:rPr>
                <w:rFonts w:hint="eastAsia" w:ascii="宋体" w:cs="宋体"/>
                <w:szCs w:val="21"/>
              </w:rPr>
              <w:t>24</w:t>
            </w:r>
          </w:p>
        </w:tc>
        <w:tc>
          <w:tcPr>
            <w:tcW w:w="1536" w:type="dxa"/>
            <w:vAlign w:val="center"/>
          </w:tcPr>
          <w:p>
            <w:pPr>
              <w:snapToGrid w:val="0"/>
              <w:spacing w:line="290" w:lineRule="exact"/>
              <w:jc w:val="center"/>
              <w:rPr>
                <w:rFonts w:ascii="宋体"/>
                <w:szCs w:val="21"/>
              </w:rPr>
            </w:pPr>
            <w:r>
              <w:rPr>
                <w:rFonts w:hint="eastAsia" w:ascii="宋体"/>
                <w:szCs w:val="21"/>
              </w:rPr>
              <w:t>投标截止时间及地点</w:t>
            </w:r>
          </w:p>
        </w:tc>
        <w:tc>
          <w:tcPr>
            <w:tcW w:w="7288" w:type="dxa"/>
            <w:vAlign w:val="center"/>
          </w:tcPr>
          <w:p>
            <w:pPr>
              <w:snapToGrid w:val="0"/>
              <w:spacing w:line="360" w:lineRule="auto"/>
              <w:ind w:firstLine="18" w:firstLineChars="9"/>
              <w:rPr>
                <w:color w:val="0000FF"/>
                <w:szCs w:val="21"/>
              </w:rPr>
            </w:pPr>
            <w:r>
              <w:rPr>
                <w:rFonts w:hint="eastAsia"/>
                <w:szCs w:val="21"/>
              </w:rPr>
              <w:t>投标截止时间：</w:t>
            </w:r>
            <w:r>
              <w:rPr>
                <w:rFonts w:hint="eastAsia"/>
                <w:color w:val="C0504D" w:themeColor="accent2"/>
                <w:szCs w:val="21"/>
                <w14:textFill>
                  <w14:solidFill>
                    <w14:schemeClr w14:val="accent2"/>
                  </w14:solidFill>
                </w14:textFill>
              </w:rPr>
              <w:t>2023年11月1</w:t>
            </w:r>
            <w:r>
              <w:rPr>
                <w:rFonts w:hint="eastAsia"/>
                <w:color w:val="C0504D" w:themeColor="accent2"/>
                <w:szCs w:val="21"/>
                <w:lang w:val="en-US" w:eastAsia="zh-CN"/>
                <w14:textFill>
                  <w14:solidFill>
                    <w14:schemeClr w14:val="accent2"/>
                  </w14:solidFill>
                </w14:textFill>
              </w:rPr>
              <w:t>5</w:t>
            </w:r>
            <w:r>
              <w:rPr>
                <w:rFonts w:hint="eastAsia"/>
                <w:color w:val="C0504D" w:themeColor="accent2"/>
                <w:szCs w:val="21"/>
                <w14:textFill>
                  <w14:solidFill>
                    <w14:schemeClr w14:val="accent2"/>
                  </w14:solidFill>
                </w14:textFill>
              </w:rPr>
              <w:t>日1</w:t>
            </w:r>
            <w:r>
              <w:rPr>
                <w:rFonts w:hint="eastAsia"/>
                <w:color w:val="C0504D" w:themeColor="accent2"/>
                <w:szCs w:val="21"/>
                <w:lang w:val="en-US" w:eastAsia="zh-CN"/>
                <w14:textFill>
                  <w14:solidFill>
                    <w14:schemeClr w14:val="accent2"/>
                  </w14:solidFill>
                </w14:textFill>
              </w:rPr>
              <w:t>1</w:t>
            </w:r>
            <w:r>
              <w:rPr>
                <w:rFonts w:hint="eastAsia"/>
                <w:color w:val="C0504D" w:themeColor="accent2"/>
                <w:szCs w:val="21"/>
                <w14:textFill>
                  <w14:solidFill>
                    <w14:schemeClr w14:val="accent2"/>
                  </w14:solidFill>
                </w14:textFill>
              </w:rPr>
              <w:t>时</w:t>
            </w:r>
            <w:r>
              <w:rPr>
                <w:rFonts w:hint="eastAsia"/>
                <w:color w:val="C0504D" w:themeColor="accent2"/>
                <w:szCs w:val="21"/>
                <w:lang w:val="en-US" w:eastAsia="zh-CN"/>
                <w14:textFill>
                  <w14:solidFill>
                    <w14:schemeClr w14:val="accent2"/>
                  </w14:solidFill>
                </w14:textFill>
              </w:rPr>
              <w:t>00</w:t>
            </w:r>
            <w:r>
              <w:rPr>
                <w:rFonts w:hint="eastAsia"/>
                <w:color w:val="C0504D" w:themeColor="accent2"/>
                <w:szCs w:val="21"/>
                <w14:textFill>
                  <w14:solidFill>
                    <w14:schemeClr w14:val="accent2"/>
                  </w14:solidFill>
                </w14:textFill>
              </w:rPr>
              <w:t>分（北京时间）</w:t>
            </w:r>
          </w:p>
          <w:p>
            <w:pPr>
              <w:snapToGrid w:val="0"/>
              <w:spacing w:line="360" w:lineRule="auto"/>
              <w:ind w:firstLine="18" w:firstLineChars="9"/>
              <w:rPr>
                <w:szCs w:val="21"/>
              </w:rPr>
            </w:pPr>
            <w:r>
              <w:rPr>
                <w:rFonts w:hint="eastAsia"/>
                <w:szCs w:val="21"/>
              </w:rPr>
              <w:t>投标地点：新疆政府采购云平台（www.zcygov.cn）</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7" w:hRule="atLeast"/>
          <w:jc w:val="center"/>
        </w:trPr>
        <w:tc>
          <w:tcPr>
            <w:tcW w:w="1012" w:type="dxa"/>
            <w:vAlign w:val="center"/>
          </w:tcPr>
          <w:p>
            <w:pPr>
              <w:pStyle w:val="13"/>
              <w:snapToGrid w:val="0"/>
              <w:spacing w:line="290" w:lineRule="exact"/>
              <w:ind w:left="-77" w:leftChars="-37" w:right="-94" w:rightChars="-45"/>
              <w:jc w:val="center"/>
              <w:rPr>
                <w:rFonts w:cs="宋体"/>
                <w:color w:val="auto"/>
                <w:szCs w:val="21"/>
              </w:rPr>
            </w:pPr>
            <w:r>
              <w:rPr>
                <w:rFonts w:hint="eastAsia"/>
                <w:color w:val="auto"/>
                <w:szCs w:val="21"/>
              </w:rPr>
              <w:t>25</w:t>
            </w:r>
          </w:p>
        </w:tc>
        <w:tc>
          <w:tcPr>
            <w:tcW w:w="1536" w:type="dxa"/>
            <w:vAlign w:val="center"/>
          </w:tcPr>
          <w:p>
            <w:pPr>
              <w:snapToGrid w:val="0"/>
              <w:spacing w:line="290" w:lineRule="exact"/>
              <w:jc w:val="center"/>
              <w:rPr>
                <w:rFonts w:ascii="宋体"/>
                <w:szCs w:val="21"/>
              </w:rPr>
            </w:pPr>
            <w:r>
              <w:rPr>
                <w:rFonts w:hint="eastAsia" w:ascii="宋体"/>
                <w:szCs w:val="21"/>
              </w:rPr>
              <w:t>开标时间及地点</w:t>
            </w:r>
          </w:p>
        </w:tc>
        <w:tc>
          <w:tcPr>
            <w:tcW w:w="7288" w:type="dxa"/>
            <w:vAlign w:val="center"/>
          </w:tcPr>
          <w:p>
            <w:pPr>
              <w:snapToGrid w:val="0"/>
              <w:spacing w:line="360" w:lineRule="auto"/>
              <w:ind w:firstLine="18" w:firstLineChars="9"/>
              <w:rPr>
                <w:color w:val="0000FF"/>
                <w:szCs w:val="21"/>
              </w:rPr>
            </w:pPr>
            <w:r>
              <w:rPr>
                <w:rFonts w:hint="eastAsia"/>
                <w:szCs w:val="21"/>
              </w:rPr>
              <w:t>开标时间</w:t>
            </w:r>
            <w:r>
              <w:rPr>
                <w:rFonts w:hint="eastAsia"/>
                <w:color w:val="0000FF"/>
                <w:szCs w:val="21"/>
              </w:rPr>
              <w:t>：</w:t>
            </w:r>
            <w:r>
              <w:rPr>
                <w:rFonts w:hint="eastAsia"/>
                <w:color w:val="C0504D" w:themeColor="accent2"/>
                <w:szCs w:val="21"/>
                <w14:textFill>
                  <w14:solidFill>
                    <w14:schemeClr w14:val="accent2"/>
                  </w14:solidFill>
                </w14:textFill>
              </w:rPr>
              <w:t>2023年11月</w:t>
            </w:r>
            <w:r>
              <w:rPr>
                <w:rFonts w:hint="eastAsia"/>
                <w:color w:val="C0504D" w:themeColor="accent2"/>
                <w:szCs w:val="21"/>
                <w:lang w:val="en-US" w:eastAsia="zh-CN"/>
                <w14:textFill>
                  <w14:solidFill>
                    <w14:schemeClr w14:val="accent2"/>
                  </w14:solidFill>
                </w14:textFill>
              </w:rPr>
              <w:t>15</w:t>
            </w:r>
            <w:r>
              <w:rPr>
                <w:rFonts w:hint="eastAsia"/>
                <w:color w:val="C0504D" w:themeColor="accent2"/>
                <w:szCs w:val="21"/>
                <w14:textFill>
                  <w14:solidFill>
                    <w14:schemeClr w14:val="accent2"/>
                  </w14:solidFill>
                </w14:textFill>
              </w:rPr>
              <w:t>日</w:t>
            </w:r>
            <w:r>
              <w:rPr>
                <w:rFonts w:hint="eastAsia"/>
                <w:color w:val="C0504D" w:themeColor="accent2"/>
                <w:szCs w:val="21"/>
                <w:lang w:val="en-US" w:eastAsia="zh-CN"/>
                <w14:textFill>
                  <w14:solidFill>
                    <w14:schemeClr w14:val="accent2"/>
                  </w14:solidFill>
                </w14:textFill>
              </w:rPr>
              <w:t>11</w:t>
            </w:r>
            <w:r>
              <w:rPr>
                <w:rFonts w:hint="eastAsia"/>
                <w:color w:val="C0504D" w:themeColor="accent2"/>
                <w:szCs w:val="21"/>
                <w14:textFill>
                  <w14:solidFill>
                    <w14:schemeClr w14:val="accent2"/>
                  </w14:solidFill>
                </w14:textFill>
              </w:rPr>
              <w:t>时</w:t>
            </w:r>
            <w:r>
              <w:rPr>
                <w:rFonts w:hint="eastAsia"/>
                <w:color w:val="C0504D" w:themeColor="accent2"/>
                <w:szCs w:val="21"/>
                <w:lang w:val="en-US" w:eastAsia="zh-CN"/>
                <w14:textFill>
                  <w14:solidFill>
                    <w14:schemeClr w14:val="accent2"/>
                  </w14:solidFill>
                </w14:textFill>
              </w:rPr>
              <w:t>0</w:t>
            </w:r>
            <w:r>
              <w:rPr>
                <w:rFonts w:hint="eastAsia"/>
                <w:color w:val="C0504D" w:themeColor="accent2"/>
                <w:szCs w:val="21"/>
                <w14:textFill>
                  <w14:solidFill>
                    <w14:schemeClr w14:val="accent2"/>
                  </w14:solidFill>
                </w14:textFill>
              </w:rPr>
              <w:t>0分（北京时间）</w:t>
            </w:r>
          </w:p>
          <w:p>
            <w:pPr>
              <w:snapToGrid w:val="0"/>
              <w:spacing w:line="360" w:lineRule="auto"/>
              <w:ind w:firstLine="18" w:firstLineChars="9"/>
              <w:rPr>
                <w:szCs w:val="21"/>
              </w:rPr>
            </w:pPr>
            <w:r>
              <w:rPr>
                <w:rFonts w:hint="eastAsia"/>
                <w:szCs w:val="21"/>
              </w:rPr>
              <w:t>开标地点：在新疆政府采购云平台（www.zcygov.cn）上开启投标文件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02" w:hRule="atLeast"/>
          <w:jc w:val="center"/>
        </w:trPr>
        <w:tc>
          <w:tcPr>
            <w:tcW w:w="1012" w:type="dxa"/>
            <w:vAlign w:val="center"/>
          </w:tcPr>
          <w:p>
            <w:pPr>
              <w:pStyle w:val="13"/>
              <w:snapToGrid w:val="0"/>
              <w:spacing w:line="290" w:lineRule="exact"/>
              <w:ind w:left="-77" w:leftChars="-37" w:right="-94" w:rightChars="-45"/>
              <w:jc w:val="center"/>
              <w:rPr>
                <w:color w:val="auto"/>
                <w:szCs w:val="21"/>
              </w:rPr>
            </w:pPr>
            <w:r>
              <w:rPr>
                <w:rFonts w:hint="eastAsia"/>
                <w:color w:val="auto"/>
                <w:szCs w:val="21"/>
              </w:rPr>
              <w:t>26</w:t>
            </w:r>
          </w:p>
        </w:tc>
        <w:tc>
          <w:tcPr>
            <w:tcW w:w="1536" w:type="dxa"/>
            <w:vAlign w:val="center"/>
          </w:tcPr>
          <w:p>
            <w:pPr>
              <w:pStyle w:val="13"/>
              <w:snapToGrid w:val="0"/>
              <w:spacing w:line="290" w:lineRule="exact"/>
              <w:jc w:val="center"/>
              <w:rPr>
                <w:color w:val="auto"/>
                <w:szCs w:val="21"/>
              </w:rPr>
            </w:pPr>
            <w:r>
              <w:rPr>
                <w:rFonts w:hint="eastAsia"/>
                <w:color w:val="auto"/>
                <w:szCs w:val="21"/>
              </w:rPr>
              <w:t>评标委员会的组建</w:t>
            </w:r>
          </w:p>
        </w:tc>
        <w:tc>
          <w:tcPr>
            <w:tcW w:w="7288" w:type="dxa"/>
          </w:tcPr>
          <w:p>
            <w:pPr>
              <w:pStyle w:val="13"/>
              <w:snapToGrid w:val="0"/>
              <w:spacing w:line="360" w:lineRule="auto"/>
              <w:rPr>
                <w:color w:val="auto"/>
                <w:szCs w:val="21"/>
              </w:rPr>
            </w:pPr>
            <w:r>
              <w:rPr>
                <w:rFonts w:hint="eastAsia"/>
                <w:color w:val="auto"/>
                <w:szCs w:val="21"/>
              </w:rPr>
              <w:t>评标委员会由招标人依法组建；采购人代表1人，评审专家4人，共5人。</w:t>
            </w:r>
          </w:p>
          <w:p>
            <w:pPr>
              <w:pStyle w:val="13"/>
              <w:snapToGrid w:val="0"/>
              <w:spacing w:line="360" w:lineRule="auto"/>
              <w:rPr>
                <w:color w:val="auto"/>
                <w:szCs w:val="21"/>
              </w:rPr>
            </w:pPr>
            <w:r>
              <w:rPr>
                <w:rFonts w:hint="eastAsia"/>
                <w:color w:val="auto"/>
                <w:szCs w:val="21"/>
              </w:rPr>
              <w:t>评标专家确定方式：专家评委由招标人在开标前48小时内从政采云专家库中随机抽取。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vAlign w:val="center"/>
          </w:tcPr>
          <w:p>
            <w:pPr>
              <w:pStyle w:val="13"/>
              <w:snapToGrid w:val="0"/>
              <w:spacing w:line="290" w:lineRule="exact"/>
              <w:ind w:left="-77" w:leftChars="-37" w:right="-94" w:rightChars="-45"/>
              <w:jc w:val="center"/>
              <w:rPr>
                <w:color w:val="auto"/>
                <w:szCs w:val="21"/>
              </w:rPr>
            </w:pPr>
            <w:r>
              <w:rPr>
                <w:rFonts w:hint="eastAsia"/>
                <w:color w:val="auto"/>
                <w:szCs w:val="21"/>
              </w:rPr>
              <w:t>27</w:t>
            </w:r>
          </w:p>
        </w:tc>
        <w:tc>
          <w:tcPr>
            <w:tcW w:w="1536" w:type="dxa"/>
            <w:vAlign w:val="center"/>
          </w:tcPr>
          <w:p>
            <w:pPr>
              <w:pStyle w:val="13"/>
              <w:snapToGrid w:val="0"/>
              <w:spacing w:line="290" w:lineRule="exact"/>
              <w:jc w:val="center"/>
              <w:rPr>
                <w:color w:val="auto"/>
                <w:szCs w:val="21"/>
              </w:rPr>
            </w:pPr>
            <w:r>
              <w:rPr>
                <w:rFonts w:hint="eastAsia"/>
                <w:color w:val="auto"/>
                <w:szCs w:val="21"/>
              </w:rPr>
              <w:t>是否授权评标委员会确定中标候选人</w:t>
            </w:r>
          </w:p>
        </w:tc>
        <w:tc>
          <w:tcPr>
            <w:tcW w:w="7288" w:type="dxa"/>
            <w:vAlign w:val="center"/>
          </w:tcPr>
          <w:p>
            <w:pPr>
              <w:pStyle w:val="13"/>
              <w:snapToGrid w:val="0"/>
              <w:spacing w:line="290" w:lineRule="exact"/>
              <w:rPr>
                <w:color w:val="auto"/>
                <w:szCs w:val="21"/>
              </w:rPr>
            </w:pPr>
            <w:r>
              <w:rPr>
                <w:rFonts w:hint="eastAsia" w:hAnsi="宋体"/>
                <w:color w:val="auto"/>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vAlign w:val="center"/>
          </w:tcPr>
          <w:p>
            <w:pPr>
              <w:snapToGrid w:val="0"/>
              <w:spacing w:line="290" w:lineRule="exact"/>
              <w:ind w:left="-77" w:leftChars="-37" w:right="-94" w:rightChars="-45"/>
              <w:jc w:val="center"/>
              <w:rPr>
                <w:szCs w:val="21"/>
              </w:rPr>
            </w:pPr>
            <w:r>
              <w:rPr>
                <w:rFonts w:hint="eastAsia" w:ascii="宋体" w:cs="宋体"/>
                <w:szCs w:val="21"/>
              </w:rPr>
              <w:t>28</w:t>
            </w:r>
          </w:p>
        </w:tc>
        <w:tc>
          <w:tcPr>
            <w:tcW w:w="1536" w:type="dxa"/>
            <w:vAlign w:val="center"/>
          </w:tcPr>
          <w:p>
            <w:pPr>
              <w:pStyle w:val="13"/>
              <w:snapToGrid w:val="0"/>
              <w:spacing w:line="290" w:lineRule="exact"/>
              <w:jc w:val="center"/>
              <w:rPr>
                <w:color w:val="auto"/>
                <w:szCs w:val="21"/>
              </w:rPr>
            </w:pPr>
            <w:r>
              <w:rPr>
                <w:rFonts w:hint="eastAsia"/>
                <w:color w:val="auto"/>
                <w:szCs w:val="21"/>
              </w:rPr>
              <w:t>中标候选人公示媒介</w:t>
            </w:r>
          </w:p>
        </w:tc>
        <w:tc>
          <w:tcPr>
            <w:tcW w:w="7288" w:type="dxa"/>
            <w:vAlign w:val="center"/>
          </w:tcPr>
          <w:p>
            <w:pPr>
              <w:pStyle w:val="13"/>
              <w:snapToGrid w:val="0"/>
              <w:spacing w:line="290" w:lineRule="exact"/>
              <w:rPr>
                <w:color w:val="auto"/>
                <w:szCs w:val="21"/>
              </w:rPr>
            </w:pPr>
            <w:r>
              <w:rPr>
                <w:rFonts w:hint="eastAsia" w:ascii="Times New Roman"/>
                <w:color w:val="auto"/>
                <w:szCs w:val="21"/>
              </w:rPr>
              <w:t>新疆政府采购网、克州公共资源交易网，公示期为一个工作日。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vAlign w:val="center"/>
          </w:tcPr>
          <w:p>
            <w:pPr>
              <w:snapToGrid w:val="0"/>
              <w:spacing w:line="290" w:lineRule="exact"/>
              <w:jc w:val="center"/>
              <w:rPr>
                <w:rFonts w:ascii="宋体" w:cs="宋体"/>
                <w:szCs w:val="21"/>
              </w:rPr>
            </w:pPr>
            <w:r>
              <w:rPr>
                <w:rFonts w:hint="eastAsia" w:ascii="宋体" w:cs="宋体"/>
                <w:szCs w:val="21"/>
              </w:rPr>
              <w:t>29</w:t>
            </w:r>
          </w:p>
        </w:tc>
        <w:tc>
          <w:tcPr>
            <w:tcW w:w="1536" w:type="dxa"/>
            <w:vAlign w:val="center"/>
          </w:tcPr>
          <w:p>
            <w:pPr>
              <w:snapToGrid w:val="0"/>
              <w:spacing w:line="290" w:lineRule="exact"/>
              <w:jc w:val="center"/>
              <w:rPr>
                <w:rFonts w:ascii="宋体"/>
                <w:szCs w:val="21"/>
              </w:rPr>
            </w:pPr>
            <w:r>
              <w:rPr>
                <w:rFonts w:hint="eastAsia" w:ascii="宋体"/>
                <w:szCs w:val="21"/>
              </w:rPr>
              <w:t>履约担保</w:t>
            </w:r>
          </w:p>
        </w:tc>
        <w:tc>
          <w:tcPr>
            <w:tcW w:w="7288" w:type="dxa"/>
          </w:tcPr>
          <w:p>
            <w:pPr>
              <w:numPr>
                <w:ilvl w:val="0"/>
                <w:numId w:val="4"/>
              </w:numPr>
              <w:snapToGrid w:val="0"/>
              <w:spacing w:line="360" w:lineRule="auto"/>
              <w:rPr>
                <w:rFonts w:ascii="宋体"/>
                <w:szCs w:val="21"/>
              </w:rPr>
            </w:pPr>
            <w:r>
              <w:rPr>
                <w:rFonts w:hint="eastAsia"/>
                <w:color w:val="auto"/>
              </w:rPr>
              <w:t>中标供应商在合同签订后5个工作日内向采购人交纳中标价5%的履约保证金</w:t>
            </w:r>
            <w:r>
              <w:rPr>
                <w:rFonts w:hint="eastAsia"/>
              </w:rPr>
              <w:t>（本项目履约保证金接收保函形式；若以电汇、银行转账方式提交的，必须转到采购人的指定账户），如果中标供应商在建设期内没有涉及采购人的应付而未付金额或违约行为，采购人在项目验收合格后或提前终止合同后全额无息退还履约保证金。</w:t>
            </w:r>
          </w:p>
          <w:p>
            <w:pPr>
              <w:snapToGrid w:val="0"/>
              <w:spacing w:line="360" w:lineRule="auto"/>
              <w:rPr>
                <w:rFonts w:ascii="宋体"/>
                <w:szCs w:val="21"/>
              </w:rPr>
            </w:pPr>
            <w:r>
              <w:rPr>
                <w:rFonts w:hint="eastAsia" w:ascii="宋体" w:cs="宋体"/>
                <w:kern w:val="0"/>
                <w:szCs w:val="21"/>
                <w:u w:color="000000"/>
              </w:rPr>
              <w:t>2、</w:t>
            </w:r>
            <w:r>
              <w:rPr>
                <w:rFonts w:hint="eastAsia" w:ascii="宋体"/>
                <w:szCs w:val="21"/>
              </w:rPr>
              <w:t>签订合同后，如中标供应商不按合同约定履约的，履约保证金不予退还，履约保证金不足以赔偿损失的，按实际损失赔偿。</w:t>
            </w:r>
          </w:p>
          <w:p>
            <w:pPr>
              <w:spacing w:line="440" w:lineRule="exact"/>
              <w:jc w:val="left"/>
            </w:pPr>
            <w:r>
              <w:rPr>
                <w:rFonts w:hint="eastAsia" w:ascii="宋体"/>
                <w:szCs w:val="21"/>
              </w:rPr>
              <w:t>3、如果中标供应商在供货期内没有涉及采购人的应付而未付金额或违约行为，采购人在项目验收合格后或提前终止合同后全额无息退还履约保证金。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52" w:hRule="atLeast"/>
          <w:jc w:val="center"/>
        </w:trPr>
        <w:tc>
          <w:tcPr>
            <w:tcW w:w="1012" w:type="dxa"/>
            <w:vAlign w:val="center"/>
          </w:tcPr>
          <w:p>
            <w:pPr>
              <w:snapToGrid w:val="0"/>
              <w:spacing w:line="290" w:lineRule="exact"/>
              <w:jc w:val="center"/>
              <w:rPr>
                <w:rFonts w:ascii="宋体" w:hAnsi="宋体" w:cs="宋体"/>
                <w:szCs w:val="21"/>
              </w:rPr>
            </w:pPr>
            <w:r>
              <w:rPr>
                <w:rFonts w:hint="eastAsia" w:ascii="宋体" w:hAnsi="宋体" w:cs="宋体"/>
                <w:szCs w:val="21"/>
              </w:rPr>
              <w:t>30</w:t>
            </w:r>
          </w:p>
        </w:tc>
        <w:tc>
          <w:tcPr>
            <w:tcW w:w="1536" w:type="dxa"/>
            <w:vAlign w:val="center"/>
          </w:tcPr>
          <w:p>
            <w:pPr>
              <w:snapToGrid w:val="0"/>
              <w:spacing w:line="290" w:lineRule="exact"/>
              <w:jc w:val="center"/>
              <w:rPr>
                <w:rFonts w:ascii="宋体" w:hAnsi="宋体" w:cs="宋体"/>
                <w:szCs w:val="21"/>
              </w:rPr>
            </w:pPr>
            <w:r>
              <w:rPr>
                <w:rFonts w:hint="eastAsia" w:ascii="宋体" w:hAnsi="宋体" w:cs="宋体"/>
                <w:szCs w:val="21"/>
              </w:rPr>
              <w:t>招标文件领取</w:t>
            </w:r>
          </w:p>
        </w:tc>
        <w:tc>
          <w:tcPr>
            <w:tcW w:w="7288" w:type="dxa"/>
          </w:tcPr>
          <w:p>
            <w:pPr>
              <w:snapToGrid w:val="0"/>
              <w:spacing w:line="360" w:lineRule="auto"/>
              <w:rPr>
                <w:rFonts w:ascii="宋体" w:hAnsi="宋体" w:cs="宋体"/>
                <w:color w:val="0000FF"/>
                <w:szCs w:val="21"/>
              </w:rPr>
            </w:pPr>
            <w:r>
              <w:rPr>
                <w:rFonts w:hint="eastAsia" w:ascii="宋体" w:hAnsi="宋体" w:cs="宋体"/>
                <w:szCs w:val="21"/>
              </w:rPr>
              <w:t>时间：</w:t>
            </w:r>
            <w:r>
              <w:rPr>
                <w:rFonts w:hint="eastAsia" w:ascii="宋体" w:hAnsi="宋体" w:cs="宋体"/>
                <w:color w:val="C0504D" w:themeColor="accent2"/>
                <w:szCs w:val="21"/>
                <w14:textFill>
                  <w14:solidFill>
                    <w14:schemeClr w14:val="accent2"/>
                  </w14:solidFill>
                </w14:textFill>
              </w:rPr>
              <w:t>2023年10月2</w:t>
            </w:r>
            <w:r>
              <w:rPr>
                <w:rFonts w:hint="eastAsia" w:ascii="宋体" w:hAnsi="宋体" w:cs="宋体"/>
                <w:color w:val="C0504D" w:themeColor="accent2"/>
                <w:szCs w:val="21"/>
                <w:lang w:val="en-US" w:eastAsia="zh-CN"/>
                <w14:textFill>
                  <w14:solidFill>
                    <w14:schemeClr w14:val="accent2"/>
                  </w14:solidFill>
                </w14:textFill>
              </w:rPr>
              <w:t>6</w:t>
            </w:r>
            <w:r>
              <w:rPr>
                <w:rFonts w:hint="eastAsia" w:ascii="宋体" w:hAnsi="宋体" w:cs="宋体"/>
                <w:color w:val="C0504D" w:themeColor="accent2"/>
                <w:szCs w:val="21"/>
                <w14:textFill>
                  <w14:solidFill>
                    <w14:schemeClr w14:val="accent2"/>
                  </w14:solidFill>
                </w14:textFill>
              </w:rPr>
              <w:t>日至2023年1</w:t>
            </w:r>
            <w:r>
              <w:rPr>
                <w:rFonts w:hint="eastAsia" w:ascii="宋体" w:hAnsi="宋体" w:cs="宋体"/>
                <w:color w:val="C0504D" w:themeColor="accent2"/>
                <w:szCs w:val="21"/>
                <w:lang w:val="en-US" w:eastAsia="zh-CN"/>
                <w14:textFill>
                  <w14:solidFill>
                    <w14:schemeClr w14:val="accent2"/>
                  </w14:solidFill>
                </w14:textFill>
              </w:rPr>
              <w:t>1</w:t>
            </w:r>
            <w:r>
              <w:rPr>
                <w:rFonts w:hint="eastAsia" w:ascii="宋体" w:hAnsi="宋体" w:cs="宋体"/>
                <w:color w:val="C0504D" w:themeColor="accent2"/>
                <w:szCs w:val="21"/>
                <w14:textFill>
                  <w14:solidFill>
                    <w14:schemeClr w14:val="accent2"/>
                  </w14:solidFill>
                </w14:textFill>
              </w:rPr>
              <w:t>月</w:t>
            </w:r>
            <w:r>
              <w:rPr>
                <w:rFonts w:hint="eastAsia" w:ascii="宋体" w:hAnsi="宋体" w:cs="宋体"/>
                <w:color w:val="C0504D" w:themeColor="accent2"/>
                <w:szCs w:val="21"/>
                <w:lang w:val="en-US" w:eastAsia="zh-CN"/>
                <w14:textFill>
                  <w14:solidFill>
                    <w14:schemeClr w14:val="accent2"/>
                  </w14:solidFill>
                </w14:textFill>
              </w:rPr>
              <w:t>2</w:t>
            </w:r>
            <w:r>
              <w:rPr>
                <w:rFonts w:hint="eastAsia" w:ascii="宋体" w:hAnsi="宋体" w:cs="宋体"/>
                <w:color w:val="C0504D" w:themeColor="accent2"/>
                <w:szCs w:val="21"/>
                <w14:textFill>
                  <w14:solidFill>
                    <w14:schemeClr w14:val="accent2"/>
                  </w14:solidFill>
                </w14:textFill>
              </w:rPr>
              <w:t>日，每天上午10:00至1</w:t>
            </w:r>
            <w:r>
              <w:rPr>
                <w:rFonts w:hint="eastAsia" w:ascii="宋体" w:hAnsi="宋体" w:cs="宋体"/>
                <w:color w:val="C0504D" w:themeColor="accent2"/>
                <w:szCs w:val="21"/>
                <w:lang w:val="en-US" w:eastAsia="zh-CN"/>
                <w14:textFill>
                  <w14:solidFill>
                    <w14:schemeClr w14:val="accent2"/>
                  </w14:solidFill>
                </w14:textFill>
              </w:rPr>
              <w:t>4</w:t>
            </w:r>
            <w:r>
              <w:rPr>
                <w:rFonts w:hint="eastAsia" w:ascii="宋体" w:hAnsi="宋体" w:cs="宋体"/>
                <w:color w:val="C0504D" w:themeColor="accent2"/>
                <w:szCs w:val="21"/>
                <w14:textFill>
                  <w14:solidFill>
                    <w14:schemeClr w14:val="accent2"/>
                  </w14:solidFill>
                </w14:textFill>
              </w:rPr>
              <w:t>:</w:t>
            </w:r>
            <w:r>
              <w:rPr>
                <w:rFonts w:hint="eastAsia" w:ascii="宋体" w:hAnsi="宋体" w:cs="宋体"/>
                <w:color w:val="C0504D" w:themeColor="accent2"/>
                <w:szCs w:val="21"/>
                <w:lang w:val="en-US" w:eastAsia="zh-CN"/>
                <w14:textFill>
                  <w14:solidFill>
                    <w14:schemeClr w14:val="accent2"/>
                  </w14:solidFill>
                </w14:textFill>
              </w:rPr>
              <w:t>00</w:t>
            </w:r>
            <w:r>
              <w:rPr>
                <w:rFonts w:hint="eastAsia" w:ascii="宋体" w:hAnsi="宋体" w:cs="宋体"/>
                <w:color w:val="C0504D" w:themeColor="accent2"/>
                <w:szCs w:val="21"/>
                <w14:textFill>
                  <w14:solidFill>
                    <w14:schemeClr w14:val="accent2"/>
                  </w14:solidFill>
                </w14:textFill>
              </w:rPr>
              <w:t>，下午16:</w:t>
            </w:r>
            <w:r>
              <w:rPr>
                <w:rFonts w:hint="eastAsia" w:ascii="宋体" w:hAnsi="宋体" w:cs="宋体"/>
                <w:color w:val="C0504D" w:themeColor="accent2"/>
                <w:szCs w:val="21"/>
                <w:lang w:val="en-US" w:eastAsia="zh-CN"/>
                <w14:textFill>
                  <w14:solidFill>
                    <w14:schemeClr w14:val="accent2"/>
                  </w14:solidFill>
                </w14:textFill>
              </w:rPr>
              <w:t>0</w:t>
            </w:r>
            <w:r>
              <w:rPr>
                <w:rFonts w:hint="eastAsia" w:ascii="宋体" w:hAnsi="宋体" w:cs="宋体"/>
                <w:color w:val="C0504D" w:themeColor="accent2"/>
                <w:szCs w:val="21"/>
                <w14:textFill>
                  <w14:solidFill>
                    <w14:schemeClr w14:val="accent2"/>
                  </w14:solidFill>
                </w14:textFill>
              </w:rPr>
              <w:t>0至20：00（北京时间，法定节假日除外）</w:t>
            </w:r>
          </w:p>
          <w:p>
            <w:pPr>
              <w:snapToGrid w:val="0"/>
              <w:spacing w:line="360" w:lineRule="auto"/>
              <w:rPr>
                <w:rFonts w:ascii="宋体" w:hAnsi="宋体" w:cs="宋体"/>
                <w:szCs w:val="21"/>
              </w:rPr>
            </w:pPr>
            <w:r>
              <w:rPr>
                <w:rFonts w:hint="eastAsia" w:ascii="宋体" w:hAnsi="宋体" w:cs="宋体"/>
                <w:szCs w:val="21"/>
              </w:rPr>
              <w:t>地点：供应商登陆政采云平台http://www.zcygov.cn/，在线申请获取招标文件（登录政府采购云平台 → 项目采购 → 获取招标文件→申请，审核通过后可下载招标文件，如有操作性问题，可与政采云在线客服进行咨询，咨询电话：95763）。</w:t>
            </w:r>
          </w:p>
          <w:p>
            <w:pPr>
              <w:snapToGrid w:val="0"/>
              <w:spacing w:line="360" w:lineRule="auto"/>
              <w:rPr>
                <w:rFonts w:ascii="宋体" w:hAnsi="宋体" w:cs="宋体"/>
                <w:szCs w:val="21"/>
              </w:rPr>
            </w:pPr>
            <w:r>
              <w:rPr>
                <w:rFonts w:hint="eastAsia" w:ascii="宋体" w:hAnsi="宋体" w:cs="宋体"/>
                <w:szCs w:val="21"/>
              </w:rPr>
              <w:t>方式：（1）线上获取（登录政府采购云平台 → 项目采购 → 获取招标文件→ 申请，审核通过后可下载招标文件）。本次招标不提供纸质版招标文件。</w:t>
            </w:r>
          </w:p>
          <w:p>
            <w:pPr>
              <w:snapToGrid w:val="0"/>
              <w:spacing w:line="360" w:lineRule="auto"/>
              <w:rPr>
                <w:rFonts w:ascii="宋体" w:hAnsi="宋体" w:cs="宋体"/>
                <w:szCs w:val="21"/>
              </w:rPr>
            </w:pPr>
            <w:r>
              <w:rPr>
                <w:rFonts w:hint="eastAsia" w:ascii="宋体" w:hAnsi="宋体" w:cs="宋体"/>
                <w:szCs w:val="21"/>
              </w:rPr>
              <w:t>（2）供应商获取招标文件前应注册成为政府采购云平台正式供应商。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76" w:hRule="atLeast"/>
          <w:jc w:val="center"/>
        </w:trPr>
        <w:tc>
          <w:tcPr>
            <w:tcW w:w="1012" w:type="dxa"/>
            <w:vMerge w:val="restart"/>
            <w:vAlign w:val="center"/>
          </w:tcPr>
          <w:p>
            <w:pPr>
              <w:snapToGrid w:val="0"/>
              <w:spacing w:line="290" w:lineRule="exact"/>
              <w:jc w:val="center"/>
              <w:rPr>
                <w:rFonts w:ascii="宋体" w:hAnsi="宋体"/>
                <w:szCs w:val="21"/>
              </w:rPr>
            </w:pPr>
            <w:r>
              <w:rPr>
                <w:rFonts w:hint="eastAsia" w:ascii="宋体" w:hAnsi="宋体"/>
                <w:szCs w:val="21"/>
              </w:rPr>
              <w:t>31</w:t>
            </w:r>
          </w:p>
        </w:tc>
        <w:tc>
          <w:tcPr>
            <w:tcW w:w="1536" w:type="dxa"/>
            <w:vMerge w:val="restart"/>
            <w:vAlign w:val="center"/>
          </w:tcPr>
          <w:p>
            <w:pPr>
              <w:snapToGrid w:val="0"/>
              <w:spacing w:line="290" w:lineRule="exact"/>
              <w:jc w:val="center"/>
              <w:rPr>
                <w:rFonts w:ascii="宋体" w:hAnsi="宋体"/>
                <w:szCs w:val="21"/>
              </w:rPr>
            </w:pPr>
            <w:r>
              <w:rPr>
                <w:rFonts w:hint="eastAsia" w:ascii="宋体" w:hAnsi="宋体" w:cs="宋体"/>
                <w:szCs w:val="21"/>
              </w:rPr>
              <w:t>中小微企业政策文件</w:t>
            </w:r>
          </w:p>
        </w:tc>
        <w:tc>
          <w:tcPr>
            <w:tcW w:w="7288" w:type="dxa"/>
          </w:tcPr>
          <w:p>
            <w:pPr>
              <w:snapToGrid w:val="0"/>
              <w:spacing w:line="360" w:lineRule="auto"/>
              <w:jc w:val="left"/>
              <w:rPr>
                <w:rFonts w:ascii="宋体" w:hAnsi="宋体" w:cs="宋体"/>
                <w:szCs w:val="21"/>
              </w:rPr>
            </w:pPr>
            <w:r>
              <w:rPr>
                <w:rFonts w:hint="eastAsia" w:ascii="宋体" w:hAnsi="宋体" w:cs="宋体"/>
                <w:szCs w:val="21"/>
              </w:rPr>
              <w:t>（1）根据财政部、工业和信息化部关于印发《政府采购促进中小企业发展管理办法》的通知（财库[2020]46号）和关于进一步加大政府采购支持中小企业力度的通知-财库[2022]19号，供应商提供的服务属于《工业和信息化部、国家统计局、国家发展和改革委员会、财政部关于印发中小企业划型标准规定的通知》（工信部联企业[2011]300号）中规定的小型、微型企业标准的，按招标文件格式提供《中小企业声明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24" w:hRule="atLeast"/>
          <w:jc w:val="center"/>
        </w:trPr>
        <w:tc>
          <w:tcPr>
            <w:tcW w:w="1012" w:type="dxa"/>
            <w:vMerge w:val="continue"/>
            <w:vAlign w:val="center"/>
          </w:tcPr>
          <w:p>
            <w:pPr>
              <w:snapToGrid w:val="0"/>
              <w:spacing w:line="290" w:lineRule="exact"/>
              <w:rPr>
                <w:rFonts w:ascii="宋体" w:hAnsi="宋体"/>
                <w:szCs w:val="21"/>
              </w:rPr>
            </w:pPr>
          </w:p>
        </w:tc>
        <w:tc>
          <w:tcPr>
            <w:tcW w:w="1536" w:type="dxa"/>
            <w:vMerge w:val="continue"/>
            <w:vAlign w:val="center"/>
          </w:tcPr>
          <w:p>
            <w:pPr>
              <w:snapToGrid w:val="0"/>
              <w:spacing w:line="290" w:lineRule="exact"/>
              <w:jc w:val="center"/>
              <w:rPr>
                <w:rFonts w:ascii="宋体" w:hAnsi="宋体"/>
                <w:szCs w:val="21"/>
              </w:rPr>
            </w:pPr>
          </w:p>
        </w:tc>
        <w:tc>
          <w:tcPr>
            <w:tcW w:w="7288" w:type="dxa"/>
          </w:tcPr>
          <w:p>
            <w:pPr>
              <w:snapToGrid w:val="0"/>
              <w:spacing w:line="360" w:lineRule="auto"/>
              <w:jc w:val="left"/>
              <w:rPr>
                <w:rFonts w:ascii="宋体" w:hAnsi="宋体" w:cs="宋体"/>
                <w:szCs w:val="21"/>
              </w:rPr>
            </w:pPr>
            <w:r>
              <w:rPr>
                <w:rFonts w:hint="eastAsia" w:ascii="宋体" w:hAnsi="宋体" w:cs="宋体"/>
                <w:szCs w:val="21"/>
              </w:rPr>
              <w:t>（2）根据财政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36" w:hRule="atLeast"/>
          <w:jc w:val="center"/>
        </w:trPr>
        <w:tc>
          <w:tcPr>
            <w:tcW w:w="1012" w:type="dxa"/>
            <w:vMerge w:val="continue"/>
            <w:vAlign w:val="center"/>
          </w:tcPr>
          <w:p>
            <w:pPr>
              <w:snapToGrid w:val="0"/>
              <w:spacing w:line="290" w:lineRule="exact"/>
              <w:rPr>
                <w:rFonts w:ascii="宋体" w:hAnsi="宋体"/>
                <w:szCs w:val="21"/>
              </w:rPr>
            </w:pPr>
          </w:p>
        </w:tc>
        <w:tc>
          <w:tcPr>
            <w:tcW w:w="1536" w:type="dxa"/>
            <w:vMerge w:val="continue"/>
            <w:vAlign w:val="center"/>
          </w:tcPr>
          <w:p>
            <w:pPr>
              <w:snapToGrid w:val="0"/>
              <w:spacing w:line="290" w:lineRule="exact"/>
              <w:jc w:val="center"/>
              <w:rPr>
                <w:rFonts w:ascii="宋体" w:hAnsi="宋体"/>
                <w:szCs w:val="21"/>
              </w:rPr>
            </w:pPr>
          </w:p>
        </w:tc>
        <w:tc>
          <w:tcPr>
            <w:tcW w:w="7288" w:type="dxa"/>
          </w:tcPr>
          <w:p>
            <w:pPr>
              <w:snapToGrid w:val="0"/>
              <w:spacing w:line="360" w:lineRule="auto"/>
              <w:jc w:val="left"/>
              <w:rPr>
                <w:rFonts w:ascii="宋体" w:hAnsi="宋体" w:cs="宋体"/>
                <w:szCs w:val="21"/>
              </w:rPr>
            </w:pPr>
            <w:r>
              <w:rPr>
                <w:rFonts w:hint="eastAsia" w:ascii="宋体" w:hAnsi="宋体" w:cs="宋体"/>
                <w:szCs w:val="21"/>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8" w:hRule="atLeast"/>
          <w:jc w:val="center"/>
        </w:trPr>
        <w:tc>
          <w:tcPr>
            <w:tcW w:w="1012" w:type="dxa"/>
            <w:vAlign w:val="center"/>
          </w:tcPr>
          <w:p>
            <w:pPr>
              <w:snapToGrid w:val="0"/>
              <w:spacing w:line="290" w:lineRule="exact"/>
              <w:jc w:val="center"/>
              <w:rPr>
                <w:rFonts w:ascii="宋体" w:hAnsi="宋体"/>
                <w:szCs w:val="21"/>
              </w:rPr>
            </w:pPr>
            <w:r>
              <w:rPr>
                <w:rFonts w:hint="eastAsia" w:ascii="宋体" w:hAnsi="宋体"/>
                <w:szCs w:val="21"/>
              </w:rPr>
              <w:t>32</w:t>
            </w:r>
          </w:p>
        </w:tc>
        <w:tc>
          <w:tcPr>
            <w:tcW w:w="1536" w:type="dxa"/>
            <w:vAlign w:val="center"/>
          </w:tcPr>
          <w:p>
            <w:pPr>
              <w:snapToGrid w:val="0"/>
              <w:spacing w:line="290" w:lineRule="exact"/>
              <w:jc w:val="center"/>
              <w:rPr>
                <w:rFonts w:ascii="宋体" w:hAnsi="宋体"/>
                <w:szCs w:val="21"/>
              </w:rPr>
            </w:pPr>
            <w:r>
              <w:rPr>
                <w:rFonts w:hint="eastAsia" w:ascii="宋体" w:hAnsi="宋体" w:cs="宋体"/>
                <w:szCs w:val="21"/>
              </w:rPr>
              <w:t>中小微企业政策文件说明</w:t>
            </w:r>
          </w:p>
        </w:tc>
        <w:tc>
          <w:tcPr>
            <w:tcW w:w="7288" w:type="dxa"/>
          </w:tcPr>
          <w:p>
            <w:pPr>
              <w:snapToGrid w:val="0"/>
              <w:spacing w:line="360" w:lineRule="auto"/>
              <w:jc w:val="left"/>
              <w:rPr>
                <w:rFonts w:ascii="宋体" w:hAnsi="宋体" w:cs="宋体"/>
                <w:szCs w:val="21"/>
              </w:rPr>
            </w:pPr>
            <w:r>
              <w:rPr>
                <w:rFonts w:hint="eastAsia" w:ascii="宋体" w:hAnsi="宋体" w:cs="宋体"/>
                <w:szCs w:val="21"/>
              </w:rPr>
              <w:t>（1）支持中小企业发展：给予小型和微型企业产品的价格10%-20%的扣除，用扣除后的价格参与评审，具体扣除比例为10%。用扣除后的价格参与评审。残疾人福利性单位视同小型、微型企业，享受同等价格扣除，但同时属于残疾人福利性单位和小微企业的，不重复价格扣除。</w:t>
            </w:r>
          </w:p>
          <w:p>
            <w:pPr>
              <w:snapToGrid w:val="0"/>
              <w:spacing w:line="360" w:lineRule="auto"/>
              <w:jc w:val="left"/>
              <w:rPr>
                <w:rFonts w:ascii="宋体" w:hAnsi="宋体" w:cs="宋体"/>
                <w:szCs w:val="21"/>
              </w:rPr>
            </w:pPr>
            <w:r>
              <w:rPr>
                <w:rFonts w:hint="eastAsia" w:ascii="宋体" w:hAnsi="宋体" w:cs="宋体"/>
                <w:szCs w:val="21"/>
              </w:rPr>
              <w:t>（2）不符合上述适用情形的投标人无需提供上述声明函件。</w:t>
            </w:r>
          </w:p>
          <w:p>
            <w:pPr>
              <w:snapToGrid w:val="0"/>
              <w:spacing w:line="360" w:lineRule="auto"/>
              <w:jc w:val="left"/>
              <w:rPr>
                <w:rFonts w:ascii="宋体" w:hAnsi="宋体" w:cs="宋体"/>
                <w:szCs w:val="21"/>
              </w:rPr>
            </w:pPr>
            <w:r>
              <w:rPr>
                <w:rFonts w:hint="eastAsia"/>
              </w:rPr>
              <w:t>3.本采购项目中小企业划分标准所属行业为：</w:t>
            </w:r>
            <w:r>
              <w:rPr>
                <w:rFonts w:ascii="微软雅黑" w:hAnsi="微软雅黑" w:eastAsia="微软雅黑" w:cs="微软雅黑"/>
                <w:sz w:val="22"/>
                <w:szCs w:val="22"/>
              </w:rPr>
              <w:t>软件和信息技术服务业</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8" w:hRule="atLeast"/>
          <w:jc w:val="center"/>
        </w:trPr>
        <w:tc>
          <w:tcPr>
            <w:tcW w:w="1012" w:type="dxa"/>
            <w:vAlign w:val="center"/>
          </w:tcPr>
          <w:p>
            <w:pPr>
              <w:snapToGrid w:val="0"/>
              <w:spacing w:line="290" w:lineRule="exact"/>
              <w:jc w:val="center"/>
              <w:rPr>
                <w:rFonts w:ascii="宋体" w:hAnsi="宋体"/>
                <w:szCs w:val="21"/>
              </w:rPr>
            </w:pPr>
            <w:r>
              <w:rPr>
                <w:rFonts w:hint="eastAsia" w:ascii="宋体" w:hAnsi="宋体"/>
                <w:szCs w:val="21"/>
              </w:rPr>
              <w:t>33</w:t>
            </w:r>
          </w:p>
        </w:tc>
        <w:tc>
          <w:tcPr>
            <w:tcW w:w="1536" w:type="dxa"/>
            <w:vAlign w:val="center"/>
          </w:tcPr>
          <w:p>
            <w:pPr>
              <w:snapToGrid w:val="0"/>
              <w:spacing w:line="290" w:lineRule="exact"/>
              <w:jc w:val="center"/>
              <w:rPr>
                <w:rFonts w:ascii="宋体" w:hAnsi="宋体" w:cs="宋体"/>
                <w:szCs w:val="21"/>
              </w:rPr>
            </w:pPr>
            <w:r>
              <w:rPr>
                <w:rFonts w:hint="eastAsia" w:ascii="宋体" w:hAnsi="宋体" w:cs="宋体"/>
                <w:szCs w:val="21"/>
              </w:rPr>
              <w:t>重要说明</w:t>
            </w:r>
          </w:p>
        </w:tc>
        <w:tc>
          <w:tcPr>
            <w:tcW w:w="7288" w:type="dxa"/>
          </w:tcPr>
          <w:p>
            <w:pPr>
              <w:snapToGrid w:val="0"/>
              <w:spacing w:line="360" w:lineRule="auto"/>
              <w:jc w:val="left"/>
            </w:pPr>
            <w:r>
              <w:rPr>
                <w:rFonts w:hint="eastAsia"/>
              </w:rPr>
              <w:t>1.本项目采用全流程不见面电子开评标，投标供应商需要使用CA加密设备，供应商可通过新疆数字证书认证中心官网（https://www.xjca.com.cn/）或下载“新疆政务通”APP自行进行申领。</w:t>
            </w:r>
          </w:p>
          <w:p>
            <w:pPr>
              <w:snapToGrid w:val="0"/>
              <w:spacing w:line="360" w:lineRule="auto"/>
              <w:jc w:val="left"/>
            </w:pPr>
            <w:r>
              <w:rPr>
                <w:rFonts w:hint="eastAsia"/>
              </w:rPr>
              <w:t>2.本项目实行网上投标，采用加密电子投标文件(供应商须使用CA加密设备通过政采云电子投标客户端制作投标文件)。若供应商参与投标，自行承担投标一切费用。</w:t>
            </w:r>
          </w:p>
          <w:p>
            <w:pPr>
              <w:snapToGrid w:val="0"/>
              <w:spacing w:line="360" w:lineRule="auto"/>
              <w:jc w:val="left"/>
            </w:pPr>
            <w:r>
              <w:rPr>
                <w:rFonts w:hint="eastAsia"/>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pPr>
              <w:snapToGrid w:val="0"/>
              <w:spacing w:line="360" w:lineRule="auto"/>
              <w:jc w:val="left"/>
            </w:pPr>
            <w:r>
              <w:rPr>
                <w:rFonts w:hint="eastAsia"/>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pPr>
              <w:snapToGrid w:val="0"/>
              <w:spacing w:line="360" w:lineRule="auto"/>
              <w:jc w:val="left"/>
            </w:pPr>
            <w:r>
              <w:rPr>
                <w:rFonts w:hint="eastAsia"/>
              </w:rPr>
              <w:t>5.供应商在开标时须使用制作加密电子投标文件所使用的CA锁及电脑，电脑须提前配置好浏览器（建议使用谷歌浏览器），以便开标时解锁。</w:t>
            </w:r>
          </w:p>
          <w:p>
            <w:pPr>
              <w:snapToGrid w:val="0"/>
              <w:spacing w:line="360" w:lineRule="auto"/>
              <w:jc w:val="left"/>
            </w:pPr>
            <w:r>
              <w:rPr>
                <w:rFonts w:hint="eastAsia"/>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pPr>
              <w:snapToGrid w:val="0"/>
              <w:spacing w:line="360" w:lineRule="auto"/>
              <w:jc w:val="left"/>
            </w:pPr>
            <w:r>
              <w:rPr>
                <w:rFonts w:hint="eastAsia"/>
              </w:rPr>
              <w:t>7.为了保证开评标顺利进行，政采云线上开标功能完全实现，供应商开标所使用的电脑设备须具有视频及语音功能。</w:t>
            </w:r>
          </w:p>
          <w:p>
            <w:pPr>
              <w:snapToGrid w:val="0"/>
              <w:spacing w:line="360" w:lineRule="auto"/>
              <w:jc w:val="left"/>
            </w:pPr>
            <w:r>
              <w:rPr>
                <w:rFonts w:hint="eastAsia"/>
              </w:rPr>
              <w:t>1、电子招投标情况说明：</w:t>
            </w:r>
          </w:p>
          <w:p>
            <w:pPr>
              <w:snapToGrid w:val="0"/>
              <w:spacing w:line="360" w:lineRule="auto"/>
              <w:jc w:val="left"/>
            </w:pPr>
            <w:r>
              <w:rPr>
                <w:rFonts w:hint="eastAsia"/>
              </w:rPr>
              <w:t>（1）电子招投标：本项目以数据电文形式，依托“政府采购云平台（www.zcygov.cn）”进行招投标活动。</w:t>
            </w:r>
          </w:p>
          <w:p>
            <w:pPr>
              <w:snapToGrid w:val="0"/>
              <w:spacing w:line="360" w:lineRule="auto"/>
              <w:jc w:val="left"/>
            </w:pPr>
            <w:r>
              <w:rPr>
                <w:rFonts w:hint="eastAsia"/>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pPr>
              <w:snapToGrid w:val="0"/>
              <w:spacing w:line="360" w:lineRule="auto"/>
              <w:jc w:val="left"/>
            </w:pPr>
            <w:r>
              <w:rPr>
                <w:rFonts w:hint="eastAsia"/>
              </w:rPr>
              <w:t>（3）招标文件的获取：使用账号登录或者短信验证码或者使用CA登录政采云平台；进入“项目采购”应用，在获取招标文件菜单中选择项目，获取招标文件 。</w:t>
            </w:r>
          </w:p>
          <w:p>
            <w:pPr>
              <w:snapToGrid w:val="0"/>
              <w:spacing w:line="360" w:lineRule="auto"/>
              <w:jc w:val="left"/>
            </w:pPr>
            <w:r>
              <w:rPr>
                <w:rFonts w:hint="eastAsia"/>
              </w:rPr>
              <w:t>（4）投标文件的制作：在“政采云电子交易客户端”中完成“填写基本信息”、“导入投标文件”、“标书关联”、“标书检查”、“电子签名”、“生成电子标书”等操作。</w:t>
            </w:r>
          </w:p>
          <w:p>
            <w:pPr>
              <w:snapToGrid w:val="0"/>
              <w:spacing w:line="360" w:lineRule="auto"/>
              <w:jc w:val="left"/>
            </w:pPr>
            <w:r>
              <w:rPr>
                <w:rFonts w:hint="eastAsia"/>
              </w:rPr>
              <w:t>（5）投标文件的传输递交：供应商在投标截止时间前将加密的投标文件上传至政府采购云平台，还可以在投标截止时间前以电子邮件方式提供备份投标文件1份（接收人邮箱：188871622@qq.com，接收人：朱先生，电话：</w:t>
            </w:r>
            <w:r>
              <w:rPr>
                <w:rFonts w:hint="eastAsia"/>
                <w:szCs w:val="21"/>
              </w:rPr>
              <w:t>15770150301</w:t>
            </w:r>
            <w:r>
              <w:rPr>
                <w:rFonts w:hint="eastAsia"/>
              </w:rPr>
              <w:t>），备份投标文件可以打包压缩并加密，压缩包命名为“XX单位备份投标文件”，加密密码由供应商自行保管（“备份投标文件”由供应商自愿提供，招标文件不作强制性要求；如不提供或未按要求提供的，当电子投标文件无法解密时，将导致无备份投标文件而失去投标资格）。</w:t>
            </w:r>
          </w:p>
          <w:p>
            <w:pPr>
              <w:snapToGrid w:val="0"/>
              <w:spacing w:line="360" w:lineRule="auto"/>
              <w:jc w:val="left"/>
            </w:pPr>
            <w:r>
              <w:rPr>
                <w:rFonts w:hint="eastAsia"/>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pPr>
              <w:snapToGrid w:val="0"/>
              <w:spacing w:line="360" w:lineRule="auto"/>
              <w:jc w:val="left"/>
            </w:pPr>
            <w:r>
              <w:rPr>
                <w:rFonts w:hint="eastAsia"/>
              </w:rPr>
              <w:t>（7）具体操作指南：详见政采云平台“服务中心-帮助文档-项目采购-操作流程-电子招投标-政府采购项目电子交易管理操作指南-供应商”。</w:t>
            </w:r>
          </w:p>
          <w:p>
            <w:pPr>
              <w:snapToGrid w:val="0"/>
              <w:spacing w:line="360" w:lineRule="auto"/>
              <w:jc w:val="left"/>
            </w:pPr>
            <w:r>
              <w:rPr>
                <w:rFonts w:hint="eastAsia"/>
              </w:rPr>
              <w:t>（8）供应商在进行上述操作时，如遇技术问题可登录政采云（https://</w:t>
            </w:r>
            <w:r>
              <w:fldChar w:fldCharType="begin"/>
            </w:r>
            <w:r>
              <w:instrText xml:space="preserve"> HYPERLINK "http://www.zcygov.cn/" \h </w:instrText>
            </w:r>
            <w:r>
              <w:fldChar w:fldCharType="separate"/>
            </w:r>
            <w:r>
              <w:rPr>
                <w:rFonts w:hint="eastAsia"/>
              </w:rPr>
              <w:t>www.zcygov.cn/</w:t>
            </w:r>
            <w:r>
              <w:rPr>
                <w:rFonts w:hint="eastAsia"/>
              </w:rPr>
              <w:fldChar w:fldCharType="end"/>
            </w:r>
            <w:r>
              <w:rPr>
                <w:rFonts w:hint="eastAsia"/>
              </w:rPr>
              <w:t>），点击右侧咨询小采，获取采小蜜智能服务管家帮助，或拨打政采云服务热线 95763 获取热线服务帮助。</w:t>
            </w:r>
          </w:p>
          <w:p>
            <w:pPr>
              <w:snapToGrid w:val="0"/>
              <w:spacing w:line="360" w:lineRule="auto"/>
              <w:jc w:val="left"/>
            </w:pPr>
            <w:r>
              <w:rPr>
                <w:rFonts w:hint="eastAsia"/>
              </w:rPr>
              <w:t>温馨提醒：供应商应提前上传，以便在上传时遇到技术问题，有充足的时间请教平台的技术人员。</w:t>
            </w:r>
          </w:p>
          <w:p>
            <w:pPr>
              <w:snapToGrid w:val="0"/>
              <w:spacing w:line="360" w:lineRule="auto"/>
              <w:jc w:val="left"/>
            </w:pPr>
            <w:r>
              <w:rPr>
                <w:rFonts w:hint="eastAsia"/>
              </w:rPr>
              <w:t>2、供应商认为招标文件使自己的权益受到损害的，可以自收到招标文件 之日（招标公告期限届满之前收到招标文件的，以完成获取招标文件申请后下载招标文件的时间为准）或者招标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或逾期提出的不予受理、答复。按中华人民共和国财政部令第94号文执行。</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1012" w:type="dxa"/>
            <w:vAlign w:val="center"/>
          </w:tcPr>
          <w:p>
            <w:pPr>
              <w:snapToGrid w:val="0"/>
              <w:spacing w:line="290" w:lineRule="exact"/>
              <w:jc w:val="center"/>
              <w:rPr>
                <w:szCs w:val="21"/>
              </w:rPr>
            </w:pPr>
            <w:r>
              <w:rPr>
                <w:rFonts w:hint="eastAsia"/>
                <w:szCs w:val="21"/>
              </w:rPr>
              <w:t>特别</w:t>
            </w:r>
          </w:p>
          <w:p>
            <w:pPr>
              <w:snapToGrid w:val="0"/>
              <w:spacing w:line="290" w:lineRule="exact"/>
              <w:jc w:val="center"/>
              <w:rPr>
                <w:szCs w:val="21"/>
              </w:rPr>
            </w:pPr>
            <w:r>
              <w:rPr>
                <w:rFonts w:hint="eastAsia"/>
                <w:szCs w:val="21"/>
              </w:rPr>
              <w:t>提醒</w:t>
            </w:r>
          </w:p>
        </w:tc>
        <w:tc>
          <w:tcPr>
            <w:tcW w:w="8824" w:type="dxa"/>
            <w:gridSpan w:val="2"/>
            <w:vAlign w:val="center"/>
          </w:tcPr>
          <w:p>
            <w:pPr>
              <w:pStyle w:val="10"/>
            </w:pPr>
            <w:r>
              <w:t>投标供应商在提供《中小企业声明函》时，必须将招标文件分项报价表或参数偏离表所列的采购标的物全部列入《中小企业声明函》，否则专门面向中小企业的项目做废标处理，落实10%价格评审优惠的不享受优惠政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1012" w:type="dxa"/>
            <w:vAlign w:val="center"/>
          </w:tcPr>
          <w:p>
            <w:pPr>
              <w:snapToGrid w:val="0"/>
              <w:spacing w:line="290" w:lineRule="exact"/>
              <w:jc w:val="center"/>
              <w:rPr>
                <w:szCs w:val="21"/>
              </w:rPr>
            </w:pPr>
            <w:r>
              <w:rPr>
                <w:rFonts w:hint="eastAsia"/>
                <w:szCs w:val="21"/>
              </w:rPr>
              <w:t>备注</w:t>
            </w:r>
          </w:p>
        </w:tc>
        <w:tc>
          <w:tcPr>
            <w:tcW w:w="8824" w:type="dxa"/>
            <w:gridSpan w:val="2"/>
            <w:vAlign w:val="center"/>
          </w:tcPr>
          <w:p>
            <w:pPr>
              <w:spacing w:line="400" w:lineRule="exact"/>
              <w:jc w:val="left"/>
              <w:rPr>
                <w:rFonts w:ascii="宋体" w:hAnsi="宋体" w:cs="宋体"/>
                <w:szCs w:val="21"/>
                <w:lang w:val="zh-CN"/>
              </w:rPr>
            </w:pPr>
            <w:r>
              <w:rPr>
                <w:rFonts w:hint="eastAsia" w:ascii="宋体" w:hAnsi="宋体" w:cs="宋体"/>
                <w:szCs w:val="21"/>
              </w:rPr>
              <w:t>1、</w:t>
            </w:r>
            <w:r>
              <w:rPr>
                <w:rFonts w:hint="eastAsia" w:ascii="宋体" w:hAnsi="宋体" w:cs="宋体"/>
                <w:szCs w:val="21"/>
                <w:lang w:val="zh-CN"/>
              </w:rPr>
              <w:t>着重提醒各投标人注意，并认真查看招标文件中的每一个条款及要求，因误读招标文件而造成的后果，招标人概不负责。</w:t>
            </w:r>
          </w:p>
          <w:p>
            <w:pPr>
              <w:spacing w:line="400" w:lineRule="exact"/>
              <w:jc w:val="left"/>
              <w:rPr>
                <w:rFonts w:ascii="宋体" w:hAnsi="宋体" w:cs="宋体"/>
                <w:szCs w:val="21"/>
              </w:rPr>
            </w:pPr>
            <w:r>
              <w:rPr>
                <w:rFonts w:hint="eastAsia" w:ascii="宋体" w:hAnsi="宋体" w:cs="宋体"/>
                <w:szCs w:val="21"/>
              </w:rPr>
              <w:t>2、投标人使用相同IP地址的，一经发现，相关部门将进一步核实，查实后按串通投标处理。</w:t>
            </w:r>
          </w:p>
          <w:p>
            <w:pPr>
              <w:spacing w:line="400" w:lineRule="exact"/>
              <w:jc w:val="left"/>
              <w:rPr>
                <w:rFonts w:ascii="宋体" w:hAnsi="宋体" w:cs="宋体"/>
                <w:szCs w:val="21"/>
                <w:lang w:val="zh-CN"/>
              </w:rPr>
            </w:pPr>
            <w:r>
              <w:rPr>
                <w:rFonts w:hint="eastAsia" w:ascii="宋体" w:hAnsi="宋体" w:cs="宋体"/>
                <w:szCs w:val="21"/>
              </w:rPr>
              <w:t>3、</w:t>
            </w:r>
            <w:r>
              <w:rPr>
                <w:rFonts w:hint="eastAsia" w:ascii="宋体" w:hAnsi="宋体" w:cs="宋体"/>
                <w:szCs w:val="21"/>
                <w:lang w:val="zh-CN"/>
              </w:rPr>
              <w:t>为保证本项目质量，良好的售后服务，最低报价不作为中标的唯一依据。</w:t>
            </w:r>
          </w:p>
          <w:p>
            <w:pPr>
              <w:spacing w:line="400" w:lineRule="exact"/>
              <w:jc w:val="left"/>
              <w:rPr>
                <w:rFonts w:ascii="宋体" w:hAnsi="宋体" w:cs="宋体"/>
                <w:szCs w:val="21"/>
                <w:lang w:val="zh-CN"/>
              </w:rPr>
            </w:pPr>
            <w:r>
              <w:rPr>
                <w:rFonts w:hint="eastAsia" w:ascii="宋体" w:hAnsi="宋体" w:cs="宋体"/>
                <w:szCs w:val="21"/>
              </w:rPr>
              <w:t>4、</w:t>
            </w:r>
            <w:r>
              <w:rPr>
                <w:rFonts w:hint="eastAsia" w:ascii="宋体" w:hAnsi="宋体" w:cs="宋体"/>
                <w:szCs w:val="21"/>
                <w:lang w:val="zh-CN"/>
              </w:rPr>
              <w:t>采购人若发现成交候选供应商在投标过程中提供虚假证明文件，故意隐瞒公司不良信誉和财务状况，以及其他可能对合同圆满履行造成风险的因素等，则按规定取消其成交资格，监管部门依法进行处理。</w:t>
            </w:r>
          </w:p>
          <w:p>
            <w:pPr>
              <w:spacing w:line="400" w:lineRule="exact"/>
              <w:jc w:val="left"/>
              <w:rPr>
                <w:rFonts w:ascii="宋体" w:hAnsi="宋体" w:cs="宋体"/>
                <w:szCs w:val="21"/>
                <w:lang w:val="zh-CN"/>
              </w:rPr>
            </w:pPr>
            <w:r>
              <w:rPr>
                <w:rFonts w:hint="eastAsia" w:ascii="宋体" w:hAnsi="宋体" w:cs="宋体"/>
                <w:szCs w:val="21"/>
              </w:rPr>
              <w:t>5、</w:t>
            </w:r>
            <w:r>
              <w:rPr>
                <w:rFonts w:hint="eastAsia" w:ascii="宋体" w:hAnsi="宋体" w:cs="宋体"/>
                <w:szCs w:val="21"/>
                <w:lang w:val="zh-CN"/>
              </w:rPr>
              <w:t>其它：</w:t>
            </w:r>
          </w:p>
          <w:p>
            <w:pPr>
              <w:spacing w:line="400" w:lineRule="exact"/>
              <w:jc w:val="left"/>
              <w:rPr>
                <w:rFonts w:ascii="宋体" w:hAnsi="宋体" w:cs="宋体"/>
                <w:szCs w:val="21"/>
                <w:lang w:val="zh-CN"/>
              </w:rPr>
            </w:pPr>
            <w:r>
              <w:rPr>
                <w:rFonts w:hint="eastAsia" w:ascii="宋体" w:hAnsi="宋体" w:cs="宋体"/>
                <w:szCs w:val="21"/>
                <w:lang w:val="zh-CN"/>
              </w:rPr>
              <w:t>（1）投标企业严格遵守国家的法律法规及招标纪律，无违法违纪及商业贿赂行为。</w:t>
            </w:r>
          </w:p>
          <w:p>
            <w:pPr>
              <w:spacing w:line="400" w:lineRule="exact"/>
              <w:jc w:val="left"/>
              <w:rPr>
                <w:rFonts w:ascii="宋体" w:hAnsi="宋体" w:cs="宋体"/>
                <w:szCs w:val="21"/>
                <w:lang w:val="zh-CN"/>
              </w:rPr>
            </w:pPr>
            <w:r>
              <w:rPr>
                <w:rFonts w:hint="eastAsia" w:ascii="宋体" w:hAnsi="宋体" w:cs="宋体"/>
                <w:szCs w:val="21"/>
                <w:lang w:val="zh-CN"/>
              </w:rPr>
              <w:t>（2）不管投标结果如何，供应商均应自行承担投标所需一切费用。</w:t>
            </w:r>
          </w:p>
          <w:p>
            <w:pPr>
              <w:spacing w:line="400" w:lineRule="exact"/>
              <w:jc w:val="left"/>
              <w:rPr>
                <w:rFonts w:ascii="宋体" w:hAnsi="宋体" w:cs="宋体"/>
                <w:szCs w:val="21"/>
                <w:lang w:val="zh-CN"/>
              </w:rPr>
            </w:pPr>
            <w:r>
              <w:rPr>
                <w:rFonts w:hint="eastAsia" w:ascii="宋体" w:hAnsi="宋体" w:cs="宋体"/>
                <w:szCs w:val="21"/>
                <w:lang w:val="zh-CN"/>
              </w:rPr>
              <w:t>（3）供应商应以书面形式保证中标后由本公司组织实施，不得以任何理由将项目转包给其他机构。</w:t>
            </w:r>
          </w:p>
          <w:p>
            <w:pPr>
              <w:spacing w:line="400" w:lineRule="exact"/>
              <w:jc w:val="left"/>
              <w:rPr>
                <w:rFonts w:ascii="宋体" w:hAnsi="宋体" w:cs="宋体"/>
                <w:szCs w:val="21"/>
              </w:rPr>
            </w:pPr>
            <w:r>
              <w:rPr>
                <w:rFonts w:hint="eastAsia" w:ascii="宋体" w:hAnsi="宋体" w:cs="宋体"/>
                <w:szCs w:val="21"/>
                <w:lang w:val="zh-CN"/>
              </w:rPr>
              <w:t>（</w:t>
            </w:r>
            <w:r>
              <w:rPr>
                <w:rFonts w:hint="eastAsia" w:ascii="宋体" w:hAnsi="宋体" w:cs="宋体"/>
                <w:szCs w:val="21"/>
              </w:rPr>
              <w:t>4</w:t>
            </w:r>
            <w:r>
              <w:rPr>
                <w:rFonts w:hint="eastAsia" w:ascii="宋体" w:hAnsi="宋体" w:cs="宋体"/>
                <w:szCs w:val="21"/>
                <w:lang w:val="zh-CN"/>
              </w:rPr>
              <w:t>）招标文件中如出现前后不一致情况，均以前附表内容为准。</w:t>
            </w:r>
          </w:p>
        </w:tc>
      </w:tr>
      <w:bookmarkEnd w:id="10"/>
    </w:tbl>
    <w:p>
      <w:pPr>
        <w:pageBreakBefore/>
        <w:spacing w:before="312" w:beforeLines="100" w:after="312" w:afterLines="100" w:line="440" w:lineRule="exact"/>
        <w:ind w:firstLine="2800" w:firstLineChars="1000"/>
        <w:outlineLvl w:val="1"/>
        <w:rPr>
          <w:rFonts w:ascii="宋体"/>
          <w:sz w:val="28"/>
          <w:szCs w:val="32"/>
        </w:rPr>
      </w:pPr>
      <w:r>
        <w:rPr>
          <w:rFonts w:hint="eastAsia" w:ascii="宋体"/>
          <w:sz w:val="28"/>
          <w:szCs w:val="28"/>
        </w:rPr>
        <w:t>二、投标人须知</w:t>
      </w:r>
    </w:p>
    <w:p>
      <w:pPr>
        <w:spacing w:line="440" w:lineRule="exact"/>
        <w:jc w:val="center"/>
        <w:outlineLvl w:val="2"/>
        <w:rPr>
          <w:rFonts w:ascii="宋体"/>
          <w:sz w:val="28"/>
          <w:szCs w:val="28"/>
        </w:rPr>
      </w:pPr>
      <w:bookmarkStart w:id="12" w:name="_Toc469495724"/>
      <w:r>
        <w:rPr>
          <w:rFonts w:hint="eastAsia" w:ascii="宋体"/>
          <w:sz w:val="28"/>
          <w:szCs w:val="28"/>
        </w:rPr>
        <w:t>（一）</w:t>
      </w:r>
      <w:r>
        <w:rPr>
          <w:rFonts w:hint="eastAsia" w:ascii="宋体"/>
          <w:sz w:val="28"/>
          <w:szCs w:val="32"/>
        </w:rPr>
        <w:t>总  则</w:t>
      </w:r>
      <w:bookmarkEnd w:id="12"/>
    </w:p>
    <w:p>
      <w:pPr>
        <w:snapToGrid w:val="0"/>
        <w:spacing w:line="440" w:lineRule="exact"/>
        <w:ind w:firstLine="420" w:firstLineChars="200"/>
        <w:jc w:val="left"/>
        <w:outlineLvl w:val="3"/>
        <w:rPr>
          <w:rFonts w:ascii="宋体"/>
          <w:szCs w:val="21"/>
        </w:rPr>
      </w:pPr>
      <w:r>
        <w:rPr>
          <w:rFonts w:hint="eastAsia" w:ascii="宋体"/>
          <w:szCs w:val="21"/>
        </w:rPr>
        <w:t>1.项目概况</w:t>
      </w:r>
    </w:p>
    <w:p>
      <w:pPr>
        <w:snapToGrid w:val="0"/>
        <w:spacing w:line="440" w:lineRule="exact"/>
        <w:ind w:firstLine="420" w:firstLineChars="200"/>
        <w:jc w:val="left"/>
        <w:outlineLvl w:val="4"/>
        <w:rPr>
          <w:rFonts w:ascii="宋体"/>
          <w:szCs w:val="21"/>
          <w:u w:val="single"/>
        </w:rPr>
      </w:pPr>
      <w:r>
        <w:rPr>
          <w:rFonts w:hint="eastAsia" w:ascii="宋体"/>
          <w:szCs w:val="21"/>
        </w:rPr>
        <w:t>1.1本次招标采购项目名称：见投标人须知前附表。</w:t>
      </w:r>
    </w:p>
    <w:p>
      <w:pPr>
        <w:snapToGrid w:val="0"/>
        <w:spacing w:line="440" w:lineRule="exact"/>
        <w:ind w:firstLine="420" w:firstLineChars="200"/>
        <w:jc w:val="left"/>
        <w:rPr>
          <w:rFonts w:ascii="宋体"/>
          <w:szCs w:val="21"/>
          <w:u w:val="single"/>
        </w:rPr>
      </w:pPr>
      <w:r>
        <w:rPr>
          <w:rFonts w:hint="eastAsia" w:ascii="宋体"/>
          <w:szCs w:val="21"/>
        </w:rPr>
        <w:t xml:space="preserve">               项目编号：见投标人须知前附表。</w:t>
      </w:r>
    </w:p>
    <w:p>
      <w:pPr>
        <w:snapToGrid w:val="0"/>
        <w:spacing w:line="440" w:lineRule="exact"/>
        <w:ind w:firstLine="420" w:firstLineChars="200"/>
        <w:jc w:val="left"/>
        <w:rPr>
          <w:rFonts w:ascii="宋体"/>
          <w:szCs w:val="21"/>
          <w:u w:val="single"/>
        </w:rPr>
      </w:pPr>
      <w:r>
        <w:rPr>
          <w:rFonts w:hint="eastAsia" w:ascii="宋体"/>
          <w:szCs w:val="21"/>
        </w:rPr>
        <w:t xml:space="preserve">                 招标人：见投标人须知前附表。</w:t>
      </w:r>
    </w:p>
    <w:p>
      <w:pPr>
        <w:snapToGrid w:val="0"/>
        <w:spacing w:line="440" w:lineRule="exact"/>
        <w:ind w:firstLine="420" w:firstLineChars="200"/>
        <w:jc w:val="left"/>
        <w:rPr>
          <w:rFonts w:ascii="宋体"/>
          <w:szCs w:val="21"/>
          <w:u w:val="single"/>
        </w:rPr>
      </w:pPr>
      <w:r>
        <w:rPr>
          <w:rFonts w:hint="eastAsia" w:ascii="宋体"/>
          <w:szCs w:val="21"/>
        </w:rPr>
        <w:t xml:space="preserve">      供货期（服务周期）：见投标人须知前附表。</w:t>
      </w:r>
    </w:p>
    <w:p>
      <w:pPr>
        <w:snapToGrid w:val="0"/>
        <w:spacing w:line="440" w:lineRule="exact"/>
        <w:ind w:firstLine="420" w:firstLineChars="200"/>
        <w:jc w:val="left"/>
        <w:rPr>
          <w:rFonts w:ascii="宋体"/>
          <w:szCs w:val="21"/>
          <w:u w:val="single"/>
        </w:rPr>
      </w:pPr>
      <w:r>
        <w:rPr>
          <w:rFonts w:hint="eastAsia" w:ascii="宋体"/>
          <w:szCs w:val="21"/>
        </w:rPr>
        <w:t xml:space="preserve">               供货地点：见投标人须知前附表。</w:t>
      </w:r>
    </w:p>
    <w:p>
      <w:pPr>
        <w:snapToGrid w:val="0"/>
        <w:spacing w:line="440" w:lineRule="exact"/>
        <w:ind w:firstLine="420" w:firstLineChars="200"/>
        <w:jc w:val="left"/>
        <w:outlineLvl w:val="4"/>
        <w:rPr>
          <w:rFonts w:ascii="宋体"/>
          <w:szCs w:val="21"/>
          <w:u w:val="single"/>
        </w:rPr>
      </w:pPr>
      <w:r>
        <w:rPr>
          <w:rFonts w:hint="eastAsia" w:ascii="宋体"/>
          <w:szCs w:val="21"/>
        </w:rPr>
        <w:t>1.2招标人及联系人: 见投标人须知前附表。</w:t>
      </w:r>
    </w:p>
    <w:p>
      <w:pPr>
        <w:snapToGrid w:val="0"/>
        <w:spacing w:line="440" w:lineRule="exact"/>
        <w:ind w:firstLine="525" w:firstLineChars="250"/>
        <w:jc w:val="left"/>
        <w:rPr>
          <w:rFonts w:ascii="宋体"/>
          <w:szCs w:val="21"/>
          <w:u w:val="single"/>
        </w:rPr>
      </w:pPr>
      <w:r>
        <w:rPr>
          <w:rFonts w:hint="eastAsia" w:ascii="宋体"/>
          <w:szCs w:val="21"/>
        </w:rPr>
        <w:t xml:space="preserve"> 代理机构及联系人: 见投标人须知前附表。</w:t>
      </w:r>
    </w:p>
    <w:p>
      <w:pPr>
        <w:snapToGrid w:val="0"/>
        <w:spacing w:line="440" w:lineRule="exact"/>
        <w:ind w:firstLine="420" w:firstLineChars="200"/>
        <w:jc w:val="left"/>
        <w:rPr>
          <w:rFonts w:ascii="宋体"/>
          <w:szCs w:val="21"/>
        </w:rPr>
      </w:pPr>
      <w:r>
        <w:rPr>
          <w:rFonts w:hint="eastAsia" w:ascii="宋体"/>
          <w:szCs w:val="21"/>
        </w:rPr>
        <w:t>1.3资金来源：见投标人须知前附表。</w:t>
      </w:r>
    </w:p>
    <w:p>
      <w:pPr>
        <w:snapToGrid w:val="0"/>
        <w:spacing w:line="440" w:lineRule="exact"/>
        <w:ind w:firstLine="420" w:firstLineChars="200"/>
        <w:jc w:val="left"/>
        <w:rPr>
          <w:rFonts w:ascii="宋体"/>
          <w:szCs w:val="21"/>
        </w:rPr>
      </w:pPr>
      <w:r>
        <w:rPr>
          <w:rFonts w:hint="eastAsia" w:ascii="宋体"/>
          <w:szCs w:val="21"/>
        </w:rPr>
        <w:t>1.4本项目预算：见投标人须知前附表。</w:t>
      </w:r>
    </w:p>
    <w:p>
      <w:pPr>
        <w:snapToGrid w:val="0"/>
        <w:spacing w:line="440" w:lineRule="exact"/>
        <w:ind w:firstLine="420" w:firstLineChars="200"/>
        <w:jc w:val="left"/>
        <w:rPr>
          <w:rFonts w:ascii="宋体"/>
          <w:szCs w:val="21"/>
        </w:rPr>
      </w:pPr>
      <w:r>
        <w:rPr>
          <w:rFonts w:hint="eastAsia" w:ascii="宋体"/>
          <w:szCs w:val="21"/>
        </w:rPr>
        <w:t>1.5本项目控制价：见投标人须知前附表。</w:t>
      </w:r>
    </w:p>
    <w:p>
      <w:pPr>
        <w:snapToGrid w:val="0"/>
        <w:spacing w:line="440" w:lineRule="exact"/>
        <w:ind w:firstLine="420" w:firstLineChars="200"/>
        <w:outlineLvl w:val="3"/>
        <w:rPr>
          <w:rFonts w:ascii="宋体"/>
          <w:szCs w:val="21"/>
        </w:rPr>
      </w:pPr>
      <w:r>
        <w:rPr>
          <w:rFonts w:hint="eastAsia" w:ascii="宋体"/>
          <w:szCs w:val="21"/>
        </w:rPr>
        <w:t>2.招标范围：</w:t>
      </w:r>
    </w:p>
    <w:p>
      <w:pPr>
        <w:snapToGrid w:val="0"/>
        <w:spacing w:line="440" w:lineRule="exact"/>
        <w:ind w:firstLine="420" w:firstLineChars="200"/>
        <w:rPr>
          <w:rFonts w:ascii="宋体"/>
          <w:szCs w:val="21"/>
          <w:u w:val="single"/>
        </w:rPr>
      </w:pPr>
      <w:r>
        <w:rPr>
          <w:rFonts w:hint="eastAsia" w:ascii="宋体"/>
          <w:szCs w:val="21"/>
        </w:rPr>
        <w:t>2.1 采购内容：见投标人须知前附表。</w:t>
      </w:r>
    </w:p>
    <w:p>
      <w:pPr>
        <w:snapToGrid w:val="0"/>
        <w:spacing w:line="440" w:lineRule="exact"/>
        <w:ind w:firstLine="420" w:firstLineChars="200"/>
        <w:rPr>
          <w:rFonts w:ascii="宋体"/>
          <w:szCs w:val="21"/>
        </w:rPr>
      </w:pPr>
      <w:r>
        <w:rPr>
          <w:rFonts w:hint="eastAsia" w:ascii="宋体"/>
          <w:szCs w:val="21"/>
        </w:rPr>
        <w:t>2.2 技术要求：详见采购文件第四章采购内容及技术要求。</w:t>
      </w:r>
    </w:p>
    <w:p>
      <w:pPr>
        <w:snapToGrid w:val="0"/>
        <w:spacing w:line="440" w:lineRule="exact"/>
        <w:ind w:firstLine="420" w:firstLineChars="200"/>
        <w:outlineLvl w:val="3"/>
        <w:rPr>
          <w:rFonts w:ascii="宋体"/>
          <w:szCs w:val="21"/>
        </w:rPr>
      </w:pPr>
      <w:r>
        <w:rPr>
          <w:rFonts w:hint="eastAsia" w:ascii="宋体"/>
          <w:szCs w:val="21"/>
        </w:rPr>
        <w:t>3.标包划分：</w:t>
      </w:r>
    </w:p>
    <w:p>
      <w:pPr>
        <w:snapToGrid w:val="0"/>
        <w:spacing w:line="440" w:lineRule="exact"/>
        <w:ind w:firstLine="420" w:firstLineChars="200"/>
        <w:jc w:val="left"/>
        <w:outlineLvl w:val="4"/>
        <w:rPr>
          <w:rFonts w:ascii="宋体"/>
          <w:szCs w:val="21"/>
        </w:rPr>
      </w:pPr>
      <w:r>
        <w:rPr>
          <w:rFonts w:hint="eastAsia" w:ascii="宋体"/>
          <w:szCs w:val="21"/>
        </w:rPr>
        <w:t>3.1本项目划分：</w:t>
      </w:r>
      <w:r>
        <w:rPr>
          <w:rFonts w:hint="eastAsia" w:ascii="宋体"/>
          <w:szCs w:val="21"/>
          <w:u w:val="single"/>
        </w:rPr>
        <w:t xml:space="preserve"> 1 </w:t>
      </w:r>
      <w:r>
        <w:rPr>
          <w:rFonts w:hint="eastAsia" w:ascii="宋体"/>
          <w:szCs w:val="21"/>
        </w:rPr>
        <w:t xml:space="preserve"> </w:t>
      </w:r>
      <w:r>
        <w:rPr>
          <w:rFonts w:hint="eastAsia"/>
          <w:szCs w:val="21"/>
        </w:rPr>
        <w:t>个标包</w:t>
      </w:r>
      <w:r>
        <w:rPr>
          <w:rFonts w:hint="eastAsia" w:ascii="宋体" w:hAnsi="宋体" w:cs="宋体"/>
          <w:kern w:val="0"/>
          <w:szCs w:val="21"/>
        </w:rPr>
        <w:t>。</w:t>
      </w:r>
    </w:p>
    <w:p>
      <w:pPr>
        <w:snapToGrid w:val="0"/>
        <w:spacing w:line="440" w:lineRule="exact"/>
        <w:ind w:firstLine="420" w:firstLineChars="200"/>
        <w:outlineLvl w:val="3"/>
        <w:rPr>
          <w:rFonts w:ascii="宋体"/>
          <w:szCs w:val="21"/>
        </w:rPr>
      </w:pPr>
      <w:r>
        <w:rPr>
          <w:rFonts w:hint="eastAsia" w:ascii="宋体"/>
          <w:szCs w:val="21"/>
        </w:rPr>
        <w:t>4.招标方式：</w:t>
      </w:r>
    </w:p>
    <w:p>
      <w:pPr>
        <w:snapToGrid w:val="0"/>
        <w:spacing w:line="440" w:lineRule="exact"/>
        <w:ind w:firstLine="420" w:firstLineChars="200"/>
        <w:outlineLvl w:val="4"/>
        <w:rPr>
          <w:rFonts w:ascii="宋体"/>
          <w:szCs w:val="21"/>
        </w:rPr>
      </w:pPr>
      <w:r>
        <w:rPr>
          <w:rFonts w:hint="eastAsia" w:ascii="宋体"/>
          <w:szCs w:val="21"/>
        </w:rPr>
        <w:t>4.1本项目招标方式：见投标人须知前附表。</w:t>
      </w:r>
    </w:p>
    <w:p>
      <w:pPr>
        <w:snapToGrid w:val="0"/>
        <w:spacing w:line="440" w:lineRule="exact"/>
        <w:ind w:firstLine="420" w:firstLineChars="200"/>
        <w:outlineLvl w:val="3"/>
        <w:rPr>
          <w:rFonts w:ascii="宋体"/>
          <w:szCs w:val="21"/>
        </w:rPr>
      </w:pPr>
      <w:r>
        <w:rPr>
          <w:rFonts w:hint="eastAsia" w:ascii="宋体"/>
          <w:szCs w:val="21"/>
        </w:rPr>
        <w:t>5.计价方式：</w:t>
      </w:r>
    </w:p>
    <w:p>
      <w:pPr>
        <w:snapToGrid w:val="0"/>
        <w:spacing w:line="440" w:lineRule="exact"/>
        <w:ind w:firstLine="420" w:firstLineChars="200"/>
        <w:outlineLvl w:val="4"/>
        <w:rPr>
          <w:rFonts w:ascii="宋体"/>
          <w:szCs w:val="21"/>
        </w:rPr>
      </w:pPr>
      <w:r>
        <w:rPr>
          <w:rFonts w:hint="eastAsia" w:ascii="宋体"/>
          <w:szCs w:val="21"/>
        </w:rPr>
        <w:t>5.1本次招标项目合同采用</w:t>
      </w:r>
      <w:r>
        <w:rPr>
          <w:rFonts w:hint="eastAsia" w:ascii="宋体"/>
          <w:szCs w:val="21"/>
          <w:u w:val="single"/>
        </w:rPr>
        <w:t xml:space="preserve">   总价 。</w:t>
      </w:r>
    </w:p>
    <w:p>
      <w:pPr>
        <w:snapToGrid w:val="0"/>
        <w:spacing w:line="440" w:lineRule="exact"/>
        <w:ind w:firstLine="420" w:firstLineChars="200"/>
        <w:outlineLvl w:val="3"/>
        <w:rPr>
          <w:rFonts w:ascii="宋体"/>
          <w:szCs w:val="21"/>
        </w:rPr>
      </w:pPr>
      <w:r>
        <w:rPr>
          <w:rFonts w:hint="eastAsia" w:ascii="宋体"/>
          <w:szCs w:val="21"/>
        </w:rPr>
        <w:t>6.评标办法：</w:t>
      </w:r>
    </w:p>
    <w:p>
      <w:pPr>
        <w:snapToGrid w:val="0"/>
        <w:spacing w:line="440" w:lineRule="exact"/>
        <w:ind w:firstLine="420" w:firstLineChars="200"/>
        <w:outlineLvl w:val="4"/>
        <w:rPr>
          <w:rFonts w:ascii="宋体"/>
          <w:szCs w:val="21"/>
        </w:rPr>
      </w:pPr>
      <w:r>
        <w:rPr>
          <w:rFonts w:hint="eastAsia" w:ascii="宋体"/>
          <w:szCs w:val="21"/>
        </w:rPr>
        <w:t>6.1本次招标评标采用</w:t>
      </w:r>
      <w:r>
        <w:rPr>
          <w:rFonts w:hint="eastAsia" w:ascii="宋体"/>
          <w:szCs w:val="21"/>
          <w:u w:val="single"/>
        </w:rPr>
        <w:t xml:space="preserve">  综合评分法 </w:t>
      </w:r>
      <w:r>
        <w:rPr>
          <w:rFonts w:hint="eastAsia" w:ascii="宋体"/>
          <w:szCs w:val="21"/>
        </w:rPr>
        <w:t>（详见第三章评标办法）</w:t>
      </w:r>
    </w:p>
    <w:p>
      <w:pPr>
        <w:snapToGrid w:val="0"/>
        <w:spacing w:line="440" w:lineRule="exact"/>
        <w:ind w:firstLine="420" w:firstLineChars="200"/>
        <w:outlineLvl w:val="3"/>
        <w:rPr>
          <w:rFonts w:ascii="宋体"/>
          <w:szCs w:val="21"/>
        </w:rPr>
      </w:pPr>
      <w:r>
        <w:rPr>
          <w:rFonts w:hint="eastAsia" w:ascii="宋体"/>
          <w:szCs w:val="21"/>
        </w:rPr>
        <w:t>7.投标人资格：</w:t>
      </w:r>
    </w:p>
    <w:p>
      <w:pPr>
        <w:snapToGrid w:val="0"/>
        <w:spacing w:line="440" w:lineRule="exact"/>
        <w:ind w:firstLine="420" w:firstLineChars="200"/>
        <w:rPr>
          <w:rFonts w:ascii="宋体"/>
          <w:szCs w:val="21"/>
        </w:rPr>
      </w:pPr>
      <w:r>
        <w:rPr>
          <w:rFonts w:hint="eastAsia" w:ascii="宋体"/>
          <w:szCs w:val="21"/>
        </w:rPr>
        <w:t>7.1参与采购活动的投标人必须是满足《中华人民共和国政府采购法》规定条件的法人、其他组织或者自然人：</w:t>
      </w:r>
    </w:p>
    <w:p>
      <w:pPr>
        <w:snapToGrid w:val="0"/>
        <w:spacing w:line="440" w:lineRule="exact"/>
        <w:ind w:firstLine="420" w:firstLineChars="200"/>
        <w:rPr>
          <w:rFonts w:ascii="宋体"/>
          <w:szCs w:val="21"/>
        </w:rPr>
      </w:pPr>
      <w:r>
        <w:rPr>
          <w:rFonts w:hint="eastAsia" w:ascii="宋体"/>
          <w:szCs w:val="21"/>
        </w:rPr>
        <w:t>7.2由于政府采购项目的差异性，投标人在参与具体政府采购项目活动时，应仔细阅读该项目的资质要求,具体见投标人须知前附表。</w:t>
      </w:r>
    </w:p>
    <w:p>
      <w:pPr>
        <w:widowControl/>
        <w:spacing w:line="360" w:lineRule="auto"/>
        <w:jc w:val="left"/>
        <w:rPr>
          <w:rFonts w:ascii="宋体"/>
          <w:szCs w:val="21"/>
        </w:rPr>
      </w:pPr>
      <w:r>
        <w:rPr>
          <w:rFonts w:hint="eastAsia" w:ascii="宋体"/>
          <w:szCs w:val="21"/>
        </w:rPr>
        <w:t xml:space="preserve">    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pPr>
        <w:snapToGrid w:val="0"/>
        <w:spacing w:line="440" w:lineRule="exact"/>
        <w:ind w:firstLine="420" w:firstLineChars="200"/>
        <w:rPr>
          <w:rFonts w:ascii="宋体"/>
          <w:szCs w:val="21"/>
        </w:rPr>
      </w:pPr>
      <w:r>
        <w:rPr>
          <w:rFonts w:hint="eastAsia" w:ascii="宋体"/>
          <w:szCs w:val="21"/>
        </w:rPr>
        <w:t>7.4投标人必须确保自己在信息库中注册的信息真实、准确，并保证投标文件中的有关信息与库中的信息相一致。否则，投标人因此蒙受损失，招标人概不负责。</w:t>
      </w:r>
    </w:p>
    <w:p>
      <w:pPr>
        <w:spacing w:line="440" w:lineRule="exact"/>
        <w:ind w:firstLine="420" w:firstLineChars="200"/>
        <w:outlineLvl w:val="3"/>
        <w:rPr>
          <w:szCs w:val="21"/>
        </w:rPr>
      </w:pPr>
      <w:r>
        <w:rPr>
          <w:rFonts w:hint="eastAsia"/>
          <w:szCs w:val="21"/>
        </w:rPr>
        <w:t>8. 投标费用</w:t>
      </w:r>
    </w:p>
    <w:p>
      <w:pPr>
        <w:snapToGrid w:val="0"/>
        <w:spacing w:line="440" w:lineRule="exact"/>
        <w:ind w:firstLine="420" w:firstLineChars="200"/>
        <w:outlineLvl w:val="4"/>
        <w:rPr>
          <w:rFonts w:ascii="宋体"/>
          <w:szCs w:val="21"/>
        </w:rPr>
      </w:pPr>
      <w:r>
        <w:rPr>
          <w:rFonts w:hint="eastAsia" w:ascii="宋体"/>
          <w:szCs w:val="21"/>
        </w:rPr>
        <w:t>8.1投标人准备和参加投标活动发生的费用自理。</w:t>
      </w:r>
    </w:p>
    <w:p>
      <w:pPr>
        <w:spacing w:line="440" w:lineRule="exact"/>
        <w:ind w:firstLine="420" w:firstLineChars="200"/>
        <w:outlineLvl w:val="3"/>
        <w:rPr>
          <w:szCs w:val="21"/>
        </w:rPr>
      </w:pPr>
      <w:r>
        <w:rPr>
          <w:rFonts w:hint="eastAsia"/>
          <w:szCs w:val="21"/>
        </w:rPr>
        <w:t>9.</w:t>
      </w:r>
      <w:bookmarkStart w:id="13" w:name="_Toc296602429"/>
      <w:bookmarkStart w:id="14" w:name="_Toc247592876"/>
      <w:bookmarkStart w:id="15" w:name="_Toc152042315"/>
      <w:bookmarkStart w:id="16" w:name="_Toc152045539"/>
      <w:bookmarkStart w:id="17" w:name="_Toc247527563"/>
      <w:bookmarkStart w:id="18" w:name="_Toc247513962"/>
      <w:bookmarkStart w:id="19" w:name="_Toc144974507"/>
      <w:r>
        <w:rPr>
          <w:rFonts w:hint="eastAsia"/>
          <w:szCs w:val="21"/>
        </w:rPr>
        <w:t xml:space="preserve"> 踏勘现场</w:t>
      </w:r>
      <w:bookmarkEnd w:id="13"/>
      <w:bookmarkEnd w:id="14"/>
      <w:bookmarkEnd w:id="15"/>
      <w:bookmarkEnd w:id="16"/>
      <w:bookmarkEnd w:id="17"/>
      <w:bookmarkEnd w:id="18"/>
      <w:bookmarkEnd w:id="19"/>
    </w:p>
    <w:p>
      <w:pPr>
        <w:spacing w:line="440" w:lineRule="exact"/>
        <w:ind w:firstLine="409" w:firstLineChars="195"/>
        <w:rPr>
          <w:rFonts w:ascii="宋体"/>
          <w:szCs w:val="21"/>
        </w:rPr>
      </w:pPr>
      <w:r>
        <w:rPr>
          <w:rFonts w:hint="eastAsia" w:ascii="宋体"/>
          <w:szCs w:val="21"/>
        </w:rPr>
        <w:t>9.1 投标人须知前附表规定组织踏勘现场的，招标人按投标人须知前附表规定的时间、地点组织投标人踏勘项目现场。如需踏勘现场，</w:t>
      </w:r>
      <w:r>
        <w:rPr>
          <w:rFonts w:hint="eastAsia"/>
        </w:rPr>
        <w:t>投标人自行踏勘现场的，可咨询本项目采购人或采购代理机构联系人。</w:t>
      </w:r>
    </w:p>
    <w:p>
      <w:pPr>
        <w:spacing w:line="440" w:lineRule="exact"/>
        <w:ind w:firstLine="409" w:firstLineChars="195"/>
        <w:outlineLvl w:val="4"/>
        <w:rPr>
          <w:rFonts w:ascii="宋体"/>
          <w:szCs w:val="21"/>
        </w:rPr>
      </w:pPr>
      <w:r>
        <w:rPr>
          <w:rFonts w:hint="eastAsia" w:ascii="宋体"/>
          <w:szCs w:val="21"/>
        </w:rPr>
        <w:t>9.2 投标人踏勘现场发生的费用自理。</w:t>
      </w:r>
    </w:p>
    <w:p>
      <w:pPr>
        <w:spacing w:line="440" w:lineRule="exact"/>
        <w:ind w:firstLine="409" w:firstLineChars="195"/>
        <w:rPr>
          <w:rFonts w:ascii="宋体"/>
          <w:szCs w:val="21"/>
        </w:rPr>
      </w:pPr>
      <w:r>
        <w:rPr>
          <w:rFonts w:hint="eastAsia" w:ascii="宋体"/>
          <w:szCs w:val="21"/>
        </w:rPr>
        <w:t>9.3 除招标人的原因外，投标人自行负责在踏勘现场中所发生的人员伤亡和财产损失。</w:t>
      </w:r>
    </w:p>
    <w:p>
      <w:pPr>
        <w:spacing w:line="440" w:lineRule="exact"/>
        <w:ind w:firstLine="409" w:firstLineChars="195"/>
        <w:rPr>
          <w:rFonts w:ascii="宋体"/>
          <w:szCs w:val="21"/>
        </w:rPr>
      </w:pPr>
      <w:r>
        <w:rPr>
          <w:rFonts w:hint="eastAsia" w:ascii="宋体"/>
          <w:szCs w:val="21"/>
        </w:rPr>
        <w:t>9.4 招标人在踏勘现场中介绍的场地和相关的周边环境情况，供投标人在编制投标文件时参考，招标人不对投标人据此作出的判断和决策负责。</w:t>
      </w:r>
      <w:bookmarkStart w:id="20" w:name="_Toc247527564"/>
      <w:bookmarkStart w:id="21" w:name="_Toc152042316"/>
      <w:bookmarkStart w:id="22" w:name="_Toc247592877"/>
      <w:bookmarkStart w:id="23" w:name="_Toc296602430"/>
      <w:bookmarkStart w:id="24" w:name="_Toc247513963"/>
      <w:bookmarkStart w:id="25" w:name="_Toc152045540"/>
      <w:bookmarkStart w:id="26" w:name="_Toc144974508"/>
    </w:p>
    <w:p>
      <w:pPr>
        <w:spacing w:line="440" w:lineRule="exact"/>
        <w:ind w:firstLine="420" w:firstLineChars="200"/>
        <w:outlineLvl w:val="3"/>
        <w:rPr>
          <w:szCs w:val="21"/>
        </w:rPr>
      </w:pPr>
      <w:r>
        <w:rPr>
          <w:rFonts w:hint="eastAsia"/>
          <w:szCs w:val="21"/>
        </w:rPr>
        <w:t>10. 投标预备会</w:t>
      </w:r>
      <w:bookmarkEnd w:id="20"/>
      <w:bookmarkEnd w:id="21"/>
      <w:bookmarkEnd w:id="22"/>
      <w:bookmarkEnd w:id="23"/>
      <w:bookmarkEnd w:id="24"/>
      <w:bookmarkEnd w:id="25"/>
      <w:bookmarkEnd w:id="26"/>
    </w:p>
    <w:p>
      <w:pPr>
        <w:spacing w:line="440" w:lineRule="exact"/>
        <w:ind w:firstLine="409" w:firstLineChars="195"/>
        <w:rPr>
          <w:rFonts w:ascii="宋体"/>
          <w:szCs w:val="21"/>
        </w:rPr>
      </w:pPr>
      <w:r>
        <w:rPr>
          <w:rFonts w:hint="eastAsia" w:ascii="宋体"/>
          <w:szCs w:val="21"/>
        </w:rPr>
        <w:t>10.1投标人须知前附表规定召开投标预备会的，招标人按投标人须知前附表规定的时间和地点召开投标预备会，澄清投标人提出的问题。</w:t>
      </w:r>
    </w:p>
    <w:p>
      <w:pPr>
        <w:spacing w:line="440" w:lineRule="exact"/>
        <w:ind w:firstLine="409" w:firstLineChars="195"/>
        <w:rPr>
          <w:rFonts w:ascii="宋体"/>
          <w:szCs w:val="21"/>
        </w:rPr>
      </w:pPr>
      <w:r>
        <w:rPr>
          <w:rFonts w:hint="eastAsia" w:ascii="宋体"/>
          <w:szCs w:val="21"/>
        </w:rPr>
        <w:t>10.2投标人应在投标人须知前附表规定的时间前，将提出的问题送达招标人，以便招标人澄清。</w:t>
      </w:r>
    </w:p>
    <w:p>
      <w:pPr>
        <w:spacing w:line="440" w:lineRule="exact"/>
        <w:ind w:firstLine="409" w:firstLineChars="195"/>
        <w:rPr>
          <w:rFonts w:ascii="宋体"/>
          <w:szCs w:val="21"/>
        </w:rPr>
      </w:pPr>
      <w:r>
        <w:rPr>
          <w:rFonts w:hint="eastAsia" w:ascii="宋体"/>
          <w:szCs w:val="21"/>
        </w:rPr>
        <w:t>10.3招标人在投标人须知前附表规定的时间，将对投标人所提的问题进行澄清。该澄清内容为采购文件的组成部分。</w:t>
      </w:r>
    </w:p>
    <w:p>
      <w:pPr>
        <w:spacing w:line="440" w:lineRule="exact"/>
        <w:ind w:firstLine="420" w:firstLineChars="200"/>
        <w:outlineLvl w:val="3"/>
        <w:rPr>
          <w:szCs w:val="21"/>
        </w:rPr>
      </w:pPr>
      <w:r>
        <w:rPr>
          <w:rFonts w:hint="eastAsia"/>
          <w:szCs w:val="21"/>
        </w:rPr>
        <w:t>11. 联合投标</w:t>
      </w:r>
    </w:p>
    <w:p>
      <w:pPr>
        <w:spacing w:line="440" w:lineRule="exact"/>
        <w:ind w:firstLine="409" w:firstLineChars="195"/>
        <w:rPr>
          <w:rFonts w:ascii="宋体"/>
          <w:szCs w:val="21"/>
        </w:rPr>
      </w:pPr>
      <w:r>
        <w:rPr>
          <w:rFonts w:hint="eastAsia" w:ascii="宋体"/>
          <w:szCs w:val="21"/>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pacing w:line="400" w:lineRule="exact"/>
        <w:ind w:firstLine="409" w:firstLineChars="195"/>
        <w:rPr>
          <w:rFonts w:ascii="宋体"/>
          <w:szCs w:val="21"/>
        </w:rPr>
      </w:pPr>
      <w:r>
        <w:rPr>
          <w:rFonts w:hint="eastAsia" w:ascii="宋体"/>
          <w:szCs w:val="21"/>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pacing w:line="400" w:lineRule="exact"/>
        <w:ind w:firstLine="411" w:firstLineChars="196"/>
        <w:rPr>
          <w:rFonts w:ascii="宋体"/>
          <w:szCs w:val="21"/>
        </w:rPr>
      </w:pPr>
      <w:r>
        <w:rPr>
          <w:rFonts w:hint="eastAsia" w:ascii="宋体"/>
          <w:szCs w:val="21"/>
        </w:rPr>
        <w:t>11</w:t>
      </w:r>
      <w:r>
        <w:rPr>
          <w:rFonts w:ascii="宋体"/>
          <w:szCs w:val="21"/>
        </w:rPr>
        <w:t>.</w:t>
      </w:r>
      <w:r>
        <w:rPr>
          <w:rFonts w:hint="eastAsia" w:ascii="宋体"/>
          <w:szCs w:val="21"/>
        </w:rPr>
        <w:t>3 联合体应当确定其中一个单位为投标的全权代表，负责参加投标的一切事务，并承担投标及履约中应承担的全部责任与义务。</w:t>
      </w:r>
    </w:p>
    <w:p>
      <w:pPr>
        <w:pStyle w:val="11"/>
        <w:spacing w:after="0" w:line="400" w:lineRule="exact"/>
        <w:ind w:left="0" w:leftChars="0" w:firstLine="424" w:firstLineChars="202"/>
        <w:rPr>
          <w:rFonts w:ascii="宋体"/>
          <w:szCs w:val="21"/>
        </w:rPr>
      </w:pPr>
      <w:r>
        <w:rPr>
          <w:rFonts w:hint="eastAsia" w:ascii="宋体"/>
          <w:szCs w:val="21"/>
        </w:rPr>
        <w:t>11.4 联合体各方应当共同与招标人签订采购合同，就采购合同约定的事项对招标人承担连带责任。</w:t>
      </w:r>
    </w:p>
    <w:p>
      <w:pPr>
        <w:pStyle w:val="11"/>
        <w:spacing w:after="0" w:line="400" w:lineRule="exact"/>
        <w:ind w:left="0" w:leftChars="0" w:firstLine="424" w:firstLineChars="202"/>
        <w:rPr>
          <w:rFonts w:ascii="宋体"/>
          <w:szCs w:val="21"/>
        </w:rPr>
      </w:pPr>
    </w:p>
    <w:p>
      <w:pPr>
        <w:pStyle w:val="11"/>
        <w:spacing w:after="0" w:line="400" w:lineRule="exact"/>
        <w:ind w:left="0" w:leftChars="0" w:firstLine="424" w:firstLineChars="202"/>
        <w:outlineLvl w:val="3"/>
        <w:rPr>
          <w:rFonts w:ascii="宋体"/>
          <w:szCs w:val="21"/>
        </w:rPr>
      </w:pPr>
      <w:r>
        <w:rPr>
          <w:rFonts w:hint="eastAsia" w:ascii="宋体"/>
          <w:szCs w:val="21"/>
        </w:rPr>
        <w:t>12.招标代理费</w:t>
      </w:r>
    </w:p>
    <w:p>
      <w:pPr>
        <w:spacing w:line="360" w:lineRule="auto"/>
        <w:ind w:firstLine="420" w:firstLineChars="200"/>
        <w:rPr>
          <w:rFonts w:ascii="宋体" w:hAnsi="宋体" w:cs="宋体"/>
          <w:szCs w:val="21"/>
        </w:rPr>
      </w:pPr>
      <w:r>
        <w:rPr>
          <w:rFonts w:hint="eastAsia" w:ascii="宋体"/>
          <w:szCs w:val="21"/>
        </w:rPr>
        <w:t>12.1中标单位在领取本项目中标通知书时，按照《国家计委关于印发招标代理服务收费管理暂行办法的通知（计价格[2002]1980号）及《招标代理服务收费有关问题》（发改办价格〔2003〕857号文）中规定由中标单位向招标代理机构支付本项目代理费。收费标准如下：</w:t>
      </w:r>
    </w:p>
    <w:p>
      <w:pPr>
        <w:spacing w:line="360" w:lineRule="auto"/>
        <w:ind w:firstLine="420" w:firstLineChars="200"/>
        <w:jc w:val="center"/>
        <w:rPr>
          <w:rFonts w:ascii="宋体" w:hAnsi="宋体" w:cs="宋体"/>
          <w:szCs w:val="21"/>
        </w:rPr>
      </w:pPr>
      <w:r>
        <w:rPr>
          <w:rFonts w:hint="eastAsia" w:ascii="宋体" w:hAnsi="宋体" w:cs="宋体"/>
          <w:szCs w:val="21"/>
        </w:rPr>
        <w:t>招标代理服务收费标准</w:t>
      </w:r>
    </w:p>
    <w:tbl>
      <w:tblPr>
        <w:tblStyle w:val="27"/>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393" w:type="dxa"/>
          </w:tcPr>
          <w:p>
            <w:pPr>
              <w:spacing w:line="300" w:lineRule="exact"/>
              <w:jc w:val="center"/>
              <w:rPr>
                <w:rFonts w:ascii="宋体" w:hAnsi="宋体" w:cs="宋体"/>
                <w:szCs w:val="21"/>
              </w:rPr>
            </w:pPr>
            <w:r>
              <w:rPr>
                <w:rFonts w:hint="eastAsia" w:ascii="宋体" w:hAnsi="宋体" w:cs="宋体"/>
                <w:szCs w:val="21"/>
              </w:rPr>
              <w:t>中标金额（万元）</w:t>
            </w:r>
          </w:p>
        </w:tc>
        <w:tc>
          <w:tcPr>
            <w:tcW w:w="2146" w:type="dxa"/>
          </w:tcPr>
          <w:p>
            <w:pPr>
              <w:spacing w:line="300" w:lineRule="exact"/>
              <w:jc w:val="center"/>
              <w:rPr>
                <w:rFonts w:ascii="宋体" w:hAnsi="宋体" w:cs="宋体"/>
                <w:szCs w:val="21"/>
              </w:rPr>
            </w:pPr>
            <w:r>
              <w:rPr>
                <w:rFonts w:hint="eastAsia" w:ascii="宋体" w:hAnsi="宋体" w:cs="宋体"/>
                <w:szCs w:val="21"/>
              </w:rPr>
              <w:t>货物招标</w:t>
            </w:r>
          </w:p>
        </w:tc>
        <w:tc>
          <w:tcPr>
            <w:tcW w:w="2146" w:type="dxa"/>
          </w:tcPr>
          <w:p>
            <w:pPr>
              <w:spacing w:line="300" w:lineRule="exact"/>
              <w:jc w:val="center"/>
              <w:rPr>
                <w:rFonts w:ascii="宋体" w:hAnsi="宋体" w:cs="宋体"/>
                <w:szCs w:val="21"/>
              </w:rPr>
            </w:pPr>
            <w:r>
              <w:rPr>
                <w:rFonts w:hint="eastAsia" w:ascii="宋体" w:hAnsi="宋体" w:cs="宋体"/>
                <w:szCs w:val="21"/>
              </w:rPr>
              <w:t>服务招标</w:t>
            </w:r>
          </w:p>
        </w:tc>
        <w:tc>
          <w:tcPr>
            <w:tcW w:w="1841" w:type="dxa"/>
          </w:tcPr>
          <w:p>
            <w:pPr>
              <w:spacing w:line="30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393" w:type="dxa"/>
            <w:vAlign w:val="center"/>
          </w:tcPr>
          <w:p>
            <w:pPr>
              <w:spacing w:line="300" w:lineRule="exact"/>
              <w:jc w:val="center"/>
              <w:rPr>
                <w:rFonts w:ascii="宋体" w:hAnsi="宋体" w:cs="宋体"/>
                <w:szCs w:val="21"/>
              </w:rPr>
            </w:pPr>
            <w:r>
              <w:rPr>
                <w:rFonts w:hint="eastAsia" w:ascii="宋体" w:hAnsi="宋体" w:cs="宋体"/>
                <w:szCs w:val="21"/>
              </w:rPr>
              <w:t>100以下</w:t>
            </w:r>
          </w:p>
        </w:tc>
        <w:tc>
          <w:tcPr>
            <w:tcW w:w="2146" w:type="dxa"/>
            <w:vAlign w:val="center"/>
          </w:tcPr>
          <w:p>
            <w:pPr>
              <w:spacing w:line="300" w:lineRule="exact"/>
              <w:jc w:val="center"/>
              <w:rPr>
                <w:rFonts w:ascii="宋体" w:hAnsi="宋体" w:cs="宋体"/>
                <w:szCs w:val="21"/>
              </w:rPr>
            </w:pPr>
            <w:r>
              <w:rPr>
                <w:rFonts w:hint="eastAsia" w:ascii="宋体" w:hAnsi="宋体" w:cs="宋体"/>
                <w:szCs w:val="21"/>
              </w:rPr>
              <w:t>1.50%</w:t>
            </w:r>
          </w:p>
        </w:tc>
        <w:tc>
          <w:tcPr>
            <w:tcW w:w="2146" w:type="dxa"/>
            <w:vAlign w:val="center"/>
          </w:tcPr>
          <w:p>
            <w:pPr>
              <w:spacing w:line="300" w:lineRule="exact"/>
              <w:jc w:val="center"/>
              <w:rPr>
                <w:rFonts w:ascii="宋体" w:hAnsi="宋体" w:cs="宋体"/>
                <w:szCs w:val="21"/>
              </w:rPr>
            </w:pPr>
            <w:r>
              <w:rPr>
                <w:rFonts w:hint="eastAsia" w:ascii="宋体" w:hAnsi="宋体" w:cs="宋体"/>
                <w:szCs w:val="21"/>
              </w:rPr>
              <w:t>1.50%</w:t>
            </w:r>
          </w:p>
        </w:tc>
        <w:tc>
          <w:tcPr>
            <w:tcW w:w="1841" w:type="dxa"/>
          </w:tcPr>
          <w:p>
            <w:pPr>
              <w:spacing w:line="3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393" w:type="dxa"/>
            <w:vAlign w:val="center"/>
          </w:tcPr>
          <w:p>
            <w:pPr>
              <w:spacing w:line="300" w:lineRule="exact"/>
              <w:jc w:val="center"/>
              <w:rPr>
                <w:rFonts w:ascii="宋体" w:hAnsi="宋体" w:cs="宋体"/>
                <w:szCs w:val="21"/>
              </w:rPr>
            </w:pPr>
            <w:r>
              <w:rPr>
                <w:rFonts w:hint="eastAsia" w:ascii="宋体" w:hAnsi="宋体" w:cs="宋体"/>
                <w:szCs w:val="21"/>
              </w:rPr>
              <w:t>100-500</w:t>
            </w:r>
          </w:p>
        </w:tc>
        <w:tc>
          <w:tcPr>
            <w:tcW w:w="2146" w:type="dxa"/>
            <w:vAlign w:val="center"/>
          </w:tcPr>
          <w:p>
            <w:pPr>
              <w:spacing w:line="300" w:lineRule="exact"/>
              <w:jc w:val="center"/>
              <w:rPr>
                <w:rFonts w:ascii="宋体" w:hAnsi="宋体" w:cs="宋体"/>
                <w:szCs w:val="21"/>
              </w:rPr>
            </w:pPr>
            <w:r>
              <w:rPr>
                <w:rFonts w:hint="eastAsia" w:ascii="宋体" w:hAnsi="宋体" w:cs="宋体"/>
                <w:szCs w:val="21"/>
              </w:rPr>
              <w:t>1.10%</w:t>
            </w:r>
          </w:p>
        </w:tc>
        <w:tc>
          <w:tcPr>
            <w:tcW w:w="2146" w:type="dxa"/>
            <w:vAlign w:val="center"/>
          </w:tcPr>
          <w:p>
            <w:pPr>
              <w:spacing w:line="300" w:lineRule="exact"/>
              <w:jc w:val="center"/>
              <w:rPr>
                <w:rFonts w:ascii="宋体" w:hAnsi="宋体" w:cs="宋体"/>
                <w:szCs w:val="21"/>
              </w:rPr>
            </w:pPr>
            <w:r>
              <w:rPr>
                <w:rFonts w:hint="eastAsia" w:ascii="宋体" w:hAnsi="宋体" w:cs="宋体"/>
                <w:szCs w:val="21"/>
              </w:rPr>
              <w:t>0.80%</w:t>
            </w:r>
          </w:p>
        </w:tc>
        <w:tc>
          <w:tcPr>
            <w:tcW w:w="1841" w:type="dxa"/>
          </w:tcPr>
          <w:p>
            <w:pPr>
              <w:spacing w:line="3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393" w:type="dxa"/>
            <w:vAlign w:val="center"/>
          </w:tcPr>
          <w:p>
            <w:pPr>
              <w:spacing w:line="300" w:lineRule="exact"/>
              <w:jc w:val="center"/>
              <w:rPr>
                <w:rFonts w:ascii="宋体" w:hAnsi="宋体" w:cs="宋体"/>
                <w:szCs w:val="21"/>
              </w:rPr>
            </w:pPr>
            <w:r>
              <w:rPr>
                <w:rFonts w:hint="eastAsia" w:ascii="宋体" w:hAnsi="宋体" w:cs="宋体"/>
                <w:szCs w:val="21"/>
              </w:rPr>
              <w:t>500-1000</w:t>
            </w:r>
          </w:p>
        </w:tc>
        <w:tc>
          <w:tcPr>
            <w:tcW w:w="2146" w:type="dxa"/>
            <w:vAlign w:val="center"/>
          </w:tcPr>
          <w:p>
            <w:pPr>
              <w:spacing w:line="300" w:lineRule="exact"/>
              <w:jc w:val="center"/>
              <w:rPr>
                <w:rFonts w:ascii="宋体" w:hAnsi="宋体" w:cs="宋体"/>
                <w:szCs w:val="21"/>
              </w:rPr>
            </w:pPr>
            <w:r>
              <w:rPr>
                <w:rFonts w:hint="eastAsia" w:ascii="宋体" w:hAnsi="宋体" w:cs="宋体"/>
                <w:szCs w:val="21"/>
              </w:rPr>
              <w:t>0.80%</w:t>
            </w:r>
          </w:p>
        </w:tc>
        <w:tc>
          <w:tcPr>
            <w:tcW w:w="2146" w:type="dxa"/>
            <w:vAlign w:val="center"/>
          </w:tcPr>
          <w:p>
            <w:pPr>
              <w:spacing w:line="300" w:lineRule="exact"/>
              <w:jc w:val="center"/>
              <w:rPr>
                <w:rFonts w:ascii="宋体" w:hAnsi="宋体" w:cs="宋体"/>
                <w:szCs w:val="21"/>
              </w:rPr>
            </w:pPr>
            <w:r>
              <w:rPr>
                <w:rFonts w:hint="eastAsia" w:ascii="宋体" w:hAnsi="宋体" w:cs="宋体"/>
                <w:szCs w:val="21"/>
              </w:rPr>
              <w:t>0.45%</w:t>
            </w:r>
          </w:p>
        </w:tc>
        <w:tc>
          <w:tcPr>
            <w:tcW w:w="1841" w:type="dxa"/>
          </w:tcPr>
          <w:p>
            <w:pPr>
              <w:spacing w:line="3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93" w:type="dxa"/>
            <w:vAlign w:val="center"/>
          </w:tcPr>
          <w:p>
            <w:pPr>
              <w:spacing w:line="300" w:lineRule="exact"/>
              <w:jc w:val="center"/>
              <w:rPr>
                <w:rFonts w:ascii="宋体" w:hAnsi="宋体" w:cs="宋体"/>
                <w:szCs w:val="21"/>
              </w:rPr>
            </w:pPr>
            <w:r>
              <w:rPr>
                <w:rFonts w:hint="eastAsia" w:ascii="宋体" w:hAnsi="宋体" w:cs="宋体"/>
                <w:szCs w:val="21"/>
              </w:rPr>
              <w:t>1000-5000</w:t>
            </w:r>
          </w:p>
        </w:tc>
        <w:tc>
          <w:tcPr>
            <w:tcW w:w="2146" w:type="dxa"/>
            <w:vAlign w:val="center"/>
          </w:tcPr>
          <w:p>
            <w:pPr>
              <w:spacing w:line="300" w:lineRule="exact"/>
              <w:jc w:val="center"/>
              <w:rPr>
                <w:rFonts w:ascii="宋体" w:hAnsi="宋体" w:cs="宋体"/>
                <w:szCs w:val="21"/>
              </w:rPr>
            </w:pPr>
            <w:r>
              <w:rPr>
                <w:rFonts w:hint="eastAsia" w:ascii="宋体" w:hAnsi="宋体" w:cs="宋体"/>
                <w:szCs w:val="21"/>
              </w:rPr>
              <w:t>0.50%</w:t>
            </w:r>
          </w:p>
        </w:tc>
        <w:tc>
          <w:tcPr>
            <w:tcW w:w="2146" w:type="dxa"/>
            <w:vAlign w:val="center"/>
          </w:tcPr>
          <w:p>
            <w:pPr>
              <w:spacing w:line="300" w:lineRule="exact"/>
              <w:jc w:val="center"/>
              <w:rPr>
                <w:rFonts w:ascii="宋体" w:hAnsi="宋体" w:cs="宋体"/>
                <w:szCs w:val="21"/>
              </w:rPr>
            </w:pPr>
            <w:r>
              <w:rPr>
                <w:rFonts w:hint="eastAsia" w:ascii="宋体" w:hAnsi="宋体" w:cs="宋体"/>
                <w:szCs w:val="21"/>
              </w:rPr>
              <w:t>0.25%</w:t>
            </w:r>
          </w:p>
        </w:tc>
        <w:tc>
          <w:tcPr>
            <w:tcW w:w="1841" w:type="dxa"/>
          </w:tcPr>
          <w:p>
            <w:pPr>
              <w:spacing w:line="300" w:lineRule="exact"/>
              <w:jc w:val="center"/>
              <w:rPr>
                <w:rFonts w:ascii="宋体" w:hAnsi="宋体" w:cs="宋体"/>
                <w:szCs w:val="21"/>
              </w:rPr>
            </w:pPr>
          </w:p>
        </w:tc>
      </w:tr>
    </w:tbl>
    <w:p>
      <w:pPr>
        <w:spacing w:line="336" w:lineRule="auto"/>
        <w:ind w:firstLine="420" w:firstLineChars="200"/>
        <w:rPr>
          <w:rFonts w:ascii="宋体" w:hAnsi="宋体" w:cs="宋体"/>
          <w:szCs w:val="21"/>
        </w:rPr>
      </w:pPr>
      <w:r>
        <w:rPr>
          <w:rFonts w:hint="eastAsia" w:ascii="宋体" w:hAnsi="宋体" w:cs="宋体"/>
          <w:szCs w:val="21"/>
        </w:rPr>
        <w:t>招标代理服务收费按差额定率累进法计算。例如：某项目招标代理业务中标金额为2000万元，计算招标代理服务收费额如下：</w:t>
      </w:r>
    </w:p>
    <w:p>
      <w:pPr>
        <w:spacing w:line="336" w:lineRule="auto"/>
        <w:ind w:firstLine="420" w:firstLineChars="200"/>
        <w:rPr>
          <w:rFonts w:ascii="宋体" w:hAnsi="宋体" w:cs="宋体"/>
          <w:szCs w:val="21"/>
        </w:rPr>
      </w:pPr>
      <w:r>
        <w:rPr>
          <w:rFonts w:hint="eastAsia" w:ascii="宋体" w:hAnsi="宋体" w:cs="宋体"/>
          <w:szCs w:val="21"/>
        </w:rPr>
        <w:t xml:space="preserve"> 100万元×1.50%=1.5（万元）</w:t>
      </w:r>
    </w:p>
    <w:p>
      <w:pPr>
        <w:spacing w:line="336" w:lineRule="auto"/>
        <w:ind w:firstLine="420" w:firstLineChars="200"/>
        <w:rPr>
          <w:rFonts w:ascii="宋体" w:hAnsi="宋体" w:cs="宋体"/>
          <w:szCs w:val="21"/>
        </w:rPr>
      </w:pPr>
      <w:r>
        <w:rPr>
          <w:rFonts w:hint="eastAsia" w:ascii="宋体" w:hAnsi="宋体" w:cs="宋体"/>
          <w:szCs w:val="21"/>
        </w:rPr>
        <w:t>（500-100）万元×1.10%=4.4（万元）</w:t>
      </w:r>
    </w:p>
    <w:p>
      <w:pPr>
        <w:spacing w:line="336" w:lineRule="auto"/>
        <w:ind w:firstLine="420" w:firstLineChars="200"/>
        <w:rPr>
          <w:rFonts w:ascii="宋体" w:hAnsi="宋体" w:cs="宋体"/>
          <w:szCs w:val="21"/>
        </w:rPr>
      </w:pPr>
      <w:r>
        <w:rPr>
          <w:rFonts w:hint="eastAsia" w:ascii="宋体" w:hAnsi="宋体" w:cs="宋体"/>
          <w:szCs w:val="21"/>
        </w:rPr>
        <w:t>（1000-500）万元×0.80%=4.0（万元）</w:t>
      </w:r>
    </w:p>
    <w:p>
      <w:pPr>
        <w:spacing w:line="336" w:lineRule="auto"/>
        <w:ind w:firstLine="420" w:firstLineChars="200"/>
        <w:rPr>
          <w:rFonts w:ascii="宋体" w:hAnsi="宋体" w:cs="宋体"/>
          <w:szCs w:val="21"/>
        </w:rPr>
      </w:pPr>
      <w:r>
        <w:rPr>
          <w:rFonts w:hint="eastAsia" w:ascii="宋体" w:hAnsi="宋体" w:cs="宋体"/>
          <w:szCs w:val="21"/>
        </w:rPr>
        <w:t>（2000-1000）万元×0.50%=5.0（万元）</w:t>
      </w:r>
    </w:p>
    <w:p>
      <w:pPr>
        <w:spacing w:line="336" w:lineRule="auto"/>
        <w:ind w:left="210" w:leftChars="100" w:firstLine="315" w:firstLineChars="150"/>
        <w:jc w:val="left"/>
        <w:rPr>
          <w:rFonts w:ascii="宋体"/>
          <w:szCs w:val="21"/>
        </w:rPr>
      </w:pPr>
      <w:r>
        <w:rPr>
          <w:rFonts w:hint="eastAsia" w:ascii="宋体" w:hAnsi="宋体" w:cs="宋体"/>
          <w:szCs w:val="21"/>
        </w:rPr>
        <w:t>合计收费=1.5+4.4+4.0+5.0=14.9(万元)</w:t>
      </w:r>
    </w:p>
    <w:p>
      <w:pPr>
        <w:spacing w:line="336" w:lineRule="auto"/>
        <w:ind w:firstLine="420" w:firstLineChars="200"/>
        <w:outlineLvl w:val="3"/>
        <w:rPr>
          <w:szCs w:val="21"/>
        </w:rPr>
      </w:pPr>
      <w:r>
        <w:rPr>
          <w:rFonts w:hint="eastAsia"/>
          <w:szCs w:val="21"/>
        </w:rPr>
        <w:t>13.投标人应注意的事项</w:t>
      </w:r>
    </w:p>
    <w:p>
      <w:pPr>
        <w:spacing w:line="336" w:lineRule="auto"/>
        <w:ind w:firstLine="420" w:firstLineChars="200"/>
        <w:rPr>
          <w:rFonts w:ascii="宋体"/>
          <w:szCs w:val="21"/>
        </w:rPr>
      </w:pPr>
      <w:r>
        <w:rPr>
          <w:rFonts w:hint="eastAsia" w:ascii="宋体" w:hAnsi="宋体"/>
          <w:szCs w:val="21"/>
        </w:rPr>
        <w:t>13.1投标人一旦按规定缴纳了投标保证金并参加投标，即被认为接受了本采购文件中的所有条件和规定。投标人必须严格按采购文件的要求编制投标文件，投标文件宜编制页码和目录，以便评委审核。否则，由此产生的一切后果由投标人承担。</w:t>
      </w:r>
    </w:p>
    <w:p>
      <w:pPr>
        <w:spacing w:line="336" w:lineRule="auto"/>
        <w:ind w:firstLine="420" w:firstLineChars="200"/>
        <w:rPr>
          <w:rFonts w:ascii="宋体"/>
          <w:szCs w:val="21"/>
        </w:rPr>
      </w:pPr>
      <w:r>
        <w:rPr>
          <w:rFonts w:hint="eastAsia" w:ascii="宋体"/>
          <w:szCs w:val="21"/>
        </w:rPr>
        <w:t>13.2 投标人对采购内容中规定的技术参数、规格等要求必须完全响应或优于采购文件中的要求。</w:t>
      </w:r>
    </w:p>
    <w:p>
      <w:pPr>
        <w:spacing w:line="336" w:lineRule="auto"/>
        <w:ind w:firstLine="411" w:firstLineChars="196"/>
        <w:rPr>
          <w:rFonts w:ascii="宋体"/>
          <w:szCs w:val="21"/>
        </w:rPr>
      </w:pPr>
      <w:r>
        <w:rPr>
          <w:rFonts w:hint="eastAsia" w:ascii="宋体"/>
          <w:szCs w:val="21"/>
        </w:rPr>
        <w:t>13.3所有投标人的投标保证金都应在采购文件规定的投标保证金缴纳截止日期前缴纳。</w:t>
      </w:r>
    </w:p>
    <w:p>
      <w:pPr>
        <w:spacing w:line="336" w:lineRule="auto"/>
        <w:ind w:firstLine="411" w:firstLineChars="196"/>
        <w:rPr>
          <w:rFonts w:ascii="宋体"/>
          <w:szCs w:val="21"/>
        </w:rPr>
      </w:pPr>
      <w:r>
        <w:rPr>
          <w:rFonts w:hint="eastAsia" w:ascii="宋体"/>
          <w:szCs w:val="21"/>
        </w:rPr>
        <w:t>13.4</w:t>
      </w:r>
      <w:r>
        <w:rPr>
          <w:rFonts w:ascii="宋体"/>
          <w:szCs w:val="21"/>
        </w:rPr>
        <w:t>单位负责人为同一人或者存在直接控股、管理关系的不同供应商，不得参加同一合同项下的政府采购活动。</w:t>
      </w:r>
      <w:r>
        <w:rPr>
          <w:rFonts w:ascii="宋体" w:hAnsi="宋体" w:cs="宋体"/>
          <w:szCs w:val="21"/>
        </w:rPr>
        <w:t>为采购项目提供整体设计、规范编制或者项目管理、监理、检测等服务的供应商，不得再参加该采购项目的其他采购活动。</w:t>
      </w:r>
    </w:p>
    <w:p>
      <w:pPr>
        <w:snapToGrid w:val="0"/>
        <w:spacing w:line="336" w:lineRule="auto"/>
        <w:ind w:firstLine="420" w:firstLineChars="200"/>
        <w:rPr>
          <w:rFonts w:ascii="宋体"/>
          <w:szCs w:val="21"/>
        </w:rPr>
      </w:pPr>
      <w:r>
        <w:rPr>
          <w:rFonts w:hint="eastAsia" w:ascii="宋体"/>
          <w:szCs w:val="21"/>
        </w:rPr>
        <w:t>13.5本项目只接受成为新疆维吾尔自治区政府采购网正式注册入库并完成CA数字证书申领供应商参与投标。因未注册入库、未办理CA数字证书等原因造成无法投标或投标失败等后果由供应商自行承担。</w:t>
      </w:r>
    </w:p>
    <w:p>
      <w:pPr>
        <w:wordWrap w:val="0"/>
        <w:spacing w:line="336" w:lineRule="auto"/>
        <w:ind w:firstLine="420" w:firstLineChars="200"/>
        <w:rPr>
          <w:rFonts w:ascii="宋体"/>
          <w:szCs w:val="21"/>
        </w:rPr>
      </w:pPr>
      <w:r>
        <w:rPr>
          <w:rFonts w:hint="eastAsia" w:ascii="宋体"/>
          <w:szCs w:val="21"/>
        </w:rPr>
        <w:t>13.6  投标人被视为充分熟悉本招标项目所在地的与履行合同有关的各种情况，包括但不限于：</w:t>
      </w:r>
    </w:p>
    <w:p>
      <w:pPr>
        <w:spacing w:line="336" w:lineRule="auto"/>
        <w:ind w:firstLine="315" w:firstLineChars="150"/>
        <w:rPr>
          <w:rFonts w:ascii="宋体"/>
          <w:szCs w:val="21"/>
        </w:rPr>
      </w:pPr>
      <w:r>
        <w:rPr>
          <w:rFonts w:hint="eastAsia" w:ascii="宋体"/>
          <w:szCs w:val="21"/>
        </w:rPr>
        <w:t>（1）国家对本次投标货物和服务的生产、安装调试、验收、维修等有关法律、法规及行业管理标准；</w:t>
      </w:r>
    </w:p>
    <w:p>
      <w:pPr>
        <w:spacing w:line="336" w:lineRule="auto"/>
        <w:ind w:firstLine="315" w:firstLineChars="150"/>
        <w:rPr>
          <w:rFonts w:ascii="宋体"/>
          <w:szCs w:val="21"/>
        </w:rPr>
      </w:pPr>
      <w:r>
        <w:rPr>
          <w:rFonts w:hint="eastAsia" w:ascii="宋体"/>
          <w:szCs w:val="21"/>
        </w:rPr>
        <w:t>（2）本地区有关管理部门的相关规定；</w:t>
      </w:r>
    </w:p>
    <w:p>
      <w:pPr>
        <w:spacing w:line="336" w:lineRule="auto"/>
        <w:ind w:firstLine="315" w:firstLineChars="150"/>
        <w:rPr>
          <w:rFonts w:ascii="宋体"/>
          <w:szCs w:val="21"/>
        </w:rPr>
      </w:pPr>
      <w:r>
        <w:rPr>
          <w:rFonts w:hint="eastAsia" w:ascii="宋体"/>
          <w:szCs w:val="21"/>
        </w:rPr>
        <w:t>（3）招标人的相关场地情况、基础建设情况及相关设计标准。</w:t>
      </w:r>
    </w:p>
    <w:p>
      <w:pPr>
        <w:spacing w:line="400" w:lineRule="exact"/>
        <w:ind w:firstLine="210" w:firstLineChars="100"/>
        <w:outlineLvl w:val="3"/>
        <w:rPr>
          <w:rFonts w:ascii="宋体" w:hAnsi="宋体" w:cs="宋体"/>
          <w:kern w:val="0"/>
          <w:sz w:val="30"/>
          <w:szCs w:val="30"/>
        </w:rPr>
      </w:pPr>
      <w:r>
        <w:rPr>
          <w:rFonts w:hint="eastAsia"/>
          <w:szCs w:val="21"/>
        </w:rPr>
        <w:t>14 .</w:t>
      </w:r>
      <w:r>
        <w:rPr>
          <w:rFonts w:hint="eastAsia" w:ascii="宋体"/>
          <w:szCs w:val="21"/>
        </w:rPr>
        <w:t>本采购文件不再对上述情况进行描述。</w:t>
      </w:r>
    </w:p>
    <w:p>
      <w:pPr>
        <w:spacing w:before="312" w:beforeLines="100" w:after="312" w:afterLines="100" w:line="440" w:lineRule="exact"/>
        <w:jc w:val="center"/>
        <w:outlineLvl w:val="2"/>
        <w:rPr>
          <w:rFonts w:ascii="宋体"/>
          <w:sz w:val="28"/>
          <w:szCs w:val="28"/>
        </w:rPr>
      </w:pPr>
      <w:bookmarkStart w:id="27" w:name="_Toc469495725"/>
      <w:r>
        <w:rPr>
          <w:rFonts w:hint="eastAsia" w:ascii="宋体"/>
          <w:sz w:val="28"/>
          <w:szCs w:val="28"/>
        </w:rPr>
        <w:t>（二）</w:t>
      </w:r>
      <w:bookmarkEnd w:id="27"/>
      <w:r>
        <w:rPr>
          <w:rFonts w:hint="eastAsia" w:ascii="宋体"/>
          <w:sz w:val="28"/>
          <w:szCs w:val="28"/>
        </w:rPr>
        <w:t>招标文件</w:t>
      </w:r>
    </w:p>
    <w:p>
      <w:pPr>
        <w:spacing w:line="440" w:lineRule="exact"/>
        <w:ind w:firstLine="420" w:firstLineChars="200"/>
        <w:outlineLvl w:val="3"/>
        <w:rPr>
          <w:szCs w:val="21"/>
        </w:rPr>
      </w:pPr>
      <w:r>
        <w:rPr>
          <w:rFonts w:hint="eastAsia"/>
          <w:szCs w:val="21"/>
        </w:rPr>
        <w:t>15. 采购文件的编制依据</w:t>
      </w:r>
    </w:p>
    <w:p>
      <w:pPr>
        <w:spacing w:line="440" w:lineRule="exact"/>
        <w:ind w:firstLine="420" w:firstLineChars="200"/>
        <w:rPr>
          <w:rFonts w:ascii="宋体"/>
          <w:szCs w:val="21"/>
        </w:rPr>
      </w:pPr>
      <w:r>
        <w:rPr>
          <w:rFonts w:hint="eastAsia" w:ascii="宋体"/>
          <w:szCs w:val="21"/>
        </w:rPr>
        <w:t>根据《中华人民共和国政府采购法》、《政府采购货物和服务招标投标管理办法》和《中华人民共和国合同法》</w:t>
      </w:r>
      <w:r>
        <w:rPr>
          <w:rFonts w:hint="eastAsia" w:ascii="宋体"/>
          <w:spacing w:val="-2"/>
          <w:szCs w:val="21"/>
        </w:rPr>
        <w:t>等相关法律法规和规章及部、省、市级规范性文件的规定，编制本采购文件。</w:t>
      </w:r>
    </w:p>
    <w:p>
      <w:pPr>
        <w:spacing w:line="440" w:lineRule="exact"/>
        <w:ind w:firstLine="420" w:firstLineChars="200"/>
        <w:outlineLvl w:val="3"/>
        <w:rPr>
          <w:szCs w:val="21"/>
        </w:rPr>
      </w:pPr>
      <w:r>
        <w:rPr>
          <w:rFonts w:hint="eastAsia"/>
          <w:szCs w:val="21"/>
        </w:rPr>
        <w:t>16. 采购文件的组成</w:t>
      </w:r>
    </w:p>
    <w:p>
      <w:pPr>
        <w:spacing w:line="440" w:lineRule="exact"/>
        <w:ind w:firstLine="420" w:firstLineChars="200"/>
        <w:outlineLvl w:val="4"/>
        <w:rPr>
          <w:rFonts w:ascii="宋体"/>
          <w:szCs w:val="21"/>
        </w:rPr>
      </w:pPr>
      <w:r>
        <w:rPr>
          <w:rFonts w:hint="eastAsia" w:ascii="宋体"/>
          <w:szCs w:val="21"/>
        </w:rPr>
        <w:t>16.1 采购文件包括内容：</w:t>
      </w:r>
    </w:p>
    <w:p>
      <w:pPr>
        <w:spacing w:line="440" w:lineRule="exact"/>
        <w:ind w:firstLine="1470" w:firstLineChars="700"/>
        <w:rPr>
          <w:rFonts w:ascii="宋体"/>
          <w:szCs w:val="21"/>
        </w:rPr>
      </w:pPr>
      <w:r>
        <w:rPr>
          <w:rFonts w:hint="eastAsia" w:ascii="宋体"/>
          <w:szCs w:val="21"/>
        </w:rPr>
        <w:t>第一章  招标公告</w:t>
      </w:r>
    </w:p>
    <w:p>
      <w:pPr>
        <w:spacing w:line="440" w:lineRule="exact"/>
        <w:ind w:firstLine="1470" w:firstLineChars="700"/>
        <w:rPr>
          <w:rFonts w:ascii="宋体"/>
          <w:szCs w:val="21"/>
        </w:rPr>
      </w:pPr>
      <w:r>
        <w:rPr>
          <w:rFonts w:hint="eastAsia" w:ascii="宋体"/>
          <w:szCs w:val="21"/>
        </w:rPr>
        <w:t>第二章  投标须知</w:t>
      </w:r>
    </w:p>
    <w:p>
      <w:pPr>
        <w:spacing w:line="440" w:lineRule="exact"/>
        <w:ind w:firstLine="1470" w:firstLineChars="700"/>
        <w:rPr>
          <w:rFonts w:ascii="宋体"/>
          <w:szCs w:val="21"/>
        </w:rPr>
      </w:pPr>
      <w:r>
        <w:rPr>
          <w:rFonts w:hint="eastAsia" w:ascii="宋体"/>
          <w:szCs w:val="21"/>
        </w:rPr>
        <w:t>第三章  评标办法</w:t>
      </w:r>
    </w:p>
    <w:p>
      <w:pPr>
        <w:spacing w:line="440" w:lineRule="exact"/>
        <w:ind w:firstLine="1470" w:firstLineChars="700"/>
        <w:rPr>
          <w:rFonts w:ascii="宋体"/>
          <w:szCs w:val="21"/>
        </w:rPr>
      </w:pPr>
      <w:r>
        <w:rPr>
          <w:rFonts w:hint="eastAsia" w:ascii="宋体"/>
          <w:szCs w:val="21"/>
        </w:rPr>
        <w:t>第四章  采购内容及技术要求</w:t>
      </w:r>
    </w:p>
    <w:p>
      <w:pPr>
        <w:spacing w:line="440" w:lineRule="exact"/>
        <w:ind w:firstLine="1470" w:firstLineChars="700"/>
        <w:rPr>
          <w:rFonts w:ascii="宋体"/>
          <w:szCs w:val="21"/>
        </w:rPr>
      </w:pPr>
      <w:r>
        <w:rPr>
          <w:rFonts w:hint="eastAsia" w:ascii="宋体"/>
          <w:szCs w:val="21"/>
        </w:rPr>
        <w:t>第五章  合同条款及格式</w:t>
      </w:r>
    </w:p>
    <w:p>
      <w:pPr>
        <w:spacing w:line="440" w:lineRule="exact"/>
        <w:ind w:firstLine="1470" w:firstLineChars="700"/>
        <w:rPr>
          <w:rFonts w:ascii="宋体"/>
          <w:szCs w:val="21"/>
        </w:rPr>
      </w:pPr>
      <w:r>
        <w:rPr>
          <w:rFonts w:hint="eastAsia" w:ascii="宋体"/>
          <w:szCs w:val="21"/>
        </w:rPr>
        <w:t>第六章  投标文件格式文本</w:t>
      </w:r>
    </w:p>
    <w:p>
      <w:pPr>
        <w:spacing w:line="440" w:lineRule="exact"/>
        <w:ind w:firstLine="1470" w:firstLineChars="700"/>
        <w:rPr>
          <w:rFonts w:ascii="宋体"/>
          <w:szCs w:val="21"/>
        </w:rPr>
      </w:pPr>
      <w:r>
        <w:rPr>
          <w:rFonts w:hint="eastAsia" w:ascii="宋体"/>
          <w:szCs w:val="21"/>
        </w:rPr>
        <w:t>第七章  招标单位、招标代理机构对本文件的确认</w:t>
      </w:r>
    </w:p>
    <w:p>
      <w:pPr>
        <w:spacing w:line="440" w:lineRule="exact"/>
        <w:rPr>
          <w:rFonts w:ascii="宋体"/>
          <w:szCs w:val="21"/>
        </w:rPr>
      </w:pPr>
      <w:r>
        <w:rPr>
          <w:rFonts w:hint="eastAsia" w:ascii="宋体"/>
          <w:szCs w:val="21"/>
        </w:rPr>
        <w:t xml:space="preserve">   16.2 除16.1内容外，招标答疑亦为采购文件的组成部分，对招标人和投标人起约束作用。</w:t>
      </w:r>
    </w:p>
    <w:p>
      <w:pPr>
        <w:pStyle w:val="13"/>
        <w:wordWrap w:val="0"/>
        <w:spacing w:line="400" w:lineRule="exact"/>
        <w:rPr>
          <w:color w:val="auto"/>
          <w:szCs w:val="21"/>
        </w:rPr>
      </w:pPr>
      <w:r>
        <w:rPr>
          <w:rFonts w:hint="eastAsia"/>
          <w:color w:val="auto"/>
          <w:szCs w:val="21"/>
        </w:rPr>
        <w:t xml:space="preserve">   16.3投标人应仔细阅读和检查采购文件的全部内容。如发现缺页或附件不全，应及时向招标人提出，以便补齐。如有疑问，投标人应在以书面形式一次性向采购人和采购代理机构提出同一环节的质疑。</w:t>
      </w:r>
    </w:p>
    <w:p>
      <w:pPr>
        <w:wordWrap w:val="0"/>
        <w:spacing w:line="440" w:lineRule="exact"/>
        <w:rPr>
          <w:rFonts w:ascii="宋体"/>
          <w:szCs w:val="21"/>
        </w:rPr>
      </w:pPr>
      <w:r>
        <w:rPr>
          <w:rFonts w:hint="eastAsia" w:ascii="宋体"/>
          <w:szCs w:val="21"/>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采购文件的澄清将在政采云平台“更正公告”栏目予以公告，但不指明澄清问题的来源。如果澄清内容影响投标文件编制的，将相应延长投标截止时间。</w:t>
      </w:r>
    </w:p>
    <w:p>
      <w:pPr>
        <w:spacing w:line="440" w:lineRule="exact"/>
        <w:ind w:firstLine="420" w:firstLineChars="200"/>
        <w:outlineLvl w:val="3"/>
        <w:rPr>
          <w:rFonts w:ascii="宋体"/>
          <w:szCs w:val="21"/>
        </w:rPr>
      </w:pPr>
      <w:r>
        <w:rPr>
          <w:rFonts w:hint="eastAsia" w:ascii="宋体"/>
          <w:szCs w:val="21"/>
        </w:rPr>
        <w:t>17. 采购文件的修改、补充、解释</w:t>
      </w:r>
    </w:p>
    <w:p>
      <w:pPr>
        <w:wordWrap w:val="0"/>
        <w:spacing w:line="400" w:lineRule="exact"/>
        <w:ind w:firstLine="315" w:firstLineChars="150"/>
        <w:rPr>
          <w:rFonts w:ascii="宋体" w:hAnsi="宋体"/>
          <w:szCs w:val="21"/>
        </w:rPr>
      </w:pPr>
      <w:r>
        <w:rPr>
          <w:rFonts w:hint="eastAsia" w:ascii="宋体" w:hAnsi="宋体"/>
          <w:szCs w:val="21"/>
        </w:rPr>
        <w:t>17.1采购文件发出后，招标人在规定的投标截止时间前可对采购文件进行必要的修改和补充，并以更正公告形式在政采云平台 “更正公告”栏目予以公告，请各位投标人注意查看有关澄清内容，如不及时查看造成后果由投标人自负。采购文件的修改、补充等内容作为采购文件的组成部分，具有约束作用。</w:t>
      </w:r>
    </w:p>
    <w:p>
      <w:pPr>
        <w:widowControl/>
        <w:spacing w:line="360" w:lineRule="auto"/>
        <w:ind w:firstLine="480"/>
        <w:rPr>
          <w:rFonts w:ascii="宋体" w:hAnsi="宋体"/>
          <w:szCs w:val="21"/>
        </w:rPr>
      </w:pPr>
      <w:r>
        <w:rPr>
          <w:rFonts w:hint="eastAsia" w:ascii="宋体" w:hAnsi="宋体"/>
          <w:szCs w:val="21"/>
        </w:rPr>
        <w:t>17.2 采购代理机构可视采购具体情况对已发出的采购文件进行必要的澄清、修改或者补充。澄清、修改或者补充的内容可能影响投标文件编制的，应当在投标截止时间至少15日前，在原公告发布媒体上发</w:t>
      </w:r>
      <w:r>
        <w:rPr>
          <w:rFonts w:hint="eastAsia" w:ascii="宋体" w:hAnsi="宋体"/>
          <w:spacing w:val="-6"/>
          <w:szCs w:val="21"/>
        </w:rPr>
        <w:t>布澄清公告，澄清或者修改的内容为采购文件的组成部分；不足15日的，应当顺延提交投标文件的截止时间。</w:t>
      </w:r>
    </w:p>
    <w:p>
      <w:pPr>
        <w:wordWrap w:val="0"/>
        <w:spacing w:line="400" w:lineRule="exact"/>
        <w:ind w:firstLine="315" w:firstLineChars="150"/>
        <w:rPr>
          <w:rFonts w:ascii="宋体" w:hAnsi="宋体"/>
          <w:szCs w:val="21"/>
        </w:rPr>
      </w:pPr>
      <w:r>
        <w:rPr>
          <w:rFonts w:hint="eastAsia" w:ascii="宋体" w:hAnsi="宋体"/>
          <w:szCs w:val="21"/>
        </w:rPr>
        <w:t>17.3 供应商在规定的时间内未对采购文件提出疑问、质疑或要求澄清的，将视其为无异议。</w:t>
      </w:r>
    </w:p>
    <w:p>
      <w:pPr>
        <w:spacing w:line="400" w:lineRule="exact"/>
        <w:ind w:firstLine="420" w:firstLineChars="200"/>
        <w:outlineLvl w:val="4"/>
        <w:rPr>
          <w:rFonts w:ascii="宋体" w:hAnsi="宋体"/>
          <w:szCs w:val="21"/>
        </w:rPr>
      </w:pPr>
      <w:r>
        <w:rPr>
          <w:rFonts w:hint="eastAsia" w:ascii="宋体" w:hAnsi="宋体"/>
          <w:szCs w:val="21"/>
        </w:rPr>
        <w:t>17.4 采购文件的解释</w:t>
      </w:r>
    </w:p>
    <w:p>
      <w:pPr>
        <w:spacing w:line="400" w:lineRule="exact"/>
        <w:ind w:firstLine="420" w:firstLineChars="200"/>
        <w:rPr>
          <w:rFonts w:ascii="宋体" w:hAnsi="宋体"/>
          <w:szCs w:val="21"/>
        </w:rPr>
      </w:pPr>
      <w:r>
        <w:rPr>
          <w:rFonts w:hint="eastAsia" w:ascii="宋体" w:hAnsi="宋体"/>
          <w:szCs w:val="21"/>
        </w:rPr>
        <w:t>本采购文件由招标人（或其委托的招标代理机构）负责解释。</w:t>
      </w:r>
    </w:p>
    <w:p>
      <w:pPr>
        <w:spacing w:line="400" w:lineRule="exact"/>
        <w:outlineLvl w:val="3"/>
        <w:rPr>
          <w:rFonts w:ascii="宋体" w:hAnsi="宋体"/>
          <w:szCs w:val="21"/>
        </w:rPr>
      </w:pPr>
      <w:r>
        <w:rPr>
          <w:rFonts w:hint="eastAsia" w:ascii="宋体" w:hAnsi="宋体" w:cs="宋体"/>
          <w:szCs w:val="21"/>
        </w:rPr>
        <w:t xml:space="preserve">   </w:t>
      </w:r>
      <w:r>
        <w:rPr>
          <w:rFonts w:hint="eastAsia"/>
          <w:szCs w:val="21"/>
        </w:rPr>
        <w:t xml:space="preserve">18. </w:t>
      </w:r>
      <w:r>
        <w:rPr>
          <w:rFonts w:hint="eastAsia" w:ascii="宋体" w:hAnsi="宋体"/>
          <w:szCs w:val="21"/>
        </w:rPr>
        <w:t>采购文件的发出</w:t>
      </w:r>
    </w:p>
    <w:p>
      <w:pPr>
        <w:spacing w:line="400" w:lineRule="exact"/>
        <w:ind w:firstLine="315" w:firstLineChars="150"/>
        <w:rPr>
          <w:rFonts w:ascii="宋体" w:hAnsi="宋体"/>
          <w:szCs w:val="21"/>
        </w:rPr>
      </w:pPr>
      <w:r>
        <w:rPr>
          <w:rFonts w:hint="eastAsia" w:ascii="宋体" w:hAnsi="宋体"/>
          <w:szCs w:val="21"/>
        </w:rPr>
        <w:t>18.1  采购文件、采购文件的澄清、修改、补充及招标答疑等均应报相关部门备案后，方可发出。</w:t>
      </w:r>
    </w:p>
    <w:p>
      <w:pPr>
        <w:spacing w:line="440" w:lineRule="exact"/>
        <w:ind w:firstLine="279" w:firstLineChars="133"/>
        <w:rPr>
          <w:rFonts w:ascii="宋体"/>
          <w:szCs w:val="21"/>
        </w:rPr>
      </w:pPr>
      <w:r>
        <w:rPr>
          <w:rFonts w:hint="eastAsia"/>
          <w:szCs w:val="21"/>
        </w:rPr>
        <w:t xml:space="preserve">19. </w:t>
      </w:r>
      <w:r>
        <w:rPr>
          <w:rFonts w:hint="eastAsia" w:ascii="宋体"/>
          <w:szCs w:val="21"/>
        </w:rPr>
        <w:t>凡需要设置样品情形时，必须明确是否需要随样品提交检测报告，并明确检测机构的要求、检测内容、中标样品封存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pPr>
        <w:spacing w:line="400" w:lineRule="exact"/>
        <w:ind w:firstLine="420"/>
        <w:rPr>
          <w:rFonts w:ascii="宋体" w:hAnsi="宋体" w:cs="宋体"/>
          <w:kern w:val="0"/>
          <w:szCs w:val="21"/>
        </w:rPr>
      </w:pPr>
      <w:r>
        <w:rPr>
          <w:rFonts w:hint="eastAsia" w:ascii="宋体"/>
          <w:szCs w:val="21"/>
        </w:rPr>
        <w:t>采购文件中应明确样品送检方式、检测费用支付方法、投标人在规定时间内无法提供第三方权威检测机构检测报告的处理方式。（采购人根据项目需求按上述要求自行描述）</w:t>
      </w:r>
    </w:p>
    <w:p>
      <w:pPr>
        <w:widowControl/>
        <w:spacing w:line="360" w:lineRule="auto"/>
        <w:jc w:val="center"/>
        <w:outlineLvl w:val="2"/>
        <w:rPr>
          <w:rFonts w:ascii="宋体"/>
          <w:sz w:val="28"/>
          <w:szCs w:val="28"/>
        </w:rPr>
      </w:pPr>
      <w:r>
        <w:rPr>
          <w:rFonts w:hint="eastAsia" w:ascii="宋体"/>
          <w:sz w:val="28"/>
          <w:szCs w:val="28"/>
        </w:rPr>
        <w:t>（三） 投标文件的编制</w:t>
      </w:r>
    </w:p>
    <w:p>
      <w:pPr>
        <w:spacing w:line="440" w:lineRule="exact"/>
        <w:ind w:firstLine="304" w:firstLineChars="145"/>
        <w:outlineLvl w:val="3"/>
        <w:rPr>
          <w:rFonts w:ascii="宋体" w:cs="宋体"/>
          <w:szCs w:val="21"/>
        </w:rPr>
      </w:pPr>
      <w:r>
        <w:rPr>
          <w:rFonts w:hint="eastAsia"/>
          <w:szCs w:val="21"/>
        </w:rPr>
        <w:t xml:space="preserve">20. </w:t>
      </w:r>
      <w:r>
        <w:rPr>
          <w:rFonts w:hint="eastAsia" w:ascii="宋体" w:cs="宋体"/>
          <w:szCs w:val="21"/>
        </w:rPr>
        <w:t>投标的语言及度量衡单位</w:t>
      </w:r>
    </w:p>
    <w:p>
      <w:pPr>
        <w:spacing w:line="440" w:lineRule="exact"/>
        <w:ind w:firstLine="283" w:firstLineChars="135"/>
        <w:rPr>
          <w:rFonts w:ascii="宋体"/>
          <w:szCs w:val="21"/>
        </w:rPr>
      </w:pPr>
      <w:r>
        <w:rPr>
          <w:rFonts w:hint="eastAsia" w:ascii="宋体"/>
          <w:szCs w:val="21"/>
        </w:rPr>
        <w:t>20.1</w:t>
      </w:r>
      <w:r>
        <w:rPr>
          <w:rFonts w:ascii="宋体" w:hAnsi="宋体"/>
          <w:szCs w:val="21"/>
        </w:rPr>
        <w:t>投标人</w:t>
      </w:r>
      <w:r>
        <w:rPr>
          <w:rFonts w:hint="eastAsia" w:ascii="宋体" w:hAnsi="宋体"/>
          <w:szCs w:val="21"/>
        </w:rPr>
        <w:t>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pacing w:line="440" w:lineRule="exact"/>
        <w:ind w:firstLine="283" w:firstLineChars="135"/>
        <w:rPr>
          <w:rFonts w:ascii="宋体"/>
          <w:szCs w:val="21"/>
        </w:rPr>
      </w:pPr>
      <w:r>
        <w:rPr>
          <w:rFonts w:hint="eastAsia" w:ascii="宋体"/>
          <w:szCs w:val="21"/>
        </w:rPr>
        <w:t xml:space="preserve"> 20.2除采购文件中另有规定外，投标书所使用的度量衡均须采用法定计量单位。</w:t>
      </w:r>
    </w:p>
    <w:p>
      <w:pPr>
        <w:spacing w:line="400" w:lineRule="exact"/>
        <w:ind w:firstLine="205" w:firstLineChars="98"/>
        <w:outlineLvl w:val="3"/>
        <w:rPr>
          <w:rFonts w:ascii="宋体" w:hAnsi="宋体"/>
          <w:szCs w:val="21"/>
        </w:rPr>
      </w:pPr>
      <w:r>
        <w:rPr>
          <w:rFonts w:hint="eastAsia"/>
          <w:szCs w:val="21"/>
        </w:rPr>
        <w:t xml:space="preserve">21. </w:t>
      </w:r>
      <w:r>
        <w:rPr>
          <w:rFonts w:hint="eastAsia" w:ascii="宋体" w:hAnsi="宋体"/>
          <w:szCs w:val="21"/>
        </w:rPr>
        <w:t>投标文件的组成</w:t>
      </w:r>
    </w:p>
    <w:p>
      <w:pPr>
        <w:spacing w:line="400" w:lineRule="exact"/>
        <w:ind w:firstLine="420" w:firstLineChars="200"/>
        <w:rPr>
          <w:rFonts w:ascii="宋体"/>
          <w:szCs w:val="21"/>
        </w:rPr>
      </w:pPr>
      <w:r>
        <w:rPr>
          <w:rFonts w:hint="eastAsia" w:ascii="宋体" w:hAnsi="宋体"/>
          <w:szCs w:val="21"/>
        </w:rPr>
        <w:t>资格证明文件和商务及技术文件两部分。</w:t>
      </w:r>
    </w:p>
    <w:p>
      <w:pPr>
        <w:spacing w:line="440" w:lineRule="exact"/>
        <w:ind w:firstLine="308" w:firstLineChars="147"/>
        <w:outlineLvl w:val="4"/>
        <w:rPr>
          <w:rFonts w:ascii="宋体"/>
          <w:szCs w:val="21"/>
        </w:rPr>
      </w:pPr>
      <w:r>
        <w:rPr>
          <w:rFonts w:hint="eastAsia" w:ascii="宋体"/>
          <w:szCs w:val="21"/>
        </w:rPr>
        <w:t>21.1资格证明文件（包括但不限于）</w:t>
      </w:r>
    </w:p>
    <w:p>
      <w:pPr>
        <w:spacing w:line="440" w:lineRule="exact"/>
        <w:ind w:firstLine="308" w:firstLineChars="147"/>
        <w:rPr>
          <w:rFonts w:hAnsi="宋体"/>
          <w:szCs w:val="21"/>
        </w:rPr>
      </w:pPr>
      <w:r>
        <w:rPr>
          <w:rFonts w:hint="eastAsia" w:hAnsi="宋体"/>
          <w:szCs w:val="21"/>
        </w:rPr>
        <w:t>资格证明文件是证明投标人有资格参加投标和中标后有能力履行合同的文件，这些文件应能满足招标的要求，否则作无效投标处理。</w:t>
      </w:r>
    </w:p>
    <w:p>
      <w:pPr>
        <w:spacing w:line="400" w:lineRule="exact"/>
        <w:ind w:firstLine="210" w:firstLineChars="100"/>
        <w:rPr>
          <w:rFonts w:ascii="宋体" w:hAnsi="宋体"/>
          <w:szCs w:val="21"/>
        </w:rPr>
      </w:pPr>
      <w:r>
        <w:rPr>
          <w:rFonts w:hint="eastAsia" w:ascii="宋体" w:hAnsi="宋体"/>
          <w:szCs w:val="21"/>
        </w:rPr>
        <w:t xml:space="preserve">  （1）开标一览表（见投标文件格式一）；</w:t>
      </w:r>
    </w:p>
    <w:p>
      <w:pPr>
        <w:spacing w:line="400" w:lineRule="exact"/>
        <w:ind w:firstLine="417" w:firstLineChars="199"/>
        <w:rPr>
          <w:rFonts w:ascii="宋体" w:hAnsi="宋体"/>
          <w:szCs w:val="21"/>
        </w:rPr>
      </w:pPr>
      <w:r>
        <w:rPr>
          <w:rFonts w:hint="eastAsia" w:ascii="宋体" w:hAnsi="宋体"/>
          <w:szCs w:val="21"/>
        </w:rPr>
        <w:t>（2）法人或者非法人组织的营业执照等证明文件复印件（须加盖本单位章）或自然人的身份证明复印件；</w:t>
      </w:r>
    </w:p>
    <w:p>
      <w:pPr>
        <w:spacing w:line="400" w:lineRule="exact"/>
        <w:ind w:firstLine="420" w:firstLineChars="200"/>
        <w:rPr>
          <w:rFonts w:ascii="宋体" w:hAnsi="宋体"/>
          <w:szCs w:val="21"/>
        </w:rPr>
      </w:pPr>
      <w:r>
        <w:rPr>
          <w:rFonts w:hint="eastAsia" w:ascii="宋体" w:hAnsi="宋体"/>
          <w:szCs w:val="21"/>
        </w:rPr>
        <w:t>（3）法定代表人授权委托书（见投标文件格式二）；</w:t>
      </w:r>
    </w:p>
    <w:p>
      <w:pPr>
        <w:spacing w:line="400" w:lineRule="exact"/>
        <w:ind w:firstLine="420" w:firstLineChars="200"/>
        <w:rPr>
          <w:rFonts w:ascii="宋体" w:hAnsi="宋体"/>
          <w:szCs w:val="21"/>
        </w:rPr>
      </w:pPr>
      <w:r>
        <w:rPr>
          <w:rFonts w:hint="eastAsia" w:ascii="宋体" w:hAnsi="宋体"/>
          <w:szCs w:val="21"/>
        </w:rPr>
        <w:t>（4）法定代表人授权书（见投标文件格式三）；</w:t>
      </w:r>
    </w:p>
    <w:p>
      <w:pPr>
        <w:spacing w:line="400" w:lineRule="exact"/>
        <w:ind w:firstLine="417" w:firstLineChars="199"/>
        <w:rPr>
          <w:rFonts w:ascii="宋体" w:hAnsi="宋体"/>
          <w:szCs w:val="21"/>
        </w:rPr>
      </w:pPr>
      <w:r>
        <w:rPr>
          <w:rFonts w:hint="eastAsia" w:ascii="宋体" w:hAnsi="宋体"/>
          <w:szCs w:val="21"/>
        </w:rPr>
        <w:t>（5）投标保证金缴纳凭证或投标担保函（见投标文件格式四）；</w:t>
      </w:r>
    </w:p>
    <w:p>
      <w:pPr>
        <w:spacing w:line="400" w:lineRule="exact"/>
        <w:ind w:firstLine="417" w:firstLineChars="199"/>
        <w:rPr>
          <w:rFonts w:ascii="宋体" w:hAnsi="宋体"/>
          <w:szCs w:val="21"/>
        </w:rPr>
      </w:pPr>
      <w:r>
        <w:rPr>
          <w:rFonts w:hint="eastAsia" w:ascii="宋体" w:hAnsi="宋体"/>
          <w:szCs w:val="21"/>
        </w:rPr>
        <w:t>（6）社会保障资金的缴纳记录；</w:t>
      </w:r>
    </w:p>
    <w:p>
      <w:pPr>
        <w:spacing w:line="400" w:lineRule="exact"/>
        <w:ind w:firstLine="417" w:firstLineChars="199"/>
        <w:rPr>
          <w:rFonts w:ascii="宋体" w:hAnsi="宋体"/>
          <w:szCs w:val="21"/>
        </w:rPr>
      </w:pPr>
      <w:r>
        <w:rPr>
          <w:rFonts w:hint="eastAsia" w:ascii="宋体" w:hAnsi="宋体"/>
          <w:szCs w:val="21"/>
        </w:rPr>
        <w:t>（7）参加政府采购活动前3年内在经营活动中没有重大违法记录的书面声明；</w:t>
      </w:r>
    </w:p>
    <w:p>
      <w:pPr>
        <w:spacing w:line="400" w:lineRule="exact"/>
        <w:ind w:firstLine="417" w:firstLineChars="199"/>
        <w:rPr>
          <w:rFonts w:ascii="宋体" w:hAnsi="宋体"/>
          <w:szCs w:val="21"/>
        </w:rPr>
      </w:pPr>
      <w:r>
        <w:rPr>
          <w:rFonts w:hint="eastAsia" w:ascii="宋体" w:hAnsi="宋体"/>
          <w:szCs w:val="21"/>
        </w:rPr>
        <w:t>（8）投标人须知资料表要求的其他资格证明文件。</w:t>
      </w:r>
    </w:p>
    <w:p>
      <w:pPr>
        <w:spacing w:line="440" w:lineRule="exact"/>
        <w:ind w:firstLine="308" w:firstLineChars="147"/>
        <w:outlineLvl w:val="4"/>
        <w:rPr>
          <w:rFonts w:hAnsi="宋体"/>
          <w:szCs w:val="21"/>
        </w:rPr>
      </w:pPr>
      <w:r>
        <w:rPr>
          <w:rFonts w:hint="eastAsia" w:ascii="宋体" w:hAnsi="宋体" w:cs="宋体"/>
          <w:szCs w:val="21"/>
        </w:rPr>
        <w:t>21.2 商务及技术文件</w:t>
      </w:r>
      <w:r>
        <w:rPr>
          <w:rFonts w:hint="eastAsia" w:ascii="宋体"/>
          <w:szCs w:val="21"/>
        </w:rPr>
        <w:t>（包括但不限于）</w:t>
      </w:r>
    </w:p>
    <w:p>
      <w:pPr>
        <w:spacing w:line="400" w:lineRule="exact"/>
        <w:ind w:firstLine="417" w:firstLineChars="199"/>
        <w:rPr>
          <w:rFonts w:ascii="宋体" w:hAnsi="宋体"/>
          <w:szCs w:val="21"/>
        </w:rPr>
      </w:pPr>
      <w:r>
        <w:rPr>
          <w:rFonts w:hint="eastAsia" w:ascii="宋体" w:hAnsi="宋体"/>
          <w:szCs w:val="21"/>
        </w:rPr>
        <w:t>（1）投标书（投标文件格式五）</w:t>
      </w:r>
    </w:p>
    <w:p>
      <w:pPr>
        <w:spacing w:line="400" w:lineRule="exact"/>
        <w:ind w:firstLine="417" w:firstLineChars="199"/>
        <w:rPr>
          <w:rFonts w:ascii="宋体" w:hAnsi="宋体"/>
          <w:szCs w:val="21"/>
        </w:rPr>
      </w:pPr>
      <w:r>
        <w:rPr>
          <w:rFonts w:hint="eastAsia" w:ascii="宋体" w:hAnsi="宋体"/>
          <w:szCs w:val="21"/>
        </w:rPr>
        <w:t>（2）投标分项报价表（投标文件格式六）</w:t>
      </w:r>
    </w:p>
    <w:p>
      <w:pPr>
        <w:spacing w:line="400" w:lineRule="exact"/>
        <w:ind w:firstLine="417" w:firstLineChars="199"/>
        <w:rPr>
          <w:rFonts w:ascii="宋体" w:hAnsi="宋体"/>
          <w:szCs w:val="21"/>
        </w:rPr>
      </w:pPr>
      <w:r>
        <w:rPr>
          <w:rFonts w:hint="eastAsia" w:ascii="宋体" w:hAnsi="宋体"/>
          <w:szCs w:val="21"/>
        </w:rPr>
        <w:t>（3）货物说明一览表（投标文件格式七）</w:t>
      </w:r>
    </w:p>
    <w:p>
      <w:pPr>
        <w:spacing w:line="400" w:lineRule="exact"/>
        <w:ind w:firstLine="417" w:firstLineChars="199"/>
        <w:rPr>
          <w:rFonts w:ascii="宋体" w:hAnsi="宋体"/>
          <w:szCs w:val="21"/>
        </w:rPr>
      </w:pPr>
      <w:r>
        <w:rPr>
          <w:rFonts w:hint="eastAsia" w:ascii="宋体" w:hAnsi="宋体"/>
          <w:szCs w:val="21"/>
        </w:rPr>
        <w:t>（4）技术规格偏离表（投标文件格式八）</w:t>
      </w:r>
    </w:p>
    <w:p>
      <w:pPr>
        <w:spacing w:line="400" w:lineRule="exact"/>
        <w:ind w:firstLine="417" w:firstLineChars="199"/>
        <w:rPr>
          <w:rFonts w:ascii="宋体" w:hAnsi="宋体"/>
          <w:szCs w:val="21"/>
        </w:rPr>
      </w:pPr>
      <w:r>
        <w:rPr>
          <w:rFonts w:hint="eastAsia" w:ascii="宋体" w:hAnsi="宋体"/>
          <w:szCs w:val="21"/>
        </w:rPr>
        <w:t>（5）商务条款偏离表（投标文件格式九）</w:t>
      </w:r>
    </w:p>
    <w:p>
      <w:pPr>
        <w:spacing w:line="400" w:lineRule="exact"/>
        <w:ind w:firstLine="417" w:firstLineChars="199"/>
        <w:rPr>
          <w:rFonts w:ascii="宋体" w:hAnsi="宋体"/>
          <w:szCs w:val="21"/>
        </w:rPr>
      </w:pPr>
      <w:r>
        <w:rPr>
          <w:rFonts w:hint="eastAsia" w:ascii="宋体" w:hAnsi="宋体"/>
          <w:szCs w:val="21"/>
        </w:rPr>
        <w:t>（6）符合《政府采购促进中小企业发展暂行办法》、《关于政府采购支持监狱企业发展有关问题的通知》和《三部门联合发布关于促进残疾人就业政府采购政策的通知》条件的投标人提交）</w:t>
      </w:r>
    </w:p>
    <w:p>
      <w:pPr>
        <w:spacing w:line="400" w:lineRule="exact"/>
        <w:ind w:firstLine="417" w:firstLineChars="199"/>
        <w:rPr>
          <w:rFonts w:ascii="宋体" w:hAnsi="宋体"/>
          <w:szCs w:val="21"/>
        </w:rPr>
      </w:pPr>
      <w:r>
        <w:rPr>
          <w:rFonts w:hint="eastAsia" w:ascii="宋体" w:hAnsi="宋体"/>
          <w:szCs w:val="21"/>
        </w:rPr>
        <w:t>6-1《投标人企业（单位）类型声明函》（投标文件格式十）</w:t>
      </w:r>
    </w:p>
    <w:p>
      <w:pPr>
        <w:spacing w:line="400" w:lineRule="exact"/>
        <w:ind w:firstLine="417" w:firstLineChars="199"/>
        <w:rPr>
          <w:rFonts w:ascii="宋体" w:hAnsi="宋体"/>
          <w:szCs w:val="21"/>
        </w:rPr>
      </w:pPr>
      <w:r>
        <w:rPr>
          <w:rFonts w:hint="eastAsia" w:ascii="宋体" w:hAnsi="宋体"/>
          <w:szCs w:val="21"/>
        </w:rPr>
        <w:t>6-2《制造商投标人企业（单位）类型声明函》（投标文件格式十一）</w:t>
      </w:r>
    </w:p>
    <w:p>
      <w:pPr>
        <w:spacing w:line="400" w:lineRule="exact"/>
        <w:ind w:firstLine="417" w:firstLineChars="199"/>
        <w:rPr>
          <w:rFonts w:ascii="宋体" w:hAnsi="宋体"/>
          <w:szCs w:val="21"/>
        </w:rPr>
      </w:pPr>
      <w:r>
        <w:rPr>
          <w:rFonts w:hint="eastAsia" w:ascii="宋体" w:hAnsi="宋体"/>
          <w:szCs w:val="21"/>
        </w:rPr>
        <w:t>6-3《残疾人福利性单位声明函》（投标文件格式十二）</w:t>
      </w:r>
    </w:p>
    <w:p>
      <w:pPr>
        <w:spacing w:line="400" w:lineRule="exact"/>
        <w:ind w:firstLine="417" w:firstLineChars="199"/>
        <w:rPr>
          <w:rFonts w:ascii="宋体" w:hAnsi="宋体"/>
          <w:szCs w:val="21"/>
        </w:rPr>
      </w:pPr>
      <w:r>
        <w:rPr>
          <w:rFonts w:hint="eastAsia" w:ascii="宋体" w:hAnsi="宋体"/>
          <w:szCs w:val="21"/>
        </w:rPr>
        <w:t>（7）投标人关联单位的说明（格式自拟）</w:t>
      </w:r>
    </w:p>
    <w:p>
      <w:pPr>
        <w:spacing w:line="400" w:lineRule="exact"/>
        <w:ind w:firstLine="417" w:firstLineChars="199"/>
        <w:rPr>
          <w:rFonts w:ascii="宋体" w:hAnsi="宋体"/>
          <w:szCs w:val="21"/>
        </w:rPr>
      </w:pPr>
      <w:r>
        <w:rPr>
          <w:rFonts w:hint="eastAsia" w:ascii="宋体" w:hAnsi="宋体"/>
          <w:szCs w:val="21"/>
        </w:rPr>
        <w:t>（8）评分标准和细则中技术部分证明材料（格式自拟）</w:t>
      </w:r>
    </w:p>
    <w:p>
      <w:pPr>
        <w:spacing w:line="400" w:lineRule="exact"/>
        <w:ind w:firstLine="424" w:firstLineChars="202"/>
        <w:rPr>
          <w:rFonts w:ascii="宋体"/>
          <w:szCs w:val="21"/>
        </w:rPr>
      </w:pPr>
      <w:r>
        <w:rPr>
          <w:rFonts w:hint="eastAsia" w:ascii="宋体"/>
          <w:szCs w:val="21"/>
        </w:rPr>
        <w:t>（9）</w:t>
      </w:r>
      <w:r>
        <w:rPr>
          <w:rFonts w:hint="eastAsia" w:ascii="宋体" w:hAnsi="宋体"/>
          <w:szCs w:val="21"/>
        </w:rPr>
        <w:t>评分标准和细则中商务部分证明材料（格式自拟）</w:t>
      </w:r>
    </w:p>
    <w:p>
      <w:pPr>
        <w:spacing w:line="400" w:lineRule="exact"/>
        <w:ind w:firstLine="417" w:firstLineChars="199"/>
        <w:rPr>
          <w:rFonts w:ascii="宋体"/>
          <w:szCs w:val="21"/>
        </w:rPr>
      </w:pPr>
      <w:r>
        <w:rPr>
          <w:rFonts w:hint="eastAsia" w:ascii="宋体"/>
          <w:szCs w:val="21"/>
        </w:rPr>
        <w:t>（10）投标人认为有必要提供的其他证明材料（格式自拟）</w:t>
      </w:r>
      <w:r>
        <w:rPr>
          <w:rFonts w:hint="eastAsia" w:ascii="宋体" w:hAnsi="宋体" w:cs="宋体"/>
          <w:kern w:val="0"/>
          <w:szCs w:val="21"/>
          <w:u w:val="single"/>
        </w:rPr>
        <w:t>注：以上材料须逐页加盖单位公章。</w:t>
      </w:r>
    </w:p>
    <w:p>
      <w:pPr>
        <w:spacing w:line="400" w:lineRule="exact"/>
        <w:ind w:firstLine="417" w:firstLineChars="199"/>
        <w:outlineLvl w:val="4"/>
        <w:rPr>
          <w:rFonts w:ascii="宋体" w:hAnsi="宋体"/>
          <w:szCs w:val="21"/>
        </w:rPr>
      </w:pPr>
      <w:r>
        <w:rPr>
          <w:rFonts w:hint="eastAsia" w:ascii="宋体"/>
          <w:szCs w:val="21"/>
        </w:rPr>
        <w:t>21.3</w:t>
      </w:r>
      <w:r>
        <w:rPr>
          <w:rFonts w:hint="eastAsia" w:ascii="宋体" w:hAnsi="宋体"/>
          <w:szCs w:val="21"/>
        </w:rPr>
        <w:t>投标文件的要求</w:t>
      </w:r>
    </w:p>
    <w:p>
      <w:pPr>
        <w:spacing w:line="400" w:lineRule="exact"/>
        <w:ind w:firstLine="417" w:firstLineChars="199"/>
        <w:rPr>
          <w:rFonts w:ascii="宋体" w:hAnsi="宋体"/>
          <w:szCs w:val="21"/>
        </w:rPr>
      </w:pPr>
      <w:r>
        <w:rPr>
          <w:rFonts w:hint="eastAsia" w:ascii="宋体" w:hAnsi="宋体"/>
          <w:szCs w:val="21"/>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pacing w:line="400" w:lineRule="exact"/>
        <w:ind w:firstLine="417" w:firstLineChars="199"/>
        <w:rPr>
          <w:rFonts w:ascii="宋体" w:hAnsi="宋体"/>
          <w:szCs w:val="21"/>
        </w:rPr>
      </w:pPr>
      <w:r>
        <w:rPr>
          <w:rFonts w:hint="eastAsia" w:ascii="宋体" w:hAnsi="宋体"/>
          <w:szCs w:val="21"/>
        </w:rPr>
        <w:t>（2）投标文件格式应按本采购文件第六章格式要求编制，不得对采购文件格式进行增删更改，否则按无效标处理。</w:t>
      </w:r>
    </w:p>
    <w:p>
      <w:pPr>
        <w:spacing w:line="400" w:lineRule="exact"/>
        <w:ind w:firstLine="417" w:firstLineChars="199"/>
        <w:rPr>
          <w:rFonts w:ascii="宋体" w:hAnsi="宋体"/>
          <w:szCs w:val="21"/>
        </w:rPr>
      </w:pPr>
      <w:r>
        <w:rPr>
          <w:rFonts w:hint="eastAsia" w:ascii="宋体" w:hAnsi="宋体"/>
          <w:szCs w:val="21"/>
        </w:rPr>
        <w:t xml:space="preserve">（3）对采购文件格式可更改的例外情况：采购文件第六章附件格式要求中明确规定表格中行数不够用时可按相同格式增加行数，其他一切内容和格式不得更改。 </w:t>
      </w:r>
    </w:p>
    <w:p>
      <w:pPr>
        <w:spacing w:line="400" w:lineRule="exact"/>
        <w:ind w:firstLine="417" w:firstLineChars="199"/>
        <w:rPr>
          <w:rFonts w:ascii="宋体" w:hAnsi="宋体"/>
          <w:szCs w:val="21"/>
        </w:rPr>
      </w:pPr>
      <w:r>
        <w:rPr>
          <w:rFonts w:hint="eastAsia" w:ascii="宋体" w:hAnsi="宋体"/>
          <w:szCs w:val="21"/>
        </w:rPr>
        <w:t>（4）投标文件为电子投标文件，电子投标文件按“政采云供应商项目采购-电子招投标操作指南”及本采购文件要求制作、加密传输。</w:t>
      </w:r>
    </w:p>
    <w:p>
      <w:pPr>
        <w:spacing w:line="400" w:lineRule="exact"/>
        <w:ind w:firstLine="417" w:firstLineChars="199"/>
        <w:rPr>
          <w:rFonts w:ascii="宋体"/>
          <w:szCs w:val="21"/>
        </w:rPr>
      </w:pPr>
      <w:r>
        <w:rPr>
          <w:rFonts w:hint="eastAsia" w:ascii="宋体" w:hAnsi="宋体"/>
          <w:szCs w:val="21"/>
        </w:rPr>
        <w:t>（5）投标文件未在投标截止时间前完成传输的，视为投标文件撤回；投标文件未按时解密也未提供备份投标文件的，亦视为投标文件撤回。</w:t>
      </w:r>
    </w:p>
    <w:p>
      <w:pPr>
        <w:spacing w:line="440" w:lineRule="exact"/>
        <w:ind w:firstLine="420" w:firstLineChars="200"/>
        <w:outlineLvl w:val="3"/>
        <w:rPr>
          <w:rFonts w:ascii="宋体"/>
          <w:szCs w:val="21"/>
        </w:rPr>
      </w:pPr>
      <w:r>
        <w:rPr>
          <w:rFonts w:hint="eastAsia" w:ascii="宋体"/>
          <w:szCs w:val="21"/>
        </w:rPr>
        <w:t>22.投标报价</w:t>
      </w:r>
    </w:p>
    <w:p>
      <w:pPr>
        <w:spacing w:line="440" w:lineRule="exact"/>
        <w:ind w:firstLine="420" w:firstLineChars="200"/>
        <w:outlineLvl w:val="4"/>
        <w:rPr>
          <w:rFonts w:ascii="宋体"/>
          <w:szCs w:val="21"/>
        </w:rPr>
      </w:pPr>
      <w:r>
        <w:rPr>
          <w:rFonts w:hint="eastAsia" w:ascii="宋体"/>
          <w:szCs w:val="21"/>
        </w:rPr>
        <w:t>22.1投标报价文件中的单价和总价全部采用人民币表示。</w:t>
      </w:r>
    </w:p>
    <w:p>
      <w:pPr>
        <w:spacing w:line="440" w:lineRule="exact"/>
        <w:ind w:firstLine="420" w:firstLineChars="200"/>
        <w:rPr>
          <w:rFonts w:ascii="宋体"/>
          <w:szCs w:val="21"/>
        </w:rPr>
      </w:pPr>
      <w:r>
        <w:rPr>
          <w:rFonts w:hint="eastAsia" w:ascii="宋体"/>
          <w:szCs w:val="21"/>
        </w:rPr>
        <w:t>22.2投标报价表上应清楚地标明投标人拟提供货物的名称、型号、生产厂家、数量、单价和总价。</w:t>
      </w:r>
    </w:p>
    <w:p>
      <w:pPr>
        <w:spacing w:line="440" w:lineRule="exact"/>
        <w:ind w:firstLine="420" w:firstLineChars="200"/>
        <w:outlineLvl w:val="4"/>
        <w:rPr>
          <w:rFonts w:ascii="宋体"/>
          <w:szCs w:val="21"/>
        </w:rPr>
      </w:pPr>
      <w:r>
        <w:rPr>
          <w:rFonts w:hint="eastAsia" w:ascii="宋体"/>
          <w:szCs w:val="21"/>
        </w:rPr>
        <w:t>22.3投标人只允许有一个方案、一个报价。</w:t>
      </w:r>
    </w:p>
    <w:p>
      <w:pPr>
        <w:spacing w:line="540" w:lineRule="exact"/>
        <w:ind w:firstLine="420" w:firstLineChars="200"/>
        <w:rPr>
          <w:rFonts w:ascii="宋体"/>
          <w:szCs w:val="21"/>
        </w:rPr>
      </w:pPr>
      <w:r>
        <w:rPr>
          <w:rFonts w:hint="eastAsia" w:ascii="宋体"/>
          <w:szCs w:val="21"/>
        </w:rPr>
        <w:t>22.4</w:t>
      </w:r>
      <w:r>
        <w:rPr>
          <w:rFonts w:hint="eastAsia" w:ascii="宋体" w:hAnsi="宋体" w:cs="宋体"/>
          <w:szCs w:val="21"/>
        </w:rPr>
        <w:t>本次报价为人民币报价，</w:t>
      </w:r>
      <w:r>
        <w:rPr>
          <w:rFonts w:hint="eastAsia" w:ascii="宋体" w:hAnsi="宋体" w:cs="宋体"/>
          <w:kern w:val="0"/>
          <w:szCs w:val="21"/>
        </w:rPr>
        <w:t>投标报价应包括：货物本身价格、包装费、运输费、二次搬运费、安装费、损耗、技术指导、培训费、软件升级费、税金费用、伴随产品备品备件费、专用工具费、伴随产品资料费、技术服务费、技术考察费、人工及辅材费、代理费、自检费及验收合格前和质保期内发生的一切费用、应当提供的伴随服务/售后服务费用。因中标供应商自身原因造成漏报、少报皆由其自行承担责任，采购人不再补偿。</w:t>
      </w:r>
    </w:p>
    <w:p>
      <w:pPr>
        <w:spacing w:line="440" w:lineRule="exact"/>
        <w:ind w:firstLine="420" w:firstLineChars="200"/>
        <w:rPr>
          <w:rFonts w:ascii="宋体"/>
          <w:szCs w:val="21"/>
        </w:rPr>
      </w:pPr>
      <w:r>
        <w:rPr>
          <w:rFonts w:hint="eastAsia" w:ascii="宋体"/>
          <w:szCs w:val="21"/>
        </w:rPr>
        <w:t>22.5投标报价的价格是货物交货地验收价格，其总价即为履行合同的固定总价。</w:t>
      </w:r>
    </w:p>
    <w:p>
      <w:pPr>
        <w:spacing w:line="440" w:lineRule="exact"/>
        <w:ind w:firstLine="420" w:firstLineChars="200"/>
        <w:rPr>
          <w:rFonts w:ascii="宋体"/>
          <w:szCs w:val="21"/>
        </w:rPr>
      </w:pPr>
      <w:r>
        <w:rPr>
          <w:rFonts w:hint="eastAsia" w:ascii="宋体"/>
          <w:szCs w:val="21"/>
        </w:rPr>
        <w:t>22.6技术要求中规定的安装、调试和培训费用应包括在投标价格中。投标文件报价为含税价，招标人不再为此次招标支付任何费用。</w:t>
      </w:r>
    </w:p>
    <w:p>
      <w:pPr>
        <w:spacing w:line="440" w:lineRule="exact"/>
        <w:ind w:firstLine="420" w:firstLineChars="200"/>
        <w:outlineLvl w:val="4"/>
        <w:rPr>
          <w:rFonts w:ascii="宋体"/>
          <w:szCs w:val="21"/>
        </w:rPr>
      </w:pPr>
      <w:r>
        <w:rPr>
          <w:rFonts w:hint="eastAsia" w:ascii="宋体"/>
          <w:szCs w:val="21"/>
        </w:rPr>
        <w:t>22.7投标报价应由法定代表人或被授权人签署。</w:t>
      </w:r>
    </w:p>
    <w:p>
      <w:pPr>
        <w:spacing w:line="440" w:lineRule="exact"/>
        <w:ind w:firstLine="420" w:firstLineChars="200"/>
        <w:rPr>
          <w:rFonts w:ascii="宋体"/>
          <w:szCs w:val="21"/>
        </w:rPr>
      </w:pPr>
      <w:r>
        <w:rPr>
          <w:rFonts w:hint="eastAsia" w:ascii="宋体"/>
          <w:szCs w:val="21"/>
        </w:rPr>
        <w:t>22.8</w:t>
      </w:r>
      <w:r>
        <w:rPr>
          <w:rFonts w:hint="eastAsia" w:ascii="宋体" w:hAnsi="宋体"/>
          <w:szCs w:val="21"/>
        </w:rPr>
        <w:t>投标人投标总报价，不得高于本次招标设置的最高限价，否则将作为无效投标处理。</w:t>
      </w:r>
    </w:p>
    <w:p>
      <w:pPr>
        <w:spacing w:line="440" w:lineRule="exact"/>
        <w:ind w:firstLine="420" w:firstLineChars="200"/>
        <w:rPr>
          <w:rFonts w:ascii="宋体"/>
          <w:szCs w:val="21"/>
        </w:rPr>
      </w:pPr>
      <w:r>
        <w:rPr>
          <w:rFonts w:hint="eastAsia" w:ascii="宋体"/>
          <w:szCs w:val="21"/>
        </w:rPr>
        <w:t>22.9如投标文件中未列明全面实现投标货物功能而必须配置的配套或辅助设施及相应技术措施的费用，这些费用将被视为已包含在总投标价中。</w:t>
      </w:r>
    </w:p>
    <w:p>
      <w:pPr>
        <w:spacing w:line="440" w:lineRule="exact"/>
        <w:ind w:firstLine="420" w:firstLineChars="200"/>
        <w:rPr>
          <w:rFonts w:ascii="宋体"/>
          <w:szCs w:val="21"/>
        </w:rPr>
      </w:pPr>
      <w:r>
        <w:rPr>
          <w:rFonts w:hint="eastAsia" w:ascii="宋体"/>
          <w:szCs w:val="21"/>
        </w:rPr>
        <w:t>22.10总投标价中不得包含采购文件要求以外的内容，否则，在评标时不予核减，但在授予合同时，招标人有权将这部分价格从其中标价格中扣除。</w:t>
      </w:r>
    </w:p>
    <w:p>
      <w:pPr>
        <w:spacing w:line="440" w:lineRule="exact"/>
        <w:ind w:firstLine="403" w:firstLineChars="192"/>
        <w:rPr>
          <w:rFonts w:ascii="宋体"/>
          <w:szCs w:val="21"/>
        </w:rPr>
      </w:pPr>
      <w:r>
        <w:rPr>
          <w:rFonts w:hint="eastAsia" w:ascii="宋体"/>
          <w:szCs w:val="21"/>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pPr>
        <w:spacing w:line="440" w:lineRule="exact"/>
        <w:ind w:firstLine="403" w:firstLineChars="192"/>
        <w:rPr>
          <w:rFonts w:ascii="宋体"/>
          <w:szCs w:val="21"/>
        </w:rPr>
      </w:pPr>
      <w:r>
        <w:rPr>
          <w:rFonts w:hint="eastAsia" w:ascii="宋体"/>
          <w:szCs w:val="21"/>
        </w:rPr>
        <w:t>22.12投标人不得对从第三方采购货物的随机备品、备件另行收费，否则在计算评标价时这部分费用将不予扣除，在授予合同时将从中标价格中扣除该部分费用。</w:t>
      </w:r>
    </w:p>
    <w:p>
      <w:pPr>
        <w:spacing w:line="440" w:lineRule="exact"/>
        <w:ind w:firstLine="403" w:firstLineChars="192"/>
        <w:rPr>
          <w:rFonts w:ascii="宋体"/>
          <w:szCs w:val="21"/>
        </w:rPr>
      </w:pPr>
      <w:r>
        <w:rPr>
          <w:rFonts w:hint="eastAsia" w:ascii="宋体"/>
          <w:szCs w:val="21"/>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pacing w:line="440" w:lineRule="exact"/>
        <w:ind w:firstLine="420" w:firstLineChars="200"/>
        <w:outlineLvl w:val="3"/>
        <w:rPr>
          <w:rFonts w:ascii="宋体"/>
          <w:szCs w:val="21"/>
        </w:rPr>
      </w:pPr>
      <w:r>
        <w:rPr>
          <w:rFonts w:hint="eastAsia" w:ascii="宋体"/>
          <w:szCs w:val="21"/>
        </w:rPr>
        <w:t>23. 投标有效期</w:t>
      </w:r>
    </w:p>
    <w:p>
      <w:pPr>
        <w:spacing w:line="440" w:lineRule="exact"/>
        <w:ind w:firstLine="420" w:firstLineChars="200"/>
        <w:outlineLvl w:val="4"/>
        <w:rPr>
          <w:rFonts w:ascii="宋体"/>
          <w:szCs w:val="21"/>
        </w:rPr>
      </w:pPr>
      <w:r>
        <w:rPr>
          <w:rFonts w:hint="eastAsia" w:ascii="宋体"/>
          <w:szCs w:val="21"/>
        </w:rPr>
        <w:t>23.1 除投标人须知前附表另有规定外，投标有效期为60天。</w:t>
      </w:r>
    </w:p>
    <w:p>
      <w:pPr>
        <w:spacing w:line="440" w:lineRule="exact"/>
        <w:ind w:firstLine="420" w:firstLineChars="200"/>
        <w:rPr>
          <w:rFonts w:ascii="宋体"/>
          <w:szCs w:val="21"/>
        </w:rPr>
      </w:pPr>
      <w:r>
        <w:rPr>
          <w:rFonts w:hint="eastAsia" w:ascii="宋体"/>
          <w:szCs w:val="21"/>
        </w:rPr>
        <w:t>23.2在投标有效期内，投标人撤销或修改其投标文件的，应承担采购文件和法律规定的责任。</w:t>
      </w:r>
    </w:p>
    <w:p>
      <w:pPr>
        <w:spacing w:line="440" w:lineRule="exact"/>
        <w:ind w:firstLine="420" w:firstLineChars="200"/>
        <w:rPr>
          <w:rFonts w:ascii="宋体"/>
          <w:szCs w:val="21"/>
        </w:rPr>
      </w:pPr>
      <w:r>
        <w:rPr>
          <w:rFonts w:hint="eastAsia" w:ascii="宋体"/>
          <w:szCs w:val="21"/>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440" w:lineRule="exact"/>
        <w:ind w:firstLine="403" w:firstLineChars="192"/>
        <w:outlineLvl w:val="3"/>
        <w:rPr>
          <w:rFonts w:ascii="宋体"/>
          <w:szCs w:val="21"/>
        </w:rPr>
      </w:pPr>
      <w:r>
        <w:rPr>
          <w:rFonts w:hint="eastAsia" w:ascii="宋体"/>
          <w:szCs w:val="21"/>
        </w:rPr>
        <w:t>24. 投标保证金</w:t>
      </w:r>
    </w:p>
    <w:p>
      <w:pPr>
        <w:spacing w:line="400" w:lineRule="exact"/>
        <w:ind w:firstLine="420" w:firstLineChars="200"/>
        <w:rPr>
          <w:rFonts w:ascii="宋体"/>
          <w:szCs w:val="21"/>
        </w:rPr>
      </w:pPr>
      <w:r>
        <w:rPr>
          <w:rFonts w:hint="eastAsia" w:ascii="宋体"/>
          <w:szCs w:val="21"/>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pacing w:line="400" w:lineRule="exact"/>
        <w:ind w:firstLine="420" w:firstLineChars="200"/>
        <w:rPr>
          <w:rFonts w:ascii="宋体"/>
          <w:szCs w:val="21"/>
        </w:rPr>
      </w:pPr>
      <w:r>
        <w:rPr>
          <w:rFonts w:hint="eastAsia" w:ascii="宋体"/>
          <w:szCs w:val="21"/>
        </w:rPr>
        <w:t>24.2自中标通知书发出之日起5个工作日内退还未中标投标人的投标保证金，自政府采购合同签订之日起5个工作日内退还中标人的投标保证金。</w:t>
      </w:r>
    </w:p>
    <w:p>
      <w:pPr>
        <w:spacing w:line="400" w:lineRule="exact"/>
        <w:ind w:firstLine="420" w:firstLineChars="200"/>
        <w:outlineLvl w:val="4"/>
        <w:rPr>
          <w:rFonts w:ascii="宋体"/>
          <w:szCs w:val="21"/>
        </w:rPr>
      </w:pPr>
      <w:r>
        <w:rPr>
          <w:rFonts w:hint="eastAsia" w:ascii="宋体"/>
          <w:szCs w:val="21"/>
        </w:rPr>
        <w:t xml:space="preserve">24.3有下列情形之一的，投标保证金将不予退还： </w:t>
      </w:r>
    </w:p>
    <w:p>
      <w:pPr>
        <w:spacing w:line="400" w:lineRule="exact"/>
        <w:ind w:firstLine="420" w:firstLineChars="200"/>
        <w:rPr>
          <w:rFonts w:ascii="宋体"/>
          <w:szCs w:val="21"/>
        </w:rPr>
      </w:pPr>
      <w:r>
        <w:rPr>
          <w:rFonts w:hint="eastAsia" w:ascii="宋体"/>
          <w:szCs w:val="21"/>
        </w:rPr>
        <w:t>（1）投标人在规定的投标有效期内撤回或修改其投标文件；</w:t>
      </w:r>
    </w:p>
    <w:p>
      <w:pPr>
        <w:spacing w:line="400" w:lineRule="exact"/>
        <w:ind w:firstLine="420" w:firstLineChars="200"/>
        <w:rPr>
          <w:rFonts w:ascii="宋体"/>
          <w:szCs w:val="21"/>
        </w:rPr>
      </w:pPr>
      <w:r>
        <w:rPr>
          <w:rFonts w:hint="eastAsia" w:ascii="宋体"/>
          <w:szCs w:val="21"/>
        </w:rPr>
        <w:t>（2）中标通知书发出后三十天内，中标人无正当理由拒签合同协议书或未按采购文件规定提交履约担保。</w:t>
      </w:r>
    </w:p>
    <w:p>
      <w:pPr>
        <w:spacing w:line="400" w:lineRule="exact"/>
        <w:ind w:firstLine="420" w:firstLineChars="200"/>
        <w:rPr>
          <w:rFonts w:ascii="宋体"/>
          <w:szCs w:val="21"/>
        </w:rPr>
      </w:pPr>
      <w:r>
        <w:rPr>
          <w:rFonts w:hint="eastAsia" w:ascii="宋体"/>
          <w:szCs w:val="21"/>
        </w:rPr>
        <w:t>（3）提供虚假材料谋取中标的；</w:t>
      </w:r>
    </w:p>
    <w:p>
      <w:pPr>
        <w:spacing w:line="400" w:lineRule="exact"/>
        <w:ind w:firstLine="420" w:firstLineChars="200"/>
        <w:rPr>
          <w:rFonts w:ascii="宋体"/>
          <w:szCs w:val="21"/>
        </w:rPr>
      </w:pPr>
      <w:r>
        <w:rPr>
          <w:rFonts w:hint="eastAsia" w:ascii="宋体"/>
          <w:szCs w:val="21"/>
        </w:rPr>
        <w:t>（4）经查实属于陪标、串通投标的等。</w:t>
      </w:r>
    </w:p>
    <w:p>
      <w:pPr>
        <w:spacing w:line="440" w:lineRule="exact"/>
        <w:ind w:firstLine="420" w:firstLineChars="200"/>
        <w:outlineLvl w:val="4"/>
        <w:rPr>
          <w:rFonts w:ascii="宋体"/>
          <w:szCs w:val="21"/>
        </w:rPr>
      </w:pPr>
      <w:r>
        <w:rPr>
          <w:rFonts w:hint="eastAsia" w:ascii="宋体"/>
          <w:szCs w:val="21"/>
        </w:rPr>
        <w:t>24.4投标保证金按投标人须知前附表第24条规定执行。</w:t>
      </w:r>
    </w:p>
    <w:p>
      <w:pPr>
        <w:spacing w:line="440" w:lineRule="exact"/>
        <w:ind w:firstLine="2240" w:firstLineChars="800"/>
        <w:jc w:val="center"/>
        <w:outlineLvl w:val="2"/>
        <w:rPr>
          <w:rFonts w:ascii="宋体" w:hAnsi="宋体" w:cs="宋体"/>
          <w:szCs w:val="21"/>
        </w:rPr>
      </w:pPr>
      <w:r>
        <w:rPr>
          <w:rFonts w:hint="eastAsia" w:ascii="宋体" w:hAnsi="宋体" w:cs="宋体"/>
          <w:sz w:val="28"/>
          <w:szCs w:val="28"/>
        </w:rPr>
        <w:t>（四）投标文件的制作、上传及递交要求</w:t>
      </w:r>
    </w:p>
    <w:p>
      <w:pPr>
        <w:snapToGrid w:val="0"/>
        <w:spacing w:line="360" w:lineRule="auto"/>
        <w:ind w:firstLine="420" w:firstLineChars="200"/>
        <w:rPr>
          <w:rFonts w:ascii="宋体" w:hAnsi="宋体" w:cs="宋体"/>
          <w:szCs w:val="21"/>
        </w:rPr>
      </w:pPr>
    </w:p>
    <w:p>
      <w:pPr>
        <w:snapToGrid w:val="0"/>
        <w:spacing w:line="360" w:lineRule="auto"/>
        <w:ind w:firstLine="420" w:firstLineChars="200"/>
        <w:outlineLvl w:val="3"/>
        <w:rPr>
          <w:rFonts w:ascii="宋体" w:hAnsi="宋体" w:cs="宋体"/>
          <w:szCs w:val="21"/>
        </w:rPr>
      </w:pPr>
      <w:r>
        <w:rPr>
          <w:rFonts w:hint="eastAsia" w:ascii="宋体" w:hAnsi="宋体" w:cs="宋体"/>
          <w:szCs w:val="21"/>
        </w:rPr>
        <w:t>25.投标文件的制作要求</w:t>
      </w:r>
    </w:p>
    <w:p>
      <w:pPr>
        <w:pStyle w:val="6"/>
        <w:snapToGrid w:val="0"/>
        <w:spacing w:line="360" w:lineRule="auto"/>
        <w:rPr>
          <w:rFonts w:ascii="宋体" w:hAnsi="宋体" w:cs="宋体"/>
          <w:sz w:val="21"/>
          <w:szCs w:val="21"/>
        </w:rPr>
      </w:pPr>
      <w:r>
        <w:rPr>
          <w:rFonts w:hint="eastAsia" w:ascii="宋体" w:hAnsi="宋体" w:cs="宋体"/>
          <w:sz w:val="21"/>
          <w:szCs w:val="21"/>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pPr>
        <w:pStyle w:val="6"/>
        <w:snapToGrid w:val="0"/>
        <w:spacing w:line="360" w:lineRule="auto"/>
        <w:ind w:firstLine="420" w:firstLineChars="200"/>
        <w:rPr>
          <w:rFonts w:ascii="宋体" w:hAnsi="宋体" w:cs="宋体"/>
          <w:sz w:val="21"/>
          <w:szCs w:val="21"/>
        </w:rPr>
      </w:pPr>
      <w:r>
        <w:rPr>
          <w:rFonts w:hint="eastAsia" w:ascii="宋体" w:hAnsi="宋体" w:cs="宋体"/>
          <w:sz w:val="21"/>
          <w:szCs w:val="21"/>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6"/>
        <w:snapToGrid w:val="0"/>
        <w:spacing w:line="360" w:lineRule="auto"/>
        <w:ind w:firstLine="420" w:firstLineChars="200"/>
        <w:rPr>
          <w:rFonts w:ascii="宋体" w:hAnsi="宋体" w:cs="宋体"/>
          <w:sz w:val="21"/>
          <w:szCs w:val="21"/>
        </w:rPr>
      </w:pPr>
      <w:r>
        <w:rPr>
          <w:rFonts w:hint="eastAsia" w:ascii="宋体" w:hAnsi="宋体" w:cs="宋体"/>
          <w:sz w:val="21"/>
          <w:szCs w:val="21"/>
        </w:rPr>
        <w:t>备份电子投标文件：通过“政采云”平台电子投标工具制作投标文件所产生的备份文件。</w:t>
      </w:r>
    </w:p>
    <w:p>
      <w:pPr>
        <w:pStyle w:val="6"/>
        <w:snapToGrid w:val="0"/>
        <w:spacing w:line="360" w:lineRule="auto"/>
        <w:rPr>
          <w:rFonts w:ascii="宋体" w:hAnsi="宋体" w:cs="宋体"/>
          <w:sz w:val="21"/>
          <w:szCs w:val="21"/>
        </w:rPr>
      </w:pPr>
      <w:r>
        <w:rPr>
          <w:rFonts w:hint="eastAsia" w:ascii="宋体" w:hAnsi="宋体" w:cs="宋体"/>
          <w:sz w:val="21"/>
          <w:szCs w:val="21"/>
        </w:rPr>
        <w:t>（2）供应商应对所提供的全部资料的真实性、有效性承担法律责任，电子投标文件中所须加盖公章部分均采用CA签章。</w:t>
      </w:r>
    </w:p>
    <w:p>
      <w:pPr>
        <w:pStyle w:val="6"/>
        <w:snapToGrid w:val="0"/>
        <w:spacing w:line="360" w:lineRule="auto"/>
        <w:rPr>
          <w:rFonts w:ascii="宋体" w:hAnsi="宋体" w:cs="宋体"/>
          <w:sz w:val="21"/>
          <w:szCs w:val="21"/>
        </w:rPr>
      </w:pPr>
      <w:r>
        <w:rPr>
          <w:rFonts w:hint="eastAsia" w:ascii="宋体" w:hAnsi="宋体" w:cs="宋体"/>
          <w:sz w:val="21"/>
          <w:szCs w:val="21"/>
        </w:rPr>
        <w:t>（3）投标文件以及供应商与采购组织机构就有关投标事宜的所有来往函电，均应以中文汉语书写。除签字、盖章、专用名称等特殊情形外，以中文汉语以外的文字表述的投标文件视同未提供。</w:t>
      </w:r>
    </w:p>
    <w:p>
      <w:pPr>
        <w:pStyle w:val="6"/>
        <w:snapToGrid w:val="0"/>
        <w:spacing w:line="360" w:lineRule="auto"/>
        <w:rPr>
          <w:rFonts w:ascii="宋体" w:hAnsi="宋体" w:cs="宋体"/>
          <w:sz w:val="21"/>
          <w:szCs w:val="21"/>
        </w:rPr>
      </w:pPr>
      <w:r>
        <w:rPr>
          <w:rFonts w:hint="eastAsia" w:ascii="宋体" w:hAnsi="宋体" w:cs="宋体"/>
          <w:sz w:val="21"/>
          <w:szCs w:val="21"/>
        </w:rPr>
        <w:t>（4）投标计量单位，采购文件已有明确规定的，使用采购文件规定的计量单位；采购文件没有规定的，应采用中华人民共和国法定计量单位（货币单位：人民币元）。</w:t>
      </w:r>
    </w:p>
    <w:p>
      <w:pPr>
        <w:pStyle w:val="6"/>
        <w:snapToGrid w:val="0"/>
        <w:spacing w:line="360" w:lineRule="auto"/>
        <w:rPr>
          <w:rFonts w:ascii="宋体" w:hAnsi="宋体" w:cs="宋体"/>
          <w:sz w:val="21"/>
          <w:szCs w:val="21"/>
        </w:rPr>
      </w:pPr>
      <w:r>
        <w:rPr>
          <w:rFonts w:hint="eastAsia" w:ascii="宋体" w:hAnsi="宋体" w:cs="宋体"/>
          <w:sz w:val="21"/>
          <w:szCs w:val="21"/>
        </w:rPr>
        <w:t>（5）若供应商不按采购文件的要求提供资格审查材料，其风险由供应商自行承担。</w:t>
      </w:r>
    </w:p>
    <w:p>
      <w:pPr>
        <w:pStyle w:val="6"/>
        <w:snapToGrid w:val="0"/>
        <w:spacing w:line="360" w:lineRule="auto"/>
        <w:rPr>
          <w:rFonts w:ascii="宋体" w:hAnsi="宋体" w:cs="宋体"/>
          <w:sz w:val="21"/>
          <w:szCs w:val="21"/>
        </w:rPr>
      </w:pPr>
      <w:r>
        <w:rPr>
          <w:rFonts w:hint="eastAsia" w:ascii="宋体" w:hAnsi="宋体" w:cs="宋体"/>
          <w:sz w:val="21"/>
          <w:szCs w:val="21"/>
        </w:rPr>
        <w:t>（6）与本次投标无关的内容请不要制作在内，确保投标文件有针对性、简洁明了。</w:t>
      </w:r>
    </w:p>
    <w:p>
      <w:pPr>
        <w:snapToGrid w:val="0"/>
        <w:spacing w:line="360" w:lineRule="auto"/>
        <w:ind w:firstLine="420" w:firstLineChars="200"/>
        <w:outlineLvl w:val="3"/>
        <w:rPr>
          <w:rFonts w:ascii="宋体" w:hAnsi="宋体" w:cs="宋体"/>
          <w:szCs w:val="21"/>
        </w:rPr>
      </w:pPr>
      <w:r>
        <w:rPr>
          <w:rFonts w:hint="eastAsia" w:ascii="宋体" w:hAnsi="宋体" w:cs="宋体"/>
          <w:szCs w:val="21"/>
        </w:rPr>
        <w:t>26.投标文件的上传</w:t>
      </w:r>
    </w:p>
    <w:p>
      <w:pPr>
        <w:pStyle w:val="6"/>
        <w:snapToGrid w:val="0"/>
        <w:spacing w:line="360" w:lineRule="auto"/>
        <w:outlineLvl w:val="4"/>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bidi="zh-CN"/>
        </w:rPr>
        <w:t>电子加密投标文件（“.jmbs”格式）</w:t>
      </w:r>
      <w:r>
        <w:rPr>
          <w:rFonts w:hint="eastAsia" w:ascii="宋体" w:hAnsi="宋体" w:cs="宋体"/>
          <w:sz w:val="21"/>
          <w:szCs w:val="21"/>
        </w:rPr>
        <w:t>：</w:t>
      </w:r>
    </w:p>
    <w:p>
      <w:pPr>
        <w:pStyle w:val="6"/>
        <w:snapToGrid w:val="0"/>
        <w:spacing w:line="360" w:lineRule="auto"/>
        <w:ind w:firstLine="525" w:firstLineChars="250"/>
        <w:rPr>
          <w:rFonts w:ascii="宋体" w:hAnsi="宋体" w:cs="宋体"/>
          <w:sz w:val="21"/>
          <w:szCs w:val="21"/>
          <w:lang w:bidi="zh-CN"/>
        </w:rPr>
      </w:pPr>
      <w:r>
        <w:rPr>
          <w:rFonts w:hint="eastAsia" w:ascii="宋体" w:hAnsi="宋体" w:cs="宋体"/>
          <w:sz w:val="21"/>
          <w:szCs w:val="21"/>
          <w:lang w:bidi="zh-CN"/>
        </w:rPr>
        <w:t>a.</w:t>
      </w:r>
      <w:r>
        <w:rPr>
          <w:rFonts w:hint="eastAsia" w:ascii="宋体" w:hAnsi="宋体" w:cs="宋体"/>
          <w:sz w:val="21"/>
          <w:szCs w:val="21"/>
        </w:rPr>
        <w:t xml:space="preserve"> </w:t>
      </w:r>
      <w:r>
        <w:rPr>
          <w:rFonts w:hint="eastAsia" w:ascii="宋体" w:hAnsi="宋体" w:cs="宋体"/>
          <w:sz w:val="21"/>
          <w:szCs w:val="21"/>
          <w:lang w:bidi="zh-CN"/>
        </w:rPr>
        <w:t>供应商应在投标截止时间前将电子加密投标文件成功上传递交至新疆政府采购云平台，否则投标无效；</w:t>
      </w:r>
    </w:p>
    <w:p>
      <w:pPr>
        <w:pStyle w:val="6"/>
        <w:snapToGrid w:val="0"/>
        <w:spacing w:line="360" w:lineRule="auto"/>
        <w:ind w:firstLine="525" w:firstLineChars="250"/>
        <w:rPr>
          <w:rFonts w:ascii="宋体" w:hAnsi="宋体" w:cs="宋体"/>
          <w:sz w:val="21"/>
          <w:szCs w:val="21"/>
        </w:rPr>
      </w:pPr>
      <w:r>
        <w:rPr>
          <w:rFonts w:hint="eastAsia" w:ascii="宋体" w:hAnsi="宋体" w:cs="宋体"/>
          <w:sz w:val="21"/>
          <w:szCs w:val="21"/>
          <w:lang w:bidi="zh-CN"/>
        </w:rPr>
        <w:t>b.供应商成功上传电子加密投标文件后，可自行打印投标文件接收回执。</w:t>
      </w:r>
    </w:p>
    <w:p>
      <w:pPr>
        <w:pStyle w:val="6"/>
        <w:snapToGrid w:val="0"/>
        <w:spacing w:line="360" w:lineRule="auto"/>
        <w:outlineLvl w:val="4"/>
        <w:rPr>
          <w:rFonts w:ascii="宋体" w:hAnsi="宋体" w:cs="宋体"/>
          <w:sz w:val="21"/>
          <w:szCs w:val="21"/>
          <w:lang w:bidi="zh-CN"/>
        </w:rPr>
      </w:pPr>
      <w:r>
        <w:rPr>
          <w:rFonts w:hint="eastAsia" w:ascii="宋体" w:hAnsi="宋体" w:cs="宋体"/>
          <w:sz w:val="21"/>
          <w:szCs w:val="21"/>
        </w:rPr>
        <w:t>（2）</w:t>
      </w:r>
      <w:r>
        <w:rPr>
          <w:rFonts w:hint="eastAsia" w:ascii="宋体" w:hAnsi="宋体" w:cs="宋体"/>
          <w:sz w:val="21"/>
          <w:szCs w:val="21"/>
          <w:lang w:bidi="zh-CN"/>
        </w:rPr>
        <w:t>备份投标文件（“.bfbs”格式）：</w:t>
      </w:r>
    </w:p>
    <w:p>
      <w:pPr>
        <w:pStyle w:val="6"/>
        <w:snapToGrid w:val="0"/>
        <w:spacing w:line="360" w:lineRule="auto"/>
        <w:ind w:firstLine="525" w:firstLineChars="250"/>
        <w:rPr>
          <w:rFonts w:ascii="宋体" w:hAnsi="宋体" w:cs="宋体"/>
          <w:sz w:val="21"/>
          <w:szCs w:val="21"/>
          <w:lang w:bidi="zh-CN"/>
        </w:rPr>
      </w:pPr>
      <w:r>
        <w:rPr>
          <w:rFonts w:hint="eastAsia" w:ascii="宋体" w:hAnsi="宋体" w:cs="宋体"/>
          <w:sz w:val="21"/>
          <w:szCs w:val="21"/>
          <w:lang w:bidi="zh-CN"/>
        </w:rPr>
        <w:t>a.供应商可以将备份投标文件打包压缩并加密，压缩包命名为“XX单位备份投标文件”，加密密码由供应商自行保管；送达时间以采购代理机构实际接收时间为准。“备份投标文件”以投标截止时间前指定接收邮箱最终收到的文件为准，逾期或未按要求提供的视为未提供，建议供应商提前1日办理邮件提供事宜（接收人邮箱：188871622@qq.com，</w:t>
      </w:r>
      <w:r>
        <w:rPr>
          <w:rFonts w:hint="eastAsia"/>
        </w:rPr>
        <w:t>接收人：朱先生，电话：</w:t>
      </w:r>
      <w:r>
        <w:rPr>
          <w:rFonts w:hint="eastAsia"/>
          <w:kern w:val="2"/>
          <w:sz w:val="21"/>
          <w:szCs w:val="21"/>
        </w:rPr>
        <w:t>15770150301</w:t>
      </w:r>
      <w:r>
        <w:rPr>
          <w:rFonts w:hint="eastAsia" w:ascii="宋体" w:hAnsi="宋体" w:cs="宋体"/>
          <w:sz w:val="21"/>
          <w:szCs w:val="21"/>
          <w:u w:val="single"/>
          <w:lang w:bidi="zh-CN"/>
        </w:rPr>
        <w:t>）</w:t>
      </w:r>
      <w:r>
        <w:rPr>
          <w:rFonts w:hint="eastAsia" w:ascii="宋体" w:hAnsi="宋体" w:cs="宋体"/>
          <w:sz w:val="21"/>
          <w:szCs w:val="21"/>
          <w:lang w:bidi="zh-CN"/>
        </w:rPr>
        <w:t>.</w:t>
      </w:r>
    </w:p>
    <w:p>
      <w:pPr>
        <w:pStyle w:val="6"/>
        <w:snapToGrid w:val="0"/>
        <w:spacing w:line="360" w:lineRule="auto"/>
        <w:ind w:firstLine="525" w:firstLineChars="250"/>
        <w:rPr>
          <w:rFonts w:ascii="宋体" w:hAnsi="宋体" w:cs="宋体"/>
          <w:sz w:val="21"/>
          <w:szCs w:val="21"/>
          <w:lang w:bidi="zh-CN"/>
        </w:rPr>
      </w:pPr>
      <w:r>
        <w:rPr>
          <w:rFonts w:hint="eastAsia" w:ascii="宋体" w:hAnsi="宋体" w:cs="宋体"/>
          <w:sz w:val="21"/>
          <w:szCs w:val="21"/>
          <w:lang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napToGrid w:val="0"/>
        <w:spacing w:line="360" w:lineRule="auto"/>
        <w:ind w:firstLine="420" w:firstLineChars="200"/>
        <w:outlineLvl w:val="3"/>
        <w:rPr>
          <w:rFonts w:ascii="宋体" w:hAnsi="宋体" w:cs="宋体"/>
          <w:szCs w:val="21"/>
        </w:rPr>
      </w:pPr>
      <w:r>
        <w:rPr>
          <w:rFonts w:hint="eastAsia" w:ascii="宋体" w:hAnsi="宋体" w:cs="宋体"/>
          <w:szCs w:val="21"/>
        </w:rPr>
        <w:t>27.投标文件的递交要求</w:t>
      </w:r>
    </w:p>
    <w:p>
      <w:pPr>
        <w:snapToGrid w:val="0"/>
        <w:spacing w:line="360" w:lineRule="auto"/>
        <w:ind w:firstLine="420" w:firstLineChars="200"/>
        <w:rPr>
          <w:rFonts w:ascii="宋体" w:hAnsi="宋体" w:cs="宋体"/>
          <w:szCs w:val="21"/>
        </w:rPr>
      </w:pPr>
      <w:r>
        <w:rPr>
          <w:rFonts w:hint="eastAsia" w:ascii="宋体" w:hAnsi="宋体" w:cs="宋体"/>
          <w:szCs w:val="21"/>
        </w:rPr>
        <w:t>（1）供应商须按照采购文件和政采云平台的要求编制并加密投标文件。在投标文件递交截止时间以前完成投标文件的传输递交，截止时间后递交的投标文件，将被拒收。</w:t>
      </w:r>
    </w:p>
    <w:p>
      <w:pPr>
        <w:tabs>
          <w:tab w:val="left" w:pos="1418"/>
        </w:tabs>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（2）备份电子投标文件必须在投标截止时间前送达指定的投标地点。备份电子投标文件在截止时间后提交，采购组织机构将拒绝接收。</w:t>
      </w:r>
    </w:p>
    <w:p>
      <w:pPr>
        <w:tabs>
          <w:tab w:val="left" w:pos="1418"/>
        </w:tabs>
        <w:autoSpaceDE w:val="0"/>
        <w:autoSpaceDN w:val="0"/>
        <w:adjustRightInd w:val="0"/>
        <w:snapToGrid w:val="0"/>
        <w:spacing w:line="360" w:lineRule="auto"/>
        <w:ind w:firstLine="420" w:firstLineChars="200"/>
        <w:rPr>
          <w:rFonts w:ascii="宋体" w:hAnsi="宋体"/>
          <w:szCs w:val="21"/>
        </w:rPr>
      </w:pPr>
      <w:r>
        <w:rPr>
          <w:rFonts w:hint="eastAsia" w:ascii="宋体" w:hAnsi="宋体" w:cs="宋体"/>
          <w:szCs w:val="21"/>
        </w:rPr>
        <w:t>（3）如有特殊情况，采购组织机构延长截止时间和开标时间，采购组织机构和供应商的权利和义务将受到新的截止时间和开标时间的约束。</w:t>
      </w:r>
    </w:p>
    <w:p>
      <w:pPr>
        <w:snapToGrid w:val="0"/>
        <w:spacing w:line="360" w:lineRule="auto"/>
        <w:ind w:firstLine="420" w:firstLineChars="200"/>
        <w:outlineLvl w:val="3"/>
        <w:rPr>
          <w:rFonts w:ascii="宋体" w:hAnsi="宋体" w:cs="宋体"/>
          <w:szCs w:val="21"/>
        </w:rPr>
      </w:pPr>
      <w:r>
        <w:rPr>
          <w:rFonts w:hint="eastAsia" w:ascii="宋体" w:hAnsi="宋体" w:cs="宋体"/>
          <w:szCs w:val="21"/>
        </w:rPr>
        <w:t>28．投标文件的补充、修改与撤回</w:t>
      </w:r>
    </w:p>
    <w:p>
      <w:pPr>
        <w:tabs>
          <w:tab w:val="left" w:pos="960"/>
          <w:tab w:val="left" w:pos="1418"/>
        </w:tabs>
        <w:autoSpaceDE w:val="0"/>
        <w:autoSpaceDN w:val="0"/>
        <w:adjustRightInd w:val="0"/>
        <w:snapToGrid w:val="0"/>
        <w:spacing w:line="360" w:lineRule="auto"/>
        <w:ind w:firstLine="420" w:firstLineChars="200"/>
        <w:rPr>
          <w:rFonts w:ascii="宋体" w:hAnsi="宋体" w:cs="宋体"/>
          <w:sz w:val="32"/>
          <w:szCs w:val="32"/>
        </w:rPr>
      </w:pPr>
      <w:r>
        <w:rPr>
          <w:rFonts w:hint="eastAsia" w:ascii="宋体" w:hAnsi="宋体" w:cs="宋体"/>
          <w:szCs w:val="21"/>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ind w:firstLine="3360" w:firstLineChars="1200"/>
        <w:outlineLvl w:val="2"/>
        <w:rPr>
          <w:rFonts w:ascii="宋体" w:hAnsi="宋体" w:eastAsia="新宋体" w:cs="宋体"/>
          <w:kern w:val="0"/>
          <w:sz w:val="32"/>
          <w:szCs w:val="22"/>
        </w:rPr>
      </w:pPr>
      <w:bookmarkStart w:id="28" w:name="_Toc469495728"/>
      <w:r>
        <w:rPr>
          <w:rFonts w:hint="eastAsia" w:ascii="宋体" w:hAnsi="宋体" w:cs="宋体"/>
          <w:sz w:val="28"/>
          <w:szCs w:val="28"/>
        </w:rPr>
        <w:t>（五）开标、评标和定标</w:t>
      </w:r>
      <w:bookmarkEnd w:id="28"/>
    </w:p>
    <w:p>
      <w:pPr>
        <w:snapToGrid w:val="0"/>
        <w:spacing w:line="360" w:lineRule="auto"/>
        <w:ind w:firstLine="420" w:firstLineChars="200"/>
        <w:outlineLvl w:val="3"/>
        <w:rPr>
          <w:rFonts w:ascii="宋体" w:hAnsi="宋体" w:cs="宋体"/>
          <w:szCs w:val="21"/>
        </w:rPr>
      </w:pPr>
      <w:r>
        <w:rPr>
          <w:rFonts w:hint="eastAsia" w:ascii="宋体" w:hAnsi="宋体" w:cs="宋体"/>
          <w:szCs w:val="21"/>
        </w:rPr>
        <w:t>29. 开标</w:t>
      </w:r>
    </w:p>
    <w:p>
      <w:pPr>
        <w:snapToGrid w:val="0"/>
        <w:spacing w:line="360" w:lineRule="auto"/>
        <w:ind w:firstLine="420" w:firstLineChars="200"/>
        <w:outlineLvl w:val="4"/>
        <w:rPr>
          <w:rFonts w:ascii="宋体" w:hAnsi="宋体" w:cs="宋体"/>
          <w:szCs w:val="21"/>
        </w:rPr>
      </w:pPr>
      <w:bookmarkStart w:id="29" w:name="_Toc73975822"/>
      <w:r>
        <w:rPr>
          <w:rFonts w:hint="eastAsia" w:ascii="宋体" w:hAnsi="宋体" w:cs="宋体"/>
          <w:szCs w:val="21"/>
        </w:rPr>
        <w:t>29.1开标邀请</w:t>
      </w:r>
      <w:bookmarkEnd w:id="29"/>
    </w:p>
    <w:p>
      <w:pPr>
        <w:pStyle w:val="13"/>
        <w:snapToGrid w:val="0"/>
        <w:spacing w:line="360" w:lineRule="auto"/>
        <w:ind w:firstLine="420" w:firstLineChars="200"/>
        <w:rPr>
          <w:rFonts w:hAnsi="宋体" w:cs="宋体"/>
          <w:color w:val="auto"/>
          <w:szCs w:val="21"/>
        </w:rPr>
      </w:pPr>
      <w:r>
        <w:rPr>
          <w:rFonts w:hint="eastAsia" w:hAnsi="宋体" w:cs="宋体"/>
          <w:color w:val="auto"/>
          <w:szCs w:val="21"/>
        </w:rPr>
        <w:t>（1）开标准备：本项目开标的准备工作由采购组织机构负责落实，开标过程由采购组织机构负责记录；</w:t>
      </w:r>
    </w:p>
    <w:p>
      <w:pPr>
        <w:pStyle w:val="13"/>
        <w:snapToGrid w:val="0"/>
        <w:spacing w:line="360" w:lineRule="auto"/>
        <w:ind w:firstLine="420" w:firstLineChars="200"/>
        <w:rPr>
          <w:rFonts w:hAnsi="宋体" w:cs="宋体"/>
          <w:color w:val="auto"/>
          <w:szCs w:val="21"/>
        </w:rPr>
      </w:pPr>
      <w:r>
        <w:rPr>
          <w:rFonts w:hint="eastAsia" w:hAnsi="宋体" w:cs="宋体"/>
          <w:color w:val="auto"/>
          <w:szCs w:val="21"/>
        </w:rPr>
        <w:t>（2）开标主持：本项目开标由采购人或者采购代理机构主持；</w:t>
      </w:r>
    </w:p>
    <w:p>
      <w:pPr>
        <w:pStyle w:val="13"/>
        <w:snapToGrid w:val="0"/>
        <w:spacing w:line="360" w:lineRule="auto"/>
        <w:ind w:firstLine="420" w:firstLineChars="200"/>
        <w:rPr>
          <w:rFonts w:hAnsi="宋体" w:cs="宋体"/>
          <w:color w:val="auto"/>
          <w:szCs w:val="21"/>
        </w:rPr>
      </w:pPr>
      <w:r>
        <w:rPr>
          <w:rFonts w:hint="eastAsia" w:hAnsi="宋体" w:cs="宋体"/>
          <w:color w:val="auto"/>
          <w:szCs w:val="21"/>
        </w:rPr>
        <w:t>（3）开标邀请：本项目采用电子交易，采购组织机构将按照采购文件规定的时间通过“新疆政府采购云平台，网址：</w:t>
      </w:r>
      <w:r>
        <w:fldChar w:fldCharType="begin"/>
      </w:r>
      <w:r>
        <w:instrText xml:space="preserve"> HYPERLINK "http://www.zcygov.cn" </w:instrText>
      </w:r>
      <w:r>
        <w:fldChar w:fldCharType="separate"/>
      </w:r>
      <w:r>
        <w:rPr>
          <w:rStyle w:val="38"/>
          <w:rFonts w:hint="eastAsia" w:hAnsi="宋体" w:cs="宋体"/>
          <w:color w:val="auto"/>
          <w:szCs w:val="21"/>
          <w:u w:val="none"/>
        </w:rPr>
        <w:t>www.zcygov.cn</w:t>
      </w:r>
      <w:r>
        <w:rPr>
          <w:rStyle w:val="38"/>
          <w:rFonts w:hint="eastAsia" w:hAnsi="宋体" w:cs="宋体"/>
          <w:color w:val="auto"/>
          <w:szCs w:val="21"/>
          <w:u w:val="none"/>
        </w:rPr>
        <w:fldChar w:fldCharType="end"/>
      </w:r>
      <w:r>
        <w:rPr>
          <w:rFonts w:hint="eastAsia" w:hAnsi="宋体" w:cs="宋体"/>
          <w:color w:val="auto"/>
          <w:szCs w:val="21"/>
        </w:rPr>
        <w:t>”组织开标、开启投标响应文件，所有供应商均应当准时在线参加。</w:t>
      </w:r>
    </w:p>
    <w:p>
      <w:pPr>
        <w:pStyle w:val="13"/>
        <w:snapToGrid w:val="0"/>
        <w:spacing w:line="360" w:lineRule="auto"/>
        <w:ind w:firstLine="420" w:firstLineChars="200"/>
        <w:rPr>
          <w:rFonts w:hAnsi="宋体" w:cs="宋体"/>
          <w:color w:val="auto"/>
          <w:szCs w:val="21"/>
        </w:rPr>
      </w:pPr>
      <w:r>
        <w:rPr>
          <w:rFonts w:hint="eastAsia" w:hAnsi="宋体" w:cs="宋体"/>
          <w:color w:val="auto"/>
          <w:szCs w:val="21"/>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napToGrid w:val="0"/>
        <w:spacing w:line="360" w:lineRule="auto"/>
        <w:ind w:firstLine="420" w:firstLineChars="200"/>
        <w:outlineLvl w:val="4"/>
        <w:rPr>
          <w:rFonts w:ascii="宋体" w:hAnsi="宋体" w:cs="宋体"/>
          <w:szCs w:val="21"/>
        </w:rPr>
      </w:pPr>
      <w:bookmarkStart w:id="30" w:name="_Toc73975823"/>
      <w:r>
        <w:rPr>
          <w:rFonts w:hint="eastAsia" w:ascii="宋体" w:hAnsi="宋体" w:cs="宋体"/>
          <w:szCs w:val="21"/>
        </w:rPr>
        <w:t>29.2开标程序（先资格、商务技术后报价）</w:t>
      </w:r>
      <w:bookmarkEnd w:id="30"/>
    </w:p>
    <w:p>
      <w:pPr>
        <w:snapToGrid w:val="0"/>
        <w:spacing w:line="360" w:lineRule="auto"/>
        <w:ind w:firstLine="420" w:firstLineChars="200"/>
        <w:rPr>
          <w:rFonts w:ascii="宋体" w:hAnsi="宋体" w:cs="宋体"/>
          <w:szCs w:val="21"/>
        </w:rPr>
      </w:pPr>
      <w:r>
        <w:rPr>
          <w:rFonts w:hint="eastAsia" w:ascii="宋体" w:hAnsi="宋体" w:cs="宋体"/>
          <w:szCs w:val="21"/>
        </w:rPr>
        <w:t>（1）开标时间到后，主持人宣布开标会议开始。</w:t>
      </w:r>
    </w:p>
    <w:p>
      <w:pPr>
        <w:snapToGrid w:val="0"/>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kern w:val="0"/>
          <w:szCs w:val="21"/>
        </w:rPr>
        <w:t>投标文件解密（解密规定见《供应商须知前附表》）</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kern w:val="0"/>
          <w:szCs w:val="21"/>
        </w:rPr>
        <w:t>投标文件解密异常情况处理（处理办法见《供应商须知前附表》）</w:t>
      </w:r>
      <w:r>
        <w:rPr>
          <w:rFonts w:hint="eastAsia" w:ascii="宋体" w:hAnsi="宋体" w:cs="宋体"/>
          <w:szCs w:val="21"/>
        </w:rPr>
        <w:t>。</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4）公布投标文件解密情况（投标文件成功解密的供应商名单等信息），组织签署《政府采购活动现场确认声明书》（疫情防控期间，将通过电子邮件形式组织签署），供应商应在20分钟内通过邮件形式将经签署的《政府采购活动现场确认声明书》发送至采购代理机构指定邮箱188871622@qq.com ，逾期发送或未发送的视为无异议。</w:t>
      </w:r>
    </w:p>
    <w:p>
      <w:pPr>
        <w:snapToGrid w:val="0"/>
        <w:spacing w:line="360" w:lineRule="auto"/>
        <w:ind w:firstLine="420" w:firstLineChars="200"/>
        <w:jc w:val="left"/>
        <w:rPr>
          <w:rFonts w:ascii="宋体" w:hAnsi="宋体" w:cs="宋体"/>
          <w:szCs w:val="21"/>
        </w:rPr>
      </w:pPr>
      <w:r>
        <w:rPr>
          <w:rFonts w:hint="eastAsia" w:ascii="宋体" w:hAnsi="宋体" w:cs="宋体"/>
          <w:kern w:val="0"/>
          <w:szCs w:val="21"/>
        </w:rPr>
        <w:t>（5）开启标书信息（资格证明文件、商务技术文件）。标书信息开启后，首先由采购人或采购代理机构或评审小组依法对投标供应商的资格证明文件进行审查（具体见本章“29.3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pPr>
        <w:snapToGrid w:val="0"/>
        <w:spacing w:line="360" w:lineRule="auto"/>
        <w:ind w:firstLine="420" w:firstLineChars="200"/>
        <w:jc w:val="left"/>
        <w:rPr>
          <w:rFonts w:ascii="宋体" w:hAnsi="宋体" w:cs="宋体"/>
          <w:szCs w:val="21"/>
        </w:rPr>
      </w:pPr>
      <w:r>
        <w:rPr>
          <w:rFonts w:hint="eastAsia" w:ascii="宋体" w:hAnsi="宋体" w:cs="宋体"/>
          <w:kern w:val="0"/>
          <w:szCs w:val="21"/>
        </w:rPr>
        <w:t>（6）商务技术评审结束后，主持人公布商务技术评审无效投标供应商名单和商务技术评审有效投标供应商名单及其商务技术得分情况</w:t>
      </w:r>
      <w:r>
        <w:rPr>
          <w:rFonts w:hint="eastAsia" w:ascii="宋体" w:hAnsi="宋体" w:cs="宋体"/>
          <w:szCs w:val="21"/>
        </w:rPr>
        <w:t>。</w:t>
      </w:r>
      <w:r>
        <w:rPr>
          <w:rFonts w:hint="eastAsia" w:ascii="宋体" w:hAnsi="宋体" w:cs="宋体"/>
          <w:kern w:val="0"/>
          <w:szCs w:val="21"/>
        </w:rPr>
        <w:t>商务技术评审无效的供应商，其报价不再进入评审。</w:t>
      </w:r>
    </w:p>
    <w:p>
      <w:pPr>
        <w:snapToGrid w:val="0"/>
        <w:spacing w:line="360" w:lineRule="auto"/>
        <w:ind w:firstLine="420" w:firstLineChars="200"/>
        <w:jc w:val="left"/>
        <w:rPr>
          <w:rFonts w:ascii="宋体" w:hAnsi="宋体" w:cs="宋体"/>
          <w:szCs w:val="21"/>
        </w:rPr>
      </w:pPr>
      <w:r>
        <w:rPr>
          <w:rFonts w:hint="eastAsia" w:ascii="宋体" w:hAnsi="宋体" w:cs="宋体"/>
          <w:kern w:val="0"/>
          <w:szCs w:val="21"/>
        </w:rPr>
        <w:t>（7）开启有效投标供应商的报价，公布开标一览表有关内容，</w:t>
      </w:r>
      <w:r>
        <w:rPr>
          <w:rFonts w:hint="eastAsia" w:ascii="宋体" w:hAnsi="宋体" w:cs="宋体"/>
          <w:szCs w:val="21"/>
          <w:lang w:bidi="zh-CN"/>
        </w:rPr>
        <w:t>并【开启签字时段】，供应商对开标纪录进行在线签字确认（不予确认的应说明理由，否则视为无异议）</w:t>
      </w:r>
      <w:r>
        <w:rPr>
          <w:rFonts w:hint="eastAsia" w:ascii="宋体" w:hAnsi="宋体" w:cs="宋体"/>
          <w:kern w:val="0"/>
          <w:szCs w:val="21"/>
        </w:rPr>
        <w:t>。开标结束后，由评标委员会对报价的合理性、准确性等进行审查核实</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（8）</w:t>
      </w:r>
      <w:r>
        <w:rPr>
          <w:rFonts w:hint="eastAsia" w:ascii="宋体" w:hAnsi="宋体" w:cs="宋体"/>
          <w:kern w:val="0"/>
          <w:szCs w:val="21"/>
        </w:rPr>
        <w:t>评审结束后，采购代理机构在系统上公布评审结果。</w:t>
      </w:r>
    </w:p>
    <w:p>
      <w:pPr>
        <w:snapToGrid w:val="0"/>
        <w:spacing w:line="360" w:lineRule="auto"/>
        <w:ind w:left="480"/>
        <w:rPr>
          <w:rFonts w:ascii="宋体" w:hAnsi="宋体" w:cs="宋体"/>
          <w:szCs w:val="21"/>
        </w:rPr>
      </w:pPr>
      <w:r>
        <w:rPr>
          <w:rFonts w:hint="eastAsia" w:ascii="宋体" w:hAnsi="宋体" w:cs="宋体"/>
          <w:szCs w:val="21"/>
        </w:rPr>
        <w:t>特别情况说明：</w:t>
      </w:r>
    </w:p>
    <w:p>
      <w:pPr>
        <w:snapToGrid w:val="0"/>
        <w:spacing w:line="360" w:lineRule="auto"/>
        <w:ind w:firstLine="371" w:firstLineChars="177"/>
        <w:jc w:val="left"/>
        <w:rPr>
          <w:rFonts w:ascii="宋体" w:hAnsi="宋体" w:cs="宋体"/>
          <w:kern w:val="0"/>
          <w:szCs w:val="21"/>
        </w:rPr>
      </w:pPr>
      <w:r>
        <w:rPr>
          <w:rFonts w:hint="eastAsia" w:ascii="宋体" w:hAnsi="宋体" w:cs="宋体"/>
          <w:kern w:val="0"/>
          <w:szCs w:val="21"/>
        </w:rPr>
        <w:t>（1）本项目采用电子交易，如遇“新疆政府采购云平台”电子化开标或评审程序调整的，按调整后程序执行。</w:t>
      </w:r>
    </w:p>
    <w:p>
      <w:pPr>
        <w:snapToGrid w:val="0"/>
        <w:spacing w:line="360" w:lineRule="auto"/>
        <w:ind w:firstLine="371" w:firstLineChars="177"/>
        <w:jc w:val="left"/>
        <w:rPr>
          <w:rFonts w:ascii="宋体" w:hAnsi="宋体" w:cs="宋体"/>
          <w:kern w:val="0"/>
          <w:szCs w:val="21"/>
        </w:rPr>
      </w:pPr>
      <w:r>
        <w:rPr>
          <w:rFonts w:hint="eastAsia" w:ascii="宋体" w:hAnsi="宋体" w:cs="宋体"/>
          <w:kern w:val="0"/>
          <w:szCs w:val="21"/>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cs="宋体"/>
          <w:kern w:val="0"/>
          <w:szCs w:val="21"/>
          <w:u w:val="single"/>
        </w:rPr>
        <w:t>请供应商保证办理投标事宜人员电话畅通、网络在线，签字或盖章确认的时间为20分钟。如未及时签字或盖章确认的，视为无异议</w:t>
      </w:r>
      <w:r>
        <w:rPr>
          <w:rFonts w:hint="eastAsia" w:ascii="宋体" w:hAnsi="宋体" w:cs="宋体"/>
          <w:kern w:val="0"/>
          <w:szCs w:val="21"/>
        </w:rPr>
        <w:t>。</w:t>
      </w:r>
    </w:p>
    <w:p>
      <w:pPr>
        <w:snapToGrid w:val="0"/>
        <w:spacing w:line="360" w:lineRule="auto"/>
        <w:ind w:firstLine="420" w:firstLineChars="200"/>
        <w:outlineLvl w:val="4"/>
        <w:rPr>
          <w:rFonts w:ascii="宋体" w:hAnsi="宋体" w:cs="宋体"/>
          <w:kern w:val="0"/>
          <w:szCs w:val="21"/>
        </w:rPr>
      </w:pPr>
      <w:r>
        <w:rPr>
          <w:rFonts w:hint="eastAsia" w:ascii="宋体" w:hAnsi="宋体" w:cs="宋体"/>
          <w:kern w:val="0"/>
          <w:szCs w:val="21"/>
        </w:rPr>
        <w:t>29.3 投标供应商资格审查：</w:t>
      </w:r>
    </w:p>
    <w:p>
      <w:pPr>
        <w:snapToGrid w:val="0"/>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kern w:val="0"/>
          <w:szCs w:val="21"/>
        </w:rPr>
        <w:t>开标（标书信息开启）后，采购人或采购代理机构或评审小组首先依法对投标供应商的资格文件进行审查，审查各投标供应商的资格符合情况。</w:t>
      </w:r>
      <w:r>
        <w:rPr>
          <w:rFonts w:hint="eastAsia" w:ascii="宋体" w:hAnsi="宋体" w:cs="宋体"/>
          <w:szCs w:val="21"/>
        </w:rPr>
        <w:t>采购人或采购代理机构</w:t>
      </w:r>
      <w:r>
        <w:rPr>
          <w:rFonts w:hint="eastAsia" w:ascii="宋体" w:hAnsi="宋体" w:cs="宋体"/>
          <w:kern w:val="0"/>
          <w:szCs w:val="21"/>
        </w:rPr>
        <w:t>或评审小组</w:t>
      </w:r>
      <w:r>
        <w:rPr>
          <w:rFonts w:hint="eastAsia" w:ascii="宋体" w:hAnsi="宋体" w:cs="宋体"/>
          <w:szCs w:val="21"/>
        </w:rPr>
        <w:t>对投标供应商所提交的资格证明材料仅负审核的责任。如发现投标供应商所提交的资格证明材料不合法或与事实不符，采购人可取消其中标资格并追究投标供应商的法律责任。</w:t>
      </w:r>
    </w:p>
    <w:p>
      <w:pPr>
        <w:pStyle w:val="6"/>
        <w:snapToGrid w:val="0"/>
        <w:spacing w:line="360" w:lineRule="auto"/>
        <w:rPr>
          <w:rFonts w:ascii="宋体" w:hAnsi="宋体" w:cs="宋体"/>
          <w:sz w:val="21"/>
          <w:szCs w:val="21"/>
        </w:rPr>
      </w:pPr>
      <w:r>
        <w:rPr>
          <w:rFonts w:hint="eastAsia" w:ascii="宋体" w:hAnsi="宋体" w:cs="宋体"/>
          <w:sz w:val="21"/>
          <w:szCs w:val="21"/>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6"/>
        <w:snapToGrid w:val="0"/>
        <w:spacing w:line="360" w:lineRule="auto"/>
        <w:rPr>
          <w:rFonts w:ascii="宋体" w:hAnsi="宋体" w:cs="宋体"/>
          <w:sz w:val="21"/>
          <w:szCs w:val="21"/>
        </w:rPr>
      </w:pPr>
      <w:r>
        <w:rPr>
          <w:rFonts w:hint="eastAsia" w:ascii="宋体" w:hAnsi="宋体" w:cs="宋体"/>
          <w:sz w:val="21"/>
          <w:szCs w:val="21"/>
        </w:rPr>
        <w:t>（3）供应商信用记录查询与使用：见《供应商须知前附表》。</w:t>
      </w:r>
    </w:p>
    <w:p>
      <w:pPr>
        <w:widowControl/>
        <w:spacing w:line="440" w:lineRule="exact"/>
        <w:ind w:firstLine="210" w:firstLineChars="100"/>
        <w:outlineLvl w:val="3"/>
        <w:rPr>
          <w:rFonts w:ascii="宋体"/>
          <w:szCs w:val="21"/>
        </w:rPr>
      </w:pPr>
      <w:r>
        <w:rPr>
          <w:rFonts w:hint="eastAsia" w:ascii="宋体"/>
          <w:szCs w:val="21"/>
        </w:rPr>
        <w:t>30.评审工作的组织</w:t>
      </w:r>
    </w:p>
    <w:p>
      <w:pPr>
        <w:widowControl/>
        <w:spacing w:line="440" w:lineRule="exact"/>
        <w:ind w:firstLine="210" w:firstLineChars="100"/>
        <w:rPr>
          <w:rFonts w:ascii="宋体"/>
          <w:szCs w:val="21"/>
        </w:rPr>
      </w:pPr>
      <w:r>
        <w:rPr>
          <w:rFonts w:hint="eastAsia" w:ascii="宋体"/>
          <w:szCs w:val="21"/>
        </w:rPr>
        <w:t>采购人或采购代理机构负责组织本项目的评审工作，并依据《政府采购货物和服务招标投标管理办法（财政部第87号令）》第四十五条的相关规定履行职责。</w:t>
      </w:r>
    </w:p>
    <w:p>
      <w:pPr>
        <w:widowControl/>
        <w:spacing w:line="440" w:lineRule="exact"/>
        <w:ind w:firstLine="210" w:firstLineChars="100"/>
        <w:outlineLvl w:val="3"/>
        <w:rPr>
          <w:rFonts w:ascii="宋体"/>
          <w:szCs w:val="21"/>
        </w:rPr>
      </w:pPr>
      <w:r>
        <w:rPr>
          <w:rFonts w:hint="eastAsia" w:ascii="宋体"/>
          <w:szCs w:val="21"/>
        </w:rPr>
        <w:t>31. 评标委员会的组建</w:t>
      </w:r>
    </w:p>
    <w:p>
      <w:pPr>
        <w:widowControl/>
        <w:spacing w:line="440" w:lineRule="exact"/>
        <w:ind w:firstLine="210" w:firstLineChars="100"/>
        <w:rPr>
          <w:rFonts w:ascii="宋体"/>
          <w:szCs w:val="21"/>
        </w:rPr>
      </w:pPr>
      <w:r>
        <w:rPr>
          <w:rFonts w:hint="eastAsia" w:ascii="宋体"/>
          <w:szCs w:val="21"/>
        </w:rPr>
        <w:t>31.1评标委员会成员由采购人代表1名和随机抽取有关方面的专家4名组成，成员为5人，评标委员会的成员在评标过程中必须严格遵守政府采购的有关规定。</w:t>
      </w:r>
    </w:p>
    <w:p>
      <w:pPr>
        <w:widowControl/>
        <w:spacing w:line="440" w:lineRule="exact"/>
        <w:ind w:firstLine="210" w:firstLineChars="100"/>
        <w:rPr>
          <w:rFonts w:ascii="宋体"/>
          <w:szCs w:val="21"/>
        </w:rPr>
      </w:pPr>
      <w:r>
        <w:rPr>
          <w:rFonts w:hint="eastAsia" w:ascii="宋体"/>
          <w:szCs w:val="21"/>
        </w:rPr>
        <w:t>31.2评审专家从新疆政府采购云平台专家库中通过随机方式抽取产生。评标委员会成员名单在采购结果公告前保密。</w:t>
      </w:r>
    </w:p>
    <w:p>
      <w:pPr>
        <w:widowControl/>
        <w:spacing w:line="440" w:lineRule="exact"/>
        <w:ind w:firstLine="210" w:firstLineChars="100"/>
        <w:outlineLvl w:val="3"/>
        <w:rPr>
          <w:rFonts w:ascii="宋体"/>
          <w:szCs w:val="21"/>
        </w:rPr>
      </w:pPr>
      <w:r>
        <w:rPr>
          <w:rFonts w:hint="eastAsia" w:ascii="宋体"/>
          <w:szCs w:val="21"/>
        </w:rPr>
        <w:t>32.评标委员会的职责</w:t>
      </w:r>
    </w:p>
    <w:p>
      <w:pPr>
        <w:widowControl/>
        <w:spacing w:line="440" w:lineRule="exact"/>
        <w:ind w:firstLine="210" w:firstLineChars="100"/>
        <w:rPr>
          <w:rFonts w:ascii="宋体"/>
          <w:szCs w:val="21"/>
        </w:rPr>
      </w:pPr>
      <w:r>
        <w:rPr>
          <w:rFonts w:hint="eastAsia" w:ascii="宋体"/>
          <w:szCs w:val="21"/>
        </w:rPr>
        <w:t>32.1审查、评价投标文件是否符合采购文件的商务、技术等实质性要求。</w:t>
      </w:r>
    </w:p>
    <w:p>
      <w:pPr>
        <w:widowControl/>
        <w:spacing w:line="440" w:lineRule="exact"/>
        <w:ind w:firstLine="210" w:firstLineChars="100"/>
        <w:rPr>
          <w:rFonts w:ascii="宋体"/>
          <w:szCs w:val="21"/>
        </w:rPr>
      </w:pPr>
      <w:r>
        <w:rPr>
          <w:rFonts w:hint="eastAsia" w:ascii="宋体"/>
          <w:szCs w:val="21"/>
        </w:rPr>
        <w:t>32.2要求供应商对投标文件有关事项作出澄清或者说明。</w:t>
      </w:r>
    </w:p>
    <w:p>
      <w:pPr>
        <w:widowControl/>
        <w:spacing w:line="440" w:lineRule="exact"/>
        <w:ind w:firstLine="210" w:firstLineChars="100"/>
        <w:rPr>
          <w:rFonts w:ascii="宋体"/>
          <w:szCs w:val="21"/>
        </w:rPr>
      </w:pPr>
      <w:r>
        <w:rPr>
          <w:rFonts w:hint="eastAsia" w:ascii="宋体"/>
          <w:szCs w:val="21"/>
        </w:rPr>
        <w:t>32.3对投标文件进行比较和评价。</w:t>
      </w:r>
    </w:p>
    <w:p>
      <w:pPr>
        <w:widowControl/>
        <w:spacing w:line="440" w:lineRule="exact"/>
        <w:ind w:firstLine="210" w:firstLineChars="100"/>
        <w:rPr>
          <w:rFonts w:ascii="宋体"/>
          <w:szCs w:val="21"/>
        </w:rPr>
      </w:pPr>
      <w:r>
        <w:rPr>
          <w:rFonts w:hint="eastAsia" w:ascii="宋体"/>
          <w:szCs w:val="21"/>
        </w:rPr>
        <w:t>32.4确定中标候选人名单，以及根据采购人委托直接确定中标人。</w:t>
      </w:r>
    </w:p>
    <w:p>
      <w:pPr>
        <w:widowControl/>
        <w:spacing w:line="440" w:lineRule="exact"/>
        <w:ind w:firstLine="210" w:firstLineChars="100"/>
        <w:rPr>
          <w:rFonts w:ascii="宋体"/>
          <w:szCs w:val="21"/>
        </w:rPr>
      </w:pPr>
      <w:r>
        <w:rPr>
          <w:rFonts w:hint="eastAsia" w:ascii="宋体"/>
          <w:szCs w:val="21"/>
        </w:rPr>
        <w:t>32.5向采购人、采购代理机构或者有关部门报告评审中发现的违法行为。</w:t>
      </w:r>
    </w:p>
    <w:p>
      <w:pPr>
        <w:widowControl/>
        <w:spacing w:line="440" w:lineRule="exact"/>
        <w:ind w:firstLine="210" w:firstLineChars="100"/>
        <w:outlineLvl w:val="3"/>
        <w:rPr>
          <w:rFonts w:ascii="宋体"/>
          <w:szCs w:val="21"/>
        </w:rPr>
      </w:pPr>
      <w:r>
        <w:rPr>
          <w:rFonts w:hint="eastAsia" w:ascii="宋体"/>
          <w:szCs w:val="21"/>
        </w:rPr>
        <w:t>33. 评标原则</w:t>
      </w:r>
    </w:p>
    <w:p>
      <w:pPr>
        <w:widowControl/>
        <w:spacing w:line="440" w:lineRule="exact"/>
        <w:ind w:firstLine="210" w:firstLineChars="100"/>
        <w:rPr>
          <w:rFonts w:ascii="宋体"/>
          <w:szCs w:val="21"/>
        </w:rPr>
      </w:pPr>
      <w:r>
        <w:rPr>
          <w:rFonts w:hint="eastAsia" w:ascii="宋体"/>
          <w:szCs w:val="21"/>
        </w:rPr>
        <w:t>33.1评标委员会将遵循公平、公正、科学的原则，对供应商提交的投标文件进行综合评审，评标委员会按照采购文件规定的评标细则进行评分。</w:t>
      </w:r>
    </w:p>
    <w:p>
      <w:pPr>
        <w:widowControl/>
        <w:spacing w:line="440" w:lineRule="exact"/>
        <w:ind w:firstLine="210" w:firstLineChars="100"/>
        <w:rPr>
          <w:rFonts w:ascii="宋体"/>
          <w:szCs w:val="21"/>
        </w:rPr>
      </w:pPr>
      <w:r>
        <w:rPr>
          <w:rFonts w:hint="eastAsia" w:ascii="宋体"/>
          <w:szCs w:val="21"/>
        </w:rPr>
        <w:t xml:space="preserve">33.2客观公正对待所有供应商，对所有投标评价均采用相同的程序和标准。 </w:t>
      </w:r>
    </w:p>
    <w:p>
      <w:pPr>
        <w:widowControl/>
        <w:spacing w:line="440" w:lineRule="exact"/>
        <w:ind w:firstLine="210" w:firstLineChars="100"/>
        <w:rPr>
          <w:rFonts w:ascii="宋体"/>
          <w:szCs w:val="21"/>
        </w:rPr>
      </w:pPr>
      <w:r>
        <w:rPr>
          <w:rFonts w:hint="eastAsia" w:ascii="宋体"/>
          <w:szCs w:val="21"/>
        </w:rPr>
        <w:t>33.3评标委员会成员对需要共同认定的事项存在争议的，按照少数服从多数的原则作出结论。持不同意见的评标委员会成员应当在评审报告上签署不同意见及理由，否则视为同意评审报告。</w:t>
      </w:r>
    </w:p>
    <w:p>
      <w:pPr>
        <w:widowControl/>
        <w:spacing w:line="440" w:lineRule="exact"/>
        <w:ind w:firstLine="210" w:firstLineChars="100"/>
        <w:rPr>
          <w:rFonts w:ascii="宋体"/>
          <w:szCs w:val="21"/>
        </w:rPr>
      </w:pPr>
      <w:r>
        <w:rPr>
          <w:rFonts w:hint="eastAsia" w:ascii="宋体"/>
          <w:szCs w:val="21"/>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pacing w:line="440" w:lineRule="exact"/>
        <w:ind w:firstLine="210" w:firstLineChars="100"/>
        <w:rPr>
          <w:rFonts w:ascii="宋体"/>
          <w:szCs w:val="21"/>
        </w:rPr>
      </w:pPr>
      <w:r>
        <w:rPr>
          <w:rFonts w:hint="eastAsia" w:ascii="宋体"/>
          <w:szCs w:val="21"/>
        </w:rPr>
        <w:t xml:space="preserve">非单一产品采购项目，采购人应当根据采购项目技术构成、产品价格比重等合理确定核心产品，并在采购文件中载明。多家供应商提供的核心产品品牌相同的，按前款规定处理。      </w:t>
      </w:r>
    </w:p>
    <w:p>
      <w:pPr>
        <w:widowControl/>
        <w:numPr>
          <w:ilvl w:val="0"/>
          <w:numId w:val="5"/>
        </w:numPr>
        <w:spacing w:line="440" w:lineRule="exact"/>
        <w:ind w:firstLine="210" w:firstLineChars="100"/>
        <w:outlineLvl w:val="3"/>
        <w:rPr>
          <w:rFonts w:ascii="宋体"/>
          <w:szCs w:val="21"/>
        </w:rPr>
      </w:pPr>
      <w:r>
        <w:rPr>
          <w:rFonts w:hint="eastAsia" w:ascii="宋体"/>
          <w:szCs w:val="21"/>
        </w:rPr>
        <w:t>评委纪律</w:t>
      </w:r>
    </w:p>
    <w:p>
      <w:pPr>
        <w:widowControl/>
        <w:spacing w:line="440" w:lineRule="exact"/>
        <w:ind w:firstLine="420" w:firstLineChars="200"/>
        <w:rPr>
          <w:rFonts w:ascii="宋体"/>
          <w:szCs w:val="21"/>
        </w:rPr>
      </w:pPr>
      <w:r>
        <w:rPr>
          <w:rFonts w:hint="eastAsia" w:ascii="宋体"/>
          <w:szCs w:val="21"/>
        </w:rPr>
        <w:t>评标委员会成员必须严格遵守保密规定，不得泄露评审的有关情况，任何单位和个人不得干扰、影响评标的正常进行，评标委员会成员不得私下与投标供应商接触，不得出现新疆维吾尔自治区政府采购活动现场组织管理办法中规定的其他禁止行为。</w:t>
      </w:r>
    </w:p>
    <w:p>
      <w:pPr>
        <w:widowControl/>
        <w:spacing w:line="440" w:lineRule="exact"/>
        <w:ind w:firstLine="210" w:firstLineChars="100"/>
        <w:outlineLvl w:val="3"/>
        <w:rPr>
          <w:rFonts w:ascii="宋体"/>
          <w:szCs w:val="21"/>
        </w:rPr>
      </w:pPr>
      <w:r>
        <w:rPr>
          <w:rFonts w:hint="eastAsia" w:ascii="宋体"/>
          <w:szCs w:val="21"/>
        </w:rPr>
        <w:t>35.评标程序</w:t>
      </w:r>
    </w:p>
    <w:p>
      <w:pPr>
        <w:widowControl/>
        <w:spacing w:line="440" w:lineRule="exact"/>
        <w:ind w:firstLine="210" w:firstLineChars="100"/>
        <w:rPr>
          <w:rFonts w:ascii="宋体"/>
          <w:szCs w:val="21"/>
        </w:rPr>
      </w:pPr>
      <w:r>
        <w:rPr>
          <w:rFonts w:hint="eastAsia" w:ascii="宋体"/>
          <w:szCs w:val="21"/>
        </w:rPr>
        <w:t>35.1 在评审专家中推选评标委员会组长，采购人代表不得担任评标委员会组长。</w:t>
      </w:r>
    </w:p>
    <w:p>
      <w:pPr>
        <w:widowControl/>
        <w:spacing w:line="440" w:lineRule="exact"/>
        <w:ind w:firstLine="210" w:firstLineChars="100"/>
        <w:rPr>
          <w:rFonts w:ascii="宋体"/>
          <w:szCs w:val="21"/>
        </w:rPr>
      </w:pPr>
      <w:r>
        <w:rPr>
          <w:rFonts w:hint="eastAsia" w:ascii="宋体"/>
          <w:szCs w:val="21"/>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pacing w:line="440" w:lineRule="exact"/>
        <w:ind w:firstLine="210" w:firstLineChars="100"/>
        <w:rPr>
          <w:rFonts w:ascii="宋体"/>
          <w:szCs w:val="21"/>
        </w:rPr>
      </w:pPr>
      <w:r>
        <w:rPr>
          <w:rFonts w:hint="eastAsia" w:ascii="宋体"/>
          <w:szCs w:val="21"/>
        </w:rPr>
        <w:t>35.3 评审人员对符合资格的供应商的投标文件的有效性、符合性、完整性和响应程度进行审查，确定是否对采购文件作出实质性响应。</w:t>
      </w:r>
    </w:p>
    <w:p>
      <w:pPr>
        <w:widowControl/>
        <w:spacing w:line="440" w:lineRule="exact"/>
        <w:ind w:firstLine="210" w:firstLineChars="100"/>
        <w:rPr>
          <w:rFonts w:ascii="宋体"/>
          <w:szCs w:val="21"/>
        </w:rPr>
      </w:pPr>
      <w:r>
        <w:rPr>
          <w:rFonts w:hint="eastAsia" w:ascii="宋体"/>
          <w:szCs w:val="21"/>
        </w:rPr>
        <w:t>35.4 评审人员按采购文件规定的评审方法和评审标准，依法独立对供应商投标文件进行评估、比较，并给予评价或打分，不受任何单位和个人的干预。</w:t>
      </w:r>
    </w:p>
    <w:p>
      <w:pPr>
        <w:widowControl/>
        <w:spacing w:line="440" w:lineRule="exact"/>
        <w:ind w:firstLine="420" w:firstLineChars="200"/>
        <w:rPr>
          <w:rFonts w:ascii="宋体" w:hAnsi="宋体" w:cs="宋体"/>
          <w:kern w:val="0"/>
          <w:szCs w:val="21"/>
        </w:rPr>
      </w:pPr>
      <w:r>
        <w:rPr>
          <w:rFonts w:hint="eastAsia" w:ascii="宋体" w:hAnsi="宋体" w:cs="宋体"/>
          <w:kern w:val="0"/>
          <w:szCs w:val="21"/>
        </w:rPr>
        <w:t>综合评分法货物项目的价格分值占总分值的比重(即权值)为30％，采购项目中含不同采购对象的，以占项目资金比例最高的采购对象确定其项目属性。其价格不列为评分因素，有特殊情况需要在上述规定范围外设定价格分权重的。</w:t>
      </w:r>
    </w:p>
    <w:p>
      <w:pPr>
        <w:widowControl/>
        <w:spacing w:line="440" w:lineRule="exact"/>
        <w:ind w:firstLine="480"/>
        <w:rPr>
          <w:rFonts w:ascii="宋体" w:hAnsi="宋体" w:cs="宋体"/>
          <w:kern w:val="0"/>
          <w:szCs w:val="21"/>
        </w:rPr>
      </w:pPr>
      <w:r>
        <w:rPr>
          <w:rFonts w:hint="eastAsia" w:ascii="宋体" w:hAnsi="宋体" w:cs="宋体"/>
          <w:kern w:val="0"/>
          <w:szCs w:val="21"/>
        </w:rPr>
        <w:t>综合评分法中的价格分统一采用低价优先法计算，即满足招标文件要求且最后报价最低的供应商的价格为招标基准价，其价格分为满分。其他供应商的价格分统一按照下列公式计算：</w:t>
      </w:r>
    </w:p>
    <w:p>
      <w:pPr>
        <w:widowControl/>
        <w:spacing w:line="440" w:lineRule="exact"/>
        <w:ind w:firstLine="480"/>
        <w:rPr>
          <w:rFonts w:ascii="宋体" w:hAnsi="宋体" w:cs="宋体"/>
          <w:kern w:val="0"/>
          <w:szCs w:val="21"/>
        </w:rPr>
      </w:pPr>
      <w:r>
        <w:rPr>
          <w:rFonts w:hint="eastAsia" w:ascii="宋体" w:hAnsi="宋体" w:cs="宋体"/>
          <w:kern w:val="0"/>
          <w:szCs w:val="21"/>
        </w:rPr>
        <w:t>投标报价得分=（基准价/投标报价）×价格权值×100</w:t>
      </w:r>
    </w:p>
    <w:p>
      <w:pPr>
        <w:widowControl/>
        <w:spacing w:line="440" w:lineRule="exact"/>
        <w:ind w:firstLine="480"/>
        <w:rPr>
          <w:rFonts w:ascii="宋体"/>
          <w:szCs w:val="21"/>
        </w:rPr>
      </w:pPr>
      <w:r>
        <w:rPr>
          <w:rFonts w:hint="eastAsia" w:ascii="宋体" w:hAnsi="宋体" w:cs="宋体"/>
          <w:kern w:val="0"/>
          <w:szCs w:val="21"/>
        </w:rPr>
        <w:t>项目评审过程中，不得去掉最后报价中的最高报价和最低报价。</w:t>
      </w:r>
    </w:p>
    <w:p>
      <w:pPr>
        <w:widowControl/>
        <w:spacing w:line="440" w:lineRule="exact"/>
        <w:ind w:firstLine="210" w:firstLineChars="100"/>
        <w:rPr>
          <w:rFonts w:ascii="宋体"/>
          <w:szCs w:val="21"/>
        </w:rPr>
      </w:pPr>
      <w:r>
        <w:rPr>
          <w:rFonts w:hint="eastAsia" w:ascii="宋体"/>
          <w:szCs w:val="21"/>
        </w:rPr>
        <w:t xml:space="preserve">  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pacing w:line="440" w:lineRule="exact"/>
        <w:ind w:firstLine="210" w:firstLineChars="100"/>
        <w:rPr>
          <w:rFonts w:ascii="宋体"/>
          <w:szCs w:val="21"/>
        </w:rPr>
      </w:pPr>
      <w:r>
        <w:rPr>
          <w:rFonts w:hint="eastAsia" w:ascii="宋体"/>
          <w:szCs w:val="21"/>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30%以上的）情形的，应由相关人员当场改正或作出书面说明；拒不改正又不作书面说明的，由现场监督员如实记载后存入项目档案资料。</w:t>
      </w:r>
    </w:p>
    <w:p>
      <w:pPr>
        <w:widowControl/>
        <w:spacing w:line="440" w:lineRule="exact"/>
        <w:ind w:firstLine="210" w:firstLineChars="100"/>
        <w:rPr>
          <w:rFonts w:ascii="宋体"/>
          <w:szCs w:val="21"/>
        </w:rPr>
      </w:pPr>
      <w:r>
        <w:rPr>
          <w:rFonts w:hint="eastAsia" w:ascii="宋体"/>
          <w:szCs w:val="21"/>
        </w:rPr>
        <w:t>35.7 评标委员会根据评审汇总情况和采购文件规定确定中标候选供应商排序名单。</w:t>
      </w:r>
    </w:p>
    <w:p>
      <w:pPr>
        <w:widowControl/>
        <w:spacing w:line="440" w:lineRule="exact"/>
        <w:ind w:firstLine="210" w:firstLineChars="100"/>
        <w:rPr>
          <w:rFonts w:ascii="宋体"/>
          <w:szCs w:val="21"/>
        </w:rPr>
      </w:pPr>
      <w:r>
        <w:rPr>
          <w:rFonts w:hint="eastAsia" w:ascii="宋体"/>
          <w:szCs w:val="21"/>
        </w:rPr>
        <w:t xml:space="preserve">35.8 起草评审报告，所有评审人员须在评审报告上签字确认，对自己的评审意见承担法律责任。 </w:t>
      </w:r>
    </w:p>
    <w:p>
      <w:pPr>
        <w:widowControl/>
        <w:spacing w:line="440" w:lineRule="exact"/>
        <w:ind w:firstLine="210" w:firstLineChars="100"/>
        <w:rPr>
          <w:rFonts w:ascii="宋体"/>
          <w:szCs w:val="21"/>
        </w:rPr>
      </w:pPr>
      <w:r>
        <w:rPr>
          <w:rFonts w:hint="eastAsia" w:ascii="宋体"/>
          <w:szCs w:val="21"/>
        </w:rPr>
        <w:t>35.9 采购组织机构对评标委员会评审专家进行评价。</w:t>
      </w:r>
    </w:p>
    <w:p>
      <w:pPr>
        <w:widowControl/>
        <w:spacing w:line="440" w:lineRule="exact"/>
        <w:ind w:firstLine="210" w:firstLineChars="100"/>
        <w:rPr>
          <w:rFonts w:ascii="宋体"/>
          <w:szCs w:val="21"/>
        </w:rPr>
      </w:pPr>
      <w:r>
        <w:rPr>
          <w:rFonts w:hint="eastAsia" w:ascii="宋体"/>
          <w:szCs w:val="21"/>
        </w:rPr>
        <w:t>35.10 修改评审结果</w:t>
      </w:r>
    </w:p>
    <w:p>
      <w:pPr>
        <w:widowControl/>
        <w:spacing w:line="440" w:lineRule="exact"/>
        <w:ind w:firstLine="210" w:firstLineChars="100"/>
        <w:rPr>
          <w:rFonts w:ascii="宋体"/>
          <w:szCs w:val="21"/>
        </w:rPr>
      </w:pPr>
      <w:r>
        <w:rPr>
          <w:rFonts w:hint="eastAsia" w:ascii="宋体"/>
          <w:szCs w:val="21"/>
        </w:rPr>
        <w:t>评标结果汇总完成后，除下列情形外，任何人不得修改评标结果：</w:t>
      </w:r>
    </w:p>
    <w:p>
      <w:pPr>
        <w:widowControl/>
        <w:spacing w:line="440" w:lineRule="exact"/>
        <w:ind w:firstLine="210" w:firstLineChars="100"/>
        <w:rPr>
          <w:rFonts w:ascii="宋体"/>
          <w:szCs w:val="21"/>
        </w:rPr>
      </w:pPr>
      <w:r>
        <w:rPr>
          <w:rFonts w:hint="eastAsia" w:ascii="宋体"/>
          <w:szCs w:val="21"/>
        </w:rPr>
        <w:t>（1）分值汇总计算错误的；</w:t>
      </w:r>
    </w:p>
    <w:p>
      <w:pPr>
        <w:widowControl/>
        <w:spacing w:line="440" w:lineRule="exact"/>
        <w:ind w:firstLine="210" w:firstLineChars="100"/>
        <w:rPr>
          <w:rFonts w:ascii="宋体"/>
          <w:szCs w:val="21"/>
        </w:rPr>
      </w:pPr>
      <w:r>
        <w:rPr>
          <w:rFonts w:hint="eastAsia" w:ascii="宋体"/>
          <w:szCs w:val="21"/>
        </w:rPr>
        <w:t>（2）分项评分超出评分标准范围的；</w:t>
      </w:r>
    </w:p>
    <w:p>
      <w:pPr>
        <w:widowControl/>
        <w:spacing w:line="440" w:lineRule="exact"/>
        <w:ind w:firstLine="210" w:firstLineChars="100"/>
        <w:rPr>
          <w:rFonts w:ascii="宋体"/>
          <w:szCs w:val="21"/>
        </w:rPr>
      </w:pPr>
      <w:r>
        <w:rPr>
          <w:rFonts w:hint="eastAsia" w:ascii="宋体"/>
          <w:szCs w:val="21"/>
        </w:rPr>
        <w:t>（3）评标委员会成员对客观评审因素评分不一致的；</w:t>
      </w:r>
    </w:p>
    <w:p>
      <w:pPr>
        <w:widowControl/>
        <w:spacing w:line="440" w:lineRule="exact"/>
        <w:ind w:firstLine="210" w:firstLineChars="100"/>
        <w:rPr>
          <w:rFonts w:ascii="宋体"/>
          <w:szCs w:val="21"/>
        </w:rPr>
      </w:pPr>
      <w:r>
        <w:rPr>
          <w:rFonts w:hint="eastAsia" w:ascii="宋体"/>
          <w:szCs w:val="21"/>
        </w:rPr>
        <w:t>（4）经评标委员会认定评分畸高、畸低的。</w:t>
      </w:r>
    </w:p>
    <w:p>
      <w:pPr>
        <w:widowControl/>
        <w:spacing w:line="440" w:lineRule="exact"/>
        <w:ind w:firstLine="210" w:firstLineChars="100"/>
        <w:rPr>
          <w:rFonts w:ascii="宋体"/>
          <w:szCs w:val="21"/>
        </w:rPr>
      </w:pPr>
      <w:r>
        <w:rPr>
          <w:rFonts w:hint="eastAsia" w:ascii="宋体"/>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440" w:lineRule="exact"/>
        <w:ind w:firstLine="210" w:firstLineChars="100"/>
        <w:jc w:val="left"/>
        <w:outlineLvl w:val="3"/>
        <w:rPr>
          <w:rFonts w:ascii="宋体"/>
          <w:szCs w:val="21"/>
        </w:rPr>
      </w:pPr>
      <w:r>
        <w:rPr>
          <w:rFonts w:hint="eastAsia" w:ascii="宋体"/>
          <w:szCs w:val="21"/>
        </w:rPr>
        <w:t>36．澄清、说明或补正的形式</w:t>
      </w:r>
    </w:p>
    <w:p>
      <w:pPr>
        <w:spacing w:line="440" w:lineRule="exact"/>
        <w:ind w:firstLine="210" w:firstLineChars="100"/>
        <w:jc w:val="left"/>
        <w:rPr>
          <w:rFonts w:ascii="宋体"/>
          <w:szCs w:val="21"/>
        </w:rPr>
      </w:pPr>
      <w:r>
        <w:rPr>
          <w:rFonts w:hint="eastAsia" w:ascii="宋体"/>
          <w:szCs w:val="21"/>
        </w:rPr>
        <w:t>36.1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pacing w:line="440" w:lineRule="exact"/>
        <w:ind w:firstLine="210" w:firstLineChars="100"/>
        <w:jc w:val="left"/>
        <w:rPr>
          <w:rFonts w:ascii="宋体"/>
          <w:szCs w:val="21"/>
        </w:rPr>
      </w:pPr>
      <w:r>
        <w:rPr>
          <w:rFonts w:hint="eastAsia" w:ascii="宋体"/>
          <w:szCs w:val="21"/>
        </w:rPr>
        <w:t>36.2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pacing w:line="440" w:lineRule="exact"/>
        <w:ind w:firstLine="210" w:firstLineChars="100"/>
        <w:jc w:val="left"/>
        <w:rPr>
          <w:rFonts w:ascii="宋体"/>
          <w:szCs w:val="21"/>
        </w:rPr>
      </w:pPr>
      <w:r>
        <w:rPr>
          <w:rFonts w:hint="eastAsia" w:ascii="宋体"/>
          <w:szCs w:val="21"/>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pacing w:line="440" w:lineRule="exact"/>
        <w:ind w:firstLine="210" w:firstLineChars="100"/>
        <w:jc w:val="left"/>
        <w:outlineLvl w:val="3"/>
        <w:rPr>
          <w:rFonts w:ascii="宋体"/>
          <w:szCs w:val="21"/>
        </w:rPr>
      </w:pPr>
      <w:r>
        <w:rPr>
          <w:rFonts w:hint="eastAsia" w:ascii="宋体"/>
          <w:szCs w:val="21"/>
        </w:rPr>
        <w:t>37．错误修正的原则</w:t>
      </w:r>
    </w:p>
    <w:p>
      <w:pPr>
        <w:spacing w:line="440" w:lineRule="exact"/>
        <w:ind w:firstLine="210" w:firstLineChars="100"/>
        <w:jc w:val="left"/>
        <w:rPr>
          <w:rFonts w:ascii="宋体"/>
          <w:szCs w:val="21"/>
        </w:rPr>
      </w:pPr>
      <w:r>
        <w:rPr>
          <w:rFonts w:hint="eastAsia" w:ascii="宋体"/>
          <w:szCs w:val="21"/>
        </w:rPr>
        <w:t>电子交易平台客户端里开标一览表录入的投标报价或优惠率与扫描上传的报价文件信息不一致的，以扫描上传的报价文件信息为准进行修正。</w:t>
      </w:r>
    </w:p>
    <w:p>
      <w:pPr>
        <w:spacing w:line="440" w:lineRule="exact"/>
        <w:ind w:firstLine="210" w:firstLineChars="100"/>
        <w:jc w:val="left"/>
        <w:rPr>
          <w:rFonts w:ascii="宋体"/>
          <w:szCs w:val="21"/>
        </w:rPr>
      </w:pPr>
      <w:r>
        <w:rPr>
          <w:rFonts w:hint="eastAsia" w:ascii="宋体"/>
          <w:szCs w:val="21"/>
        </w:rPr>
        <w:t>投标文件报价出现前后不一致的，除采购文件另有规定外，按照下列规定修正：</w:t>
      </w:r>
    </w:p>
    <w:p>
      <w:pPr>
        <w:spacing w:line="440" w:lineRule="exact"/>
        <w:ind w:firstLine="210" w:firstLineChars="100"/>
        <w:jc w:val="left"/>
        <w:rPr>
          <w:rFonts w:ascii="宋体"/>
          <w:szCs w:val="21"/>
        </w:rPr>
      </w:pPr>
      <w:r>
        <w:rPr>
          <w:rFonts w:hint="eastAsia" w:ascii="宋体"/>
          <w:szCs w:val="21"/>
        </w:rPr>
        <w:t>37.1 投标函中表述的内容与报价表中不一致的，以报价表为准；报价表中的内容与报价明细表不一致的，以报价表为准；</w:t>
      </w:r>
    </w:p>
    <w:p>
      <w:pPr>
        <w:spacing w:line="440" w:lineRule="exact"/>
        <w:ind w:firstLine="210" w:firstLineChars="100"/>
        <w:jc w:val="left"/>
        <w:rPr>
          <w:rFonts w:ascii="宋体"/>
          <w:szCs w:val="21"/>
        </w:rPr>
      </w:pPr>
      <w:r>
        <w:rPr>
          <w:rFonts w:hint="eastAsia" w:ascii="宋体"/>
          <w:szCs w:val="21"/>
        </w:rPr>
        <w:t>37.2 投标文件中的大写金额和小写金额不一致的，以大写金额为准；</w:t>
      </w:r>
    </w:p>
    <w:p>
      <w:pPr>
        <w:spacing w:line="440" w:lineRule="exact"/>
        <w:ind w:firstLine="210" w:firstLineChars="100"/>
        <w:jc w:val="left"/>
        <w:rPr>
          <w:rFonts w:ascii="宋体"/>
          <w:szCs w:val="21"/>
        </w:rPr>
      </w:pPr>
      <w:r>
        <w:rPr>
          <w:rFonts w:hint="eastAsia" w:ascii="宋体"/>
          <w:szCs w:val="21"/>
        </w:rPr>
        <w:t>37.3 单价金额小数点或者百分比有明显错位的，以开标一览表的总价为准，并修改单价；</w:t>
      </w:r>
    </w:p>
    <w:p>
      <w:pPr>
        <w:spacing w:line="440" w:lineRule="exact"/>
        <w:ind w:firstLine="210" w:firstLineChars="100"/>
        <w:jc w:val="left"/>
        <w:rPr>
          <w:rFonts w:ascii="宋体"/>
          <w:szCs w:val="21"/>
        </w:rPr>
      </w:pPr>
      <w:r>
        <w:rPr>
          <w:rFonts w:hint="eastAsia" w:ascii="宋体"/>
          <w:szCs w:val="21"/>
        </w:rPr>
        <w:t>37.4 总价金额与按单价汇总金额不一致的，以单价金额计算结果为准；</w:t>
      </w:r>
    </w:p>
    <w:p>
      <w:pPr>
        <w:spacing w:line="440" w:lineRule="exact"/>
        <w:ind w:firstLine="210" w:firstLineChars="100"/>
        <w:jc w:val="left"/>
        <w:rPr>
          <w:rFonts w:ascii="宋体"/>
          <w:szCs w:val="21"/>
        </w:rPr>
      </w:pPr>
      <w:r>
        <w:rPr>
          <w:rFonts w:hint="eastAsia" w:ascii="宋体"/>
          <w:szCs w:val="21"/>
        </w:rPr>
        <w:t>37.5 若用文字表示的数值与用数字表示的数值不一致，以文字表示的数值为准；</w:t>
      </w:r>
    </w:p>
    <w:p>
      <w:pPr>
        <w:spacing w:line="440" w:lineRule="exact"/>
        <w:ind w:firstLine="210" w:firstLineChars="100"/>
        <w:jc w:val="left"/>
        <w:rPr>
          <w:rFonts w:ascii="宋体"/>
          <w:szCs w:val="21"/>
        </w:rPr>
      </w:pPr>
      <w:r>
        <w:rPr>
          <w:rFonts w:hint="eastAsia" w:ascii="宋体"/>
          <w:szCs w:val="21"/>
        </w:rPr>
        <w:t>37.6 如有多报（指数量超出采购文件需求）、重报（指同一货物重复报价），其投标总价在评标过程中不予调整，如其中标，其合同价按其投标单价予以调整；</w:t>
      </w:r>
    </w:p>
    <w:p>
      <w:pPr>
        <w:spacing w:line="440" w:lineRule="exact"/>
        <w:ind w:firstLine="210" w:firstLineChars="100"/>
        <w:jc w:val="left"/>
        <w:rPr>
          <w:rFonts w:ascii="宋体"/>
          <w:szCs w:val="21"/>
        </w:rPr>
      </w:pPr>
      <w:r>
        <w:rPr>
          <w:rFonts w:hint="eastAsia" w:ascii="宋体"/>
          <w:szCs w:val="21"/>
        </w:rPr>
        <w:t>37.7 对不同文字文本投标文件的解释发生异议的，以中文文本为准；</w:t>
      </w:r>
    </w:p>
    <w:p>
      <w:pPr>
        <w:spacing w:line="440" w:lineRule="exact"/>
        <w:ind w:firstLine="210" w:firstLineChars="100"/>
        <w:jc w:val="left"/>
        <w:rPr>
          <w:rFonts w:ascii="宋体"/>
          <w:szCs w:val="21"/>
        </w:rPr>
      </w:pPr>
      <w:r>
        <w:rPr>
          <w:rFonts w:hint="eastAsia" w:ascii="宋体"/>
          <w:szCs w:val="21"/>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pacing w:line="440" w:lineRule="exact"/>
        <w:ind w:firstLine="210" w:firstLineChars="100"/>
        <w:jc w:val="left"/>
        <w:outlineLvl w:val="3"/>
        <w:rPr>
          <w:rFonts w:ascii="宋体"/>
          <w:szCs w:val="21"/>
        </w:rPr>
      </w:pPr>
      <w:r>
        <w:rPr>
          <w:rFonts w:hint="eastAsia" w:ascii="宋体"/>
          <w:szCs w:val="21"/>
        </w:rPr>
        <w:t>38．无效投标文件</w:t>
      </w:r>
    </w:p>
    <w:p>
      <w:pPr>
        <w:spacing w:line="440" w:lineRule="exact"/>
        <w:ind w:firstLine="210" w:firstLineChars="100"/>
        <w:jc w:val="left"/>
        <w:rPr>
          <w:rFonts w:ascii="宋体"/>
          <w:szCs w:val="21"/>
        </w:rPr>
      </w:pPr>
      <w:r>
        <w:rPr>
          <w:rFonts w:hint="eastAsia" w:ascii="宋体"/>
          <w:szCs w:val="21"/>
        </w:rPr>
        <w:t>有下列情形之一的，投标文件按无效标处理：</w:t>
      </w:r>
    </w:p>
    <w:p>
      <w:pPr>
        <w:spacing w:line="440" w:lineRule="exact"/>
        <w:ind w:firstLine="210" w:firstLineChars="100"/>
        <w:jc w:val="left"/>
        <w:rPr>
          <w:rFonts w:ascii="宋体"/>
          <w:szCs w:val="21"/>
        </w:rPr>
      </w:pPr>
      <w:r>
        <w:rPr>
          <w:rFonts w:hint="eastAsia" w:ascii="宋体"/>
          <w:szCs w:val="21"/>
        </w:rPr>
        <w:t>38.1 报名的投标人与参加投标的投标人发生实质性变更的且未提供有效证明的；</w:t>
      </w:r>
    </w:p>
    <w:p>
      <w:pPr>
        <w:spacing w:line="440" w:lineRule="exact"/>
        <w:ind w:firstLine="210" w:firstLineChars="100"/>
        <w:jc w:val="left"/>
        <w:rPr>
          <w:rFonts w:ascii="宋体"/>
          <w:szCs w:val="21"/>
        </w:rPr>
      </w:pPr>
      <w:r>
        <w:rPr>
          <w:rFonts w:hint="eastAsia" w:ascii="宋体"/>
          <w:szCs w:val="21"/>
        </w:rPr>
        <w:t>38.2投标人提交两份或两份以上内容不同的投标文件，未声明哪一份有效的；</w:t>
      </w:r>
    </w:p>
    <w:p>
      <w:pPr>
        <w:spacing w:line="440" w:lineRule="exact"/>
        <w:ind w:firstLine="210" w:firstLineChars="100"/>
        <w:jc w:val="left"/>
        <w:rPr>
          <w:rFonts w:ascii="宋体"/>
          <w:szCs w:val="21"/>
        </w:rPr>
      </w:pPr>
      <w:r>
        <w:rPr>
          <w:rFonts w:hint="eastAsia" w:ascii="宋体"/>
          <w:szCs w:val="21"/>
        </w:rPr>
        <w:t>38.3 投标文件非投标人法定代表人签署的，未提供或提供无效的法定代表人授权书；</w:t>
      </w:r>
    </w:p>
    <w:p>
      <w:pPr>
        <w:spacing w:line="440" w:lineRule="exact"/>
        <w:ind w:firstLine="210" w:firstLineChars="100"/>
        <w:jc w:val="left"/>
        <w:rPr>
          <w:rFonts w:ascii="宋体"/>
          <w:szCs w:val="21"/>
        </w:rPr>
      </w:pPr>
      <w:r>
        <w:rPr>
          <w:rFonts w:hint="eastAsia" w:ascii="宋体"/>
          <w:szCs w:val="21"/>
        </w:rPr>
        <w:t>38.4 未按招标文件规定装订；</w:t>
      </w:r>
    </w:p>
    <w:p>
      <w:pPr>
        <w:spacing w:line="440" w:lineRule="exact"/>
        <w:ind w:firstLine="210" w:firstLineChars="100"/>
        <w:jc w:val="left"/>
        <w:rPr>
          <w:rFonts w:ascii="宋体"/>
          <w:szCs w:val="21"/>
        </w:rPr>
      </w:pPr>
      <w:r>
        <w:rPr>
          <w:rFonts w:hint="eastAsia" w:ascii="宋体"/>
          <w:szCs w:val="21"/>
        </w:rPr>
        <w:t>38.5 投标文件内容未按招标文件规定签字或盖章的；</w:t>
      </w:r>
    </w:p>
    <w:p>
      <w:pPr>
        <w:spacing w:line="440" w:lineRule="exact"/>
        <w:ind w:firstLine="210" w:firstLineChars="100"/>
        <w:jc w:val="left"/>
        <w:rPr>
          <w:rFonts w:ascii="宋体"/>
          <w:szCs w:val="21"/>
        </w:rPr>
      </w:pPr>
      <w:r>
        <w:rPr>
          <w:rFonts w:hint="eastAsia" w:ascii="宋体"/>
          <w:szCs w:val="21"/>
        </w:rPr>
        <w:t>38.6 投标文件组成漏项或未按规定的格式编制或投标文件正、副本份数不足或内容不全或内容字迹模糊辨认不清的等而导致评标活动无法正常进行；</w:t>
      </w:r>
    </w:p>
    <w:p>
      <w:pPr>
        <w:spacing w:line="440" w:lineRule="exact"/>
        <w:ind w:firstLine="210" w:firstLineChars="100"/>
        <w:jc w:val="left"/>
        <w:outlineLvl w:val="4"/>
        <w:rPr>
          <w:rFonts w:ascii="宋体"/>
          <w:szCs w:val="21"/>
        </w:rPr>
      </w:pPr>
      <w:r>
        <w:rPr>
          <w:rFonts w:hint="eastAsia" w:ascii="宋体"/>
          <w:szCs w:val="21"/>
        </w:rPr>
        <w:t>38.7 投标人未按招标文件变更通知更改投标文件的；</w:t>
      </w:r>
    </w:p>
    <w:p>
      <w:pPr>
        <w:spacing w:line="440" w:lineRule="exact"/>
        <w:ind w:firstLine="210" w:firstLineChars="100"/>
        <w:jc w:val="left"/>
        <w:rPr>
          <w:rFonts w:ascii="宋体"/>
          <w:szCs w:val="21"/>
        </w:rPr>
      </w:pPr>
      <w:r>
        <w:rPr>
          <w:rFonts w:hint="eastAsia" w:ascii="宋体"/>
          <w:szCs w:val="21"/>
        </w:rPr>
        <w:t>38.8 《开标一览表》和《投标分项报价表》内容不完整且不接受修正意见或字迹不能辨认的或未提供；</w:t>
      </w:r>
    </w:p>
    <w:p>
      <w:pPr>
        <w:spacing w:line="440" w:lineRule="exact"/>
        <w:ind w:firstLine="210" w:firstLineChars="100"/>
        <w:jc w:val="left"/>
        <w:outlineLvl w:val="4"/>
        <w:rPr>
          <w:rFonts w:ascii="宋体"/>
          <w:szCs w:val="21"/>
        </w:rPr>
      </w:pPr>
      <w:r>
        <w:rPr>
          <w:rFonts w:hint="eastAsia" w:ascii="宋体"/>
          <w:szCs w:val="21"/>
        </w:rPr>
        <w:t>38.9 标项投标报价超过招标文件规定的预算金额或最高限价</w:t>
      </w:r>
    </w:p>
    <w:p>
      <w:pPr>
        <w:spacing w:line="440" w:lineRule="exact"/>
        <w:ind w:firstLine="210" w:firstLineChars="100"/>
        <w:jc w:val="left"/>
        <w:rPr>
          <w:rFonts w:ascii="宋体"/>
          <w:szCs w:val="21"/>
        </w:rPr>
      </w:pPr>
      <w:r>
        <w:rPr>
          <w:rFonts w:hint="eastAsia" w:ascii="宋体"/>
          <w:szCs w:val="21"/>
        </w:rPr>
        <w:t>38.10 因投标人原因编制错误造成经评标委员会修正后的报价达到或超过投标报价的0.5%；</w:t>
      </w:r>
    </w:p>
    <w:p>
      <w:pPr>
        <w:spacing w:line="440" w:lineRule="exact"/>
        <w:ind w:firstLine="210" w:firstLineChars="100"/>
        <w:jc w:val="left"/>
        <w:rPr>
          <w:rFonts w:ascii="宋体"/>
          <w:szCs w:val="21"/>
        </w:rPr>
      </w:pPr>
      <w:r>
        <w:rPr>
          <w:rFonts w:hint="eastAsia" w:ascii="宋体"/>
          <w:szCs w:val="21"/>
        </w:rPr>
        <w:t>38.11 投标人的报价明显低于其他通过符合性审查投标人的报价，有可能影响产品质量或者不能诚信履约的，且在规定时间内不能合理说明原因并提供证明材料的；</w:t>
      </w:r>
    </w:p>
    <w:p>
      <w:pPr>
        <w:spacing w:line="440" w:lineRule="exact"/>
        <w:ind w:firstLine="210" w:firstLineChars="100"/>
        <w:jc w:val="left"/>
        <w:outlineLvl w:val="4"/>
        <w:rPr>
          <w:rFonts w:ascii="宋体"/>
          <w:szCs w:val="21"/>
        </w:rPr>
      </w:pPr>
      <w:r>
        <w:rPr>
          <w:rFonts w:hint="eastAsia" w:ascii="宋体"/>
          <w:szCs w:val="21"/>
        </w:rPr>
        <w:t>38.12 未实质性响应招标文件中条款要求的投标文件；</w:t>
      </w:r>
    </w:p>
    <w:p>
      <w:pPr>
        <w:spacing w:line="440" w:lineRule="exact"/>
        <w:ind w:firstLine="210" w:firstLineChars="100"/>
        <w:jc w:val="left"/>
        <w:rPr>
          <w:rFonts w:ascii="宋体"/>
          <w:szCs w:val="21"/>
        </w:rPr>
      </w:pPr>
      <w:r>
        <w:rPr>
          <w:rFonts w:hint="eastAsia" w:ascii="宋体"/>
          <w:szCs w:val="21"/>
        </w:rPr>
        <w:t>38.13 不符合招标范围、技术规格、技术标准的要求无法满足采购人使用要求；</w:t>
      </w:r>
    </w:p>
    <w:p>
      <w:pPr>
        <w:spacing w:line="440" w:lineRule="exact"/>
        <w:ind w:firstLine="210" w:firstLineChars="100"/>
        <w:jc w:val="left"/>
        <w:outlineLvl w:val="4"/>
        <w:rPr>
          <w:rFonts w:ascii="宋体"/>
          <w:szCs w:val="21"/>
        </w:rPr>
      </w:pPr>
      <w:r>
        <w:rPr>
          <w:rFonts w:hint="eastAsia" w:ascii="宋体"/>
          <w:szCs w:val="21"/>
        </w:rPr>
        <w:t>38.14 投标文件附有采购人不能接受的条款；</w:t>
      </w:r>
    </w:p>
    <w:p>
      <w:pPr>
        <w:spacing w:line="440" w:lineRule="exact"/>
        <w:ind w:firstLine="210" w:firstLineChars="100"/>
        <w:jc w:val="left"/>
        <w:rPr>
          <w:rFonts w:ascii="宋体"/>
          <w:szCs w:val="21"/>
        </w:rPr>
      </w:pPr>
      <w:r>
        <w:rPr>
          <w:rFonts w:hint="eastAsia" w:ascii="宋体"/>
          <w:szCs w:val="21"/>
        </w:rPr>
        <w:t>38.15 投标文件中提供了赠品或者与本项目采购无关的其他商品、服务；</w:t>
      </w:r>
    </w:p>
    <w:p>
      <w:pPr>
        <w:spacing w:line="440" w:lineRule="exact"/>
        <w:ind w:firstLine="210" w:firstLineChars="100"/>
        <w:jc w:val="left"/>
        <w:rPr>
          <w:rFonts w:ascii="宋体"/>
          <w:szCs w:val="21"/>
        </w:rPr>
      </w:pPr>
      <w:r>
        <w:rPr>
          <w:rFonts w:hint="eastAsia" w:ascii="宋体"/>
          <w:szCs w:val="21"/>
        </w:rPr>
        <w:t>38.16 投标文件中承诺的投标有效期少于招标文件中载明的投标有效期；</w:t>
      </w:r>
    </w:p>
    <w:p>
      <w:pPr>
        <w:spacing w:line="440" w:lineRule="exact"/>
        <w:ind w:firstLine="210" w:firstLineChars="100"/>
        <w:jc w:val="left"/>
        <w:rPr>
          <w:rFonts w:ascii="宋体"/>
          <w:szCs w:val="21"/>
        </w:rPr>
      </w:pPr>
      <w:r>
        <w:rPr>
          <w:rFonts w:hint="eastAsia" w:ascii="宋体"/>
          <w:szCs w:val="21"/>
        </w:rPr>
        <w:t>38.17投标人串通投标，妨碍其他投标人的竞争行为，损害采购人或者其他投标人的合法权益；</w:t>
      </w:r>
    </w:p>
    <w:p>
      <w:pPr>
        <w:spacing w:line="440" w:lineRule="exact"/>
        <w:ind w:firstLine="210" w:firstLineChars="100"/>
        <w:jc w:val="left"/>
        <w:rPr>
          <w:rFonts w:ascii="宋体"/>
          <w:szCs w:val="21"/>
        </w:rPr>
      </w:pPr>
      <w:r>
        <w:rPr>
          <w:rFonts w:hint="eastAsia" w:ascii="宋体"/>
          <w:szCs w:val="21"/>
        </w:rPr>
        <w:t>38.18违反国家及政府部门相关法律、法规、文件规定或经评标委员会认定的其他属于重大偏离；</w:t>
      </w:r>
    </w:p>
    <w:p>
      <w:pPr>
        <w:spacing w:line="440" w:lineRule="exact"/>
        <w:ind w:firstLine="210" w:firstLineChars="100"/>
        <w:jc w:val="left"/>
        <w:outlineLvl w:val="3"/>
        <w:rPr>
          <w:rFonts w:ascii="宋体"/>
          <w:szCs w:val="21"/>
        </w:rPr>
      </w:pPr>
      <w:r>
        <w:rPr>
          <w:rFonts w:hint="eastAsia" w:ascii="宋体"/>
          <w:szCs w:val="21"/>
        </w:rPr>
        <w:t>39．废标</w:t>
      </w:r>
    </w:p>
    <w:p>
      <w:pPr>
        <w:spacing w:line="440" w:lineRule="exact"/>
        <w:ind w:firstLine="210" w:firstLineChars="100"/>
        <w:jc w:val="left"/>
        <w:rPr>
          <w:rFonts w:ascii="宋体"/>
          <w:szCs w:val="21"/>
        </w:rPr>
      </w:pPr>
      <w:r>
        <w:rPr>
          <w:rFonts w:hint="eastAsia" w:ascii="宋体"/>
          <w:szCs w:val="21"/>
        </w:rPr>
        <w:t>39.1 符合招标文件规定废标情形的；</w:t>
      </w:r>
    </w:p>
    <w:p>
      <w:pPr>
        <w:spacing w:line="440" w:lineRule="exact"/>
        <w:ind w:firstLine="210" w:firstLineChars="100"/>
        <w:jc w:val="left"/>
        <w:rPr>
          <w:rFonts w:ascii="宋体"/>
          <w:szCs w:val="21"/>
        </w:rPr>
      </w:pPr>
      <w:r>
        <w:rPr>
          <w:rFonts w:hint="eastAsia" w:ascii="宋体"/>
          <w:szCs w:val="21"/>
        </w:rPr>
        <w:t>39.2 出现影响采购公正的违法、违规行为的；</w:t>
      </w:r>
    </w:p>
    <w:p>
      <w:pPr>
        <w:spacing w:line="440" w:lineRule="exact"/>
        <w:ind w:firstLine="210" w:firstLineChars="100"/>
        <w:jc w:val="left"/>
        <w:rPr>
          <w:rFonts w:ascii="宋体"/>
          <w:szCs w:val="21"/>
        </w:rPr>
      </w:pPr>
      <w:r>
        <w:rPr>
          <w:rFonts w:hint="eastAsia" w:ascii="宋体"/>
          <w:szCs w:val="21"/>
        </w:rPr>
        <w:t>39.3 供应商的报价均超过了采购预算（或最高限价），采购人不能支付的;</w:t>
      </w:r>
    </w:p>
    <w:p>
      <w:pPr>
        <w:spacing w:line="440" w:lineRule="exact"/>
        <w:ind w:firstLine="210" w:firstLineChars="100"/>
        <w:jc w:val="left"/>
        <w:outlineLvl w:val="4"/>
        <w:rPr>
          <w:rFonts w:ascii="宋体"/>
          <w:szCs w:val="21"/>
        </w:rPr>
      </w:pPr>
      <w:r>
        <w:rPr>
          <w:rFonts w:hint="eastAsia" w:ascii="宋体"/>
          <w:szCs w:val="21"/>
        </w:rPr>
        <w:t>39.4 因重大变故，采购任务取消的。</w:t>
      </w:r>
    </w:p>
    <w:p>
      <w:pPr>
        <w:spacing w:line="440" w:lineRule="exact"/>
        <w:ind w:firstLine="210" w:firstLineChars="100"/>
        <w:jc w:val="left"/>
        <w:outlineLvl w:val="3"/>
        <w:rPr>
          <w:rFonts w:ascii="宋体"/>
          <w:szCs w:val="21"/>
        </w:rPr>
      </w:pPr>
      <w:r>
        <w:rPr>
          <w:rFonts w:hint="eastAsia" w:ascii="宋体"/>
          <w:szCs w:val="21"/>
        </w:rPr>
        <w:t>40．突发情况处理</w:t>
      </w:r>
    </w:p>
    <w:p>
      <w:pPr>
        <w:spacing w:line="440" w:lineRule="exact"/>
        <w:ind w:firstLine="210" w:firstLineChars="100"/>
        <w:jc w:val="left"/>
        <w:rPr>
          <w:rFonts w:ascii="宋体"/>
          <w:szCs w:val="21"/>
        </w:rPr>
      </w:pPr>
      <w:r>
        <w:rPr>
          <w:rFonts w:hint="eastAsia" w:ascii="宋体"/>
          <w:szCs w:val="21"/>
        </w:rPr>
        <w:t>40.1 采购过程中出现以下情形，导致电子交易平台无法正常运行，或者无法保证电子交易的公平、公正和安全时，采购组织机构可中止电子交易活动：</w:t>
      </w:r>
    </w:p>
    <w:p>
      <w:pPr>
        <w:spacing w:line="440" w:lineRule="exact"/>
        <w:ind w:firstLine="210" w:firstLineChars="100"/>
        <w:jc w:val="left"/>
        <w:rPr>
          <w:rFonts w:ascii="宋体"/>
          <w:szCs w:val="21"/>
        </w:rPr>
      </w:pPr>
      <w:r>
        <w:rPr>
          <w:rFonts w:hint="eastAsia" w:ascii="宋体"/>
          <w:szCs w:val="21"/>
        </w:rPr>
        <w:t xml:space="preserve">（1）电子交易平台发生故障而无法登录访问的； </w:t>
      </w:r>
    </w:p>
    <w:p>
      <w:pPr>
        <w:spacing w:line="440" w:lineRule="exact"/>
        <w:ind w:firstLine="210" w:firstLineChars="100"/>
        <w:jc w:val="left"/>
        <w:rPr>
          <w:rFonts w:ascii="宋体"/>
          <w:szCs w:val="21"/>
        </w:rPr>
      </w:pPr>
      <w:r>
        <w:rPr>
          <w:rFonts w:hint="eastAsia" w:ascii="宋体"/>
          <w:szCs w:val="21"/>
        </w:rPr>
        <w:t>（2）电子交易平台应用或数据库出现错误，不能进行正常操作的；</w:t>
      </w:r>
    </w:p>
    <w:p>
      <w:pPr>
        <w:spacing w:line="440" w:lineRule="exact"/>
        <w:ind w:firstLine="210" w:firstLineChars="100"/>
        <w:jc w:val="left"/>
        <w:rPr>
          <w:rFonts w:ascii="宋体"/>
          <w:szCs w:val="21"/>
        </w:rPr>
      </w:pPr>
      <w:r>
        <w:rPr>
          <w:rFonts w:hint="eastAsia" w:ascii="宋体"/>
          <w:szCs w:val="21"/>
        </w:rPr>
        <w:t>（3）电子交易平台发现严重安全漏洞，有潜在泄密危险的；</w:t>
      </w:r>
    </w:p>
    <w:p>
      <w:pPr>
        <w:spacing w:line="440" w:lineRule="exact"/>
        <w:ind w:firstLine="210" w:firstLineChars="100"/>
        <w:jc w:val="left"/>
        <w:rPr>
          <w:rFonts w:ascii="宋体"/>
          <w:szCs w:val="21"/>
        </w:rPr>
      </w:pPr>
      <w:r>
        <w:rPr>
          <w:rFonts w:hint="eastAsia" w:ascii="宋体"/>
          <w:szCs w:val="21"/>
        </w:rPr>
        <w:t xml:space="preserve">（4）病毒发作导致不能进行正常操作的； </w:t>
      </w:r>
    </w:p>
    <w:p>
      <w:pPr>
        <w:spacing w:line="440" w:lineRule="exact"/>
        <w:ind w:firstLine="210" w:firstLineChars="100"/>
        <w:jc w:val="left"/>
        <w:rPr>
          <w:rFonts w:ascii="宋体"/>
          <w:szCs w:val="21"/>
        </w:rPr>
      </w:pPr>
      <w:r>
        <w:rPr>
          <w:rFonts w:hint="eastAsia" w:ascii="宋体"/>
          <w:szCs w:val="21"/>
        </w:rPr>
        <w:t>（5）其他无法保证电子交易的公平、公正和安全的情况。</w:t>
      </w:r>
    </w:p>
    <w:p>
      <w:pPr>
        <w:spacing w:line="440" w:lineRule="exact"/>
        <w:ind w:firstLine="210" w:firstLineChars="100"/>
        <w:jc w:val="left"/>
        <w:rPr>
          <w:rFonts w:ascii="宋体"/>
          <w:szCs w:val="21"/>
        </w:rPr>
      </w:pPr>
      <w:r>
        <w:rPr>
          <w:rFonts w:hint="eastAsia" w:ascii="宋体"/>
          <w:szCs w:val="21"/>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440" w:lineRule="exact"/>
        <w:ind w:firstLine="210" w:firstLineChars="100"/>
        <w:jc w:val="left"/>
        <w:rPr>
          <w:rFonts w:ascii="宋体"/>
          <w:szCs w:val="21"/>
        </w:rPr>
      </w:pPr>
      <w:r>
        <w:rPr>
          <w:rFonts w:hint="eastAsia" w:ascii="宋体"/>
          <w:szCs w:val="21"/>
        </w:rPr>
        <w:t>40.2 采购代理机构或评审小组因不可抗力（不可抗力包括但不限于自然灾害、断电、传播疫病等）原因造成电子交易活动无法正常运行的，将采取以下措施：</w:t>
      </w:r>
    </w:p>
    <w:p>
      <w:pPr>
        <w:spacing w:line="440" w:lineRule="exact"/>
        <w:ind w:firstLine="210" w:firstLineChars="100"/>
        <w:jc w:val="left"/>
        <w:rPr>
          <w:rFonts w:ascii="宋体"/>
          <w:szCs w:val="21"/>
        </w:rPr>
      </w:pPr>
      <w:r>
        <w:rPr>
          <w:rFonts w:hint="eastAsia" w:ascii="宋体"/>
          <w:szCs w:val="21"/>
        </w:rPr>
        <w:t xml:space="preserve">（1）短时间内能消除不可抗力因素的，采购代理机构或评审小组在消除不可抗力因素后继续组织电子交易活动； </w:t>
      </w:r>
    </w:p>
    <w:p>
      <w:pPr>
        <w:spacing w:line="440" w:lineRule="exact"/>
        <w:ind w:firstLine="210" w:firstLineChars="100"/>
        <w:jc w:val="left"/>
        <w:rPr>
          <w:rFonts w:ascii="宋体"/>
          <w:szCs w:val="21"/>
        </w:rPr>
      </w:pPr>
      <w:r>
        <w:rPr>
          <w:rFonts w:hint="eastAsia" w:ascii="宋体"/>
          <w:szCs w:val="21"/>
        </w:rPr>
        <w:t>（2）长时间内无法消除不可抗力因素的，采购代理机构或评审小组将中止电子交易活动。中止电子交易活动的，采购人应当重新组织政府采购活动。</w:t>
      </w:r>
    </w:p>
    <w:p>
      <w:pPr>
        <w:snapToGrid w:val="0"/>
        <w:spacing w:line="360" w:lineRule="exact"/>
        <w:ind w:firstLine="421"/>
        <w:outlineLvl w:val="3"/>
        <w:rPr>
          <w:rFonts w:ascii="宋体"/>
          <w:szCs w:val="21"/>
        </w:rPr>
      </w:pPr>
      <w:r>
        <w:rPr>
          <w:rFonts w:hint="eastAsia" w:ascii="宋体"/>
          <w:szCs w:val="21"/>
        </w:rPr>
        <w:t>41. 定标</w:t>
      </w:r>
    </w:p>
    <w:p>
      <w:pPr>
        <w:spacing w:line="440" w:lineRule="exact"/>
        <w:ind w:firstLine="210" w:firstLineChars="100"/>
        <w:jc w:val="left"/>
        <w:outlineLvl w:val="4"/>
        <w:rPr>
          <w:rFonts w:ascii="宋体"/>
          <w:szCs w:val="21"/>
        </w:rPr>
      </w:pPr>
      <w:r>
        <w:rPr>
          <w:rFonts w:hint="eastAsia" w:ascii="宋体"/>
          <w:szCs w:val="21"/>
        </w:rPr>
        <w:t xml:space="preserve">    41.1采购结果确认（确定中标供应商）</w:t>
      </w:r>
    </w:p>
    <w:p>
      <w:pPr>
        <w:spacing w:line="440" w:lineRule="exact"/>
        <w:ind w:firstLine="210" w:firstLineChars="100"/>
        <w:jc w:val="left"/>
        <w:rPr>
          <w:rFonts w:ascii="宋体"/>
          <w:szCs w:val="21"/>
        </w:rPr>
      </w:pPr>
      <w:r>
        <w:rPr>
          <w:rFonts w:hint="eastAsia" w:ascii="宋体"/>
          <w:szCs w:val="21"/>
        </w:rPr>
        <w:t>采购结果确认（确定中标供应商）：本项目由采购人根据评标委员会提交的《评审报告》，通过“政府采购云平台”依法确认采购结果、确定中标供应商。具体流程如下：</w:t>
      </w:r>
    </w:p>
    <w:p>
      <w:pPr>
        <w:spacing w:line="440" w:lineRule="exact"/>
        <w:ind w:firstLine="210" w:firstLineChars="100"/>
        <w:jc w:val="left"/>
        <w:rPr>
          <w:rFonts w:ascii="宋体"/>
          <w:szCs w:val="21"/>
        </w:rPr>
      </w:pPr>
      <w:r>
        <w:rPr>
          <w:rFonts w:hint="eastAsia" w:ascii="宋体"/>
          <w:szCs w:val="21"/>
        </w:rPr>
        <w:t>（1）采购代理机构将在评审结束后2个工作日内将评审报告送采购人。</w:t>
      </w:r>
    </w:p>
    <w:p>
      <w:pPr>
        <w:spacing w:line="440" w:lineRule="exact"/>
        <w:ind w:firstLine="210" w:firstLineChars="100"/>
        <w:jc w:val="left"/>
        <w:rPr>
          <w:rFonts w:ascii="宋体"/>
          <w:szCs w:val="21"/>
        </w:rPr>
      </w:pPr>
      <w:r>
        <w:rPr>
          <w:rFonts w:hint="eastAsia" w:ascii="宋体"/>
          <w:szCs w:val="21"/>
        </w:rPr>
        <w:t xml:space="preserve">（2）采购人将在收到评审报告之日起5个工作日内，在评审报告推荐的中标候选供应商名单中按顺序确定中标供应商，并将确认意见以书面形式回复采购代理机构。 </w:t>
      </w:r>
    </w:p>
    <w:p>
      <w:pPr>
        <w:spacing w:line="440" w:lineRule="exact"/>
        <w:ind w:firstLine="210" w:firstLineChars="100"/>
        <w:jc w:val="left"/>
        <w:rPr>
          <w:rFonts w:ascii="宋体"/>
          <w:szCs w:val="21"/>
        </w:rPr>
      </w:pPr>
      <w:r>
        <w:rPr>
          <w:rFonts w:hint="eastAsia" w:ascii="宋体"/>
          <w:szCs w:val="21"/>
        </w:rPr>
        <w:t>41.2采购结果经采购人确认后2个工作日内，采购代理机构将在新疆政府采购网（www.zjzfcg.gov.cn）、克州公共资源交易网上公告采购结果，中标公告期限为1个工作日。</w:t>
      </w:r>
    </w:p>
    <w:p>
      <w:pPr>
        <w:spacing w:line="440" w:lineRule="exact"/>
        <w:ind w:firstLine="210" w:firstLineChars="100"/>
        <w:jc w:val="left"/>
        <w:outlineLvl w:val="3"/>
        <w:rPr>
          <w:rFonts w:ascii="宋体"/>
          <w:szCs w:val="21"/>
        </w:rPr>
      </w:pPr>
      <w:r>
        <w:rPr>
          <w:rFonts w:hint="eastAsia" w:ascii="宋体"/>
          <w:szCs w:val="21"/>
        </w:rPr>
        <w:t>42. 中标通知书</w:t>
      </w:r>
    </w:p>
    <w:p>
      <w:pPr>
        <w:spacing w:line="440" w:lineRule="exact"/>
        <w:ind w:firstLine="210" w:firstLineChars="100"/>
        <w:jc w:val="left"/>
        <w:rPr>
          <w:rFonts w:ascii="宋体"/>
          <w:szCs w:val="21"/>
        </w:rPr>
      </w:pPr>
      <w:r>
        <w:rPr>
          <w:rFonts w:hint="eastAsia" w:ascii="宋体"/>
          <w:szCs w:val="21"/>
        </w:rPr>
        <w:t>42.1</w:t>
      </w:r>
      <w:r>
        <w:rPr>
          <w:rFonts w:hint="eastAsia" w:ascii="宋体" w:hAnsi="宋体" w:cs="宋体"/>
          <w:szCs w:val="21"/>
        </w:rPr>
        <w:t>在中标通知书发出前，招标人将中标侯选人的情况在克州公共资源交易中心网、新疆政府采购网予以公示，公示期为一个工作日。待公示期结束后，</w:t>
      </w:r>
      <w:r>
        <w:rPr>
          <w:rFonts w:hint="eastAsia" w:ascii="宋体"/>
          <w:szCs w:val="21"/>
        </w:rPr>
        <w:t>采购组织机构向中标人发出中标通知书。</w:t>
      </w:r>
    </w:p>
    <w:p>
      <w:pPr>
        <w:spacing w:line="440" w:lineRule="exact"/>
        <w:ind w:firstLine="210" w:firstLineChars="100"/>
        <w:jc w:val="left"/>
        <w:rPr>
          <w:rFonts w:ascii="宋体"/>
          <w:szCs w:val="21"/>
        </w:rPr>
      </w:pPr>
      <w:r>
        <w:rPr>
          <w:rFonts w:hint="eastAsia" w:ascii="宋体"/>
          <w:szCs w:val="21"/>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spacing w:before="156" w:beforeLines="50" w:line="440" w:lineRule="exact"/>
        <w:jc w:val="center"/>
        <w:outlineLvl w:val="2"/>
        <w:rPr>
          <w:rFonts w:ascii="宋体" w:hAnsi="宋体" w:cs="宋体"/>
          <w:sz w:val="24"/>
        </w:rPr>
      </w:pPr>
      <w:r>
        <w:rPr>
          <w:rFonts w:hint="eastAsia" w:ascii="宋体" w:hAnsi="宋体" w:cs="宋体"/>
          <w:sz w:val="28"/>
          <w:szCs w:val="28"/>
        </w:rPr>
        <w:t>（六）合同的授予</w:t>
      </w:r>
    </w:p>
    <w:p>
      <w:pPr>
        <w:spacing w:line="440" w:lineRule="exact"/>
        <w:ind w:firstLine="210" w:firstLineChars="100"/>
        <w:jc w:val="left"/>
        <w:outlineLvl w:val="3"/>
        <w:rPr>
          <w:rFonts w:ascii="宋体"/>
          <w:szCs w:val="21"/>
        </w:rPr>
      </w:pPr>
      <w:bookmarkStart w:id="31" w:name="_Toc73975842"/>
      <w:bookmarkStart w:id="32" w:name="_Toc469495730"/>
      <w:r>
        <w:rPr>
          <w:rFonts w:hint="eastAsia" w:ascii="宋体"/>
          <w:szCs w:val="21"/>
        </w:rPr>
        <w:t>43．履约保证金</w:t>
      </w:r>
      <w:bookmarkEnd w:id="31"/>
    </w:p>
    <w:p>
      <w:pPr>
        <w:spacing w:line="440" w:lineRule="exact"/>
        <w:ind w:firstLine="210" w:firstLineChars="100"/>
        <w:jc w:val="left"/>
        <w:rPr>
          <w:rFonts w:ascii="宋体"/>
          <w:szCs w:val="21"/>
        </w:rPr>
      </w:pPr>
      <w:r>
        <w:rPr>
          <w:rFonts w:hint="eastAsia" w:ascii="宋体"/>
          <w:szCs w:val="21"/>
        </w:rPr>
        <w:t>43.1 中标供应商在签订合同后5个工作日内向采购人</w:t>
      </w:r>
      <w:r>
        <w:rPr>
          <w:rFonts w:hint="eastAsia" w:ascii="宋体"/>
          <w:color w:val="auto"/>
          <w:szCs w:val="21"/>
        </w:rPr>
        <w:t>交纳中标价5%的履约保证金（鼓</w:t>
      </w:r>
      <w:r>
        <w:rPr>
          <w:rFonts w:hint="eastAsia" w:ascii="宋体"/>
          <w:szCs w:val="21"/>
        </w:rPr>
        <w:t>励以银行、保险公司出具的履约保函形式提交；若以电汇、银行转账方式提交的，必须转到采购人的指定账户）。</w:t>
      </w:r>
    </w:p>
    <w:p>
      <w:pPr>
        <w:spacing w:line="440" w:lineRule="exact"/>
        <w:ind w:firstLine="210" w:firstLineChars="100"/>
        <w:jc w:val="left"/>
        <w:rPr>
          <w:rFonts w:ascii="宋体"/>
          <w:szCs w:val="21"/>
        </w:rPr>
      </w:pPr>
      <w:r>
        <w:rPr>
          <w:rFonts w:hint="eastAsia" w:ascii="宋体"/>
          <w:szCs w:val="21"/>
        </w:rPr>
        <w:t>43.2 签订合同后，如中标供应商不按合同约定履约的，履约保证金不予退还，履约保证金不足以赔偿损失的，按实际损失赔偿。</w:t>
      </w:r>
    </w:p>
    <w:p>
      <w:pPr>
        <w:spacing w:line="440" w:lineRule="exact"/>
        <w:ind w:firstLine="210" w:firstLineChars="100"/>
        <w:jc w:val="left"/>
        <w:rPr>
          <w:rFonts w:ascii="宋体"/>
          <w:szCs w:val="21"/>
        </w:rPr>
      </w:pPr>
      <w:r>
        <w:rPr>
          <w:rFonts w:hint="eastAsia" w:ascii="宋体"/>
          <w:szCs w:val="21"/>
        </w:rPr>
        <w:t>43.3 如果中标供应商在建设期内没有涉及采购人的应付而未付金额或违约行为，采购人在项目验收合格后或提前终止合同后全额无息退还履约保证金。</w:t>
      </w:r>
    </w:p>
    <w:p>
      <w:pPr>
        <w:spacing w:line="440" w:lineRule="exact"/>
        <w:ind w:firstLine="210" w:firstLineChars="100"/>
        <w:jc w:val="left"/>
        <w:outlineLvl w:val="3"/>
        <w:rPr>
          <w:rFonts w:ascii="宋体"/>
          <w:szCs w:val="21"/>
        </w:rPr>
      </w:pPr>
      <w:bookmarkStart w:id="33" w:name="_Toc73975843"/>
      <w:r>
        <w:rPr>
          <w:rFonts w:hint="eastAsia" w:ascii="宋体"/>
          <w:szCs w:val="21"/>
        </w:rPr>
        <w:t>44．签订合同及公告</w:t>
      </w:r>
      <w:bookmarkEnd w:id="33"/>
    </w:p>
    <w:p>
      <w:pPr>
        <w:spacing w:line="440" w:lineRule="exact"/>
        <w:ind w:firstLine="210" w:firstLineChars="100"/>
        <w:jc w:val="left"/>
        <w:rPr>
          <w:rFonts w:ascii="宋体"/>
          <w:szCs w:val="21"/>
        </w:rPr>
      </w:pPr>
      <w:r>
        <w:rPr>
          <w:rFonts w:hint="eastAsia" w:ascii="宋体"/>
          <w:szCs w:val="21"/>
        </w:rPr>
        <w:t>44.1采购人在中标通知书发出之日起30日内与中标供应商签订合同。</w:t>
      </w:r>
    </w:p>
    <w:p>
      <w:pPr>
        <w:spacing w:line="440" w:lineRule="exact"/>
        <w:ind w:firstLine="210" w:firstLineChars="100"/>
        <w:jc w:val="left"/>
        <w:outlineLvl w:val="4"/>
        <w:rPr>
          <w:rFonts w:ascii="宋体"/>
          <w:szCs w:val="21"/>
        </w:rPr>
      </w:pPr>
      <w:r>
        <w:rPr>
          <w:rFonts w:hint="eastAsia" w:ascii="宋体"/>
          <w:szCs w:val="21"/>
        </w:rPr>
        <w:t>44.2中标供应商拖延、拒签合同的,取消中标资格。</w:t>
      </w:r>
    </w:p>
    <w:p>
      <w:pPr>
        <w:spacing w:line="440" w:lineRule="exact"/>
        <w:ind w:firstLine="210" w:firstLineChars="100"/>
        <w:jc w:val="left"/>
        <w:rPr>
          <w:rFonts w:ascii="宋体"/>
          <w:szCs w:val="21"/>
        </w:rPr>
      </w:pPr>
      <w:r>
        <w:rPr>
          <w:rFonts w:hint="eastAsia" w:ascii="宋体"/>
          <w:szCs w:val="21"/>
        </w:rPr>
        <w:t>44.3 采购文件、中标供应商的投标文件及评标过程中有关澄清文件等均作为签订合同的依据。所签订的合同不得对采购文件和中标供应商的投标文件的内容作实质性修改。</w:t>
      </w:r>
    </w:p>
    <w:p>
      <w:pPr>
        <w:spacing w:line="440" w:lineRule="exact"/>
        <w:ind w:firstLine="210" w:firstLineChars="100"/>
        <w:jc w:val="left"/>
        <w:rPr>
          <w:rFonts w:ascii="宋体"/>
          <w:szCs w:val="21"/>
        </w:rPr>
      </w:pPr>
      <w:r>
        <w:rPr>
          <w:rFonts w:hint="eastAsia" w:ascii="宋体"/>
          <w:szCs w:val="21"/>
        </w:rPr>
        <w:t>44.4采购人应当自政府采购合同签订之日起2个工作日内，在省级以上财政部门指定的政府采购信息发布媒体及相关网站上公告。</w:t>
      </w:r>
    </w:p>
    <w:p>
      <w:pPr>
        <w:spacing w:line="440" w:lineRule="exact"/>
        <w:ind w:firstLine="210" w:firstLineChars="100"/>
        <w:jc w:val="left"/>
        <w:rPr>
          <w:rFonts w:ascii="宋体"/>
          <w:szCs w:val="21"/>
        </w:rPr>
      </w:pPr>
      <w:r>
        <w:rPr>
          <w:rFonts w:hint="eastAsia" w:ascii="宋体"/>
          <w:szCs w:val="21"/>
        </w:rPr>
        <w:t>44.5采购人应当自政府采购合同签订之日起7个工作日内，将政府采购合同副本报同级人民政府财政部门备案以及采购代理机构存档。</w:t>
      </w:r>
    </w:p>
    <w:p>
      <w:pPr>
        <w:adjustRightInd w:val="0"/>
        <w:snapToGrid w:val="0"/>
        <w:spacing w:line="440" w:lineRule="exact"/>
        <w:jc w:val="center"/>
        <w:outlineLvl w:val="2"/>
        <w:rPr>
          <w:rFonts w:ascii="宋体" w:hAnsi="宋体" w:cs="宋体"/>
          <w:sz w:val="28"/>
          <w:szCs w:val="28"/>
        </w:rPr>
      </w:pPr>
      <w:r>
        <w:rPr>
          <w:rFonts w:hint="eastAsia" w:ascii="宋体" w:hAnsi="宋体" w:cs="宋体"/>
          <w:sz w:val="28"/>
          <w:szCs w:val="28"/>
        </w:rPr>
        <w:t>（七）纪律和监督</w:t>
      </w:r>
      <w:bookmarkEnd w:id="32"/>
    </w:p>
    <w:p>
      <w:pPr>
        <w:spacing w:line="360" w:lineRule="auto"/>
        <w:ind w:firstLine="308" w:firstLineChars="147"/>
        <w:jc w:val="left"/>
        <w:outlineLvl w:val="3"/>
        <w:rPr>
          <w:rFonts w:ascii="宋体"/>
          <w:szCs w:val="21"/>
        </w:rPr>
      </w:pPr>
      <w:r>
        <w:rPr>
          <w:rFonts w:hint="eastAsia" w:ascii="宋体"/>
          <w:szCs w:val="21"/>
        </w:rPr>
        <w:t xml:space="preserve">45. 对招标人的纪律要求 </w:t>
      </w:r>
    </w:p>
    <w:p>
      <w:pPr>
        <w:adjustRightInd w:val="0"/>
        <w:snapToGrid w:val="0"/>
        <w:spacing w:line="360" w:lineRule="auto"/>
        <w:ind w:firstLine="315" w:firstLineChars="150"/>
        <w:rPr>
          <w:rFonts w:ascii="宋体"/>
          <w:kern w:val="10"/>
          <w:szCs w:val="21"/>
        </w:rPr>
      </w:pPr>
      <w:r>
        <w:rPr>
          <w:rFonts w:hint="eastAsia" w:ascii="宋体"/>
          <w:kern w:val="10"/>
          <w:szCs w:val="21"/>
        </w:rPr>
        <w:t xml:space="preserve">45.1招标人不得泄漏招标投标活动中应当保密的情况和资料，不得与投标人串通损害国家利益，社会公共利益或者他人合法权益。 </w:t>
      </w:r>
    </w:p>
    <w:p>
      <w:pPr>
        <w:spacing w:line="360" w:lineRule="auto"/>
        <w:ind w:firstLine="308" w:firstLineChars="147"/>
        <w:jc w:val="left"/>
        <w:outlineLvl w:val="3"/>
        <w:rPr>
          <w:rFonts w:ascii="宋体"/>
          <w:szCs w:val="21"/>
        </w:rPr>
      </w:pPr>
      <w:r>
        <w:rPr>
          <w:rFonts w:hint="eastAsia" w:ascii="宋体"/>
          <w:szCs w:val="21"/>
        </w:rPr>
        <w:t xml:space="preserve">46. 对投标人的纪律要求 </w:t>
      </w:r>
    </w:p>
    <w:p>
      <w:pPr>
        <w:adjustRightInd w:val="0"/>
        <w:snapToGrid w:val="0"/>
        <w:spacing w:line="360" w:lineRule="auto"/>
        <w:ind w:firstLine="315" w:firstLineChars="150"/>
        <w:rPr>
          <w:rFonts w:ascii="宋体"/>
          <w:kern w:val="10"/>
          <w:szCs w:val="21"/>
        </w:rPr>
      </w:pPr>
      <w:r>
        <w:rPr>
          <w:rFonts w:hint="eastAsia" w:ascii="宋体"/>
          <w:kern w:val="10"/>
          <w:szCs w:val="21"/>
        </w:rPr>
        <w:t>46.1投标人不得相互串通投标或者与招标人串通投标，不得向招标人或者评标委员会成员行贿谋取中标，不得以他人名义投标或者以其他方式弄虚作假骗取中标；投标人不得以任何方式干扰、影响评标工作。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firstLine="308" w:firstLineChars="147"/>
        <w:jc w:val="left"/>
        <w:outlineLvl w:val="3"/>
        <w:rPr>
          <w:rFonts w:ascii="宋体"/>
          <w:szCs w:val="21"/>
        </w:rPr>
      </w:pPr>
      <w:r>
        <w:rPr>
          <w:rFonts w:hint="eastAsia" w:ascii="宋体"/>
          <w:szCs w:val="21"/>
        </w:rPr>
        <w:t xml:space="preserve">47. 对评标委员会成员的纪律要求 </w:t>
      </w:r>
    </w:p>
    <w:p>
      <w:pPr>
        <w:adjustRightInd w:val="0"/>
        <w:snapToGrid w:val="0"/>
        <w:spacing w:line="360" w:lineRule="auto"/>
        <w:ind w:firstLine="315" w:firstLineChars="150"/>
        <w:rPr>
          <w:rFonts w:ascii="宋体"/>
          <w:kern w:val="10"/>
          <w:szCs w:val="21"/>
        </w:rPr>
      </w:pPr>
      <w:r>
        <w:rPr>
          <w:rFonts w:hint="eastAsia" w:ascii="宋体"/>
          <w:kern w:val="10"/>
          <w:szCs w:val="21"/>
        </w:rPr>
        <w:t>47.1评标委员会成员不得收受他人的财物或者其他好处，不得向他人透漏对投标文件的评审和比较、中标候选人的推荐情况以及评标有关的其他情况。</w:t>
      </w:r>
    </w:p>
    <w:p>
      <w:pPr>
        <w:adjustRightInd w:val="0"/>
        <w:snapToGrid w:val="0"/>
        <w:spacing w:line="360" w:lineRule="auto"/>
        <w:ind w:firstLine="315" w:firstLineChars="150"/>
        <w:rPr>
          <w:rFonts w:ascii="宋体"/>
          <w:kern w:val="10"/>
          <w:szCs w:val="21"/>
        </w:rPr>
      </w:pPr>
      <w:r>
        <w:rPr>
          <w:rFonts w:hint="eastAsia" w:ascii="宋体"/>
          <w:kern w:val="10"/>
          <w:szCs w:val="21"/>
        </w:rPr>
        <w:t xml:space="preserve">47.2在评标活动中，评标委员会成员不得擅离职守，影响评标程序正常进行，不得使用第三章“评标办法”没有规定的评审因素和标准进行评标。 </w:t>
      </w:r>
    </w:p>
    <w:p>
      <w:pPr>
        <w:spacing w:line="360" w:lineRule="auto"/>
        <w:ind w:firstLine="308" w:firstLineChars="147"/>
        <w:jc w:val="left"/>
        <w:outlineLvl w:val="3"/>
        <w:rPr>
          <w:rFonts w:ascii="宋体"/>
          <w:szCs w:val="21"/>
        </w:rPr>
      </w:pPr>
      <w:r>
        <w:rPr>
          <w:rFonts w:hint="eastAsia" w:ascii="宋体"/>
          <w:szCs w:val="21"/>
        </w:rPr>
        <w:t xml:space="preserve">48. 对与评标活动有关的工作人员的纪律要求 </w:t>
      </w:r>
    </w:p>
    <w:p>
      <w:pPr>
        <w:widowControl/>
        <w:spacing w:line="360" w:lineRule="auto"/>
        <w:jc w:val="left"/>
        <w:textAlignment w:val="center"/>
        <w:rPr>
          <w:rFonts w:ascii="宋体"/>
          <w:kern w:val="10"/>
          <w:szCs w:val="21"/>
        </w:rPr>
      </w:pPr>
      <w:r>
        <w:rPr>
          <w:rFonts w:hint="eastAsia" w:ascii="宋体"/>
          <w:kern w:val="10"/>
          <w:szCs w:val="21"/>
        </w:rPr>
        <w:t xml:space="preserve">  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widowControl/>
        <w:spacing w:line="360" w:lineRule="auto"/>
        <w:ind w:firstLine="3360" w:firstLineChars="1200"/>
        <w:jc w:val="left"/>
        <w:textAlignment w:val="center"/>
        <w:outlineLvl w:val="2"/>
        <w:rPr>
          <w:rFonts w:ascii="宋体" w:hAnsi="宋体" w:cs="宋体"/>
          <w:sz w:val="28"/>
          <w:szCs w:val="28"/>
        </w:rPr>
      </w:pPr>
      <w:r>
        <w:rPr>
          <w:rFonts w:hint="eastAsia" w:ascii="宋体" w:hAnsi="宋体" w:cs="宋体"/>
          <w:sz w:val="28"/>
          <w:szCs w:val="28"/>
        </w:rPr>
        <w:t>（八）质疑与投诉</w:t>
      </w:r>
    </w:p>
    <w:p>
      <w:pPr>
        <w:spacing w:line="440" w:lineRule="exact"/>
        <w:ind w:firstLine="210" w:firstLineChars="100"/>
        <w:jc w:val="left"/>
        <w:outlineLvl w:val="3"/>
        <w:rPr>
          <w:rFonts w:ascii="宋体"/>
          <w:szCs w:val="21"/>
        </w:rPr>
      </w:pPr>
      <w:r>
        <w:rPr>
          <w:rFonts w:hint="eastAsia" w:ascii="宋体"/>
          <w:szCs w:val="21"/>
        </w:rPr>
        <w:t>49．质疑和投诉</w:t>
      </w:r>
    </w:p>
    <w:p>
      <w:pPr>
        <w:spacing w:line="440" w:lineRule="exact"/>
        <w:ind w:firstLine="210" w:firstLineChars="100"/>
        <w:jc w:val="left"/>
        <w:rPr>
          <w:rFonts w:ascii="宋体"/>
          <w:szCs w:val="21"/>
        </w:rPr>
      </w:pPr>
      <w:r>
        <w:rPr>
          <w:rFonts w:hint="eastAsia" w:ascii="宋体"/>
          <w:szCs w:val="21"/>
        </w:rPr>
        <w:t>49.1.供应商认为采购文件、采购过程和中标、成交结果使自己的权益受到损害的，可以在知道或者应知其权益受到损害之日起七个工作日内，以书面形式向采购人提出质疑。</w:t>
      </w:r>
      <w:r>
        <w:rPr>
          <w:rFonts w:hint="eastAsia" w:ascii="宋体"/>
          <w:color w:val="C0504D" w:themeColor="accent2"/>
          <w:szCs w:val="21"/>
          <w14:textFill>
            <w14:solidFill>
              <w14:schemeClr w14:val="accent2"/>
            </w14:solidFill>
          </w14:textFill>
        </w:rPr>
        <w:t>供应商应当在法定质疑期内一次性提出针对同一采购程序环节的质疑</w:t>
      </w:r>
      <w:r>
        <w:rPr>
          <w:rFonts w:hint="eastAsia" w:ascii="宋体"/>
          <w:szCs w:val="21"/>
        </w:rPr>
        <w:t>。供应商应知其权益受到损害之日，是指：</w:t>
      </w:r>
    </w:p>
    <w:p>
      <w:pPr>
        <w:spacing w:line="440" w:lineRule="exact"/>
        <w:ind w:firstLine="210" w:firstLineChars="100"/>
        <w:jc w:val="left"/>
        <w:rPr>
          <w:rFonts w:ascii="宋体"/>
          <w:szCs w:val="21"/>
        </w:rPr>
      </w:pPr>
      <w:r>
        <w:rPr>
          <w:rFonts w:hint="eastAsia" w:ascii="宋体"/>
          <w:szCs w:val="21"/>
        </w:rPr>
        <w:t>（一）对可以质疑的采购文件提出质疑的，为收到采购文件之日或者采购文件公告期限届满之日；</w:t>
      </w:r>
    </w:p>
    <w:p>
      <w:pPr>
        <w:spacing w:line="440" w:lineRule="exact"/>
        <w:ind w:firstLine="210" w:firstLineChars="100"/>
        <w:jc w:val="left"/>
        <w:outlineLvl w:val="2"/>
        <w:rPr>
          <w:rFonts w:ascii="宋体"/>
          <w:szCs w:val="21"/>
        </w:rPr>
      </w:pPr>
      <w:r>
        <w:rPr>
          <w:rFonts w:hint="eastAsia" w:ascii="宋体"/>
          <w:szCs w:val="21"/>
        </w:rPr>
        <w:t>（二）对采购过程提出质疑的，为各采购程序环节结束之日；</w:t>
      </w:r>
    </w:p>
    <w:p>
      <w:pPr>
        <w:spacing w:line="440" w:lineRule="exact"/>
        <w:ind w:firstLine="210" w:firstLineChars="100"/>
        <w:jc w:val="left"/>
        <w:rPr>
          <w:rFonts w:ascii="宋体"/>
          <w:szCs w:val="21"/>
        </w:rPr>
      </w:pPr>
      <w:r>
        <w:rPr>
          <w:rFonts w:hint="eastAsia" w:ascii="宋体"/>
          <w:szCs w:val="21"/>
        </w:rPr>
        <w:t>（三）对中标或者成交结果提出质疑的，为中标或者成交结果公告期限届满之日。</w:t>
      </w:r>
    </w:p>
    <w:p>
      <w:pPr>
        <w:spacing w:line="440" w:lineRule="exact"/>
        <w:ind w:firstLine="210" w:firstLineChars="100"/>
        <w:jc w:val="left"/>
        <w:rPr>
          <w:rFonts w:ascii="宋体"/>
          <w:szCs w:val="21"/>
        </w:rPr>
      </w:pPr>
      <w:r>
        <w:rPr>
          <w:rFonts w:hint="eastAsia" w:ascii="宋体"/>
          <w:szCs w:val="21"/>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pacing w:line="440" w:lineRule="exact"/>
        <w:ind w:firstLine="210" w:firstLineChars="100"/>
        <w:jc w:val="left"/>
        <w:rPr>
          <w:rFonts w:ascii="宋体"/>
          <w:szCs w:val="21"/>
        </w:rPr>
      </w:pPr>
      <w:r>
        <w:rPr>
          <w:rFonts w:hint="eastAsia" w:ascii="宋体"/>
          <w:szCs w:val="21"/>
        </w:rPr>
        <w:t>供应商为自然人的，应当由本人签字；供应商为法人或者其他组织的，应当由法定代表人、主要负责人，或者其授权代表签字或者盖章，并加盖公章。</w:t>
      </w:r>
    </w:p>
    <w:p>
      <w:pPr>
        <w:spacing w:line="440" w:lineRule="exact"/>
        <w:ind w:firstLine="210" w:firstLineChars="100"/>
        <w:jc w:val="left"/>
        <w:rPr>
          <w:rFonts w:ascii="宋体"/>
          <w:szCs w:val="21"/>
        </w:rPr>
      </w:pPr>
      <w:r>
        <w:rPr>
          <w:rFonts w:hint="eastAsia" w:ascii="宋体"/>
          <w:szCs w:val="21"/>
        </w:rPr>
        <w:t>49.3供应商质疑、投诉应当有明确的请求和必要的证明材料。供应商投诉的事项不得超出已质疑事项的范围。采购人及采购代理机构按《政府采购质疑和投诉办法》进行处理供应商质疑事项。</w:t>
      </w:r>
    </w:p>
    <w:p>
      <w:pPr>
        <w:spacing w:line="440" w:lineRule="exact"/>
        <w:ind w:firstLine="210" w:firstLineChars="100"/>
        <w:jc w:val="left"/>
        <w:rPr>
          <w:rFonts w:ascii="宋体"/>
          <w:szCs w:val="21"/>
        </w:rPr>
      </w:pPr>
      <w:r>
        <w:rPr>
          <w:rFonts w:hint="eastAsia" w:ascii="宋体"/>
          <w:szCs w:val="21"/>
        </w:rPr>
        <w:t>49.4质疑供应商对采购人、采购代理机构的质疑答复不满意，或者采购人、采购代理机构未在规定期限内作出答复的，供应商可以在答复期满后15个工作日内向同级财政部门提起投诉。</w:t>
      </w:r>
    </w:p>
    <w:p>
      <w:pPr>
        <w:spacing w:line="440" w:lineRule="exact"/>
        <w:ind w:firstLine="210" w:firstLineChars="100"/>
        <w:jc w:val="left"/>
        <w:rPr>
          <w:rFonts w:ascii="宋体"/>
          <w:szCs w:val="21"/>
        </w:rPr>
      </w:pPr>
      <w:r>
        <w:rPr>
          <w:rFonts w:hint="eastAsia" w:ascii="宋体"/>
          <w:szCs w:val="21"/>
        </w:rPr>
        <w:t>49.5供应商有下列情形之一的，采购代理机构将报送乌恰县财政局，将其列入不良行为记录名单：</w:t>
      </w:r>
    </w:p>
    <w:p>
      <w:pPr>
        <w:spacing w:line="440" w:lineRule="exact"/>
        <w:ind w:firstLine="210" w:firstLineChars="100"/>
        <w:jc w:val="left"/>
        <w:rPr>
          <w:rFonts w:ascii="宋体"/>
          <w:szCs w:val="21"/>
        </w:rPr>
      </w:pPr>
      <w:r>
        <w:rPr>
          <w:rFonts w:hint="eastAsia" w:ascii="宋体"/>
          <w:szCs w:val="21"/>
        </w:rPr>
        <w:t>（一）一年内三次以上质疑均查无实据的；</w:t>
      </w:r>
    </w:p>
    <w:p>
      <w:pPr>
        <w:spacing w:line="440" w:lineRule="exact"/>
        <w:ind w:firstLine="210" w:firstLineChars="100"/>
        <w:jc w:val="left"/>
        <w:rPr>
          <w:rFonts w:ascii="宋体"/>
          <w:szCs w:val="21"/>
        </w:rPr>
      </w:pPr>
      <w:r>
        <w:rPr>
          <w:rFonts w:hint="eastAsia" w:ascii="宋体"/>
          <w:szCs w:val="21"/>
        </w:rPr>
        <w:t>（二）捏造事实或者提供虚假质疑材料的。</w:t>
      </w:r>
    </w:p>
    <w:p>
      <w:pPr>
        <w:spacing w:line="440" w:lineRule="exact"/>
        <w:ind w:firstLine="210" w:firstLineChars="100"/>
        <w:jc w:val="left"/>
        <w:rPr>
          <w:rFonts w:ascii="宋体"/>
          <w:szCs w:val="21"/>
        </w:rPr>
      </w:pPr>
      <w:r>
        <w:rPr>
          <w:rFonts w:hint="eastAsia" w:ascii="宋体"/>
          <w:szCs w:val="21"/>
        </w:rPr>
        <w:t>（三）以非法手段取得证明材料。证据来源的合法性存在明显疑问，质疑人无法证明其取得方式合法的，视为以非法手段取得证明材料。</w:t>
      </w:r>
    </w:p>
    <w:p>
      <w:pPr>
        <w:ind w:firstLine="420" w:firstLineChars="200"/>
        <w:rPr>
          <w:rFonts w:hint="eastAsia" w:ascii="宋体" w:hAnsi="宋体" w:cs="宋体"/>
          <w:szCs w:val="21"/>
        </w:rPr>
      </w:pPr>
    </w:p>
    <w:p>
      <w:pPr>
        <w:ind w:firstLine="420" w:firstLineChars="200"/>
        <w:rPr>
          <w:rFonts w:hint="eastAsia" w:ascii="宋体" w:hAnsi="宋体" w:cs="宋体"/>
          <w:szCs w:val="21"/>
        </w:rPr>
      </w:pPr>
    </w:p>
    <w:p>
      <w:pPr>
        <w:ind w:firstLine="420" w:firstLineChars="200"/>
        <w:rPr>
          <w:rFonts w:hint="eastAsia" w:ascii="宋体" w:hAnsi="宋体" w:cs="宋体"/>
          <w:szCs w:val="21"/>
        </w:rPr>
      </w:pPr>
    </w:p>
    <w:p>
      <w:pPr>
        <w:ind w:firstLine="420" w:firstLineChars="200"/>
        <w:rPr>
          <w:rFonts w:hint="eastAsia" w:ascii="宋体" w:hAnsi="宋体" w:cs="宋体"/>
          <w:szCs w:val="21"/>
        </w:rPr>
      </w:pPr>
    </w:p>
    <w:p>
      <w:pPr>
        <w:ind w:firstLine="420" w:firstLineChars="200"/>
        <w:rPr>
          <w:rFonts w:hint="eastAsia" w:ascii="宋体" w:hAnsi="宋体" w:cs="宋体"/>
          <w:szCs w:val="21"/>
        </w:rPr>
      </w:pPr>
    </w:p>
    <w:p>
      <w:pPr>
        <w:ind w:firstLine="420" w:firstLineChars="200"/>
        <w:rPr>
          <w:rFonts w:hint="eastAsia" w:ascii="宋体" w:hAnsi="宋体" w:cs="宋体"/>
          <w:szCs w:val="21"/>
          <w:lang w:val="en-US" w:eastAsia="zh-CN"/>
        </w:rPr>
      </w:pPr>
      <w:r>
        <w:rPr>
          <w:rFonts w:hint="eastAsia" w:ascii="宋体" w:hAnsi="宋体" w:cs="宋体"/>
          <w:szCs w:val="21"/>
        </w:rPr>
        <w:t>递交</w:t>
      </w:r>
      <w:r>
        <w:rPr>
          <w:rFonts w:hint="eastAsia" w:ascii="宋体" w:hAnsi="宋体" w:cs="宋体"/>
          <w:szCs w:val="21"/>
          <w:lang w:val="en-US" w:eastAsia="zh-CN"/>
        </w:rPr>
        <w:t>质疑函</w:t>
      </w:r>
      <w:r>
        <w:rPr>
          <w:rFonts w:hint="eastAsia" w:ascii="宋体" w:hAnsi="宋体" w:cs="宋体"/>
          <w:szCs w:val="21"/>
        </w:rPr>
        <w:t>地址：</w:t>
      </w:r>
      <w:r>
        <w:rPr>
          <w:rFonts w:hint="eastAsia" w:ascii="宋体" w:hAnsi="宋体" w:cs="宋体"/>
          <w:szCs w:val="21"/>
          <w:lang w:val="en-US" w:eastAsia="zh-CN"/>
        </w:rPr>
        <w:t>新疆建硕项目管理咨询有限公司</w:t>
      </w:r>
    </w:p>
    <w:p>
      <w:pPr>
        <w:ind w:firstLine="420" w:firstLineChars="200"/>
        <w:rPr>
          <w:rFonts w:hint="eastAsia" w:ascii="宋体" w:hAnsi="宋体" w:cs="宋体"/>
          <w:szCs w:val="21"/>
          <w:lang w:val="en-US" w:eastAsia="zh-CN"/>
        </w:rPr>
      </w:pPr>
      <w:r>
        <w:rPr>
          <w:rFonts w:hint="eastAsia" w:ascii="宋体" w:hAnsi="宋体" w:cs="宋体"/>
          <w:szCs w:val="21"/>
          <w:lang w:val="en-US" w:eastAsia="zh-CN"/>
        </w:rPr>
        <w:t>联系人：朱先生</w:t>
      </w:r>
    </w:p>
    <w:p>
      <w:pPr>
        <w:ind w:firstLine="420" w:firstLineChars="200"/>
        <w:rPr>
          <w:rFonts w:hint="default" w:ascii="宋体" w:hAnsi="宋体" w:cs="宋体"/>
          <w:szCs w:val="21"/>
          <w:lang w:val="en-US" w:eastAsia="zh-CN"/>
        </w:rPr>
      </w:pPr>
      <w:r>
        <w:rPr>
          <w:rFonts w:hint="eastAsia" w:ascii="宋体" w:hAnsi="宋体" w:cs="宋体"/>
          <w:szCs w:val="21"/>
          <w:lang w:val="en-US" w:eastAsia="zh-CN"/>
        </w:rPr>
        <w:t>联系电话：15770150301</w:t>
      </w:r>
    </w:p>
    <w:p>
      <w:pPr>
        <w:widowControl/>
        <w:jc w:val="both"/>
        <w:textAlignment w:val="center"/>
        <w:rPr>
          <w:rFonts w:ascii="宋体" w:hAnsi="宋体" w:eastAsia="新宋体" w:cs="宋体"/>
          <w:kern w:val="0"/>
          <w:sz w:val="36"/>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pStyle w:val="13"/>
        <w:rPr>
          <w:color w:val="auto"/>
        </w:rPr>
      </w:pPr>
    </w:p>
    <w:p>
      <w:pPr>
        <w:jc w:val="left"/>
        <w:rPr>
          <w:rFonts w:ascii="宋体" w:hAnsi="宋体" w:cs="宋体"/>
          <w:szCs w:val="21"/>
        </w:rPr>
      </w:pPr>
      <w:r>
        <w:rPr>
          <w:rFonts w:hint="eastAsia" w:ascii="宋体" w:hAnsi="宋体" w:cs="宋体"/>
          <w:szCs w:val="21"/>
        </w:rPr>
        <w:t>附件：</w:t>
      </w:r>
    </w:p>
    <w:p>
      <w:pPr>
        <w:jc w:val="center"/>
        <w:rPr>
          <w:rFonts w:ascii="宋体" w:hAnsi="宋体" w:cs="宋体"/>
          <w:sz w:val="28"/>
          <w:szCs w:val="28"/>
        </w:rPr>
      </w:pPr>
      <w:r>
        <w:rPr>
          <w:rFonts w:hint="eastAsia" w:ascii="宋体" w:hAnsi="宋体" w:cs="宋体"/>
          <w:sz w:val="32"/>
          <w:szCs w:val="32"/>
        </w:rPr>
        <w:t>政府采购投诉书（范本）、质疑函范本</w:t>
      </w:r>
    </w:p>
    <w:p>
      <w:pPr>
        <w:spacing w:line="400" w:lineRule="exact"/>
        <w:jc w:val="center"/>
        <w:rPr>
          <w:rFonts w:ascii="宋体" w:hAnsi="宋体" w:cs="宋体"/>
          <w:sz w:val="24"/>
          <w:u w:val="single"/>
        </w:rPr>
      </w:pPr>
      <w:r>
        <w:rPr>
          <w:rFonts w:hint="eastAsia" w:ascii="宋体" w:hAnsi="宋体" w:cs="宋体"/>
          <w:sz w:val="28"/>
          <w:szCs w:val="28"/>
        </w:rPr>
        <w:t>政府采购投诉书（范本）</w:t>
      </w:r>
    </w:p>
    <w:p>
      <w:pPr>
        <w:spacing w:line="400" w:lineRule="exact"/>
        <w:rPr>
          <w:rFonts w:ascii="宋体" w:hAnsi="宋体" w:cs="宋体"/>
          <w:szCs w:val="21"/>
        </w:rPr>
      </w:pPr>
      <w:r>
        <w:rPr>
          <w:rFonts w:hint="eastAsia" w:ascii="宋体" w:hAnsi="宋体" w:cs="宋体"/>
          <w:szCs w:val="21"/>
        </w:rPr>
        <w:t>投诉人：</w:t>
      </w:r>
      <w:r>
        <w:rPr>
          <w:rFonts w:hint="eastAsia" w:ascii="宋体" w:hAnsi="宋体" w:cs="宋体"/>
          <w:szCs w:val="21"/>
          <w:u w:val="single"/>
        </w:rPr>
        <w:t xml:space="preserve">              </w:t>
      </w:r>
      <w:r>
        <w:rPr>
          <w:rFonts w:hint="eastAsia" w:ascii="宋体" w:hAnsi="宋体" w:cs="宋体"/>
          <w:szCs w:val="21"/>
        </w:rPr>
        <w:t xml:space="preserve">     法定代表人：</w:t>
      </w:r>
      <w:r>
        <w:rPr>
          <w:rFonts w:hint="eastAsia" w:ascii="宋体" w:hAnsi="宋体" w:cs="宋体"/>
          <w:szCs w:val="21"/>
          <w:u w:val="single"/>
        </w:rPr>
        <w:t xml:space="preserve">          </w:t>
      </w:r>
      <w:r>
        <w:rPr>
          <w:rFonts w:hint="eastAsia" w:ascii="宋体" w:hAnsi="宋体" w:cs="宋体"/>
          <w:szCs w:val="21"/>
        </w:rPr>
        <w:t xml:space="preserve">  </w:t>
      </w:r>
    </w:p>
    <w:p>
      <w:pPr>
        <w:spacing w:line="400" w:lineRule="exact"/>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 xml:space="preserve">           电话：</w:t>
      </w:r>
      <w:r>
        <w:rPr>
          <w:rFonts w:hint="eastAsia" w:ascii="宋体" w:hAnsi="宋体" w:cs="宋体"/>
          <w:szCs w:val="21"/>
          <w:u w:val="single"/>
        </w:rPr>
        <w:t xml:space="preserve">               </w:t>
      </w:r>
      <w:r>
        <w:rPr>
          <w:rFonts w:hint="eastAsia" w:ascii="宋体" w:hAnsi="宋体" w:cs="宋体"/>
          <w:szCs w:val="21"/>
        </w:rPr>
        <w:t xml:space="preserve">  </w:t>
      </w:r>
    </w:p>
    <w:p>
      <w:pPr>
        <w:spacing w:line="400" w:lineRule="exact"/>
        <w:rPr>
          <w:rFonts w:ascii="宋体" w:hAnsi="宋体" w:cs="宋体"/>
          <w:szCs w:val="21"/>
        </w:rPr>
      </w:pPr>
      <w:r>
        <w:rPr>
          <w:rFonts w:hint="eastAsia" w:ascii="宋体" w:hAnsi="宋体" w:cs="宋体"/>
          <w:szCs w:val="21"/>
        </w:rPr>
        <w:t>委托代理人姓名：</w:t>
      </w:r>
      <w:r>
        <w:rPr>
          <w:rFonts w:hint="eastAsia" w:ascii="宋体" w:hAnsi="宋体" w:cs="宋体"/>
          <w:szCs w:val="21"/>
          <w:u w:val="single"/>
        </w:rPr>
        <w:t xml:space="preserve">      </w:t>
      </w:r>
      <w:r>
        <w:rPr>
          <w:rFonts w:hint="eastAsia" w:ascii="宋体" w:hAnsi="宋体" w:cs="宋体"/>
          <w:szCs w:val="21"/>
        </w:rPr>
        <w:t xml:space="preserve">           职务：</w:t>
      </w:r>
      <w:r>
        <w:rPr>
          <w:rFonts w:hint="eastAsia" w:ascii="宋体" w:hAnsi="宋体" w:cs="宋体"/>
          <w:szCs w:val="21"/>
          <w:u w:val="single"/>
        </w:rPr>
        <w:t xml:space="preserve">               </w:t>
      </w:r>
    </w:p>
    <w:p>
      <w:pPr>
        <w:spacing w:line="400" w:lineRule="exact"/>
        <w:rPr>
          <w:rFonts w:ascii="宋体" w:hAnsi="宋体" w:cs="宋体"/>
          <w:szCs w:val="21"/>
        </w:rPr>
      </w:pPr>
      <w:r>
        <w:rPr>
          <w:rFonts w:hint="eastAsia" w:ascii="宋体" w:hAnsi="宋体" w:cs="宋体"/>
          <w:szCs w:val="21"/>
        </w:rPr>
        <w:t>住址：</w:t>
      </w:r>
      <w:r>
        <w:rPr>
          <w:rFonts w:hint="eastAsia" w:ascii="宋体" w:hAnsi="宋体" w:cs="宋体"/>
          <w:szCs w:val="21"/>
          <w:u w:val="single"/>
        </w:rPr>
        <w:t xml:space="preserve">                </w:t>
      </w:r>
      <w:r>
        <w:rPr>
          <w:rFonts w:hint="eastAsia" w:ascii="宋体" w:hAnsi="宋体" w:cs="宋体"/>
          <w:szCs w:val="21"/>
        </w:rPr>
        <w:t xml:space="preserve">       联系电话：</w:t>
      </w:r>
      <w:r>
        <w:rPr>
          <w:rFonts w:hint="eastAsia" w:ascii="宋体" w:hAnsi="宋体" w:cs="宋体"/>
          <w:szCs w:val="21"/>
          <w:u w:val="single"/>
        </w:rPr>
        <w:t xml:space="preserve">           </w:t>
      </w:r>
      <w:r>
        <w:rPr>
          <w:rFonts w:hint="eastAsia" w:ascii="宋体" w:hAnsi="宋体" w:cs="宋体"/>
          <w:szCs w:val="21"/>
        </w:rPr>
        <w:t xml:space="preserve">   </w:t>
      </w:r>
    </w:p>
    <w:p>
      <w:pPr>
        <w:spacing w:line="400" w:lineRule="exact"/>
        <w:rPr>
          <w:rFonts w:ascii="宋体" w:hAnsi="宋体" w:cs="宋体"/>
          <w:szCs w:val="21"/>
        </w:rPr>
      </w:pPr>
      <w:r>
        <w:rPr>
          <w:rFonts w:hint="eastAsia" w:ascii="宋体" w:hAnsi="宋体" w:cs="宋体"/>
          <w:szCs w:val="21"/>
        </w:rPr>
        <w:t>被投诉人：</w:t>
      </w:r>
      <w:r>
        <w:rPr>
          <w:rFonts w:hint="eastAsia" w:ascii="宋体" w:hAnsi="宋体" w:cs="宋体"/>
          <w:szCs w:val="21"/>
          <w:u w:val="single"/>
        </w:rPr>
        <w:t xml:space="preserve">           </w:t>
      </w:r>
      <w:r>
        <w:rPr>
          <w:rFonts w:hint="eastAsia" w:ascii="宋体" w:hAnsi="宋体" w:cs="宋体"/>
          <w:szCs w:val="21"/>
        </w:rPr>
        <w:t xml:space="preserve">      法定代表人：</w:t>
      </w:r>
      <w:r>
        <w:rPr>
          <w:rFonts w:hint="eastAsia" w:ascii="宋体" w:hAnsi="宋体" w:cs="宋体"/>
          <w:szCs w:val="21"/>
          <w:u w:val="single"/>
        </w:rPr>
        <w:t xml:space="preserve">         </w:t>
      </w:r>
    </w:p>
    <w:p>
      <w:pPr>
        <w:spacing w:line="400" w:lineRule="exact"/>
        <w:rPr>
          <w:rFonts w:ascii="宋体" w:hAnsi="宋体" w:cs="宋体"/>
          <w:szCs w:val="21"/>
          <w:u w:val="single"/>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          电话：</w:t>
      </w:r>
      <w:r>
        <w:rPr>
          <w:rFonts w:hint="eastAsia" w:ascii="宋体" w:hAnsi="宋体" w:cs="宋体"/>
          <w:szCs w:val="21"/>
          <w:u w:val="single"/>
        </w:rPr>
        <w:t xml:space="preserve">               </w:t>
      </w:r>
    </w:p>
    <w:p>
      <w:pPr>
        <w:spacing w:line="400" w:lineRule="exact"/>
        <w:ind w:firstLine="420" w:firstLineChars="200"/>
        <w:rPr>
          <w:rFonts w:ascii="宋体" w:hAnsi="宋体" w:cs="宋体"/>
          <w:szCs w:val="21"/>
        </w:rPr>
      </w:pPr>
    </w:p>
    <w:p>
      <w:pPr>
        <w:spacing w:line="400" w:lineRule="exact"/>
        <w:ind w:firstLine="420" w:firstLineChars="200"/>
        <w:rPr>
          <w:rFonts w:ascii="宋体" w:hAnsi="宋体" w:cs="宋体"/>
          <w:szCs w:val="21"/>
        </w:rPr>
      </w:pPr>
      <w:r>
        <w:rPr>
          <w:rFonts w:hint="eastAsia" w:ascii="宋体" w:hAnsi="宋体" w:cs="宋体"/>
          <w:szCs w:val="21"/>
        </w:rPr>
        <w:t>我公司参加了</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日被投诉人组织的</w:t>
      </w:r>
      <w:r>
        <w:rPr>
          <w:rFonts w:hint="eastAsia" w:ascii="宋体" w:hAnsi="宋体" w:cs="宋体"/>
          <w:szCs w:val="21"/>
          <w:u w:val="single"/>
        </w:rPr>
        <w:t>（采购人）（项目名称）（项目编号）</w:t>
      </w:r>
      <w:r>
        <w:rPr>
          <w:rFonts w:hint="eastAsia" w:ascii="宋体" w:hAnsi="宋体" w:cs="宋体"/>
          <w:szCs w:val="21"/>
        </w:rPr>
        <w:t>的采购活动，我公司认为该项目的</w:t>
      </w:r>
      <w:r>
        <w:rPr>
          <w:rFonts w:hint="eastAsia" w:ascii="宋体" w:hAnsi="宋体" w:cs="宋体"/>
          <w:szCs w:val="21"/>
          <w:u w:val="single"/>
        </w:rPr>
        <w:t>（采购文件/采购过程/中标（中标）结果）</w:t>
      </w:r>
      <w:r>
        <w:rPr>
          <w:rFonts w:hint="eastAsia" w:ascii="宋体" w:hAnsi="宋体" w:cs="宋体"/>
          <w:szCs w:val="21"/>
        </w:rPr>
        <w:t>损害了我公司权益，对此，我公司于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日向</w:t>
      </w:r>
      <w:r>
        <w:rPr>
          <w:rFonts w:hint="eastAsia" w:ascii="宋体" w:hAnsi="宋体" w:cs="宋体"/>
          <w:szCs w:val="21"/>
          <w:u w:val="single"/>
        </w:rPr>
        <w:t>（采购人或者政府采购代理机构）</w:t>
      </w:r>
      <w:r>
        <w:rPr>
          <w:rFonts w:hint="eastAsia" w:ascii="宋体" w:hAnsi="宋体" w:cs="宋体"/>
          <w:szCs w:val="21"/>
        </w:rPr>
        <w:t>提出了质疑，</w:t>
      </w:r>
      <w:r>
        <w:rPr>
          <w:rFonts w:hint="eastAsia" w:ascii="宋体" w:hAnsi="宋体" w:cs="宋体"/>
          <w:szCs w:val="21"/>
          <w:u w:val="single"/>
        </w:rPr>
        <w:t>（其于    年  月  日作出书面答复，因对其作出的答复不满意）/（被质疑人未在法定期内予以答复，按照政府采购有关规定）</w:t>
      </w:r>
      <w:r>
        <w:rPr>
          <w:rFonts w:hint="eastAsia" w:ascii="宋体" w:hAnsi="宋体" w:cs="宋体"/>
          <w:szCs w:val="21"/>
        </w:rPr>
        <w:t>，现向贵机关提起投诉：</w:t>
      </w:r>
    </w:p>
    <w:p>
      <w:pPr>
        <w:spacing w:line="40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具体的投诉事项及事实依据；</w:t>
      </w:r>
    </w:p>
    <w:p>
      <w:pPr>
        <w:spacing w:line="40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u w:val="single"/>
        </w:rPr>
        <w:t>质疑和质疑答复情况简要描述；</w:t>
      </w:r>
    </w:p>
    <w:p>
      <w:pPr>
        <w:spacing w:line="400" w:lineRule="exact"/>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u w:val="single"/>
        </w:rPr>
        <w:t>投诉请求。</w:t>
      </w:r>
    </w:p>
    <w:p>
      <w:pPr>
        <w:spacing w:line="400" w:lineRule="exact"/>
        <w:rPr>
          <w:rFonts w:ascii="宋体" w:hAnsi="宋体" w:cs="宋体"/>
          <w:szCs w:val="21"/>
        </w:rPr>
      </w:pPr>
      <w:r>
        <w:rPr>
          <w:rFonts w:hint="eastAsia" w:ascii="宋体" w:hAnsi="宋体" w:cs="宋体"/>
          <w:szCs w:val="21"/>
        </w:rPr>
        <w:t>附件：</w:t>
      </w:r>
    </w:p>
    <w:p>
      <w:pPr>
        <w:spacing w:line="400" w:lineRule="exact"/>
        <w:outlineLvl w:val="3"/>
        <w:rPr>
          <w:rFonts w:ascii="宋体" w:hAnsi="宋体" w:cs="宋体"/>
          <w:szCs w:val="21"/>
        </w:rPr>
      </w:pPr>
      <w:r>
        <w:rPr>
          <w:rFonts w:hint="eastAsia" w:ascii="宋体" w:hAnsi="宋体" w:cs="宋体"/>
          <w:szCs w:val="21"/>
        </w:rPr>
        <w:t>1.质疑书和质疑答复书；</w:t>
      </w:r>
    </w:p>
    <w:p>
      <w:pPr>
        <w:spacing w:line="400" w:lineRule="exact"/>
        <w:rPr>
          <w:rFonts w:ascii="宋体" w:hAnsi="宋体" w:cs="宋体"/>
          <w:szCs w:val="21"/>
        </w:rPr>
      </w:pPr>
      <w:r>
        <w:rPr>
          <w:rFonts w:hint="eastAsia" w:ascii="宋体" w:hAnsi="宋体" w:cs="宋体"/>
          <w:szCs w:val="21"/>
        </w:rPr>
        <w:t>2.证据材料（需注明证据来源），证人的姓名、住址和联系方式等；</w:t>
      </w:r>
    </w:p>
    <w:p>
      <w:pPr>
        <w:spacing w:line="400" w:lineRule="exact"/>
        <w:rPr>
          <w:rFonts w:ascii="宋体" w:hAnsi="宋体" w:cs="宋体"/>
          <w:szCs w:val="21"/>
        </w:rPr>
      </w:pPr>
      <w:r>
        <w:rPr>
          <w:rFonts w:hint="eastAsia" w:ascii="宋体" w:hAnsi="宋体" w:cs="宋体"/>
          <w:szCs w:val="21"/>
        </w:rPr>
        <w:t>3.营业执照；</w:t>
      </w:r>
    </w:p>
    <w:p>
      <w:pPr>
        <w:spacing w:line="400" w:lineRule="exact"/>
        <w:rPr>
          <w:rFonts w:ascii="宋体" w:hAnsi="宋体" w:cs="宋体"/>
          <w:szCs w:val="21"/>
        </w:rPr>
      </w:pPr>
      <w:r>
        <w:rPr>
          <w:rFonts w:hint="eastAsia" w:ascii="宋体" w:hAnsi="宋体" w:cs="宋体"/>
          <w:szCs w:val="21"/>
        </w:rPr>
        <w:t>4.法定代表人身份证明函</w:t>
      </w:r>
    </w:p>
    <w:p>
      <w:pPr>
        <w:spacing w:line="400" w:lineRule="exact"/>
        <w:rPr>
          <w:rFonts w:ascii="宋体" w:hAnsi="宋体" w:cs="宋体"/>
          <w:szCs w:val="21"/>
        </w:rPr>
      </w:pPr>
      <w:r>
        <w:rPr>
          <w:rFonts w:hint="eastAsia" w:ascii="宋体" w:hAnsi="宋体" w:cs="宋体"/>
          <w:szCs w:val="21"/>
        </w:rPr>
        <w:t>5.法定代表人授权委托书（包含法定代表人和委托代理人的身份证复印件）；</w:t>
      </w:r>
    </w:p>
    <w:p>
      <w:pPr>
        <w:spacing w:line="400" w:lineRule="exact"/>
        <w:outlineLvl w:val="3"/>
        <w:rPr>
          <w:rFonts w:ascii="宋体" w:hAnsi="宋体" w:cs="宋体"/>
          <w:szCs w:val="21"/>
        </w:rPr>
      </w:pPr>
      <w:r>
        <w:rPr>
          <w:rFonts w:hint="eastAsia" w:ascii="宋体" w:hAnsi="宋体" w:cs="宋体"/>
          <w:szCs w:val="21"/>
        </w:rPr>
        <w:t>6.政府采购监管部门认为应当提供的其它材料。</w:t>
      </w:r>
    </w:p>
    <w:p>
      <w:pPr>
        <w:spacing w:line="400" w:lineRule="exact"/>
        <w:jc w:val="right"/>
        <w:rPr>
          <w:rFonts w:ascii="宋体" w:hAnsi="宋体" w:cs="宋体"/>
          <w:szCs w:val="21"/>
        </w:rPr>
      </w:pPr>
      <w:r>
        <w:rPr>
          <w:rFonts w:hint="eastAsia" w:ascii="宋体" w:hAnsi="宋体" w:cs="宋体"/>
          <w:szCs w:val="21"/>
        </w:rPr>
        <w:t>投诉供应商：（盖章）</w:t>
      </w:r>
    </w:p>
    <w:p>
      <w:pPr>
        <w:spacing w:line="400" w:lineRule="exact"/>
        <w:rPr>
          <w:rFonts w:ascii="宋体" w:hAnsi="宋体" w:cs="宋体"/>
          <w:szCs w:val="21"/>
        </w:rPr>
      </w:pPr>
      <w:r>
        <w:rPr>
          <w:rFonts w:hint="eastAsia" w:ascii="宋体" w:hAnsi="宋体" w:cs="宋体"/>
          <w:szCs w:val="21"/>
        </w:rPr>
        <w:t xml:space="preserve">                  法定代表人（或主要负责人）：（签字）</w:t>
      </w:r>
    </w:p>
    <w:p>
      <w:pPr>
        <w:spacing w:line="400" w:lineRule="exact"/>
        <w:ind w:firstLine="3360" w:firstLineChars="16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00" w:lineRule="exact"/>
        <w:rPr>
          <w:rFonts w:ascii="宋体" w:hAnsi="宋体" w:cs="宋体"/>
          <w:szCs w:val="21"/>
        </w:rPr>
      </w:pPr>
    </w:p>
    <w:p>
      <w:pPr>
        <w:spacing w:line="400" w:lineRule="exact"/>
        <w:jc w:val="right"/>
        <w:rPr>
          <w:rFonts w:ascii="宋体" w:hAnsi="宋体" w:cs="宋体"/>
          <w:szCs w:val="21"/>
        </w:rPr>
      </w:pPr>
      <w:r>
        <w:rPr>
          <w:rFonts w:hint="eastAsia" w:ascii="宋体" w:hAnsi="宋体" w:cs="宋体"/>
          <w:szCs w:val="21"/>
        </w:rPr>
        <w:t>本投诉书正本叁份，副本</w:t>
      </w:r>
      <w:r>
        <w:rPr>
          <w:rFonts w:hint="eastAsia" w:ascii="宋体" w:hAnsi="宋体" w:cs="宋体"/>
          <w:szCs w:val="21"/>
          <w:u w:val="single"/>
        </w:rPr>
        <w:t xml:space="preserve">   </w:t>
      </w:r>
      <w:r>
        <w:rPr>
          <w:rFonts w:hint="eastAsia" w:ascii="宋体" w:hAnsi="宋体" w:cs="宋体"/>
          <w:szCs w:val="21"/>
        </w:rPr>
        <w:t>份并附电子文档。</w:t>
      </w:r>
    </w:p>
    <w:p>
      <w:pPr>
        <w:rPr>
          <w:rFonts w:ascii="宋体" w:hAnsi="宋体" w:cs="宋体"/>
          <w:sz w:val="32"/>
          <w:szCs w:val="32"/>
        </w:rPr>
      </w:pPr>
    </w:p>
    <w:p>
      <w:pPr>
        <w:rPr>
          <w:rFonts w:ascii="宋体" w:hAnsi="宋体" w:cs="宋体"/>
          <w:sz w:val="32"/>
          <w:szCs w:val="32"/>
        </w:rPr>
      </w:pPr>
    </w:p>
    <w:p>
      <w:pPr>
        <w:ind w:left="5760" w:hanging="5760" w:hangingChars="1800"/>
        <w:jc w:val="center"/>
        <w:outlineLvl w:val="1"/>
        <w:rPr>
          <w:rFonts w:hint="eastAsia" w:ascii="宋体" w:hAnsi="宋体" w:cs="宋体"/>
          <w:sz w:val="32"/>
          <w:szCs w:val="32"/>
        </w:rPr>
      </w:pPr>
    </w:p>
    <w:p>
      <w:pPr>
        <w:ind w:left="5760" w:hanging="5760" w:hangingChars="1800"/>
        <w:jc w:val="center"/>
        <w:outlineLvl w:val="1"/>
        <w:rPr>
          <w:rFonts w:ascii="宋体" w:hAnsi="宋体" w:cs="宋体"/>
          <w:sz w:val="32"/>
          <w:szCs w:val="32"/>
        </w:rPr>
      </w:pPr>
      <w:r>
        <w:rPr>
          <w:rFonts w:hint="eastAsia" w:ascii="宋体" w:hAnsi="宋体" w:cs="宋体"/>
          <w:sz w:val="32"/>
          <w:szCs w:val="32"/>
        </w:rPr>
        <w:t>投诉相关说明</w:t>
      </w:r>
    </w:p>
    <w:p>
      <w:pPr>
        <w:widowControl/>
        <w:spacing w:line="400" w:lineRule="exact"/>
        <w:ind w:firstLine="420"/>
        <w:jc w:val="left"/>
        <w:rPr>
          <w:rFonts w:ascii="宋体" w:hAnsi="宋体" w:cs="宋体"/>
          <w:szCs w:val="21"/>
        </w:rPr>
      </w:pPr>
      <w:r>
        <w:rPr>
          <w:rFonts w:hint="eastAsia" w:ascii="宋体" w:hAnsi="宋体" w:cs="宋体"/>
          <w:szCs w:val="21"/>
        </w:rPr>
        <w:t>投诉人应当满足《政府采购法》、《政府采购法实施条例》和《政府采购供应商投诉处理办法》的相关规定。</w:t>
      </w:r>
    </w:p>
    <w:p>
      <w:pPr>
        <w:numPr>
          <w:ilvl w:val="0"/>
          <w:numId w:val="6"/>
        </w:numPr>
        <w:spacing w:line="400" w:lineRule="exact"/>
        <w:ind w:left="4200" w:hanging="3360"/>
        <w:outlineLvl w:val="1"/>
        <w:rPr>
          <w:rFonts w:ascii="宋体" w:hAnsi="宋体" w:cs="宋体"/>
          <w:szCs w:val="21"/>
        </w:rPr>
      </w:pPr>
      <w:r>
        <w:rPr>
          <w:rFonts w:hint="eastAsia" w:ascii="宋体" w:hAnsi="宋体" w:cs="宋体"/>
          <w:szCs w:val="21"/>
        </w:rPr>
        <w:t>质疑前置及时间要求</w:t>
      </w:r>
    </w:p>
    <w:p>
      <w:pPr>
        <w:widowControl/>
        <w:spacing w:line="400" w:lineRule="exact"/>
        <w:ind w:firstLine="420"/>
        <w:jc w:val="left"/>
        <w:rPr>
          <w:rFonts w:ascii="宋体" w:hAnsi="宋体" w:cs="宋体"/>
          <w:kern w:val="0"/>
          <w:szCs w:val="21"/>
          <w:shd w:val="clear" w:color="auto" w:fill="FFFFFF"/>
        </w:rPr>
      </w:pPr>
      <w:r>
        <w:rPr>
          <w:rFonts w:hint="eastAsia" w:ascii="宋体" w:hAnsi="宋体" w:cs="宋体"/>
          <w:szCs w:val="21"/>
        </w:rPr>
        <w:t>《中华人民共和国政府采购法》</w:t>
      </w:r>
      <w:r>
        <w:rPr>
          <w:rFonts w:hint="eastAsia" w:ascii="宋体" w:hAnsi="宋体" w:cs="宋体"/>
          <w:kern w:val="0"/>
          <w:szCs w:val="21"/>
          <w:shd w:val="clear" w:color="auto" w:fill="FFFFFF"/>
        </w:rPr>
        <w:t>第五十一条：供应商对政府采购活动事项有疑问的，可以向采购人提出询问，采购人应当及时作出答复，但答复的内容不得涉及商业秘密。</w:t>
      </w:r>
    </w:p>
    <w:p>
      <w:pPr>
        <w:widowControl/>
        <w:spacing w:line="400" w:lineRule="exact"/>
        <w:ind w:firstLine="420"/>
        <w:jc w:val="left"/>
        <w:rPr>
          <w:rFonts w:ascii="宋体" w:hAnsi="宋体" w:cs="宋体"/>
          <w:szCs w:val="21"/>
        </w:rPr>
      </w:pPr>
      <w:r>
        <w:rPr>
          <w:rFonts w:hint="eastAsia" w:ascii="宋体" w:hAnsi="宋体" w:cs="宋体"/>
          <w:kern w:val="0"/>
          <w:szCs w:val="21"/>
          <w:shd w:val="clear" w:color="auto" w:fill="FFFFFF"/>
        </w:rPr>
        <w:t xml:space="preserve"> 第五十二条：供应商认为采购文件、采购过程和中标、中标结果使自己的权益受到损害的，可以在知道或者应知其权益受到损害之日起七个工作日内，以书面形式向采购人提出质疑。</w:t>
      </w:r>
    </w:p>
    <w:p>
      <w:pPr>
        <w:widowControl/>
        <w:spacing w:line="400" w:lineRule="exact"/>
        <w:ind w:firstLine="420"/>
        <w:jc w:val="left"/>
        <w:rPr>
          <w:rFonts w:ascii="宋体" w:hAnsi="宋体" w:cs="宋体"/>
          <w:kern w:val="0"/>
          <w:szCs w:val="21"/>
          <w:shd w:val="clear" w:color="auto" w:fill="FFFFFF"/>
        </w:rPr>
      </w:pPr>
      <w:r>
        <w:rPr>
          <w:rFonts w:hint="eastAsia" w:ascii="宋体" w:hAnsi="宋体" w:cs="宋体"/>
          <w:kern w:val="0"/>
          <w:szCs w:val="21"/>
          <w:shd w:val="clear" w:color="auto" w:fill="FFFFFF"/>
        </w:rPr>
        <w:t xml:space="preserve"> 第五十三条：采购人应当在收到供应商的书面质疑后七个工作日内作出答复，并以书面形式通知质疑供应商和其他有关供应商，但答复的内容不得涉及商业秘密。</w:t>
      </w:r>
    </w:p>
    <w:p>
      <w:pPr>
        <w:widowControl/>
        <w:spacing w:line="400" w:lineRule="exact"/>
        <w:ind w:firstLine="420"/>
        <w:jc w:val="left"/>
        <w:rPr>
          <w:rFonts w:ascii="宋体" w:hAnsi="宋体" w:cs="宋体"/>
          <w:kern w:val="0"/>
          <w:szCs w:val="21"/>
          <w:shd w:val="clear" w:color="auto" w:fill="FFFFFF"/>
        </w:rPr>
      </w:pPr>
      <w:r>
        <w:rPr>
          <w:rFonts w:hint="eastAsia" w:ascii="宋体" w:hAnsi="宋体" w:cs="宋体"/>
          <w:kern w:val="0"/>
          <w:szCs w:val="21"/>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widowControl/>
        <w:spacing w:line="400" w:lineRule="exact"/>
        <w:ind w:firstLine="420"/>
        <w:jc w:val="left"/>
        <w:rPr>
          <w:rFonts w:ascii="宋体" w:hAnsi="宋体" w:cs="宋体"/>
          <w:kern w:val="0"/>
          <w:szCs w:val="21"/>
          <w:shd w:val="clear" w:color="auto" w:fill="FFFFFF"/>
        </w:rPr>
      </w:pPr>
      <w:r>
        <w:rPr>
          <w:rFonts w:hint="eastAsia" w:ascii="宋体" w:hAnsi="宋体" w:cs="宋体"/>
          <w:kern w:val="0"/>
          <w:szCs w:val="21"/>
          <w:shd w:val="clear" w:color="auto" w:fill="FFFFFF"/>
        </w:rPr>
        <w:t xml:space="preserve">  《政府采购实施条例》第五十五条：供应商质疑、投诉应当有明确的请求和必要的证明材料。供应商投诉的事项不得超出质疑事项的范围。</w:t>
      </w:r>
    </w:p>
    <w:p>
      <w:pPr>
        <w:spacing w:line="400" w:lineRule="exact"/>
        <w:rPr>
          <w:rFonts w:ascii="宋体" w:hAnsi="宋体" w:cs="宋体"/>
          <w:szCs w:val="21"/>
        </w:rPr>
      </w:pPr>
    </w:p>
    <w:p>
      <w:pPr>
        <w:spacing w:line="400" w:lineRule="exact"/>
        <w:ind w:left="3780" w:hanging="3780" w:hangingChars="1800"/>
        <w:outlineLvl w:val="1"/>
        <w:rPr>
          <w:rFonts w:ascii="宋体" w:hAnsi="宋体" w:cs="宋体"/>
          <w:szCs w:val="21"/>
        </w:rPr>
      </w:pPr>
      <w:r>
        <w:rPr>
          <w:rFonts w:hint="eastAsia" w:ascii="宋体" w:hAnsi="宋体" w:cs="宋体"/>
          <w:szCs w:val="21"/>
        </w:rPr>
        <w:t xml:space="preserve">    二、书面方式</w:t>
      </w:r>
    </w:p>
    <w:p>
      <w:pPr>
        <w:spacing w:line="400" w:lineRule="exact"/>
        <w:ind w:left="3780" w:hanging="3780" w:hangingChars="1800"/>
        <w:rPr>
          <w:rFonts w:ascii="宋体" w:hAnsi="宋体" w:cs="宋体"/>
          <w:szCs w:val="21"/>
        </w:rPr>
      </w:pPr>
      <w:r>
        <w:rPr>
          <w:rFonts w:hint="eastAsia" w:ascii="宋体" w:hAnsi="宋体" w:cs="宋体"/>
          <w:szCs w:val="21"/>
        </w:rPr>
        <w:t xml:space="preserve">    《政府采购供应商投诉处理办法》第八条：投诉人投诉</w:t>
      </w:r>
    </w:p>
    <w:p>
      <w:pPr>
        <w:spacing w:line="400" w:lineRule="exact"/>
        <w:rPr>
          <w:rFonts w:ascii="宋体" w:hAnsi="宋体" w:cs="宋体"/>
          <w:szCs w:val="21"/>
        </w:rPr>
      </w:pPr>
      <w:r>
        <w:rPr>
          <w:rFonts w:hint="eastAsia" w:ascii="宋体" w:hAnsi="宋体" w:cs="宋体"/>
          <w:szCs w:val="21"/>
        </w:rPr>
        <w:t>时，应当提交投诉书，并按照被投诉人以及与投诉事项有关的供应商数量提供投诉书的副本。</w:t>
      </w:r>
    </w:p>
    <w:p>
      <w:pPr>
        <w:spacing w:line="400" w:lineRule="exact"/>
        <w:ind w:left="3780" w:hanging="3780" w:hangingChars="1800"/>
        <w:rPr>
          <w:rFonts w:ascii="宋体" w:hAnsi="宋体" w:cs="宋体"/>
          <w:szCs w:val="21"/>
        </w:rPr>
      </w:pPr>
      <w:r>
        <w:rPr>
          <w:rFonts w:hint="eastAsia" w:ascii="宋体" w:hAnsi="宋体" w:cs="宋体"/>
          <w:szCs w:val="21"/>
        </w:rPr>
        <w:t xml:space="preserve">   投诉书应当包括下列主要内容：</w:t>
      </w:r>
    </w:p>
    <w:p>
      <w:pPr>
        <w:numPr>
          <w:ilvl w:val="0"/>
          <w:numId w:val="7"/>
        </w:numPr>
        <w:spacing w:line="400" w:lineRule="exact"/>
        <w:ind w:left="1920"/>
        <w:rPr>
          <w:rFonts w:ascii="宋体" w:hAnsi="宋体" w:cs="宋体"/>
          <w:szCs w:val="21"/>
        </w:rPr>
      </w:pPr>
      <w:r>
        <w:rPr>
          <w:rFonts w:hint="eastAsia" w:ascii="宋体" w:hAnsi="宋体" w:cs="宋体"/>
          <w:szCs w:val="21"/>
        </w:rPr>
        <w:t>投诉人和被投诉人的名称、地址、电话等；</w:t>
      </w:r>
    </w:p>
    <w:p>
      <w:pPr>
        <w:numPr>
          <w:ilvl w:val="0"/>
          <w:numId w:val="7"/>
        </w:numPr>
        <w:spacing w:line="400" w:lineRule="exact"/>
        <w:ind w:left="1920"/>
        <w:rPr>
          <w:rFonts w:ascii="宋体" w:hAnsi="宋体" w:cs="宋体"/>
          <w:szCs w:val="21"/>
        </w:rPr>
      </w:pPr>
      <w:r>
        <w:rPr>
          <w:rFonts w:hint="eastAsia" w:ascii="宋体" w:hAnsi="宋体" w:cs="宋体"/>
          <w:szCs w:val="21"/>
        </w:rPr>
        <w:t>具体的投诉事项及事实依据；</w:t>
      </w:r>
    </w:p>
    <w:p>
      <w:pPr>
        <w:numPr>
          <w:ilvl w:val="0"/>
          <w:numId w:val="7"/>
        </w:numPr>
        <w:spacing w:line="400" w:lineRule="exact"/>
        <w:ind w:left="1920"/>
        <w:rPr>
          <w:rFonts w:ascii="宋体" w:hAnsi="宋体" w:cs="宋体"/>
          <w:szCs w:val="21"/>
        </w:rPr>
      </w:pPr>
      <w:r>
        <w:rPr>
          <w:rFonts w:hint="eastAsia" w:ascii="宋体" w:hAnsi="宋体" w:cs="宋体"/>
          <w:szCs w:val="21"/>
        </w:rPr>
        <w:t>质疑和质疑答复情况及相关证明材料；</w:t>
      </w:r>
    </w:p>
    <w:p>
      <w:pPr>
        <w:numPr>
          <w:ilvl w:val="0"/>
          <w:numId w:val="7"/>
        </w:numPr>
        <w:spacing w:line="400" w:lineRule="exact"/>
        <w:ind w:left="1920"/>
        <w:rPr>
          <w:rFonts w:ascii="宋体" w:hAnsi="宋体" w:cs="宋体"/>
          <w:szCs w:val="21"/>
        </w:rPr>
      </w:pPr>
      <w:r>
        <w:rPr>
          <w:rFonts w:hint="eastAsia" w:ascii="宋体" w:hAnsi="宋体" w:cs="宋体"/>
          <w:szCs w:val="21"/>
        </w:rPr>
        <w:t>提起投诉的日期。</w:t>
      </w:r>
    </w:p>
    <w:p>
      <w:pPr>
        <w:spacing w:line="400" w:lineRule="exact"/>
        <w:ind w:firstLine="645"/>
        <w:rPr>
          <w:rFonts w:ascii="宋体" w:hAnsi="宋体" w:cs="宋体"/>
          <w:szCs w:val="21"/>
        </w:rPr>
      </w:pPr>
      <w:r>
        <w:rPr>
          <w:rFonts w:hint="eastAsia" w:ascii="宋体" w:hAnsi="宋体" w:cs="宋体"/>
          <w:szCs w:val="21"/>
        </w:rPr>
        <w:t>投诉书应当署名。投诉人为自然人，应当由本人签字；投诉人为法人或者其他组织的，应当由法定代表人或者主要负责人签字并加盖公章。</w:t>
      </w:r>
    </w:p>
    <w:p>
      <w:pPr>
        <w:spacing w:line="400" w:lineRule="exact"/>
        <w:ind w:firstLine="645"/>
        <w:rPr>
          <w:rFonts w:ascii="宋体" w:hAnsi="宋体" w:cs="宋体"/>
          <w:szCs w:val="21"/>
        </w:rPr>
      </w:pPr>
      <w:r>
        <w:rPr>
          <w:rFonts w:hint="eastAsia" w:ascii="宋体" w:hAnsi="宋体" w:cs="宋体"/>
          <w:szCs w:val="21"/>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spacing w:line="400" w:lineRule="exact"/>
        <w:ind w:firstLine="645"/>
        <w:rPr>
          <w:rFonts w:ascii="宋体" w:hAnsi="宋体" w:cs="宋体"/>
          <w:szCs w:val="21"/>
        </w:rPr>
      </w:pPr>
      <w:r>
        <w:rPr>
          <w:rFonts w:hint="eastAsia" w:ascii="宋体" w:hAnsi="宋体" w:cs="宋体"/>
          <w:szCs w:val="21"/>
        </w:rPr>
        <w:t>《政府采购供应商投诉处理办法》第十条：投诉人提起投诉应当符合下列条件：</w:t>
      </w:r>
    </w:p>
    <w:p>
      <w:pPr>
        <w:numPr>
          <w:ilvl w:val="0"/>
          <w:numId w:val="8"/>
        </w:numPr>
        <w:spacing w:line="400" w:lineRule="exact"/>
        <w:rPr>
          <w:rFonts w:ascii="宋体" w:hAnsi="宋体" w:cs="宋体"/>
          <w:szCs w:val="21"/>
        </w:rPr>
      </w:pPr>
      <w:r>
        <w:rPr>
          <w:rFonts w:hint="eastAsia" w:ascii="宋体" w:hAnsi="宋体" w:cs="宋体"/>
          <w:szCs w:val="21"/>
        </w:rPr>
        <w:t>投诉人是参与所投诉政府采购活动的供应商；</w:t>
      </w:r>
    </w:p>
    <w:p>
      <w:pPr>
        <w:numPr>
          <w:ilvl w:val="0"/>
          <w:numId w:val="8"/>
        </w:numPr>
        <w:spacing w:line="400" w:lineRule="exact"/>
        <w:rPr>
          <w:rFonts w:ascii="宋体" w:hAnsi="宋体" w:cs="宋体"/>
          <w:szCs w:val="21"/>
        </w:rPr>
      </w:pPr>
      <w:r>
        <w:rPr>
          <w:rFonts w:hint="eastAsia" w:ascii="宋体" w:hAnsi="宋体" w:cs="宋体"/>
          <w:szCs w:val="21"/>
        </w:rPr>
        <w:t>提起投诉诉前已依法进行质疑；</w:t>
      </w:r>
    </w:p>
    <w:p>
      <w:pPr>
        <w:numPr>
          <w:ilvl w:val="0"/>
          <w:numId w:val="8"/>
        </w:numPr>
        <w:spacing w:line="400" w:lineRule="exact"/>
        <w:rPr>
          <w:rFonts w:ascii="宋体" w:hAnsi="宋体" w:cs="宋体"/>
          <w:szCs w:val="21"/>
        </w:rPr>
      </w:pPr>
      <w:r>
        <w:rPr>
          <w:rFonts w:hint="eastAsia" w:ascii="宋体" w:hAnsi="宋体" w:cs="宋体"/>
          <w:szCs w:val="21"/>
        </w:rPr>
        <w:t>投诉书内容符合本办法的规定；</w:t>
      </w:r>
    </w:p>
    <w:p>
      <w:pPr>
        <w:numPr>
          <w:ilvl w:val="0"/>
          <w:numId w:val="8"/>
        </w:numPr>
        <w:spacing w:line="400" w:lineRule="exact"/>
        <w:rPr>
          <w:rFonts w:ascii="宋体" w:hAnsi="宋体" w:cs="宋体"/>
          <w:szCs w:val="21"/>
        </w:rPr>
      </w:pPr>
      <w:r>
        <w:rPr>
          <w:rFonts w:hint="eastAsia" w:ascii="宋体" w:hAnsi="宋体" w:cs="宋体"/>
          <w:szCs w:val="21"/>
        </w:rPr>
        <w:t>在投诉有效期内提起投诉；</w:t>
      </w:r>
    </w:p>
    <w:p>
      <w:pPr>
        <w:numPr>
          <w:ilvl w:val="0"/>
          <w:numId w:val="8"/>
        </w:numPr>
        <w:spacing w:line="400" w:lineRule="exact"/>
        <w:rPr>
          <w:rFonts w:ascii="宋体" w:hAnsi="宋体" w:cs="宋体"/>
          <w:szCs w:val="21"/>
        </w:rPr>
      </w:pPr>
      <w:r>
        <w:rPr>
          <w:rFonts w:hint="eastAsia" w:ascii="宋体" w:hAnsi="宋体" w:cs="宋体"/>
          <w:szCs w:val="21"/>
        </w:rPr>
        <w:t>属于本级财政部门管辖；</w:t>
      </w:r>
    </w:p>
    <w:p>
      <w:pPr>
        <w:numPr>
          <w:ilvl w:val="0"/>
          <w:numId w:val="8"/>
        </w:numPr>
        <w:spacing w:line="400" w:lineRule="exact"/>
        <w:rPr>
          <w:rFonts w:ascii="宋体" w:hAnsi="宋体" w:cs="宋体"/>
          <w:szCs w:val="21"/>
        </w:rPr>
      </w:pPr>
      <w:r>
        <w:rPr>
          <w:rFonts w:hint="eastAsia" w:ascii="宋体" w:hAnsi="宋体" w:cs="宋体"/>
          <w:szCs w:val="21"/>
        </w:rPr>
        <w:t>同一投诉事项未经财政部门投诉处理；</w:t>
      </w:r>
    </w:p>
    <w:p>
      <w:pPr>
        <w:numPr>
          <w:ilvl w:val="0"/>
          <w:numId w:val="8"/>
        </w:numPr>
        <w:spacing w:line="400" w:lineRule="exact"/>
        <w:rPr>
          <w:rFonts w:ascii="宋体" w:hAnsi="宋体" w:cs="宋体"/>
          <w:szCs w:val="21"/>
        </w:rPr>
      </w:pPr>
      <w:r>
        <w:rPr>
          <w:rFonts w:hint="eastAsia" w:ascii="宋体" w:hAnsi="宋体" w:cs="宋体"/>
          <w:szCs w:val="21"/>
        </w:rPr>
        <w:t>国务院财政部门规定的其他条件。</w:t>
      </w:r>
    </w:p>
    <w:p>
      <w:pPr>
        <w:spacing w:line="400" w:lineRule="exact"/>
        <w:ind w:left="3780" w:hanging="3780" w:hangingChars="1800"/>
        <w:rPr>
          <w:rFonts w:ascii="宋体" w:hAnsi="宋体" w:cs="宋体"/>
          <w:szCs w:val="21"/>
        </w:rPr>
      </w:pPr>
      <w:r>
        <w:rPr>
          <w:rFonts w:hint="eastAsia" w:ascii="宋体" w:hAnsi="宋体" w:cs="宋体"/>
          <w:szCs w:val="21"/>
        </w:rPr>
        <w:t xml:space="preserve">   </w:t>
      </w:r>
    </w:p>
    <w:p>
      <w:pPr>
        <w:outlineLvl w:val="1"/>
        <w:rPr>
          <w:szCs w:val="21"/>
        </w:rPr>
      </w:pPr>
      <w:r>
        <w:rPr>
          <w:rFonts w:hint="eastAsia"/>
          <w:szCs w:val="21"/>
        </w:rPr>
        <w:t xml:space="preserve"> </w:t>
      </w:r>
      <w:r>
        <w:rPr>
          <w:rFonts w:hint="eastAsia" w:ascii="宋体" w:hAnsi="宋体" w:cs="宋体"/>
          <w:szCs w:val="21"/>
        </w:rPr>
        <w:t xml:space="preserve">   三、虚假、恶意投诉法律责任</w:t>
      </w:r>
    </w:p>
    <w:p>
      <w:pPr>
        <w:spacing w:line="400" w:lineRule="exact"/>
        <w:ind w:firstLine="420" w:firstLineChars="200"/>
        <w:rPr>
          <w:rFonts w:ascii="宋体" w:hAnsi="宋体" w:cs="宋体"/>
          <w:szCs w:val="21"/>
        </w:rPr>
      </w:pPr>
      <w:r>
        <w:rPr>
          <w:rFonts w:hint="eastAsia" w:ascii="宋体" w:hAnsi="宋体" w:cs="宋体"/>
          <w:szCs w:val="21"/>
        </w:rPr>
        <w:t>第七十三条：供应商捏造实施、提供虚假材料或者以非法手段取得证明材料进行投诉的，由财政部门列入不良行为记录名单，禁止其1至3年内参加政府采购活动。</w:t>
      </w:r>
    </w:p>
    <w:p>
      <w:pPr>
        <w:spacing w:line="400" w:lineRule="exact"/>
        <w:ind w:firstLine="420" w:firstLineChars="200"/>
        <w:rPr>
          <w:rFonts w:ascii="宋体" w:hAnsi="宋体" w:cs="宋体"/>
          <w:szCs w:val="21"/>
        </w:rPr>
      </w:pPr>
      <w:r>
        <w:rPr>
          <w:rFonts w:hint="eastAsia" w:ascii="宋体" w:hAnsi="宋体" w:cs="宋体"/>
          <w:szCs w:val="21"/>
        </w:rPr>
        <w:t>《政府采购供应商投诉处理办法》第二十六条：投诉人有下列情形之一的，属于虚假、恶意投诉，财政部门应当驳回投诉，将其列入不良行为记录名单，并依法予以处罚：</w:t>
      </w:r>
    </w:p>
    <w:p>
      <w:pPr>
        <w:spacing w:line="400" w:lineRule="exact"/>
        <w:ind w:firstLine="420" w:firstLineChars="200"/>
        <w:rPr>
          <w:rFonts w:ascii="宋体" w:hAnsi="宋体" w:cs="宋体"/>
          <w:szCs w:val="21"/>
        </w:rPr>
      </w:pPr>
      <w:r>
        <w:rPr>
          <w:rFonts w:hint="eastAsia" w:ascii="宋体" w:hAnsi="宋体" w:cs="宋体"/>
          <w:szCs w:val="21"/>
        </w:rPr>
        <w:t>（一）1年内3次以上投诉均查无实据的；</w:t>
      </w:r>
    </w:p>
    <w:p>
      <w:pPr>
        <w:spacing w:line="400" w:lineRule="exact"/>
        <w:ind w:firstLine="420" w:firstLineChars="200"/>
        <w:rPr>
          <w:rFonts w:ascii="宋体" w:hAnsi="宋体" w:cs="宋体"/>
          <w:szCs w:val="21"/>
        </w:rPr>
      </w:pPr>
      <w:r>
        <w:rPr>
          <w:rFonts w:hint="eastAsia" w:ascii="宋体" w:hAnsi="宋体" w:cs="宋体"/>
          <w:szCs w:val="21"/>
        </w:rPr>
        <w:t>（二）捏造事实或者提供虚假投诉材料的。</w:t>
      </w:r>
    </w:p>
    <w:p>
      <w:pPr>
        <w:spacing w:line="400" w:lineRule="exact"/>
        <w:rPr>
          <w:rFonts w:ascii="宋体" w:hAnsi="宋体" w:cs="宋体"/>
          <w:szCs w:val="21"/>
        </w:rPr>
      </w:pPr>
    </w:p>
    <w:p>
      <w:pPr>
        <w:spacing w:line="400" w:lineRule="exact"/>
        <w:rPr>
          <w:rFonts w:ascii="宋体" w:hAnsi="宋体" w:cs="宋体"/>
          <w:szCs w:val="21"/>
        </w:rPr>
      </w:pPr>
    </w:p>
    <w:p>
      <w:pPr>
        <w:ind w:firstLine="420" w:firstLineChars="200"/>
        <w:rPr>
          <w:rFonts w:hint="eastAsia" w:ascii="宋体" w:hAnsi="宋体" w:cs="宋体"/>
          <w:szCs w:val="21"/>
        </w:rPr>
      </w:pPr>
      <w:r>
        <w:rPr>
          <w:rFonts w:hint="eastAsia" w:ascii="宋体" w:hAnsi="宋体" w:cs="宋体"/>
          <w:szCs w:val="21"/>
        </w:rPr>
        <w:t>递交投诉书地址：乌恰财政局政府采购办监管办公室</w:t>
      </w:r>
    </w:p>
    <w:p>
      <w:pPr>
        <w:ind w:firstLine="420" w:firstLineChars="200"/>
        <w:rPr>
          <w:rFonts w:hint="eastAsia" w:ascii="宋体" w:hAnsi="宋体" w:cs="宋体"/>
          <w:szCs w:val="21"/>
          <w:lang w:val="en-US" w:eastAsia="zh-CN"/>
        </w:rPr>
      </w:pPr>
      <w:r>
        <w:rPr>
          <w:rFonts w:hint="eastAsia" w:ascii="宋体" w:hAnsi="宋体" w:cs="宋体"/>
          <w:szCs w:val="21"/>
          <w:lang w:val="en-US" w:eastAsia="zh-CN"/>
        </w:rPr>
        <w:t>联系人：刘先生</w:t>
      </w:r>
    </w:p>
    <w:p>
      <w:pPr>
        <w:ind w:firstLine="420" w:firstLineChars="200"/>
        <w:rPr>
          <w:rFonts w:hint="default" w:ascii="宋体" w:hAnsi="宋体" w:cs="宋体"/>
          <w:szCs w:val="21"/>
          <w:lang w:val="en-US" w:eastAsia="zh-CN"/>
        </w:rPr>
      </w:pPr>
      <w:r>
        <w:rPr>
          <w:rFonts w:hint="eastAsia" w:ascii="宋体" w:hAnsi="宋体" w:cs="宋体"/>
          <w:szCs w:val="21"/>
          <w:lang w:val="en-US" w:eastAsia="zh-CN"/>
        </w:rPr>
        <w:t>联系电话：15209089182</w:t>
      </w:r>
    </w:p>
    <w:p>
      <w:pPr>
        <w:ind w:firstLine="420" w:firstLineChars="200"/>
        <w:rPr>
          <w:rFonts w:hint="default" w:ascii="宋体" w:hAnsi="宋体" w:cs="宋体"/>
          <w:szCs w:val="21"/>
          <w:lang w:val="en-US" w:eastAsia="zh-CN"/>
        </w:rPr>
      </w:pPr>
    </w:p>
    <w:p>
      <w:pPr>
        <w:spacing w:line="360" w:lineRule="exact"/>
        <w:jc w:val="center"/>
        <w:rPr>
          <w:rFonts w:ascii="黑体" w:eastAsia="黑体"/>
          <w:sz w:val="30"/>
          <w:szCs w:val="30"/>
        </w:rPr>
      </w:pPr>
    </w:p>
    <w:p>
      <w:pPr>
        <w:pStyle w:val="54"/>
        <w:rPr>
          <w:rFonts w:ascii="黑体" w:eastAsia="黑体"/>
          <w:sz w:val="30"/>
          <w:szCs w:val="30"/>
        </w:rPr>
      </w:pPr>
    </w:p>
    <w:p>
      <w:pPr>
        <w:pStyle w:val="54"/>
        <w:rPr>
          <w:rFonts w:ascii="黑体" w:eastAsia="黑体"/>
          <w:sz w:val="30"/>
          <w:szCs w:val="30"/>
        </w:rPr>
      </w:pPr>
    </w:p>
    <w:p>
      <w:pPr>
        <w:pStyle w:val="54"/>
        <w:rPr>
          <w:rFonts w:ascii="黑体" w:eastAsia="黑体"/>
          <w:sz w:val="30"/>
          <w:szCs w:val="30"/>
        </w:rPr>
      </w:pPr>
    </w:p>
    <w:p>
      <w:pPr>
        <w:pStyle w:val="54"/>
        <w:rPr>
          <w:rFonts w:ascii="黑体" w:eastAsia="黑体"/>
          <w:sz w:val="30"/>
          <w:szCs w:val="30"/>
        </w:rPr>
      </w:pPr>
    </w:p>
    <w:p>
      <w:pPr>
        <w:jc w:val="left"/>
        <w:rPr>
          <w:rFonts w:ascii="宋体" w:hAnsi="宋体" w:cs="宋体"/>
          <w:szCs w:val="21"/>
        </w:rPr>
      </w:pPr>
    </w:p>
    <w:p>
      <w:pPr>
        <w:jc w:val="left"/>
        <w:rPr>
          <w:rFonts w:ascii="宋体" w:hAnsi="宋体" w:cs="宋体"/>
          <w:szCs w:val="21"/>
        </w:rPr>
      </w:pPr>
    </w:p>
    <w:p>
      <w:pPr>
        <w:pStyle w:val="26"/>
        <w:rPr>
          <w:rFonts w:ascii="宋体" w:hAnsi="宋体"/>
        </w:rPr>
      </w:pPr>
    </w:p>
    <w:p>
      <w:pPr>
        <w:pStyle w:val="26"/>
        <w:rPr>
          <w:rFonts w:ascii="宋体" w:hAnsi="宋体"/>
        </w:rPr>
      </w:pPr>
    </w:p>
    <w:p>
      <w:pPr>
        <w:jc w:val="left"/>
        <w:rPr>
          <w:rFonts w:ascii="宋体" w:hAnsi="宋体" w:cs="宋体"/>
          <w:szCs w:val="21"/>
        </w:rPr>
      </w:pPr>
    </w:p>
    <w:p>
      <w:pPr>
        <w:pStyle w:val="10"/>
        <w:rPr>
          <w:rFonts w:ascii="宋体" w:hAnsi="宋体" w:cs="宋体"/>
          <w:szCs w:val="21"/>
        </w:rPr>
      </w:pPr>
    </w:p>
    <w:p>
      <w:pPr>
        <w:rPr>
          <w:rFonts w:ascii="宋体" w:hAnsi="宋体" w:cs="宋体"/>
          <w:szCs w:val="21"/>
        </w:rPr>
      </w:pPr>
    </w:p>
    <w:p>
      <w:pPr>
        <w:pStyle w:val="45"/>
      </w:pPr>
    </w:p>
    <w:p>
      <w:pPr>
        <w:pStyle w:val="10"/>
        <w:rPr>
          <w:rFonts w:ascii="宋体" w:hAnsi="宋体" w:cs="宋体"/>
          <w:szCs w:val="21"/>
        </w:rPr>
      </w:pPr>
    </w:p>
    <w:p>
      <w:pPr>
        <w:rPr>
          <w:rFonts w:ascii="宋体" w:hAnsi="宋体" w:cs="宋体"/>
          <w:szCs w:val="21"/>
        </w:rPr>
      </w:pPr>
    </w:p>
    <w:p>
      <w:pPr>
        <w:pStyle w:val="10"/>
        <w:rPr>
          <w:rFonts w:ascii="宋体" w:hAnsi="宋体" w:cs="宋体"/>
          <w:szCs w:val="21"/>
        </w:rPr>
      </w:pPr>
    </w:p>
    <w:p>
      <w:pPr>
        <w:rPr>
          <w:rFonts w:ascii="宋体" w:hAnsi="宋体" w:cs="宋体"/>
          <w:szCs w:val="21"/>
        </w:rPr>
      </w:pPr>
    </w:p>
    <w:p>
      <w:pPr>
        <w:pStyle w:val="10"/>
        <w:rPr>
          <w:rFonts w:ascii="宋体" w:hAnsi="宋体" w:cs="宋体"/>
          <w:szCs w:val="21"/>
        </w:rPr>
      </w:pPr>
    </w:p>
    <w:p>
      <w:pPr>
        <w:rPr>
          <w:rFonts w:ascii="宋体" w:hAnsi="宋体" w:cs="宋体"/>
          <w:szCs w:val="21"/>
        </w:rPr>
      </w:pPr>
    </w:p>
    <w:p>
      <w:pPr>
        <w:pStyle w:val="6"/>
      </w:pPr>
    </w:p>
    <w:p>
      <w:pPr>
        <w:rPr>
          <w:rFonts w:ascii="宋体" w:hAnsi="宋体" w:cs="宋体"/>
          <w:szCs w:val="21"/>
        </w:rPr>
      </w:pPr>
    </w:p>
    <w:p>
      <w:pPr>
        <w:spacing w:line="540" w:lineRule="exact"/>
        <w:rPr>
          <w:rFonts w:ascii="宋体" w:hAnsi="宋体" w:cs="宋体"/>
          <w:sz w:val="32"/>
          <w:szCs w:val="32"/>
        </w:rPr>
      </w:pPr>
      <w:bookmarkStart w:id="34" w:name="_Toc1697"/>
    </w:p>
    <w:p>
      <w:pPr>
        <w:spacing w:line="540" w:lineRule="exact"/>
        <w:jc w:val="center"/>
        <w:outlineLvl w:val="2"/>
        <w:rPr>
          <w:rFonts w:ascii="宋体" w:hAnsi="宋体" w:cs="宋体"/>
          <w:sz w:val="32"/>
          <w:szCs w:val="32"/>
        </w:rPr>
      </w:pPr>
      <w:r>
        <w:rPr>
          <w:rFonts w:hint="eastAsia" w:ascii="宋体" w:hAnsi="宋体" w:cs="宋体"/>
          <w:sz w:val="32"/>
          <w:szCs w:val="32"/>
        </w:rPr>
        <w:t>质疑函范本</w:t>
      </w:r>
      <w:bookmarkEnd w:id="34"/>
    </w:p>
    <w:p>
      <w:pPr>
        <w:adjustRightInd w:val="0"/>
        <w:snapToGrid w:val="0"/>
        <w:spacing w:before="312" w:beforeLines="100" w:line="540" w:lineRule="exact"/>
        <w:ind w:firstLine="420" w:firstLineChars="200"/>
        <w:outlineLvl w:val="1"/>
        <w:rPr>
          <w:rFonts w:ascii="宋体" w:hAnsi="宋体" w:cs="宋体"/>
          <w:szCs w:val="21"/>
        </w:rPr>
      </w:pPr>
      <w:bookmarkStart w:id="35" w:name="_Toc9061"/>
      <w:r>
        <w:rPr>
          <w:rFonts w:hint="eastAsia" w:ascii="宋体" w:hAnsi="宋体" w:cs="宋体"/>
          <w:szCs w:val="21"/>
        </w:rPr>
        <w:t>一、质疑供应商基本信息</w:t>
      </w:r>
      <w:bookmarkEnd w:id="35"/>
    </w:p>
    <w:p>
      <w:pPr>
        <w:adjustRightInd w:val="0"/>
        <w:snapToGrid w:val="0"/>
        <w:spacing w:line="540" w:lineRule="exact"/>
        <w:ind w:firstLine="420" w:firstLineChars="200"/>
        <w:rPr>
          <w:rFonts w:ascii="宋体" w:hAnsi="宋体" w:cs="宋体"/>
          <w:szCs w:val="21"/>
          <w:u w:val="dotted"/>
        </w:rPr>
      </w:pPr>
      <w:r>
        <w:rPr>
          <w:rFonts w:hint="eastAsia" w:ascii="宋体" w:hAnsi="宋体" w:cs="宋体"/>
          <w:szCs w:val="21"/>
        </w:rPr>
        <w:t>质疑供应商：</w:t>
      </w:r>
      <w:r>
        <w:rPr>
          <w:rFonts w:hint="eastAsia" w:ascii="宋体" w:hAnsi="宋体" w:cs="宋体"/>
          <w:szCs w:val="21"/>
          <w:u w:val="dotted"/>
        </w:rPr>
        <w:t xml:space="preserve">                         </w:t>
      </w:r>
    </w:p>
    <w:p>
      <w:pPr>
        <w:adjustRightInd w:val="0"/>
        <w:snapToGrid w:val="0"/>
        <w:spacing w:line="540" w:lineRule="exact"/>
        <w:ind w:firstLine="420" w:firstLineChars="200"/>
        <w:rPr>
          <w:rFonts w:ascii="宋体" w:hAnsi="宋体" w:cs="宋体"/>
          <w:szCs w:val="21"/>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pPr>
        <w:adjustRightInd w:val="0"/>
        <w:snapToGrid w:val="0"/>
        <w:spacing w:line="540" w:lineRule="exact"/>
        <w:ind w:firstLine="420" w:firstLineChars="200"/>
        <w:rPr>
          <w:rFonts w:ascii="宋体" w:hAnsi="宋体" w:cs="宋体"/>
          <w:szCs w:val="21"/>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pPr>
        <w:adjustRightInd w:val="0"/>
        <w:snapToGrid w:val="0"/>
        <w:spacing w:line="540" w:lineRule="exact"/>
        <w:ind w:firstLine="420" w:firstLineChars="200"/>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pPr>
        <w:adjustRightInd w:val="0"/>
        <w:snapToGrid w:val="0"/>
        <w:spacing w:line="540" w:lineRule="exact"/>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p>
    <w:p>
      <w:pPr>
        <w:adjustRightInd w:val="0"/>
        <w:snapToGrid w:val="0"/>
        <w:spacing w:line="540" w:lineRule="exact"/>
        <w:ind w:firstLine="420" w:firstLineChars="200"/>
        <w:rPr>
          <w:rFonts w:ascii="宋体" w:hAnsi="宋体" w:cs="宋体"/>
          <w:szCs w:val="21"/>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pPr>
        <w:adjustRightInd w:val="0"/>
        <w:snapToGrid w:val="0"/>
        <w:spacing w:line="540" w:lineRule="exact"/>
        <w:ind w:firstLine="420" w:firstLineChars="200"/>
        <w:outlineLvl w:val="1"/>
        <w:rPr>
          <w:rFonts w:ascii="宋体" w:hAnsi="宋体" w:cs="宋体"/>
          <w:szCs w:val="21"/>
        </w:rPr>
      </w:pPr>
      <w:bookmarkStart w:id="36" w:name="_Toc15938"/>
      <w:r>
        <w:rPr>
          <w:rFonts w:hint="eastAsia" w:ascii="宋体" w:hAnsi="宋体" w:cs="宋体"/>
          <w:szCs w:val="21"/>
        </w:rPr>
        <w:t>二、质疑项目基本情况</w:t>
      </w:r>
      <w:bookmarkEnd w:id="36"/>
    </w:p>
    <w:p>
      <w:pPr>
        <w:adjustRightInd w:val="0"/>
        <w:snapToGrid w:val="0"/>
        <w:spacing w:line="540" w:lineRule="exact"/>
        <w:ind w:firstLine="420" w:firstLineChars="200"/>
        <w:rPr>
          <w:rFonts w:ascii="宋体" w:hAnsi="宋体" w:cs="宋体"/>
          <w:szCs w:val="21"/>
        </w:rPr>
      </w:pPr>
      <w:r>
        <w:rPr>
          <w:rFonts w:hint="eastAsia" w:ascii="宋体" w:hAnsi="宋体" w:cs="宋体"/>
          <w:szCs w:val="21"/>
        </w:rPr>
        <w:t>质疑项目的名称：</w:t>
      </w:r>
      <w:r>
        <w:rPr>
          <w:rFonts w:hint="eastAsia" w:ascii="宋体" w:hAnsi="宋体" w:cs="宋体"/>
          <w:szCs w:val="21"/>
          <w:u w:val="dotted"/>
        </w:rPr>
        <w:t xml:space="preserve">                                     </w:t>
      </w:r>
    </w:p>
    <w:p>
      <w:pPr>
        <w:adjustRightInd w:val="0"/>
        <w:snapToGrid w:val="0"/>
        <w:spacing w:line="540" w:lineRule="exact"/>
        <w:ind w:firstLine="420" w:firstLineChars="200"/>
        <w:rPr>
          <w:rFonts w:ascii="宋体" w:hAnsi="宋体" w:cs="宋体"/>
          <w:szCs w:val="21"/>
        </w:rPr>
      </w:pPr>
      <w:r>
        <w:rPr>
          <w:rFonts w:hint="eastAsia" w:ascii="宋体" w:hAnsi="宋体" w:cs="宋体"/>
          <w:szCs w:val="21"/>
        </w:rPr>
        <w:t>质疑项目的编号：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pPr>
        <w:adjustRightInd w:val="0"/>
        <w:snapToGrid w:val="0"/>
        <w:spacing w:line="540" w:lineRule="exact"/>
        <w:ind w:firstLine="420" w:firstLineChars="200"/>
        <w:rPr>
          <w:rFonts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pPr>
        <w:adjustRightInd w:val="0"/>
        <w:snapToGrid w:val="0"/>
        <w:spacing w:line="540" w:lineRule="exact"/>
        <w:ind w:firstLine="420" w:firstLineChars="200"/>
        <w:rPr>
          <w:rFonts w:ascii="宋体" w:hAnsi="宋体" w:cs="宋体"/>
          <w:szCs w:val="21"/>
        </w:rPr>
      </w:pPr>
      <w:r>
        <w:rPr>
          <w:rFonts w:hint="eastAsia" w:ascii="宋体" w:hAnsi="宋体" w:cs="宋体"/>
          <w:szCs w:val="21"/>
        </w:rPr>
        <w:t>采购文件获取日期：</w:t>
      </w:r>
      <w:r>
        <w:rPr>
          <w:rFonts w:hint="eastAsia" w:ascii="宋体" w:hAnsi="宋体" w:cs="宋体"/>
          <w:szCs w:val="21"/>
          <w:u w:val="dotted"/>
        </w:rPr>
        <w:t xml:space="preserve">                                   </w:t>
      </w:r>
    </w:p>
    <w:p>
      <w:pPr>
        <w:adjustRightInd w:val="0"/>
        <w:snapToGrid w:val="0"/>
        <w:spacing w:line="540" w:lineRule="exact"/>
        <w:ind w:firstLine="420" w:firstLineChars="200"/>
        <w:outlineLvl w:val="1"/>
        <w:rPr>
          <w:rFonts w:ascii="宋体" w:hAnsi="宋体" w:cs="宋体"/>
          <w:szCs w:val="21"/>
        </w:rPr>
      </w:pPr>
      <w:bookmarkStart w:id="37" w:name="_Toc18271"/>
      <w:r>
        <w:rPr>
          <w:rFonts w:hint="eastAsia" w:ascii="宋体" w:hAnsi="宋体" w:cs="宋体"/>
          <w:szCs w:val="21"/>
        </w:rPr>
        <w:t>三、质疑事项具体内容</w:t>
      </w:r>
      <w:bookmarkEnd w:id="37"/>
    </w:p>
    <w:p>
      <w:pPr>
        <w:adjustRightInd w:val="0"/>
        <w:snapToGrid w:val="0"/>
        <w:spacing w:line="540" w:lineRule="exact"/>
        <w:ind w:firstLine="420" w:firstLineChars="200"/>
        <w:rPr>
          <w:rFonts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p>
    <w:p>
      <w:pPr>
        <w:adjustRightInd w:val="0"/>
        <w:snapToGrid w:val="0"/>
        <w:spacing w:line="540" w:lineRule="exact"/>
        <w:ind w:firstLine="420" w:firstLineChars="200"/>
        <w:rPr>
          <w:rFonts w:ascii="宋体" w:hAnsi="宋体" w:cs="宋体"/>
          <w:szCs w:val="21"/>
        </w:rPr>
      </w:pPr>
      <w:r>
        <w:rPr>
          <w:rFonts w:hint="eastAsia" w:ascii="宋体" w:hAnsi="宋体" w:cs="宋体"/>
          <w:szCs w:val="21"/>
        </w:rPr>
        <w:t>事实依据：</w:t>
      </w:r>
      <w:r>
        <w:rPr>
          <w:rFonts w:hint="eastAsia" w:ascii="宋体" w:hAnsi="宋体" w:cs="宋体"/>
          <w:szCs w:val="21"/>
          <w:u w:val="dotted"/>
        </w:rPr>
        <w:t xml:space="preserve">                                           </w:t>
      </w:r>
    </w:p>
    <w:p>
      <w:pPr>
        <w:adjustRightInd w:val="0"/>
        <w:snapToGrid w:val="0"/>
        <w:spacing w:line="540" w:lineRule="exact"/>
        <w:ind w:firstLine="420" w:firstLineChars="200"/>
        <w:rPr>
          <w:rFonts w:ascii="宋体" w:hAnsi="宋体" w:cs="宋体"/>
          <w:szCs w:val="21"/>
          <w:u w:val="dotted"/>
        </w:rPr>
      </w:pPr>
      <w:r>
        <w:rPr>
          <w:rFonts w:hint="eastAsia" w:ascii="宋体" w:hAnsi="宋体" w:cs="宋体"/>
          <w:szCs w:val="21"/>
        </w:rPr>
        <w:t>法律依据：</w:t>
      </w:r>
      <w:r>
        <w:rPr>
          <w:rFonts w:hint="eastAsia" w:ascii="宋体" w:hAnsi="宋体" w:cs="宋体"/>
          <w:szCs w:val="21"/>
          <w:u w:val="dotted"/>
        </w:rPr>
        <w:t xml:space="preserve">                                           </w:t>
      </w:r>
    </w:p>
    <w:p>
      <w:pPr>
        <w:adjustRightInd w:val="0"/>
        <w:snapToGrid w:val="0"/>
        <w:spacing w:line="540" w:lineRule="exact"/>
        <w:ind w:firstLine="420" w:firstLineChars="200"/>
        <w:rPr>
          <w:rFonts w:ascii="宋体" w:hAnsi="宋体" w:cs="宋体"/>
          <w:szCs w:val="21"/>
          <w:u w:val="dotted"/>
        </w:rPr>
      </w:pPr>
      <w:r>
        <w:rPr>
          <w:rFonts w:hint="eastAsia" w:ascii="宋体" w:hAnsi="宋体" w:cs="宋体"/>
          <w:szCs w:val="21"/>
        </w:rPr>
        <w:t>质疑事项2</w:t>
      </w:r>
    </w:p>
    <w:p>
      <w:pPr>
        <w:adjustRightInd w:val="0"/>
        <w:snapToGrid w:val="0"/>
        <w:spacing w:line="540" w:lineRule="exact"/>
        <w:ind w:firstLine="420" w:firstLineChars="200"/>
        <w:rPr>
          <w:rFonts w:ascii="宋体" w:hAnsi="宋体" w:cs="宋体"/>
          <w:szCs w:val="21"/>
        </w:rPr>
      </w:pPr>
      <w:r>
        <w:rPr>
          <w:rFonts w:hint="eastAsia" w:ascii="宋体" w:hAnsi="宋体" w:cs="宋体"/>
          <w:szCs w:val="21"/>
        </w:rPr>
        <w:t>……</w:t>
      </w:r>
    </w:p>
    <w:p>
      <w:pPr>
        <w:adjustRightInd w:val="0"/>
        <w:snapToGrid w:val="0"/>
        <w:spacing w:line="540" w:lineRule="exact"/>
        <w:ind w:firstLine="420" w:firstLineChars="200"/>
        <w:outlineLvl w:val="1"/>
        <w:rPr>
          <w:rFonts w:ascii="宋体" w:hAnsi="宋体" w:cs="宋体"/>
          <w:szCs w:val="21"/>
        </w:rPr>
      </w:pPr>
      <w:bookmarkStart w:id="38" w:name="_Toc22365"/>
      <w:r>
        <w:rPr>
          <w:rFonts w:hint="eastAsia" w:ascii="宋体" w:hAnsi="宋体" w:cs="宋体"/>
          <w:szCs w:val="21"/>
        </w:rPr>
        <w:t>四、与质疑事项相关的质疑请求</w:t>
      </w:r>
      <w:bookmarkEnd w:id="38"/>
    </w:p>
    <w:p>
      <w:pPr>
        <w:adjustRightInd w:val="0"/>
        <w:snapToGrid w:val="0"/>
        <w:spacing w:line="540" w:lineRule="exact"/>
        <w:ind w:firstLine="420" w:firstLineChars="200"/>
        <w:rPr>
          <w:rFonts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pPr>
        <w:spacing w:line="540" w:lineRule="exact"/>
        <w:ind w:firstLine="420" w:firstLineChars="200"/>
        <w:rPr>
          <w:rFonts w:ascii="宋体" w:hAnsi="宋体" w:cs="宋体"/>
          <w:szCs w:val="21"/>
        </w:rPr>
      </w:pPr>
      <w:r>
        <w:rPr>
          <w:rFonts w:hint="eastAsia" w:ascii="宋体" w:hAnsi="宋体" w:cs="宋体"/>
          <w:szCs w:val="21"/>
        </w:rPr>
        <w:t xml:space="preserve">签字(签章)：                   公章：                      </w:t>
      </w:r>
    </w:p>
    <w:p>
      <w:pPr>
        <w:spacing w:line="540" w:lineRule="exact"/>
        <w:ind w:firstLine="420" w:firstLineChars="200"/>
        <w:rPr>
          <w:rFonts w:ascii="宋体" w:hAnsi="宋体" w:cs="宋体"/>
          <w:szCs w:val="21"/>
        </w:rPr>
      </w:pPr>
      <w:r>
        <w:rPr>
          <w:rFonts w:hint="eastAsia" w:ascii="宋体" w:hAnsi="宋体" w:cs="宋体"/>
          <w:szCs w:val="21"/>
        </w:rPr>
        <w:t xml:space="preserve">日期：    </w:t>
      </w:r>
    </w:p>
    <w:p>
      <w:pPr>
        <w:pStyle w:val="54"/>
        <w:ind w:firstLine="0"/>
        <w:rPr>
          <w:rFonts w:ascii="黑体" w:eastAsia="黑体"/>
          <w:sz w:val="30"/>
          <w:szCs w:val="30"/>
        </w:rPr>
      </w:pPr>
    </w:p>
    <w:p>
      <w:pPr>
        <w:pageBreakBefore/>
        <w:spacing w:line="440" w:lineRule="exact"/>
        <w:jc w:val="center"/>
        <w:outlineLvl w:val="0"/>
        <w:rPr>
          <w:rFonts w:ascii="黑体" w:eastAsia="黑体"/>
          <w:sz w:val="30"/>
          <w:szCs w:val="30"/>
        </w:rPr>
      </w:pPr>
      <w:bookmarkStart w:id="39" w:name="_Toc469495731"/>
      <w:r>
        <w:rPr>
          <w:rFonts w:hint="eastAsia" w:ascii="黑体" w:eastAsia="黑体"/>
          <w:sz w:val="30"/>
          <w:szCs w:val="30"/>
        </w:rPr>
        <w:t>第三章  评标办法</w:t>
      </w:r>
      <w:bookmarkEnd w:id="39"/>
    </w:p>
    <w:p>
      <w:pPr>
        <w:jc w:val="center"/>
        <w:outlineLvl w:val="1"/>
        <w:rPr>
          <w:rFonts w:ascii="宋体"/>
          <w:sz w:val="28"/>
          <w:szCs w:val="28"/>
        </w:rPr>
      </w:pPr>
      <w:bookmarkStart w:id="40" w:name="_Toc469495733"/>
      <w:bookmarkStart w:id="41" w:name="_Toc362983802"/>
      <w:bookmarkStart w:id="42" w:name="_Toc267320058"/>
      <w:bookmarkStart w:id="43" w:name="_Toc363135205"/>
      <w:r>
        <w:rPr>
          <w:rFonts w:hint="eastAsia" w:ascii="宋体"/>
          <w:sz w:val="28"/>
          <w:szCs w:val="28"/>
        </w:rPr>
        <w:t>一  总  则</w:t>
      </w:r>
    </w:p>
    <w:p>
      <w:pPr>
        <w:tabs>
          <w:tab w:val="left" w:pos="567"/>
          <w:tab w:val="left" w:pos="600"/>
        </w:tabs>
        <w:spacing w:line="440" w:lineRule="exact"/>
        <w:ind w:firstLine="535" w:firstLineChars="255"/>
        <w:outlineLvl w:val="1"/>
        <w:rPr>
          <w:rFonts w:ascii="宋体" w:hAnsi="宋体" w:cs="宋体"/>
          <w:szCs w:val="21"/>
        </w:rPr>
      </w:pPr>
      <w:r>
        <w:rPr>
          <w:rFonts w:hint="eastAsia" w:ascii="宋体" w:hAnsi="宋体" w:cs="宋体"/>
          <w:szCs w:val="21"/>
        </w:rPr>
        <w:t>1、一般规定</w:t>
      </w:r>
    </w:p>
    <w:p>
      <w:pPr>
        <w:spacing w:line="440" w:lineRule="exact"/>
        <w:ind w:firstLine="535" w:firstLineChars="255"/>
        <w:rPr>
          <w:rFonts w:ascii="宋体" w:hAnsi="宋体" w:cs="宋体"/>
          <w:szCs w:val="21"/>
        </w:rPr>
      </w:pPr>
      <w:r>
        <w:rPr>
          <w:rFonts w:hint="eastAsia" w:ascii="宋体" w:hAnsi="宋体" w:cs="宋体"/>
          <w:szCs w:val="21"/>
        </w:rPr>
        <w:t>1.1本项目的招标按照《中华人民共和国政府采购法》、《政府采购货物和服务招标投标管理办法》及政府采购的有关规定进行。</w:t>
      </w:r>
    </w:p>
    <w:p>
      <w:pPr>
        <w:spacing w:line="440" w:lineRule="exact"/>
        <w:ind w:firstLine="535" w:firstLineChars="255"/>
        <w:outlineLvl w:val="2"/>
        <w:rPr>
          <w:rFonts w:ascii="宋体" w:hAnsi="宋体" w:cs="宋体"/>
          <w:szCs w:val="21"/>
        </w:rPr>
      </w:pPr>
      <w:r>
        <w:rPr>
          <w:rFonts w:hint="eastAsia" w:ascii="宋体" w:hAnsi="宋体" w:cs="宋体"/>
          <w:szCs w:val="21"/>
        </w:rPr>
        <w:t>1.2评标必须遵循邀请、公平、公正、诚实信用的原则。</w:t>
      </w:r>
    </w:p>
    <w:p>
      <w:pPr>
        <w:spacing w:line="440" w:lineRule="exact"/>
        <w:ind w:firstLine="535" w:firstLineChars="255"/>
        <w:rPr>
          <w:rFonts w:ascii="宋体" w:hAnsi="宋体" w:cs="宋体"/>
          <w:szCs w:val="21"/>
        </w:rPr>
      </w:pPr>
      <w:r>
        <w:rPr>
          <w:rFonts w:hint="eastAsia" w:ascii="宋体" w:hAnsi="宋体" w:cs="宋体"/>
          <w:szCs w:val="21"/>
        </w:rPr>
        <w:t>1.3招标代理机构组织招标、开标、评标工作，全过程接受政府采购有关部门的监督、管理和指导。</w:t>
      </w:r>
    </w:p>
    <w:p>
      <w:pPr>
        <w:spacing w:line="440" w:lineRule="exact"/>
        <w:ind w:firstLine="535" w:firstLineChars="255"/>
        <w:rPr>
          <w:rFonts w:ascii="宋体" w:hAnsi="宋体" w:cs="宋体"/>
          <w:szCs w:val="21"/>
        </w:rPr>
      </w:pPr>
      <w:r>
        <w:rPr>
          <w:rFonts w:hint="eastAsia" w:ascii="宋体" w:hAnsi="宋体" w:cs="宋体"/>
          <w:szCs w:val="21"/>
        </w:rPr>
        <w:t>1.4评标按照招标文件规定的内容进行，采取符合招标文件要求的最低评标价法；</w:t>
      </w:r>
    </w:p>
    <w:p>
      <w:pPr>
        <w:spacing w:line="440" w:lineRule="exact"/>
        <w:ind w:firstLine="535" w:firstLineChars="255"/>
        <w:rPr>
          <w:rFonts w:ascii="宋体" w:hAnsi="宋体" w:cs="宋体"/>
          <w:szCs w:val="21"/>
        </w:rPr>
      </w:pPr>
      <w:r>
        <w:rPr>
          <w:rFonts w:hint="eastAsia" w:ascii="宋体" w:hAnsi="宋体" w:cs="宋体"/>
          <w:szCs w:val="21"/>
        </w:rPr>
        <w:t>1.5本办法的评标对象是指投标人按照招标文件要求提供的有效投标文件，包括投标人应评标委员会要求对原投标文件作出的正式书面澄清文件。</w:t>
      </w:r>
    </w:p>
    <w:p>
      <w:pPr>
        <w:tabs>
          <w:tab w:val="left" w:pos="567"/>
          <w:tab w:val="left" w:pos="1145"/>
        </w:tabs>
        <w:spacing w:line="440" w:lineRule="exact"/>
        <w:ind w:firstLine="535" w:firstLineChars="255"/>
        <w:outlineLvl w:val="1"/>
        <w:rPr>
          <w:rFonts w:ascii="宋体" w:hAnsi="宋体" w:cs="宋体"/>
          <w:szCs w:val="21"/>
        </w:rPr>
      </w:pPr>
      <w:r>
        <w:rPr>
          <w:rFonts w:hint="eastAsia" w:ascii="宋体" w:hAnsi="宋体" w:cs="宋体"/>
          <w:szCs w:val="21"/>
        </w:rPr>
        <w:t>2、评标组织机构的组成</w:t>
      </w:r>
    </w:p>
    <w:p>
      <w:pPr>
        <w:widowControl/>
        <w:spacing w:line="440" w:lineRule="exact"/>
        <w:ind w:firstLine="480"/>
        <w:rPr>
          <w:rFonts w:ascii="宋体" w:hAnsi="宋体" w:cs="宋体"/>
          <w:kern w:val="0"/>
          <w:szCs w:val="21"/>
        </w:rPr>
      </w:pPr>
      <w:r>
        <w:rPr>
          <w:rFonts w:hint="eastAsia" w:ascii="宋体" w:hAnsi="宋体" w:cs="宋体"/>
          <w:szCs w:val="21"/>
        </w:rPr>
        <w:t>2.1</w:t>
      </w:r>
      <w:r>
        <w:rPr>
          <w:rFonts w:hint="eastAsia" w:ascii="宋体" w:hAnsi="宋体" w:cs="宋体"/>
          <w:spacing w:val="-2"/>
          <w:sz w:val="24"/>
        </w:rPr>
        <w:t xml:space="preserve"> </w:t>
      </w:r>
      <w:r>
        <w:rPr>
          <w:rFonts w:hint="eastAsia" w:ascii="宋体" w:hAnsi="宋体" w:cs="宋体"/>
          <w:kern w:val="0"/>
          <w:szCs w:val="21"/>
        </w:rPr>
        <w:t>评标委员会由采购人代表和有关技术、经济等方面的专家组成，成员人数应当为5人。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tabs>
          <w:tab w:val="left" w:pos="567"/>
          <w:tab w:val="left" w:pos="1145"/>
        </w:tabs>
        <w:spacing w:line="440" w:lineRule="exact"/>
        <w:ind w:firstLine="535" w:firstLineChars="255"/>
        <w:rPr>
          <w:rFonts w:ascii="宋体" w:hAnsi="宋体" w:cs="宋体"/>
          <w:szCs w:val="21"/>
        </w:rPr>
      </w:pPr>
      <w:r>
        <w:rPr>
          <w:rFonts w:hint="eastAsia" w:ascii="宋体" w:hAnsi="宋体" w:cs="宋体"/>
          <w:szCs w:val="21"/>
        </w:rPr>
        <w:t>2.2评标工作组由招标人及有关专家组成，由评标委员会确认，并接受其领导。</w:t>
      </w:r>
    </w:p>
    <w:p>
      <w:pPr>
        <w:tabs>
          <w:tab w:val="left" w:pos="567"/>
          <w:tab w:val="left" w:pos="1145"/>
        </w:tabs>
        <w:spacing w:line="440" w:lineRule="exact"/>
        <w:ind w:firstLine="535" w:firstLineChars="255"/>
        <w:rPr>
          <w:rFonts w:ascii="宋体" w:hAnsi="宋体" w:cs="宋体"/>
          <w:szCs w:val="21"/>
        </w:rPr>
      </w:pPr>
      <w:r>
        <w:rPr>
          <w:rFonts w:hint="eastAsia" w:ascii="宋体" w:hAnsi="宋体" w:cs="宋体"/>
          <w:szCs w:val="21"/>
        </w:rPr>
        <w:t>2.3评标委员会应相对独立工作，负责评标、撰写技术、商务评标报告。采购代理机构负责评标过程中资料的保管、发放、回收，整理、汇总评标资料。</w:t>
      </w:r>
    </w:p>
    <w:p>
      <w:pPr>
        <w:tabs>
          <w:tab w:val="left" w:pos="567"/>
          <w:tab w:val="left" w:pos="600"/>
        </w:tabs>
        <w:spacing w:line="440" w:lineRule="exact"/>
        <w:ind w:firstLine="535" w:firstLineChars="255"/>
        <w:outlineLvl w:val="1"/>
        <w:rPr>
          <w:rFonts w:ascii="宋体" w:hAnsi="宋体" w:cs="宋体"/>
          <w:szCs w:val="21"/>
        </w:rPr>
      </w:pPr>
      <w:r>
        <w:rPr>
          <w:rFonts w:hint="eastAsia" w:ascii="宋体" w:hAnsi="宋体" w:cs="宋体"/>
          <w:szCs w:val="21"/>
        </w:rPr>
        <w:t>3、评标委员会职责</w:t>
      </w:r>
    </w:p>
    <w:p>
      <w:pPr>
        <w:pStyle w:val="58"/>
        <w:spacing w:before="0" w:beforeAutospacing="0" w:after="0" w:afterAutospacing="0" w:line="440" w:lineRule="exact"/>
        <w:ind w:firstLine="535" w:firstLineChars="255"/>
        <w:rPr>
          <w:rFonts w:ascii="宋体" w:hAnsi="宋体" w:cs="宋体"/>
          <w:color w:val="auto"/>
          <w:sz w:val="21"/>
          <w:szCs w:val="21"/>
        </w:rPr>
      </w:pPr>
      <w:r>
        <w:rPr>
          <w:rFonts w:hint="eastAsia" w:ascii="宋体" w:hAnsi="宋体" w:cs="宋体"/>
          <w:color w:val="auto"/>
          <w:sz w:val="21"/>
          <w:szCs w:val="21"/>
        </w:rPr>
        <w:t>3.1审查投标文件是否符合招标文件要求，并作出评价；</w:t>
      </w:r>
    </w:p>
    <w:p>
      <w:pPr>
        <w:pStyle w:val="58"/>
        <w:spacing w:before="0" w:beforeAutospacing="0" w:after="0" w:afterAutospacing="0" w:line="440" w:lineRule="exact"/>
        <w:ind w:firstLine="535" w:firstLineChars="255"/>
        <w:rPr>
          <w:rFonts w:ascii="宋体" w:hAnsi="宋体" w:cs="宋体"/>
          <w:color w:val="auto"/>
          <w:sz w:val="21"/>
          <w:szCs w:val="21"/>
        </w:rPr>
      </w:pPr>
      <w:r>
        <w:rPr>
          <w:rFonts w:hint="eastAsia" w:ascii="宋体" w:hAnsi="宋体" w:cs="宋体"/>
          <w:color w:val="auto"/>
          <w:sz w:val="21"/>
          <w:szCs w:val="21"/>
        </w:rPr>
        <w:t>3.2要求投标人对投标文件有关事项作出解释或者澄清；</w:t>
      </w:r>
    </w:p>
    <w:p>
      <w:pPr>
        <w:pStyle w:val="58"/>
        <w:spacing w:before="0" w:beforeAutospacing="0" w:after="0" w:afterAutospacing="0" w:line="440" w:lineRule="exact"/>
        <w:ind w:firstLine="535" w:firstLineChars="255"/>
        <w:rPr>
          <w:rFonts w:ascii="宋体" w:hAnsi="宋体" w:cs="宋体"/>
          <w:color w:val="auto"/>
          <w:sz w:val="21"/>
          <w:szCs w:val="21"/>
        </w:rPr>
      </w:pPr>
      <w:r>
        <w:rPr>
          <w:rFonts w:hint="eastAsia" w:ascii="宋体" w:hAnsi="宋体" w:cs="宋体"/>
          <w:color w:val="auto"/>
          <w:sz w:val="21"/>
          <w:szCs w:val="21"/>
        </w:rPr>
        <w:t>3.3推荐中标候选人名单；</w:t>
      </w:r>
    </w:p>
    <w:p>
      <w:pPr>
        <w:pStyle w:val="58"/>
        <w:spacing w:before="0" w:beforeAutospacing="0" w:after="0" w:afterAutospacing="0" w:line="440" w:lineRule="exact"/>
        <w:ind w:firstLine="535" w:firstLineChars="255"/>
        <w:rPr>
          <w:rFonts w:ascii="宋体" w:hAnsi="宋体" w:cs="宋体"/>
          <w:color w:val="auto"/>
          <w:sz w:val="21"/>
          <w:szCs w:val="21"/>
        </w:rPr>
      </w:pPr>
      <w:r>
        <w:rPr>
          <w:rFonts w:hint="eastAsia" w:ascii="宋体" w:hAnsi="宋体" w:cs="宋体"/>
          <w:color w:val="auto"/>
          <w:sz w:val="21"/>
          <w:szCs w:val="21"/>
        </w:rPr>
        <w:t>3.4向招标人、招标代理机构或者有关部门报告非法干预评标工作的行为。</w:t>
      </w:r>
    </w:p>
    <w:p>
      <w:pPr>
        <w:tabs>
          <w:tab w:val="left" w:pos="567"/>
          <w:tab w:val="left" w:pos="600"/>
        </w:tabs>
        <w:spacing w:line="440" w:lineRule="exact"/>
        <w:ind w:firstLine="535" w:firstLineChars="255"/>
        <w:outlineLvl w:val="1"/>
        <w:rPr>
          <w:rFonts w:ascii="宋体" w:hAnsi="宋体" w:cs="宋体"/>
          <w:szCs w:val="21"/>
        </w:rPr>
      </w:pPr>
      <w:r>
        <w:rPr>
          <w:rFonts w:hint="eastAsia" w:ascii="宋体" w:hAnsi="宋体" w:cs="宋体"/>
          <w:szCs w:val="21"/>
        </w:rPr>
        <w:t>4、评标委员会义务</w:t>
      </w:r>
    </w:p>
    <w:p>
      <w:pPr>
        <w:tabs>
          <w:tab w:val="left" w:pos="567"/>
          <w:tab w:val="left" w:pos="600"/>
        </w:tabs>
        <w:spacing w:line="440" w:lineRule="exact"/>
        <w:ind w:firstLine="535" w:firstLineChars="255"/>
        <w:outlineLvl w:val="2"/>
        <w:rPr>
          <w:rFonts w:ascii="宋体" w:hAnsi="宋体" w:cs="宋体"/>
          <w:szCs w:val="21"/>
        </w:rPr>
      </w:pPr>
      <w:r>
        <w:rPr>
          <w:rFonts w:hint="eastAsia" w:ascii="宋体" w:hAnsi="宋体" w:cs="宋体"/>
          <w:szCs w:val="21"/>
        </w:rPr>
        <w:t>4.1遵纪守法，客观、公正、廉洁地履行职责；</w:t>
      </w:r>
    </w:p>
    <w:p>
      <w:pPr>
        <w:tabs>
          <w:tab w:val="left" w:pos="567"/>
          <w:tab w:val="left" w:pos="600"/>
        </w:tabs>
        <w:spacing w:line="440" w:lineRule="exact"/>
        <w:ind w:firstLine="535" w:firstLineChars="255"/>
        <w:rPr>
          <w:rFonts w:ascii="宋体" w:hAnsi="宋体" w:cs="宋体"/>
          <w:szCs w:val="21"/>
        </w:rPr>
      </w:pPr>
      <w:r>
        <w:rPr>
          <w:rFonts w:hint="eastAsia" w:ascii="宋体" w:hAnsi="宋体" w:cs="宋体"/>
          <w:szCs w:val="21"/>
        </w:rPr>
        <w:t>4.2按照招标文件规定的评标方法和评标标准进行评标，对评审意见承担个人责任；</w:t>
      </w:r>
    </w:p>
    <w:p>
      <w:pPr>
        <w:tabs>
          <w:tab w:val="left" w:pos="567"/>
          <w:tab w:val="left" w:pos="600"/>
        </w:tabs>
        <w:spacing w:line="440" w:lineRule="exact"/>
        <w:ind w:firstLine="535" w:firstLineChars="255"/>
        <w:rPr>
          <w:rFonts w:ascii="宋体" w:hAnsi="宋体" w:cs="宋体"/>
          <w:szCs w:val="21"/>
        </w:rPr>
      </w:pPr>
      <w:r>
        <w:rPr>
          <w:rFonts w:hint="eastAsia" w:ascii="宋体" w:hAnsi="宋体" w:cs="宋体"/>
          <w:szCs w:val="21"/>
        </w:rPr>
        <w:t>4.3对评标过程和结果，以及投标人的商业秘密保密；</w:t>
      </w:r>
    </w:p>
    <w:p>
      <w:pPr>
        <w:tabs>
          <w:tab w:val="left" w:pos="567"/>
          <w:tab w:val="left" w:pos="600"/>
        </w:tabs>
        <w:spacing w:line="440" w:lineRule="exact"/>
        <w:ind w:firstLine="535" w:firstLineChars="255"/>
        <w:rPr>
          <w:rFonts w:ascii="宋体" w:hAnsi="宋体" w:cs="宋体"/>
          <w:szCs w:val="21"/>
        </w:rPr>
      </w:pPr>
      <w:r>
        <w:rPr>
          <w:rFonts w:hint="eastAsia" w:ascii="宋体" w:hAnsi="宋体" w:cs="宋体"/>
          <w:szCs w:val="21"/>
        </w:rPr>
        <w:t>4.4参与评标报告的起草；</w:t>
      </w:r>
    </w:p>
    <w:p>
      <w:pPr>
        <w:tabs>
          <w:tab w:val="left" w:pos="567"/>
          <w:tab w:val="left" w:pos="600"/>
        </w:tabs>
        <w:spacing w:line="440" w:lineRule="exact"/>
        <w:ind w:firstLine="535" w:firstLineChars="255"/>
        <w:rPr>
          <w:rFonts w:ascii="宋体" w:hAnsi="宋体" w:cs="宋体"/>
          <w:szCs w:val="21"/>
        </w:rPr>
      </w:pPr>
      <w:r>
        <w:rPr>
          <w:rFonts w:hint="eastAsia" w:ascii="宋体" w:hAnsi="宋体" w:cs="宋体"/>
          <w:szCs w:val="21"/>
        </w:rPr>
        <w:t>4.5配合有关部门的投诉处理工作；</w:t>
      </w:r>
    </w:p>
    <w:p>
      <w:pPr>
        <w:tabs>
          <w:tab w:val="left" w:pos="567"/>
          <w:tab w:val="left" w:pos="600"/>
        </w:tabs>
        <w:spacing w:line="440" w:lineRule="exact"/>
        <w:ind w:firstLine="535" w:firstLineChars="255"/>
        <w:rPr>
          <w:rFonts w:ascii="宋体" w:hAnsi="宋体" w:cs="宋体"/>
          <w:szCs w:val="21"/>
        </w:rPr>
      </w:pPr>
      <w:r>
        <w:rPr>
          <w:rFonts w:hint="eastAsia" w:ascii="宋体" w:hAnsi="宋体" w:cs="宋体"/>
          <w:szCs w:val="21"/>
        </w:rPr>
        <w:t>4.6配合招标人、招标代理机构答复投标供应商提出的质疑。</w:t>
      </w:r>
    </w:p>
    <w:p>
      <w:pPr>
        <w:tabs>
          <w:tab w:val="left" w:pos="1547"/>
        </w:tabs>
        <w:spacing w:line="440" w:lineRule="exact"/>
        <w:ind w:firstLine="535" w:firstLineChars="255"/>
        <w:outlineLvl w:val="1"/>
        <w:rPr>
          <w:rFonts w:ascii="宋体" w:hAnsi="宋体" w:cs="宋体"/>
          <w:szCs w:val="21"/>
        </w:rPr>
      </w:pPr>
      <w:r>
        <w:rPr>
          <w:rFonts w:hint="eastAsia" w:ascii="宋体" w:hAnsi="宋体" w:cs="宋体"/>
          <w:szCs w:val="21"/>
        </w:rPr>
        <w:t>5、 评标程序</w:t>
      </w:r>
    </w:p>
    <w:p>
      <w:pPr>
        <w:pStyle w:val="22"/>
        <w:tabs>
          <w:tab w:val="left" w:pos="720"/>
          <w:tab w:val="clear" w:pos="0"/>
        </w:tabs>
        <w:spacing w:line="440" w:lineRule="exact"/>
        <w:ind w:firstLine="535" w:firstLineChars="255"/>
        <w:rPr>
          <w:rFonts w:ascii="宋体" w:hAnsi="宋体" w:cs="宋体"/>
          <w:color w:val="auto"/>
          <w:szCs w:val="21"/>
        </w:rPr>
      </w:pPr>
      <w:r>
        <w:rPr>
          <w:rFonts w:hint="eastAsia" w:ascii="宋体" w:hAnsi="宋体" w:cs="宋体"/>
          <w:color w:val="auto"/>
          <w:szCs w:val="21"/>
        </w:rPr>
        <w:t>5.1本次评标首先由评标委员会对投标人的投标文件进行初审，对未能通过初审的投标文件作无效标处理；</w:t>
      </w:r>
    </w:p>
    <w:p>
      <w:pPr>
        <w:tabs>
          <w:tab w:val="left" w:pos="720"/>
        </w:tabs>
        <w:spacing w:line="440" w:lineRule="exact"/>
        <w:ind w:firstLine="535" w:firstLineChars="255"/>
        <w:rPr>
          <w:rFonts w:ascii="宋体" w:hAnsi="宋体" w:cs="宋体"/>
          <w:szCs w:val="21"/>
        </w:rPr>
      </w:pPr>
      <w:r>
        <w:rPr>
          <w:rFonts w:hint="eastAsia" w:ascii="宋体" w:hAnsi="宋体" w:cs="宋体"/>
          <w:szCs w:val="21"/>
        </w:rPr>
        <w:t>5.2对通过初审的投标人的投标文件进行详细的比较和评价。如需要，进行必要的澄清工作；</w:t>
      </w:r>
    </w:p>
    <w:p>
      <w:pPr>
        <w:pStyle w:val="22"/>
        <w:tabs>
          <w:tab w:val="left" w:pos="720"/>
          <w:tab w:val="clear" w:pos="0"/>
        </w:tabs>
        <w:spacing w:line="440" w:lineRule="exact"/>
        <w:ind w:firstLine="535" w:firstLineChars="255"/>
        <w:outlineLvl w:val="2"/>
        <w:rPr>
          <w:rFonts w:ascii="宋体" w:hAnsi="宋体" w:cs="宋体"/>
          <w:color w:val="auto"/>
          <w:szCs w:val="21"/>
        </w:rPr>
      </w:pPr>
      <w:r>
        <w:rPr>
          <w:rFonts w:hint="eastAsia" w:ascii="宋体" w:hAnsi="宋体" w:cs="宋体"/>
          <w:color w:val="auto"/>
          <w:szCs w:val="21"/>
        </w:rPr>
        <w:t>5.3评标报告与推荐中标候选人</w:t>
      </w:r>
    </w:p>
    <w:p>
      <w:pPr>
        <w:pStyle w:val="22"/>
        <w:tabs>
          <w:tab w:val="left" w:pos="720"/>
          <w:tab w:val="clear" w:pos="0"/>
        </w:tabs>
        <w:spacing w:line="440" w:lineRule="exact"/>
        <w:ind w:firstLine="535" w:firstLineChars="255"/>
        <w:rPr>
          <w:rFonts w:ascii="宋体" w:hAnsi="宋体" w:cs="宋体"/>
          <w:color w:val="auto"/>
          <w:szCs w:val="21"/>
        </w:rPr>
      </w:pPr>
      <w:r>
        <w:rPr>
          <w:rFonts w:hint="eastAsia" w:ascii="宋体" w:hAnsi="宋体" w:cs="宋体"/>
          <w:color w:val="auto"/>
          <w:szCs w:val="21"/>
        </w:rPr>
        <w:t>5.4招标小组各成员应当独立对每个有效响应的文件进行评价、打分，然后汇总每个供应商每项评分因素的得分。</w:t>
      </w:r>
    </w:p>
    <w:p>
      <w:pPr>
        <w:pStyle w:val="22"/>
        <w:tabs>
          <w:tab w:val="left" w:pos="720"/>
          <w:tab w:val="clear" w:pos="0"/>
        </w:tabs>
        <w:spacing w:line="440" w:lineRule="exact"/>
        <w:ind w:firstLine="535" w:firstLineChars="255"/>
        <w:rPr>
          <w:rFonts w:ascii="宋体" w:hAnsi="宋体" w:cs="宋体"/>
          <w:color w:val="auto"/>
          <w:szCs w:val="21"/>
        </w:rPr>
      </w:pPr>
      <w:r>
        <w:rPr>
          <w:rFonts w:hint="eastAsia" w:ascii="宋体" w:hAnsi="宋体" w:cs="宋体"/>
          <w:color w:val="auto"/>
          <w:szCs w:val="21"/>
        </w:rPr>
        <w:t>综合评分法货物采购项目的价格分值占总分值的比重(即权值)为30％，采购项目中含不同采购对象的，以占项目资金比例最高的采购对象确定其项目属性。其价格不列为评分因素，有特殊情况需要在上述规定范围外设定价格分权重的。</w:t>
      </w:r>
    </w:p>
    <w:p>
      <w:pPr>
        <w:pStyle w:val="22"/>
        <w:tabs>
          <w:tab w:val="left" w:pos="720"/>
          <w:tab w:val="clear" w:pos="0"/>
        </w:tabs>
        <w:spacing w:line="440" w:lineRule="exact"/>
        <w:ind w:firstLine="535" w:firstLineChars="255"/>
        <w:rPr>
          <w:rFonts w:ascii="宋体" w:hAnsi="宋体" w:cs="宋体"/>
          <w:color w:val="auto"/>
          <w:szCs w:val="21"/>
        </w:rPr>
      </w:pPr>
      <w:r>
        <w:rPr>
          <w:rFonts w:hint="eastAsia" w:ascii="宋体" w:hAnsi="宋体" w:cs="宋体"/>
          <w:color w:val="auto"/>
          <w:szCs w:val="21"/>
        </w:rPr>
        <w:t>综合评分法中的价格分统一采用低价优先法计算，即满足招标文件要求且最后报价最低的供应商的价格为招标基准价，其价格分为满分。其他供应商的价格分统一按照下列公式计算：</w:t>
      </w:r>
    </w:p>
    <w:p>
      <w:pPr>
        <w:pStyle w:val="22"/>
        <w:tabs>
          <w:tab w:val="left" w:pos="720"/>
          <w:tab w:val="clear" w:pos="0"/>
        </w:tabs>
        <w:spacing w:line="440" w:lineRule="exact"/>
        <w:ind w:firstLine="535" w:firstLineChars="255"/>
        <w:rPr>
          <w:rFonts w:ascii="宋体" w:hAnsi="宋体" w:cs="宋体"/>
          <w:color w:val="auto"/>
          <w:szCs w:val="21"/>
        </w:rPr>
      </w:pPr>
      <w:r>
        <w:rPr>
          <w:rFonts w:hint="eastAsia" w:ascii="宋体" w:hAnsi="宋体" w:cs="宋体"/>
          <w:color w:val="auto"/>
          <w:szCs w:val="21"/>
        </w:rPr>
        <w:t>招标报价得分=（招标基准价/最后招标报价）×价格权值×100</w:t>
      </w:r>
    </w:p>
    <w:p>
      <w:pPr>
        <w:pStyle w:val="22"/>
        <w:tabs>
          <w:tab w:val="left" w:pos="720"/>
          <w:tab w:val="clear" w:pos="0"/>
        </w:tabs>
        <w:spacing w:line="440" w:lineRule="exact"/>
        <w:ind w:firstLine="535" w:firstLineChars="255"/>
        <w:rPr>
          <w:rFonts w:ascii="宋体" w:hAnsi="宋体" w:cs="宋体"/>
          <w:color w:val="auto"/>
          <w:szCs w:val="21"/>
        </w:rPr>
      </w:pPr>
      <w:r>
        <w:rPr>
          <w:rFonts w:hint="eastAsia" w:ascii="宋体" w:hAnsi="宋体" w:cs="宋体"/>
          <w:color w:val="auto"/>
          <w:szCs w:val="21"/>
        </w:rPr>
        <w:t>项目评审过程中，不得去掉最后报价中的最高报价和最低报价。</w:t>
      </w:r>
    </w:p>
    <w:p>
      <w:pPr>
        <w:pStyle w:val="22"/>
        <w:tabs>
          <w:tab w:val="left" w:pos="720"/>
          <w:tab w:val="clear" w:pos="0"/>
        </w:tabs>
        <w:spacing w:line="440" w:lineRule="exact"/>
        <w:ind w:firstLine="535" w:firstLineChars="255"/>
        <w:rPr>
          <w:rFonts w:ascii="宋体" w:hAnsi="宋体" w:cs="宋体"/>
          <w:color w:val="auto"/>
          <w:szCs w:val="21"/>
        </w:rPr>
      </w:pPr>
      <w:r>
        <w:rPr>
          <w:rFonts w:hint="eastAsia" w:ascii="宋体" w:hAnsi="宋体" w:cs="宋体"/>
          <w:color w:val="auto"/>
          <w:szCs w:val="21"/>
        </w:rPr>
        <w:t>招标小组应当根据综合评分情况，按照评审得分由高到低顺序推荐3名以上中标候选供应商符合《政府采购竞争性招标采购方式管理暂行办法》法第二十五条招标小组应当根据综合评分情况，按照评审得分由高到低顺序推荐3名以上中标候选供应商。符合本办法第二十一条第三款情形的，可以推荐2家中标候选供应商。评审得分相同的，按照最后报价由低到高的顺序推荐。评审得分且最后报价相同的，按照技术指标优劣顺序推荐。</w:t>
      </w:r>
    </w:p>
    <w:p>
      <w:pPr>
        <w:jc w:val="center"/>
        <w:rPr>
          <w:rFonts w:ascii="宋体"/>
          <w:sz w:val="28"/>
          <w:szCs w:val="28"/>
        </w:rPr>
      </w:pPr>
    </w:p>
    <w:p>
      <w:pPr>
        <w:jc w:val="center"/>
        <w:rPr>
          <w:rFonts w:ascii="宋体"/>
          <w:sz w:val="28"/>
          <w:szCs w:val="28"/>
        </w:rPr>
      </w:pPr>
    </w:p>
    <w:p>
      <w:pPr>
        <w:pStyle w:val="45"/>
        <w:ind w:firstLine="560"/>
        <w:rPr>
          <w:rFonts w:ascii="宋体"/>
          <w:sz w:val="28"/>
          <w:szCs w:val="28"/>
        </w:rPr>
      </w:pPr>
    </w:p>
    <w:p>
      <w:pPr>
        <w:pStyle w:val="45"/>
        <w:ind w:firstLine="560"/>
        <w:rPr>
          <w:rFonts w:ascii="宋体"/>
          <w:sz w:val="28"/>
          <w:szCs w:val="28"/>
        </w:rPr>
      </w:pPr>
    </w:p>
    <w:p>
      <w:pPr>
        <w:pStyle w:val="45"/>
        <w:ind w:firstLine="560"/>
        <w:rPr>
          <w:rFonts w:ascii="宋体"/>
          <w:sz w:val="28"/>
          <w:szCs w:val="28"/>
        </w:rPr>
      </w:pPr>
    </w:p>
    <w:p>
      <w:pPr>
        <w:jc w:val="center"/>
        <w:rPr>
          <w:rFonts w:ascii="宋体"/>
          <w:sz w:val="28"/>
          <w:szCs w:val="28"/>
        </w:rPr>
      </w:pPr>
    </w:p>
    <w:p>
      <w:pPr>
        <w:rPr>
          <w:rFonts w:ascii="宋体"/>
          <w:sz w:val="28"/>
          <w:szCs w:val="28"/>
        </w:rPr>
      </w:pPr>
    </w:p>
    <w:p>
      <w:pPr>
        <w:rPr>
          <w:rFonts w:ascii="宋体"/>
          <w:sz w:val="28"/>
          <w:szCs w:val="28"/>
        </w:rPr>
      </w:pPr>
    </w:p>
    <w:p>
      <w:pPr>
        <w:jc w:val="center"/>
        <w:outlineLvl w:val="1"/>
        <w:rPr>
          <w:rFonts w:ascii="宋体"/>
          <w:sz w:val="28"/>
          <w:szCs w:val="28"/>
        </w:rPr>
      </w:pPr>
      <w:r>
        <w:rPr>
          <w:rFonts w:hint="eastAsia" w:ascii="宋体"/>
          <w:sz w:val="28"/>
          <w:szCs w:val="28"/>
        </w:rPr>
        <w:t>二  投标文件初审</w:t>
      </w:r>
      <w:bookmarkEnd w:id="40"/>
      <w:bookmarkEnd w:id="41"/>
    </w:p>
    <w:p>
      <w:pPr>
        <w:pStyle w:val="10"/>
      </w:pPr>
    </w:p>
    <w:p>
      <w:pPr>
        <w:spacing w:line="400" w:lineRule="exact"/>
        <w:ind w:firstLine="308" w:firstLineChars="147"/>
        <w:outlineLvl w:val="1"/>
        <w:rPr>
          <w:rFonts w:ascii="宋体"/>
          <w:szCs w:val="21"/>
        </w:rPr>
      </w:pPr>
      <w:r>
        <w:rPr>
          <w:rFonts w:hint="eastAsia" w:ascii="宋体"/>
          <w:szCs w:val="21"/>
        </w:rPr>
        <w:t>6.资格性审查:</w:t>
      </w:r>
    </w:p>
    <w:p>
      <w:pPr>
        <w:spacing w:line="400" w:lineRule="exact"/>
        <w:ind w:firstLine="308" w:firstLineChars="147"/>
        <w:outlineLvl w:val="2"/>
        <w:rPr>
          <w:szCs w:val="21"/>
        </w:rPr>
      </w:pPr>
      <w:r>
        <w:rPr>
          <w:rFonts w:hint="eastAsia" w:ascii="宋体"/>
          <w:szCs w:val="21"/>
        </w:rPr>
        <w:t>6.1</w:t>
      </w:r>
      <w:r>
        <w:rPr>
          <w:rFonts w:hint="eastAsia"/>
          <w:szCs w:val="21"/>
        </w:rPr>
        <w:t>评审细则</w:t>
      </w:r>
    </w:p>
    <w:tbl>
      <w:tblPr>
        <w:tblStyle w:val="27"/>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10"/>
        <w:gridCol w:w="5542"/>
        <w:gridCol w:w="130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restart"/>
            <w:vAlign w:val="center"/>
          </w:tcPr>
          <w:p>
            <w:pPr>
              <w:jc w:val="center"/>
              <w:rPr>
                <w:rFonts w:ascii="宋体" w:hAnsi="宋体" w:cs="宋体"/>
                <w:szCs w:val="21"/>
              </w:rPr>
            </w:pPr>
            <w:r>
              <w:rPr>
                <w:rFonts w:hint="eastAsia" w:ascii="宋体" w:hAnsi="宋体" w:cs="宋体"/>
                <w:szCs w:val="21"/>
              </w:rPr>
              <w:t>项目</w:t>
            </w:r>
          </w:p>
        </w:tc>
        <w:tc>
          <w:tcPr>
            <w:tcW w:w="5952" w:type="dxa"/>
            <w:gridSpan w:val="2"/>
            <w:vMerge w:val="restart"/>
            <w:vAlign w:val="center"/>
          </w:tcPr>
          <w:p>
            <w:pPr>
              <w:jc w:val="center"/>
              <w:rPr>
                <w:rFonts w:ascii="宋体" w:hAnsi="宋体" w:cs="宋体"/>
                <w:szCs w:val="21"/>
              </w:rPr>
            </w:pPr>
            <w:r>
              <w:rPr>
                <w:rFonts w:hint="eastAsia" w:ascii="宋体" w:hAnsi="宋体" w:cs="宋体"/>
                <w:szCs w:val="21"/>
              </w:rPr>
              <w:t>评审内容</w:t>
            </w:r>
          </w:p>
        </w:tc>
        <w:tc>
          <w:tcPr>
            <w:tcW w:w="2501" w:type="dxa"/>
            <w:gridSpan w:val="2"/>
            <w:vAlign w:val="center"/>
          </w:tcPr>
          <w:p>
            <w:pPr>
              <w:jc w:val="center"/>
              <w:rPr>
                <w:rFonts w:ascii="宋体" w:hAnsi="宋体" w:cs="宋体"/>
                <w:szCs w:val="21"/>
              </w:rPr>
            </w:pPr>
            <w:r>
              <w:rPr>
                <w:rFonts w:hint="eastAsia" w:ascii="宋体" w:hAnsi="宋体" w:cs="宋体"/>
                <w:szCs w:val="21"/>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continue"/>
            <w:vAlign w:val="center"/>
          </w:tcPr>
          <w:p>
            <w:pPr>
              <w:rPr>
                <w:rFonts w:ascii="宋体" w:hAnsi="宋体" w:cs="宋体"/>
                <w:szCs w:val="21"/>
              </w:rPr>
            </w:pPr>
          </w:p>
        </w:tc>
        <w:tc>
          <w:tcPr>
            <w:tcW w:w="5952" w:type="dxa"/>
            <w:gridSpan w:val="2"/>
            <w:vMerge w:val="continue"/>
          </w:tcPr>
          <w:p>
            <w:pPr>
              <w:rPr>
                <w:rFonts w:ascii="宋体" w:hAnsi="宋体" w:cs="宋体"/>
                <w:szCs w:val="21"/>
              </w:rPr>
            </w:pPr>
          </w:p>
        </w:tc>
        <w:tc>
          <w:tcPr>
            <w:tcW w:w="1305" w:type="dxa"/>
            <w:vAlign w:val="center"/>
          </w:tcPr>
          <w:p>
            <w:pPr>
              <w:jc w:val="center"/>
              <w:rPr>
                <w:rFonts w:ascii="宋体" w:hAnsi="宋体" w:cs="宋体"/>
                <w:szCs w:val="21"/>
              </w:rPr>
            </w:pPr>
            <w:r>
              <w:rPr>
                <w:rFonts w:hint="eastAsia" w:ascii="宋体" w:hAnsi="宋体" w:cs="宋体"/>
                <w:szCs w:val="21"/>
              </w:rPr>
              <w:t>是否合格</w:t>
            </w:r>
          </w:p>
        </w:tc>
        <w:tc>
          <w:tcPr>
            <w:tcW w:w="1196" w:type="dxa"/>
            <w:vAlign w:val="center"/>
          </w:tcPr>
          <w:p>
            <w:pPr>
              <w:jc w:val="center"/>
              <w:rPr>
                <w:rFonts w:ascii="宋体" w:hAnsi="宋体" w:cs="宋体"/>
                <w:szCs w:val="21"/>
              </w:rPr>
            </w:pPr>
            <w:r>
              <w:rPr>
                <w:rFonts w:hint="eastAsia" w:ascii="宋体" w:hAnsi="宋体" w:cs="宋体"/>
                <w:szCs w:val="21"/>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86" w:type="dxa"/>
            <w:vMerge w:val="restart"/>
            <w:vAlign w:val="center"/>
          </w:tcPr>
          <w:p>
            <w:pPr>
              <w:jc w:val="center"/>
              <w:rPr>
                <w:rFonts w:ascii="宋体" w:hAnsi="宋体" w:cs="宋体"/>
                <w:szCs w:val="21"/>
              </w:rPr>
            </w:pPr>
            <w:r>
              <w:rPr>
                <w:rFonts w:hint="eastAsia" w:ascii="宋体" w:hAnsi="宋体" w:cs="宋体"/>
                <w:szCs w:val="21"/>
              </w:rPr>
              <w:t>审</w:t>
            </w:r>
          </w:p>
          <w:p>
            <w:pPr>
              <w:jc w:val="center"/>
              <w:rPr>
                <w:rFonts w:ascii="宋体" w:hAnsi="宋体" w:cs="宋体"/>
                <w:szCs w:val="21"/>
              </w:rPr>
            </w:pPr>
            <w:r>
              <w:rPr>
                <w:rFonts w:hint="eastAsia" w:ascii="宋体" w:hAnsi="宋体" w:cs="宋体"/>
                <w:szCs w:val="21"/>
              </w:rPr>
              <w:t>查</w:t>
            </w:r>
          </w:p>
          <w:p>
            <w:pPr>
              <w:jc w:val="center"/>
              <w:rPr>
                <w:rFonts w:ascii="宋体" w:hAnsi="宋体" w:cs="宋体"/>
                <w:szCs w:val="21"/>
              </w:rPr>
            </w:pPr>
            <w:r>
              <w:rPr>
                <w:rFonts w:hint="eastAsia" w:ascii="宋体" w:hAnsi="宋体" w:cs="宋体"/>
                <w:szCs w:val="21"/>
              </w:rPr>
              <w:t>标</w:t>
            </w:r>
          </w:p>
          <w:p>
            <w:pPr>
              <w:jc w:val="center"/>
              <w:rPr>
                <w:rFonts w:ascii="宋体" w:hAnsi="宋体" w:cs="宋体"/>
                <w:szCs w:val="21"/>
              </w:rPr>
            </w:pPr>
            <w:r>
              <w:rPr>
                <w:rFonts w:hint="eastAsia" w:ascii="宋体" w:hAnsi="宋体" w:cs="宋体"/>
                <w:szCs w:val="21"/>
              </w:rPr>
              <w:t>准</w:t>
            </w:r>
          </w:p>
          <w:p>
            <w:pPr>
              <w:jc w:val="center"/>
              <w:rPr>
                <w:rFonts w:ascii="宋体" w:hAnsi="宋体" w:cs="宋体"/>
                <w:szCs w:val="21"/>
              </w:rPr>
            </w:pPr>
            <w:r>
              <w:rPr>
                <w:rFonts w:hint="eastAsia" w:ascii="宋体" w:hAnsi="宋体" w:cs="宋体"/>
                <w:szCs w:val="21"/>
              </w:rPr>
              <w:t>(适</w:t>
            </w:r>
          </w:p>
          <w:p>
            <w:pPr>
              <w:jc w:val="center"/>
              <w:rPr>
                <w:rFonts w:ascii="宋体" w:hAnsi="宋体" w:cs="宋体"/>
                <w:szCs w:val="21"/>
              </w:rPr>
            </w:pPr>
            <w:r>
              <w:rPr>
                <w:rFonts w:hint="eastAsia" w:ascii="宋体" w:hAnsi="宋体" w:cs="宋体"/>
                <w:szCs w:val="21"/>
              </w:rPr>
              <w:t>用</w:t>
            </w:r>
          </w:p>
          <w:p>
            <w:pPr>
              <w:jc w:val="center"/>
              <w:rPr>
                <w:rFonts w:ascii="宋体" w:hAnsi="宋体" w:cs="宋体"/>
                <w:szCs w:val="21"/>
              </w:rPr>
            </w:pPr>
            <w:r>
              <w:rPr>
                <w:rFonts w:hint="eastAsia" w:ascii="宋体" w:hAnsi="宋体" w:cs="宋体"/>
                <w:szCs w:val="21"/>
              </w:rPr>
              <w:t>于</w:t>
            </w:r>
          </w:p>
          <w:p>
            <w:pPr>
              <w:jc w:val="center"/>
              <w:rPr>
                <w:rFonts w:ascii="宋体" w:hAnsi="宋体" w:cs="宋体"/>
                <w:szCs w:val="21"/>
              </w:rPr>
            </w:pPr>
            <w:r>
              <w:rPr>
                <w:rFonts w:hint="eastAsia" w:ascii="宋体" w:hAnsi="宋体" w:cs="宋体"/>
                <w:szCs w:val="21"/>
              </w:rPr>
              <w:t>资</w:t>
            </w:r>
          </w:p>
          <w:p>
            <w:pPr>
              <w:jc w:val="center"/>
              <w:rPr>
                <w:rFonts w:ascii="宋体" w:hAnsi="宋体" w:cs="宋体"/>
                <w:szCs w:val="21"/>
              </w:rPr>
            </w:pPr>
            <w:r>
              <w:rPr>
                <w:rFonts w:hint="eastAsia" w:ascii="宋体" w:hAnsi="宋体" w:cs="宋体"/>
                <w:szCs w:val="21"/>
              </w:rPr>
              <w:t>格</w:t>
            </w:r>
          </w:p>
          <w:p>
            <w:pPr>
              <w:jc w:val="center"/>
              <w:rPr>
                <w:rFonts w:ascii="宋体" w:hAnsi="宋体" w:cs="宋体"/>
                <w:szCs w:val="21"/>
              </w:rPr>
            </w:pPr>
            <w:r>
              <w:rPr>
                <w:rFonts w:hint="eastAsia" w:ascii="宋体" w:hAnsi="宋体" w:cs="宋体"/>
                <w:szCs w:val="21"/>
              </w:rPr>
              <w:t>后</w:t>
            </w:r>
          </w:p>
          <w:p>
            <w:pPr>
              <w:jc w:val="center"/>
              <w:rPr>
                <w:rFonts w:ascii="宋体" w:hAnsi="宋体" w:cs="宋体"/>
                <w:szCs w:val="21"/>
              </w:rPr>
            </w:pPr>
            <w:r>
              <w:rPr>
                <w:rFonts w:hint="eastAsia" w:ascii="宋体" w:hAnsi="宋体" w:cs="宋体"/>
                <w:szCs w:val="21"/>
              </w:rPr>
              <w:t>审)</w:t>
            </w:r>
          </w:p>
        </w:tc>
        <w:tc>
          <w:tcPr>
            <w:tcW w:w="410" w:type="dxa"/>
            <w:vAlign w:val="center"/>
          </w:tcPr>
          <w:p>
            <w:pPr>
              <w:widowControl/>
              <w:spacing w:line="360" w:lineRule="exact"/>
              <w:jc w:val="left"/>
              <w:rPr>
                <w:rFonts w:ascii="宋体" w:hAnsi="宋体" w:cs="宋体"/>
                <w:szCs w:val="21"/>
              </w:rPr>
            </w:pPr>
            <w:r>
              <w:rPr>
                <w:rFonts w:hint="eastAsia" w:ascii="宋体" w:hAnsi="宋体" w:cs="宋体"/>
                <w:szCs w:val="21"/>
              </w:rPr>
              <w:t>1</w:t>
            </w:r>
          </w:p>
        </w:tc>
        <w:tc>
          <w:tcPr>
            <w:tcW w:w="5542" w:type="dxa"/>
            <w:vAlign w:val="center"/>
          </w:tcPr>
          <w:p>
            <w:pPr>
              <w:tabs>
                <w:tab w:val="left" w:pos="720"/>
              </w:tabs>
              <w:spacing w:line="440" w:lineRule="exact"/>
              <w:jc w:val="left"/>
              <w:rPr>
                <w:rFonts w:ascii="宋体" w:hAnsi="宋体" w:cs="宋体"/>
                <w:szCs w:val="21"/>
              </w:rPr>
            </w:pPr>
            <w:r>
              <w:rPr>
                <w:rFonts w:hint="eastAsia" w:ascii="宋体" w:hAnsi="宋体" w:cs="宋体"/>
                <w:szCs w:val="21"/>
              </w:rPr>
              <w:t>具备合格有效的三证合一营业执照。</w:t>
            </w:r>
          </w:p>
        </w:tc>
        <w:tc>
          <w:tcPr>
            <w:tcW w:w="1305" w:type="dxa"/>
          </w:tcPr>
          <w:p>
            <w:pPr>
              <w:jc w:val="left"/>
              <w:rPr>
                <w:rFonts w:ascii="宋体" w:hAnsi="宋体" w:cs="宋体"/>
                <w:szCs w:val="21"/>
              </w:rPr>
            </w:pPr>
          </w:p>
        </w:tc>
        <w:tc>
          <w:tcPr>
            <w:tcW w:w="1196" w:type="dxa"/>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86" w:type="dxa"/>
            <w:vMerge w:val="continue"/>
            <w:vAlign w:val="center"/>
          </w:tcPr>
          <w:p>
            <w:pPr>
              <w:rPr>
                <w:rFonts w:ascii="宋体" w:hAnsi="宋体" w:cs="宋体"/>
                <w:szCs w:val="21"/>
              </w:rPr>
            </w:pPr>
          </w:p>
        </w:tc>
        <w:tc>
          <w:tcPr>
            <w:tcW w:w="410" w:type="dxa"/>
            <w:vAlign w:val="center"/>
          </w:tcPr>
          <w:p>
            <w:pPr>
              <w:widowControl/>
              <w:spacing w:line="360" w:lineRule="exact"/>
              <w:jc w:val="left"/>
              <w:rPr>
                <w:rFonts w:ascii="宋体" w:hAnsi="宋体" w:cs="宋体"/>
                <w:szCs w:val="21"/>
              </w:rPr>
            </w:pPr>
            <w:r>
              <w:rPr>
                <w:rFonts w:hint="eastAsia" w:ascii="宋体" w:hAnsi="宋体" w:cs="宋体"/>
                <w:szCs w:val="21"/>
              </w:rPr>
              <w:t>2</w:t>
            </w:r>
          </w:p>
        </w:tc>
        <w:tc>
          <w:tcPr>
            <w:tcW w:w="5542" w:type="dxa"/>
            <w:vAlign w:val="center"/>
          </w:tcPr>
          <w:p>
            <w:pPr>
              <w:tabs>
                <w:tab w:val="left" w:pos="720"/>
              </w:tabs>
              <w:spacing w:line="440" w:lineRule="exact"/>
              <w:jc w:val="left"/>
              <w:rPr>
                <w:rFonts w:ascii="宋体" w:hAnsi="宋体" w:cs="宋体"/>
                <w:szCs w:val="21"/>
              </w:rPr>
            </w:pPr>
            <w:r>
              <w:rPr>
                <w:rFonts w:hint="eastAsia" w:ascii="宋体" w:hAnsi="宋体" w:cs="宋体"/>
                <w:szCs w:val="21"/>
              </w:rPr>
              <w:t>法定代表人投标需提供法定代表人资格证明书，委托代理人投标需提供法定代表人授权委托书。</w:t>
            </w:r>
          </w:p>
        </w:tc>
        <w:tc>
          <w:tcPr>
            <w:tcW w:w="1305" w:type="dxa"/>
          </w:tcPr>
          <w:p>
            <w:pPr>
              <w:jc w:val="left"/>
              <w:rPr>
                <w:rFonts w:ascii="宋体" w:hAnsi="宋体" w:cs="宋体"/>
                <w:szCs w:val="21"/>
              </w:rPr>
            </w:pPr>
          </w:p>
        </w:tc>
        <w:tc>
          <w:tcPr>
            <w:tcW w:w="1196" w:type="dxa"/>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886" w:type="dxa"/>
            <w:vMerge w:val="continue"/>
            <w:vAlign w:val="center"/>
          </w:tcPr>
          <w:p>
            <w:pPr>
              <w:rPr>
                <w:rFonts w:ascii="宋体" w:hAnsi="宋体" w:cs="宋体"/>
                <w:szCs w:val="21"/>
              </w:rPr>
            </w:pPr>
          </w:p>
        </w:tc>
        <w:tc>
          <w:tcPr>
            <w:tcW w:w="410" w:type="dxa"/>
            <w:vAlign w:val="center"/>
          </w:tcPr>
          <w:p>
            <w:pPr>
              <w:widowControl/>
              <w:spacing w:line="360" w:lineRule="exact"/>
              <w:jc w:val="left"/>
              <w:rPr>
                <w:rFonts w:ascii="宋体" w:hAnsi="宋体" w:cs="宋体"/>
                <w:szCs w:val="21"/>
              </w:rPr>
            </w:pPr>
            <w:r>
              <w:rPr>
                <w:rFonts w:hint="eastAsia" w:ascii="宋体" w:hAnsi="宋体" w:cs="宋体"/>
                <w:szCs w:val="21"/>
              </w:rPr>
              <w:t>3</w:t>
            </w:r>
          </w:p>
        </w:tc>
        <w:tc>
          <w:tcPr>
            <w:tcW w:w="5542" w:type="dxa"/>
            <w:vAlign w:val="center"/>
          </w:tcPr>
          <w:p>
            <w:pPr>
              <w:pStyle w:val="23"/>
              <w:spacing w:before="256" w:beforeAutospacing="0" w:after="256" w:afterAutospacing="0" w:line="360" w:lineRule="auto"/>
              <w:jc w:val="both"/>
              <w:rPr>
                <w:kern w:val="2"/>
                <w:sz w:val="21"/>
                <w:szCs w:val="21"/>
              </w:rPr>
            </w:pPr>
            <w:r>
              <w:rPr>
                <w:rFonts w:hint="eastAsia"/>
                <w:kern w:val="2"/>
                <w:sz w:val="21"/>
                <w:szCs w:val="21"/>
              </w:rPr>
              <w:t>投标企业须提供投标人（被授权在职人员）近6个月有效的社保证明。</w:t>
            </w:r>
          </w:p>
        </w:tc>
        <w:tc>
          <w:tcPr>
            <w:tcW w:w="1305" w:type="dxa"/>
          </w:tcPr>
          <w:p>
            <w:pPr>
              <w:jc w:val="left"/>
              <w:rPr>
                <w:rFonts w:ascii="宋体" w:hAnsi="宋体" w:cs="宋体"/>
                <w:szCs w:val="21"/>
              </w:rPr>
            </w:pPr>
          </w:p>
        </w:tc>
        <w:tc>
          <w:tcPr>
            <w:tcW w:w="1196" w:type="dxa"/>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86" w:type="dxa"/>
            <w:vMerge w:val="continue"/>
            <w:vAlign w:val="center"/>
          </w:tcPr>
          <w:p>
            <w:pPr>
              <w:rPr>
                <w:rFonts w:ascii="宋体" w:hAnsi="宋体" w:cs="宋体"/>
                <w:szCs w:val="21"/>
              </w:rPr>
            </w:pPr>
          </w:p>
        </w:tc>
        <w:tc>
          <w:tcPr>
            <w:tcW w:w="410" w:type="dxa"/>
            <w:vAlign w:val="center"/>
          </w:tcPr>
          <w:p>
            <w:pPr>
              <w:widowControl/>
              <w:spacing w:line="360" w:lineRule="exact"/>
              <w:jc w:val="left"/>
              <w:rPr>
                <w:rFonts w:ascii="宋体" w:hAnsi="宋体" w:cs="宋体"/>
                <w:szCs w:val="21"/>
              </w:rPr>
            </w:pPr>
            <w:r>
              <w:rPr>
                <w:rFonts w:hint="eastAsia" w:ascii="宋体" w:hAnsi="宋体" w:cs="宋体"/>
                <w:szCs w:val="21"/>
              </w:rPr>
              <w:t>4</w:t>
            </w:r>
          </w:p>
        </w:tc>
        <w:tc>
          <w:tcPr>
            <w:tcW w:w="5542" w:type="dxa"/>
            <w:vAlign w:val="center"/>
          </w:tcPr>
          <w:p>
            <w:pPr>
              <w:tabs>
                <w:tab w:val="left" w:pos="720"/>
              </w:tabs>
              <w:spacing w:line="440" w:lineRule="exact"/>
              <w:jc w:val="left"/>
              <w:rPr>
                <w:rFonts w:ascii="宋体" w:hAnsi="宋体" w:cs="宋体"/>
                <w:szCs w:val="21"/>
              </w:rPr>
            </w:pPr>
            <w:r>
              <w:rPr>
                <w:rFonts w:hint="eastAsia" w:ascii="宋体" w:hAnsi="宋体" w:cs="宋体"/>
                <w:szCs w:val="21"/>
              </w:rPr>
              <w:t>投标保证金银行汇款凭证</w:t>
            </w:r>
            <w:r>
              <w:rPr>
                <w:rFonts w:hint="eastAsia" w:ascii="宋体" w:hAnsi="宋体" w:cs="宋体"/>
                <w:szCs w:val="21"/>
                <w:lang w:val="en-US" w:eastAsia="zh-CN"/>
              </w:rPr>
              <w:t>及投标保证金收据</w:t>
            </w:r>
            <w:r>
              <w:rPr>
                <w:rFonts w:hint="eastAsia" w:ascii="宋体" w:hAnsi="宋体" w:cs="宋体"/>
                <w:szCs w:val="21"/>
              </w:rPr>
              <w:t>或投标担保函等票据。</w:t>
            </w:r>
          </w:p>
        </w:tc>
        <w:tc>
          <w:tcPr>
            <w:tcW w:w="1305" w:type="dxa"/>
          </w:tcPr>
          <w:p>
            <w:pPr>
              <w:jc w:val="left"/>
              <w:rPr>
                <w:rFonts w:ascii="宋体" w:hAnsi="宋体" w:cs="宋体"/>
                <w:szCs w:val="21"/>
              </w:rPr>
            </w:pPr>
          </w:p>
        </w:tc>
        <w:tc>
          <w:tcPr>
            <w:tcW w:w="1196" w:type="dxa"/>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vAlign w:val="center"/>
          </w:tcPr>
          <w:p>
            <w:pPr>
              <w:rPr>
                <w:rFonts w:ascii="宋体" w:hAnsi="宋体" w:cs="宋体"/>
                <w:szCs w:val="21"/>
              </w:rPr>
            </w:pPr>
          </w:p>
        </w:tc>
        <w:tc>
          <w:tcPr>
            <w:tcW w:w="410" w:type="dxa"/>
            <w:vAlign w:val="center"/>
          </w:tcPr>
          <w:p>
            <w:pPr>
              <w:widowControl/>
              <w:spacing w:line="360" w:lineRule="exact"/>
              <w:jc w:val="left"/>
              <w:rPr>
                <w:rFonts w:ascii="宋体" w:hAnsi="宋体" w:cs="宋体"/>
                <w:szCs w:val="21"/>
              </w:rPr>
            </w:pPr>
            <w:r>
              <w:rPr>
                <w:rFonts w:hint="eastAsia" w:ascii="宋体" w:hAnsi="宋体" w:cs="宋体"/>
                <w:szCs w:val="21"/>
              </w:rPr>
              <w:t>5</w:t>
            </w:r>
          </w:p>
        </w:tc>
        <w:tc>
          <w:tcPr>
            <w:tcW w:w="5542" w:type="dxa"/>
            <w:vAlign w:val="center"/>
          </w:tcPr>
          <w:p>
            <w:pPr>
              <w:widowControl/>
              <w:jc w:val="left"/>
              <w:textAlignment w:val="center"/>
            </w:pPr>
            <w:r>
              <w:rPr>
                <w:rFonts w:hint="eastAsia"/>
              </w:rPr>
              <w:t>未被“信用中国”（www.creditchina.gov.cn）、中国政府采购网（www.ccgp.gov.cn）列入失信被执行人、重大税收违法案件当事人名单、政府采购严重违法失信行为记录名单。</w:t>
            </w:r>
          </w:p>
        </w:tc>
        <w:tc>
          <w:tcPr>
            <w:tcW w:w="1305" w:type="dxa"/>
          </w:tcPr>
          <w:p>
            <w:pPr>
              <w:jc w:val="left"/>
              <w:rPr>
                <w:rFonts w:ascii="宋体" w:hAnsi="宋体" w:cs="宋体"/>
                <w:szCs w:val="21"/>
              </w:rPr>
            </w:pPr>
          </w:p>
        </w:tc>
        <w:tc>
          <w:tcPr>
            <w:tcW w:w="1196" w:type="dxa"/>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vAlign w:val="center"/>
          </w:tcPr>
          <w:p>
            <w:pPr>
              <w:rPr>
                <w:rFonts w:ascii="宋体" w:hAnsi="宋体" w:cs="宋体"/>
                <w:szCs w:val="21"/>
              </w:rPr>
            </w:pPr>
          </w:p>
        </w:tc>
        <w:tc>
          <w:tcPr>
            <w:tcW w:w="410" w:type="dxa"/>
            <w:vAlign w:val="center"/>
          </w:tcPr>
          <w:p>
            <w:pPr>
              <w:widowControl/>
              <w:spacing w:line="360" w:lineRule="exact"/>
              <w:jc w:val="left"/>
              <w:rPr>
                <w:rFonts w:ascii="宋体" w:hAnsi="宋体" w:cs="宋体"/>
                <w:szCs w:val="21"/>
              </w:rPr>
            </w:pPr>
            <w:r>
              <w:rPr>
                <w:rFonts w:hint="eastAsia" w:ascii="宋体" w:hAnsi="宋体" w:cs="宋体"/>
                <w:szCs w:val="21"/>
              </w:rPr>
              <w:t>6</w:t>
            </w:r>
          </w:p>
        </w:tc>
        <w:tc>
          <w:tcPr>
            <w:tcW w:w="5542" w:type="dxa"/>
            <w:vAlign w:val="center"/>
          </w:tcPr>
          <w:p>
            <w:pPr>
              <w:widowControl/>
              <w:jc w:val="left"/>
              <w:textAlignment w:val="center"/>
              <w:rPr>
                <w:rFonts w:hint="default" w:ascii="宋体" w:hAnsi="宋体" w:eastAsia="宋体" w:cs="宋体"/>
                <w:szCs w:val="21"/>
                <w:lang w:val="en-US" w:eastAsia="zh-CN"/>
              </w:rPr>
            </w:pPr>
            <w:r>
              <w:rPr>
                <w:rFonts w:hint="eastAsia"/>
              </w:rPr>
              <w:t>供应商为中小企业。</w:t>
            </w:r>
            <w:r>
              <w:rPr>
                <w:rFonts w:hint="eastAsia"/>
                <w:lang w:eastAsia="zh-CN"/>
              </w:rPr>
              <w:t>（</w:t>
            </w:r>
            <w:r>
              <w:rPr>
                <w:rFonts w:hint="eastAsia" w:ascii="宋体" w:hAnsi="宋体" w:cs="宋体"/>
                <w:szCs w:val="21"/>
              </w:rPr>
              <w:t>请根据要求单独上传《中小企业声明函》。格式以采购文件要求为准。</w:t>
            </w:r>
            <w:r>
              <w:rPr>
                <w:rFonts w:hint="eastAsia"/>
                <w:lang w:eastAsia="zh-CN"/>
              </w:rPr>
              <w:t>）</w:t>
            </w:r>
          </w:p>
        </w:tc>
        <w:tc>
          <w:tcPr>
            <w:tcW w:w="1305" w:type="dxa"/>
          </w:tcPr>
          <w:p>
            <w:pPr>
              <w:rPr>
                <w:rFonts w:ascii="宋体" w:hAnsi="宋体" w:cs="宋体"/>
                <w:szCs w:val="21"/>
              </w:rPr>
            </w:pPr>
          </w:p>
        </w:tc>
        <w:tc>
          <w:tcPr>
            <w:tcW w:w="119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86" w:type="dxa"/>
            <w:vMerge w:val="continue"/>
            <w:vAlign w:val="center"/>
          </w:tcPr>
          <w:p>
            <w:pPr>
              <w:jc w:val="center"/>
              <w:rPr>
                <w:rFonts w:ascii="宋体" w:hAnsi="宋体" w:cs="宋体"/>
                <w:szCs w:val="21"/>
              </w:rPr>
            </w:pPr>
          </w:p>
        </w:tc>
        <w:tc>
          <w:tcPr>
            <w:tcW w:w="8453" w:type="dxa"/>
            <w:gridSpan w:val="4"/>
            <w:vAlign w:val="center"/>
          </w:tcPr>
          <w:p>
            <w:pPr>
              <w:jc w:val="left"/>
              <w:rPr>
                <w:rFonts w:ascii="宋体" w:hAnsi="宋体" w:cs="宋体"/>
                <w:szCs w:val="21"/>
              </w:rPr>
            </w:pPr>
            <w:r>
              <w:rPr>
                <w:rFonts w:hint="eastAsia" w:ascii="宋体" w:hAnsi="宋体" w:cs="宋体"/>
                <w:szCs w:val="21"/>
              </w:rPr>
              <w:t>评审结果“√”表示合格；“×”表示不合格，一项不合格结果为不合格，如不合格，请在结果中写明原因。</w:t>
            </w:r>
          </w:p>
        </w:tc>
      </w:tr>
    </w:tbl>
    <w:p>
      <w:pPr>
        <w:spacing w:before="156" w:beforeLines="50" w:line="440" w:lineRule="exact"/>
        <w:ind w:firstLine="210" w:firstLineChars="100"/>
        <w:rPr>
          <w:rFonts w:ascii="宋体" w:hAnsi="宋体"/>
          <w:szCs w:val="21"/>
        </w:rPr>
      </w:pPr>
      <w:r>
        <w:rPr>
          <w:rFonts w:hint="eastAsia" w:ascii="宋体" w:hAnsi="宋体"/>
          <w:szCs w:val="21"/>
        </w:rPr>
        <w:t>6.2如评标专家在检验电子标书过程中，如果由于投标人自身原因导致评标专家无法查看并检验电子标书中以上相关资料的，否决其投标。即使投标单位将原件携带至现场的，同样按无效投标处理。</w:t>
      </w:r>
    </w:p>
    <w:p>
      <w:pPr>
        <w:spacing w:before="156" w:beforeLines="50" w:line="440" w:lineRule="exact"/>
        <w:ind w:firstLine="210" w:firstLineChars="100"/>
        <w:rPr>
          <w:rFonts w:ascii="宋体"/>
          <w:szCs w:val="21"/>
        </w:rPr>
      </w:pPr>
    </w:p>
    <w:p>
      <w:pPr>
        <w:spacing w:before="156" w:beforeLines="50" w:line="440" w:lineRule="exact"/>
        <w:ind w:firstLine="210" w:firstLineChars="100"/>
        <w:rPr>
          <w:rFonts w:ascii="宋体"/>
          <w:szCs w:val="21"/>
        </w:rPr>
      </w:pPr>
    </w:p>
    <w:p>
      <w:pPr>
        <w:pStyle w:val="45"/>
        <w:rPr>
          <w:rFonts w:ascii="宋体"/>
          <w:szCs w:val="21"/>
          <w:lang w:val="en-US"/>
        </w:rPr>
      </w:pPr>
    </w:p>
    <w:p>
      <w:pPr>
        <w:pStyle w:val="45"/>
        <w:rPr>
          <w:rFonts w:ascii="宋体"/>
          <w:szCs w:val="21"/>
          <w:lang w:val="en-US"/>
        </w:rPr>
      </w:pPr>
    </w:p>
    <w:p>
      <w:pPr>
        <w:spacing w:before="156" w:beforeLines="50" w:line="440" w:lineRule="exact"/>
        <w:rPr>
          <w:rFonts w:ascii="宋体"/>
          <w:szCs w:val="21"/>
        </w:rPr>
      </w:pPr>
    </w:p>
    <w:p>
      <w:pPr>
        <w:spacing w:before="156" w:beforeLines="50" w:line="440" w:lineRule="exact"/>
        <w:ind w:firstLine="210" w:firstLineChars="100"/>
        <w:outlineLvl w:val="1"/>
        <w:rPr>
          <w:rFonts w:ascii="宋体"/>
          <w:szCs w:val="21"/>
        </w:rPr>
      </w:pPr>
      <w:r>
        <w:rPr>
          <w:rFonts w:hint="eastAsia" w:ascii="宋体"/>
          <w:szCs w:val="21"/>
        </w:rPr>
        <w:t>7.符合性审查</w:t>
      </w:r>
    </w:p>
    <w:p>
      <w:pPr>
        <w:spacing w:line="440" w:lineRule="exact"/>
        <w:ind w:firstLine="315" w:firstLineChars="150"/>
        <w:outlineLvl w:val="2"/>
        <w:rPr>
          <w:rFonts w:ascii="宋体"/>
          <w:szCs w:val="21"/>
        </w:rPr>
      </w:pPr>
      <w:r>
        <w:rPr>
          <w:rFonts w:hint="eastAsia" w:ascii="宋体"/>
          <w:szCs w:val="21"/>
        </w:rPr>
        <w:t>7．1评审细则</w:t>
      </w:r>
    </w:p>
    <w:tbl>
      <w:tblPr>
        <w:tblStyle w:val="27"/>
        <w:tblpPr w:leftFromText="180" w:rightFromText="180" w:vertAnchor="text" w:horzAnchor="page" w:tblpX="1293" w:tblpY="544"/>
        <w:tblW w:w="9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2"/>
        <w:gridCol w:w="495"/>
        <w:gridCol w:w="6579"/>
        <w:gridCol w:w="753"/>
        <w:gridCol w:w="7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922" w:type="dxa"/>
            <w:tcBorders>
              <w:top w:val="single" w:color="auto" w:sz="4" w:space="0"/>
              <w:left w:val="single" w:color="auto" w:sz="4" w:space="0"/>
            </w:tcBorders>
            <w:vAlign w:val="center"/>
          </w:tcPr>
          <w:p>
            <w:pPr>
              <w:jc w:val="center"/>
              <w:rPr>
                <w:rFonts w:ascii="宋体" w:hAnsi="宋体" w:cs="宋体"/>
                <w:sz w:val="24"/>
              </w:rPr>
            </w:pPr>
            <w:r>
              <w:rPr>
                <w:rFonts w:hint="eastAsia" w:ascii="宋体" w:hAnsi="宋体" w:cs="宋体"/>
                <w:sz w:val="24"/>
              </w:rPr>
              <w:t>项目</w:t>
            </w:r>
          </w:p>
        </w:tc>
        <w:tc>
          <w:tcPr>
            <w:tcW w:w="7074" w:type="dxa"/>
            <w:gridSpan w:val="2"/>
            <w:tcBorders>
              <w:top w:val="single" w:color="auto" w:sz="4" w:space="0"/>
            </w:tcBorders>
            <w:vAlign w:val="center"/>
          </w:tcPr>
          <w:p>
            <w:pPr>
              <w:jc w:val="center"/>
              <w:rPr>
                <w:rFonts w:ascii="宋体" w:hAnsi="宋体" w:cs="宋体"/>
                <w:sz w:val="24"/>
              </w:rPr>
            </w:pPr>
            <w:r>
              <w:rPr>
                <w:rFonts w:hint="eastAsia" w:ascii="宋体" w:hAnsi="宋体" w:cs="宋体"/>
                <w:sz w:val="24"/>
              </w:rPr>
              <w:t>评审内容</w:t>
            </w:r>
          </w:p>
        </w:tc>
        <w:tc>
          <w:tcPr>
            <w:tcW w:w="1502" w:type="dxa"/>
            <w:gridSpan w:val="2"/>
            <w:tcBorders>
              <w:top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922" w:type="dxa"/>
            <w:tcBorders>
              <w:left w:val="single" w:color="auto" w:sz="4" w:space="0"/>
              <w:bottom w:val="single" w:color="auto" w:sz="4" w:space="0"/>
            </w:tcBorders>
            <w:vAlign w:val="center"/>
          </w:tcPr>
          <w:p>
            <w:pPr>
              <w:rPr>
                <w:rFonts w:ascii="宋体" w:hAnsi="宋体" w:cs="宋体"/>
              </w:rPr>
            </w:pPr>
          </w:p>
        </w:tc>
        <w:tc>
          <w:tcPr>
            <w:tcW w:w="7074" w:type="dxa"/>
            <w:gridSpan w:val="2"/>
            <w:tcBorders>
              <w:bottom w:val="single" w:color="auto" w:sz="4" w:space="0"/>
            </w:tcBorders>
          </w:tcPr>
          <w:p>
            <w:pPr>
              <w:rPr>
                <w:rFonts w:ascii="宋体" w:hAnsi="宋体" w:cs="宋体"/>
              </w:rPr>
            </w:pPr>
          </w:p>
        </w:tc>
        <w:tc>
          <w:tcPr>
            <w:tcW w:w="753" w:type="dxa"/>
            <w:vAlign w:val="center"/>
          </w:tcPr>
          <w:p>
            <w:pPr>
              <w:jc w:val="center"/>
              <w:rPr>
                <w:rFonts w:ascii="宋体" w:hAnsi="宋体" w:cs="宋体"/>
                <w:sz w:val="24"/>
              </w:rPr>
            </w:pPr>
            <w:r>
              <w:rPr>
                <w:rFonts w:hint="eastAsia" w:ascii="宋体" w:hAnsi="宋体" w:cs="宋体"/>
                <w:spacing w:val="-2"/>
                <w:szCs w:val="21"/>
              </w:rPr>
              <w:t>√</w:t>
            </w:r>
          </w:p>
        </w:tc>
        <w:tc>
          <w:tcPr>
            <w:tcW w:w="749" w:type="dxa"/>
            <w:tcBorders>
              <w:right w:val="single" w:color="auto" w:sz="4" w:space="0"/>
            </w:tcBorders>
            <w:vAlign w:val="center"/>
          </w:tcPr>
          <w:p>
            <w:pPr>
              <w:ind w:firstLine="206" w:firstLineChars="100"/>
              <w:rPr>
                <w:rFonts w:ascii="宋体" w:hAnsi="宋体" w:cs="宋体"/>
                <w:sz w:val="24"/>
              </w:rPr>
            </w:pPr>
            <w:r>
              <w:rPr>
                <w:rFonts w:hint="eastAsia" w:ascii="宋体" w:hAnsi="宋体" w:cs="宋体"/>
                <w:spacing w:val="-2"/>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审</w:t>
            </w:r>
          </w:p>
          <w:p>
            <w:pPr>
              <w:jc w:val="center"/>
              <w:rPr>
                <w:rFonts w:ascii="宋体" w:hAnsi="宋体" w:cs="宋体"/>
                <w:szCs w:val="21"/>
              </w:rPr>
            </w:pPr>
            <w:r>
              <w:rPr>
                <w:rFonts w:hint="eastAsia" w:ascii="宋体" w:hAnsi="宋体" w:cs="宋体"/>
                <w:szCs w:val="21"/>
              </w:rPr>
              <w:t>查</w:t>
            </w:r>
          </w:p>
          <w:p>
            <w:pPr>
              <w:jc w:val="center"/>
              <w:rPr>
                <w:rFonts w:ascii="宋体" w:hAnsi="宋体" w:cs="宋体"/>
                <w:szCs w:val="21"/>
              </w:rPr>
            </w:pPr>
            <w:r>
              <w:rPr>
                <w:rFonts w:hint="eastAsia" w:ascii="宋体" w:hAnsi="宋体" w:cs="宋体"/>
                <w:szCs w:val="21"/>
              </w:rPr>
              <w:t>标</w:t>
            </w:r>
          </w:p>
          <w:p>
            <w:pPr>
              <w:jc w:val="center"/>
              <w:rPr>
                <w:rFonts w:ascii="宋体" w:hAnsi="宋体" w:cs="宋体"/>
                <w:szCs w:val="21"/>
              </w:rPr>
            </w:pPr>
            <w:r>
              <w:rPr>
                <w:rFonts w:hint="eastAsia" w:ascii="宋体" w:hAnsi="宋体" w:cs="宋体"/>
                <w:szCs w:val="21"/>
              </w:rPr>
              <w:t>准</w:t>
            </w:r>
          </w:p>
        </w:tc>
        <w:tc>
          <w:tcPr>
            <w:tcW w:w="495" w:type="dxa"/>
            <w:tcBorders>
              <w:top w:val="single" w:color="auto" w:sz="4" w:space="0"/>
              <w:left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6579" w:type="dxa"/>
            <w:tcBorders>
              <w:top w:val="single" w:color="auto" w:sz="4" w:space="0"/>
              <w:left w:val="single" w:color="auto" w:sz="4" w:space="0"/>
              <w:right w:val="single" w:color="auto" w:sz="4" w:space="0"/>
            </w:tcBorders>
            <w:vAlign w:val="center"/>
          </w:tcPr>
          <w:p>
            <w:pPr>
              <w:spacing w:line="400" w:lineRule="exact"/>
              <w:jc w:val="left"/>
              <w:rPr>
                <w:rFonts w:ascii="宋体"/>
                <w:szCs w:val="21"/>
              </w:rPr>
            </w:pPr>
            <w:r>
              <w:rPr>
                <w:rFonts w:hint="eastAsia" w:ascii="宋体"/>
                <w:szCs w:val="21"/>
              </w:rPr>
              <w:t>由政府立项核准、审批的采购项目, 报价未高于设定的采购最高限价的。</w:t>
            </w:r>
          </w:p>
        </w:tc>
        <w:tc>
          <w:tcPr>
            <w:tcW w:w="753" w:type="dxa"/>
            <w:tcBorders>
              <w:left w:val="single" w:color="auto" w:sz="4" w:space="0"/>
              <w:right w:val="single" w:color="auto" w:sz="4" w:space="0"/>
            </w:tcBorders>
          </w:tcPr>
          <w:p>
            <w:pPr>
              <w:jc w:val="center"/>
              <w:rPr>
                <w:rFonts w:ascii="宋体" w:hAnsi="宋体" w:cs="宋体"/>
                <w:szCs w:val="21"/>
              </w:rPr>
            </w:pPr>
          </w:p>
        </w:tc>
        <w:tc>
          <w:tcPr>
            <w:tcW w:w="749" w:type="dxa"/>
            <w:tcBorders>
              <w:left w:val="single" w:color="auto" w:sz="4" w:space="0"/>
              <w:right w:val="single" w:color="auto" w:sz="4" w:space="0"/>
            </w:tcBorders>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continue"/>
            <w:tcBorders>
              <w:left w:val="single" w:color="auto" w:sz="4" w:space="0"/>
              <w:right w:val="single" w:color="auto" w:sz="4" w:space="0"/>
            </w:tcBorders>
            <w:vAlign w:val="center"/>
          </w:tcPr>
          <w:p>
            <w:pPr>
              <w:rPr>
                <w:rFonts w:ascii="宋体" w:hAnsi="宋体" w:cs="宋体"/>
              </w:rPr>
            </w:pPr>
          </w:p>
        </w:tc>
        <w:tc>
          <w:tcPr>
            <w:tcW w:w="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2</w:t>
            </w:r>
          </w:p>
        </w:tc>
        <w:tc>
          <w:tcPr>
            <w:tcW w:w="657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szCs w:val="21"/>
              </w:rPr>
            </w:pPr>
            <w:r>
              <w:rPr>
                <w:rFonts w:hint="eastAsia" w:ascii="宋体"/>
                <w:szCs w:val="21"/>
              </w:rPr>
              <w:t>法定代表人身份证明及授权委托书有效，且符合招标文件规定的格式。</w:t>
            </w:r>
          </w:p>
        </w:tc>
        <w:tc>
          <w:tcPr>
            <w:tcW w:w="753" w:type="dxa"/>
            <w:tcBorders>
              <w:left w:val="single" w:color="auto" w:sz="4" w:space="0"/>
            </w:tcBorders>
          </w:tcPr>
          <w:p>
            <w:pPr>
              <w:rPr>
                <w:rFonts w:ascii="宋体" w:hAnsi="宋体" w:cs="宋体"/>
                <w:szCs w:val="21"/>
              </w:rPr>
            </w:pPr>
          </w:p>
        </w:tc>
        <w:tc>
          <w:tcPr>
            <w:tcW w:w="749" w:type="dxa"/>
            <w:tcBorders>
              <w:right w:val="single" w:color="auto" w:sz="4" w:space="0"/>
            </w:tcBorders>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922" w:type="dxa"/>
            <w:vMerge w:val="continue"/>
            <w:tcBorders>
              <w:left w:val="single" w:color="auto" w:sz="4" w:space="0"/>
              <w:right w:val="single" w:color="auto" w:sz="4" w:space="0"/>
            </w:tcBorders>
            <w:vAlign w:val="center"/>
          </w:tcPr>
          <w:p>
            <w:pPr>
              <w:rPr>
                <w:rFonts w:ascii="宋体" w:hAnsi="宋体" w:cs="宋体"/>
              </w:rPr>
            </w:pPr>
          </w:p>
        </w:tc>
        <w:tc>
          <w:tcPr>
            <w:tcW w:w="495" w:type="dxa"/>
            <w:tcBorders>
              <w:top w:val="single" w:color="auto" w:sz="4" w:space="0"/>
              <w:left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3</w:t>
            </w:r>
          </w:p>
        </w:tc>
        <w:tc>
          <w:tcPr>
            <w:tcW w:w="6579" w:type="dxa"/>
            <w:tcBorders>
              <w:top w:val="single" w:color="auto" w:sz="4" w:space="0"/>
              <w:left w:val="single" w:color="auto" w:sz="4" w:space="0"/>
              <w:right w:val="single" w:color="auto" w:sz="4" w:space="0"/>
            </w:tcBorders>
            <w:vAlign w:val="center"/>
          </w:tcPr>
          <w:p>
            <w:pPr>
              <w:spacing w:line="400" w:lineRule="exact"/>
              <w:jc w:val="left"/>
              <w:rPr>
                <w:rFonts w:ascii="宋体"/>
                <w:szCs w:val="21"/>
              </w:rPr>
            </w:pPr>
            <w:r>
              <w:rPr>
                <w:rFonts w:hint="eastAsia" w:ascii="宋体"/>
                <w:szCs w:val="21"/>
              </w:rPr>
              <w:t>只有一个方案投标。</w:t>
            </w:r>
          </w:p>
        </w:tc>
        <w:tc>
          <w:tcPr>
            <w:tcW w:w="753" w:type="dxa"/>
            <w:tcBorders>
              <w:left w:val="single" w:color="auto" w:sz="4" w:space="0"/>
            </w:tcBorders>
          </w:tcPr>
          <w:p>
            <w:pPr>
              <w:rPr>
                <w:rFonts w:ascii="宋体" w:hAnsi="宋体" w:cs="宋体"/>
                <w:szCs w:val="21"/>
              </w:rPr>
            </w:pPr>
          </w:p>
        </w:tc>
        <w:tc>
          <w:tcPr>
            <w:tcW w:w="749" w:type="dxa"/>
            <w:tcBorders>
              <w:right w:val="single" w:color="auto" w:sz="4" w:space="0"/>
            </w:tcBorders>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vAlign w:val="center"/>
          </w:tcPr>
          <w:p>
            <w:pPr>
              <w:rPr>
                <w:rFonts w:ascii="宋体" w:hAnsi="宋体" w:cs="宋体"/>
              </w:rPr>
            </w:pPr>
          </w:p>
        </w:tc>
        <w:tc>
          <w:tcPr>
            <w:tcW w:w="495" w:type="dxa"/>
            <w:tcBorders>
              <w:left w:val="single" w:color="auto" w:sz="4" w:space="0"/>
            </w:tcBorders>
            <w:vAlign w:val="center"/>
          </w:tcPr>
          <w:p>
            <w:pPr>
              <w:jc w:val="center"/>
              <w:rPr>
                <w:rFonts w:ascii="宋体" w:hAnsi="宋体" w:cs="宋体"/>
                <w:sz w:val="20"/>
                <w:szCs w:val="20"/>
              </w:rPr>
            </w:pPr>
            <w:r>
              <w:rPr>
                <w:rFonts w:hint="eastAsia" w:ascii="宋体" w:hAnsi="宋体" w:cs="宋体"/>
                <w:sz w:val="20"/>
                <w:szCs w:val="20"/>
              </w:rPr>
              <w:t>4</w:t>
            </w:r>
          </w:p>
        </w:tc>
        <w:tc>
          <w:tcPr>
            <w:tcW w:w="6579" w:type="dxa"/>
            <w:tcBorders>
              <w:right w:val="single" w:color="auto" w:sz="4" w:space="0"/>
            </w:tcBorders>
            <w:vAlign w:val="center"/>
          </w:tcPr>
          <w:p>
            <w:pPr>
              <w:spacing w:line="400" w:lineRule="exact"/>
              <w:jc w:val="left"/>
              <w:rPr>
                <w:rFonts w:ascii="宋体"/>
                <w:szCs w:val="21"/>
              </w:rPr>
            </w:pPr>
            <w:r>
              <w:rPr>
                <w:rFonts w:hint="eastAsia" w:ascii="宋体"/>
                <w:szCs w:val="21"/>
              </w:rPr>
              <w:t>投标文件内容齐全、无遗漏。</w:t>
            </w:r>
          </w:p>
        </w:tc>
        <w:tc>
          <w:tcPr>
            <w:tcW w:w="753" w:type="dxa"/>
            <w:tcBorders>
              <w:left w:val="single" w:color="auto" w:sz="4" w:space="0"/>
            </w:tcBorders>
          </w:tcPr>
          <w:p>
            <w:pPr>
              <w:rPr>
                <w:rFonts w:ascii="宋体" w:hAnsi="宋体" w:cs="宋体"/>
                <w:szCs w:val="21"/>
              </w:rPr>
            </w:pPr>
          </w:p>
        </w:tc>
        <w:tc>
          <w:tcPr>
            <w:tcW w:w="749" w:type="dxa"/>
            <w:tcBorders>
              <w:right w:val="single" w:color="auto" w:sz="4" w:space="0"/>
            </w:tcBorders>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vAlign w:val="center"/>
          </w:tcPr>
          <w:p>
            <w:pPr>
              <w:rPr>
                <w:rFonts w:ascii="宋体" w:hAnsi="宋体" w:cs="宋体"/>
              </w:rPr>
            </w:pPr>
          </w:p>
        </w:tc>
        <w:tc>
          <w:tcPr>
            <w:tcW w:w="495" w:type="dxa"/>
            <w:tcBorders>
              <w:left w:val="single" w:color="auto" w:sz="4" w:space="0"/>
              <w:bottom w:val="single" w:color="auto" w:sz="4" w:space="0"/>
            </w:tcBorders>
            <w:vAlign w:val="center"/>
          </w:tcPr>
          <w:p>
            <w:pPr>
              <w:jc w:val="center"/>
              <w:rPr>
                <w:rFonts w:ascii="宋体" w:hAnsi="宋体" w:cs="宋体"/>
                <w:sz w:val="20"/>
                <w:szCs w:val="20"/>
              </w:rPr>
            </w:pPr>
            <w:r>
              <w:rPr>
                <w:rFonts w:hint="eastAsia" w:ascii="宋体" w:hAnsi="宋体" w:cs="宋体"/>
                <w:sz w:val="20"/>
                <w:szCs w:val="20"/>
              </w:rPr>
              <w:t>5</w:t>
            </w:r>
          </w:p>
        </w:tc>
        <w:tc>
          <w:tcPr>
            <w:tcW w:w="6579" w:type="dxa"/>
            <w:tcBorders>
              <w:bottom w:val="single" w:color="auto" w:sz="4" w:space="0"/>
              <w:right w:val="single" w:color="auto" w:sz="4" w:space="0"/>
            </w:tcBorders>
            <w:vAlign w:val="center"/>
          </w:tcPr>
          <w:p>
            <w:pPr>
              <w:spacing w:line="400" w:lineRule="exact"/>
              <w:jc w:val="left"/>
              <w:rPr>
                <w:rFonts w:ascii="宋体"/>
                <w:szCs w:val="21"/>
              </w:rPr>
            </w:pPr>
            <w:r>
              <w:rPr>
                <w:rFonts w:hint="eastAsia" w:ascii="宋体"/>
                <w:szCs w:val="21"/>
              </w:rPr>
              <w:t>对招标文件规定的招标内容全部作出响应。</w:t>
            </w:r>
          </w:p>
        </w:tc>
        <w:tc>
          <w:tcPr>
            <w:tcW w:w="753" w:type="dxa"/>
            <w:tcBorders>
              <w:left w:val="single" w:color="auto" w:sz="4" w:space="0"/>
              <w:bottom w:val="single" w:color="auto" w:sz="4" w:space="0"/>
            </w:tcBorders>
          </w:tcPr>
          <w:p>
            <w:pPr>
              <w:rPr>
                <w:rFonts w:ascii="宋体" w:hAnsi="宋体" w:cs="宋体"/>
                <w:szCs w:val="21"/>
              </w:rPr>
            </w:pPr>
          </w:p>
        </w:tc>
        <w:tc>
          <w:tcPr>
            <w:tcW w:w="749" w:type="dxa"/>
            <w:tcBorders>
              <w:bottom w:val="single" w:color="auto" w:sz="4" w:space="0"/>
              <w:right w:val="single" w:color="auto" w:sz="4" w:space="0"/>
            </w:tcBorders>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922" w:type="dxa"/>
            <w:vMerge w:val="continue"/>
            <w:tcBorders>
              <w:left w:val="single" w:color="auto" w:sz="4" w:space="0"/>
              <w:right w:val="single" w:color="auto" w:sz="4" w:space="0"/>
            </w:tcBorders>
            <w:vAlign w:val="center"/>
          </w:tcPr>
          <w:p>
            <w:pPr>
              <w:rPr>
                <w:rFonts w:ascii="宋体" w:hAnsi="宋体" w:cs="宋体"/>
              </w:rPr>
            </w:pPr>
          </w:p>
        </w:tc>
        <w:tc>
          <w:tcPr>
            <w:tcW w:w="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6</w:t>
            </w:r>
          </w:p>
        </w:tc>
        <w:tc>
          <w:tcPr>
            <w:tcW w:w="657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szCs w:val="21"/>
              </w:rPr>
            </w:pPr>
            <w:r>
              <w:rPr>
                <w:rFonts w:hint="eastAsia" w:ascii="宋体"/>
                <w:szCs w:val="21"/>
              </w:rPr>
              <w:t>满足招标文件提出的技术和质量要求。</w:t>
            </w:r>
          </w:p>
        </w:tc>
        <w:tc>
          <w:tcPr>
            <w:tcW w:w="753"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c>
          <w:tcPr>
            <w:tcW w:w="749"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vAlign w:val="center"/>
          </w:tcPr>
          <w:p>
            <w:pPr>
              <w:rPr>
                <w:rFonts w:ascii="宋体" w:hAnsi="宋体" w:cs="宋体"/>
              </w:rPr>
            </w:pPr>
          </w:p>
        </w:tc>
        <w:tc>
          <w:tcPr>
            <w:tcW w:w="495" w:type="dxa"/>
            <w:tcBorders>
              <w:top w:val="single" w:color="auto" w:sz="4" w:space="0"/>
              <w:left w:val="single" w:color="auto" w:sz="4" w:space="0"/>
            </w:tcBorders>
            <w:vAlign w:val="center"/>
          </w:tcPr>
          <w:p>
            <w:pPr>
              <w:spacing w:line="400" w:lineRule="exact"/>
              <w:jc w:val="center"/>
              <w:rPr>
                <w:rFonts w:ascii="宋体"/>
                <w:szCs w:val="21"/>
              </w:rPr>
            </w:pPr>
            <w:r>
              <w:rPr>
                <w:rFonts w:hint="eastAsia" w:ascii="宋体"/>
                <w:szCs w:val="21"/>
              </w:rPr>
              <w:t>7</w:t>
            </w:r>
          </w:p>
        </w:tc>
        <w:tc>
          <w:tcPr>
            <w:tcW w:w="6579" w:type="dxa"/>
            <w:tcBorders>
              <w:top w:val="single" w:color="auto" w:sz="4" w:space="0"/>
              <w:right w:val="single" w:color="auto" w:sz="4" w:space="0"/>
            </w:tcBorders>
            <w:vAlign w:val="center"/>
          </w:tcPr>
          <w:p>
            <w:pPr>
              <w:spacing w:line="400" w:lineRule="exact"/>
              <w:jc w:val="left"/>
              <w:rPr>
                <w:rFonts w:ascii="宋体"/>
                <w:szCs w:val="21"/>
              </w:rPr>
            </w:pPr>
            <w:r>
              <w:rPr>
                <w:rFonts w:hint="eastAsia" w:ascii="宋体"/>
                <w:szCs w:val="21"/>
              </w:rPr>
              <w:t>供货期限满足招标文件要求。</w:t>
            </w:r>
          </w:p>
        </w:tc>
        <w:tc>
          <w:tcPr>
            <w:tcW w:w="753" w:type="dxa"/>
            <w:tcBorders>
              <w:top w:val="single" w:color="auto" w:sz="4" w:space="0"/>
              <w:left w:val="single" w:color="auto" w:sz="4" w:space="0"/>
            </w:tcBorders>
          </w:tcPr>
          <w:p>
            <w:pPr>
              <w:rPr>
                <w:rFonts w:ascii="宋体" w:hAnsi="宋体" w:cs="宋体"/>
                <w:szCs w:val="21"/>
              </w:rPr>
            </w:pPr>
          </w:p>
        </w:tc>
        <w:tc>
          <w:tcPr>
            <w:tcW w:w="749" w:type="dxa"/>
            <w:tcBorders>
              <w:top w:val="single" w:color="auto" w:sz="4" w:space="0"/>
              <w:right w:val="single" w:color="auto" w:sz="4" w:space="0"/>
            </w:tcBorders>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vAlign w:val="center"/>
          </w:tcPr>
          <w:p>
            <w:pPr>
              <w:rPr>
                <w:rFonts w:ascii="宋体" w:hAnsi="宋体" w:cs="宋体"/>
              </w:rPr>
            </w:pPr>
          </w:p>
        </w:tc>
        <w:tc>
          <w:tcPr>
            <w:tcW w:w="495" w:type="dxa"/>
            <w:tcBorders>
              <w:left w:val="single" w:color="auto" w:sz="4" w:space="0"/>
            </w:tcBorders>
            <w:vAlign w:val="center"/>
          </w:tcPr>
          <w:p>
            <w:pPr>
              <w:jc w:val="center"/>
              <w:rPr>
                <w:rFonts w:ascii="宋体" w:hAnsi="宋体" w:cs="宋体"/>
                <w:sz w:val="20"/>
                <w:szCs w:val="20"/>
              </w:rPr>
            </w:pPr>
            <w:r>
              <w:rPr>
                <w:rFonts w:hint="eastAsia" w:ascii="宋体" w:hAnsi="宋体" w:cs="宋体"/>
                <w:sz w:val="20"/>
                <w:szCs w:val="20"/>
              </w:rPr>
              <w:t>8</w:t>
            </w:r>
          </w:p>
        </w:tc>
        <w:tc>
          <w:tcPr>
            <w:tcW w:w="6579" w:type="dxa"/>
            <w:tcBorders>
              <w:right w:val="single" w:color="auto" w:sz="4" w:space="0"/>
            </w:tcBorders>
            <w:vAlign w:val="center"/>
          </w:tcPr>
          <w:p>
            <w:pPr>
              <w:spacing w:line="400" w:lineRule="exact"/>
              <w:jc w:val="left"/>
              <w:rPr>
                <w:rFonts w:ascii="宋体"/>
                <w:szCs w:val="21"/>
              </w:rPr>
            </w:pPr>
            <w:r>
              <w:rPr>
                <w:rFonts w:hint="eastAsia" w:ascii="宋体"/>
                <w:szCs w:val="21"/>
              </w:rPr>
              <w:t>投标文件未含有采购人不能接受的附加条件。</w:t>
            </w:r>
          </w:p>
        </w:tc>
        <w:tc>
          <w:tcPr>
            <w:tcW w:w="753" w:type="dxa"/>
            <w:tcBorders>
              <w:left w:val="single" w:color="auto" w:sz="4" w:space="0"/>
            </w:tcBorders>
          </w:tcPr>
          <w:p>
            <w:pPr>
              <w:rPr>
                <w:rFonts w:ascii="宋体" w:hAnsi="宋体" w:cs="宋体"/>
                <w:szCs w:val="21"/>
              </w:rPr>
            </w:pPr>
          </w:p>
        </w:tc>
        <w:tc>
          <w:tcPr>
            <w:tcW w:w="749" w:type="dxa"/>
            <w:tcBorders>
              <w:right w:val="single" w:color="auto" w:sz="4" w:space="0"/>
            </w:tcBorders>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vAlign w:val="center"/>
          </w:tcPr>
          <w:p>
            <w:pPr>
              <w:rPr>
                <w:rFonts w:ascii="宋体" w:hAnsi="宋体" w:cs="宋体"/>
              </w:rPr>
            </w:pPr>
          </w:p>
        </w:tc>
        <w:tc>
          <w:tcPr>
            <w:tcW w:w="495" w:type="dxa"/>
            <w:tcBorders>
              <w:left w:val="single" w:color="auto" w:sz="4" w:space="0"/>
            </w:tcBorders>
            <w:vAlign w:val="center"/>
          </w:tcPr>
          <w:p>
            <w:pPr>
              <w:jc w:val="center"/>
              <w:rPr>
                <w:rFonts w:ascii="宋体" w:hAnsi="宋体" w:cs="宋体"/>
                <w:sz w:val="20"/>
                <w:szCs w:val="20"/>
              </w:rPr>
            </w:pPr>
            <w:r>
              <w:rPr>
                <w:rFonts w:hint="eastAsia" w:ascii="宋体" w:hAnsi="宋体" w:cs="宋体"/>
                <w:sz w:val="20"/>
                <w:szCs w:val="20"/>
              </w:rPr>
              <w:t>9</w:t>
            </w:r>
          </w:p>
        </w:tc>
        <w:tc>
          <w:tcPr>
            <w:tcW w:w="6579" w:type="dxa"/>
            <w:tcBorders>
              <w:right w:val="single" w:color="auto" w:sz="4" w:space="0"/>
            </w:tcBorders>
            <w:vAlign w:val="center"/>
          </w:tcPr>
          <w:p>
            <w:pPr>
              <w:spacing w:line="400" w:lineRule="exact"/>
              <w:jc w:val="left"/>
              <w:rPr>
                <w:rFonts w:ascii="宋体"/>
                <w:szCs w:val="21"/>
              </w:rPr>
            </w:pPr>
            <w:r>
              <w:rPr>
                <w:rFonts w:hint="eastAsia" w:ascii="宋体"/>
                <w:szCs w:val="21"/>
              </w:rPr>
              <w:t>投标有效期满足招标文件要求。</w:t>
            </w:r>
          </w:p>
        </w:tc>
        <w:tc>
          <w:tcPr>
            <w:tcW w:w="753" w:type="dxa"/>
            <w:tcBorders>
              <w:left w:val="single" w:color="auto" w:sz="4" w:space="0"/>
            </w:tcBorders>
          </w:tcPr>
          <w:p>
            <w:pPr>
              <w:rPr>
                <w:rFonts w:ascii="宋体" w:hAnsi="宋体" w:cs="宋体"/>
                <w:szCs w:val="21"/>
              </w:rPr>
            </w:pPr>
          </w:p>
        </w:tc>
        <w:tc>
          <w:tcPr>
            <w:tcW w:w="749" w:type="dxa"/>
            <w:tcBorders>
              <w:right w:val="single" w:color="auto" w:sz="4" w:space="0"/>
            </w:tcBorders>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vAlign w:val="center"/>
          </w:tcPr>
          <w:p>
            <w:pPr>
              <w:rPr>
                <w:rFonts w:ascii="宋体" w:hAnsi="宋体" w:cs="宋体"/>
              </w:rPr>
            </w:pPr>
          </w:p>
        </w:tc>
        <w:tc>
          <w:tcPr>
            <w:tcW w:w="495" w:type="dxa"/>
            <w:tcBorders>
              <w:left w:val="single" w:color="auto" w:sz="4" w:space="0"/>
            </w:tcBorders>
            <w:vAlign w:val="center"/>
          </w:tcPr>
          <w:p>
            <w:pPr>
              <w:jc w:val="center"/>
              <w:rPr>
                <w:rFonts w:ascii="宋体" w:hAnsi="宋体" w:cs="宋体"/>
                <w:sz w:val="20"/>
                <w:szCs w:val="20"/>
              </w:rPr>
            </w:pPr>
            <w:r>
              <w:rPr>
                <w:rFonts w:hint="eastAsia" w:ascii="宋体" w:hAnsi="宋体" w:cs="宋体"/>
                <w:sz w:val="20"/>
                <w:szCs w:val="20"/>
              </w:rPr>
              <w:t>10</w:t>
            </w:r>
          </w:p>
        </w:tc>
        <w:tc>
          <w:tcPr>
            <w:tcW w:w="6579" w:type="dxa"/>
            <w:tcBorders>
              <w:right w:val="single" w:color="auto" w:sz="4" w:space="0"/>
            </w:tcBorders>
            <w:vAlign w:val="center"/>
          </w:tcPr>
          <w:p>
            <w:pPr>
              <w:spacing w:line="400" w:lineRule="exact"/>
              <w:jc w:val="left"/>
              <w:rPr>
                <w:rFonts w:ascii="宋体"/>
                <w:szCs w:val="21"/>
              </w:rPr>
            </w:pPr>
            <w:r>
              <w:rPr>
                <w:rFonts w:hint="eastAsia" w:ascii="宋体"/>
                <w:szCs w:val="21"/>
              </w:rPr>
              <w:t>投标人详细地址、联系人、电话。</w:t>
            </w:r>
          </w:p>
        </w:tc>
        <w:tc>
          <w:tcPr>
            <w:tcW w:w="753" w:type="dxa"/>
            <w:tcBorders>
              <w:left w:val="single" w:color="auto" w:sz="4" w:space="0"/>
            </w:tcBorders>
          </w:tcPr>
          <w:p>
            <w:pPr>
              <w:rPr>
                <w:rFonts w:ascii="宋体" w:hAnsi="宋体" w:cs="宋体"/>
                <w:szCs w:val="21"/>
              </w:rPr>
            </w:pPr>
          </w:p>
        </w:tc>
        <w:tc>
          <w:tcPr>
            <w:tcW w:w="749" w:type="dxa"/>
            <w:tcBorders>
              <w:right w:val="single" w:color="auto" w:sz="4" w:space="0"/>
            </w:tcBorders>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7996" w:type="dxa"/>
            <w:gridSpan w:val="3"/>
            <w:tcBorders>
              <w:left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pacing w:val="-2"/>
                <w:szCs w:val="21"/>
              </w:rPr>
              <w:t>评审结果：须写通过或者不通过</w:t>
            </w:r>
          </w:p>
        </w:tc>
        <w:tc>
          <w:tcPr>
            <w:tcW w:w="1502" w:type="dxa"/>
            <w:gridSpan w:val="2"/>
            <w:tcBorders>
              <w:left w:val="single" w:color="auto" w:sz="4" w:space="0"/>
              <w:right w:val="single" w:color="auto" w:sz="4" w:space="0"/>
            </w:tcBorders>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trPr>
        <w:tc>
          <w:tcPr>
            <w:tcW w:w="9498" w:type="dxa"/>
            <w:gridSpan w:val="5"/>
            <w:tcBorders>
              <w:left w:val="single" w:color="auto" w:sz="4" w:space="0"/>
              <w:bottom w:val="single" w:color="auto" w:sz="4" w:space="0"/>
              <w:right w:val="single" w:color="auto" w:sz="4" w:space="0"/>
            </w:tcBorders>
            <w:vAlign w:val="center"/>
          </w:tcPr>
          <w:p>
            <w:pPr>
              <w:ind w:firstLine="370" w:firstLineChars="180"/>
              <w:rPr>
                <w:rFonts w:ascii="宋体" w:hAnsi="宋体" w:cs="宋体"/>
                <w:szCs w:val="21"/>
              </w:rPr>
            </w:pPr>
            <w:r>
              <w:rPr>
                <w:rFonts w:hint="eastAsia" w:ascii="宋体" w:hAnsi="宋体" w:cs="宋体"/>
                <w:spacing w:val="-2"/>
                <w:szCs w:val="21"/>
              </w:rPr>
              <w:t xml:space="preserve">结论：通过评审打“√”，未通过评审打“×”   </w:t>
            </w:r>
            <w:r>
              <w:rPr>
                <w:rFonts w:hint="eastAsia" w:ascii="宋体" w:hAnsi="宋体" w:cs="宋体"/>
                <w:szCs w:val="21"/>
              </w:rPr>
              <w:t>注：如有一项不合格，作废标处理。</w:t>
            </w:r>
          </w:p>
        </w:tc>
      </w:tr>
    </w:tbl>
    <w:p>
      <w:pPr>
        <w:spacing w:line="400" w:lineRule="exact"/>
        <w:rPr>
          <w:rFonts w:ascii="宋体"/>
          <w:szCs w:val="21"/>
        </w:rPr>
      </w:pPr>
    </w:p>
    <w:p>
      <w:pPr>
        <w:spacing w:line="400" w:lineRule="exact"/>
        <w:ind w:firstLine="506" w:firstLineChars="241"/>
        <w:rPr>
          <w:rFonts w:ascii="宋体"/>
          <w:szCs w:val="21"/>
        </w:rPr>
      </w:pPr>
      <w:r>
        <w:rPr>
          <w:rFonts w:hint="eastAsia" w:ascii="宋体"/>
          <w:szCs w:val="21"/>
        </w:rPr>
        <w:t>7.2评委会判定投标文件的响应性只根据投标文件本身的内容，而不寻求外部的证据，但投标有不真实不正确的内容时除外。</w:t>
      </w:r>
    </w:p>
    <w:p>
      <w:pPr>
        <w:spacing w:line="400" w:lineRule="exact"/>
        <w:ind w:firstLine="506" w:firstLineChars="241"/>
        <w:rPr>
          <w:rFonts w:ascii="宋体"/>
          <w:szCs w:val="21"/>
        </w:rPr>
      </w:pPr>
      <w:r>
        <w:rPr>
          <w:rFonts w:hint="eastAsia" w:ascii="宋体"/>
          <w:szCs w:val="21"/>
        </w:rPr>
        <w:t>7.3如果投标文件实质上没有响应采购文件的要求，评委会将予以拒绝，投标人不得通过修正或撤销不符合要求的偏离或保留，而使其投标成为实质上响应的投标。</w:t>
      </w:r>
    </w:p>
    <w:p>
      <w:pPr>
        <w:spacing w:line="400" w:lineRule="exact"/>
        <w:ind w:firstLine="420" w:firstLineChars="200"/>
        <w:rPr>
          <w:rFonts w:ascii="宋体"/>
          <w:szCs w:val="21"/>
        </w:rPr>
      </w:pPr>
      <w:r>
        <w:rPr>
          <w:rFonts w:hint="eastAsia" w:ascii="宋体"/>
          <w:szCs w:val="21"/>
        </w:rPr>
        <w:t xml:space="preserve"> 7.4投标人可在现场20分钟内对评标委员会的评审结论提出异议，评标委员会根据采购文件及有关规定对投标人的异议进行复议</w:t>
      </w:r>
    </w:p>
    <w:p>
      <w:pPr>
        <w:spacing w:line="400" w:lineRule="exact"/>
        <w:ind w:firstLine="525" w:firstLineChars="250"/>
        <w:outlineLvl w:val="2"/>
        <w:rPr>
          <w:rFonts w:ascii="宋体"/>
          <w:szCs w:val="21"/>
        </w:rPr>
      </w:pPr>
      <w:r>
        <w:rPr>
          <w:rFonts w:hint="eastAsia" w:ascii="宋体"/>
          <w:szCs w:val="21"/>
        </w:rPr>
        <w:t>7.5只有通过初审的投标人才能进入下一步评标程序。</w:t>
      </w:r>
    </w:p>
    <w:p>
      <w:pPr>
        <w:spacing w:line="400" w:lineRule="exact"/>
        <w:ind w:firstLine="420" w:firstLineChars="200"/>
        <w:rPr>
          <w:rFonts w:ascii="宋体" w:hAnsi="宋体"/>
          <w:szCs w:val="21"/>
        </w:rPr>
      </w:pPr>
      <w:r>
        <w:rPr>
          <w:rFonts w:hint="eastAsia" w:ascii="宋体" w:hAnsi="宋体"/>
          <w:szCs w:val="21"/>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bookmarkStart w:id="44" w:name="_Toc362983803"/>
      <w:bookmarkStart w:id="45" w:name="_Toc469495734"/>
    </w:p>
    <w:p>
      <w:pPr>
        <w:spacing w:line="400" w:lineRule="exact"/>
        <w:ind w:firstLine="3080" w:firstLineChars="1100"/>
        <w:rPr>
          <w:rFonts w:ascii="宋体"/>
          <w:sz w:val="28"/>
          <w:szCs w:val="28"/>
        </w:rPr>
      </w:pPr>
    </w:p>
    <w:p>
      <w:pPr>
        <w:spacing w:line="400" w:lineRule="exact"/>
        <w:ind w:firstLine="560" w:firstLineChars="200"/>
        <w:rPr>
          <w:rFonts w:ascii="宋体"/>
          <w:sz w:val="28"/>
          <w:szCs w:val="28"/>
        </w:rPr>
      </w:pPr>
    </w:p>
    <w:p>
      <w:pPr>
        <w:spacing w:line="400" w:lineRule="exact"/>
        <w:ind w:firstLine="560" w:firstLineChars="200"/>
        <w:outlineLvl w:val="1"/>
        <w:rPr>
          <w:rFonts w:ascii="宋体"/>
          <w:sz w:val="24"/>
        </w:rPr>
      </w:pPr>
      <w:r>
        <w:rPr>
          <w:rFonts w:hint="eastAsia" w:ascii="宋体"/>
          <w:sz w:val="28"/>
          <w:szCs w:val="28"/>
        </w:rPr>
        <w:t>三  投标文件的澄清和补正</w:t>
      </w:r>
      <w:bookmarkEnd w:id="44"/>
      <w:bookmarkEnd w:id="45"/>
    </w:p>
    <w:p>
      <w:pPr>
        <w:spacing w:line="440" w:lineRule="exact"/>
        <w:ind w:firstLine="210" w:firstLineChars="100"/>
        <w:jc w:val="left"/>
        <w:outlineLvl w:val="1"/>
        <w:rPr>
          <w:rFonts w:ascii="宋体"/>
          <w:szCs w:val="21"/>
        </w:rPr>
      </w:pPr>
      <w:r>
        <w:rPr>
          <w:rFonts w:hint="eastAsia" w:ascii="宋体"/>
          <w:szCs w:val="21"/>
        </w:rPr>
        <w:t>8．澄清、说明或补正的形式</w:t>
      </w:r>
    </w:p>
    <w:p>
      <w:pPr>
        <w:spacing w:line="440" w:lineRule="exact"/>
        <w:ind w:firstLine="210" w:firstLineChars="100"/>
        <w:jc w:val="left"/>
        <w:rPr>
          <w:rFonts w:ascii="宋体"/>
          <w:szCs w:val="21"/>
        </w:rPr>
      </w:pPr>
      <w:r>
        <w:rPr>
          <w:rFonts w:hint="eastAsia" w:ascii="宋体"/>
          <w:szCs w:val="21"/>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pacing w:line="440" w:lineRule="exact"/>
        <w:ind w:firstLine="210" w:firstLineChars="100"/>
        <w:jc w:val="left"/>
        <w:rPr>
          <w:rFonts w:ascii="宋体"/>
          <w:szCs w:val="21"/>
        </w:rPr>
      </w:pPr>
      <w:r>
        <w:rPr>
          <w:rFonts w:hint="eastAsia" w:ascii="宋体"/>
          <w:szCs w:val="21"/>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pacing w:line="440" w:lineRule="exact"/>
        <w:ind w:firstLine="210" w:firstLineChars="100"/>
        <w:jc w:val="left"/>
        <w:rPr>
          <w:rFonts w:ascii="宋体"/>
          <w:szCs w:val="21"/>
        </w:rPr>
      </w:pPr>
      <w:r>
        <w:rPr>
          <w:rFonts w:hint="eastAsia" w:ascii="宋体"/>
          <w:szCs w:val="21"/>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pacing w:line="440" w:lineRule="exact"/>
        <w:ind w:firstLine="210" w:firstLineChars="100"/>
        <w:jc w:val="left"/>
        <w:outlineLvl w:val="1"/>
        <w:rPr>
          <w:rFonts w:ascii="宋体"/>
          <w:szCs w:val="21"/>
        </w:rPr>
      </w:pPr>
      <w:r>
        <w:rPr>
          <w:rFonts w:hint="eastAsia" w:ascii="宋体"/>
          <w:szCs w:val="21"/>
        </w:rPr>
        <w:t>9．错误修正的原则</w:t>
      </w:r>
    </w:p>
    <w:p>
      <w:pPr>
        <w:spacing w:line="440" w:lineRule="exact"/>
        <w:ind w:firstLine="210" w:firstLineChars="100"/>
        <w:jc w:val="left"/>
        <w:rPr>
          <w:rFonts w:ascii="宋体"/>
          <w:szCs w:val="21"/>
        </w:rPr>
      </w:pPr>
      <w:r>
        <w:rPr>
          <w:rFonts w:hint="eastAsia" w:ascii="宋体"/>
          <w:szCs w:val="21"/>
        </w:rPr>
        <w:t>电子交易平台客户端里开标一览表录入的投标报价或优惠率与扫描上传的报价文件信息不一致的，以扫描上传的报价文件信息为准进行修正。</w:t>
      </w:r>
    </w:p>
    <w:p>
      <w:pPr>
        <w:spacing w:line="440" w:lineRule="exact"/>
        <w:ind w:firstLine="210" w:firstLineChars="100"/>
        <w:jc w:val="left"/>
        <w:rPr>
          <w:rFonts w:ascii="宋体"/>
          <w:szCs w:val="21"/>
        </w:rPr>
      </w:pPr>
      <w:r>
        <w:rPr>
          <w:rFonts w:hint="eastAsia" w:ascii="宋体"/>
          <w:szCs w:val="21"/>
        </w:rPr>
        <w:t>投标文件报价出现前后不一致的，除采购文件另有规定外，按照下列规定修正：</w:t>
      </w:r>
    </w:p>
    <w:p>
      <w:pPr>
        <w:spacing w:line="440" w:lineRule="exact"/>
        <w:ind w:firstLine="210" w:firstLineChars="100"/>
        <w:jc w:val="left"/>
        <w:rPr>
          <w:rFonts w:ascii="宋体"/>
          <w:szCs w:val="21"/>
        </w:rPr>
      </w:pPr>
      <w:r>
        <w:rPr>
          <w:rFonts w:hint="eastAsia" w:ascii="宋体"/>
          <w:szCs w:val="21"/>
        </w:rPr>
        <w:t>9.1 投标函中表述的内容与报价表中不一致的，以报价表为准；报价表中的内容与报价明细表不一致的，以报价表为准；</w:t>
      </w:r>
    </w:p>
    <w:p>
      <w:pPr>
        <w:spacing w:line="440" w:lineRule="exact"/>
        <w:ind w:firstLine="210" w:firstLineChars="100"/>
        <w:jc w:val="left"/>
        <w:rPr>
          <w:rFonts w:ascii="宋体"/>
          <w:szCs w:val="21"/>
        </w:rPr>
      </w:pPr>
      <w:r>
        <w:rPr>
          <w:rFonts w:hint="eastAsia" w:ascii="宋体"/>
          <w:szCs w:val="21"/>
        </w:rPr>
        <w:t>9.2 投标文件中的大写金额和小写金额不一致的，以大写金额为准；</w:t>
      </w:r>
    </w:p>
    <w:p>
      <w:pPr>
        <w:spacing w:line="440" w:lineRule="exact"/>
        <w:ind w:firstLine="210" w:firstLineChars="100"/>
        <w:jc w:val="left"/>
        <w:rPr>
          <w:rFonts w:ascii="宋体"/>
          <w:szCs w:val="21"/>
        </w:rPr>
      </w:pPr>
      <w:r>
        <w:rPr>
          <w:rFonts w:hint="eastAsia" w:ascii="宋体"/>
          <w:szCs w:val="21"/>
        </w:rPr>
        <w:t>9.3 单价金额小数点或者百分比有明显错位的，以开标一览表的总价为准，并修改单价；</w:t>
      </w:r>
    </w:p>
    <w:p>
      <w:pPr>
        <w:spacing w:line="440" w:lineRule="exact"/>
        <w:ind w:firstLine="210" w:firstLineChars="100"/>
        <w:jc w:val="left"/>
        <w:rPr>
          <w:rFonts w:ascii="宋体"/>
          <w:szCs w:val="21"/>
        </w:rPr>
      </w:pPr>
      <w:r>
        <w:rPr>
          <w:rFonts w:hint="eastAsia" w:ascii="宋体"/>
          <w:szCs w:val="21"/>
        </w:rPr>
        <w:t>9.4 总价金额与按单价汇总金额不一致的，以单价金额计算结果为准；</w:t>
      </w:r>
    </w:p>
    <w:p>
      <w:pPr>
        <w:spacing w:line="440" w:lineRule="exact"/>
        <w:ind w:firstLine="210" w:firstLineChars="100"/>
        <w:jc w:val="left"/>
        <w:rPr>
          <w:rFonts w:ascii="宋体"/>
          <w:szCs w:val="21"/>
        </w:rPr>
      </w:pPr>
      <w:r>
        <w:rPr>
          <w:rFonts w:hint="eastAsia" w:ascii="宋体"/>
          <w:szCs w:val="21"/>
        </w:rPr>
        <w:t>9.5 若用文字表示的数值与用数字表示的数值不一致，以文字表示的数值为准；</w:t>
      </w:r>
    </w:p>
    <w:p>
      <w:pPr>
        <w:spacing w:line="440" w:lineRule="exact"/>
        <w:ind w:firstLine="210" w:firstLineChars="100"/>
        <w:jc w:val="left"/>
        <w:rPr>
          <w:rFonts w:ascii="宋体"/>
          <w:szCs w:val="21"/>
        </w:rPr>
      </w:pPr>
      <w:r>
        <w:rPr>
          <w:rFonts w:hint="eastAsia" w:ascii="宋体"/>
          <w:szCs w:val="21"/>
        </w:rPr>
        <w:t>9.6 如有多报（指数量超出采购文件需求）、重报（指同一货物重复报价），其投标总价在评标过程中不予调整，如其中标，其合同价按其投标单价予以调整；</w:t>
      </w:r>
    </w:p>
    <w:p>
      <w:pPr>
        <w:spacing w:line="440" w:lineRule="exact"/>
        <w:ind w:firstLine="210" w:firstLineChars="100"/>
        <w:jc w:val="left"/>
        <w:rPr>
          <w:rFonts w:ascii="宋体"/>
          <w:szCs w:val="21"/>
        </w:rPr>
      </w:pPr>
      <w:r>
        <w:rPr>
          <w:rFonts w:hint="eastAsia" w:ascii="宋体"/>
          <w:szCs w:val="21"/>
        </w:rPr>
        <w:t>9.7 对不同文字文本投标文件的解释发生异议的，以中文文本为准；</w:t>
      </w:r>
    </w:p>
    <w:p>
      <w:pPr>
        <w:spacing w:line="440" w:lineRule="exact"/>
        <w:ind w:firstLine="210" w:firstLineChars="100"/>
        <w:jc w:val="left"/>
        <w:rPr>
          <w:rFonts w:ascii="宋体"/>
          <w:szCs w:val="21"/>
        </w:rPr>
      </w:pPr>
      <w:r>
        <w:rPr>
          <w:rFonts w:hint="eastAsia" w:ascii="宋体"/>
          <w:szCs w:val="21"/>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pacing w:line="400" w:lineRule="exact"/>
        <w:jc w:val="center"/>
        <w:outlineLvl w:val="2"/>
        <w:rPr>
          <w:rFonts w:ascii="宋体"/>
          <w:sz w:val="24"/>
        </w:rPr>
      </w:pPr>
      <w:bookmarkStart w:id="46" w:name="_Toc469495735"/>
      <w:r>
        <w:rPr>
          <w:rFonts w:hint="eastAsia" w:ascii="宋体"/>
          <w:sz w:val="24"/>
        </w:rPr>
        <w:t>四 比较与评价</w:t>
      </w:r>
      <w:bookmarkEnd w:id="46"/>
    </w:p>
    <w:p>
      <w:pPr>
        <w:tabs>
          <w:tab w:val="left" w:pos="720"/>
        </w:tabs>
        <w:spacing w:line="440" w:lineRule="exact"/>
        <w:ind w:firstLine="535" w:firstLineChars="255"/>
        <w:rPr>
          <w:rFonts w:ascii="宋体" w:hAnsi="宋体" w:cs="宋体"/>
          <w:szCs w:val="21"/>
        </w:rPr>
      </w:pPr>
      <w:bookmarkStart w:id="47" w:name="_Toc469495736"/>
      <w:bookmarkStart w:id="48" w:name="_Toc362983805"/>
      <w:r>
        <w:rPr>
          <w:rFonts w:hint="eastAsia" w:ascii="宋体" w:hAnsi="宋体" w:cs="宋体"/>
          <w:szCs w:val="21"/>
        </w:rPr>
        <w:t>10.1评标委员会按招标文件中规定的评标方法和标准，对资格性检查和符合性检查合格的投标文件进行商务和技术评估、综合比较与评价。</w:t>
      </w:r>
    </w:p>
    <w:p>
      <w:pPr>
        <w:spacing w:line="440" w:lineRule="exact"/>
        <w:ind w:firstLine="539" w:firstLineChars="257"/>
        <w:rPr>
          <w:rFonts w:ascii="宋体" w:hAnsi="宋体" w:cs="宋体"/>
          <w:szCs w:val="21"/>
        </w:rPr>
      </w:pPr>
      <w:r>
        <w:rPr>
          <w:rFonts w:hint="eastAsia" w:ascii="宋体" w:hAnsi="宋体" w:cs="宋体"/>
          <w:szCs w:val="21"/>
        </w:rPr>
        <w:t>10.2评标委员会根据商务和技术评估的结果，采用综合评分法，分别对投标文件的商务、技术、价格等内容进行打分。其中，商务评估、技术评估、价格评估的评分权值（详见附件1）。</w:t>
      </w:r>
    </w:p>
    <w:p>
      <w:pPr>
        <w:spacing w:line="440" w:lineRule="exact"/>
        <w:ind w:firstLine="539" w:firstLineChars="257"/>
        <w:rPr>
          <w:rFonts w:ascii="宋体" w:hAnsi="宋体" w:cs="宋体"/>
          <w:szCs w:val="21"/>
        </w:rPr>
      </w:pPr>
      <w:r>
        <w:rPr>
          <w:rFonts w:hint="eastAsia" w:ascii="宋体" w:hAnsi="宋体" w:cs="宋体"/>
          <w:szCs w:val="21"/>
        </w:rPr>
        <w:t>10.2.1评委打分办法</w:t>
      </w:r>
    </w:p>
    <w:p>
      <w:pPr>
        <w:spacing w:line="440" w:lineRule="exact"/>
        <w:ind w:firstLine="539" w:firstLineChars="257"/>
        <w:rPr>
          <w:rFonts w:ascii="宋体" w:hAnsi="宋体" w:cs="宋体"/>
          <w:szCs w:val="21"/>
        </w:rPr>
      </w:pPr>
      <w:r>
        <w:rPr>
          <w:rFonts w:hint="eastAsia" w:ascii="宋体" w:hAnsi="宋体" w:cs="宋体"/>
          <w:szCs w:val="21"/>
        </w:rPr>
        <w:t>（1）参加评分的评委应尽力体现客观、实事求是，避免学派偏见和个人偏好。</w:t>
      </w:r>
    </w:p>
    <w:p>
      <w:pPr>
        <w:spacing w:line="440" w:lineRule="exact"/>
        <w:ind w:firstLine="539" w:firstLineChars="257"/>
        <w:rPr>
          <w:rFonts w:ascii="宋体" w:hAnsi="宋体" w:cs="宋体"/>
          <w:szCs w:val="21"/>
        </w:rPr>
      </w:pPr>
      <w:r>
        <w:rPr>
          <w:rFonts w:hint="eastAsia" w:ascii="宋体" w:hAnsi="宋体" w:cs="宋体"/>
          <w:szCs w:val="21"/>
        </w:rPr>
        <w:t>（2）衡量、对比的依据，应以招标文件、投标文件、提供的正式试验数据、质询澄清中的文字为准，口头回答和收集的资料只作为参考。</w:t>
      </w:r>
    </w:p>
    <w:p>
      <w:pPr>
        <w:spacing w:line="440" w:lineRule="exact"/>
        <w:ind w:firstLine="539" w:firstLineChars="257"/>
        <w:rPr>
          <w:rFonts w:ascii="宋体" w:hAnsi="宋体" w:cs="宋体"/>
          <w:szCs w:val="21"/>
        </w:rPr>
      </w:pPr>
      <w:r>
        <w:rPr>
          <w:rFonts w:hint="eastAsia" w:ascii="宋体" w:hAnsi="宋体" w:cs="宋体"/>
          <w:szCs w:val="21"/>
        </w:rPr>
        <w:t>（3）评分主要是为比较各投标人的价格、商务和技术综合排序。</w:t>
      </w:r>
    </w:p>
    <w:p>
      <w:pPr>
        <w:spacing w:line="440" w:lineRule="exact"/>
        <w:ind w:firstLine="539" w:firstLineChars="257"/>
        <w:rPr>
          <w:rFonts w:ascii="宋体" w:hAnsi="宋体" w:cs="宋体"/>
          <w:szCs w:val="21"/>
        </w:rPr>
      </w:pPr>
      <w:r>
        <w:rPr>
          <w:rFonts w:hint="eastAsia" w:ascii="宋体" w:hAnsi="宋体" w:cs="宋体"/>
          <w:szCs w:val="21"/>
        </w:rPr>
        <w:t>（4）评委打分采取记名形式。</w:t>
      </w:r>
    </w:p>
    <w:p>
      <w:pPr>
        <w:spacing w:line="440" w:lineRule="exact"/>
        <w:ind w:firstLine="539" w:firstLineChars="257"/>
        <w:rPr>
          <w:rFonts w:ascii="宋体" w:hAnsi="宋体" w:cs="宋体"/>
          <w:szCs w:val="21"/>
        </w:rPr>
      </w:pPr>
      <w:r>
        <w:rPr>
          <w:rFonts w:hint="eastAsia" w:ascii="宋体" w:hAnsi="宋体" w:cs="宋体"/>
          <w:szCs w:val="21"/>
        </w:rPr>
        <w:t>（5）各评委根据提供的技术打分表独立自主打分，任何人不得要求评委统一打分或统一确定等次顺序。</w:t>
      </w:r>
    </w:p>
    <w:p>
      <w:pPr>
        <w:spacing w:line="440" w:lineRule="exact"/>
        <w:ind w:firstLine="539" w:firstLineChars="257"/>
        <w:rPr>
          <w:rFonts w:ascii="宋体" w:hAnsi="宋体" w:cs="宋体"/>
          <w:szCs w:val="21"/>
        </w:rPr>
      </w:pPr>
      <w:r>
        <w:rPr>
          <w:rFonts w:hint="eastAsia" w:ascii="宋体" w:hAnsi="宋体" w:cs="宋体"/>
          <w:szCs w:val="21"/>
        </w:rPr>
        <w:t>（6）对打分表中的每项条款，各评委应根据投标文件、澄清材料、招标文件要求，按满足的程度给投标人打分。</w:t>
      </w:r>
    </w:p>
    <w:p>
      <w:pPr>
        <w:spacing w:line="440" w:lineRule="exact"/>
        <w:ind w:firstLine="539" w:firstLineChars="257"/>
        <w:outlineLvl w:val="2"/>
        <w:rPr>
          <w:rFonts w:ascii="宋体" w:hAnsi="宋体" w:cs="宋体"/>
          <w:szCs w:val="21"/>
        </w:rPr>
      </w:pPr>
      <w:r>
        <w:rPr>
          <w:rFonts w:hint="eastAsia" w:ascii="宋体" w:hAnsi="宋体" w:cs="宋体"/>
          <w:szCs w:val="21"/>
        </w:rPr>
        <w:t>（7）评分程序</w:t>
      </w:r>
    </w:p>
    <w:p>
      <w:pPr>
        <w:spacing w:line="440" w:lineRule="exact"/>
        <w:ind w:firstLine="539" w:firstLineChars="257"/>
        <w:rPr>
          <w:rFonts w:ascii="宋体" w:hAnsi="宋体" w:cs="宋体"/>
          <w:szCs w:val="21"/>
        </w:rPr>
      </w:pPr>
      <w:r>
        <w:rPr>
          <w:rFonts w:hint="eastAsia" w:ascii="宋体" w:hAnsi="宋体" w:cs="宋体"/>
          <w:szCs w:val="21"/>
        </w:rPr>
        <w:t>1)就投标人的投标文件对照整理出商务、技术评标因素对比表、偏差表，并在经过校核的基础上逐项打分。</w:t>
      </w:r>
    </w:p>
    <w:p>
      <w:pPr>
        <w:spacing w:line="440" w:lineRule="exact"/>
        <w:ind w:firstLine="539" w:firstLineChars="257"/>
        <w:rPr>
          <w:rFonts w:ascii="宋体" w:hAnsi="宋体" w:cs="宋体"/>
          <w:szCs w:val="21"/>
        </w:rPr>
      </w:pPr>
      <w:r>
        <w:rPr>
          <w:rFonts w:hint="eastAsia" w:ascii="宋体" w:hAnsi="宋体" w:cs="宋体"/>
          <w:szCs w:val="21"/>
        </w:rPr>
        <w:t>2)各评委独立完成打分后，将评分表交给代理机构，由代理机构组织进行分数统计。</w:t>
      </w:r>
    </w:p>
    <w:p>
      <w:pPr>
        <w:spacing w:line="440" w:lineRule="exact"/>
        <w:ind w:firstLine="539" w:firstLineChars="257"/>
        <w:rPr>
          <w:rFonts w:ascii="宋体" w:hAnsi="宋体" w:cs="宋体"/>
          <w:szCs w:val="21"/>
        </w:rPr>
      </w:pPr>
      <w:r>
        <w:rPr>
          <w:rFonts w:hint="eastAsia" w:ascii="宋体" w:hAnsi="宋体" w:cs="宋体"/>
          <w:szCs w:val="21"/>
        </w:rPr>
        <w:t>3)最终汇总表中各投标人得分应为评委打分的算术平均值。</w:t>
      </w:r>
    </w:p>
    <w:p>
      <w:pPr>
        <w:spacing w:line="500" w:lineRule="exact"/>
        <w:ind w:firstLine="420" w:firstLineChars="200"/>
        <w:jc w:val="left"/>
        <w:rPr>
          <w:rFonts w:ascii="宋体" w:hAnsi="宋体" w:cs="宋体"/>
          <w:szCs w:val="21"/>
        </w:rPr>
      </w:pPr>
    </w:p>
    <w:p>
      <w:pPr>
        <w:spacing w:line="500" w:lineRule="exact"/>
        <w:ind w:firstLine="420" w:firstLineChars="200"/>
        <w:jc w:val="left"/>
        <w:rPr>
          <w:rFonts w:ascii="宋体" w:hAnsi="宋体" w:cs="宋体"/>
          <w:szCs w:val="21"/>
        </w:rPr>
      </w:pPr>
    </w:p>
    <w:p>
      <w:pPr>
        <w:spacing w:line="500" w:lineRule="exact"/>
        <w:ind w:firstLine="420" w:firstLineChars="200"/>
        <w:jc w:val="left"/>
        <w:rPr>
          <w:rFonts w:ascii="宋体" w:hAnsi="宋体" w:cs="宋体"/>
          <w:szCs w:val="21"/>
        </w:rPr>
      </w:pPr>
    </w:p>
    <w:p>
      <w:pPr>
        <w:spacing w:line="500" w:lineRule="exact"/>
        <w:ind w:firstLine="420" w:firstLineChars="200"/>
        <w:jc w:val="left"/>
        <w:rPr>
          <w:rFonts w:ascii="宋体" w:hAnsi="宋体" w:cs="宋体"/>
          <w:szCs w:val="21"/>
        </w:rPr>
      </w:pPr>
    </w:p>
    <w:p>
      <w:pPr>
        <w:spacing w:line="500" w:lineRule="exact"/>
        <w:ind w:firstLine="420" w:firstLineChars="200"/>
        <w:jc w:val="left"/>
        <w:rPr>
          <w:rFonts w:ascii="宋体" w:hAnsi="宋体" w:cs="宋体"/>
          <w:szCs w:val="21"/>
        </w:rPr>
      </w:pPr>
    </w:p>
    <w:p>
      <w:pPr>
        <w:spacing w:line="500" w:lineRule="exact"/>
        <w:ind w:firstLine="420" w:firstLineChars="200"/>
        <w:jc w:val="left"/>
        <w:rPr>
          <w:rFonts w:ascii="宋体" w:hAnsi="宋体" w:cs="宋体"/>
          <w:szCs w:val="21"/>
        </w:rPr>
      </w:pPr>
    </w:p>
    <w:p>
      <w:pPr>
        <w:pStyle w:val="10"/>
        <w:rPr>
          <w:rFonts w:ascii="宋体" w:hAnsi="宋体" w:cs="宋体"/>
          <w:szCs w:val="21"/>
        </w:rPr>
      </w:pPr>
    </w:p>
    <w:p>
      <w:pPr>
        <w:rPr>
          <w:rFonts w:ascii="宋体" w:hAnsi="宋体" w:cs="宋体"/>
          <w:szCs w:val="21"/>
        </w:rPr>
      </w:pPr>
    </w:p>
    <w:p>
      <w:pPr>
        <w:pStyle w:val="10"/>
      </w:pPr>
    </w:p>
    <w:p>
      <w:pPr>
        <w:spacing w:line="500" w:lineRule="exact"/>
        <w:ind w:firstLine="420" w:firstLineChars="200"/>
        <w:jc w:val="left"/>
        <w:rPr>
          <w:rFonts w:ascii="宋体" w:hAnsi="宋体" w:cs="宋体"/>
          <w:szCs w:val="21"/>
        </w:rPr>
      </w:pPr>
    </w:p>
    <w:p>
      <w:pPr>
        <w:pStyle w:val="45"/>
        <w:rPr>
          <w:rFonts w:ascii="宋体" w:hAnsi="宋体" w:cs="宋体"/>
          <w:szCs w:val="21"/>
        </w:rPr>
      </w:pPr>
    </w:p>
    <w:p>
      <w:pPr>
        <w:pStyle w:val="45"/>
        <w:rPr>
          <w:rFonts w:ascii="宋体" w:hAnsi="宋体" w:cs="宋体"/>
          <w:szCs w:val="21"/>
        </w:rPr>
      </w:pPr>
    </w:p>
    <w:p>
      <w:pPr>
        <w:pStyle w:val="45"/>
        <w:rPr>
          <w:rFonts w:ascii="宋体" w:hAnsi="宋体" w:cs="宋体"/>
          <w:szCs w:val="21"/>
        </w:rPr>
      </w:pPr>
    </w:p>
    <w:p>
      <w:pPr>
        <w:pStyle w:val="45"/>
        <w:rPr>
          <w:rFonts w:ascii="宋体" w:hAnsi="宋体" w:cs="宋体"/>
          <w:szCs w:val="21"/>
        </w:rPr>
      </w:pPr>
    </w:p>
    <w:p>
      <w:pPr>
        <w:pStyle w:val="43"/>
        <w:ind w:firstLine="480"/>
        <w:rPr>
          <w:szCs w:val="21"/>
        </w:rPr>
      </w:pPr>
    </w:p>
    <w:p>
      <w:pPr>
        <w:numPr>
          <w:ilvl w:val="0"/>
          <w:numId w:val="9"/>
        </w:numPr>
        <w:spacing w:line="560" w:lineRule="exact"/>
        <w:ind w:left="0" w:firstLine="420" w:firstLineChars="200"/>
        <w:jc w:val="left"/>
        <w:outlineLvl w:val="2"/>
        <w:rPr>
          <w:rFonts w:ascii="宋体" w:hAnsi="宋体" w:cs="宋体"/>
          <w:szCs w:val="21"/>
        </w:rPr>
      </w:pPr>
      <w:r>
        <w:rPr>
          <w:rFonts w:hint="eastAsia" w:ascii="宋体" w:hAnsi="宋体" w:cs="宋体"/>
          <w:szCs w:val="21"/>
        </w:rPr>
        <w:t>评分标准和细则（综合评分法评分标准）</w:t>
      </w:r>
    </w:p>
    <w:p>
      <w:pPr>
        <w:pStyle w:val="43"/>
        <w:ind w:firstLine="480"/>
        <w:rPr>
          <w:szCs w:val="21"/>
        </w:rPr>
      </w:pPr>
    </w:p>
    <w:tbl>
      <w:tblPr>
        <w:tblStyle w:val="27"/>
        <w:tblW w:w="9689" w:type="dxa"/>
        <w:tblInd w:w="0" w:type="dxa"/>
        <w:tblLayout w:type="fixed"/>
        <w:tblCellMar>
          <w:top w:w="0" w:type="dxa"/>
          <w:left w:w="108" w:type="dxa"/>
          <w:bottom w:w="0" w:type="dxa"/>
          <w:right w:w="108" w:type="dxa"/>
        </w:tblCellMar>
      </w:tblPr>
      <w:tblGrid>
        <w:gridCol w:w="695"/>
        <w:gridCol w:w="958"/>
        <w:gridCol w:w="6523"/>
        <w:gridCol w:w="1513"/>
      </w:tblGrid>
      <w:tr>
        <w:tblPrEx>
          <w:tblCellMar>
            <w:top w:w="0" w:type="dxa"/>
            <w:left w:w="108" w:type="dxa"/>
            <w:bottom w:w="0" w:type="dxa"/>
            <w:right w:w="108" w:type="dxa"/>
          </w:tblCellMar>
        </w:tblPrEx>
        <w:trPr>
          <w:trHeight w:val="279" w:hRule="atLeast"/>
        </w:trPr>
        <w:tc>
          <w:tcPr>
            <w:tcW w:w="1653"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考核项目</w:t>
            </w:r>
          </w:p>
        </w:tc>
        <w:tc>
          <w:tcPr>
            <w:tcW w:w="652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评分标准</w:t>
            </w:r>
          </w:p>
        </w:tc>
        <w:tc>
          <w:tcPr>
            <w:tcW w:w="151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color w:val="0000FF"/>
                <w:highlight w:val="yellow"/>
              </w:rPr>
            </w:pPr>
            <w:r>
              <w:rPr>
                <w:rFonts w:hint="eastAsia"/>
                <w:color w:val="000000" w:themeColor="text1"/>
                <w:highlight w:val="none"/>
                <w14:textFill>
                  <w14:solidFill>
                    <w14:schemeClr w14:val="tx1"/>
                  </w14:solidFill>
                </w14:textFill>
              </w:rPr>
              <w:t>投标人</w:t>
            </w:r>
          </w:p>
        </w:tc>
      </w:tr>
      <w:tr>
        <w:tblPrEx>
          <w:tblCellMar>
            <w:top w:w="0" w:type="dxa"/>
            <w:left w:w="108" w:type="dxa"/>
            <w:bottom w:w="0" w:type="dxa"/>
            <w:right w:w="108" w:type="dxa"/>
          </w:tblCellMar>
        </w:tblPrEx>
        <w:trPr>
          <w:trHeight w:val="1667" w:hRule="atLeast"/>
        </w:trPr>
        <w:tc>
          <w:tcPr>
            <w:tcW w:w="695" w:type="dxa"/>
            <w:tcBorders>
              <w:top w:val="single" w:color="000000" w:sz="4" w:space="0"/>
              <w:left w:val="single" w:color="000000" w:sz="4" w:space="0"/>
              <w:bottom w:val="single" w:color="000000" w:sz="4" w:space="0"/>
              <w:right w:val="single" w:color="000000" w:sz="4" w:space="0"/>
            </w:tcBorders>
            <w:vAlign w:val="center"/>
          </w:tcPr>
          <w:p>
            <w:pPr>
              <w:spacing w:line="4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价格部分（30分）</w:t>
            </w:r>
          </w:p>
        </w:tc>
        <w:tc>
          <w:tcPr>
            <w:tcW w:w="7481"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价格分应当采用低价优先法计算，满足招标文件要求且报价最低的为评审基准价，价格得分=（评审基准价/投标报价）×价格权值*100</w:t>
            </w:r>
          </w:p>
        </w:tc>
        <w:tc>
          <w:tcPr>
            <w:tcW w:w="1513" w:type="dxa"/>
            <w:tcBorders>
              <w:top w:val="single" w:color="000000" w:sz="4" w:space="0"/>
              <w:left w:val="single" w:color="000000" w:sz="4" w:space="0"/>
              <w:bottom w:val="single" w:color="000000" w:sz="4" w:space="0"/>
              <w:right w:val="single" w:color="000000" w:sz="4" w:space="0"/>
            </w:tcBorders>
            <w:vAlign w:val="center"/>
          </w:tcPr>
          <w:p>
            <w:pPr>
              <w:spacing w:line="440" w:lineRule="exact"/>
              <w:rPr>
                <w:color w:val="0000FF"/>
                <w:highlight w:val="yellow"/>
              </w:rPr>
            </w:pPr>
          </w:p>
        </w:tc>
      </w:tr>
      <w:tr>
        <w:tblPrEx>
          <w:tblCellMar>
            <w:top w:w="0" w:type="dxa"/>
            <w:left w:w="108" w:type="dxa"/>
            <w:bottom w:w="0" w:type="dxa"/>
            <w:right w:w="108" w:type="dxa"/>
          </w:tblCellMar>
        </w:tblPrEx>
        <w:trPr>
          <w:trHeight w:val="1290" w:hRule="atLeast"/>
        </w:trPr>
        <w:tc>
          <w:tcPr>
            <w:tcW w:w="695"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技术部分（56分）</w:t>
            </w:r>
          </w:p>
        </w:tc>
        <w:tc>
          <w:tcPr>
            <w:tcW w:w="958" w:type="dxa"/>
            <w:tcBorders>
              <w:top w:val="single" w:color="000000" w:sz="4" w:space="0"/>
              <w:left w:val="single" w:color="000000" w:sz="4" w:space="0"/>
              <w:bottom w:val="single" w:color="000000" w:sz="4" w:space="0"/>
              <w:right w:val="single" w:color="000000" w:sz="4" w:space="0"/>
            </w:tcBorders>
            <w:vAlign w:val="center"/>
          </w:tcPr>
          <w:p>
            <w:pPr>
              <w:spacing w:line="4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配置性能指标（</w:t>
            </w:r>
            <w:r>
              <w:rPr>
                <w:color w:val="000000" w:themeColor="text1"/>
                <w:highlight w:val="none"/>
                <w14:textFill>
                  <w14:solidFill>
                    <w14:schemeClr w14:val="tx1"/>
                  </w14:solidFill>
                </w14:textFill>
              </w:rPr>
              <w:t>12</w:t>
            </w:r>
            <w:r>
              <w:rPr>
                <w:rFonts w:hint="eastAsia"/>
                <w:color w:val="000000" w:themeColor="text1"/>
                <w:highlight w:val="none"/>
                <w14:textFill>
                  <w14:solidFill>
                    <w14:schemeClr w14:val="tx1"/>
                  </w14:solidFill>
                </w14:textFill>
              </w:rPr>
              <w:t>）分</w:t>
            </w:r>
          </w:p>
        </w:tc>
        <w:tc>
          <w:tcPr>
            <w:tcW w:w="6523"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技术指标、参数完全符合招标文件技术指标、参数得</w:t>
            </w:r>
            <w:r>
              <w:rPr>
                <w:rFonts w:hint="eastAsia"/>
                <w:color w:val="000000" w:themeColor="text1"/>
                <w:highlight w:val="none"/>
                <w:lang w:val="en-US" w:eastAsia="zh-CN"/>
                <w14:textFill>
                  <w14:solidFill>
                    <w14:schemeClr w14:val="tx1"/>
                  </w14:solidFill>
                </w14:textFill>
              </w:rPr>
              <w:t>12</w:t>
            </w:r>
            <w:r>
              <w:rPr>
                <w:rFonts w:hint="eastAsia"/>
                <w:color w:val="000000" w:themeColor="text1"/>
                <w:highlight w:val="none"/>
                <w14:textFill>
                  <w14:solidFill>
                    <w14:schemeClr w14:val="tx1"/>
                  </w14:solidFill>
                </w14:textFill>
              </w:rPr>
              <w:t>分</w:t>
            </w:r>
            <w:r>
              <w:rPr>
                <w:rFonts w:hint="eastAsia"/>
                <w:color w:val="000000" w:themeColor="text1"/>
                <w:highlight w:val="none"/>
                <w:lang w:eastAsia="zh-CN"/>
                <w14:textFill>
                  <w14:solidFill>
                    <w14:schemeClr w14:val="tx1"/>
                  </w14:solidFill>
                </w14:textFill>
              </w:rPr>
              <w:t>。</w:t>
            </w:r>
            <w:bookmarkStart w:id="129" w:name="_GoBack"/>
            <w:bookmarkEnd w:id="129"/>
          </w:p>
        </w:tc>
        <w:tc>
          <w:tcPr>
            <w:tcW w:w="1513" w:type="dxa"/>
            <w:tcBorders>
              <w:top w:val="single" w:color="000000" w:sz="4" w:space="0"/>
              <w:left w:val="single" w:color="000000" w:sz="4" w:space="0"/>
              <w:bottom w:val="single" w:color="000000" w:sz="4" w:space="0"/>
              <w:right w:val="single" w:color="000000" w:sz="4" w:space="0"/>
            </w:tcBorders>
          </w:tcPr>
          <w:p>
            <w:pPr>
              <w:spacing w:line="440" w:lineRule="exact"/>
              <w:rPr>
                <w:color w:val="0000FF"/>
                <w:highlight w:val="yellow"/>
              </w:rPr>
            </w:pPr>
          </w:p>
        </w:tc>
      </w:tr>
      <w:tr>
        <w:tblPrEx>
          <w:tblCellMar>
            <w:top w:w="0" w:type="dxa"/>
            <w:left w:w="108" w:type="dxa"/>
            <w:bottom w:w="0" w:type="dxa"/>
            <w:right w:w="108" w:type="dxa"/>
          </w:tblCellMar>
        </w:tblPrEx>
        <w:trPr>
          <w:trHeight w:val="1075" w:hRule="atLeast"/>
        </w:trPr>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color w:val="000000" w:themeColor="text1"/>
                <w:highlight w:val="none"/>
                <w14:textFill>
                  <w14:solidFill>
                    <w14:schemeClr w14:val="tx1"/>
                  </w14:solidFill>
                </w14:textFill>
              </w:rPr>
            </w:pPr>
          </w:p>
        </w:tc>
        <w:tc>
          <w:tcPr>
            <w:tcW w:w="958" w:type="dxa"/>
            <w:tcBorders>
              <w:top w:val="single" w:color="000000" w:sz="4" w:space="0"/>
              <w:left w:val="single" w:color="000000" w:sz="4" w:space="0"/>
              <w:bottom w:val="single" w:color="000000" w:sz="4" w:space="0"/>
              <w:right w:val="single" w:color="000000" w:sz="4" w:space="0"/>
            </w:tcBorders>
            <w:vAlign w:val="center"/>
          </w:tcPr>
          <w:p>
            <w:pPr>
              <w:spacing w:line="4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项目服务实施方案（10分)</w:t>
            </w:r>
          </w:p>
          <w:p>
            <w:pPr>
              <w:spacing w:line="440" w:lineRule="exact"/>
              <w:rPr>
                <w:color w:val="000000" w:themeColor="text1"/>
                <w:highlight w:val="none"/>
                <w14:textFill>
                  <w14:solidFill>
                    <w14:schemeClr w14:val="tx1"/>
                  </w14:solidFill>
                </w14:textFill>
              </w:rPr>
            </w:pPr>
          </w:p>
        </w:tc>
        <w:tc>
          <w:tcPr>
            <w:tcW w:w="6523" w:type="dxa"/>
            <w:tcBorders>
              <w:top w:val="single" w:color="000000" w:sz="4" w:space="0"/>
              <w:left w:val="single" w:color="000000" w:sz="4" w:space="0"/>
              <w:bottom w:val="single" w:color="000000" w:sz="4" w:space="0"/>
              <w:right w:val="single" w:color="000000" w:sz="4" w:space="0"/>
            </w:tcBorders>
            <w:vAlign w:val="center"/>
          </w:tcPr>
          <w:p>
            <w:pPr>
              <w:spacing w:line="4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项目服务实施方案（10分）：根据投标人对本项目实际情况，阐述内容须包括但不限于以下内容：1.制定详细的项目实施计划、项目实施管理、项目进度表等内容 ；</w:t>
            </w:r>
          </w:p>
          <w:p>
            <w:pPr>
              <w:spacing w:line="4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提供详细的维保服务方案。3.提供详细项目质量控制、安全风险的管理、保证项目人员的稳定及信息资源的安全。评标委员会根据各投标人方案内容纵向横向对比，方案满足项目需要，方案符合服务要求，服务方案设计清晰、明确、可行得10分，一般得6分，较差得3分；没有不得分。</w:t>
            </w:r>
          </w:p>
        </w:tc>
        <w:tc>
          <w:tcPr>
            <w:tcW w:w="1513" w:type="dxa"/>
            <w:tcBorders>
              <w:top w:val="single" w:color="000000" w:sz="4" w:space="0"/>
              <w:left w:val="single" w:color="000000" w:sz="4" w:space="0"/>
              <w:bottom w:val="single" w:color="000000" w:sz="4" w:space="0"/>
              <w:right w:val="single" w:color="000000" w:sz="4" w:space="0"/>
            </w:tcBorders>
          </w:tcPr>
          <w:p>
            <w:pPr>
              <w:spacing w:line="440" w:lineRule="exact"/>
              <w:rPr>
                <w:color w:val="0000FF"/>
                <w:highlight w:val="yellow"/>
              </w:rPr>
            </w:pPr>
          </w:p>
        </w:tc>
      </w:tr>
      <w:tr>
        <w:tblPrEx>
          <w:tblCellMar>
            <w:top w:w="0" w:type="dxa"/>
            <w:left w:w="108" w:type="dxa"/>
            <w:bottom w:w="0" w:type="dxa"/>
            <w:right w:w="108" w:type="dxa"/>
          </w:tblCellMar>
        </w:tblPrEx>
        <w:trPr>
          <w:trHeight w:val="1719" w:hRule="atLeast"/>
        </w:trPr>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color w:val="000000" w:themeColor="text1"/>
                <w:highlight w:val="none"/>
                <w14:textFill>
                  <w14:solidFill>
                    <w14:schemeClr w14:val="tx1"/>
                  </w14:solidFill>
                </w14:textFill>
              </w:rPr>
            </w:pPr>
          </w:p>
        </w:tc>
        <w:tc>
          <w:tcPr>
            <w:tcW w:w="958" w:type="dxa"/>
            <w:tcBorders>
              <w:top w:val="single" w:color="000000" w:sz="4" w:space="0"/>
              <w:left w:val="single" w:color="000000" w:sz="4" w:space="0"/>
              <w:bottom w:val="single" w:color="000000" w:sz="4" w:space="0"/>
              <w:right w:val="single" w:color="000000" w:sz="4" w:space="0"/>
            </w:tcBorders>
            <w:vAlign w:val="center"/>
          </w:tcPr>
          <w:p>
            <w:pPr>
              <w:spacing w:line="4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售后服务方案（</w:t>
            </w: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分)</w:t>
            </w:r>
          </w:p>
        </w:tc>
        <w:tc>
          <w:tcPr>
            <w:tcW w:w="6523" w:type="dxa"/>
            <w:tcBorders>
              <w:top w:val="single" w:color="000000" w:sz="4" w:space="0"/>
              <w:left w:val="single" w:color="000000" w:sz="4" w:space="0"/>
              <w:bottom w:val="single" w:color="000000" w:sz="4" w:space="0"/>
              <w:right w:val="single" w:color="000000" w:sz="4" w:space="0"/>
            </w:tcBorders>
            <w:vAlign w:val="center"/>
          </w:tcPr>
          <w:p>
            <w:pPr>
              <w:spacing w:line="4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售后服务方案(</w:t>
            </w: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分）：针对本项目制定的合理完善的售后服务方案根据综合评比：售后服务方案完善且优于招标文件要求的得</w:t>
            </w: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分，一般得</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分，较差得</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分，没有不得分。</w:t>
            </w:r>
          </w:p>
        </w:tc>
        <w:tc>
          <w:tcPr>
            <w:tcW w:w="1513" w:type="dxa"/>
            <w:tcBorders>
              <w:top w:val="single" w:color="000000" w:sz="4" w:space="0"/>
              <w:left w:val="single" w:color="000000" w:sz="4" w:space="0"/>
              <w:bottom w:val="single" w:color="000000" w:sz="4" w:space="0"/>
              <w:right w:val="single" w:color="000000" w:sz="4" w:space="0"/>
            </w:tcBorders>
          </w:tcPr>
          <w:p>
            <w:pPr>
              <w:spacing w:line="440" w:lineRule="exact"/>
              <w:rPr>
                <w:color w:val="0000FF"/>
                <w:highlight w:val="yellow"/>
              </w:rPr>
            </w:pPr>
          </w:p>
        </w:tc>
      </w:tr>
      <w:tr>
        <w:tblPrEx>
          <w:tblCellMar>
            <w:top w:w="0" w:type="dxa"/>
            <w:left w:w="108" w:type="dxa"/>
            <w:bottom w:w="0" w:type="dxa"/>
            <w:right w:w="108" w:type="dxa"/>
          </w:tblCellMar>
        </w:tblPrEx>
        <w:trPr>
          <w:trHeight w:val="1719" w:hRule="atLeast"/>
        </w:trPr>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color w:val="0000FF"/>
                <w:highlight w:val="yellow"/>
              </w:rPr>
            </w:pPr>
          </w:p>
        </w:tc>
        <w:tc>
          <w:tcPr>
            <w:tcW w:w="958" w:type="dxa"/>
            <w:tcBorders>
              <w:top w:val="single" w:color="000000" w:sz="4" w:space="0"/>
              <w:left w:val="single" w:color="000000" w:sz="4" w:space="0"/>
              <w:bottom w:val="single" w:color="000000" w:sz="4" w:space="0"/>
              <w:right w:val="single" w:color="000000" w:sz="4" w:space="0"/>
            </w:tcBorders>
            <w:vAlign w:val="center"/>
          </w:tcPr>
          <w:p>
            <w:pPr>
              <w:spacing w:line="440" w:lineRule="exact"/>
              <w:rPr>
                <w:color w:val="0000FF"/>
                <w:highlight w:val="none"/>
              </w:rPr>
            </w:pPr>
            <w:r>
              <w:rPr>
                <w:rFonts w:hint="eastAsia"/>
                <w:color w:val="000000" w:themeColor="text1"/>
                <w:highlight w:val="none"/>
                <w14:textFill>
                  <w14:solidFill>
                    <w14:schemeClr w14:val="tx1"/>
                  </w14:solidFill>
                </w14:textFill>
              </w:rPr>
              <w:t>应急预案（</w:t>
            </w: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分)</w:t>
            </w:r>
          </w:p>
        </w:tc>
        <w:tc>
          <w:tcPr>
            <w:tcW w:w="6523" w:type="dxa"/>
            <w:tcBorders>
              <w:top w:val="single" w:color="000000" w:sz="4" w:space="0"/>
              <w:left w:val="single" w:color="000000" w:sz="4" w:space="0"/>
              <w:bottom w:val="single" w:color="000000" w:sz="4" w:space="0"/>
              <w:right w:val="single" w:color="000000" w:sz="4" w:space="0"/>
            </w:tcBorders>
            <w:vAlign w:val="center"/>
          </w:tcPr>
          <w:p>
            <w:pPr>
              <w:spacing w:line="440" w:lineRule="exact"/>
              <w:rPr>
                <w:color w:val="0000FF"/>
                <w:highlight w:val="yellow"/>
              </w:rPr>
            </w:pPr>
            <w:r>
              <w:rPr>
                <w:rFonts w:hint="eastAsia"/>
                <w:color w:val="000000" w:themeColor="text1"/>
                <w:highlight w:val="none"/>
                <w14:textFill>
                  <w14:solidFill>
                    <w14:schemeClr w14:val="tx1"/>
                  </w14:solidFill>
                </w14:textFill>
              </w:rPr>
              <w:t>应急方案（</w:t>
            </w: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分）：提出完整有效、且可行应急方案（包括产品的供货计划、故障处理及响应时间、验收、服务方式、质保期外服务方式、优惠承诺等），根据方案优劣进行评分。全面得</w:t>
            </w: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分，一般得</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分，较差得</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分，不提供不得分。</w:t>
            </w:r>
          </w:p>
        </w:tc>
        <w:tc>
          <w:tcPr>
            <w:tcW w:w="1513" w:type="dxa"/>
            <w:tcBorders>
              <w:top w:val="single" w:color="000000" w:sz="4" w:space="0"/>
              <w:left w:val="single" w:color="000000" w:sz="4" w:space="0"/>
              <w:bottom w:val="single" w:color="000000" w:sz="4" w:space="0"/>
              <w:right w:val="single" w:color="000000" w:sz="4" w:space="0"/>
            </w:tcBorders>
          </w:tcPr>
          <w:p>
            <w:pPr>
              <w:spacing w:line="440" w:lineRule="exact"/>
              <w:rPr>
                <w:color w:val="0000FF"/>
                <w:highlight w:val="yellow"/>
              </w:rPr>
            </w:pPr>
          </w:p>
        </w:tc>
      </w:tr>
      <w:tr>
        <w:tblPrEx>
          <w:tblCellMar>
            <w:top w:w="0" w:type="dxa"/>
            <w:left w:w="108" w:type="dxa"/>
            <w:bottom w:w="0" w:type="dxa"/>
            <w:right w:w="108" w:type="dxa"/>
          </w:tblCellMar>
        </w:tblPrEx>
        <w:trPr>
          <w:trHeight w:val="1719" w:hRule="atLeast"/>
        </w:trPr>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color w:val="0000FF"/>
                <w:highlight w:val="yellow"/>
              </w:rPr>
            </w:pPr>
          </w:p>
        </w:tc>
        <w:tc>
          <w:tcPr>
            <w:tcW w:w="958" w:type="dxa"/>
            <w:tcBorders>
              <w:top w:val="single" w:color="000000" w:sz="4" w:space="0"/>
              <w:left w:val="single" w:color="000000" w:sz="4" w:space="0"/>
              <w:bottom w:val="single" w:color="000000" w:sz="4" w:space="0"/>
              <w:right w:val="single" w:color="000000" w:sz="4" w:space="0"/>
            </w:tcBorders>
            <w:vAlign w:val="center"/>
          </w:tcPr>
          <w:p>
            <w:pPr>
              <w:spacing w:line="440" w:lineRule="exact"/>
              <w:rPr>
                <w:color w:val="0000FF"/>
                <w:highlight w:val="yellow"/>
              </w:rPr>
            </w:pPr>
            <w:r>
              <w:rPr>
                <w:rFonts w:ascii="宋体" w:hAnsi="宋体" w:cs="宋体"/>
                <w:b w:val="0"/>
                <w:bCs/>
                <w:kern w:val="0"/>
                <w:szCs w:val="21"/>
                <w:highlight w:val="none"/>
              </w:rPr>
              <w:t>质量保证</w:t>
            </w:r>
            <w:r>
              <w:rPr>
                <w:rFonts w:hint="eastAsia" w:ascii="宋体" w:hAnsi="宋体" w:cs="宋体"/>
                <w:b w:val="0"/>
                <w:bCs/>
                <w:kern w:val="0"/>
                <w:szCs w:val="21"/>
                <w:highlight w:val="none"/>
              </w:rPr>
              <w:t>（1</w:t>
            </w:r>
            <w:r>
              <w:rPr>
                <w:rFonts w:ascii="宋体" w:hAnsi="宋体" w:cs="宋体"/>
                <w:b w:val="0"/>
                <w:bCs/>
                <w:kern w:val="0"/>
                <w:szCs w:val="21"/>
                <w:highlight w:val="none"/>
              </w:rPr>
              <w:t>3</w:t>
            </w:r>
            <w:r>
              <w:rPr>
                <w:rFonts w:hint="eastAsia" w:ascii="宋体" w:hAnsi="宋体" w:cs="宋体"/>
                <w:b w:val="0"/>
                <w:bCs/>
                <w:kern w:val="0"/>
                <w:szCs w:val="21"/>
                <w:highlight w:val="none"/>
              </w:rPr>
              <w:t>分）</w:t>
            </w:r>
          </w:p>
        </w:tc>
        <w:tc>
          <w:tcPr>
            <w:tcW w:w="6523"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kern w:val="0"/>
                <w:szCs w:val="21"/>
                <w:highlight w:val="yellow"/>
              </w:rPr>
            </w:pPr>
            <w:r>
              <w:rPr>
                <w:rFonts w:hint="eastAsia" w:ascii="宋体" w:hAnsi="宋体" w:cs="宋体"/>
                <w:kern w:val="0"/>
                <w:szCs w:val="21"/>
              </w:rPr>
              <w:t>根据本项目采购内容及要求，提供所投产品的功能描述证明材料，包括但不限于软件著作权证书（其中包含医院信息管理系统、电子病历平台、医学影像传输系统、电子病历编辑器、临床数据中心、 单点登录系统、ETL、医疗信息集成平台等）系统功能模块页面截图等，完全响应得 13分，一般响应得 9 分，基本响应得</w:t>
            </w:r>
            <w:r>
              <w:rPr>
                <w:rFonts w:hint="eastAsia" w:ascii="宋体" w:hAnsi="宋体" w:cs="宋体"/>
                <w:kern w:val="0"/>
                <w:szCs w:val="21"/>
                <w:lang w:val="en-US" w:eastAsia="zh-CN"/>
              </w:rPr>
              <w:t>6</w:t>
            </w:r>
            <w:r>
              <w:rPr>
                <w:rFonts w:hint="eastAsia" w:ascii="宋体" w:hAnsi="宋体" w:cs="宋体"/>
                <w:kern w:val="0"/>
                <w:szCs w:val="21"/>
              </w:rPr>
              <w:t>分。（以上证明材料：①证书要求复印件，原件备查；②截图提供清晰可辨识图片；③材料必须真实准确，不得弄虚作假）。</w:t>
            </w:r>
          </w:p>
        </w:tc>
        <w:tc>
          <w:tcPr>
            <w:tcW w:w="1513" w:type="dxa"/>
            <w:tcBorders>
              <w:top w:val="single" w:color="000000" w:sz="4" w:space="0"/>
              <w:left w:val="single" w:color="000000" w:sz="4" w:space="0"/>
              <w:bottom w:val="single" w:color="000000" w:sz="4" w:space="0"/>
              <w:right w:val="single" w:color="000000" w:sz="4" w:space="0"/>
            </w:tcBorders>
          </w:tcPr>
          <w:p>
            <w:pPr>
              <w:spacing w:line="440" w:lineRule="exact"/>
              <w:rPr>
                <w:color w:val="0000FF"/>
                <w:highlight w:val="yellow"/>
              </w:rPr>
            </w:pPr>
          </w:p>
        </w:tc>
      </w:tr>
      <w:tr>
        <w:tblPrEx>
          <w:tblCellMar>
            <w:top w:w="0" w:type="dxa"/>
            <w:left w:w="108" w:type="dxa"/>
            <w:bottom w:w="0" w:type="dxa"/>
            <w:right w:w="108" w:type="dxa"/>
          </w:tblCellMar>
        </w:tblPrEx>
        <w:trPr>
          <w:trHeight w:val="2279" w:hRule="atLeast"/>
        </w:trPr>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color w:val="0000FF"/>
                <w:highlight w:val="yellow"/>
              </w:rPr>
            </w:pPr>
          </w:p>
        </w:tc>
        <w:tc>
          <w:tcPr>
            <w:tcW w:w="958" w:type="dxa"/>
            <w:tcBorders>
              <w:top w:val="single" w:color="000000" w:sz="4" w:space="0"/>
              <w:left w:val="single" w:color="000000" w:sz="4" w:space="0"/>
              <w:bottom w:val="single" w:color="000000" w:sz="4" w:space="0"/>
              <w:right w:val="single" w:color="000000" w:sz="4" w:space="0"/>
            </w:tcBorders>
            <w:vAlign w:val="center"/>
          </w:tcPr>
          <w:p>
            <w:pPr>
              <w:spacing w:line="440" w:lineRule="exact"/>
              <w:rPr>
                <w:color w:val="000000" w:themeColor="text1"/>
                <w:highlight w:val="yellow"/>
                <w14:textFill>
                  <w14:solidFill>
                    <w14:schemeClr w14:val="tx1"/>
                  </w14:solidFill>
                </w14:textFill>
              </w:rPr>
            </w:pPr>
            <w:r>
              <w:rPr>
                <w:rFonts w:hint="eastAsia"/>
                <w:color w:val="000000" w:themeColor="text1"/>
                <w:highlight w:val="none"/>
                <w14:textFill>
                  <w14:solidFill>
                    <w14:schemeClr w14:val="tx1"/>
                  </w14:solidFill>
                </w14:textFill>
              </w:rPr>
              <w:t>项目实施人员配备情况（</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分）</w:t>
            </w:r>
          </w:p>
        </w:tc>
        <w:tc>
          <w:tcPr>
            <w:tcW w:w="6523"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人员组织安排合理，具有清晰的项目组织架构，提供项目主要人员清单及人员资质证明：</w:t>
            </w:r>
          </w:p>
          <w:p>
            <w:pPr>
              <w:numPr>
                <w:ilvl w:val="0"/>
                <w:numId w:val="10"/>
              </w:numPr>
              <w:spacing w:line="44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项目经理具有中华人民共和国人力资源和社会保障部、工业和信息化部颁发的中级工程师证书和本科及以上学位。同时满足得1.5分，否则不得分。</w:t>
            </w:r>
          </w:p>
          <w:p>
            <w:pPr>
              <w:numPr>
                <w:ilvl w:val="0"/>
                <w:numId w:val="0"/>
              </w:numPr>
              <w:spacing w:line="440" w:lineRule="exact"/>
              <w:rPr>
                <w:color w:val="000000" w:themeColor="text1"/>
                <w:highlight w:val="yellow"/>
                <w14:textFill>
                  <w14:solidFill>
                    <w14:schemeClr w14:val="tx1"/>
                  </w14:solidFill>
                </w14:textFill>
              </w:rPr>
            </w:pPr>
            <w:r>
              <w:rPr>
                <w:rFonts w:hint="eastAsia"/>
                <w:color w:val="000000" w:themeColor="text1"/>
                <w:highlight w:val="none"/>
                <w14:textFill>
                  <w14:solidFill>
                    <w14:schemeClr w14:val="tx1"/>
                  </w14:solidFill>
                </w14:textFill>
              </w:rPr>
              <w:t>2、项目组其他人员具有与本项目相关的个人资质证书或本科及以上学历的，提供一个得0.5分，最多1.5分。（须提供人员的身份证明、个人资质证书、劳动合同及本单位为其缴纳的近六个月社保证明，未提供不得分）</w:t>
            </w:r>
          </w:p>
        </w:tc>
        <w:tc>
          <w:tcPr>
            <w:tcW w:w="1513" w:type="dxa"/>
            <w:tcBorders>
              <w:top w:val="single" w:color="000000" w:sz="4" w:space="0"/>
              <w:left w:val="single" w:color="000000" w:sz="4" w:space="0"/>
              <w:bottom w:val="single" w:color="000000" w:sz="4" w:space="0"/>
              <w:right w:val="single" w:color="000000" w:sz="4" w:space="0"/>
            </w:tcBorders>
          </w:tcPr>
          <w:p>
            <w:pPr>
              <w:spacing w:line="440" w:lineRule="exact"/>
              <w:rPr>
                <w:color w:val="0000FF"/>
                <w:highlight w:val="yellow"/>
              </w:rPr>
            </w:pPr>
          </w:p>
        </w:tc>
      </w:tr>
      <w:tr>
        <w:tblPrEx>
          <w:tblCellMar>
            <w:top w:w="0" w:type="dxa"/>
            <w:left w:w="108" w:type="dxa"/>
            <w:bottom w:w="0" w:type="dxa"/>
            <w:right w:w="108" w:type="dxa"/>
          </w:tblCellMar>
        </w:tblPrEx>
        <w:trPr>
          <w:trHeight w:val="430" w:hRule="atLeast"/>
        </w:trPr>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color w:val="0000FF"/>
                <w:highlight w:val="yellow"/>
              </w:rPr>
            </w:pPr>
          </w:p>
        </w:tc>
        <w:tc>
          <w:tcPr>
            <w:tcW w:w="958" w:type="dxa"/>
            <w:tcBorders>
              <w:top w:val="single" w:color="000000" w:sz="4" w:space="0"/>
              <w:left w:val="single" w:color="000000" w:sz="4" w:space="0"/>
              <w:bottom w:val="single" w:color="000000" w:sz="4" w:space="0"/>
              <w:right w:val="single" w:color="000000" w:sz="4" w:space="0"/>
            </w:tcBorders>
            <w:vAlign w:val="center"/>
          </w:tcPr>
          <w:p>
            <w:pPr>
              <w:spacing w:line="4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培训计划（</w:t>
            </w: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分）</w:t>
            </w:r>
          </w:p>
        </w:tc>
        <w:tc>
          <w:tcPr>
            <w:tcW w:w="6523" w:type="dxa"/>
            <w:tcBorders>
              <w:top w:val="single" w:color="000000" w:sz="4" w:space="0"/>
              <w:left w:val="single" w:color="000000" w:sz="4" w:space="0"/>
              <w:bottom w:val="single" w:color="000000" w:sz="4" w:space="0"/>
              <w:right w:val="single" w:color="000000" w:sz="4" w:space="0"/>
            </w:tcBorders>
            <w:vAlign w:val="center"/>
          </w:tcPr>
          <w:p>
            <w:pPr>
              <w:spacing w:line="4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培训计划（</w:t>
            </w: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分）：根据项目情况制定详细明确的培训方案，培训计划优于需求的得</w:t>
            </w: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分，内容不够详细但能满足需求的得</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分，较差得</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分，不提供不得分。</w:t>
            </w:r>
          </w:p>
        </w:tc>
        <w:tc>
          <w:tcPr>
            <w:tcW w:w="1513" w:type="dxa"/>
            <w:tcBorders>
              <w:top w:val="single" w:color="000000" w:sz="4" w:space="0"/>
              <w:left w:val="single" w:color="000000" w:sz="4" w:space="0"/>
              <w:bottom w:val="single" w:color="000000" w:sz="4" w:space="0"/>
              <w:right w:val="single" w:color="000000" w:sz="4" w:space="0"/>
            </w:tcBorders>
          </w:tcPr>
          <w:p>
            <w:pPr>
              <w:spacing w:line="440" w:lineRule="exact"/>
              <w:rPr>
                <w:color w:val="0000FF"/>
                <w:highlight w:val="yellow"/>
              </w:rPr>
            </w:pPr>
          </w:p>
        </w:tc>
      </w:tr>
      <w:tr>
        <w:tblPrEx>
          <w:tblCellMar>
            <w:top w:w="0" w:type="dxa"/>
            <w:left w:w="108" w:type="dxa"/>
            <w:bottom w:w="0" w:type="dxa"/>
            <w:right w:w="108" w:type="dxa"/>
          </w:tblCellMar>
        </w:tblPrEx>
        <w:trPr>
          <w:trHeight w:val="756" w:hRule="atLeast"/>
        </w:trPr>
        <w:tc>
          <w:tcPr>
            <w:tcW w:w="695"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rPr>
                <w:color w:val="0000FF"/>
                <w:highlight w:val="yellow"/>
              </w:rPr>
            </w:pPr>
            <w:r>
              <w:rPr>
                <w:rFonts w:hint="eastAsia"/>
                <w:color w:val="000000" w:themeColor="text1"/>
                <w:highlight w:val="none"/>
                <w14:textFill>
                  <w14:solidFill>
                    <w14:schemeClr w14:val="tx1"/>
                  </w14:solidFill>
                </w14:textFill>
              </w:rPr>
              <w:t>商务部分（14分）</w:t>
            </w:r>
          </w:p>
        </w:tc>
        <w:tc>
          <w:tcPr>
            <w:tcW w:w="958" w:type="dxa"/>
            <w:tcBorders>
              <w:top w:val="single" w:color="000000" w:sz="4" w:space="0"/>
              <w:left w:val="single" w:color="000000" w:sz="4" w:space="0"/>
              <w:bottom w:val="single" w:color="000000" w:sz="4" w:space="0"/>
              <w:right w:val="single" w:color="000000" w:sz="4" w:space="0"/>
            </w:tcBorders>
            <w:vAlign w:val="center"/>
          </w:tcPr>
          <w:p>
            <w:pPr>
              <w:spacing w:line="4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业绩（</w:t>
            </w:r>
            <w:r>
              <w:rPr>
                <w:color w:val="000000" w:themeColor="text1"/>
                <w:highlight w:val="none"/>
                <w14:textFill>
                  <w14:solidFill>
                    <w14:schemeClr w14:val="tx1"/>
                  </w14:solidFill>
                </w14:textFill>
              </w:rPr>
              <w:t>8</w:t>
            </w:r>
            <w:r>
              <w:rPr>
                <w:rFonts w:hint="eastAsia"/>
                <w:color w:val="000000" w:themeColor="text1"/>
                <w:highlight w:val="none"/>
                <w14:textFill>
                  <w14:solidFill>
                    <w14:schemeClr w14:val="tx1"/>
                  </w14:solidFill>
                </w14:textFill>
              </w:rPr>
              <w:t>分）</w:t>
            </w:r>
          </w:p>
        </w:tc>
        <w:tc>
          <w:tcPr>
            <w:tcW w:w="6523" w:type="dxa"/>
            <w:tcBorders>
              <w:top w:val="single" w:color="000000" w:sz="4" w:space="0"/>
              <w:left w:val="single" w:color="000000" w:sz="4" w:space="0"/>
              <w:bottom w:val="single" w:color="000000" w:sz="4" w:space="0"/>
              <w:right w:val="single" w:color="000000" w:sz="4" w:space="0"/>
            </w:tcBorders>
            <w:vAlign w:val="center"/>
          </w:tcPr>
          <w:p>
            <w:pPr>
              <w:spacing w:line="440" w:lineRule="exact"/>
              <w:rPr>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同类案例证明（8分）：提供（近三年）与本项目</w:t>
            </w:r>
            <w:r>
              <w:rPr>
                <w:rFonts w:hint="eastAsia" w:cs="Times New Roman"/>
                <w:color w:val="000000" w:themeColor="text1"/>
                <w:lang w:val="en-US" w:eastAsia="zh-CN"/>
                <w14:textFill>
                  <w14:solidFill>
                    <w14:schemeClr w14:val="tx1"/>
                  </w14:solidFill>
                </w14:textFill>
              </w:rPr>
              <w:t>类似</w:t>
            </w:r>
            <w:r>
              <w:rPr>
                <w:rFonts w:hint="eastAsia" w:ascii="Times New Roman" w:hAnsi="Times New Roman" w:eastAsia="宋体" w:cs="Times New Roman"/>
                <w:color w:val="000000" w:themeColor="text1"/>
                <w:lang w:val="en-US" w:eastAsia="zh-CN"/>
                <w14:textFill>
                  <w14:solidFill>
                    <w14:schemeClr w14:val="tx1"/>
                  </w14:solidFill>
                </w14:textFill>
              </w:rPr>
              <w:t>系统平台成功案例相关证明1个加</w:t>
            </w:r>
            <w:r>
              <w:rPr>
                <w:rFonts w:hint="eastAsia" w:cs="Times New Roman"/>
                <w:color w:val="000000" w:themeColor="text1"/>
                <w:lang w:val="en-US" w:eastAsia="zh-CN"/>
                <w14:textFill>
                  <w14:solidFill>
                    <w14:schemeClr w14:val="tx1"/>
                  </w14:solidFill>
                </w14:textFill>
              </w:rPr>
              <w:t>2</w:t>
            </w:r>
            <w:r>
              <w:rPr>
                <w:rFonts w:hint="eastAsia" w:ascii="Times New Roman" w:hAnsi="Times New Roman" w:eastAsia="宋体" w:cs="Times New Roman"/>
                <w:color w:val="000000" w:themeColor="text1"/>
                <w:lang w:val="en-US" w:eastAsia="zh-CN"/>
                <w14:textFill>
                  <w14:solidFill>
                    <w14:schemeClr w14:val="tx1"/>
                  </w14:solidFill>
                </w14:textFill>
              </w:rPr>
              <w:t>分，满分为8分。（如中标通知书、合同等相关资料。）</w:t>
            </w:r>
          </w:p>
        </w:tc>
        <w:tc>
          <w:tcPr>
            <w:tcW w:w="1513" w:type="dxa"/>
            <w:tcBorders>
              <w:top w:val="single" w:color="000000" w:sz="4" w:space="0"/>
              <w:left w:val="single" w:color="000000" w:sz="4" w:space="0"/>
              <w:bottom w:val="single" w:color="000000" w:sz="4" w:space="0"/>
              <w:right w:val="single" w:color="000000" w:sz="4" w:space="0"/>
            </w:tcBorders>
          </w:tcPr>
          <w:p>
            <w:pPr>
              <w:spacing w:line="440" w:lineRule="exact"/>
              <w:rPr>
                <w:color w:val="0000FF"/>
                <w:highlight w:val="yellow"/>
              </w:rPr>
            </w:pPr>
          </w:p>
        </w:tc>
      </w:tr>
      <w:tr>
        <w:tblPrEx>
          <w:tblCellMar>
            <w:top w:w="0" w:type="dxa"/>
            <w:left w:w="108" w:type="dxa"/>
            <w:bottom w:w="0" w:type="dxa"/>
            <w:right w:w="108" w:type="dxa"/>
          </w:tblCellMar>
        </w:tblPrEx>
        <w:trPr>
          <w:trHeight w:val="793" w:hRule="atLeast"/>
        </w:trPr>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color w:val="0000FF"/>
                <w:highlight w:val="yellow"/>
              </w:rPr>
            </w:pPr>
          </w:p>
        </w:tc>
        <w:tc>
          <w:tcPr>
            <w:tcW w:w="958" w:type="dxa"/>
            <w:tcBorders>
              <w:top w:val="single" w:color="000000" w:sz="4" w:space="0"/>
              <w:left w:val="single" w:color="000000" w:sz="4" w:space="0"/>
              <w:bottom w:val="single" w:color="000000" w:sz="4" w:space="0"/>
              <w:right w:val="single" w:color="000000" w:sz="4" w:space="0"/>
            </w:tcBorders>
            <w:vAlign w:val="center"/>
          </w:tcPr>
          <w:p>
            <w:pPr>
              <w:spacing w:line="4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交货期（</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分）</w:t>
            </w:r>
          </w:p>
        </w:tc>
        <w:tc>
          <w:tcPr>
            <w:tcW w:w="6523" w:type="dxa"/>
            <w:tcBorders>
              <w:top w:val="single" w:color="000000" w:sz="4" w:space="0"/>
              <w:left w:val="single" w:color="000000" w:sz="4" w:space="0"/>
              <w:bottom w:val="single" w:color="000000" w:sz="4" w:space="0"/>
              <w:right w:val="single" w:color="000000" w:sz="4" w:space="0"/>
            </w:tcBorders>
            <w:vAlign w:val="center"/>
          </w:tcPr>
          <w:p>
            <w:pPr>
              <w:spacing w:line="4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交货期（</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分）满足招标文件要求得</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分，提供交货承诺书，承诺书中投标人承诺的交货期，每优于招标文件要求5天得0.5分，最高加1分。</w:t>
            </w:r>
          </w:p>
        </w:tc>
        <w:tc>
          <w:tcPr>
            <w:tcW w:w="1513" w:type="dxa"/>
            <w:tcBorders>
              <w:top w:val="single" w:color="000000" w:sz="4" w:space="0"/>
              <w:left w:val="single" w:color="000000" w:sz="4" w:space="0"/>
              <w:bottom w:val="single" w:color="000000" w:sz="4" w:space="0"/>
              <w:right w:val="single" w:color="000000" w:sz="4" w:space="0"/>
            </w:tcBorders>
          </w:tcPr>
          <w:p>
            <w:pPr>
              <w:spacing w:line="440" w:lineRule="exact"/>
              <w:rPr>
                <w:color w:val="0000FF"/>
                <w:highlight w:val="yellow"/>
              </w:rPr>
            </w:pPr>
          </w:p>
        </w:tc>
      </w:tr>
      <w:tr>
        <w:tblPrEx>
          <w:tblCellMar>
            <w:top w:w="0" w:type="dxa"/>
            <w:left w:w="108" w:type="dxa"/>
            <w:bottom w:w="0" w:type="dxa"/>
            <w:right w:w="108" w:type="dxa"/>
          </w:tblCellMar>
        </w:tblPrEx>
        <w:trPr>
          <w:trHeight w:val="768" w:hRule="atLeast"/>
        </w:trPr>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rPr>
                <w:color w:val="000000" w:themeColor="text1"/>
                <w:highlight w:val="none"/>
                <w14:textFill>
                  <w14:solidFill>
                    <w14:schemeClr w14:val="tx1"/>
                  </w14:solidFill>
                </w14:textFill>
              </w:rPr>
            </w:pPr>
          </w:p>
        </w:tc>
        <w:tc>
          <w:tcPr>
            <w:tcW w:w="958" w:type="dxa"/>
            <w:tcBorders>
              <w:top w:val="single" w:color="000000" w:sz="4" w:space="0"/>
              <w:left w:val="single" w:color="000000" w:sz="4" w:space="0"/>
              <w:bottom w:val="single" w:color="000000" w:sz="4" w:space="0"/>
              <w:right w:val="single" w:color="000000" w:sz="4" w:space="0"/>
            </w:tcBorders>
            <w:vAlign w:val="center"/>
          </w:tcPr>
          <w:p>
            <w:pPr>
              <w:spacing w:line="4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质保期（</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分）</w:t>
            </w:r>
          </w:p>
        </w:tc>
        <w:tc>
          <w:tcPr>
            <w:tcW w:w="6523" w:type="dxa"/>
            <w:tcBorders>
              <w:top w:val="single" w:color="000000" w:sz="4" w:space="0"/>
              <w:left w:val="single" w:color="000000" w:sz="4" w:space="0"/>
              <w:bottom w:val="single" w:color="000000" w:sz="4" w:space="0"/>
              <w:right w:val="single" w:color="000000" w:sz="4" w:space="0"/>
            </w:tcBorders>
            <w:vAlign w:val="center"/>
          </w:tcPr>
          <w:p>
            <w:pPr>
              <w:spacing w:line="4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质保期（</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分）：质保期满足招标文件要求得</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分，每增加一年加0.5分，最多加1分。</w:t>
            </w:r>
          </w:p>
        </w:tc>
        <w:tc>
          <w:tcPr>
            <w:tcW w:w="1513" w:type="dxa"/>
            <w:tcBorders>
              <w:top w:val="single" w:color="000000" w:sz="4" w:space="0"/>
              <w:left w:val="single" w:color="000000" w:sz="4" w:space="0"/>
              <w:bottom w:val="single" w:color="000000" w:sz="4" w:space="0"/>
              <w:right w:val="single" w:color="000000" w:sz="4" w:space="0"/>
            </w:tcBorders>
          </w:tcPr>
          <w:p>
            <w:pPr>
              <w:spacing w:line="440" w:lineRule="exact"/>
              <w:rPr>
                <w:color w:val="0000FF"/>
                <w:highlight w:val="yellow"/>
              </w:rPr>
            </w:pPr>
          </w:p>
        </w:tc>
      </w:tr>
      <w:tr>
        <w:tblPrEx>
          <w:tblCellMar>
            <w:top w:w="0" w:type="dxa"/>
            <w:left w:w="108" w:type="dxa"/>
            <w:bottom w:w="0" w:type="dxa"/>
            <w:right w:w="108" w:type="dxa"/>
          </w:tblCellMar>
        </w:tblPrEx>
        <w:trPr>
          <w:trHeight w:val="524" w:hRule="atLeast"/>
        </w:trPr>
        <w:tc>
          <w:tcPr>
            <w:tcW w:w="8176" w:type="dxa"/>
            <w:gridSpan w:val="3"/>
            <w:tcBorders>
              <w:top w:val="single" w:color="000000" w:sz="4" w:space="0"/>
              <w:left w:val="single" w:color="000000" w:sz="4" w:space="0"/>
              <w:bottom w:val="single" w:color="000000" w:sz="4" w:space="0"/>
              <w:right w:val="single" w:color="000000" w:sz="4" w:space="0"/>
            </w:tcBorders>
            <w:noWrap/>
            <w:vAlign w:val="center"/>
          </w:tcPr>
          <w:p>
            <w:pPr>
              <w:spacing w:line="4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最后得分</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color w:val="0000FF"/>
              </w:rPr>
            </w:pPr>
          </w:p>
        </w:tc>
      </w:tr>
    </w:tbl>
    <w:p/>
    <w:p>
      <w:pPr>
        <w:pStyle w:val="43"/>
        <w:ind w:firstLine="480"/>
        <w:rPr>
          <w:szCs w:val="21"/>
        </w:rPr>
      </w:pPr>
    </w:p>
    <w:p/>
    <w:p>
      <w:pPr>
        <w:snapToGrid w:val="0"/>
        <w:spacing w:line="400" w:lineRule="exact"/>
        <w:jc w:val="left"/>
        <w:rPr>
          <w:rFonts w:ascii="宋体" w:hAnsi="宋体" w:cs="宋体"/>
          <w:szCs w:val="21"/>
        </w:rPr>
      </w:pPr>
      <w:r>
        <w:rPr>
          <w:rFonts w:hint="eastAsia" w:ascii="宋体" w:hAnsi="宋体" w:cs="宋体"/>
          <w:szCs w:val="21"/>
        </w:rPr>
        <w:t>备注:</w:t>
      </w:r>
    </w:p>
    <w:p>
      <w:pPr>
        <w:snapToGrid w:val="0"/>
        <w:spacing w:line="400" w:lineRule="exact"/>
        <w:jc w:val="left"/>
        <w:rPr>
          <w:rFonts w:ascii="宋体" w:hAnsi="宋体" w:cs="宋体"/>
          <w:szCs w:val="21"/>
        </w:rPr>
      </w:pPr>
      <w:r>
        <w:rPr>
          <w:rFonts w:hint="eastAsia" w:ascii="宋体" w:hAnsi="宋体" w:cs="宋体"/>
          <w:szCs w:val="21"/>
        </w:rPr>
        <w:t>1、根据《政府采购服务和服务招投标管理办法》第87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00" w:lineRule="exact"/>
        <w:ind w:firstLine="420" w:firstLineChars="200"/>
        <w:jc w:val="left"/>
        <w:rPr>
          <w:rFonts w:ascii="宋体" w:hAnsi="宋体" w:cs="宋体"/>
          <w:szCs w:val="21"/>
        </w:rPr>
      </w:pPr>
      <w:r>
        <w:rPr>
          <w:rFonts w:hint="eastAsia" w:ascii="宋体" w:hAnsi="宋体" w:cs="宋体"/>
          <w:szCs w:val="21"/>
        </w:rPr>
        <w:t>2、供应商在评标过程中，所进行的力图影响评标结果的不符合招标规则的活动，可能导致其被取消中标资格。</w:t>
      </w:r>
    </w:p>
    <w:p>
      <w:pPr>
        <w:snapToGrid w:val="0"/>
        <w:spacing w:line="400" w:lineRule="exact"/>
        <w:jc w:val="left"/>
        <w:outlineLvl w:val="1"/>
        <w:rPr>
          <w:rFonts w:ascii="宋体" w:hAnsi="宋体" w:cs="宋体"/>
          <w:szCs w:val="21"/>
        </w:rPr>
      </w:pPr>
      <w:r>
        <w:rPr>
          <w:rFonts w:hint="eastAsia" w:ascii="宋体" w:hAnsi="宋体" w:cs="宋体"/>
          <w:szCs w:val="21"/>
        </w:rPr>
        <w:t>3、与招标文件有重大偏离的投标文件将被拒绝。</w:t>
      </w:r>
    </w:p>
    <w:p>
      <w:pPr>
        <w:snapToGrid w:val="0"/>
        <w:spacing w:line="400" w:lineRule="exact"/>
        <w:ind w:firstLine="420" w:firstLineChars="200"/>
        <w:jc w:val="left"/>
        <w:rPr>
          <w:rFonts w:ascii="宋体" w:hAnsi="宋体" w:cs="宋体"/>
          <w:szCs w:val="21"/>
        </w:rPr>
      </w:pPr>
      <w:r>
        <w:rPr>
          <w:rFonts w:hint="eastAsia" w:ascii="宋体" w:hAnsi="宋体" w:cs="宋体"/>
          <w:szCs w:val="21"/>
        </w:rPr>
        <w:t>附：对于商务部分（投标报价）的评分，按以下方法进行：价格分统一采用低价优先法计算，即满足招标文件要求且评标价格最低的报价为评标基准价，其价格分为满分。其他投标人的价格分统一按照下列公式计算：报价得分=(评标基准价／评标价格)×30%×100</w:t>
      </w:r>
    </w:p>
    <w:p>
      <w:pPr>
        <w:snapToGrid w:val="0"/>
        <w:spacing w:line="400" w:lineRule="exact"/>
        <w:jc w:val="left"/>
        <w:rPr>
          <w:rFonts w:ascii="宋体" w:hAnsi="宋体" w:cs="宋体"/>
          <w:szCs w:val="21"/>
        </w:rPr>
      </w:pPr>
      <w:r>
        <w:rPr>
          <w:rFonts w:hint="eastAsia" w:ascii="宋体" w:hAnsi="宋体" w:cs="宋体"/>
          <w:szCs w:val="21"/>
        </w:rPr>
        <w:t>4、各评标委员会成员对每个投标人的上述指标的打分（除报价外）的算术平均分，加上经计算的报价得分，即为该投标人的最终综合评估分。评标委员会将按投标人得分顺序由高到低依次排名，得分相同的，按投标报价由低到高顺序排列。得分及报价相同的，按技术指标优劣顺序排列。得分最高的前一名至前三名投标人将成为中标候选人。</w:t>
      </w:r>
    </w:p>
    <w:p>
      <w:pPr>
        <w:snapToGrid w:val="0"/>
        <w:spacing w:line="400" w:lineRule="exact"/>
        <w:jc w:val="left"/>
        <w:rPr>
          <w:rFonts w:ascii="宋体" w:hAnsi="宋体" w:cs="宋体"/>
          <w:szCs w:val="21"/>
        </w:rPr>
      </w:pPr>
      <w:r>
        <w:rPr>
          <w:rFonts w:hint="eastAsia" w:ascii="宋体" w:hAnsi="宋体" w:cs="宋体"/>
          <w:szCs w:val="21"/>
        </w:rPr>
        <w:t>5、最低报价不作为评标的唯一依据。采购人不承诺将合同授予报价最低的投标人。</w:t>
      </w:r>
    </w:p>
    <w:p>
      <w:pPr>
        <w:spacing w:before="156" w:beforeLines="50" w:line="400" w:lineRule="exact"/>
        <w:jc w:val="left"/>
        <w:outlineLvl w:val="1"/>
        <w:rPr>
          <w:rFonts w:ascii="宋体" w:hAnsi="宋体" w:cs="宋体"/>
          <w:szCs w:val="21"/>
        </w:rPr>
      </w:pPr>
      <w:r>
        <w:rPr>
          <w:rFonts w:hint="eastAsia" w:ascii="宋体" w:hAnsi="宋体" w:cs="宋体"/>
          <w:szCs w:val="21"/>
        </w:rPr>
        <w:t>6、经评标委员会评议，认为投标报价过高、超出采购人预算的项目，可以不确立中标人，做为废标处理。</w:t>
      </w:r>
    </w:p>
    <w:bookmarkEnd w:id="42"/>
    <w:bookmarkEnd w:id="43"/>
    <w:bookmarkEnd w:id="47"/>
    <w:bookmarkEnd w:id="48"/>
    <w:p>
      <w:pPr>
        <w:spacing w:before="156" w:beforeLines="50" w:line="400" w:lineRule="exact"/>
        <w:ind w:firstLine="3120" w:firstLineChars="1300"/>
        <w:outlineLvl w:val="2"/>
        <w:rPr>
          <w:rFonts w:ascii="宋体"/>
          <w:sz w:val="24"/>
        </w:rPr>
      </w:pPr>
      <w:bookmarkStart w:id="49" w:name="OLE_LINK4"/>
      <w:r>
        <w:rPr>
          <w:rFonts w:hint="eastAsia" w:ascii="宋体"/>
          <w:sz w:val="24"/>
        </w:rPr>
        <w:t>五  推荐中标候选人</w:t>
      </w:r>
    </w:p>
    <w:p>
      <w:pPr>
        <w:snapToGrid w:val="0"/>
        <w:spacing w:line="400" w:lineRule="exact"/>
        <w:ind w:firstLine="420" w:firstLineChars="200"/>
        <w:outlineLvl w:val="2"/>
        <w:rPr>
          <w:rFonts w:ascii="宋体"/>
          <w:szCs w:val="21"/>
        </w:rPr>
      </w:pPr>
      <w:r>
        <w:rPr>
          <w:rFonts w:hint="eastAsia" w:ascii="宋体"/>
          <w:szCs w:val="21"/>
        </w:rPr>
        <w:t>11.1</w:t>
      </w:r>
      <w:r>
        <w:rPr>
          <w:rFonts w:hint="eastAsia" w:ascii="宋体" w:hAnsi="宋体"/>
          <w:szCs w:val="21"/>
        </w:rPr>
        <w:t>评标委员会推荐3名中标候选人，并标明排序。</w:t>
      </w:r>
    </w:p>
    <w:p>
      <w:pPr>
        <w:spacing w:line="400" w:lineRule="exact"/>
        <w:ind w:firstLine="411" w:firstLineChars="196"/>
        <w:rPr>
          <w:rFonts w:ascii="宋体" w:hAnsi="宋体"/>
          <w:szCs w:val="21"/>
        </w:rPr>
      </w:pPr>
      <w:r>
        <w:rPr>
          <w:rFonts w:hint="eastAsia" w:ascii="宋体" w:hAnsi="宋体"/>
          <w:szCs w:val="21"/>
        </w:rPr>
        <w:t>11.2如出现报价相同情况，则由招标人现场抽签确定中标候选人排名顺序。</w:t>
      </w:r>
    </w:p>
    <w:p>
      <w:pPr>
        <w:snapToGrid w:val="0"/>
        <w:spacing w:line="400" w:lineRule="exact"/>
        <w:ind w:firstLine="420" w:firstLineChars="200"/>
        <w:outlineLvl w:val="1"/>
        <w:rPr>
          <w:rFonts w:ascii="宋体" w:hAnsi="宋体"/>
          <w:szCs w:val="21"/>
        </w:rPr>
      </w:pPr>
      <w:r>
        <w:rPr>
          <w:rFonts w:hint="eastAsia" w:ascii="宋体" w:hAnsi="宋体"/>
          <w:szCs w:val="21"/>
        </w:rPr>
        <w:t>12.无效投标条款</w:t>
      </w:r>
    </w:p>
    <w:p>
      <w:pPr>
        <w:snapToGrid w:val="0"/>
        <w:spacing w:line="400" w:lineRule="exact"/>
        <w:ind w:firstLine="420" w:firstLineChars="200"/>
        <w:outlineLvl w:val="2"/>
        <w:rPr>
          <w:rFonts w:ascii="宋体" w:hAnsi="宋体" w:cs="宋体"/>
          <w:szCs w:val="21"/>
        </w:rPr>
      </w:pPr>
      <w:r>
        <w:rPr>
          <w:rFonts w:hint="eastAsia" w:ascii="宋体" w:hAnsi="宋体" w:cs="宋体"/>
          <w:szCs w:val="21"/>
        </w:rPr>
        <w:t>12.1投标文件有下列情形之一的,其投标文件拒收:</w:t>
      </w:r>
    </w:p>
    <w:p>
      <w:pPr>
        <w:snapToGrid w:val="0"/>
        <w:spacing w:line="400" w:lineRule="exact"/>
        <w:rPr>
          <w:rFonts w:ascii="宋体" w:hAnsi="宋体" w:cs="宋体"/>
          <w:szCs w:val="21"/>
        </w:rPr>
      </w:pPr>
      <w:r>
        <w:rPr>
          <w:rFonts w:hint="eastAsia" w:ascii="宋体" w:hAnsi="宋体" w:cs="宋体"/>
          <w:szCs w:val="21"/>
        </w:rPr>
        <w:t xml:space="preserve">    (1) 未在开标截止时间前通过网上招标投标系统递交有效电子投标文件的，开标系统不予接收。</w:t>
      </w:r>
    </w:p>
    <w:p>
      <w:pPr>
        <w:snapToGrid w:val="0"/>
        <w:spacing w:line="400" w:lineRule="exact"/>
        <w:ind w:firstLine="420" w:firstLineChars="200"/>
        <w:rPr>
          <w:rFonts w:ascii="宋体" w:hAnsi="宋体" w:cs="宋体"/>
          <w:szCs w:val="21"/>
        </w:rPr>
      </w:pPr>
      <w:r>
        <w:rPr>
          <w:rFonts w:hint="eastAsia" w:ascii="宋体" w:hAnsi="宋体" w:cs="宋体"/>
          <w:szCs w:val="21"/>
        </w:rPr>
        <w:t>（2）</w:t>
      </w:r>
      <w:r>
        <w:rPr>
          <w:rFonts w:hint="eastAsia" w:ascii="宋体" w:hAnsi="宋体"/>
          <w:szCs w:val="21"/>
        </w:rPr>
        <w:t>所有投标人应在规定时间里完成投标文件的解密工作【投标人使用其有效加密锁（CA锁）进行解密（因投标人原因未能提供有效CA锁对其投标文件进行解密的，其投标文件按无效标处理），以网上招投标系统解密倒计时为准】，因系统原因未能成功解密的投标文件，可导入备份投标文件。备份投标文件也无法导入的，则投标文件被否决。</w:t>
      </w:r>
    </w:p>
    <w:p>
      <w:pPr>
        <w:snapToGrid w:val="0"/>
        <w:spacing w:line="400" w:lineRule="exact"/>
        <w:rPr>
          <w:rFonts w:ascii="宋体" w:hAnsi="宋体" w:cs="宋体"/>
          <w:szCs w:val="21"/>
        </w:rPr>
      </w:pPr>
      <w:r>
        <w:rPr>
          <w:rFonts w:hint="eastAsia" w:ascii="宋体" w:hAnsi="宋体" w:cs="宋体"/>
          <w:szCs w:val="21"/>
        </w:rPr>
        <w:t xml:space="preserve">  12.2投标人有下列情形之一的,资格审查后其投标作无效投标处理：</w:t>
      </w:r>
    </w:p>
    <w:p>
      <w:pPr>
        <w:snapToGrid w:val="0"/>
        <w:spacing w:line="400" w:lineRule="exact"/>
        <w:ind w:firstLine="420" w:firstLineChars="200"/>
        <w:rPr>
          <w:rFonts w:ascii="宋体" w:hAnsi="宋体" w:cs="宋体"/>
          <w:szCs w:val="21"/>
        </w:rPr>
      </w:pPr>
      <w:r>
        <w:rPr>
          <w:rFonts w:hint="eastAsia" w:ascii="宋体" w:hAnsi="宋体" w:cs="宋体"/>
          <w:szCs w:val="21"/>
        </w:rPr>
        <w:t>(1)法定代表人参加开标会议未携带有效的法定代表人身份证明原件和本人身份证的；委托代理人参加开标会议未携带有效的法定代表人授权书和本人身份证；</w:t>
      </w:r>
    </w:p>
    <w:p>
      <w:pPr>
        <w:snapToGrid w:val="0"/>
        <w:spacing w:line="400" w:lineRule="exact"/>
        <w:ind w:firstLine="420" w:firstLineChars="200"/>
        <w:rPr>
          <w:rFonts w:ascii="宋体" w:hAnsi="宋体" w:cs="宋体"/>
          <w:szCs w:val="21"/>
        </w:rPr>
      </w:pPr>
      <w:r>
        <w:rPr>
          <w:rFonts w:hint="eastAsia" w:ascii="宋体" w:hAnsi="宋体" w:cs="宋体"/>
          <w:szCs w:val="21"/>
        </w:rPr>
        <w:t>(2)投标人为本项目提供招标代理服务的；</w:t>
      </w:r>
    </w:p>
    <w:p>
      <w:pPr>
        <w:snapToGrid w:val="0"/>
        <w:spacing w:line="400" w:lineRule="exact"/>
        <w:ind w:firstLine="420" w:firstLineChars="200"/>
        <w:rPr>
          <w:rFonts w:ascii="宋体" w:hAnsi="宋体" w:cs="宋体"/>
          <w:szCs w:val="21"/>
        </w:rPr>
      </w:pPr>
      <w:r>
        <w:rPr>
          <w:rFonts w:hint="eastAsia" w:ascii="宋体" w:hAnsi="宋体" w:cs="宋体"/>
          <w:szCs w:val="21"/>
        </w:rPr>
        <w:t>(3)投标人与在本项目代理机构存在相互任职或工作的；</w:t>
      </w:r>
    </w:p>
    <w:p>
      <w:pPr>
        <w:snapToGrid w:val="0"/>
        <w:spacing w:line="400" w:lineRule="exact"/>
        <w:ind w:firstLine="420" w:firstLineChars="200"/>
        <w:rPr>
          <w:rFonts w:ascii="宋体" w:hAnsi="宋体" w:cs="宋体"/>
          <w:szCs w:val="21"/>
        </w:rPr>
      </w:pPr>
      <w:r>
        <w:rPr>
          <w:rFonts w:hint="eastAsia" w:ascii="宋体" w:hAnsi="宋体" w:cs="宋体"/>
          <w:szCs w:val="21"/>
        </w:rPr>
        <w:t>(4)投标保证金未按规定要求缴纳的；</w:t>
      </w:r>
    </w:p>
    <w:p>
      <w:pPr>
        <w:snapToGrid w:val="0"/>
        <w:spacing w:line="400" w:lineRule="exact"/>
        <w:ind w:firstLine="420" w:firstLineChars="200"/>
        <w:rPr>
          <w:rFonts w:ascii="宋体" w:hAnsi="宋体" w:cs="宋体"/>
          <w:szCs w:val="21"/>
        </w:rPr>
      </w:pPr>
      <w:r>
        <w:rPr>
          <w:rFonts w:hint="eastAsia" w:ascii="宋体" w:hAnsi="宋体" w:cs="宋体"/>
          <w:szCs w:val="21"/>
        </w:rPr>
        <w:t>(5)</w:t>
      </w:r>
      <w:r>
        <w:rPr>
          <w:rFonts w:hint="eastAsia" w:ascii="宋体" w:hAnsi="宋体"/>
          <w:szCs w:val="21"/>
        </w:rPr>
        <w:t>评标专家无法查看并检验电子标书中相关资料的；</w:t>
      </w:r>
    </w:p>
    <w:p>
      <w:pPr>
        <w:snapToGrid w:val="0"/>
        <w:spacing w:line="360" w:lineRule="auto"/>
        <w:ind w:firstLine="420" w:firstLineChars="200"/>
        <w:rPr>
          <w:rFonts w:ascii="宋体" w:hAnsi="宋体" w:cs="宋体"/>
          <w:szCs w:val="21"/>
        </w:rPr>
      </w:pPr>
      <w:r>
        <w:rPr>
          <w:rFonts w:hint="eastAsia" w:ascii="宋体" w:hAnsi="宋体" w:cs="宋体"/>
          <w:szCs w:val="21"/>
        </w:rPr>
        <w:t>(6)投标人超出营业范围投标的；</w:t>
      </w:r>
    </w:p>
    <w:p>
      <w:pPr>
        <w:snapToGrid w:val="0"/>
        <w:spacing w:line="360" w:lineRule="auto"/>
        <w:ind w:firstLine="420" w:firstLineChars="200"/>
        <w:rPr>
          <w:rFonts w:ascii="宋体" w:hAnsi="宋体" w:cs="宋体"/>
          <w:szCs w:val="21"/>
        </w:rPr>
      </w:pPr>
      <w:r>
        <w:rPr>
          <w:rFonts w:hint="eastAsia" w:ascii="宋体" w:hAnsi="宋体" w:cs="宋体"/>
          <w:szCs w:val="21"/>
        </w:rPr>
        <w:t>(7)联合体投标未提交联合体协议的；</w:t>
      </w:r>
    </w:p>
    <w:p>
      <w:pPr>
        <w:snapToGrid w:val="0"/>
        <w:spacing w:line="360" w:lineRule="auto"/>
        <w:ind w:firstLine="420" w:firstLineChars="200"/>
        <w:rPr>
          <w:rFonts w:ascii="宋体" w:hAnsi="宋体" w:cs="宋体"/>
          <w:szCs w:val="21"/>
        </w:rPr>
      </w:pPr>
      <w:r>
        <w:rPr>
          <w:rFonts w:hint="eastAsia" w:ascii="宋体" w:hAnsi="宋体" w:cs="宋体"/>
          <w:szCs w:val="21"/>
        </w:rPr>
        <w:t>(8)被暂停营业的；</w:t>
      </w:r>
    </w:p>
    <w:p>
      <w:pPr>
        <w:snapToGrid w:val="0"/>
        <w:spacing w:line="360" w:lineRule="auto"/>
        <w:ind w:firstLine="420" w:firstLineChars="200"/>
        <w:rPr>
          <w:rFonts w:ascii="宋体" w:hAnsi="宋体" w:cs="宋体"/>
          <w:szCs w:val="21"/>
        </w:rPr>
      </w:pPr>
      <w:r>
        <w:rPr>
          <w:rFonts w:hint="eastAsia" w:ascii="宋体" w:hAnsi="宋体" w:cs="宋体"/>
          <w:szCs w:val="21"/>
        </w:rPr>
        <w:t>(9)被暂停或取消投标资格的；</w:t>
      </w:r>
    </w:p>
    <w:p>
      <w:pPr>
        <w:snapToGrid w:val="0"/>
        <w:spacing w:line="360" w:lineRule="auto"/>
        <w:ind w:firstLine="420" w:firstLineChars="200"/>
        <w:rPr>
          <w:rFonts w:ascii="宋体" w:hAnsi="宋体" w:cs="宋体"/>
          <w:szCs w:val="21"/>
        </w:rPr>
      </w:pPr>
      <w:r>
        <w:rPr>
          <w:rFonts w:hint="eastAsia" w:ascii="宋体" w:hAnsi="宋体" w:cs="宋体"/>
          <w:szCs w:val="21"/>
        </w:rPr>
        <w:t>(10)财产被接管或冻结的；</w:t>
      </w:r>
    </w:p>
    <w:p>
      <w:pPr>
        <w:snapToGrid w:val="0"/>
        <w:spacing w:line="360" w:lineRule="auto"/>
        <w:ind w:firstLine="420" w:firstLineChars="200"/>
        <w:rPr>
          <w:rFonts w:ascii="宋体" w:hAnsi="宋体" w:cs="宋体"/>
          <w:szCs w:val="21"/>
        </w:rPr>
      </w:pPr>
      <w:r>
        <w:rPr>
          <w:rFonts w:hint="eastAsia" w:ascii="宋体" w:hAnsi="宋体" w:cs="宋体"/>
          <w:szCs w:val="21"/>
        </w:rPr>
        <w:t>(11)投标人单位负责人为同一人或者存在控股、管理关系的不同单位的；</w:t>
      </w:r>
    </w:p>
    <w:p>
      <w:pPr>
        <w:snapToGrid w:val="0"/>
        <w:spacing w:line="360" w:lineRule="auto"/>
        <w:ind w:firstLine="315" w:firstLineChars="150"/>
        <w:rPr>
          <w:rFonts w:ascii="宋体" w:hAnsi="宋体" w:cs="宋体"/>
          <w:szCs w:val="21"/>
        </w:rPr>
      </w:pPr>
      <w:r>
        <w:rPr>
          <w:rFonts w:hint="eastAsia" w:ascii="宋体" w:hAnsi="宋体" w:cs="宋体"/>
          <w:szCs w:val="21"/>
        </w:rPr>
        <w:t>（12）投标人基本资格条件和特定资格条件中有一项及以上不符合要求的；</w:t>
      </w:r>
    </w:p>
    <w:p>
      <w:pPr>
        <w:snapToGrid w:val="0"/>
        <w:spacing w:line="360" w:lineRule="auto"/>
        <w:ind w:firstLine="420" w:firstLineChars="200"/>
        <w:outlineLvl w:val="3"/>
        <w:rPr>
          <w:rFonts w:ascii="宋体" w:hAnsi="宋体" w:cs="宋体"/>
          <w:szCs w:val="21"/>
        </w:rPr>
      </w:pPr>
      <w:r>
        <w:rPr>
          <w:rFonts w:hint="eastAsia" w:ascii="宋体" w:hAnsi="宋体" w:cs="宋体"/>
          <w:szCs w:val="21"/>
        </w:rPr>
        <w:t>（13）投标人使用相同的MAC地址进行报名的；</w:t>
      </w:r>
    </w:p>
    <w:p>
      <w:pPr>
        <w:snapToGrid w:val="0"/>
        <w:spacing w:line="360" w:lineRule="auto"/>
        <w:ind w:firstLine="420" w:firstLineChars="200"/>
        <w:rPr>
          <w:rFonts w:ascii="宋体" w:hAnsi="宋体" w:cs="宋体"/>
          <w:szCs w:val="21"/>
        </w:rPr>
      </w:pPr>
      <w:r>
        <w:rPr>
          <w:rFonts w:hint="eastAsia" w:ascii="宋体" w:hAnsi="宋体" w:cs="宋体"/>
          <w:szCs w:val="21"/>
        </w:rPr>
        <w:t>（14）其它情形，经评标委员会委提出按无效投标处理，并经公共资源交易监督部门核准的；</w:t>
      </w:r>
    </w:p>
    <w:p>
      <w:pPr>
        <w:snapToGrid w:val="0"/>
        <w:spacing w:line="360" w:lineRule="auto"/>
        <w:ind w:firstLine="420" w:firstLineChars="200"/>
        <w:rPr>
          <w:rFonts w:ascii="宋体" w:hAnsi="宋体" w:cs="宋体"/>
          <w:szCs w:val="21"/>
        </w:rPr>
      </w:pPr>
      <w:r>
        <w:rPr>
          <w:rFonts w:hint="eastAsia" w:ascii="宋体" w:hAnsi="宋体" w:cs="宋体"/>
          <w:szCs w:val="21"/>
        </w:rPr>
        <w:t>（15）投标人使用相同IP地址报名的，一经发现，监管部门将进一步核实，查实后按串通投标处理；</w:t>
      </w:r>
    </w:p>
    <w:p>
      <w:pPr>
        <w:snapToGrid w:val="0"/>
        <w:spacing w:line="360" w:lineRule="auto"/>
        <w:ind w:firstLine="420" w:firstLineChars="200"/>
        <w:outlineLvl w:val="3"/>
        <w:rPr>
          <w:rFonts w:ascii="宋体" w:hAnsi="宋体" w:cs="宋体"/>
          <w:szCs w:val="21"/>
        </w:rPr>
      </w:pPr>
      <w:r>
        <w:rPr>
          <w:rFonts w:hint="eastAsia" w:ascii="宋体" w:hAnsi="宋体" w:cs="宋体"/>
          <w:szCs w:val="21"/>
        </w:rPr>
        <w:t>（16）采购文件规定的其它无效投标情形。</w:t>
      </w:r>
    </w:p>
    <w:p>
      <w:pPr>
        <w:snapToGrid w:val="0"/>
        <w:spacing w:line="360" w:lineRule="auto"/>
        <w:rPr>
          <w:rFonts w:ascii="宋体" w:hAnsi="宋体" w:cs="宋体"/>
          <w:szCs w:val="21"/>
        </w:rPr>
      </w:pPr>
      <w:r>
        <w:rPr>
          <w:rFonts w:hint="eastAsia" w:ascii="宋体" w:hAnsi="宋体" w:cs="宋体"/>
          <w:szCs w:val="21"/>
        </w:rPr>
        <w:t xml:space="preserve">   12.3 投标人有下列情形之一的,符合性审查后其投标按无效投标处理：</w:t>
      </w:r>
    </w:p>
    <w:p>
      <w:pPr>
        <w:snapToGrid w:val="0"/>
        <w:spacing w:line="360" w:lineRule="auto"/>
        <w:ind w:firstLine="420" w:firstLineChars="200"/>
        <w:rPr>
          <w:rFonts w:ascii="宋体" w:hAnsi="宋体" w:cs="宋体"/>
          <w:szCs w:val="21"/>
        </w:rPr>
      </w:pPr>
      <w:r>
        <w:rPr>
          <w:rFonts w:hint="eastAsia" w:ascii="宋体" w:hAnsi="宋体" w:cs="宋体"/>
          <w:szCs w:val="21"/>
        </w:rPr>
        <w:t>(1) 投标文件签字、盖章不全，经评标委员会一致认定对开评标内容有实质性影响并经监督部门核准的；</w:t>
      </w:r>
    </w:p>
    <w:p>
      <w:pPr>
        <w:snapToGrid w:val="0"/>
        <w:spacing w:line="360" w:lineRule="auto"/>
        <w:ind w:firstLine="420" w:firstLineChars="200"/>
        <w:rPr>
          <w:rFonts w:ascii="宋体" w:hAnsi="宋体" w:cs="宋体"/>
          <w:szCs w:val="21"/>
        </w:rPr>
      </w:pPr>
      <w:r>
        <w:rPr>
          <w:rFonts w:hint="eastAsia" w:ascii="宋体" w:hAnsi="宋体" w:cs="宋体"/>
          <w:szCs w:val="21"/>
        </w:rPr>
        <w:t>(2)未按规定的格式填写，实质性内容不全或关键字迹模糊、无法辨认; 经监督部门核准的；</w:t>
      </w:r>
    </w:p>
    <w:p>
      <w:pPr>
        <w:snapToGrid w:val="0"/>
        <w:spacing w:line="360" w:lineRule="auto"/>
        <w:ind w:firstLine="420" w:firstLineChars="200"/>
        <w:rPr>
          <w:rFonts w:ascii="宋体" w:hAnsi="宋体" w:cs="宋体"/>
          <w:szCs w:val="21"/>
        </w:rPr>
      </w:pPr>
      <w:r>
        <w:rPr>
          <w:rFonts w:hint="eastAsia" w:ascii="宋体" w:hAnsi="宋体" w:cs="宋体"/>
          <w:szCs w:val="21"/>
        </w:rPr>
        <w:t>(3)同一投标人提交两个以上不同的投标文件或者投标报价，但采购文件规定提交备选方案的除外；</w:t>
      </w:r>
    </w:p>
    <w:p>
      <w:pPr>
        <w:snapToGrid w:val="0"/>
        <w:spacing w:line="360" w:lineRule="auto"/>
        <w:ind w:firstLine="420" w:firstLineChars="200"/>
        <w:outlineLvl w:val="3"/>
        <w:rPr>
          <w:rFonts w:ascii="宋体" w:hAnsi="宋体" w:cs="宋体"/>
          <w:szCs w:val="21"/>
        </w:rPr>
      </w:pPr>
      <w:r>
        <w:rPr>
          <w:rFonts w:hint="eastAsia" w:ascii="宋体" w:hAnsi="宋体" w:cs="宋体"/>
          <w:szCs w:val="21"/>
        </w:rPr>
        <w:t>(4)投标文件没有对采购文件的实质性要求和条件作出响应;</w:t>
      </w:r>
    </w:p>
    <w:p>
      <w:pPr>
        <w:snapToGrid w:val="0"/>
        <w:spacing w:line="360" w:lineRule="auto"/>
        <w:ind w:firstLine="420" w:firstLineChars="200"/>
        <w:rPr>
          <w:rFonts w:ascii="宋体" w:hAnsi="宋体" w:cs="宋体"/>
          <w:szCs w:val="21"/>
        </w:rPr>
      </w:pPr>
      <w:r>
        <w:rPr>
          <w:rFonts w:hint="eastAsia" w:ascii="宋体" w:hAnsi="宋体" w:cs="宋体"/>
          <w:szCs w:val="21"/>
        </w:rPr>
        <w:t>(5)投标报价超出规定的投标限价或公布的采购预算的；注：投标人的投标报价各项单价均不得高于招标文件给定的单价最高限价，否则，其投标文件将按无效投标处理。</w:t>
      </w:r>
    </w:p>
    <w:p>
      <w:pPr>
        <w:snapToGrid w:val="0"/>
        <w:spacing w:line="360" w:lineRule="auto"/>
        <w:ind w:firstLine="420" w:firstLineChars="200"/>
        <w:rPr>
          <w:rFonts w:ascii="宋体" w:hAnsi="宋体" w:cs="宋体"/>
          <w:szCs w:val="21"/>
        </w:rPr>
      </w:pPr>
      <w:r>
        <w:rPr>
          <w:rFonts w:hint="eastAsia" w:ascii="宋体" w:hAnsi="宋体" w:cs="宋体"/>
          <w:szCs w:val="21"/>
        </w:rPr>
        <w:t>(6)不按评标委员会要求澄清、说明或补正的，或者评标委员会根据采购文件的规定对采购文件的计算错误进行修正后，投标人不接受修正的投标报价的。</w:t>
      </w:r>
    </w:p>
    <w:p>
      <w:pPr>
        <w:snapToGrid w:val="0"/>
        <w:spacing w:line="360" w:lineRule="auto"/>
        <w:ind w:firstLine="420" w:firstLineChars="200"/>
        <w:rPr>
          <w:rFonts w:ascii="宋体" w:hAnsi="宋体" w:cs="宋体"/>
          <w:szCs w:val="21"/>
        </w:rPr>
      </w:pPr>
      <w:r>
        <w:rPr>
          <w:rFonts w:hint="eastAsia" w:ascii="宋体" w:hAnsi="宋体" w:cs="宋体"/>
          <w:szCs w:val="21"/>
        </w:rPr>
        <w:t>（7）其它情形，经评标委员会委提出按无效投标处理，并经公共资源交易监督部门核准的；</w:t>
      </w:r>
    </w:p>
    <w:p>
      <w:pPr>
        <w:widowControl/>
        <w:spacing w:line="360" w:lineRule="auto"/>
        <w:ind w:firstLine="420" w:firstLineChars="200"/>
        <w:jc w:val="left"/>
        <w:rPr>
          <w:rFonts w:ascii="Tahoma" w:hAnsi="Tahoma" w:eastAsia="Tahoma" w:cs="Tahoma"/>
          <w:szCs w:val="21"/>
        </w:rPr>
      </w:pPr>
      <w:r>
        <w:rPr>
          <w:rFonts w:hint="eastAsia" w:ascii="宋体" w:hAnsi="宋体" w:cs="宋体"/>
          <w:szCs w:val="21"/>
        </w:rPr>
        <w:t>（8）</w:t>
      </w:r>
      <w:r>
        <w:rPr>
          <w:rFonts w:ascii="Tahoma" w:hAnsi="Tahoma" w:eastAsia="Tahoma" w:cs="Tahoma"/>
          <w:kern w:val="0"/>
          <w:szCs w:val="21"/>
          <w:shd w:val="clear" w:color="auto" w:fill="FFFFFF"/>
          <w:lang w:bidi="ar"/>
        </w:rPr>
        <w:t>未按照招标文件的规定提交投标保证金的；</w:t>
      </w:r>
    </w:p>
    <w:p>
      <w:pPr>
        <w:widowControl/>
        <w:spacing w:line="360" w:lineRule="auto"/>
        <w:ind w:firstLine="420" w:firstLineChars="200"/>
        <w:jc w:val="left"/>
        <w:rPr>
          <w:rFonts w:ascii="Tahoma" w:hAnsi="Tahoma" w:cs="Tahoma"/>
          <w:szCs w:val="21"/>
        </w:rPr>
      </w:pPr>
      <w:r>
        <w:rPr>
          <w:rFonts w:hint="eastAsia" w:ascii="宋体" w:hAnsi="宋体" w:cs="宋体"/>
          <w:szCs w:val="21"/>
        </w:rPr>
        <w:t>（9）</w:t>
      </w:r>
      <w:r>
        <w:rPr>
          <w:rFonts w:ascii="Tahoma" w:hAnsi="Tahoma" w:eastAsia="Tahoma" w:cs="Tahoma"/>
          <w:kern w:val="0"/>
          <w:szCs w:val="21"/>
          <w:shd w:val="clear" w:color="auto" w:fill="FFFFFF"/>
          <w:lang w:bidi="ar"/>
        </w:rPr>
        <w:t>投标文件含有采购人不能接受的附加条件的</w:t>
      </w:r>
      <w:r>
        <w:rPr>
          <w:rFonts w:hint="eastAsia" w:ascii="Tahoma" w:hAnsi="Tahoma" w:cs="Tahoma"/>
          <w:kern w:val="0"/>
          <w:szCs w:val="21"/>
          <w:shd w:val="clear" w:color="auto" w:fill="FFFFFF"/>
          <w:lang w:bidi="ar"/>
        </w:rPr>
        <w:t>；</w:t>
      </w:r>
    </w:p>
    <w:p>
      <w:pPr>
        <w:tabs>
          <w:tab w:val="left" w:pos="1123"/>
        </w:tabs>
        <w:snapToGrid w:val="0"/>
        <w:spacing w:line="360" w:lineRule="auto"/>
        <w:ind w:firstLine="420" w:firstLineChars="200"/>
        <w:rPr>
          <w:rFonts w:ascii="宋体" w:hAnsi="宋体" w:cs="宋体"/>
          <w:szCs w:val="21"/>
        </w:rPr>
      </w:pPr>
      <w:r>
        <w:rPr>
          <w:rFonts w:hint="eastAsia" w:ascii="宋体" w:hAnsi="宋体" w:cs="宋体"/>
          <w:szCs w:val="21"/>
        </w:rPr>
        <w:t>（10）采购文件规定的其它无效投标情形。</w:t>
      </w:r>
    </w:p>
    <w:p>
      <w:pPr>
        <w:snapToGrid w:val="0"/>
        <w:spacing w:line="360" w:lineRule="auto"/>
        <w:ind w:firstLine="420" w:firstLineChars="200"/>
        <w:rPr>
          <w:rFonts w:ascii="宋体" w:hAnsi="宋体" w:cs="宋体"/>
          <w:szCs w:val="21"/>
        </w:rPr>
      </w:pPr>
      <w:r>
        <w:rPr>
          <w:rFonts w:hint="eastAsia" w:ascii="宋体" w:hAnsi="宋体" w:cs="宋体"/>
          <w:szCs w:val="21"/>
        </w:rPr>
        <w:t>12.4 投标人有下列情形之一的, 详细评审后其投标按无效投标处理：</w:t>
      </w:r>
    </w:p>
    <w:p>
      <w:pPr>
        <w:snapToGrid w:val="0"/>
        <w:spacing w:line="360" w:lineRule="auto"/>
        <w:ind w:firstLine="420" w:firstLineChars="200"/>
        <w:rPr>
          <w:rFonts w:ascii="宋体" w:hAnsi="宋体" w:cs="宋体"/>
          <w:szCs w:val="21"/>
        </w:rPr>
      </w:pPr>
      <w:r>
        <w:rPr>
          <w:rFonts w:hint="eastAsia" w:ascii="宋体" w:hAnsi="宋体" w:cs="宋体"/>
          <w:szCs w:val="21"/>
        </w:rPr>
        <w:t>(1)投标产品不符合必须强制执行的国家标准的；</w:t>
      </w:r>
    </w:p>
    <w:p>
      <w:pPr>
        <w:snapToGrid w:val="0"/>
        <w:spacing w:line="360" w:lineRule="auto"/>
        <w:ind w:firstLine="420" w:firstLineChars="200"/>
        <w:rPr>
          <w:rFonts w:ascii="宋体" w:hAnsi="宋体" w:cs="宋体"/>
          <w:szCs w:val="21"/>
        </w:rPr>
      </w:pPr>
      <w:r>
        <w:rPr>
          <w:rFonts w:hint="eastAsia" w:ascii="宋体" w:hAnsi="宋体" w:cs="宋体"/>
          <w:szCs w:val="21"/>
        </w:rPr>
        <w:t>(2)投标人有串通投标、弄虚作假、行贿等违法行为；</w:t>
      </w:r>
    </w:p>
    <w:p>
      <w:pPr>
        <w:snapToGrid w:val="0"/>
        <w:spacing w:line="360" w:lineRule="auto"/>
        <w:ind w:firstLine="420" w:firstLineChars="200"/>
        <w:rPr>
          <w:rFonts w:ascii="宋体" w:hAnsi="宋体" w:cs="宋体"/>
          <w:szCs w:val="21"/>
        </w:rPr>
      </w:pPr>
      <w:r>
        <w:rPr>
          <w:rFonts w:hint="eastAsia" w:ascii="宋体" w:hAnsi="宋体" w:cs="宋体"/>
          <w:szCs w:val="21"/>
        </w:rPr>
        <w:t>(3)投标文件含有违反国家法律、法规的内容，或附有招标人不能接受的条件的；</w:t>
      </w:r>
    </w:p>
    <w:p>
      <w:pPr>
        <w:spacing w:line="360" w:lineRule="auto"/>
        <w:ind w:firstLine="315" w:firstLineChars="150"/>
        <w:rPr>
          <w:rFonts w:ascii="宋体" w:hAnsi="宋体" w:cs="宋体"/>
          <w:szCs w:val="21"/>
        </w:rPr>
      </w:pPr>
      <w:r>
        <w:rPr>
          <w:rFonts w:hint="eastAsia" w:ascii="宋体" w:hAnsi="宋体" w:cs="宋体"/>
          <w:szCs w:val="21"/>
        </w:rPr>
        <w:t>（4）在同一项目（或同一标段）中有多个投标人有效投标报价接近最高限价，且评标委员会认为报价出现异常的，可以宣布其投标无效；</w:t>
      </w:r>
    </w:p>
    <w:p>
      <w:pPr>
        <w:spacing w:line="360" w:lineRule="auto"/>
        <w:ind w:firstLine="315" w:firstLineChars="150"/>
        <w:rPr>
          <w:rFonts w:ascii="宋体" w:hAnsi="宋体" w:cs="宋体"/>
          <w:szCs w:val="21"/>
        </w:rPr>
      </w:pPr>
      <w:r>
        <w:rPr>
          <w:rFonts w:hint="eastAsia" w:ascii="宋体" w:hAnsi="宋体" w:cs="宋体"/>
          <w:szCs w:val="21"/>
        </w:rPr>
        <w:t>（5）</w:t>
      </w:r>
      <w:r>
        <w:rPr>
          <w:rFonts w:ascii="宋体" w:hAnsi="宋体" w:cs="宋体"/>
          <w:szCs w:val="21"/>
        </w:rPr>
        <w:t>报价明显低于其他投标人，且不能证明报价合理性的投标无效</w:t>
      </w:r>
      <w:r>
        <w:rPr>
          <w:rFonts w:hint="eastAsia" w:ascii="宋体" w:hAnsi="宋体" w:cs="宋体"/>
          <w:szCs w:val="21"/>
        </w:rPr>
        <w:t>；</w:t>
      </w:r>
    </w:p>
    <w:p>
      <w:pPr>
        <w:spacing w:line="360" w:lineRule="auto"/>
        <w:ind w:firstLine="315" w:firstLineChars="150"/>
        <w:outlineLvl w:val="3"/>
        <w:rPr>
          <w:rFonts w:ascii="宋体" w:hAnsi="宋体" w:cs="宋体"/>
          <w:szCs w:val="21"/>
        </w:rPr>
      </w:pPr>
      <w:r>
        <w:rPr>
          <w:rFonts w:hint="eastAsia" w:ascii="宋体" w:hAnsi="宋体" w:cs="宋体"/>
          <w:szCs w:val="21"/>
        </w:rPr>
        <w:t>（6）</w:t>
      </w:r>
      <w:r>
        <w:rPr>
          <w:rFonts w:ascii="宋体" w:hAnsi="宋体" w:cs="宋体"/>
          <w:szCs w:val="21"/>
        </w:rPr>
        <w:t>拒不确认评标委员会评审修正的投标无效</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（7）其它情形，经评标委员会委提出按无效投标处理，并经公共资源交易监督部门核准的；         </w:t>
      </w:r>
    </w:p>
    <w:p>
      <w:pPr>
        <w:spacing w:line="360" w:lineRule="auto"/>
        <w:ind w:left="420"/>
        <w:outlineLvl w:val="3"/>
        <w:rPr>
          <w:rFonts w:ascii="宋体" w:hAnsi="宋体" w:cs="宋体"/>
          <w:szCs w:val="21"/>
        </w:rPr>
      </w:pPr>
      <w:r>
        <w:rPr>
          <w:rFonts w:hint="eastAsia" w:ascii="宋体" w:hAnsi="宋体" w:cs="宋体"/>
          <w:szCs w:val="21"/>
        </w:rPr>
        <w:t>（8）采购文件规定的其它无效投标情形。</w:t>
      </w:r>
    </w:p>
    <w:p>
      <w:pPr>
        <w:spacing w:line="360" w:lineRule="auto"/>
        <w:ind w:left="420"/>
        <w:rPr>
          <w:sz w:val="32"/>
          <w:szCs w:val="40"/>
        </w:rPr>
      </w:pPr>
      <w:r>
        <w:rPr>
          <w:rFonts w:hint="eastAsia" w:ascii="宋体" w:hAnsi="宋体" w:cs="宋体"/>
          <w:szCs w:val="21"/>
        </w:rPr>
        <w:t xml:space="preserve">    </w:t>
      </w:r>
    </w:p>
    <w:bookmarkEnd w:id="49"/>
    <w:p>
      <w:pPr>
        <w:rPr>
          <w:sz w:val="32"/>
          <w:szCs w:val="40"/>
        </w:rPr>
      </w:pPr>
      <w:bookmarkStart w:id="50" w:name="_Toc469495740"/>
    </w:p>
    <w:p>
      <w:pPr>
        <w:pStyle w:val="10"/>
        <w:tabs>
          <w:tab w:val="left" w:pos="562"/>
          <w:tab w:val="left" w:pos="3372"/>
          <w:tab w:val="left" w:pos="3653"/>
        </w:tabs>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numPr>
          <w:ilvl w:val="0"/>
          <w:numId w:val="11"/>
        </w:numPr>
        <w:jc w:val="center"/>
        <w:outlineLvl w:val="0"/>
        <w:rPr>
          <w:sz w:val="32"/>
          <w:szCs w:val="40"/>
        </w:rPr>
      </w:pPr>
      <w:r>
        <w:rPr>
          <w:rFonts w:hint="eastAsia"/>
          <w:sz w:val="32"/>
          <w:szCs w:val="40"/>
        </w:rPr>
        <w:t>采购内容及技术要求</w:t>
      </w:r>
    </w:p>
    <w:tbl>
      <w:tblPr>
        <w:tblStyle w:val="27"/>
        <w:tblpPr w:leftFromText="180" w:rightFromText="180" w:vertAnchor="text" w:horzAnchor="page" w:tblpX="1512" w:tblpY="271"/>
        <w:tblOverlap w:val="never"/>
        <w:tblW w:w="9020" w:type="dxa"/>
        <w:tblInd w:w="0" w:type="dxa"/>
        <w:tblLayout w:type="fixed"/>
        <w:tblCellMar>
          <w:top w:w="0" w:type="dxa"/>
          <w:left w:w="108" w:type="dxa"/>
          <w:bottom w:w="0" w:type="dxa"/>
          <w:right w:w="108" w:type="dxa"/>
        </w:tblCellMar>
      </w:tblPr>
      <w:tblGrid>
        <w:gridCol w:w="716"/>
        <w:gridCol w:w="2425"/>
        <w:gridCol w:w="1140"/>
        <w:gridCol w:w="1063"/>
        <w:gridCol w:w="1388"/>
        <w:gridCol w:w="1125"/>
        <w:gridCol w:w="1163"/>
      </w:tblGrid>
      <w:tr>
        <w:tblPrEx>
          <w:tblCellMar>
            <w:top w:w="0" w:type="dxa"/>
            <w:left w:w="108" w:type="dxa"/>
            <w:bottom w:w="0" w:type="dxa"/>
            <w:right w:w="108" w:type="dxa"/>
          </w:tblCellMar>
        </w:tblPrEx>
        <w:trPr>
          <w:trHeight w:val="348" w:hRule="atLeast"/>
        </w:trPr>
        <w:tc>
          <w:tcPr>
            <w:tcW w:w="716"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jc w:val="center"/>
              <w:rPr>
                <w:rFonts w:ascii="微软雅黑 Light" w:hAnsi="微软雅黑 Light" w:eastAsia="微软雅黑 Light" w:cs="宋体"/>
                <w:b/>
                <w:bCs/>
                <w:sz w:val="22"/>
                <w:szCs w:val="22"/>
              </w:rPr>
            </w:pPr>
            <w:r>
              <w:rPr>
                <w:rFonts w:hint="eastAsia" w:ascii="微软雅黑 Light" w:hAnsi="微软雅黑 Light" w:eastAsia="微软雅黑 Light" w:cs="宋体"/>
                <w:b/>
                <w:bCs/>
                <w:sz w:val="22"/>
                <w:szCs w:val="22"/>
              </w:rPr>
              <w:t>序号</w:t>
            </w:r>
          </w:p>
        </w:tc>
        <w:tc>
          <w:tcPr>
            <w:tcW w:w="2425" w:type="dxa"/>
            <w:tcBorders>
              <w:top w:val="single" w:color="auto" w:sz="4" w:space="0"/>
              <w:left w:val="nil"/>
              <w:bottom w:val="single" w:color="auto" w:sz="4" w:space="0"/>
              <w:right w:val="single" w:color="auto" w:sz="4" w:space="0"/>
            </w:tcBorders>
            <w:shd w:val="clear" w:color="auto" w:fill="BEBEBE" w:themeFill="background1" w:themeFillShade="BF"/>
            <w:noWrap/>
            <w:vAlign w:val="center"/>
          </w:tcPr>
          <w:p>
            <w:pPr>
              <w:jc w:val="center"/>
              <w:rPr>
                <w:rFonts w:ascii="微软雅黑 Light" w:hAnsi="微软雅黑 Light" w:eastAsia="微软雅黑 Light" w:cs="宋体"/>
                <w:b/>
                <w:bCs/>
                <w:sz w:val="22"/>
                <w:szCs w:val="22"/>
              </w:rPr>
            </w:pPr>
            <w:r>
              <w:rPr>
                <w:rFonts w:hint="eastAsia" w:ascii="微软雅黑 Light" w:hAnsi="微软雅黑 Light" w:eastAsia="微软雅黑 Light" w:cs="宋体"/>
                <w:b/>
                <w:bCs/>
                <w:sz w:val="22"/>
                <w:szCs w:val="22"/>
              </w:rPr>
              <w:t>系统名称</w:t>
            </w:r>
          </w:p>
        </w:tc>
        <w:tc>
          <w:tcPr>
            <w:tcW w:w="1140" w:type="dxa"/>
            <w:tcBorders>
              <w:top w:val="single" w:color="auto" w:sz="4" w:space="0"/>
              <w:left w:val="nil"/>
              <w:bottom w:val="single" w:color="auto" w:sz="4" w:space="0"/>
              <w:right w:val="single" w:color="auto" w:sz="4" w:space="0"/>
            </w:tcBorders>
            <w:shd w:val="clear" w:color="auto" w:fill="BEBEBE" w:themeFill="background1" w:themeFillShade="BF"/>
            <w:noWrap/>
            <w:vAlign w:val="center"/>
          </w:tcPr>
          <w:p>
            <w:pPr>
              <w:jc w:val="center"/>
              <w:rPr>
                <w:rFonts w:ascii="微软雅黑 Light" w:hAnsi="微软雅黑 Light" w:eastAsia="微软雅黑 Light" w:cs="宋体"/>
                <w:b/>
                <w:bCs/>
                <w:sz w:val="22"/>
                <w:szCs w:val="22"/>
              </w:rPr>
            </w:pPr>
            <w:r>
              <w:rPr>
                <w:rFonts w:hint="eastAsia" w:ascii="微软雅黑 Light" w:hAnsi="微软雅黑 Light" w:eastAsia="微软雅黑 Light" w:cs="宋体"/>
                <w:b/>
                <w:bCs/>
                <w:sz w:val="22"/>
                <w:szCs w:val="22"/>
              </w:rPr>
              <w:t>数量</w:t>
            </w:r>
          </w:p>
        </w:tc>
        <w:tc>
          <w:tcPr>
            <w:tcW w:w="1063" w:type="dxa"/>
            <w:tcBorders>
              <w:top w:val="single" w:color="auto" w:sz="4" w:space="0"/>
              <w:left w:val="nil"/>
              <w:bottom w:val="single" w:color="auto" w:sz="4" w:space="0"/>
              <w:right w:val="single" w:color="auto" w:sz="4" w:space="0"/>
            </w:tcBorders>
            <w:shd w:val="clear" w:color="auto" w:fill="BEBEBE" w:themeFill="background1" w:themeFillShade="BF"/>
            <w:noWrap/>
            <w:vAlign w:val="center"/>
          </w:tcPr>
          <w:p>
            <w:pPr>
              <w:jc w:val="center"/>
              <w:rPr>
                <w:rFonts w:ascii="微软雅黑 Light" w:hAnsi="微软雅黑 Light" w:eastAsia="微软雅黑 Light" w:cs="宋体"/>
                <w:b/>
                <w:bCs/>
                <w:sz w:val="22"/>
                <w:szCs w:val="22"/>
              </w:rPr>
            </w:pPr>
            <w:r>
              <w:rPr>
                <w:rFonts w:hint="eastAsia" w:ascii="微软雅黑 Light" w:hAnsi="微软雅黑 Light" w:eastAsia="微软雅黑 Light" w:cs="宋体"/>
                <w:b/>
                <w:bCs/>
                <w:sz w:val="22"/>
                <w:szCs w:val="22"/>
              </w:rPr>
              <w:t>单位</w:t>
            </w:r>
          </w:p>
        </w:tc>
        <w:tc>
          <w:tcPr>
            <w:tcW w:w="1388" w:type="dxa"/>
            <w:tcBorders>
              <w:top w:val="single" w:color="auto" w:sz="4" w:space="0"/>
              <w:left w:val="nil"/>
              <w:bottom w:val="single" w:color="auto" w:sz="4" w:space="0"/>
              <w:right w:val="single" w:color="auto" w:sz="4" w:space="0"/>
            </w:tcBorders>
            <w:shd w:val="clear" w:color="auto" w:fill="BEBEBE" w:themeFill="background1" w:themeFillShade="BF"/>
            <w:noWrap/>
            <w:vAlign w:val="center"/>
          </w:tcPr>
          <w:p>
            <w:pPr>
              <w:jc w:val="center"/>
              <w:rPr>
                <w:rFonts w:ascii="微软雅黑 Light" w:hAnsi="微软雅黑 Light" w:eastAsia="微软雅黑 Light" w:cs="宋体"/>
                <w:b/>
                <w:bCs/>
                <w:sz w:val="22"/>
                <w:szCs w:val="22"/>
              </w:rPr>
            </w:pPr>
            <w:r>
              <w:rPr>
                <w:rFonts w:hint="eastAsia" w:ascii="微软雅黑 Light" w:hAnsi="微软雅黑 Light" w:eastAsia="微软雅黑 Light" w:cs="宋体"/>
                <w:b/>
                <w:bCs/>
                <w:sz w:val="22"/>
                <w:szCs w:val="22"/>
              </w:rPr>
              <w:t>单价</w:t>
            </w:r>
          </w:p>
        </w:tc>
        <w:tc>
          <w:tcPr>
            <w:tcW w:w="1125" w:type="dxa"/>
            <w:tcBorders>
              <w:top w:val="single" w:color="auto" w:sz="4" w:space="0"/>
              <w:left w:val="nil"/>
              <w:bottom w:val="single" w:color="auto" w:sz="4" w:space="0"/>
              <w:right w:val="single" w:color="auto" w:sz="4" w:space="0"/>
            </w:tcBorders>
            <w:shd w:val="clear" w:color="auto" w:fill="BEBEBE" w:themeFill="background1" w:themeFillShade="BF"/>
            <w:noWrap/>
            <w:vAlign w:val="center"/>
          </w:tcPr>
          <w:p>
            <w:pPr>
              <w:jc w:val="center"/>
              <w:rPr>
                <w:rFonts w:ascii="微软雅黑 Light" w:hAnsi="微软雅黑 Light" w:eastAsia="微软雅黑 Light" w:cs="宋体"/>
                <w:b/>
                <w:bCs/>
                <w:sz w:val="22"/>
                <w:szCs w:val="22"/>
              </w:rPr>
            </w:pPr>
            <w:r>
              <w:rPr>
                <w:rFonts w:hint="eastAsia" w:ascii="微软雅黑 Light" w:hAnsi="微软雅黑 Light" w:eastAsia="微软雅黑 Light" w:cs="宋体"/>
                <w:b/>
                <w:bCs/>
                <w:sz w:val="22"/>
                <w:szCs w:val="22"/>
              </w:rPr>
              <w:t>总价</w:t>
            </w:r>
          </w:p>
        </w:tc>
        <w:tc>
          <w:tcPr>
            <w:tcW w:w="1163" w:type="dxa"/>
            <w:tcBorders>
              <w:top w:val="single" w:color="auto" w:sz="4" w:space="0"/>
              <w:left w:val="nil"/>
              <w:bottom w:val="single" w:color="auto" w:sz="4" w:space="0"/>
              <w:right w:val="single" w:color="auto" w:sz="4" w:space="0"/>
            </w:tcBorders>
            <w:shd w:val="clear" w:color="auto" w:fill="BEBEBE" w:themeFill="background1" w:themeFillShade="BF"/>
            <w:noWrap/>
            <w:vAlign w:val="center"/>
          </w:tcPr>
          <w:p>
            <w:pPr>
              <w:rPr>
                <w:rFonts w:ascii="微软雅黑 Light" w:hAnsi="微软雅黑 Light" w:eastAsia="微软雅黑 Light" w:cs="宋体"/>
                <w:b/>
                <w:bCs/>
                <w:sz w:val="22"/>
                <w:szCs w:val="22"/>
              </w:rPr>
            </w:pPr>
            <w:r>
              <w:rPr>
                <w:rFonts w:hint="eastAsia" w:ascii="微软雅黑 Light" w:hAnsi="微软雅黑 Light" w:eastAsia="微软雅黑 Light" w:cs="宋体"/>
                <w:b/>
                <w:bCs/>
                <w:sz w:val="22"/>
                <w:szCs w:val="22"/>
              </w:rPr>
              <w:t>备注</w:t>
            </w:r>
          </w:p>
        </w:tc>
      </w:tr>
      <w:tr>
        <w:tblPrEx>
          <w:tblCellMar>
            <w:top w:w="0" w:type="dxa"/>
            <w:left w:w="108" w:type="dxa"/>
            <w:bottom w:w="0" w:type="dxa"/>
            <w:right w:w="108" w:type="dxa"/>
          </w:tblCellMar>
        </w:tblPrEx>
        <w:trPr>
          <w:trHeight w:val="339" w:hRule="atLeast"/>
        </w:trPr>
        <w:tc>
          <w:tcPr>
            <w:tcW w:w="71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1</w:t>
            </w:r>
          </w:p>
        </w:tc>
        <w:tc>
          <w:tcPr>
            <w:tcW w:w="2425" w:type="dxa"/>
            <w:tcBorders>
              <w:top w:val="nil"/>
              <w:left w:val="nil"/>
              <w:bottom w:val="single" w:color="auto" w:sz="4" w:space="0"/>
              <w:right w:val="single" w:color="auto" w:sz="4" w:space="0"/>
            </w:tcBorders>
            <w:shd w:val="clear" w:color="auto" w:fill="auto"/>
            <w:noWrap/>
            <w:vAlign w:val="center"/>
          </w:tcPr>
          <w:p>
            <w:pPr>
              <w:jc w:val="left"/>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HIS系统改造</w:t>
            </w:r>
          </w:p>
        </w:tc>
        <w:tc>
          <w:tcPr>
            <w:tcW w:w="1140"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1</w:t>
            </w:r>
          </w:p>
        </w:tc>
        <w:tc>
          <w:tcPr>
            <w:tcW w:w="106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套</w:t>
            </w:r>
          </w:p>
        </w:tc>
        <w:tc>
          <w:tcPr>
            <w:tcW w:w="1388"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p>
        </w:tc>
        <w:tc>
          <w:tcPr>
            <w:tcW w:w="1125" w:type="dxa"/>
            <w:vMerge w:val="restart"/>
            <w:tcBorders>
              <w:top w:val="nil"/>
              <w:left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p>
        </w:tc>
        <w:tc>
          <w:tcPr>
            <w:tcW w:w="1163" w:type="dxa"/>
            <w:vMerge w:val="restart"/>
            <w:tcBorders>
              <w:top w:val="nil"/>
              <w:left w:val="nil"/>
              <w:right w:val="single" w:color="auto" w:sz="4" w:space="0"/>
            </w:tcBorders>
            <w:shd w:val="clear" w:color="auto" w:fill="auto"/>
            <w:noWrap/>
            <w:vAlign w:val="center"/>
          </w:tcPr>
          <w:p>
            <w:pP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详见技术要求</w:t>
            </w:r>
          </w:p>
        </w:tc>
      </w:tr>
      <w:tr>
        <w:tblPrEx>
          <w:tblCellMar>
            <w:top w:w="0" w:type="dxa"/>
            <w:left w:w="108" w:type="dxa"/>
            <w:bottom w:w="0" w:type="dxa"/>
            <w:right w:w="108" w:type="dxa"/>
          </w:tblCellMar>
        </w:tblPrEx>
        <w:trPr>
          <w:trHeight w:val="348" w:hRule="atLeast"/>
        </w:trPr>
        <w:tc>
          <w:tcPr>
            <w:tcW w:w="71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2</w:t>
            </w:r>
          </w:p>
        </w:tc>
        <w:tc>
          <w:tcPr>
            <w:tcW w:w="2425" w:type="dxa"/>
            <w:tcBorders>
              <w:top w:val="nil"/>
              <w:left w:val="nil"/>
              <w:bottom w:val="single" w:color="auto" w:sz="4" w:space="0"/>
              <w:right w:val="single" w:color="auto" w:sz="4" w:space="0"/>
            </w:tcBorders>
            <w:shd w:val="clear" w:color="auto" w:fill="auto"/>
            <w:noWrap/>
            <w:vAlign w:val="center"/>
          </w:tcPr>
          <w:p>
            <w:pPr>
              <w:jc w:val="left"/>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住院电子病历系统改造</w:t>
            </w:r>
          </w:p>
        </w:tc>
        <w:tc>
          <w:tcPr>
            <w:tcW w:w="1140"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1</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套</w:t>
            </w:r>
          </w:p>
        </w:tc>
        <w:tc>
          <w:tcPr>
            <w:tcW w:w="1388" w:type="dxa"/>
            <w:vMerge w:val="continue"/>
            <w:tcBorders>
              <w:left w:val="single" w:color="auto" w:sz="4" w:space="0"/>
              <w:right w:val="single" w:color="auto" w:sz="4" w:space="0"/>
            </w:tcBorders>
            <w:vAlign w:val="center"/>
          </w:tcPr>
          <w:p>
            <w:pPr>
              <w:rPr>
                <w:rFonts w:ascii="微软雅黑 Light" w:hAnsi="微软雅黑 Light" w:eastAsia="微软雅黑 Light" w:cs="宋体"/>
                <w:sz w:val="20"/>
                <w:szCs w:val="20"/>
              </w:rPr>
            </w:pPr>
          </w:p>
        </w:tc>
        <w:tc>
          <w:tcPr>
            <w:tcW w:w="1125" w:type="dxa"/>
            <w:vMerge w:val="continue"/>
            <w:tcBorders>
              <w:left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p>
        </w:tc>
        <w:tc>
          <w:tcPr>
            <w:tcW w:w="1163" w:type="dxa"/>
            <w:vMerge w:val="continue"/>
            <w:tcBorders>
              <w:left w:val="nil"/>
              <w:right w:val="single" w:color="auto" w:sz="4" w:space="0"/>
            </w:tcBorders>
            <w:shd w:val="clear" w:color="auto" w:fill="auto"/>
            <w:noWrap/>
            <w:vAlign w:val="center"/>
          </w:tcPr>
          <w:p>
            <w:pPr>
              <w:rPr>
                <w:rFonts w:ascii="微软雅黑 Light" w:hAnsi="微软雅黑 Light" w:eastAsia="微软雅黑 Light" w:cs="宋体"/>
                <w:sz w:val="20"/>
                <w:szCs w:val="20"/>
              </w:rPr>
            </w:pPr>
          </w:p>
        </w:tc>
      </w:tr>
      <w:tr>
        <w:tblPrEx>
          <w:tblCellMar>
            <w:top w:w="0" w:type="dxa"/>
            <w:left w:w="108" w:type="dxa"/>
            <w:bottom w:w="0" w:type="dxa"/>
            <w:right w:w="108" w:type="dxa"/>
          </w:tblCellMar>
        </w:tblPrEx>
        <w:trPr>
          <w:trHeight w:val="348" w:hRule="atLeast"/>
        </w:trPr>
        <w:tc>
          <w:tcPr>
            <w:tcW w:w="71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3</w:t>
            </w:r>
          </w:p>
        </w:tc>
        <w:tc>
          <w:tcPr>
            <w:tcW w:w="2425" w:type="dxa"/>
            <w:tcBorders>
              <w:top w:val="nil"/>
              <w:left w:val="nil"/>
              <w:bottom w:val="single" w:color="auto" w:sz="4" w:space="0"/>
              <w:right w:val="single" w:color="auto" w:sz="4" w:space="0"/>
            </w:tcBorders>
            <w:shd w:val="clear" w:color="auto" w:fill="auto"/>
            <w:noWrap/>
            <w:vAlign w:val="center"/>
          </w:tcPr>
          <w:p>
            <w:pPr>
              <w:jc w:val="left"/>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门诊电子病历系统</w:t>
            </w:r>
          </w:p>
        </w:tc>
        <w:tc>
          <w:tcPr>
            <w:tcW w:w="1140"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1</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套</w:t>
            </w:r>
          </w:p>
        </w:tc>
        <w:tc>
          <w:tcPr>
            <w:tcW w:w="1388" w:type="dxa"/>
            <w:vMerge w:val="continue"/>
            <w:tcBorders>
              <w:left w:val="single" w:color="auto" w:sz="4" w:space="0"/>
              <w:right w:val="single" w:color="auto" w:sz="4" w:space="0"/>
            </w:tcBorders>
            <w:vAlign w:val="center"/>
          </w:tcPr>
          <w:p>
            <w:pPr>
              <w:rPr>
                <w:rFonts w:ascii="微软雅黑 Light" w:hAnsi="微软雅黑 Light" w:eastAsia="微软雅黑 Light" w:cs="宋体"/>
                <w:sz w:val="20"/>
                <w:szCs w:val="20"/>
              </w:rPr>
            </w:pPr>
          </w:p>
        </w:tc>
        <w:tc>
          <w:tcPr>
            <w:tcW w:w="1125" w:type="dxa"/>
            <w:vMerge w:val="continue"/>
            <w:tcBorders>
              <w:left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p>
        </w:tc>
        <w:tc>
          <w:tcPr>
            <w:tcW w:w="1163" w:type="dxa"/>
            <w:vMerge w:val="continue"/>
            <w:tcBorders>
              <w:left w:val="nil"/>
              <w:right w:val="single" w:color="auto" w:sz="4" w:space="0"/>
            </w:tcBorders>
            <w:shd w:val="clear" w:color="auto" w:fill="auto"/>
            <w:noWrap/>
            <w:vAlign w:val="center"/>
          </w:tcPr>
          <w:p>
            <w:pPr>
              <w:rPr>
                <w:rFonts w:ascii="微软雅黑 Light" w:hAnsi="微软雅黑 Light" w:eastAsia="微软雅黑 Light" w:cs="宋体"/>
                <w:sz w:val="20"/>
                <w:szCs w:val="20"/>
              </w:rPr>
            </w:pPr>
          </w:p>
        </w:tc>
      </w:tr>
      <w:tr>
        <w:tblPrEx>
          <w:tblCellMar>
            <w:top w:w="0" w:type="dxa"/>
            <w:left w:w="108" w:type="dxa"/>
            <w:bottom w:w="0" w:type="dxa"/>
            <w:right w:w="108" w:type="dxa"/>
          </w:tblCellMar>
        </w:tblPrEx>
        <w:trPr>
          <w:trHeight w:val="348" w:hRule="atLeast"/>
        </w:trPr>
        <w:tc>
          <w:tcPr>
            <w:tcW w:w="71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4</w:t>
            </w:r>
          </w:p>
        </w:tc>
        <w:tc>
          <w:tcPr>
            <w:tcW w:w="2425" w:type="dxa"/>
            <w:tcBorders>
              <w:top w:val="nil"/>
              <w:left w:val="nil"/>
              <w:bottom w:val="single" w:color="auto" w:sz="4" w:space="0"/>
              <w:right w:val="single" w:color="auto" w:sz="4" w:space="0"/>
            </w:tcBorders>
            <w:shd w:val="clear" w:color="auto" w:fill="auto"/>
            <w:noWrap/>
            <w:vAlign w:val="center"/>
          </w:tcPr>
          <w:p>
            <w:pPr>
              <w:jc w:val="left"/>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单点登录系统</w:t>
            </w:r>
          </w:p>
        </w:tc>
        <w:tc>
          <w:tcPr>
            <w:tcW w:w="1140"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1</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套</w:t>
            </w:r>
          </w:p>
        </w:tc>
        <w:tc>
          <w:tcPr>
            <w:tcW w:w="1388" w:type="dxa"/>
            <w:vMerge w:val="continue"/>
            <w:tcBorders>
              <w:left w:val="single" w:color="auto" w:sz="4" w:space="0"/>
              <w:right w:val="single" w:color="auto" w:sz="4" w:space="0"/>
            </w:tcBorders>
            <w:vAlign w:val="center"/>
          </w:tcPr>
          <w:p>
            <w:pPr>
              <w:rPr>
                <w:rFonts w:ascii="微软雅黑 Light" w:hAnsi="微软雅黑 Light" w:eastAsia="微软雅黑 Light" w:cs="宋体"/>
                <w:sz w:val="20"/>
                <w:szCs w:val="20"/>
              </w:rPr>
            </w:pPr>
          </w:p>
        </w:tc>
        <w:tc>
          <w:tcPr>
            <w:tcW w:w="1125" w:type="dxa"/>
            <w:vMerge w:val="continue"/>
            <w:tcBorders>
              <w:left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p>
        </w:tc>
        <w:tc>
          <w:tcPr>
            <w:tcW w:w="1163" w:type="dxa"/>
            <w:vMerge w:val="continue"/>
            <w:tcBorders>
              <w:left w:val="nil"/>
              <w:right w:val="single" w:color="auto" w:sz="4" w:space="0"/>
            </w:tcBorders>
            <w:shd w:val="clear" w:color="auto" w:fill="auto"/>
            <w:noWrap/>
            <w:vAlign w:val="center"/>
          </w:tcPr>
          <w:p>
            <w:pPr>
              <w:rPr>
                <w:rFonts w:ascii="微软雅黑 Light" w:hAnsi="微软雅黑 Light" w:eastAsia="微软雅黑 Light" w:cs="宋体"/>
                <w:sz w:val="20"/>
                <w:szCs w:val="20"/>
              </w:rPr>
            </w:pPr>
          </w:p>
        </w:tc>
      </w:tr>
      <w:tr>
        <w:tblPrEx>
          <w:tblCellMar>
            <w:top w:w="0" w:type="dxa"/>
            <w:left w:w="108" w:type="dxa"/>
            <w:bottom w:w="0" w:type="dxa"/>
            <w:right w:w="108" w:type="dxa"/>
          </w:tblCellMar>
        </w:tblPrEx>
        <w:trPr>
          <w:trHeight w:val="348" w:hRule="atLeast"/>
        </w:trPr>
        <w:tc>
          <w:tcPr>
            <w:tcW w:w="71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5</w:t>
            </w:r>
          </w:p>
        </w:tc>
        <w:tc>
          <w:tcPr>
            <w:tcW w:w="2425" w:type="dxa"/>
            <w:tcBorders>
              <w:top w:val="nil"/>
              <w:left w:val="nil"/>
              <w:bottom w:val="single" w:color="auto" w:sz="4" w:space="0"/>
              <w:right w:val="single" w:color="auto" w:sz="4" w:space="0"/>
            </w:tcBorders>
            <w:shd w:val="clear" w:color="auto" w:fill="auto"/>
            <w:noWrap/>
            <w:vAlign w:val="center"/>
          </w:tcPr>
          <w:p>
            <w:pPr>
              <w:jc w:val="left"/>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工伤系统对接</w:t>
            </w:r>
          </w:p>
        </w:tc>
        <w:tc>
          <w:tcPr>
            <w:tcW w:w="1140"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1</w:t>
            </w:r>
          </w:p>
        </w:tc>
        <w:tc>
          <w:tcPr>
            <w:tcW w:w="106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套</w:t>
            </w:r>
          </w:p>
        </w:tc>
        <w:tc>
          <w:tcPr>
            <w:tcW w:w="1388"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p>
        </w:tc>
        <w:tc>
          <w:tcPr>
            <w:tcW w:w="1125"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p>
        </w:tc>
        <w:tc>
          <w:tcPr>
            <w:tcW w:w="1163" w:type="dxa"/>
            <w:vMerge w:val="continue"/>
            <w:tcBorders>
              <w:left w:val="nil"/>
              <w:bottom w:val="single" w:color="auto" w:sz="4" w:space="0"/>
              <w:right w:val="single" w:color="auto" w:sz="4" w:space="0"/>
            </w:tcBorders>
            <w:shd w:val="clear" w:color="auto" w:fill="auto"/>
            <w:noWrap/>
            <w:vAlign w:val="center"/>
          </w:tcPr>
          <w:p>
            <w:pPr>
              <w:rPr>
                <w:rFonts w:ascii="微软雅黑 Light" w:hAnsi="微软雅黑 Light" w:eastAsia="微软雅黑 Light" w:cs="宋体"/>
                <w:sz w:val="20"/>
                <w:szCs w:val="20"/>
              </w:rPr>
            </w:pPr>
          </w:p>
        </w:tc>
      </w:tr>
      <w:tr>
        <w:tblPrEx>
          <w:tblCellMar>
            <w:top w:w="0" w:type="dxa"/>
            <w:left w:w="108" w:type="dxa"/>
            <w:bottom w:w="0" w:type="dxa"/>
            <w:right w:w="108" w:type="dxa"/>
          </w:tblCellMar>
        </w:tblPrEx>
        <w:trPr>
          <w:trHeight w:val="646" w:hRule="atLeast"/>
        </w:trPr>
        <w:tc>
          <w:tcPr>
            <w:tcW w:w="71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6</w:t>
            </w:r>
          </w:p>
        </w:tc>
        <w:tc>
          <w:tcPr>
            <w:tcW w:w="2425" w:type="dxa"/>
            <w:tcBorders>
              <w:top w:val="nil"/>
              <w:left w:val="nil"/>
              <w:bottom w:val="single" w:color="auto" w:sz="4" w:space="0"/>
              <w:right w:val="single" w:color="auto" w:sz="4" w:space="0"/>
            </w:tcBorders>
            <w:shd w:val="clear" w:color="auto" w:fill="auto"/>
            <w:noWrap/>
            <w:vAlign w:val="center"/>
          </w:tcPr>
          <w:p>
            <w:pPr>
              <w:jc w:val="left"/>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PACS系统改造</w:t>
            </w:r>
          </w:p>
        </w:tc>
        <w:tc>
          <w:tcPr>
            <w:tcW w:w="1140"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1</w:t>
            </w:r>
          </w:p>
        </w:tc>
        <w:tc>
          <w:tcPr>
            <w:tcW w:w="106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套</w:t>
            </w:r>
          </w:p>
        </w:tc>
        <w:tc>
          <w:tcPr>
            <w:tcW w:w="1388"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p>
        </w:tc>
        <w:tc>
          <w:tcPr>
            <w:tcW w:w="1125"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p>
        </w:tc>
        <w:tc>
          <w:tcPr>
            <w:tcW w:w="1163" w:type="dxa"/>
            <w:tcBorders>
              <w:top w:val="nil"/>
              <w:left w:val="nil"/>
              <w:bottom w:val="single" w:color="auto" w:sz="4" w:space="0"/>
              <w:right w:val="single" w:color="auto" w:sz="4" w:space="0"/>
            </w:tcBorders>
            <w:shd w:val="clear" w:color="auto" w:fill="auto"/>
            <w:noWrap/>
            <w:vAlign w:val="center"/>
          </w:tcPr>
          <w:p>
            <w:pP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　</w:t>
            </w:r>
          </w:p>
        </w:tc>
      </w:tr>
      <w:tr>
        <w:tblPrEx>
          <w:tblCellMar>
            <w:top w:w="0" w:type="dxa"/>
            <w:left w:w="108" w:type="dxa"/>
            <w:bottom w:w="0" w:type="dxa"/>
            <w:right w:w="108" w:type="dxa"/>
          </w:tblCellMar>
        </w:tblPrEx>
        <w:trPr>
          <w:trHeight w:val="658" w:hRule="atLeast"/>
        </w:trPr>
        <w:tc>
          <w:tcPr>
            <w:tcW w:w="7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p>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7</w:t>
            </w:r>
          </w:p>
        </w:tc>
        <w:tc>
          <w:tcPr>
            <w:tcW w:w="2425" w:type="dxa"/>
            <w:tcBorders>
              <w:top w:val="nil"/>
              <w:left w:val="nil"/>
              <w:bottom w:val="single" w:color="auto" w:sz="4" w:space="0"/>
              <w:right w:val="single" w:color="auto" w:sz="4" w:space="0"/>
            </w:tcBorders>
            <w:shd w:val="clear" w:color="auto" w:fill="auto"/>
            <w:noWrap/>
            <w:vAlign w:val="center"/>
          </w:tcPr>
          <w:p>
            <w:pPr>
              <w:jc w:val="left"/>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移动护理系统（PC端）新增（11个病区）不含硬件</w:t>
            </w:r>
          </w:p>
        </w:tc>
        <w:tc>
          <w:tcPr>
            <w:tcW w:w="1140"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1</w:t>
            </w:r>
          </w:p>
        </w:tc>
        <w:tc>
          <w:tcPr>
            <w:tcW w:w="1063"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套</w:t>
            </w:r>
          </w:p>
        </w:tc>
        <w:tc>
          <w:tcPr>
            <w:tcW w:w="1388"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p>
        </w:tc>
        <w:tc>
          <w:tcPr>
            <w:tcW w:w="1125"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微软雅黑 Light" w:hAnsi="微软雅黑 Light" w:eastAsia="微软雅黑 Light" w:cs="宋体"/>
                <w:sz w:val="20"/>
                <w:szCs w:val="20"/>
              </w:rPr>
            </w:pPr>
          </w:p>
        </w:tc>
      </w:tr>
      <w:tr>
        <w:tblPrEx>
          <w:tblCellMar>
            <w:top w:w="0" w:type="dxa"/>
            <w:left w:w="108" w:type="dxa"/>
            <w:bottom w:w="0" w:type="dxa"/>
            <w:right w:w="108" w:type="dxa"/>
          </w:tblCellMar>
        </w:tblPrEx>
        <w:trPr>
          <w:trHeight w:val="596" w:hRule="atLeast"/>
        </w:trPr>
        <w:tc>
          <w:tcPr>
            <w:tcW w:w="7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8</w:t>
            </w:r>
          </w:p>
        </w:tc>
        <w:tc>
          <w:tcPr>
            <w:tcW w:w="2425" w:type="dxa"/>
            <w:tcBorders>
              <w:top w:val="nil"/>
              <w:left w:val="nil"/>
              <w:bottom w:val="single" w:color="auto" w:sz="4" w:space="0"/>
              <w:right w:val="single" w:color="auto" w:sz="4" w:space="0"/>
            </w:tcBorders>
            <w:shd w:val="clear" w:color="auto" w:fill="auto"/>
            <w:noWrap/>
            <w:vAlign w:val="center"/>
          </w:tcPr>
          <w:p>
            <w:pPr>
              <w:jc w:val="left"/>
              <w:rPr>
                <w:rFonts w:ascii="微软雅黑 Light" w:hAnsi="微软雅黑 Light" w:eastAsia="微软雅黑 Light" w:cs="宋体"/>
                <w:i/>
                <w:iCs/>
                <w:color w:val="953735" w:themeColor="accent2" w:themeShade="BF"/>
                <w:sz w:val="20"/>
                <w:szCs w:val="20"/>
              </w:rPr>
            </w:pPr>
            <w:r>
              <w:rPr>
                <w:rFonts w:hint="eastAsia" w:ascii="微软雅黑 Light" w:hAnsi="微软雅黑 Light" w:eastAsia="微软雅黑 Light" w:cs="宋体"/>
                <w:sz w:val="20"/>
                <w:szCs w:val="20"/>
              </w:rPr>
              <w:t>血库管理系统</w:t>
            </w:r>
          </w:p>
        </w:tc>
        <w:tc>
          <w:tcPr>
            <w:tcW w:w="1140"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i/>
                <w:iCs/>
                <w:color w:val="953735" w:themeColor="accent2" w:themeShade="BF"/>
                <w:sz w:val="20"/>
                <w:szCs w:val="20"/>
              </w:rPr>
            </w:pPr>
            <w:r>
              <w:rPr>
                <w:rFonts w:hint="eastAsia" w:ascii="微软雅黑 Light" w:hAnsi="微软雅黑 Light" w:eastAsia="微软雅黑 Light" w:cs="宋体"/>
                <w:sz w:val="20"/>
                <w:szCs w:val="20"/>
              </w:rPr>
              <w:t>1</w:t>
            </w:r>
          </w:p>
        </w:tc>
        <w:tc>
          <w:tcPr>
            <w:tcW w:w="1063"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套</w:t>
            </w:r>
          </w:p>
        </w:tc>
        <w:tc>
          <w:tcPr>
            <w:tcW w:w="1388"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i/>
                <w:iCs/>
                <w:color w:val="953735" w:themeColor="accent2" w:themeShade="BF"/>
                <w:sz w:val="20"/>
                <w:szCs w:val="20"/>
              </w:rPr>
            </w:pPr>
          </w:p>
        </w:tc>
        <w:tc>
          <w:tcPr>
            <w:tcW w:w="1125"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i/>
                <w:iCs/>
                <w:color w:val="953735" w:themeColor="accent2" w:themeShade="BF"/>
                <w:sz w:val="20"/>
                <w:szCs w:val="20"/>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微软雅黑 Light" w:hAnsi="微软雅黑 Light" w:eastAsia="微软雅黑 Light" w:cs="宋体"/>
                <w:sz w:val="20"/>
                <w:szCs w:val="20"/>
              </w:rPr>
            </w:pPr>
          </w:p>
        </w:tc>
      </w:tr>
      <w:tr>
        <w:tblPrEx>
          <w:tblCellMar>
            <w:top w:w="0" w:type="dxa"/>
            <w:left w:w="108" w:type="dxa"/>
            <w:bottom w:w="0" w:type="dxa"/>
            <w:right w:w="108" w:type="dxa"/>
          </w:tblCellMar>
        </w:tblPrEx>
        <w:trPr>
          <w:trHeight w:val="471" w:hRule="atLeast"/>
        </w:trPr>
        <w:tc>
          <w:tcPr>
            <w:tcW w:w="7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9</w:t>
            </w:r>
          </w:p>
        </w:tc>
        <w:tc>
          <w:tcPr>
            <w:tcW w:w="2425" w:type="dxa"/>
            <w:tcBorders>
              <w:top w:val="nil"/>
              <w:left w:val="nil"/>
              <w:bottom w:val="single" w:color="auto" w:sz="4" w:space="0"/>
              <w:right w:val="single" w:color="auto" w:sz="4" w:space="0"/>
            </w:tcBorders>
            <w:shd w:val="clear" w:color="auto" w:fill="auto"/>
            <w:noWrap/>
            <w:vAlign w:val="center"/>
          </w:tcPr>
          <w:p>
            <w:pPr>
              <w:jc w:val="left"/>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单病种质控上报系统</w:t>
            </w:r>
          </w:p>
        </w:tc>
        <w:tc>
          <w:tcPr>
            <w:tcW w:w="1140"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1</w:t>
            </w:r>
          </w:p>
        </w:tc>
        <w:tc>
          <w:tcPr>
            <w:tcW w:w="1063"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套</w:t>
            </w:r>
          </w:p>
        </w:tc>
        <w:tc>
          <w:tcPr>
            <w:tcW w:w="1388"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p>
        </w:tc>
        <w:tc>
          <w:tcPr>
            <w:tcW w:w="1125"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p>
        </w:tc>
        <w:tc>
          <w:tcPr>
            <w:tcW w:w="1163" w:type="dxa"/>
            <w:tcBorders>
              <w:top w:val="single" w:color="auto" w:sz="4" w:space="0"/>
              <w:left w:val="nil"/>
              <w:bottom w:val="single" w:color="auto" w:sz="4" w:space="0"/>
              <w:right w:val="single" w:color="auto" w:sz="4" w:space="0"/>
            </w:tcBorders>
            <w:shd w:val="clear" w:color="auto" w:fill="auto"/>
            <w:noWrap/>
            <w:vAlign w:val="center"/>
          </w:tcPr>
          <w:p>
            <w:pPr>
              <w:rPr>
                <w:rFonts w:ascii="微软雅黑 Light" w:hAnsi="微软雅黑 Light" w:eastAsia="微软雅黑 Light" w:cs="宋体"/>
                <w:sz w:val="20"/>
                <w:szCs w:val="20"/>
              </w:rPr>
            </w:pPr>
          </w:p>
        </w:tc>
      </w:tr>
      <w:tr>
        <w:tblPrEx>
          <w:tblCellMar>
            <w:top w:w="0" w:type="dxa"/>
            <w:left w:w="108" w:type="dxa"/>
            <w:bottom w:w="0" w:type="dxa"/>
            <w:right w:w="108" w:type="dxa"/>
          </w:tblCellMar>
        </w:tblPrEx>
        <w:trPr>
          <w:trHeight w:val="789" w:hRule="atLeast"/>
        </w:trPr>
        <w:tc>
          <w:tcPr>
            <w:tcW w:w="71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10</w:t>
            </w:r>
          </w:p>
        </w:tc>
        <w:tc>
          <w:tcPr>
            <w:tcW w:w="2425" w:type="dxa"/>
            <w:tcBorders>
              <w:top w:val="nil"/>
              <w:left w:val="nil"/>
              <w:bottom w:val="single" w:color="auto" w:sz="4" w:space="0"/>
              <w:right w:val="single" w:color="auto" w:sz="4" w:space="0"/>
            </w:tcBorders>
            <w:shd w:val="clear" w:color="auto" w:fill="auto"/>
            <w:noWrap/>
            <w:vAlign w:val="center"/>
          </w:tcPr>
          <w:p>
            <w:pPr>
              <w:jc w:val="left"/>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中医针灸、推拿治疗系统</w:t>
            </w:r>
          </w:p>
        </w:tc>
        <w:tc>
          <w:tcPr>
            <w:tcW w:w="1140"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1</w:t>
            </w:r>
          </w:p>
        </w:tc>
        <w:tc>
          <w:tcPr>
            <w:tcW w:w="1063"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套</w:t>
            </w:r>
          </w:p>
        </w:tc>
        <w:tc>
          <w:tcPr>
            <w:tcW w:w="1388"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p>
        </w:tc>
        <w:tc>
          <w:tcPr>
            <w:tcW w:w="1125"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p>
        </w:tc>
        <w:tc>
          <w:tcPr>
            <w:tcW w:w="1163" w:type="dxa"/>
            <w:tcBorders>
              <w:top w:val="nil"/>
              <w:left w:val="nil"/>
              <w:bottom w:val="single" w:color="auto" w:sz="4" w:space="0"/>
              <w:right w:val="single" w:color="auto" w:sz="4" w:space="0"/>
            </w:tcBorders>
            <w:shd w:val="clear" w:color="auto" w:fill="auto"/>
            <w:noWrap/>
            <w:vAlign w:val="center"/>
          </w:tcPr>
          <w:p>
            <w:pP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不包括中医知识库</w:t>
            </w:r>
          </w:p>
        </w:tc>
      </w:tr>
      <w:tr>
        <w:tblPrEx>
          <w:tblCellMar>
            <w:top w:w="0" w:type="dxa"/>
            <w:left w:w="108" w:type="dxa"/>
            <w:bottom w:w="0" w:type="dxa"/>
            <w:right w:w="108" w:type="dxa"/>
          </w:tblCellMar>
        </w:tblPrEx>
        <w:trPr>
          <w:trHeight w:val="348" w:hRule="atLeast"/>
        </w:trPr>
        <w:tc>
          <w:tcPr>
            <w:tcW w:w="71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11</w:t>
            </w:r>
          </w:p>
        </w:tc>
        <w:tc>
          <w:tcPr>
            <w:tcW w:w="2425" w:type="dxa"/>
            <w:tcBorders>
              <w:top w:val="nil"/>
              <w:left w:val="nil"/>
              <w:bottom w:val="single" w:color="auto" w:sz="4" w:space="0"/>
              <w:right w:val="single" w:color="auto" w:sz="4" w:space="0"/>
            </w:tcBorders>
            <w:shd w:val="clear" w:color="auto" w:fill="auto"/>
            <w:noWrap/>
            <w:vAlign w:val="center"/>
          </w:tcPr>
          <w:p>
            <w:pPr>
              <w:jc w:val="left"/>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LIS系统改造</w:t>
            </w:r>
          </w:p>
        </w:tc>
        <w:tc>
          <w:tcPr>
            <w:tcW w:w="1140"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1</w:t>
            </w:r>
          </w:p>
        </w:tc>
        <w:tc>
          <w:tcPr>
            <w:tcW w:w="1063"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套</w:t>
            </w:r>
          </w:p>
        </w:tc>
        <w:tc>
          <w:tcPr>
            <w:tcW w:w="1388"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p>
        </w:tc>
        <w:tc>
          <w:tcPr>
            <w:tcW w:w="1125"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p>
        </w:tc>
        <w:tc>
          <w:tcPr>
            <w:tcW w:w="1163" w:type="dxa"/>
            <w:tcBorders>
              <w:top w:val="nil"/>
              <w:left w:val="nil"/>
              <w:bottom w:val="single" w:color="auto" w:sz="4" w:space="0"/>
              <w:right w:val="single" w:color="auto" w:sz="4" w:space="0"/>
            </w:tcBorders>
            <w:shd w:val="clear" w:color="auto" w:fill="auto"/>
            <w:noWrap/>
            <w:vAlign w:val="center"/>
          </w:tcPr>
          <w:p>
            <w:pPr>
              <w:rPr>
                <w:rFonts w:ascii="微软雅黑 Light" w:hAnsi="微软雅黑 Light" w:eastAsia="微软雅黑 Light" w:cs="宋体"/>
                <w:sz w:val="20"/>
                <w:szCs w:val="20"/>
              </w:rPr>
            </w:pPr>
          </w:p>
        </w:tc>
      </w:tr>
      <w:tr>
        <w:tblPrEx>
          <w:tblCellMar>
            <w:top w:w="0" w:type="dxa"/>
            <w:left w:w="108" w:type="dxa"/>
            <w:bottom w:w="0" w:type="dxa"/>
            <w:right w:w="108" w:type="dxa"/>
          </w:tblCellMar>
        </w:tblPrEx>
        <w:trPr>
          <w:trHeight w:val="348" w:hRule="atLeast"/>
        </w:trPr>
        <w:tc>
          <w:tcPr>
            <w:tcW w:w="71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12</w:t>
            </w:r>
          </w:p>
        </w:tc>
        <w:tc>
          <w:tcPr>
            <w:tcW w:w="2425" w:type="dxa"/>
            <w:tcBorders>
              <w:top w:val="nil"/>
              <w:left w:val="nil"/>
              <w:bottom w:val="single" w:color="auto" w:sz="4" w:space="0"/>
              <w:right w:val="single" w:color="auto" w:sz="4" w:space="0"/>
            </w:tcBorders>
            <w:shd w:val="clear" w:color="auto" w:fill="auto"/>
            <w:noWrap/>
            <w:vAlign w:val="center"/>
          </w:tcPr>
          <w:p>
            <w:pPr>
              <w:jc w:val="left"/>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检验危急值闭环管理系统</w:t>
            </w:r>
          </w:p>
        </w:tc>
        <w:tc>
          <w:tcPr>
            <w:tcW w:w="1140"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1</w:t>
            </w:r>
          </w:p>
        </w:tc>
        <w:tc>
          <w:tcPr>
            <w:tcW w:w="1063"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套</w:t>
            </w:r>
          </w:p>
        </w:tc>
        <w:tc>
          <w:tcPr>
            <w:tcW w:w="1388"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p>
        </w:tc>
        <w:tc>
          <w:tcPr>
            <w:tcW w:w="1125"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p>
        </w:tc>
        <w:tc>
          <w:tcPr>
            <w:tcW w:w="1163" w:type="dxa"/>
            <w:tcBorders>
              <w:top w:val="nil"/>
              <w:left w:val="nil"/>
              <w:bottom w:val="single" w:color="auto" w:sz="4" w:space="0"/>
              <w:right w:val="single" w:color="auto" w:sz="4" w:space="0"/>
            </w:tcBorders>
            <w:shd w:val="clear" w:color="auto" w:fill="auto"/>
            <w:noWrap/>
            <w:vAlign w:val="center"/>
          </w:tcPr>
          <w:p>
            <w:pP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　</w:t>
            </w:r>
          </w:p>
        </w:tc>
      </w:tr>
      <w:tr>
        <w:tblPrEx>
          <w:tblCellMar>
            <w:top w:w="0" w:type="dxa"/>
            <w:left w:w="108" w:type="dxa"/>
            <w:bottom w:w="0" w:type="dxa"/>
            <w:right w:w="108" w:type="dxa"/>
          </w:tblCellMar>
        </w:tblPrEx>
        <w:trPr>
          <w:trHeight w:val="348" w:hRule="atLeast"/>
        </w:trPr>
        <w:tc>
          <w:tcPr>
            <w:tcW w:w="71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13</w:t>
            </w:r>
          </w:p>
        </w:tc>
        <w:tc>
          <w:tcPr>
            <w:tcW w:w="2425" w:type="dxa"/>
            <w:tcBorders>
              <w:top w:val="nil"/>
              <w:left w:val="nil"/>
              <w:bottom w:val="single" w:color="auto" w:sz="4" w:space="0"/>
              <w:right w:val="single" w:color="auto" w:sz="4" w:space="0"/>
            </w:tcBorders>
            <w:shd w:val="clear" w:color="auto" w:fill="auto"/>
            <w:noWrap/>
            <w:vAlign w:val="center"/>
          </w:tcPr>
          <w:p>
            <w:pPr>
              <w:jc w:val="left"/>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临床药物管理系统</w:t>
            </w:r>
          </w:p>
        </w:tc>
        <w:tc>
          <w:tcPr>
            <w:tcW w:w="1140"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1</w:t>
            </w:r>
          </w:p>
        </w:tc>
        <w:tc>
          <w:tcPr>
            <w:tcW w:w="1063"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套</w:t>
            </w:r>
          </w:p>
        </w:tc>
        <w:tc>
          <w:tcPr>
            <w:tcW w:w="1388"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p>
        </w:tc>
        <w:tc>
          <w:tcPr>
            <w:tcW w:w="1125"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p>
        </w:tc>
        <w:tc>
          <w:tcPr>
            <w:tcW w:w="1163" w:type="dxa"/>
            <w:tcBorders>
              <w:top w:val="nil"/>
              <w:left w:val="nil"/>
              <w:bottom w:val="single" w:color="auto" w:sz="4" w:space="0"/>
              <w:right w:val="single" w:color="auto" w:sz="4" w:space="0"/>
            </w:tcBorders>
            <w:shd w:val="clear" w:color="auto" w:fill="auto"/>
            <w:noWrap/>
            <w:vAlign w:val="center"/>
          </w:tcPr>
          <w:p>
            <w:pP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　</w:t>
            </w:r>
          </w:p>
        </w:tc>
      </w:tr>
      <w:tr>
        <w:tblPrEx>
          <w:tblCellMar>
            <w:top w:w="0" w:type="dxa"/>
            <w:left w:w="108" w:type="dxa"/>
            <w:bottom w:w="0" w:type="dxa"/>
            <w:right w:w="108" w:type="dxa"/>
          </w:tblCellMar>
        </w:tblPrEx>
        <w:trPr>
          <w:trHeight w:val="426" w:hRule="atLeast"/>
        </w:trPr>
        <w:tc>
          <w:tcPr>
            <w:tcW w:w="71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14</w:t>
            </w:r>
          </w:p>
        </w:tc>
        <w:tc>
          <w:tcPr>
            <w:tcW w:w="2425" w:type="dxa"/>
            <w:tcBorders>
              <w:top w:val="nil"/>
              <w:left w:val="nil"/>
              <w:bottom w:val="single" w:color="auto" w:sz="4" w:space="0"/>
              <w:right w:val="single" w:color="auto" w:sz="4" w:space="0"/>
            </w:tcBorders>
            <w:shd w:val="clear" w:color="auto" w:fill="auto"/>
            <w:noWrap/>
            <w:vAlign w:val="center"/>
          </w:tcPr>
          <w:p>
            <w:pPr>
              <w:jc w:val="left"/>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手麻系统</w:t>
            </w:r>
          </w:p>
        </w:tc>
        <w:tc>
          <w:tcPr>
            <w:tcW w:w="1140"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1</w:t>
            </w:r>
          </w:p>
        </w:tc>
        <w:tc>
          <w:tcPr>
            <w:tcW w:w="1063"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套</w:t>
            </w:r>
          </w:p>
        </w:tc>
        <w:tc>
          <w:tcPr>
            <w:tcW w:w="1388"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p>
        </w:tc>
        <w:tc>
          <w:tcPr>
            <w:tcW w:w="1125"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p>
        </w:tc>
        <w:tc>
          <w:tcPr>
            <w:tcW w:w="1163" w:type="dxa"/>
            <w:tcBorders>
              <w:top w:val="nil"/>
              <w:left w:val="nil"/>
              <w:bottom w:val="single" w:color="auto" w:sz="4" w:space="0"/>
              <w:right w:val="single" w:color="auto" w:sz="4" w:space="0"/>
            </w:tcBorders>
            <w:shd w:val="clear" w:color="auto" w:fill="auto"/>
            <w:noWrap/>
            <w:vAlign w:val="center"/>
          </w:tcPr>
          <w:p>
            <w:pP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手术室5间不含硬件</w:t>
            </w:r>
          </w:p>
        </w:tc>
      </w:tr>
      <w:tr>
        <w:tblPrEx>
          <w:tblCellMar>
            <w:top w:w="0" w:type="dxa"/>
            <w:left w:w="108" w:type="dxa"/>
            <w:bottom w:w="0" w:type="dxa"/>
            <w:right w:w="108" w:type="dxa"/>
          </w:tblCellMar>
        </w:tblPrEx>
        <w:trPr>
          <w:trHeight w:val="348" w:hRule="atLeast"/>
        </w:trPr>
        <w:tc>
          <w:tcPr>
            <w:tcW w:w="71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15</w:t>
            </w:r>
          </w:p>
        </w:tc>
        <w:tc>
          <w:tcPr>
            <w:tcW w:w="2425" w:type="dxa"/>
            <w:tcBorders>
              <w:top w:val="nil"/>
              <w:left w:val="nil"/>
              <w:bottom w:val="single" w:color="auto" w:sz="4" w:space="0"/>
              <w:right w:val="single" w:color="auto" w:sz="4" w:space="0"/>
            </w:tcBorders>
            <w:shd w:val="clear" w:color="auto" w:fill="auto"/>
            <w:noWrap/>
            <w:vAlign w:val="center"/>
          </w:tcPr>
          <w:p>
            <w:pPr>
              <w:jc w:val="left"/>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临床输血管理系统</w:t>
            </w:r>
          </w:p>
        </w:tc>
        <w:tc>
          <w:tcPr>
            <w:tcW w:w="1140"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1</w:t>
            </w:r>
          </w:p>
        </w:tc>
        <w:tc>
          <w:tcPr>
            <w:tcW w:w="1063"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套</w:t>
            </w:r>
          </w:p>
        </w:tc>
        <w:tc>
          <w:tcPr>
            <w:tcW w:w="1388"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p>
        </w:tc>
        <w:tc>
          <w:tcPr>
            <w:tcW w:w="1125"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p>
        </w:tc>
        <w:tc>
          <w:tcPr>
            <w:tcW w:w="1163" w:type="dxa"/>
            <w:tcBorders>
              <w:top w:val="nil"/>
              <w:left w:val="nil"/>
              <w:bottom w:val="single" w:color="auto" w:sz="4" w:space="0"/>
              <w:right w:val="single" w:color="auto" w:sz="4" w:space="0"/>
            </w:tcBorders>
            <w:shd w:val="clear" w:color="auto" w:fill="auto"/>
            <w:noWrap/>
            <w:vAlign w:val="center"/>
          </w:tcPr>
          <w:p>
            <w:pPr>
              <w:rPr>
                <w:rFonts w:ascii="微软雅黑 Light" w:hAnsi="微软雅黑 Light" w:eastAsia="微软雅黑 Light" w:cs="宋体"/>
                <w:sz w:val="20"/>
                <w:szCs w:val="20"/>
              </w:rPr>
            </w:pPr>
          </w:p>
        </w:tc>
      </w:tr>
      <w:tr>
        <w:tblPrEx>
          <w:tblCellMar>
            <w:top w:w="0" w:type="dxa"/>
            <w:left w:w="108" w:type="dxa"/>
            <w:bottom w:w="0" w:type="dxa"/>
            <w:right w:w="108" w:type="dxa"/>
          </w:tblCellMar>
        </w:tblPrEx>
        <w:trPr>
          <w:trHeight w:val="348" w:hRule="atLeast"/>
        </w:trPr>
        <w:tc>
          <w:tcPr>
            <w:tcW w:w="71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16</w:t>
            </w:r>
          </w:p>
        </w:tc>
        <w:tc>
          <w:tcPr>
            <w:tcW w:w="2425" w:type="dxa"/>
            <w:tcBorders>
              <w:top w:val="nil"/>
              <w:left w:val="nil"/>
              <w:bottom w:val="single" w:color="auto" w:sz="4" w:space="0"/>
              <w:right w:val="single" w:color="auto" w:sz="4" w:space="0"/>
            </w:tcBorders>
            <w:shd w:val="clear" w:color="auto" w:fill="auto"/>
            <w:noWrap/>
            <w:vAlign w:val="center"/>
          </w:tcPr>
          <w:p>
            <w:pPr>
              <w:jc w:val="left"/>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病案统计管理系统改造</w:t>
            </w:r>
          </w:p>
        </w:tc>
        <w:tc>
          <w:tcPr>
            <w:tcW w:w="1140"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1</w:t>
            </w:r>
          </w:p>
        </w:tc>
        <w:tc>
          <w:tcPr>
            <w:tcW w:w="1063"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套</w:t>
            </w:r>
          </w:p>
        </w:tc>
        <w:tc>
          <w:tcPr>
            <w:tcW w:w="1388"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p>
        </w:tc>
        <w:tc>
          <w:tcPr>
            <w:tcW w:w="1125"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p>
        </w:tc>
        <w:tc>
          <w:tcPr>
            <w:tcW w:w="1163" w:type="dxa"/>
            <w:tcBorders>
              <w:top w:val="nil"/>
              <w:left w:val="nil"/>
              <w:bottom w:val="single" w:color="auto" w:sz="4" w:space="0"/>
              <w:right w:val="single" w:color="auto" w:sz="4" w:space="0"/>
            </w:tcBorders>
            <w:shd w:val="clear" w:color="auto" w:fill="auto"/>
            <w:noWrap/>
            <w:vAlign w:val="center"/>
          </w:tcPr>
          <w:p>
            <w:pP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　</w:t>
            </w:r>
          </w:p>
        </w:tc>
      </w:tr>
      <w:tr>
        <w:tblPrEx>
          <w:tblCellMar>
            <w:top w:w="0" w:type="dxa"/>
            <w:left w:w="108" w:type="dxa"/>
            <w:bottom w:w="0" w:type="dxa"/>
            <w:right w:w="108" w:type="dxa"/>
          </w:tblCellMar>
        </w:tblPrEx>
        <w:trPr>
          <w:trHeight w:val="348" w:hRule="atLeast"/>
        </w:trPr>
        <w:tc>
          <w:tcPr>
            <w:tcW w:w="71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17</w:t>
            </w:r>
          </w:p>
        </w:tc>
        <w:tc>
          <w:tcPr>
            <w:tcW w:w="2425" w:type="dxa"/>
            <w:tcBorders>
              <w:top w:val="nil"/>
              <w:left w:val="nil"/>
              <w:bottom w:val="single" w:color="auto" w:sz="4" w:space="0"/>
              <w:right w:val="single" w:color="auto" w:sz="4" w:space="0"/>
            </w:tcBorders>
            <w:shd w:val="clear" w:color="auto" w:fill="auto"/>
            <w:noWrap/>
            <w:vAlign w:val="center"/>
          </w:tcPr>
          <w:p>
            <w:pPr>
              <w:jc w:val="left"/>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CDSS系统</w:t>
            </w:r>
          </w:p>
        </w:tc>
        <w:tc>
          <w:tcPr>
            <w:tcW w:w="1140"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1</w:t>
            </w:r>
          </w:p>
        </w:tc>
        <w:tc>
          <w:tcPr>
            <w:tcW w:w="1063"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套</w:t>
            </w:r>
          </w:p>
        </w:tc>
        <w:tc>
          <w:tcPr>
            <w:tcW w:w="1388"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p>
        </w:tc>
        <w:tc>
          <w:tcPr>
            <w:tcW w:w="1125"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p>
        </w:tc>
        <w:tc>
          <w:tcPr>
            <w:tcW w:w="1163" w:type="dxa"/>
            <w:tcBorders>
              <w:top w:val="nil"/>
              <w:left w:val="nil"/>
              <w:bottom w:val="single" w:color="auto" w:sz="4" w:space="0"/>
              <w:right w:val="single" w:color="auto" w:sz="4" w:space="0"/>
            </w:tcBorders>
            <w:shd w:val="clear" w:color="auto" w:fill="auto"/>
            <w:noWrap/>
            <w:vAlign w:val="center"/>
          </w:tcPr>
          <w:p>
            <w:pP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　</w:t>
            </w:r>
          </w:p>
        </w:tc>
      </w:tr>
      <w:tr>
        <w:tblPrEx>
          <w:tblCellMar>
            <w:top w:w="0" w:type="dxa"/>
            <w:left w:w="108" w:type="dxa"/>
            <w:bottom w:w="0" w:type="dxa"/>
            <w:right w:w="108" w:type="dxa"/>
          </w:tblCellMar>
        </w:tblPrEx>
        <w:trPr>
          <w:trHeight w:val="348" w:hRule="atLeast"/>
        </w:trPr>
        <w:tc>
          <w:tcPr>
            <w:tcW w:w="71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18</w:t>
            </w:r>
          </w:p>
        </w:tc>
        <w:tc>
          <w:tcPr>
            <w:tcW w:w="2425" w:type="dxa"/>
            <w:tcBorders>
              <w:top w:val="nil"/>
              <w:left w:val="nil"/>
              <w:bottom w:val="single" w:color="auto" w:sz="4" w:space="0"/>
              <w:right w:val="single" w:color="auto" w:sz="4" w:space="0"/>
            </w:tcBorders>
            <w:shd w:val="clear" w:color="auto" w:fill="auto"/>
            <w:noWrap/>
            <w:vAlign w:val="center"/>
          </w:tcPr>
          <w:p>
            <w:pPr>
              <w:jc w:val="left"/>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不良事件上报系统</w:t>
            </w:r>
          </w:p>
        </w:tc>
        <w:tc>
          <w:tcPr>
            <w:tcW w:w="1140"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1</w:t>
            </w:r>
          </w:p>
        </w:tc>
        <w:tc>
          <w:tcPr>
            <w:tcW w:w="1063"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套</w:t>
            </w:r>
          </w:p>
        </w:tc>
        <w:tc>
          <w:tcPr>
            <w:tcW w:w="1388"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p>
        </w:tc>
        <w:tc>
          <w:tcPr>
            <w:tcW w:w="1125"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p>
        </w:tc>
        <w:tc>
          <w:tcPr>
            <w:tcW w:w="1163" w:type="dxa"/>
            <w:tcBorders>
              <w:top w:val="nil"/>
              <w:left w:val="nil"/>
              <w:bottom w:val="single" w:color="auto" w:sz="4" w:space="0"/>
              <w:right w:val="single" w:color="auto" w:sz="4" w:space="0"/>
            </w:tcBorders>
            <w:shd w:val="clear" w:color="auto" w:fill="auto"/>
            <w:noWrap/>
            <w:vAlign w:val="center"/>
          </w:tcPr>
          <w:p>
            <w:pP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　</w:t>
            </w:r>
          </w:p>
        </w:tc>
      </w:tr>
      <w:tr>
        <w:tblPrEx>
          <w:tblCellMar>
            <w:top w:w="0" w:type="dxa"/>
            <w:left w:w="108" w:type="dxa"/>
            <w:bottom w:w="0" w:type="dxa"/>
            <w:right w:w="108" w:type="dxa"/>
          </w:tblCellMar>
        </w:tblPrEx>
        <w:trPr>
          <w:trHeight w:val="348" w:hRule="atLeast"/>
        </w:trPr>
        <w:tc>
          <w:tcPr>
            <w:tcW w:w="71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19</w:t>
            </w:r>
          </w:p>
        </w:tc>
        <w:tc>
          <w:tcPr>
            <w:tcW w:w="2425" w:type="dxa"/>
            <w:tcBorders>
              <w:top w:val="nil"/>
              <w:left w:val="nil"/>
              <w:bottom w:val="single" w:color="auto" w:sz="4" w:space="0"/>
              <w:right w:val="single" w:color="auto" w:sz="4" w:space="0"/>
            </w:tcBorders>
            <w:shd w:val="clear" w:color="auto" w:fill="auto"/>
            <w:noWrap/>
            <w:vAlign w:val="center"/>
          </w:tcPr>
          <w:p>
            <w:pPr>
              <w:jc w:val="left"/>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三基三严系统</w:t>
            </w:r>
          </w:p>
        </w:tc>
        <w:tc>
          <w:tcPr>
            <w:tcW w:w="1140"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1</w:t>
            </w:r>
          </w:p>
        </w:tc>
        <w:tc>
          <w:tcPr>
            <w:tcW w:w="1063" w:type="dxa"/>
            <w:tcBorders>
              <w:top w:val="nil"/>
              <w:left w:val="nil"/>
              <w:bottom w:val="single" w:color="auto" w:sz="4" w:space="0"/>
              <w:right w:val="single" w:color="auto" w:sz="4" w:space="0"/>
            </w:tcBorders>
            <w:shd w:val="clear" w:color="auto" w:fill="auto"/>
            <w:noWrap/>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套</w:t>
            </w:r>
          </w:p>
        </w:tc>
        <w:tc>
          <w:tcPr>
            <w:tcW w:w="1388"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p>
        </w:tc>
        <w:tc>
          <w:tcPr>
            <w:tcW w:w="1125" w:type="dxa"/>
            <w:tcBorders>
              <w:top w:val="nil"/>
              <w:left w:val="nil"/>
              <w:bottom w:val="single" w:color="auto" w:sz="4" w:space="0"/>
              <w:right w:val="single" w:color="auto" w:sz="4" w:space="0"/>
            </w:tcBorders>
            <w:shd w:val="clear" w:color="auto" w:fill="auto"/>
            <w:noWrap/>
          </w:tcPr>
          <w:p>
            <w:pPr>
              <w:jc w:val="center"/>
              <w:rPr>
                <w:rFonts w:ascii="微软雅黑 Light" w:hAnsi="微软雅黑 Light" w:eastAsia="微软雅黑 Light" w:cs="宋体"/>
                <w:sz w:val="20"/>
                <w:szCs w:val="20"/>
              </w:rPr>
            </w:pPr>
          </w:p>
        </w:tc>
        <w:tc>
          <w:tcPr>
            <w:tcW w:w="1163" w:type="dxa"/>
            <w:tcBorders>
              <w:top w:val="nil"/>
              <w:left w:val="nil"/>
              <w:bottom w:val="single" w:color="auto" w:sz="4" w:space="0"/>
              <w:right w:val="single" w:color="auto" w:sz="4" w:space="0"/>
            </w:tcBorders>
            <w:shd w:val="clear" w:color="auto" w:fill="auto"/>
            <w:noWrap/>
            <w:vAlign w:val="center"/>
          </w:tcPr>
          <w:p>
            <w:pP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　</w:t>
            </w:r>
          </w:p>
        </w:tc>
      </w:tr>
      <w:tr>
        <w:tblPrEx>
          <w:tblCellMar>
            <w:top w:w="0" w:type="dxa"/>
            <w:left w:w="108" w:type="dxa"/>
            <w:bottom w:w="0" w:type="dxa"/>
            <w:right w:w="108" w:type="dxa"/>
          </w:tblCellMar>
        </w:tblPrEx>
        <w:trPr>
          <w:trHeight w:val="348" w:hRule="atLeast"/>
        </w:trPr>
        <w:tc>
          <w:tcPr>
            <w:tcW w:w="71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20</w:t>
            </w:r>
          </w:p>
        </w:tc>
        <w:tc>
          <w:tcPr>
            <w:tcW w:w="2425" w:type="dxa"/>
            <w:tcBorders>
              <w:top w:val="nil"/>
              <w:left w:val="nil"/>
              <w:bottom w:val="single" w:color="auto" w:sz="4" w:space="0"/>
              <w:right w:val="single" w:color="auto" w:sz="4" w:space="0"/>
            </w:tcBorders>
            <w:shd w:val="clear" w:color="auto" w:fill="auto"/>
            <w:noWrap/>
            <w:vAlign w:val="center"/>
          </w:tcPr>
          <w:p>
            <w:pPr>
              <w:jc w:val="left"/>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心电图系统</w:t>
            </w:r>
          </w:p>
        </w:tc>
        <w:tc>
          <w:tcPr>
            <w:tcW w:w="1140"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1</w:t>
            </w:r>
          </w:p>
        </w:tc>
        <w:tc>
          <w:tcPr>
            <w:tcW w:w="1063" w:type="dxa"/>
            <w:tcBorders>
              <w:top w:val="nil"/>
              <w:left w:val="nil"/>
              <w:bottom w:val="single" w:color="auto" w:sz="4" w:space="0"/>
              <w:right w:val="single" w:color="auto" w:sz="4" w:space="0"/>
            </w:tcBorders>
            <w:shd w:val="clear" w:color="auto" w:fill="auto"/>
            <w:noWrap/>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套</w:t>
            </w:r>
          </w:p>
        </w:tc>
        <w:tc>
          <w:tcPr>
            <w:tcW w:w="1388"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p>
        </w:tc>
        <w:tc>
          <w:tcPr>
            <w:tcW w:w="1125" w:type="dxa"/>
            <w:tcBorders>
              <w:top w:val="nil"/>
              <w:left w:val="nil"/>
              <w:bottom w:val="single" w:color="auto" w:sz="4" w:space="0"/>
              <w:right w:val="single" w:color="auto" w:sz="4" w:space="0"/>
            </w:tcBorders>
            <w:shd w:val="clear" w:color="auto" w:fill="auto"/>
            <w:noWrap/>
          </w:tcPr>
          <w:p>
            <w:pPr>
              <w:jc w:val="center"/>
              <w:rPr>
                <w:rFonts w:ascii="微软雅黑 Light" w:hAnsi="微软雅黑 Light" w:eastAsia="微软雅黑 Light" w:cs="宋体"/>
                <w:sz w:val="20"/>
                <w:szCs w:val="20"/>
              </w:rPr>
            </w:pPr>
          </w:p>
        </w:tc>
        <w:tc>
          <w:tcPr>
            <w:tcW w:w="1163" w:type="dxa"/>
            <w:tcBorders>
              <w:top w:val="nil"/>
              <w:left w:val="nil"/>
              <w:bottom w:val="single" w:color="auto" w:sz="4" w:space="0"/>
              <w:right w:val="single" w:color="auto" w:sz="4" w:space="0"/>
            </w:tcBorders>
            <w:shd w:val="clear" w:color="auto" w:fill="auto"/>
            <w:noWrap/>
            <w:vAlign w:val="center"/>
          </w:tcPr>
          <w:p>
            <w:pPr>
              <w:rPr>
                <w:rFonts w:ascii="微软雅黑 Light" w:hAnsi="微软雅黑 Light" w:eastAsia="微软雅黑 Light" w:cs="宋体"/>
                <w:sz w:val="20"/>
                <w:szCs w:val="20"/>
              </w:rPr>
            </w:pPr>
          </w:p>
        </w:tc>
      </w:tr>
      <w:tr>
        <w:tblPrEx>
          <w:tblCellMar>
            <w:top w:w="0" w:type="dxa"/>
            <w:left w:w="108" w:type="dxa"/>
            <w:bottom w:w="0" w:type="dxa"/>
            <w:right w:w="108" w:type="dxa"/>
          </w:tblCellMar>
        </w:tblPrEx>
        <w:trPr>
          <w:trHeight w:val="557" w:hRule="atLeast"/>
        </w:trPr>
        <w:tc>
          <w:tcPr>
            <w:tcW w:w="71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21</w:t>
            </w:r>
          </w:p>
        </w:tc>
        <w:tc>
          <w:tcPr>
            <w:tcW w:w="2425" w:type="dxa"/>
            <w:tcBorders>
              <w:top w:val="nil"/>
              <w:left w:val="nil"/>
              <w:bottom w:val="single" w:color="auto" w:sz="4" w:space="0"/>
              <w:right w:val="single" w:color="auto" w:sz="4" w:space="0"/>
            </w:tcBorders>
            <w:shd w:val="clear" w:color="auto" w:fill="auto"/>
            <w:noWrap/>
            <w:vAlign w:val="center"/>
          </w:tcPr>
          <w:p>
            <w:pPr>
              <w:jc w:val="left"/>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报表软件</w:t>
            </w:r>
          </w:p>
        </w:tc>
        <w:tc>
          <w:tcPr>
            <w:tcW w:w="1140"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1</w:t>
            </w:r>
          </w:p>
        </w:tc>
        <w:tc>
          <w:tcPr>
            <w:tcW w:w="1063" w:type="dxa"/>
            <w:tcBorders>
              <w:top w:val="nil"/>
              <w:left w:val="nil"/>
              <w:bottom w:val="single" w:color="auto" w:sz="4" w:space="0"/>
              <w:right w:val="single" w:color="auto" w:sz="4" w:space="0"/>
            </w:tcBorders>
            <w:shd w:val="clear" w:color="auto" w:fill="auto"/>
            <w:noWrap/>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套</w:t>
            </w:r>
          </w:p>
        </w:tc>
        <w:tc>
          <w:tcPr>
            <w:tcW w:w="1388"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p>
        </w:tc>
        <w:tc>
          <w:tcPr>
            <w:tcW w:w="1125" w:type="dxa"/>
            <w:tcBorders>
              <w:top w:val="nil"/>
              <w:left w:val="nil"/>
              <w:bottom w:val="single" w:color="auto" w:sz="4" w:space="0"/>
              <w:right w:val="single" w:color="auto" w:sz="4" w:space="0"/>
            </w:tcBorders>
            <w:shd w:val="clear" w:color="auto" w:fill="auto"/>
            <w:noWrap/>
          </w:tcPr>
          <w:p>
            <w:pPr>
              <w:jc w:val="center"/>
              <w:rPr>
                <w:rFonts w:ascii="微软雅黑 Light" w:hAnsi="微软雅黑 Light" w:eastAsia="微软雅黑 Light" w:cs="宋体"/>
                <w:sz w:val="20"/>
                <w:szCs w:val="20"/>
              </w:rPr>
            </w:pPr>
          </w:p>
        </w:tc>
        <w:tc>
          <w:tcPr>
            <w:tcW w:w="1163" w:type="dxa"/>
            <w:tcBorders>
              <w:top w:val="nil"/>
              <w:left w:val="nil"/>
              <w:bottom w:val="single" w:color="auto" w:sz="4" w:space="0"/>
              <w:right w:val="single" w:color="auto" w:sz="4" w:space="0"/>
            </w:tcBorders>
            <w:shd w:val="clear" w:color="auto" w:fill="auto"/>
            <w:noWrap/>
            <w:vAlign w:val="center"/>
          </w:tcPr>
          <w:p>
            <w:pPr>
              <w:rPr>
                <w:rFonts w:ascii="微软雅黑 Light" w:hAnsi="微软雅黑 Light" w:eastAsia="微软雅黑 Light" w:cs="宋体"/>
                <w:sz w:val="20"/>
                <w:szCs w:val="20"/>
              </w:rPr>
            </w:pPr>
          </w:p>
        </w:tc>
      </w:tr>
      <w:tr>
        <w:tblPrEx>
          <w:tblCellMar>
            <w:top w:w="0" w:type="dxa"/>
            <w:left w:w="108" w:type="dxa"/>
            <w:bottom w:w="0" w:type="dxa"/>
            <w:right w:w="108" w:type="dxa"/>
          </w:tblCellMar>
        </w:tblPrEx>
        <w:trPr>
          <w:trHeight w:val="348" w:hRule="atLeast"/>
        </w:trPr>
        <w:tc>
          <w:tcPr>
            <w:tcW w:w="71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b/>
                <w:bCs/>
                <w:color w:val="000000"/>
                <w:sz w:val="20"/>
                <w:szCs w:val="20"/>
              </w:rPr>
            </w:pPr>
            <w:r>
              <w:rPr>
                <w:rFonts w:hint="eastAsia" w:ascii="微软雅黑 Light" w:hAnsi="微软雅黑 Light" w:eastAsia="微软雅黑 Light" w:cs="宋体"/>
                <w:sz w:val="20"/>
                <w:szCs w:val="20"/>
              </w:rPr>
              <w:t>22</w:t>
            </w:r>
          </w:p>
        </w:tc>
        <w:tc>
          <w:tcPr>
            <w:tcW w:w="2425" w:type="dxa"/>
            <w:tcBorders>
              <w:top w:val="nil"/>
              <w:left w:val="nil"/>
              <w:bottom w:val="single" w:color="auto" w:sz="4" w:space="0"/>
              <w:right w:val="single" w:color="auto" w:sz="4" w:space="0"/>
            </w:tcBorders>
            <w:shd w:val="clear" w:color="auto" w:fill="auto"/>
            <w:noWrap/>
            <w:vAlign w:val="center"/>
          </w:tcPr>
          <w:p>
            <w:pPr>
              <w:jc w:val="left"/>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电子病历等级4级评审服务费</w:t>
            </w:r>
          </w:p>
        </w:tc>
        <w:tc>
          <w:tcPr>
            <w:tcW w:w="1140"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1</w:t>
            </w:r>
          </w:p>
        </w:tc>
        <w:tc>
          <w:tcPr>
            <w:tcW w:w="1063"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套</w:t>
            </w:r>
          </w:p>
        </w:tc>
        <w:tc>
          <w:tcPr>
            <w:tcW w:w="1388"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p>
        </w:tc>
        <w:tc>
          <w:tcPr>
            <w:tcW w:w="1125"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p>
        </w:tc>
        <w:tc>
          <w:tcPr>
            <w:tcW w:w="1163" w:type="dxa"/>
            <w:tcBorders>
              <w:top w:val="nil"/>
              <w:left w:val="nil"/>
              <w:bottom w:val="single" w:color="auto" w:sz="4" w:space="0"/>
              <w:right w:val="single" w:color="auto" w:sz="4" w:space="0"/>
            </w:tcBorders>
            <w:shd w:val="clear" w:color="auto" w:fill="auto"/>
            <w:noWrap/>
            <w:vAlign w:val="center"/>
          </w:tcPr>
          <w:p>
            <w:pPr>
              <w:rPr>
                <w:rFonts w:ascii="微软雅黑 Light" w:hAnsi="微软雅黑 Light" w:eastAsia="微软雅黑 Light" w:cs="宋体"/>
                <w:sz w:val="20"/>
                <w:szCs w:val="20"/>
              </w:rPr>
            </w:pPr>
          </w:p>
        </w:tc>
      </w:tr>
      <w:tr>
        <w:tblPrEx>
          <w:tblCellMar>
            <w:top w:w="0" w:type="dxa"/>
            <w:left w:w="108" w:type="dxa"/>
            <w:bottom w:w="0" w:type="dxa"/>
            <w:right w:w="108" w:type="dxa"/>
          </w:tblCellMar>
        </w:tblPrEx>
        <w:trPr>
          <w:trHeight w:val="348" w:hRule="atLeast"/>
        </w:trPr>
        <w:tc>
          <w:tcPr>
            <w:tcW w:w="71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23</w:t>
            </w:r>
          </w:p>
        </w:tc>
        <w:tc>
          <w:tcPr>
            <w:tcW w:w="2425" w:type="dxa"/>
            <w:tcBorders>
              <w:top w:val="single" w:color="auto" w:sz="4" w:space="0"/>
              <w:left w:val="nil"/>
              <w:bottom w:val="single" w:color="auto" w:sz="4" w:space="0"/>
              <w:right w:val="nil"/>
            </w:tcBorders>
            <w:shd w:val="clear" w:color="auto" w:fill="auto"/>
            <w:noWrap/>
            <w:vAlign w:val="center"/>
          </w:tcPr>
          <w:p>
            <w:pPr>
              <w:jc w:val="left"/>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DRG系统</w:t>
            </w:r>
          </w:p>
        </w:tc>
        <w:tc>
          <w:tcPr>
            <w:tcW w:w="114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1</w:t>
            </w:r>
          </w:p>
        </w:tc>
        <w:tc>
          <w:tcPr>
            <w:tcW w:w="1063"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套</w:t>
            </w:r>
          </w:p>
        </w:tc>
        <w:tc>
          <w:tcPr>
            <w:tcW w:w="1388"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p>
        </w:tc>
        <w:tc>
          <w:tcPr>
            <w:tcW w:w="1125"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p>
        </w:tc>
        <w:tc>
          <w:tcPr>
            <w:tcW w:w="1163" w:type="dxa"/>
            <w:tcBorders>
              <w:top w:val="nil"/>
              <w:left w:val="nil"/>
              <w:bottom w:val="single" w:color="auto" w:sz="4" w:space="0"/>
              <w:right w:val="single" w:color="auto" w:sz="4" w:space="0"/>
            </w:tcBorders>
            <w:shd w:val="clear" w:color="auto" w:fill="auto"/>
            <w:noWrap/>
            <w:vAlign w:val="center"/>
          </w:tcPr>
          <w:p>
            <w:pPr>
              <w:rPr>
                <w:rFonts w:ascii="微软雅黑 Light" w:hAnsi="微软雅黑 Light" w:eastAsia="微软雅黑 Light" w:cs="宋体"/>
                <w:sz w:val="20"/>
                <w:szCs w:val="20"/>
              </w:rPr>
            </w:pPr>
          </w:p>
        </w:tc>
      </w:tr>
      <w:tr>
        <w:tblPrEx>
          <w:tblCellMar>
            <w:top w:w="0" w:type="dxa"/>
            <w:left w:w="108" w:type="dxa"/>
            <w:bottom w:w="0" w:type="dxa"/>
            <w:right w:w="108" w:type="dxa"/>
          </w:tblCellMar>
        </w:tblPrEx>
        <w:trPr>
          <w:trHeight w:val="530" w:hRule="atLeast"/>
        </w:trPr>
        <w:tc>
          <w:tcPr>
            <w:tcW w:w="71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24</w:t>
            </w:r>
          </w:p>
        </w:tc>
        <w:tc>
          <w:tcPr>
            <w:tcW w:w="242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微软雅黑 Light" w:hAnsi="微软雅黑 Light" w:eastAsia="微软雅黑 Light" w:cs="宋体"/>
                <w:b/>
                <w:bCs/>
                <w:sz w:val="20"/>
                <w:szCs w:val="20"/>
              </w:rPr>
            </w:pPr>
            <w:r>
              <w:rPr>
                <w:rFonts w:hint="eastAsia" w:ascii="微软雅黑 Light" w:hAnsi="微软雅黑 Light" w:eastAsia="微软雅黑 Light" w:cs="宋体"/>
                <w:sz w:val="20"/>
                <w:szCs w:val="20"/>
              </w:rPr>
              <w:t>妇幼系统对接</w:t>
            </w:r>
          </w:p>
        </w:tc>
        <w:tc>
          <w:tcPr>
            <w:tcW w:w="114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1</w:t>
            </w:r>
          </w:p>
        </w:tc>
        <w:tc>
          <w:tcPr>
            <w:tcW w:w="1063"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套</w:t>
            </w:r>
          </w:p>
        </w:tc>
        <w:tc>
          <w:tcPr>
            <w:tcW w:w="1388"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b/>
                <w:bCs/>
                <w:sz w:val="20"/>
                <w:szCs w:val="20"/>
              </w:rPr>
            </w:pPr>
          </w:p>
        </w:tc>
        <w:tc>
          <w:tcPr>
            <w:tcW w:w="1125"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p>
        </w:tc>
        <w:tc>
          <w:tcPr>
            <w:tcW w:w="1163" w:type="dxa"/>
            <w:tcBorders>
              <w:top w:val="nil"/>
              <w:left w:val="nil"/>
              <w:bottom w:val="single" w:color="auto" w:sz="4" w:space="0"/>
              <w:right w:val="single" w:color="auto" w:sz="4" w:space="0"/>
            </w:tcBorders>
            <w:shd w:val="clear" w:color="auto" w:fill="auto"/>
            <w:noWrap/>
            <w:vAlign w:val="center"/>
          </w:tcPr>
          <w:p>
            <w:pPr>
              <w:jc w:val="center"/>
              <w:rPr>
                <w:rFonts w:ascii="微软雅黑 Light" w:hAnsi="微软雅黑 Light" w:eastAsia="微软雅黑 Light"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16" w:type="dxa"/>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25</w:t>
            </w:r>
          </w:p>
        </w:tc>
        <w:tc>
          <w:tcPr>
            <w:tcW w:w="2425" w:type="dxa"/>
            <w:shd w:val="clear" w:color="auto" w:fill="auto"/>
            <w:vAlign w:val="center"/>
          </w:tcPr>
          <w:p>
            <w:pPr>
              <w:jc w:val="left"/>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超融合一体机(三节点)</w:t>
            </w:r>
          </w:p>
        </w:tc>
        <w:tc>
          <w:tcPr>
            <w:tcW w:w="1140" w:type="dxa"/>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3</w:t>
            </w:r>
          </w:p>
        </w:tc>
        <w:tc>
          <w:tcPr>
            <w:tcW w:w="1063" w:type="dxa"/>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台</w:t>
            </w:r>
          </w:p>
        </w:tc>
        <w:tc>
          <w:tcPr>
            <w:tcW w:w="1388" w:type="dxa"/>
            <w:shd w:val="clear" w:color="auto" w:fill="auto"/>
            <w:noWrap/>
            <w:vAlign w:val="center"/>
          </w:tcPr>
          <w:p>
            <w:pPr>
              <w:jc w:val="center"/>
              <w:rPr>
                <w:rFonts w:ascii="微软雅黑 Light" w:hAnsi="微软雅黑 Light" w:eastAsia="微软雅黑 Light" w:cs="宋体"/>
                <w:sz w:val="20"/>
                <w:szCs w:val="20"/>
              </w:rPr>
            </w:pPr>
          </w:p>
        </w:tc>
        <w:tc>
          <w:tcPr>
            <w:tcW w:w="1125" w:type="dxa"/>
            <w:shd w:val="clear" w:color="auto" w:fill="auto"/>
            <w:noWrap/>
            <w:vAlign w:val="center"/>
          </w:tcPr>
          <w:p>
            <w:pPr>
              <w:jc w:val="center"/>
              <w:rPr>
                <w:rFonts w:ascii="微软雅黑 Light" w:hAnsi="微软雅黑 Light" w:eastAsia="微软雅黑 Light" w:cs="宋体"/>
                <w:sz w:val="20"/>
                <w:szCs w:val="20"/>
              </w:rPr>
            </w:pPr>
          </w:p>
        </w:tc>
        <w:tc>
          <w:tcPr>
            <w:tcW w:w="1163" w:type="dxa"/>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16" w:type="dxa"/>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26</w:t>
            </w:r>
          </w:p>
        </w:tc>
        <w:tc>
          <w:tcPr>
            <w:tcW w:w="2425" w:type="dxa"/>
            <w:shd w:val="clear" w:color="auto" w:fill="auto"/>
            <w:noWrap/>
            <w:vAlign w:val="center"/>
          </w:tcPr>
          <w:p>
            <w:pPr>
              <w:jc w:val="left"/>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数据交换机</w:t>
            </w:r>
          </w:p>
        </w:tc>
        <w:tc>
          <w:tcPr>
            <w:tcW w:w="1140" w:type="dxa"/>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2</w:t>
            </w:r>
          </w:p>
        </w:tc>
        <w:tc>
          <w:tcPr>
            <w:tcW w:w="1063" w:type="dxa"/>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台</w:t>
            </w:r>
          </w:p>
        </w:tc>
        <w:tc>
          <w:tcPr>
            <w:tcW w:w="1388" w:type="dxa"/>
            <w:shd w:val="clear" w:color="auto" w:fill="auto"/>
            <w:noWrap/>
            <w:vAlign w:val="center"/>
          </w:tcPr>
          <w:p>
            <w:pPr>
              <w:jc w:val="center"/>
              <w:rPr>
                <w:rFonts w:ascii="微软雅黑 Light" w:hAnsi="微软雅黑 Light" w:eastAsia="微软雅黑 Light" w:cs="宋体"/>
                <w:sz w:val="20"/>
                <w:szCs w:val="20"/>
              </w:rPr>
            </w:pPr>
          </w:p>
        </w:tc>
        <w:tc>
          <w:tcPr>
            <w:tcW w:w="1125" w:type="dxa"/>
            <w:shd w:val="clear" w:color="auto" w:fill="auto"/>
            <w:noWrap/>
            <w:vAlign w:val="center"/>
          </w:tcPr>
          <w:p>
            <w:pPr>
              <w:jc w:val="center"/>
              <w:rPr>
                <w:rFonts w:ascii="微软雅黑 Light" w:hAnsi="微软雅黑 Light" w:eastAsia="微软雅黑 Light" w:cs="宋体"/>
                <w:sz w:val="20"/>
                <w:szCs w:val="20"/>
              </w:rPr>
            </w:pPr>
          </w:p>
        </w:tc>
        <w:tc>
          <w:tcPr>
            <w:tcW w:w="1163" w:type="dxa"/>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16" w:type="dxa"/>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27</w:t>
            </w:r>
          </w:p>
        </w:tc>
        <w:tc>
          <w:tcPr>
            <w:tcW w:w="2425" w:type="dxa"/>
            <w:shd w:val="clear" w:color="auto" w:fill="auto"/>
            <w:noWrap/>
            <w:vAlign w:val="center"/>
          </w:tcPr>
          <w:p>
            <w:pPr>
              <w:jc w:val="left"/>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业务交换机</w:t>
            </w:r>
          </w:p>
        </w:tc>
        <w:tc>
          <w:tcPr>
            <w:tcW w:w="1140" w:type="dxa"/>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2</w:t>
            </w:r>
          </w:p>
        </w:tc>
        <w:tc>
          <w:tcPr>
            <w:tcW w:w="1063" w:type="dxa"/>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台</w:t>
            </w:r>
          </w:p>
        </w:tc>
        <w:tc>
          <w:tcPr>
            <w:tcW w:w="1388" w:type="dxa"/>
            <w:shd w:val="clear" w:color="auto" w:fill="auto"/>
            <w:noWrap/>
            <w:vAlign w:val="center"/>
          </w:tcPr>
          <w:p>
            <w:pPr>
              <w:jc w:val="center"/>
              <w:rPr>
                <w:rFonts w:ascii="微软雅黑 Light" w:hAnsi="微软雅黑 Light" w:eastAsia="微软雅黑 Light" w:cs="宋体"/>
                <w:sz w:val="20"/>
                <w:szCs w:val="20"/>
              </w:rPr>
            </w:pPr>
          </w:p>
        </w:tc>
        <w:tc>
          <w:tcPr>
            <w:tcW w:w="1125" w:type="dxa"/>
            <w:shd w:val="clear" w:color="auto" w:fill="auto"/>
            <w:noWrap/>
            <w:vAlign w:val="center"/>
          </w:tcPr>
          <w:p>
            <w:pPr>
              <w:jc w:val="center"/>
              <w:rPr>
                <w:rFonts w:ascii="微软雅黑 Light" w:hAnsi="微软雅黑 Light" w:eastAsia="微软雅黑 Light" w:cs="宋体"/>
                <w:sz w:val="20"/>
                <w:szCs w:val="20"/>
              </w:rPr>
            </w:pPr>
          </w:p>
        </w:tc>
        <w:tc>
          <w:tcPr>
            <w:tcW w:w="1163" w:type="dxa"/>
            <w:shd w:val="clear" w:color="auto" w:fill="auto"/>
            <w:noWrap/>
            <w:vAlign w:val="center"/>
          </w:tcPr>
          <w:p>
            <w:pPr>
              <w:jc w:val="center"/>
              <w:rPr>
                <w:rFonts w:ascii="微软雅黑 Light" w:hAnsi="微软雅黑 Light" w:eastAsia="微软雅黑 Light"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16" w:type="dxa"/>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28</w:t>
            </w:r>
          </w:p>
        </w:tc>
        <w:tc>
          <w:tcPr>
            <w:tcW w:w="2425" w:type="dxa"/>
            <w:shd w:val="clear" w:color="auto" w:fill="auto"/>
            <w:noWrap/>
            <w:vAlign w:val="center"/>
          </w:tcPr>
          <w:p>
            <w:pPr>
              <w:jc w:val="left"/>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VPN</w:t>
            </w:r>
          </w:p>
        </w:tc>
        <w:tc>
          <w:tcPr>
            <w:tcW w:w="1140" w:type="dxa"/>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1</w:t>
            </w:r>
          </w:p>
        </w:tc>
        <w:tc>
          <w:tcPr>
            <w:tcW w:w="1063" w:type="dxa"/>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台</w:t>
            </w:r>
          </w:p>
        </w:tc>
        <w:tc>
          <w:tcPr>
            <w:tcW w:w="1388" w:type="dxa"/>
            <w:shd w:val="clear" w:color="auto" w:fill="auto"/>
            <w:noWrap/>
            <w:vAlign w:val="center"/>
          </w:tcPr>
          <w:p>
            <w:pPr>
              <w:jc w:val="center"/>
              <w:rPr>
                <w:rFonts w:ascii="微软雅黑 Light" w:hAnsi="微软雅黑 Light" w:eastAsia="微软雅黑 Light" w:cs="宋体"/>
                <w:sz w:val="20"/>
                <w:szCs w:val="20"/>
              </w:rPr>
            </w:pPr>
          </w:p>
        </w:tc>
        <w:tc>
          <w:tcPr>
            <w:tcW w:w="1125" w:type="dxa"/>
            <w:shd w:val="clear" w:color="auto" w:fill="auto"/>
            <w:noWrap/>
            <w:vAlign w:val="center"/>
          </w:tcPr>
          <w:p>
            <w:pPr>
              <w:jc w:val="center"/>
              <w:rPr>
                <w:rFonts w:ascii="微软雅黑 Light" w:hAnsi="微软雅黑 Light" w:eastAsia="微软雅黑 Light" w:cs="宋体"/>
                <w:sz w:val="20"/>
                <w:szCs w:val="20"/>
              </w:rPr>
            </w:pPr>
          </w:p>
        </w:tc>
        <w:tc>
          <w:tcPr>
            <w:tcW w:w="1163" w:type="dxa"/>
            <w:shd w:val="clear" w:color="auto" w:fill="auto"/>
            <w:noWrap/>
            <w:vAlign w:val="center"/>
          </w:tcPr>
          <w:p>
            <w:pPr>
              <w:jc w:val="center"/>
              <w:rPr>
                <w:rFonts w:ascii="微软雅黑 Light" w:hAnsi="微软雅黑 Light" w:eastAsia="微软雅黑 Light"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6" w:type="dxa"/>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29</w:t>
            </w:r>
          </w:p>
        </w:tc>
        <w:tc>
          <w:tcPr>
            <w:tcW w:w="2425" w:type="dxa"/>
            <w:shd w:val="clear" w:color="auto" w:fill="auto"/>
            <w:noWrap/>
            <w:vAlign w:val="center"/>
          </w:tcPr>
          <w:p>
            <w:pPr>
              <w:jc w:val="left"/>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存储（30T）</w:t>
            </w:r>
          </w:p>
        </w:tc>
        <w:tc>
          <w:tcPr>
            <w:tcW w:w="1140" w:type="dxa"/>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1</w:t>
            </w:r>
          </w:p>
        </w:tc>
        <w:tc>
          <w:tcPr>
            <w:tcW w:w="1063" w:type="dxa"/>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套</w:t>
            </w:r>
          </w:p>
        </w:tc>
        <w:tc>
          <w:tcPr>
            <w:tcW w:w="1388" w:type="dxa"/>
            <w:shd w:val="clear" w:color="auto" w:fill="auto"/>
            <w:noWrap/>
            <w:vAlign w:val="center"/>
          </w:tcPr>
          <w:p>
            <w:pPr>
              <w:jc w:val="center"/>
              <w:rPr>
                <w:rFonts w:ascii="微软雅黑 Light" w:hAnsi="微软雅黑 Light" w:eastAsia="微软雅黑 Light" w:cs="宋体"/>
                <w:sz w:val="20"/>
                <w:szCs w:val="20"/>
              </w:rPr>
            </w:pPr>
          </w:p>
        </w:tc>
        <w:tc>
          <w:tcPr>
            <w:tcW w:w="1125" w:type="dxa"/>
            <w:shd w:val="clear" w:color="auto" w:fill="auto"/>
            <w:noWrap/>
            <w:vAlign w:val="center"/>
          </w:tcPr>
          <w:p>
            <w:pPr>
              <w:jc w:val="center"/>
              <w:rPr>
                <w:rFonts w:ascii="微软雅黑 Light" w:hAnsi="微软雅黑 Light" w:eastAsia="微软雅黑 Light" w:cs="宋体"/>
                <w:sz w:val="20"/>
                <w:szCs w:val="20"/>
              </w:rPr>
            </w:pPr>
          </w:p>
        </w:tc>
        <w:tc>
          <w:tcPr>
            <w:tcW w:w="1163" w:type="dxa"/>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16" w:type="dxa"/>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30</w:t>
            </w:r>
          </w:p>
        </w:tc>
        <w:tc>
          <w:tcPr>
            <w:tcW w:w="2425" w:type="dxa"/>
            <w:vAlign w:val="center"/>
          </w:tcPr>
          <w:p>
            <w:pPr>
              <w:jc w:val="left"/>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楼栋光缆铺设及熔纤</w:t>
            </w:r>
          </w:p>
        </w:tc>
        <w:tc>
          <w:tcPr>
            <w:tcW w:w="1140" w:type="dxa"/>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10</w:t>
            </w:r>
          </w:p>
        </w:tc>
        <w:tc>
          <w:tcPr>
            <w:tcW w:w="1063" w:type="dxa"/>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条</w:t>
            </w:r>
          </w:p>
        </w:tc>
        <w:tc>
          <w:tcPr>
            <w:tcW w:w="1388" w:type="dxa"/>
            <w:shd w:val="clear" w:color="auto" w:fill="auto"/>
            <w:noWrap/>
            <w:vAlign w:val="center"/>
          </w:tcPr>
          <w:p>
            <w:pPr>
              <w:jc w:val="center"/>
              <w:rPr>
                <w:rFonts w:ascii="微软雅黑 Light" w:hAnsi="微软雅黑 Light" w:eastAsia="微软雅黑 Light" w:cs="宋体"/>
                <w:sz w:val="20"/>
                <w:szCs w:val="20"/>
              </w:rPr>
            </w:pPr>
          </w:p>
        </w:tc>
        <w:tc>
          <w:tcPr>
            <w:tcW w:w="1125" w:type="dxa"/>
            <w:shd w:val="clear" w:color="auto" w:fill="auto"/>
            <w:noWrap/>
            <w:vAlign w:val="center"/>
          </w:tcPr>
          <w:p>
            <w:pPr>
              <w:jc w:val="center"/>
              <w:rPr>
                <w:rFonts w:ascii="微软雅黑 Light" w:hAnsi="微软雅黑 Light" w:eastAsia="微软雅黑 Light" w:cs="宋体"/>
                <w:sz w:val="20"/>
                <w:szCs w:val="20"/>
              </w:rPr>
            </w:pPr>
          </w:p>
        </w:tc>
        <w:tc>
          <w:tcPr>
            <w:tcW w:w="1163" w:type="dxa"/>
            <w:shd w:val="clear" w:color="auto" w:fill="auto"/>
            <w:noWrap/>
            <w:vAlign w:val="center"/>
          </w:tcPr>
          <w:p>
            <w:pPr>
              <w:jc w:val="center"/>
              <w:rPr>
                <w:rFonts w:ascii="微软雅黑 Light" w:hAnsi="微软雅黑 Light" w:eastAsia="微软雅黑 Light"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16" w:type="dxa"/>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31</w:t>
            </w:r>
          </w:p>
        </w:tc>
        <w:tc>
          <w:tcPr>
            <w:tcW w:w="2425" w:type="dxa"/>
            <w:vAlign w:val="center"/>
          </w:tcPr>
          <w:p>
            <w:pPr>
              <w:jc w:val="left"/>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边界防火墙</w:t>
            </w:r>
          </w:p>
        </w:tc>
        <w:tc>
          <w:tcPr>
            <w:tcW w:w="1140" w:type="dxa"/>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1</w:t>
            </w:r>
          </w:p>
        </w:tc>
        <w:tc>
          <w:tcPr>
            <w:tcW w:w="1063" w:type="dxa"/>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台</w:t>
            </w:r>
          </w:p>
        </w:tc>
        <w:tc>
          <w:tcPr>
            <w:tcW w:w="1388" w:type="dxa"/>
            <w:shd w:val="clear" w:color="auto" w:fill="auto"/>
            <w:noWrap/>
            <w:vAlign w:val="center"/>
          </w:tcPr>
          <w:p>
            <w:pPr>
              <w:jc w:val="center"/>
              <w:rPr>
                <w:rFonts w:ascii="微软雅黑 Light" w:hAnsi="微软雅黑 Light" w:eastAsia="微软雅黑 Light" w:cs="宋体"/>
                <w:sz w:val="20"/>
                <w:szCs w:val="20"/>
              </w:rPr>
            </w:pPr>
          </w:p>
        </w:tc>
        <w:tc>
          <w:tcPr>
            <w:tcW w:w="1125" w:type="dxa"/>
            <w:shd w:val="clear" w:color="auto" w:fill="auto"/>
            <w:noWrap/>
            <w:vAlign w:val="center"/>
          </w:tcPr>
          <w:p>
            <w:pPr>
              <w:jc w:val="center"/>
              <w:rPr>
                <w:rFonts w:ascii="微软雅黑 Light" w:hAnsi="微软雅黑 Light" w:eastAsia="微软雅黑 Light" w:cs="宋体"/>
                <w:sz w:val="20"/>
                <w:szCs w:val="20"/>
              </w:rPr>
            </w:pPr>
          </w:p>
        </w:tc>
        <w:tc>
          <w:tcPr>
            <w:tcW w:w="1163" w:type="dxa"/>
            <w:shd w:val="clear" w:color="auto" w:fill="auto"/>
            <w:noWrap/>
            <w:vAlign w:val="center"/>
          </w:tcPr>
          <w:p>
            <w:pPr>
              <w:jc w:val="center"/>
              <w:rPr>
                <w:rFonts w:ascii="微软雅黑 Light" w:hAnsi="微软雅黑 Light" w:eastAsia="微软雅黑 Light"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16" w:type="dxa"/>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32</w:t>
            </w:r>
          </w:p>
        </w:tc>
        <w:tc>
          <w:tcPr>
            <w:tcW w:w="2425" w:type="dxa"/>
            <w:vAlign w:val="center"/>
          </w:tcPr>
          <w:p>
            <w:pPr>
              <w:jc w:val="left"/>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千兆光模块</w:t>
            </w:r>
          </w:p>
        </w:tc>
        <w:tc>
          <w:tcPr>
            <w:tcW w:w="1140" w:type="dxa"/>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40</w:t>
            </w:r>
          </w:p>
        </w:tc>
        <w:tc>
          <w:tcPr>
            <w:tcW w:w="1063" w:type="dxa"/>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个</w:t>
            </w:r>
          </w:p>
        </w:tc>
        <w:tc>
          <w:tcPr>
            <w:tcW w:w="1388" w:type="dxa"/>
            <w:shd w:val="clear" w:color="auto" w:fill="auto"/>
            <w:noWrap/>
            <w:vAlign w:val="center"/>
          </w:tcPr>
          <w:p>
            <w:pPr>
              <w:jc w:val="center"/>
              <w:rPr>
                <w:rFonts w:ascii="微软雅黑 Light" w:hAnsi="微软雅黑 Light" w:eastAsia="微软雅黑 Light" w:cs="宋体"/>
                <w:sz w:val="20"/>
                <w:szCs w:val="20"/>
              </w:rPr>
            </w:pPr>
          </w:p>
        </w:tc>
        <w:tc>
          <w:tcPr>
            <w:tcW w:w="1125" w:type="dxa"/>
            <w:shd w:val="clear" w:color="auto" w:fill="auto"/>
            <w:noWrap/>
            <w:vAlign w:val="center"/>
          </w:tcPr>
          <w:p>
            <w:pPr>
              <w:jc w:val="center"/>
              <w:rPr>
                <w:rFonts w:ascii="微软雅黑 Light" w:hAnsi="微软雅黑 Light" w:eastAsia="微软雅黑 Light" w:cs="宋体"/>
                <w:sz w:val="20"/>
                <w:szCs w:val="20"/>
              </w:rPr>
            </w:pPr>
          </w:p>
        </w:tc>
        <w:tc>
          <w:tcPr>
            <w:tcW w:w="1163" w:type="dxa"/>
            <w:shd w:val="clear" w:color="auto" w:fill="auto"/>
            <w:noWrap/>
            <w:vAlign w:val="center"/>
          </w:tcPr>
          <w:p>
            <w:pPr>
              <w:jc w:val="center"/>
              <w:rPr>
                <w:rFonts w:ascii="微软雅黑 Light" w:hAnsi="微软雅黑 Light" w:eastAsia="微软雅黑 Light"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16" w:type="dxa"/>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33</w:t>
            </w:r>
          </w:p>
        </w:tc>
        <w:tc>
          <w:tcPr>
            <w:tcW w:w="2425" w:type="dxa"/>
            <w:vAlign w:val="center"/>
          </w:tcPr>
          <w:p>
            <w:pPr>
              <w:jc w:val="left"/>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48口楼层交换机</w:t>
            </w:r>
          </w:p>
        </w:tc>
        <w:tc>
          <w:tcPr>
            <w:tcW w:w="1140" w:type="dxa"/>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2</w:t>
            </w:r>
          </w:p>
        </w:tc>
        <w:tc>
          <w:tcPr>
            <w:tcW w:w="1063" w:type="dxa"/>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台</w:t>
            </w:r>
          </w:p>
        </w:tc>
        <w:tc>
          <w:tcPr>
            <w:tcW w:w="1388" w:type="dxa"/>
            <w:shd w:val="clear" w:color="auto" w:fill="auto"/>
            <w:noWrap/>
            <w:vAlign w:val="center"/>
          </w:tcPr>
          <w:p>
            <w:pPr>
              <w:jc w:val="center"/>
              <w:rPr>
                <w:rFonts w:ascii="微软雅黑 Light" w:hAnsi="微软雅黑 Light" w:eastAsia="微软雅黑 Light" w:cs="宋体"/>
                <w:sz w:val="20"/>
                <w:szCs w:val="20"/>
              </w:rPr>
            </w:pPr>
          </w:p>
        </w:tc>
        <w:tc>
          <w:tcPr>
            <w:tcW w:w="1125" w:type="dxa"/>
            <w:shd w:val="clear" w:color="auto" w:fill="auto"/>
            <w:noWrap/>
            <w:vAlign w:val="center"/>
          </w:tcPr>
          <w:p>
            <w:pPr>
              <w:jc w:val="center"/>
              <w:rPr>
                <w:rFonts w:ascii="微软雅黑 Light" w:hAnsi="微软雅黑 Light" w:eastAsia="微软雅黑 Light" w:cs="宋体"/>
                <w:sz w:val="20"/>
                <w:szCs w:val="20"/>
              </w:rPr>
            </w:pPr>
          </w:p>
        </w:tc>
        <w:tc>
          <w:tcPr>
            <w:tcW w:w="1163" w:type="dxa"/>
            <w:shd w:val="clear" w:color="auto" w:fill="auto"/>
            <w:noWrap/>
            <w:vAlign w:val="center"/>
          </w:tcPr>
          <w:p>
            <w:pPr>
              <w:jc w:val="center"/>
              <w:rPr>
                <w:rFonts w:ascii="微软雅黑 Light" w:hAnsi="微软雅黑 Light" w:eastAsia="微软雅黑 Light"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16" w:type="dxa"/>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34</w:t>
            </w:r>
          </w:p>
        </w:tc>
        <w:tc>
          <w:tcPr>
            <w:tcW w:w="2425" w:type="dxa"/>
            <w:vAlign w:val="center"/>
          </w:tcPr>
          <w:p>
            <w:pPr>
              <w:jc w:val="left"/>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24口楼层交换机</w:t>
            </w:r>
          </w:p>
        </w:tc>
        <w:tc>
          <w:tcPr>
            <w:tcW w:w="1140" w:type="dxa"/>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8</w:t>
            </w:r>
          </w:p>
        </w:tc>
        <w:tc>
          <w:tcPr>
            <w:tcW w:w="1063" w:type="dxa"/>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台</w:t>
            </w:r>
          </w:p>
        </w:tc>
        <w:tc>
          <w:tcPr>
            <w:tcW w:w="1388" w:type="dxa"/>
            <w:shd w:val="clear" w:color="auto" w:fill="auto"/>
            <w:noWrap/>
            <w:vAlign w:val="center"/>
          </w:tcPr>
          <w:p>
            <w:pPr>
              <w:jc w:val="center"/>
              <w:rPr>
                <w:rFonts w:ascii="微软雅黑 Light" w:hAnsi="微软雅黑 Light" w:eastAsia="微软雅黑 Light" w:cs="宋体"/>
                <w:sz w:val="20"/>
                <w:szCs w:val="20"/>
              </w:rPr>
            </w:pPr>
          </w:p>
        </w:tc>
        <w:tc>
          <w:tcPr>
            <w:tcW w:w="1125" w:type="dxa"/>
            <w:shd w:val="clear" w:color="auto" w:fill="auto"/>
            <w:noWrap/>
            <w:vAlign w:val="center"/>
          </w:tcPr>
          <w:p>
            <w:pPr>
              <w:jc w:val="center"/>
              <w:rPr>
                <w:rFonts w:ascii="微软雅黑 Light" w:hAnsi="微软雅黑 Light" w:eastAsia="微软雅黑 Light" w:cs="宋体"/>
                <w:sz w:val="20"/>
                <w:szCs w:val="20"/>
              </w:rPr>
            </w:pPr>
          </w:p>
        </w:tc>
        <w:tc>
          <w:tcPr>
            <w:tcW w:w="1163" w:type="dxa"/>
            <w:shd w:val="clear" w:color="auto" w:fill="auto"/>
            <w:noWrap/>
            <w:vAlign w:val="center"/>
          </w:tcPr>
          <w:p>
            <w:pPr>
              <w:jc w:val="center"/>
              <w:rPr>
                <w:rFonts w:ascii="微软雅黑 Light" w:hAnsi="微软雅黑 Light" w:eastAsia="微软雅黑 Light"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16" w:type="dxa"/>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35</w:t>
            </w:r>
          </w:p>
        </w:tc>
        <w:tc>
          <w:tcPr>
            <w:tcW w:w="2425" w:type="dxa"/>
            <w:vAlign w:val="center"/>
          </w:tcPr>
          <w:p>
            <w:pPr>
              <w:jc w:val="left"/>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PDU线缆</w:t>
            </w:r>
          </w:p>
        </w:tc>
        <w:tc>
          <w:tcPr>
            <w:tcW w:w="1140" w:type="dxa"/>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100</w:t>
            </w:r>
          </w:p>
        </w:tc>
        <w:tc>
          <w:tcPr>
            <w:tcW w:w="1063" w:type="dxa"/>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米</w:t>
            </w:r>
          </w:p>
        </w:tc>
        <w:tc>
          <w:tcPr>
            <w:tcW w:w="1388" w:type="dxa"/>
            <w:shd w:val="clear" w:color="auto" w:fill="auto"/>
            <w:noWrap/>
            <w:vAlign w:val="center"/>
          </w:tcPr>
          <w:p>
            <w:pPr>
              <w:jc w:val="center"/>
              <w:rPr>
                <w:rFonts w:ascii="微软雅黑 Light" w:hAnsi="微软雅黑 Light" w:eastAsia="微软雅黑 Light" w:cs="宋体"/>
                <w:sz w:val="20"/>
                <w:szCs w:val="20"/>
              </w:rPr>
            </w:pPr>
          </w:p>
        </w:tc>
        <w:tc>
          <w:tcPr>
            <w:tcW w:w="1125" w:type="dxa"/>
            <w:shd w:val="clear" w:color="auto" w:fill="auto"/>
            <w:noWrap/>
            <w:vAlign w:val="center"/>
          </w:tcPr>
          <w:p>
            <w:pPr>
              <w:jc w:val="center"/>
              <w:rPr>
                <w:rFonts w:ascii="微软雅黑 Light" w:hAnsi="微软雅黑 Light" w:eastAsia="微软雅黑 Light" w:cs="宋体"/>
                <w:sz w:val="20"/>
                <w:szCs w:val="20"/>
              </w:rPr>
            </w:pPr>
          </w:p>
        </w:tc>
        <w:tc>
          <w:tcPr>
            <w:tcW w:w="1163" w:type="dxa"/>
            <w:shd w:val="clear" w:color="auto" w:fill="auto"/>
            <w:noWrap/>
            <w:vAlign w:val="center"/>
          </w:tcPr>
          <w:p>
            <w:pPr>
              <w:jc w:val="center"/>
              <w:rPr>
                <w:rFonts w:ascii="微软雅黑 Light" w:hAnsi="微软雅黑 Light" w:eastAsia="微软雅黑 Light"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716" w:type="dxa"/>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36</w:t>
            </w:r>
          </w:p>
        </w:tc>
        <w:tc>
          <w:tcPr>
            <w:tcW w:w="2425" w:type="dxa"/>
            <w:vAlign w:val="center"/>
          </w:tcPr>
          <w:p>
            <w:pPr>
              <w:jc w:val="left"/>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PDU</w:t>
            </w:r>
          </w:p>
        </w:tc>
        <w:tc>
          <w:tcPr>
            <w:tcW w:w="1140" w:type="dxa"/>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10</w:t>
            </w:r>
          </w:p>
        </w:tc>
        <w:tc>
          <w:tcPr>
            <w:tcW w:w="1063" w:type="dxa"/>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个</w:t>
            </w:r>
          </w:p>
        </w:tc>
        <w:tc>
          <w:tcPr>
            <w:tcW w:w="1388" w:type="dxa"/>
            <w:shd w:val="clear" w:color="auto" w:fill="auto"/>
            <w:noWrap/>
            <w:vAlign w:val="center"/>
          </w:tcPr>
          <w:p>
            <w:pPr>
              <w:jc w:val="center"/>
              <w:rPr>
                <w:rFonts w:ascii="微软雅黑 Light" w:hAnsi="微软雅黑 Light" w:eastAsia="微软雅黑 Light" w:cs="宋体"/>
                <w:sz w:val="20"/>
                <w:szCs w:val="20"/>
              </w:rPr>
            </w:pPr>
          </w:p>
        </w:tc>
        <w:tc>
          <w:tcPr>
            <w:tcW w:w="1125" w:type="dxa"/>
            <w:shd w:val="clear" w:color="auto" w:fill="auto"/>
            <w:noWrap/>
            <w:vAlign w:val="center"/>
          </w:tcPr>
          <w:p>
            <w:pPr>
              <w:jc w:val="center"/>
              <w:rPr>
                <w:rFonts w:ascii="微软雅黑 Light" w:hAnsi="微软雅黑 Light" w:eastAsia="微软雅黑 Light" w:cs="宋体"/>
                <w:sz w:val="20"/>
                <w:szCs w:val="20"/>
              </w:rPr>
            </w:pPr>
          </w:p>
        </w:tc>
        <w:tc>
          <w:tcPr>
            <w:tcW w:w="1163" w:type="dxa"/>
            <w:shd w:val="clear" w:color="auto" w:fill="auto"/>
            <w:noWrap/>
            <w:vAlign w:val="center"/>
          </w:tcPr>
          <w:p>
            <w:pPr>
              <w:jc w:val="center"/>
              <w:rPr>
                <w:rFonts w:ascii="微软雅黑 Light" w:hAnsi="微软雅黑 Light" w:eastAsia="微软雅黑 Light"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16" w:type="dxa"/>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37</w:t>
            </w:r>
          </w:p>
        </w:tc>
        <w:tc>
          <w:tcPr>
            <w:tcW w:w="2425" w:type="dxa"/>
            <w:vAlign w:val="center"/>
          </w:tcPr>
          <w:p>
            <w:pPr>
              <w:jc w:val="left"/>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机柜</w:t>
            </w:r>
          </w:p>
        </w:tc>
        <w:tc>
          <w:tcPr>
            <w:tcW w:w="1140" w:type="dxa"/>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4</w:t>
            </w:r>
          </w:p>
        </w:tc>
        <w:tc>
          <w:tcPr>
            <w:tcW w:w="1063" w:type="dxa"/>
            <w:shd w:val="clear" w:color="auto" w:fill="auto"/>
            <w:noWrap/>
            <w:vAlign w:val="center"/>
          </w:tcPr>
          <w:p>
            <w:pPr>
              <w:jc w:val="center"/>
              <w:rPr>
                <w:rFonts w:ascii="微软雅黑 Light" w:hAnsi="微软雅黑 Light" w:eastAsia="微软雅黑 Light" w:cs="宋体"/>
                <w:sz w:val="20"/>
                <w:szCs w:val="20"/>
              </w:rPr>
            </w:pPr>
            <w:r>
              <w:rPr>
                <w:rFonts w:hint="eastAsia" w:ascii="微软雅黑 Light" w:hAnsi="微软雅黑 Light" w:eastAsia="微软雅黑 Light" w:cs="宋体"/>
                <w:sz w:val="20"/>
                <w:szCs w:val="20"/>
              </w:rPr>
              <w:t>个</w:t>
            </w:r>
          </w:p>
        </w:tc>
        <w:tc>
          <w:tcPr>
            <w:tcW w:w="1388" w:type="dxa"/>
            <w:shd w:val="clear" w:color="auto" w:fill="auto"/>
            <w:noWrap/>
            <w:vAlign w:val="center"/>
          </w:tcPr>
          <w:p>
            <w:pPr>
              <w:jc w:val="center"/>
              <w:rPr>
                <w:rFonts w:ascii="微软雅黑 Light" w:hAnsi="微软雅黑 Light" w:eastAsia="微软雅黑 Light" w:cs="宋体"/>
                <w:sz w:val="20"/>
                <w:szCs w:val="20"/>
              </w:rPr>
            </w:pPr>
          </w:p>
        </w:tc>
        <w:tc>
          <w:tcPr>
            <w:tcW w:w="1125" w:type="dxa"/>
            <w:shd w:val="clear" w:color="auto" w:fill="auto"/>
            <w:noWrap/>
            <w:vAlign w:val="center"/>
          </w:tcPr>
          <w:p>
            <w:pPr>
              <w:jc w:val="center"/>
              <w:rPr>
                <w:rFonts w:ascii="微软雅黑 Light" w:hAnsi="微软雅黑 Light" w:eastAsia="微软雅黑 Light" w:cs="宋体"/>
                <w:sz w:val="20"/>
                <w:szCs w:val="20"/>
              </w:rPr>
            </w:pPr>
          </w:p>
        </w:tc>
        <w:tc>
          <w:tcPr>
            <w:tcW w:w="1163" w:type="dxa"/>
            <w:shd w:val="clear" w:color="auto" w:fill="auto"/>
            <w:noWrap/>
            <w:vAlign w:val="center"/>
          </w:tcPr>
          <w:p>
            <w:pPr>
              <w:jc w:val="center"/>
              <w:rPr>
                <w:rFonts w:ascii="微软雅黑 Light" w:hAnsi="微软雅黑 Light" w:eastAsia="微软雅黑 Light"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020" w:type="dxa"/>
            <w:gridSpan w:val="7"/>
            <w:shd w:val="clear" w:color="auto" w:fill="auto"/>
            <w:noWrap/>
            <w:vAlign w:val="center"/>
          </w:tcPr>
          <w:p>
            <w:pPr>
              <w:jc w:val="center"/>
              <w:rPr>
                <w:rFonts w:ascii="微软雅黑 Light" w:hAnsi="微软雅黑 Light" w:eastAsia="微软雅黑 Light" w:cs="宋体"/>
                <w:sz w:val="22"/>
                <w:szCs w:val="22"/>
              </w:rPr>
            </w:pPr>
            <w:r>
              <w:rPr>
                <w:rFonts w:hint="eastAsia" w:ascii="微软雅黑 Light" w:hAnsi="微软雅黑 Light" w:eastAsia="微软雅黑 Light" w:cs="宋体"/>
                <w:b/>
                <w:bCs/>
                <w:sz w:val="32"/>
                <w:szCs w:val="32"/>
              </w:rPr>
              <w:t>详细技术参数附后</w:t>
            </w:r>
          </w:p>
        </w:tc>
      </w:tr>
    </w:tbl>
    <w:p>
      <w:pPr>
        <w:pStyle w:val="6"/>
      </w:pPr>
    </w:p>
    <w:p>
      <w:pPr>
        <w:jc w:val="center"/>
        <w:rPr>
          <w:rFonts w:ascii="微软雅黑" w:hAnsi="微软雅黑" w:eastAsia="微软雅黑"/>
          <w:b/>
          <w:bCs/>
          <w:sz w:val="30"/>
          <w:szCs w:val="30"/>
        </w:rPr>
      </w:pPr>
      <w:r>
        <w:rPr>
          <w:rFonts w:hint="eastAsia" w:ascii="微软雅黑" w:hAnsi="微软雅黑" w:eastAsia="微软雅黑"/>
          <w:b/>
          <w:bCs/>
          <w:sz w:val="30"/>
          <w:szCs w:val="30"/>
        </w:rPr>
        <w:t>1</w:t>
      </w:r>
      <w:r>
        <w:rPr>
          <w:rFonts w:ascii="微软雅黑" w:hAnsi="微软雅黑" w:eastAsia="微软雅黑"/>
          <w:b/>
          <w:bCs/>
          <w:sz w:val="30"/>
          <w:szCs w:val="30"/>
        </w:rPr>
        <w:t>.</w:t>
      </w:r>
      <w:r>
        <w:rPr>
          <w:rFonts w:hint="eastAsia" w:ascii="微软雅黑" w:hAnsi="微软雅黑" w:eastAsia="微软雅黑"/>
          <w:b/>
          <w:bCs/>
          <w:sz w:val="30"/>
          <w:szCs w:val="30"/>
        </w:rPr>
        <w:t xml:space="preserve"> 建设目标</w:t>
      </w:r>
    </w:p>
    <w:p>
      <w:pPr>
        <w:jc w:val="center"/>
        <w:rPr>
          <w:rFonts w:ascii="微软雅黑" w:hAnsi="微软雅黑" w:eastAsia="微软雅黑"/>
          <w:b/>
          <w:bCs/>
          <w:sz w:val="30"/>
          <w:szCs w:val="30"/>
        </w:rPr>
      </w:pPr>
      <w:r>
        <w:rPr>
          <w:rFonts w:hint="eastAsia"/>
        </w:rPr>
        <w:t>本次建设目标整体满足《电子病历系统功能应用水平分级评价》四级要求。</w:t>
      </w:r>
    </w:p>
    <w:p>
      <w:pPr>
        <w:pStyle w:val="3"/>
      </w:pPr>
      <w:r>
        <w:t xml:space="preserve"> HIS</w:t>
      </w:r>
      <w:r>
        <w:rPr>
          <w:rFonts w:hint="eastAsia"/>
        </w:rPr>
        <w:t>、电子病历系统改造</w:t>
      </w:r>
    </w:p>
    <w:tbl>
      <w:tblPr>
        <w:tblStyle w:val="27"/>
        <w:tblW w:w="92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00"/>
        <w:gridCol w:w="6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900"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w:t>
            </w:r>
            <w:r>
              <w:rPr>
                <w:rFonts w:hint="eastAsia" w:ascii="微软雅黑" w:hAnsi="微软雅黑" w:eastAsia="微软雅黑"/>
                <w:b/>
                <w:bCs/>
                <w:szCs w:val="21"/>
              </w:rPr>
              <w:t>列表</w:t>
            </w:r>
          </w:p>
        </w:tc>
        <w:tc>
          <w:tcPr>
            <w:tcW w:w="6342"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门诊医生站融合电子病历</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门诊医生站集成门诊的初诊病历、复诊病历、病历一览等病历文书书写与查看功能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门诊检查申请</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浏览检查报告时，集成全息视图浏览患者重要病历信息；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门诊检验申请</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下达申请时可获得检验项目和标本信息，如适应症、采集要求、作用等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住院医生站融合电子病历</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住院医生站集成入院记录、病程记录、手术资料、知情文件、医患沟通记录、其他记录、出院记录、死亡记录、病历工具箱、个人设置、科室管理、医务部管理等病历文书书写、查看、管理、设置功能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病房医嘱处理</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医生药疗医嘱下达权限控制，支持抗菌药物分级使用管理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病房检查申请</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下达申请时可获得检查项目信息，如适应症、作用、注意事项等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病房检验申请</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下达申请时可获得与项目关联的适应症、标本采集、检查意义等信息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申请与预约模块</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统一对接医技预约平台，完成检查安排数据可被全院查询、检查安排时间表能够提供全院共享，并能够及时进行同步、有自动安排检查时间的规则，能够提供默认的检查时间安排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手术分级管理</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实现手术分级管理，具有针对手术医师的权限控制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治疗医生站模块</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完成治疗安排信息可被全院查询</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治疗记录数据可供全院访问，有数据交换接口</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有每次治疗的登记或执行记录，内容包括时间、项目等</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治疗过程中的评估有记录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病历结构化存储</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门诊病历记录可按照病历书写基本规范列出的基本内容项目进行结构化存储、有可定义的病历格式和选项；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病历结构化检索</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门诊病历记录能够全院共享；可按照任意病历结构化项目进行检索，可以通过病历综合查询，按照结构化元素进行查找相关病历，并进行查看。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HIS和EMR融合界面</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电子病历病历书写模块融合到HIS住院医生站和门诊医生站中，通过HIS功能页签进行调用，其他管理功能根据权限融合在HIS各系统菜单中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病历质控</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电子病历四级病历质控功能改造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入科提示提醒</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可提示入科的基本处理流程或有可定义的入科处理模版提醒帮助护士完成常规的处理；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医疗处理能力权限</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能够根据医师的职称等因素分别授予不同的医疗处理能力权限，如对毒麻药品使用、对不同等级抗菌要求使用权限，对特殊检查申请的权限等；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内嵌方式</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可在医生工作站中查看检查报告，可通过系统内嵌方式查阅检查报告和图像信息；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异常标记</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查阅检验报告时能够给出结果参考范围及结果异常标记；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ascii="微软雅黑" w:hAnsi="微软雅黑" w:eastAsia="微软雅黑" w:cs="微软雅黑"/>
                <w:kern w:val="0"/>
                <w:szCs w:val="21"/>
              </w:rPr>
              <w:t>CDSS系统对接</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与</w:t>
            </w:r>
            <w:r>
              <w:rPr>
                <w:rFonts w:ascii="微软雅黑" w:hAnsi="微软雅黑" w:eastAsia="微软雅黑" w:cs="微软雅黑"/>
                <w:kern w:val="0"/>
                <w:szCs w:val="21"/>
              </w:rPr>
              <w:t>CDSS系统对接，可查看CDSS系统中的建议等信息；</w:t>
            </w:r>
          </w:p>
        </w:tc>
      </w:tr>
    </w:tbl>
    <w:p>
      <w:pPr>
        <w:pStyle w:val="3"/>
      </w:pPr>
      <w:r>
        <w:t xml:space="preserve"> PACS系统</w:t>
      </w:r>
      <w:r>
        <w:rPr>
          <w:rFonts w:hint="eastAsia"/>
        </w:rPr>
        <w:t>改造</w:t>
      </w:r>
    </w:p>
    <w:tbl>
      <w:tblPr>
        <w:tblStyle w:val="27"/>
        <w:tblW w:w="92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00"/>
        <w:gridCol w:w="6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900"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w:t>
            </w:r>
            <w:r>
              <w:rPr>
                <w:rFonts w:hint="eastAsia" w:ascii="微软雅黑" w:hAnsi="微软雅黑" w:eastAsia="微软雅黑"/>
                <w:b/>
                <w:bCs/>
                <w:szCs w:val="21"/>
              </w:rPr>
              <w:t>列表</w:t>
            </w:r>
          </w:p>
        </w:tc>
        <w:tc>
          <w:tcPr>
            <w:tcW w:w="6342"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vMerge w:val="restart"/>
            <w:shd w:val="clear" w:color="auto" w:fill="auto"/>
            <w:vAlign w:val="center"/>
          </w:tcPr>
          <w:p>
            <w:pPr>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电子病历4级支持</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可根据检查内容生成注意事项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vMerge w:val="continue"/>
            <w:shd w:val="clear" w:color="auto" w:fill="auto"/>
            <w:vAlign w:val="center"/>
          </w:tcPr>
          <w:p>
            <w:pPr>
              <w:adjustRightInd w:val="0"/>
              <w:snapToGrid w:val="0"/>
              <w:spacing w:line="360" w:lineRule="exact"/>
              <w:jc w:val="center"/>
              <w:textAlignment w:val="center"/>
              <w:rPr>
                <w:rFonts w:ascii="微软雅黑" w:hAnsi="微软雅黑" w:eastAsia="微软雅黑" w:cs="微软雅黑"/>
                <w:kern w:val="0"/>
                <w:szCs w:val="21"/>
              </w:rPr>
            </w:pP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检查安排数据可被全院查询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vMerge w:val="continue"/>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所记录的检查数据、检查图像供全院共享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vMerge w:val="continue"/>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有供全院应用的检查数据或图像访问与显示工具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vMerge w:val="continue"/>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检查报告有初步结构化，能够区分检查所见与检查结果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vMerge w:val="continue"/>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检查报告能够全院共享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vMerge w:val="continue"/>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检查图像供全院共享，有符合DICOM标准的图像访问体系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vMerge w:val="continue"/>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能够调整图像灰阶等参数并记录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vMerge w:val="restart"/>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影像系统改造</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DICOM WORKLIST服务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vMerge w:val="continue"/>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DICOM 存储服务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vMerge w:val="continue"/>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DICOM 归档服务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vMerge w:val="continue"/>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DICOM 压缩服务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vMerge w:val="continue"/>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DICOM Q/R服务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vMerge w:val="continue"/>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DICOM 转发服务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vMerge w:val="continue"/>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PACS应用服务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vMerge w:val="continue"/>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WEB影像浏览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vMerge w:val="continue"/>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移动影像浏览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vMerge w:val="continue"/>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图像质控工具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vMerge w:val="continue"/>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影像诊断阅片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vMerge w:val="continue"/>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影像高级处理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vMerge w:val="continue"/>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胶片打印</w:t>
            </w:r>
          </w:p>
        </w:tc>
      </w:tr>
    </w:tbl>
    <w:p>
      <w:pPr>
        <w:rPr>
          <w:rFonts w:ascii="微软雅黑" w:hAnsi="微软雅黑" w:eastAsia="微软雅黑"/>
        </w:rPr>
      </w:pPr>
    </w:p>
    <w:p>
      <w:pPr>
        <w:pStyle w:val="3"/>
      </w:pPr>
      <w:r>
        <w:rPr>
          <w:rFonts w:hint="eastAsia"/>
        </w:rPr>
        <w:t xml:space="preserve"> 单点登录系统</w:t>
      </w:r>
    </w:p>
    <w:tbl>
      <w:tblPr>
        <w:tblStyle w:val="27"/>
        <w:tblW w:w="92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00"/>
        <w:gridCol w:w="6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900"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w:t>
            </w:r>
            <w:r>
              <w:rPr>
                <w:rFonts w:hint="eastAsia" w:ascii="微软雅黑" w:hAnsi="微软雅黑" w:eastAsia="微软雅黑"/>
                <w:b/>
                <w:bCs/>
                <w:szCs w:val="21"/>
              </w:rPr>
              <w:t>列表</w:t>
            </w:r>
          </w:p>
        </w:tc>
        <w:tc>
          <w:tcPr>
            <w:tcW w:w="6342"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服务端各系统配置</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录入各连接的系统名称、C/S或者B/S,图标信息等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服务端各登录系统用户勾兑</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各系统的操作员和单点登录用户的配对并赋予某个操作员具有若干个系统的权限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系统访问验证机制</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提供系统访问的服务并验证用户登录的正确性、实时性等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消息发送功能</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MQ保证工作消息的发送，发给各客户端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单点登录应用模块</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查询各系统的登录清单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单点登录系统集成</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客户端调用各系统，与单点登录系统集成后的系统可以统一登录。</w:t>
            </w:r>
          </w:p>
        </w:tc>
      </w:tr>
    </w:tbl>
    <w:p>
      <w:pPr>
        <w:rPr>
          <w:rFonts w:ascii="微软雅黑" w:hAnsi="微软雅黑" w:eastAsia="微软雅黑"/>
        </w:rPr>
      </w:pPr>
    </w:p>
    <w:p>
      <w:pPr>
        <w:pStyle w:val="3"/>
      </w:pPr>
      <w:r>
        <w:rPr>
          <w:rFonts w:hint="eastAsia"/>
        </w:rPr>
        <w:t xml:space="preserve"> 移动护理系统（PC端）</w:t>
      </w:r>
    </w:p>
    <w:tbl>
      <w:tblPr>
        <w:tblStyle w:val="27"/>
        <w:tblW w:w="92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00"/>
        <w:gridCol w:w="6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900"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w:t>
            </w:r>
            <w:r>
              <w:rPr>
                <w:rFonts w:hint="eastAsia" w:ascii="微软雅黑" w:hAnsi="微软雅黑" w:eastAsia="微软雅黑"/>
                <w:b/>
                <w:bCs/>
                <w:szCs w:val="21"/>
              </w:rPr>
              <w:t>列表</w:t>
            </w:r>
          </w:p>
        </w:tc>
        <w:tc>
          <w:tcPr>
            <w:tcW w:w="6342"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系统登录</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护士进行系统登录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字典配置</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可提示入科的基本处理流程或有可定义的入科处理模版提醒帮助护士完成常规的处理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体征配置</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用于维护所有体征录入的数据，约束其每项的类型，长度等信息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检查、检验查看</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查询检查检验内容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体温单规则配置</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设置体温单规则，是生成批量体征录入的关键。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权限维护</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维护用户的使用及访问权限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床位列表</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展示所有有病人的床位信息，可以按照卡片形式和列表形式切换，按护理等级和危重状态进行统计。点击病人卡片或者列表数据进入病人页面可以进入病人页，查看该病人的体温单等数据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转出/出院病人查询</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提供查询出已经转出或者出院的病人列表，通过点击列表可以进入病人页，查看该病人的体温单等数据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批量体征录入</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根据体温单规则自动生成需要测量体征的病人列表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输液瓶签打印</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根据医嘱拆分出相应的瓶签进行打印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医嘱皮试</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青霉素、头孢类的医嘱确认结果在进行执行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医嘱执行情况</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查看病人医嘱全部信息，以及执行情况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病人腕带打印</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打印在院病人的腕带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交接班/新生儿交接班/产房交接班</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用于生成每日的交接班数据，并可以对数据进行手动的修改，同时提供打印功能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特殊情况母乳喂养登记本</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登记母亲或者新生儿特殊情况，分析原因和随访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婴儿24小时无大便</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记录婴儿24小时无大便记录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体重丢失统计表</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便于实时观察婴儿体重变化情况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批量录入血糖</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根据血糖监测医嘱筛选出需要测量血糖的病人，进行录入结果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敏感指标</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每日自动统计出全院和转科指标数据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体征图/体温单</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生成体温单，并可以便捷地编辑单个体征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医嘱执行查询</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查看单个病人医嘱全部信息，以及执行情况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护理记录单/神经护理记录单/儿科护理记录单/新生儿护理记录单</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记录病人体征、评估项目和病情，可以导入交接班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产科记录单</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包含待产记录、产时记录、缩宫素点滴记录、母婴同室记录、产程图、新生儿记录、新生儿皮肤风险评估表、人工破膜及阴道检查记录、气囊助产记录、母乳喂养自我效能感评估表、WHO母乳喂养观察表等记录单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评分量表</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对病人跌倒、压疮、自理能力等项目进行评估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护理计划</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根据病人情况做出相应的护理措施</w:t>
            </w:r>
          </w:p>
        </w:tc>
      </w:tr>
    </w:tbl>
    <w:p>
      <w:pPr>
        <w:rPr>
          <w:rFonts w:ascii="微软雅黑" w:hAnsi="微软雅黑" w:eastAsia="微软雅黑"/>
        </w:rPr>
      </w:pPr>
    </w:p>
    <w:p>
      <w:pPr>
        <w:pStyle w:val="3"/>
      </w:pPr>
      <w:r>
        <w:rPr>
          <w:rFonts w:hint="eastAsia"/>
        </w:rPr>
        <w:t xml:space="preserve"> 工伤医保结算对接</w:t>
      </w:r>
    </w:p>
    <w:tbl>
      <w:tblPr>
        <w:tblStyle w:val="27"/>
        <w:tblW w:w="92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00"/>
        <w:gridCol w:w="6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900"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w:t>
            </w:r>
            <w:r>
              <w:rPr>
                <w:rFonts w:hint="eastAsia" w:ascii="微软雅黑" w:hAnsi="微软雅黑" w:eastAsia="微软雅黑"/>
                <w:b/>
                <w:bCs/>
                <w:szCs w:val="21"/>
              </w:rPr>
              <w:t>列表</w:t>
            </w:r>
          </w:p>
        </w:tc>
        <w:tc>
          <w:tcPr>
            <w:tcW w:w="6342"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内容</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按照工伤保险信息系统协议机构接口开发手册</w:t>
            </w:r>
          </w:p>
        </w:tc>
      </w:tr>
    </w:tbl>
    <w:p>
      <w:pPr>
        <w:rPr>
          <w:rFonts w:ascii="微软雅黑" w:hAnsi="微软雅黑" w:eastAsia="微软雅黑"/>
          <w:b/>
          <w:bCs/>
        </w:rPr>
      </w:pPr>
    </w:p>
    <w:p>
      <w:pPr>
        <w:pStyle w:val="3"/>
      </w:pPr>
      <w:r>
        <w:rPr>
          <w:rFonts w:hint="eastAsia"/>
        </w:rPr>
        <w:t xml:space="preserve"> 血库管理系统</w:t>
      </w:r>
    </w:p>
    <w:tbl>
      <w:tblPr>
        <w:tblStyle w:val="27"/>
        <w:tblW w:w="92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00"/>
        <w:gridCol w:w="6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900"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w:t>
            </w:r>
            <w:r>
              <w:rPr>
                <w:rFonts w:hint="eastAsia" w:ascii="微软雅黑" w:hAnsi="微软雅黑" w:eastAsia="微软雅黑"/>
                <w:b/>
                <w:bCs/>
                <w:szCs w:val="21"/>
              </w:rPr>
              <w:t>列表</w:t>
            </w:r>
          </w:p>
        </w:tc>
        <w:tc>
          <w:tcPr>
            <w:tcW w:w="6342"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用血管理</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验血</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配血</w:t>
            </w:r>
            <w:r>
              <w:rPr>
                <w:rFonts w:ascii="微软雅黑" w:hAnsi="微软雅黑" w:eastAsia="微软雅黑" w:cs="微软雅黑"/>
                <w:kern w:val="0"/>
                <w:szCs w:val="21"/>
              </w:rPr>
              <w:t>(病人血型不明时，必须验血)</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发血（配血成功后方进行发血）</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发血单作废</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查看住院病人当前科室费用；也可增加当前科室费用录入；只有特殊权限可退费。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血液入出库</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血液入库</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入库血袋修改</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血液出库</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血液库存查询</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用血登记报表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统计查询</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验血统计表</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配血单查询</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发血单查询</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血液入库查询</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血液出库查询</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科室工作量日统计</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科室项目类别的统计</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科室工作量及金额的统计</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医生用血明细查血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系统维护</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系统参数维护</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血液成分与价表对照</w:t>
            </w:r>
            <w:r>
              <w:rPr>
                <w:rFonts w:ascii="微软雅黑" w:hAnsi="微软雅黑" w:eastAsia="微软雅黑" w:cs="微软雅黑"/>
                <w:kern w:val="0"/>
                <w:szCs w:val="21"/>
              </w:rPr>
              <w:t>,用于发血计价</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验血划价项目维护</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本院用血名称与血站名称对照表</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实现对血库码表维护后字典内容进行维护</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配血划价项目维护</w:t>
            </w:r>
          </w:p>
        </w:tc>
      </w:tr>
    </w:tbl>
    <w:p>
      <w:pPr>
        <w:rPr>
          <w:rFonts w:ascii="微软雅黑" w:hAnsi="微软雅黑" w:eastAsia="微软雅黑"/>
          <w:b/>
          <w:bCs/>
        </w:rPr>
      </w:pPr>
    </w:p>
    <w:p>
      <w:pPr>
        <w:pStyle w:val="3"/>
      </w:pPr>
      <w:r>
        <w:rPr>
          <w:rFonts w:hint="eastAsia"/>
        </w:rPr>
        <w:t xml:space="preserve"> 单病种质控上报系统</w:t>
      </w:r>
    </w:p>
    <w:tbl>
      <w:tblPr>
        <w:tblStyle w:val="27"/>
        <w:tblW w:w="92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00"/>
        <w:gridCol w:w="6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900"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w:t>
            </w:r>
            <w:r>
              <w:rPr>
                <w:rFonts w:hint="eastAsia" w:ascii="微软雅黑" w:hAnsi="微软雅黑" w:eastAsia="微软雅黑"/>
                <w:b/>
                <w:bCs/>
                <w:szCs w:val="21"/>
              </w:rPr>
              <w:t>列表</w:t>
            </w:r>
          </w:p>
        </w:tc>
        <w:tc>
          <w:tcPr>
            <w:tcW w:w="6342"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数据同步</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人员基本信息获取：</w:t>
            </w:r>
            <w:r>
              <w:rPr>
                <w:rFonts w:ascii="微软雅黑" w:hAnsi="微软雅黑" w:eastAsia="微软雅黑" w:cs="微软雅黑"/>
                <w:kern w:val="0"/>
                <w:szCs w:val="21"/>
              </w:rPr>
              <w:t>通过HIS获取用户基本信息</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科室基本信息获取：</w:t>
            </w:r>
            <w:r>
              <w:rPr>
                <w:rFonts w:ascii="微软雅黑" w:hAnsi="微软雅黑" w:eastAsia="微软雅黑" w:cs="微软雅黑"/>
                <w:kern w:val="0"/>
                <w:szCs w:val="21"/>
              </w:rPr>
              <w:t>通过HIS获取科室基本信息</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患者基本信息获取：</w:t>
            </w:r>
            <w:r>
              <w:rPr>
                <w:rFonts w:ascii="微软雅黑" w:hAnsi="微软雅黑" w:eastAsia="微软雅黑" w:cs="微软雅黑"/>
                <w:kern w:val="0"/>
                <w:szCs w:val="21"/>
              </w:rPr>
              <w:t>通过HIS获取患者基本信息</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人员归属科室：</w:t>
            </w:r>
            <w:r>
              <w:rPr>
                <w:rFonts w:ascii="微软雅黑" w:hAnsi="微软雅黑" w:eastAsia="微软雅黑" w:cs="微软雅黑"/>
                <w:kern w:val="0"/>
                <w:szCs w:val="21"/>
              </w:rPr>
              <w:t>通过HIS获取用户所在科室信息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前置机搭建</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按照国家通过前置机上传单病种数据要求搭建前置机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单病种筛选</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胃癌：</w:t>
            </w:r>
            <w:r>
              <w:rPr>
                <w:rFonts w:ascii="微软雅黑" w:hAnsi="微软雅黑" w:eastAsia="微软雅黑" w:cs="微软雅黑"/>
                <w:kern w:val="0"/>
                <w:szCs w:val="21"/>
              </w:rPr>
              <w:t>根据单病种-胃癌要求后台自动筛选满足胃癌要求的患者，并生成列表</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乳腺癌：</w:t>
            </w:r>
            <w:r>
              <w:rPr>
                <w:rFonts w:ascii="微软雅黑" w:hAnsi="微软雅黑" w:eastAsia="微软雅黑" w:cs="微软雅黑"/>
                <w:kern w:val="0"/>
                <w:szCs w:val="21"/>
              </w:rPr>
              <w:t>根据单病种-乳腺癌要求后台自动筛选满足乳腺癌要求的患者，并生成列表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单病种上传数据自动填充</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胃癌：</w:t>
            </w:r>
            <w:r>
              <w:rPr>
                <w:rFonts w:ascii="微软雅黑" w:hAnsi="微软雅黑" w:eastAsia="微软雅黑" w:cs="微软雅黑"/>
                <w:kern w:val="0"/>
                <w:szCs w:val="21"/>
              </w:rPr>
              <w:t>根据胃癌模板通过其它系统接口获取其中内容，并完成自动填充</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乳腺癌：</w:t>
            </w:r>
            <w:r>
              <w:rPr>
                <w:rFonts w:ascii="微软雅黑" w:hAnsi="微软雅黑" w:eastAsia="微软雅黑" w:cs="微软雅黑"/>
                <w:kern w:val="0"/>
                <w:szCs w:val="21"/>
              </w:rPr>
              <w:t>根据乳腺癌模板通过其它系统接口获取其中内容，并完成自动填充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系统管理</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人员管理：</w:t>
            </w:r>
            <w:r>
              <w:rPr>
                <w:rFonts w:ascii="微软雅黑" w:hAnsi="微软雅黑" w:eastAsia="微软雅黑" w:cs="微软雅黑"/>
                <w:kern w:val="0"/>
                <w:szCs w:val="21"/>
              </w:rPr>
              <w:t>在从HIS自动同步后，仍可以主动维护人员信息</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角色管理：</w:t>
            </w:r>
            <w:r>
              <w:rPr>
                <w:rFonts w:ascii="微软雅黑" w:hAnsi="微软雅黑" w:eastAsia="微软雅黑" w:cs="微软雅黑"/>
                <w:kern w:val="0"/>
                <w:szCs w:val="21"/>
              </w:rPr>
              <w:t>维护角色信息</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功能维护：</w:t>
            </w:r>
            <w:r>
              <w:rPr>
                <w:rFonts w:ascii="微软雅黑" w:hAnsi="微软雅黑" w:eastAsia="微软雅黑" w:cs="微软雅黑"/>
                <w:kern w:val="0"/>
                <w:szCs w:val="21"/>
              </w:rPr>
              <w:t>维护系统功能信息</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角色权限：</w:t>
            </w:r>
            <w:r>
              <w:rPr>
                <w:rFonts w:ascii="微软雅黑" w:hAnsi="微软雅黑" w:eastAsia="微软雅黑" w:cs="微软雅黑"/>
                <w:kern w:val="0"/>
                <w:szCs w:val="21"/>
              </w:rPr>
              <w:t>给已经维护的角色分配权限</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用户角色：</w:t>
            </w:r>
            <w:r>
              <w:rPr>
                <w:rFonts w:ascii="微软雅黑" w:hAnsi="微软雅黑" w:eastAsia="微软雅黑" w:cs="微软雅黑"/>
                <w:kern w:val="0"/>
                <w:szCs w:val="21"/>
              </w:rPr>
              <w:t>给用户分配角色，一个用户可以分配多个角色</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人员科室：</w:t>
            </w:r>
            <w:r>
              <w:rPr>
                <w:rFonts w:ascii="微软雅黑" w:hAnsi="微软雅黑" w:eastAsia="微软雅黑" w:cs="微软雅黑"/>
                <w:kern w:val="0"/>
                <w:szCs w:val="21"/>
              </w:rPr>
              <w:t>在从HIS自动同步后，仍可以主动维护人员所属科室信息</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科室管理：</w:t>
            </w:r>
            <w:r>
              <w:rPr>
                <w:rFonts w:ascii="微软雅黑" w:hAnsi="微软雅黑" w:eastAsia="微软雅黑" w:cs="微软雅黑"/>
                <w:kern w:val="0"/>
                <w:szCs w:val="21"/>
              </w:rPr>
              <w:t>在从HIS自动同步后，仍可以维护科室信息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患者管理</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患者管理：</w:t>
            </w:r>
            <w:r>
              <w:rPr>
                <w:rFonts w:ascii="微软雅黑" w:hAnsi="微软雅黑" w:eastAsia="微软雅黑" w:cs="微软雅黑"/>
                <w:kern w:val="0"/>
                <w:szCs w:val="21"/>
              </w:rPr>
              <w:t>在从HIS自动同步后，仍可以维护患者信息</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患者调阅：</w:t>
            </w:r>
            <w:r>
              <w:rPr>
                <w:rFonts w:ascii="微软雅黑" w:hAnsi="微软雅黑" w:eastAsia="微软雅黑" w:cs="微软雅黑"/>
                <w:kern w:val="0"/>
                <w:szCs w:val="21"/>
              </w:rPr>
              <w:t>通过各种检索条件可以查询患者信息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信息上报</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待上报：</w:t>
            </w:r>
            <w:r>
              <w:rPr>
                <w:rFonts w:ascii="微软雅黑" w:hAnsi="微软雅黑" w:eastAsia="微软雅黑" w:cs="微软雅黑"/>
                <w:kern w:val="0"/>
                <w:szCs w:val="21"/>
              </w:rPr>
              <w:t>展示自动过滤的数据并可以在此基础上编辑上报表单</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已提交：</w:t>
            </w:r>
            <w:r>
              <w:rPr>
                <w:rFonts w:ascii="微软雅黑" w:hAnsi="微软雅黑" w:eastAsia="微软雅黑" w:cs="微软雅黑"/>
                <w:kern w:val="0"/>
                <w:szCs w:val="21"/>
              </w:rPr>
              <w:t>展示待上报功能中提交过的数据，并可编辑</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暂存记录：</w:t>
            </w:r>
            <w:r>
              <w:rPr>
                <w:rFonts w:ascii="微软雅黑" w:hAnsi="微软雅黑" w:eastAsia="微软雅黑" w:cs="微软雅黑"/>
                <w:kern w:val="0"/>
                <w:szCs w:val="21"/>
              </w:rPr>
              <w:t>展示待上报功能中暂存的数据，并可编辑</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修改记录：</w:t>
            </w:r>
            <w:r>
              <w:rPr>
                <w:rFonts w:ascii="微软雅黑" w:hAnsi="微软雅黑" w:eastAsia="微软雅黑" w:cs="微软雅黑"/>
                <w:kern w:val="0"/>
                <w:szCs w:val="21"/>
              </w:rPr>
              <w:t>展示填写和上报时因国家模板变化而造成前后内容不符的记录，并可编辑</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退回记录：</w:t>
            </w:r>
            <w:r>
              <w:rPr>
                <w:rFonts w:ascii="微软雅黑" w:hAnsi="微软雅黑" w:eastAsia="微软雅黑" w:cs="微软雅黑"/>
                <w:kern w:val="0"/>
                <w:szCs w:val="21"/>
              </w:rPr>
              <w:t>展示审核时退回的记录，并可编辑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信息审核</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待审核：</w:t>
            </w:r>
            <w:r>
              <w:rPr>
                <w:rFonts w:ascii="微软雅黑" w:hAnsi="微软雅黑" w:eastAsia="微软雅黑" w:cs="微软雅黑"/>
                <w:kern w:val="0"/>
                <w:szCs w:val="21"/>
              </w:rPr>
              <w:t>质控科审核已提交功能</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已审核：</w:t>
            </w:r>
            <w:r>
              <w:rPr>
                <w:rFonts w:ascii="微软雅黑" w:hAnsi="微软雅黑" w:eastAsia="微软雅黑" w:cs="微软雅黑"/>
                <w:kern w:val="0"/>
                <w:szCs w:val="21"/>
              </w:rPr>
              <w:t>已审核数据查询</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科室审核：</w:t>
            </w:r>
            <w:r>
              <w:rPr>
                <w:rFonts w:ascii="微软雅黑" w:hAnsi="微软雅黑" w:eastAsia="微软雅黑" w:cs="微软雅黑"/>
                <w:kern w:val="0"/>
                <w:szCs w:val="21"/>
              </w:rPr>
              <w:t>科主任审核已提交功能</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全部审核：</w:t>
            </w:r>
            <w:r>
              <w:rPr>
                <w:rFonts w:ascii="微软雅黑" w:hAnsi="微软雅黑" w:eastAsia="微软雅黑" w:cs="微软雅黑"/>
                <w:kern w:val="0"/>
                <w:szCs w:val="21"/>
              </w:rPr>
              <w:t>期初将已填写内容一次性全部提交功能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统计分析</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科室统计：</w:t>
            </w:r>
            <w:r>
              <w:rPr>
                <w:rFonts w:ascii="微软雅黑" w:hAnsi="微软雅黑" w:eastAsia="微软雅黑" w:cs="微软雅黑"/>
                <w:kern w:val="0"/>
                <w:szCs w:val="21"/>
              </w:rPr>
              <w:t>以科室为第一维度，病种为第二维度统计上报情况</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病种统计：</w:t>
            </w:r>
            <w:r>
              <w:rPr>
                <w:rFonts w:ascii="微软雅黑" w:hAnsi="微软雅黑" w:eastAsia="微软雅黑" w:cs="微软雅黑"/>
                <w:kern w:val="0"/>
                <w:szCs w:val="21"/>
              </w:rPr>
              <w:t>以病种为维度统计上报情况</w:t>
            </w:r>
          </w:p>
        </w:tc>
      </w:tr>
    </w:tbl>
    <w:p>
      <w:pPr>
        <w:rPr>
          <w:rFonts w:ascii="微软雅黑" w:hAnsi="微软雅黑" w:eastAsia="微软雅黑"/>
          <w:b/>
          <w:bCs/>
        </w:rPr>
      </w:pPr>
    </w:p>
    <w:p>
      <w:pPr>
        <w:pStyle w:val="3"/>
      </w:pPr>
      <w:r>
        <w:rPr>
          <w:rFonts w:hint="eastAsia"/>
        </w:rPr>
        <w:t xml:space="preserve"> 中医针灸、推拿治疗系统</w:t>
      </w:r>
    </w:p>
    <w:tbl>
      <w:tblPr>
        <w:tblStyle w:val="27"/>
        <w:tblW w:w="92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00"/>
        <w:gridCol w:w="6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900"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w:t>
            </w:r>
            <w:r>
              <w:rPr>
                <w:rFonts w:hint="eastAsia" w:ascii="微软雅黑" w:hAnsi="微软雅黑" w:eastAsia="微软雅黑"/>
                <w:b/>
                <w:bCs/>
                <w:szCs w:val="21"/>
              </w:rPr>
              <w:t>列表</w:t>
            </w:r>
          </w:p>
        </w:tc>
        <w:tc>
          <w:tcPr>
            <w:tcW w:w="6342"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数据</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rPr>
              <w:t>基础数据维护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单据</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rPr>
              <w:t>各种单据：评估单，治疗单等模板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对接</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rPr>
              <w:t>与其它系统对接的功能。如单点登录、平台、数据中心等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ascii="微软雅黑" w:hAnsi="微软雅黑" w:eastAsia="微软雅黑"/>
              </w:rPr>
              <w:t>实际业务流程</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rPr>
              <w:t>生成医嘱、计费、看病历、检查、检验等各类结果等功能点</w:t>
            </w:r>
          </w:p>
        </w:tc>
      </w:tr>
    </w:tbl>
    <w:p>
      <w:pPr>
        <w:rPr>
          <w:rFonts w:ascii="微软雅黑" w:hAnsi="微软雅黑" w:eastAsia="微软雅黑"/>
          <w:b/>
          <w:bCs/>
        </w:rPr>
      </w:pPr>
    </w:p>
    <w:p>
      <w:pPr>
        <w:pStyle w:val="3"/>
      </w:pPr>
      <w:r>
        <w:rPr>
          <w:rFonts w:hint="eastAsia"/>
        </w:rPr>
        <w:t xml:space="preserve"> 妇幼系统对接</w:t>
      </w:r>
    </w:p>
    <w:tbl>
      <w:tblPr>
        <w:tblStyle w:val="27"/>
        <w:tblW w:w="92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00"/>
        <w:gridCol w:w="6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900"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w:t>
            </w:r>
            <w:r>
              <w:rPr>
                <w:rFonts w:hint="eastAsia" w:ascii="微软雅黑" w:hAnsi="微软雅黑" w:eastAsia="微软雅黑"/>
                <w:b/>
                <w:bCs/>
                <w:szCs w:val="21"/>
              </w:rPr>
              <w:t>列表</w:t>
            </w:r>
          </w:p>
        </w:tc>
        <w:tc>
          <w:tcPr>
            <w:tcW w:w="6342"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内容</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按照院内系统对接v</w:t>
            </w:r>
            <w:r>
              <w:rPr>
                <w:rFonts w:ascii="微软雅黑" w:hAnsi="微软雅黑" w:eastAsia="微软雅黑" w:cs="微软雅黑"/>
                <w:kern w:val="0"/>
                <w:szCs w:val="21"/>
              </w:rPr>
              <w:t>1.0</w:t>
            </w:r>
            <w:r>
              <w:rPr>
                <w:rFonts w:hint="eastAsia" w:ascii="微软雅黑" w:hAnsi="微软雅黑" w:eastAsia="微软雅黑" w:cs="微软雅黑"/>
                <w:kern w:val="0"/>
                <w:szCs w:val="21"/>
              </w:rPr>
              <w:t>接口开发文档开发测试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szCs w:val="21"/>
              </w:rPr>
              <w:t>HIS</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读取住院病人，科室、病区等字典信息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szCs w:val="21"/>
              </w:rPr>
            </w:pPr>
            <w:r>
              <w:rPr>
                <w:rFonts w:ascii="微软雅黑" w:hAnsi="微软雅黑" w:eastAsia="微软雅黑"/>
                <w:szCs w:val="21"/>
              </w:rPr>
              <w:t>LIS</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读取病人检验报告信息，获取检验结果信息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szCs w:val="21"/>
              </w:rPr>
            </w:pPr>
            <w:r>
              <w:rPr>
                <w:rFonts w:ascii="微软雅黑" w:hAnsi="微软雅黑" w:eastAsia="微软雅黑"/>
                <w:szCs w:val="21"/>
              </w:rPr>
              <w:t>PACS</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读取病人检查报告信息</w:t>
            </w:r>
          </w:p>
        </w:tc>
      </w:tr>
    </w:tbl>
    <w:p>
      <w:pPr>
        <w:rPr>
          <w:rFonts w:ascii="微软雅黑" w:hAnsi="微软雅黑" w:eastAsia="微软雅黑"/>
          <w:b/>
          <w:bCs/>
        </w:rPr>
      </w:pPr>
    </w:p>
    <w:p>
      <w:pPr>
        <w:pStyle w:val="3"/>
      </w:pPr>
      <w:r>
        <w:t xml:space="preserve"> LIS系统</w:t>
      </w:r>
      <w:r>
        <w:rPr>
          <w:rFonts w:hint="eastAsia"/>
        </w:rPr>
        <w:t>改造</w:t>
      </w:r>
    </w:p>
    <w:tbl>
      <w:tblPr>
        <w:tblStyle w:val="27"/>
        <w:tblW w:w="92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00"/>
        <w:gridCol w:w="6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900"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w:t>
            </w:r>
            <w:r>
              <w:rPr>
                <w:rFonts w:hint="eastAsia" w:ascii="微软雅黑" w:hAnsi="微软雅黑" w:eastAsia="微软雅黑"/>
                <w:b/>
                <w:bCs/>
                <w:szCs w:val="21"/>
              </w:rPr>
              <w:t>列表</w:t>
            </w:r>
          </w:p>
        </w:tc>
        <w:tc>
          <w:tcPr>
            <w:tcW w:w="6342"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ascii="微软雅黑" w:hAnsi="微软雅黑" w:eastAsia="微软雅黑" w:cs="微软雅黑"/>
                <w:kern w:val="0"/>
                <w:szCs w:val="21"/>
              </w:rPr>
              <w:t>TAT管理</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TAT 全过程统计：时间节点包括，采集-接收、接收-上机、检验-发布、接收-发布；</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提供标本全生命周期记录，根据日期、类型、标本状态等查询检验周期信息；</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依据日期、检验类型、收费项目、检验项目、仪器、科室、审核人员、接收人员等查询统计；</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可以对不同项目进行分别设置TAT时间。</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可以按照患者类型进行TAT区分。</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可以按照患者类型、检验小组批量设置TAT时间。</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可以对TAT设置预提醒时间。</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可以整个标本流转、结果回报过程中多个节点进行TAT管理。</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可以对于超出TAT的项目进行统计、打印、导出。</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可以对TAT超时时间段进行统计、分析。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质量指标</w:t>
            </w:r>
            <w:r>
              <w:rPr>
                <w:rFonts w:ascii="微软雅黑" w:hAnsi="微软雅黑" w:eastAsia="微软雅黑" w:cs="微软雅黑"/>
                <w:kern w:val="0"/>
                <w:szCs w:val="21"/>
              </w:rPr>
              <w:t>15项</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支持质量指标（国十五条）统计分析。</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支持标本可接受性统计，统计本月的标本总数、需抗凝标本总数、标本类型错误 、容器错误、采集量错误、抗凝标本凝集、溶血等统计显示各组的数据；</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支持专业组设置，可选择检验报告专业组和周转时间专业组进行调整；</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支持对抗凝收费项目维护，根据检验类型、快捷检索功能；</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提供拒收设置，可设置拒收原因、拒收类型、可接受性调整；</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支持检验报告数量、不正确检验报告数、危急值总数、危急值通报数、危急值通报规定时间（min）、危急值通报超过医院规定时间数，并按组别展示数据；</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支持危急值通报时间维护、可自定义通报时间；</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支持标本周转时间统计，按生化、自动化免疫、三大常规、凝血；</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提供急诊标志维护功能；</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可统计周转时间的具体项目、TAT设置；</w:t>
            </w:r>
          </w:p>
        </w:tc>
      </w:tr>
    </w:tbl>
    <w:p>
      <w:pPr>
        <w:rPr>
          <w:rFonts w:ascii="微软雅黑" w:hAnsi="微软雅黑" w:eastAsia="微软雅黑"/>
          <w:b/>
          <w:bCs/>
        </w:rPr>
      </w:pPr>
    </w:p>
    <w:p>
      <w:pPr>
        <w:pStyle w:val="3"/>
      </w:pPr>
      <w:r>
        <w:rPr>
          <w:rFonts w:hint="eastAsia"/>
        </w:rPr>
        <w:t xml:space="preserve"> 检验危急值闭环管理系统</w:t>
      </w:r>
    </w:p>
    <w:tbl>
      <w:tblPr>
        <w:tblStyle w:val="27"/>
        <w:tblW w:w="92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00"/>
        <w:gridCol w:w="6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900"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w:t>
            </w:r>
            <w:r>
              <w:rPr>
                <w:rFonts w:hint="eastAsia" w:ascii="微软雅黑" w:hAnsi="微软雅黑" w:eastAsia="微软雅黑"/>
                <w:b/>
                <w:bCs/>
                <w:szCs w:val="21"/>
              </w:rPr>
              <w:t>列表</w:t>
            </w:r>
          </w:p>
        </w:tc>
        <w:tc>
          <w:tcPr>
            <w:tcW w:w="6342"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科室</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提供患者年龄、性别等设定检验项目参考范围；</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可结合临床制定适合临床科室使用的危急值范围，如血液肾病科“白细胞”危急值范围可单独设置；</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系统根据危急值信息判断是否是危急值，不是危急值则进行危急值信息记录。确认是危急值进行危急值登记。</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提供危急值登记功能，填写记录患者信息、通知方式、被通知人；</w:t>
            </w:r>
            <w:r>
              <w:rPr>
                <w:rFonts w:hint="eastAsia" w:ascii="微软雅黑" w:hAnsi="微软雅黑" w:eastAsia="微软雅黑" w:cs="微软雅黑"/>
                <w:kern w:val="0"/>
                <w:szCs w:val="21"/>
              </w:rPr>
              <w:t>（对于检查危急值，门诊医师能够在系统中看到）</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记录危急值登记时间、通知时间、发布时间等信息；</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确认出现危急值时会通过颜色和标识，显示并提示该数据为危急值；</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支持对已确认的危急值信息弹窗提醒；</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支持危急值通报率统计，可统计未通报数量、需通报数量、核算通报率；</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提供未通报信息显示，可展示设备、患者、科室、检测结果等信息；</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支持通报及时率统计，根据条件筛查通报的达标量和及时率；</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提供数据查询功能，根据登记日期、科室等不同条件信息查询已经登记的危急值信息，统计数据导出、打印；</w:t>
            </w:r>
          </w:p>
        </w:tc>
      </w:tr>
    </w:tbl>
    <w:p>
      <w:pPr>
        <w:rPr>
          <w:rFonts w:ascii="微软雅黑" w:hAnsi="微软雅黑" w:eastAsia="微软雅黑"/>
          <w:b/>
          <w:bCs/>
        </w:rPr>
      </w:pPr>
    </w:p>
    <w:p>
      <w:pPr>
        <w:pStyle w:val="3"/>
      </w:pPr>
      <w:r>
        <w:rPr>
          <w:rFonts w:hint="eastAsia"/>
        </w:rPr>
        <w:t xml:space="preserve"> 临床药物管理系统</w:t>
      </w:r>
    </w:p>
    <w:tbl>
      <w:tblPr>
        <w:tblStyle w:val="27"/>
        <w:tblW w:w="92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00"/>
        <w:gridCol w:w="6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900"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w:t>
            </w:r>
            <w:r>
              <w:rPr>
                <w:rFonts w:hint="eastAsia" w:ascii="微软雅黑" w:hAnsi="微软雅黑" w:eastAsia="微软雅黑"/>
                <w:b/>
                <w:bCs/>
                <w:szCs w:val="21"/>
              </w:rPr>
              <w:t>列表</w:t>
            </w:r>
          </w:p>
        </w:tc>
        <w:tc>
          <w:tcPr>
            <w:tcW w:w="6342"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智慧中心</w:t>
            </w:r>
          </w:p>
        </w:tc>
        <w:tc>
          <w:tcPr>
            <w:tcW w:w="6342" w:type="dxa"/>
            <w:shd w:val="clear" w:color="auto" w:fill="auto"/>
            <w:vAlign w:val="center"/>
          </w:tcPr>
          <w:p>
            <w:pPr>
              <w:rPr>
                <w:rFonts w:ascii="微软雅黑" w:hAnsi="微软雅黑" w:eastAsia="微软雅黑"/>
                <w:szCs w:val="21"/>
              </w:rPr>
            </w:pPr>
            <w:r>
              <w:rPr>
                <w:rFonts w:hint="eastAsia" w:ascii="微软雅黑" w:hAnsi="微软雅黑" w:eastAsia="微软雅黑"/>
                <w:szCs w:val="21"/>
              </w:rPr>
              <w:t>系统主页应能显示门诊</w:t>
            </w:r>
            <w:r>
              <w:rPr>
                <w:rFonts w:ascii="微软雅黑" w:hAnsi="微软雅黑" w:eastAsia="微软雅黑"/>
                <w:szCs w:val="21"/>
              </w:rPr>
              <w:t>/住院点评率、合理率、住院抗菌药物使用强度、门诊基本药物占比、住院静脉输液使用率等指标。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读取和查看病人信息</w:t>
            </w:r>
          </w:p>
        </w:tc>
        <w:tc>
          <w:tcPr>
            <w:tcW w:w="6342" w:type="dxa"/>
            <w:shd w:val="clear" w:color="auto" w:fill="auto"/>
            <w:vAlign w:val="center"/>
          </w:tcPr>
          <w:p>
            <w:pPr>
              <w:rPr>
                <w:rFonts w:ascii="微软雅黑" w:hAnsi="微软雅黑" w:eastAsia="微软雅黑"/>
                <w:szCs w:val="21"/>
              </w:rPr>
            </w:pPr>
            <w:r>
              <w:rPr>
                <w:rFonts w:hint="eastAsia" w:ascii="微软雅黑" w:hAnsi="微软雅黑" w:eastAsia="微软雅黑"/>
                <w:szCs w:val="21"/>
              </w:rPr>
              <w:t>系统应能筛选患者并查看患者基本信息、医嘱、检查、检验、手术、费用、会诊、病程等信息，同时能提供</w:t>
            </w:r>
            <w:r>
              <w:rPr>
                <w:rFonts w:ascii="微软雅黑" w:hAnsi="微软雅黑" w:eastAsia="微软雅黑"/>
                <w:szCs w:val="21"/>
              </w:rPr>
              <w:t>EMR、PACS、LIS</w:t>
            </w:r>
            <w:r>
              <w:rPr>
                <w:rFonts w:hint="eastAsia" w:ascii="微软雅黑" w:hAnsi="微软雅黑" w:eastAsia="微软雅黑"/>
                <w:szCs w:val="21"/>
              </w:rPr>
              <w:t>超链接功能，帮助药师快速切换。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处方点评</w:t>
            </w:r>
          </w:p>
        </w:tc>
        <w:tc>
          <w:tcPr>
            <w:tcW w:w="6342" w:type="dxa"/>
            <w:shd w:val="clear" w:color="auto" w:fill="auto"/>
            <w:vAlign w:val="center"/>
          </w:tcPr>
          <w:p>
            <w:pPr>
              <w:rPr>
                <w:rFonts w:ascii="微软雅黑" w:hAnsi="微软雅黑" w:eastAsia="微软雅黑"/>
                <w:szCs w:val="21"/>
              </w:rPr>
            </w:pPr>
            <w:r>
              <w:rPr>
                <w:rFonts w:hint="eastAsia" w:ascii="微软雅黑" w:hAnsi="微软雅黑" w:eastAsia="微软雅黑"/>
                <w:szCs w:val="21"/>
              </w:rPr>
              <w:t>系统应结合国家处方点评相关政策要求，实现对处方（医嘱）电子化评价功能。 应能对处方（医嘱）用药进行剂量审查、给药途径审查、相互作用审查、体外注射剂配伍审查、配伍浓度审查、钾离子监测、</w:t>
            </w:r>
            <w:r>
              <w:rPr>
                <w:rFonts w:ascii="微软雅黑" w:hAnsi="微软雅黑" w:eastAsia="微软雅黑"/>
                <w:szCs w:val="21"/>
              </w:rPr>
              <w:t>TPN处方审查、门诊输液审查、禁忌症审查、不良反应审查、特殊人群用药审查、重复用药审查、适应症审查、</w:t>
            </w:r>
            <w:r>
              <w:rPr>
                <w:rFonts w:hint="eastAsia" w:ascii="微软雅黑" w:hAnsi="微软雅黑" w:eastAsia="微软雅黑"/>
                <w:szCs w:val="21"/>
              </w:rPr>
              <w:t>药物过敏审查、药物检验值审查、规范性审查、医保审查、越权用药审查、围术期用药审查，并提供审查规则自定义功能，使得点评结果更加符合医院实际用药情况。</w:t>
            </w:r>
          </w:p>
          <w:p>
            <w:pPr>
              <w:rPr>
                <w:rFonts w:ascii="微软雅黑" w:hAnsi="微软雅黑" w:eastAsia="微软雅黑"/>
                <w:szCs w:val="21"/>
              </w:rPr>
            </w:pPr>
            <w:r>
              <w:rPr>
                <w:rFonts w:hint="eastAsia" w:ascii="微软雅黑" w:hAnsi="微软雅黑" w:eastAsia="微软雅黑"/>
                <w:szCs w:val="21"/>
              </w:rPr>
              <w:t>系统应能实现点评任务分配、点评求助、点评复核、反馈医生、医生申述的闭环管理，并在医生、药师交互环节进行消息提示。点评结果反馈医生或科主任后，医生（工作站）可直接填写申述理由或确认，无需登录系统查看点评结果。</w:t>
            </w:r>
          </w:p>
          <w:p>
            <w:pPr>
              <w:rPr>
                <w:rFonts w:ascii="微软雅黑" w:hAnsi="微软雅黑" w:eastAsia="微软雅黑"/>
                <w:szCs w:val="21"/>
              </w:rPr>
            </w:pPr>
            <w:r>
              <w:rPr>
                <w:rFonts w:hint="eastAsia" w:ascii="微软雅黑" w:hAnsi="微软雅黑" w:eastAsia="微软雅黑"/>
                <w:szCs w:val="21"/>
              </w:rPr>
              <w:t xml:space="preserve">系统应提供双盲点评设置、医生处理点评结果逾期设置、增补处方或病人、高亮显示被点评药品功能，方便药师点评。 </w:t>
            </w:r>
          </w:p>
          <w:p>
            <w:pPr>
              <w:rPr>
                <w:rFonts w:ascii="微软雅黑" w:hAnsi="微软雅黑" w:eastAsia="微软雅黑"/>
                <w:szCs w:val="21"/>
              </w:rPr>
            </w:pPr>
            <w:r>
              <w:rPr>
                <w:rFonts w:hint="eastAsia" w:ascii="微软雅黑" w:hAnsi="微软雅黑" w:eastAsia="微软雅黑"/>
                <w:szCs w:val="21"/>
              </w:rPr>
              <w:t>系统应能自定义点评模板及点评点，实现个性化点评需求。</w:t>
            </w:r>
          </w:p>
          <w:p>
            <w:pPr>
              <w:rPr>
                <w:rFonts w:ascii="微软雅黑" w:hAnsi="微软雅黑" w:eastAsia="微软雅黑"/>
                <w:szCs w:val="21"/>
              </w:rPr>
            </w:pPr>
            <w:r>
              <w:rPr>
                <w:rFonts w:hint="eastAsia" w:ascii="微软雅黑" w:hAnsi="微软雅黑" w:eastAsia="微软雅黑"/>
                <w:szCs w:val="21"/>
              </w:rPr>
              <w:t>系统应能自动生成住院患者用药联用图、时序图，并支持自定义。住院患者时序图包含患者体征、用药、手术和检验信息等内容。</w:t>
            </w:r>
          </w:p>
          <w:p>
            <w:pPr>
              <w:rPr>
                <w:rFonts w:ascii="微软雅黑" w:hAnsi="微软雅黑" w:eastAsia="微软雅黑"/>
                <w:szCs w:val="21"/>
              </w:rPr>
            </w:pPr>
            <w:r>
              <w:rPr>
                <w:rFonts w:hint="eastAsia" w:ascii="微软雅黑" w:hAnsi="微软雅黑" w:eastAsia="微软雅黑"/>
                <w:szCs w:val="21"/>
              </w:rPr>
              <w:t>系统应能自动生成点评相关报表及任务完成情况等管理报表。</w:t>
            </w:r>
          </w:p>
          <w:p>
            <w:pPr>
              <w:rPr>
                <w:rFonts w:ascii="微软雅黑" w:hAnsi="微软雅黑" w:eastAsia="微软雅黑"/>
                <w:szCs w:val="21"/>
              </w:rPr>
            </w:pPr>
            <w:r>
              <w:rPr>
                <w:rFonts w:hint="eastAsia" w:ascii="微软雅黑" w:hAnsi="微软雅黑" w:eastAsia="微软雅黑"/>
                <w:szCs w:val="21"/>
              </w:rPr>
              <w:t>系统应包含全处方点评、全医嘱点评、门急诊</w:t>
            </w:r>
            <w:r>
              <w:rPr>
                <w:rFonts w:ascii="微软雅黑" w:hAnsi="微软雅黑" w:eastAsia="微软雅黑"/>
                <w:szCs w:val="21"/>
              </w:rPr>
              <w:t>/</w:t>
            </w:r>
            <w:r>
              <w:rPr>
                <w:rFonts w:hint="eastAsia" w:ascii="微软雅黑" w:hAnsi="微软雅黑" w:eastAsia="微软雅黑"/>
                <w:szCs w:val="21"/>
              </w:rPr>
              <w:t>住院抗菌药物专项点评、围手术期抗菌药物专项点评、门急诊</w:t>
            </w:r>
            <w:r>
              <w:rPr>
                <w:rFonts w:ascii="微软雅黑" w:hAnsi="微软雅黑" w:eastAsia="微软雅黑"/>
                <w:szCs w:val="21"/>
              </w:rPr>
              <w:t>/</w:t>
            </w:r>
            <w:r>
              <w:rPr>
                <w:rFonts w:hint="eastAsia" w:ascii="微软雅黑" w:hAnsi="微软雅黑" w:eastAsia="微软雅黑"/>
                <w:szCs w:val="21"/>
              </w:rPr>
              <w:t>住院专项药品点评、门急诊</w:t>
            </w:r>
            <w:r>
              <w:rPr>
                <w:rFonts w:ascii="微软雅黑" w:hAnsi="微软雅黑" w:eastAsia="微软雅黑"/>
                <w:szCs w:val="21"/>
              </w:rPr>
              <w:t>/</w:t>
            </w:r>
            <w:r>
              <w:rPr>
                <w:rFonts w:hint="eastAsia" w:ascii="微软雅黑" w:hAnsi="微软雅黑" w:eastAsia="微软雅黑"/>
                <w:szCs w:val="21"/>
              </w:rPr>
              <w:t>住院抗肿瘤药物专项点评、住院病人特殊级抗菌药物专项点评、</w:t>
            </w:r>
            <w:r>
              <w:rPr>
                <w:rFonts w:ascii="微软雅黑" w:hAnsi="微软雅黑" w:eastAsia="微软雅黑"/>
                <w:szCs w:val="21"/>
              </w:rPr>
              <w:t>住院病人碳青霉烯类及</w:t>
            </w:r>
            <w:r>
              <w:rPr>
                <w:rFonts w:hint="eastAsia" w:ascii="微软雅黑" w:hAnsi="微软雅黑" w:eastAsia="微软雅黑"/>
                <w:szCs w:val="21"/>
              </w:rPr>
              <w:t>替加环素专项点评、住院病人人血白蛋白专项点评、门（急）诊</w:t>
            </w:r>
            <w:r>
              <w:rPr>
                <w:rFonts w:ascii="微软雅黑" w:hAnsi="微软雅黑" w:eastAsia="微软雅黑"/>
                <w:szCs w:val="21"/>
              </w:rPr>
              <w:t>/</w:t>
            </w:r>
            <w:r>
              <w:rPr>
                <w:rFonts w:hint="eastAsia" w:ascii="微软雅黑" w:hAnsi="微软雅黑" w:eastAsia="微软雅黑"/>
                <w:szCs w:val="21"/>
              </w:rPr>
              <w:t>住院中药饮片专项点评、门（急）诊中成药处方专项点评、</w:t>
            </w:r>
            <w:r>
              <w:rPr>
                <w:rFonts w:ascii="微软雅黑" w:hAnsi="微软雅黑" w:eastAsia="微软雅黑"/>
                <w:szCs w:val="21"/>
              </w:rPr>
              <w:t>用药排名医嘱点评</w:t>
            </w:r>
            <w:r>
              <w:rPr>
                <w:rFonts w:hint="eastAsia" w:ascii="微软雅黑" w:hAnsi="微软雅黑" w:eastAsia="微软雅黑"/>
                <w:szCs w:val="21"/>
              </w:rPr>
              <w:t>、住院用药医嘱点评、出院带药医嘱点评、门（急）诊基本药物专项点评、住院病人肠外营养专项点评、住院病人自备药专项点评、门（急）诊外延处方点评。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抗菌药物临床应用监测</w:t>
            </w:r>
          </w:p>
        </w:tc>
        <w:tc>
          <w:tcPr>
            <w:tcW w:w="6342" w:type="dxa"/>
            <w:shd w:val="clear" w:color="auto" w:fill="auto"/>
            <w:vAlign w:val="center"/>
          </w:tcPr>
          <w:p>
            <w:pPr>
              <w:rPr>
                <w:rFonts w:ascii="微软雅黑" w:hAnsi="微软雅黑" w:eastAsia="微软雅黑"/>
                <w:szCs w:val="21"/>
              </w:rPr>
            </w:pPr>
            <w:r>
              <w:rPr>
                <w:rFonts w:hint="eastAsia" w:ascii="微软雅黑" w:hAnsi="微软雅黑" w:eastAsia="微软雅黑"/>
                <w:szCs w:val="21"/>
              </w:rPr>
              <w:t>系统应根据卫生部《抗菌药物临床应用监测方案》中的相关规定，完成抗菌药物临床应用监测网要求的抗菌药物使用情况统计及上报工作。系统应提供手术</w:t>
            </w:r>
            <w:r>
              <w:rPr>
                <w:rFonts w:ascii="微软雅黑" w:hAnsi="微软雅黑" w:eastAsia="微软雅黑"/>
                <w:szCs w:val="21"/>
              </w:rPr>
              <w:t>/非手术抗菌药物使用情况调查表、门诊</w:t>
            </w:r>
            <w:r>
              <w:rPr>
                <w:rFonts w:hint="eastAsia" w:ascii="微软雅黑" w:hAnsi="微软雅黑" w:eastAsia="微软雅黑"/>
                <w:szCs w:val="21"/>
              </w:rPr>
              <w:t>/急诊/</w:t>
            </w:r>
            <w:r>
              <w:rPr>
                <w:rFonts w:ascii="微软雅黑" w:hAnsi="微软雅黑" w:eastAsia="微软雅黑"/>
                <w:szCs w:val="21"/>
              </w:rPr>
              <w:t>住院患者抗菌药物使用情况统计报表的离线上报功能，可直接上传文档</w:t>
            </w:r>
            <w:r>
              <w:rPr>
                <w:rFonts w:hint="eastAsia" w:ascii="微软雅黑" w:hAnsi="微软雅黑" w:eastAsia="微软雅黑"/>
                <w:szCs w:val="21"/>
              </w:rPr>
              <w:t>至监测网完成填报工作，避免二次填写。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jc w:val="center"/>
              <w:rPr>
                <w:rFonts w:ascii="微软雅黑" w:hAnsi="微软雅黑" w:eastAsia="微软雅黑"/>
                <w:szCs w:val="21"/>
              </w:rPr>
            </w:pPr>
            <w:r>
              <w:rPr>
                <w:rFonts w:ascii="微软雅黑" w:hAnsi="微软雅黑" w:eastAsia="微软雅黑"/>
                <w:szCs w:val="21"/>
              </w:rPr>
              <w:t>电子药历</w:t>
            </w:r>
          </w:p>
        </w:tc>
        <w:tc>
          <w:tcPr>
            <w:tcW w:w="6342" w:type="dxa"/>
            <w:shd w:val="clear" w:color="auto" w:fill="auto"/>
            <w:vAlign w:val="center"/>
          </w:tcPr>
          <w:p>
            <w:pPr>
              <w:rPr>
                <w:rFonts w:ascii="微软雅黑" w:hAnsi="微软雅黑" w:eastAsia="微软雅黑"/>
                <w:szCs w:val="21"/>
              </w:rPr>
            </w:pPr>
            <w:r>
              <w:rPr>
                <w:rFonts w:hint="eastAsia" w:ascii="微软雅黑" w:hAnsi="微软雅黑" w:eastAsia="微软雅黑"/>
                <w:szCs w:val="21"/>
              </w:rPr>
              <w:t>系统应提供工作药历、教学药历填写模块，并提供自定义药历内容、药历审阅和工作量统计。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jc w:val="center"/>
              <w:rPr>
                <w:rFonts w:ascii="微软雅黑" w:hAnsi="微软雅黑" w:eastAsia="微软雅黑"/>
                <w:szCs w:val="21"/>
              </w:rPr>
            </w:pPr>
            <w:r>
              <w:rPr>
                <w:rFonts w:ascii="微软雅黑" w:hAnsi="微软雅黑" w:eastAsia="微软雅黑"/>
                <w:szCs w:val="21"/>
              </w:rPr>
              <w:t>统计分析</w:t>
            </w:r>
          </w:p>
        </w:tc>
        <w:tc>
          <w:tcPr>
            <w:tcW w:w="6342" w:type="dxa"/>
            <w:shd w:val="clear" w:color="auto" w:fill="auto"/>
            <w:vAlign w:val="center"/>
          </w:tcPr>
          <w:p>
            <w:pPr>
              <w:rPr>
                <w:rFonts w:ascii="微软雅黑" w:hAnsi="微软雅黑" w:eastAsia="微软雅黑"/>
                <w:szCs w:val="21"/>
              </w:rPr>
            </w:pPr>
            <w:r>
              <w:rPr>
                <w:rFonts w:hint="eastAsia" w:ascii="微软雅黑" w:hAnsi="微软雅黑" w:eastAsia="微软雅黑"/>
                <w:szCs w:val="21"/>
              </w:rPr>
              <w:t>系统应提供对医院合理用药指标及药品使用情况的统计分析，并能自定义显示和导出。同时提供关键字检索功能，便于快速查询指标。</w:t>
            </w:r>
          </w:p>
          <w:p>
            <w:pPr>
              <w:rPr>
                <w:rFonts w:ascii="微软雅黑" w:hAnsi="微软雅黑" w:eastAsia="微软雅黑"/>
                <w:szCs w:val="21"/>
              </w:rPr>
            </w:pPr>
            <w:r>
              <w:rPr>
                <w:rFonts w:hint="eastAsia" w:ascii="微软雅黑" w:hAnsi="微软雅黑" w:eastAsia="微软雅黑"/>
                <w:szCs w:val="21"/>
              </w:rPr>
              <w:t>合理用药指标及趋势分析，包括：抗菌药物使用率、平均用药品种数、注射剂使用率、抗菌药物患者使用前病原送检率、</w:t>
            </w:r>
            <w:r>
              <w:rPr>
                <w:rFonts w:ascii="微软雅黑" w:hAnsi="微软雅黑" w:eastAsia="微软雅黑"/>
                <w:szCs w:val="21"/>
              </w:rPr>
              <w:t>X</w:t>
            </w:r>
            <w:r>
              <w:rPr>
                <w:rFonts w:hint="eastAsia" w:ascii="微软雅黑" w:hAnsi="微软雅黑" w:eastAsia="微软雅黑"/>
                <w:szCs w:val="21"/>
              </w:rPr>
              <w:t>类切口手术预防用抗菌药物百分率、</w:t>
            </w:r>
            <w:r>
              <w:rPr>
                <w:rFonts w:ascii="微软雅黑" w:hAnsi="微软雅黑" w:eastAsia="微软雅黑"/>
                <w:szCs w:val="21"/>
              </w:rPr>
              <w:t>X</w:t>
            </w:r>
            <w:r>
              <w:rPr>
                <w:rFonts w:hint="eastAsia" w:ascii="微软雅黑" w:hAnsi="微软雅黑" w:eastAsia="微软雅黑"/>
                <w:szCs w:val="21"/>
              </w:rPr>
              <w:t>类切口手术术前</w:t>
            </w:r>
            <w:r>
              <w:rPr>
                <w:rFonts w:ascii="微软雅黑" w:hAnsi="微软雅黑" w:eastAsia="微软雅黑"/>
                <w:szCs w:val="21"/>
              </w:rPr>
              <w:t>0.5-1.0</w:t>
            </w:r>
            <w:r>
              <w:rPr>
                <w:rFonts w:hint="eastAsia" w:ascii="微软雅黑" w:hAnsi="微软雅黑" w:eastAsia="微软雅黑"/>
                <w:szCs w:val="21"/>
              </w:rPr>
              <w:t>小时预防给药百分率等。应能按全院、大科室、科室、医疗组、医生分别提供合理用药相关指标的统计，并能将合理用药指标重新组合并生成新的报表。应能实现抗菌药物使用强度、抗菌药物使用率、抗菌药物使用量、</w:t>
            </w:r>
            <w:r>
              <w:rPr>
                <w:rFonts w:ascii="微软雅黑" w:hAnsi="微软雅黑" w:eastAsia="微软雅黑"/>
                <w:szCs w:val="21"/>
              </w:rPr>
              <w:t>I</w:t>
            </w:r>
            <w:r>
              <w:rPr>
                <w:rFonts w:hint="eastAsia" w:ascii="微软雅黑" w:hAnsi="微软雅黑" w:eastAsia="微软雅黑"/>
                <w:szCs w:val="21"/>
              </w:rPr>
              <w:t>类切口手术预防用抗菌药物百分率、国家基本药物药占比同比、环比分析。</w:t>
            </w:r>
          </w:p>
          <w:p>
            <w:pPr>
              <w:rPr>
                <w:rFonts w:ascii="微软雅黑" w:hAnsi="微软雅黑" w:eastAsia="微软雅黑"/>
                <w:szCs w:val="21"/>
              </w:rPr>
            </w:pPr>
            <w:r>
              <w:rPr>
                <w:rFonts w:hint="eastAsia" w:ascii="微软雅黑" w:hAnsi="微软雅黑" w:eastAsia="微软雅黑"/>
                <w:szCs w:val="21"/>
              </w:rPr>
              <w:t>自定义合理用药指标</w:t>
            </w:r>
          </w:p>
          <w:p>
            <w:pPr>
              <w:rPr>
                <w:rFonts w:ascii="微软雅黑" w:hAnsi="微软雅黑" w:eastAsia="微软雅黑"/>
                <w:szCs w:val="21"/>
              </w:rPr>
            </w:pPr>
            <w:r>
              <w:rPr>
                <w:rFonts w:hint="eastAsia" w:ascii="微软雅黑" w:hAnsi="微软雅黑" w:eastAsia="微软雅黑"/>
                <w:szCs w:val="21"/>
              </w:rPr>
              <w:t>系统应提供自定义合理用药指标功能，可自行设置指标分子、分母进行统计。自定义要素包含药品、治疗金额、药品金额、处方数、病人数、药品品种数、使用量DDDs、人天数、用药医嘱条目数。</w:t>
            </w:r>
          </w:p>
          <w:p>
            <w:pPr>
              <w:rPr>
                <w:rFonts w:ascii="微软雅黑" w:hAnsi="微软雅黑" w:eastAsia="微软雅黑"/>
                <w:szCs w:val="21"/>
              </w:rPr>
            </w:pPr>
            <w:r>
              <w:rPr>
                <w:rFonts w:hint="eastAsia" w:ascii="微软雅黑" w:hAnsi="微软雅黑" w:eastAsia="微软雅黑"/>
                <w:szCs w:val="21"/>
              </w:rPr>
              <w:t>药品使用强度统计</w:t>
            </w:r>
          </w:p>
          <w:p>
            <w:pPr>
              <w:rPr>
                <w:rFonts w:ascii="微软雅黑" w:hAnsi="微软雅黑" w:eastAsia="微软雅黑"/>
                <w:szCs w:val="21"/>
              </w:rPr>
            </w:pPr>
            <w:r>
              <w:rPr>
                <w:rFonts w:hint="eastAsia" w:ascii="微软雅黑" w:hAnsi="微软雅黑" w:eastAsia="微软雅黑"/>
                <w:szCs w:val="21"/>
              </w:rPr>
              <w:t>药品金额、数量、</w:t>
            </w:r>
            <w:r>
              <w:rPr>
                <w:rFonts w:ascii="微软雅黑" w:hAnsi="微软雅黑" w:eastAsia="微软雅黑"/>
                <w:szCs w:val="21"/>
              </w:rPr>
              <w:t>DDDs统计</w:t>
            </w:r>
          </w:p>
          <w:p>
            <w:pPr>
              <w:rPr>
                <w:rFonts w:ascii="微软雅黑" w:hAnsi="微软雅黑" w:eastAsia="微软雅黑"/>
                <w:szCs w:val="21"/>
              </w:rPr>
            </w:pPr>
            <w:r>
              <w:rPr>
                <w:rFonts w:hint="eastAsia" w:ascii="微软雅黑" w:hAnsi="微软雅黑" w:eastAsia="微软雅黑"/>
                <w:szCs w:val="21"/>
              </w:rPr>
              <w:t>药品使用人次统计</w:t>
            </w:r>
          </w:p>
          <w:p>
            <w:pPr>
              <w:rPr>
                <w:rFonts w:ascii="微软雅黑" w:hAnsi="微软雅黑" w:eastAsia="微软雅黑"/>
                <w:szCs w:val="21"/>
              </w:rPr>
            </w:pPr>
            <w:r>
              <w:rPr>
                <w:rFonts w:hint="eastAsia" w:ascii="微软雅黑" w:hAnsi="微软雅黑" w:eastAsia="微软雅黑"/>
                <w:szCs w:val="21"/>
              </w:rPr>
              <w:t>注射剂</w:t>
            </w:r>
            <w:r>
              <w:rPr>
                <w:rFonts w:ascii="微软雅黑" w:hAnsi="微软雅黑" w:eastAsia="微软雅黑"/>
                <w:szCs w:val="21"/>
              </w:rPr>
              <w:t>/大容量注射液统计</w:t>
            </w:r>
          </w:p>
          <w:p>
            <w:pPr>
              <w:rPr>
                <w:rFonts w:ascii="微软雅黑" w:hAnsi="微软雅黑" w:eastAsia="微软雅黑"/>
                <w:szCs w:val="21"/>
              </w:rPr>
            </w:pPr>
            <w:r>
              <w:rPr>
                <w:rFonts w:hint="eastAsia" w:ascii="微软雅黑" w:hAnsi="微软雅黑" w:eastAsia="微软雅黑"/>
                <w:szCs w:val="21"/>
              </w:rPr>
              <w:t>药品品种</w:t>
            </w:r>
            <w:r>
              <w:rPr>
                <w:rFonts w:ascii="微软雅黑" w:hAnsi="微软雅黑" w:eastAsia="微软雅黑"/>
                <w:szCs w:val="21"/>
              </w:rPr>
              <w:t>/费用构成统计</w:t>
            </w:r>
          </w:p>
          <w:p>
            <w:pPr>
              <w:rPr>
                <w:rFonts w:ascii="微软雅黑" w:hAnsi="微软雅黑" w:eastAsia="微软雅黑"/>
                <w:szCs w:val="21"/>
              </w:rPr>
            </w:pPr>
            <w:r>
              <w:rPr>
                <w:rFonts w:hint="eastAsia" w:ascii="微软雅黑" w:hAnsi="微软雅黑" w:eastAsia="微软雅黑"/>
                <w:szCs w:val="21"/>
              </w:rPr>
              <w:t>门（急）诊大处方分析</w:t>
            </w:r>
          </w:p>
          <w:p>
            <w:pPr>
              <w:rPr>
                <w:rFonts w:ascii="微软雅黑" w:hAnsi="微软雅黑" w:eastAsia="微软雅黑"/>
                <w:szCs w:val="21"/>
              </w:rPr>
            </w:pPr>
            <w:r>
              <w:rPr>
                <w:rFonts w:hint="eastAsia" w:ascii="微软雅黑" w:hAnsi="微软雅黑" w:eastAsia="微软雅黑"/>
                <w:szCs w:val="21"/>
              </w:rPr>
              <w:t>抗菌药物使用清单及统计</w:t>
            </w:r>
          </w:p>
          <w:p>
            <w:pPr>
              <w:rPr>
                <w:rFonts w:ascii="微软雅黑" w:hAnsi="微软雅黑" w:eastAsia="微软雅黑"/>
                <w:szCs w:val="21"/>
              </w:rPr>
            </w:pPr>
            <w:r>
              <w:rPr>
                <w:rFonts w:hint="eastAsia" w:ascii="微软雅黑" w:hAnsi="微软雅黑" w:eastAsia="微软雅黑"/>
                <w:szCs w:val="21"/>
              </w:rPr>
              <w:t>基本药物使用清单及统计</w:t>
            </w:r>
          </w:p>
          <w:p>
            <w:pPr>
              <w:rPr>
                <w:rFonts w:ascii="微软雅黑" w:hAnsi="微软雅黑" w:eastAsia="微软雅黑"/>
                <w:szCs w:val="21"/>
              </w:rPr>
            </w:pPr>
            <w:r>
              <w:rPr>
                <w:rFonts w:hint="eastAsia" w:ascii="微软雅黑" w:hAnsi="微软雅黑" w:eastAsia="微软雅黑"/>
                <w:szCs w:val="21"/>
              </w:rPr>
              <w:t>麻精药品管理处方登记表</w:t>
            </w:r>
          </w:p>
          <w:p>
            <w:pPr>
              <w:rPr>
                <w:rFonts w:ascii="微软雅黑" w:hAnsi="微软雅黑" w:eastAsia="微软雅黑"/>
                <w:szCs w:val="21"/>
              </w:rPr>
            </w:pPr>
            <w:r>
              <w:rPr>
                <w:rFonts w:hint="eastAsia" w:ascii="微软雅黑" w:hAnsi="微软雅黑" w:eastAsia="微软雅黑"/>
                <w:szCs w:val="21"/>
              </w:rPr>
              <w:t>国家三级公立医院绩效考核</w:t>
            </w:r>
          </w:p>
          <w:p>
            <w:pPr>
              <w:rPr>
                <w:rFonts w:ascii="微软雅黑" w:hAnsi="微软雅黑" w:eastAsia="微软雅黑"/>
                <w:szCs w:val="21"/>
              </w:rPr>
            </w:pPr>
            <w:r>
              <w:rPr>
                <w:rFonts w:hint="eastAsia" w:ascii="微软雅黑" w:hAnsi="微软雅黑" w:eastAsia="微软雅黑"/>
                <w:szCs w:val="21"/>
              </w:rPr>
              <w:t>全国抗菌药物临床应用管理</w:t>
            </w:r>
          </w:p>
          <w:p>
            <w:pPr>
              <w:rPr>
                <w:rFonts w:ascii="微软雅黑" w:hAnsi="微软雅黑" w:eastAsia="微软雅黑"/>
                <w:szCs w:val="21"/>
              </w:rPr>
            </w:pPr>
            <w:r>
              <w:rPr>
                <w:rFonts w:hint="eastAsia" w:ascii="微软雅黑" w:hAnsi="微软雅黑" w:eastAsia="微软雅黑"/>
                <w:szCs w:val="21"/>
              </w:rPr>
              <w:t>国家卫生计生委抗菌药物临床应用管理数据上报</w:t>
            </w:r>
          </w:p>
          <w:p>
            <w:pPr>
              <w:rPr>
                <w:rFonts w:ascii="微软雅黑" w:hAnsi="微软雅黑" w:eastAsia="微软雅黑"/>
                <w:szCs w:val="21"/>
              </w:rPr>
            </w:pPr>
            <w:r>
              <w:rPr>
                <w:rFonts w:hint="eastAsia" w:ascii="微软雅黑" w:hAnsi="微软雅黑" w:eastAsia="微软雅黑"/>
                <w:szCs w:val="21"/>
              </w:rPr>
              <w:t>全国合理用药监测系统</w:t>
            </w:r>
          </w:p>
          <w:p>
            <w:pPr>
              <w:rPr>
                <w:rFonts w:ascii="微软雅黑" w:hAnsi="微软雅黑" w:eastAsia="微软雅黑"/>
                <w:szCs w:val="21"/>
              </w:rPr>
            </w:pPr>
            <w:r>
              <w:rPr>
                <w:rFonts w:hint="eastAsia" w:ascii="微软雅黑" w:hAnsi="微软雅黑" w:eastAsia="微软雅黑"/>
                <w:szCs w:val="21"/>
              </w:rPr>
              <w:t>抗肿瘤药物临床应用情况调查表</w:t>
            </w:r>
          </w:p>
          <w:p>
            <w:pPr>
              <w:rPr>
                <w:rFonts w:ascii="微软雅黑" w:hAnsi="微软雅黑" w:eastAsia="微软雅黑"/>
                <w:szCs w:val="21"/>
              </w:rPr>
            </w:pPr>
            <w:r>
              <w:rPr>
                <w:rFonts w:hint="eastAsia" w:ascii="微软雅黑" w:hAnsi="微软雅黑" w:eastAsia="微软雅黑"/>
                <w:szCs w:val="21"/>
              </w:rPr>
              <w:t>住院患者静脉输液使用情况抽样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jc w:val="center"/>
              <w:rPr>
                <w:rFonts w:ascii="微软雅黑" w:hAnsi="微软雅黑" w:eastAsia="微软雅黑"/>
                <w:szCs w:val="21"/>
              </w:rPr>
            </w:pPr>
            <w:r>
              <w:rPr>
                <w:rFonts w:ascii="微软雅黑" w:hAnsi="微软雅黑" w:eastAsia="微软雅黑"/>
                <w:szCs w:val="21"/>
              </w:rPr>
              <w:t>其它</w:t>
            </w:r>
          </w:p>
        </w:tc>
        <w:tc>
          <w:tcPr>
            <w:tcW w:w="6342" w:type="dxa"/>
            <w:shd w:val="clear" w:color="auto" w:fill="auto"/>
            <w:vAlign w:val="center"/>
          </w:tcPr>
          <w:p>
            <w:pPr>
              <w:rPr>
                <w:rFonts w:ascii="微软雅黑" w:hAnsi="微软雅黑" w:eastAsia="微软雅黑"/>
                <w:szCs w:val="21"/>
              </w:rPr>
            </w:pPr>
            <w:r>
              <w:rPr>
                <w:rFonts w:hint="eastAsia" w:ascii="微软雅黑" w:hAnsi="微软雅黑" w:eastAsia="微软雅黑"/>
                <w:szCs w:val="21"/>
              </w:rPr>
              <w:t>自维护功能</w:t>
            </w:r>
          </w:p>
          <w:p>
            <w:pPr>
              <w:rPr>
                <w:rFonts w:ascii="微软雅黑" w:hAnsi="微软雅黑" w:eastAsia="微软雅黑"/>
                <w:szCs w:val="21"/>
              </w:rPr>
            </w:pPr>
            <w:r>
              <w:rPr>
                <w:rFonts w:hint="eastAsia" w:ascii="微软雅黑" w:hAnsi="微软雅黑" w:eastAsia="微软雅黑"/>
                <w:szCs w:val="21"/>
              </w:rPr>
              <w:t>系统应对医院药品属性、给药途径、给药频次、感染疾病类型、检验申请/结果/收费项目类型、手术分类、科室类型、医生抗菌药物权限、围术期用药</w:t>
            </w:r>
            <w:r>
              <w:rPr>
                <w:rFonts w:ascii="微软雅黑" w:hAnsi="微软雅黑" w:eastAsia="微软雅黑"/>
                <w:szCs w:val="21"/>
              </w:rPr>
              <w:t>等基础数据进行程序自动维护。</w:t>
            </w:r>
          </w:p>
          <w:p>
            <w:pPr>
              <w:rPr>
                <w:rFonts w:ascii="微软雅黑" w:hAnsi="微软雅黑" w:eastAsia="微软雅黑"/>
                <w:szCs w:val="21"/>
              </w:rPr>
            </w:pPr>
            <w:r>
              <w:rPr>
                <w:rFonts w:hint="eastAsia" w:ascii="微软雅黑" w:hAnsi="微软雅黑" w:eastAsia="微软雅黑"/>
                <w:szCs w:val="21"/>
              </w:rPr>
              <w:t>权限管理</w:t>
            </w:r>
          </w:p>
          <w:p>
            <w:pPr>
              <w:rPr>
                <w:rFonts w:ascii="微软雅黑" w:hAnsi="微软雅黑" w:eastAsia="微软雅黑"/>
                <w:szCs w:val="21"/>
              </w:rPr>
            </w:pPr>
            <w:r>
              <w:rPr>
                <w:rFonts w:hint="eastAsia" w:ascii="微软雅黑" w:hAnsi="微软雅黑" w:eastAsia="微软雅黑"/>
                <w:szCs w:val="21"/>
              </w:rPr>
              <w:t>系统应对各项功能设置严格的权限管理，包括处方点评权限、报表的统计权限、打印</w:t>
            </w:r>
            <w:r>
              <w:rPr>
                <w:rFonts w:ascii="微软雅黑" w:hAnsi="微软雅黑" w:eastAsia="微软雅黑"/>
                <w:szCs w:val="21"/>
              </w:rPr>
              <w:t>/导出权限等。</w:t>
            </w:r>
          </w:p>
          <w:p>
            <w:pPr>
              <w:rPr>
                <w:rFonts w:ascii="微软雅黑" w:hAnsi="微软雅黑" w:eastAsia="微软雅黑"/>
                <w:szCs w:val="21"/>
              </w:rPr>
            </w:pPr>
            <w:r>
              <w:rPr>
                <w:rFonts w:hint="eastAsia" w:ascii="微软雅黑" w:hAnsi="微软雅黑" w:eastAsia="微软雅黑"/>
                <w:szCs w:val="21"/>
              </w:rPr>
              <w:t>系统应提供用户操作日志、版本更新内容查询功能。</w:t>
            </w:r>
          </w:p>
        </w:tc>
      </w:tr>
    </w:tbl>
    <w:p>
      <w:pPr>
        <w:rPr>
          <w:rFonts w:ascii="微软雅黑" w:hAnsi="微软雅黑" w:eastAsia="微软雅黑"/>
          <w:b/>
          <w:bCs/>
        </w:rPr>
      </w:pPr>
    </w:p>
    <w:p>
      <w:pPr>
        <w:pStyle w:val="3"/>
      </w:pPr>
      <w:r>
        <w:rPr>
          <w:rFonts w:hint="eastAsia"/>
        </w:rPr>
        <w:t xml:space="preserve"> 手麻系统</w:t>
      </w:r>
    </w:p>
    <w:tbl>
      <w:tblPr>
        <w:tblStyle w:val="27"/>
        <w:tblW w:w="92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00"/>
        <w:gridCol w:w="6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900"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w:t>
            </w:r>
            <w:r>
              <w:rPr>
                <w:rFonts w:hint="eastAsia" w:ascii="微软雅黑" w:hAnsi="微软雅黑" w:eastAsia="微软雅黑"/>
                <w:b/>
                <w:bCs/>
                <w:szCs w:val="21"/>
              </w:rPr>
              <w:t>列表</w:t>
            </w:r>
          </w:p>
        </w:tc>
        <w:tc>
          <w:tcPr>
            <w:tcW w:w="6342"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手术麻醉门户平台</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基础架构：</w:t>
            </w:r>
            <w:r>
              <w:rPr>
                <w:rFonts w:ascii="微软雅黑" w:hAnsi="微软雅黑" w:eastAsia="微软雅黑" w:cs="微软雅黑"/>
                <w:kern w:val="0"/>
                <w:szCs w:val="21"/>
              </w:rPr>
              <w:t>采用B/S系统架构，支持快速灵活的部署到各系统终端</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临床信息集成：</w:t>
            </w:r>
            <w:r>
              <w:rPr>
                <w:rFonts w:ascii="微软雅黑" w:hAnsi="微软雅黑" w:eastAsia="微软雅黑" w:cs="微软雅黑"/>
                <w:kern w:val="0"/>
                <w:szCs w:val="21"/>
              </w:rPr>
              <w:t>根据用户医院的信息化建设实际情况和需求，对需要关联应用的信息系统进行集成</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数据采集解析：</w:t>
            </w:r>
            <w:r>
              <w:rPr>
                <w:rFonts w:ascii="微软雅黑" w:hAnsi="微软雅黑" w:eastAsia="微软雅黑" w:cs="微软雅黑"/>
                <w:kern w:val="0"/>
                <w:szCs w:val="21"/>
              </w:rPr>
              <w:t xml:space="preserve">支持连接常用厂家不同型号的设备，突破设备厂家之间的接口壁垒，可以直接将主要数字化医疗仪器厂商的产品连接到统一的信息支撑平台进行实时的数据采集，实现一体化的信息化建设，数据充分共享。                                                                                </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提供数据采集平台，满足医院不同品牌型号设备数据的采集</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麻醉门户首页：</w:t>
            </w:r>
            <w:r>
              <w:rPr>
                <w:rFonts w:ascii="微软雅黑" w:hAnsi="微软雅黑" w:eastAsia="微软雅黑" w:cs="微软雅黑"/>
                <w:kern w:val="0"/>
                <w:szCs w:val="21"/>
              </w:rPr>
              <w:t>通过手术麻醉首页反映当日内手术部的实时运行情况，该部分内容可根据用户需求进行定制调整。可通过点击快速统计应用跳转至手术麻醉统计分子系统。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手术安排</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手术申请：</w:t>
            </w:r>
            <w:r>
              <w:rPr>
                <w:rFonts w:ascii="微软雅黑" w:hAnsi="微软雅黑" w:eastAsia="微软雅黑" w:cs="微软雅黑"/>
                <w:kern w:val="0"/>
                <w:szCs w:val="21"/>
              </w:rPr>
              <w:t>从HIS接口获取、批量接收手术申请信息，也可自主创建手术申请信息，自动在患者列表中创建该手术申请的患者列表</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手术排台：</w:t>
            </w:r>
            <w:r>
              <w:rPr>
                <w:rFonts w:ascii="微软雅黑" w:hAnsi="微软雅黑" w:eastAsia="微软雅黑" w:cs="微软雅黑"/>
                <w:kern w:val="0"/>
                <w:szCs w:val="21"/>
              </w:rPr>
              <w:t>通过拖拽已接收的手术申请患者卡，安排至手术间完成基础排程。</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手术通知：</w:t>
            </w:r>
            <w:r>
              <w:rPr>
                <w:rFonts w:ascii="微软雅黑" w:hAnsi="微软雅黑" w:eastAsia="微软雅黑" w:cs="微软雅黑"/>
                <w:kern w:val="0"/>
                <w:szCs w:val="21"/>
              </w:rPr>
              <w:t>对当前已完成的手术排程列表明细，自动生成次日的手术安排通知单，将次日的手术安排投影至手术更衣区的手术通知大屏</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患者列表：</w:t>
            </w:r>
            <w:r>
              <w:rPr>
                <w:rFonts w:ascii="微软雅黑" w:hAnsi="微软雅黑" w:eastAsia="微软雅黑" w:cs="微软雅黑"/>
                <w:kern w:val="0"/>
                <w:szCs w:val="21"/>
              </w:rPr>
              <w:t>按术前、术中、术后显示当前状态下的患者明细，可通过查询条件检索定位相应的患者或群体</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手术查询：</w:t>
            </w:r>
            <w:r>
              <w:rPr>
                <w:rFonts w:ascii="微软雅黑" w:hAnsi="微软雅黑" w:eastAsia="微软雅黑" w:cs="微软雅黑"/>
                <w:kern w:val="0"/>
                <w:szCs w:val="21"/>
              </w:rPr>
              <w:t>支持查询当前围术期内的手术患者和历史手术患者的相关信息，可通过查询条件进行检索。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麻醉管理子系统</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术前管理：</w:t>
            </w:r>
            <w:r>
              <w:rPr>
                <w:rFonts w:ascii="微软雅黑" w:hAnsi="微软雅黑" w:eastAsia="微软雅黑" w:cs="微软雅黑"/>
                <w:kern w:val="0"/>
                <w:szCs w:val="21"/>
              </w:rPr>
              <w:t>针对已进行排程的手术患者，对其在术前阶段进行访视、评估、宣传和准备的工作。</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术中管理：</w:t>
            </w:r>
            <w:r>
              <w:rPr>
                <w:rFonts w:ascii="微软雅黑" w:hAnsi="微软雅黑" w:eastAsia="微软雅黑" w:cs="微软雅黑"/>
                <w:kern w:val="0"/>
                <w:szCs w:val="21"/>
              </w:rPr>
              <w:t>按手术标准流程从入手术室至出手术室间，对患者进行自动采集术中的体征监控，记录用药、输血、输氧、出入量、气管插管等相关手术麻醉事件，支持快捷模板和套餐模板式记录，并自动生成电子麻醉记录单。支持在术中调阅患者的检查检验信息。支持对家属通告区大屏的呼叫和通知功能，支持文字转语音播放功能。</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PACU苏醒管理</w:t>
            </w:r>
            <w:r>
              <w:rPr>
                <w:rFonts w:hint="eastAsia" w:ascii="微软雅黑" w:hAnsi="微软雅黑" w:eastAsia="微软雅黑" w:cs="微软雅黑"/>
                <w:kern w:val="0"/>
                <w:szCs w:val="21"/>
              </w:rPr>
              <w:t>：</w:t>
            </w:r>
            <w:r>
              <w:rPr>
                <w:rFonts w:ascii="微软雅黑" w:hAnsi="微软雅黑" w:eastAsia="微软雅黑" w:cs="微软雅黑"/>
                <w:kern w:val="0"/>
                <w:szCs w:val="21"/>
              </w:rPr>
              <w:t>在手术结束后，对麻醉后患者进行观察和生命体征监测，通过各种措施对麻醉苏醒中的患者进行治疗，使患者的生命体征能够恢复正常并成功麻醉苏醒，根据以上内容形成苏醒记录单并提供对患者的苏醒情况进行评分分析</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术后管理：</w:t>
            </w:r>
            <w:r>
              <w:rPr>
                <w:rFonts w:ascii="微软雅黑" w:hAnsi="微软雅黑" w:eastAsia="微软雅黑" w:cs="微软雅黑"/>
                <w:kern w:val="0"/>
                <w:szCs w:val="21"/>
              </w:rPr>
              <w:t>针对在手术结束后回到病房/ICU的患者进行麻醉术后跟踪，观察患者的术后恢复情况，并针对患者术后的疼痛反应继续给予镇痛治疗，帮助患者早日康复，并根据围术期内的麻醉数据进行有效的总结，形成经验性文档保存。</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病历管理：</w:t>
            </w:r>
            <w:r>
              <w:rPr>
                <w:rFonts w:ascii="微软雅黑" w:hAnsi="微软雅黑" w:eastAsia="微软雅黑" w:cs="微软雅黑"/>
                <w:kern w:val="0"/>
                <w:szCs w:val="21"/>
              </w:rPr>
              <w:t>支持对患者的手术病历进行调阅，查看病历是否填写完成，审查病历的完成质量。支持对未归档的病历可进行修改和调整，并记录修改时间和修改者</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消息管理：</w:t>
            </w:r>
            <w:r>
              <w:rPr>
                <w:rFonts w:ascii="微软雅黑" w:hAnsi="微软雅黑" w:eastAsia="微软雅黑" w:cs="微软雅黑"/>
                <w:kern w:val="0"/>
                <w:szCs w:val="21"/>
              </w:rPr>
              <w:t>根据术中患者体征情况，自动提供消息预警和报警情况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医护患协同</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大屏公告子系统：</w:t>
            </w:r>
            <w:r>
              <w:rPr>
                <w:rFonts w:ascii="微软雅黑" w:hAnsi="微软雅黑" w:eastAsia="微软雅黑" w:cs="微软雅黑"/>
                <w:kern w:val="0"/>
                <w:szCs w:val="21"/>
              </w:rPr>
              <w:t>支持指定手术室公告在特定区域显示的大屏公告通知方式，满足不同科室在多个家属等待区的信息推送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统计分析子系统</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麻醉质量控制指标：</w:t>
            </w:r>
            <w:r>
              <w:rPr>
                <w:rFonts w:ascii="微软雅黑" w:hAnsi="微软雅黑" w:eastAsia="微软雅黑" w:cs="微软雅黑"/>
                <w:kern w:val="0"/>
                <w:szCs w:val="21"/>
              </w:rPr>
              <w:t>通过对围术期内业务数据按照手术麻醉质量控制指标要求进行抽取、清洗和整合，按照上报要求提供结构式统计分析功能，如定制化表格、数据报表统计和相应的数据接口等，并支持对报表中的包括表格形式的统计结果通过多种图形方式进行可视化展现，并按照时间周期（月/季/年）统计</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科室统计报表：</w:t>
            </w:r>
            <w:r>
              <w:rPr>
                <w:rFonts w:ascii="微软雅黑" w:hAnsi="微软雅黑" w:eastAsia="微软雅黑" w:cs="微软雅黑"/>
                <w:kern w:val="0"/>
                <w:szCs w:val="21"/>
              </w:rPr>
              <w:t>支持多种查询条件，可根据医院需求定制统计报表</w:t>
            </w:r>
          </w:p>
        </w:tc>
      </w:tr>
    </w:tbl>
    <w:p>
      <w:pPr>
        <w:rPr>
          <w:rFonts w:ascii="微软雅黑" w:hAnsi="微软雅黑" w:eastAsia="微软雅黑"/>
          <w:b/>
          <w:bCs/>
        </w:rPr>
      </w:pPr>
    </w:p>
    <w:p>
      <w:pPr>
        <w:pStyle w:val="3"/>
      </w:pPr>
      <w:r>
        <w:rPr>
          <w:rFonts w:hint="eastAsia"/>
        </w:rPr>
        <w:t xml:space="preserve"> 临床输血管理系统</w:t>
      </w:r>
    </w:p>
    <w:tbl>
      <w:tblPr>
        <w:tblStyle w:val="27"/>
        <w:tblW w:w="92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00"/>
        <w:gridCol w:w="6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900"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w:t>
            </w:r>
            <w:r>
              <w:rPr>
                <w:rFonts w:hint="eastAsia" w:ascii="微软雅黑" w:hAnsi="微软雅黑" w:eastAsia="微软雅黑"/>
                <w:b/>
                <w:bCs/>
                <w:szCs w:val="21"/>
              </w:rPr>
              <w:t>列表</w:t>
            </w:r>
          </w:p>
        </w:tc>
        <w:tc>
          <w:tcPr>
            <w:tcW w:w="6342"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医生站</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支持获取在院患者信息功能；</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支持获取患者lis系统内检验项目结果；</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支持提交输血申请功能；</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支持常规输血申请和紧急输血申请；</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支持打印输血申请单、知情同意书、大量输血申请单等单据；</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支持申请作废功能；</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支持输血申请分级审核功能；</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支持不良反应处理登记，打印不良反应回报单功能；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护士站</w:t>
            </w:r>
            <w:r>
              <w:rPr>
                <w:rFonts w:ascii="微软雅黑" w:hAnsi="微软雅黑" w:eastAsia="微软雅黑" w:cs="微软雅黑"/>
                <w:kern w:val="0"/>
                <w:szCs w:val="21"/>
              </w:rPr>
              <w:tab/>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支持申请相关标本采集登记功能；</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支持申请单、标本条码打印功能；</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支持对已处理的申请单进行申请单和条码补打功能；</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支持对已进行交叉配血的血袋进行取血单打印功能；</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查看已打印申请单，补打领取单</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支持进行输血过程记录功能；登记、修改输血过程相关信息；</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支持输血不良反应登记功能；</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支持血袋回收登记功能；查看已经回收的血袋信息；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库存管理</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对库存不足血液、近效期过期血液进行报警监控；支持点击查看详情；</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待办处理（待审核申请、待配血申请等）；</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支持血袋手动入库和批量导入入库功能；s</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支持血袋返还血站登记功能；</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支持血袋血型确认，复检登记功能；</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支持参数控制默认复检结果，快速保存审核功能；</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支持根据系统设置进行复检项目配置；</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针对库存不足的血液，血库专员向上级血站进行申请；</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查看已经提交过得订血申请和申请明细；</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对当前库存进行查看，可以对血液进行报废、返还血站、修改、删除。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输血管理</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针对临床提出的输血申请，当天申请量大于1600ml，进行审核，可以审核通过也可以驳回给临床。</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参数控制是否开启输血科参数审核功能；</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核对信息并接收护士站送来的患者标本；进行标本登记功能；</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接收标本查询、进行补打条码的操作；</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针对血站配送的血液和受血者血样进行血型检测、血型不同明显提示；</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支持根据系统设置进行复检项目配置；</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支持通过扫码为患者添加交叉配血血袋；</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针对需要进行交叉配血的患者标本和供血者血液进行交叉配血结果录入操作；</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支持对已添加的交叉配血进行取消配血操作；</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支持打印交叉配血结果单据；</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配血通过血液自动通知护士取血</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支持系统设置根据交叉配血结构限制发血；</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针对输血申请和血型交叉配血等检验结果，进行发血；</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支持打印发血单、输血核对标签；</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支持查看血型匹配血袋信息；</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支持对临床登记的不良发应记录进行反馈功能；支持符合记录维护；</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支持打印不良反应反馈单打印；</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针对护士站提交的空血袋进行扫码回收处理；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统计工作站</w:t>
            </w:r>
            <w:r>
              <w:rPr>
                <w:rFonts w:ascii="微软雅黑" w:hAnsi="微软雅黑" w:eastAsia="微软雅黑" w:cs="微软雅黑"/>
                <w:kern w:val="0"/>
                <w:szCs w:val="21"/>
              </w:rPr>
              <w:tab/>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通过血液成分、血型等条件进行血液库存统计</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支持统计全部交叉配血记录；</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支持统计输血科用户出入库工作量，血型复检工作量和交叉配血工作量；</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支持统计一段时间内不同血型出库入库总量；</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统计患者平均用血量；</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支持统计全部不良反应记录和不良反应症状汇总；</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支持统计一段时间内个报废原因报废血液总量</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根据科室统计各个科室申请量与用血量汇总；</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根据医生统计各个医生申请量与用血量汇总；</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统计不同规格血液成分输血人数；</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统计血袋出入库明细；</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统计所有申请单信息；支持查看申请单关联详情轨迹；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字典维护</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对血液的分类进行维护，例：红细胞、血小板等</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维护血液名称、血液分类（全血、红细胞、血浆等）血液编码、存储条件、报警天数、是否需要进行交叉配血、启用禁用等</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维护血液成分不同规格对应的血站的条码\费用等</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维护血液成分对应配发血限制；</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维护不同血液成分不同血型的库存警戒线</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维护血站名称，血站对应的条码</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通过结果类型维护交叉配血结果</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提供公共字典维护，如输血目的、不良反应、临床诊断、交叉配血、报废原因、血袋处理办法等；</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提供血型复检项目维护，维护检验项目；</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可维护血库应用的LIS检验项目，可标记哪些项目是在提交输血申请时要提交的；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质控管理</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支持质控品管理；</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支持编辑质控规则；</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支持查询质控相关记录；</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支持对失控数据进行处理；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权限管理</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支持维护系统角色；</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支持添加、修改用户信息；</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支持查看医院科室信息；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外部接口</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与</w:t>
            </w:r>
            <w:r>
              <w:rPr>
                <w:rFonts w:ascii="微软雅黑" w:hAnsi="微软雅黑" w:eastAsia="微软雅黑" w:cs="微软雅黑"/>
                <w:kern w:val="0"/>
                <w:szCs w:val="21"/>
              </w:rPr>
              <w:t>lis对接，获取检验项目结果</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与</w:t>
            </w:r>
            <w:r>
              <w:rPr>
                <w:rFonts w:ascii="微软雅黑" w:hAnsi="微软雅黑" w:eastAsia="微软雅黑" w:cs="微软雅黑"/>
                <w:kern w:val="0"/>
                <w:szCs w:val="21"/>
              </w:rPr>
              <w:t>his对接，获取患者信息，推送收费信息</w:t>
            </w:r>
          </w:p>
        </w:tc>
      </w:tr>
    </w:tbl>
    <w:p>
      <w:pPr>
        <w:rPr>
          <w:rFonts w:ascii="微软雅黑" w:hAnsi="微软雅黑" w:eastAsia="微软雅黑"/>
          <w:b/>
          <w:bCs/>
        </w:rPr>
      </w:pPr>
    </w:p>
    <w:p>
      <w:pPr>
        <w:pStyle w:val="3"/>
      </w:pPr>
      <w:r>
        <w:rPr>
          <w:rFonts w:hint="eastAsia"/>
        </w:rPr>
        <w:t xml:space="preserve"> 病案统计管理系统改造</w:t>
      </w:r>
    </w:p>
    <w:tbl>
      <w:tblPr>
        <w:tblStyle w:val="27"/>
        <w:tblW w:w="92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00"/>
        <w:gridCol w:w="6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900"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w:t>
            </w:r>
            <w:r>
              <w:rPr>
                <w:rFonts w:hint="eastAsia" w:ascii="微软雅黑" w:hAnsi="微软雅黑" w:eastAsia="微软雅黑"/>
                <w:b/>
                <w:bCs/>
                <w:szCs w:val="21"/>
              </w:rPr>
              <w:t>列表</w:t>
            </w:r>
          </w:p>
        </w:tc>
        <w:tc>
          <w:tcPr>
            <w:tcW w:w="6342"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病案管理</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病案首页编目：</w:t>
            </w:r>
            <w:r>
              <w:rPr>
                <w:rFonts w:ascii="微软雅黑" w:hAnsi="微软雅黑" w:eastAsia="微软雅黑" w:cs="微软雅黑"/>
                <w:kern w:val="0"/>
                <w:szCs w:val="21"/>
              </w:rPr>
              <w:t>针对电子病历应用水平评审标准</w:t>
            </w:r>
            <w:r>
              <w:rPr>
                <w:rFonts w:hint="eastAsia" w:ascii="微软雅黑" w:hAnsi="微软雅黑" w:eastAsia="微软雅黑" w:cs="微软雅黑"/>
                <w:kern w:val="0"/>
                <w:szCs w:val="21"/>
              </w:rPr>
              <w:t>改造</w:t>
            </w:r>
            <w:r>
              <w:rPr>
                <w:rFonts w:ascii="微软雅黑" w:hAnsi="微软雅黑" w:eastAsia="微软雅黑" w:cs="微软雅黑"/>
                <w:kern w:val="0"/>
                <w:szCs w:val="21"/>
              </w:rPr>
              <w:t>对接相关首页标准</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病案首页查询：</w:t>
            </w:r>
            <w:r>
              <w:rPr>
                <w:rFonts w:ascii="微软雅黑" w:hAnsi="微软雅黑" w:eastAsia="微软雅黑" w:cs="微软雅黑"/>
                <w:kern w:val="0"/>
                <w:szCs w:val="21"/>
              </w:rPr>
              <w:t>针对电子病历水平评审标准调整首页查询条件及显示首页编目内容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公立绩效相关报表</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手术质量与安全报表指标：</w:t>
            </w:r>
            <w:r>
              <w:rPr>
                <w:rFonts w:ascii="微软雅黑" w:hAnsi="微软雅黑" w:eastAsia="微软雅黑" w:cs="微软雅黑"/>
                <w:kern w:val="0"/>
                <w:szCs w:val="21"/>
              </w:rPr>
              <w:t>按照公立绩效指标要求提供手术质量与安全报表指标统计</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单病种质量报表指标：</w:t>
            </w:r>
            <w:r>
              <w:rPr>
                <w:rFonts w:ascii="微软雅黑" w:hAnsi="微软雅黑" w:eastAsia="微软雅黑" w:cs="微软雅黑"/>
                <w:kern w:val="0"/>
                <w:szCs w:val="21"/>
              </w:rPr>
              <w:t>公立绩效考核病种提供质量指标统计</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公立医院部分指标：</w:t>
            </w:r>
            <w:r>
              <w:rPr>
                <w:rFonts w:ascii="微软雅黑" w:hAnsi="微软雅黑" w:eastAsia="微软雅黑" w:cs="微软雅黑"/>
                <w:kern w:val="0"/>
                <w:szCs w:val="21"/>
              </w:rPr>
              <w:t>公立绩效考核手术等相关重点考核指标统计</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十七类代表性疾病住院指标：</w:t>
            </w:r>
            <w:r>
              <w:rPr>
                <w:rFonts w:ascii="微软雅黑" w:hAnsi="微软雅黑" w:eastAsia="微软雅黑" w:cs="微软雅黑"/>
                <w:kern w:val="0"/>
                <w:szCs w:val="21"/>
              </w:rPr>
              <w:t>公立绩效考核重点代表性疾病住院指标统计</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十八类代表性手术住院指标：</w:t>
            </w:r>
            <w:r>
              <w:rPr>
                <w:rFonts w:ascii="微软雅黑" w:hAnsi="微软雅黑" w:eastAsia="微软雅黑" w:cs="微软雅黑"/>
                <w:kern w:val="0"/>
                <w:szCs w:val="21"/>
              </w:rPr>
              <w:t>公立绩效考核重点代表性手术住院指标统计</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医院工作负荷效率指标：</w:t>
            </w:r>
            <w:r>
              <w:rPr>
                <w:rFonts w:ascii="微软雅黑" w:hAnsi="微软雅黑" w:eastAsia="微软雅黑" w:cs="微软雅黑"/>
                <w:kern w:val="0"/>
                <w:szCs w:val="21"/>
              </w:rPr>
              <w:t>公立绩效考核重点工作负荷效率相关指标统计</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医疗考核指标报表：</w:t>
            </w:r>
            <w:r>
              <w:rPr>
                <w:rFonts w:ascii="微软雅黑" w:hAnsi="微软雅黑" w:eastAsia="微软雅黑" w:cs="微软雅黑"/>
                <w:kern w:val="0"/>
                <w:szCs w:val="21"/>
              </w:rPr>
              <w:t>公立绩效考核重点医疗考核指标统计</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住院重点手术监测指标：</w:t>
            </w:r>
            <w:r>
              <w:rPr>
                <w:rFonts w:ascii="微软雅黑" w:hAnsi="微软雅黑" w:eastAsia="微软雅黑" w:cs="微软雅黑"/>
                <w:kern w:val="0"/>
                <w:szCs w:val="21"/>
              </w:rPr>
              <w:t>公立绩效考核住院重点手术相关监测指标统计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卫统报表指标</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部颁</w:t>
            </w:r>
            <w:r>
              <w:rPr>
                <w:rFonts w:ascii="微软雅黑" w:hAnsi="微软雅黑" w:eastAsia="微软雅黑" w:cs="微软雅黑"/>
                <w:kern w:val="0"/>
                <w:szCs w:val="21"/>
              </w:rPr>
              <w:t>_政府办医院出院病人疾病转归情况</w:t>
            </w:r>
            <w:r>
              <w:rPr>
                <w:rFonts w:hint="eastAsia" w:ascii="微软雅黑" w:hAnsi="微软雅黑" w:eastAsia="微软雅黑" w:cs="微软雅黑"/>
                <w:kern w:val="0"/>
                <w:szCs w:val="21"/>
              </w:rPr>
              <w:t>：</w:t>
            </w:r>
            <w:r>
              <w:rPr>
                <w:rFonts w:ascii="微软雅黑" w:hAnsi="微软雅黑" w:eastAsia="微软雅黑" w:cs="微软雅黑"/>
                <w:kern w:val="0"/>
                <w:szCs w:val="21"/>
              </w:rPr>
              <w:t>卫统要求医院出院病人疾病转归情况指标报表统计</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部颁</w:t>
            </w:r>
            <w:r>
              <w:rPr>
                <w:rFonts w:ascii="微软雅黑" w:hAnsi="微软雅黑" w:eastAsia="微软雅黑" w:cs="微软雅黑"/>
                <w:kern w:val="0"/>
                <w:szCs w:val="21"/>
              </w:rPr>
              <w:t>_政府办医院出院病人疾病分类年龄别情况</w:t>
            </w:r>
            <w:r>
              <w:rPr>
                <w:rFonts w:hint="eastAsia" w:ascii="微软雅黑" w:hAnsi="微软雅黑" w:eastAsia="微软雅黑" w:cs="微软雅黑"/>
                <w:kern w:val="0"/>
                <w:szCs w:val="21"/>
              </w:rPr>
              <w:t>：</w:t>
            </w:r>
            <w:r>
              <w:rPr>
                <w:rFonts w:ascii="微软雅黑" w:hAnsi="微软雅黑" w:eastAsia="微软雅黑" w:cs="微软雅黑"/>
                <w:kern w:val="0"/>
                <w:szCs w:val="21"/>
              </w:rPr>
              <w:t>卫统要求政府办医院出院病人疾病分类年龄别情况指标统计</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部颁</w:t>
            </w:r>
            <w:r>
              <w:rPr>
                <w:rFonts w:ascii="微软雅黑" w:hAnsi="微软雅黑" w:eastAsia="微软雅黑" w:cs="微软雅黑"/>
                <w:kern w:val="0"/>
                <w:szCs w:val="21"/>
              </w:rPr>
              <w:t>_政府办医院部分病种住院医疗费用</w:t>
            </w:r>
            <w:r>
              <w:rPr>
                <w:rFonts w:hint="eastAsia" w:ascii="微软雅黑" w:hAnsi="微软雅黑" w:eastAsia="微软雅黑" w:cs="微软雅黑"/>
                <w:kern w:val="0"/>
                <w:szCs w:val="21"/>
              </w:rPr>
              <w:t>：</w:t>
            </w:r>
            <w:r>
              <w:rPr>
                <w:rFonts w:ascii="微软雅黑" w:hAnsi="微软雅黑" w:eastAsia="微软雅黑" w:cs="微软雅黑"/>
                <w:kern w:val="0"/>
                <w:szCs w:val="21"/>
              </w:rPr>
              <w:t>卫统要求医院部分病种住院医疗费用指标报表统计</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意外损伤和中毒报表</w:t>
            </w:r>
            <w:r>
              <w:rPr>
                <w:rFonts w:ascii="微软雅黑" w:hAnsi="微软雅黑" w:eastAsia="微软雅黑" w:cs="微软雅黑"/>
                <w:kern w:val="0"/>
                <w:szCs w:val="21"/>
              </w:rPr>
              <w:t>(转归)</w:t>
            </w:r>
            <w:r>
              <w:rPr>
                <w:rFonts w:hint="eastAsia" w:ascii="微软雅黑" w:hAnsi="微软雅黑" w:eastAsia="微软雅黑" w:cs="微软雅黑"/>
                <w:kern w:val="0"/>
                <w:szCs w:val="21"/>
              </w:rPr>
              <w:t>：</w:t>
            </w:r>
            <w:r>
              <w:rPr>
                <w:rFonts w:ascii="微软雅黑" w:hAnsi="微软雅黑" w:eastAsia="微软雅黑" w:cs="微软雅黑"/>
                <w:kern w:val="0"/>
                <w:szCs w:val="21"/>
              </w:rPr>
              <w:t>卫统要求意外损伤和中毒报表转归指标统计</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意外损伤和中毒报表</w:t>
            </w:r>
            <w:r>
              <w:rPr>
                <w:rFonts w:ascii="微软雅黑" w:hAnsi="微软雅黑" w:eastAsia="微软雅黑" w:cs="微软雅黑"/>
                <w:kern w:val="0"/>
                <w:szCs w:val="21"/>
              </w:rPr>
              <w:t>(性别)</w:t>
            </w:r>
            <w:r>
              <w:rPr>
                <w:rFonts w:hint="eastAsia" w:ascii="微软雅黑" w:hAnsi="微软雅黑" w:eastAsia="微软雅黑" w:cs="微软雅黑"/>
                <w:kern w:val="0"/>
                <w:szCs w:val="21"/>
              </w:rPr>
              <w:t>：</w:t>
            </w:r>
            <w:r>
              <w:rPr>
                <w:rFonts w:ascii="微软雅黑" w:hAnsi="微软雅黑" w:eastAsia="微软雅黑" w:cs="微软雅黑"/>
                <w:kern w:val="0"/>
                <w:szCs w:val="21"/>
              </w:rPr>
              <w:t>卫统要求意外损伤和中毒报表按照性别指标统计</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新卫统</w:t>
            </w:r>
            <w:r>
              <w:rPr>
                <w:rFonts w:ascii="微软雅黑" w:hAnsi="微软雅黑" w:eastAsia="微软雅黑" w:cs="微软雅黑"/>
                <w:kern w:val="0"/>
                <w:szCs w:val="21"/>
              </w:rPr>
              <w:t>4数据导出上报</w:t>
            </w:r>
            <w:r>
              <w:rPr>
                <w:rFonts w:hint="eastAsia" w:ascii="微软雅黑" w:hAnsi="微软雅黑" w:eastAsia="微软雅黑" w:cs="微软雅黑"/>
                <w:kern w:val="0"/>
                <w:szCs w:val="21"/>
              </w:rPr>
              <w:t>：</w:t>
            </w:r>
            <w:r>
              <w:rPr>
                <w:rFonts w:ascii="微软雅黑" w:hAnsi="微软雅黑" w:eastAsia="微软雅黑" w:cs="微软雅黑"/>
                <w:kern w:val="0"/>
                <w:szCs w:val="21"/>
              </w:rPr>
              <w:t>配合卫统要求完成新卫统4上报升级</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卫生部分科构成情况统计：</w:t>
            </w:r>
            <w:r>
              <w:rPr>
                <w:rFonts w:ascii="微软雅黑" w:hAnsi="微软雅黑" w:eastAsia="微软雅黑" w:cs="微软雅黑"/>
                <w:kern w:val="0"/>
                <w:szCs w:val="21"/>
              </w:rPr>
              <w:t>按照卫统要求统计部分重点科室构成情况指标</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综合报表指标：</w:t>
            </w:r>
            <w:r>
              <w:rPr>
                <w:rFonts w:ascii="微软雅黑" w:hAnsi="微软雅黑" w:eastAsia="微软雅黑" w:cs="微软雅黑"/>
                <w:kern w:val="0"/>
                <w:szCs w:val="21"/>
              </w:rPr>
              <w:t>各地区发布综合卫统指标统计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等级医院评审指标</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医院工作量台账：</w:t>
            </w:r>
            <w:r>
              <w:rPr>
                <w:rFonts w:ascii="微软雅黑" w:hAnsi="微软雅黑" w:eastAsia="微软雅黑" w:cs="微软雅黑"/>
                <w:kern w:val="0"/>
                <w:szCs w:val="21"/>
              </w:rPr>
              <w:t>按照等级医院评审指标形成医院工作量台账指标</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医院运行基本统计指标：</w:t>
            </w:r>
            <w:r>
              <w:rPr>
                <w:rFonts w:ascii="微软雅黑" w:hAnsi="微软雅黑" w:eastAsia="微软雅黑" w:cs="微软雅黑"/>
                <w:kern w:val="0"/>
                <w:szCs w:val="21"/>
              </w:rPr>
              <w:t>按照等级医院评审要求提供医院运行基本统计指标</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住院重点疾病病种：</w:t>
            </w:r>
            <w:r>
              <w:rPr>
                <w:rFonts w:ascii="微软雅黑" w:hAnsi="微软雅黑" w:eastAsia="微软雅黑" w:cs="微软雅黑"/>
                <w:kern w:val="0"/>
                <w:szCs w:val="21"/>
              </w:rPr>
              <w:t>按照等级医院评审要求提供住院重点疾病病种指标</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住院重点手术病种：</w:t>
            </w:r>
            <w:r>
              <w:rPr>
                <w:rFonts w:ascii="微软雅黑" w:hAnsi="微软雅黑" w:eastAsia="微软雅黑" w:cs="微软雅黑"/>
                <w:kern w:val="0"/>
                <w:szCs w:val="21"/>
              </w:rPr>
              <w:t>按照等级医院评审要求提供住院重点手术病种指标</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医院感染控制质量监测指标表：</w:t>
            </w:r>
            <w:r>
              <w:rPr>
                <w:rFonts w:ascii="微软雅黑" w:hAnsi="微软雅黑" w:eastAsia="微软雅黑" w:cs="微软雅黑"/>
                <w:kern w:val="0"/>
                <w:szCs w:val="21"/>
              </w:rPr>
              <w:t>按照等级医院评审要求提供医院感染控制质量监测指标</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等级医院综合评审查询：</w:t>
            </w:r>
            <w:r>
              <w:rPr>
                <w:rFonts w:ascii="微软雅黑" w:hAnsi="微软雅黑" w:eastAsia="微软雅黑" w:cs="微软雅黑"/>
                <w:kern w:val="0"/>
                <w:szCs w:val="21"/>
              </w:rPr>
              <w:t>按照等级医院评审要求提供相关统计查询指标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病案系统升级</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病案首页编目规则校验：</w:t>
            </w:r>
            <w:r>
              <w:rPr>
                <w:rFonts w:ascii="微软雅黑" w:hAnsi="微软雅黑" w:eastAsia="微软雅黑" w:cs="微软雅黑"/>
                <w:kern w:val="0"/>
                <w:szCs w:val="21"/>
              </w:rPr>
              <w:t>根据公立医院绩效、等级医院评审考核指标增加病案首页编目事后校验审核</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病案组合查询：</w:t>
            </w:r>
            <w:r>
              <w:rPr>
                <w:rFonts w:ascii="微软雅黑" w:hAnsi="微软雅黑" w:eastAsia="微软雅黑" w:cs="微软雅黑"/>
                <w:kern w:val="0"/>
                <w:szCs w:val="21"/>
              </w:rPr>
              <w:t>病案组合查询功能整体升级应对日常评级指标查询</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院内定制报表：</w:t>
            </w:r>
            <w:r>
              <w:rPr>
                <w:rFonts w:ascii="微软雅黑" w:hAnsi="微软雅黑" w:eastAsia="微软雅黑" w:cs="微软雅黑"/>
                <w:kern w:val="0"/>
                <w:szCs w:val="21"/>
              </w:rPr>
              <w:t>根据医院提供定制报表提供指标统计</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病案系统整体版本升级：</w:t>
            </w:r>
            <w:r>
              <w:rPr>
                <w:rFonts w:ascii="微软雅黑" w:hAnsi="微软雅黑" w:eastAsia="微软雅黑" w:cs="微软雅黑"/>
                <w:kern w:val="0"/>
                <w:szCs w:val="21"/>
              </w:rPr>
              <w:t>医院现有版本比较老，需整体升级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绩效</w:t>
            </w:r>
            <w:r>
              <w:rPr>
                <w:rFonts w:ascii="微软雅黑" w:hAnsi="微软雅黑" w:eastAsia="微软雅黑" w:cs="微软雅黑"/>
                <w:kern w:val="0"/>
                <w:szCs w:val="21"/>
              </w:rPr>
              <w:t>考核整体升级</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根据</w:t>
            </w:r>
            <w:r>
              <w:rPr>
                <w:rFonts w:ascii="微软雅黑" w:hAnsi="微软雅黑" w:eastAsia="微软雅黑" w:cs="微软雅黑"/>
                <w:kern w:val="0"/>
                <w:szCs w:val="21"/>
              </w:rPr>
              <w:t>最新公立医院绩效考核规范升级绩效考核相关功能</w:t>
            </w:r>
          </w:p>
        </w:tc>
      </w:tr>
    </w:tbl>
    <w:p>
      <w:pPr>
        <w:rPr>
          <w:rFonts w:ascii="微软雅黑" w:hAnsi="微软雅黑" w:eastAsia="微软雅黑"/>
          <w:b/>
          <w:bCs/>
        </w:rPr>
      </w:pPr>
    </w:p>
    <w:p>
      <w:pPr>
        <w:pStyle w:val="3"/>
      </w:pPr>
      <w:r>
        <w:t xml:space="preserve"> CDSS系统</w:t>
      </w:r>
    </w:p>
    <w:tbl>
      <w:tblPr>
        <w:tblStyle w:val="27"/>
        <w:tblW w:w="92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00"/>
        <w:gridCol w:w="6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900"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w:t>
            </w:r>
            <w:r>
              <w:rPr>
                <w:rFonts w:hint="eastAsia" w:ascii="微软雅黑" w:hAnsi="微软雅黑" w:eastAsia="微软雅黑"/>
                <w:b/>
                <w:bCs/>
                <w:szCs w:val="21"/>
              </w:rPr>
              <w:t>列表</w:t>
            </w:r>
          </w:p>
        </w:tc>
        <w:tc>
          <w:tcPr>
            <w:tcW w:w="6342"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智能诊断模块</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疑似常见诊断：</w:t>
            </w:r>
            <w:r>
              <w:rPr>
                <w:rFonts w:ascii="微软雅黑" w:hAnsi="微软雅黑" w:eastAsia="微软雅黑" w:cs="微软雅黑"/>
                <w:kern w:val="0"/>
                <w:szCs w:val="21"/>
              </w:rPr>
              <w:t>诊断患者的临床表现(症状诱因、持</w:t>
            </w:r>
            <w:r>
              <w:rPr>
                <w:rFonts w:hint="eastAsia" w:ascii="微软雅黑" w:hAnsi="微软雅黑" w:eastAsia="微软雅黑" w:cs="微软雅黑"/>
                <w:kern w:val="0"/>
                <w:szCs w:val="21"/>
              </w:rPr>
              <w:t>续时间、部位、性质、程度、加重缓解</w:t>
            </w:r>
            <w:r>
              <w:rPr>
                <w:rFonts w:ascii="微软雅黑" w:hAnsi="微软雅黑" w:eastAsia="微软雅黑" w:cs="微软雅黑"/>
                <w:kern w:val="0"/>
                <w:szCs w:val="21"/>
              </w:rPr>
              <w:t>)、检查(体格检查、检查结</w:t>
            </w:r>
            <w:r>
              <w:rPr>
                <w:rFonts w:hint="eastAsia" w:ascii="微软雅黑" w:hAnsi="微软雅黑" w:eastAsia="微软雅黑" w:cs="微软雅黑"/>
                <w:kern w:val="0"/>
                <w:szCs w:val="21"/>
              </w:rPr>
              <w:t>果</w:t>
            </w:r>
            <w:r>
              <w:rPr>
                <w:rFonts w:ascii="微软雅黑" w:hAnsi="微软雅黑" w:eastAsia="微软雅黑" w:cs="微软雅黑"/>
                <w:kern w:val="0"/>
                <w:szCs w:val="21"/>
              </w:rPr>
              <w:t>)、检验结果计算推荐疑似常见诊</w:t>
            </w:r>
            <w:r>
              <w:rPr>
                <w:rFonts w:hint="eastAsia" w:ascii="微软雅黑" w:hAnsi="微软雅黑" w:eastAsia="微软雅黑" w:cs="微软雅黑"/>
                <w:kern w:val="0"/>
                <w:szCs w:val="21"/>
              </w:rPr>
              <w:t>断</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常见症状体征：</w:t>
            </w:r>
            <w:r>
              <w:rPr>
                <w:rFonts w:ascii="微软雅黑" w:hAnsi="微软雅黑" w:eastAsia="微软雅黑" w:cs="微软雅黑"/>
                <w:kern w:val="0"/>
                <w:szCs w:val="21"/>
              </w:rPr>
              <w:t>根据疾病与症状体征的相关性，推荐</w:t>
            </w:r>
            <w:r>
              <w:rPr>
                <w:rFonts w:hint="eastAsia" w:ascii="微软雅黑" w:hAnsi="微软雅黑" w:eastAsia="微软雅黑" w:cs="微软雅黑"/>
                <w:kern w:val="0"/>
                <w:szCs w:val="21"/>
              </w:rPr>
              <w:t>该疾病的常见症状和体征</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鉴别诊断：</w:t>
            </w:r>
            <w:r>
              <w:rPr>
                <w:rFonts w:ascii="微软雅黑" w:hAnsi="微软雅黑" w:eastAsia="微软雅黑" w:cs="微软雅黑"/>
                <w:kern w:val="0"/>
                <w:szCs w:val="21"/>
              </w:rPr>
              <w:t>支持鉴别诊断，包含鉴别方法、鉴别检</w:t>
            </w:r>
            <w:r>
              <w:rPr>
                <w:rFonts w:hint="eastAsia" w:ascii="微软雅黑" w:hAnsi="微软雅黑" w:eastAsia="微软雅黑" w:cs="微软雅黑"/>
                <w:kern w:val="0"/>
                <w:szCs w:val="21"/>
              </w:rPr>
              <w:t>查说明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医学知识库模块</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疾病知识库</w:t>
            </w:r>
            <w:r>
              <w:rPr>
                <w:rFonts w:ascii="微软雅黑" w:hAnsi="微软雅黑" w:eastAsia="微软雅黑" w:cs="微软雅黑"/>
                <w:kern w:val="0"/>
                <w:szCs w:val="21"/>
              </w:rPr>
              <w:tab/>
            </w:r>
            <w:r>
              <w:rPr>
                <w:rFonts w:ascii="微软雅黑" w:hAnsi="微软雅黑" w:eastAsia="微软雅黑" w:cs="微软雅黑"/>
                <w:kern w:val="0"/>
                <w:szCs w:val="21"/>
              </w:rPr>
              <w:t>包含疾病概述、临床表现、病理详</w:t>
            </w:r>
            <w:r>
              <w:rPr>
                <w:rFonts w:hint="eastAsia" w:ascii="微软雅黑" w:hAnsi="微软雅黑" w:eastAsia="微软雅黑" w:cs="微软雅黑"/>
                <w:kern w:val="0"/>
                <w:szCs w:val="21"/>
              </w:rPr>
              <w:t>情、何时就医、预后、预防介绍、自</w:t>
            </w:r>
            <w:r>
              <w:rPr>
                <w:rFonts w:ascii="微软雅黑" w:hAnsi="微软雅黑" w:eastAsia="微软雅黑" w:cs="微软雅黑"/>
                <w:kern w:val="0"/>
                <w:szCs w:val="21"/>
              </w:rPr>
              <w:t>我护理、护理方法(病房)、注意事项、</w:t>
            </w:r>
            <w:r>
              <w:rPr>
                <w:rFonts w:hint="eastAsia" w:ascii="微软雅黑" w:hAnsi="微软雅黑" w:eastAsia="微软雅黑" w:cs="微软雅黑"/>
                <w:kern w:val="0"/>
                <w:szCs w:val="21"/>
              </w:rPr>
              <w:t>处置建议、用药建议、检查建议、患者指导等详细内容</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药品知识库：</w:t>
            </w:r>
            <w:r>
              <w:rPr>
                <w:rFonts w:ascii="微软雅黑" w:hAnsi="微软雅黑" w:eastAsia="微软雅黑" w:cs="微软雅黑"/>
                <w:kern w:val="0"/>
                <w:szCs w:val="21"/>
              </w:rPr>
              <w:t>包含通用名、剂型、功效分类、成份分类、主要成份、药品性状、溶媒分类、给药方式、ATC编码、主要成 份、规格、儿童日最高量、成人日最</w:t>
            </w:r>
            <w:r>
              <w:rPr>
                <w:rFonts w:hint="eastAsia" w:ascii="微软雅黑" w:hAnsi="微软雅黑" w:eastAsia="微软雅黑" w:cs="微软雅黑"/>
                <w:kern w:val="0"/>
                <w:szCs w:val="21"/>
              </w:rPr>
              <w:t>高量、儿童日建议给药次数、儿童每次建议剂量、成人日建议给药次数、成人每次建议剂量、特殊给药条件</w:t>
            </w:r>
            <w:r>
              <w:rPr>
                <w:rFonts w:ascii="微软雅黑" w:hAnsi="微软雅黑" w:eastAsia="微软雅黑" w:cs="微软雅黑"/>
                <w:kern w:val="0"/>
                <w:szCs w:val="21"/>
              </w:rPr>
              <w:t>(饭前.)、儿童注意事项、孕妇注意</w:t>
            </w:r>
            <w:r>
              <w:rPr>
                <w:rFonts w:hint="eastAsia" w:ascii="微软雅黑" w:hAnsi="微软雅黑" w:eastAsia="微软雅黑" w:cs="微软雅黑"/>
                <w:kern w:val="0"/>
                <w:szCs w:val="21"/>
              </w:rPr>
              <w:t>事项、老人注意事项、药理机制、毒理机制、生成厂商</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检验知识库：</w:t>
            </w:r>
            <w:r>
              <w:rPr>
                <w:rFonts w:ascii="微软雅黑" w:hAnsi="微软雅黑" w:eastAsia="微软雅黑" w:cs="微软雅黑"/>
                <w:kern w:val="0"/>
                <w:szCs w:val="21"/>
              </w:rPr>
              <w:t>包含通用名、项目介绍、检验样本、</w:t>
            </w:r>
            <w:r>
              <w:rPr>
                <w:rFonts w:hint="eastAsia" w:ascii="微软雅黑" w:hAnsi="微软雅黑" w:eastAsia="微软雅黑" w:cs="微软雅黑"/>
                <w:kern w:val="0"/>
                <w:szCs w:val="21"/>
              </w:rPr>
              <w:t>注意事项</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检查知识库：</w:t>
            </w:r>
            <w:r>
              <w:rPr>
                <w:rFonts w:ascii="微软雅黑" w:hAnsi="微软雅黑" w:eastAsia="微软雅黑" w:cs="微软雅黑"/>
                <w:kern w:val="0"/>
                <w:szCs w:val="21"/>
              </w:rPr>
              <w:t>包含通用名、指标介绍、正常区间、</w:t>
            </w:r>
            <w:r>
              <w:rPr>
                <w:rFonts w:hint="eastAsia" w:ascii="微软雅黑" w:hAnsi="微软雅黑" w:eastAsia="微软雅黑" w:cs="微软雅黑"/>
                <w:kern w:val="0"/>
                <w:szCs w:val="21"/>
              </w:rPr>
              <w:t>注意事项</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搜索：</w:t>
            </w:r>
            <w:r>
              <w:rPr>
                <w:rFonts w:ascii="微软雅黑" w:hAnsi="微软雅黑" w:eastAsia="微软雅黑" w:cs="微软雅黑"/>
                <w:kern w:val="0"/>
                <w:szCs w:val="21"/>
              </w:rPr>
              <w:t>支持高级搜索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医嘱质控</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检验质控：</w:t>
            </w:r>
            <w:r>
              <w:rPr>
                <w:rFonts w:ascii="微软雅黑" w:hAnsi="微软雅黑" w:eastAsia="微软雅黑" w:cs="微软雅黑"/>
                <w:kern w:val="0"/>
                <w:szCs w:val="21"/>
              </w:rPr>
              <w:t>下达检验申请医嘱时，能够针对患者性别、年龄、妊娠状态、诊断、生理周期、以往用药、以往检验申请项</w:t>
            </w:r>
            <w:r>
              <w:rPr>
                <w:rFonts w:hint="eastAsia" w:ascii="微软雅黑" w:hAnsi="微软雅黑" w:eastAsia="微软雅黑" w:cs="微软雅黑"/>
                <w:kern w:val="0"/>
                <w:szCs w:val="21"/>
              </w:rPr>
              <w:t>目、以往检验结果等至少</w:t>
            </w:r>
            <w:r>
              <w:rPr>
                <w:rFonts w:ascii="微软雅黑" w:hAnsi="微软雅黑" w:eastAsia="微软雅黑" w:cs="微软雅黑"/>
                <w:kern w:val="0"/>
                <w:szCs w:val="21"/>
              </w:rPr>
              <w:t>8个维度进</w:t>
            </w:r>
            <w:r>
              <w:rPr>
                <w:rFonts w:hint="eastAsia" w:ascii="微软雅黑" w:hAnsi="微软雅黑" w:eastAsia="微软雅黑" w:cs="微软雅黑"/>
                <w:kern w:val="0"/>
                <w:szCs w:val="21"/>
              </w:rPr>
              <w:t>行申请合理性自动审核并针对问题申请给出提示</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检查质控：</w:t>
            </w:r>
            <w:r>
              <w:rPr>
                <w:rFonts w:ascii="微软雅黑" w:hAnsi="微软雅黑" w:eastAsia="微软雅黑" w:cs="微软雅黑"/>
                <w:kern w:val="0"/>
                <w:szCs w:val="21"/>
              </w:rPr>
              <w:t>下达检查申请医嘱时，能够针对患者性别、年龄、妊娠状态、诊断、过敏史、以往用药、以往检查项目、以往</w:t>
            </w:r>
            <w:r>
              <w:rPr>
                <w:rFonts w:hint="eastAsia" w:ascii="微软雅黑" w:hAnsi="微软雅黑" w:eastAsia="微软雅黑" w:cs="微软雅黑"/>
                <w:kern w:val="0"/>
                <w:szCs w:val="21"/>
              </w:rPr>
              <w:t>检查结果等至少</w:t>
            </w:r>
            <w:r>
              <w:rPr>
                <w:rFonts w:ascii="微软雅黑" w:hAnsi="微软雅黑" w:eastAsia="微软雅黑" w:cs="微软雅黑"/>
                <w:kern w:val="0"/>
                <w:szCs w:val="21"/>
              </w:rPr>
              <w:t>8个维度对申请合理</w:t>
            </w:r>
            <w:r>
              <w:rPr>
                <w:rFonts w:hint="eastAsia" w:ascii="微软雅黑" w:hAnsi="微软雅黑" w:eastAsia="微软雅黑" w:cs="微软雅黑"/>
                <w:kern w:val="0"/>
                <w:szCs w:val="21"/>
              </w:rPr>
              <w:t>性进行自动检查并提示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质控规则模块</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规则开放：</w:t>
            </w:r>
            <w:r>
              <w:rPr>
                <w:rFonts w:ascii="微软雅黑" w:hAnsi="微软雅黑" w:eastAsia="微软雅黑" w:cs="微软雅黑"/>
                <w:kern w:val="0"/>
                <w:szCs w:val="21"/>
              </w:rPr>
              <w:t>支持对质控模块涉及到的内置规则全</w:t>
            </w:r>
            <w:r>
              <w:rPr>
                <w:rFonts w:hint="eastAsia" w:ascii="微软雅黑" w:hAnsi="微软雅黑" w:eastAsia="微软雅黑" w:cs="微软雅黑"/>
                <w:kern w:val="0"/>
                <w:szCs w:val="21"/>
              </w:rPr>
              <w:t>部开放，并可以对现有规则进行修改、删除。</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自定义规则：</w:t>
            </w:r>
            <w:r>
              <w:rPr>
                <w:rFonts w:ascii="微软雅黑" w:hAnsi="微软雅黑" w:eastAsia="微软雅黑" w:cs="微软雅黑"/>
                <w:kern w:val="0"/>
                <w:szCs w:val="21"/>
              </w:rPr>
              <w:t>支持院内个性化编辑检查、检验提醒</w:t>
            </w:r>
            <w:r>
              <w:rPr>
                <w:rFonts w:hint="eastAsia" w:ascii="微软雅黑" w:hAnsi="微软雅黑" w:eastAsia="微软雅黑" w:cs="微软雅黑"/>
                <w:kern w:val="0"/>
                <w:szCs w:val="21"/>
              </w:rPr>
              <w:t>的规则，编辑规则的维度不低于以上提到的维度。</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规则生效：</w:t>
            </w:r>
            <w:r>
              <w:rPr>
                <w:rFonts w:ascii="微软雅黑" w:hAnsi="微软雅黑" w:eastAsia="微软雅黑" w:cs="微软雅黑"/>
                <w:kern w:val="0"/>
                <w:szCs w:val="21"/>
              </w:rPr>
              <w:t>支持编辑的规则实时生效。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质控统计模块</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提醒报表：</w:t>
            </w:r>
            <w:r>
              <w:rPr>
                <w:rFonts w:ascii="微软雅黑" w:hAnsi="微软雅黑" w:eastAsia="微软雅黑" w:cs="微软雅黑"/>
                <w:kern w:val="0"/>
                <w:szCs w:val="21"/>
              </w:rPr>
              <w:t>支持对提醒记录进行保存，并可以根</w:t>
            </w:r>
            <w:r>
              <w:rPr>
                <w:rFonts w:hint="eastAsia" w:ascii="微软雅黑" w:hAnsi="微软雅黑" w:eastAsia="微软雅黑" w:cs="微软雅黑"/>
                <w:kern w:val="0"/>
                <w:szCs w:val="21"/>
              </w:rPr>
              <w:t>据不同的科室、医生、提醒类别、提醒级别等筛选对应的统计结果。</w:t>
            </w:r>
          </w:p>
        </w:tc>
      </w:tr>
    </w:tbl>
    <w:p>
      <w:pPr>
        <w:rPr>
          <w:rFonts w:ascii="微软雅黑" w:hAnsi="微软雅黑" w:eastAsia="微软雅黑"/>
          <w:b/>
          <w:bCs/>
        </w:rPr>
      </w:pPr>
    </w:p>
    <w:p>
      <w:pPr>
        <w:pStyle w:val="3"/>
      </w:pPr>
      <w:r>
        <w:rPr>
          <w:rFonts w:hint="eastAsia"/>
        </w:rPr>
        <w:t xml:space="preserve"> 不良事件上报系统</w:t>
      </w:r>
    </w:p>
    <w:tbl>
      <w:tblPr>
        <w:tblStyle w:val="27"/>
        <w:tblW w:w="92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00"/>
        <w:gridCol w:w="6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1" w:hRule="atLeast"/>
          <w:jc w:val="center"/>
        </w:trPr>
        <w:tc>
          <w:tcPr>
            <w:tcW w:w="2900"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w:t>
            </w:r>
            <w:r>
              <w:rPr>
                <w:rFonts w:hint="eastAsia" w:ascii="微软雅黑" w:hAnsi="微软雅黑" w:eastAsia="微软雅黑"/>
                <w:b/>
                <w:bCs/>
                <w:szCs w:val="21"/>
              </w:rPr>
              <w:t>列表</w:t>
            </w:r>
          </w:p>
        </w:tc>
        <w:tc>
          <w:tcPr>
            <w:tcW w:w="6342"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事件上报</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医疗类不良事件：</w:t>
            </w:r>
            <w:r>
              <w:rPr>
                <w:rFonts w:ascii="微软雅黑" w:hAnsi="微软雅黑" w:eastAsia="微软雅黑" w:cs="微软雅黑"/>
                <w:kern w:val="0"/>
                <w:szCs w:val="21"/>
              </w:rPr>
              <w:t>提供医疗类不良事件上报界面，上报完成时，系统可自动校验数据完整性，可根据获取HIS或EMR接口自动获取患者基本信息数据。</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卫健委不良事件：</w:t>
            </w:r>
            <w:r>
              <w:rPr>
                <w:rFonts w:ascii="微软雅黑" w:hAnsi="微软雅黑" w:eastAsia="微软雅黑" w:cs="微软雅黑"/>
                <w:kern w:val="0"/>
                <w:szCs w:val="21"/>
              </w:rPr>
              <w:t>提供卫健委国家平台不良事件上报界面，上报完成时，系统可自动校验数据完整性，可根据获取HIS或EMR接口自动获取患者基本信息数据。</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护理类不良事件：</w:t>
            </w:r>
            <w:r>
              <w:rPr>
                <w:rFonts w:ascii="微软雅黑" w:hAnsi="微软雅黑" w:eastAsia="微软雅黑" w:cs="微软雅黑"/>
                <w:kern w:val="0"/>
                <w:szCs w:val="21"/>
              </w:rPr>
              <w:t>提供护理类不良事件上报界面。上报完成时，系统可自动校验数据完整性，可根据获取HIS或EMR接口自动获取患者基本信息数据</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院感类不良事件：</w:t>
            </w:r>
            <w:r>
              <w:rPr>
                <w:rFonts w:ascii="微软雅黑" w:hAnsi="微软雅黑" w:eastAsia="微软雅黑" w:cs="微软雅黑"/>
                <w:kern w:val="0"/>
                <w:szCs w:val="21"/>
              </w:rPr>
              <w:t>提供院感类不良事件上报界面。上报完成时，系统可自动校验数据完整性，可根据获取HIS或EMR接口自动获取患者基本信息数据</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输血类不良事件：</w:t>
            </w:r>
            <w:r>
              <w:rPr>
                <w:rFonts w:ascii="微软雅黑" w:hAnsi="微软雅黑" w:eastAsia="微软雅黑" w:cs="微软雅黑"/>
                <w:kern w:val="0"/>
                <w:szCs w:val="21"/>
              </w:rPr>
              <w:t>提供输血类不良事件上报界面。上报完成时，系统可自动校验数据完整性，可根据获取HIS或EMR接口自动获取患者基本信息数据</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药品类不良事件：</w:t>
            </w:r>
            <w:r>
              <w:rPr>
                <w:rFonts w:ascii="微软雅黑" w:hAnsi="微软雅黑" w:eastAsia="微软雅黑" w:cs="微软雅黑"/>
                <w:kern w:val="0"/>
                <w:szCs w:val="21"/>
              </w:rPr>
              <w:t>提供药品类不良事件上报界面。上报完成时，系统可自动校验数据完整性，可根据获取HIS或EMR接口自动获取患者基本信息数据</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医疗器械</w:t>
            </w:r>
            <w:r>
              <w:rPr>
                <w:rFonts w:ascii="微软雅黑" w:hAnsi="微软雅黑" w:eastAsia="微软雅黑" w:cs="微软雅黑"/>
                <w:kern w:val="0"/>
                <w:szCs w:val="21"/>
              </w:rPr>
              <w:t>/设备类不良事件</w:t>
            </w:r>
            <w:r>
              <w:rPr>
                <w:rFonts w:hint="eastAsia" w:ascii="微软雅黑" w:hAnsi="微软雅黑" w:eastAsia="微软雅黑" w:cs="微软雅黑"/>
                <w:kern w:val="0"/>
                <w:szCs w:val="21"/>
              </w:rPr>
              <w:t>：</w:t>
            </w:r>
            <w:r>
              <w:rPr>
                <w:rFonts w:ascii="微软雅黑" w:hAnsi="微软雅黑" w:eastAsia="微软雅黑" w:cs="微软雅黑"/>
                <w:kern w:val="0"/>
                <w:szCs w:val="21"/>
              </w:rPr>
              <w:t>提供医疗器械/设备类不良事件上报界面。上报完成时，系统可自动校验数据完整性，可根据获取HIS或EMR接口自动获取患者基本信息数据</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治安类不良事件：</w:t>
            </w:r>
            <w:r>
              <w:rPr>
                <w:rFonts w:ascii="微软雅黑" w:hAnsi="微软雅黑" w:eastAsia="微软雅黑" w:cs="微软雅黑"/>
                <w:kern w:val="0"/>
                <w:szCs w:val="21"/>
              </w:rPr>
              <w:t>提供医疗不良事件上报界面。上报完成时，系统可自动校验数据完整性，可根据获取HIS或EMR接口自动获取患者基本信息数据</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后勤类不良事件：</w:t>
            </w:r>
            <w:r>
              <w:rPr>
                <w:rFonts w:ascii="微软雅黑" w:hAnsi="微软雅黑" w:eastAsia="微软雅黑" w:cs="微软雅黑"/>
                <w:kern w:val="0"/>
                <w:szCs w:val="21"/>
              </w:rPr>
              <w:t>提供后勤类不良事件上报界面。上报完成时，系统可自动校验数据完整性，可根据获取HIS或EMR接口自动获取患者基本信息数据</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信息类不良事件：</w:t>
            </w:r>
            <w:r>
              <w:rPr>
                <w:rFonts w:ascii="微软雅黑" w:hAnsi="微软雅黑" w:eastAsia="微软雅黑" w:cs="微软雅黑"/>
                <w:kern w:val="0"/>
                <w:szCs w:val="21"/>
              </w:rPr>
              <w:t>提供信息类不良事件上报界面。上报完成时，系统可自动校验数据完整性，可根据获取HIS或EMR接口自动获取患者基本信息数据</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其他类不良事件：</w:t>
            </w:r>
            <w:r>
              <w:rPr>
                <w:rFonts w:ascii="微软雅黑" w:hAnsi="微软雅黑" w:eastAsia="微软雅黑" w:cs="微软雅黑"/>
                <w:kern w:val="0"/>
                <w:szCs w:val="21"/>
              </w:rPr>
              <w:t>提供其他类不良事件上报界面。上报完成时，系统可自动校验数据完整性，可根据获取HIS或EMR接口自动获取患者基本信息数据</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无类型事件上报：</w:t>
            </w:r>
            <w:r>
              <w:rPr>
                <w:rFonts w:ascii="微软雅黑" w:hAnsi="微软雅黑" w:eastAsia="微软雅黑" w:cs="微软雅黑"/>
                <w:kern w:val="0"/>
                <w:szCs w:val="21"/>
              </w:rPr>
              <w:t>提供无类型不良事件上报界面。上报完成时，系统可自动校验数据完整性，可根据获取HIS或EMR接口自动获取患者基本信息数据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事件处理</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事件草稿箱：</w:t>
            </w:r>
            <w:r>
              <w:rPr>
                <w:rFonts w:ascii="微软雅黑" w:hAnsi="微软雅黑" w:eastAsia="微软雅黑" w:cs="微软雅黑"/>
                <w:kern w:val="0"/>
                <w:szCs w:val="21"/>
              </w:rPr>
              <w:t>事件保存为草稿，就是将未填写完成的事件保存到草稿箱，方便用户后续进行编辑修改，内容补充</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各类事件处理：</w:t>
            </w:r>
            <w:r>
              <w:rPr>
                <w:rFonts w:ascii="微软雅黑" w:hAnsi="微软雅黑" w:eastAsia="微软雅黑" w:cs="微软雅黑"/>
                <w:kern w:val="0"/>
                <w:szCs w:val="21"/>
              </w:rPr>
              <w:t>可多条件查询导出数据，对指定数据进行删除、还原等操作，可查看事件的详细处理记录，对数据的审核流程进行操作，并可以打印完整的上报信息页面和处理反馈单</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审核信息管理：</w:t>
            </w:r>
            <w:r>
              <w:rPr>
                <w:rFonts w:ascii="微软雅黑" w:hAnsi="微软雅黑" w:eastAsia="微软雅黑" w:cs="微软雅黑"/>
                <w:kern w:val="0"/>
                <w:szCs w:val="21"/>
              </w:rPr>
              <w:t>可以查询审核记录，查看事件处理记录，浏览事件处理时间轴，并可以指定事件对审核过的记录进行撤销，实现审核流程的回退</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事件复合检索：</w:t>
            </w:r>
            <w:r>
              <w:rPr>
                <w:rFonts w:ascii="微软雅黑" w:hAnsi="微软雅黑" w:eastAsia="微软雅黑" w:cs="微软雅黑"/>
                <w:kern w:val="0"/>
                <w:szCs w:val="21"/>
              </w:rPr>
              <w:t>可根据多种条件复合检索已上报过的数据，方便用户个性化查询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风险评估</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评估表管理：</w:t>
            </w:r>
            <w:r>
              <w:rPr>
                <w:rFonts w:ascii="微软雅黑" w:hAnsi="微软雅黑" w:eastAsia="微软雅黑" w:cs="微软雅黑"/>
                <w:kern w:val="0"/>
                <w:szCs w:val="21"/>
              </w:rPr>
              <w:t>维护风险评估规则，包含扣分项以及分数对应等级、处理措施等</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风险评估：</w:t>
            </w:r>
            <w:r>
              <w:rPr>
                <w:rFonts w:ascii="微软雅黑" w:hAnsi="微软雅黑" w:eastAsia="微软雅黑" w:cs="微软雅黑"/>
                <w:kern w:val="0"/>
                <w:szCs w:val="21"/>
              </w:rPr>
              <w:t>对患者进行风险评估，并可以根据患者的风险评估分值生成对应的待评估列表</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风险评估查询：</w:t>
            </w:r>
            <w:r>
              <w:rPr>
                <w:rFonts w:ascii="微软雅黑" w:hAnsi="微软雅黑" w:eastAsia="微软雅黑" w:cs="微软雅黑"/>
                <w:kern w:val="0"/>
                <w:szCs w:val="21"/>
              </w:rPr>
              <w:t>查询评分历史数据，删除、修改记录，打印评分页面</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待评估列表：</w:t>
            </w:r>
            <w:r>
              <w:rPr>
                <w:rFonts w:ascii="微软雅黑" w:hAnsi="微软雅黑" w:eastAsia="微软雅黑" w:cs="微软雅黑"/>
                <w:kern w:val="0"/>
                <w:szCs w:val="21"/>
              </w:rPr>
              <w:t>列出所有当前待评估的患者信息，也可以点击进行评估</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评估历史打印：</w:t>
            </w:r>
            <w:r>
              <w:rPr>
                <w:rFonts w:ascii="微软雅黑" w:hAnsi="微软雅黑" w:eastAsia="微软雅黑" w:cs="微软雅黑"/>
                <w:kern w:val="0"/>
                <w:szCs w:val="21"/>
              </w:rPr>
              <w:t>对同一患者的评估记录进行打印。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统计分析</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按事件类型汇总：</w:t>
            </w:r>
            <w:r>
              <w:rPr>
                <w:rFonts w:ascii="微软雅黑" w:hAnsi="微软雅黑" w:eastAsia="微软雅黑" w:cs="微软雅黑"/>
                <w:kern w:val="0"/>
                <w:szCs w:val="21"/>
              </w:rPr>
              <w:t>以上报或发生的事件类型为条件统计各个事件类型的上报/发生例数（包含一级事件分类和二级事件分类）</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按科室汇总：</w:t>
            </w:r>
            <w:r>
              <w:rPr>
                <w:rFonts w:ascii="微软雅黑" w:hAnsi="微软雅黑" w:eastAsia="微软雅黑" w:cs="微软雅黑"/>
                <w:kern w:val="0"/>
                <w:szCs w:val="21"/>
              </w:rPr>
              <w:t>以不良事件上报或发生的科室为条件统计各个科室的上报/发生例数</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按时间汇总：</w:t>
            </w:r>
            <w:r>
              <w:rPr>
                <w:rFonts w:ascii="微软雅黑" w:hAnsi="微软雅黑" w:eastAsia="微软雅黑" w:cs="微软雅黑"/>
                <w:kern w:val="0"/>
                <w:szCs w:val="21"/>
              </w:rPr>
              <w:t>以不良事件上报或发生时间为条件统计年度，季度，月度不良事件的上报/发生例数</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自定义统计：</w:t>
            </w:r>
            <w:r>
              <w:rPr>
                <w:rFonts w:ascii="微软雅黑" w:hAnsi="微软雅黑" w:eastAsia="微软雅黑" w:cs="微软雅黑"/>
                <w:kern w:val="0"/>
                <w:szCs w:val="21"/>
              </w:rPr>
              <w:t>以单个不良事件上报时填写的某个指标为条件统计各个指标下不良事件的上报/发生例数</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交叉报表统计：</w:t>
            </w:r>
            <w:r>
              <w:rPr>
                <w:rFonts w:ascii="微软雅黑" w:hAnsi="微软雅黑" w:eastAsia="微软雅黑" w:cs="微软雅黑"/>
                <w:kern w:val="0"/>
                <w:szCs w:val="21"/>
              </w:rPr>
              <w:t>以两个或多个统计条件，如类别－等级、科室－等级进行交叉统计，展示两个不同条件下的不良事件发生/上报例数</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综合报表：</w:t>
            </w:r>
            <w:r>
              <w:rPr>
                <w:rFonts w:ascii="微软雅黑" w:hAnsi="微软雅黑" w:eastAsia="微软雅黑" w:cs="微软雅黑"/>
                <w:kern w:val="0"/>
                <w:szCs w:val="21"/>
              </w:rPr>
              <w:t>1.以患者类型为统计条件，展示不同患者类型发生的不良事件例数</w:t>
            </w:r>
            <w:r>
              <w:rPr>
                <w:rFonts w:hint="eastAsia" w:ascii="微软雅黑" w:hAnsi="微软雅黑" w:eastAsia="微软雅黑" w:cs="微软雅黑"/>
                <w:kern w:val="0"/>
                <w:szCs w:val="21"/>
              </w:rPr>
              <w:t>；</w:t>
            </w:r>
            <w:r>
              <w:rPr>
                <w:rFonts w:ascii="微软雅黑" w:hAnsi="微软雅黑" w:eastAsia="微软雅黑" w:cs="微软雅黑"/>
                <w:kern w:val="0"/>
                <w:szCs w:val="21"/>
              </w:rPr>
              <w:t>2.以处理的职能部门为统计条件，展示不同部门处理的事件例数</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操作日志统计：</w:t>
            </w:r>
            <w:r>
              <w:rPr>
                <w:rFonts w:ascii="微软雅黑" w:hAnsi="微软雅黑" w:eastAsia="微软雅黑" w:cs="微软雅黑"/>
                <w:kern w:val="0"/>
                <w:szCs w:val="21"/>
              </w:rPr>
              <w:t>从操作方式，操作人员，操作科室三个维度统计不良事件系统的使用情况，方便于医院管理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系统设置</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人员组织维护：</w:t>
            </w:r>
            <w:r>
              <w:rPr>
                <w:rFonts w:ascii="微软雅黑" w:hAnsi="微软雅黑" w:eastAsia="微软雅黑" w:cs="微软雅黑"/>
                <w:kern w:val="0"/>
                <w:szCs w:val="21"/>
              </w:rPr>
              <w:t>用户、科室信息维护，人员的基本权限维护</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系统页面维护：</w:t>
            </w:r>
            <w:r>
              <w:rPr>
                <w:rFonts w:ascii="微软雅黑" w:hAnsi="微软雅黑" w:eastAsia="微软雅黑" w:cs="微软雅黑"/>
                <w:kern w:val="0"/>
                <w:szCs w:val="21"/>
              </w:rPr>
              <w:t>1.维护系统用到的基本参数类型和系统参数的详细指标，如设置页面必填项、添加页面字段、设置字段类型等</w:t>
            </w:r>
            <w:r>
              <w:rPr>
                <w:rFonts w:hint="eastAsia" w:ascii="微软雅黑" w:hAnsi="微软雅黑" w:eastAsia="微软雅黑" w:cs="微软雅黑"/>
                <w:kern w:val="0"/>
                <w:szCs w:val="21"/>
              </w:rPr>
              <w:t>；</w:t>
            </w:r>
            <w:r>
              <w:rPr>
                <w:rFonts w:ascii="微软雅黑" w:hAnsi="微软雅黑" w:eastAsia="微软雅黑" w:cs="微软雅黑"/>
                <w:kern w:val="0"/>
                <w:szCs w:val="21"/>
              </w:rPr>
              <w:t>2.维护不同事件类型的处理反馈单取数功能</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审核流程维护：</w:t>
            </w:r>
            <w:r>
              <w:rPr>
                <w:rFonts w:ascii="微软雅黑" w:hAnsi="微软雅黑" w:eastAsia="微软雅黑" w:cs="微软雅黑"/>
                <w:kern w:val="0"/>
                <w:szCs w:val="21"/>
              </w:rPr>
              <w:t>根据不同事件类型，配置审核节点、流程，以及审核需填写记录，如审核意见、驳回意见</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应用维护：</w:t>
            </w:r>
            <w:r>
              <w:rPr>
                <w:rFonts w:ascii="微软雅黑" w:hAnsi="微软雅黑" w:eastAsia="微软雅黑" w:cs="微软雅黑"/>
                <w:kern w:val="0"/>
                <w:szCs w:val="21"/>
              </w:rPr>
              <w:t>1.系统开关的维护及设置</w:t>
            </w:r>
            <w:r>
              <w:rPr>
                <w:rFonts w:hint="eastAsia" w:ascii="微软雅黑" w:hAnsi="微软雅黑" w:eastAsia="微软雅黑" w:cs="微软雅黑"/>
                <w:kern w:val="0"/>
                <w:szCs w:val="21"/>
              </w:rPr>
              <w:t>；</w:t>
            </w:r>
            <w:r>
              <w:rPr>
                <w:rFonts w:ascii="微软雅黑" w:hAnsi="微软雅黑" w:eastAsia="微软雅黑" w:cs="微软雅黑"/>
                <w:kern w:val="0"/>
                <w:szCs w:val="21"/>
              </w:rPr>
              <w:t>2.维护基本节假日及工作日，发提示短信用</w:t>
            </w:r>
            <w:r>
              <w:rPr>
                <w:rFonts w:hint="eastAsia" w:ascii="微软雅黑" w:hAnsi="微软雅黑" w:eastAsia="微软雅黑" w:cs="微软雅黑"/>
                <w:kern w:val="0"/>
                <w:szCs w:val="21"/>
              </w:rPr>
              <w:t>；</w:t>
            </w:r>
            <w:r>
              <w:rPr>
                <w:rFonts w:ascii="微软雅黑" w:hAnsi="微软雅黑" w:eastAsia="微软雅黑" w:cs="微软雅黑"/>
                <w:kern w:val="0"/>
                <w:szCs w:val="21"/>
              </w:rPr>
              <w:t>3.设置用户的访问模块及页面的权限</w:t>
            </w:r>
            <w:r>
              <w:rPr>
                <w:rFonts w:hint="eastAsia" w:ascii="微软雅黑" w:hAnsi="微软雅黑" w:eastAsia="微软雅黑" w:cs="微软雅黑"/>
                <w:kern w:val="0"/>
                <w:szCs w:val="21"/>
              </w:rPr>
              <w:t>；</w:t>
            </w:r>
            <w:r>
              <w:rPr>
                <w:rFonts w:ascii="微软雅黑" w:hAnsi="微软雅黑" w:eastAsia="微软雅黑" w:cs="微软雅黑"/>
                <w:kern w:val="0"/>
                <w:szCs w:val="21"/>
              </w:rPr>
              <w:t>4.首页公告的设置及相关文件的展示</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系统应用：</w:t>
            </w:r>
            <w:r>
              <w:rPr>
                <w:rFonts w:ascii="微软雅黑" w:hAnsi="微软雅黑" w:eastAsia="微软雅黑" w:cs="微软雅黑"/>
                <w:kern w:val="0"/>
                <w:szCs w:val="21"/>
              </w:rPr>
              <w:t>查询操作人员的登录、数据保存、删除等操作的记录。</w:t>
            </w:r>
          </w:p>
        </w:tc>
      </w:tr>
    </w:tbl>
    <w:p>
      <w:pPr>
        <w:rPr>
          <w:rFonts w:ascii="微软雅黑" w:hAnsi="微软雅黑" w:eastAsia="微软雅黑"/>
          <w:b/>
          <w:bCs/>
        </w:rPr>
      </w:pPr>
    </w:p>
    <w:p>
      <w:pPr>
        <w:pStyle w:val="3"/>
      </w:pPr>
      <w:r>
        <w:rPr>
          <w:rFonts w:hint="eastAsia"/>
        </w:rPr>
        <w:t xml:space="preserve"> 三基三严系统</w:t>
      </w:r>
    </w:p>
    <w:tbl>
      <w:tblPr>
        <w:tblStyle w:val="27"/>
        <w:tblW w:w="92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00"/>
        <w:gridCol w:w="6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900"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w:t>
            </w:r>
            <w:r>
              <w:rPr>
                <w:rFonts w:hint="eastAsia" w:ascii="微软雅黑" w:hAnsi="微软雅黑" w:eastAsia="微软雅黑"/>
                <w:b/>
                <w:bCs/>
                <w:szCs w:val="21"/>
              </w:rPr>
              <w:t>列表</w:t>
            </w:r>
          </w:p>
        </w:tc>
        <w:tc>
          <w:tcPr>
            <w:tcW w:w="6342"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在线考试</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考试设置：设置考试题库，时间，周期，参考人员及相关</w:t>
            </w:r>
            <w:r>
              <w:rPr>
                <w:rFonts w:ascii="微软雅黑" w:hAnsi="微软雅黑" w:eastAsia="微软雅黑" w:cs="微软雅黑"/>
                <w:kern w:val="0"/>
                <w:szCs w:val="21"/>
              </w:rPr>
              <w:t xml:space="preserve"> 考试信息</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成绩管理：批阅本次考试的考生成绩及管理本次考试的考</w:t>
            </w:r>
            <w:r>
              <w:rPr>
                <w:rFonts w:ascii="微软雅黑" w:hAnsi="微软雅黑" w:eastAsia="微软雅黑" w:cs="微软雅黑"/>
                <w:kern w:val="0"/>
                <w:szCs w:val="21"/>
              </w:rPr>
              <w:t xml:space="preserve"> 生成绩</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导出试卷：导出本次考试的电子版本试卷</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复制考试：复制本次考试的出卷试卷</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结束考试：中止本次考试</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删除考试：删除本次考试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在线练习</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练习设置：设置练习题库，时间，周期，参考人员及相关</w:t>
            </w:r>
            <w:r>
              <w:rPr>
                <w:rFonts w:ascii="微软雅黑" w:hAnsi="微软雅黑" w:eastAsia="微软雅黑" w:cs="微软雅黑"/>
                <w:kern w:val="0"/>
                <w:szCs w:val="21"/>
              </w:rPr>
              <w:t xml:space="preserve"> 练习信息</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练习详情：查看本次练习的情况，人员信息及练习次数。</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导出试卷：导出本次练习的电子版本试卷</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复制练习：复制本次练习的出卷试卷</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结束练习：中止本次练习</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删除练习：删除本次练习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纸质试卷</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修改试卷：修改已经出好的卷子的试题</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导出试卷：导出本次考试的电子版本试卷</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复制试卷：复制本次考试的出卷试卷</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删除试卷：删除本次考试的试卷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课件管理</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上传视频：支持上传</w:t>
            </w:r>
            <w:r>
              <w:rPr>
                <w:rFonts w:ascii="微软雅黑" w:hAnsi="微软雅黑" w:eastAsia="微软雅黑" w:cs="微软雅黑"/>
                <w:kern w:val="0"/>
                <w:szCs w:val="21"/>
              </w:rPr>
              <w:t xml:space="preserve"> MP4 格式视频至空间，并指定相关人 员，相关周期观看</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上传课件：支持上传</w:t>
            </w:r>
            <w:r>
              <w:rPr>
                <w:rFonts w:ascii="微软雅黑" w:hAnsi="微软雅黑" w:eastAsia="微软雅黑" w:cs="微软雅黑"/>
                <w:kern w:val="0"/>
                <w:szCs w:val="21"/>
              </w:rPr>
              <w:t xml:space="preserve"> PPT、word、pdf 等格式文件至空间， 并指定相关人员，相关周期观看</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课件管理免费容量</w:t>
            </w:r>
            <w:r>
              <w:rPr>
                <w:rFonts w:ascii="微软雅黑" w:hAnsi="微软雅黑" w:eastAsia="微软雅黑" w:cs="微软雅黑"/>
                <w:kern w:val="0"/>
                <w:szCs w:val="21"/>
              </w:rPr>
              <w:t xml:space="preserve"> 1G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考生管理</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列表管理：设置考试列表展示的信息项</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添加考生：显示本医院的考生自行注册的医院归属码及自</w:t>
            </w:r>
            <w:r>
              <w:rPr>
                <w:rFonts w:ascii="微软雅黑" w:hAnsi="微软雅黑" w:eastAsia="微软雅黑" w:cs="微软雅黑"/>
                <w:kern w:val="0"/>
                <w:szCs w:val="21"/>
              </w:rPr>
              <w:t xml:space="preserve"> 行注册流程</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批量添加：按照模板要求收集添加导入人员信息</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组管理：</w:t>
            </w:r>
            <w:r>
              <w:rPr>
                <w:rFonts w:ascii="微软雅黑" w:hAnsi="微软雅黑" w:eastAsia="微软雅黑" w:cs="微软雅黑"/>
                <w:kern w:val="0"/>
                <w:szCs w:val="21"/>
              </w:rPr>
              <w:t xml:space="preserve"> 自定义人员为一个组，方便出卷</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待审核考生：审核自行注册上来的医护人员信息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科室管理</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添加科室：添加医院科室信息的地方</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查看考生：查看本科室下的人员信息</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编辑：编辑本科室的信息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公告管理</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添加公告：发布一条公告给指定的相关人员</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查看公告：查看发布的公告信息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试题管理</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试题保护：保障试题的安全性，不被泄露</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添加试题目录：</w:t>
            </w:r>
            <w:r>
              <w:rPr>
                <w:rFonts w:ascii="微软雅黑" w:hAnsi="微软雅黑" w:eastAsia="微软雅黑" w:cs="微软雅黑"/>
                <w:kern w:val="0"/>
                <w:szCs w:val="21"/>
              </w:rPr>
              <w:t xml:space="preserve"> 自行添加自定义题库的地方，按模块要求 录入</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查看详情：查看已自行录入的试题详情</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修改名称：修改自定义题库名称</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删除：删除本次录入题目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权限管理</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添加管理员：超级管理员添加普通管理员的地方</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设置权限：超级管理员设置普通管理员相关系统功能权限</w:t>
            </w:r>
            <w:r>
              <w:rPr>
                <w:rFonts w:ascii="微软雅黑" w:hAnsi="微软雅黑" w:eastAsia="微软雅黑" w:cs="微软雅黑"/>
                <w:kern w:val="0"/>
                <w:szCs w:val="21"/>
              </w:rPr>
              <w:t xml:space="preserve"> 的地方</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冻结：超级管理员冻结普通管理员账号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学习</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医学慕课：</w:t>
            </w:r>
            <w:r>
              <w:rPr>
                <w:rFonts w:ascii="微软雅黑" w:hAnsi="微软雅黑" w:eastAsia="微软雅黑" w:cs="微软雅黑"/>
                <w:kern w:val="0"/>
                <w:szCs w:val="21"/>
              </w:rPr>
              <w:t>可以查看医学相关疾病专业的精讲，以视频的方式展示</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疾病知识：</w:t>
            </w:r>
            <w:r>
              <w:rPr>
                <w:rFonts w:ascii="微软雅黑" w:hAnsi="微软雅黑" w:eastAsia="微软雅黑" w:cs="微软雅黑"/>
                <w:kern w:val="0"/>
                <w:szCs w:val="21"/>
              </w:rPr>
              <w:t>疾病知识库展示，可以查看相关疾病的病因介绍等</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用药助手：</w:t>
            </w:r>
            <w:r>
              <w:rPr>
                <w:rFonts w:ascii="微软雅黑" w:hAnsi="微软雅黑" w:eastAsia="微软雅黑" w:cs="微软雅黑"/>
                <w:kern w:val="0"/>
                <w:szCs w:val="21"/>
              </w:rPr>
              <w:t>临床用药助手功能，可以查找药品介绍等</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病例宝典：</w:t>
            </w:r>
            <w:r>
              <w:rPr>
                <w:rFonts w:ascii="微软雅黑" w:hAnsi="微软雅黑" w:eastAsia="微软雅黑" w:cs="微软雅黑"/>
                <w:kern w:val="0"/>
                <w:szCs w:val="21"/>
              </w:rPr>
              <w:t>病例案例学习（部分内容需医生护士个人收费）</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模拟考场：</w:t>
            </w:r>
            <w:r>
              <w:rPr>
                <w:rFonts w:ascii="微软雅黑" w:hAnsi="微软雅黑" w:eastAsia="微软雅黑" w:cs="微软雅黑"/>
                <w:kern w:val="0"/>
                <w:szCs w:val="21"/>
              </w:rPr>
              <w:t>医生护士个人进行模拟考试的地方</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医考学堂：</w:t>
            </w:r>
            <w:r>
              <w:rPr>
                <w:rFonts w:ascii="微软雅黑" w:hAnsi="微软雅黑" w:eastAsia="微软雅黑" w:cs="微软雅黑"/>
                <w:kern w:val="0"/>
                <w:szCs w:val="21"/>
              </w:rPr>
              <w:t>医生护士个人通过自己选择医学科目进行学习和练习</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模拟考场：</w:t>
            </w:r>
            <w:r>
              <w:rPr>
                <w:rFonts w:ascii="微软雅黑" w:hAnsi="微软雅黑" w:eastAsia="微软雅黑" w:cs="微软雅黑"/>
                <w:kern w:val="0"/>
                <w:szCs w:val="21"/>
              </w:rPr>
              <w:t>医生护士个人通过自己选择医学科目进行组卷模拟考场考 试练习</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考试宝典：</w:t>
            </w:r>
            <w:r>
              <w:rPr>
                <w:rFonts w:ascii="微软雅黑" w:hAnsi="微软雅黑" w:eastAsia="微软雅黑" w:cs="微软雅黑"/>
                <w:kern w:val="0"/>
                <w:szCs w:val="21"/>
              </w:rPr>
              <w:t>医生护士执业、职称个人学习使用</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章节练习：</w:t>
            </w:r>
            <w:r>
              <w:rPr>
                <w:rFonts w:ascii="微软雅黑" w:hAnsi="微软雅黑" w:eastAsia="微软雅黑" w:cs="微软雅黑"/>
                <w:kern w:val="0"/>
                <w:szCs w:val="21"/>
              </w:rPr>
              <w:t>医生护士自我进行章节练习的地方</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护理</w:t>
            </w:r>
            <w:r>
              <w:rPr>
                <w:rFonts w:ascii="微软雅黑" w:hAnsi="微软雅黑" w:eastAsia="微软雅黑" w:cs="微软雅黑"/>
                <w:kern w:val="0"/>
                <w:szCs w:val="21"/>
              </w:rPr>
              <w:t>55项</w:t>
            </w:r>
            <w:r>
              <w:rPr>
                <w:rFonts w:hint="eastAsia" w:ascii="微软雅黑" w:hAnsi="微软雅黑" w:eastAsia="微软雅黑" w:cs="微软雅黑"/>
                <w:kern w:val="0"/>
                <w:szCs w:val="21"/>
              </w:rPr>
              <w:t>：</w:t>
            </w:r>
            <w:r>
              <w:rPr>
                <w:rFonts w:ascii="微软雅黑" w:hAnsi="微软雅黑" w:eastAsia="微软雅黑" w:cs="微软雅黑"/>
                <w:kern w:val="0"/>
                <w:szCs w:val="21"/>
              </w:rPr>
              <w:t>护理 55 项基本操作技能培训内容</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我的错题：</w:t>
            </w:r>
            <w:r>
              <w:rPr>
                <w:rFonts w:ascii="微软雅黑" w:hAnsi="微软雅黑" w:eastAsia="微软雅黑" w:cs="微软雅黑"/>
                <w:kern w:val="0"/>
                <w:szCs w:val="21"/>
              </w:rPr>
              <w:t>错题重做：可以查看做错的试题，且支持重复练习</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我的收藏：</w:t>
            </w:r>
            <w:r>
              <w:rPr>
                <w:rFonts w:ascii="微软雅黑" w:hAnsi="微软雅黑" w:eastAsia="微软雅黑" w:cs="微软雅黑"/>
                <w:kern w:val="0"/>
                <w:szCs w:val="21"/>
              </w:rPr>
              <w:t>查看已收藏的试题，且支持重复练习</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我的笔记：</w:t>
            </w:r>
            <w:r>
              <w:rPr>
                <w:rFonts w:ascii="微软雅黑" w:hAnsi="微软雅黑" w:eastAsia="微软雅黑" w:cs="微软雅黑"/>
                <w:kern w:val="0"/>
                <w:szCs w:val="21"/>
              </w:rPr>
              <w:t>查看做过笔记的试题，且支持重复练习</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统计分析：</w:t>
            </w:r>
            <w:r>
              <w:rPr>
                <w:rFonts w:ascii="微软雅黑" w:hAnsi="微软雅黑" w:eastAsia="微软雅黑" w:cs="微软雅黑"/>
                <w:kern w:val="0"/>
                <w:szCs w:val="21"/>
              </w:rPr>
              <w:t>可以查看答题数和已答试题的正确率。</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住院医师规培示范案例：主要是查看规培示范案例和学习的地方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医院</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参加考试：</w:t>
            </w:r>
            <w:r>
              <w:rPr>
                <w:rFonts w:ascii="微软雅黑" w:hAnsi="微软雅黑" w:eastAsia="微软雅黑" w:cs="微软雅黑"/>
                <w:kern w:val="0"/>
                <w:szCs w:val="21"/>
              </w:rPr>
              <w:t>医生护士参加医院组织的下派的考试</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参加练习：</w:t>
            </w:r>
            <w:r>
              <w:rPr>
                <w:rFonts w:ascii="微软雅黑" w:hAnsi="微软雅黑" w:eastAsia="微软雅黑" w:cs="微软雅黑"/>
                <w:kern w:val="0"/>
                <w:szCs w:val="21"/>
              </w:rPr>
              <w:t>医生护士参加医院组织的下派的练习</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已考试卷：</w:t>
            </w:r>
            <w:r>
              <w:rPr>
                <w:rFonts w:ascii="微软雅黑" w:hAnsi="微软雅黑" w:eastAsia="微软雅黑" w:cs="微软雅黑"/>
                <w:kern w:val="0"/>
                <w:szCs w:val="21"/>
              </w:rPr>
              <w:t>可以查看已经参加的考试列表</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视频：</w:t>
            </w:r>
            <w:r>
              <w:rPr>
                <w:rFonts w:ascii="微软雅黑" w:hAnsi="微软雅黑" w:eastAsia="微软雅黑" w:cs="微软雅黑"/>
                <w:kern w:val="0"/>
                <w:szCs w:val="21"/>
              </w:rPr>
              <w:t>查看视频</w:t>
            </w:r>
            <w:r>
              <w:rPr>
                <w:rFonts w:hint="eastAsia" w:ascii="微软雅黑" w:hAnsi="微软雅黑" w:eastAsia="微软雅黑" w:cs="微软雅黑"/>
                <w:kern w:val="0"/>
                <w:szCs w:val="21"/>
              </w:rPr>
              <w:t>，</w:t>
            </w:r>
            <w:r>
              <w:rPr>
                <w:rFonts w:ascii="微软雅黑" w:hAnsi="微软雅黑" w:eastAsia="微软雅黑" w:cs="微软雅黑"/>
                <w:kern w:val="0"/>
                <w:szCs w:val="21"/>
              </w:rPr>
              <w:t>从课件学习-视频教学进入后，可以观看考核云 发送的视频。精选视频</w:t>
            </w:r>
            <w:r>
              <w:rPr>
                <w:rFonts w:hint="eastAsia" w:ascii="微软雅黑" w:hAnsi="微软雅黑" w:eastAsia="微软雅黑" w:cs="微软雅黑"/>
                <w:kern w:val="0"/>
                <w:szCs w:val="21"/>
              </w:rPr>
              <w:t>，</w:t>
            </w:r>
            <w:r>
              <w:rPr>
                <w:rFonts w:ascii="微软雅黑" w:hAnsi="微软雅黑" w:eastAsia="微软雅黑" w:cs="微软雅黑"/>
                <w:kern w:val="0"/>
                <w:szCs w:val="21"/>
              </w:rPr>
              <w:t>官方会有部分精选视频推送给考生观看。</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课件：</w:t>
            </w:r>
            <w:r>
              <w:rPr>
                <w:rFonts w:ascii="微软雅黑" w:hAnsi="微软雅黑" w:eastAsia="微软雅黑" w:cs="微软雅黑"/>
                <w:kern w:val="0"/>
                <w:szCs w:val="21"/>
              </w:rPr>
              <w:t>查看课件</w:t>
            </w:r>
            <w:r>
              <w:rPr>
                <w:rFonts w:hint="eastAsia" w:ascii="微软雅黑" w:hAnsi="微软雅黑" w:eastAsia="微软雅黑" w:cs="微软雅黑"/>
                <w:kern w:val="0"/>
                <w:szCs w:val="21"/>
              </w:rPr>
              <w:t>，</w:t>
            </w:r>
            <w:r>
              <w:rPr>
                <w:rFonts w:ascii="微软雅黑" w:hAnsi="微软雅黑" w:eastAsia="微软雅黑" w:cs="微软雅黑"/>
                <w:kern w:val="0"/>
                <w:szCs w:val="21"/>
              </w:rPr>
              <w:t>从课件学习进入后，可以观看考核云发送的课件。精选课件</w:t>
            </w:r>
            <w:r>
              <w:rPr>
                <w:rFonts w:hint="eastAsia" w:ascii="微软雅黑" w:hAnsi="微软雅黑" w:eastAsia="微软雅黑" w:cs="微软雅黑"/>
                <w:kern w:val="0"/>
                <w:szCs w:val="21"/>
              </w:rPr>
              <w:t>，</w:t>
            </w:r>
            <w:r>
              <w:rPr>
                <w:rFonts w:ascii="微软雅黑" w:hAnsi="微软雅黑" w:eastAsia="微软雅黑" w:cs="微软雅黑"/>
                <w:kern w:val="0"/>
                <w:szCs w:val="21"/>
              </w:rPr>
              <w:t>官方会有部分精选课件推送给考生观看</w:t>
            </w:r>
            <w:r>
              <w:rPr>
                <w:rFonts w:hint="eastAsia" w:ascii="微软雅黑" w:hAnsi="微软雅黑" w:eastAsia="微软雅黑" w:cs="微软雅黑"/>
                <w:kern w:val="0"/>
                <w:szCs w:val="21"/>
              </w:rPr>
              <w:t>。</w:t>
            </w:r>
            <w:r>
              <w:rPr>
                <w:rFonts w:ascii="微软雅黑" w:hAnsi="微软雅黑" w:eastAsia="微软雅黑" w:cs="微软雅黑"/>
                <w:kern w:val="0"/>
                <w:szCs w:val="21"/>
              </w:rPr>
              <w:t>课件/视频下载</w:t>
            </w:r>
            <w:r>
              <w:rPr>
                <w:rFonts w:hint="eastAsia" w:ascii="微软雅黑" w:hAnsi="微软雅黑" w:eastAsia="微软雅黑" w:cs="微软雅黑"/>
                <w:kern w:val="0"/>
                <w:szCs w:val="21"/>
              </w:rPr>
              <w:t>，</w:t>
            </w:r>
            <w:r>
              <w:rPr>
                <w:rFonts w:ascii="微软雅黑" w:hAnsi="微软雅黑" w:eastAsia="微软雅黑" w:cs="微软雅黑"/>
                <w:kern w:val="0"/>
                <w:szCs w:val="21"/>
              </w:rPr>
              <w:t>可以下载文件到本地观看</w:t>
            </w:r>
            <w:r>
              <w:rPr>
                <w:rFonts w:hint="eastAsia" w:ascii="微软雅黑" w:hAnsi="微软雅黑" w:eastAsia="微软雅黑" w:cs="微软雅黑"/>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会员</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会员中心：</w:t>
            </w:r>
            <w:r>
              <w:rPr>
                <w:rFonts w:ascii="微软雅黑" w:hAnsi="微软雅黑" w:eastAsia="微软雅黑" w:cs="微软雅黑"/>
                <w:kern w:val="0"/>
                <w:szCs w:val="21"/>
              </w:rPr>
              <w:t>包含一些临床小工具疾病知识、护理帮手、临床助手、检 验助手等供临床医生、护士使用；病例宝典、考试宝典需 个人付费使用。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我的</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账号：</w:t>
            </w:r>
            <w:r>
              <w:rPr>
                <w:rFonts w:ascii="微软雅黑" w:hAnsi="微软雅黑" w:eastAsia="微软雅黑" w:cs="微软雅黑"/>
                <w:kern w:val="0"/>
                <w:szCs w:val="21"/>
              </w:rPr>
              <w:t>账号信息</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归属：</w:t>
            </w:r>
            <w:r>
              <w:rPr>
                <w:rFonts w:ascii="微软雅黑" w:hAnsi="微软雅黑" w:eastAsia="微软雅黑" w:cs="微软雅黑"/>
                <w:kern w:val="0"/>
                <w:szCs w:val="21"/>
              </w:rPr>
              <w:t>医院归属</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消息通知：</w:t>
            </w:r>
            <w:r>
              <w:rPr>
                <w:rFonts w:ascii="微软雅黑" w:hAnsi="微软雅黑" w:eastAsia="微软雅黑" w:cs="微软雅黑"/>
                <w:kern w:val="0"/>
                <w:szCs w:val="21"/>
              </w:rPr>
              <w:t>接收到的消息通知</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题库充值</w:t>
            </w:r>
            <w:r>
              <w:rPr>
                <w:rFonts w:ascii="微软雅黑" w:hAnsi="微软雅黑" w:eastAsia="微软雅黑" w:cs="微软雅黑"/>
                <w:kern w:val="0"/>
                <w:szCs w:val="21"/>
              </w:rPr>
              <w:t>记录</w:t>
            </w:r>
            <w:r>
              <w:rPr>
                <w:rFonts w:hint="eastAsia" w:ascii="微软雅黑" w:hAnsi="微软雅黑" w:eastAsia="微软雅黑" w:cs="微软雅黑"/>
                <w:kern w:val="0"/>
                <w:szCs w:val="21"/>
              </w:rPr>
              <w:t>：</w:t>
            </w:r>
            <w:r>
              <w:rPr>
                <w:rFonts w:ascii="微软雅黑" w:hAnsi="微软雅黑" w:eastAsia="微软雅黑" w:cs="微软雅黑"/>
                <w:kern w:val="0"/>
                <w:szCs w:val="21"/>
              </w:rPr>
              <w:t>学习云端个人手机的“ 医考题库 ”科目的开通充值记录</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绑定手机：</w:t>
            </w:r>
            <w:r>
              <w:rPr>
                <w:rFonts w:ascii="微软雅黑" w:hAnsi="微软雅黑" w:eastAsia="微软雅黑" w:cs="微软雅黑"/>
                <w:kern w:val="0"/>
                <w:szCs w:val="21"/>
              </w:rPr>
              <w:t>可以绑定手机号，直接用手机号登录，用于找回账号密码，接受考试短信等。</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意见反馈：</w:t>
            </w:r>
            <w:r>
              <w:rPr>
                <w:rFonts w:ascii="微软雅黑" w:hAnsi="微软雅黑" w:eastAsia="微软雅黑" w:cs="微软雅黑"/>
                <w:kern w:val="0"/>
                <w:szCs w:val="21"/>
              </w:rPr>
              <w:t>可以反馈意见给我们</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修改登录</w:t>
            </w:r>
            <w:r>
              <w:rPr>
                <w:rFonts w:ascii="微软雅黑" w:hAnsi="微软雅黑" w:eastAsia="微软雅黑" w:cs="微软雅黑"/>
                <w:kern w:val="0"/>
                <w:szCs w:val="21"/>
              </w:rPr>
              <w:t>密码</w:t>
            </w:r>
            <w:r>
              <w:rPr>
                <w:rFonts w:hint="eastAsia" w:ascii="微软雅黑" w:hAnsi="微软雅黑" w:eastAsia="微软雅黑" w:cs="微软雅黑"/>
                <w:kern w:val="0"/>
                <w:szCs w:val="21"/>
              </w:rPr>
              <w:t>：</w:t>
            </w:r>
            <w:r>
              <w:rPr>
                <w:rFonts w:ascii="微软雅黑" w:hAnsi="微软雅黑" w:eastAsia="微软雅黑" w:cs="微软雅黑"/>
                <w:kern w:val="0"/>
                <w:szCs w:val="21"/>
              </w:rPr>
              <w:t>修改个人登录密码</w:t>
            </w:r>
          </w:p>
        </w:tc>
      </w:tr>
    </w:tbl>
    <w:p>
      <w:pPr>
        <w:rPr>
          <w:rFonts w:ascii="微软雅黑" w:hAnsi="微软雅黑" w:eastAsia="微软雅黑"/>
          <w:b/>
          <w:bCs/>
        </w:rPr>
      </w:pPr>
    </w:p>
    <w:p>
      <w:pPr>
        <w:pStyle w:val="3"/>
      </w:pPr>
      <w:r>
        <w:rPr>
          <w:rFonts w:hint="eastAsia"/>
        </w:rPr>
        <w:t xml:space="preserve"> 心电图系统</w:t>
      </w:r>
    </w:p>
    <w:tbl>
      <w:tblPr>
        <w:tblStyle w:val="27"/>
        <w:tblW w:w="92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00"/>
        <w:gridCol w:w="6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900"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w:t>
            </w:r>
            <w:r>
              <w:rPr>
                <w:rFonts w:hint="eastAsia" w:ascii="微软雅黑" w:hAnsi="微软雅黑" w:eastAsia="微软雅黑"/>
                <w:b/>
                <w:bCs/>
                <w:szCs w:val="21"/>
              </w:rPr>
              <w:t>列表</w:t>
            </w:r>
          </w:p>
        </w:tc>
        <w:tc>
          <w:tcPr>
            <w:tcW w:w="6342"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预约叫号</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支持检查诊室管理功能，包括新建、修改、删除。</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支持设置预约时段、关联诊室，每个预约时段可限制人数；支持一个诊室对应多个检查项目，支持一个检查项目多个诊室检查。</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支持静息心电、动态心电、动态血压、电生理等多种业务类型统一预约。</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检查医生通过HIS接口获得申请单进行登记和预约，并生成排队号的条形码，患者按照排队号在检查室等待检查。</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可手动创建、扫码、读卡、输入卡号、下载预约记录获取检查患者。</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在预约列表中，支持新建、修改、删除、加急、激活等功能。</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支持选择检查项目，支持填写主诉、临床诊断、既往病史等信息。</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支持手动选择或自动匹配检查诊室和检查时段。</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具有时段预约已满智能提醒功能。</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支持预约登记患者更换诊室、加急、激活、打印预约单。</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支持呼叫、检查、过号、重呼、激活等功能</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支持查看已叫号、候诊中、过号和已检查各状态下的受检者</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支持大屏展示排队叫号信息，方便受检者在候诊大厅的大屏随时掌握自己的就诊动态</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依序叫号，系统会自动语音呼叫，并在叫号屏上显示</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支持自定义大屏模板样式，配置显示内容，包括叫号队列、候诊队列、过号队列、姓名、排队号、检查诊室、检查项目等内容配置显示。</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支持多语言播报。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检查管理</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系统支持连接第三方心电图机完成受检者的心电检查。支持解析hl7、mfer、scp、fda-xml、dicom、anb、dat、ecg、eco、ekg等第三方心电图机数据格式并以统一的格式进行存储。</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支持针对门诊（固定检查）、病房（移动检查）等不同的检查场景，按照所接设备类型，可以提供不同的设备接入和改造方案。满足不同场景下的设备接入和采集需求。</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具备网络传输功能的心电图机，数据采集完成后可通过无线或有线方式直接发送至心电中心服务器，由诊断中心进行集中诊断。</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支持对不具备网络传输功能的心电图机进行数字化改造，可兼容不同品牌型号的心电图机、采集盒以及其他检查设备。</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移动场景下，支持第三方心电图机先离线采集再集中上传，无需借助PC、平板等即可通过网络直传诊断中心。</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固定场景下，支持将现有心电设备直接连接电脑来实现心电数据接收，支持手动创建、扫码、读卡、输入卡号、下载预约记录等多种方式获取检查信息，支持设置加急和隐私患者处理。</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支持配置检查模式，可选常规十二导、常规十五导、常规十八导、心向量、心率变异、QT离散度、频谱心电、阿托品等。</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支持采集质量检测，在心电检查过程中实时提醒采集质量是否合格，伪差、导联脱落、左右手接反等实时提醒。</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支持图谱采集完成后预览，支持加采、重采功能；</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采集完成后支持自动分析危急值，分析结果包括以下几种类型：危急、阳性、正常、采集不良、未分析。</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支持为严重病人申请加急诊断，加急的报告列表有加急的状态标记。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医生工作站</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为满足医院业务发展需要，医生工作站须提供静息心电、动态心电、动态血压综合分析功能：一套软件即可以进行静息心电、动态心电、动态血压三种检查的分析会诊工作，支持具有对应检查特点的专业分析工具。</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静息心电分析：</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心电图诊断报告系统具备权限管理功能，给不同的医生进行权限配置。</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接收到远程诊断申请后，系统支持后台预分析，对于系统已经判断出存在危险情况的病人标明危急，在客户端、web端、移动端以弹窗、消息等多种方式向诊断医生预警。</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支持诊断医生对不符合要求的图谱进行退回、加采、重采等操作；支持退回加采/重采报告加注原因。</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系统支持设置强制审核模式，设置为强制审核模式的报告必须进行双签之后才能发布，以满足医院多业务形态的需要。</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为提高医生工作效率，系统支持同屏显示报告列表和看图界面。可直接在看图页中查看列表数据，无需在列表页和详情页中来回切换。</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支持导联布局、走速、增益、滤波调整等操作</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支持查看图谱波形展示方式切换，可使用同步导联或连续导联模式展示,支持查看图谱总时长。</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支持在图谱上通过测量工具测量某段波形的电压值、心率和间期测值。</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支持心搏放大功能，通过心搏放大查看某个心搏，调整波形形态识别后重新发送测值。</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系统具备并行分规功能。</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支持在心电图波形区域的异常位置做标记，提供图像注释说明记录。</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支持组合导联功能：使用十二导设备采集两份十二导数据合并为十八导数据，满足附加导联的检查要求。</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提供典型病例收藏功能，支持医生自定义收藏分类，为医生后期培训和进行科研提供素材。</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支持导联纠错功能，在肢体导联接反或胸导联接错的情况下，可以通过软件直接修正，无需重新采集。</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支持漏诊提示，对心电图因显示分辨率问题导致的可能被疏忽的细节异常进行提示，防止造成漏诊。</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支持图谱对比功能，支持将5份及以上历史报告加入对比，可引用对比报告的诊断结论。</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支持叠加波分析，可对所有导联心搏进行叠加趋势分析。</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支持测值超过正常范围，显示成红色，且测值有最大和最小值限制。</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支持测值根据词条联动，如死亡心电图/无心电活动：所有测值置“/”，房颤：房率、P波时限、PR间期、P电轴置“/”，房扑：P波时限、PR间期、P电轴置“/”。</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支持胸痛加急功能，诊断界面有胸痛加急按钮，点击之后有胸痛加急的提示弹窗并可将检查完成消息推送到手机微信端。</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提供标准的心电图诊断词条，辅助医生快速进行报告编辑，在编辑过程中支持词条模糊查询及词条与测值的联动。</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支持ST Map功能。</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支持梯形图生成技术。</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支持频谱心电、高频心电、QT离散度、心电向量、心室晚电位、心率变异等分析功能。</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支持阿托品等药物试验功能，可显示药物试验条件下的数据、绘制心率变化曲线以及导联波形。</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支持心电自动诊断技术，对心电报告进行自动化分析和诊断，辅助诊断医生进行报告诊断，提高诊断效率和质量。</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可依据自动诊断结果提供危急值预警功能，通过微信等方式自动推送到相关人员手机上，提醒医护人员及时关注危急心电图。</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客户端、Web端、移动端支持自动诊断分析结论，可手动选择是否引用自动诊断结论。</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支持在诊断界面将心电图原始数据生成二维码，并通过手机端微信小程序进行扫码查看、诊断和分享，通过手机扫码方式实现内网到外网的数据传输，物理隔离保障网络安全。</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为保护受检者信息安全，报告分享支持脱敏显示。</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支持修改系统名称及系统logo，实现个性化订制。</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动态心电分析：</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提供多种动态分析工具：K线图、直方图、散点图、栅栏图、诊断图、波形全览图等功能。</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动态心电具备自动分析功能。</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自动分析功能自动识别心搏类型包括正常（N）、房早（S）、室早（V）、房颤（Af）、起搏（P）和伪差（X）；用户可以手动标记和修改心搏。</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支持P波反混淆快速区分P波形态差异心搏；</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动态心电支持模板分析，并可按照提前量、代偿间隙、QRS面积、宽度等方式排序</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组合散点图，通过每个心搏的特征选择相应的心搏参数（心搏可选提前量、R波和S波幅度、间期、代偿间期、QRS面积、宽度等方式作为X、Y轴坐标），形成不同的吸引子，快速区分形态不一样的心搏；</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支持房颤默认自动分析、全导联起搏检测功能；</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提供并行分规测量工具；提供放大镜工具；</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起搏器分析功能：通过硬件检测起搏脉冲信号，无需勾选起搏器型号，具备全导联起搏检测。</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动态血压分析：</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数据管理功能：可进行动态血压数据的查询、诊断、备份、还原、删除功能；</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病人信息管理功能：可对病人信息查看、编辑、保存；</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提供血压脉搏波形图显示，辅助医生进行二次诊断；</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智能识别病人测量方式（手动、自动）</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测量状态，包括静止、运动状态（静止、轻度、中度、重度）；</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提供多种图标辅助分析工具，包括趋势图、关联图、直方图、饼图、K线图等；</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提供血压变异系数、夜间血压下降比、血压负荷、晨峰血压等分析指标；</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提供血压负荷、昼夜节律、动态动脉硬化指数等自动分析结论；</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支持PDF报告打印，自定义报告模板，彩色打印等功能；</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支持EXCEL导出功能；</w:t>
            </w:r>
          </w:p>
        </w:tc>
      </w:tr>
    </w:tbl>
    <w:p>
      <w:pPr>
        <w:rPr>
          <w:rFonts w:ascii="微软雅黑" w:hAnsi="微软雅黑" w:eastAsia="微软雅黑"/>
          <w:b/>
          <w:bCs/>
        </w:rPr>
      </w:pPr>
    </w:p>
    <w:p>
      <w:pPr>
        <w:pStyle w:val="3"/>
      </w:pPr>
      <w:r>
        <w:rPr>
          <w:rFonts w:hint="eastAsia"/>
        </w:rPr>
        <w:t xml:space="preserve"> 报表软件</w:t>
      </w:r>
    </w:p>
    <w:tbl>
      <w:tblPr>
        <w:tblStyle w:val="27"/>
        <w:tblW w:w="92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00"/>
        <w:gridCol w:w="6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900"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w:t>
            </w:r>
            <w:r>
              <w:rPr>
                <w:rFonts w:hint="eastAsia" w:ascii="微软雅黑" w:hAnsi="微软雅黑" w:eastAsia="微软雅黑"/>
                <w:b/>
                <w:bCs/>
                <w:szCs w:val="21"/>
              </w:rPr>
              <w:t>列表</w:t>
            </w:r>
          </w:p>
        </w:tc>
        <w:tc>
          <w:tcPr>
            <w:tcW w:w="6342"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ascii="微软雅黑" w:hAnsi="微软雅黑" w:eastAsia="微软雅黑" w:cs="微软雅黑"/>
                <w:kern w:val="0"/>
                <w:szCs w:val="21"/>
              </w:rPr>
              <w:t>报表-Report</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单数据源关联</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多</w:t>
            </w:r>
            <w:r>
              <w:rPr>
                <w:rFonts w:ascii="微软雅黑" w:hAnsi="微软雅黑" w:eastAsia="微软雅黑" w:cs="微软雅黑"/>
                <w:kern w:val="0"/>
                <w:szCs w:val="21"/>
              </w:rPr>
              <w:t>sheet报表设计</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多报表运行环境</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增强分析统计模块</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参数查询界面</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静态图表</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模板权限集成</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远程设计</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打印导出</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Alpha Fine</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H5动态图表</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图表高级交互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仪表盘</w:t>
            </w:r>
            <w:r>
              <w:rPr>
                <w:rFonts w:ascii="微软雅黑" w:hAnsi="微软雅黑" w:eastAsia="微软雅黑" w:cs="微软雅黑"/>
                <w:kern w:val="0"/>
                <w:szCs w:val="21"/>
              </w:rPr>
              <w:t>-Dashboard</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决策报表</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数据分析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移动端</w:t>
            </w:r>
            <w:r>
              <w:rPr>
                <w:rFonts w:ascii="微软雅黑" w:hAnsi="微软雅黑" w:eastAsia="微软雅黑" w:cs="微软雅黑"/>
                <w:kern w:val="0"/>
                <w:szCs w:val="21"/>
              </w:rPr>
              <w:t>-Mobile</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移动端报表展现</w:t>
            </w:r>
          </w:p>
        </w:tc>
      </w:tr>
    </w:tbl>
    <w:p>
      <w:pPr>
        <w:rPr>
          <w:rFonts w:ascii="微软雅黑" w:hAnsi="微软雅黑" w:eastAsia="微软雅黑"/>
          <w:b/>
          <w:bCs/>
        </w:rPr>
      </w:pPr>
    </w:p>
    <w:p>
      <w:pPr>
        <w:pStyle w:val="3"/>
      </w:pPr>
      <w:r>
        <w:t xml:space="preserve"> DRG系统</w:t>
      </w:r>
    </w:p>
    <w:tbl>
      <w:tblPr>
        <w:tblStyle w:val="27"/>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0"/>
        <w:gridCol w:w="6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00" w:type="dxa"/>
            <w:shd w:val="clear" w:color="auto" w:fill="BEBEBE" w:themeFill="background1" w:themeFillShade="BF"/>
            <w:noWrap/>
            <w:vAlign w:val="center"/>
          </w:tcPr>
          <w:p>
            <w:pPr>
              <w:jc w:val="center"/>
              <w:rPr>
                <w:rFonts w:ascii="微软雅黑" w:hAnsi="微软雅黑" w:eastAsia="微软雅黑"/>
                <w:b/>
                <w:bCs/>
                <w:szCs w:val="21"/>
              </w:rPr>
            </w:pPr>
            <w:r>
              <w:rPr>
                <w:rFonts w:hint="eastAsia" w:ascii="微软雅黑" w:hAnsi="微软雅黑" w:eastAsia="微软雅黑"/>
                <w:b/>
                <w:bCs/>
                <w:szCs w:val="21"/>
              </w:rPr>
              <w:t>功能列表</w:t>
            </w:r>
          </w:p>
        </w:tc>
        <w:tc>
          <w:tcPr>
            <w:tcW w:w="6342" w:type="dxa"/>
            <w:shd w:val="clear" w:color="auto" w:fill="BEBEBE" w:themeFill="background1" w:themeFillShade="BF"/>
            <w:vAlign w:val="center"/>
          </w:tcPr>
          <w:p>
            <w:pPr>
              <w:jc w:val="center"/>
              <w:rPr>
                <w:rFonts w:ascii="微软雅黑" w:hAnsi="微软雅黑" w:eastAsia="微软雅黑"/>
                <w:b/>
                <w:bCs/>
                <w:szCs w:val="21"/>
              </w:rPr>
            </w:pPr>
            <w:r>
              <w:rPr>
                <w:rFonts w:hint="eastAsia" w:ascii="微软雅黑" w:hAnsi="微软雅黑" w:eastAsia="微软雅黑"/>
                <w:b/>
                <w:bCs/>
                <w:szCs w:val="21"/>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00" w:type="dxa"/>
            <w:shd w:val="clear" w:color="auto" w:fill="auto"/>
            <w:vAlign w:val="center"/>
          </w:tcPr>
          <w:p>
            <w:pPr>
              <w:widowControl/>
              <w:snapToGrid w:val="0"/>
              <w:spacing w:line="276" w:lineRule="auto"/>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智能编码系统</w:t>
            </w:r>
          </w:p>
        </w:tc>
        <w:tc>
          <w:tcPr>
            <w:tcW w:w="6342" w:type="dxa"/>
            <w:shd w:val="clear" w:color="auto" w:fill="auto"/>
          </w:tcPr>
          <w:p>
            <w:pPr>
              <w:widowControl/>
              <w:snapToGrid w:val="0"/>
              <w:spacing w:line="276" w:lineRule="auto"/>
              <w:jc w:val="left"/>
              <w:rPr>
                <w:rFonts w:ascii="微软雅黑" w:hAnsi="微软雅黑" w:eastAsia="微软雅黑" w:cs="宋体"/>
                <w:b/>
                <w:bCs/>
                <w:color w:val="000000"/>
                <w:kern w:val="0"/>
                <w:szCs w:val="21"/>
              </w:rPr>
            </w:pPr>
            <w:r>
              <w:rPr>
                <w:rFonts w:ascii="微软雅黑" w:hAnsi="微软雅黑" w:eastAsia="微软雅黑" w:cs="宋体"/>
                <w:b/>
                <w:bCs/>
                <w:color w:val="000000"/>
                <w:kern w:val="0"/>
                <w:szCs w:val="21"/>
              </w:rPr>
              <w:t>多种质控模式</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文件导入：支持卫统四、hqms等标准格式的病案首页数据手动导入；</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数据接口：支持从医院病案系统、电子病历等系统通过数据接口自动导入；</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前端调用模块：提供webservice或webapi接口，支持嵌入电子病历、HIS或病案首页系统实时传入首页数据，并实时反馈质控结果。</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病案首页数据质控功能</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完整性质控：审核首页数据填写完整性，所有必填项是否未填，数据格式是否正确；</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值域范围质控：校验各数据项的值域范围是否在标准值域范围内；</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逻辑合理性质控：判断各数据项之间的逻辑合理性；</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新生儿逻辑质控：判断所有与新生儿相关的数据项的合理性；</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诊断逻辑质控：对诊断编码规则、合理性、完整性进行校验，并提示整改建议。包含以下校验规则：主诊选择规则、次诊顺序合理性、诊断NOS规则、诊断与性别、年龄符合性、编码冲突规则、编码漏编规则(病理、损伤中毒)、诊断与入院病情符合规则、主诊与离院方式符合性、特征规则、合并规则；</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手术逻辑质控：判断手术操作编码合理性、完整性进行校验，并提示整改建议。包含以下校验规则：无效主手术规则、手术部位未指明（NOS）、手术与性别符合性、不包括规则、合并规则、另编规则；</w:t>
            </w:r>
          </w:p>
          <w:p>
            <w:pPr>
              <w:widowControl/>
              <w:snapToGrid w:val="0"/>
              <w:spacing w:line="276" w:lineRule="auto"/>
              <w:jc w:val="left"/>
              <w:rPr>
                <w:rFonts w:ascii="微软雅黑" w:hAnsi="微软雅黑" w:eastAsia="微软雅黑" w:cs="宋体"/>
                <w:b/>
                <w:bCs/>
                <w:color w:val="000000"/>
                <w:kern w:val="0"/>
                <w:szCs w:val="21"/>
              </w:rPr>
            </w:pPr>
            <w:r>
              <w:rPr>
                <w:rFonts w:ascii="微软雅黑" w:hAnsi="微软雅黑" w:eastAsia="微软雅黑" w:cs="宋体"/>
                <w:b/>
                <w:bCs/>
                <w:color w:val="000000"/>
                <w:kern w:val="0"/>
                <w:szCs w:val="21"/>
              </w:rPr>
              <w:t>DRG分组功能</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DRG预分组：对每份病案进行DRG实时分组，展现分组信息，根据预分组情况判断病案分组是否准确，编码填写是否合理，是否存在遗漏疾病诊断和手术操作编码或是否存在主要疾病诊断选择错误等问题；</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标杆值比对：展示该组的标杆值，如住院天数、费用等信息，超出阈值进行提醒；</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低风险死亡：提示是否为低风险死亡病例；</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重点监控病种：提示是否为重点监控病种或术种；</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高编、低编提示：根据预分组情况与标杆值对比分析，判断病案是否存在高编、低编问题。</w:t>
            </w:r>
          </w:p>
          <w:p>
            <w:pPr>
              <w:widowControl/>
              <w:snapToGrid w:val="0"/>
              <w:spacing w:line="276" w:lineRule="auto"/>
              <w:jc w:val="left"/>
              <w:rPr>
                <w:rFonts w:ascii="微软雅黑" w:hAnsi="微软雅黑" w:eastAsia="微软雅黑" w:cs="宋体"/>
                <w:b/>
                <w:bCs/>
                <w:color w:val="000000"/>
                <w:kern w:val="0"/>
                <w:szCs w:val="21"/>
              </w:rPr>
            </w:pPr>
            <w:r>
              <w:rPr>
                <w:rFonts w:ascii="微软雅黑" w:hAnsi="微软雅黑" w:eastAsia="微软雅黑" w:cs="宋体"/>
                <w:b/>
                <w:bCs/>
                <w:color w:val="000000"/>
                <w:kern w:val="0"/>
                <w:szCs w:val="21"/>
              </w:rPr>
              <w:t>病案评分功能</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病案评分标准设置：提供合理的病案评分标准，按照患者信息、住院信息、诊疗信息、费用信息、其他信息进行分类。各部分设置相应分值，并能根据实际情况进行调整。</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病案评分情况报告：对每份病历依据评分标准计算最终得分，并标记病案是否合格。可查看每份病案的扣分项以及扣分原因。</w:t>
            </w:r>
          </w:p>
          <w:p>
            <w:pPr>
              <w:widowControl/>
              <w:snapToGrid w:val="0"/>
              <w:spacing w:line="276" w:lineRule="auto"/>
              <w:jc w:val="left"/>
              <w:rPr>
                <w:rFonts w:ascii="微软雅黑" w:hAnsi="微软雅黑" w:eastAsia="微软雅黑" w:cs="宋体"/>
                <w:b/>
                <w:bCs/>
                <w:color w:val="000000"/>
                <w:kern w:val="0"/>
                <w:szCs w:val="21"/>
              </w:rPr>
            </w:pPr>
            <w:r>
              <w:rPr>
                <w:rFonts w:ascii="微软雅黑" w:hAnsi="微软雅黑" w:eastAsia="微软雅黑" w:cs="宋体"/>
                <w:b/>
                <w:bCs/>
                <w:color w:val="000000"/>
                <w:kern w:val="0"/>
                <w:szCs w:val="21"/>
              </w:rPr>
              <w:t>综合分析功能</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质控监测：图表形式综合体现某时间段内病案质控的各项结果包含：总病例数、质控病例数、合格率、平均得分等；</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问题分析：统计全院及各科室病例常见错误分布情况并细化到具体医生；</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对比分析：展现全院及各科的病案质控情况的环比、合格率增长情况、各科之间的病案合格率，平均得分排名情况等；</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质控结果分析：展现全院及各科室病例质控结果以及合格率得分等。</w:t>
            </w:r>
          </w:p>
          <w:p>
            <w:pPr>
              <w:widowControl/>
              <w:snapToGrid w:val="0"/>
              <w:spacing w:line="276" w:lineRule="auto"/>
              <w:jc w:val="left"/>
              <w:rPr>
                <w:rFonts w:ascii="微软雅黑" w:hAnsi="微软雅黑" w:eastAsia="微软雅黑" w:cs="宋体"/>
                <w:b/>
                <w:bCs/>
                <w:color w:val="000000"/>
                <w:kern w:val="0"/>
                <w:szCs w:val="21"/>
              </w:rPr>
            </w:pPr>
            <w:r>
              <w:rPr>
                <w:rFonts w:ascii="微软雅黑" w:hAnsi="微软雅黑" w:eastAsia="微软雅黑" w:cs="宋体"/>
                <w:b/>
                <w:bCs/>
                <w:color w:val="000000"/>
                <w:kern w:val="0"/>
                <w:szCs w:val="21"/>
              </w:rPr>
              <w:t>数据导出功能</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质控结果导出：可分科室导出质控结果、错误情况等信息；</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上报数据导出：可支持导出卫统四、HQMS、公立医院绩效考核上报等标准格式，用于数据上报。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00" w:type="dxa"/>
            <w:shd w:val="clear" w:color="auto" w:fill="auto"/>
            <w:vAlign w:val="center"/>
          </w:tcPr>
          <w:p>
            <w:pPr>
              <w:widowControl/>
              <w:snapToGrid w:val="0"/>
              <w:spacing w:line="276" w:lineRule="auto"/>
              <w:jc w:val="center"/>
              <w:rPr>
                <w:rFonts w:ascii="微软雅黑" w:hAnsi="微软雅黑" w:eastAsia="微软雅黑" w:cs="宋体"/>
                <w:color w:val="000000"/>
                <w:kern w:val="0"/>
                <w:szCs w:val="21"/>
              </w:rPr>
            </w:pPr>
            <w:r>
              <w:rPr>
                <w:rFonts w:ascii="微软雅黑" w:hAnsi="微软雅黑" w:eastAsia="微软雅黑" w:cs="宋体"/>
                <w:color w:val="000000"/>
                <w:kern w:val="0"/>
                <w:szCs w:val="21"/>
              </w:rPr>
              <w:t>DRGs医保支付在院监控系统</w:t>
            </w:r>
          </w:p>
        </w:tc>
        <w:tc>
          <w:tcPr>
            <w:tcW w:w="6342" w:type="dxa"/>
            <w:shd w:val="clear" w:color="auto" w:fill="auto"/>
          </w:tcPr>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b/>
                <w:bCs/>
                <w:color w:val="000000"/>
                <w:kern w:val="0"/>
                <w:szCs w:val="21"/>
              </w:rPr>
              <w:t>DRG分组器：</w:t>
            </w:r>
            <w:r>
              <w:rPr>
                <w:rFonts w:ascii="微软雅黑" w:hAnsi="微软雅黑" w:eastAsia="微软雅黑" w:cs="宋体"/>
                <w:color w:val="000000"/>
                <w:kern w:val="0"/>
                <w:szCs w:val="21"/>
              </w:rPr>
              <w:t>与当地医保DRG分组器版本保持一致，包括DRG组的ICD、诊断名称、手术、手术名称、点数、支付金额、系数等，根据医保对DRG分组目录的调整，及时更新DRG分组器；</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b/>
                <w:bCs/>
                <w:color w:val="000000"/>
                <w:kern w:val="0"/>
                <w:szCs w:val="21"/>
              </w:rPr>
              <w:t>编码版本转换：</w:t>
            </w:r>
            <w:r>
              <w:rPr>
                <w:rFonts w:ascii="微软雅黑" w:hAnsi="微软雅黑" w:eastAsia="微软雅黑" w:cs="宋体"/>
                <w:color w:val="000000"/>
                <w:kern w:val="0"/>
                <w:szCs w:val="21"/>
              </w:rPr>
              <w:t>系统支持编码版本自动转换，可将临床版编码转换为医保版编码，节约医院人力成本、提高工作效率。</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b/>
                <w:bCs/>
                <w:color w:val="000000"/>
                <w:kern w:val="0"/>
                <w:szCs w:val="21"/>
              </w:rPr>
              <w:t>数据审核：</w:t>
            </w:r>
            <w:r>
              <w:rPr>
                <w:rFonts w:ascii="微软雅黑" w:hAnsi="微软雅黑" w:eastAsia="微软雅黑" w:cs="宋体"/>
                <w:color w:val="000000"/>
                <w:kern w:val="0"/>
                <w:szCs w:val="21"/>
              </w:rPr>
              <w:t>对涉及到DRG入组的病人信息和编码进行审核，包括必填项、逻辑一致性、编码转换、禁用编码等；</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编码审核提示：系统可将审核出的编码错误进行展示，提示、帮助医生修正错误编码。</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b/>
                <w:bCs/>
                <w:color w:val="000000"/>
                <w:kern w:val="0"/>
                <w:szCs w:val="21"/>
              </w:rPr>
              <w:t>预分组功能：</w:t>
            </w:r>
            <w:r>
              <w:rPr>
                <w:rFonts w:ascii="微软雅黑" w:hAnsi="微软雅黑" w:eastAsia="微软雅黑" w:cs="宋体"/>
                <w:color w:val="000000"/>
                <w:kern w:val="0"/>
                <w:szCs w:val="21"/>
              </w:rPr>
              <w:t>可根据病人入院情况，如入院诊断、可能要做的手术，进行DRG预入组，展示推荐入组和其他可能的DRG入组，以及各组的支付标准，点数，住院天数以及入组条件等；</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b/>
                <w:bCs/>
                <w:color w:val="000000"/>
                <w:kern w:val="0"/>
                <w:szCs w:val="21"/>
              </w:rPr>
              <w:t>入组监控：</w:t>
            </w:r>
            <w:r>
              <w:rPr>
                <w:rFonts w:ascii="微软雅黑" w:hAnsi="微软雅黑" w:eastAsia="微软雅黑" w:cs="宋体"/>
                <w:color w:val="000000"/>
                <w:kern w:val="0"/>
                <w:szCs w:val="21"/>
              </w:rPr>
              <w:t>医生选择最合适的DRG组，进入监控状态，展示该监控组各分项费用的超支结余情况以及该组历史情况；</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b/>
                <w:bCs/>
                <w:color w:val="000000"/>
                <w:kern w:val="0"/>
                <w:szCs w:val="21"/>
              </w:rPr>
              <w:t>药品分析：</w:t>
            </w:r>
            <w:r>
              <w:rPr>
                <w:rFonts w:ascii="微软雅黑" w:hAnsi="微软雅黑" w:eastAsia="微软雅黑" w:cs="宋体"/>
                <w:color w:val="000000"/>
                <w:kern w:val="0"/>
                <w:szCs w:val="21"/>
              </w:rPr>
              <w:t>医生可查看病历药品使用情况，并与历史同组病人用药进行对比，帮助医生避免不合理用药、不规范用药等问题，控制药品费的不合理支出。</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b/>
                <w:bCs/>
                <w:color w:val="000000"/>
                <w:kern w:val="0"/>
                <w:szCs w:val="21"/>
              </w:rPr>
              <w:t>阶段性费用大类分析：</w:t>
            </w:r>
            <w:r>
              <w:rPr>
                <w:rFonts w:ascii="微软雅黑" w:hAnsi="微软雅黑" w:eastAsia="微软雅黑" w:cs="宋体"/>
                <w:color w:val="000000"/>
                <w:kern w:val="0"/>
                <w:szCs w:val="21"/>
              </w:rPr>
              <w:t>医生可按术前、术后等诊疗阶段查看检查费、化验费、卫生材料费等各费用大类当前费用支出情况、历史均值、历史峰值、历史收费明细等分析结果，并可查看各费用大类下当前收费明细。帮助医生调整诊疗流程，避免费用超支。</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b/>
                <w:bCs/>
                <w:color w:val="000000"/>
                <w:kern w:val="0"/>
                <w:szCs w:val="21"/>
              </w:rPr>
              <w:t>监控预警：</w:t>
            </w:r>
            <w:r>
              <w:rPr>
                <w:rFonts w:ascii="微软雅黑" w:hAnsi="微软雅黑" w:eastAsia="微软雅黑" w:cs="宋体"/>
                <w:color w:val="000000"/>
                <w:kern w:val="0"/>
                <w:szCs w:val="21"/>
              </w:rPr>
              <w:t>与HIS和电子病历对接，实时读取每日病人的费用情况，并与标杆费用进行对比，进行预警；</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全院预警监控分析：图形及表格形式展示全院及各科室的入组监控情况，包括监控人次、比例等；展示全院及个科室的预警情况包括黄色、橙色、红色预警；全院及各科室的超支结余情况；重点监控病例情况，包括费用异常、超支、先期分组、重返等；</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b/>
                <w:bCs/>
                <w:color w:val="000000"/>
                <w:kern w:val="0"/>
                <w:szCs w:val="21"/>
              </w:rPr>
              <w:t>科室预警监控分析：</w:t>
            </w:r>
            <w:r>
              <w:rPr>
                <w:rFonts w:ascii="微软雅黑" w:hAnsi="微软雅黑" w:eastAsia="微软雅黑" w:cs="宋体"/>
                <w:color w:val="000000"/>
                <w:kern w:val="0"/>
                <w:szCs w:val="21"/>
              </w:rPr>
              <w:t>图形及表格形式展示某科室的监控情况，预警情况，超支结余情况以及重点监控病例，可下钻到医疗组；</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b/>
                <w:bCs/>
                <w:color w:val="000000"/>
                <w:kern w:val="0"/>
                <w:szCs w:val="21"/>
              </w:rPr>
              <w:t>病案异常分析：</w:t>
            </w:r>
            <w:r>
              <w:rPr>
                <w:rFonts w:ascii="微软雅黑" w:hAnsi="微软雅黑" w:eastAsia="微软雅黑" w:cs="宋体"/>
                <w:color w:val="000000"/>
                <w:kern w:val="0"/>
                <w:szCs w:val="21"/>
              </w:rPr>
              <w:t>对出院病案进行分析，帮助医院发现异常病案数据，如：高倍率、低倍率、住院时间异常等，并可查看具体病案明细，帮助病案室老师修正问题病案。</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b/>
                <w:bCs/>
                <w:color w:val="000000"/>
                <w:kern w:val="0"/>
                <w:szCs w:val="21"/>
              </w:rPr>
              <w:t>全院结算结果分析：</w:t>
            </w:r>
            <w:r>
              <w:rPr>
                <w:rFonts w:ascii="微软雅黑" w:hAnsi="微软雅黑" w:eastAsia="微软雅黑" w:cs="宋体"/>
                <w:color w:val="000000"/>
                <w:kern w:val="0"/>
                <w:szCs w:val="21"/>
              </w:rPr>
              <w:t>根据医保返回的结算结果，汇总统计人次，组数，点数，金额，床日净收入，均次费，住院日，高低倍率等指标；图形和表格形式展示各科室的结算情况，超支结余分布，入组情况，费用分段统计，历史费用分析，高低倍率结果分析等</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b/>
                <w:bCs/>
                <w:color w:val="000000"/>
                <w:kern w:val="0"/>
                <w:szCs w:val="21"/>
              </w:rPr>
              <w:t>科室结算结果分析：</w:t>
            </w:r>
            <w:r>
              <w:rPr>
                <w:rFonts w:ascii="微软雅黑" w:hAnsi="微软雅黑" w:eastAsia="微软雅黑" w:cs="宋体"/>
                <w:color w:val="000000"/>
                <w:kern w:val="0"/>
                <w:szCs w:val="21"/>
              </w:rPr>
              <w:t>图形和表格形式展示某科的结算情况，超支结余分布，入组情况，费用分段统计，历史费用分析，高低倍率结果分析等，具体到医疗组；</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b/>
                <w:bCs/>
                <w:color w:val="000000"/>
                <w:kern w:val="0"/>
                <w:szCs w:val="21"/>
              </w:rPr>
              <w:t>组情况分析：</w:t>
            </w:r>
            <w:r>
              <w:rPr>
                <w:rFonts w:ascii="微软雅黑" w:hAnsi="微软雅黑" w:eastAsia="微软雅黑" w:cs="宋体"/>
                <w:color w:val="000000"/>
                <w:kern w:val="0"/>
                <w:szCs w:val="21"/>
              </w:rPr>
              <w:t>选择某个DRG组，查看某段时间内，入该组的人次，结算金额，盈亏等指标，图形和表格形式展示，费用区间，最高，最低费用；分布科室，医疗组对比，历史变化情况等。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00" w:type="dxa"/>
            <w:shd w:val="clear" w:color="auto" w:fill="auto"/>
            <w:vAlign w:val="center"/>
          </w:tcPr>
          <w:p>
            <w:pPr>
              <w:widowControl/>
              <w:snapToGrid w:val="0"/>
              <w:spacing w:line="276" w:lineRule="auto"/>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医保基金结算清单系统</w:t>
            </w:r>
          </w:p>
        </w:tc>
        <w:tc>
          <w:tcPr>
            <w:tcW w:w="6342" w:type="dxa"/>
            <w:shd w:val="clear" w:color="auto" w:fill="auto"/>
          </w:tcPr>
          <w:p>
            <w:pPr>
              <w:widowControl/>
              <w:snapToGrid w:val="0"/>
              <w:spacing w:line="276" w:lineRule="auto"/>
              <w:jc w:val="left"/>
              <w:rPr>
                <w:rFonts w:ascii="微软雅黑" w:hAnsi="微软雅黑" w:eastAsia="微软雅黑" w:cs="宋体"/>
                <w:b/>
                <w:bCs/>
                <w:color w:val="000000"/>
                <w:kern w:val="0"/>
                <w:szCs w:val="21"/>
              </w:rPr>
            </w:pPr>
            <w:r>
              <w:rPr>
                <w:rFonts w:ascii="微软雅黑" w:hAnsi="微软雅黑" w:eastAsia="微软雅黑" w:cs="宋体"/>
                <w:b/>
                <w:bCs/>
                <w:color w:val="000000"/>
                <w:kern w:val="0"/>
                <w:szCs w:val="21"/>
              </w:rPr>
              <w:t>权限管理</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用户维护：维护系统用户信息，支持用户有效期限设置，支持用户的多角色功能；</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用户组维护：维护系统用户角色信息；</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组权限维护：支持用户和角色提供功能权限管理功能，包括院区权限、科室权限、模块权限、模块功能权限等。</w:t>
            </w:r>
          </w:p>
          <w:p>
            <w:pPr>
              <w:widowControl/>
              <w:snapToGrid w:val="0"/>
              <w:spacing w:line="276" w:lineRule="auto"/>
              <w:jc w:val="left"/>
              <w:rPr>
                <w:rFonts w:ascii="微软雅黑" w:hAnsi="微软雅黑" w:eastAsia="微软雅黑" w:cs="宋体"/>
                <w:b/>
                <w:bCs/>
                <w:color w:val="000000"/>
                <w:kern w:val="0"/>
                <w:szCs w:val="21"/>
              </w:rPr>
            </w:pPr>
            <w:r>
              <w:rPr>
                <w:rFonts w:ascii="微软雅黑" w:hAnsi="微软雅黑" w:eastAsia="微软雅黑" w:cs="宋体"/>
                <w:b/>
                <w:bCs/>
                <w:color w:val="000000"/>
                <w:kern w:val="0"/>
                <w:szCs w:val="21"/>
              </w:rPr>
              <w:t>版本管理</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系统版本管理：提供完整的版本发布和管理功能，包括版本的发布、删除、回退等，支持系统启动时自动检测当前有效版本并提供系统更新功能。</w:t>
            </w:r>
          </w:p>
          <w:p>
            <w:pPr>
              <w:widowControl/>
              <w:snapToGrid w:val="0"/>
              <w:spacing w:line="276" w:lineRule="auto"/>
              <w:jc w:val="left"/>
              <w:rPr>
                <w:rFonts w:ascii="微软雅黑" w:hAnsi="微软雅黑" w:eastAsia="微软雅黑" w:cs="宋体"/>
                <w:b/>
                <w:bCs/>
                <w:color w:val="000000"/>
                <w:kern w:val="0"/>
                <w:szCs w:val="21"/>
              </w:rPr>
            </w:pPr>
            <w:r>
              <w:rPr>
                <w:rFonts w:ascii="微软雅黑" w:hAnsi="微软雅黑" w:eastAsia="微软雅黑" w:cs="宋体"/>
                <w:b/>
                <w:bCs/>
                <w:color w:val="000000"/>
                <w:kern w:val="0"/>
                <w:szCs w:val="21"/>
              </w:rPr>
              <w:t>接口功能</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接口定义：定义不同数据来源和不同方式的接口功能；</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接口任务定义：接口任务的调度安排，包括定时执行、按日、周、或指定日期的周期性执行，支持接口运行日志记录功能，并提供日志查询；支持接口人工执行功能。</w:t>
            </w:r>
          </w:p>
          <w:p>
            <w:pPr>
              <w:widowControl/>
              <w:snapToGrid w:val="0"/>
              <w:spacing w:line="276" w:lineRule="auto"/>
              <w:jc w:val="left"/>
              <w:rPr>
                <w:rFonts w:ascii="微软雅黑" w:hAnsi="微软雅黑" w:eastAsia="微软雅黑" w:cs="宋体"/>
                <w:b/>
                <w:bCs/>
                <w:color w:val="000000"/>
                <w:kern w:val="0"/>
                <w:szCs w:val="21"/>
              </w:rPr>
            </w:pPr>
            <w:r>
              <w:rPr>
                <w:rFonts w:ascii="微软雅黑" w:hAnsi="微软雅黑" w:eastAsia="微软雅黑" w:cs="宋体"/>
                <w:b/>
                <w:bCs/>
                <w:color w:val="000000"/>
                <w:kern w:val="0"/>
                <w:szCs w:val="21"/>
              </w:rPr>
              <w:t>医保清单字典维护</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首页数据字典维护：提供包括民族、科室、结算方式等首页相关的标准字典的查询、维护功能；</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医保诊断字典维护：提供医保诊断标准编码的查询、维护功能；</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医保手术字典维护：提供医保手术标准编码的查询、维护功能；</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医保肿瘤形态字典：提供提供医保手术标准编码的查询、维护功能；</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医保医师及护士配置：提供医生及护士的医保信息配置功能；</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编码对照：提供院内诊断编码、手术编码、病理损伤编码及其他所有标准编码和医保标准编码的对照；提供院内版和多个版本的医保编码对照。</w:t>
            </w:r>
          </w:p>
          <w:p>
            <w:pPr>
              <w:widowControl/>
              <w:snapToGrid w:val="0"/>
              <w:spacing w:line="276" w:lineRule="auto"/>
              <w:jc w:val="left"/>
              <w:rPr>
                <w:rFonts w:ascii="微软雅黑" w:hAnsi="微软雅黑" w:eastAsia="微软雅黑" w:cs="宋体"/>
                <w:b/>
                <w:bCs/>
                <w:color w:val="000000"/>
                <w:kern w:val="0"/>
                <w:szCs w:val="21"/>
              </w:rPr>
            </w:pPr>
            <w:r>
              <w:rPr>
                <w:rFonts w:ascii="微软雅黑" w:hAnsi="微软雅黑" w:eastAsia="微软雅黑" w:cs="宋体"/>
                <w:b/>
                <w:bCs/>
                <w:color w:val="000000"/>
                <w:kern w:val="0"/>
                <w:szCs w:val="21"/>
              </w:rPr>
              <w:t>医保审核规则管理</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基本信息审核规则维护：定义病案首页基本信息数据的完整性、一致性、合理性等审核规则并提供查询功能；</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诊断信息审核规则维护：定义首页诊断信息有效性、合理性的规则维护，包括无效主诊、非标准编码、NOS诊断、合并编码、排他编码等；</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中医诊断审核规则维护：定义首页中医诊断信息有效性、合理性的规则维护，包括主病编码、主诊编码的合理性和标准化等；</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手术信息审核规则维护：定义首页手术信息的的审核规则维护，包括手术编码的有效性、和主诊的一致性等；</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重症信息审核规则维护：定义首页重症信息的的审核规则维护。</w:t>
            </w:r>
          </w:p>
          <w:p>
            <w:pPr>
              <w:widowControl/>
              <w:snapToGrid w:val="0"/>
              <w:spacing w:line="276" w:lineRule="auto"/>
              <w:jc w:val="left"/>
              <w:rPr>
                <w:rFonts w:ascii="微软雅黑" w:hAnsi="微软雅黑" w:eastAsia="微软雅黑" w:cs="宋体"/>
                <w:b/>
                <w:bCs/>
                <w:color w:val="000000"/>
                <w:kern w:val="0"/>
                <w:szCs w:val="21"/>
              </w:rPr>
            </w:pPr>
            <w:r>
              <w:rPr>
                <w:rFonts w:ascii="微软雅黑" w:hAnsi="微软雅黑" w:eastAsia="微软雅黑" w:cs="宋体"/>
                <w:b/>
                <w:bCs/>
                <w:color w:val="000000"/>
                <w:kern w:val="0"/>
                <w:szCs w:val="21"/>
              </w:rPr>
              <w:t>医保结算数据采集</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结算数据导入：结算系统数据的文件导入功能；</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结算数据转码：结算数据字典编码转换；</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结算数据匹配：按照匹配规则自动和首页信息完成匹配，对无法自动匹配的结算数据，系统提供人工干预处理的手段完成首页数据精准匹配。</w:t>
            </w:r>
          </w:p>
          <w:p>
            <w:pPr>
              <w:widowControl/>
              <w:snapToGrid w:val="0"/>
              <w:spacing w:line="276" w:lineRule="auto"/>
              <w:jc w:val="left"/>
              <w:rPr>
                <w:rFonts w:ascii="微软雅黑" w:hAnsi="微软雅黑" w:eastAsia="微软雅黑" w:cs="宋体"/>
                <w:b/>
                <w:bCs/>
                <w:color w:val="000000"/>
                <w:kern w:val="0"/>
                <w:szCs w:val="21"/>
              </w:rPr>
            </w:pPr>
            <w:r>
              <w:rPr>
                <w:rFonts w:ascii="微软雅黑" w:hAnsi="微软雅黑" w:eastAsia="微软雅黑" w:cs="宋体"/>
                <w:b/>
                <w:bCs/>
                <w:color w:val="000000"/>
                <w:kern w:val="0"/>
                <w:szCs w:val="21"/>
              </w:rPr>
              <w:t>医保清单数据生成</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数据审核：系统格局采集的首页和结算系统数据，形成规范的医保上报结算数据，并按各类审核规则对数据进行完整性、规范性、合理性、编码逻辑性等全面审核，并生成明细的审核错误信息。审核结果数据可通过统计分析功能做进一步的分析展示，可提供文件导出；</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数据锁定：对审核通过数据的数据进行数据锁定，以保证上报数据的安全；</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清单数据修正：提供审核有误的病案提供详细的查看分析和修正功能，可以查看所有数据项信息，提供修正建议；系统可以对单份病案数据进行审核并返回明细审核结果，包括异常审核结果、质控评分、DRG分组及CM值等信息；</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医保清单上传：通过审核的数据通过上传通道对接上传，并详细记录上传数据信息；</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医保上传日志：提供上传数据的查询,接收医保局端反馈的错误信息，对相关结算清单进行数据修正并重新上传。</w:t>
            </w:r>
          </w:p>
          <w:p>
            <w:pPr>
              <w:widowControl/>
              <w:snapToGrid w:val="0"/>
              <w:spacing w:line="276" w:lineRule="auto"/>
              <w:jc w:val="left"/>
              <w:rPr>
                <w:rFonts w:ascii="微软雅黑" w:hAnsi="微软雅黑" w:eastAsia="微软雅黑" w:cs="宋体"/>
                <w:b/>
                <w:bCs/>
                <w:color w:val="000000"/>
                <w:kern w:val="0"/>
                <w:szCs w:val="21"/>
              </w:rPr>
            </w:pPr>
            <w:r>
              <w:rPr>
                <w:rFonts w:ascii="微软雅黑" w:hAnsi="微软雅黑" w:eastAsia="微软雅黑" w:cs="宋体"/>
                <w:b/>
                <w:bCs/>
                <w:color w:val="000000"/>
                <w:kern w:val="0"/>
                <w:szCs w:val="21"/>
              </w:rPr>
              <w:t>医保数据统计分析</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月份分布分析：以图表方式按月份提供医保清单数据的统计分析，包括统计期内的上报总量、结算人次、DRG分组数、CMI、时间指数、费用指数等汇总及其环比数据和趋势，可按照科室、医疗组、MDC进行分类查询，选择相应类别可以查看明细数据和分组信息、盈余情况等，所有结算数据的分组信息支持查询导出；</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科室、MDC分布分析：以图表方式按月份提供医保清单数据的统计分析，包括统计期内的各科室的结算人次、金额、分组数的数据和分组信息，所有结算数据的分组信息支持查询导出；</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超标费用分析：统计医保结算清单中各科室费用超过分组标杆费用的详细信息，包括超标总费用、超标人数、科室费用超标分布等统计信息和明细病案信息；</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超标天数分析：统计医保结算清单中各科室住院天数超过分组标杆天数的详细信息，包括超标总天数、超标人数、科室超标天数分布等统计信息和明细病案信息；</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全院分组分析：统计分析全院医保分组情况，包括排序前15个分组的人数和占比及其明细病案信息；提供分析结果导出；</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申报数据分析：医保结算清单数据中人数、费用、结算费用等数据分析统计，可按科室、月份、医保分组等不同口径统计分析；</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审核情况分析：统计分析将指定时期内审核错误信息的分类统计分析功能，包括各类错误的病案数量、错误占比、科室分布等，提供数据导出功能，病案编码员工作量、工作质量分析。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00" w:type="dxa"/>
            <w:shd w:val="clear" w:color="auto" w:fill="auto"/>
            <w:vAlign w:val="center"/>
          </w:tcPr>
          <w:p>
            <w:pPr>
              <w:widowControl/>
              <w:snapToGrid w:val="0"/>
              <w:spacing w:line="276" w:lineRule="auto"/>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系统接口要求</w:t>
            </w:r>
          </w:p>
        </w:tc>
        <w:tc>
          <w:tcPr>
            <w:tcW w:w="6342" w:type="dxa"/>
            <w:shd w:val="clear" w:color="auto" w:fill="auto"/>
          </w:tcPr>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可从院方相关系统内（如HIS，电子病历，平台等）导入包括基本信息、诊断、手术、妇婴信息、费用信息等在内的病案首页相关数据信息，如发生第三方接口开发费用，由甲方承担。</w:t>
            </w:r>
          </w:p>
          <w:p>
            <w:pPr>
              <w:widowControl/>
              <w:snapToGrid w:val="0"/>
              <w:spacing w:line="276"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提供系统自动导入和人工干预导入两种方式，可查询接口数据导入记录，并供接口数据和首页数据的数据字典转换功能。</w:t>
            </w:r>
          </w:p>
        </w:tc>
      </w:tr>
    </w:tbl>
    <w:p>
      <w:pPr>
        <w:rPr>
          <w:rFonts w:ascii="微软雅黑" w:hAnsi="微软雅黑" w:eastAsia="微软雅黑"/>
          <w:b/>
          <w:bCs/>
        </w:rPr>
      </w:pPr>
    </w:p>
    <w:p>
      <w:pPr>
        <w:pStyle w:val="3"/>
      </w:pPr>
      <w:r>
        <w:rPr>
          <w:rFonts w:hint="eastAsia"/>
        </w:rPr>
        <w:t xml:space="preserve"> 超融合一体机</w:t>
      </w:r>
      <w:r>
        <w:t>(三节点)</w:t>
      </w:r>
    </w:p>
    <w:tbl>
      <w:tblPr>
        <w:tblStyle w:val="27"/>
        <w:tblW w:w="92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00"/>
        <w:gridCol w:w="6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900"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w:t>
            </w:r>
            <w:r>
              <w:rPr>
                <w:rFonts w:hint="eastAsia" w:ascii="微软雅黑" w:hAnsi="微软雅黑" w:eastAsia="微软雅黑"/>
                <w:b/>
                <w:bCs/>
                <w:szCs w:val="21"/>
              </w:rPr>
              <w:t>列表</w:t>
            </w:r>
          </w:p>
        </w:tc>
        <w:tc>
          <w:tcPr>
            <w:tcW w:w="6342"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硬件参数</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规格：</w:t>
            </w:r>
            <w:r>
              <w:rPr>
                <w:rFonts w:ascii="微软雅黑" w:hAnsi="微软雅黑" w:eastAsia="微软雅黑" w:cs="微软雅黑"/>
                <w:kern w:val="0"/>
                <w:szCs w:val="21"/>
              </w:rPr>
              <w:t>2U，CPU：2颗Gold 6226R 2.9 GHz（16C），内存：4*32GB DDR4 2933，系统盘：2*240GB SATA SSD，缓存盘：选配，数据盘：选配，标配盘位数：12，电源：白金，冗余电源，接口：6千兆电口+2万兆光口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配置</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光纤线</w:t>
            </w:r>
            <w:r>
              <w:rPr>
                <w:rFonts w:ascii="微软雅黑" w:hAnsi="微软雅黑" w:eastAsia="微软雅黑" w:cs="微软雅黑"/>
                <w:kern w:val="0"/>
                <w:szCs w:val="21"/>
              </w:rPr>
              <w:t>-多模-LC-LC-5M(*2个);</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万兆多模</w:t>
            </w:r>
            <w:r>
              <w:rPr>
                <w:rFonts w:ascii="微软雅黑" w:hAnsi="微软雅黑" w:eastAsia="微软雅黑" w:cs="微软雅黑"/>
                <w:kern w:val="0"/>
                <w:szCs w:val="21"/>
              </w:rPr>
              <w:t>-850-300m-双纤(*4个);</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固态硬盘</w:t>
            </w:r>
            <w:r>
              <w:rPr>
                <w:rFonts w:ascii="微软雅黑" w:hAnsi="微软雅黑" w:eastAsia="微软雅黑" w:cs="微软雅黑"/>
                <w:kern w:val="0"/>
                <w:szCs w:val="21"/>
              </w:rPr>
              <w:t>-960G-SSD（混合型）(*2个);</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机械硬盘</w:t>
            </w:r>
            <w:r>
              <w:rPr>
                <w:rFonts w:ascii="微软雅黑" w:hAnsi="微软雅黑" w:eastAsia="微软雅黑" w:cs="微软雅黑"/>
                <w:kern w:val="0"/>
                <w:szCs w:val="21"/>
              </w:rPr>
              <w:t>6T(*4个);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软件规格</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计算服务器虚拟化软件</w:t>
            </w:r>
            <w:r>
              <w:rPr>
                <w:rFonts w:ascii="微软雅黑" w:hAnsi="微软雅黑" w:eastAsia="微软雅黑" w:cs="微软雅黑"/>
                <w:kern w:val="0"/>
                <w:szCs w:val="21"/>
              </w:rPr>
              <w:t>(*2套);</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网络虚拟化软件</w:t>
            </w:r>
            <w:r>
              <w:rPr>
                <w:rFonts w:ascii="微软雅黑" w:hAnsi="微软雅黑" w:eastAsia="微软雅黑" w:cs="微软雅黑"/>
                <w:kern w:val="0"/>
                <w:szCs w:val="21"/>
              </w:rPr>
              <w:t>(*2套);</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虚拟存储软件</w:t>
            </w:r>
            <w:r>
              <w:rPr>
                <w:rFonts w:ascii="微软雅黑" w:hAnsi="微软雅黑" w:eastAsia="微软雅黑" w:cs="微软雅黑"/>
                <w:kern w:val="0"/>
                <w:szCs w:val="21"/>
              </w:rPr>
              <w:t>(*2套);</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云计算管理软件高级版</w:t>
            </w:r>
            <w:r>
              <w:rPr>
                <w:rFonts w:ascii="微软雅黑" w:hAnsi="微软雅黑" w:eastAsia="微软雅黑" w:cs="微软雅黑"/>
                <w:kern w:val="0"/>
                <w:szCs w:val="21"/>
              </w:rPr>
              <w:t>(*2套);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服务</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产品质保</w:t>
            </w:r>
            <w:r>
              <w:rPr>
                <w:rFonts w:ascii="微软雅黑" w:hAnsi="微软雅黑" w:eastAsia="微软雅黑" w:cs="微软雅黑"/>
                <w:kern w:val="0"/>
                <w:szCs w:val="21"/>
              </w:rPr>
              <w:t>(*3年);</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软件升级（企业版）</w:t>
            </w:r>
            <w:r>
              <w:rPr>
                <w:rFonts w:ascii="微软雅黑" w:hAnsi="微软雅黑" w:eastAsia="微软雅黑" w:cs="微软雅黑"/>
                <w:kern w:val="0"/>
                <w:szCs w:val="21"/>
              </w:rPr>
              <w:t>(*3年);</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授权销售</w:t>
            </w:r>
            <w:r>
              <w:rPr>
                <w:rFonts w:ascii="微软雅黑" w:hAnsi="微软雅黑" w:eastAsia="微软雅黑" w:cs="微软雅黑"/>
                <w:kern w:val="0"/>
                <w:szCs w:val="21"/>
              </w:rPr>
              <w:t>key-金色*1</w:t>
            </w:r>
          </w:p>
        </w:tc>
      </w:tr>
    </w:tbl>
    <w:p>
      <w:pPr>
        <w:rPr>
          <w:rFonts w:ascii="微软雅黑" w:hAnsi="微软雅黑" w:eastAsia="微软雅黑"/>
          <w:b/>
          <w:bCs/>
        </w:rPr>
      </w:pPr>
    </w:p>
    <w:p>
      <w:pPr>
        <w:pStyle w:val="3"/>
      </w:pPr>
      <w:r>
        <w:rPr>
          <w:rFonts w:hint="eastAsia"/>
        </w:rPr>
        <w:t xml:space="preserve"> 数据交换机</w:t>
      </w:r>
    </w:p>
    <w:tbl>
      <w:tblPr>
        <w:tblStyle w:val="27"/>
        <w:tblW w:w="92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00"/>
        <w:gridCol w:w="6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900"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w:t>
            </w:r>
            <w:r>
              <w:rPr>
                <w:rFonts w:hint="eastAsia" w:ascii="微软雅黑" w:hAnsi="微软雅黑" w:eastAsia="微软雅黑"/>
                <w:b/>
                <w:bCs/>
                <w:szCs w:val="21"/>
              </w:rPr>
              <w:t>列表</w:t>
            </w:r>
          </w:p>
        </w:tc>
        <w:tc>
          <w:tcPr>
            <w:tcW w:w="6342"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性能参数</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全光交换机，</w:t>
            </w:r>
            <w:r>
              <w:rPr>
                <w:rFonts w:ascii="微软雅黑" w:hAnsi="微软雅黑" w:eastAsia="微软雅黑" w:cs="微软雅黑"/>
                <w:kern w:val="0"/>
                <w:szCs w:val="21"/>
              </w:rPr>
              <w:t>24个10G SFP+光口，2个40GE QSFP+光口；交换容量：2.56Tbps/23.04Tbps，包转发率：720Mpps/1260Mpps，支持全端口线速转发；支持aNAC统一管理、统一查看状态、VLAN等配置管理；支持终端识别、终端准入、安全防护及安全画像可视；支持胖瘦一体化；支持双电源模块，默认 1个150W可插拔AC交流电源，并预留一个扩展可插拔电源槽位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软件规格</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交换机管理平台软件</w:t>
            </w:r>
            <w:r>
              <w:rPr>
                <w:rFonts w:ascii="微软雅黑" w:hAnsi="微软雅黑" w:eastAsia="微软雅黑" w:cs="微软雅黑"/>
                <w:kern w:val="0"/>
                <w:szCs w:val="21"/>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配件</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光纤线</w:t>
            </w:r>
            <w:r>
              <w:rPr>
                <w:rFonts w:ascii="微软雅黑" w:hAnsi="微软雅黑" w:eastAsia="微软雅黑" w:cs="微软雅黑"/>
                <w:kern w:val="0"/>
                <w:szCs w:val="21"/>
              </w:rPr>
              <w:t>-多模-LC-LC-5M(*1个);</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万兆多模</w:t>
            </w:r>
            <w:r>
              <w:rPr>
                <w:rFonts w:ascii="微软雅黑" w:hAnsi="微软雅黑" w:eastAsia="微软雅黑" w:cs="微软雅黑"/>
                <w:kern w:val="0"/>
                <w:szCs w:val="21"/>
              </w:rPr>
              <w:t>-850-300m-双纤(*2个);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00"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服务</w:t>
            </w:r>
          </w:p>
        </w:tc>
        <w:tc>
          <w:tcPr>
            <w:tcW w:w="6342"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产品质保</w:t>
            </w:r>
            <w:r>
              <w:rPr>
                <w:rFonts w:ascii="微软雅黑" w:hAnsi="微软雅黑" w:eastAsia="微软雅黑" w:cs="微软雅黑"/>
                <w:kern w:val="0"/>
                <w:szCs w:val="21"/>
              </w:rPr>
              <w:t>(*3年);</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软件升级</w:t>
            </w:r>
            <w:r>
              <w:rPr>
                <w:rFonts w:ascii="微软雅黑" w:hAnsi="微软雅黑" w:eastAsia="微软雅黑" w:cs="微软雅黑"/>
                <w:kern w:val="0"/>
                <w:szCs w:val="21"/>
              </w:rPr>
              <w:t>(*3年);</w:t>
            </w:r>
          </w:p>
        </w:tc>
      </w:tr>
    </w:tbl>
    <w:p>
      <w:pPr>
        <w:rPr>
          <w:rFonts w:ascii="微软雅黑" w:hAnsi="微软雅黑" w:eastAsia="微软雅黑"/>
          <w:b/>
          <w:bCs/>
        </w:rPr>
      </w:pPr>
    </w:p>
    <w:p>
      <w:pPr>
        <w:pStyle w:val="3"/>
      </w:pPr>
      <w:r>
        <w:rPr>
          <w:rFonts w:hint="eastAsia"/>
        </w:rPr>
        <w:t xml:space="preserve"> 业务交换机</w:t>
      </w:r>
    </w:p>
    <w:tbl>
      <w:tblPr>
        <w:tblStyle w:val="27"/>
        <w:tblW w:w="92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46"/>
        <w:gridCol w:w="6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3046"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w:t>
            </w:r>
            <w:r>
              <w:rPr>
                <w:rFonts w:hint="eastAsia" w:ascii="微软雅黑" w:hAnsi="微软雅黑" w:eastAsia="微软雅黑"/>
                <w:b/>
                <w:bCs/>
                <w:szCs w:val="21"/>
              </w:rPr>
              <w:t>列表</w:t>
            </w:r>
          </w:p>
        </w:tc>
        <w:tc>
          <w:tcPr>
            <w:tcW w:w="6196"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性能参数</w:t>
            </w:r>
          </w:p>
        </w:tc>
        <w:tc>
          <w:tcPr>
            <w:tcW w:w="6196"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万兆交换机，</w:t>
            </w:r>
            <w:r>
              <w:rPr>
                <w:rFonts w:ascii="微软雅黑" w:hAnsi="微软雅黑" w:eastAsia="微软雅黑" w:cs="微软雅黑"/>
                <w:kern w:val="0"/>
                <w:szCs w:val="21"/>
              </w:rPr>
              <w:t>24个10/100/1000Base-T自适应电口，4个万兆SFP+光口；交换容量：432Gbps/4.32Tbps，包转发率：156Mpps/168Mpps，支持全端口线速转发；支持aNAC统一管理、统一查看状态、VLAN等配置管理；支持终端识别、终端准入、安全防护及安全画像可视；支持胖瘦一体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软件规格</w:t>
            </w:r>
          </w:p>
        </w:tc>
        <w:tc>
          <w:tcPr>
            <w:tcW w:w="6196"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交换机管理平台软件</w:t>
            </w:r>
            <w:r>
              <w:rPr>
                <w:rFonts w:ascii="微软雅黑" w:hAnsi="微软雅黑" w:eastAsia="微软雅黑" w:cs="微软雅黑"/>
                <w:kern w:val="0"/>
                <w:szCs w:val="21"/>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配件</w:t>
            </w:r>
          </w:p>
        </w:tc>
        <w:tc>
          <w:tcPr>
            <w:tcW w:w="6196"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光纤线</w:t>
            </w:r>
            <w:r>
              <w:rPr>
                <w:rFonts w:ascii="微软雅黑" w:hAnsi="微软雅黑" w:eastAsia="微软雅黑" w:cs="微软雅黑"/>
                <w:kern w:val="0"/>
                <w:szCs w:val="21"/>
              </w:rPr>
              <w:t>-多模-LC-LC-5M(*2个);</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万兆多模</w:t>
            </w:r>
            <w:r>
              <w:rPr>
                <w:rFonts w:ascii="微软雅黑" w:hAnsi="微软雅黑" w:eastAsia="微软雅黑" w:cs="微软雅黑"/>
                <w:kern w:val="0"/>
                <w:szCs w:val="21"/>
              </w:rPr>
              <w:t>-850-300m-双纤(*4个);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服务</w:t>
            </w:r>
          </w:p>
        </w:tc>
        <w:tc>
          <w:tcPr>
            <w:tcW w:w="6196"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产品质保</w:t>
            </w:r>
            <w:r>
              <w:rPr>
                <w:rFonts w:ascii="微软雅黑" w:hAnsi="微软雅黑" w:eastAsia="微软雅黑" w:cs="微软雅黑"/>
                <w:kern w:val="0"/>
                <w:szCs w:val="21"/>
              </w:rPr>
              <w:t>(*3年);</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软件升级</w:t>
            </w:r>
            <w:r>
              <w:rPr>
                <w:rFonts w:ascii="微软雅黑" w:hAnsi="微软雅黑" w:eastAsia="微软雅黑" w:cs="微软雅黑"/>
                <w:kern w:val="0"/>
                <w:szCs w:val="21"/>
              </w:rPr>
              <w:t>(*3年);</w:t>
            </w:r>
          </w:p>
        </w:tc>
      </w:tr>
    </w:tbl>
    <w:p>
      <w:pPr>
        <w:rPr>
          <w:rFonts w:ascii="微软雅黑" w:hAnsi="微软雅黑" w:eastAsia="微软雅黑"/>
          <w:b/>
          <w:bCs/>
        </w:rPr>
      </w:pPr>
    </w:p>
    <w:p>
      <w:pPr>
        <w:pStyle w:val="3"/>
      </w:pPr>
      <w:r>
        <w:t xml:space="preserve"> VPN</w:t>
      </w:r>
    </w:p>
    <w:tbl>
      <w:tblPr>
        <w:tblStyle w:val="27"/>
        <w:tblW w:w="92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46"/>
        <w:gridCol w:w="6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3046"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w:t>
            </w:r>
            <w:r>
              <w:rPr>
                <w:rFonts w:hint="eastAsia" w:ascii="微软雅黑" w:hAnsi="微软雅黑" w:eastAsia="微软雅黑"/>
                <w:b/>
                <w:bCs/>
                <w:szCs w:val="21"/>
              </w:rPr>
              <w:t>列表</w:t>
            </w:r>
          </w:p>
        </w:tc>
        <w:tc>
          <w:tcPr>
            <w:tcW w:w="6196"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性能参数</w:t>
            </w:r>
          </w:p>
        </w:tc>
        <w:tc>
          <w:tcPr>
            <w:tcW w:w="6196"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最大理论加密流量（</w:t>
            </w:r>
            <w:r>
              <w:rPr>
                <w:rFonts w:ascii="微软雅黑" w:hAnsi="微软雅黑" w:eastAsia="微软雅黑" w:cs="微软雅黑"/>
                <w:kern w:val="0"/>
                <w:szCs w:val="21"/>
              </w:rPr>
              <w:t>Mbps）：200，最大理论并发用户数：800，设备整机理论最大吞吐量：500Mbps，设备整机理论最大并发会话数：60w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硬件参数</w:t>
            </w:r>
          </w:p>
        </w:tc>
        <w:tc>
          <w:tcPr>
            <w:tcW w:w="6196"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规格：</w:t>
            </w:r>
            <w:r>
              <w:rPr>
                <w:rFonts w:ascii="微软雅黑" w:hAnsi="微软雅黑" w:eastAsia="微软雅黑" w:cs="微软雅黑"/>
                <w:kern w:val="0"/>
                <w:szCs w:val="21"/>
              </w:rPr>
              <w:t>1U，内存大小：4G，硬盘容量：128G minisata SSD，电源：单电源，接口：4千兆电口。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软件规格容量</w:t>
            </w:r>
          </w:p>
        </w:tc>
        <w:tc>
          <w:tcPr>
            <w:tcW w:w="6196"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最大用户数</w:t>
            </w:r>
            <w:r>
              <w:rPr>
                <w:rFonts w:ascii="微软雅黑" w:hAnsi="微软雅黑" w:eastAsia="微软雅黑" w:cs="微软雅黑"/>
                <w:kern w:val="0"/>
                <w:szCs w:val="21"/>
              </w:rPr>
              <w:t xml:space="preserve"> 15000，最大用户组 1500，最大角色数 500，最大web资源数 500，最大tcp资源数 500，最大l3vpn资源数 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授权</w:t>
            </w:r>
          </w:p>
        </w:tc>
        <w:tc>
          <w:tcPr>
            <w:tcW w:w="6196"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VPN网关管理软件(*1套);</w:t>
            </w:r>
          </w:p>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SSL VPN接入授权(*25套);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服务</w:t>
            </w:r>
          </w:p>
        </w:tc>
        <w:tc>
          <w:tcPr>
            <w:tcW w:w="6196"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产品质保</w:t>
            </w:r>
            <w:r>
              <w:rPr>
                <w:rFonts w:ascii="微软雅黑" w:hAnsi="微软雅黑" w:eastAsia="微软雅黑" w:cs="微软雅黑"/>
                <w:kern w:val="0"/>
                <w:szCs w:val="21"/>
              </w:rPr>
              <w:t>(*3年);</w:t>
            </w:r>
          </w:p>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软件升级</w:t>
            </w:r>
            <w:r>
              <w:rPr>
                <w:rFonts w:ascii="微软雅黑" w:hAnsi="微软雅黑" w:eastAsia="微软雅黑" w:cs="微软雅黑"/>
                <w:kern w:val="0"/>
                <w:szCs w:val="21"/>
              </w:rPr>
              <w:t>(*3年);</w:t>
            </w:r>
          </w:p>
        </w:tc>
      </w:tr>
    </w:tbl>
    <w:p>
      <w:pPr>
        <w:rPr>
          <w:rFonts w:ascii="微软雅黑" w:hAnsi="微软雅黑" w:eastAsia="微软雅黑"/>
          <w:b/>
          <w:bCs/>
        </w:rPr>
      </w:pPr>
    </w:p>
    <w:p>
      <w:pPr>
        <w:pStyle w:val="3"/>
      </w:pPr>
      <w:r>
        <w:rPr>
          <w:rFonts w:hint="eastAsia"/>
        </w:rPr>
        <w:t xml:space="preserve"> 存储（</w:t>
      </w:r>
      <w:r>
        <w:t>30T）</w:t>
      </w:r>
    </w:p>
    <w:tbl>
      <w:tblPr>
        <w:tblStyle w:val="27"/>
        <w:tblW w:w="92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46"/>
        <w:gridCol w:w="6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3046"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w:t>
            </w:r>
            <w:r>
              <w:rPr>
                <w:rFonts w:hint="eastAsia" w:ascii="微软雅黑" w:hAnsi="微软雅黑" w:eastAsia="微软雅黑"/>
                <w:b/>
                <w:bCs/>
                <w:szCs w:val="21"/>
              </w:rPr>
              <w:t>列表</w:t>
            </w:r>
          </w:p>
        </w:tc>
        <w:tc>
          <w:tcPr>
            <w:tcW w:w="6196"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主机</w:t>
            </w:r>
          </w:p>
        </w:tc>
        <w:tc>
          <w:tcPr>
            <w:tcW w:w="6196"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双控制器</w:t>
            </w:r>
            <w:r>
              <w:rPr>
                <w:rFonts w:ascii="微软雅黑" w:hAnsi="微软雅黑" w:eastAsia="微软雅黑" w:cs="微软雅黑"/>
                <w:kern w:val="0"/>
                <w:szCs w:val="21"/>
              </w:rPr>
              <w:t>2U25盘位, 标配64GB缓存，标配BBU+Flash，本地复制（快照、卷镜像、卷克隆、卷备份、迁移）、自精简、QoS、DRAID功能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配置</w:t>
            </w:r>
          </w:p>
        </w:tc>
        <w:tc>
          <w:tcPr>
            <w:tcW w:w="6196"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标配</w:t>
            </w:r>
            <w:r>
              <w:rPr>
                <w:rFonts w:ascii="微软雅黑" w:hAnsi="微软雅黑" w:eastAsia="微软雅黑" w:cs="微软雅黑"/>
                <w:kern w:val="0"/>
                <w:szCs w:val="21"/>
              </w:rPr>
              <w:t>8个1Gb  iSCSI主机接口，可扩展FC、万兆、千兆、FCOE主机接口，增加8*8G光纤FC主机接口含模块，16*2.4T SA</w:t>
            </w:r>
            <w:r>
              <w:rPr>
                <w:rFonts w:hint="eastAsia" w:ascii="微软雅黑" w:hAnsi="微软雅黑" w:eastAsia="微软雅黑" w:cs="微软雅黑"/>
                <w:kern w:val="0"/>
                <w:szCs w:val="21"/>
              </w:rPr>
              <w: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服务</w:t>
            </w:r>
          </w:p>
        </w:tc>
        <w:tc>
          <w:tcPr>
            <w:tcW w:w="6196"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3年原厂保修</w:t>
            </w:r>
          </w:p>
        </w:tc>
      </w:tr>
    </w:tbl>
    <w:p>
      <w:pPr>
        <w:rPr>
          <w:rFonts w:ascii="微软雅黑" w:hAnsi="微软雅黑" w:eastAsia="微软雅黑"/>
          <w:b/>
          <w:bCs/>
        </w:rPr>
      </w:pPr>
    </w:p>
    <w:p>
      <w:pPr>
        <w:pStyle w:val="3"/>
      </w:pPr>
      <w:r>
        <w:rPr>
          <w:rFonts w:hint="eastAsia"/>
        </w:rPr>
        <w:t xml:space="preserve"> 楼栋光缆铺设及熔纤</w:t>
      </w:r>
    </w:p>
    <w:tbl>
      <w:tblPr>
        <w:tblStyle w:val="27"/>
        <w:tblW w:w="92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46"/>
        <w:gridCol w:w="6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3046"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w:t>
            </w:r>
            <w:r>
              <w:rPr>
                <w:rFonts w:hint="eastAsia" w:ascii="微软雅黑" w:hAnsi="微软雅黑" w:eastAsia="微软雅黑"/>
                <w:b/>
                <w:bCs/>
                <w:szCs w:val="21"/>
              </w:rPr>
              <w:t>列表</w:t>
            </w:r>
          </w:p>
        </w:tc>
        <w:tc>
          <w:tcPr>
            <w:tcW w:w="6196"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制作要求</w:t>
            </w:r>
          </w:p>
        </w:tc>
        <w:tc>
          <w:tcPr>
            <w:tcW w:w="6196"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24芯光缆按制定地点熔纤</w:t>
            </w:r>
          </w:p>
        </w:tc>
      </w:tr>
    </w:tbl>
    <w:p>
      <w:pPr>
        <w:rPr>
          <w:rFonts w:ascii="微软雅黑" w:hAnsi="微软雅黑" w:eastAsia="微软雅黑"/>
          <w:b/>
          <w:bCs/>
        </w:rPr>
      </w:pPr>
    </w:p>
    <w:p>
      <w:pPr>
        <w:pStyle w:val="3"/>
      </w:pPr>
      <w:r>
        <w:rPr>
          <w:rFonts w:hint="eastAsia"/>
        </w:rPr>
        <w:t xml:space="preserve"> 边界防火墙</w:t>
      </w:r>
    </w:p>
    <w:tbl>
      <w:tblPr>
        <w:tblStyle w:val="27"/>
        <w:tblW w:w="92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46"/>
        <w:gridCol w:w="6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3046"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w:t>
            </w:r>
            <w:r>
              <w:rPr>
                <w:rFonts w:hint="eastAsia" w:ascii="微软雅黑" w:hAnsi="微软雅黑" w:eastAsia="微软雅黑"/>
                <w:b/>
                <w:bCs/>
                <w:szCs w:val="21"/>
              </w:rPr>
              <w:t>列表</w:t>
            </w:r>
          </w:p>
        </w:tc>
        <w:tc>
          <w:tcPr>
            <w:tcW w:w="6196"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硬件参数</w:t>
            </w:r>
          </w:p>
        </w:tc>
        <w:tc>
          <w:tcPr>
            <w:tcW w:w="6196"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规格：</w:t>
            </w:r>
            <w:r>
              <w:rPr>
                <w:rFonts w:ascii="微软雅黑" w:hAnsi="微软雅黑" w:eastAsia="微软雅黑" w:cs="微软雅黑"/>
                <w:kern w:val="0"/>
                <w:szCs w:val="21"/>
              </w:rPr>
              <w:t>1U，内存大小：8G，硬盘容量：128G SSD，电源：单电源，接口：8千兆电口+2万兆光口SFP+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网络层吞吐量</w:t>
            </w:r>
          </w:p>
        </w:tc>
        <w:tc>
          <w:tcPr>
            <w:tcW w:w="619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ascii="微软雅黑" w:hAnsi="微软雅黑" w:eastAsia="微软雅黑" w:cs="微软雅黑"/>
                <w:kern w:val="0"/>
                <w:szCs w:val="21"/>
              </w:rPr>
              <w:t>20G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应用层吞吐量</w:t>
            </w:r>
          </w:p>
        </w:tc>
        <w:tc>
          <w:tcPr>
            <w:tcW w:w="619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ascii="微软雅黑" w:hAnsi="微软雅黑" w:eastAsia="微软雅黑" w:cs="微软雅黑"/>
                <w:kern w:val="0"/>
                <w:szCs w:val="21"/>
              </w:rPr>
              <w:t>9G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防病毒吞吐量</w:t>
            </w:r>
          </w:p>
        </w:tc>
        <w:tc>
          <w:tcPr>
            <w:tcW w:w="619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ascii="微软雅黑" w:hAnsi="微软雅黑" w:eastAsia="微软雅黑" w:cs="微软雅黑"/>
                <w:kern w:val="0"/>
                <w:szCs w:val="21"/>
              </w:rPr>
              <w:t>1.5G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ascii="微软雅黑" w:hAnsi="微软雅黑" w:eastAsia="微软雅黑" w:cs="微软雅黑"/>
                <w:kern w:val="0"/>
                <w:szCs w:val="21"/>
              </w:rPr>
              <w:t>IPS吞吐量</w:t>
            </w:r>
          </w:p>
        </w:tc>
        <w:tc>
          <w:tcPr>
            <w:tcW w:w="619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ascii="微软雅黑" w:hAnsi="微软雅黑" w:eastAsia="微软雅黑" w:cs="微软雅黑"/>
                <w:kern w:val="0"/>
                <w:szCs w:val="21"/>
              </w:rPr>
              <w:t>1.3G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全威胁吞吐量</w:t>
            </w:r>
          </w:p>
        </w:tc>
        <w:tc>
          <w:tcPr>
            <w:tcW w:w="619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ascii="微软雅黑" w:hAnsi="微软雅黑" w:eastAsia="微软雅黑" w:cs="微软雅黑"/>
                <w:kern w:val="0"/>
                <w:szCs w:val="21"/>
              </w:rPr>
              <w:t>1G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并发连接数</w:t>
            </w:r>
          </w:p>
        </w:tc>
        <w:tc>
          <w:tcPr>
            <w:tcW w:w="619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ascii="微软雅黑" w:hAnsi="微软雅黑" w:eastAsia="微软雅黑" w:cs="微软雅黑"/>
                <w:kern w:val="0"/>
                <w:szCs w:val="21"/>
              </w:rPr>
              <w:t>200万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ascii="微软雅黑" w:hAnsi="微软雅黑" w:eastAsia="微软雅黑" w:cs="微软雅黑"/>
                <w:kern w:val="0"/>
                <w:szCs w:val="21"/>
              </w:rPr>
              <w:t>HTTP新建连接数</w:t>
            </w:r>
          </w:p>
        </w:tc>
        <w:tc>
          <w:tcPr>
            <w:tcW w:w="619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ascii="微软雅黑" w:hAnsi="微软雅黑" w:eastAsia="微软雅黑" w:cs="微软雅黑"/>
                <w:kern w:val="0"/>
                <w:szCs w:val="21"/>
              </w:rPr>
              <w:t>9万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ascii="微软雅黑" w:hAnsi="微软雅黑" w:eastAsia="微软雅黑" w:cs="微软雅黑"/>
                <w:kern w:val="0"/>
                <w:szCs w:val="21"/>
              </w:rPr>
              <w:t>SSL VPN推荐用户数</w:t>
            </w:r>
          </w:p>
        </w:tc>
        <w:tc>
          <w:tcPr>
            <w:tcW w:w="619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ascii="微软雅黑" w:hAnsi="微软雅黑" w:eastAsia="微软雅黑" w:cs="微软雅黑"/>
                <w:kern w:val="0"/>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ascii="微软雅黑" w:hAnsi="微软雅黑" w:eastAsia="微软雅黑" w:cs="微软雅黑"/>
                <w:kern w:val="0"/>
                <w:szCs w:val="21"/>
              </w:rPr>
              <w:t>SSL VPN最大用户数</w:t>
            </w:r>
          </w:p>
        </w:tc>
        <w:tc>
          <w:tcPr>
            <w:tcW w:w="619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8</w:t>
            </w:r>
            <w:r>
              <w:rPr>
                <w:rFonts w:ascii="微软雅黑" w:hAnsi="微软雅黑" w:eastAsia="微软雅黑" w:cs="微软雅黑"/>
                <w:kern w:val="0"/>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ascii="微软雅黑" w:hAnsi="微软雅黑" w:eastAsia="微软雅黑" w:cs="微软雅黑"/>
                <w:kern w:val="0"/>
                <w:szCs w:val="21"/>
              </w:rPr>
              <w:t>SSL VPN最大理论加密流量</w:t>
            </w:r>
          </w:p>
        </w:tc>
        <w:tc>
          <w:tcPr>
            <w:tcW w:w="619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ascii="微软雅黑" w:hAnsi="微软雅黑" w:eastAsia="微软雅黑" w:cs="微软雅黑"/>
                <w:kern w:val="0"/>
                <w:szCs w:val="21"/>
              </w:rPr>
              <w:t>250M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ascii="微软雅黑" w:hAnsi="微软雅黑" w:eastAsia="微软雅黑" w:cs="微软雅黑"/>
                <w:kern w:val="0"/>
                <w:szCs w:val="21"/>
              </w:rPr>
              <w:t>IPSec VPN 最大接入数</w:t>
            </w:r>
          </w:p>
        </w:tc>
        <w:tc>
          <w:tcPr>
            <w:tcW w:w="619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ascii="微软雅黑" w:hAnsi="微软雅黑" w:eastAsia="微软雅黑" w:cs="微软雅黑"/>
                <w:kern w:val="0"/>
                <w:szCs w:val="21"/>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ascii="微软雅黑" w:hAnsi="微软雅黑" w:eastAsia="微软雅黑" w:cs="微软雅黑"/>
                <w:kern w:val="0"/>
                <w:szCs w:val="21"/>
              </w:rPr>
              <w:t>IPSec VPN吞吐量</w:t>
            </w:r>
          </w:p>
        </w:tc>
        <w:tc>
          <w:tcPr>
            <w:tcW w:w="619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ascii="微软雅黑" w:hAnsi="微软雅黑" w:eastAsia="微软雅黑" w:cs="微软雅黑"/>
                <w:kern w:val="0"/>
                <w:szCs w:val="21"/>
              </w:rPr>
              <w:t>700M</w:t>
            </w:r>
          </w:p>
        </w:tc>
      </w:tr>
    </w:tbl>
    <w:p>
      <w:pPr>
        <w:rPr>
          <w:rFonts w:ascii="微软雅黑" w:hAnsi="微软雅黑" w:eastAsia="微软雅黑"/>
          <w:b/>
          <w:bCs/>
        </w:rPr>
      </w:pPr>
    </w:p>
    <w:p>
      <w:pPr>
        <w:widowControl/>
        <w:jc w:val="left"/>
        <w:rPr>
          <w:rFonts w:ascii="微软雅黑" w:hAnsi="微软雅黑" w:eastAsia="微软雅黑"/>
          <w:b/>
          <w:bCs/>
        </w:rPr>
      </w:pPr>
      <w:r>
        <w:rPr>
          <w:rFonts w:ascii="微软雅黑" w:hAnsi="微软雅黑" w:eastAsia="微软雅黑"/>
          <w:b/>
          <w:bCs/>
        </w:rPr>
        <w:br w:type="page"/>
      </w:r>
    </w:p>
    <w:p>
      <w:pPr>
        <w:jc w:val="left"/>
      </w:pPr>
    </w:p>
    <w:p>
      <w:pPr>
        <w:pStyle w:val="3"/>
      </w:pPr>
      <w:r>
        <w:rPr>
          <w:rFonts w:hint="eastAsia"/>
        </w:rPr>
        <w:t xml:space="preserve"> 千兆光模块</w:t>
      </w:r>
    </w:p>
    <w:tbl>
      <w:tblPr>
        <w:tblStyle w:val="27"/>
        <w:tblW w:w="92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46"/>
        <w:gridCol w:w="6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3046"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w:t>
            </w:r>
            <w:r>
              <w:rPr>
                <w:rFonts w:hint="eastAsia" w:ascii="微软雅黑" w:hAnsi="微软雅黑" w:eastAsia="微软雅黑"/>
                <w:b/>
                <w:bCs/>
                <w:szCs w:val="21"/>
              </w:rPr>
              <w:t>列表</w:t>
            </w:r>
          </w:p>
        </w:tc>
        <w:tc>
          <w:tcPr>
            <w:tcW w:w="6196"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产品规格</w:t>
            </w:r>
          </w:p>
        </w:tc>
        <w:tc>
          <w:tcPr>
            <w:tcW w:w="6196"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适用于通用交换机</w:t>
            </w:r>
            <w:r>
              <w:rPr>
                <w:rFonts w:ascii="微软雅黑" w:hAnsi="微软雅黑" w:eastAsia="微软雅黑" w:cs="微软雅黑"/>
                <w:kern w:val="0"/>
                <w:szCs w:val="21"/>
              </w:rPr>
              <w:t xml:space="preserve">,1.25G，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类型</w:t>
            </w:r>
          </w:p>
        </w:tc>
        <w:tc>
          <w:tcPr>
            <w:tcW w:w="6196"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单模/多模</w:t>
            </w:r>
          </w:p>
        </w:tc>
      </w:tr>
    </w:tbl>
    <w:p>
      <w:pPr>
        <w:rPr>
          <w:rFonts w:ascii="微软雅黑" w:hAnsi="微软雅黑" w:eastAsia="微软雅黑"/>
          <w:b/>
          <w:bCs/>
        </w:rPr>
      </w:pPr>
    </w:p>
    <w:p>
      <w:pPr>
        <w:widowControl/>
        <w:jc w:val="left"/>
        <w:rPr>
          <w:rFonts w:ascii="微软雅黑" w:hAnsi="微软雅黑" w:eastAsia="微软雅黑"/>
          <w:b/>
          <w:bCs/>
        </w:rPr>
      </w:pPr>
    </w:p>
    <w:p>
      <w:pPr>
        <w:pStyle w:val="3"/>
      </w:pPr>
      <w:r>
        <w:t xml:space="preserve"> 48口楼层交换机</w:t>
      </w:r>
    </w:p>
    <w:tbl>
      <w:tblPr>
        <w:tblStyle w:val="27"/>
        <w:tblW w:w="92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46"/>
        <w:gridCol w:w="6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3046"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w:t>
            </w:r>
            <w:r>
              <w:rPr>
                <w:rFonts w:hint="eastAsia" w:ascii="微软雅黑" w:hAnsi="微软雅黑" w:eastAsia="微软雅黑"/>
                <w:b/>
                <w:bCs/>
                <w:szCs w:val="21"/>
              </w:rPr>
              <w:t>列表</w:t>
            </w:r>
          </w:p>
        </w:tc>
        <w:tc>
          <w:tcPr>
            <w:tcW w:w="6196"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产品类型</w:t>
            </w:r>
          </w:p>
        </w:tc>
        <w:tc>
          <w:tcPr>
            <w:tcW w:w="6196"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智能交换机</w:t>
            </w:r>
            <w:r>
              <w:rPr>
                <w:rFonts w:ascii="微软雅黑" w:hAnsi="微软雅黑" w:eastAsia="微软雅黑" w:cs="微软雅黑"/>
                <w:kern w:val="0"/>
                <w:szCs w:val="21"/>
              </w:rPr>
              <w:t>\三层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传输速率</w:t>
            </w:r>
          </w:p>
        </w:tc>
        <w:tc>
          <w:tcPr>
            <w:tcW w:w="6196"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1000Mbps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交换方式</w:t>
            </w:r>
          </w:p>
        </w:tc>
        <w:tc>
          <w:tcPr>
            <w:tcW w:w="6196"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存储</w:t>
            </w:r>
            <w:r>
              <w:rPr>
                <w:rFonts w:ascii="微软雅黑" w:hAnsi="微软雅黑" w:eastAsia="微软雅黑" w:cs="微软雅黑"/>
                <w:kern w:val="0"/>
                <w:szCs w:val="21"/>
              </w:rPr>
              <w:t>-转发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背板带宽</w:t>
            </w:r>
          </w:p>
        </w:tc>
        <w:tc>
          <w:tcPr>
            <w:tcW w:w="6196"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432Gbps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包转发率</w:t>
            </w:r>
          </w:p>
        </w:tc>
        <w:tc>
          <w:tcPr>
            <w:tcW w:w="6196"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166Mpps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端口结构</w:t>
            </w:r>
          </w:p>
        </w:tc>
        <w:tc>
          <w:tcPr>
            <w:tcW w:w="6196"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非模块化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端口数量</w:t>
            </w:r>
          </w:p>
        </w:tc>
        <w:tc>
          <w:tcPr>
            <w:tcW w:w="6196"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52个\端口描述：48个1000Base-T以太网端口，4个1000Base-X SFP千兆以太网端口\控制端口：1个Console口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ascii="微软雅黑" w:hAnsi="微软雅黑" w:eastAsia="微软雅黑" w:cs="微软雅黑"/>
                <w:kern w:val="0"/>
                <w:szCs w:val="21"/>
              </w:rPr>
              <w:t>传输模式</w:t>
            </w:r>
          </w:p>
        </w:tc>
        <w:tc>
          <w:tcPr>
            <w:tcW w:w="6196"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支持全双工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ascii="微软雅黑" w:hAnsi="微软雅黑" w:eastAsia="微软雅黑" w:cs="微软雅黑"/>
                <w:kern w:val="0"/>
                <w:szCs w:val="21"/>
              </w:rPr>
              <w:t>VLAN</w:t>
            </w:r>
          </w:p>
        </w:tc>
        <w:tc>
          <w:tcPr>
            <w:tcW w:w="6196"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支持基于端口的</w:t>
            </w:r>
            <w:r>
              <w:rPr>
                <w:rFonts w:ascii="微软雅黑" w:hAnsi="微软雅黑" w:eastAsia="微软雅黑" w:cs="微软雅黑"/>
                <w:kern w:val="0"/>
                <w:szCs w:val="21"/>
              </w:rPr>
              <w:t>VLAN（4K个）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ascii="微软雅黑" w:hAnsi="微软雅黑" w:eastAsia="微软雅黑" w:cs="微软雅黑"/>
                <w:kern w:val="0"/>
                <w:szCs w:val="21"/>
              </w:rPr>
              <w:t>QOS</w:t>
            </w:r>
          </w:p>
        </w:tc>
        <w:tc>
          <w:tcPr>
            <w:tcW w:w="6196"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支持</w:t>
            </w:r>
            <w:r>
              <w:rPr>
                <w:rFonts w:ascii="微软雅黑" w:hAnsi="微软雅黑" w:eastAsia="微软雅黑" w:cs="微软雅黑"/>
                <w:kern w:val="0"/>
                <w:szCs w:val="21"/>
              </w:rPr>
              <w:t>IEEE 802.1p/DSCP优先级\支持优先级映射\支持端口信任模式\支持端口信任模式\支持端口队列调度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服务</w:t>
            </w:r>
          </w:p>
        </w:tc>
        <w:tc>
          <w:tcPr>
            <w:tcW w:w="6196"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原厂质保</w:t>
            </w:r>
            <w:r>
              <w:rPr>
                <w:rFonts w:ascii="微软雅黑" w:hAnsi="微软雅黑" w:eastAsia="微软雅黑" w:cs="微软雅黑"/>
                <w:kern w:val="0"/>
                <w:szCs w:val="21"/>
              </w:rPr>
              <w:t>3年</w:t>
            </w:r>
          </w:p>
        </w:tc>
      </w:tr>
    </w:tbl>
    <w:p>
      <w:pPr>
        <w:rPr>
          <w:rFonts w:ascii="微软雅黑" w:hAnsi="微软雅黑" w:eastAsia="微软雅黑"/>
        </w:rPr>
      </w:pPr>
    </w:p>
    <w:p>
      <w:pPr>
        <w:pStyle w:val="3"/>
      </w:pPr>
      <w:r>
        <w:t xml:space="preserve"> 24口楼层交换机</w:t>
      </w:r>
    </w:p>
    <w:tbl>
      <w:tblPr>
        <w:tblStyle w:val="27"/>
        <w:tblW w:w="92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46"/>
        <w:gridCol w:w="6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3046"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w:t>
            </w:r>
            <w:r>
              <w:rPr>
                <w:rFonts w:hint="eastAsia" w:ascii="微软雅黑" w:hAnsi="微软雅黑" w:eastAsia="微软雅黑"/>
                <w:b/>
                <w:bCs/>
                <w:szCs w:val="21"/>
              </w:rPr>
              <w:t>列表</w:t>
            </w:r>
          </w:p>
        </w:tc>
        <w:tc>
          <w:tcPr>
            <w:tcW w:w="6196"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产品类型</w:t>
            </w:r>
          </w:p>
        </w:tc>
        <w:tc>
          <w:tcPr>
            <w:tcW w:w="6196"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智能交换机</w:t>
            </w:r>
            <w:r>
              <w:rPr>
                <w:rFonts w:ascii="微软雅黑" w:hAnsi="微软雅黑" w:eastAsia="微软雅黑" w:cs="微软雅黑"/>
                <w:kern w:val="0"/>
                <w:szCs w:val="21"/>
              </w:rPr>
              <w:t>\三层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传输速率</w:t>
            </w:r>
          </w:p>
        </w:tc>
        <w:tc>
          <w:tcPr>
            <w:tcW w:w="6196"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1000Mbps\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交换方式</w:t>
            </w:r>
          </w:p>
        </w:tc>
        <w:tc>
          <w:tcPr>
            <w:tcW w:w="6196"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存储</w:t>
            </w:r>
            <w:r>
              <w:rPr>
                <w:rFonts w:ascii="微软雅黑" w:hAnsi="微软雅黑" w:eastAsia="微软雅黑" w:cs="微软雅黑"/>
                <w:kern w:val="0"/>
                <w:szCs w:val="21"/>
              </w:rPr>
              <w:t>-转发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背板带宽</w:t>
            </w:r>
          </w:p>
        </w:tc>
        <w:tc>
          <w:tcPr>
            <w:tcW w:w="6196"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336Gbps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包转发率</w:t>
            </w:r>
          </w:p>
        </w:tc>
        <w:tc>
          <w:tcPr>
            <w:tcW w:w="6196"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126Mpps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端口结构</w:t>
            </w:r>
          </w:p>
        </w:tc>
        <w:tc>
          <w:tcPr>
            <w:tcW w:w="6196"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非模块化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端口数量</w:t>
            </w:r>
          </w:p>
        </w:tc>
        <w:tc>
          <w:tcPr>
            <w:tcW w:w="6196"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28个\端口描述：24个1000Base-T以太网端口，4个1000Base-X SFP千兆以太网端口\控制端口：1个Console口\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ascii="微软雅黑" w:hAnsi="微软雅黑" w:eastAsia="微软雅黑" w:cs="微软雅黑"/>
                <w:kern w:val="0"/>
                <w:szCs w:val="21"/>
              </w:rPr>
              <w:t>传输模式</w:t>
            </w:r>
          </w:p>
        </w:tc>
        <w:tc>
          <w:tcPr>
            <w:tcW w:w="6196"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支持全双工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ascii="微软雅黑" w:hAnsi="微软雅黑" w:eastAsia="微软雅黑" w:cs="微软雅黑"/>
                <w:kern w:val="0"/>
                <w:szCs w:val="21"/>
              </w:rPr>
              <w:t>VLAN</w:t>
            </w:r>
          </w:p>
        </w:tc>
        <w:tc>
          <w:tcPr>
            <w:tcW w:w="6196"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支持基于端口的</w:t>
            </w:r>
            <w:r>
              <w:rPr>
                <w:rFonts w:ascii="微软雅黑" w:hAnsi="微软雅黑" w:eastAsia="微软雅黑" w:cs="微软雅黑"/>
                <w:kern w:val="0"/>
                <w:szCs w:val="21"/>
              </w:rPr>
              <w:t>VLAN（4K个）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ascii="微软雅黑" w:hAnsi="微软雅黑" w:eastAsia="微软雅黑" w:cs="微软雅黑"/>
                <w:kern w:val="0"/>
                <w:szCs w:val="21"/>
              </w:rPr>
              <w:t>QOS</w:t>
            </w:r>
          </w:p>
        </w:tc>
        <w:tc>
          <w:tcPr>
            <w:tcW w:w="6196"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支持</w:t>
            </w:r>
            <w:r>
              <w:rPr>
                <w:rFonts w:ascii="微软雅黑" w:hAnsi="微软雅黑" w:eastAsia="微软雅黑" w:cs="微软雅黑"/>
                <w:kern w:val="0"/>
                <w:szCs w:val="21"/>
              </w:rPr>
              <w:t>IEEE 802.1p/DSCP优先级\支持优先级映射\支持端口信任模式\支持端口信任模式\支持端口队列调度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服务</w:t>
            </w:r>
          </w:p>
        </w:tc>
        <w:tc>
          <w:tcPr>
            <w:tcW w:w="6196"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原厂质保</w:t>
            </w:r>
            <w:r>
              <w:rPr>
                <w:rFonts w:ascii="微软雅黑" w:hAnsi="微软雅黑" w:eastAsia="微软雅黑" w:cs="微软雅黑"/>
                <w:kern w:val="0"/>
                <w:szCs w:val="21"/>
              </w:rPr>
              <w:t>3年</w:t>
            </w:r>
          </w:p>
        </w:tc>
      </w:tr>
    </w:tbl>
    <w:p>
      <w:pPr>
        <w:pStyle w:val="3"/>
      </w:pPr>
      <w:r>
        <w:t xml:space="preserve"> PDU线缆</w:t>
      </w:r>
    </w:p>
    <w:tbl>
      <w:tblPr>
        <w:tblStyle w:val="27"/>
        <w:tblW w:w="92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46"/>
        <w:gridCol w:w="6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3046"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w:t>
            </w:r>
            <w:r>
              <w:rPr>
                <w:rFonts w:hint="eastAsia" w:ascii="微软雅黑" w:hAnsi="微软雅黑" w:eastAsia="微软雅黑"/>
                <w:b/>
                <w:bCs/>
                <w:szCs w:val="21"/>
              </w:rPr>
              <w:t>列表</w:t>
            </w:r>
          </w:p>
        </w:tc>
        <w:tc>
          <w:tcPr>
            <w:tcW w:w="6196"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规格</w:t>
            </w:r>
          </w:p>
        </w:tc>
        <w:tc>
          <w:tcPr>
            <w:tcW w:w="6196"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RVV-3x6mm</w:t>
            </w:r>
          </w:p>
        </w:tc>
      </w:tr>
    </w:tbl>
    <w:p>
      <w:pPr>
        <w:pStyle w:val="3"/>
      </w:pPr>
      <w:r>
        <w:t xml:space="preserve"> PDU</w:t>
      </w:r>
    </w:p>
    <w:tbl>
      <w:tblPr>
        <w:tblStyle w:val="27"/>
        <w:tblW w:w="92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46"/>
        <w:gridCol w:w="6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3046"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w:t>
            </w:r>
            <w:r>
              <w:rPr>
                <w:rFonts w:hint="eastAsia" w:ascii="微软雅黑" w:hAnsi="微软雅黑" w:eastAsia="微软雅黑"/>
                <w:b/>
                <w:bCs/>
                <w:szCs w:val="21"/>
              </w:rPr>
              <w:t>列表</w:t>
            </w:r>
          </w:p>
        </w:tc>
        <w:tc>
          <w:tcPr>
            <w:tcW w:w="6196"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电流</w:t>
            </w:r>
          </w:p>
        </w:tc>
        <w:tc>
          <w:tcPr>
            <w:tcW w:w="6196"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16A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孔位</w:t>
            </w:r>
          </w:p>
        </w:tc>
        <w:tc>
          <w:tcPr>
            <w:tcW w:w="6196"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10位以上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电源线</w:t>
            </w:r>
          </w:p>
        </w:tc>
        <w:tc>
          <w:tcPr>
            <w:tcW w:w="6196"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3米</w:t>
            </w:r>
          </w:p>
        </w:tc>
      </w:tr>
    </w:tbl>
    <w:p>
      <w:pPr>
        <w:rPr>
          <w:rFonts w:ascii="微软雅黑" w:hAnsi="微软雅黑" w:eastAsia="微软雅黑"/>
          <w:b/>
          <w:bCs/>
        </w:rPr>
      </w:pPr>
    </w:p>
    <w:p>
      <w:pPr>
        <w:pStyle w:val="3"/>
      </w:pPr>
      <w:r>
        <w:rPr>
          <w:rFonts w:hint="eastAsia"/>
        </w:rPr>
        <w:t xml:space="preserve"> 机柜</w:t>
      </w:r>
    </w:p>
    <w:tbl>
      <w:tblPr>
        <w:tblStyle w:val="27"/>
        <w:tblW w:w="92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46"/>
        <w:gridCol w:w="6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3046"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w:t>
            </w:r>
            <w:r>
              <w:rPr>
                <w:rFonts w:hint="eastAsia" w:ascii="微软雅黑" w:hAnsi="微软雅黑" w:eastAsia="微软雅黑"/>
                <w:b/>
                <w:bCs/>
                <w:szCs w:val="21"/>
              </w:rPr>
              <w:t>列表</w:t>
            </w:r>
          </w:p>
        </w:tc>
        <w:tc>
          <w:tcPr>
            <w:tcW w:w="6196" w:type="dxa"/>
            <w:shd w:val="clear" w:color="auto" w:fill="BEBEBE"/>
            <w:vAlign w:val="center"/>
          </w:tcPr>
          <w:p>
            <w:pPr>
              <w:jc w:val="center"/>
              <w:rPr>
                <w:rFonts w:ascii="微软雅黑" w:hAnsi="微软雅黑" w:eastAsia="微软雅黑"/>
                <w:b/>
                <w:bCs/>
                <w:szCs w:val="21"/>
              </w:rPr>
            </w:pPr>
            <w:r>
              <w:rPr>
                <w:rFonts w:ascii="微软雅黑" w:hAnsi="微软雅黑" w:eastAsia="微软雅黑"/>
                <w:b/>
                <w:bCs/>
                <w:szCs w:val="21"/>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规格</w:t>
            </w:r>
          </w:p>
        </w:tc>
        <w:tc>
          <w:tcPr>
            <w:tcW w:w="6196"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ascii="微软雅黑" w:hAnsi="微软雅黑" w:eastAsia="微软雅黑" w:cs="微软雅黑"/>
                <w:kern w:val="0"/>
                <w:szCs w:val="21"/>
              </w:rPr>
              <w:t>42U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尺寸</w:t>
            </w:r>
          </w:p>
        </w:tc>
        <w:tc>
          <w:tcPr>
            <w:tcW w:w="6196"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6</w:t>
            </w:r>
            <w:r>
              <w:rPr>
                <w:rFonts w:ascii="微软雅黑" w:hAnsi="微软雅黑" w:eastAsia="微软雅黑" w:cs="微软雅黑"/>
                <w:kern w:val="0"/>
                <w:szCs w:val="21"/>
              </w:rPr>
              <w:t>00*1000*2000</w:t>
            </w:r>
            <w:r>
              <w:rPr>
                <w:rFonts w:hint="eastAsia" w:ascii="微软雅黑" w:hAnsi="微软雅黑" w:eastAsia="微软雅黑" w:cs="微软雅黑"/>
                <w:kern w:val="0"/>
                <w:szCs w:val="21"/>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材料</w:t>
            </w:r>
          </w:p>
        </w:tc>
        <w:tc>
          <w:tcPr>
            <w:tcW w:w="6196"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冷轧钢板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6" w:type="dxa"/>
            <w:shd w:val="clear" w:color="auto" w:fill="auto"/>
            <w:vAlign w:val="center"/>
          </w:tcPr>
          <w:p>
            <w:pPr>
              <w:widowControl/>
              <w:adjustRightInd w:val="0"/>
              <w:snapToGrid w:val="0"/>
              <w:spacing w:line="360" w:lineRule="exact"/>
              <w:jc w:val="center"/>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前后门</w:t>
            </w:r>
          </w:p>
        </w:tc>
        <w:tc>
          <w:tcPr>
            <w:tcW w:w="6196" w:type="dxa"/>
            <w:shd w:val="clear" w:color="auto" w:fill="auto"/>
            <w:vAlign w:val="center"/>
          </w:tcPr>
          <w:p>
            <w:pPr>
              <w:widowControl/>
              <w:adjustRightInd w:val="0"/>
              <w:snapToGrid w:val="0"/>
              <w:spacing w:line="360" w:lineRule="exact"/>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网口门</w:t>
            </w:r>
          </w:p>
        </w:tc>
      </w:tr>
    </w:tbl>
    <w:p>
      <w:pPr>
        <w:rPr>
          <w:rFonts w:ascii="微软雅黑" w:hAnsi="微软雅黑" w:eastAsia="微软雅黑"/>
          <w:b/>
          <w:bCs/>
        </w:rPr>
      </w:pPr>
    </w:p>
    <w:p>
      <w:pPr>
        <w:pStyle w:val="45"/>
        <w:ind w:firstLine="0" w:firstLineChars="0"/>
        <w:rPr>
          <w:lang w:val="en-US"/>
        </w:rPr>
      </w:pPr>
    </w:p>
    <w:p>
      <w:pPr>
        <w:pStyle w:val="10"/>
        <w:tabs>
          <w:tab w:val="left" w:pos="562"/>
          <w:tab w:val="left" w:pos="3372"/>
          <w:tab w:val="left" w:pos="3653"/>
        </w:tabs>
        <w:outlineLvl w:val="1"/>
        <w:rPr>
          <w:rFonts w:ascii="宋体" w:hAnsi="宋体" w:cs="宋体"/>
          <w:sz w:val="24"/>
        </w:rPr>
      </w:pPr>
      <w:r>
        <w:rPr>
          <w:rFonts w:hint="eastAsia" w:ascii="宋体" w:hAnsi="宋体" w:cs="宋体"/>
          <w:sz w:val="24"/>
        </w:rPr>
        <w:t>1.2项目商务要求</w:t>
      </w:r>
    </w:p>
    <w:p>
      <w:pPr>
        <w:spacing w:line="440" w:lineRule="exact"/>
        <w:outlineLvl w:val="2"/>
        <w:rPr>
          <w:rFonts w:ascii="宋体" w:hAnsi="宋体" w:cs="宋体"/>
          <w:szCs w:val="21"/>
        </w:rPr>
      </w:pPr>
      <w:r>
        <w:rPr>
          <w:rFonts w:hint="eastAsia" w:ascii="宋体" w:hAnsi="宋体" w:cs="宋体"/>
          <w:szCs w:val="21"/>
        </w:rPr>
        <w:t>一、实施（交货）时间</w:t>
      </w:r>
    </w:p>
    <w:p>
      <w:pPr>
        <w:spacing w:line="440" w:lineRule="exact"/>
        <w:ind w:firstLine="420" w:firstLineChars="200"/>
        <w:rPr>
          <w:rFonts w:ascii="宋体" w:hAnsi="宋体" w:cs="宋体"/>
        </w:rPr>
      </w:pPr>
      <w:r>
        <w:rPr>
          <w:rFonts w:hint="eastAsia" w:ascii="宋体" w:hAnsi="宋体" w:cs="宋体"/>
          <w:color w:val="C0504D" w:themeColor="accent2"/>
          <w:szCs w:val="21"/>
          <w:highlight w:val="none"/>
          <w14:textFill>
            <w14:solidFill>
              <w14:schemeClr w14:val="accent2"/>
            </w14:solidFill>
          </w14:textFill>
        </w:rPr>
        <w:t>中标方应在采购合同签订后</w:t>
      </w:r>
      <w:r>
        <w:rPr>
          <w:rFonts w:ascii="宋体" w:hAnsi="宋体" w:cs="宋体"/>
          <w:color w:val="C0504D" w:themeColor="accent2"/>
          <w:szCs w:val="21"/>
          <w:highlight w:val="none"/>
          <w14:textFill>
            <w14:solidFill>
              <w14:schemeClr w14:val="accent2"/>
            </w14:solidFill>
          </w14:textFill>
        </w:rPr>
        <w:t>90</w:t>
      </w:r>
      <w:r>
        <w:rPr>
          <w:rFonts w:hint="eastAsia" w:ascii="宋体" w:hAnsi="宋体" w:cs="宋体"/>
          <w:color w:val="C0504D" w:themeColor="accent2"/>
          <w:szCs w:val="21"/>
          <w:highlight w:val="none"/>
          <w14:textFill>
            <w14:solidFill>
              <w14:schemeClr w14:val="accent2"/>
            </w14:solidFill>
          </w14:textFill>
        </w:rPr>
        <w:t>日历天交货并完成安装调试交予采购人正常使用。</w:t>
      </w:r>
      <w:r>
        <w:rPr>
          <w:rFonts w:hint="eastAsia" w:ascii="宋体" w:hAnsi="宋体" w:cs="宋体"/>
          <w:szCs w:val="21"/>
        </w:rPr>
        <w:t>（具体以甲乙双方签订采购合同为准，严格按照采购单位的时间及要求按时供货）</w:t>
      </w:r>
    </w:p>
    <w:p>
      <w:pPr>
        <w:spacing w:line="440" w:lineRule="exact"/>
        <w:outlineLvl w:val="2"/>
        <w:rPr>
          <w:rFonts w:ascii="宋体" w:hAnsi="宋体" w:cs="宋体"/>
          <w:szCs w:val="21"/>
        </w:rPr>
      </w:pPr>
      <w:r>
        <w:rPr>
          <w:rFonts w:hint="eastAsia" w:ascii="宋体" w:hAnsi="宋体" w:cs="宋体"/>
          <w:szCs w:val="21"/>
        </w:rPr>
        <w:t>二、实施（交货）地点</w:t>
      </w:r>
    </w:p>
    <w:p>
      <w:pPr>
        <w:spacing w:line="440" w:lineRule="exact"/>
        <w:ind w:firstLine="457" w:firstLineChars="218"/>
        <w:rPr>
          <w:rFonts w:ascii="宋体" w:hAnsi="宋体" w:cs="宋体"/>
          <w:sz w:val="24"/>
        </w:rPr>
      </w:pPr>
      <w:r>
        <w:rPr>
          <w:rFonts w:hint="eastAsia" w:ascii="宋体" w:hAnsi="宋体" w:cs="宋体"/>
          <w:szCs w:val="21"/>
        </w:rPr>
        <w:t>实施（交货）地点：</w:t>
      </w:r>
      <w:r>
        <w:rPr>
          <w:rFonts w:hint="eastAsia" w:ascii="宋体" w:hAnsi="宋体" w:cs="宋体"/>
          <w:b/>
          <w:bCs/>
          <w:szCs w:val="21"/>
        </w:rPr>
        <w:t>乌恰县</w:t>
      </w:r>
    </w:p>
    <w:p>
      <w:pPr>
        <w:spacing w:line="440" w:lineRule="exact"/>
        <w:outlineLvl w:val="2"/>
        <w:rPr>
          <w:rFonts w:ascii="宋体" w:hAnsi="宋体" w:cs="宋体"/>
          <w:szCs w:val="21"/>
        </w:rPr>
      </w:pPr>
      <w:bookmarkStart w:id="51" w:name="_Toc340225291"/>
      <w:r>
        <w:rPr>
          <w:rFonts w:hint="eastAsia" w:ascii="宋体" w:hAnsi="宋体" w:cs="宋体"/>
          <w:szCs w:val="21"/>
        </w:rPr>
        <w:t>三、报价要求</w:t>
      </w:r>
      <w:bookmarkEnd w:id="51"/>
    </w:p>
    <w:p>
      <w:pPr>
        <w:spacing w:line="540" w:lineRule="exact"/>
        <w:ind w:firstLine="420" w:firstLineChars="200"/>
        <w:rPr>
          <w:rFonts w:ascii="宋体" w:hAnsi="宋体" w:cs="宋体"/>
          <w:sz w:val="28"/>
          <w:szCs w:val="28"/>
        </w:rPr>
      </w:pPr>
      <w:r>
        <w:rPr>
          <w:rFonts w:hint="eastAsia" w:ascii="宋体" w:hAnsi="宋体" w:cs="宋体"/>
          <w:szCs w:val="21"/>
        </w:rPr>
        <w:t>本次报价为人民币报价，</w:t>
      </w:r>
      <w:r>
        <w:rPr>
          <w:rFonts w:hint="eastAsia" w:ascii="宋体" w:hAnsi="宋体" w:cs="宋体"/>
          <w:kern w:val="0"/>
          <w:szCs w:val="21"/>
        </w:rPr>
        <w:t>投标报价应包括：货物本身价格、包装费、运输费、二次搬运费、安装费、损耗、技术指导、培训费、软件升级费、税金费用、伴随产品备品备件费、专用工具费、伴随产品资料费、技术服务费、技术考察费、人工及辅材费、代理费、自检费及验收合格前和质保期内发生的一切费用、应当提供的伴随服务/售后服务费用。因成交供应商自身原因造成漏报、少报皆由其自行承担责任，采购人不再补偿。</w:t>
      </w:r>
    </w:p>
    <w:p>
      <w:pPr>
        <w:widowControl/>
        <w:spacing w:line="440" w:lineRule="exact"/>
        <w:outlineLvl w:val="2"/>
      </w:pPr>
      <w:r>
        <w:rPr>
          <w:rFonts w:hint="eastAsia" w:ascii="宋体" w:hAnsi="宋体" w:cs="宋体"/>
          <w:kern w:val="0"/>
          <w:szCs w:val="21"/>
        </w:rPr>
        <w:t>四、质量保证及售后服务</w:t>
      </w:r>
    </w:p>
    <w:p>
      <w:pPr>
        <w:widowControl/>
        <w:spacing w:line="360" w:lineRule="auto"/>
        <w:rPr>
          <w:rFonts w:ascii="宋体" w:hAnsi="宋体" w:cs="宋体"/>
          <w:kern w:val="0"/>
          <w:szCs w:val="21"/>
        </w:rPr>
      </w:pPr>
      <w:r>
        <w:rPr>
          <w:rFonts w:hint="eastAsia" w:ascii="宋体" w:hAnsi="宋体" w:cs="宋体"/>
          <w:kern w:val="0"/>
          <w:szCs w:val="21"/>
        </w:rPr>
        <w:t>1、产品质量保证期</w:t>
      </w:r>
    </w:p>
    <w:p>
      <w:pPr>
        <w:widowControl/>
        <w:spacing w:line="360" w:lineRule="auto"/>
        <w:rPr>
          <w:rFonts w:ascii="宋体" w:hAnsi="宋体" w:cs="宋体"/>
          <w:kern w:val="0"/>
          <w:szCs w:val="21"/>
        </w:rPr>
      </w:pPr>
      <w:r>
        <w:rPr>
          <w:rFonts w:hint="eastAsia" w:ascii="宋体" w:hAnsi="宋体" w:cs="宋体"/>
          <w:szCs w:val="21"/>
        </w:rPr>
        <w:t xml:space="preserve">1.自本项目验收合格之日起，供应商提供2年的免费质保期。 </w:t>
      </w:r>
    </w:p>
    <w:p>
      <w:pPr>
        <w:widowControl/>
        <w:spacing w:line="360" w:lineRule="auto"/>
        <w:rPr>
          <w:rFonts w:ascii="宋体" w:hAnsi="宋体" w:cs="宋体"/>
          <w:kern w:val="0"/>
          <w:szCs w:val="21"/>
        </w:rPr>
      </w:pPr>
      <w:r>
        <w:rPr>
          <w:rFonts w:hint="eastAsia" w:ascii="宋体" w:hAnsi="宋体" w:cs="宋体"/>
          <w:kern w:val="0"/>
          <w:szCs w:val="21"/>
        </w:rPr>
        <w:t>2.供应方交付的货物的技术标准不低于国家标准。</w:t>
      </w:r>
    </w:p>
    <w:p>
      <w:pPr>
        <w:widowControl/>
        <w:spacing w:line="360" w:lineRule="auto"/>
        <w:rPr>
          <w:rFonts w:ascii="宋体" w:hAnsi="宋体" w:cs="宋体"/>
          <w:kern w:val="0"/>
          <w:szCs w:val="21"/>
        </w:rPr>
      </w:pPr>
      <w:r>
        <w:rPr>
          <w:rFonts w:hint="eastAsia" w:ascii="宋体" w:hAnsi="宋体" w:cs="宋体"/>
          <w:kern w:val="0"/>
          <w:szCs w:val="21"/>
        </w:rPr>
        <w:t>3.供应方在交付货物的同时应提供国家规定的检验合格证明等文件。</w:t>
      </w:r>
    </w:p>
    <w:p>
      <w:pPr>
        <w:pStyle w:val="13"/>
        <w:spacing w:line="360" w:lineRule="auto"/>
        <w:outlineLvl w:val="3"/>
        <w:rPr>
          <w:color w:val="auto"/>
        </w:rPr>
      </w:pPr>
      <w:r>
        <w:rPr>
          <w:rFonts w:hint="eastAsia"/>
          <w:color w:val="auto"/>
        </w:rPr>
        <w:t>2、售后服务内容</w:t>
      </w:r>
    </w:p>
    <w:p>
      <w:pPr>
        <w:spacing w:line="360" w:lineRule="auto"/>
        <w:rPr>
          <w:rFonts w:ascii="宋体" w:hAnsi="宋体" w:cs="宋体"/>
          <w:szCs w:val="21"/>
        </w:rPr>
      </w:pPr>
      <w:r>
        <w:rPr>
          <w:rFonts w:hint="eastAsia" w:ascii="宋体" w:hAnsi="宋体" w:cs="宋体"/>
          <w:szCs w:val="21"/>
        </w:rPr>
        <w:t>投标人和制造商在质量保证期内应当为采购人提供以下技术支持和服务：</w:t>
      </w:r>
    </w:p>
    <w:p>
      <w:pPr>
        <w:spacing w:line="360" w:lineRule="auto"/>
        <w:rPr>
          <w:rFonts w:ascii="宋体" w:hAnsi="宋体" w:cs="宋体"/>
          <w:szCs w:val="21"/>
        </w:rPr>
      </w:pPr>
      <w:r>
        <w:rPr>
          <w:rFonts w:hint="eastAsia" w:ascii="宋体" w:hAnsi="宋体" w:cs="宋体"/>
          <w:szCs w:val="21"/>
        </w:rPr>
        <w:t>1、电话咨询：中标方和制造商应当为采购人提供技术援助电话，解答采购人在使用中遇到的问题，及时为采购人提出解决问题的建议。</w:t>
      </w:r>
    </w:p>
    <w:p>
      <w:pPr>
        <w:spacing w:line="360" w:lineRule="auto"/>
        <w:rPr>
          <w:rFonts w:ascii="宋体" w:hAnsi="宋体" w:cs="宋体"/>
          <w:szCs w:val="21"/>
        </w:rPr>
      </w:pPr>
      <w:r>
        <w:rPr>
          <w:rFonts w:hint="eastAsia" w:ascii="宋体" w:hAnsi="宋体" w:cs="宋体"/>
          <w:szCs w:val="21"/>
        </w:rPr>
        <w:t>2、现场响应：如发生故障及技术问题后，电话咨询不能解决的，中标方需在2小时内响应，6小时内解决故障问题。6小时无法解决的，需在12小时内上门服务解决问题，使采购人能够正常使用。</w:t>
      </w:r>
    </w:p>
    <w:p>
      <w:pPr>
        <w:spacing w:line="360" w:lineRule="auto"/>
        <w:outlineLvl w:val="2"/>
        <w:rPr>
          <w:rFonts w:ascii="宋体" w:hAnsi="宋体" w:cs="宋体"/>
          <w:szCs w:val="21"/>
        </w:rPr>
      </w:pPr>
      <w:r>
        <w:rPr>
          <w:rFonts w:hint="eastAsia" w:ascii="宋体" w:hAnsi="宋体" w:cs="宋体"/>
          <w:szCs w:val="21"/>
        </w:rPr>
        <w:t>五、质保期外服务要求</w:t>
      </w:r>
    </w:p>
    <w:p>
      <w:pPr>
        <w:spacing w:line="360" w:lineRule="auto"/>
        <w:ind w:firstLine="210" w:firstLineChars="100"/>
        <w:rPr>
          <w:rFonts w:ascii="宋体" w:hAnsi="宋体" w:cs="宋体"/>
          <w:szCs w:val="21"/>
        </w:rPr>
      </w:pPr>
      <w:r>
        <w:rPr>
          <w:rFonts w:hint="eastAsia" w:ascii="宋体" w:hAnsi="宋体" w:cs="宋体"/>
          <w:szCs w:val="21"/>
        </w:rPr>
        <w:t>1、质量保证期过后，供应商和制造商应同样提供免费电话咨询服务，并应承诺提供产品维护服务。</w:t>
      </w:r>
    </w:p>
    <w:p>
      <w:pPr>
        <w:spacing w:line="360" w:lineRule="auto"/>
        <w:ind w:firstLine="210" w:firstLineChars="100"/>
        <w:rPr>
          <w:rFonts w:ascii="宋体" w:hAnsi="宋体" w:cs="宋体"/>
          <w:szCs w:val="21"/>
        </w:rPr>
      </w:pPr>
      <w:r>
        <w:rPr>
          <w:rFonts w:hint="eastAsia" w:ascii="宋体" w:hAnsi="宋体" w:cs="宋体"/>
          <w:szCs w:val="21"/>
        </w:rPr>
        <w:t>2、质量保证期过后，采购人需要继续由原供应商和制造商提供售后服务的，该供应商和制造商应以优惠价格提供售后服务。</w:t>
      </w:r>
    </w:p>
    <w:p>
      <w:pPr>
        <w:spacing w:line="360" w:lineRule="auto"/>
        <w:outlineLvl w:val="2"/>
        <w:rPr>
          <w:rFonts w:ascii="宋体" w:hAnsi="宋体" w:cs="宋体"/>
          <w:szCs w:val="21"/>
        </w:rPr>
      </w:pPr>
      <w:r>
        <w:rPr>
          <w:rFonts w:hint="eastAsia" w:ascii="宋体" w:hAnsi="宋体" w:cs="宋体"/>
          <w:szCs w:val="21"/>
        </w:rPr>
        <w:t>六、培训要求</w:t>
      </w:r>
    </w:p>
    <w:p>
      <w:pPr>
        <w:spacing w:line="360" w:lineRule="auto"/>
        <w:ind w:left="420" w:leftChars="200"/>
        <w:rPr>
          <w:rFonts w:ascii="宋体" w:hAnsi="宋体" w:cs="宋体"/>
          <w:szCs w:val="21"/>
        </w:rPr>
      </w:pPr>
      <w:r>
        <w:rPr>
          <w:rFonts w:hint="eastAsia" w:ascii="宋体" w:hAnsi="宋体" w:cs="宋体"/>
          <w:szCs w:val="21"/>
        </w:rPr>
        <w:t>供应商对其提供产品的使用和操作应尽培训义务。供应商应提供对采购人的基本免费培训，使采购人使用人员能够正常操作。</w:t>
      </w:r>
    </w:p>
    <w:p>
      <w:pPr>
        <w:widowControl/>
        <w:spacing w:line="360" w:lineRule="auto"/>
        <w:outlineLvl w:val="2"/>
        <w:rPr>
          <w:rFonts w:ascii="宋体" w:hAnsi="宋体" w:cs="宋体"/>
          <w:szCs w:val="21"/>
        </w:rPr>
      </w:pPr>
      <w:r>
        <w:rPr>
          <w:rFonts w:hint="eastAsia" w:ascii="宋体" w:hAnsi="宋体" w:cs="宋体"/>
          <w:kern w:val="0"/>
          <w:szCs w:val="21"/>
        </w:rPr>
        <w:t>七、</w:t>
      </w:r>
      <w:r>
        <w:rPr>
          <w:rFonts w:hint="eastAsia" w:ascii="宋体" w:hAnsi="宋体" w:cs="宋体"/>
          <w:szCs w:val="21"/>
        </w:rPr>
        <w:t>验收保证的承诺</w:t>
      </w:r>
    </w:p>
    <w:p>
      <w:pPr>
        <w:spacing w:line="360" w:lineRule="auto"/>
        <w:ind w:firstLine="420" w:firstLineChars="200"/>
        <w:rPr>
          <w:rFonts w:ascii="宋体" w:hAnsi="宋体" w:cs="宋体"/>
          <w:szCs w:val="21"/>
        </w:rPr>
      </w:pPr>
      <w:r>
        <w:rPr>
          <w:rFonts w:hint="eastAsia" w:ascii="宋体" w:hAnsi="宋体" w:cs="宋体"/>
          <w:kern w:val="0"/>
          <w:szCs w:val="21"/>
        </w:rPr>
        <w:t>1、此次招标内容严格按照中标供应商的投标文件中的技术规格、数量及质量要求进行验收（配置参数清单中明确设备等配件辅件的产地、厂家、品牌、型号、数量等）</w:t>
      </w:r>
    </w:p>
    <w:p>
      <w:pPr>
        <w:spacing w:line="360" w:lineRule="auto"/>
        <w:ind w:firstLine="420" w:firstLineChars="200"/>
        <w:rPr>
          <w:rFonts w:ascii="宋体" w:hAnsi="宋体" w:cs="宋体"/>
          <w:szCs w:val="21"/>
        </w:rPr>
      </w:pPr>
      <w:r>
        <w:rPr>
          <w:rFonts w:hint="eastAsia" w:ascii="宋体" w:hAnsi="宋体" w:cs="宋体"/>
          <w:szCs w:val="21"/>
        </w:rPr>
        <w:t>2、货物到达现场后，供应商应在使用单位人员在场情况下当面共同清点、检查，做出质量技术要求检查记录，双方签字确认；</w:t>
      </w:r>
    </w:p>
    <w:p>
      <w:pPr>
        <w:spacing w:line="360" w:lineRule="auto"/>
        <w:ind w:firstLine="420" w:firstLineChars="200"/>
        <w:rPr>
          <w:rFonts w:ascii="宋体" w:hAnsi="宋体" w:cs="宋体"/>
          <w:szCs w:val="21"/>
        </w:rPr>
      </w:pPr>
      <w:r>
        <w:rPr>
          <w:rFonts w:hint="eastAsia" w:ascii="宋体" w:hAnsi="宋体" w:cs="宋体"/>
          <w:szCs w:val="21"/>
        </w:rPr>
        <w:t>3、中标方应保证货物到达采购人所在地完好无损，如有缺漏、损坏，由供应商负责调换、补齐或赔偿。</w:t>
      </w:r>
    </w:p>
    <w:p>
      <w:pPr>
        <w:spacing w:line="360" w:lineRule="auto"/>
        <w:ind w:firstLine="420" w:firstLineChars="200"/>
        <w:rPr>
          <w:rFonts w:ascii="宋体" w:hAnsi="宋体" w:cs="宋体"/>
          <w:szCs w:val="21"/>
        </w:rPr>
      </w:pPr>
      <w:r>
        <w:rPr>
          <w:rFonts w:hint="eastAsia" w:ascii="宋体" w:hAnsi="宋体" w:cs="宋体"/>
          <w:szCs w:val="21"/>
        </w:rPr>
        <w:t>4、中标方应提供完备的技术资料、装箱单和合格证等，货物验收时，招标方向采购人提供生产厂家出具的验收报告、合格证、厂家资格证件等相关文件并派遣专业技术人员进行现场安装调试。验收合格条件如下：</w:t>
      </w:r>
    </w:p>
    <w:p>
      <w:pPr>
        <w:spacing w:line="360" w:lineRule="auto"/>
        <w:ind w:firstLine="420" w:firstLineChars="200"/>
        <w:rPr>
          <w:rFonts w:ascii="宋体" w:hAnsi="宋体" w:cs="宋体"/>
          <w:szCs w:val="21"/>
        </w:rPr>
      </w:pPr>
      <w:r>
        <w:rPr>
          <w:rFonts w:hint="eastAsia" w:ascii="宋体" w:hAnsi="宋体" w:cs="宋体"/>
          <w:szCs w:val="21"/>
        </w:rPr>
        <w:t xml:space="preserve"> 设备技术参数与采购合同一致，性能指标达到规定的标准。</w:t>
      </w:r>
    </w:p>
    <w:p>
      <w:pPr>
        <w:spacing w:line="360" w:lineRule="auto"/>
        <w:ind w:firstLine="420" w:firstLineChars="200"/>
        <w:rPr>
          <w:rFonts w:ascii="宋体" w:hAnsi="宋体" w:cs="宋体"/>
          <w:szCs w:val="21"/>
        </w:rPr>
      </w:pPr>
      <w:r>
        <w:rPr>
          <w:rFonts w:hint="eastAsia" w:ascii="宋体" w:hAnsi="宋体" w:cs="宋体"/>
          <w:szCs w:val="21"/>
        </w:rPr>
        <w:t xml:space="preserve"> 货物技术资料、装箱单、合格证等资料齐全。</w:t>
      </w:r>
    </w:p>
    <w:p>
      <w:pPr>
        <w:spacing w:line="360" w:lineRule="auto"/>
        <w:ind w:firstLine="420" w:firstLineChars="200"/>
        <w:rPr>
          <w:rFonts w:ascii="宋体" w:hAnsi="宋体" w:cs="宋体"/>
          <w:szCs w:val="21"/>
        </w:rPr>
      </w:pPr>
      <w:r>
        <w:rPr>
          <w:rFonts w:hint="eastAsia" w:ascii="宋体" w:hAnsi="宋体" w:cs="宋体"/>
          <w:szCs w:val="21"/>
        </w:rPr>
        <w:t xml:space="preserve"> 在系统试运行期间所出现的问题得到解决，并运行正常。</w:t>
      </w:r>
    </w:p>
    <w:p>
      <w:pPr>
        <w:spacing w:line="360" w:lineRule="auto"/>
        <w:ind w:firstLine="420" w:firstLineChars="200"/>
        <w:rPr>
          <w:rFonts w:ascii="宋体" w:hAnsi="宋体" w:cs="宋体"/>
          <w:szCs w:val="21"/>
        </w:rPr>
      </w:pPr>
      <w:r>
        <w:rPr>
          <w:rFonts w:hint="eastAsia" w:ascii="宋体" w:hAnsi="宋体" w:cs="宋体"/>
          <w:szCs w:val="21"/>
        </w:rPr>
        <w:t>在规定时间内完成交货并验收，并经采购人确认。</w:t>
      </w:r>
    </w:p>
    <w:p>
      <w:pPr>
        <w:spacing w:line="360" w:lineRule="auto"/>
        <w:ind w:firstLine="420" w:firstLineChars="200"/>
        <w:rPr>
          <w:rFonts w:ascii="宋体" w:hAnsi="宋体" w:cs="宋体"/>
          <w:szCs w:val="21"/>
        </w:rPr>
      </w:pPr>
      <w:r>
        <w:rPr>
          <w:rFonts w:hint="eastAsia" w:ascii="宋体" w:hAnsi="宋体" w:cs="宋体"/>
          <w:szCs w:val="21"/>
        </w:rPr>
        <w:t>5、产品在安装调试并试运行符合要求后，才作为最终验收，试运行期20天。</w:t>
      </w:r>
    </w:p>
    <w:p>
      <w:pPr>
        <w:spacing w:line="360" w:lineRule="auto"/>
        <w:ind w:firstLine="420" w:firstLineChars="200"/>
        <w:rPr>
          <w:rFonts w:ascii="宋体" w:hAnsi="宋体" w:cs="宋体"/>
          <w:szCs w:val="21"/>
        </w:rPr>
      </w:pPr>
      <w:r>
        <w:rPr>
          <w:rFonts w:hint="eastAsia" w:ascii="宋体" w:hAnsi="宋体" w:cs="宋体"/>
          <w:szCs w:val="21"/>
        </w:rPr>
        <w:t>6、供应商提供的货物未达到招标文件规定要求，且对采购人造成损失的，由供应商承担一切责任，并赔偿所造成的损失。</w:t>
      </w:r>
    </w:p>
    <w:p>
      <w:pPr>
        <w:spacing w:line="360" w:lineRule="auto"/>
        <w:ind w:firstLine="420" w:firstLineChars="200"/>
        <w:rPr>
          <w:rFonts w:ascii="宋体" w:hAnsi="宋体" w:cs="宋体"/>
          <w:szCs w:val="21"/>
        </w:rPr>
      </w:pPr>
      <w:r>
        <w:rPr>
          <w:rFonts w:hint="eastAsia" w:ascii="宋体" w:hAnsi="宋体" w:cs="宋体"/>
          <w:szCs w:val="21"/>
        </w:rPr>
        <w:t>7、乙方将根据本项目的技术要求提供相关的培训，须具备专业的培训团队为甲方提供系统的免费培训，同时还为乙方提供全面的技术支持和周到的跟踪服务；</w:t>
      </w:r>
    </w:p>
    <w:p>
      <w:pPr>
        <w:spacing w:line="360" w:lineRule="auto"/>
        <w:ind w:firstLine="420" w:firstLineChars="200"/>
        <w:rPr>
          <w:rFonts w:ascii="宋体" w:hAnsi="宋体" w:cs="宋体"/>
          <w:szCs w:val="21"/>
        </w:rPr>
      </w:pPr>
      <w:r>
        <w:rPr>
          <w:rFonts w:hint="eastAsia" w:ascii="宋体" w:hAnsi="宋体" w:cs="宋体"/>
          <w:szCs w:val="21"/>
        </w:rPr>
        <w:t>8、产品质量：在合</w:t>
      </w:r>
      <w:r>
        <w:rPr>
          <w:rFonts w:hint="eastAsia" w:ascii="宋体" w:hAnsi="宋体" w:cs="宋体"/>
          <w:sz w:val="22"/>
          <w:szCs w:val="22"/>
        </w:rPr>
        <w:t>同</w:t>
      </w:r>
      <w:r>
        <w:rPr>
          <w:rFonts w:hint="eastAsia" w:ascii="宋体" w:hAnsi="宋体" w:cs="宋体"/>
          <w:szCs w:val="21"/>
        </w:rPr>
        <w:t>期内，甲方正常使用乙方所供产品而出现质量问题时，乙方负责。产品使用：甲方在使用乙方所供产品中出现问题需乙方解决时，乙方应无偿解决（退换货）。</w:t>
      </w:r>
    </w:p>
    <w:p>
      <w:pPr>
        <w:spacing w:line="360" w:lineRule="auto"/>
        <w:jc w:val="left"/>
        <w:outlineLvl w:val="2"/>
        <w:rPr>
          <w:rFonts w:ascii="宋体" w:hAnsi="宋体" w:cs="宋体"/>
          <w:kern w:val="0"/>
          <w:szCs w:val="21"/>
        </w:rPr>
      </w:pPr>
      <w:r>
        <w:rPr>
          <w:rFonts w:hint="eastAsia" w:ascii="宋体" w:hAnsi="宋体" w:cs="宋体"/>
          <w:kern w:val="0"/>
          <w:szCs w:val="21"/>
        </w:rPr>
        <w:t>八、付款方式</w:t>
      </w:r>
    </w:p>
    <w:p>
      <w:pPr>
        <w:spacing w:line="360" w:lineRule="auto"/>
        <w:ind w:firstLine="420" w:firstLineChars="200"/>
        <w:jc w:val="left"/>
        <w:rPr>
          <w:rFonts w:ascii="宋体" w:hAnsi="宋体" w:cs="宋体"/>
          <w:kern w:val="0"/>
          <w:szCs w:val="21"/>
        </w:rPr>
      </w:pPr>
      <w:bookmarkStart w:id="52" w:name="_Toc267320052"/>
      <w:bookmarkStart w:id="53" w:name="_Toc340225294"/>
      <w:r>
        <w:rPr>
          <w:rFonts w:hint="eastAsia" w:ascii="宋体" w:hAnsi="宋体" w:cs="宋体"/>
          <w:kern w:val="0"/>
          <w:szCs w:val="21"/>
        </w:rPr>
        <w:t>甲乙双方签订合同约定。</w:t>
      </w:r>
    </w:p>
    <w:p>
      <w:pPr>
        <w:spacing w:line="360" w:lineRule="auto"/>
        <w:jc w:val="left"/>
        <w:outlineLvl w:val="2"/>
        <w:rPr>
          <w:rFonts w:ascii="宋体" w:hAnsi="宋体" w:cs="宋体"/>
          <w:kern w:val="0"/>
          <w:szCs w:val="21"/>
        </w:rPr>
      </w:pPr>
      <w:r>
        <w:rPr>
          <w:rFonts w:hint="eastAsia" w:ascii="宋体" w:hAnsi="宋体" w:cs="宋体"/>
          <w:kern w:val="0"/>
          <w:szCs w:val="21"/>
        </w:rPr>
        <w:t>九、知识产权</w:t>
      </w:r>
      <w:bookmarkEnd w:id="52"/>
      <w:bookmarkEnd w:id="53"/>
    </w:p>
    <w:p>
      <w:pPr>
        <w:spacing w:line="360" w:lineRule="auto"/>
        <w:ind w:firstLine="420" w:firstLineChars="200"/>
        <w:jc w:val="left"/>
        <w:rPr>
          <w:rFonts w:ascii="宋体" w:hAnsi="宋体" w:cs="宋体"/>
          <w:kern w:val="0"/>
          <w:szCs w:val="21"/>
        </w:rPr>
      </w:pPr>
      <w:r>
        <w:rPr>
          <w:rFonts w:hint="eastAsia" w:ascii="宋体" w:hAnsi="宋体" w:cs="宋体"/>
          <w:kern w:val="0"/>
          <w:szCs w:val="21"/>
        </w:rPr>
        <w:t>采购人在中华人民共和国境内使用投标人提供的货物及服务时免受第三方提出的侵犯其专利权或其它知识产权的起诉。如果第三方提出侵权指控，中标人应承担由此而引起的一切法律责任和费用。</w:t>
      </w:r>
    </w:p>
    <w:p>
      <w:pPr>
        <w:spacing w:line="360" w:lineRule="auto"/>
        <w:jc w:val="left"/>
        <w:outlineLvl w:val="2"/>
        <w:rPr>
          <w:rFonts w:ascii="宋体" w:hAnsi="宋体" w:cs="宋体"/>
          <w:kern w:val="0"/>
          <w:szCs w:val="21"/>
        </w:rPr>
      </w:pPr>
      <w:r>
        <w:rPr>
          <w:rFonts w:hint="eastAsia" w:ascii="宋体" w:hAnsi="宋体" w:cs="宋体"/>
          <w:kern w:val="0"/>
          <w:szCs w:val="21"/>
        </w:rPr>
        <w:t>十、其他</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1、投标人必须在投标文件中对以上条款和服务承诺明确列出，承诺内容必须达到本篇及公开采购文件其他条款的要求。</w:t>
      </w:r>
    </w:p>
    <w:p>
      <w:pPr>
        <w:spacing w:line="360" w:lineRule="auto"/>
        <w:ind w:firstLine="420" w:firstLineChars="200"/>
        <w:jc w:val="left"/>
        <w:outlineLvl w:val="3"/>
        <w:sectPr>
          <w:footerReference r:id="rId4" w:type="default"/>
          <w:pgSz w:w="11906" w:h="16838"/>
          <w:pgMar w:top="1440" w:right="1080" w:bottom="1440" w:left="1080" w:header="851" w:footer="992" w:gutter="0"/>
          <w:pgNumType w:start="1"/>
          <w:cols w:space="720" w:num="1"/>
          <w:docGrid w:type="linesAndChars" w:linePitch="312" w:charSpace="0"/>
        </w:sectPr>
      </w:pPr>
      <w:r>
        <w:rPr>
          <w:rFonts w:hint="eastAsia" w:ascii="宋体" w:hAnsi="宋体" w:cs="宋体"/>
          <w:kern w:val="0"/>
          <w:szCs w:val="21"/>
        </w:rPr>
        <w:t>2、其他未尽事宜由供需双方在采购合同中详细约定。</w:t>
      </w:r>
    </w:p>
    <w:p>
      <w:pPr>
        <w:spacing w:line="480" w:lineRule="exact"/>
        <w:ind w:firstLine="2424" w:firstLineChars="800"/>
        <w:outlineLvl w:val="0"/>
        <w:rPr>
          <w:rFonts w:ascii="宋体"/>
          <w:sz w:val="30"/>
          <w:szCs w:val="30"/>
        </w:rPr>
      </w:pPr>
      <w:r>
        <w:rPr>
          <w:rFonts w:hint="eastAsia" w:ascii="宋体"/>
          <w:sz w:val="30"/>
          <w:szCs w:val="30"/>
        </w:rPr>
        <w:t>第五章  合同条款及格式</w:t>
      </w:r>
      <w:bookmarkEnd w:id="50"/>
      <w:bookmarkStart w:id="54" w:name="_Toc20669"/>
    </w:p>
    <w:p>
      <w:pPr>
        <w:spacing w:line="480" w:lineRule="exact"/>
        <w:jc w:val="center"/>
        <w:outlineLvl w:val="1"/>
        <w:rPr>
          <w:rFonts w:ascii="宋体" w:hAnsi="宋体" w:cs="宋体"/>
          <w:szCs w:val="21"/>
        </w:rPr>
      </w:pPr>
      <w:r>
        <w:rPr>
          <w:rFonts w:hint="eastAsia" w:ascii="宋体" w:hAnsi="宋体" w:cs="宋体"/>
          <w:szCs w:val="21"/>
        </w:rPr>
        <w:t>（本合同为合同样稿，最终稿由供需双方协商后确定）</w:t>
      </w:r>
      <w:bookmarkEnd w:id="54"/>
    </w:p>
    <w:p>
      <w:pPr>
        <w:widowControl/>
        <w:numPr>
          <w:ilvl w:val="0"/>
          <w:numId w:val="12"/>
        </w:numPr>
        <w:spacing w:line="600" w:lineRule="exact"/>
        <w:jc w:val="center"/>
        <w:textAlignment w:val="baseline"/>
        <w:outlineLvl w:val="1"/>
        <w:rPr>
          <w:rFonts w:ascii="黑体" w:eastAsia="黑体"/>
          <w:sz w:val="28"/>
          <w:szCs w:val="28"/>
        </w:rPr>
      </w:pPr>
      <w:r>
        <w:rPr>
          <w:rFonts w:hint="eastAsia" w:ascii="宋体"/>
          <w:sz w:val="28"/>
          <w:szCs w:val="28"/>
        </w:rPr>
        <w:t xml:space="preserve"> </w:t>
      </w:r>
      <w:bookmarkStart w:id="55" w:name="_Toc469495741"/>
      <w:r>
        <w:rPr>
          <w:rFonts w:hint="eastAsia" w:ascii="宋体"/>
          <w:sz w:val="28"/>
          <w:szCs w:val="28"/>
        </w:rPr>
        <w:t>合同协议书</w:t>
      </w:r>
      <w:bookmarkEnd w:id="55"/>
    </w:p>
    <w:p>
      <w:pPr>
        <w:spacing w:line="360" w:lineRule="auto"/>
        <w:ind w:firstLine="486" w:firstLineChars="200"/>
      </w:pPr>
      <w:r>
        <w:rPr>
          <w:rFonts w:hint="eastAsia" w:ascii="宋体"/>
          <w:sz w:val="24"/>
        </w:rPr>
        <w:t>合同名称 ：                              编号：</w:t>
      </w:r>
    </w:p>
    <w:p>
      <w:pPr>
        <w:spacing w:line="420" w:lineRule="exact"/>
        <w:ind w:firstLine="426" w:firstLineChars="200"/>
        <w:rPr>
          <w:rFonts w:ascii="宋体" w:cs="宋体"/>
          <w:szCs w:val="21"/>
        </w:rPr>
      </w:pPr>
      <w:bookmarkStart w:id="56" w:name="_Toc152045610"/>
      <w:bookmarkStart w:id="57" w:name="_Toc469495742"/>
      <w:bookmarkStart w:id="58" w:name="_Toc247085768"/>
      <w:bookmarkStart w:id="59" w:name="_Toc246996253"/>
      <w:bookmarkStart w:id="60" w:name="_Toc152042388"/>
      <w:bookmarkStart w:id="61" w:name="_Toc296602498"/>
      <w:bookmarkStart w:id="62" w:name="_Toc246996996"/>
      <w:bookmarkStart w:id="63" w:name="_Toc179632628"/>
      <w:bookmarkStart w:id="64" w:name="_Toc144974578"/>
      <w:r>
        <w:rPr>
          <w:rFonts w:hint="eastAsia" w:ascii="宋体" w:cs="宋体"/>
          <w:szCs w:val="21"/>
        </w:rPr>
        <w:t>买    方：                                   卖    方：</w:t>
      </w:r>
    </w:p>
    <w:p>
      <w:pPr>
        <w:spacing w:line="420" w:lineRule="exact"/>
        <w:ind w:firstLine="426" w:firstLineChars="200"/>
        <w:rPr>
          <w:rFonts w:ascii="宋体" w:cs="宋体"/>
          <w:szCs w:val="21"/>
        </w:rPr>
      </w:pPr>
      <w:r>
        <w:rPr>
          <w:rFonts w:hint="eastAsia" w:ascii="宋体" w:cs="宋体"/>
          <w:szCs w:val="21"/>
        </w:rPr>
        <w:t>电    话：                                   电    话：</w:t>
      </w:r>
    </w:p>
    <w:p>
      <w:pPr>
        <w:spacing w:line="420" w:lineRule="exact"/>
        <w:ind w:firstLine="426" w:firstLineChars="200"/>
        <w:rPr>
          <w:rFonts w:ascii="宋体" w:cs="宋体"/>
          <w:szCs w:val="21"/>
        </w:rPr>
      </w:pPr>
      <w:r>
        <w:rPr>
          <w:rFonts w:hint="eastAsia" w:ascii="宋体" w:cs="宋体"/>
          <w:szCs w:val="21"/>
        </w:rPr>
        <w:t xml:space="preserve">住    所：                                   住    所：                       </w:t>
      </w:r>
    </w:p>
    <w:p>
      <w:pPr>
        <w:spacing w:line="420" w:lineRule="exact"/>
        <w:ind w:firstLine="426" w:firstLineChars="200"/>
        <w:rPr>
          <w:rFonts w:ascii="宋体" w:cs="宋体"/>
          <w:szCs w:val="21"/>
        </w:rPr>
      </w:pPr>
      <w:r>
        <w:rPr>
          <w:rFonts w:hint="eastAsia" w:ascii="宋体" w:cs="宋体"/>
          <w:szCs w:val="21"/>
          <w:u w:val="single"/>
        </w:rPr>
        <w:t>（买方）</w:t>
      </w:r>
      <w:r>
        <w:rPr>
          <w:rFonts w:hint="eastAsia" w:ascii="宋体" w:cs="宋体"/>
          <w:szCs w:val="21"/>
        </w:rPr>
        <w:t>的</w:t>
      </w:r>
      <w:r>
        <w:rPr>
          <w:rFonts w:hint="eastAsia" w:ascii="宋体" w:cs="宋体"/>
          <w:szCs w:val="21"/>
          <w:u w:val="single"/>
        </w:rPr>
        <w:t>（项目名称）</w:t>
      </w:r>
      <w:r>
        <w:rPr>
          <w:rFonts w:hint="eastAsia" w:ascii="宋体" w:cs="宋体"/>
          <w:szCs w:val="21"/>
        </w:rPr>
        <w:t>中所需</w:t>
      </w:r>
      <w:r>
        <w:rPr>
          <w:rFonts w:hint="eastAsia" w:ascii="宋体" w:cs="宋体"/>
          <w:szCs w:val="21"/>
          <w:u w:val="single"/>
        </w:rPr>
        <w:t>（产品名称）</w:t>
      </w:r>
      <w:r>
        <w:rPr>
          <w:rFonts w:hint="eastAsia" w:ascii="宋体" w:cs="宋体"/>
          <w:szCs w:val="21"/>
        </w:rPr>
        <w:t xml:space="preserve"> 经公开招标，确定</w:t>
      </w:r>
      <w:r>
        <w:rPr>
          <w:rFonts w:hint="eastAsia" w:ascii="宋体" w:cs="宋体"/>
          <w:szCs w:val="21"/>
          <w:u w:val="single"/>
        </w:rPr>
        <w:t>（卖方）</w:t>
      </w:r>
      <w:r>
        <w:rPr>
          <w:rFonts w:hint="eastAsia" w:ascii="宋体" w:cs="宋体"/>
          <w:szCs w:val="21"/>
        </w:rPr>
        <w:t>为中标人。按照中华人民共和国民法典的规定，买卖双方同意按照下述的条款和条件，签署本合同。</w:t>
      </w:r>
    </w:p>
    <w:p>
      <w:pPr>
        <w:spacing w:line="420" w:lineRule="exact"/>
        <w:ind w:firstLine="426" w:firstLineChars="200"/>
        <w:outlineLvl w:val="1"/>
        <w:rPr>
          <w:rFonts w:ascii="宋体" w:cs="宋体"/>
          <w:szCs w:val="21"/>
        </w:rPr>
      </w:pPr>
      <w:r>
        <w:rPr>
          <w:rFonts w:hint="eastAsia" w:ascii="宋体" w:cs="宋体"/>
          <w:szCs w:val="21"/>
        </w:rPr>
        <w:t>1、本合同文件</w:t>
      </w:r>
    </w:p>
    <w:p>
      <w:pPr>
        <w:spacing w:line="420" w:lineRule="exact"/>
        <w:ind w:firstLine="426" w:firstLineChars="200"/>
        <w:rPr>
          <w:rFonts w:ascii="宋体" w:cs="宋体"/>
          <w:szCs w:val="21"/>
        </w:rPr>
      </w:pPr>
      <w:r>
        <w:rPr>
          <w:rFonts w:hint="eastAsia" w:ascii="宋体" w:cs="宋体"/>
          <w:szCs w:val="21"/>
        </w:rPr>
        <w:t>下列每一文件均应作为合同的组成部分进行阅读和解释：</w:t>
      </w:r>
    </w:p>
    <w:p>
      <w:pPr>
        <w:spacing w:line="420" w:lineRule="exact"/>
        <w:ind w:firstLine="426" w:firstLineChars="200"/>
        <w:rPr>
          <w:rFonts w:ascii="宋体" w:cs="宋体"/>
          <w:szCs w:val="21"/>
        </w:rPr>
      </w:pPr>
      <w:r>
        <w:rPr>
          <w:rFonts w:hint="eastAsia" w:ascii="宋体" w:cs="宋体"/>
          <w:szCs w:val="21"/>
        </w:rPr>
        <w:t>（1）采购文件（2）投标文件（3）中标通知书</w:t>
      </w:r>
    </w:p>
    <w:p>
      <w:pPr>
        <w:spacing w:line="420" w:lineRule="exact"/>
        <w:ind w:firstLine="426" w:firstLineChars="200"/>
        <w:rPr>
          <w:rFonts w:ascii="宋体" w:cs="宋体"/>
          <w:szCs w:val="21"/>
        </w:rPr>
      </w:pPr>
      <w:r>
        <w:rPr>
          <w:rFonts w:hint="eastAsia" w:ascii="宋体" w:cs="宋体"/>
          <w:szCs w:val="21"/>
        </w:rPr>
        <w:t>（4）经双方确认进入合同的其它文件、补充条款或说明</w:t>
      </w:r>
    </w:p>
    <w:p>
      <w:pPr>
        <w:spacing w:line="420" w:lineRule="exact"/>
        <w:ind w:firstLine="426" w:firstLineChars="200"/>
        <w:rPr>
          <w:rFonts w:ascii="宋体" w:cs="宋体"/>
          <w:szCs w:val="21"/>
        </w:rPr>
      </w:pPr>
      <w:r>
        <w:rPr>
          <w:rFonts w:hint="eastAsia" w:ascii="宋体" w:cs="宋体"/>
          <w:szCs w:val="21"/>
        </w:rPr>
        <w:t>2、采购标的、数量、质量要求</w:t>
      </w:r>
    </w:p>
    <w:p>
      <w:pPr>
        <w:spacing w:line="420" w:lineRule="exact"/>
        <w:ind w:firstLine="426" w:firstLineChars="200"/>
        <w:rPr>
          <w:rFonts w:ascii="宋体" w:cs="宋体"/>
          <w:szCs w:val="21"/>
        </w:rPr>
      </w:pPr>
      <w:r>
        <w:rPr>
          <w:rFonts w:hint="eastAsia" w:ascii="宋体" w:cs="宋体"/>
          <w:szCs w:val="21"/>
        </w:rPr>
        <w:t>3、合同总价</w:t>
      </w:r>
    </w:p>
    <w:p>
      <w:pPr>
        <w:spacing w:line="420" w:lineRule="exact"/>
        <w:ind w:firstLine="426" w:firstLineChars="200"/>
        <w:rPr>
          <w:rFonts w:ascii="宋体" w:cs="宋体"/>
          <w:szCs w:val="21"/>
        </w:rPr>
      </w:pPr>
      <w:r>
        <w:rPr>
          <w:rFonts w:hint="eastAsia" w:ascii="宋体" w:cs="宋体"/>
          <w:szCs w:val="21"/>
        </w:rPr>
        <w:t xml:space="preserve">合同总价为 </w:t>
      </w:r>
      <w:r>
        <w:rPr>
          <w:rFonts w:hint="eastAsia" w:ascii="宋体" w:cs="宋体"/>
          <w:szCs w:val="21"/>
          <w:u w:val="single"/>
        </w:rPr>
        <w:t xml:space="preserve">              </w:t>
      </w:r>
      <w:r>
        <w:rPr>
          <w:rFonts w:hint="eastAsia" w:ascii="宋体" w:cs="宋体"/>
          <w:szCs w:val="21"/>
        </w:rPr>
        <w:t>元人民币。</w:t>
      </w:r>
    </w:p>
    <w:p>
      <w:pPr>
        <w:autoSpaceDN w:val="0"/>
        <w:spacing w:line="240" w:lineRule="atLeast"/>
        <w:ind w:firstLine="426" w:firstLineChars="200"/>
        <w:rPr>
          <w:rFonts w:ascii="宋体" w:hAnsi="宋体" w:cs="宋体"/>
          <w:kern w:val="0"/>
          <w:szCs w:val="21"/>
        </w:rPr>
      </w:pPr>
      <w:r>
        <w:rPr>
          <w:rFonts w:hint="eastAsia" w:ascii="宋体" w:cs="宋体"/>
          <w:szCs w:val="21"/>
        </w:rPr>
        <w:t>4、付款方式</w:t>
      </w:r>
      <w:r>
        <w:rPr>
          <w:rFonts w:hint="eastAsia" w:ascii="黑体" w:eastAsia="黑体" w:cs="宋体"/>
          <w:szCs w:val="21"/>
        </w:rPr>
        <w:t>：</w:t>
      </w:r>
      <w:r>
        <w:rPr>
          <w:rFonts w:hint="eastAsia" w:ascii="宋体"/>
          <w:szCs w:val="21"/>
          <w:u w:val="single"/>
        </w:rPr>
        <w:t xml:space="preserve">                                         。</w:t>
      </w:r>
    </w:p>
    <w:p>
      <w:pPr>
        <w:spacing w:line="360" w:lineRule="auto"/>
        <w:ind w:firstLine="426" w:firstLineChars="200"/>
        <w:rPr>
          <w:rFonts w:ascii="宋体"/>
          <w:szCs w:val="21"/>
        </w:rPr>
      </w:pPr>
      <w:r>
        <w:rPr>
          <w:rFonts w:hint="eastAsia" w:ascii="宋体" w:cs="宋体"/>
          <w:szCs w:val="21"/>
        </w:rPr>
        <w:t>5、</w:t>
      </w:r>
      <w:r>
        <w:rPr>
          <w:rFonts w:hint="eastAsia" w:ascii="宋体"/>
          <w:szCs w:val="21"/>
        </w:rPr>
        <w:t>合同供货（服务）期限及地点和方式</w:t>
      </w:r>
    </w:p>
    <w:p>
      <w:pPr>
        <w:spacing w:line="420" w:lineRule="exact"/>
        <w:ind w:firstLine="426" w:firstLineChars="200"/>
        <w:rPr>
          <w:rFonts w:ascii="宋体" w:cs="宋体"/>
          <w:szCs w:val="21"/>
        </w:rPr>
      </w:pPr>
      <w:r>
        <w:rPr>
          <w:rFonts w:hint="eastAsia" w:ascii="宋体" w:cs="宋体"/>
          <w:szCs w:val="21"/>
        </w:rPr>
        <w:t>6、验收要求及违约责任</w:t>
      </w:r>
    </w:p>
    <w:p>
      <w:pPr>
        <w:spacing w:line="420" w:lineRule="exact"/>
        <w:ind w:firstLine="426" w:firstLineChars="200"/>
        <w:rPr>
          <w:rFonts w:ascii="宋体" w:cs="宋体"/>
          <w:szCs w:val="21"/>
        </w:rPr>
      </w:pPr>
      <w:r>
        <w:rPr>
          <w:rFonts w:hint="eastAsia" w:ascii="宋体" w:cs="宋体"/>
          <w:szCs w:val="21"/>
        </w:rPr>
        <w:t>7、违约责任及解决争议方法</w:t>
      </w:r>
    </w:p>
    <w:p>
      <w:pPr>
        <w:spacing w:line="420" w:lineRule="exact"/>
        <w:ind w:firstLine="426" w:firstLineChars="200"/>
        <w:rPr>
          <w:rFonts w:ascii="宋体" w:cs="宋体"/>
          <w:szCs w:val="21"/>
        </w:rPr>
      </w:pPr>
      <w:r>
        <w:rPr>
          <w:rFonts w:hint="eastAsia" w:ascii="宋体" w:cs="宋体"/>
          <w:szCs w:val="21"/>
        </w:rPr>
        <w:t>8、合同的生效</w:t>
      </w:r>
    </w:p>
    <w:p>
      <w:pPr>
        <w:pStyle w:val="11"/>
        <w:spacing w:after="0" w:line="420" w:lineRule="exact"/>
        <w:ind w:left="0" w:leftChars="0" w:firstLine="426" w:firstLineChars="200"/>
        <w:rPr>
          <w:rFonts w:ascii="宋体" w:cs="宋体"/>
          <w:kern w:val="0"/>
          <w:szCs w:val="21"/>
          <w:u w:color="000000"/>
        </w:rPr>
      </w:pPr>
      <w:r>
        <w:rPr>
          <w:rFonts w:hint="eastAsia" w:ascii="宋体" w:cs="宋体"/>
          <w:kern w:val="0"/>
          <w:szCs w:val="21"/>
          <w:u w:color="000000"/>
        </w:rPr>
        <w:t>合同经双方授权代表签署，买卖双方加盖印章之后生效。</w:t>
      </w:r>
    </w:p>
    <w:p>
      <w:pPr>
        <w:pStyle w:val="11"/>
        <w:spacing w:after="0" w:line="420" w:lineRule="exact"/>
        <w:ind w:left="0" w:leftChars="0" w:firstLine="426" w:firstLineChars="200"/>
        <w:rPr>
          <w:rFonts w:ascii="宋体" w:cs="宋体"/>
          <w:kern w:val="0"/>
          <w:szCs w:val="21"/>
          <w:u w:color="000000"/>
        </w:rPr>
      </w:pPr>
      <w:r>
        <w:rPr>
          <w:rFonts w:hint="eastAsia" w:ascii="宋体" w:cs="宋体"/>
          <w:kern w:val="0"/>
          <w:szCs w:val="21"/>
          <w:u w:color="000000"/>
        </w:rPr>
        <w:t>本合同一式     份，双方各执     份。</w:t>
      </w:r>
    </w:p>
    <w:p>
      <w:pPr>
        <w:pStyle w:val="11"/>
        <w:spacing w:after="0" w:line="420" w:lineRule="exact"/>
        <w:ind w:left="0" w:leftChars="0" w:firstLine="426" w:firstLineChars="200"/>
        <w:rPr>
          <w:rFonts w:ascii="宋体" w:cs="宋体"/>
          <w:kern w:val="0"/>
          <w:szCs w:val="21"/>
          <w:u w:color="000000"/>
        </w:rPr>
      </w:pPr>
      <w:r>
        <w:rPr>
          <w:rFonts w:hint="eastAsia" w:ascii="宋体" w:cs="宋体"/>
          <w:kern w:val="0"/>
          <w:szCs w:val="21"/>
          <w:u w:color="000000"/>
        </w:rPr>
        <w:t>买  方：                              卖  方：</w:t>
      </w:r>
    </w:p>
    <w:p>
      <w:pPr>
        <w:pStyle w:val="11"/>
        <w:spacing w:after="0" w:line="420" w:lineRule="exact"/>
        <w:ind w:left="0" w:leftChars="0" w:firstLine="426" w:firstLineChars="200"/>
        <w:rPr>
          <w:rFonts w:ascii="宋体" w:cs="宋体"/>
          <w:kern w:val="0"/>
          <w:szCs w:val="21"/>
          <w:u w:color="000000"/>
        </w:rPr>
      </w:pPr>
      <w:r>
        <w:rPr>
          <w:rFonts w:hint="eastAsia" w:ascii="宋体" w:cs="宋体"/>
          <w:kern w:val="0"/>
          <w:szCs w:val="21"/>
          <w:u w:color="000000"/>
        </w:rPr>
        <w:t>名  称：（盖章）                      名  称：（盖章）</w:t>
      </w:r>
    </w:p>
    <w:p>
      <w:pPr>
        <w:pStyle w:val="11"/>
        <w:spacing w:after="0" w:line="420" w:lineRule="exact"/>
        <w:ind w:left="0" w:leftChars="0" w:firstLine="426" w:firstLineChars="200"/>
        <w:rPr>
          <w:rFonts w:ascii="宋体" w:cs="宋体"/>
          <w:kern w:val="0"/>
          <w:szCs w:val="21"/>
          <w:u w:color="000000"/>
        </w:rPr>
      </w:pPr>
      <w:r>
        <w:rPr>
          <w:rFonts w:hint="eastAsia" w:ascii="宋体" w:cs="宋体"/>
          <w:kern w:val="0"/>
          <w:szCs w:val="21"/>
          <w:u w:color="000000"/>
        </w:rPr>
        <w:t xml:space="preserve">法定代表人（或委托代理人）： （签字） 法定代表人（或委托代理人）：（签字）                        </w:t>
      </w:r>
    </w:p>
    <w:p>
      <w:pPr>
        <w:pStyle w:val="11"/>
        <w:spacing w:after="0" w:line="420" w:lineRule="exact"/>
        <w:ind w:left="0" w:leftChars="0" w:firstLine="426" w:firstLineChars="200"/>
        <w:rPr>
          <w:rFonts w:ascii="宋体" w:cs="宋体"/>
          <w:kern w:val="0"/>
          <w:szCs w:val="21"/>
          <w:u w:color="000000"/>
        </w:rPr>
      </w:pPr>
      <w:r>
        <w:rPr>
          <w:rFonts w:hint="eastAsia" w:ascii="宋体" w:cs="宋体"/>
          <w:kern w:val="0"/>
          <w:szCs w:val="21"/>
          <w:u w:color="000000"/>
        </w:rPr>
        <w:t>地    址：                            地    址：</w:t>
      </w:r>
    </w:p>
    <w:p>
      <w:pPr>
        <w:pStyle w:val="11"/>
        <w:spacing w:after="0" w:line="420" w:lineRule="exact"/>
        <w:ind w:left="0" w:leftChars="0" w:firstLine="426" w:firstLineChars="200"/>
        <w:rPr>
          <w:rFonts w:ascii="宋体" w:cs="宋体"/>
          <w:kern w:val="0"/>
          <w:szCs w:val="21"/>
          <w:u w:color="000000"/>
        </w:rPr>
      </w:pPr>
      <w:r>
        <w:rPr>
          <w:rFonts w:hint="eastAsia" w:ascii="宋体" w:cs="宋体"/>
          <w:kern w:val="0"/>
          <w:szCs w:val="21"/>
          <w:u w:color="000000"/>
        </w:rPr>
        <w:t>邮政编码：                            邮政编码：</w:t>
      </w:r>
    </w:p>
    <w:p>
      <w:pPr>
        <w:pStyle w:val="11"/>
        <w:spacing w:after="0" w:line="420" w:lineRule="exact"/>
        <w:ind w:left="0" w:leftChars="0" w:firstLine="426" w:firstLineChars="200"/>
        <w:rPr>
          <w:rFonts w:ascii="宋体" w:cs="宋体"/>
          <w:kern w:val="0"/>
          <w:szCs w:val="21"/>
          <w:u w:color="000000"/>
        </w:rPr>
      </w:pPr>
      <w:r>
        <w:rPr>
          <w:rFonts w:hint="eastAsia" w:ascii="宋体" w:cs="宋体"/>
          <w:kern w:val="0"/>
          <w:szCs w:val="21"/>
          <w:u w:color="000000"/>
        </w:rPr>
        <w:t>电    话：                            电    话：</w:t>
      </w:r>
    </w:p>
    <w:p>
      <w:pPr>
        <w:pStyle w:val="11"/>
        <w:spacing w:after="0" w:line="420" w:lineRule="exact"/>
        <w:ind w:left="0" w:leftChars="0" w:firstLine="426" w:firstLineChars="200"/>
        <w:rPr>
          <w:rFonts w:ascii="宋体" w:cs="宋体"/>
          <w:kern w:val="0"/>
          <w:szCs w:val="21"/>
          <w:u w:color="000000"/>
        </w:rPr>
      </w:pPr>
      <w:r>
        <w:rPr>
          <w:rFonts w:hint="eastAsia" w:ascii="宋体" w:cs="宋体"/>
          <w:kern w:val="0"/>
          <w:szCs w:val="21"/>
          <w:u w:color="000000"/>
        </w:rPr>
        <w:t>开户银行：                            开户银行：</w:t>
      </w:r>
    </w:p>
    <w:p>
      <w:pPr>
        <w:pStyle w:val="11"/>
        <w:spacing w:after="0" w:line="420" w:lineRule="exact"/>
        <w:ind w:left="0" w:leftChars="0" w:firstLine="426" w:firstLineChars="200"/>
        <w:rPr>
          <w:rFonts w:ascii="宋体" w:cs="宋体"/>
          <w:kern w:val="0"/>
          <w:szCs w:val="21"/>
          <w:u w:color="000000"/>
        </w:rPr>
      </w:pPr>
      <w:r>
        <w:rPr>
          <w:rFonts w:hint="eastAsia" w:ascii="宋体" w:cs="宋体"/>
          <w:kern w:val="0"/>
          <w:szCs w:val="21"/>
          <w:u w:color="000000"/>
        </w:rPr>
        <w:t>帐    号：                            帐    号：</w:t>
      </w:r>
    </w:p>
    <w:p/>
    <w:p>
      <w:pPr>
        <w:pStyle w:val="11"/>
        <w:spacing w:after="0" w:line="420" w:lineRule="exact"/>
        <w:ind w:left="0" w:leftChars="0" w:firstLine="566" w:firstLineChars="200"/>
        <w:jc w:val="center"/>
        <w:rPr>
          <w:rFonts w:asciiTheme="majorEastAsia" w:hAnsiTheme="majorEastAsia" w:eastAsiaTheme="majorEastAsia" w:cstheme="majorEastAsia"/>
          <w:sz w:val="28"/>
          <w:szCs w:val="28"/>
        </w:rPr>
      </w:pPr>
    </w:p>
    <w:p>
      <w:pPr>
        <w:pStyle w:val="11"/>
        <w:spacing w:after="0" w:line="420" w:lineRule="exact"/>
        <w:ind w:left="0" w:leftChars="0" w:firstLine="566" w:firstLineChars="200"/>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  合同条款</w:t>
      </w:r>
      <w:bookmarkEnd w:id="56"/>
      <w:bookmarkEnd w:id="57"/>
      <w:bookmarkEnd w:id="58"/>
      <w:bookmarkEnd w:id="59"/>
      <w:bookmarkEnd w:id="60"/>
      <w:bookmarkEnd w:id="61"/>
      <w:bookmarkEnd w:id="62"/>
      <w:bookmarkEnd w:id="63"/>
      <w:bookmarkEnd w:id="64"/>
    </w:p>
    <w:p>
      <w:pPr>
        <w:spacing w:line="440" w:lineRule="exact"/>
        <w:outlineLvl w:val="2"/>
        <w:rPr>
          <w:rFonts w:ascii="宋体" w:cs="宋体"/>
          <w:szCs w:val="21"/>
        </w:rPr>
      </w:pPr>
      <w:r>
        <w:rPr>
          <w:rFonts w:hint="eastAsia" w:ascii="宋体" w:cs="宋体"/>
          <w:szCs w:val="21"/>
        </w:rPr>
        <w:t>一.  合同文件</w:t>
      </w:r>
    </w:p>
    <w:p>
      <w:pPr>
        <w:spacing w:line="440" w:lineRule="exact"/>
        <w:outlineLvl w:val="1"/>
        <w:rPr>
          <w:rFonts w:ascii="宋体" w:cs="宋体"/>
          <w:szCs w:val="21"/>
        </w:rPr>
      </w:pPr>
      <w:r>
        <w:rPr>
          <w:rFonts w:hint="eastAsia" w:ascii="宋体" w:cs="宋体"/>
          <w:szCs w:val="21"/>
        </w:rPr>
        <w:t>1、合同文件适用法律</w:t>
      </w:r>
    </w:p>
    <w:p>
      <w:pPr>
        <w:spacing w:line="440" w:lineRule="exact"/>
        <w:ind w:firstLine="639" w:firstLineChars="300"/>
        <w:rPr>
          <w:rFonts w:ascii="宋体" w:cs="宋体"/>
          <w:szCs w:val="21"/>
        </w:rPr>
      </w:pPr>
      <w:r>
        <w:rPr>
          <w:rFonts w:hint="eastAsia" w:ascii="宋体" w:cs="宋体"/>
          <w:szCs w:val="21"/>
        </w:rPr>
        <w:t>适用于合同文件的法律是中华人民共和国现行法律、法规及招标人所在地的地方性法规。</w:t>
      </w:r>
    </w:p>
    <w:p>
      <w:pPr>
        <w:spacing w:line="440" w:lineRule="exact"/>
        <w:outlineLvl w:val="1"/>
        <w:rPr>
          <w:rFonts w:ascii="宋体" w:cs="宋体"/>
          <w:szCs w:val="21"/>
        </w:rPr>
      </w:pPr>
      <w:r>
        <w:rPr>
          <w:rFonts w:hint="eastAsia" w:ascii="宋体" w:cs="宋体"/>
          <w:szCs w:val="21"/>
        </w:rPr>
        <w:t>2、合同文件组成和解释顺序</w:t>
      </w:r>
    </w:p>
    <w:p>
      <w:pPr>
        <w:spacing w:line="440" w:lineRule="exact"/>
        <w:ind w:firstLine="532" w:firstLineChars="250"/>
        <w:outlineLvl w:val="2"/>
        <w:rPr>
          <w:rFonts w:ascii="宋体" w:cs="宋体"/>
          <w:szCs w:val="21"/>
        </w:rPr>
      </w:pPr>
      <w:r>
        <w:rPr>
          <w:rFonts w:hint="eastAsia" w:ascii="宋体" w:cs="宋体"/>
          <w:szCs w:val="21"/>
        </w:rPr>
        <w:t>(1)合同文件的组成和解释顺序如下：</w:t>
      </w:r>
    </w:p>
    <w:p>
      <w:pPr>
        <w:spacing w:line="440" w:lineRule="exact"/>
        <w:ind w:firstLine="532" w:firstLineChars="250"/>
        <w:rPr>
          <w:rFonts w:ascii="宋体" w:cs="宋体"/>
          <w:szCs w:val="21"/>
        </w:rPr>
      </w:pPr>
      <w:r>
        <w:rPr>
          <w:rFonts w:hint="eastAsia" w:ascii="宋体" w:cs="宋体"/>
          <w:szCs w:val="21"/>
        </w:rPr>
        <w:t>&lt;1&gt;合同的主要条款；</w:t>
      </w:r>
    </w:p>
    <w:p>
      <w:pPr>
        <w:spacing w:line="440" w:lineRule="exact"/>
        <w:ind w:firstLine="532" w:firstLineChars="250"/>
        <w:rPr>
          <w:rFonts w:ascii="宋体" w:cs="宋体"/>
          <w:szCs w:val="21"/>
        </w:rPr>
      </w:pPr>
      <w:r>
        <w:rPr>
          <w:rFonts w:hint="eastAsia" w:ascii="宋体" w:cs="宋体"/>
          <w:szCs w:val="21"/>
        </w:rPr>
        <w:t>&lt;2&gt;合同的一般性条款；</w:t>
      </w:r>
    </w:p>
    <w:p>
      <w:pPr>
        <w:spacing w:line="440" w:lineRule="exact"/>
        <w:ind w:firstLine="532" w:firstLineChars="250"/>
        <w:rPr>
          <w:rFonts w:ascii="宋体" w:cs="宋体"/>
          <w:szCs w:val="21"/>
        </w:rPr>
      </w:pPr>
      <w:r>
        <w:rPr>
          <w:rFonts w:hint="eastAsia" w:ascii="宋体" w:cs="宋体"/>
          <w:szCs w:val="21"/>
        </w:rPr>
        <w:t>&lt;3&gt;洽商、变更等明确双方权利义务的纪要、协议；</w:t>
      </w:r>
    </w:p>
    <w:p>
      <w:pPr>
        <w:spacing w:line="440" w:lineRule="exact"/>
        <w:ind w:firstLine="532" w:firstLineChars="250"/>
        <w:rPr>
          <w:rFonts w:ascii="宋体" w:cs="宋体"/>
          <w:szCs w:val="21"/>
        </w:rPr>
      </w:pPr>
      <w:r>
        <w:rPr>
          <w:rFonts w:hint="eastAsia" w:ascii="宋体" w:cs="宋体"/>
          <w:szCs w:val="21"/>
        </w:rPr>
        <w:t>&lt;4&gt;中标通知书、投标文件和采购文件；</w:t>
      </w:r>
    </w:p>
    <w:p>
      <w:pPr>
        <w:spacing w:line="440" w:lineRule="exact"/>
        <w:ind w:firstLine="532" w:firstLineChars="250"/>
        <w:rPr>
          <w:rFonts w:ascii="宋体" w:cs="宋体"/>
          <w:szCs w:val="21"/>
        </w:rPr>
      </w:pPr>
      <w:r>
        <w:rPr>
          <w:rFonts w:hint="eastAsia" w:ascii="宋体" w:cs="宋体"/>
          <w:szCs w:val="21"/>
        </w:rPr>
        <w:t>&lt;5&gt;有关图纸、标准、规范和其它有关技术资料、技术要求。</w:t>
      </w:r>
    </w:p>
    <w:p>
      <w:pPr>
        <w:spacing w:line="440" w:lineRule="exact"/>
        <w:ind w:firstLine="532" w:firstLineChars="250"/>
        <w:rPr>
          <w:rFonts w:ascii="宋体" w:cs="宋体"/>
          <w:szCs w:val="21"/>
        </w:rPr>
      </w:pPr>
      <w:r>
        <w:rPr>
          <w:rFonts w:hint="eastAsia" w:ascii="宋体" w:cs="宋体"/>
          <w:szCs w:val="21"/>
        </w:rPr>
        <w:t>&lt;6&gt;合同的主要条款的效力优于合同的一般性条款的效力。</w:t>
      </w:r>
    </w:p>
    <w:p>
      <w:pPr>
        <w:spacing w:line="440" w:lineRule="exact"/>
        <w:outlineLvl w:val="1"/>
        <w:rPr>
          <w:rFonts w:ascii="宋体" w:cs="宋体"/>
          <w:szCs w:val="21"/>
        </w:rPr>
      </w:pPr>
      <w:r>
        <w:rPr>
          <w:rFonts w:hint="eastAsia" w:ascii="宋体" w:cs="宋体"/>
          <w:szCs w:val="21"/>
        </w:rPr>
        <w:t>3、合同文件使用文字</w:t>
      </w:r>
    </w:p>
    <w:p>
      <w:pPr>
        <w:pStyle w:val="6"/>
        <w:spacing w:line="440" w:lineRule="exact"/>
        <w:ind w:firstLine="532" w:firstLineChars="250"/>
        <w:outlineLvl w:val="2"/>
        <w:rPr>
          <w:rFonts w:ascii="宋体" w:cs="宋体"/>
          <w:sz w:val="21"/>
          <w:szCs w:val="21"/>
          <w:u w:color="000000"/>
        </w:rPr>
      </w:pPr>
      <w:r>
        <w:rPr>
          <w:rFonts w:hint="eastAsia" w:ascii="宋体" w:cs="宋体"/>
          <w:sz w:val="21"/>
          <w:szCs w:val="21"/>
          <w:u w:color="000000"/>
        </w:rPr>
        <w:t>(1)合同文件使用中文书写、解释和说明。</w:t>
      </w:r>
    </w:p>
    <w:p>
      <w:pPr>
        <w:pStyle w:val="6"/>
        <w:overflowPunct w:val="0"/>
        <w:spacing w:line="440" w:lineRule="exact"/>
        <w:ind w:firstLine="532" w:firstLineChars="250"/>
        <w:rPr>
          <w:rFonts w:ascii="宋体" w:cs="宋体"/>
          <w:sz w:val="21"/>
          <w:szCs w:val="21"/>
          <w:u w:color="000000"/>
        </w:rPr>
      </w:pPr>
      <w:r>
        <w:rPr>
          <w:rFonts w:hint="eastAsia" w:ascii="宋体" w:cs="宋体"/>
          <w:sz w:val="21"/>
          <w:szCs w:val="21"/>
          <w:u w:color="000000"/>
        </w:rPr>
        <w:t xml:space="preserve">(2)合同文件使用技术性条款约定的为国家标准和规范；国家没有相应标准、规范时，可使用行业标准、规范。非标货物应按约定的技术性条款的标准和规范。 </w:t>
      </w:r>
    </w:p>
    <w:p>
      <w:pPr>
        <w:spacing w:line="440" w:lineRule="exact"/>
        <w:outlineLvl w:val="3"/>
        <w:rPr>
          <w:rFonts w:ascii="宋体" w:cs="宋体"/>
          <w:szCs w:val="21"/>
        </w:rPr>
      </w:pPr>
      <w:r>
        <w:rPr>
          <w:rFonts w:hint="eastAsia" w:ascii="宋体" w:cs="宋体"/>
          <w:szCs w:val="21"/>
        </w:rPr>
        <w:t>二.  标的物的一般条款</w:t>
      </w:r>
    </w:p>
    <w:p>
      <w:pPr>
        <w:spacing w:line="440" w:lineRule="exact"/>
        <w:outlineLvl w:val="1"/>
        <w:rPr>
          <w:rFonts w:ascii="宋体" w:cs="宋体"/>
          <w:szCs w:val="21"/>
        </w:rPr>
      </w:pPr>
      <w:r>
        <w:rPr>
          <w:rFonts w:hint="eastAsia" w:ascii="宋体" w:cs="宋体"/>
          <w:szCs w:val="21"/>
        </w:rPr>
        <w:t>4、完整物权</w:t>
      </w:r>
    </w:p>
    <w:p>
      <w:pPr>
        <w:tabs>
          <w:tab w:val="left" w:pos="660"/>
        </w:tabs>
        <w:spacing w:line="440" w:lineRule="exact"/>
        <w:rPr>
          <w:rFonts w:ascii="宋体" w:cs="宋体"/>
          <w:szCs w:val="21"/>
        </w:rPr>
      </w:pPr>
      <w:r>
        <w:rPr>
          <w:rFonts w:hint="eastAsia" w:ascii="宋体" w:cs="宋体"/>
          <w:szCs w:val="21"/>
        </w:rPr>
        <w:t xml:space="preserve"> </w:t>
      </w:r>
      <w:r>
        <w:rPr>
          <w:rFonts w:hint="eastAsia" w:ascii="宋体" w:cs="宋体"/>
          <w:szCs w:val="21"/>
        </w:rPr>
        <w:tab/>
      </w:r>
      <w:r>
        <w:rPr>
          <w:rFonts w:hint="eastAsia" w:ascii="宋体" w:cs="宋体"/>
          <w:szCs w:val="21"/>
        </w:rPr>
        <w:t>对于出卖的标的物，卖方应当拥有完整物权，并且卖方负有保证第三人不得向买方主张任何权利（包括知识产权）的义务。</w:t>
      </w:r>
    </w:p>
    <w:p>
      <w:pPr>
        <w:spacing w:line="440" w:lineRule="exact"/>
        <w:outlineLvl w:val="1"/>
        <w:rPr>
          <w:rFonts w:ascii="宋体" w:cs="宋体"/>
          <w:szCs w:val="21"/>
        </w:rPr>
      </w:pPr>
      <w:r>
        <w:rPr>
          <w:rFonts w:hint="eastAsia" w:ascii="宋体" w:cs="宋体"/>
          <w:szCs w:val="21"/>
        </w:rPr>
        <w:t>5、质量保证</w:t>
      </w:r>
    </w:p>
    <w:p>
      <w:pPr>
        <w:pStyle w:val="6"/>
        <w:overflowPunct w:val="0"/>
        <w:spacing w:line="440" w:lineRule="exact"/>
        <w:ind w:firstLine="532" w:firstLineChars="250"/>
        <w:rPr>
          <w:rFonts w:ascii="宋体" w:cs="宋体"/>
          <w:sz w:val="21"/>
          <w:szCs w:val="21"/>
          <w:u w:color="000000"/>
        </w:rPr>
      </w:pPr>
      <w:r>
        <w:rPr>
          <w:rFonts w:hint="eastAsia" w:ascii="宋体" w:cs="宋体"/>
          <w:sz w:val="21"/>
          <w:szCs w:val="21"/>
          <w:u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6"/>
        <w:overflowPunct w:val="0"/>
        <w:spacing w:line="440" w:lineRule="exact"/>
        <w:ind w:firstLine="532" w:firstLineChars="250"/>
        <w:rPr>
          <w:rFonts w:ascii="宋体" w:cs="宋体"/>
          <w:sz w:val="21"/>
          <w:szCs w:val="21"/>
          <w:u w:color="000000"/>
        </w:rPr>
      </w:pPr>
      <w:r>
        <w:rPr>
          <w:rFonts w:hint="eastAsia" w:ascii="宋体" w:cs="宋体"/>
          <w:sz w:val="21"/>
          <w:szCs w:val="21"/>
          <w:u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6"/>
        <w:tabs>
          <w:tab w:val="left" w:pos="900"/>
        </w:tabs>
        <w:overflowPunct w:val="0"/>
        <w:spacing w:line="440" w:lineRule="exact"/>
        <w:ind w:firstLine="532" w:firstLineChars="250"/>
        <w:rPr>
          <w:rFonts w:ascii="宋体" w:cs="宋体"/>
          <w:sz w:val="21"/>
          <w:szCs w:val="21"/>
          <w:u w:color="000000"/>
        </w:rPr>
      </w:pPr>
      <w:r>
        <w:rPr>
          <w:rFonts w:hint="eastAsia" w:ascii="宋体" w:cs="宋体"/>
          <w:sz w:val="21"/>
          <w:szCs w:val="21"/>
          <w:u w:color="000000"/>
        </w:rPr>
        <w:t>(3)除合同主要条款规定外，合同条款中标的物的质量保证期均自标的物通过最终验收之日起计算，且质量保证期按不低于国家标准和卖方承诺的高于国家标准的质保期（卖方有特殊要求的除外）。</w:t>
      </w:r>
    </w:p>
    <w:p>
      <w:pPr>
        <w:spacing w:line="440" w:lineRule="exact"/>
        <w:outlineLvl w:val="1"/>
        <w:rPr>
          <w:rFonts w:ascii="宋体" w:cs="宋体"/>
          <w:szCs w:val="21"/>
        </w:rPr>
      </w:pPr>
      <w:r>
        <w:rPr>
          <w:rFonts w:hint="eastAsia" w:ascii="宋体" w:cs="宋体"/>
          <w:szCs w:val="21"/>
        </w:rPr>
        <w:t>6、包装</w:t>
      </w:r>
    </w:p>
    <w:p>
      <w:pPr>
        <w:pStyle w:val="6"/>
        <w:tabs>
          <w:tab w:val="left" w:pos="900"/>
        </w:tabs>
        <w:spacing w:line="440" w:lineRule="exact"/>
        <w:ind w:firstLine="478" w:firstLineChars="225"/>
        <w:rPr>
          <w:rFonts w:ascii="宋体" w:cs="宋体"/>
          <w:sz w:val="21"/>
          <w:szCs w:val="21"/>
          <w:u w:color="000000"/>
        </w:rPr>
      </w:pPr>
      <w:r>
        <w:rPr>
          <w:rFonts w:hint="eastAsia" w:ascii="宋体" w:cs="宋体"/>
          <w:sz w:val="21"/>
          <w:szCs w:val="21"/>
          <w:u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pacing w:line="440" w:lineRule="exact"/>
        <w:outlineLvl w:val="1"/>
        <w:rPr>
          <w:rFonts w:ascii="宋体" w:cs="宋体"/>
          <w:szCs w:val="21"/>
        </w:rPr>
      </w:pPr>
      <w:r>
        <w:rPr>
          <w:rFonts w:hint="eastAsia" w:ascii="宋体" w:cs="宋体"/>
          <w:szCs w:val="21"/>
        </w:rPr>
        <w:t>7、伴随服务</w:t>
      </w:r>
    </w:p>
    <w:p>
      <w:pPr>
        <w:pStyle w:val="6"/>
        <w:overflowPunct w:val="0"/>
        <w:spacing w:line="440" w:lineRule="exact"/>
        <w:ind w:firstLine="532" w:firstLineChars="250"/>
        <w:rPr>
          <w:rFonts w:ascii="宋体" w:cs="宋体"/>
          <w:sz w:val="21"/>
          <w:szCs w:val="21"/>
          <w:u w:color="000000"/>
        </w:rPr>
      </w:pPr>
      <w:r>
        <w:rPr>
          <w:rFonts w:hint="eastAsia" w:ascii="宋体" w:cs="宋体"/>
          <w:sz w:val="21"/>
          <w:szCs w:val="21"/>
          <w:u w:color="000000"/>
        </w:rPr>
        <w:t>(1)卖方除应履行按期按量交付合格标的物的义务之外，还应提供下列服务：</w:t>
      </w:r>
    </w:p>
    <w:p>
      <w:pPr>
        <w:pStyle w:val="6"/>
        <w:overflowPunct w:val="0"/>
        <w:spacing w:line="440" w:lineRule="exact"/>
        <w:ind w:firstLine="532" w:firstLineChars="250"/>
        <w:rPr>
          <w:rFonts w:ascii="宋体" w:cs="宋体"/>
          <w:sz w:val="21"/>
          <w:szCs w:val="21"/>
          <w:u w:color="000000"/>
        </w:rPr>
      </w:pPr>
      <w:r>
        <w:rPr>
          <w:rFonts w:hint="eastAsia" w:ascii="宋体" w:cs="宋体"/>
          <w:sz w:val="21"/>
          <w:szCs w:val="21"/>
          <w:u w:color="000000"/>
        </w:rPr>
        <w:t>&lt;1&gt;标的物的现场安装或指导安装、启动、调试、监督（如果必须安装、调试的话）；</w:t>
      </w:r>
    </w:p>
    <w:p>
      <w:pPr>
        <w:pStyle w:val="6"/>
        <w:overflowPunct w:val="0"/>
        <w:spacing w:line="440" w:lineRule="exact"/>
        <w:ind w:firstLine="532" w:firstLineChars="250"/>
        <w:rPr>
          <w:rFonts w:ascii="宋体" w:cs="宋体"/>
          <w:sz w:val="21"/>
          <w:szCs w:val="21"/>
          <w:u w:color="000000"/>
        </w:rPr>
      </w:pPr>
      <w:r>
        <w:rPr>
          <w:rFonts w:hint="eastAsia" w:ascii="宋体" w:cs="宋体"/>
          <w:sz w:val="21"/>
          <w:szCs w:val="21"/>
          <w:u w:color="000000"/>
        </w:rPr>
        <w:t>&lt;2&gt;提供标的物组装和一般维修所必须的工具；</w:t>
      </w:r>
    </w:p>
    <w:p>
      <w:pPr>
        <w:pStyle w:val="6"/>
        <w:overflowPunct w:val="0"/>
        <w:spacing w:line="440" w:lineRule="exact"/>
        <w:ind w:firstLine="532" w:firstLineChars="250"/>
        <w:rPr>
          <w:rFonts w:ascii="宋体" w:cs="宋体"/>
          <w:sz w:val="21"/>
          <w:szCs w:val="21"/>
          <w:u w:color="000000"/>
        </w:rPr>
      </w:pPr>
      <w:r>
        <w:rPr>
          <w:rFonts w:hint="eastAsia" w:ascii="宋体" w:cs="宋体"/>
          <w:sz w:val="21"/>
          <w:szCs w:val="21"/>
          <w:u w:color="000000"/>
        </w:rPr>
        <w:t>&lt;3&gt;在合同规定的期限内对所提供标的物实行运行监督、维修服务的前提条件是该服务并不能免除卖方在质量保证期内所承担的义务；</w:t>
      </w:r>
    </w:p>
    <w:p>
      <w:pPr>
        <w:pStyle w:val="6"/>
        <w:overflowPunct w:val="0"/>
        <w:spacing w:line="440" w:lineRule="exact"/>
        <w:ind w:firstLine="532" w:firstLineChars="250"/>
        <w:rPr>
          <w:rFonts w:ascii="宋体" w:cs="宋体"/>
          <w:sz w:val="21"/>
          <w:szCs w:val="21"/>
          <w:u w:color="000000"/>
        </w:rPr>
      </w:pPr>
      <w:r>
        <w:rPr>
          <w:rFonts w:hint="eastAsia" w:ascii="宋体" w:cs="宋体"/>
          <w:sz w:val="21"/>
          <w:szCs w:val="21"/>
          <w:u w:color="000000"/>
        </w:rPr>
        <w:t>&lt;4&gt;对买方技术人员的技术指导或培训。</w:t>
      </w:r>
    </w:p>
    <w:p>
      <w:pPr>
        <w:pStyle w:val="6"/>
        <w:overflowPunct w:val="0"/>
        <w:spacing w:line="440" w:lineRule="exact"/>
        <w:ind w:firstLine="532" w:firstLineChars="250"/>
        <w:rPr>
          <w:rFonts w:ascii="宋体" w:cs="宋体"/>
          <w:sz w:val="21"/>
          <w:szCs w:val="21"/>
          <w:u w:color="000000"/>
        </w:rPr>
      </w:pPr>
      <w:r>
        <w:rPr>
          <w:rFonts w:hint="eastAsia" w:ascii="宋体" w:cs="宋体"/>
          <w:sz w:val="21"/>
          <w:szCs w:val="21"/>
          <w:u w:color="000000"/>
        </w:rPr>
        <w:t>(2)除合同另有规定之外，伴随服务的费用均已含在合同价款中，买方不再另行进行支付。</w:t>
      </w:r>
    </w:p>
    <w:p>
      <w:pPr>
        <w:spacing w:line="560" w:lineRule="exact"/>
        <w:ind w:firstLine="426" w:firstLineChars="200"/>
        <w:outlineLvl w:val="2"/>
        <w:rPr>
          <w:rFonts w:ascii="宋体" w:hAnsi="宋体" w:cs="宋体"/>
          <w:sz w:val="24"/>
        </w:rPr>
      </w:pPr>
      <w:r>
        <w:rPr>
          <w:rFonts w:hint="eastAsia" w:ascii="宋体" w:cs="宋体"/>
          <w:szCs w:val="21"/>
        </w:rPr>
        <w:t xml:space="preserve">三. </w:t>
      </w:r>
      <w:r>
        <w:rPr>
          <w:rFonts w:hint="eastAsia" w:ascii="宋体" w:hAnsi="宋体" w:cs="宋体"/>
          <w:sz w:val="24"/>
        </w:rPr>
        <w:t xml:space="preserve"> 检验和验收</w:t>
      </w:r>
    </w:p>
    <w:p>
      <w:pPr>
        <w:tabs>
          <w:tab w:val="left" w:pos="360"/>
          <w:tab w:val="left" w:pos="540"/>
          <w:tab w:val="left" w:pos="1080"/>
        </w:tabs>
        <w:spacing w:line="560" w:lineRule="exact"/>
        <w:ind w:firstLine="426" w:firstLineChars="200"/>
        <w:rPr>
          <w:rFonts w:ascii="宋体" w:cs="宋体"/>
          <w:kern w:val="0"/>
          <w:szCs w:val="21"/>
          <w:u w:color="000000"/>
        </w:rPr>
      </w:pPr>
      <w:r>
        <w:rPr>
          <w:rFonts w:hint="eastAsia" w:ascii="宋体" w:cs="宋体"/>
          <w:kern w:val="0"/>
          <w:szCs w:val="21"/>
          <w:u w:color="000000"/>
        </w:rPr>
        <w:t xml:space="preserve"> 1服务交付前，乙方应对服务的质量、数量等方面进行详细、全面的检验，并向甲方出具证明服务符合合同约定的文件；服务交付时，乙方在合同专用条款约定时间内组织验收，并可依法邀请相关方参加，验收应出具验收书。</w:t>
      </w:r>
    </w:p>
    <w:p>
      <w:pPr>
        <w:tabs>
          <w:tab w:val="left" w:pos="360"/>
          <w:tab w:val="left" w:pos="540"/>
          <w:tab w:val="left" w:pos="1080"/>
        </w:tabs>
        <w:spacing w:line="560" w:lineRule="exact"/>
        <w:ind w:firstLine="426" w:firstLineChars="200"/>
        <w:rPr>
          <w:rFonts w:ascii="宋体" w:cs="宋体"/>
          <w:kern w:val="0"/>
          <w:szCs w:val="21"/>
          <w:u w:color="000000"/>
        </w:rPr>
      </w:pPr>
      <w:r>
        <w:rPr>
          <w:rFonts w:hint="eastAsia" w:ascii="宋体" w:cs="宋体"/>
          <w:kern w:val="0"/>
          <w:szCs w:val="21"/>
          <w:u w:color="000000"/>
        </w:rPr>
        <w:t xml:space="preserve"> 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26" w:firstLineChars="200"/>
        <w:rPr>
          <w:rFonts w:ascii="宋体" w:cs="宋体"/>
          <w:kern w:val="0"/>
          <w:szCs w:val="21"/>
          <w:u w:color="000000"/>
        </w:rPr>
      </w:pPr>
      <w:r>
        <w:rPr>
          <w:rFonts w:hint="eastAsia" w:ascii="宋体" w:cs="宋体"/>
          <w:kern w:val="0"/>
          <w:szCs w:val="21"/>
          <w:u w:color="000000"/>
        </w:rPr>
        <w:t xml:space="preserve"> 3 检验和验收标准、程序等具体内容以及前述验收书的效力详见合同专用条款。</w:t>
      </w:r>
    </w:p>
    <w:p>
      <w:pPr>
        <w:spacing w:line="440" w:lineRule="exact"/>
        <w:outlineLvl w:val="2"/>
        <w:rPr>
          <w:rFonts w:ascii="宋体" w:cs="宋体"/>
          <w:szCs w:val="21"/>
        </w:rPr>
      </w:pPr>
      <w:r>
        <w:rPr>
          <w:rFonts w:hint="eastAsia" w:ascii="宋体" w:cs="宋体"/>
          <w:szCs w:val="21"/>
        </w:rPr>
        <w:t>四. 对标的物提出异议的时间和办法</w:t>
      </w:r>
    </w:p>
    <w:p>
      <w:pPr>
        <w:spacing w:line="440" w:lineRule="exact"/>
        <w:outlineLvl w:val="1"/>
        <w:rPr>
          <w:rFonts w:ascii="宋体" w:cs="宋体"/>
          <w:szCs w:val="21"/>
        </w:rPr>
      </w:pPr>
      <w:r>
        <w:rPr>
          <w:rFonts w:hint="eastAsia" w:ascii="宋体" w:cs="宋体"/>
          <w:szCs w:val="21"/>
        </w:rPr>
        <w:t xml:space="preserve">1、对标的物提出异议的时间和办法 </w:t>
      </w:r>
    </w:p>
    <w:p>
      <w:pPr>
        <w:pStyle w:val="6"/>
        <w:overflowPunct w:val="0"/>
        <w:spacing w:line="440" w:lineRule="exact"/>
        <w:ind w:firstLine="532" w:firstLineChars="250"/>
        <w:rPr>
          <w:rFonts w:ascii="宋体" w:cs="宋体"/>
          <w:sz w:val="21"/>
          <w:szCs w:val="21"/>
          <w:u w:color="000000"/>
        </w:rPr>
      </w:pPr>
      <w:r>
        <w:rPr>
          <w:rFonts w:hint="eastAsia" w:ascii="宋体" w:cs="宋体"/>
          <w:sz w:val="21"/>
          <w:szCs w:val="21"/>
          <w:u w:color="000000"/>
        </w:rPr>
        <w:t>(1)买方在验收过程中，应当于双方约定的检验期间内将标的物的数量或质量不符合约定的情形及处理方式以书面形式通知卖方。</w:t>
      </w:r>
    </w:p>
    <w:p>
      <w:pPr>
        <w:pStyle w:val="6"/>
        <w:overflowPunct w:val="0"/>
        <w:spacing w:line="440" w:lineRule="exact"/>
        <w:ind w:firstLine="532" w:firstLineChars="250"/>
        <w:rPr>
          <w:rFonts w:ascii="宋体" w:cs="宋体"/>
          <w:sz w:val="21"/>
          <w:szCs w:val="21"/>
          <w:u w:color="000000"/>
        </w:rPr>
      </w:pPr>
      <w:r>
        <w:rPr>
          <w:rFonts w:hint="eastAsia" w:ascii="宋体" w:cs="宋体"/>
          <w:sz w:val="21"/>
          <w:szCs w:val="21"/>
          <w:u w:color="000000"/>
        </w:rPr>
        <w:t>(2)如买方在验收期满后既不出具验收合格证明又未提出书面异议的视为卖方所交标的物符合合同规定。</w:t>
      </w:r>
    </w:p>
    <w:p>
      <w:pPr>
        <w:pStyle w:val="6"/>
        <w:overflowPunct w:val="0"/>
        <w:spacing w:line="440" w:lineRule="exact"/>
        <w:ind w:firstLine="532" w:firstLineChars="250"/>
        <w:rPr>
          <w:rFonts w:ascii="宋体" w:cs="宋体"/>
          <w:sz w:val="21"/>
          <w:szCs w:val="21"/>
          <w:u w:color="000000"/>
        </w:rPr>
      </w:pPr>
      <w:r>
        <w:rPr>
          <w:rFonts w:hint="eastAsia" w:ascii="宋体" w:cs="宋体"/>
          <w:sz w:val="21"/>
          <w:szCs w:val="21"/>
          <w:u w:color="000000"/>
        </w:rPr>
        <w:t>(3)卖方应在收到买方书面异议后3天内负责处理问题，否则将视为默认买方提出的异议和处理意见。</w:t>
      </w:r>
    </w:p>
    <w:p>
      <w:pPr>
        <w:spacing w:line="440" w:lineRule="exact"/>
        <w:outlineLvl w:val="2"/>
        <w:rPr>
          <w:rFonts w:ascii="宋体" w:cs="宋体"/>
          <w:szCs w:val="21"/>
        </w:rPr>
      </w:pPr>
      <w:r>
        <w:rPr>
          <w:rFonts w:hint="eastAsia" w:ascii="宋体" w:cs="宋体"/>
          <w:szCs w:val="21"/>
        </w:rPr>
        <w:t>五. 合同价款和支付</w:t>
      </w:r>
    </w:p>
    <w:p>
      <w:pPr>
        <w:spacing w:line="440" w:lineRule="exact"/>
        <w:ind w:firstLine="213" w:firstLineChars="100"/>
        <w:outlineLvl w:val="1"/>
        <w:rPr>
          <w:rFonts w:ascii="宋体" w:cs="宋体"/>
          <w:szCs w:val="21"/>
        </w:rPr>
      </w:pPr>
      <w:r>
        <w:rPr>
          <w:rFonts w:hint="eastAsia" w:ascii="宋体" w:cs="宋体"/>
          <w:szCs w:val="21"/>
        </w:rPr>
        <w:t>1.合同价款和支付</w:t>
      </w:r>
    </w:p>
    <w:p>
      <w:pPr>
        <w:pStyle w:val="6"/>
        <w:overflowPunct w:val="0"/>
        <w:spacing w:line="440" w:lineRule="exact"/>
        <w:ind w:firstLine="532" w:firstLineChars="250"/>
        <w:outlineLvl w:val="2"/>
        <w:rPr>
          <w:rFonts w:ascii="宋体" w:cs="宋体"/>
          <w:sz w:val="21"/>
          <w:szCs w:val="21"/>
          <w:u w:color="000000"/>
        </w:rPr>
      </w:pPr>
      <w:r>
        <w:rPr>
          <w:rFonts w:hint="eastAsia" w:ascii="宋体" w:cs="宋体"/>
          <w:sz w:val="21"/>
          <w:szCs w:val="21"/>
          <w:u w:color="000000"/>
        </w:rPr>
        <w:t>(1)本合同的结算货币为人民币，单位元。</w:t>
      </w:r>
    </w:p>
    <w:p>
      <w:pPr>
        <w:pStyle w:val="6"/>
        <w:overflowPunct w:val="0"/>
        <w:spacing w:line="440" w:lineRule="exact"/>
        <w:ind w:firstLine="532" w:firstLineChars="250"/>
        <w:rPr>
          <w:rFonts w:ascii="宋体" w:cs="宋体"/>
          <w:sz w:val="21"/>
          <w:szCs w:val="21"/>
          <w:u w:color="000000"/>
        </w:rPr>
      </w:pPr>
      <w:r>
        <w:rPr>
          <w:rFonts w:hint="eastAsia" w:ascii="宋体" w:cs="宋体"/>
          <w:sz w:val="21"/>
          <w:szCs w:val="21"/>
          <w:u w:color="000000"/>
        </w:rPr>
        <w:t>(2)卖方应按照双方签订的合同规定交货并在合同主要条款规定的期限内持下列单据结算货款：</w:t>
      </w:r>
    </w:p>
    <w:p>
      <w:pPr>
        <w:pStyle w:val="6"/>
        <w:overflowPunct w:val="0"/>
        <w:spacing w:line="440" w:lineRule="exact"/>
        <w:ind w:firstLine="532" w:firstLineChars="250"/>
        <w:rPr>
          <w:rFonts w:ascii="宋体" w:cs="宋体"/>
          <w:sz w:val="21"/>
          <w:szCs w:val="21"/>
          <w:u w:color="000000"/>
        </w:rPr>
      </w:pPr>
      <w:r>
        <w:rPr>
          <w:rFonts w:hint="eastAsia" w:ascii="宋体" w:cs="宋体"/>
          <w:sz w:val="21"/>
          <w:szCs w:val="21"/>
          <w:u w:color="000000"/>
        </w:rPr>
        <w:t>&lt;1&gt;合格的销售发票；</w:t>
      </w:r>
    </w:p>
    <w:p>
      <w:pPr>
        <w:pStyle w:val="6"/>
        <w:overflowPunct w:val="0"/>
        <w:spacing w:line="440" w:lineRule="exact"/>
        <w:ind w:firstLine="532" w:firstLineChars="250"/>
        <w:rPr>
          <w:rFonts w:ascii="宋体" w:cs="宋体"/>
          <w:sz w:val="21"/>
          <w:szCs w:val="21"/>
          <w:u w:color="000000"/>
        </w:rPr>
      </w:pPr>
      <w:r>
        <w:rPr>
          <w:rFonts w:hint="eastAsia" w:ascii="宋体" w:cs="宋体"/>
          <w:sz w:val="21"/>
          <w:szCs w:val="21"/>
          <w:u w:color="000000"/>
        </w:rPr>
        <w:t>&lt;2&gt;买方盖章签收后的送货回单和验收合格证明。</w:t>
      </w:r>
    </w:p>
    <w:p>
      <w:pPr>
        <w:pStyle w:val="6"/>
        <w:overflowPunct w:val="0"/>
        <w:spacing w:line="440" w:lineRule="exact"/>
        <w:ind w:firstLine="532" w:firstLineChars="250"/>
        <w:outlineLvl w:val="2"/>
        <w:rPr>
          <w:rFonts w:ascii="宋体" w:cs="宋体"/>
          <w:sz w:val="21"/>
          <w:szCs w:val="21"/>
          <w:u w:color="000000"/>
        </w:rPr>
      </w:pPr>
      <w:r>
        <w:rPr>
          <w:rFonts w:hint="eastAsia" w:ascii="宋体" w:cs="宋体"/>
          <w:sz w:val="21"/>
          <w:szCs w:val="21"/>
          <w:u w:color="000000"/>
        </w:rPr>
        <w:t>(3)买方应按合同主要条款规定的期限和方式付款。</w:t>
      </w:r>
    </w:p>
    <w:p>
      <w:pPr>
        <w:pStyle w:val="6"/>
        <w:tabs>
          <w:tab w:val="left" w:pos="540"/>
        </w:tabs>
        <w:overflowPunct w:val="0"/>
        <w:spacing w:line="440" w:lineRule="exact"/>
        <w:ind w:firstLine="532" w:firstLineChars="250"/>
        <w:rPr>
          <w:rFonts w:ascii="宋体" w:cs="宋体"/>
          <w:sz w:val="21"/>
          <w:szCs w:val="21"/>
          <w:u w:color="000000"/>
        </w:rPr>
      </w:pPr>
      <w:r>
        <w:rPr>
          <w:rFonts w:hint="eastAsia" w:ascii="宋体" w:cs="宋体"/>
          <w:sz w:val="21"/>
          <w:szCs w:val="21"/>
          <w:u w:color="000000"/>
        </w:rPr>
        <w:t>(4)根据现行税法对买方征收的与本合同有关的一切税费均由买方承担；根据现行税法对卖方征收的与本合同有关的一切税费均由卖方承担。</w:t>
      </w:r>
    </w:p>
    <w:p>
      <w:pPr>
        <w:spacing w:line="440" w:lineRule="exact"/>
        <w:outlineLvl w:val="3"/>
        <w:rPr>
          <w:rFonts w:ascii="宋体" w:cs="宋体"/>
          <w:szCs w:val="21"/>
        </w:rPr>
      </w:pPr>
      <w:r>
        <w:rPr>
          <w:rFonts w:hint="eastAsia" w:ascii="宋体" w:cs="宋体"/>
          <w:szCs w:val="21"/>
        </w:rPr>
        <w:t>六. 违约责任</w:t>
      </w:r>
    </w:p>
    <w:p>
      <w:pPr>
        <w:spacing w:line="400" w:lineRule="exact"/>
        <w:ind w:firstLine="486" w:firstLineChars="200"/>
        <w:outlineLvl w:val="1"/>
        <w:rPr>
          <w:rFonts w:ascii="宋体" w:hAnsi="宋体" w:cs="宋体"/>
          <w:kern w:val="0"/>
          <w:sz w:val="24"/>
          <w:lang w:bidi="ar"/>
        </w:rPr>
      </w:pPr>
      <w:r>
        <w:rPr>
          <w:rFonts w:hint="eastAsia" w:ascii="宋体" w:hAnsi="宋体" w:cs="宋体"/>
          <w:kern w:val="0"/>
          <w:sz w:val="24"/>
          <w:lang w:bidi="ar"/>
        </w:rPr>
        <w:t>1、违约责任：</w:t>
      </w:r>
    </w:p>
    <w:p>
      <w:pPr>
        <w:spacing w:line="400" w:lineRule="exact"/>
        <w:ind w:firstLine="426" w:firstLineChars="200"/>
        <w:rPr>
          <w:rFonts w:ascii="宋体" w:cs="宋体"/>
          <w:kern w:val="0"/>
          <w:szCs w:val="21"/>
          <w:u w:color="000000"/>
        </w:rPr>
      </w:pPr>
      <w:r>
        <w:rPr>
          <w:rFonts w:hint="eastAsia" w:ascii="宋体" w:cs="宋体"/>
          <w:kern w:val="0"/>
          <w:szCs w:val="21"/>
          <w:u w:color="000000"/>
        </w:rPr>
        <w:t>供应商在工作时有下列行为，采购人将采取终止合同、列入黑名单及拒绝支付审计费用等处理处罚措施，涉嫌犯罪的，移送司法机关依法追究责任：</w:t>
      </w:r>
    </w:p>
    <w:p>
      <w:pPr>
        <w:spacing w:line="400" w:lineRule="exact"/>
        <w:ind w:left="700"/>
        <w:outlineLvl w:val="2"/>
        <w:rPr>
          <w:rFonts w:ascii="宋体" w:cs="宋体"/>
          <w:kern w:val="0"/>
          <w:szCs w:val="21"/>
          <w:u w:color="000000"/>
        </w:rPr>
      </w:pPr>
      <w:r>
        <w:rPr>
          <w:rFonts w:hint="eastAsia" w:ascii="宋体" w:cs="宋体"/>
          <w:kern w:val="0"/>
          <w:szCs w:val="21"/>
          <w:u w:color="000000"/>
        </w:rPr>
        <w:t xml:space="preserve">(1)将受托业务转包或分包给其他中介机构或个人； </w:t>
      </w:r>
    </w:p>
    <w:p>
      <w:pPr>
        <w:spacing w:line="400" w:lineRule="exact"/>
        <w:ind w:left="700"/>
        <w:rPr>
          <w:rFonts w:ascii="宋体" w:cs="宋体"/>
          <w:kern w:val="0"/>
          <w:szCs w:val="21"/>
          <w:u w:color="000000"/>
        </w:rPr>
      </w:pPr>
      <w:r>
        <w:rPr>
          <w:rFonts w:hint="eastAsia" w:ascii="宋体" w:cs="宋体"/>
          <w:kern w:val="0"/>
          <w:szCs w:val="21"/>
          <w:u w:color="000000"/>
        </w:rPr>
        <w:t xml:space="preserve">(2)未按委托要求实施程序导致应发现问题而未发现，或故意隐瞒存在问题； </w:t>
      </w:r>
    </w:p>
    <w:p>
      <w:pPr>
        <w:spacing w:line="400" w:lineRule="exact"/>
        <w:ind w:left="700"/>
        <w:rPr>
          <w:rFonts w:ascii="宋体" w:cs="宋体"/>
          <w:kern w:val="0"/>
          <w:szCs w:val="21"/>
          <w:u w:color="000000"/>
        </w:rPr>
      </w:pPr>
      <w:r>
        <w:rPr>
          <w:rFonts w:hint="eastAsia" w:ascii="宋体" w:cs="宋体"/>
          <w:kern w:val="0"/>
          <w:szCs w:val="21"/>
          <w:u w:color="000000"/>
        </w:rPr>
        <w:t xml:space="preserve">(3)全过程服务工作存在严重质量问题； </w:t>
      </w:r>
    </w:p>
    <w:p>
      <w:pPr>
        <w:spacing w:line="400" w:lineRule="exact"/>
        <w:ind w:left="700"/>
        <w:rPr>
          <w:rFonts w:ascii="宋体" w:cs="宋体"/>
          <w:kern w:val="0"/>
          <w:szCs w:val="21"/>
          <w:u w:color="000000"/>
        </w:rPr>
      </w:pPr>
      <w:r>
        <w:rPr>
          <w:rFonts w:hint="eastAsia" w:ascii="宋体" w:cs="宋体"/>
          <w:kern w:val="0"/>
          <w:szCs w:val="21"/>
          <w:u w:color="000000"/>
        </w:rPr>
        <w:t xml:space="preserve">(4)拒绝接受委托方监督、检查、指导； </w:t>
      </w:r>
    </w:p>
    <w:p>
      <w:pPr>
        <w:spacing w:line="400" w:lineRule="exact"/>
        <w:ind w:left="700"/>
        <w:rPr>
          <w:rFonts w:ascii="宋体" w:cs="宋体"/>
          <w:kern w:val="0"/>
          <w:szCs w:val="21"/>
          <w:u w:color="000000"/>
        </w:rPr>
      </w:pPr>
      <w:r>
        <w:rPr>
          <w:rFonts w:hint="eastAsia" w:ascii="宋体" w:cs="宋体"/>
          <w:kern w:val="0"/>
          <w:szCs w:val="21"/>
          <w:u w:color="000000"/>
        </w:rPr>
        <w:t>(5)索取、收受委托合同约定以外的酬金或者其他财物，或者利用执行业务之便，谋取其他不正当的利益；</w:t>
      </w:r>
    </w:p>
    <w:p>
      <w:pPr>
        <w:spacing w:line="400" w:lineRule="exact"/>
        <w:ind w:left="700"/>
        <w:rPr>
          <w:rFonts w:ascii="宋体" w:cs="宋体"/>
          <w:kern w:val="0"/>
          <w:szCs w:val="21"/>
          <w:u w:color="000000"/>
        </w:rPr>
      </w:pPr>
      <w:r>
        <w:rPr>
          <w:rFonts w:hint="eastAsia" w:ascii="宋体" w:cs="宋体"/>
          <w:kern w:val="0"/>
          <w:szCs w:val="21"/>
          <w:u w:color="000000"/>
        </w:rPr>
        <w:t xml:space="preserve">(6)泄露国家秘密、公安工作秘密和相关单位商业秘密； </w:t>
      </w:r>
    </w:p>
    <w:p>
      <w:pPr>
        <w:spacing w:line="400" w:lineRule="exact"/>
        <w:ind w:left="700"/>
        <w:rPr>
          <w:rFonts w:ascii="宋体" w:cs="宋体"/>
          <w:szCs w:val="21"/>
        </w:rPr>
      </w:pPr>
      <w:r>
        <w:rPr>
          <w:rFonts w:hint="eastAsia" w:ascii="宋体" w:cs="宋体"/>
          <w:kern w:val="0"/>
          <w:szCs w:val="21"/>
          <w:u w:color="000000"/>
        </w:rPr>
        <w:t>(7)其他违反执业规范和执业道德及违法违纪行为。</w:t>
      </w:r>
    </w:p>
    <w:p>
      <w:pPr>
        <w:spacing w:line="440" w:lineRule="exact"/>
        <w:outlineLvl w:val="3"/>
        <w:rPr>
          <w:rFonts w:ascii="宋体" w:cs="宋体"/>
          <w:szCs w:val="21"/>
        </w:rPr>
      </w:pPr>
      <w:r>
        <w:rPr>
          <w:rFonts w:hint="eastAsia" w:ascii="宋体" w:cs="宋体"/>
          <w:szCs w:val="21"/>
        </w:rPr>
        <w:t>七. 索赔</w:t>
      </w:r>
    </w:p>
    <w:p>
      <w:pPr>
        <w:spacing w:line="440" w:lineRule="exact"/>
        <w:outlineLvl w:val="1"/>
        <w:rPr>
          <w:rFonts w:ascii="宋体" w:cs="宋体"/>
          <w:szCs w:val="21"/>
        </w:rPr>
      </w:pPr>
      <w:r>
        <w:rPr>
          <w:rFonts w:hint="eastAsia" w:ascii="宋体" w:cs="宋体"/>
          <w:szCs w:val="21"/>
        </w:rPr>
        <w:t>1、索赔</w:t>
      </w:r>
    </w:p>
    <w:p>
      <w:pPr>
        <w:pStyle w:val="6"/>
        <w:overflowPunct w:val="0"/>
        <w:spacing w:line="440" w:lineRule="exact"/>
        <w:ind w:firstLine="532" w:firstLineChars="250"/>
        <w:rPr>
          <w:rFonts w:ascii="宋体" w:cs="宋体"/>
          <w:sz w:val="21"/>
          <w:szCs w:val="21"/>
          <w:u w:color="000000"/>
        </w:rPr>
      </w:pPr>
      <w:r>
        <w:rPr>
          <w:rFonts w:hint="eastAsia" w:ascii="宋体" w:cs="宋体"/>
          <w:sz w:val="21"/>
          <w:szCs w:val="21"/>
          <w:u w:color="000000"/>
        </w:rPr>
        <w:t>(1)买方有权根据当地产品质量检验机构或其它有权威部门出具的检验证书向卖方提出索赔。</w:t>
      </w:r>
    </w:p>
    <w:p>
      <w:pPr>
        <w:pStyle w:val="6"/>
        <w:overflowPunct w:val="0"/>
        <w:spacing w:line="440" w:lineRule="exact"/>
        <w:ind w:firstLine="532" w:firstLineChars="250"/>
        <w:rPr>
          <w:rFonts w:ascii="宋体" w:cs="宋体"/>
          <w:sz w:val="21"/>
          <w:szCs w:val="21"/>
          <w:u w:color="000000"/>
        </w:rPr>
      </w:pPr>
      <w:r>
        <w:rPr>
          <w:rFonts w:hint="eastAsia" w:ascii="宋体" w:cs="宋体"/>
          <w:sz w:val="21"/>
          <w:szCs w:val="21"/>
          <w:u w:color="000000"/>
        </w:rPr>
        <w:t>(2)在本合同规定的检验期和质量保证期内，如果卖方对买方提出的索赔或差异有责任，则卖方应按买方同意的下列一种或多种方式解决索赔事宜：</w:t>
      </w:r>
    </w:p>
    <w:p>
      <w:pPr>
        <w:pStyle w:val="6"/>
        <w:overflowPunct w:val="0"/>
        <w:spacing w:line="440" w:lineRule="exact"/>
        <w:ind w:firstLine="532" w:firstLineChars="250"/>
        <w:rPr>
          <w:rFonts w:ascii="宋体" w:cs="宋体"/>
          <w:sz w:val="21"/>
          <w:szCs w:val="21"/>
          <w:u w:color="000000"/>
        </w:rPr>
      </w:pPr>
      <w:r>
        <w:rPr>
          <w:rFonts w:hint="eastAsia" w:ascii="宋体" w:cs="宋体"/>
          <w:sz w:val="21"/>
          <w:szCs w:val="21"/>
          <w:u w:color="000000"/>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6"/>
        <w:overflowPunct w:val="0"/>
        <w:spacing w:line="440" w:lineRule="exact"/>
        <w:ind w:firstLine="532" w:firstLineChars="250"/>
        <w:rPr>
          <w:rFonts w:ascii="宋体" w:cs="宋体"/>
          <w:sz w:val="21"/>
          <w:szCs w:val="21"/>
          <w:u w:color="000000"/>
        </w:rPr>
      </w:pPr>
      <w:r>
        <w:rPr>
          <w:rFonts w:hint="eastAsia" w:ascii="宋体" w:cs="宋体"/>
          <w:sz w:val="21"/>
          <w:szCs w:val="21"/>
          <w:u w:color="000000"/>
        </w:rPr>
        <w:t>&lt;2&gt;根据标的物的低劣程度、损坏程度以及甲方遭受损失的数额，经双方协商确定降低标的物的价格；</w:t>
      </w:r>
    </w:p>
    <w:p>
      <w:pPr>
        <w:pStyle w:val="6"/>
        <w:overflowPunct w:val="0"/>
        <w:spacing w:line="440" w:lineRule="exact"/>
        <w:ind w:firstLine="532" w:firstLineChars="250"/>
        <w:rPr>
          <w:rFonts w:ascii="宋体" w:cs="宋体"/>
          <w:sz w:val="21"/>
          <w:szCs w:val="21"/>
          <w:u w:color="000000"/>
        </w:rPr>
      </w:pPr>
      <w:r>
        <w:rPr>
          <w:rFonts w:hint="eastAsia" w:ascii="宋体" w:cs="宋体"/>
          <w:sz w:val="21"/>
          <w:szCs w:val="21"/>
          <w:u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6"/>
        <w:overflowPunct w:val="0"/>
        <w:spacing w:line="440" w:lineRule="exact"/>
        <w:ind w:firstLine="532" w:firstLineChars="250"/>
        <w:rPr>
          <w:rFonts w:ascii="宋体" w:cs="宋体"/>
          <w:sz w:val="21"/>
          <w:szCs w:val="21"/>
          <w:u w:color="000000"/>
        </w:rPr>
      </w:pPr>
      <w:r>
        <w:rPr>
          <w:rFonts w:hint="eastAsia" w:ascii="宋体" w:cs="宋体"/>
          <w:sz w:val="21"/>
          <w:szCs w:val="21"/>
          <w:u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6"/>
        <w:overflowPunct w:val="0"/>
        <w:spacing w:line="440" w:lineRule="exact"/>
        <w:ind w:firstLine="532" w:firstLineChars="250"/>
        <w:rPr>
          <w:rFonts w:ascii="宋体" w:cs="宋体"/>
          <w:sz w:val="21"/>
          <w:szCs w:val="21"/>
          <w:u w:color="000000"/>
        </w:rPr>
      </w:pPr>
      <w:r>
        <w:rPr>
          <w:rFonts w:hint="eastAsia" w:ascii="宋体" w:cs="宋体"/>
          <w:sz w:val="21"/>
          <w:szCs w:val="21"/>
          <w:u w:color="000000"/>
        </w:rPr>
        <w:t>(4)买方提出索赔的书面材料应报当地政府采购管理部门备案。卖方同意的索赔方案应报当地政府采购管理部门审核。</w:t>
      </w:r>
    </w:p>
    <w:p>
      <w:pPr>
        <w:spacing w:line="440" w:lineRule="exact"/>
        <w:outlineLvl w:val="2"/>
        <w:rPr>
          <w:rFonts w:ascii="宋体" w:cs="宋体"/>
          <w:szCs w:val="21"/>
        </w:rPr>
      </w:pPr>
      <w:r>
        <w:rPr>
          <w:rFonts w:hint="eastAsia" w:ascii="宋体" w:cs="宋体"/>
          <w:szCs w:val="21"/>
        </w:rPr>
        <w:t>八. 履约保证金</w:t>
      </w:r>
    </w:p>
    <w:p>
      <w:pPr>
        <w:spacing w:line="440" w:lineRule="exact"/>
        <w:outlineLvl w:val="1"/>
        <w:rPr>
          <w:rFonts w:ascii="宋体" w:cs="宋体"/>
          <w:szCs w:val="21"/>
        </w:rPr>
      </w:pPr>
      <w:r>
        <w:rPr>
          <w:rFonts w:hint="eastAsia" w:ascii="宋体" w:cs="宋体"/>
          <w:szCs w:val="21"/>
        </w:rPr>
        <w:t>1、履约保证金</w:t>
      </w:r>
    </w:p>
    <w:p>
      <w:pPr>
        <w:spacing w:line="560" w:lineRule="exact"/>
        <w:ind w:firstLine="426" w:firstLineChars="200"/>
        <w:rPr>
          <w:rFonts w:ascii="宋体" w:cs="宋体"/>
          <w:kern w:val="0"/>
          <w:szCs w:val="21"/>
          <w:u w:color="000000"/>
        </w:rPr>
      </w:pPr>
      <w:r>
        <w:rPr>
          <w:rFonts w:hint="eastAsia" w:ascii="宋体" w:cs="宋体"/>
          <w:kern w:val="0"/>
          <w:szCs w:val="21"/>
          <w:u w:color="000000"/>
        </w:rPr>
        <w:t>（1）采购文件要求乙方提交履约保证金的，乙方应按合同专用条款约定的方式，以电汇、转账、网银汇款、保函等非现金形式，提交合同价10%的履约保证金；</w:t>
      </w:r>
    </w:p>
    <w:p>
      <w:pPr>
        <w:spacing w:line="560" w:lineRule="exact"/>
        <w:ind w:firstLine="426" w:firstLineChars="200"/>
        <w:rPr>
          <w:rFonts w:ascii="宋体" w:cs="宋体"/>
          <w:szCs w:val="21"/>
        </w:rPr>
      </w:pPr>
      <w:r>
        <w:rPr>
          <w:rFonts w:hint="eastAsia" w:ascii="宋体" w:cs="宋体"/>
          <w:kern w:val="0"/>
          <w:szCs w:val="21"/>
          <w:u w:color="000000"/>
        </w:rPr>
        <w:t xml:space="preserve"> （2）履约保证金在合同专用条款约定期间内或者服务质量保证期内不予退还或者应完全有效，前述约定期间届满或者服务质量保证期届满之日起 5 个工作日内，甲方应将履约保证金退还乙方；</w:t>
      </w:r>
    </w:p>
    <w:p>
      <w:pPr>
        <w:spacing w:line="440" w:lineRule="exact"/>
        <w:outlineLvl w:val="2"/>
        <w:rPr>
          <w:rFonts w:ascii="宋体" w:cs="宋体"/>
          <w:szCs w:val="21"/>
        </w:rPr>
      </w:pPr>
      <w:r>
        <w:rPr>
          <w:rFonts w:hint="eastAsia" w:ascii="宋体" w:cs="宋体"/>
          <w:szCs w:val="21"/>
        </w:rPr>
        <w:t>九.  合同的解除和转让</w:t>
      </w:r>
    </w:p>
    <w:p>
      <w:pPr>
        <w:spacing w:line="440" w:lineRule="exact"/>
        <w:outlineLvl w:val="1"/>
        <w:rPr>
          <w:rFonts w:ascii="宋体" w:cs="宋体"/>
          <w:szCs w:val="21"/>
        </w:rPr>
      </w:pPr>
      <w:r>
        <w:rPr>
          <w:rFonts w:hint="eastAsia" w:ascii="宋体" w:cs="宋体"/>
          <w:szCs w:val="21"/>
        </w:rPr>
        <w:t>1、合同的解除</w:t>
      </w:r>
    </w:p>
    <w:p>
      <w:pPr>
        <w:pStyle w:val="6"/>
        <w:spacing w:line="440" w:lineRule="exact"/>
        <w:ind w:firstLine="532" w:firstLineChars="250"/>
        <w:rPr>
          <w:rFonts w:ascii="宋体" w:cs="宋体"/>
          <w:sz w:val="21"/>
          <w:szCs w:val="21"/>
          <w:u w:color="000000"/>
        </w:rPr>
      </w:pPr>
      <w:r>
        <w:rPr>
          <w:rFonts w:hint="eastAsia" w:ascii="宋体" w:cs="宋体"/>
          <w:sz w:val="21"/>
          <w:szCs w:val="21"/>
          <w:u w:color="000000"/>
        </w:rPr>
        <w:t>(1)买方和卖方协商一致，可以解除合同。</w:t>
      </w:r>
    </w:p>
    <w:p>
      <w:pPr>
        <w:pStyle w:val="6"/>
        <w:spacing w:line="440" w:lineRule="exact"/>
        <w:ind w:firstLine="532" w:firstLineChars="250"/>
        <w:rPr>
          <w:rFonts w:ascii="宋体" w:cs="宋体"/>
          <w:sz w:val="21"/>
          <w:szCs w:val="21"/>
          <w:u w:color="000000"/>
        </w:rPr>
      </w:pPr>
      <w:r>
        <w:rPr>
          <w:rFonts w:hint="eastAsia" w:ascii="宋体" w:cs="宋体"/>
          <w:sz w:val="21"/>
          <w:szCs w:val="21"/>
          <w:u w:color="000000"/>
        </w:rPr>
        <w:t>(2)有下列情形之一，合同一方可以解除合同：</w:t>
      </w:r>
    </w:p>
    <w:p>
      <w:pPr>
        <w:pStyle w:val="6"/>
        <w:spacing w:line="440" w:lineRule="exact"/>
        <w:ind w:firstLine="532" w:firstLineChars="250"/>
        <w:rPr>
          <w:rFonts w:ascii="宋体" w:cs="宋体"/>
          <w:sz w:val="21"/>
          <w:szCs w:val="21"/>
          <w:u w:color="000000"/>
        </w:rPr>
      </w:pPr>
      <w:r>
        <w:rPr>
          <w:rFonts w:hint="eastAsia" w:ascii="宋体" w:cs="宋体"/>
          <w:sz w:val="21"/>
          <w:szCs w:val="21"/>
          <w:u w:color="000000"/>
        </w:rPr>
        <w:t>&lt;1&gt;因不可抗力致使不能实现合同目的，未受不可抗力影响的一方有权解除合同；</w:t>
      </w:r>
    </w:p>
    <w:p>
      <w:pPr>
        <w:pStyle w:val="6"/>
        <w:spacing w:line="440" w:lineRule="exact"/>
        <w:ind w:firstLine="532" w:firstLineChars="250"/>
        <w:rPr>
          <w:rFonts w:ascii="宋体" w:cs="宋体"/>
          <w:sz w:val="21"/>
          <w:szCs w:val="21"/>
          <w:u w:color="000000"/>
        </w:rPr>
      </w:pPr>
      <w:r>
        <w:rPr>
          <w:rFonts w:hint="eastAsia" w:ascii="宋体" w:cs="宋体"/>
          <w:sz w:val="21"/>
          <w:szCs w:val="21"/>
          <w:u w:color="000000"/>
        </w:rPr>
        <w:t>&lt;2&gt;因合同一方违约导致合同不能履行，另一方有权解除合同。</w:t>
      </w:r>
    </w:p>
    <w:p>
      <w:pPr>
        <w:pStyle w:val="6"/>
        <w:spacing w:line="440" w:lineRule="exact"/>
        <w:ind w:firstLine="532" w:firstLineChars="250"/>
        <w:rPr>
          <w:rFonts w:ascii="宋体" w:cs="宋体"/>
          <w:sz w:val="21"/>
          <w:szCs w:val="21"/>
          <w:u w:color="000000"/>
        </w:rPr>
      </w:pPr>
      <w:r>
        <w:rPr>
          <w:rFonts w:hint="eastAsia" w:ascii="宋体" w:cs="宋体"/>
          <w:sz w:val="21"/>
          <w:szCs w:val="21"/>
          <w:u w:color="000000"/>
        </w:rPr>
        <w:t>(3)有权解除合同的一方，应当在违约事实或不可抗力发生之后三十天内书面通知对方以主张解除合同，合同在书面通知到达对方时解除。</w:t>
      </w:r>
    </w:p>
    <w:p>
      <w:pPr>
        <w:spacing w:line="440" w:lineRule="exact"/>
        <w:outlineLvl w:val="1"/>
        <w:rPr>
          <w:rFonts w:ascii="宋体" w:cs="宋体"/>
          <w:szCs w:val="21"/>
        </w:rPr>
      </w:pPr>
      <w:r>
        <w:rPr>
          <w:rFonts w:hint="eastAsia" w:ascii="宋体" w:cs="宋体"/>
          <w:szCs w:val="21"/>
        </w:rPr>
        <w:t>2、合同的转让</w:t>
      </w:r>
    </w:p>
    <w:p>
      <w:pPr>
        <w:spacing w:line="440" w:lineRule="exact"/>
        <w:rPr>
          <w:rFonts w:ascii="宋体" w:cs="宋体"/>
          <w:szCs w:val="21"/>
        </w:rPr>
      </w:pPr>
      <w:r>
        <w:rPr>
          <w:rFonts w:hint="eastAsia" w:ascii="宋体" w:cs="宋体"/>
          <w:szCs w:val="21"/>
        </w:rPr>
        <w:t xml:space="preserve">    合同的部分和全部都不得转让。</w:t>
      </w:r>
    </w:p>
    <w:p>
      <w:pPr>
        <w:spacing w:line="440" w:lineRule="exact"/>
        <w:outlineLvl w:val="2"/>
        <w:rPr>
          <w:rFonts w:ascii="宋体" w:cs="宋体"/>
          <w:szCs w:val="21"/>
        </w:rPr>
      </w:pPr>
      <w:r>
        <w:rPr>
          <w:rFonts w:hint="eastAsia" w:ascii="宋体" w:cs="宋体"/>
          <w:szCs w:val="21"/>
        </w:rPr>
        <w:t>十. 合同的生效</w:t>
      </w:r>
    </w:p>
    <w:p>
      <w:pPr>
        <w:spacing w:line="440" w:lineRule="exact"/>
        <w:outlineLvl w:val="1"/>
        <w:rPr>
          <w:rFonts w:ascii="宋体" w:cs="宋体"/>
          <w:szCs w:val="21"/>
        </w:rPr>
      </w:pPr>
      <w:r>
        <w:rPr>
          <w:rFonts w:hint="eastAsia" w:ascii="宋体" w:cs="宋体"/>
          <w:szCs w:val="21"/>
        </w:rPr>
        <w:t>1、合同的生效</w:t>
      </w:r>
    </w:p>
    <w:p>
      <w:pPr>
        <w:spacing w:line="440" w:lineRule="exact"/>
        <w:ind w:firstLine="589" w:firstLineChars="277"/>
        <w:rPr>
          <w:rFonts w:ascii="宋体" w:cs="宋体"/>
          <w:szCs w:val="21"/>
        </w:rPr>
      </w:pPr>
      <w:r>
        <w:rPr>
          <w:rFonts w:hint="eastAsia" w:ascii="宋体" w:cs="宋体"/>
          <w:szCs w:val="21"/>
        </w:rPr>
        <w:t>本合同在双方签字盖章并在招标人收到中标人提交的履约保证金后，经招标采购管理部门备案后生效。</w:t>
      </w:r>
    </w:p>
    <w:p>
      <w:pPr>
        <w:spacing w:line="440" w:lineRule="exact"/>
        <w:outlineLvl w:val="2"/>
        <w:rPr>
          <w:rFonts w:ascii="宋体" w:cs="宋体"/>
          <w:szCs w:val="21"/>
        </w:rPr>
      </w:pPr>
      <w:r>
        <w:rPr>
          <w:rFonts w:hint="eastAsia" w:ascii="宋体" w:cs="宋体"/>
          <w:szCs w:val="21"/>
        </w:rPr>
        <w:t>十一. 争议解决</w:t>
      </w:r>
    </w:p>
    <w:p>
      <w:pPr>
        <w:spacing w:line="440" w:lineRule="exact"/>
        <w:ind w:firstLine="213" w:firstLineChars="100"/>
        <w:outlineLvl w:val="1"/>
        <w:rPr>
          <w:rFonts w:ascii="宋体" w:cs="宋体"/>
          <w:szCs w:val="21"/>
        </w:rPr>
      </w:pPr>
      <w:r>
        <w:rPr>
          <w:rFonts w:hint="eastAsia" w:ascii="宋体" w:cs="宋体"/>
          <w:szCs w:val="21"/>
        </w:rPr>
        <w:t>1、争议解决</w:t>
      </w:r>
    </w:p>
    <w:p>
      <w:pPr>
        <w:pStyle w:val="6"/>
        <w:overflowPunct w:val="0"/>
        <w:spacing w:line="440" w:lineRule="exact"/>
        <w:rPr>
          <w:rFonts w:ascii="宋体" w:cs="宋体"/>
          <w:sz w:val="21"/>
          <w:szCs w:val="21"/>
          <w:u w:color="000000"/>
        </w:rPr>
      </w:pPr>
      <w:r>
        <w:rPr>
          <w:rFonts w:hint="eastAsia" w:ascii="宋体" w:cs="宋体"/>
          <w:sz w:val="21"/>
          <w:szCs w:val="21"/>
          <w:u w:color="000000"/>
        </w:rPr>
        <w:t xml:space="preserve"> 买卖双方因合同发生争议，进行调解，协商不成，可选择：</w:t>
      </w:r>
    </w:p>
    <w:p>
      <w:pPr>
        <w:pStyle w:val="6"/>
        <w:overflowPunct w:val="0"/>
        <w:spacing w:line="440" w:lineRule="exact"/>
        <w:ind w:firstLine="532" w:firstLineChars="250"/>
        <w:rPr>
          <w:rFonts w:ascii="宋体" w:cs="宋体"/>
          <w:sz w:val="21"/>
          <w:szCs w:val="21"/>
          <w:u w:color="000000"/>
        </w:rPr>
      </w:pPr>
      <w:r>
        <w:rPr>
          <w:rFonts w:hint="eastAsia" w:ascii="宋体" w:cs="宋体"/>
          <w:sz w:val="21"/>
          <w:szCs w:val="21"/>
          <w:u w:color="000000"/>
        </w:rPr>
        <w:t>(1)双方同时申请仲裁；</w:t>
      </w:r>
    </w:p>
    <w:p>
      <w:pPr>
        <w:pStyle w:val="6"/>
        <w:tabs>
          <w:tab w:val="left" w:pos="900"/>
        </w:tabs>
        <w:overflowPunct w:val="0"/>
        <w:spacing w:line="440" w:lineRule="exact"/>
        <w:ind w:firstLine="532" w:firstLineChars="250"/>
        <w:rPr>
          <w:rFonts w:ascii="宋体" w:cs="宋体"/>
          <w:sz w:val="21"/>
          <w:szCs w:val="21"/>
          <w:u w:color="000000"/>
        </w:rPr>
      </w:pPr>
      <w:r>
        <w:rPr>
          <w:rFonts w:hint="eastAsia" w:ascii="宋体" w:cs="宋体"/>
          <w:sz w:val="21"/>
          <w:szCs w:val="21"/>
          <w:u w:color="000000"/>
        </w:rPr>
        <w:t>(2)向买方所在地人民法院提起诉讼。</w:t>
      </w:r>
    </w:p>
    <w:p>
      <w:pPr>
        <w:spacing w:line="440" w:lineRule="exact"/>
        <w:outlineLvl w:val="2"/>
        <w:rPr>
          <w:rFonts w:ascii="宋体" w:cs="宋体"/>
          <w:szCs w:val="21"/>
        </w:rPr>
      </w:pPr>
      <w:r>
        <w:rPr>
          <w:rFonts w:hint="eastAsia" w:ascii="宋体" w:cs="宋体"/>
          <w:szCs w:val="21"/>
        </w:rPr>
        <w:t>十二 .附则</w:t>
      </w:r>
    </w:p>
    <w:p>
      <w:pPr>
        <w:spacing w:line="440" w:lineRule="exact"/>
        <w:ind w:firstLine="213" w:firstLineChars="100"/>
        <w:outlineLvl w:val="1"/>
        <w:rPr>
          <w:rFonts w:ascii="宋体" w:cs="宋体"/>
          <w:szCs w:val="21"/>
        </w:rPr>
      </w:pPr>
      <w:r>
        <w:rPr>
          <w:rFonts w:hint="eastAsia" w:ascii="宋体" w:cs="宋体"/>
          <w:szCs w:val="21"/>
        </w:rPr>
        <w:t>1、合同份数。</w:t>
      </w:r>
    </w:p>
    <w:p>
      <w:pPr>
        <w:spacing w:line="440" w:lineRule="exact"/>
        <w:rPr>
          <w:rFonts w:ascii="宋体" w:cs="宋体"/>
          <w:szCs w:val="21"/>
        </w:rPr>
      </w:pPr>
      <w:r>
        <w:rPr>
          <w:rFonts w:hint="eastAsia" w:ascii="宋体" w:cs="宋体"/>
          <w:szCs w:val="21"/>
        </w:rPr>
        <w:t xml:space="preserve"> </w:t>
      </w:r>
      <w:r>
        <w:rPr>
          <w:rFonts w:hint="eastAsia" w:ascii="宋体" w:cs="宋体"/>
          <w:szCs w:val="21"/>
        </w:rPr>
        <w:tab/>
      </w:r>
      <w:r>
        <w:rPr>
          <w:rFonts w:hint="eastAsia" w:ascii="宋体" w:cs="宋体"/>
          <w:szCs w:val="21"/>
        </w:rPr>
        <w:t xml:space="preserve">  本合同一式陆份，买卖双方各执二份，招标代理机构一份，招标采购管理部门一份。</w:t>
      </w:r>
    </w:p>
    <w:p>
      <w:pPr>
        <w:spacing w:line="440" w:lineRule="exact"/>
        <w:ind w:firstLine="213" w:firstLineChars="100"/>
        <w:outlineLvl w:val="1"/>
        <w:rPr>
          <w:rFonts w:ascii="宋体" w:cs="宋体"/>
          <w:szCs w:val="21"/>
        </w:rPr>
      </w:pPr>
      <w:r>
        <w:rPr>
          <w:rFonts w:hint="eastAsia" w:ascii="宋体" w:cs="宋体"/>
          <w:szCs w:val="21"/>
        </w:rPr>
        <w:t>2、未尽事宜</w:t>
      </w:r>
    </w:p>
    <w:p>
      <w:pPr>
        <w:spacing w:line="440" w:lineRule="exact"/>
        <w:ind w:firstLine="532" w:firstLineChars="250"/>
        <w:rPr>
          <w:rFonts w:ascii="宋体" w:cs="宋体"/>
          <w:szCs w:val="21"/>
        </w:rPr>
      </w:pPr>
      <w:r>
        <w:rPr>
          <w:rFonts w:hint="eastAsia" w:ascii="宋体" w:cs="宋体"/>
          <w:szCs w:val="21"/>
        </w:rPr>
        <w:t>本合同未尽事宜应按《中华人民共和国政府采购法》、《中华人民共和国民法典》、《中华人民共和国产品质量法》之规定解释。</w:t>
      </w:r>
    </w:p>
    <w:p>
      <w:pPr>
        <w:pStyle w:val="11"/>
        <w:spacing w:after="0" w:line="400" w:lineRule="exact"/>
        <w:ind w:left="0" w:leftChars="0" w:firstLine="486" w:firstLineChars="200"/>
        <w:rPr>
          <w:kern w:val="0"/>
          <w:sz w:val="24"/>
          <w:szCs w:val="20"/>
          <w:u w:color="000000"/>
        </w:rPr>
      </w:pPr>
    </w:p>
    <w:p>
      <w:pPr>
        <w:pageBreakBefore/>
        <w:jc w:val="center"/>
        <w:outlineLvl w:val="0"/>
        <w:rPr>
          <w:rFonts w:ascii="宋体"/>
          <w:sz w:val="30"/>
          <w:szCs w:val="30"/>
        </w:rPr>
      </w:pPr>
      <w:bookmarkStart w:id="65" w:name="_Toc469495743"/>
      <w:r>
        <w:rPr>
          <w:rFonts w:hint="eastAsia" w:ascii="宋体"/>
          <w:sz w:val="30"/>
          <w:szCs w:val="30"/>
        </w:rPr>
        <w:t>第六章  投标文件格式</w:t>
      </w:r>
      <w:bookmarkEnd w:id="65"/>
    </w:p>
    <w:p>
      <w:pPr>
        <w:spacing w:line="240" w:lineRule="atLeast"/>
        <w:ind w:left="745" w:leftChars="350" w:firstLine="121" w:firstLineChars="50"/>
        <w:rPr>
          <w:rFonts w:ascii="仿宋" w:hAnsi="仿宋" w:eastAsia="仿宋" w:cs="仿宋"/>
          <w:sz w:val="24"/>
        </w:rPr>
      </w:pPr>
    </w:p>
    <w:p>
      <w:pPr>
        <w:pStyle w:val="3"/>
        <w:numPr>
          <w:ilvl w:val="0"/>
          <w:numId w:val="0"/>
        </w:numPr>
        <w:spacing w:line="240" w:lineRule="atLeast"/>
        <w:rPr>
          <w:rFonts w:ascii="宋体" w:hAnsi="宋体" w:cs="宋体"/>
        </w:rPr>
      </w:pPr>
      <w:bookmarkStart w:id="66" w:name="_Toc515647803"/>
      <w:bookmarkStart w:id="67" w:name="_Toc18974"/>
      <w:bookmarkStart w:id="68" w:name="_Toc18694"/>
      <w:bookmarkStart w:id="69" w:name="_Toc8919"/>
      <w:r>
        <w:rPr>
          <w:rFonts w:hint="eastAsia" w:ascii="宋体" w:hAnsi="宋体" w:cs="宋体"/>
        </w:rPr>
        <w:t>第一部分 资格证明文件</w:t>
      </w:r>
      <w:bookmarkEnd w:id="66"/>
      <w:bookmarkEnd w:id="67"/>
      <w:bookmarkEnd w:id="68"/>
      <w:bookmarkEnd w:id="69"/>
    </w:p>
    <w:p>
      <w:pPr>
        <w:spacing w:line="240" w:lineRule="atLeast"/>
        <w:ind w:left="717" w:hanging="716" w:hangingChars="295"/>
        <w:jc w:val="center"/>
        <w:rPr>
          <w:rFonts w:ascii="宋体" w:hAnsi="宋体" w:cs="宋体"/>
          <w:sz w:val="24"/>
        </w:rPr>
      </w:pPr>
    </w:p>
    <w:p>
      <w:pPr>
        <w:spacing w:line="440" w:lineRule="exact"/>
        <w:ind w:firstLine="287" w:firstLineChars="135"/>
        <w:rPr>
          <w:rFonts w:ascii="宋体" w:hAnsi="宋体"/>
          <w:szCs w:val="21"/>
        </w:rPr>
      </w:pPr>
      <w:r>
        <w:rPr>
          <w:rFonts w:hint="eastAsia" w:ascii="宋体" w:hAnsi="宋体"/>
          <w:szCs w:val="21"/>
        </w:rPr>
        <w:t>1、法人或者非法人组织的营业执照等证明文件复印件（须加盖本单位章）或自然人的身份证明复印件;</w:t>
      </w:r>
    </w:p>
    <w:p>
      <w:pPr>
        <w:spacing w:line="440" w:lineRule="exact"/>
        <w:ind w:firstLine="287" w:firstLineChars="135"/>
        <w:rPr>
          <w:rFonts w:ascii="宋体" w:hAnsi="宋体"/>
          <w:szCs w:val="21"/>
        </w:rPr>
      </w:pPr>
      <w:r>
        <w:rPr>
          <w:rFonts w:hint="eastAsia" w:ascii="宋体" w:hAnsi="宋体"/>
          <w:szCs w:val="21"/>
        </w:rPr>
        <w:t>2、法定代表人资格证明书；</w:t>
      </w:r>
    </w:p>
    <w:p>
      <w:pPr>
        <w:spacing w:line="440" w:lineRule="exact"/>
        <w:ind w:firstLine="287" w:firstLineChars="135"/>
        <w:rPr>
          <w:rFonts w:ascii="宋体" w:hAnsi="宋体"/>
          <w:szCs w:val="21"/>
        </w:rPr>
      </w:pPr>
      <w:r>
        <w:rPr>
          <w:rFonts w:hint="eastAsia" w:ascii="宋体" w:hAnsi="宋体"/>
          <w:szCs w:val="21"/>
        </w:rPr>
        <w:t>3、法定代表人授权书；</w:t>
      </w:r>
    </w:p>
    <w:p>
      <w:pPr>
        <w:spacing w:line="440" w:lineRule="exact"/>
        <w:ind w:firstLine="287" w:firstLineChars="135"/>
        <w:rPr>
          <w:rFonts w:ascii="宋体" w:hAnsi="宋体"/>
          <w:szCs w:val="21"/>
        </w:rPr>
      </w:pPr>
      <w:r>
        <w:rPr>
          <w:rFonts w:hint="eastAsia" w:ascii="宋体" w:hAnsi="宋体"/>
          <w:szCs w:val="21"/>
        </w:rPr>
        <w:t>4、投标保证金收据或投标担保函；</w:t>
      </w:r>
    </w:p>
    <w:p>
      <w:pPr>
        <w:spacing w:line="440" w:lineRule="exact"/>
        <w:ind w:firstLine="287" w:firstLineChars="135"/>
        <w:rPr>
          <w:rFonts w:ascii="宋体" w:hAnsi="宋体"/>
          <w:szCs w:val="21"/>
        </w:rPr>
      </w:pPr>
      <w:r>
        <w:rPr>
          <w:rFonts w:hint="eastAsia" w:ascii="宋体" w:hAnsi="宋体"/>
          <w:szCs w:val="21"/>
        </w:rPr>
        <w:t>5、投标企业须提供投标人（被授权在职人员）近6个月有效的社保证明；</w:t>
      </w:r>
    </w:p>
    <w:p>
      <w:pPr>
        <w:spacing w:line="440" w:lineRule="exact"/>
        <w:ind w:firstLine="287" w:firstLineChars="135"/>
        <w:rPr>
          <w:rFonts w:ascii="宋体" w:hAnsi="宋体"/>
          <w:szCs w:val="21"/>
        </w:rPr>
      </w:pPr>
      <w:r>
        <w:rPr>
          <w:rFonts w:hint="eastAsia" w:ascii="宋体" w:hAnsi="宋体"/>
          <w:szCs w:val="21"/>
        </w:rPr>
        <w:t>6、参加政府采购活动前3年内在经营活动中没有重大违法记录的书面声明;</w:t>
      </w:r>
    </w:p>
    <w:p>
      <w:pPr>
        <w:spacing w:line="440" w:lineRule="exact"/>
        <w:ind w:firstLine="287" w:firstLineChars="135"/>
        <w:rPr>
          <w:rFonts w:ascii="宋体" w:hAnsi="宋体"/>
          <w:szCs w:val="21"/>
        </w:rPr>
      </w:pPr>
      <w:r>
        <w:rPr>
          <w:rFonts w:hint="eastAsia" w:ascii="宋体" w:hAnsi="宋体"/>
          <w:szCs w:val="21"/>
        </w:rPr>
        <w:t>7、未被“信用中国”（www.creditchina.gov.cn）、中国政府采购网（www.ccgp.gov.cn）列入失信被执行人、重大税收违法案件当事人名单、政府采购严重违法失信行为记录名单；</w:t>
      </w:r>
    </w:p>
    <w:p>
      <w:pPr>
        <w:spacing w:line="440" w:lineRule="exact"/>
        <w:ind w:firstLine="287" w:firstLineChars="135"/>
        <w:rPr>
          <w:rFonts w:ascii="宋体" w:hAnsi="宋体"/>
          <w:szCs w:val="21"/>
        </w:rPr>
      </w:pPr>
      <w:r>
        <w:rPr>
          <w:rFonts w:hint="eastAsia" w:ascii="宋体" w:hAnsi="宋体"/>
          <w:szCs w:val="21"/>
        </w:rPr>
        <w:t>8、投标人须知资料表要求的其他资格证明文件;</w:t>
      </w:r>
    </w:p>
    <w:p>
      <w:pPr>
        <w:tabs>
          <w:tab w:val="left" w:pos="5580"/>
        </w:tabs>
        <w:spacing w:line="240" w:lineRule="atLeast"/>
        <w:ind w:left="1" w:firstLine="571" w:firstLineChars="235"/>
        <w:rPr>
          <w:rFonts w:ascii="宋体" w:hAnsi="宋体" w:cs="宋体"/>
          <w:sz w:val="24"/>
        </w:rPr>
      </w:pPr>
    </w:p>
    <w:p>
      <w:pPr>
        <w:tabs>
          <w:tab w:val="left" w:pos="5580"/>
        </w:tabs>
        <w:spacing w:line="240" w:lineRule="atLeast"/>
        <w:ind w:left="1" w:firstLine="571" w:firstLineChars="235"/>
        <w:rPr>
          <w:rFonts w:ascii="宋体" w:hAnsi="宋体" w:cs="宋体"/>
          <w:sz w:val="24"/>
        </w:rPr>
      </w:pPr>
    </w:p>
    <w:p>
      <w:pPr>
        <w:tabs>
          <w:tab w:val="left" w:pos="5580"/>
        </w:tabs>
        <w:spacing w:line="240" w:lineRule="atLeast"/>
        <w:ind w:left="1" w:firstLine="571" w:firstLineChars="235"/>
        <w:rPr>
          <w:rFonts w:ascii="宋体" w:hAnsi="宋体" w:cs="宋体"/>
          <w:sz w:val="24"/>
        </w:rPr>
      </w:pPr>
    </w:p>
    <w:p>
      <w:pPr>
        <w:tabs>
          <w:tab w:val="left" w:pos="5580"/>
        </w:tabs>
        <w:spacing w:line="240" w:lineRule="atLeast"/>
        <w:ind w:left="1" w:firstLine="571" w:firstLineChars="235"/>
        <w:rPr>
          <w:rFonts w:ascii="宋体" w:hAnsi="宋体" w:cs="宋体"/>
          <w:sz w:val="24"/>
        </w:rPr>
      </w:pPr>
    </w:p>
    <w:p>
      <w:pPr>
        <w:tabs>
          <w:tab w:val="left" w:pos="5580"/>
        </w:tabs>
        <w:spacing w:line="240" w:lineRule="atLeast"/>
        <w:ind w:left="1" w:firstLine="571" w:firstLineChars="235"/>
        <w:rPr>
          <w:rFonts w:ascii="宋体" w:hAnsi="宋体" w:cs="宋体"/>
          <w:sz w:val="24"/>
        </w:rPr>
      </w:pPr>
    </w:p>
    <w:p>
      <w:pPr>
        <w:tabs>
          <w:tab w:val="left" w:pos="5580"/>
        </w:tabs>
        <w:spacing w:line="240" w:lineRule="atLeast"/>
        <w:ind w:left="1" w:firstLine="571" w:firstLineChars="235"/>
        <w:rPr>
          <w:rFonts w:ascii="宋体" w:hAnsi="宋体" w:cs="宋体"/>
          <w:sz w:val="24"/>
        </w:rPr>
      </w:pPr>
    </w:p>
    <w:p>
      <w:pPr>
        <w:tabs>
          <w:tab w:val="left" w:pos="5580"/>
        </w:tabs>
        <w:spacing w:line="240" w:lineRule="atLeast"/>
        <w:ind w:left="1" w:firstLine="571" w:firstLineChars="235"/>
        <w:rPr>
          <w:rFonts w:ascii="宋体" w:hAnsi="宋体" w:cs="宋体"/>
          <w:sz w:val="24"/>
        </w:rPr>
      </w:pPr>
    </w:p>
    <w:p>
      <w:pPr>
        <w:tabs>
          <w:tab w:val="left" w:pos="5580"/>
        </w:tabs>
        <w:spacing w:line="240" w:lineRule="atLeast"/>
        <w:ind w:left="1" w:firstLine="571" w:firstLineChars="235"/>
        <w:rPr>
          <w:rFonts w:ascii="宋体" w:hAnsi="宋体" w:cs="宋体"/>
          <w:sz w:val="24"/>
        </w:rPr>
      </w:pPr>
    </w:p>
    <w:p>
      <w:pPr>
        <w:tabs>
          <w:tab w:val="left" w:pos="5580"/>
        </w:tabs>
        <w:spacing w:line="240" w:lineRule="atLeast"/>
        <w:ind w:left="1" w:firstLine="571" w:firstLineChars="235"/>
        <w:rPr>
          <w:rFonts w:ascii="宋体" w:hAnsi="宋体" w:cs="宋体"/>
          <w:sz w:val="24"/>
        </w:rPr>
      </w:pPr>
    </w:p>
    <w:p>
      <w:pPr>
        <w:tabs>
          <w:tab w:val="left" w:pos="5580"/>
        </w:tabs>
        <w:spacing w:line="240" w:lineRule="atLeast"/>
        <w:ind w:left="1" w:firstLine="571" w:firstLineChars="235"/>
        <w:rPr>
          <w:rFonts w:ascii="宋体" w:hAnsi="宋体" w:cs="宋体"/>
          <w:sz w:val="24"/>
        </w:rPr>
      </w:pPr>
    </w:p>
    <w:p>
      <w:pPr>
        <w:tabs>
          <w:tab w:val="left" w:pos="5580"/>
        </w:tabs>
        <w:spacing w:line="240" w:lineRule="atLeast"/>
        <w:ind w:left="1" w:firstLine="571" w:firstLineChars="235"/>
        <w:rPr>
          <w:rFonts w:ascii="宋体" w:hAnsi="宋体" w:cs="宋体"/>
          <w:sz w:val="24"/>
        </w:rPr>
      </w:pPr>
    </w:p>
    <w:p>
      <w:pPr>
        <w:tabs>
          <w:tab w:val="left" w:pos="5580"/>
        </w:tabs>
        <w:spacing w:line="240" w:lineRule="atLeast"/>
        <w:ind w:left="1" w:firstLine="571" w:firstLineChars="235"/>
        <w:rPr>
          <w:rFonts w:ascii="宋体" w:hAnsi="宋体" w:cs="宋体"/>
          <w:sz w:val="24"/>
        </w:rPr>
      </w:pPr>
    </w:p>
    <w:p>
      <w:pPr>
        <w:tabs>
          <w:tab w:val="left" w:pos="5580"/>
        </w:tabs>
        <w:spacing w:line="240" w:lineRule="atLeast"/>
        <w:ind w:left="1" w:firstLine="571" w:firstLineChars="235"/>
        <w:rPr>
          <w:rFonts w:ascii="宋体" w:hAnsi="宋体" w:cs="宋体"/>
          <w:sz w:val="24"/>
        </w:rPr>
      </w:pPr>
    </w:p>
    <w:p>
      <w:pPr>
        <w:pStyle w:val="4"/>
        <w:rPr>
          <w:rFonts w:ascii="宋体" w:hAnsi="宋体" w:cs="宋体"/>
          <w:b w:val="0"/>
          <w:bCs w:val="0"/>
          <w:color w:val="auto"/>
          <w:sz w:val="24"/>
        </w:rPr>
      </w:pPr>
    </w:p>
    <w:p/>
    <w:p>
      <w:pPr>
        <w:tabs>
          <w:tab w:val="left" w:pos="5580"/>
        </w:tabs>
        <w:spacing w:line="240" w:lineRule="atLeast"/>
        <w:ind w:left="1" w:firstLine="571" w:firstLineChars="235"/>
        <w:rPr>
          <w:rFonts w:ascii="宋体" w:hAnsi="宋体" w:cs="宋体"/>
          <w:sz w:val="24"/>
        </w:rPr>
      </w:pPr>
    </w:p>
    <w:p>
      <w:pPr>
        <w:pStyle w:val="4"/>
        <w:rPr>
          <w:b w:val="0"/>
          <w:bCs w:val="0"/>
          <w:color w:val="auto"/>
        </w:rPr>
      </w:pPr>
      <w:bookmarkStart w:id="70" w:name="_Toc4844"/>
      <w:bookmarkStart w:id="71" w:name="_Toc29899"/>
      <w:bookmarkStart w:id="72" w:name="_Toc17577"/>
      <w:bookmarkStart w:id="73" w:name="_Toc515647805"/>
      <w:bookmarkStart w:id="74" w:name="_Toc520356217"/>
      <w:bookmarkStart w:id="75" w:name="_Toc216582813"/>
      <w:bookmarkStart w:id="76" w:name="_Toc480942349"/>
      <w:bookmarkStart w:id="77" w:name="_Ref467988698"/>
    </w:p>
    <w:p/>
    <w:bookmarkEnd w:id="70"/>
    <w:bookmarkEnd w:id="71"/>
    <w:bookmarkEnd w:id="72"/>
    <w:bookmarkEnd w:id="73"/>
    <w:p>
      <w:pPr>
        <w:pStyle w:val="3"/>
        <w:numPr>
          <w:ilvl w:val="0"/>
          <w:numId w:val="0"/>
        </w:numPr>
        <w:spacing w:line="240" w:lineRule="atLeast"/>
        <w:rPr>
          <w:rFonts w:ascii="宋体" w:hAnsi="宋体" w:cs="宋体"/>
        </w:rPr>
      </w:pPr>
      <w:bookmarkStart w:id="78" w:name="_Toc4937"/>
      <w:bookmarkStart w:id="79" w:name="_Toc515647811"/>
      <w:bookmarkStart w:id="80" w:name="_Toc32670"/>
      <w:bookmarkStart w:id="81" w:name="_Toc24428"/>
      <w:r>
        <w:rPr>
          <w:rFonts w:hint="eastAsia" w:ascii="宋体" w:hAnsi="宋体" w:cs="宋体"/>
        </w:rPr>
        <w:t>1.开标一览表（投标文件格式一）</w:t>
      </w:r>
    </w:p>
    <w:p>
      <w:pPr>
        <w:pStyle w:val="6"/>
        <w:tabs>
          <w:tab w:val="left" w:pos="5580"/>
        </w:tabs>
        <w:spacing w:line="240" w:lineRule="atLeast"/>
        <w:ind w:firstLine="3364" w:firstLineChars="927"/>
        <w:rPr>
          <w:rFonts w:ascii="宋体" w:hAnsi="宋体" w:cs="宋体"/>
        </w:rPr>
      </w:pPr>
      <w:bookmarkStart w:id="82" w:name="_Hlt520356241"/>
      <w:bookmarkEnd w:id="82"/>
      <w:r>
        <w:rPr>
          <w:rFonts w:hint="eastAsia" w:ascii="宋体" w:hAnsi="宋体" w:cs="宋体"/>
          <w:sz w:val="36"/>
          <w:szCs w:val="24"/>
        </w:rPr>
        <w:t>开标一览表</w:t>
      </w:r>
    </w:p>
    <w:p>
      <w:pPr>
        <w:adjustRightInd w:val="0"/>
        <w:snapToGrid w:val="0"/>
        <w:spacing w:line="500" w:lineRule="exact"/>
        <w:rPr>
          <w:rFonts w:ascii="宋体" w:hAnsi="宋体" w:cs="宋体"/>
          <w:szCs w:val="21"/>
          <w:u w:val="single"/>
        </w:rPr>
      </w:pPr>
      <w:r>
        <w:rPr>
          <w:rFonts w:hint="eastAsia" w:ascii="宋体" w:hAnsi="宋体" w:cs="宋体"/>
          <w:szCs w:val="21"/>
        </w:rPr>
        <w:t xml:space="preserve">招标项目名称： </w:t>
      </w:r>
      <w:r>
        <w:rPr>
          <w:rFonts w:hint="eastAsia" w:ascii="宋体" w:hAnsi="宋体" w:cs="宋体"/>
          <w:szCs w:val="21"/>
          <w:u w:val="single"/>
        </w:rPr>
        <w:t xml:space="preserve">                         </w:t>
      </w:r>
    </w:p>
    <w:p>
      <w:pPr>
        <w:adjustRightInd w:val="0"/>
        <w:snapToGrid w:val="0"/>
        <w:spacing w:line="500" w:lineRule="exact"/>
        <w:rPr>
          <w:rFonts w:ascii="宋体" w:hAnsi="宋体" w:cs="宋体"/>
          <w:i/>
          <w:iCs/>
          <w:szCs w:val="21"/>
        </w:rPr>
      </w:pPr>
      <w:r>
        <w:rPr>
          <w:rFonts w:hint="eastAsia" w:ascii="宋体" w:hAnsi="宋体" w:cs="宋体"/>
          <w:szCs w:val="21"/>
        </w:rPr>
        <w:t>招标项目编号：</w:t>
      </w:r>
      <w:r>
        <w:rPr>
          <w:rFonts w:hint="eastAsia" w:ascii="宋体" w:hAnsi="宋体" w:cs="宋体"/>
          <w:i/>
          <w:iCs/>
          <w:szCs w:val="21"/>
        </w:rPr>
        <w:t xml:space="preserve"> </w:t>
      </w:r>
      <w:r>
        <w:rPr>
          <w:rFonts w:hint="eastAsia" w:ascii="宋体" w:hAnsi="宋体" w:cs="宋体"/>
          <w:szCs w:val="21"/>
          <w:u w:val="single"/>
        </w:rPr>
        <w:t xml:space="preserve">                         </w:t>
      </w:r>
    </w:p>
    <w:p>
      <w:pPr>
        <w:spacing w:line="500" w:lineRule="exact"/>
        <w:rPr>
          <w:rFonts w:ascii="宋体" w:hAnsi="宋体" w:cs="宋体"/>
          <w:szCs w:val="21"/>
        </w:rPr>
      </w:pPr>
      <w:r>
        <w:rPr>
          <w:rFonts w:hint="eastAsia" w:ascii="宋体" w:hAnsi="宋体" w:cs="宋体"/>
          <w:szCs w:val="21"/>
        </w:rPr>
        <w:t xml:space="preserve">                                                 单位：元（人民币）</w:t>
      </w:r>
    </w:p>
    <w:tbl>
      <w:tblPr>
        <w:tblStyle w:val="27"/>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pPr>
              <w:jc w:val="center"/>
              <w:rPr>
                <w:rFonts w:ascii="宋体" w:hAnsi="宋体" w:cs="宋体"/>
                <w:szCs w:val="21"/>
              </w:rPr>
            </w:pPr>
            <w:r>
              <w:rPr>
                <w:rFonts w:hint="eastAsia" w:ascii="宋体" w:hAnsi="宋体" w:cs="宋体"/>
                <w:szCs w:val="21"/>
              </w:rPr>
              <w:t>投标项目名称</w:t>
            </w:r>
          </w:p>
        </w:tc>
        <w:tc>
          <w:tcPr>
            <w:tcW w:w="6185"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pPr>
              <w:jc w:val="center"/>
              <w:rPr>
                <w:rFonts w:ascii="宋体" w:hAnsi="宋体" w:cs="宋体"/>
                <w:szCs w:val="21"/>
              </w:rPr>
            </w:pPr>
            <w:r>
              <w:rPr>
                <w:rFonts w:hint="eastAsia" w:ascii="宋体" w:hAnsi="宋体" w:cs="宋体"/>
                <w:szCs w:val="21"/>
              </w:rPr>
              <w:t>供货（服务）日期</w:t>
            </w:r>
          </w:p>
        </w:tc>
        <w:tc>
          <w:tcPr>
            <w:tcW w:w="61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pPr>
              <w:jc w:val="center"/>
              <w:rPr>
                <w:rFonts w:ascii="宋体" w:hAnsi="宋体" w:cs="宋体"/>
                <w:szCs w:val="21"/>
              </w:rPr>
            </w:pPr>
            <w:r>
              <w:rPr>
                <w:rFonts w:hint="eastAsia" w:ascii="宋体" w:hAnsi="宋体" w:cs="宋体"/>
                <w:szCs w:val="21"/>
              </w:rPr>
              <w:t>投标有效期</w:t>
            </w:r>
          </w:p>
        </w:tc>
        <w:tc>
          <w:tcPr>
            <w:tcW w:w="61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pPr>
              <w:jc w:val="center"/>
              <w:rPr>
                <w:rFonts w:ascii="宋体" w:hAnsi="宋体" w:cs="宋体"/>
                <w:szCs w:val="21"/>
              </w:rPr>
            </w:pPr>
            <w:r>
              <w:rPr>
                <w:rFonts w:hint="eastAsia" w:ascii="宋体" w:hAnsi="宋体" w:cs="宋体"/>
                <w:szCs w:val="21"/>
              </w:rPr>
              <w:t>投标报价</w:t>
            </w:r>
          </w:p>
          <w:p>
            <w:pPr>
              <w:jc w:val="center"/>
              <w:rPr>
                <w:rFonts w:ascii="宋体" w:hAnsi="宋体" w:cs="宋体"/>
                <w:szCs w:val="21"/>
              </w:rPr>
            </w:pPr>
            <w:r>
              <w:rPr>
                <w:rFonts w:hint="eastAsia" w:ascii="宋体" w:hAnsi="宋体" w:cs="宋体"/>
                <w:szCs w:val="21"/>
              </w:rPr>
              <w:t>（人民币）</w:t>
            </w:r>
          </w:p>
        </w:tc>
        <w:tc>
          <w:tcPr>
            <w:tcW w:w="974" w:type="dxa"/>
            <w:tcBorders>
              <w:top w:val="single" w:color="auto" w:sz="4" w:space="0"/>
              <w:bottom w:val="single" w:color="auto" w:sz="4" w:space="0"/>
            </w:tcBorders>
            <w:vAlign w:val="center"/>
          </w:tcPr>
          <w:p>
            <w:pPr>
              <w:widowControl/>
              <w:jc w:val="center"/>
              <w:rPr>
                <w:rFonts w:ascii="宋体" w:hAnsi="宋体" w:cs="宋体"/>
                <w:szCs w:val="21"/>
              </w:rPr>
            </w:pPr>
            <w:r>
              <w:rPr>
                <w:rFonts w:hint="eastAsia" w:ascii="宋体" w:hAnsi="宋体" w:cs="宋体"/>
                <w:szCs w:val="21"/>
              </w:rPr>
              <w:t>小写</w:t>
            </w:r>
          </w:p>
        </w:tc>
        <w:tc>
          <w:tcPr>
            <w:tcW w:w="61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pPr>
              <w:jc w:val="center"/>
              <w:rPr>
                <w:rFonts w:ascii="宋体" w:hAnsi="宋体" w:cs="宋体"/>
                <w:szCs w:val="21"/>
              </w:rPr>
            </w:pPr>
          </w:p>
        </w:tc>
        <w:tc>
          <w:tcPr>
            <w:tcW w:w="974" w:type="dxa"/>
            <w:tcBorders>
              <w:top w:val="single" w:color="auto" w:sz="4" w:space="0"/>
              <w:bottom w:val="single" w:color="auto" w:sz="4" w:space="0"/>
            </w:tcBorders>
            <w:vAlign w:val="center"/>
          </w:tcPr>
          <w:p>
            <w:pPr>
              <w:widowControl/>
              <w:jc w:val="center"/>
              <w:rPr>
                <w:rFonts w:ascii="宋体" w:hAnsi="宋体" w:cs="宋体"/>
                <w:szCs w:val="21"/>
              </w:rPr>
            </w:pPr>
            <w:r>
              <w:rPr>
                <w:rFonts w:hint="eastAsia" w:ascii="宋体" w:hAnsi="宋体" w:cs="宋体"/>
                <w:szCs w:val="21"/>
              </w:rPr>
              <w:t>大写</w:t>
            </w:r>
          </w:p>
        </w:tc>
        <w:tc>
          <w:tcPr>
            <w:tcW w:w="6185" w:type="dxa"/>
            <w:vAlign w:val="center"/>
          </w:tcPr>
          <w:p>
            <w:pPr>
              <w:jc w:val="center"/>
              <w:rPr>
                <w:rFonts w:ascii="宋体" w:hAnsi="宋体" w:cs="宋体"/>
                <w:szCs w:val="21"/>
              </w:rPr>
            </w:pPr>
          </w:p>
        </w:tc>
      </w:tr>
    </w:tbl>
    <w:p>
      <w:pPr>
        <w:spacing w:line="500" w:lineRule="exact"/>
        <w:ind w:firstLine="416" w:firstLineChars="196"/>
        <w:rPr>
          <w:rFonts w:ascii="宋体" w:hAnsi="宋体" w:cs="宋体"/>
          <w:szCs w:val="21"/>
        </w:rPr>
      </w:pPr>
      <w:r>
        <w:rPr>
          <w:rFonts w:hint="eastAsia" w:ascii="宋体" w:hAnsi="宋体" w:cs="宋体"/>
          <w:szCs w:val="21"/>
        </w:rPr>
        <w:t>填写说明：</w:t>
      </w:r>
    </w:p>
    <w:p>
      <w:pPr>
        <w:spacing w:line="500" w:lineRule="exact"/>
        <w:ind w:firstLine="416" w:firstLineChars="196"/>
        <w:rPr>
          <w:rFonts w:ascii="宋体" w:hAnsi="宋体" w:cs="宋体"/>
          <w:szCs w:val="21"/>
        </w:rPr>
      </w:pPr>
      <w:r>
        <w:rPr>
          <w:rFonts w:hint="eastAsia" w:ascii="宋体" w:hAnsi="宋体" w:cs="宋体"/>
          <w:szCs w:val="21"/>
        </w:rPr>
        <w:t>1.为方便开标唱标，投标人应将开标一览表单独密封，并在信封上标明“开标一览表”字样，然后在递交投标文件时单独递交</w:t>
      </w:r>
      <w:r>
        <w:rPr>
          <w:rFonts w:hint="eastAsia" w:ascii="宋体" w:hAnsi="宋体" w:cs="宋体"/>
          <w:sz w:val="24"/>
        </w:rPr>
        <w:t>。</w:t>
      </w:r>
    </w:p>
    <w:p>
      <w:pPr>
        <w:spacing w:line="500" w:lineRule="exact"/>
        <w:ind w:firstLine="426" w:firstLineChars="200"/>
        <w:rPr>
          <w:rFonts w:ascii="宋体" w:hAnsi="宋体" w:cs="宋体"/>
          <w:szCs w:val="21"/>
        </w:rPr>
      </w:pPr>
      <w:r>
        <w:rPr>
          <w:rFonts w:hint="eastAsia" w:ascii="宋体" w:hAnsi="宋体" w:cs="宋体"/>
          <w:szCs w:val="21"/>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500" w:lineRule="exact"/>
        <w:ind w:firstLine="426" w:firstLineChars="200"/>
        <w:rPr>
          <w:rFonts w:ascii="宋体" w:hAnsi="宋体" w:cs="宋体"/>
          <w:szCs w:val="21"/>
        </w:rPr>
      </w:pPr>
      <w:r>
        <w:rPr>
          <w:rFonts w:hint="eastAsia" w:ascii="宋体" w:hAnsi="宋体" w:cs="宋体"/>
          <w:szCs w:val="21"/>
        </w:rPr>
        <w:t>3.投标总价为招标范围所列全部招标项目的报价总和，并应与投标报价明细表及分项价格表保持一致。</w:t>
      </w:r>
    </w:p>
    <w:p>
      <w:pPr>
        <w:spacing w:line="500" w:lineRule="exact"/>
        <w:ind w:firstLine="426" w:firstLineChars="200"/>
        <w:rPr>
          <w:rFonts w:ascii="宋体" w:hAnsi="宋体" w:cs="宋体"/>
          <w:szCs w:val="21"/>
        </w:rPr>
      </w:pPr>
      <w:r>
        <w:rPr>
          <w:rFonts w:hint="eastAsia" w:ascii="宋体" w:hAnsi="宋体" w:cs="宋体"/>
          <w:szCs w:val="21"/>
        </w:rPr>
        <w:t>4.必须在投标文件中装订。</w:t>
      </w:r>
    </w:p>
    <w:p>
      <w:pPr>
        <w:spacing w:line="500" w:lineRule="exact"/>
        <w:ind w:firstLine="426" w:firstLineChars="200"/>
        <w:rPr>
          <w:rFonts w:ascii="宋体" w:hAnsi="宋体" w:cs="宋体"/>
          <w:szCs w:val="21"/>
        </w:rPr>
      </w:pPr>
      <w:r>
        <w:rPr>
          <w:rFonts w:hint="eastAsia" w:ascii="宋体" w:hAnsi="宋体" w:cs="宋体"/>
          <w:szCs w:val="21"/>
        </w:rPr>
        <w:t>5.投标报价不得填报选择性报价。</w:t>
      </w:r>
    </w:p>
    <w:p>
      <w:pPr>
        <w:spacing w:line="500" w:lineRule="exact"/>
        <w:ind w:firstLine="426" w:firstLineChars="200"/>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（加盖公章）     </w:t>
      </w:r>
      <w:r>
        <w:rPr>
          <w:rFonts w:hint="eastAsia" w:ascii="宋体" w:hAnsi="宋体" w:cs="宋体"/>
          <w:szCs w:val="21"/>
        </w:rPr>
        <w:t xml:space="preserve">       </w:t>
      </w:r>
    </w:p>
    <w:p>
      <w:pPr>
        <w:spacing w:line="500" w:lineRule="exact"/>
        <w:ind w:firstLine="426" w:firstLineChars="200"/>
        <w:rPr>
          <w:rFonts w:ascii="宋体" w:hAnsi="宋体" w:cs="宋体"/>
          <w:szCs w:val="21"/>
        </w:rPr>
      </w:pPr>
      <w:r>
        <w:rPr>
          <w:rFonts w:hint="eastAsia" w:ascii="宋体" w:hAnsi="宋体" w:cs="宋体"/>
          <w:szCs w:val="21"/>
        </w:rPr>
        <w:t>法定代表人签字或盖章：</w:t>
      </w:r>
      <w:r>
        <w:rPr>
          <w:rFonts w:hint="eastAsia" w:ascii="宋体" w:hAnsi="宋体" w:cs="宋体"/>
          <w:szCs w:val="21"/>
          <w:u w:val="single"/>
        </w:rPr>
        <w:t xml:space="preserve">           </w:t>
      </w:r>
      <w:r>
        <w:rPr>
          <w:rFonts w:hint="eastAsia" w:ascii="宋体" w:hAnsi="宋体" w:cs="宋体"/>
          <w:szCs w:val="21"/>
        </w:rPr>
        <w:t xml:space="preserve"> </w:t>
      </w:r>
    </w:p>
    <w:p>
      <w:pPr>
        <w:spacing w:line="500" w:lineRule="exact"/>
        <w:ind w:firstLine="426" w:firstLineChars="200"/>
        <w:rPr>
          <w:rFonts w:ascii="宋体" w:hAnsi="宋体" w:cs="宋体"/>
          <w:szCs w:val="21"/>
        </w:rPr>
      </w:pPr>
      <w:r>
        <w:rPr>
          <w:rFonts w:hint="eastAsia" w:ascii="宋体" w:hAnsi="宋体" w:cs="宋体"/>
          <w:szCs w:val="21"/>
        </w:rPr>
        <w:t>授权代表签字或盖章：</w:t>
      </w:r>
      <w:r>
        <w:rPr>
          <w:rFonts w:hint="eastAsia" w:ascii="宋体" w:hAnsi="宋体" w:cs="宋体"/>
          <w:szCs w:val="21"/>
          <w:u w:val="single"/>
        </w:rPr>
        <w:t xml:space="preserve">               </w:t>
      </w:r>
      <w:r>
        <w:rPr>
          <w:rFonts w:hint="eastAsia" w:ascii="宋体" w:hAnsi="宋体" w:cs="宋体"/>
          <w:szCs w:val="21"/>
        </w:rPr>
        <w:t xml:space="preserve">  </w:t>
      </w:r>
    </w:p>
    <w:p>
      <w:pPr>
        <w:spacing w:line="500" w:lineRule="exact"/>
        <w:ind w:firstLine="426" w:firstLineChars="200"/>
        <w:rPr>
          <w:rFonts w:ascii="宋体" w:hAnsi="宋体" w:cs="宋体"/>
          <w:sz w:val="24"/>
        </w:rPr>
      </w:pPr>
      <w:r>
        <w:rPr>
          <w:rFonts w:hint="eastAsia" w:ascii="宋体" w:hAnsi="宋体" w:cs="宋体"/>
          <w:szCs w:val="21"/>
        </w:rPr>
        <w:t>签署日期：</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pStyle w:val="3"/>
        <w:numPr>
          <w:ilvl w:val="0"/>
          <w:numId w:val="0"/>
        </w:numPr>
        <w:spacing w:line="400" w:lineRule="exact"/>
        <w:rPr>
          <w:rFonts w:ascii="宋体" w:hAnsi="宋体" w:cs="宋体"/>
        </w:rPr>
      </w:pPr>
    </w:p>
    <w:p>
      <w:pPr>
        <w:pStyle w:val="3"/>
        <w:numPr>
          <w:ilvl w:val="0"/>
          <w:numId w:val="0"/>
        </w:numPr>
        <w:spacing w:line="400" w:lineRule="exact"/>
        <w:rPr>
          <w:rFonts w:ascii="宋体" w:hAnsi="宋体" w:cs="宋体"/>
        </w:rPr>
      </w:pPr>
      <w:r>
        <w:rPr>
          <w:rFonts w:hint="eastAsia" w:ascii="宋体" w:hAnsi="宋体" w:cs="宋体"/>
        </w:rPr>
        <w:t>2.法人或者非法人组织的营业执照等证明文件</w:t>
      </w:r>
      <w:bookmarkStart w:id="83" w:name="_Toc515647806"/>
      <w:r>
        <w:rPr>
          <w:rFonts w:hint="eastAsia" w:ascii="宋体" w:hAnsi="宋体" w:cs="宋体"/>
        </w:rPr>
        <w:t>或自然人的身份证明</w:t>
      </w:r>
      <w:bookmarkEnd w:id="83"/>
    </w:p>
    <w:p>
      <w:pPr>
        <w:pStyle w:val="13"/>
        <w:tabs>
          <w:tab w:val="left" w:pos="5580"/>
        </w:tabs>
        <w:spacing w:line="400" w:lineRule="exact"/>
        <w:ind w:left="1087" w:leftChars="257" w:hanging="540"/>
        <w:jc w:val="center"/>
        <w:rPr>
          <w:rFonts w:hAnsi="宋体" w:cs="宋体"/>
          <w:color w:val="auto"/>
          <w:sz w:val="24"/>
        </w:rPr>
      </w:pPr>
    </w:p>
    <w:p>
      <w:pPr>
        <w:pStyle w:val="13"/>
        <w:tabs>
          <w:tab w:val="left" w:pos="5580"/>
        </w:tabs>
        <w:spacing w:line="400" w:lineRule="exact"/>
        <w:ind w:left="1087" w:leftChars="257" w:hanging="540"/>
        <w:rPr>
          <w:rFonts w:hAnsi="宋体" w:cs="宋体"/>
          <w:color w:val="auto"/>
          <w:sz w:val="24"/>
        </w:rPr>
      </w:pPr>
    </w:p>
    <w:p>
      <w:pPr>
        <w:pStyle w:val="13"/>
        <w:tabs>
          <w:tab w:val="left" w:pos="5580"/>
        </w:tabs>
        <w:spacing w:line="400" w:lineRule="exact"/>
        <w:ind w:left="1087" w:leftChars="257" w:hanging="540"/>
        <w:rPr>
          <w:rFonts w:hAnsi="宋体" w:cs="宋体"/>
          <w:color w:val="auto"/>
          <w:szCs w:val="16"/>
        </w:rPr>
      </w:pPr>
    </w:p>
    <w:p>
      <w:pPr>
        <w:pStyle w:val="13"/>
        <w:tabs>
          <w:tab w:val="left" w:pos="5580"/>
        </w:tabs>
        <w:spacing w:line="400" w:lineRule="exact"/>
        <w:ind w:left="1087" w:leftChars="257" w:hanging="540"/>
        <w:rPr>
          <w:rFonts w:hAnsi="宋体" w:cs="宋体"/>
          <w:color w:val="auto"/>
          <w:szCs w:val="16"/>
        </w:rPr>
      </w:pPr>
      <w:r>
        <w:rPr>
          <w:rFonts w:hint="eastAsia" w:hAnsi="宋体" w:cs="宋体"/>
          <w:color w:val="auto"/>
          <w:szCs w:val="16"/>
        </w:rPr>
        <w:t>说明：1.提供有效的营业执照等证明文件复印件，复印件上应加盖本单位章。</w:t>
      </w:r>
    </w:p>
    <w:p>
      <w:pPr>
        <w:pStyle w:val="13"/>
        <w:tabs>
          <w:tab w:val="left" w:pos="5580"/>
        </w:tabs>
        <w:spacing w:line="400" w:lineRule="exact"/>
        <w:ind w:left="1087" w:leftChars="257" w:hanging="540"/>
        <w:outlineLvl w:val="2"/>
        <w:rPr>
          <w:rFonts w:hAnsi="宋体" w:cs="宋体"/>
          <w:color w:val="auto"/>
          <w:szCs w:val="16"/>
        </w:rPr>
      </w:pPr>
      <w:r>
        <w:rPr>
          <w:rFonts w:hint="eastAsia" w:hAnsi="宋体" w:cs="宋体"/>
          <w:color w:val="auto"/>
          <w:szCs w:val="16"/>
        </w:rPr>
        <w:t xml:space="preserve">      2. 投标人为自然人的，应提供身份证明的复印件。</w:t>
      </w:r>
    </w:p>
    <w:p>
      <w:pPr>
        <w:pStyle w:val="13"/>
        <w:tabs>
          <w:tab w:val="left" w:pos="5580"/>
        </w:tabs>
        <w:spacing w:line="400" w:lineRule="exact"/>
        <w:ind w:left="1087" w:leftChars="257" w:hanging="540"/>
        <w:rPr>
          <w:rFonts w:hAnsi="宋体" w:cs="宋体"/>
          <w:color w:val="auto"/>
          <w:szCs w:val="16"/>
        </w:rPr>
      </w:pPr>
      <w:r>
        <w:rPr>
          <w:rFonts w:hint="eastAsia" w:hAnsi="宋体" w:cs="宋体"/>
          <w:color w:val="auto"/>
          <w:szCs w:val="16"/>
        </w:rPr>
        <w:t xml:space="preserve">      3.联合体投标应提供联合体各方满足以上要求的证明文件。</w:t>
      </w:r>
    </w:p>
    <w:p>
      <w:pPr>
        <w:pStyle w:val="13"/>
        <w:tabs>
          <w:tab w:val="left" w:pos="5580"/>
        </w:tabs>
        <w:spacing w:line="400" w:lineRule="exact"/>
        <w:ind w:left="1087" w:leftChars="257" w:hanging="540"/>
        <w:rPr>
          <w:rFonts w:hAnsi="宋体" w:cs="宋体"/>
          <w:color w:val="auto"/>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pStyle w:val="10"/>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outlineLvl w:val="2"/>
        <w:rPr>
          <w:rFonts w:ascii="宋体" w:hAnsi="宋体" w:cs="宋体"/>
          <w:sz w:val="24"/>
        </w:rPr>
      </w:pPr>
      <w:r>
        <w:rPr>
          <w:rFonts w:hint="eastAsia" w:ascii="宋体" w:hAnsi="宋体" w:cs="宋体"/>
          <w:sz w:val="24"/>
        </w:rPr>
        <w:t>3.法定代表人资格证明书（投标文件格式二）</w:t>
      </w:r>
    </w:p>
    <w:p>
      <w:pPr>
        <w:adjustRightInd w:val="0"/>
        <w:snapToGrid w:val="0"/>
        <w:spacing w:before="325" w:beforeLines="100" w:after="325" w:afterLines="100" w:line="500" w:lineRule="exact"/>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（采购人）</w:t>
      </w:r>
    </w:p>
    <w:p>
      <w:pPr>
        <w:spacing w:line="500" w:lineRule="exac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500" w:lineRule="exact"/>
        <w:ind w:firstLine="213" w:firstLineChars="100"/>
        <w:rPr>
          <w:rFonts w:ascii="宋体" w:hAnsi="宋体" w:cs="宋体"/>
          <w:szCs w:val="21"/>
        </w:rPr>
      </w:pPr>
      <w:r>
        <w:rPr>
          <w:rFonts w:hint="eastAsia" w:ascii="宋体" w:hAnsi="宋体" w:cs="宋体"/>
          <w:szCs w:val="21"/>
        </w:rPr>
        <w:t>签发日期：                  单位：           （盖章）</w:t>
      </w:r>
    </w:p>
    <w:p>
      <w:pPr>
        <w:spacing w:line="500" w:lineRule="exact"/>
        <w:ind w:firstLine="213" w:firstLineChars="100"/>
        <w:rPr>
          <w:rFonts w:ascii="宋体" w:hAnsi="宋体" w:cs="宋体"/>
          <w:szCs w:val="21"/>
        </w:rPr>
      </w:pPr>
      <w:r>
        <w:rPr>
          <w:rFonts w:hint="eastAsia" w:ascii="宋体" w:hAnsi="宋体" w:cs="宋体"/>
          <w:szCs w:val="21"/>
        </w:rPr>
        <w:t>附：代表人性别：            年龄：           身份证号码：</w:t>
      </w:r>
    </w:p>
    <w:p>
      <w:pPr>
        <w:spacing w:line="500" w:lineRule="exact"/>
        <w:ind w:firstLine="213" w:firstLineChars="100"/>
        <w:rPr>
          <w:rFonts w:ascii="宋体" w:hAnsi="宋体" w:cs="宋体"/>
          <w:szCs w:val="21"/>
        </w:rPr>
      </w:pPr>
      <w:r>
        <w:rPr>
          <w:rFonts w:hint="eastAsia" w:ascii="宋体" w:hAnsi="宋体" w:cs="宋体"/>
          <w:szCs w:val="21"/>
        </w:rPr>
        <w:t>联系电话：</w:t>
      </w:r>
    </w:p>
    <w:p>
      <w:pPr>
        <w:spacing w:line="500" w:lineRule="exact"/>
        <w:ind w:firstLine="213" w:firstLineChars="100"/>
        <w:rPr>
          <w:rFonts w:ascii="宋体" w:hAnsi="宋体" w:cs="宋体"/>
          <w:szCs w:val="21"/>
        </w:rPr>
      </w:pPr>
      <w:r>
        <w:rPr>
          <w:rFonts w:hint="eastAsia" w:ascii="宋体" w:hAnsi="宋体" w:cs="宋体"/>
          <w:szCs w:val="21"/>
        </w:rPr>
        <w:t>营业执照号码：              经济性质：</w:t>
      </w:r>
    </w:p>
    <w:p>
      <w:pPr>
        <w:spacing w:line="500" w:lineRule="exact"/>
        <w:rPr>
          <w:rFonts w:ascii="宋体" w:hAnsi="宋体" w:cs="宋体"/>
          <w:szCs w:val="21"/>
        </w:rPr>
      </w:pPr>
      <w:r>
        <w:rPr>
          <w:rFonts w:hint="eastAsia" w:ascii="宋体" w:hAnsi="宋体" w:cs="宋体"/>
          <w:szCs w:val="21"/>
        </w:rPr>
        <w:t>说明：</w:t>
      </w:r>
    </w:p>
    <w:p>
      <w:pPr>
        <w:spacing w:line="500" w:lineRule="exact"/>
        <w:ind w:firstLine="213" w:firstLineChars="100"/>
        <w:rPr>
          <w:rFonts w:ascii="宋体" w:hAnsi="宋体" w:cs="宋体"/>
          <w:szCs w:val="21"/>
        </w:rPr>
      </w:pPr>
      <w:r>
        <w:rPr>
          <w:rFonts w:hint="eastAsia" w:ascii="宋体" w:hAnsi="宋体" w:cs="宋体"/>
          <w:szCs w:val="21"/>
        </w:rPr>
        <w:t>1、法定代表人为企业事业单位、国家机关、社会团体的主要行政负责人。</w:t>
      </w:r>
    </w:p>
    <w:p>
      <w:pPr>
        <w:spacing w:line="500" w:lineRule="exact"/>
        <w:rPr>
          <w:rFonts w:ascii="宋体" w:hAnsi="宋体" w:cs="宋体"/>
          <w:szCs w:val="21"/>
        </w:rPr>
      </w:pPr>
      <w:r>
        <w:rPr>
          <w:rFonts w:hint="eastAsia" w:ascii="宋体" w:hAnsi="宋体" w:cs="宋体"/>
          <w:szCs w:val="21"/>
        </w:rPr>
        <w:t xml:space="preserve">  2、内容必须填写真实、清楚、涂改无效，不得转让。</w:t>
      </w:r>
    </w:p>
    <w:p>
      <w:pPr>
        <w:spacing w:line="500" w:lineRule="exact"/>
        <w:ind w:firstLine="213" w:firstLineChars="100"/>
        <w:rPr>
          <w:rFonts w:ascii="宋体" w:hAnsi="宋体" w:cs="宋体"/>
          <w:szCs w:val="21"/>
        </w:rPr>
      </w:pPr>
      <w:r>
        <w:rPr>
          <w:rFonts w:hint="eastAsia" w:ascii="宋体" w:hAnsi="宋体" w:cs="宋体"/>
          <w:szCs w:val="21"/>
        </w:rPr>
        <w:t>3、将此证明书原件提交采购代理机构作为投标文件附件。</w:t>
      </w:r>
    </w:p>
    <w:p>
      <w:pPr>
        <w:spacing w:line="500" w:lineRule="exact"/>
        <w:rPr>
          <w:rFonts w:ascii="宋体" w:hAnsi="宋体" w:cs="宋体"/>
          <w:szCs w:val="21"/>
        </w:rPr>
      </w:pPr>
      <w:r>
        <w:rPr>
          <w:rFonts w:hint="eastAsia" w:ascii="宋体" w:hAnsi="宋体" w:cs="宋体"/>
          <w:szCs w:val="21"/>
        </w:rPr>
        <w:t xml:space="preserve">  (为避免废标，请投标人务必单独提供法定代表人资格证明书</w:t>
      </w:r>
      <w:r>
        <w:rPr>
          <w:rFonts w:hint="eastAsia" w:hAnsi="宋体"/>
          <w:szCs w:val="21"/>
        </w:rPr>
        <w:t>、法定代表人授权委托书</w:t>
      </w:r>
      <w:r>
        <w:rPr>
          <w:rFonts w:hint="eastAsia" w:ascii="宋体" w:hAnsi="宋体" w:cs="宋体"/>
          <w:szCs w:val="21"/>
        </w:rPr>
        <w:t>)</w:t>
      </w:r>
    </w:p>
    <w:p>
      <w:pPr>
        <w:spacing w:line="500" w:lineRule="exact"/>
        <w:rPr>
          <w:rFonts w:ascii="宋体" w:hAnsi="宋体" w:cs="宋体"/>
          <w:szCs w:val="21"/>
        </w:rPr>
      </w:pPr>
    </w:p>
    <w:p>
      <w:pPr>
        <w:spacing w:line="500" w:lineRule="exact"/>
        <w:rPr>
          <w:rFonts w:ascii="宋体" w:hAnsi="宋体" w:cs="宋体"/>
          <w:szCs w:val="21"/>
        </w:rPr>
      </w:pPr>
      <w:r>
        <w:rPr>
          <w:rFonts w:hint="eastAsia" w:ascii="宋体" w:hAnsi="宋体" w:cs="宋体"/>
          <w:szCs w:val="21"/>
        </w:rPr>
        <mc:AlternateContent>
          <mc:Choice Requires="wps">
            <w:drawing>
              <wp:anchor distT="0" distB="0" distL="114300" distR="114300" simplePos="0" relativeHeight="251665408" behindDoc="0" locked="0" layoutInCell="1" allowOverlap="1">
                <wp:simplePos x="0" y="0"/>
                <wp:positionH relativeFrom="column">
                  <wp:posOffset>3352800</wp:posOffset>
                </wp:positionH>
                <wp:positionV relativeFrom="paragraph">
                  <wp:posOffset>229870</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法定代表人身份证复印件（背面）</w:t>
                            </w:r>
                          </w:p>
                        </w:txbxContent>
                      </wps:txbx>
                      <wps:bodyPr upright="1"/>
                    </wps:wsp>
                  </a:graphicData>
                </a:graphic>
              </wp:anchor>
            </w:drawing>
          </mc:Choice>
          <mc:Fallback>
            <w:pict>
              <v:shape id="_x0000_s1026" o:spid="_x0000_s1026" o:spt="176" type="#_x0000_t176" style="position:absolute;left:0pt;margin-left:264pt;margin-top:18.1pt;height:124.75pt;width:183.75pt;z-index:251665408;mso-width-relative:page;mso-height-relative:page;" fillcolor="#FFFFFF" filled="t" stroked="t" coordsize="21600,21600" o:gfxdata="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k7EzDZAAAACgEAAA8AAAAAAAAAAQAgAAAAIgAAAGRycy9kb3ducmV2LnhtbFBLAQIUABQA&#10;AAAIAIdO4kBOzxsxKAIAAFAEAAAOAAAAAAAAAAEAIAAAACgBAABkcnMvZTJvRG9jLnhtbFBLBQYA&#10;AAAABgAGAFkBAADC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法定代表人身份证复印件（背面）</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0288" behindDoc="0" locked="0" layoutInCell="1" allowOverlap="1">
                <wp:simplePos x="0" y="0"/>
                <wp:positionH relativeFrom="column">
                  <wp:posOffset>219075</wp:posOffset>
                </wp:positionH>
                <wp:positionV relativeFrom="paragraph">
                  <wp:posOffset>229870</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7.25pt;margin-top:18.1pt;height:124.75pt;width:183.75pt;z-index:251660288;mso-width-relative:page;mso-height-relative:page;" fillcolor="#FFFFFF" filled="t" stroked="t" coordsize="21600,21600" o:gfxdata="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MFv7tgAAAAJAQAADwAAAAAAAAABACAAAAAiAAAAZHJzL2Rvd25yZXYueG1sUEsBAhQAFAAA&#10;AAgAh07iQMs5RD4oAgAAUAQAAA4AAAAAAAAAAQAgAAAAJwEAAGRycy9lMm9Eb2MueG1sUEsFBgAA&#10;AAAGAAYAWQEAAME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法定代表人身份证复印件（正面）</w:t>
                      </w:r>
                    </w:p>
                  </w:txbxContent>
                </v:textbox>
              </v:shape>
            </w:pict>
          </mc:Fallback>
        </mc:AlternateContent>
      </w:r>
    </w:p>
    <w:p>
      <w:pPr>
        <w:spacing w:line="500" w:lineRule="exact"/>
        <w:rPr>
          <w:rFonts w:ascii="宋体" w:hAnsi="宋体" w:cs="宋体"/>
          <w:szCs w:val="21"/>
        </w:rPr>
      </w:pPr>
    </w:p>
    <w:p>
      <w:pPr>
        <w:spacing w:line="500" w:lineRule="exact"/>
        <w:rPr>
          <w:rFonts w:ascii="宋体" w:hAnsi="宋体" w:cs="宋体"/>
          <w:szCs w:val="21"/>
        </w:rPr>
      </w:pPr>
    </w:p>
    <w:p>
      <w:pPr>
        <w:tabs>
          <w:tab w:val="left" w:pos="654"/>
          <w:tab w:val="left" w:pos="1734"/>
          <w:tab w:val="left" w:pos="2814"/>
          <w:tab w:val="left" w:pos="3894"/>
          <w:tab w:val="left" w:pos="5334"/>
          <w:tab w:val="left" w:pos="6414"/>
          <w:tab w:val="left" w:pos="7254"/>
          <w:tab w:val="left" w:pos="8574"/>
          <w:tab w:val="left" w:pos="9654"/>
        </w:tabs>
        <w:spacing w:line="500" w:lineRule="exact"/>
        <w:rPr>
          <w:rFonts w:ascii="宋体" w:hAnsi="宋体" w:cs="宋体"/>
          <w:szCs w:val="21"/>
        </w:rPr>
      </w:pPr>
    </w:p>
    <w:p>
      <w:pPr>
        <w:spacing w:line="500" w:lineRule="exact"/>
        <w:jc w:val="center"/>
        <w:rPr>
          <w:rFonts w:ascii="宋体" w:hAnsi="宋体" w:cs="宋体"/>
          <w:szCs w:val="21"/>
        </w:rPr>
      </w:pPr>
    </w:p>
    <w:p>
      <w:pPr>
        <w:autoSpaceDE w:val="0"/>
        <w:autoSpaceDN w:val="0"/>
        <w:adjustRightInd w:val="0"/>
        <w:spacing w:line="500" w:lineRule="exact"/>
        <w:ind w:right="246" w:firstLine="695" w:firstLineChars="327"/>
        <w:rPr>
          <w:rFonts w:ascii="宋体" w:hAnsi="宋体" w:cs="宋体"/>
          <w:kern w:val="0"/>
          <w:szCs w:val="21"/>
        </w:rPr>
      </w:pPr>
    </w:p>
    <w:p>
      <w:pPr>
        <w:autoSpaceDE w:val="0"/>
        <w:autoSpaceDN w:val="0"/>
        <w:adjustRightInd w:val="0"/>
        <w:spacing w:line="500" w:lineRule="exact"/>
        <w:ind w:right="246" w:firstLine="695" w:firstLineChars="327"/>
        <w:rPr>
          <w:rFonts w:ascii="宋体" w:hAnsi="宋体" w:cs="宋体"/>
          <w:kern w:val="0"/>
          <w:szCs w:val="21"/>
        </w:rPr>
      </w:pPr>
    </w:p>
    <w:p>
      <w:pPr>
        <w:autoSpaceDE w:val="0"/>
        <w:autoSpaceDN w:val="0"/>
        <w:adjustRightInd w:val="0"/>
        <w:spacing w:line="500" w:lineRule="exact"/>
        <w:ind w:right="246" w:firstLine="695" w:firstLineChars="327"/>
        <w:rPr>
          <w:rFonts w:ascii="宋体" w:hAnsi="宋体" w:cs="宋体"/>
          <w:kern w:val="0"/>
          <w:szCs w:val="21"/>
        </w:rPr>
      </w:pPr>
      <w:r>
        <w:rPr>
          <w:rFonts w:hint="eastAsia" w:ascii="宋体" w:hAnsi="宋体" w:cs="宋体"/>
          <w:kern w:val="0"/>
          <w:szCs w:val="21"/>
        </w:rPr>
        <w:t>投标人（盖章）：</w:t>
      </w:r>
      <w:r>
        <w:rPr>
          <w:rFonts w:hint="eastAsia" w:ascii="宋体" w:hAnsi="宋体" w:cs="宋体"/>
          <w:kern w:val="0"/>
          <w:szCs w:val="21"/>
          <w:u w:val="single"/>
        </w:rPr>
        <w:t xml:space="preserve">                             </w:t>
      </w:r>
      <w:r>
        <w:rPr>
          <w:rFonts w:hint="eastAsia" w:ascii="宋体" w:hAnsi="宋体" w:cs="宋体"/>
          <w:kern w:val="0"/>
          <w:szCs w:val="21"/>
        </w:rPr>
        <w:t xml:space="preserve"> </w:t>
      </w:r>
    </w:p>
    <w:p>
      <w:pPr>
        <w:adjustRightInd w:val="0"/>
        <w:snapToGrid w:val="0"/>
        <w:spacing w:line="500" w:lineRule="exact"/>
        <w:ind w:firstLine="695" w:firstLineChars="327"/>
        <w:rPr>
          <w:rFonts w:ascii="宋体" w:hAnsi="宋体" w:cs="宋体"/>
          <w:szCs w:val="21"/>
        </w:rPr>
      </w:pPr>
    </w:p>
    <w:p>
      <w:pPr>
        <w:adjustRightInd w:val="0"/>
        <w:snapToGrid w:val="0"/>
        <w:spacing w:line="500" w:lineRule="exact"/>
        <w:ind w:firstLine="695" w:firstLineChars="327"/>
        <w:rPr>
          <w:rFonts w:ascii="宋体" w:hAnsi="宋体" w:cs="宋体"/>
          <w:szCs w:val="21"/>
          <w:u w:val="single"/>
        </w:rPr>
      </w:pPr>
      <w:r>
        <w:rPr>
          <w:rFonts w:hint="eastAsia" w:ascii="宋体" w:hAnsi="宋体" w:cs="宋体"/>
          <w:szCs w:val="21"/>
        </w:rPr>
        <w:t>法定代表人签字或盖章：</w:t>
      </w:r>
      <w:r>
        <w:rPr>
          <w:rFonts w:hint="eastAsia" w:ascii="宋体" w:hAnsi="宋体" w:cs="宋体"/>
          <w:szCs w:val="21"/>
          <w:u w:val="single"/>
        </w:rPr>
        <w:t xml:space="preserve">                    </w:t>
      </w:r>
    </w:p>
    <w:p>
      <w:pPr>
        <w:adjustRightInd w:val="0"/>
        <w:snapToGrid w:val="0"/>
        <w:spacing w:line="500" w:lineRule="exact"/>
        <w:ind w:firstLine="695" w:firstLineChars="327"/>
        <w:rPr>
          <w:rFonts w:ascii="宋体" w:hAnsi="宋体" w:cs="宋体"/>
          <w:szCs w:val="21"/>
        </w:rPr>
      </w:pPr>
    </w:p>
    <w:p>
      <w:pPr>
        <w:adjustRightInd w:val="0"/>
        <w:snapToGrid w:val="0"/>
        <w:spacing w:line="500" w:lineRule="exact"/>
        <w:ind w:firstLine="695" w:firstLineChars="327"/>
        <w:rPr>
          <w:rFonts w:ascii="宋体" w:hAnsi="宋体" w:cs="宋体"/>
          <w:szCs w:val="21"/>
          <w:u w:val="single"/>
        </w:rPr>
      </w:pPr>
      <w:r>
        <w:rPr>
          <w:rFonts w:hint="eastAsia" w:ascii="宋体" w:hAnsi="宋体" w:cs="宋体"/>
          <w:szCs w:val="21"/>
        </w:rPr>
        <w:t>日期：</w:t>
      </w:r>
      <w:r>
        <w:rPr>
          <w:rFonts w:hint="eastAsia" w:ascii="宋体" w:hAnsi="宋体" w:cs="宋体"/>
          <w:szCs w:val="21"/>
          <w:u w:val="single"/>
        </w:rPr>
        <w:t xml:space="preserve">                                       </w:t>
      </w:r>
    </w:p>
    <w:p>
      <w:pPr>
        <w:spacing w:line="500" w:lineRule="exact"/>
        <w:rPr>
          <w:rFonts w:ascii="宋体" w:hAnsi="宋体" w:cs="宋体"/>
          <w:sz w:val="28"/>
          <w:szCs w:val="28"/>
        </w:rPr>
      </w:pPr>
    </w:p>
    <w:p>
      <w:pPr>
        <w:spacing w:line="500" w:lineRule="exact"/>
        <w:outlineLvl w:val="2"/>
        <w:rPr>
          <w:rFonts w:ascii="宋体" w:hAnsi="宋体" w:cs="宋体"/>
          <w:sz w:val="28"/>
          <w:szCs w:val="28"/>
        </w:rPr>
      </w:pPr>
      <w:r>
        <w:rPr>
          <w:rFonts w:hint="eastAsia" w:ascii="宋体" w:hAnsi="宋体" w:cs="宋体"/>
          <w:sz w:val="28"/>
          <w:szCs w:val="28"/>
        </w:rPr>
        <w:t>4</w:t>
      </w:r>
      <w:r>
        <w:rPr>
          <w:rFonts w:hint="eastAsia" w:ascii="宋体" w:hAnsi="宋体" w:cs="宋体"/>
          <w:sz w:val="24"/>
        </w:rPr>
        <w:t>、法定代表人授权委托书（投标文件格式三）</w:t>
      </w:r>
    </w:p>
    <w:p>
      <w:pPr>
        <w:spacing w:line="500" w:lineRule="exact"/>
        <w:rPr>
          <w:rFonts w:ascii="宋体" w:hAnsi="宋体" w:cs="宋体"/>
          <w:szCs w:val="21"/>
        </w:rPr>
      </w:pPr>
    </w:p>
    <w:p>
      <w:pPr>
        <w:spacing w:line="50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（采购人）：</w:t>
      </w:r>
    </w:p>
    <w:p>
      <w:pPr>
        <w:spacing w:line="500" w:lineRule="exact"/>
        <w:ind w:firstLine="521" w:firstLineChars="245"/>
        <w:rPr>
          <w:rFonts w:ascii="宋体" w:hAnsi="宋体" w:cs="宋体"/>
          <w:szCs w:val="21"/>
        </w:rPr>
      </w:pPr>
      <w:r>
        <w:rPr>
          <w:rFonts w:hint="eastAsia" w:ascii="宋体" w:hAnsi="宋体" w:cs="宋体"/>
          <w:szCs w:val="21"/>
        </w:rPr>
        <w:t>我（法人姓名）</w:t>
      </w:r>
      <w:r>
        <w:rPr>
          <w:rFonts w:hint="eastAsia" w:ascii="宋体" w:hAnsi="宋体" w:cs="宋体"/>
          <w:szCs w:val="21"/>
          <w:u w:val="single"/>
        </w:rPr>
        <w:t xml:space="preserve">         </w:t>
      </w: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 xml:space="preserve">   兹委托</w:t>
      </w:r>
      <w:r>
        <w:rPr>
          <w:rFonts w:hint="eastAsia" w:ascii="宋体" w:hAnsi="宋体" w:cs="宋体"/>
          <w:szCs w:val="21"/>
          <w:u w:val="single"/>
        </w:rPr>
        <w:t xml:space="preserve">      </w:t>
      </w:r>
      <w:r>
        <w:rPr>
          <w:rFonts w:hint="eastAsia" w:ascii="宋体" w:hAnsi="宋体" w:cs="宋体"/>
          <w:szCs w:val="21"/>
        </w:rPr>
        <w:t>（被委托人名称、职务）（居民身份证编号：</w:t>
      </w:r>
      <w:r>
        <w:rPr>
          <w:rFonts w:hint="eastAsia" w:ascii="宋体" w:hAnsi="宋体" w:cs="宋体"/>
          <w:szCs w:val="21"/>
          <w:u w:val="single"/>
        </w:rPr>
        <w:t xml:space="preserve">              </w:t>
      </w:r>
      <w:r>
        <w:rPr>
          <w:rFonts w:hint="eastAsia" w:ascii="宋体" w:hAnsi="宋体" w:cs="宋体"/>
          <w:szCs w:val="21"/>
        </w:rPr>
        <w:t>）为我单位的委托代理人，代表我单位就</w:t>
      </w:r>
      <w:r>
        <w:rPr>
          <w:rFonts w:hint="eastAsia" w:ascii="宋体" w:hAnsi="宋体" w:cs="宋体"/>
          <w:szCs w:val="21"/>
          <w:u w:val="single"/>
        </w:rPr>
        <w:t xml:space="preserve">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）签署投标文件、进行谈判、签订合同和处理与之有关的一切事务，其签名真迹如本授权委托书末尾所示，特此证明。</w:t>
      </w:r>
    </w:p>
    <w:p>
      <w:pPr>
        <w:spacing w:line="500" w:lineRule="exact"/>
        <w:ind w:firstLine="521" w:firstLineChars="245"/>
        <w:rPr>
          <w:rFonts w:ascii="宋体" w:hAnsi="宋体" w:cs="宋体"/>
          <w:szCs w:val="21"/>
        </w:rPr>
      </w:pPr>
      <w:r>
        <w:rPr>
          <w:rFonts w:hint="eastAsia" w:ascii="宋体" w:hAnsi="宋体" w:cs="宋体"/>
          <w:szCs w:val="21"/>
        </w:rPr>
        <w:t xml:space="preserve">    委托期限：</w:t>
      </w:r>
      <w:r>
        <w:rPr>
          <w:rFonts w:hint="eastAsia" w:ascii="宋体" w:hAnsi="宋体" w:cs="宋体"/>
          <w:szCs w:val="21"/>
          <w:u w:val="single"/>
        </w:rPr>
        <w:t xml:space="preserve">                </w:t>
      </w:r>
      <w:r>
        <w:rPr>
          <w:rFonts w:hint="eastAsia" w:ascii="宋体" w:hAnsi="宋体" w:cs="宋体"/>
          <w:szCs w:val="21"/>
        </w:rPr>
        <w:t xml:space="preserve">  </w:t>
      </w:r>
    </w:p>
    <w:p>
      <w:pPr>
        <w:spacing w:line="500" w:lineRule="exact"/>
        <w:ind w:firstLine="521" w:firstLineChars="245"/>
        <w:rPr>
          <w:rFonts w:ascii="宋体" w:hAnsi="宋体" w:cs="宋体"/>
          <w:szCs w:val="21"/>
        </w:rPr>
      </w:pPr>
      <w:r>
        <w:rPr>
          <w:rFonts w:hint="eastAsia" w:ascii="宋体" w:hAnsi="宋体" w:cs="宋体"/>
          <w:szCs w:val="21"/>
        </w:rPr>
        <w:t xml:space="preserve">    被委托人无转委托权。</w:t>
      </w:r>
    </w:p>
    <w:p>
      <w:pPr>
        <w:spacing w:line="500" w:lineRule="exact"/>
        <w:rPr>
          <w:rFonts w:ascii="宋体" w:hAnsi="宋体" w:cs="宋体"/>
          <w:szCs w:val="21"/>
        </w:rPr>
      </w:pPr>
      <w:r>
        <w:rPr>
          <w:rFonts w:hint="eastAsia" w:ascii="宋体" w:hAnsi="宋体" w:cs="宋体"/>
          <w:szCs w:val="21"/>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221615</wp:posOffset>
                </wp:positionV>
                <wp:extent cx="2426335" cy="1197610"/>
                <wp:effectExtent l="4445" t="4445" r="7620" b="17145"/>
                <wp:wrapNone/>
                <wp:docPr id="2" name="流程图: 可选过程 2"/>
                <wp:cNvGraphicFramePr/>
                <a:graphic xmlns:a="http://schemas.openxmlformats.org/drawingml/2006/main">
                  <a:graphicData uri="http://schemas.microsoft.com/office/word/2010/wordprocessingShape">
                    <wps:wsp>
                      <wps:cNvSpPr/>
                      <wps:spPr>
                        <a:xfrm>
                          <a:off x="0" y="0"/>
                          <a:ext cx="2426335" cy="11976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授权委托人身份证复印件正面</w:t>
                            </w:r>
                          </w:p>
                        </w:txbxContent>
                      </wps:txbx>
                      <wps:bodyPr upright="1"/>
                    </wps:wsp>
                  </a:graphicData>
                </a:graphic>
              </wp:anchor>
            </w:drawing>
          </mc:Choice>
          <mc:Fallback>
            <w:pict>
              <v:shape id="_x0000_s1026" o:spid="_x0000_s1026" o:spt="176" type="#_x0000_t176" style="position:absolute;left:0pt;margin-left:1.65pt;margin-top:17.45pt;height:94.3pt;width:191.05pt;z-index:251661312;mso-width-relative:page;mso-height-relative:page;" fillcolor="#FFFFFF" filled="t" stroked="t" coordsize="21600,21600" o:gfxdata="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kQfA1wAAAAgBAAAPAAAAAAAAAAEAIAAAACIAAABkcnMvZG93bnJldi54bWxQSwECFAAU&#10;AAAACACHTuJANJ61tisCAABQBAAADgAAAAAAAAABACAAAAAmAQAAZHJzL2Uyb0RvYy54bWxQSwUG&#10;AAAAAAYABgBZAQAAww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授权委托人身份证复印件正面</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3039110</wp:posOffset>
                </wp:positionH>
                <wp:positionV relativeFrom="paragraph">
                  <wp:posOffset>167640</wp:posOffset>
                </wp:positionV>
                <wp:extent cx="2580005" cy="1241425"/>
                <wp:effectExtent l="7620" t="7620" r="22225" b="8255"/>
                <wp:wrapNone/>
                <wp:docPr id="3" name="圆角矩形 3"/>
                <wp:cNvGraphicFramePr/>
                <a:graphic xmlns:a="http://schemas.openxmlformats.org/drawingml/2006/main">
                  <a:graphicData uri="http://schemas.microsoft.com/office/word/2010/wordprocessingShape">
                    <wps:wsp>
                      <wps:cNvSpPr/>
                      <wps:spPr>
                        <a:xfrm>
                          <a:off x="0" y="0"/>
                          <a:ext cx="2580005" cy="124142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pPr>
                              <w:rPr>
                                <w:rFonts w:hAnsi="宋体"/>
                                <w:szCs w:val="21"/>
                              </w:rPr>
                            </w:pPr>
                          </w:p>
                          <w:p>
                            <w:pPr>
                              <w:rPr>
                                <w:rFonts w:hAnsi="宋体"/>
                                <w:szCs w:val="21"/>
                              </w:rPr>
                            </w:pPr>
                          </w:p>
                          <w:p>
                            <w:pPr>
                              <w:rPr>
                                <w:rFonts w:hAnsi="宋体"/>
                                <w:szCs w:val="21"/>
                              </w:rPr>
                            </w:pPr>
                          </w:p>
                          <w:p>
                            <w:pPr>
                              <w:rPr>
                                <w:szCs w:val="21"/>
                              </w:rPr>
                            </w:pPr>
                            <w:r>
                              <w:rPr>
                                <w:rFonts w:hint="eastAsia" w:hAnsi="宋体"/>
                                <w:szCs w:val="21"/>
                              </w:rPr>
                              <w:t>授权委托人身份证复印件反面</w:t>
                            </w:r>
                          </w:p>
                          <w:p/>
                        </w:txbxContent>
                      </wps:txbx>
                      <wps:bodyPr upright="1"/>
                    </wps:wsp>
                  </a:graphicData>
                </a:graphic>
              </wp:anchor>
            </w:drawing>
          </mc:Choice>
          <mc:Fallback>
            <w:pict>
              <v:roundrect id="_x0000_s1026" o:spid="_x0000_s1026" o:spt="2" style="position:absolute;left:0pt;margin-left:239.3pt;margin-top:13.2pt;height:97.75pt;width:203.15pt;z-index:251662336;mso-width-relative:page;mso-height-relative:page;" fillcolor="#FFFFFF" filled="t" stroked="t" coordsize="21600,21600" arcsize="0.166666666666667" o:gfxdata="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m5faB9sAAAAKAQAADwAAAAAAAAABACAAAAAiAAAAZHJzL2Rvd25yZXYueG1sUEsBAhQAFAAA&#10;AAgAh07iQApAGfklAgAAWAQAAA4AAAAAAAAAAQAgAAAAKgEAAGRycy9lMm9Eb2MueG1sUEsFBgAA&#10;AAAGAAYAWQEAAMEFAAAAAA==&#10;">
                <v:fill on="t" focussize="0,0"/>
                <v:stroke weight="1.25pt" color="#808080" joinstyle="round"/>
                <v:imagedata o:title=""/>
                <o:lock v:ext="edit" aspectratio="f"/>
                <v:textbox>
                  <w:txbxContent>
                    <w:p>
                      <w:pPr>
                        <w:rPr>
                          <w:rFonts w:hAnsi="宋体"/>
                          <w:szCs w:val="21"/>
                        </w:rPr>
                      </w:pPr>
                    </w:p>
                    <w:p>
                      <w:pPr>
                        <w:rPr>
                          <w:rFonts w:hAnsi="宋体"/>
                          <w:szCs w:val="21"/>
                        </w:rPr>
                      </w:pPr>
                    </w:p>
                    <w:p>
                      <w:pPr>
                        <w:rPr>
                          <w:rFonts w:hAnsi="宋体"/>
                          <w:szCs w:val="21"/>
                        </w:rPr>
                      </w:pPr>
                    </w:p>
                    <w:p>
                      <w:pPr>
                        <w:rPr>
                          <w:szCs w:val="21"/>
                        </w:rPr>
                      </w:pPr>
                      <w:r>
                        <w:rPr>
                          <w:rFonts w:hint="eastAsia" w:hAnsi="宋体"/>
                          <w:szCs w:val="21"/>
                        </w:rPr>
                        <w:t>授权委托人身份证复印件反面</w:t>
                      </w:r>
                    </w:p>
                    <w:p/>
                  </w:txbxContent>
                </v:textbox>
              </v:roundrect>
            </w:pict>
          </mc:Fallback>
        </mc:AlternateContent>
      </w:r>
    </w:p>
    <w:p>
      <w:pPr>
        <w:spacing w:line="500" w:lineRule="exact"/>
        <w:rPr>
          <w:rFonts w:ascii="宋体" w:hAnsi="宋体" w:cs="宋体"/>
          <w:szCs w:val="21"/>
        </w:rPr>
      </w:pPr>
    </w:p>
    <w:p>
      <w:pPr>
        <w:spacing w:line="500" w:lineRule="exact"/>
        <w:ind w:firstLine="3408" w:firstLineChars="1600"/>
        <w:rPr>
          <w:rFonts w:ascii="宋体" w:hAnsi="宋体" w:cs="宋体"/>
          <w:szCs w:val="21"/>
        </w:rPr>
      </w:pPr>
    </w:p>
    <w:p>
      <w:pPr>
        <w:spacing w:line="500" w:lineRule="exact"/>
        <w:ind w:firstLine="3408" w:firstLineChars="1600"/>
        <w:rPr>
          <w:rFonts w:ascii="宋体" w:hAnsi="宋体" w:cs="宋体"/>
          <w:szCs w:val="21"/>
        </w:rPr>
      </w:pPr>
    </w:p>
    <w:p>
      <w:pPr>
        <w:spacing w:line="500" w:lineRule="exact"/>
        <w:ind w:firstLine="3408" w:firstLineChars="1600"/>
        <w:rPr>
          <w:rFonts w:ascii="宋体" w:hAnsi="宋体" w:cs="宋体"/>
          <w:szCs w:val="21"/>
        </w:rPr>
      </w:pPr>
    </w:p>
    <w:p>
      <w:pPr>
        <w:spacing w:line="500" w:lineRule="exact"/>
        <w:ind w:firstLine="3408" w:firstLineChars="1600"/>
        <w:rPr>
          <w:rFonts w:ascii="宋体" w:hAnsi="宋体" w:cs="宋体"/>
          <w:szCs w:val="21"/>
        </w:rPr>
      </w:pPr>
      <w: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115570</wp:posOffset>
                </wp:positionV>
                <wp:extent cx="2514600" cy="1190625"/>
                <wp:effectExtent l="7620" t="7620" r="11430" b="20955"/>
                <wp:wrapNone/>
                <wp:docPr id="6" name="圆角矩形 6"/>
                <wp:cNvGraphicFramePr/>
                <a:graphic xmlns:a="http://schemas.openxmlformats.org/drawingml/2006/main">
                  <a:graphicData uri="http://schemas.microsoft.com/office/word/2010/wordprocessingShape">
                    <wps:wsp>
                      <wps:cNvSpPr/>
                      <wps:spPr>
                        <a:xfrm>
                          <a:off x="0" y="0"/>
                          <a:ext cx="2514600" cy="119062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法人身份证复印件正面</w:t>
                            </w:r>
                          </w:p>
                          <w:p/>
                        </w:txbxContent>
                      </wps:txbx>
                      <wps:bodyPr upright="1"/>
                    </wps:wsp>
                  </a:graphicData>
                </a:graphic>
              </wp:anchor>
            </w:drawing>
          </mc:Choice>
          <mc:Fallback>
            <w:pict>
              <v:roundrect id="_x0000_s1026" o:spid="_x0000_s1026" o:spt="2" style="position:absolute;left:0pt;margin-left:-0.85pt;margin-top:9.1pt;height:93.75pt;width:198pt;z-index:251663360;mso-width-relative:page;mso-height-relative:page;" fillcolor="#FFFFFF" filled="t" stroked="t" coordsize="21600,21600" arcsize="0.166666666666667" o:gfxdata="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J0Yo/aAAAACQEAAA8AAAAAAAAAAQAgAAAAIgAAAGRycy9kb3ducmV2LnhtbFBLAQIUABQAAAAI&#10;AIdO4kAI///BJAIAAFgEAAAOAAAAAAAAAAEAIAAAACkBAABkcnMvZTJvRG9jLnhtbFBLBQYAAAAA&#10;BgAGAFkBAAC/BQAAAAA=&#10;">
                <v:fill on="t" focussize="0,0"/>
                <v:stroke weight="1.25pt" color="#808080" joinstyle="round"/>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法人身份证复印件正面</w:t>
                      </w:r>
                    </w:p>
                    <w:p/>
                  </w:txbxContent>
                </v:textbox>
              </v:round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3018155</wp:posOffset>
                </wp:positionH>
                <wp:positionV relativeFrom="paragraph">
                  <wp:posOffset>96520</wp:posOffset>
                </wp:positionV>
                <wp:extent cx="2609850" cy="1181100"/>
                <wp:effectExtent l="7620" t="7620" r="11430" b="11430"/>
                <wp:wrapNone/>
                <wp:docPr id="4" name="圆角矩形 4"/>
                <wp:cNvGraphicFramePr/>
                <a:graphic xmlns:a="http://schemas.openxmlformats.org/drawingml/2006/main">
                  <a:graphicData uri="http://schemas.microsoft.com/office/word/2010/wordprocessingShape">
                    <wps:wsp>
                      <wps:cNvSpPr/>
                      <wps:spPr>
                        <a:xfrm>
                          <a:off x="0" y="0"/>
                          <a:ext cx="2609850" cy="118110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pPr>
                              <w:jc w:val="center"/>
                              <w:rPr>
                                <w:rFonts w:hAnsi="宋体"/>
                                <w:szCs w:val="21"/>
                              </w:rPr>
                            </w:pPr>
                            <w:r>
                              <w:rPr>
                                <w:rFonts w:hint="eastAsia" w:hAnsi="宋体"/>
                                <w:szCs w:val="21"/>
                              </w:rPr>
                              <w:t xml:space="preserve">  </w:t>
                            </w:r>
                          </w:p>
                          <w:p>
                            <w:pPr>
                              <w:jc w:val="center"/>
                              <w:rPr>
                                <w:rFonts w:hAnsi="宋体"/>
                                <w:szCs w:val="21"/>
                              </w:rPr>
                            </w:pPr>
                          </w:p>
                          <w:p>
                            <w:pPr>
                              <w:jc w:val="center"/>
                              <w:rPr>
                                <w:rFonts w:hAnsi="宋体"/>
                                <w:szCs w:val="21"/>
                              </w:rPr>
                            </w:pPr>
                          </w:p>
                          <w:p>
                            <w:pPr>
                              <w:jc w:val="center"/>
                              <w:rPr>
                                <w:szCs w:val="21"/>
                              </w:rPr>
                            </w:pPr>
                            <w:r>
                              <w:rPr>
                                <w:rFonts w:hint="eastAsia" w:hAnsi="宋体"/>
                                <w:szCs w:val="21"/>
                              </w:rPr>
                              <w:t>法人身份证复印件反面</w:t>
                            </w:r>
                          </w:p>
                          <w:p/>
                        </w:txbxContent>
                      </wps:txbx>
                      <wps:bodyPr upright="1"/>
                    </wps:wsp>
                  </a:graphicData>
                </a:graphic>
              </wp:anchor>
            </w:drawing>
          </mc:Choice>
          <mc:Fallback>
            <w:pict>
              <v:roundrect id="_x0000_s1026" o:spid="_x0000_s1026" o:spt="2" style="position:absolute;left:0pt;margin-left:237.65pt;margin-top:7.6pt;height:93pt;width:205.5pt;z-index:251664384;mso-width-relative:page;mso-height-relative:page;" fillcolor="#FFFFFF" filled="t" stroked="t" coordsize="21600,21600" arcsize="0.166666666666667" o:gfxdata="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3b/742gAAAAoBAAAPAAAAAAAAAAEAIAAAACIAAABkcnMvZG93bnJldi54bWxQSwECFAAUAAAA&#10;CACHTuJARfIJ2SUCAABYBAAADgAAAAAAAAABACAAAAApAQAAZHJzL2Uyb0RvYy54bWxQSwUGAAAA&#10;AAYABgBZAQAAwAUAAAAA&#10;">
                <v:fill on="t" focussize="0,0"/>
                <v:stroke weight="1.25pt" color="#808080" joinstyle="round"/>
                <v:imagedata o:title=""/>
                <o:lock v:ext="edit" aspectratio="f"/>
                <v:textbox>
                  <w:txbxContent>
                    <w:p>
                      <w:pPr>
                        <w:jc w:val="center"/>
                        <w:rPr>
                          <w:rFonts w:hAnsi="宋体"/>
                          <w:szCs w:val="21"/>
                        </w:rPr>
                      </w:pPr>
                      <w:r>
                        <w:rPr>
                          <w:rFonts w:hint="eastAsia" w:hAnsi="宋体"/>
                          <w:szCs w:val="21"/>
                        </w:rPr>
                        <w:t xml:space="preserve">  </w:t>
                      </w:r>
                    </w:p>
                    <w:p>
                      <w:pPr>
                        <w:jc w:val="center"/>
                        <w:rPr>
                          <w:rFonts w:hAnsi="宋体"/>
                          <w:szCs w:val="21"/>
                        </w:rPr>
                      </w:pPr>
                    </w:p>
                    <w:p>
                      <w:pPr>
                        <w:jc w:val="center"/>
                        <w:rPr>
                          <w:rFonts w:hAnsi="宋体"/>
                          <w:szCs w:val="21"/>
                        </w:rPr>
                      </w:pPr>
                    </w:p>
                    <w:p>
                      <w:pPr>
                        <w:jc w:val="center"/>
                        <w:rPr>
                          <w:szCs w:val="21"/>
                        </w:rPr>
                      </w:pPr>
                      <w:r>
                        <w:rPr>
                          <w:rFonts w:hint="eastAsia" w:hAnsi="宋体"/>
                          <w:szCs w:val="21"/>
                        </w:rPr>
                        <w:t>法人身份证复印件反面</w:t>
                      </w:r>
                    </w:p>
                    <w:p/>
                  </w:txbxContent>
                </v:textbox>
              </v:roundrect>
            </w:pict>
          </mc:Fallback>
        </mc:AlternateContent>
      </w:r>
    </w:p>
    <w:p>
      <w:pPr>
        <w:spacing w:line="500" w:lineRule="exact"/>
        <w:ind w:firstLine="3408" w:firstLineChars="1600"/>
        <w:rPr>
          <w:rFonts w:ascii="宋体" w:hAnsi="宋体" w:cs="宋体"/>
          <w:szCs w:val="21"/>
        </w:rPr>
      </w:pPr>
    </w:p>
    <w:p>
      <w:pPr>
        <w:spacing w:line="500" w:lineRule="exact"/>
        <w:ind w:firstLine="3408" w:firstLineChars="1600"/>
        <w:rPr>
          <w:rFonts w:ascii="宋体" w:hAnsi="宋体" w:cs="宋体"/>
          <w:szCs w:val="21"/>
        </w:rPr>
      </w:pPr>
    </w:p>
    <w:p>
      <w:pPr>
        <w:spacing w:line="500" w:lineRule="exact"/>
        <w:rPr>
          <w:rFonts w:ascii="宋体" w:hAnsi="宋体" w:cs="宋体"/>
          <w:szCs w:val="21"/>
        </w:rPr>
      </w:pPr>
    </w:p>
    <w:p>
      <w:pPr>
        <w:spacing w:line="500" w:lineRule="exact"/>
        <w:rPr>
          <w:rFonts w:ascii="宋体" w:hAnsi="宋体" w:cs="宋体"/>
          <w:szCs w:val="21"/>
        </w:rPr>
      </w:pPr>
      <w:r>
        <w:rPr>
          <w:rFonts w:hint="eastAsia" w:ascii="宋体" w:hAnsi="宋体" w:cs="宋体"/>
          <w:szCs w:val="21"/>
        </w:rPr>
        <w:t xml:space="preserve">      投标单位：（盖章）</w:t>
      </w:r>
    </w:p>
    <w:p>
      <w:pPr>
        <w:spacing w:line="500" w:lineRule="exact"/>
        <w:rPr>
          <w:rFonts w:ascii="宋体" w:hAnsi="宋体" w:cs="宋体"/>
          <w:szCs w:val="21"/>
        </w:rPr>
      </w:pPr>
    </w:p>
    <w:p>
      <w:pPr>
        <w:spacing w:line="500" w:lineRule="exact"/>
        <w:rPr>
          <w:rFonts w:ascii="宋体" w:hAnsi="宋体" w:cs="宋体"/>
          <w:szCs w:val="21"/>
        </w:rPr>
      </w:pPr>
      <w:r>
        <w:rPr>
          <w:rFonts w:hint="eastAsia" w:ascii="宋体" w:hAnsi="宋体" w:cs="宋体"/>
          <w:szCs w:val="21"/>
        </w:rPr>
        <w:t xml:space="preserve">      法定代表人签字或盖章：</w:t>
      </w:r>
    </w:p>
    <w:p>
      <w:pPr>
        <w:spacing w:line="500" w:lineRule="exact"/>
        <w:rPr>
          <w:rFonts w:ascii="宋体" w:hAnsi="宋体" w:cs="宋体"/>
          <w:szCs w:val="21"/>
        </w:rPr>
      </w:pPr>
    </w:p>
    <w:p>
      <w:pPr>
        <w:spacing w:line="500" w:lineRule="exact"/>
        <w:rPr>
          <w:rFonts w:ascii="宋体" w:hAnsi="宋体" w:cs="宋体"/>
          <w:szCs w:val="21"/>
        </w:rPr>
      </w:pPr>
      <w:r>
        <w:rPr>
          <w:rFonts w:hint="eastAsia" w:ascii="宋体" w:hAnsi="宋体" w:cs="宋体"/>
          <w:szCs w:val="21"/>
        </w:rPr>
        <w:t xml:space="preserve">      授权代表人签字： </w:t>
      </w:r>
    </w:p>
    <w:p>
      <w:pPr>
        <w:pStyle w:val="4"/>
        <w:ind w:firstLine="5112" w:firstLineChars="2400"/>
        <w:rPr>
          <w:rFonts w:ascii="宋体" w:hAnsi="宋体" w:cs="宋体"/>
          <w:b w:val="0"/>
          <w:bCs w:val="0"/>
          <w:color w:val="auto"/>
          <w:sz w:val="21"/>
          <w:szCs w:val="21"/>
        </w:rPr>
      </w:pPr>
      <w:r>
        <w:rPr>
          <w:rFonts w:hint="eastAsia" w:ascii="宋体" w:hAnsi="宋体" w:cs="宋体"/>
          <w:b w:val="0"/>
          <w:bCs w:val="0"/>
          <w:color w:val="auto"/>
          <w:sz w:val="21"/>
          <w:szCs w:val="21"/>
        </w:rPr>
        <w:t>年  月   日</w:t>
      </w:r>
    </w:p>
    <w:p>
      <w:pPr>
        <w:pStyle w:val="3"/>
        <w:numPr>
          <w:ilvl w:val="0"/>
          <w:numId w:val="0"/>
        </w:numPr>
        <w:spacing w:line="240" w:lineRule="atLeast"/>
        <w:rPr>
          <w:rFonts w:ascii="宋体" w:hAnsi="宋体" w:cs="宋体"/>
        </w:rPr>
      </w:pPr>
    </w:p>
    <w:p/>
    <w:p>
      <w:pPr>
        <w:pStyle w:val="3"/>
        <w:numPr>
          <w:ilvl w:val="0"/>
          <w:numId w:val="0"/>
        </w:numPr>
        <w:spacing w:line="240" w:lineRule="atLeast"/>
        <w:rPr>
          <w:rFonts w:ascii="宋体" w:hAnsi="宋体" w:cs="宋体"/>
        </w:rPr>
      </w:pPr>
      <w:r>
        <w:rPr>
          <w:rFonts w:hint="eastAsia" w:ascii="宋体" w:hAnsi="宋体" w:cs="宋体"/>
        </w:rPr>
        <w:t>5、投标保证金汇款证明或投标担保函等票据</w:t>
      </w:r>
    </w:p>
    <w:p>
      <w:pPr>
        <w:ind w:firstLine="486" w:firstLineChars="200"/>
        <w:rPr>
          <w:rFonts w:ascii="宋体" w:hAnsi="宋体" w:cs="宋体"/>
          <w:sz w:val="24"/>
        </w:rPr>
      </w:pPr>
      <w:bookmarkStart w:id="84" w:name="_Toc494296991"/>
      <w:bookmarkStart w:id="85" w:name="_Toc494296665"/>
    </w:p>
    <w:p>
      <w:pPr>
        <w:ind w:firstLine="426" w:firstLineChars="200"/>
        <w:rPr>
          <w:rFonts w:ascii="宋体" w:hAnsi="宋体" w:cs="宋体"/>
          <w:szCs w:val="21"/>
        </w:rPr>
      </w:pPr>
      <w:r>
        <w:rPr>
          <w:rFonts w:hint="eastAsia" w:ascii="宋体" w:hAnsi="宋体" w:cs="宋体"/>
          <w:szCs w:val="21"/>
        </w:rPr>
        <w:t>投标人可将本项目投标保证金支付的汇款凭证、支票、汇票，复印件上应加盖本单位章；使用银行保函等其他投标担保函的，应将担保函正本，装订在本部分正本中；如采用政府采购信用担保形式的，应使用（投标文件格式三）,将原件装订在本部分正本中。</w:t>
      </w:r>
      <w:bookmarkEnd w:id="84"/>
      <w:bookmarkEnd w:id="85"/>
    </w:p>
    <w:p>
      <w:pPr>
        <w:pStyle w:val="4"/>
        <w:rPr>
          <w:b w:val="0"/>
          <w:bCs w:val="0"/>
          <w:color w:val="auto"/>
        </w:rPr>
      </w:pPr>
    </w:p>
    <w:tbl>
      <w:tblPr>
        <w:tblStyle w:val="27"/>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pPr>
              <w:rPr>
                <w:rFonts w:ascii="宋体" w:hAnsi="宋体" w:cs="宋体"/>
                <w:sz w:val="30"/>
                <w:szCs w:val="30"/>
              </w:rPr>
            </w:pPr>
          </w:p>
          <w:p>
            <w:pPr>
              <w:jc w:val="center"/>
              <w:rPr>
                <w:rFonts w:ascii="宋体" w:hAnsi="宋体" w:cs="宋体"/>
                <w:sz w:val="24"/>
              </w:rPr>
            </w:pPr>
          </w:p>
          <w:p>
            <w:pPr>
              <w:jc w:val="center"/>
              <w:rPr>
                <w:rFonts w:ascii="宋体" w:hAnsi="宋体" w:cs="宋体"/>
                <w:sz w:val="24"/>
              </w:rPr>
            </w:pPr>
            <w:r>
              <w:rPr>
                <w:rFonts w:hint="eastAsia" w:ascii="宋体" w:hAnsi="宋体" w:cs="宋体"/>
                <w:sz w:val="24"/>
              </w:rPr>
              <w:t>投标保证金汇款凭证</w:t>
            </w:r>
            <w:r>
              <w:rPr>
                <w:rFonts w:hint="eastAsia" w:ascii="宋体" w:hAnsi="宋体" w:cs="宋体"/>
                <w:sz w:val="24"/>
                <w:lang w:val="en-US" w:eastAsia="zh-CN"/>
              </w:rPr>
              <w:t>及收据</w:t>
            </w:r>
            <w:r>
              <w:rPr>
                <w:rFonts w:hint="eastAsia" w:ascii="宋体" w:hAnsi="宋体" w:cs="宋体"/>
                <w:sz w:val="24"/>
              </w:rPr>
              <w:t>或投标担保函等票据</w:t>
            </w:r>
          </w:p>
          <w:p>
            <w:pPr>
              <w:jc w:val="center"/>
              <w:rPr>
                <w:rFonts w:ascii="宋体" w:hAnsi="宋体" w:cs="宋体"/>
                <w:sz w:val="30"/>
                <w:szCs w:val="30"/>
              </w:rPr>
            </w:pPr>
          </w:p>
        </w:tc>
      </w:tr>
    </w:tbl>
    <w:p>
      <w:pPr>
        <w:spacing w:line="360" w:lineRule="auto"/>
        <w:ind w:firstLine="415" w:firstLineChars="147"/>
        <w:rPr>
          <w:rFonts w:ascii="黑体" w:hAnsi="黑体" w:eastAsia="黑体" w:cs="黑体"/>
          <w:sz w:val="28"/>
          <w:szCs w:val="28"/>
        </w:rPr>
      </w:pPr>
    </w:p>
    <w:p>
      <w:pPr>
        <w:spacing w:line="360" w:lineRule="auto"/>
        <w:ind w:firstLine="415" w:firstLineChars="147"/>
        <w:rPr>
          <w:rFonts w:ascii="黑体" w:hAnsi="黑体" w:eastAsia="黑体" w:cs="黑体"/>
          <w:sz w:val="28"/>
          <w:szCs w:val="28"/>
        </w:rPr>
      </w:pPr>
    </w:p>
    <w:p>
      <w:pPr>
        <w:spacing w:line="360" w:lineRule="auto"/>
        <w:ind w:firstLine="415" w:firstLineChars="147"/>
        <w:rPr>
          <w:rFonts w:ascii="黑体" w:hAnsi="黑体" w:eastAsia="黑体" w:cs="黑体"/>
          <w:sz w:val="28"/>
          <w:szCs w:val="28"/>
        </w:rPr>
      </w:pPr>
    </w:p>
    <w:p>
      <w:pPr>
        <w:spacing w:line="360" w:lineRule="auto"/>
        <w:ind w:firstLine="415" w:firstLineChars="147"/>
        <w:rPr>
          <w:rFonts w:ascii="黑体" w:hAnsi="黑体" w:eastAsia="黑体" w:cs="黑体"/>
          <w:sz w:val="28"/>
          <w:szCs w:val="28"/>
        </w:rPr>
      </w:pPr>
    </w:p>
    <w:p>
      <w:pPr>
        <w:pStyle w:val="45"/>
        <w:ind w:firstLine="566"/>
        <w:rPr>
          <w:rFonts w:ascii="黑体" w:hAnsi="黑体" w:eastAsia="黑体" w:cs="黑体"/>
          <w:sz w:val="28"/>
          <w:szCs w:val="28"/>
        </w:rPr>
      </w:pPr>
    </w:p>
    <w:p>
      <w:pPr>
        <w:pStyle w:val="45"/>
        <w:ind w:firstLine="566"/>
        <w:rPr>
          <w:rFonts w:ascii="黑体" w:hAnsi="黑体" w:eastAsia="黑体" w:cs="黑体"/>
          <w:sz w:val="28"/>
          <w:szCs w:val="28"/>
        </w:rPr>
      </w:pPr>
    </w:p>
    <w:p>
      <w:pPr>
        <w:pStyle w:val="45"/>
        <w:ind w:firstLine="566"/>
        <w:rPr>
          <w:rFonts w:ascii="黑体" w:hAnsi="黑体" w:eastAsia="黑体" w:cs="黑体"/>
          <w:sz w:val="28"/>
          <w:szCs w:val="28"/>
        </w:rPr>
      </w:pPr>
    </w:p>
    <w:p>
      <w:pPr>
        <w:pStyle w:val="45"/>
        <w:ind w:firstLine="566"/>
        <w:rPr>
          <w:rFonts w:ascii="黑体" w:hAnsi="黑体" w:eastAsia="黑体" w:cs="黑体"/>
          <w:sz w:val="28"/>
          <w:szCs w:val="28"/>
        </w:rPr>
      </w:pPr>
    </w:p>
    <w:p>
      <w:pPr>
        <w:pStyle w:val="45"/>
        <w:ind w:firstLine="566"/>
        <w:rPr>
          <w:rFonts w:ascii="黑体" w:hAnsi="黑体" w:eastAsia="黑体" w:cs="黑体"/>
          <w:sz w:val="28"/>
          <w:szCs w:val="28"/>
        </w:rPr>
      </w:pPr>
    </w:p>
    <w:p>
      <w:pPr>
        <w:pStyle w:val="45"/>
        <w:ind w:firstLine="566"/>
        <w:rPr>
          <w:rFonts w:ascii="黑体" w:hAnsi="黑体" w:eastAsia="黑体" w:cs="黑体"/>
          <w:sz w:val="28"/>
          <w:szCs w:val="28"/>
        </w:rPr>
      </w:pPr>
    </w:p>
    <w:p>
      <w:pPr>
        <w:pStyle w:val="45"/>
        <w:ind w:firstLine="566"/>
        <w:rPr>
          <w:rFonts w:ascii="黑体" w:hAnsi="黑体" w:eastAsia="黑体" w:cs="黑体"/>
          <w:sz w:val="28"/>
          <w:szCs w:val="28"/>
        </w:rPr>
      </w:pPr>
    </w:p>
    <w:p>
      <w:pPr>
        <w:rPr>
          <w:rFonts w:ascii="宋体" w:hAnsi="宋体" w:cs="宋体"/>
          <w:sz w:val="28"/>
          <w:szCs w:val="28"/>
        </w:rPr>
      </w:pPr>
    </w:p>
    <w:p>
      <w:pPr>
        <w:jc w:val="center"/>
        <w:rPr>
          <w:rFonts w:ascii="宋体" w:hAnsi="宋体" w:cs="宋体"/>
          <w:sz w:val="28"/>
          <w:szCs w:val="28"/>
        </w:rPr>
      </w:pPr>
      <w:r>
        <w:rPr>
          <w:rFonts w:hint="eastAsia" w:ascii="宋体" w:hAnsi="宋体" w:cs="宋体"/>
          <w:sz w:val="28"/>
          <w:szCs w:val="28"/>
        </w:rPr>
        <w:t>政府采购投标担保函 （项目用）（投标文件格式四）</w:t>
      </w:r>
    </w:p>
    <w:p>
      <w:pPr>
        <w:ind w:firstLine="6816" w:firstLineChars="3200"/>
        <w:rPr>
          <w:rFonts w:ascii="宋体" w:hAnsi="宋体" w:cs="宋体"/>
        </w:rPr>
      </w:pPr>
      <w:r>
        <w:rPr>
          <w:rFonts w:hint="eastAsia" w:ascii="宋体" w:hAnsi="宋体" w:cs="宋体"/>
        </w:rPr>
        <w:t>编号：</w:t>
      </w:r>
    </w:p>
    <w:p>
      <w:pPr>
        <w:spacing w:line="360" w:lineRule="auto"/>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（采购人或采购代理机构）：</w:t>
      </w:r>
    </w:p>
    <w:p>
      <w:pPr>
        <w:spacing w:line="360" w:lineRule="auto"/>
        <w:ind w:firstLine="426" w:firstLineChars="200"/>
        <w:rPr>
          <w:rFonts w:ascii="宋体" w:hAnsi="宋体" w:cs="宋体"/>
        </w:rPr>
      </w:pPr>
      <w:r>
        <w:rPr>
          <w:rFonts w:hint="eastAsia" w:ascii="宋体" w:hAnsi="宋体" w:cs="宋体"/>
        </w:rPr>
        <w:t>鉴于</w:t>
      </w:r>
      <w:r>
        <w:rPr>
          <w:rFonts w:hint="eastAsia" w:ascii="宋体" w:hAnsi="宋体" w:cs="宋体"/>
          <w:u w:val="single"/>
        </w:rPr>
        <w:t xml:space="preserve">               </w:t>
      </w:r>
      <w:r>
        <w:rPr>
          <w:rFonts w:hint="eastAsia" w:ascii="宋体" w:hAnsi="宋体" w:cs="宋体"/>
        </w:rPr>
        <w:t>（以下简称“投标人”）拟参加编号为</w:t>
      </w:r>
      <w:r>
        <w:rPr>
          <w:rFonts w:hint="eastAsia" w:ascii="宋体" w:hAnsi="宋体" w:cs="宋体"/>
          <w:u w:val="single"/>
        </w:rPr>
        <w:t xml:space="preserve">            </w:t>
      </w:r>
      <w:r>
        <w:rPr>
          <w:rFonts w:hint="eastAsia" w:ascii="宋体" w:hAnsi="宋体" w:cs="宋体"/>
        </w:rPr>
        <w:t>的</w:t>
      </w:r>
      <w:r>
        <w:rPr>
          <w:rFonts w:hint="eastAsia" w:ascii="宋体" w:hAnsi="宋体" w:cs="宋体"/>
          <w:u w:val="single"/>
        </w:rPr>
        <w:t xml:space="preserve">           </w:t>
      </w:r>
      <w:r>
        <w:rPr>
          <w:rFonts w:hint="eastAsia" w:ascii="宋体" w:hAnsi="宋体" w:cs="宋体"/>
        </w:rPr>
        <w:t xml:space="preserve">                            </w:t>
      </w:r>
    </w:p>
    <w:p>
      <w:pPr>
        <w:spacing w:line="360" w:lineRule="auto"/>
        <w:rPr>
          <w:rFonts w:ascii="宋体" w:hAnsi="宋体" w:cs="宋体"/>
        </w:rPr>
      </w:pPr>
      <w:r>
        <w:rPr>
          <w:rFonts w:hint="eastAsia" w:ascii="宋体" w:hAnsi="宋体" w:cs="宋体"/>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360" w:lineRule="auto"/>
        <w:ind w:firstLine="426" w:firstLineChars="200"/>
        <w:outlineLvl w:val="3"/>
        <w:rPr>
          <w:rFonts w:ascii="宋体" w:hAnsi="宋体" w:cs="宋体"/>
        </w:rPr>
      </w:pPr>
      <w:r>
        <w:rPr>
          <w:rFonts w:hint="eastAsia" w:ascii="宋体" w:hAnsi="宋体" w:cs="宋体"/>
        </w:rPr>
        <w:t>一、保证责任的情形及保证金额</w:t>
      </w:r>
    </w:p>
    <w:p>
      <w:pPr>
        <w:spacing w:line="360" w:lineRule="auto"/>
        <w:ind w:firstLine="213" w:firstLineChars="100"/>
        <w:outlineLvl w:val="4"/>
        <w:rPr>
          <w:rFonts w:ascii="宋体" w:hAnsi="宋体" w:cs="宋体"/>
        </w:rPr>
      </w:pPr>
      <w:r>
        <w:rPr>
          <w:rFonts w:hint="eastAsia" w:ascii="宋体" w:hAnsi="宋体" w:cs="宋体"/>
        </w:rPr>
        <w:t>（一）在投标人出现下列情形之一时，我方承担保证责任：</w:t>
      </w:r>
    </w:p>
    <w:p>
      <w:pPr>
        <w:spacing w:line="360" w:lineRule="auto"/>
        <w:ind w:firstLine="426" w:firstLineChars="200"/>
        <w:rPr>
          <w:rFonts w:ascii="宋体" w:hAnsi="宋体" w:cs="宋体"/>
        </w:rPr>
      </w:pPr>
      <w:r>
        <w:rPr>
          <w:rFonts w:hint="eastAsia" w:ascii="宋体" w:hAnsi="宋体" w:cs="宋体"/>
        </w:rPr>
        <w:t>1．中标后投标人无正当理由不与采购人或者采购代理机构签订《政府采购合同》；</w:t>
      </w:r>
    </w:p>
    <w:p>
      <w:pPr>
        <w:spacing w:line="360" w:lineRule="auto"/>
        <w:ind w:firstLine="426" w:firstLineChars="200"/>
        <w:outlineLvl w:val="2"/>
        <w:rPr>
          <w:rFonts w:ascii="宋体" w:hAnsi="宋体" w:cs="宋体"/>
        </w:rPr>
      </w:pPr>
      <w:r>
        <w:rPr>
          <w:rFonts w:hint="eastAsia" w:ascii="宋体" w:hAnsi="宋体" w:cs="宋体"/>
        </w:rPr>
        <w:t>2．招标文件规定的投标人应当缴纳保证金的其他情形。</w:t>
      </w:r>
    </w:p>
    <w:p>
      <w:pPr>
        <w:spacing w:line="360" w:lineRule="auto"/>
        <w:ind w:firstLine="213" w:firstLineChars="100"/>
        <w:rPr>
          <w:rFonts w:ascii="宋体" w:hAnsi="宋体" w:cs="宋体"/>
        </w:rPr>
      </w:pPr>
      <w:r>
        <w:rPr>
          <w:rFonts w:hint="eastAsia" w:ascii="宋体" w:hAnsi="宋体" w:cs="宋体"/>
        </w:rPr>
        <w:t>（二）我方承担保证责任的最高金额为人民币</w:t>
      </w:r>
      <w:r>
        <w:rPr>
          <w:rFonts w:hint="eastAsia" w:ascii="宋体" w:hAnsi="宋体" w:cs="宋体"/>
          <w:u w:val="single"/>
        </w:rPr>
        <w:t xml:space="preserve">      </w:t>
      </w:r>
      <w:r>
        <w:rPr>
          <w:rFonts w:hint="eastAsia" w:ascii="宋体" w:hAnsi="宋体" w:cs="宋体"/>
        </w:rPr>
        <w:t>元（大写</w:t>
      </w:r>
      <w:r>
        <w:rPr>
          <w:rFonts w:hint="eastAsia" w:ascii="宋体" w:hAnsi="宋体" w:cs="宋体"/>
          <w:u w:val="single"/>
        </w:rPr>
        <w:t xml:space="preserve">            </w:t>
      </w:r>
      <w:r>
        <w:rPr>
          <w:rFonts w:hint="eastAsia" w:ascii="宋体" w:hAnsi="宋体" w:cs="宋体"/>
        </w:rPr>
        <w:t>），即本项目的投标保证金金额。</w:t>
      </w:r>
    </w:p>
    <w:p>
      <w:pPr>
        <w:spacing w:line="360" w:lineRule="auto"/>
        <w:ind w:firstLine="426" w:firstLineChars="200"/>
        <w:outlineLvl w:val="3"/>
        <w:rPr>
          <w:rFonts w:ascii="宋体" w:hAnsi="宋体" w:cs="宋体"/>
        </w:rPr>
      </w:pPr>
      <w:r>
        <w:rPr>
          <w:rFonts w:hint="eastAsia" w:ascii="宋体" w:hAnsi="宋体" w:cs="宋体"/>
        </w:rPr>
        <w:t>二、保证的方式及保证期间</w:t>
      </w:r>
    </w:p>
    <w:p>
      <w:pPr>
        <w:spacing w:line="360" w:lineRule="auto"/>
        <w:ind w:firstLine="426" w:firstLineChars="200"/>
        <w:rPr>
          <w:rFonts w:ascii="宋体" w:hAnsi="宋体" w:cs="宋体"/>
        </w:rPr>
      </w:pPr>
      <w:r>
        <w:rPr>
          <w:rFonts w:hint="eastAsia" w:ascii="宋体" w:hAnsi="宋体" w:cs="宋体"/>
        </w:rPr>
        <w:t>我方保证的方式为：连带责任保证。</w:t>
      </w:r>
    </w:p>
    <w:p>
      <w:pPr>
        <w:spacing w:line="360" w:lineRule="auto"/>
        <w:ind w:firstLine="426" w:firstLineChars="200"/>
        <w:rPr>
          <w:rFonts w:ascii="宋体" w:hAnsi="宋体" w:cs="宋体"/>
        </w:rPr>
      </w:pPr>
      <w:r>
        <w:rPr>
          <w:rFonts w:hint="eastAsia" w:ascii="宋体" w:hAnsi="宋体" w:cs="宋体"/>
        </w:rPr>
        <w:t>我方的保证期间为：自本保函生效之日起</w:t>
      </w:r>
      <w:r>
        <w:rPr>
          <w:rFonts w:hint="eastAsia" w:ascii="宋体" w:hAnsi="宋体" w:cs="宋体"/>
          <w:u w:val="single"/>
        </w:rPr>
        <w:t xml:space="preserve">    </w:t>
      </w:r>
      <w:r>
        <w:rPr>
          <w:rFonts w:hint="eastAsia" w:ascii="宋体" w:hAnsi="宋体" w:cs="宋体"/>
        </w:rPr>
        <w:t>个月止。</w:t>
      </w:r>
    </w:p>
    <w:p>
      <w:pPr>
        <w:spacing w:line="360" w:lineRule="auto"/>
        <w:ind w:firstLine="426" w:firstLineChars="200"/>
        <w:outlineLvl w:val="3"/>
        <w:rPr>
          <w:rFonts w:ascii="宋体" w:hAnsi="宋体" w:cs="宋体"/>
        </w:rPr>
      </w:pPr>
      <w:r>
        <w:rPr>
          <w:rFonts w:hint="eastAsia" w:ascii="宋体" w:hAnsi="宋体" w:cs="宋体"/>
        </w:rPr>
        <w:t>三、承担保证责任的程序</w:t>
      </w:r>
    </w:p>
    <w:p>
      <w:pPr>
        <w:spacing w:line="360" w:lineRule="auto"/>
        <w:ind w:firstLine="426" w:firstLineChars="200"/>
        <w:rPr>
          <w:rFonts w:ascii="宋体" w:hAnsi="宋体" w:cs="宋体"/>
        </w:rPr>
      </w:pPr>
      <w:r>
        <w:rPr>
          <w:rFonts w:hint="eastAsia" w:ascii="宋体" w:hAnsi="宋体" w:cs="宋体"/>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firstLine="426" w:firstLineChars="200"/>
        <w:rPr>
          <w:rFonts w:ascii="宋体" w:hAnsi="宋体" w:cs="宋体"/>
        </w:rPr>
      </w:pPr>
      <w:r>
        <w:rPr>
          <w:rFonts w:hint="eastAsia" w:ascii="宋体" w:hAnsi="宋体" w:cs="宋体"/>
        </w:rPr>
        <w:t>2．我方在收到索赔通知及相关证明材料后，在</w:t>
      </w:r>
      <w:r>
        <w:rPr>
          <w:rFonts w:hint="eastAsia" w:ascii="宋体" w:hAnsi="宋体" w:cs="宋体"/>
          <w:u w:val="single"/>
        </w:rPr>
        <w:t>　　　</w:t>
      </w:r>
      <w:r>
        <w:rPr>
          <w:rFonts w:hint="eastAsia" w:ascii="宋体" w:hAnsi="宋体" w:cs="宋体"/>
        </w:rPr>
        <w:t>个工作日内进行审查，符合应承担保证责任情形的，我方应按照你方的要求代投标人向你方支付投标保证金。</w:t>
      </w:r>
    </w:p>
    <w:p>
      <w:pPr>
        <w:spacing w:line="360" w:lineRule="auto"/>
        <w:ind w:firstLine="426" w:firstLineChars="200"/>
        <w:outlineLvl w:val="3"/>
        <w:rPr>
          <w:rFonts w:ascii="宋体" w:hAnsi="宋体" w:cs="宋体"/>
        </w:rPr>
      </w:pPr>
      <w:r>
        <w:rPr>
          <w:rFonts w:hint="eastAsia" w:ascii="宋体" w:hAnsi="宋体" w:cs="宋体"/>
        </w:rPr>
        <w:t>四、保证责任的终止</w:t>
      </w:r>
    </w:p>
    <w:p>
      <w:pPr>
        <w:spacing w:line="360" w:lineRule="auto"/>
        <w:ind w:firstLine="426" w:firstLineChars="200"/>
        <w:rPr>
          <w:rFonts w:ascii="宋体" w:hAnsi="宋体" w:cs="宋体"/>
        </w:rPr>
      </w:pPr>
      <w:r>
        <w:rPr>
          <w:rFonts w:hint="eastAsia" w:ascii="宋体" w:hAnsi="宋体" w:cs="宋体"/>
        </w:rPr>
        <w:t>1．保证期间届满你方未向我方书面主张保证责任的，自保证期间届满次日起，我方保证责任自动终止。</w:t>
      </w:r>
    </w:p>
    <w:p>
      <w:pPr>
        <w:spacing w:line="360" w:lineRule="auto"/>
        <w:ind w:firstLine="426" w:firstLineChars="200"/>
        <w:rPr>
          <w:rFonts w:ascii="宋体" w:hAnsi="宋体" w:cs="宋体"/>
        </w:rPr>
      </w:pPr>
      <w:r>
        <w:rPr>
          <w:rFonts w:hint="eastAsia" w:ascii="宋体" w:hAnsi="宋体" w:cs="宋体"/>
        </w:rPr>
        <w:t>2．我方按照本保函向你贵方履行了保证责任后，自我方向你贵方支付款项（支付款项从我方账户划出）之日起，保证责任终止。</w:t>
      </w:r>
    </w:p>
    <w:p>
      <w:pPr>
        <w:spacing w:line="360" w:lineRule="auto"/>
        <w:ind w:firstLine="426" w:firstLineChars="200"/>
        <w:rPr>
          <w:rFonts w:ascii="宋体" w:hAnsi="宋体" w:cs="宋体"/>
        </w:rPr>
      </w:pPr>
      <w:r>
        <w:rPr>
          <w:rFonts w:hint="eastAsia" w:ascii="宋体" w:hAnsi="宋体" w:cs="宋体"/>
        </w:rPr>
        <w:t>3．按照法律法规的规定或出现我方保证责任终止的其它情形的，我方在本保函项下的保证责任亦终止。</w:t>
      </w:r>
    </w:p>
    <w:p>
      <w:pPr>
        <w:spacing w:line="360" w:lineRule="auto"/>
        <w:ind w:firstLine="426" w:firstLineChars="200"/>
        <w:outlineLvl w:val="3"/>
        <w:rPr>
          <w:rFonts w:ascii="宋体" w:hAnsi="宋体" w:cs="宋体"/>
        </w:rPr>
      </w:pPr>
      <w:r>
        <w:rPr>
          <w:rFonts w:hint="eastAsia" w:ascii="宋体" w:hAnsi="宋体" w:cs="宋体"/>
        </w:rPr>
        <w:t>五、免责条款</w:t>
      </w:r>
    </w:p>
    <w:p>
      <w:pPr>
        <w:spacing w:line="360" w:lineRule="auto"/>
        <w:ind w:firstLine="426" w:firstLineChars="200"/>
        <w:rPr>
          <w:rFonts w:ascii="宋体" w:hAnsi="宋体" w:cs="宋体"/>
        </w:rPr>
      </w:pPr>
      <w:r>
        <w:rPr>
          <w:rFonts w:hint="eastAsia" w:ascii="宋体" w:hAnsi="宋体" w:cs="宋体"/>
        </w:rPr>
        <w:t>1．依照法律规定或你方与投标人的另行约定，全部或者部分免除投标人投标保证金义务时，我方亦免除相应的保证责任。</w:t>
      </w:r>
    </w:p>
    <w:p>
      <w:pPr>
        <w:spacing w:line="360" w:lineRule="auto"/>
        <w:ind w:firstLine="426" w:firstLineChars="200"/>
        <w:rPr>
          <w:rFonts w:ascii="宋体" w:hAnsi="宋体" w:cs="宋体"/>
        </w:rPr>
      </w:pPr>
      <w:r>
        <w:rPr>
          <w:rFonts w:hint="eastAsia" w:ascii="宋体" w:hAnsi="宋体" w:cs="宋体"/>
        </w:rPr>
        <w:t>2．因你方原因致使投标人发生本保函第一条第（一）款约定情形的，我方不承担保证责任。</w:t>
      </w:r>
    </w:p>
    <w:p>
      <w:pPr>
        <w:spacing w:line="360" w:lineRule="auto"/>
        <w:ind w:firstLine="426" w:firstLineChars="200"/>
        <w:rPr>
          <w:rFonts w:ascii="宋体" w:hAnsi="宋体" w:cs="宋体"/>
        </w:rPr>
      </w:pPr>
      <w:r>
        <w:rPr>
          <w:rFonts w:hint="eastAsia" w:ascii="宋体" w:hAnsi="宋体" w:cs="宋体"/>
        </w:rPr>
        <w:t>3．因不可抗力造成投标人发生本保函第一条约定情形的，我方不承担保证责任。</w:t>
      </w:r>
    </w:p>
    <w:p>
      <w:pPr>
        <w:spacing w:line="360" w:lineRule="auto"/>
        <w:ind w:firstLine="426" w:firstLineChars="200"/>
        <w:rPr>
          <w:rFonts w:ascii="宋体" w:hAnsi="宋体" w:cs="宋体"/>
        </w:rPr>
      </w:pPr>
      <w:r>
        <w:rPr>
          <w:rFonts w:hint="eastAsia" w:ascii="宋体" w:hAnsi="宋体" w:cs="宋体"/>
        </w:rPr>
        <w:t>4．你方或其他有权机关对招标文件进行任何澄清或修改，加重我方保证责任的，我方对加重部分不承担保证责任，但该澄清或修改经我方事先书面同意的除外。</w:t>
      </w:r>
    </w:p>
    <w:p>
      <w:pPr>
        <w:spacing w:line="360" w:lineRule="auto"/>
        <w:ind w:firstLine="426" w:firstLineChars="200"/>
        <w:outlineLvl w:val="3"/>
        <w:rPr>
          <w:rFonts w:ascii="宋体" w:hAnsi="宋体" w:cs="宋体"/>
        </w:rPr>
      </w:pPr>
      <w:r>
        <w:rPr>
          <w:rFonts w:hint="eastAsia" w:ascii="宋体" w:hAnsi="宋体" w:cs="宋体"/>
        </w:rPr>
        <w:t>六、争议的解决</w:t>
      </w:r>
    </w:p>
    <w:p>
      <w:pPr>
        <w:spacing w:line="360" w:lineRule="auto"/>
        <w:ind w:firstLine="426" w:firstLineChars="200"/>
        <w:rPr>
          <w:rFonts w:ascii="宋体" w:hAnsi="宋体" w:cs="宋体"/>
        </w:rPr>
      </w:pPr>
      <w:r>
        <w:rPr>
          <w:rFonts w:hint="eastAsia" w:ascii="宋体" w:hAnsi="宋体" w:cs="宋体"/>
        </w:rPr>
        <w:t>因本保函发生的纠纷，由你我双方协商解决，协商不成的，通过诉讼程序解决，诉讼管辖地法院为</w:t>
      </w:r>
      <w:r>
        <w:rPr>
          <w:rFonts w:hint="eastAsia" w:ascii="宋体" w:hAnsi="宋体" w:cs="宋体"/>
          <w:u w:val="single"/>
        </w:rPr>
        <w:t xml:space="preserve">          </w:t>
      </w:r>
      <w:r>
        <w:rPr>
          <w:rFonts w:hint="eastAsia" w:ascii="宋体" w:hAnsi="宋体" w:cs="宋体"/>
        </w:rPr>
        <w:t>法院。</w:t>
      </w:r>
    </w:p>
    <w:p>
      <w:pPr>
        <w:spacing w:line="360" w:lineRule="auto"/>
        <w:ind w:firstLine="426" w:firstLineChars="200"/>
        <w:outlineLvl w:val="3"/>
        <w:rPr>
          <w:rFonts w:ascii="宋体" w:hAnsi="宋体" w:cs="宋体"/>
        </w:rPr>
      </w:pPr>
      <w:r>
        <w:rPr>
          <w:rFonts w:hint="eastAsia" w:ascii="宋体" w:hAnsi="宋体" w:cs="宋体"/>
        </w:rPr>
        <w:t>七、保函的生效</w:t>
      </w:r>
    </w:p>
    <w:p>
      <w:pPr>
        <w:ind w:firstLine="426" w:firstLineChars="200"/>
        <w:rPr>
          <w:rFonts w:ascii="宋体" w:hAnsi="宋体" w:cs="宋体"/>
        </w:rPr>
      </w:pPr>
      <w:r>
        <w:rPr>
          <w:rFonts w:hint="eastAsia" w:ascii="宋体" w:hAnsi="宋体" w:cs="宋体"/>
        </w:rPr>
        <w:t>本保函自我方加盖公章之日起生效。</w:t>
      </w:r>
    </w:p>
    <w:p>
      <w:pPr>
        <w:ind w:firstLine="5644" w:firstLineChars="2650"/>
        <w:rPr>
          <w:rFonts w:ascii="宋体" w:hAnsi="宋体" w:cs="宋体"/>
        </w:rPr>
      </w:pPr>
      <w:r>
        <w:rPr>
          <w:rFonts w:hint="eastAsia" w:ascii="宋体" w:hAnsi="宋体" w:cs="宋体"/>
        </w:rPr>
        <w:t>保证人：（公章）</w:t>
      </w:r>
    </w:p>
    <w:p>
      <w:pPr>
        <w:rPr>
          <w:rFonts w:ascii="宋体" w:hAnsi="宋体" w:cs="宋体"/>
        </w:rPr>
      </w:pPr>
      <w:r>
        <w:rPr>
          <w:rFonts w:hint="eastAsia" w:ascii="宋体" w:hAnsi="宋体" w:cs="宋体"/>
        </w:rPr>
        <w:t xml:space="preserve">                               </w:t>
      </w:r>
    </w:p>
    <w:p>
      <w:pPr>
        <w:ind w:firstLine="5857" w:firstLineChars="2750"/>
        <w:rPr>
          <w:rFonts w:ascii="宋体" w:hAnsi="宋体" w:cs="宋体"/>
        </w:rPr>
        <w:sectPr>
          <w:pgSz w:w="11905" w:h="16838"/>
          <w:pgMar w:top="1440" w:right="1797" w:bottom="1440" w:left="1797" w:header="850" w:footer="737" w:gutter="0"/>
          <w:cols w:space="720" w:num="1"/>
          <w:docGrid w:type="linesAndChars" w:linePitch="325" w:charSpace="635"/>
        </w:sectPr>
      </w:pPr>
      <w:r>
        <w:rPr>
          <w:rFonts w:hint="eastAsia" w:ascii="宋体" w:hAnsi="宋体" w:cs="宋体"/>
        </w:rPr>
        <w:t>年     月      日</w:t>
      </w:r>
    </w:p>
    <w:p>
      <w:pPr>
        <w:pStyle w:val="3"/>
        <w:numPr>
          <w:ilvl w:val="0"/>
          <w:numId w:val="0"/>
        </w:numPr>
        <w:spacing w:line="240" w:lineRule="atLeast"/>
        <w:rPr>
          <w:rFonts w:ascii="宋体" w:hAnsi="宋体" w:cs="宋体"/>
        </w:rPr>
      </w:pPr>
      <w:bookmarkStart w:id="86" w:name="_Toc18754"/>
      <w:bookmarkStart w:id="87" w:name="_Toc27021"/>
      <w:bookmarkStart w:id="88" w:name="_Toc5710"/>
      <w:bookmarkStart w:id="89" w:name="_Toc515647810"/>
      <w:r>
        <w:rPr>
          <w:rFonts w:hint="eastAsia" w:ascii="宋体" w:hAnsi="宋体" w:cs="宋体"/>
        </w:rPr>
        <w:t>6、社会保障资金的缴纳记录</w:t>
      </w:r>
      <w:bookmarkEnd w:id="86"/>
      <w:bookmarkEnd w:id="87"/>
      <w:bookmarkEnd w:id="88"/>
      <w:bookmarkEnd w:id="89"/>
    </w:p>
    <w:p>
      <w:pPr>
        <w:pStyle w:val="13"/>
        <w:tabs>
          <w:tab w:val="left" w:pos="5580"/>
        </w:tabs>
        <w:spacing w:line="240" w:lineRule="atLeast"/>
        <w:ind w:left="1080" w:leftChars="257" w:hanging="540"/>
        <w:jc w:val="center"/>
        <w:rPr>
          <w:rFonts w:hAnsi="宋体" w:cs="宋体"/>
          <w:color w:val="auto"/>
          <w:sz w:val="24"/>
        </w:rPr>
      </w:pPr>
    </w:p>
    <w:p>
      <w:pPr>
        <w:pStyle w:val="13"/>
        <w:tabs>
          <w:tab w:val="left" w:pos="5580"/>
        </w:tabs>
        <w:spacing w:line="240" w:lineRule="atLeast"/>
        <w:ind w:left="540"/>
        <w:rPr>
          <w:rFonts w:hAnsi="宋体" w:cs="宋体"/>
          <w:color w:val="auto"/>
          <w:szCs w:val="16"/>
        </w:rPr>
      </w:pPr>
    </w:p>
    <w:p>
      <w:pPr>
        <w:pStyle w:val="13"/>
        <w:tabs>
          <w:tab w:val="left" w:pos="5580"/>
        </w:tabs>
        <w:spacing w:line="240" w:lineRule="atLeast"/>
        <w:ind w:left="540"/>
        <w:rPr>
          <w:rFonts w:hAnsi="宋体" w:cs="宋体"/>
          <w:color w:val="auto"/>
          <w:szCs w:val="16"/>
        </w:rPr>
      </w:pPr>
      <w:r>
        <w:rPr>
          <w:rFonts w:hint="eastAsia" w:hAnsi="宋体" w:cs="宋体"/>
          <w:color w:val="auto"/>
          <w:szCs w:val="16"/>
        </w:rPr>
        <w:t>说明：1.按照</w:t>
      </w:r>
      <w:r>
        <w:rPr>
          <w:rFonts w:hint="eastAsia" w:hAnsi="宋体" w:cs="宋体"/>
          <w:color w:val="auto"/>
          <w:szCs w:val="16"/>
          <w:u w:val="single"/>
        </w:rPr>
        <w:t>投标人须知资料表</w:t>
      </w:r>
      <w:r>
        <w:rPr>
          <w:rFonts w:hint="eastAsia" w:hAnsi="宋体" w:cs="宋体"/>
          <w:color w:val="auto"/>
          <w:szCs w:val="16"/>
        </w:rPr>
        <w:t>中的规定提供复印件。</w:t>
      </w:r>
    </w:p>
    <w:p>
      <w:pPr>
        <w:pStyle w:val="13"/>
        <w:tabs>
          <w:tab w:val="left" w:pos="5580"/>
        </w:tabs>
        <w:spacing w:line="240" w:lineRule="atLeast"/>
        <w:ind w:left="1080" w:leftChars="257" w:hanging="540"/>
        <w:outlineLvl w:val="2"/>
        <w:rPr>
          <w:rFonts w:hAnsi="宋体" w:cs="宋体"/>
          <w:color w:val="auto"/>
          <w:szCs w:val="16"/>
        </w:rPr>
      </w:pPr>
      <w:r>
        <w:rPr>
          <w:rFonts w:hint="eastAsia" w:hAnsi="宋体" w:cs="宋体"/>
          <w:color w:val="auto"/>
          <w:szCs w:val="16"/>
        </w:rPr>
        <w:t xml:space="preserve">      2.复印件上应加盖本单位章。</w:t>
      </w:r>
    </w:p>
    <w:p>
      <w:pPr>
        <w:tabs>
          <w:tab w:val="left" w:pos="5580"/>
        </w:tabs>
        <w:spacing w:line="240" w:lineRule="atLeast"/>
        <w:ind w:left="1080" w:leftChars="257" w:hanging="540"/>
        <w:rPr>
          <w:rFonts w:ascii="宋体" w:hAnsi="宋体" w:cs="宋体"/>
          <w:szCs w:val="21"/>
        </w:rPr>
      </w:pPr>
      <w:r>
        <w:rPr>
          <w:rFonts w:hint="eastAsia" w:ascii="宋体" w:hAnsi="宋体" w:cs="宋体"/>
          <w:szCs w:val="21"/>
        </w:rPr>
        <w:t xml:space="preserve">      3.（本项目不接受联合体）如果是联合体投标，联合体各方均需提供上述证明。</w:t>
      </w:r>
    </w:p>
    <w:p>
      <w:pPr>
        <w:pStyle w:val="13"/>
        <w:tabs>
          <w:tab w:val="left" w:pos="5580"/>
        </w:tabs>
        <w:spacing w:line="240" w:lineRule="atLeast"/>
        <w:ind w:left="1080" w:leftChars="257" w:hanging="540"/>
        <w:rPr>
          <w:rFonts w:hAnsi="宋体" w:cs="宋体"/>
          <w:color w:val="auto"/>
          <w:sz w:val="24"/>
        </w:rPr>
      </w:pPr>
    </w:p>
    <w:p>
      <w:pPr>
        <w:spacing w:line="360" w:lineRule="auto"/>
        <w:rPr>
          <w:rFonts w:ascii="黑体" w:hAnsi="黑体" w:eastAsia="黑体" w:cs="黑体"/>
          <w:sz w:val="72"/>
          <w:szCs w:val="72"/>
        </w:rPr>
      </w:pPr>
    </w:p>
    <w:p>
      <w:pPr>
        <w:spacing w:line="360" w:lineRule="auto"/>
        <w:ind w:left="-420" w:leftChars="-200"/>
        <w:jc w:val="center"/>
        <w:rPr>
          <w:rFonts w:ascii="宋体" w:hAnsi="宋体"/>
          <w:sz w:val="28"/>
          <w:szCs w:val="28"/>
        </w:rPr>
      </w:pPr>
    </w:p>
    <w:p>
      <w:pPr>
        <w:spacing w:line="360" w:lineRule="auto"/>
        <w:ind w:left="-420" w:leftChars="-200" w:firstLine="1820" w:firstLineChars="650"/>
        <w:rPr>
          <w:rFonts w:ascii="宋体" w:hAnsi="宋体"/>
          <w:sz w:val="28"/>
          <w:szCs w:val="28"/>
        </w:rPr>
      </w:pPr>
    </w:p>
    <w:p>
      <w:pPr>
        <w:spacing w:line="360" w:lineRule="auto"/>
        <w:ind w:left="-420" w:leftChars="-200" w:firstLine="1820" w:firstLineChars="650"/>
        <w:rPr>
          <w:rFonts w:ascii="宋体" w:hAnsi="宋体"/>
          <w:sz w:val="28"/>
          <w:szCs w:val="28"/>
        </w:rPr>
      </w:pPr>
    </w:p>
    <w:p>
      <w:pPr>
        <w:pStyle w:val="10"/>
        <w:tabs>
          <w:tab w:val="left" w:pos="562"/>
          <w:tab w:val="left" w:pos="3372"/>
          <w:tab w:val="left" w:pos="3653"/>
        </w:tabs>
        <w:rPr>
          <w:rFonts w:ascii="宋体" w:hAnsi="宋体" w:cs="宋体"/>
          <w:sz w:val="28"/>
          <w:szCs w:val="28"/>
        </w:rPr>
      </w:pPr>
    </w:p>
    <w:p>
      <w:pPr>
        <w:pStyle w:val="10"/>
        <w:tabs>
          <w:tab w:val="left" w:pos="562"/>
          <w:tab w:val="left" w:pos="3372"/>
          <w:tab w:val="left" w:pos="3653"/>
        </w:tabs>
        <w:rPr>
          <w:rFonts w:ascii="宋体" w:hAnsi="宋体" w:cs="宋体"/>
          <w:sz w:val="28"/>
          <w:szCs w:val="28"/>
        </w:rPr>
      </w:pPr>
    </w:p>
    <w:p>
      <w:pPr>
        <w:pStyle w:val="10"/>
        <w:tabs>
          <w:tab w:val="left" w:pos="562"/>
          <w:tab w:val="left" w:pos="3372"/>
          <w:tab w:val="left" w:pos="3653"/>
        </w:tabs>
        <w:rPr>
          <w:rFonts w:ascii="宋体" w:hAnsi="宋体" w:cs="宋体"/>
          <w:sz w:val="28"/>
          <w:szCs w:val="28"/>
        </w:rPr>
      </w:pPr>
    </w:p>
    <w:p>
      <w:pPr>
        <w:pStyle w:val="10"/>
        <w:tabs>
          <w:tab w:val="left" w:pos="562"/>
          <w:tab w:val="left" w:pos="3372"/>
          <w:tab w:val="left" w:pos="3653"/>
        </w:tabs>
        <w:rPr>
          <w:rFonts w:ascii="宋体" w:hAnsi="宋体" w:cs="宋体"/>
          <w:sz w:val="28"/>
          <w:szCs w:val="28"/>
        </w:rPr>
      </w:pPr>
    </w:p>
    <w:p>
      <w:pPr>
        <w:pStyle w:val="10"/>
        <w:tabs>
          <w:tab w:val="left" w:pos="562"/>
          <w:tab w:val="left" w:pos="3372"/>
          <w:tab w:val="left" w:pos="3653"/>
        </w:tabs>
        <w:rPr>
          <w:rFonts w:ascii="宋体" w:hAnsi="宋体" w:cs="宋体"/>
          <w:sz w:val="28"/>
          <w:szCs w:val="28"/>
        </w:rPr>
      </w:pPr>
    </w:p>
    <w:p>
      <w:pPr>
        <w:pStyle w:val="10"/>
        <w:tabs>
          <w:tab w:val="left" w:pos="562"/>
          <w:tab w:val="left" w:pos="3372"/>
          <w:tab w:val="left" w:pos="3653"/>
        </w:tabs>
        <w:rPr>
          <w:rFonts w:ascii="宋体" w:hAnsi="宋体" w:cs="宋体"/>
          <w:sz w:val="28"/>
          <w:szCs w:val="28"/>
        </w:rPr>
      </w:pPr>
    </w:p>
    <w:p>
      <w:pPr>
        <w:pStyle w:val="10"/>
        <w:tabs>
          <w:tab w:val="left" w:pos="562"/>
          <w:tab w:val="left" w:pos="3372"/>
          <w:tab w:val="left" w:pos="3653"/>
        </w:tabs>
        <w:rPr>
          <w:rFonts w:ascii="宋体" w:hAnsi="宋体" w:cs="宋体"/>
          <w:sz w:val="28"/>
          <w:szCs w:val="28"/>
        </w:rPr>
      </w:pPr>
    </w:p>
    <w:p>
      <w:pPr>
        <w:rPr>
          <w:rFonts w:ascii="宋体" w:hAnsi="宋体" w:cs="宋体"/>
          <w:sz w:val="28"/>
          <w:szCs w:val="28"/>
        </w:rPr>
      </w:pPr>
    </w:p>
    <w:p>
      <w:pPr>
        <w:pStyle w:val="45"/>
        <w:ind w:firstLine="560"/>
        <w:rPr>
          <w:rFonts w:ascii="宋体" w:hAnsi="宋体" w:cs="宋体"/>
          <w:sz w:val="28"/>
          <w:szCs w:val="28"/>
        </w:rPr>
      </w:pPr>
    </w:p>
    <w:p>
      <w:pPr>
        <w:pStyle w:val="45"/>
        <w:ind w:firstLine="560"/>
        <w:rPr>
          <w:rFonts w:ascii="宋体" w:hAnsi="宋体" w:cs="宋体"/>
          <w:sz w:val="28"/>
          <w:szCs w:val="28"/>
        </w:rPr>
      </w:pPr>
    </w:p>
    <w:p>
      <w:pPr>
        <w:pStyle w:val="45"/>
        <w:ind w:firstLine="560"/>
        <w:rPr>
          <w:rFonts w:ascii="宋体" w:hAnsi="宋体" w:cs="宋体"/>
          <w:sz w:val="28"/>
          <w:szCs w:val="28"/>
        </w:rPr>
      </w:pPr>
    </w:p>
    <w:p>
      <w:pPr>
        <w:pStyle w:val="45"/>
        <w:ind w:firstLine="560"/>
        <w:rPr>
          <w:rFonts w:ascii="宋体" w:hAnsi="宋体" w:cs="宋体"/>
          <w:sz w:val="28"/>
          <w:szCs w:val="28"/>
        </w:rPr>
      </w:pPr>
    </w:p>
    <w:p>
      <w:pPr>
        <w:pStyle w:val="45"/>
        <w:ind w:firstLine="560"/>
        <w:rPr>
          <w:rFonts w:ascii="宋体" w:hAnsi="宋体" w:cs="宋体"/>
          <w:sz w:val="28"/>
          <w:szCs w:val="28"/>
        </w:rPr>
      </w:pPr>
    </w:p>
    <w:p>
      <w:pPr>
        <w:pStyle w:val="10"/>
        <w:tabs>
          <w:tab w:val="left" w:pos="562"/>
          <w:tab w:val="left" w:pos="3372"/>
          <w:tab w:val="left" w:pos="3653"/>
        </w:tabs>
        <w:rPr>
          <w:rFonts w:ascii="宋体" w:hAnsi="宋体" w:cs="宋体"/>
          <w:sz w:val="28"/>
          <w:szCs w:val="28"/>
        </w:rPr>
      </w:pPr>
    </w:p>
    <w:p>
      <w:pPr>
        <w:pStyle w:val="10"/>
        <w:tabs>
          <w:tab w:val="left" w:pos="562"/>
          <w:tab w:val="left" w:pos="3372"/>
          <w:tab w:val="left" w:pos="3653"/>
        </w:tabs>
        <w:rPr>
          <w:rFonts w:ascii="宋体" w:hAnsi="宋体" w:cs="宋体"/>
          <w:sz w:val="28"/>
          <w:szCs w:val="28"/>
        </w:rPr>
      </w:pPr>
    </w:p>
    <w:p>
      <w:pPr>
        <w:pStyle w:val="69"/>
        <w:rPr>
          <w:rFonts w:hAnsi="宋体"/>
          <w:color w:val="auto"/>
        </w:rPr>
      </w:pPr>
    </w:p>
    <w:p>
      <w:pPr>
        <w:pStyle w:val="69"/>
        <w:rPr>
          <w:rFonts w:hAnsi="宋体"/>
          <w:color w:val="auto"/>
        </w:rPr>
      </w:pPr>
    </w:p>
    <w:p>
      <w:pPr>
        <w:pStyle w:val="69"/>
        <w:rPr>
          <w:rFonts w:hAnsi="宋体"/>
          <w:color w:val="auto"/>
        </w:rPr>
      </w:pPr>
    </w:p>
    <w:p>
      <w:pPr>
        <w:pStyle w:val="3"/>
        <w:numPr>
          <w:ilvl w:val="0"/>
          <w:numId w:val="0"/>
        </w:numPr>
        <w:spacing w:line="240" w:lineRule="atLeast"/>
        <w:rPr>
          <w:rFonts w:ascii="宋体" w:hAnsi="宋体" w:cs="宋体"/>
        </w:rPr>
      </w:pPr>
      <w:r>
        <w:rPr>
          <w:rFonts w:hint="eastAsia" w:ascii="宋体" w:hAnsi="宋体" w:cs="宋体"/>
        </w:rPr>
        <w:t>7、参加政府采购活动前3年内</w:t>
      </w:r>
      <w:bookmarkStart w:id="90" w:name="_Toc6008"/>
      <w:bookmarkStart w:id="91" w:name="_Toc515647812"/>
      <w:bookmarkStart w:id="92" w:name="_Toc1137"/>
      <w:r>
        <w:rPr>
          <w:rFonts w:hint="eastAsia" w:ascii="宋体" w:hAnsi="宋体" w:cs="宋体"/>
        </w:rPr>
        <w:t>在经营活动中没有重大违法记录的书面声明</w:t>
      </w:r>
      <w:bookmarkEnd w:id="90"/>
      <w:bookmarkEnd w:id="91"/>
      <w:bookmarkEnd w:id="92"/>
    </w:p>
    <w:p>
      <w:pPr>
        <w:pStyle w:val="13"/>
        <w:tabs>
          <w:tab w:val="left" w:pos="5580"/>
        </w:tabs>
        <w:spacing w:line="240" w:lineRule="atLeast"/>
        <w:ind w:left="1080" w:leftChars="257" w:hanging="540"/>
        <w:jc w:val="center"/>
        <w:rPr>
          <w:rFonts w:hAnsi="宋体" w:cs="宋体"/>
          <w:color w:val="auto"/>
          <w:sz w:val="24"/>
        </w:rPr>
      </w:pPr>
    </w:p>
    <w:p>
      <w:pPr>
        <w:pStyle w:val="13"/>
        <w:tabs>
          <w:tab w:val="left" w:pos="5580"/>
        </w:tabs>
        <w:spacing w:line="240" w:lineRule="atLeast"/>
        <w:rPr>
          <w:rFonts w:hAnsi="宋体" w:cs="宋体"/>
          <w:color w:val="auto"/>
          <w:sz w:val="24"/>
        </w:rPr>
      </w:pPr>
    </w:p>
    <w:p>
      <w:pPr>
        <w:pStyle w:val="13"/>
        <w:tabs>
          <w:tab w:val="left" w:pos="5580"/>
        </w:tabs>
        <w:spacing w:line="240" w:lineRule="atLeast"/>
        <w:ind w:left="1080" w:leftChars="257" w:hanging="540"/>
        <w:rPr>
          <w:rFonts w:hAnsi="宋体" w:cs="宋体"/>
          <w:color w:val="auto"/>
          <w:szCs w:val="16"/>
        </w:rPr>
      </w:pPr>
      <w:r>
        <w:rPr>
          <w:rFonts w:hint="eastAsia" w:hAnsi="宋体" w:cs="宋体"/>
          <w:color w:val="auto"/>
          <w:szCs w:val="16"/>
        </w:rPr>
        <w:t>说明：1.投标人应按照相关法规规定如实作出说明。</w:t>
      </w:r>
    </w:p>
    <w:p>
      <w:pPr>
        <w:pStyle w:val="13"/>
        <w:tabs>
          <w:tab w:val="left" w:pos="5580"/>
        </w:tabs>
        <w:spacing w:line="240" w:lineRule="atLeast"/>
        <w:ind w:left="645" w:leftChars="307" w:firstLine="525" w:firstLineChars="250"/>
        <w:rPr>
          <w:rFonts w:hAnsi="宋体" w:cs="宋体"/>
          <w:color w:val="auto"/>
          <w:szCs w:val="16"/>
        </w:rPr>
      </w:pPr>
      <w:r>
        <w:rPr>
          <w:rFonts w:hint="eastAsia" w:hAnsi="宋体" w:cs="宋体"/>
          <w:color w:val="auto"/>
          <w:szCs w:val="16"/>
        </w:rPr>
        <w:t>2．按照招标文件的规定加盖单位章（自然人投标的无需盖章，需要签字）。</w:t>
      </w:r>
    </w:p>
    <w:p>
      <w:pPr>
        <w:pStyle w:val="13"/>
        <w:tabs>
          <w:tab w:val="left" w:pos="5580"/>
        </w:tabs>
        <w:spacing w:line="240" w:lineRule="atLeast"/>
        <w:ind w:left="1080" w:leftChars="257" w:hanging="540"/>
        <w:rPr>
          <w:rFonts w:hAnsi="宋体" w:cs="宋体"/>
          <w:color w:val="auto"/>
          <w:szCs w:val="16"/>
        </w:rPr>
      </w:pPr>
      <w:r>
        <w:rPr>
          <w:rFonts w:hint="eastAsia" w:hAnsi="宋体" w:cs="宋体"/>
          <w:color w:val="auto"/>
          <w:szCs w:val="16"/>
        </w:rPr>
        <w:t xml:space="preserve">      3.（本项目不接受联合体）如果是联合体投标，联合体各方均需提供上述证明。</w:t>
      </w:r>
    </w:p>
    <w:p>
      <w:pPr>
        <w:pStyle w:val="3"/>
        <w:numPr>
          <w:ilvl w:val="0"/>
          <w:numId w:val="0"/>
        </w:numPr>
        <w:spacing w:line="240" w:lineRule="atLeast"/>
        <w:rPr>
          <w:rFonts w:ascii="宋体" w:hAnsi="宋体" w:cs="宋体"/>
        </w:rPr>
      </w:pPr>
      <w:r>
        <w:rPr>
          <w:rFonts w:hint="eastAsia" w:ascii="宋体" w:hAnsi="宋体" w:cs="宋体"/>
        </w:rPr>
        <w:br w:type="page"/>
      </w:r>
      <w:bookmarkStart w:id="93" w:name="_Toc5548"/>
      <w:bookmarkStart w:id="94" w:name="_Toc515647813"/>
      <w:bookmarkStart w:id="95" w:name="_Toc17207"/>
      <w:bookmarkStart w:id="96" w:name="_Toc29703"/>
      <w:r>
        <w:rPr>
          <w:rFonts w:hint="eastAsia" w:ascii="宋体" w:hAnsi="宋体" w:cs="宋体"/>
        </w:rPr>
        <w:t>8、 投标人须知资料表要求的其他资格证明文件</w:t>
      </w:r>
      <w:bookmarkEnd w:id="93"/>
      <w:bookmarkEnd w:id="94"/>
      <w:bookmarkEnd w:id="95"/>
      <w:bookmarkEnd w:id="96"/>
    </w:p>
    <w:p>
      <w:pPr>
        <w:spacing w:line="240" w:lineRule="atLeast"/>
        <w:rPr>
          <w:rFonts w:ascii="宋体" w:hAnsi="宋体" w:cs="宋体"/>
          <w:sz w:val="24"/>
        </w:rPr>
      </w:pPr>
    </w:p>
    <w:p>
      <w:pPr>
        <w:spacing w:line="240" w:lineRule="atLeast"/>
        <w:ind w:left="1080" w:leftChars="257" w:hanging="540"/>
        <w:jc w:val="center"/>
        <w:rPr>
          <w:rFonts w:ascii="宋体" w:hAnsi="宋体" w:cs="宋体"/>
          <w:szCs w:val="21"/>
        </w:rPr>
      </w:pPr>
    </w:p>
    <w:p>
      <w:pPr>
        <w:pStyle w:val="13"/>
        <w:tabs>
          <w:tab w:val="left" w:pos="5580"/>
        </w:tabs>
        <w:spacing w:line="240" w:lineRule="atLeast"/>
        <w:ind w:left="1080" w:leftChars="257" w:hanging="540"/>
        <w:rPr>
          <w:rFonts w:hAnsi="宋体" w:cs="宋体"/>
          <w:color w:val="auto"/>
          <w:szCs w:val="16"/>
        </w:rPr>
      </w:pPr>
      <w:r>
        <w:rPr>
          <w:rFonts w:hint="eastAsia" w:hAnsi="宋体" w:cs="宋体"/>
          <w:color w:val="auto"/>
          <w:szCs w:val="16"/>
        </w:rPr>
        <w:t>说明：1.应提供</w:t>
      </w:r>
      <w:r>
        <w:rPr>
          <w:rFonts w:hint="eastAsia" w:hAnsi="宋体" w:cs="宋体"/>
          <w:color w:val="auto"/>
          <w:szCs w:val="16"/>
          <w:u w:val="single"/>
        </w:rPr>
        <w:t>投标人须知资料表</w:t>
      </w:r>
      <w:r>
        <w:rPr>
          <w:rFonts w:hint="eastAsia" w:hAnsi="宋体" w:cs="宋体"/>
          <w:color w:val="auto"/>
          <w:szCs w:val="16"/>
        </w:rPr>
        <w:t>要求的其他资格证明文件。</w:t>
      </w:r>
    </w:p>
    <w:p>
      <w:pPr>
        <w:pStyle w:val="13"/>
        <w:tabs>
          <w:tab w:val="left" w:pos="5580"/>
        </w:tabs>
        <w:spacing w:line="240" w:lineRule="atLeast"/>
        <w:ind w:left="1197" w:leftChars="570"/>
        <w:rPr>
          <w:rFonts w:hAnsi="宋体" w:cs="宋体"/>
          <w:color w:val="auto"/>
          <w:szCs w:val="16"/>
        </w:rPr>
      </w:pPr>
      <w:r>
        <w:rPr>
          <w:rFonts w:hint="eastAsia" w:hAnsi="宋体" w:cs="宋体"/>
          <w:color w:val="auto"/>
          <w:szCs w:val="16"/>
        </w:rPr>
        <w:t>主要包括：有效的三证合一营业执照副本、法定代表人投标需提供法定代表人资格证明书，委托代理人投标需提供法定代表人授权委托书、投标企业须提供具有依法缴纳社会保险的良好记录（投标截止时间前近6个月的证明材料）、投标企业需提供未被“信用中国”（www.creditchina.gov.cn）、中国政府采购网（www.ccgp.gov.cn）列入失信被执行人、重大税收违法案件当事人名单、政府采购严重违法失信行为记录名单。</w:t>
      </w:r>
    </w:p>
    <w:p>
      <w:pPr>
        <w:pStyle w:val="13"/>
        <w:tabs>
          <w:tab w:val="left" w:pos="5580"/>
        </w:tabs>
        <w:spacing w:line="240" w:lineRule="atLeast"/>
        <w:ind w:left="1080" w:leftChars="257" w:hanging="540"/>
        <w:outlineLvl w:val="2"/>
        <w:rPr>
          <w:rFonts w:hAnsi="宋体" w:cs="宋体"/>
          <w:color w:val="auto"/>
          <w:szCs w:val="16"/>
        </w:rPr>
      </w:pPr>
      <w:r>
        <w:rPr>
          <w:rFonts w:hint="eastAsia" w:hAnsi="宋体" w:cs="宋体"/>
          <w:color w:val="auto"/>
          <w:szCs w:val="16"/>
        </w:rPr>
        <w:t xml:space="preserve">      2.复印件上应加盖本单位公章。</w:t>
      </w:r>
    </w:p>
    <w:p>
      <w:pPr>
        <w:pStyle w:val="13"/>
        <w:tabs>
          <w:tab w:val="left" w:pos="5580"/>
        </w:tabs>
        <w:spacing w:line="240" w:lineRule="atLeast"/>
        <w:ind w:left="1260" w:leftChars="344" w:hanging="538"/>
        <w:rPr>
          <w:rFonts w:hAnsi="宋体" w:cs="宋体"/>
          <w:color w:val="auto"/>
          <w:szCs w:val="16"/>
        </w:rPr>
      </w:pPr>
      <w:r>
        <w:rPr>
          <w:rFonts w:hint="eastAsia" w:hAnsi="宋体" w:cs="宋体"/>
          <w:color w:val="auto"/>
          <w:szCs w:val="16"/>
        </w:rPr>
        <w:t xml:space="preserve">    3. （本项目不接受联合体）如果是联合体投标，联合体各方需提供的满足招标文件要求的其他资格证明文件。</w:t>
      </w:r>
    </w:p>
    <w:p>
      <w:pPr>
        <w:pStyle w:val="4"/>
        <w:rPr>
          <w:rFonts w:ascii="宋体" w:hAnsi="宋体" w:cs="宋体"/>
          <w:b w:val="0"/>
          <w:bCs w:val="0"/>
          <w:color w:val="auto"/>
          <w:sz w:val="28"/>
          <w:szCs w:val="28"/>
        </w:rPr>
      </w:pPr>
    </w:p>
    <w:p>
      <w:pPr>
        <w:rPr>
          <w:rFonts w:ascii="宋体" w:hAnsi="宋体" w:cs="宋体"/>
          <w:sz w:val="28"/>
          <w:szCs w:val="28"/>
        </w:rPr>
      </w:pPr>
    </w:p>
    <w:p>
      <w:pPr>
        <w:pStyle w:val="4"/>
        <w:rPr>
          <w:rFonts w:ascii="宋体" w:hAnsi="宋体" w:cs="宋体"/>
          <w:b w:val="0"/>
          <w:bCs w:val="0"/>
          <w:color w:val="auto"/>
          <w:sz w:val="28"/>
          <w:szCs w:val="28"/>
        </w:rPr>
      </w:pPr>
    </w:p>
    <w:p>
      <w:pPr>
        <w:pStyle w:val="3"/>
        <w:numPr>
          <w:ilvl w:val="0"/>
          <w:numId w:val="0"/>
        </w:numPr>
        <w:spacing w:line="240" w:lineRule="atLeast"/>
        <w:rPr>
          <w:rFonts w:ascii="宋体" w:hAnsi="宋体" w:cs="宋体"/>
        </w:rPr>
      </w:pPr>
    </w:p>
    <w:p>
      <w:pPr>
        <w:rPr>
          <w:rFonts w:ascii="宋体" w:hAnsi="宋体" w:cs="宋体"/>
          <w:sz w:val="24"/>
        </w:rPr>
      </w:pPr>
    </w:p>
    <w:p>
      <w:pPr>
        <w:pStyle w:val="10"/>
        <w:rPr>
          <w:rFonts w:ascii="宋体" w:hAnsi="宋体" w:cs="宋体"/>
          <w:sz w:val="24"/>
        </w:rPr>
      </w:pPr>
    </w:p>
    <w:p>
      <w:pPr>
        <w:rPr>
          <w:rFonts w:ascii="宋体" w:hAnsi="宋体" w:cs="宋体"/>
          <w:sz w:val="24"/>
        </w:rPr>
      </w:pPr>
    </w:p>
    <w:p>
      <w:pPr>
        <w:pStyle w:val="10"/>
      </w:pPr>
    </w:p>
    <w:bookmarkEnd w:id="78"/>
    <w:bookmarkEnd w:id="79"/>
    <w:bookmarkEnd w:id="80"/>
    <w:bookmarkEnd w:id="81"/>
    <w:p>
      <w:pPr>
        <w:pStyle w:val="2"/>
        <w:spacing w:before="40" w:after="40" w:line="579" w:lineRule="auto"/>
        <w:rPr>
          <w:b w:val="0"/>
          <w:bCs w:val="0"/>
          <w:sz w:val="32"/>
          <w:szCs w:val="32"/>
        </w:rPr>
      </w:pPr>
      <w:bookmarkStart w:id="97" w:name="_Toc515647816"/>
      <w:bookmarkStart w:id="98" w:name="_Toc22967"/>
      <w:bookmarkStart w:id="99" w:name="_Toc11180"/>
      <w:bookmarkStart w:id="100" w:name="_Toc5695"/>
    </w:p>
    <w:p>
      <w:pPr>
        <w:rPr>
          <w:sz w:val="32"/>
          <w:szCs w:val="32"/>
        </w:rPr>
      </w:pPr>
    </w:p>
    <w:p>
      <w:pPr>
        <w:pStyle w:val="45"/>
        <w:ind w:firstLine="640"/>
        <w:rPr>
          <w:sz w:val="32"/>
          <w:szCs w:val="32"/>
        </w:rPr>
      </w:pPr>
    </w:p>
    <w:p>
      <w:pPr>
        <w:pStyle w:val="45"/>
        <w:ind w:firstLine="640"/>
        <w:rPr>
          <w:sz w:val="32"/>
          <w:szCs w:val="32"/>
        </w:rPr>
      </w:pPr>
    </w:p>
    <w:p>
      <w:pPr>
        <w:pStyle w:val="45"/>
        <w:ind w:firstLine="640"/>
        <w:rPr>
          <w:sz w:val="32"/>
          <w:szCs w:val="32"/>
        </w:rPr>
      </w:pPr>
    </w:p>
    <w:p>
      <w:pPr>
        <w:pStyle w:val="45"/>
        <w:ind w:firstLine="640"/>
        <w:rPr>
          <w:sz w:val="32"/>
          <w:szCs w:val="32"/>
        </w:rPr>
      </w:pPr>
    </w:p>
    <w:p>
      <w:pPr>
        <w:pStyle w:val="45"/>
        <w:ind w:firstLine="640"/>
        <w:rPr>
          <w:sz w:val="32"/>
          <w:szCs w:val="32"/>
        </w:rPr>
      </w:pPr>
    </w:p>
    <w:p>
      <w:pPr>
        <w:pStyle w:val="45"/>
        <w:ind w:firstLine="640"/>
        <w:rPr>
          <w:sz w:val="32"/>
          <w:szCs w:val="32"/>
        </w:rPr>
      </w:pPr>
    </w:p>
    <w:p>
      <w:pPr>
        <w:pStyle w:val="45"/>
        <w:ind w:firstLine="640"/>
        <w:rPr>
          <w:sz w:val="32"/>
          <w:szCs w:val="32"/>
        </w:rPr>
      </w:pPr>
    </w:p>
    <w:p>
      <w:pPr>
        <w:rPr>
          <w:sz w:val="32"/>
          <w:szCs w:val="32"/>
        </w:rPr>
      </w:pPr>
    </w:p>
    <w:p>
      <w:pPr>
        <w:pStyle w:val="10"/>
      </w:pPr>
    </w:p>
    <w:p>
      <w:pPr>
        <w:pStyle w:val="10"/>
        <w:rPr>
          <w:sz w:val="32"/>
          <w:szCs w:val="32"/>
        </w:rPr>
      </w:pPr>
    </w:p>
    <w:p/>
    <w:bookmarkEnd w:id="74"/>
    <w:bookmarkEnd w:id="75"/>
    <w:bookmarkEnd w:id="76"/>
    <w:bookmarkEnd w:id="77"/>
    <w:bookmarkEnd w:id="97"/>
    <w:bookmarkEnd w:id="98"/>
    <w:bookmarkEnd w:id="99"/>
    <w:bookmarkEnd w:id="100"/>
    <w:p>
      <w:pPr>
        <w:pStyle w:val="2"/>
        <w:spacing w:before="40" w:after="40" w:line="579" w:lineRule="auto"/>
        <w:rPr>
          <w:b w:val="0"/>
          <w:bCs w:val="0"/>
          <w:sz w:val="32"/>
          <w:szCs w:val="32"/>
        </w:rPr>
      </w:pPr>
      <w:r>
        <w:rPr>
          <w:rFonts w:hint="eastAsia"/>
          <w:b w:val="0"/>
          <w:bCs w:val="0"/>
          <w:sz w:val="32"/>
          <w:szCs w:val="32"/>
        </w:rPr>
        <w:t>第二部分  商务及技术文件</w:t>
      </w:r>
    </w:p>
    <w:p>
      <w:pPr>
        <w:pStyle w:val="13"/>
        <w:spacing w:line="400" w:lineRule="exact"/>
        <w:ind w:left="1080" w:leftChars="257" w:hanging="540"/>
        <w:rPr>
          <w:rFonts w:hAnsi="宋体" w:cs="宋体"/>
          <w:color w:val="auto"/>
          <w:szCs w:val="16"/>
        </w:rPr>
      </w:pPr>
      <w:r>
        <w:rPr>
          <w:rFonts w:hint="eastAsia" w:hAnsi="宋体" w:cs="宋体"/>
          <w:color w:val="auto"/>
          <w:szCs w:val="16"/>
        </w:rPr>
        <w:t>1、投标书（投标文件格式五）</w:t>
      </w:r>
    </w:p>
    <w:p>
      <w:pPr>
        <w:pStyle w:val="13"/>
        <w:spacing w:line="400" w:lineRule="exact"/>
        <w:ind w:left="1080" w:leftChars="257" w:hanging="540"/>
        <w:rPr>
          <w:rFonts w:hAnsi="宋体" w:cs="宋体"/>
          <w:color w:val="auto"/>
          <w:szCs w:val="16"/>
        </w:rPr>
      </w:pPr>
      <w:r>
        <w:rPr>
          <w:rFonts w:hint="eastAsia" w:hAnsi="宋体" w:cs="宋体"/>
          <w:color w:val="auto"/>
          <w:szCs w:val="16"/>
        </w:rPr>
        <w:t>2、投标分项报价表（投标文件格式六）</w:t>
      </w:r>
    </w:p>
    <w:p>
      <w:pPr>
        <w:pStyle w:val="13"/>
        <w:spacing w:line="400" w:lineRule="exact"/>
        <w:ind w:left="1080" w:leftChars="257" w:hanging="540"/>
        <w:rPr>
          <w:rFonts w:hAnsi="宋体" w:cs="宋体"/>
          <w:color w:val="auto"/>
          <w:szCs w:val="16"/>
        </w:rPr>
      </w:pPr>
      <w:r>
        <w:rPr>
          <w:rFonts w:hint="eastAsia" w:hAnsi="宋体" w:cs="宋体"/>
          <w:color w:val="auto"/>
          <w:szCs w:val="16"/>
        </w:rPr>
        <w:t>3、货物说明一览表（投标文件格式七）</w:t>
      </w:r>
    </w:p>
    <w:p>
      <w:pPr>
        <w:pStyle w:val="13"/>
        <w:spacing w:line="400" w:lineRule="exact"/>
        <w:ind w:left="1080" w:leftChars="257" w:hanging="540"/>
        <w:rPr>
          <w:rFonts w:hAnsi="宋体" w:cs="宋体"/>
          <w:color w:val="auto"/>
          <w:szCs w:val="16"/>
        </w:rPr>
      </w:pPr>
      <w:r>
        <w:rPr>
          <w:rFonts w:hint="eastAsia" w:hAnsi="宋体" w:cs="宋体"/>
          <w:color w:val="auto"/>
          <w:szCs w:val="16"/>
        </w:rPr>
        <w:t>4、技术规格偏离表（投标文件格式八）</w:t>
      </w:r>
    </w:p>
    <w:p>
      <w:pPr>
        <w:pStyle w:val="13"/>
        <w:spacing w:line="400" w:lineRule="exact"/>
        <w:ind w:left="1080" w:leftChars="257" w:hanging="540"/>
        <w:rPr>
          <w:rFonts w:hAnsi="宋体" w:cs="宋体"/>
          <w:color w:val="auto"/>
          <w:szCs w:val="16"/>
        </w:rPr>
      </w:pPr>
      <w:r>
        <w:rPr>
          <w:rFonts w:hint="eastAsia" w:hAnsi="宋体" w:cs="宋体"/>
          <w:color w:val="auto"/>
          <w:szCs w:val="16"/>
        </w:rPr>
        <w:t>5、商务条款偏离表（投标文件格式九）</w:t>
      </w:r>
    </w:p>
    <w:p>
      <w:pPr>
        <w:pStyle w:val="13"/>
        <w:spacing w:line="400" w:lineRule="exact"/>
        <w:ind w:left="1080" w:leftChars="257" w:hanging="540"/>
        <w:rPr>
          <w:rFonts w:hAnsi="宋体" w:cs="宋体"/>
          <w:color w:val="auto"/>
          <w:szCs w:val="16"/>
        </w:rPr>
      </w:pPr>
      <w:r>
        <w:rPr>
          <w:rFonts w:hint="eastAsia" w:hAnsi="宋体" w:cs="宋体"/>
          <w:color w:val="auto"/>
          <w:szCs w:val="16"/>
        </w:rPr>
        <w:t>6、符合《政府采购促进中小企业发展暂行办法》、《关于政府采购支持监狱企业发展有关问题的通知》和《三部门联合发布关于促进残疾人就业政府采购政策的通知》条件的投标人须提交）</w:t>
      </w:r>
    </w:p>
    <w:p>
      <w:pPr>
        <w:pStyle w:val="13"/>
        <w:spacing w:line="400" w:lineRule="exact"/>
        <w:ind w:left="311" w:leftChars="148" w:firstLine="228"/>
        <w:rPr>
          <w:rFonts w:hAnsi="宋体" w:cs="宋体"/>
          <w:color w:val="auto"/>
          <w:szCs w:val="16"/>
        </w:rPr>
      </w:pPr>
      <w:r>
        <w:rPr>
          <w:rFonts w:hint="eastAsia" w:hAnsi="宋体" w:cs="宋体"/>
          <w:color w:val="auto"/>
          <w:szCs w:val="16"/>
        </w:rPr>
        <w:t>6-1《投标人企业（单位）类型声明函》（投标文件格式十）</w:t>
      </w:r>
    </w:p>
    <w:p>
      <w:pPr>
        <w:pStyle w:val="13"/>
        <w:spacing w:line="400" w:lineRule="exact"/>
        <w:ind w:left="311" w:leftChars="148" w:firstLine="228"/>
        <w:rPr>
          <w:rFonts w:hAnsi="宋体" w:cs="宋体"/>
          <w:color w:val="auto"/>
          <w:szCs w:val="16"/>
        </w:rPr>
      </w:pPr>
      <w:r>
        <w:rPr>
          <w:rFonts w:hint="eastAsia" w:hAnsi="宋体" w:cs="宋体"/>
          <w:color w:val="auto"/>
          <w:szCs w:val="16"/>
        </w:rPr>
        <w:t>6-2《制造商投标人企业（单位）类型声明函》（投标文件格式十一）</w:t>
      </w:r>
    </w:p>
    <w:p>
      <w:pPr>
        <w:pStyle w:val="13"/>
        <w:spacing w:line="400" w:lineRule="exact"/>
        <w:ind w:left="311" w:leftChars="148" w:firstLine="228"/>
        <w:rPr>
          <w:rFonts w:hAnsi="宋体" w:cs="宋体"/>
          <w:color w:val="auto"/>
          <w:szCs w:val="16"/>
        </w:rPr>
      </w:pPr>
      <w:r>
        <w:rPr>
          <w:rFonts w:hint="eastAsia" w:hAnsi="宋体" w:cs="宋体"/>
          <w:color w:val="auto"/>
          <w:szCs w:val="16"/>
        </w:rPr>
        <w:t>6-3《残疾人福利性单位声明函》（投标文件格式十二）</w:t>
      </w:r>
    </w:p>
    <w:p>
      <w:pPr>
        <w:pStyle w:val="13"/>
        <w:spacing w:line="400" w:lineRule="exact"/>
        <w:ind w:left="311" w:leftChars="148" w:firstLine="228"/>
        <w:rPr>
          <w:rFonts w:hAnsi="宋体" w:cs="宋体"/>
          <w:color w:val="auto"/>
          <w:szCs w:val="16"/>
        </w:rPr>
      </w:pPr>
      <w:r>
        <w:rPr>
          <w:rFonts w:hint="eastAsia" w:hAnsi="宋体" w:cs="宋体"/>
          <w:color w:val="auto"/>
          <w:szCs w:val="16"/>
        </w:rPr>
        <w:t>7、投标人关联单位的说明（格式自拟）</w:t>
      </w:r>
    </w:p>
    <w:p>
      <w:pPr>
        <w:pStyle w:val="13"/>
        <w:spacing w:line="400" w:lineRule="exact"/>
        <w:ind w:left="311" w:leftChars="148" w:firstLine="228"/>
        <w:rPr>
          <w:rFonts w:hAnsi="宋体" w:cs="宋体"/>
          <w:color w:val="auto"/>
          <w:szCs w:val="16"/>
        </w:rPr>
      </w:pPr>
      <w:r>
        <w:rPr>
          <w:rFonts w:hint="eastAsia" w:hAnsi="宋体" w:cs="宋体"/>
          <w:color w:val="auto"/>
          <w:szCs w:val="16"/>
        </w:rPr>
        <w:t>8、评分标准和细则中技术部分证明材料（格式自拟）</w:t>
      </w:r>
    </w:p>
    <w:p>
      <w:pPr>
        <w:pStyle w:val="13"/>
        <w:spacing w:line="400" w:lineRule="exact"/>
        <w:ind w:left="311" w:leftChars="148" w:firstLine="228"/>
        <w:rPr>
          <w:color w:val="auto"/>
          <w:sz w:val="18"/>
          <w:szCs w:val="16"/>
        </w:rPr>
      </w:pPr>
      <w:r>
        <w:rPr>
          <w:rFonts w:hint="eastAsia" w:hAnsi="宋体" w:cs="宋体"/>
          <w:color w:val="auto"/>
          <w:szCs w:val="16"/>
        </w:rPr>
        <w:t>9、评分标准和细则中商务部分证明材料（格式自拟）</w:t>
      </w:r>
    </w:p>
    <w:p>
      <w:pPr>
        <w:pStyle w:val="13"/>
        <w:spacing w:line="400" w:lineRule="exact"/>
        <w:ind w:firstLine="420" w:firstLineChars="200"/>
        <w:rPr>
          <w:rFonts w:hAnsi="宋体" w:cs="宋体"/>
          <w:color w:val="auto"/>
          <w:sz w:val="22"/>
          <w:szCs w:val="22"/>
        </w:rPr>
      </w:pPr>
      <w:r>
        <w:rPr>
          <w:rFonts w:hint="eastAsia" w:hAnsi="宋体" w:cs="宋体"/>
          <w:color w:val="auto"/>
          <w:szCs w:val="16"/>
        </w:rPr>
        <w:t>10、投标人认为有必要提供的其他证明材料（格式自拟）</w:t>
      </w:r>
    </w:p>
    <w:p>
      <w:pPr>
        <w:rPr>
          <w:rFonts w:ascii="宋体" w:hAnsi="宋体" w:cs="宋体"/>
          <w:sz w:val="28"/>
          <w:szCs w:val="28"/>
        </w:rPr>
      </w:pPr>
    </w:p>
    <w:p>
      <w:pPr>
        <w:pStyle w:val="4"/>
        <w:rPr>
          <w:rFonts w:ascii="宋体" w:hAnsi="宋体" w:cs="宋体"/>
          <w:b w:val="0"/>
          <w:bCs w:val="0"/>
          <w:color w:val="auto"/>
          <w:sz w:val="28"/>
          <w:szCs w:val="28"/>
        </w:rPr>
      </w:pPr>
    </w:p>
    <w:p>
      <w:pPr>
        <w:rPr>
          <w:rFonts w:ascii="宋体" w:hAnsi="宋体" w:cs="宋体"/>
          <w:sz w:val="28"/>
          <w:szCs w:val="28"/>
        </w:rPr>
      </w:pPr>
    </w:p>
    <w:p>
      <w:pPr>
        <w:pStyle w:val="4"/>
        <w:rPr>
          <w:rFonts w:ascii="宋体" w:hAnsi="宋体" w:cs="宋体"/>
          <w:b w:val="0"/>
          <w:bCs w:val="0"/>
          <w:color w:val="auto"/>
          <w:sz w:val="28"/>
          <w:szCs w:val="28"/>
        </w:rPr>
      </w:pPr>
    </w:p>
    <w:p>
      <w:pPr>
        <w:rPr>
          <w:rFonts w:ascii="宋体" w:hAnsi="宋体" w:cs="宋体"/>
          <w:sz w:val="28"/>
          <w:szCs w:val="28"/>
        </w:rPr>
      </w:pPr>
    </w:p>
    <w:p>
      <w:pPr>
        <w:pStyle w:val="4"/>
        <w:rPr>
          <w:rFonts w:ascii="宋体" w:hAnsi="宋体" w:cs="宋体"/>
          <w:b w:val="0"/>
          <w:bCs w:val="0"/>
          <w:color w:val="auto"/>
          <w:sz w:val="28"/>
          <w:szCs w:val="28"/>
        </w:rPr>
      </w:pPr>
    </w:p>
    <w:p>
      <w:pPr>
        <w:pStyle w:val="3"/>
        <w:numPr>
          <w:ilvl w:val="0"/>
          <w:numId w:val="0"/>
        </w:numPr>
        <w:spacing w:line="240" w:lineRule="atLeast"/>
        <w:rPr>
          <w:rFonts w:ascii="宋体" w:hAnsi="宋体" w:cs="宋体"/>
        </w:rPr>
      </w:pPr>
      <w:bookmarkStart w:id="101" w:name="_Toc515647817"/>
      <w:bookmarkStart w:id="102" w:name="_Toc14915"/>
      <w:bookmarkStart w:id="103" w:name="_Toc6695"/>
      <w:bookmarkStart w:id="104" w:name="_Toc2041"/>
    </w:p>
    <w:p>
      <w:pPr>
        <w:rPr>
          <w:rFonts w:ascii="宋体" w:hAnsi="宋体" w:cs="宋体"/>
          <w:sz w:val="24"/>
        </w:rPr>
      </w:pPr>
    </w:p>
    <w:p>
      <w:pPr>
        <w:pStyle w:val="45"/>
        <w:rPr>
          <w:rFonts w:ascii="宋体" w:hAnsi="宋体" w:cs="宋体"/>
        </w:rPr>
      </w:pPr>
    </w:p>
    <w:p>
      <w:pPr>
        <w:pStyle w:val="45"/>
        <w:rPr>
          <w:rFonts w:ascii="宋体" w:hAnsi="宋体" w:cs="宋体"/>
        </w:rPr>
      </w:pPr>
    </w:p>
    <w:p>
      <w:pPr>
        <w:pStyle w:val="45"/>
        <w:rPr>
          <w:rFonts w:ascii="宋体" w:hAnsi="宋体" w:cs="宋体"/>
        </w:rPr>
      </w:pPr>
    </w:p>
    <w:p>
      <w:pPr>
        <w:pStyle w:val="13"/>
        <w:rPr>
          <w:rFonts w:hAnsi="宋体" w:cs="宋体"/>
          <w:color w:val="auto"/>
          <w:sz w:val="24"/>
        </w:rPr>
      </w:pPr>
    </w:p>
    <w:p>
      <w:pPr>
        <w:pStyle w:val="13"/>
        <w:rPr>
          <w:color w:val="auto"/>
        </w:rPr>
      </w:pPr>
    </w:p>
    <w:p>
      <w:pPr>
        <w:pStyle w:val="14"/>
        <w:ind w:left="2520"/>
      </w:pPr>
    </w:p>
    <w:p>
      <w:pPr>
        <w:pStyle w:val="3"/>
        <w:numPr>
          <w:ilvl w:val="0"/>
          <w:numId w:val="0"/>
        </w:numPr>
        <w:spacing w:line="240" w:lineRule="atLeast"/>
        <w:rPr>
          <w:rFonts w:ascii="宋体" w:hAnsi="宋体" w:cs="宋体"/>
        </w:rPr>
      </w:pPr>
      <w:r>
        <w:rPr>
          <w:rFonts w:hint="eastAsia" w:ascii="宋体" w:hAnsi="宋体" w:cs="宋体"/>
        </w:rPr>
        <w:t xml:space="preserve">1 </w:t>
      </w:r>
      <w:bookmarkStart w:id="105" w:name="_Hlt520355504"/>
      <w:bookmarkEnd w:id="105"/>
      <w:r>
        <w:rPr>
          <w:rFonts w:hint="eastAsia" w:ascii="宋体" w:hAnsi="宋体" w:cs="宋体"/>
        </w:rPr>
        <w:t>、投标书（投标文件格式五）</w:t>
      </w:r>
      <w:bookmarkEnd w:id="101"/>
      <w:bookmarkEnd w:id="102"/>
      <w:bookmarkEnd w:id="103"/>
      <w:bookmarkEnd w:id="104"/>
    </w:p>
    <w:p>
      <w:pPr>
        <w:tabs>
          <w:tab w:val="left" w:pos="5580"/>
        </w:tabs>
        <w:spacing w:line="360" w:lineRule="auto"/>
        <w:ind w:left="1080" w:hanging="1080"/>
        <w:rPr>
          <w:rFonts w:ascii="宋体" w:hAnsi="宋体" w:cs="宋体"/>
          <w:szCs w:val="21"/>
        </w:rPr>
      </w:pPr>
      <w:r>
        <w:rPr>
          <w:rFonts w:hint="eastAsia" w:ascii="宋体" w:hAnsi="宋体" w:cs="宋体"/>
          <w:szCs w:val="21"/>
        </w:rPr>
        <w:t>致：</w:t>
      </w:r>
      <w:r>
        <w:rPr>
          <w:rFonts w:hint="eastAsia" w:ascii="宋体" w:hAnsi="宋体" w:cs="宋体"/>
          <w:szCs w:val="21"/>
          <w:u w:val="single"/>
        </w:rPr>
        <w:t>采购代理机构</w:t>
      </w:r>
    </w:p>
    <w:p>
      <w:pPr>
        <w:pStyle w:val="13"/>
        <w:tabs>
          <w:tab w:val="left" w:pos="5580"/>
        </w:tabs>
        <w:spacing w:line="360" w:lineRule="auto"/>
        <w:ind w:left="2" w:leftChars="1" w:firstLine="420" w:firstLineChars="200"/>
        <w:rPr>
          <w:rFonts w:hAnsi="宋体" w:cs="宋体"/>
          <w:color w:val="auto"/>
          <w:szCs w:val="21"/>
        </w:rPr>
      </w:pPr>
      <w:r>
        <w:rPr>
          <w:rFonts w:hint="eastAsia" w:hAnsi="宋体" w:cs="宋体"/>
          <w:color w:val="auto"/>
          <w:szCs w:val="21"/>
        </w:rPr>
        <w:t>根据贵方（采购项目名称)</w:t>
      </w:r>
      <w:r>
        <w:rPr>
          <w:rFonts w:hint="eastAsia" w:hAnsi="宋体" w:cs="宋体"/>
          <w:color w:val="auto"/>
          <w:szCs w:val="21"/>
          <w:u w:val="single"/>
        </w:rPr>
        <w:t xml:space="preserve">    </w:t>
      </w:r>
      <w:r>
        <w:rPr>
          <w:rFonts w:hint="eastAsia" w:hAnsi="宋体" w:cs="宋体"/>
          <w:color w:val="auto"/>
          <w:szCs w:val="21"/>
        </w:rPr>
        <w:t xml:space="preserve"> 项目的投标邀请(</w:t>
      </w:r>
      <w:r>
        <w:rPr>
          <w:rFonts w:hint="eastAsia" w:hAnsi="宋体" w:cs="宋体"/>
          <w:color w:val="auto"/>
          <w:szCs w:val="21"/>
          <w:u w:val="single"/>
        </w:rPr>
        <w:t>招标编号</w:t>
      </w:r>
      <w:r>
        <w:rPr>
          <w:rFonts w:hint="eastAsia" w:hAnsi="宋体" w:cs="宋体"/>
          <w:color w:val="auto"/>
          <w:szCs w:val="21"/>
        </w:rPr>
        <w:t>),签字代表(</w:t>
      </w:r>
      <w:r>
        <w:rPr>
          <w:rFonts w:hint="eastAsia" w:hAnsi="宋体" w:cs="宋体"/>
          <w:color w:val="auto"/>
          <w:szCs w:val="21"/>
          <w:u w:val="single"/>
        </w:rPr>
        <w:t>姓名、职务)</w:t>
      </w:r>
      <w:r>
        <w:rPr>
          <w:rFonts w:hint="eastAsia" w:hAnsi="宋体" w:cs="宋体"/>
          <w:color w:val="auto"/>
          <w:szCs w:val="21"/>
        </w:rPr>
        <w:t>经正式授权并代表投标人（</w:t>
      </w:r>
      <w:r>
        <w:rPr>
          <w:rFonts w:hint="eastAsia" w:hAnsi="宋体" w:cs="宋体"/>
          <w:color w:val="auto"/>
          <w:szCs w:val="21"/>
          <w:u w:val="single"/>
        </w:rPr>
        <w:t>名称、地址</w:t>
      </w:r>
      <w:r>
        <w:rPr>
          <w:rFonts w:hint="eastAsia" w:hAnsi="宋体" w:cs="宋体"/>
          <w:color w:val="auto"/>
          <w:szCs w:val="21"/>
        </w:rPr>
        <w:t>）提交下述文件正本</w:t>
      </w:r>
      <w:r>
        <w:rPr>
          <w:rFonts w:hint="eastAsia" w:hAnsi="宋体" w:cs="宋体"/>
          <w:color w:val="auto"/>
          <w:szCs w:val="21"/>
          <w:u w:val="single"/>
        </w:rPr>
        <w:t xml:space="preserve">   </w:t>
      </w:r>
      <w:r>
        <w:rPr>
          <w:rFonts w:hint="eastAsia" w:hAnsi="宋体" w:cs="宋体"/>
          <w:color w:val="auto"/>
          <w:szCs w:val="21"/>
        </w:rPr>
        <w:t>份、副本</w:t>
      </w:r>
      <w:r>
        <w:rPr>
          <w:rFonts w:hint="eastAsia" w:hAnsi="宋体" w:cs="宋体"/>
          <w:color w:val="auto"/>
          <w:szCs w:val="21"/>
          <w:u w:val="single"/>
        </w:rPr>
        <w:t xml:space="preserve">     </w:t>
      </w:r>
      <w:r>
        <w:rPr>
          <w:rFonts w:hint="eastAsia" w:hAnsi="宋体" w:cs="宋体"/>
          <w:color w:val="auto"/>
          <w:szCs w:val="21"/>
        </w:rPr>
        <w:t>份及电子文档</w:t>
      </w:r>
      <w:r>
        <w:rPr>
          <w:rFonts w:hint="eastAsia" w:hAnsi="宋体" w:cs="宋体"/>
          <w:color w:val="auto"/>
          <w:szCs w:val="21"/>
          <w:u w:val="single"/>
        </w:rPr>
        <w:t xml:space="preserve">     </w:t>
      </w:r>
      <w:r>
        <w:rPr>
          <w:rFonts w:hint="eastAsia" w:hAnsi="宋体" w:cs="宋体"/>
          <w:color w:val="auto"/>
          <w:szCs w:val="21"/>
        </w:rPr>
        <w:t>份，并出具的金额为人民币</w:t>
      </w:r>
      <w:r>
        <w:rPr>
          <w:rFonts w:hint="eastAsia" w:hAnsi="宋体" w:cs="宋体"/>
          <w:color w:val="auto"/>
          <w:szCs w:val="21"/>
          <w:u w:val="single"/>
        </w:rPr>
        <w:t>　　　　</w:t>
      </w:r>
      <w:r>
        <w:rPr>
          <w:rFonts w:hint="eastAsia" w:hAnsi="宋体" w:cs="宋体"/>
          <w:color w:val="auto"/>
          <w:szCs w:val="21"/>
        </w:rPr>
        <w:t>元的投标保证金。</w:t>
      </w:r>
    </w:p>
    <w:p>
      <w:pPr>
        <w:pStyle w:val="13"/>
        <w:tabs>
          <w:tab w:val="left" w:pos="5580"/>
        </w:tabs>
        <w:spacing w:line="360" w:lineRule="auto"/>
        <w:ind w:left="1080" w:leftChars="257" w:hanging="540"/>
        <w:rPr>
          <w:rFonts w:hAnsi="宋体" w:cs="宋体"/>
          <w:color w:val="auto"/>
          <w:szCs w:val="21"/>
        </w:rPr>
      </w:pPr>
      <w:r>
        <w:rPr>
          <w:rFonts w:hint="eastAsia" w:hAnsi="宋体" w:cs="宋体"/>
          <w:color w:val="auto"/>
          <w:szCs w:val="21"/>
        </w:rPr>
        <w:t>据此，签字代表宣布如下：</w:t>
      </w:r>
    </w:p>
    <w:p>
      <w:pPr>
        <w:pStyle w:val="13"/>
        <w:tabs>
          <w:tab w:val="left" w:pos="720"/>
          <w:tab w:val="left" w:pos="900"/>
        </w:tabs>
        <w:spacing w:line="360" w:lineRule="auto"/>
        <w:ind w:left="769" w:leftChars="257" w:hanging="229"/>
        <w:rPr>
          <w:rFonts w:hAnsi="宋体" w:cs="宋体"/>
          <w:color w:val="auto"/>
          <w:szCs w:val="21"/>
        </w:rPr>
      </w:pPr>
      <w:r>
        <w:rPr>
          <w:rFonts w:hint="eastAsia" w:hAnsi="宋体" w:cs="宋体"/>
          <w:color w:val="auto"/>
          <w:szCs w:val="21"/>
        </w:rPr>
        <w:t>（1）附投标书报价中规定的投标总价详见开标一览表，</w:t>
      </w:r>
      <w:r>
        <w:rPr>
          <w:rFonts w:hint="eastAsia" w:hAnsi="宋体" w:cs="宋体"/>
          <w:color w:val="auto"/>
          <w:szCs w:val="21"/>
          <w:u w:val="single"/>
        </w:rPr>
        <w:t>其中由中小型和</w:t>
      </w:r>
      <w:r>
        <w:rPr>
          <w:rFonts w:hint="eastAsia" w:hAnsi="宋体" w:cs="宋体"/>
          <w:color w:val="auto"/>
          <w:szCs w:val="21"/>
        </w:rPr>
        <w:t>微型企业制造产品的价格为</w:t>
      </w:r>
      <w:r>
        <w:rPr>
          <w:rFonts w:hint="eastAsia" w:hAnsi="宋体" w:cs="宋体"/>
          <w:color w:val="auto"/>
          <w:szCs w:val="21"/>
          <w:u w:val="single"/>
        </w:rPr>
        <w:t>　　  （用文字和数字表示），占投标价的‥</w:t>
      </w:r>
      <w:r>
        <w:rPr>
          <w:rFonts w:hint="eastAsia" w:hAnsi="宋体" w:cs="宋体"/>
          <w:color w:val="auto"/>
          <w:szCs w:val="21"/>
        </w:rPr>
        <w:t>%</w:t>
      </w:r>
    </w:p>
    <w:p>
      <w:pPr>
        <w:pStyle w:val="13"/>
        <w:tabs>
          <w:tab w:val="left" w:pos="720"/>
          <w:tab w:val="left" w:pos="900"/>
        </w:tabs>
        <w:spacing w:line="360" w:lineRule="auto"/>
        <w:ind w:left="769" w:leftChars="257" w:hanging="229"/>
        <w:outlineLvl w:val="3"/>
        <w:rPr>
          <w:rFonts w:hAnsi="宋体" w:cs="宋体"/>
          <w:color w:val="auto"/>
          <w:szCs w:val="21"/>
          <w:u w:val="single"/>
        </w:rPr>
      </w:pPr>
      <w:r>
        <w:rPr>
          <w:rFonts w:hint="eastAsia" w:hAnsi="宋体" w:cs="宋体"/>
          <w:color w:val="auto"/>
          <w:szCs w:val="21"/>
        </w:rPr>
        <w:t>（2）本投标有效期为投标标截止之日起</w:t>
      </w:r>
      <w:r>
        <w:rPr>
          <w:rFonts w:hint="eastAsia" w:hAnsi="宋体" w:cs="宋体"/>
          <w:color w:val="auto"/>
          <w:szCs w:val="21"/>
          <w:u w:val="single"/>
        </w:rPr>
        <w:t xml:space="preserve">   </w:t>
      </w:r>
      <w:r>
        <w:rPr>
          <w:rFonts w:hint="eastAsia" w:hAnsi="宋体" w:cs="宋体"/>
          <w:color w:val="auto"/>
          <w:szCs w:val="21"/>
        </w:rPr>
        <w:t>个日历日。</w:t>
      </w:r>
    </w:p>
    <w:p>
      <w:pPr>
        <w:pStyle w:val="13"/>
        <w:tabs>
          <w:tab w:val="left" w:pos="5580"/>
        </w:tabs>
        <w:spacing w:line="360" w:lineRule="auto"/>
        <w:ind w:left="1080" w:leftChars="257" w:hanging="540"/>
        <w:rPr>
          <w:rFonts w:hAnsi="宋体" w:cs="宋体"/>
          <w:color w:val="auto"/>
          <w:szCs w:val="21"/>
        </w:rPr>
      </w:pPr>
      <w:r>
        <w:rPr>
          <w:rFonts w:hint="eastAsia" w:hAnsi="宋体" w:cs="宋体"/>
          <w:color w:val="auto"/>
          <w:szCs w:val="21"/>
        </w:rPr>
        <w:t>（3）联合体中的大中型企业、法人或者非法人组织，与联合体中的小型、微型企业之间</w:t>
      </w:r>
      <w:r>
        <w:rPr>
          <w:rFonts w:hint="eastAsia" w:hAnsi="宋体" w:cs="宋体"/>
          <w:color w:val="auto"/>
          <w:szCs w:val="21"/>
          <w:u w:val="single"/>
        </w:rPr>
        <w:t xml:space="preserve">     （</w:t>
      </w:r>
      <w:r>
        <w:rPr>
          <w:rFonts w:hint="eastAsia" w:hAnsi="宋体" w:cs="宋体"/>
          <w:color w:val="auto"/>
          <w:szCs w:val="21"/>
        </w:rPr>
        <w:t>存在、不存在）投资关系（如果是联合体的话）。</w:t>
      </w:r>
    </w:p>
    <w:p>
      <w:pPr>
        <w:pStyle w:val="13"/>
        <w:tabs>
          <w:tab w:val="left" w:pos="5580"/>
        </w:tabs>
        <w:spacing w:line="360" w:lineRule="auto"/>
        <w:ind w:left="1080" w:leftChars="257" w:hanging="540"/>
        <w:rPr>
          <w:rFonts w:hAnsi="宋体" w:cs="宋体"/>
          <w:color w:val="auto"/>
          <w:szCs w:val="21"/>
        </w:rPr>
      </w:pPr>
      <w:r>
        <w:rPr>
          <w:rFonts w:hint="eastAsia" w:hAnsi="宋体" w:cs="宋体"/>
          <w:color w:val="auto"/>
          <w:szCs w:val="21"/>
        </w:rPr>
        <w:t>（4）已详细审查全部招标文件，包括所有补充通知（如果有的话），完全理解并同意放弃对这方面有不明、误解和质疑的权力。</w:t>
      </w:r>
    </w:p>
    <w:p>
      <w:pPr>
        <w:pStyle w:val="13"/>
        <w:tabs>
          <w:tab w:val="left" w:pos="5580"/>
        </w:tabs>
        <w:spacing w:line="360" w:lineRule="auto"/>
        <w:ind w:left="1080" w:leftChars="257" w:hanging="540"/>
        <w:outlineLvl w:val="3"/>
        <w:rPr>
          <w:rFonts w:hAnsi="宋体" w:cs="宋体"/>
          <w:color w:val="auto"/>
          <w:szCs w:val="21"/>
        </w:rPr>
      </w:pPr>
      <w:r>
        <w:rPr>
          <w:rFonts w:hint="eastAsia" w:hAnsi="宋体" w:cs="宋体"/>
          <w:color w:val="auto"/>
          <w:szCs w:val="21"/>
        </w:rPr>
        <w:t>（5）在规定的开标时间后，遵守招标文件中有关保证金的规定。</w:t>
      </w:r>
    </w:p>
    <w:p>
      <w:pPr>
        <w:pStyle w:val="13"/>
        <w:tabs>
          <w:tab w:val="left" w:pos="5580"/>
        </w:tabs>
        <w:spacing w:line="360" w:lineRule="auto"/>
        <w:ind w:left="1080" w:leftChars="257" w:hanging="540"/>
        <w:rPr>
          <w:rFonts w:hAnsi="宋体" w:cs="宋体"/>
          <w:color w:val="auto"/>
          <w:szCs w:val="21"/>
        </w:rPr>
      </w:pPr>
      <w:r>
        <w:rPr>
          <w:rFonts w:hint="eastAsia" w:hAnsi="宋体" w:cs="宋体"/>
          <w:color w:val="auto"/>
          <w:szCs w:val="21"/>
        </w:rPr>
        <w:t>（6）我方不是为本项目提供整体设计、规范编制或者项目管理、监理、检测等服务的供应商，我方不是采购代理机构的附属机构。</w:t>
      </w:r>
    </w:p>
    <w:p>
      <w:pPr>
        <w:pStyle w:val="13"/>
        <w:tabs>
          <w:tab w:val="left" w:pos="5580"/>
        </w:tabs>
        <w:spacing w:line="360" w:lineRule="auto"/>
        <w:ind w:left="1080" w:leftChars="257" w:hanging="540"/>
        <w:rPr>
          <w:rFonts w:hAnsi="宋体" w:cs="宋体"/>
          <w:color w:val="auto"/>
          <w:szCs w:val="21"/>
        </w:rPr>
      </w:pPr>
      <w:r>
        <w:rPr>
          <w:rFonts w:hint="eastAsia" w:hAnsi="宋体" w:cs="宋体"/>
          <w:color w:val="auto"/>
          <w:szCs w:val="21"/>
        </w:rPr>
        <w:t>（7）在领取中标通知书的同时按招标文件规定的形式，向贵方一次性支付中标服务费。</w:t>
      </w:r>
    </w:p>
    <w:p>
      <w:pPr>
        <w:pStyle w:val="13"/>
        <w:tabs>
          <w:tab w:val="left" w:pos="5580"/>
        </w:tabs>
        <w:spacing w:line="360" w:lineRule="auto"/>
        <w:ind w:left="1080" w:leftChars="257" w:hanging="540"/>
        <w:rPr>
          <w:rFonts w:hAnsi="宋体" w:cs="宋体"/>
          <w:color w:val="auto"/>
          <w:szCs w:val="21"/>
        </w:rPr>
      </w:pPr>
      <w:r>
        <w:rPr>
          <w:rFonts w:hint="eastAsia" w:hAnsi="宋体" w:cs="宋体"/>
          <w:color w:val="auto"/>
          <w:szCs w:val="21"/>
        </w:rPr>
        <w:t>（8）按照贵方可能要求，提供与其投标有关的一切数据或资料，完全理解贵方不一定接受最低价的投标或收到的任何投标。</w:t>
      </w:r>
    </w:p>
    <w:p>
      <w:pPr>
        <w:pStyle w:val="13"/>
        <w:tabs>
          <w:tab w:val="left" w:pos="5580"/>
        </w:tabs>
        <w:spacing w:line="360" w:lineRule="auto"/>
        <w:ind w:left="1080" w:leftChars="257" w:hanging="540"/>
        <w:outlineLvl w:val="3"/>
        <w:rPr>
          <w:rFonts w:hAnsi="宋体" w:cs="宋体"/>
          <w:color w:val="auto"/>
          <w:szCs w:val="21"/>
        </w:rPr>
      </w:pPr>
      <w:r>
        <w:rPr>
          <w:rFonts w:hint="eastAsia" w:hAnsi="宋体" w:cs="宋体"/>
          <w:color w:val="auto"/>
          <w:szCs w:val="21"/>
        </w:rPr>
        <w:t>（9）按照招标文件的规定履行合同责任和义务。</w:t>
      </w:r>
    </w:p>
    <w:p>
      <w:pPr>
        <w:pStyle w:val="13"/>
        <w:tabs>
          <w:tab w:val="left" w:pos="5580"/>
        </w:tabs>
        <w:spacing w:line="360" w:lineRule="auto"/>
        <w:ind w:left="332" w:leftChars="68" w:hanging="189" w:hangingChars="90"/>
        <w:rPr>
          <w:rFonts w:hAnsi="宋体" w:cs="宋体"/>
          <w:color w:val="auto"/>
          <w:szCs w:val="21"/>
        </w:rPr>
      </w:pPr>
      <w:r>
        <w:rPr>
          <w:rFonts w:hint="eastAsia" w:hAnsi="宋体" w:cs="宋体"/>
          <w:color w:val="auto"/>
          <w:szCs w:val="21"/>
        </w:rPr>
        <w:t xml:space="preserve">  与本投标有关的一切正式往来信函请寄：</w:t>
      </w:r>
    </w:p>
    <w:p>
      <w:pPr>
        <w:pStyle w:val="13"/>
        <w:tabs>
          <w:tab w:val="left" w:pos="5580"/>
        </w:tabs>
        <w:spacing w:line="360" w:lineRule="auto"/>
        <w:ind w:left="1080" w:leftChars="257" w:hanging="540"/>
        <w:rPr>
          <w:rFonts w:hAnsi="宋体" w:cs="宋体"/>
          <w:color w:val="auto"/>
          <w:szCs w:val="21"/>
        </w:rPr>
      </w:pPr>
      <w:r>
        <w:rPr>
          <w:rFonts w:hint="eastAsia" w:hAnsi="宋体" w:cs="宋体"/>
          <w:color w:val="auto"/>
          <w:szCs w:val="21"/>
        </w:rPr>
        <w:t>地址</w:t>
      </w:r>
      <w:r>
        <w:rPr>
          <w:rFonts w:hint="eastAsia" w:hAnsi="宋体" w:cs="宋体"/>
          <w:color w:val="auto"/>
          <w:szCs w:val="21"/>
          <w:u w:val="single"/>
        </w:rPr>
        <w:t xml:space="preserve">                         </w:t>
      </w:r>
      <w:r>
        <w:rPr>
          <w:rFonts w:hint="eastAsia" w:hAnsi="宋体" w:cs="宋体"/>
          <w:color w:val="auto"/>
          <w:szCs w:val="21"/>
        </w:rPr>
        <w:t xml:space="preserve">     传真</w:t>
      </w:r>
      <w:r>
        <w:rPr>
          <w:rFonts w:hint="eastAsia" w:hAnsi="宋体" w:cs="宋体"/>
          <w:color w:val="auto"/>
          <w:szCs w:val="21"/>
          <w:u w:val="single"/>
        </w:rPr>
        <w:t xml:space="preserve">                             </w:t>
      </w:r>
    </w:p>
    <w:p>
      <w:pPr>
        <w:pStyle w:val="13"/>
        <w:tabs>
          <w:tab w:val="left" w:pos="5580"/>
        </w:tabs>
        <w:spacing w:line="360" w:lineRule="auto"/>
        <w:ind w:left="1080" w:leftChars="257" w:hanging="540"/>
        <w:rPr>
          <w:rFonts w:hAnsi="宋体" w:cs="宋体"/>
          <w:color w:val="auto"/>
          <w:szCs w:val="21"/>
        </w:rPr>
      </w:pPr>
      <w:r>
        <w:rPr>
          <w:rFonts w:hint="eastAsia" w:hAnsi="宋体" w:cs="宋体"/>
          <w:color w:val="auto"/>
          <w:szCs w:val="21"/>
        </w:rPr>
        <w:t>电话</w:t>
      </w:r>
      <w:r>
        <w:rPr>
          <w:rFonts w:hint="eastAsia" w:hAnsi="宋体" w:cs="宋体"/>
          <w:color w:val="auto"/>
          <w:szCs w:val="21"/>
          <w:u w:val="single"/>
        </w:rPr>
        <w:t xml:space="preserve">                         </w:t>
      </w:r>
      <w:r>
        <w:rPr>
          <w:rFonts w:hint="eastAsia" w:hAnsi="宋体" w:cs="宋体"/>
          <w:color w:val="auto"/>
          <w:szCs w:val="21"/>
        </w:rPr>
        <w:t xml:space="preserve">     电子函件</w:t>
      </w:r>
      <w:r>
        <w:rPr>
          <w:rFonts w:hint="eastAsia" w:hAnsi="宋体" w:cs="宋体"/>
          <w:color w:val="auto"/>
          <w:szCs w:val="21"/>
          <w:u w:val="single"/>
        </w:rPr>
        <w:t xml:space="preserve">                         </w:t>
      </w:r>
    </w:p>
    <w:p>
      <w:pPr>
        <w:pStyle w:val="13"/>
        <w:tabs>
          <w:tab w:val="left" w:pos="5580"/>
        </w:tabs>
        <w:spacing w:line="360" w:lineRule="auto"/>
        <w:ind w:left="1080" w:leftChars="257" w:hanging="540"/>
        <w:rPr>
          <w:rFonts w:hAnsi="宋体" w:cs="宋体"/>
          <w:color w:val="auto"/>
          <w:szCs w:val="21"/>
        </w:rPr>
      </w:pPr>
      <w:r>
        <w:rPr>
          <w:rFonts w:hint="eastAsia" w:hAnsi="宋体" w:cs="宋体"/>
          <w:color w:val="auto"/>
          <w:szCs w:val="21"/>
        </w:rPr>
        <w:t>法定代表人或其委托代理人签字-----------------</w:t>
      </w:r>
    </w:p>
    <w:p>
      <w:pPr>
        <w:pStyle w:val="13"/>
        <w:tabs>
          <w:tab w:val="left" w:pos="5580"/>
        </w:tabs>
        <w:spacing w:line="360" w:lineRule="auto"/>
        <w:ind w:left="1080" w:leftChars="257" w:hanging="540"/>
        <w:rPr>
          <w:rFonts w:hAnsi="宋体" w:cs="宋体"/>
          <w:color w:val="auto"/>
          <w:szCs w:val="21"/>
        </w:rPr>
      </w:pPr>
      <w:r>
        <w:rPr>
          <w:rFonts w:hint="eastAsia" w:hAnsi="宋体" w:cs="宋体"/>
          <w:color w:val="auto"/>
          <w:szCs w:val="21"/>
        </w:rPr>
        <w:t>投标人名称（全称）-----------------</w:t>
      </w:r>
    </w:p>
    <w:p>
      <w:pPr>
        <w:pStyle w:val="13"/>
        <w:tabs>
          <w:tab w:val="left" w:pos="5580"/>
        </w:tabs>
        <w:spacing w:line="360" w:lineRule="auto"/>
        <w:ind w:left="1080" w:leftChars="257" w:hanging="540"/>
        <w:rPr>
          <w:rFonts w:hAnsi="宋体" w:cs="宋体"/>
          <w:color w:val="auto"/>
          <w:szCs w:val="21"/>
        </w:rPr>
      </w:pPr>
      <w:r>
        <w:rPr>
          <w:rFonts w:hint="eastAsia" w:hAnsi="宋体" w:cs="宋体"/>
          <w:color w:val="auto"/>
          <w:szCs w:val="21"/>
        </w:rPr>
        <w:t>投标人开户银行（全称）</w:t>
      </w:r>
      <w:r>
        <w:rPr>
          <w:rFonts w:hint="eastAsia" w:hAnsi="宋体" w:cs="宋体"/>
          <w:color w:val="auto"/>
          <w:szCs w:val="21"/>
          <w:u w:val="single"/>
        </w:rPr>
        <w:t xml:space="preserve">　　　　　　 </w:t>
      </w:r>
    </w:p>
    <w:p>
      <w:pPr>
        <w:pStyle w:val="13"/>
        <w:tabs>
          <w:tab w:val="left" w:pos="5580"/>
        </w:tabs>
        <w:spacing w:line="360" w:lineRule="auto"/>
        <w:ind w:left="1080" w:leftChars="257" w:hanging="540"/>
        <w:rPr>
          <w:rFonts w:hAnsi="宋体" w:cs="宋体"/>
          <w:color w:val="auto"/>
          <w:szCs w:val="21"/>
        </w:rPr>
      </w:pPr>
      <w:r>
        <w:rPr>
          <w:rFonts w:hint="eastAsia" w:hAnsi="宋体" w:cs="宋体"/>
          <w:color w:val="auto"/>
          <w:szCs w:val="21"/>
        </w:rPr>
        <w:t>投标人银行帐号</w:t>
      </w:r>
      <w:r>
        <w:rPr>
          <w:rFonts w:hint="eastAsia" w:hAnsi="宋体" w:cs="宋体"/>
          <w:color w:val="auto"/>
          <w:szCs w:val="21"/>
          <w:u w:val="single"/>
        </w:rPr>
        <w:t>　　　　　　　　 　　</w:t>
      </w:r>
    </w:p>
    <w:p>
      <w:pPr>
        <w:pStyle w:val="13"/>
        <w:tabs>
          <w:tab w:val="left" w:pos="5580"/>
        </w:tabs>
        <w:spacing w:line="360" w:lineRule="auto"/>
        <w:ind w:left="1080" w:leftChars="257" w:hanging="540"/>
        <w:rPr>
          <w:rFonts w:hAnsi="宋体" w:cs="宋体"/>
          <w:color w:val="auto"/>
          <w:szCs w:val="21"/>
        </w:rPr>
      </w:pPr>
      <w:r>
        <w:rPr>
          <w:rFonts w:hint="eastAsia" w:hAnsi="宋体" w:cs="宋体"/>
          <w:color w:val="auto"/>
          <w:szCs w:val="21"/>
        </w:rPr>
        <w:t>投标人单位章-------------------------</w:t>
      </w:r>
    </w:p>
    <w:p>
      <w:pPr>
        <w:pStyle w:val="13"/>
        <w:tabs>
          <w:tab w:val="left" w:pos="5580"/>
        </w:tabs>
        <w:spacing w:line="360" w:lineRule="auto"/>
        <w:ind w:left="1080" w:leftChars="257" w:hanging="540"/>
        <w:rPr>
          <w:rFonts w:hAnsi="宋体" w:cs="宋体"/>
          <w:color w:val="auto"/>
          <w:szCs w:val="21"/>
        </w:rPr>
      </w:pPr>
      <w:r>
        <w:rPr>
          <w:rFonts w:hint="eastAsia" w:hAnsi="宋体" w:cs="宋体"/>
          <w:color w:val="auto"/>
          <w:szCs w:val="21"/>
        </w:rPr>
        <w:t>日期-------------------------------</w:t>
      </w:r>
    </w:p>
    <w:p>
      <w:pPr>
        <w:pStyle w:val="3"/>
        <w:numPr>
          <w:ilvl w:val="0"/>
          <w:numId w:val="0"/>
        </w:numPr>
        <w:spacing w:line="360" w:lineRule="auto"/>
        <w:rPr>
          <w:rFonts w:ascii="宋体" w:hAnsi="宋体" w:cs="宋体"/>
        </w:rPr>
      </w:pPr>
    </w:p>
    <w:p>
      <w:pPr>
        <w:pStyle w:val="3"/>
        <w:numPr>
          <w:ilvl w:val="0"/>
          <w:numId w:val="0"/>
        </w:numPr>
        <w:spacing w:line="360" w:lineRule="auto"/>
        <w:rPr>
          <w:rFonts w:ascii="宋体" w:hAnsi="宋体" w:cs="宋体"/>
        </w:rPr>
      </w:pPr>
    </w:p>
    <w:p>
      <w:pPr>
        <w:rPr>
          <w:rFonts w:ascii="宋体" w:hAnsi="宋体" w:cs="宋体"/>
          <w:sz w:val="24"/>
        </w:rPr>
      </w:pPr>
    </w:p>
    <w:p>
      <w:pPr>
        <w:pStyle w:val="45"/>
      </w:pPr>
    </w:p>
    <w:p/>
    <w:p>
      <w:pPr>
        <w:pStyle w:val="3"/>
        <w:numPr>
          <w:ilvl w:val="0"/>
          <w:numId w:val="0"/>
        </w:numPr>
        <w:spacing w:line="360" w:lineRule="auto"/>
        <w:rPr>
          <w:rFonts w:ascii="宋体" w:hAnsi="宋体" w:cs="宋体"/>
        </w:rPr>
      </w:pPr>
      <w:r>
        <w:rPr>
          <w:rFonts w:hint="eastAsia" w:ascii="宋体" w:hAnsi="宋体" w:cs="宋体"/>
        </w:rPr>
        <w:t>2 、</w:t>
      </w:r>
      <w:bookmarkStart w:id="106" w:name="_Toc216582815"/>
      <w:bookmarkStart w:id="107" w:name="_Toc20897"/>
      <w:bookmarkStart w:id="108" w:name="_Toc515647818"/>
      <w:bookmarkStart w:id="109" w:name="_Toc1881"/>
      <w:bookmarkStart w:id="110" w:name="_Toc10313"/>
      <w:r>
        <w:rPr>
          <w:rFonts w:hint="eastAsia" w:ascii="宋体" w:hAnsi="宋体" w:cs="宋体"/>
        </w:rPr>
        <w:t>投标分项报价表</w:t>
      </w:r>
      <w:bookmarkEnd w:id="106"/>
      <w:r>
        <w:rPr>
          <w:rFonts w:hint="eastAsia" w:ascii="宋体" w:hAnsi="宋体" w:cs="宋体"/>
        </w:rPr>
        <w:t>（投标文件格式六）</w:t>
      </w:r>
      <w:bookmarkEnd w:id="107"/>
      <w:bookmarkEnd w:id="108"/>
      <w:bookmarkEnd w:id="109"/>
      <w:bookmarkEnd w:id="110"/>
    </w:p>
    <w:p>
      <w:pPr>
        <w:pStyle w:val="13"/>
        <w:spacing w:line="240" w:lineRule="atLeast"/>
        <w:ind w:left="1080" w:leftChars="257" w:hanging="540"/>
        <w:rPr>
          <w:rFonts w:hAnsi="宋体" w:cs="宋体"/>
          <w:color w:val="auto"/>
          <w:sz w:val="24"/>
        </w:rPr>
      </w:pPr>
    </w:p>
    <w:p>
      <w:pPr>
        <w:pStyle w:val="13"/>
        <w:spacing w:line="240" w:lineRule="atLeast"/>
        <w:ind w:left="1080" w:leftChars="257" w:hanging="540"/>
        <w:rPr>
          <w:rFonts w:hAnsi="宋体" w:cs="宋体"/>
          <w:color w:val="auto"/>
          <w:sz w:val="24"/>
        </w:rPr>
      </w:pPr>
      <w:r>
        <w:rPr>
          <w:rFonts w:hint="eastAsia" w:hAnsi="宋体" w:cs="宋体"/>
          <w:color w:val="auto"/>
          <w:sz w:val="24"/>
        </w:rPr>
        <w:t xml:space="preserve">项目名称:                      招标编号:                  包号: 　 </w:t>
      </w:r>
    </w:p>
    <w:p>
      <w:pPr>
        <w:pStyle w:val="13"/>
        <w:spacing w:line="240" w:lineRule="atLeast"/>
        <w:ind w:left="1080" w:leftChars="257" w:hanging="540"/>
        <w:jc w:val="center"/>
        <w:rPr>
          <w:rFonts w:hAnsi="宋体" w:cs="宋体"/>
          <w:color w:val="auto"/>
          <w:sz w:val="24"/>
        </w:rPr>
      </w:pPr>
      <w:r>
        <w:rPr>
          <w:rFonts w:hint="eastAsia" w:hAnsi="宋体" w:cs="宋体"/>
          <w:color w:val="auto"/>
          <w:sz w:val="24"/>
        </w:rPr>
        <w:t xml:space="preserve">                                         　报价单位：人民币万元</w:t>
      </w:r>
    </w:p>
    <w:tbl>
      <w:tblPr>
        <w:tblStyle w:val="27"/>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015"/>
        <w:gridCol w:w="1506"/>
        <w:gridCol w:w="1506"/>
        <w:gridCol w:w="696"/>
        <w:gridCol w:w="936"/>
        <w:gridCol w:w="1416"/>
        <w:gridCol w:w="696"/>
        <w:gridCol w:w="696"/>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6" w:hRule="atLeast"/>
          <w:jc w:val="center"/>
        </w:trPr>
        <w:tc>
          <w:tcPr>
            <w:tcW w:w="703" w:type="dxa"/>
            <w:vAlign w:val="center"/>
          </w:tcPr>
          <w:p>
            <w:pPr>
              <w:pStyle w:val="13"/>
              <w:spacing w:line="240" w:lineRule="atLeast"/>
              <w:rPr>
                <w:rFonts w:hAnsi="宋体" w:cs="宋体"/>
                <w:color w:val="auto"/>
                <w:sz w:val="24"/>
              </w:rPr>
            </w:pPr>
            <w:r>
              <w:rPr>
                <w:rFonts w:hint="eastAsia" w:hAnsi="宋体" w:cs="宋体"/>
                <w:color w:val="auto"/>
                <w:sz w:val="24"/>
              </w:rPr>
              <w:t>序号</w:t>
            </w:r>
          </w:p>
        </w:tc>
        <w:tc>
          <w:tcPr>
            <w:tcW w:w="1015" w:type="dxa"/>
            <w:vAlign w:val="center"/>
          </w:tcPr>
          <w:p>
            <w:pPr>
              <w:pStyle w:val="13"/>
              <w:spacing w:line="240" w:lineRule="atLeast"/>
              <w:rPr>
                <w:rFonts w:hAnsi="宋体" w:cs="宋体"/>
                <w:color w:val="auto"/>
                <w:sz w:val="24"/>
              </w:rPr>
            </w:pPr>
            <w:r>
              <w:rPr>
                <w:rFonts w:hint="eastAsia" w:hAnsi="宋体" w:cs="宋体"/>
                <w:color w:val="auto"/>
                <w:sz w:val="24"/>
              </w:rPr>
              <w:t>名称</w:t>
            </w:r>
          </w:p>
        </w:tc>
        <w:tc>
          <w:tcPr>
            <w:tcW w:w="1506" w:type="dxa"/>
            <w:vAlign w:val="center"/>
          </w:tcPr>
          <w:p>
            <w:pPr>
              <w:pStyle w:val="13"/>
              <w:spacing w:line="240" w:lineRule="atLeast"/>
              <w:rPr>
                <w:rFonts w:hAnsi="宋体" w:cs="宋体"/>
                <w:color w:val="auto"/>
                <w:sz w:val="24"/>
              </w:rPr>
            </w:pPr>
            <w:r>
              <w:rPr>
                <w:rFonts w:hint="eastAsia" w:hAnsi="宋体" w:cs="宋体"/>
                <w:color w:val="auto"/>
                <w:sz w:val="24"/>
              </w:rPr>
              <w:t>技术要求</w:t>
            </w:r>
          </w:p>
        </w:tc>
        <w:tc>
          <w:tcPr>
            <w:tcW w:w="1506" w:type="dxa"/>
            <w:vAlign w:val="center"/>
          </w:tcPr>
          <w:p>
            <w:pPr>
              <w:pStyle w:val="13"/>
              <w:spacing w:line="240" w:lineRule="atLeast"/>
              <w:rPr>
                <w:rFonts w:hAnsi="宋体" w:cs="宋体"/>
                <w:color w:val="auto"/>
                <w:sz w:val="24"/>
              </w:rPr>
            </w:pPr>
            <w:r>
              <w:rPr>
                <w:rFonts w:hint="eastAsia" w:hAnsi="宋体" w:cs="宋体"/>
                <w:color w:val="auto"/>
                <w:sz w:val="24"/>
              </w:rPr>
              <w:t>型号和规格</w:t>
            </w:r>
          </w:p>
        </w:tc>
        <w:tc>
          <w:tcPr>
            <w:tcW w:w="696" w:type="dxa"/>
            <w:vAlign w:val="center"/>
          </w:tcPr>
          <w:p>
            <w:pPr>
              <w:pStyle w:val="13"/>
              <w:spacing w:line="240" w:lineRule="atLeast"/>
              <w:rPr>
                <w:rFonts w:hAnsi="宋体" w:cs="宋体"/>
                <w:color w:val="auto"/>
                <w:sz w:val="24"/>
              </w:rPr>
            </w:pPr>
            <w:r>
              <w:rPr>
                <w:rFonts w:hint="eastAsia" w:hAnsi="宋体" w:cs="宋体"/>
                <w:color w:val="auto"/>
                <w:sz w:val="24"/>
              </w:rPr>
              <w:t>数量</w:t>
            </w:r>
          </w:p>
        </w:tc>
        <w:tc>
          <w:tcPr>
            <w:tcW w:w="936" w:type="dxa"/>
            <w:vAlign w:val="center"/>
          </w:tcPr>
          <w:p>
            <w:pPr>
              <w:pStyle w:val="13"/>
              <w:spacing w:line="240" w:lineRule="atLeast"/>
              <w:rPr>
                <w:rFonts w:hAnsi="宋体" w:cs="宋体"/>
                <w:color w:val="auto"/>
                <w:sz w:val="24"/>
              </w:rPr>
            </w:pPr>
            <w:r>
              <w:rPr>
                <w:rFonts w:hint="eastAsia" w:hAnsi="宋体" w:cs="宋体"/>
                <w:color w:val="auto"/>
                <w:sz w:val="24"/>
              </w:rPr>
              <w:t>产地</w:t>
            </w:r>
          </w:p>
        </w:tc>
        <w:tc>
          <w:tcPr>
            <w:tcW w:w="1416" w:type="dxa"/>
            <w:vAlign w:val="center"/>
          </w:tcPr>
          <w:p>
            <w:pPr>
              <w:pStyle w:val="13"/>
              <w:spacing w:line="240" w:lineRule="atLeast"/>
              <w:rPr>
                <w:rFonts w:hAnsi="宋体" w:cs="宋体"/>
                <w:color w:val="auto"/>
                <w:sz w:val="24"/>
              </w:rPr>
            </w:pPr>
            <w:r>
              <w:rPr>
                <w:rFonts w:hint="eastAsia" w:hAnsi="宋体" w:cs="宋体"/>
                <w:color w:val="auto"/>
                <w:sz w:val="24"/>
              </w:rPr>
              <w:t>制造商名称</w:t>
            </w:r>
          </w:p>
        </w:tc>
        <w:tc>
          <w:tcPr>
            <w:tcW w:w="696" w:type="dxa"/>
            <w:vAlign w:val="center"/>
          </w:tcPr>
          <w:p>
            <w:pPr>
              <w:pStyle w:val="13"/>
              <w:spacing w:line="240" w:lineRule="atLeast"/>
              <w:rPr>
                <w:rFonts w:hAnsi="宋体" w:cs="宋体"/>
                <w:color w:val="auto"/>
                <w:sz w:val="24"/>
              </w:rPr>
            </w:pPr>
            <w:r>
              <w:rPr>
                <w:rFonts w:hint="eastAsia" w:hAnsi="宋体" w:cs="宋体"/>
                <w:color w:val="auto"/>
                <w:sz w:val="24"/>
              </w:rPr>
              <w:t>单价</w:t>
            </w:r>
          </w:p>
        </w:tc>
        <w:tc>
          <w:tcPr>
            <w:tcW w:w="696" w:type="dxa"/>
            <w:vAlign w:val="center"/>
          </w:tcPr>
          <w:p>
            <w:pPr>
              <w:pStyle w:val="13"/>
              <w:spacing w:line="240" w:lineRule="atLeast"/>
              <w:rPr>
                <w:rFonts w:hAnsi="宋体" w:cs="宋体"/>
                <w:color w:val="auto"/>
                <w:sz w:val="24"/>
              </w:rPr>
            </w:pPr>
            <w:r>
              <w:rPr>
                <w:rFonts w:hint="eastAsia" w:hAnsi="宋体" w:cs="宋体"/>
                <w:color w:val="auto"/>
                <w:sz w:val="24"/>
              </w:rPr>
              <w:t>总价</w:t>
            </w:r>
          </w:p>
        </w:tc>
        <w:tc>
          <w:tcPr>
            <w:tcW w:w="696" w:type="dxa"/>
            <w:vAlign w:val="center"/>
          </w:tcPr>
          <w:p>
            <w:pPr>
              <w:pStyle w:val="13"/>
              <w:spacing w:line="240" w:lineRule="atLeast"/>
              <w:rPr>
                <w:rFonts w:hAnsi="宋体" w:cs="宋体"/>
                <w:color w:val="auto"/>
                <w:sz w:val="24"/>
              </w:rPr>
            </w:pPr>
            <w:r>
              <w:rPr>
                <w:rFonts w:hint="eastAsia"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3" w:type="dxa"/>
            <w:vAlign w:val="center"/>
          </w:tcPr>
          <w:p>
            <w:pPr>
              <w:pStyle w:val="13"/>
              <w:spacing w:line="240" w:lineRule="atLeast"/>
              <w:rPr>
                <w:rFonts w:hAnsi="宋体" w:cs="宋体"/>
                <w:color w:val="auto"/>
                <w:sz w:val="24"/>
              </w:rPr>
            </w:pPr>
            <w:r>
              <w:rPr>
                <w:rFonts w:hint="eastAsia" w:hAnsi="宋体" w:cs="宋体"/>
                <w:color w:val="auto"/>
                <w:sz w:val="24"/>
              </w:rPr>
              <w:t>1.</w:t>
            </w:r>
          </w:p>
        </w:tc>
        <w:tc>
          <w:tcPr>
            <w:tcW w:w="1015" w:type="dxa"/>
            <w:vAlign w:val="center"/>
          </w:tcPr>
          <w:p>
            <w:pPr>
              <w:pStyle w:val="13"/>
              <w:spacing w:line="240" w:lineRule="atLeast"/>
              <w:rPr>
                <w:rFonts w:hAnsi="宋体" w:cs="宋体"/>
                <w:color w:val="auto"/>
                <w:sz w:val="24"/>
              </w:rPr>
            </w:pPr>
          </w:p>
        </w:tc>
        <w:tc>
          <w:tcPr>
            <w:tcW w:w="1506" w:type="dxa"/>
            <w:vAlign w:val="center"/>
          </w:tcPr>
          <w:p>
            <w:pPr>
              <w:pStyle w:val="13"/>
              <w:spacing w:line="240" w:lineRule="atLeast"/>
              <w:ind w:left="1080" w:leftChars="257" w:hanging="540"/>
              <w:rPr>
                <w:rFonts w:hAnsi="宋体" w:cs="宋体"/>
                <w:color w:val="auto"/>
                <w:sz w:val="24"/>
              </w:rPr>
            </w:pPr>
          </w:p>
        </w:tc>
        <w:tc>
          <w:tcPr>
            <w:tcW w:w="1506" w:type="dxa"/>
            <w:vAlign w:val="center"/>
          </w:tcPr>
          <w:p>
            <w:pPr>
              <w:pStyle w:val="13"/>
              <w:spacing w:line="240" w:lineRule="atLeast"/>
              <w:ind w:left="1080" w:leftChars="257" w:hanging="540"/>
              <w:rPr>
                <w:rFonts w:hAnsi="宋体" w:cs="宋体"/>
                <w:color w:val="auto"/>
                <w:sz w:val="24"/>
              </w:rPr>
            </w:pPr>
          </w:p>
        </w:tc>
        <w:tc>
          <w:tcPr>
            <w:tcW w:w="696" w:type="dxa"/>
            <w:vAlign w:val="center"/>
          </w:tcPr>
          <w:p>
            <w:pPr>
              <w:pStyle w:val="13"/>
              <w:spacing w:line="240" w:lineRule="atLeast"/>
              <w:ind w:left="1080" w:leftChars="257" w:hanging="540"/>
              <w:rPr>
                <w:rFonts w:hAnsi="宋体" w:cs="宋体"/>
                <w:color w:val="auto"/>
                <w:sz w:val="24"/>
              </w:rPr>
            </w:pPr>
          </w:p>
        </w:tc>
        <w:tc>
          <w:tcPr>
            <w:tcW w:w="936" w:type="dxa"/>
            <w:vAlign w:val="center"/>
          </w:tcPr>
          <w:p>
            <w:pPr>
              <w:pStyle w:val="13"/>
              <w:spacing w:line="240" w:lineRule="atLeast"/>
              <w:ind w:left="1080" w:leftChars="257" w:hanging="540"/>
              <w:rPr>
                <w:rFonts w:hAnsi="宋体" w:cs="宋体"/>
                <w:color w:val="auto"/>
                <w:sz w:val="24"/>
              </w:rPr>
            </w:pPr>
          </w:p>
        </w:tc>
        <w:tc>
          <w:tcPr>
            <w:tcW w:w="1416" w:type="dxa"/>
            <w:vAlign w:val="center"/>
          </w:tcPr>
          <w:p>
            <w:pPr>
              <w:pStyle w:val="13"/>
              <w:spacing w:line="240" w:lineRule="atLeast"/>
              <w:ind w:left="1080" w:leftChars="257" w:hanging="540"/>
              <w:rPr>
                <w:rFonts w:hAnsi="宋体" w:cs="宋体"/>
                <w:color w:val="auto"/>
                <w:sz w:val="24"/>
              </w:rPr>
            </w:pPr>
          </w:p>
        </w:tc>
        <w:tc>
          <w:tcPr>
            <w:tcW w:w="696" w:type="dxa"/>
            <w:vAlign w:val="center"/>
          </w:tcPr>
          <w:p>
            <w:pPr>
              <w:pStyle w:val="13"/>
              <w:spacing w:line="240" w:lineRule="atLeast"/>
              <w:ind w:left="1080" w:leftChars="257" w:hanging="540"/>
              <w:rPr>
                <w:rFonts w:hAnsi="宋体" w:cs="宋体"/>
                <w:color w:val="auto"/>
                <w:sz w:val="24"/>
              </w:rPr>
            </w:pPr>
          </w:p>
        </w:tc>
        <w:tc>
          <w:tcPr>
            <w:tcW w:w="696" w:type="dxa"/>
            <w:vAlign w:val="center"/>
          </w:tcPr>
          <w:p>
            <w:pPr>
              <w:pStyle w:val="13"/>
              <w:spacing w:line="240" w:lineRule="atLeast"/>
              <w:ind w:left="1080" w:leftChars="257" w:hanging="540"/>
              <w:rPr>
                <w:rFonts w:hAnsi="宋体" w:cs="宋体"/>
                <w:color w:val="auto"/>
                <w:sz w:val="24"/>
              </w:rPr>
            </w:pPr>
          </w:p>
        </w:tc>
        <w:tc>
          <w:tcPr>
            <w:tcW w:w="696" w:type="dxa"/>
            <w:vAlign w:val="center"/>
          </w:tcPr>
          <w:p>
            <w:pPr>
              <w:pStyle w:val="13"/>
              <w:spacing w:line="240" w:lineRule="atLeast"/>
              <w:ind w:left="1080" w:leftChars="257" w:hanging="540"/>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vAlign w:val="center"/>
          </w:tcPr>
          <w:p>
            <w:pPr>
              <w:pStyle w:val="13"/>
              <w:spacing w:line="240" w:lineRule="atLeast"/>
              <w:rPr>
                <w:rFonts w:hAnsi="宋体" w:cs="宋体"/>
                <w:color w:val="auto"/>
                <w:sz w:val="24"/>
              </w:rPr>
            </w:pPr>
            <w:r>
              <w:rPr>
                <w:rFonts w:hint="eastAsia" w:hAnsi="宋体" w:cs="宋体"/>
                <w:color w:val="auto"/>
                <w:sz w:val="24"/>
              </w:rPr>
              <w:t>2.</w:t>
            </w:r>
          </w:p>
        </w:tc>
        <w:tc>
          <w:tcPr>
            <w:tcW w:w="1015" w:type="dxa"/>
            <w:vAlign w:val="center"/>
          </w:tcPr>
          <w:p>
            <w:pPr>
              <w:pStyle w:val="13"/>
              <w:spacing w:line="240" w:lineRule="atLeast"/>
              <w:rPr>
                <w:rFonts w:hAnsi="宋体" w:cs="宋体"/>
                <w:color w:val="auto"/>
                <w:sz w:val="24"/>
              </w:rPr>
            </w:pPr>
          </w:p>
        </w:tc>
        <w:tc>
          <w:tcPr>
            <w:tcW w:w="1506" w:type="dxa"/>
            <w:vAlign w:val="center"/>
          </w:tcPr>
          <w:p>
            <w:pPr>
              <w:pStyle w:val="13"/>
              <w:spacing w:line="240" w:lineRule="atLeast"/>
              <w:ind w:left="1080" w:leftChars="257" w:hanging="540"/>
              <w:rPr>
                <w:rFonts w:hAnsi="宋体" w:cs="宋体"/>
                <w:color w:val="auto"/>
                <w:sz w:val="24"/>
              </w:rPr>
            </w:pPr>
          </w:p>
        </w:tc>
        <w:tc>
          <w:tcPr>
            <w:tcW w:w="1506" w:type="dxa"/>
            <w:vAlign w:val="center"/>
          </w:tcPr>
          <w:p>
            <w:pPr>
              <w:pStyle w:val="13"/>
              <w:spacing w:line="240" w:lineRule="atLeast"/>
              <w:ind w:left="1080" w:leftChars="257" w:hanging="540"/>
              <w:rPr>
                <w:rFonts w:hAnsi="宋体" w:cs="宋体"/>
                <w:color w:val="auto"/>
                <w:sz w:val="24"/>
              </w:rPr>
            </w:pPr>
          </w:p>
        </w:tc>
        <w:tc>
          <w:tcPr>
            <w:tcW w:w="696" w:type="dxa"/>
            <w:vAlign w:val="center"/>
          </w:tcPr>
          <w:p>
            <w:pPr>
              <w:pStyle w:val="13"/>
              <w:spacing w:line="240" w:lineRule="atLeast"/>
              <w:ind w:left="1080" w:leftChars="257" w:hanging="540"/>
              <w:rPr>
                <w:rFonts w:hAnsi="宋体" w:cs="宋体"/>
                <w:color w:val="auto"/>
                <w:sz w:val="24"/>
              </w:rPr>
            </w:pPr>
          </w:p>
        </w:tc>
        <w:tc>
          <w:tcPr>
            <w:tcW w:w="936" w:type="dxa"/>
            <w:vAlign w:val="center"/>
          </w:tcPr>
          <w:p>
            <w:pPr>
              <w:pStyle w:val="13"/>
              <w:spacing w:line="240" w:lineRule="atLeast"/>
              <w:ind w:left="1080" w:leftChars="257" w:hanging="540"/>
              <w:rPr>
                <w:rFonts w:hAnsi="宋体" w:cs="宋体"/>
                <w:color w:val="auto"/>
                <w:sz w:val="24"/>
              </w:rPr>
            </w:pPr>
          </w:p>
        </w:tc>
        <w:tc>
          <w:tcPr>
            <w:tcW w:w="1416" w:type="dxa"/>
            <w:vAlign w:val="center"/>
          </w:tcPr>
          <w:p>
            <w:pPr>
              <w:pStyle w:val="13"/>
              <w:spacing w:line="240" w:lineRule="atLeast"/>
              <w:ind w:left="1080" w:leftChars="257" w:hanging="540"/>
              <w:rPr>
                <w:rFonts w:hAnsi="宋体" w:cs="宋体"/>
                <w:color w:val="auto"/>
                <w:sz w:val="24"/>
              </w:rPr>
            </w:pPr>
          </w:p>
        </w:tc>
        <w:tc>
          <w:tcPr>
            <w:tcW w:w="696" w:type="dxa"/>
            <w:vAlign w:val="center"/>
          </w:tcPr>
          <w:p>
            <w:pPr>
              <w:pStyle w:val="13"/>
              <w:spacing w:line="240" w:lineRule="atLeast"/>
              <w:ind w:left="1080" w:leftChars="257" w:hanging="540"/>
              <w:rPr>
                <w:rFonts w:hAnsi="宋体" w:cs="宋体"/>
                <w:color w:val="auto"/>
                <w:sz w:val="24"/>
              </w:rPr>
            </w:pPr>
          </w:p>
        </w:tc>
        <w:tc>
          <w:tcPr>
            <w:tcW w:w="696" w:type="dxa"/>
            <w:vAlign w:val="center"/>
          </w:tcPr>
          <w:p>
            <w:pPr>
              <w:pStyle w:val="13"/>
              <w:spacing w:line="240" w:lineRule="atLeast"/>
              <w:ind w:left="1080" w:leftChars="257" w:hanging="540"/>
              <w:rPr>
                <w:rFonts w:hAnsi="宋体" w:cs="宋体"/>
                <w:color w:val="auto"/>
                <w:sz w:val="24"/>
              </w:rPr>
            </w:pPr>
          </w:p>
        </w:tc>
        <w:tc>
          <w:tcPr>
            <w:tcW w:w="696" w:type="dxa"/>
            <w:vAlign w:val="center"/>
          </w:tcPr>
          <w:p>
            <w:pPr>
              <w:pStyle w:val="13"/>
              <w:spacing w:line="240" w:lineRule="atLeast"/>
              <w:ind w:left="1080" w:leftChars="257" w:hanging="540"/>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vAlign w:val="center"/>
          </w:tcPr>
          <w:p>
            <w:pPr>
              <w:pStyle w:val="13"/>
              <w:spacing w:line="240" w:lineRule="atLeast"/>
              <w:rPr>
                <w:rFonts w:hAnsi="宋体" w:cs="宋体"/>
                <w:color w:val="auto"/>
                <w:sz w:val="24"/>
              </w:rPr>
            </w:pPr>
            <w:r>
              <w:rPr>
                <w:rFonts w:hint="eastAsia" w:hAnsi="宋体" w:cs="宋体"/>
                <w:color w:val="auto"/>
                <w:sz w:val="24"/>
              </w:rPr>
              <w:t>3.</w:t>
            </w:r>
          </w:p>
        </w:tc>
        <w:tc>
          <w:tcPr>
            <w:tcW w:w="1015" w:type="dxa"/>
            <w:vAlign w:val="center"/>
          </w:tcPr>
          <w:p>
            <w:pPr>
              <w:pStyle w:val="13"/>
              <w:spacing w:line="240" w:lineRule="atLeast"/>
              <w:rPr>
                <w:rFonts w:hAnsi="宋体" w:cs="宋体"/>
                <w:color w:val="auto"/>
                <w:sz w:val="24"/>
              </w:rPr>
            </w:pPr>
          </w:p>
        </w:tc>
        <w:tc>
          <w:tcPr>
            <w:tcW w:w="1506" w:type="dxa"/>
            <w:vAlign w:val="center"/>
          </w:tcPr>
          <w:p>
            <w:pPr>
              <w:pStyle w:val="13"/>
              <w:spacing w:line="240" w:lineRule="atLeast"/>
              <w:ind w:left="1080" w:leftChars="257" w:hanging="540"/>
              <w:rPr>
                <w:rFonts w:hAnsi="宋体" w:cs="宋体"/>
                <w:color w:val="auto"/>
                <w:sz w:val="24"/>
              </w:rPr>
            </w:pPr>
          </w:p>
        </w:tc>
        <w:tc>
          <w:tcPr>
            <w:tcW w:w="1506" w:type="dxa"/>
            <w:vAlign w:val="center"/>
          </w:tcPr>
          <w:p>
            <w:pPr>
              <w:pStyle w:val="13"/>
              <w:spacing w:line="240" w:lineRule="atLeast"/>
              <w:ind w:left="1080" w:leftChars="257" w:hanging="540"/>
              <w:rPr>
                <w:rFonts w:hAnsi="宋体" w:cs="宋体"/>
                <w:color w:val="auto"/>
                <w:sz w:val="24"/>
              </w:rPr>
            </w:pPr>
          </w:p>
        </w:tc>
        <w:tc>
          <w:tcPr>
            <w:tcW w:w="696" w:type="dxa"/>
            <w:vAlign w:val="center"/>
          </w:tcPr>
          <w:p>
            <w:pPr>
              <w:pStyle w:val="13"/>
              <w:spacing w:line="240" w:lineRule="atLeast"/>
              <w:ind w:left="1080" w:leftChars="257" w:hanging="540"/>
              <w:rPr>
                <w:rFonts w:hAnsi="宋体" w:cs="宋体"/>
                <w:color w:val="auto"/>
                <w:sz w:val="24"/>
              </w:rPr>
            </w:pPr>
          </w:p>
        </w:tc>
        <w:tc>
          <w:tcPr>
            <w:tcW w:w="936" w:type="dxa"/>
            <w:vAlign w:val="center"/>
          </w:tcPr>
          <w:p>
            <w:pPr>
              <w:pStyle w:val="13"/>
              <w:spacing w:line="240" w:lineRule="atLeast"/>
              <w:ind w:left="1080" w:leftChars="257" w:hanging="540"/>
              <w:rPr>
                <w:rFonts w:hAnsi="宋体" w:cs="宋体"/>
                <w:color w:val="auto"/>
                <w:sz w:val="24"/>
              </w:rPr>
            </w:pPr>
          </w:p>
        </w:tc>
        <w:tc>
          <w:tcPr>
            <w:tcW w:w="1416" w:type="dxa"/>
            <w:vAlign w:val="center"/>
          </w:tcPr>
          <w:p>
            <w:pPr>
              <w:pStyle w:val="13"/>
              <w:spacing w:line="240" w:lineRule="atLeast"/>
              <w:ind w:left="1080" w:leftChars="257" w:hanging="540"/>
              <w:rPr>
                <w:rFonts w:hAnsi="宋体" w:cs="宋体"/>
                <w:color w:val="auto"/>
                <w:sz w:val="24"/>
              </w:rPr>
            </w:pPr>
          </w:p>
        </w:tc>
        <w:tc>
          <w:tcPr>
            <w:tcW w:w="696" w:type="dxa"/>
            <w:vAlign w:val="center"/>
          </w:tcPr>
          <w:p>
            <w:pPr>
              <w:pStyle w:val="13"/>
              <w:spacing w:line="240" w:lineRule="atLeast"/>
              <w:ind w:left="1080" w:leftChars="257" w:hanging="540"/>
              <w:rPr>
                <w:rFonts w:hAnsi="宋体" w:cs="宋体"/>
                <w:color w:val="auto"/>
                <w:sz w:val="24"/>
              </w:rPr>
            </w:pPr>
          </w:p>
        </w:tc>
        <w:tc>
          <w:tcPr>
            <w:tcW w:w="696" w:type="dxa"/>
            <w:vAlign w:val="center"/>
          </w:tcPr>
          <w:p>
            <w:pPr>
              <w:pStyle w:val="13"/>
              <w:spacing w:line="240" w:lineRule="atLeast"/>
              <w:ind w:left="1080" w:leftChars="257" w:hanging="540"/>
              <w:rPr>
                <w:rFonts w:hAnsi="宋体" w:cs="宋体"/>
                <w:color w:val="auto"/>
                <w:sz w:val="24"/>
              </w:rPr>
            </w:pPr>
          </w:p>
        </w:tc>
        <w:tc>
          <w:tcPr>
            <w:tcW w:w="696" w:type="dxa"/>
            <w:vAlign w:val="center"/>
          </w:tcPr>
          <w:p>
            <w:pPr>
              <w:pStyle w:val="13"/>
              <w:spacing w:line="240" w:lineRule="atLeast"/>
              <w:ind w:left="1080" w:leftChars="257" w:hanging="540"/>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vAlign w:val="center"/>
          </w:tcPr>
          <w:p>
            <w:pPr>
              <w:pStyle w:val="13"/>
              <w:spacing w:line="240" w:lineRule="atLeast"/>
              <w:rPr>
                <w:rFonts w:hAnsi="宋体" w:cs="宋体"/>
                <w:color w:val="auto"/>
                <w:sz w:val="24"/>
              </w:rPr>
            </w:pPr>
            <w:r>
              <w:rPr>
                <w:rFonts w:hint="eastAsia" w:hAnsi="宋体" w:cs="宋体"/>
                <w:color w:val="auto"/>
                <w:sz w:val="24"/>
              </w:rPr>
              <w:t>4.</w:t>
            </w:r>
          </w:p>
        </w:tc>
        <w:tc>
          <w:tcPr>
            <w:tcW w:w="1015" w:type="dxa"/>
            <w:vAlign w:val="center"/>
          </w:tcPr>
          <w:p>
            <w:pPr>
              <w:pStyle w:val="13"/>
              <w:spacing w:line="240" w:lineRule="atLeast"/>
              <w:rPr>
                <w:rFonts w:hAnsi="宋体" w:cs="宋体"/>
                <w:color w:val="auto"/>
                <w:sz w:val="24"/>
              </w:rPr>
            </w:pPr>
          </w:p>
        </w:tc>
        <w:tc>
          <w:tcPr>
            <w:tcW w:w="1506" w:type="dxa"/>
            <w:vAlign w:val="center"/>
          </w:tcPr>
          <w:p>
            <w:pPr>
              <w:pStyle w:val="13"/>
              <w:spacing w:line="240" w:lineRule="atLeast"/>
              <w:ind w:left="1080" w:leftChars="257" w:hanging="540"/>
              <w:rPr>
                <w:rFonts w:hAnsi="宋体" w:cs="宋体"/>
                <w:color w:val="auto"/>
                <w:sz w:val="24"/>
              </w:rPr>
            </w:pPr>
          </w:p>
        </w:tc>
        <w:tc>
          <w:tcPr>
            <w:tcW w:w="1506" w:type="dxa"/>
            <w:vAlign w:val="center"/>
          </w:tcPr>
          <w:p>
            <w:pPr>
              <w:pStyle w:val="13"/>
              <w:spacing w:line="240" w:lineRule="atLeast"/>
              <w:ind w:left="1080" w:leftChars="257" w:hanging="540"/>
              <w:rPr>
                <w:rFonts w:hAnsi="宋体" w:cs="宋体"/>
                <w:color w:val="auto"/>
                <w:sz w:val="24"/>
              </w:rPr>
            </w:pPr>
          </w:p>
        </w:tc>
        <w:tc>
          <w:tcPr>
            <w:tcW w:w="696" w:type="dxa"/>
            <w:vAlign w:val="center"/>
          </w:tcPr>
          <w:p>
            <w:pPr>
              <w:pStyle w:val="13"/>
              <w:spacing w:line="240" w:lineRule="atLeast"/>
              <w:ind w:left="1080" w:leftChars="257" w:hanging="540"/>
              <w:rPr>
                <w:rFonts w:hAnsi="宋体" w:cs="宋体"/>
                <w:color w:val="auto"/>
                <w:sz w:val="24"/>
              </w:rPr>
            </w:pPr>
          </w:p>
        </w:tc>
        <w:tc>
          <w:tcPr>
            <w:tcW w:w="936" w:type="dxa"/>
            <w:vAlign w:val="center"/>
          </w:tcPr>
          <w:p>
            <w:pPr>
              <w:pStyle w:val="13"/>
              <w:spacing w:line="240" w:lineRule="atLeast"/>
              <w:ind w:left="1080" w:leftChars="257" w:hanging="540"/>
              <w:rPr>
                <w:rFonts w:hAnsi="宋体" w:cs="宋体"/>
                <w:color w:val="auto"/>
                <w:sz w:val="24"/>
              </w:rPr>
            </w:pPr>
          </w:p>
        </w:tc>
        <w:tc>
          <w:tcPr>
            <w:tcW w:w="1416" w:type="dxa"/>
            <w:vAlign w:val="center"/>
          </w:tcPr>
          <w:p>
            <w:pPr>
              <w:pStyle w:val="13"/>
              <w:spacing w:line="240" w:lineRule="atLeast"/>
              <w:ind w:left="1080" w:leftChars="257" w:hanging="540"/>
              <w:rPr>
                <w:rFonts w:hAnsi="宋体" w:cs="宋体"/>
                <w:color w:val="auto"/>
                <w:sz w:val="24"/>
              </w:rPr>
            </w:pPr>
          </w:p>
        </w:tc>
        <w:tc>
          <w:tcPr>
            <w:tcW w:w="696" w:type="dxa"/>
            <w:vAlign w:val="center"/>
          </w:tcPr>
          <w:p>
            <w:pPr>
              <w:pStyle w:val="13"/>
              <w:spacing w:line="240" w:lineRule="atLeast"/>
              <w:ind w:left="1080" w:leftChars="257" w:hanging="540"/>
              <w:rPr>
                <w:rFonts w:hAnsi="宋体" w:cs="宋体"/>
                <w:color w:val="auto"/>
                <w:sz w:val="24"/>
              </w:rPr>
            </w:pPr>
          </w:p>
        </w:tc>
        <w:tc>
          <w:tcPr>
            <w:tcW w:w="696" w:type="dxa"/>
            <w:vAlign w:val="center"/>
          </w:tcPr>
          <w:p>
            <w:pPr>
              <w:pStyle w:val="13"/>
              <w:spacing w:line="240" w:lineRule="atLeast"/>
              <w:ind w:left="1080" w:leftChars="257" w:hanging="540"/>
              <w:rPr>
                <w:rFonts w:hAnsi="宋体" w:cs="宋体"/>
                <w:color w:val="auto"/>
                <w:sz w:val="24"/>
              </w:rPr>
            </w:pPr>
          </w:p>
        </w:tc>
        <w:tc>
          <w:tcPr>
            <w:tcW w:w="696" w:type="dxa"/>
            <w:vAlign w:val="center"/>
          </w:tcPr>
          <w:p>
            <w:pPr>
              <w:pStyle w:val="13"/>
              <w:spacing w:line="240" w:lineRule="atLeast"/>
              <w:ind w:left="1080" w:leftChars="257" w:hanging="540"/>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3" w:type="dxa"/>
            <w:vAlign w:val="center"/>
          </w:tcPr>
          <w:p>
            <w:pPr>
              <w:pStyle w:val="13"/>
              <w:spacing w:line="240" w:lineRule="atLeast"/>
              <w:rPr>
                <w:rFonts w:hAnsi="宋体" w:cs="宋体"/>
                <w:color w:val="auto"/>
                <w:sz w:val="24"/>
              </w:rPr>
            </w:pPr>
            <w:r>
              <w:rPr>
                <w:rFonts w:hint="eastAsia" w:hAnsi="宋体" w:cs="宋体"/>
                <w:color w:val="auto"/>
                <w:sz w:val="24"/>
              </w:rPr>
              <w:t>5.</w:t>
            </w:r>
          </w:p>
        </w:tc>
        <w:tc>
          <w:tcPr>
            <w:tcW w:w="1015" w:type="dxa"/>
            <w:vAlign w:val="center"/>
          </w:tcPr>
          <w:p>
            <w:pPr>
              <w:pStyle w:val="13"/>
              <w:spacing w:line="240" w:lineRule="atLeast"/>
              <w:rPr>
                <w:rFonts w:hAnsi="宋体" w:cs="宋体"/>
                <w:color w:val="auto"/>
                <w:sz w:val="24"/>
              </w:rPr>
            </w:pPr>
          </w:p>
        </w:tc>
        <w:tc>
          <w:tcPr>
            <w:tcW w:w="1506" w:type="dxa"/>
            <w:vAlign w:val="center"/>
          </w:tcPr>
          <w:p>
            <w:pPr>
              <w:pStyle w:val="13"/>
              <w:spacing w:line="240" w:lineRule="atLeast"/>
              <w:ind w:left="1080" w:leftChars="257" w:hanging="540"/>
              <w:rPr>
                <w:rFonts w:hAnsi="宋体" w:cs="宋体"/>
                <w:color w:val="auto"/>
                <w:sz w:val="24"/>
              </w:rPr>
            </w:pPr>
          </w:p>
        </w:tc>
        <w:tc>
          <w:tcPr>
            <w:tcW w:w="1506" w:type="dxa"/>
            <w:vAlign w:val="center"/>
          </w:tcPr>
          <w:p>
            <w:pPr>
              <w:pStyle w:val="13"/>
              <w:spacing w:line="240" w:lineRule="atLeast"/>
              <w:ind w:left="1080" w:leftChars="257" w:hanging="540"/>
              <w:rPr>
                <w:rFonts w:hAnsi="宋体" w:cs="宋体"/>
                <w:color w:val="auto"/>
                <w:sz w:val="24"/>
              </w:rPr>
            </w:pPr>
          </w:p>
        </w:tc>
        <w:tc>
          <w:tcPr>
            <w:tcW w:w="696" w:type="dxa"/>
            <w:vAlign w:val="center"/>
          </w:tcPr>
          <w:p>
            <w:pPr>
              <w:pStyle w:val="13"/>
              <w:spacing w:line="240" w:lineRule="atLeast"/>
              <w:ind w:left="1080" w:leftChars="257" w:hanging="540"/>
              <w:rPr>
                <w:rFonts w:hAnsi="宋体" w:cs="宋体"/>
                <w:color w:val="auto"/>
                <w:sz w:val="24"/>
              </w:rPr>
            </w:pPr>
          </w:p>
        </w:tc>
        <w:tc>
          <w:tcPr>
            <w:tcW w:w="936" w:type="dxa"/>
            <w:vAlign w:val="center"/>
          </w:tcPr>
          <w:p>
            <w:pPr>
              <w:pStyle w:val="13"/>
              <w:spacing w:line="240" w:lineRule="atLeast"/>
              <w:ind w:left="1080" w:leftChars="257" w:hanging="540"/>
              <w:rPr>
                <w:rFonts w:hAnsi="宋体" w:cs="宋体"/>
                <w:color w:val="auto"/>
                <w:sz w:val="24"/>
              </w:rPr>
            </w:pPr>
          </w:p>
        </w:tc>
        <w:tc>
          <w:tcPr>
            <w:tcW w:w="1416" w:type="dxa"/>
            <w:vAlign w:val="center"/>
          </w:tcPr>
          <w:p>
            <w:pPr>
              <w:pStyle w:val="13"/>
              <w:spacing w:line="240" w:lineRule="atLeast"/>
              <w:ind w:left="1080" w:leftChars="257" w:hanging="540"/>
              <w:rPr>
                <w:rFonts w:hAnsi="宋体" w:cs="宋体"/>
                <w:color w:val="auto"/>
                <w:sz w:val="24"/>
              </w:rPr>
            </w:pPr>
          </w:p>
        </w:tc>
        <w:tc>
          <w:tcPr>
            <w:tcW w:w="696" w:type="dxa"/>
            <w:vAlign w:val="center"/>
          </w:tcPr>
          <w:p>
            <w:pPr>
              <w:pStyle w:val="13"/>
              <w:spacing w:line="240" w:lineRule="atLeast"/>
              <w:ind w:left="1080" w:leftChars="257" w:hanging="540"/>
              <w:rPr>
                <w:rFonts w:hAnsi="宋体" w:cs="宋体"/>
                <w:color w:val="auto"/>
                <w:sz w:val="24"/>
              </w:rPr>
            </w:pPr>
          </w:p>
        </w:tc>
        <w:tc>
          <w:tcPr>
            <w:tcW w:w="696" w:type="dxa"/>
            <w:vAlign w:val="center"/>
          </w:tcPr>
          <w:p>
            <w:pPr>
              <w:pStyle w:val="13"/>
              <w:spacing w:line="240" w:lineRule="atLeast"/>
              <w:ind w:left="1080" w:leftChars="257" w:hanging="540"/>
              <w:rPr>
                <w:rFonts w:hAnsi="宋体" w:cs="宋体"/>
                <w:color w:val="auto"/>
                <w:sz w:val="24"/>
              </w:rPr>
            </w:pPr>
          </w:p>
        </w:tc>
        <w:tc>
          <w:tcPr>
            <w:tcW w:w="696" w:type="dxa"/>
            <w:vAlign w:val="center"/>
          </w:tcPr>
          <w:p>
            <w:pPr>
              <w:pStyle w:val="13"/>
              <w:spacing w:line="240" w:lineRule="atLeast"/>
              <w:ind w:left="1080" w:leftChars="257" w:hanging="540"/>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vAlign w:val="center"/>
          </w:tcPr>
          <w:p>
            <w:pPr>
              <w:pStyle w:val="13"/>
              <w:spacing w:line="240" w:lineRule="atLeast"/>
              <w:rPr>
                <w:rFonts w:hAnsi="宋体" w:cs="宋体"/>
                <w:color w:val="auto"/>
                <w:sz w:val="24"/>
              </w:rPr>
            </w:pPr>
            <w:r>
              <w:rPr>
                <w:rFonts w:hint="eastAsia" w:hAnsi="宋体" w:cs="宋体"/>
                <w:color w:val="auto"/>
                <w:sz w:val="24"/>
              </w:rPr>
              <w:t>6.</w:t>
            </w:r>
          </w:p>
        </w:tc>
        <w:tc>
          <w:tcPr>
            <w:tcW w:w="1015" w:type="dxa"/>
            <w:vAlign w:val="center"/>
          </w:tcPr>
          <w:p>
            <w:pPr>
              <w:pStyle w:val="13"/>
              <w:spacing w:line="240" w:lineRule="atLeast"/>
              <w:rPr>
                <w:rFonts w:hAnsi="宋体" w:cs="宋体"/>
                <w:color w:val="auto"/>
                <w:sz w:val="24"/>
              </w:rPr>
            </w:pPr>
          </w:p>
        </w:tc>
        <w:tc>
          <w:tcPr>
            <w:tcW w:w="1506" w:type="dxa"/>
            <w:vAlign w:val="center"/>
          </w:tcPr>
          <w:p>
            <w:pPr>
              <w:pStyle w:val="13"/>
              <w:spacing w:line="240" w:lineRule="atLeast"/>
              <w:ind w:left="1080" w:leftChars="257" w:hanging="540"/>
              <w:rPr>
                <w:rFonts w:hAnsi="宋体" w:cs="宋体"/>
                <w:color w:val="auto"/>
                <w:sz w:val="24"/>
              </w:rPr>
            </w:pPr>
          </w:p>
        </w:tc>
        <w:tc>
          <w:tcPr>
            <w:tcW w:w="1506" w:type="dxa"/>
            <w:vAlign w:val="center"/>
          </w:tcPr>
          <w:p>
            <w:pPr>
              <w:pStyle w:val="13"/>
              <w:spacing w:line="240" w:lineRule="atLeast"/>
              <w:ind w:left="1080" w:leftChars="257" w:hanging="540"/>
              <w:rPr>
                <w:rFonts w:hAnsi="宋体" w:cs="宋体"/>
                <w:color w:val="auto"/>
                <w:sz w:val="24"/>
              </w:rPr>
            </w:pPr>
          </w:p>
        </w:tc>
        <w:tc>
          <w:tcPr>
            <w:tcW w:w="696" w:type="dxa"/>
            <w:vAlign w:val="center"/>
          </w:tcPr>
          <w:p>
            <w:pPr>
              <w:pStyle w:val="13"/>
              <w:spacing w:line="240" w:lineRule="atLeast"/>
              <w:ind w:left="1080" w:leftChars="257" w:hanging="540"/>
              <w:rPr>
                <w:rFonts w:hAnsi="宋体" w:cs="宋体"/>
                <w:color w:val="auto"/>
                <w:sz w:val="24"/>
              </w:rPr>
            </w:pPr>
          </w:p>
        </w:tc>
        <w:tc>
          <w:tcPr>
            <w:tcW w:w="936" w:type="dxa"/>
            <w:vAlign w:val="center"/>
          </w:tcPr>
          <w:p>
            <w:pPr>
              <w:pStyle w:val="13"/>
              <w:spacing w:line="240" w:lineRule="atLeast"/>
              <w:ind w:left="1080" w:leftChars="257" w:hanging="540"/>
              <w:rPr>
                <w:rFonts w:hAnsi="宋体" w:cs="宋体"/>
                <w:color w:val="auto"/>
                <w:sz w:val="24"/>
              </w:rPr>
            </w:pPr>
          </w:p>
        </w:tc>
        <w:tc>
          <w:tcPr>
            <w:tcW w:w="1416" w:type="dxa"/>
            <w:vAlign w:val="center"/>
          </w:tcPr>
          <w:p>
            <w:pPr>
              <w:pStyle w:val="13"/>
              <w:spacing w:line="240" w:lineRule="atLeast"/>
              <w:ind w:left="1080" w:leftChars="257" w:hanging="540"/>
              <w:rPr>
                <w:rFonts w:hAnsi="宋体" w:cs="宋体"/>
                <w:color w:val="auto"/>
                <w:sz w:val="24"/>
              </w:rPr>
            </w:pPr>
          </w:p>
        </w:tc>
        <w:tc>
          <w:tcPr>
            <w:tcW w:w="696" w:type="dxa"/>
            <w:vAlign w:val="center"/>
          </w:tcPr>
          <w:p>
            <w:pPr>
              <w:pStyle w:val="13"/>
              <w:spacing w:line="240" w:lineRule="atLeast"/>
              <w:ind w:left="1080" w:leftChars="257" w:hanging="540"/>
              <w:rPr>
                <w:rFonts w:hAnsi="宋体" w:cs="宋体"/>
                <w:color w:val="auto"/>
                <w:sz w:val="24"/>
              </w:rPr>
            </w:pPr>
          </w:p>
        </w:tc>
        <w:tc>
          <w:tcPr>
            <w:tcW w:w="696" w:type="dxa"/>
            <w:vAlign w:val="center"/>
          </w:tcPr>
          <w:p>
            <w:pPr>
              <w:pStyle w:val="13"/>
              <w:spacing w:line="240" w:lineRule="atLeast"/>
              <w:ind w:left="1080" w:leftChars="257" w:hanging="540"/>
              <w:rPr>
                <w:rFonts w:hAnsi="宋体" w:cs="宋体"/>
                <w:color w:val="auto"/>
                <w:sz w:val="24"/>
              </w:rPr>
            </w:pPr>
          </w:p>
        </w:tc>
        <w:tc>
          <w:tcPr>
            <w:tcW w:w="696" w:type="dxa"/>
            <w:vAlign w:val="center"/>
          </w:tcPr>
          <w:p>
            <w:pPr>
              <w:pStyle w:val="13"/>
              <w:spacing w:line="240" w:lineRule="atLeast"/>
              <w:ind w:left="1080" w:leftChars="257" w:hanging="540"/>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718" w:type="dxa"/>
            <w:gridSpan w:val="2"/>
            <w:vAlign w:val="center"/>
          </w:tcPr>
          <w:p>
            <w:pPr>
              <w:pStyle w:val="13"/>
              <w:spacing w:line="240" w:lineRule="atLeast"/>
              <w:ind w:left="1080" w:leftChars="257" w:hanging="540"/>
              <w:rPr>
                <w:rFonts w:hAnsi="宋体" w:cs="宋体"/>
                <w:color w:val="auto"/>
                <w:sz w:val="24"/>
              </w:rPr>
            </w:pPr>
          </w:p>
        </w:tc>
        <w:tc>
          <w:tcPr>
            <w:tcW w:w="6756" w:type="dxa"/>
            <w:gridSpan w:val="6"/>
            <w:vAlign w:val="center"/>
          </w:tcPr>
          <w:p>
            <w:pPr>
              <w:pStyle w:val="13"/>
              <w:spacing w:line="240" w:lineRule="atLeast"/>
              <w:ind w:left="1080" w:leftChars="257" w:hanging="540"/>
              <w:rPr>
                <w:rFonts w:hAnsi="宋体" w:cs="宋体"/>
                <w:color w:val="auto"/>
                <w:sz w:val="24"/>
              </w:rPr>
            </w:pPr>
            <w:r>
              <w:rPr>
                <w:rFonts w:hint="eastAsia" w:hAnsi="宋体" w:cs="宋体"/>
                <w:color w:val="auto"/>
                <w:sz w:val="24"/>
              </w:rPr>
              <w:t>总价：</w:t>
            </w:r>
          </w:p>
        </w:tc>
        <w:tc>
          <w:tcPr>
            <w:tcW w:w="1392" w:type="dxa"/>
            <w:gridSpan w:val="2"/>
            <w:vAlign w:val="center"/>
          </w:tcPr>
          <w:p>
            <w:pPr>
              <w:pStyle w:val="13"/>
              <w:spacing w:line="240" w:lineRule="atLeast"/>
              <w:ind w:left="1080" w:leftChars="257" w:hanging="540"/>
              <w:rPr>
                <w:rFonts w:hAnsi="宋体" w:cs="宋体"/>
                <w:color w:val="auto"/>
                <w:sz w:val="24"/>
              </w:rPr>
            </w:pPr>
          </w:p>
        </w:tc>
      </w:tr>
    </w:tbl>
    <w:p>
      <w:pPr>
        <w:pStyle w:val="13"/>
        <w:spacing w:line="240" w:lineRule="atLeast"/>
        <w:ind w:left="1080" w:leftChars="257" w:hanging="540"/>
        <w:rPr>
          <w:rFonts w:hAnsi="宋体" w:cs="宋体"/>
          <w:color w:val="auto"/>
          <w:sz w:val="24"/>
        </w:rPr>
      </w:pPr>
    </w:p>
    <w:p>
      <w:pPr>
        <w:pStyle w:val="13"/>
        <w:spacing w:line="240" w:lineRule="atLeast"/>
        <w:ind w:left="1080" w:leftChars="257" w:hanging="540"/>
        <w:rPr>
          <w:rFonts w:hAnsi="宋体" w:cs="宋体"/>
          <w:color w:val="auto"/>
          <w:sz w:val="24"/>
        </w:rPr>
      </w:pPr>
      <w:r>
        <w:rPr>
          <w:rFonts w:hint="eastAsia" w:hAnsi="宋体" w:cs="宋体"/>
          <w:color w:val="auto"/>
          <w:sz w:val="24"/>
        </w:rPr>
        <w:t xml:space="preserve">法定代表人或其委托代理人签字:   </w:t>
      </w:r>
      <w:r>
        <w:rPr>
          <w:rFonts w:hint="eastAsia" w:hAnsi="宋体" w:cs="宋体"/>
          <w:color w:val="auto"/>
          <w:sz w:val="24"/>
          <w:u w:val="single"/>
        </w:rPr>
        <w:t xml:space="preserve">          </w:t>
      </w:r>
      <w:r>
        <w:rPr>
          <w:rFonts w:hint="eastAsia" w:hAnsi="宋体" w:cs="宋体"/>
          <w:color w:val="auto"/>
          <w:sz w:val="24"/>
          <w:u w:val="single"/>
        </w:rPr>
        <w:tab/>
      </w:r>
      <w:r>
        <w:rPr>
          <w:rFonts w:hint="eastAsia" w:hAnsi="宋体" w:cs="宋体"/>
          <w:color w:val="auto"/>
          <w:sz w:val="24"/>
          <w:u w:val="single"/>
        </w:rPr>
        <w:t xml:space="preserve">                 </w:t>
      </w:r>
    </w:p>
    <w:p>
      <w:pPr>
        <w:pStyle w:val="13"/>
        <w:tabs>
          <w:tab w:val="left" w:pos="5370"/>
        </w:tabs>
        <w:spacing w:line="240" w:lineRule="atLeast"/>
        <w:ind w:left="1080" w:leftChars="257" w:hanging="540"/>
        <w:rPr>
          <w:rFonts w:hAnsi="宋体" w:cs="宋体"/>
          <w:color w:val="auto"/>
          <w:sz w:val="24"/>
          <w:u w:val="single"/>
        </w:rPr>
      </w:pPr>
      <w:r>
        <w:rPr>
          <w:rFonts w:hint="eastAsia" w:hAnsi="宋体" w:cs="宋体"/>
          <w:color w:val="auto"/>
          <w:sz w:val="24"/>
        </w:rPr>
        <w:t>投标人(盖单位章):</w:t>
      </w:r>
      <w:r>
        <w:rPr>
          <w:rFonts w:hint="eastAsia" w:hAnsi="宋体" w:cs="宋体"/>
          <w:color w:val="auto"/>
          <w:sz w:val="24"/>
          <w:u w:val="single"/>
        </w:rPr>
        <w:tab/>
      </w:r>
    </w:p>
    <w:p>
      <w:pPr>
        <w:pStyle w:val="13"/>
        <w:spacing w:line="240" w:lineRule="atLeast"/>
        <w:ind w:left="1080" w:leftChars="257" w:hanging="540"/>
        <w:rPr>
          <w:rFonts w:hAnsi="宋体" w:cs="宋体"/>
          <w:color w:val="auto"/>
          <w:sz w:val="24"/>
        </w:rPr>
      </w:pPr>
    </w:p>
    <w:p>
      <w:pPr>
        <w:pStyle w:val="13"/>
        <w:spacing w:line="240" w:lineRule="atLeast"/>
        <w:ind w:left="1080" w:leftChars="257" w:hanging="540"/>
        <w:rPr>
          <w:rFonts w:hAnsi="宋体" w:cs="宋体"/>
          <w:color w:val="auto"/>
          <w:sz w:val="24"/>
        </w:rPr>
      </w:pPr>
      <w:r>
        <w:rPr>
          <w:rFonts w:hint="eastAsia" w:hAnsi="宋体" w:cs="宋体"/>
          <w:color w:val="auto"/>
          <w:sz w:val="24"/>
        </w:rPr>
        <w:t>注:1.如果按单价计算的结果与总价不一致,以单价为准修正总价。</w:t>
      </w:r>
    </w:p>
    <w:p>
      <w:pPr>
        <w:pStyle w:val="13"/>
        <w:spacing w:line="240" w:lineRule="atLeast"/>
        <w:ind w:left="1080" w:leftChars="257" w:hanging="540"/>
        <w:rPr>
          <w:rFonts w:hAnsi="宋体" w:cs="宋体"/>
          <w:color w:val="auto"/>
          <w:sz w:val="24"/>
        </w:rPr>
      </w:pPr>
      <w:r>
        <w:rPr>
          <w:rFonts w:hint="eastAsia" w:hAnsi="宋体" w:cs="宋体"/>
          <w:color w:val="auto"/>
          <w:sz w:val="24"/>
        </w:rPr>
        <w:t xml:space="preserve">   2.如果不提供详细分项报价将视为没有实质性响应招标文件。</w:t>
      </w:r>
    </w:p>
    <w:p>
      <w:pPr>
        <w:pStyle w:val="13"/>
        <w:spacing w:line="240" w:lineRule="atLeast"/>
        <w:ind w:left="1080" w:leftChars="257" w:hanging="540"/>
        <w:rPr>
          <w:rFonts w:hAnsi="宋体" w:cs="宋体"/>
          <w:color w:val="auto"/>
          <w:sz w:val="24"/>
        </w:rPr>
      </w:pPr>
      <w:r>
        <w:rPr>
          <w:rFonts w:hint="eastAsia" w:hAnsi="宋体" w:cs="宋体"/>
          <w:color w:val="auto"/>
          <w:sz w:val="24"/>
        </w:rPr>
        <w:t xml:space="preserve">   3.如果开标一览表（报价表）内容与投标文件中明细表内容不一致的，以开标一览表（报价表）内容为准。</w:t>
      </w:r>
    </w:p>
    <w:p>
      <w:pPr>
        <w:pStyle w:val="3"/>
        <w:numPr>
          <w:ilvl w:val="0"/>
          <w:numId w:val="0"/>
        </w:numPr>
        <w:spacing w:line="240" w:lineRule="atLeast"/>
        <w:rPr>
          <w:rFonts w:ascii="宋体" w:hAnsi="宋体" w:cs="宋体"/>
        </w:rPr>
      </w:pPr>
      <w:bookmarkStart w:id="111" w:name="_Toc216582816"/>
      <w:bookmarkStart w:id="112" w:name="_Toc18267"/>
      <w:bookmarkStart w:id="113" w:name="_Toc515647819"/>
      <w:bookmarkStart w:id="114" w:name="_Toc14037"/>
      <w:bookmarkStart w:id="115" w:name="_Toc4012"/>
    </w:p>
    <w:p>
      <w:pPr>
        <w:rPr>
          <w:rFonts w:ascii="宋体" w:hAnsi="宋体" w:cs="宋体"/>
          <w:sz w:val="24"/>
        </w:rPr>
      </w:pPr>
    </w:p>
    <w:p>
      <w:pPr>
        <w:pStyle w:val="10"/>
      </w:pPr>
    </w:p>
    <w:p>
      <w:pPr>
        <w:pStyle w:val="3"/>
        <w:numPr>
          <w:ilvl w:val="0"/>
          <w:numId w:val="0"/>
        </w:numPr>
        <w:spacing w:line="240" w:lineRule="atLeast"/>
        <w:rPr>
          <w:rFonts w:ascii="宋体" w:hAnsi="宋体" w:cs="宋体"/>
        </w:rPr>
      </w:pPr>
    </w:p>
    <w:p>
      <w:pPr>
        <w:rPr>
          <w:rFonts w:ascii="宋体" w:hAnsi="宋体" w:cs="宋体"/>
          <w:sz w:val="24"/>
        </w:rPr>
      </w:pPr>
    </w:p>
    <w:p>
      <w:pPr>
        <w:pStyle w:val="45"/>
        <w:rPr>
          <w:rFonts w:ascii="宋体" w:hAnsi="宋体" w:cs="宋体"/>
          <w:lang w:val="en-US"/>
        </w:rPr>
      </w:pPr>
    </w:p>
    <w:p>
      <w:pPr>
        <w:pStyle w:val="45"/>
        <w:rPr>
          <w:rFonts w:ascii="宋体" w:hAnsi="宋体" w:cs="宋体"/>
          <w:lang w:val="en-US"/>
        </w:rPr>
      </w:pPr>
    </w:p>
    <w:p>
      <w:pPr>
        <w:pStyle w:val="45"/>
        <w:rPr>
          <w:rFonts w:ascii="宋体" w:hAnsi="宋体" w:cs="宋体"/>
          <w:lang w:val="en-US"/>
        </w:rPr>
      </w:pPr>
    </w:p>
    <w:p>
      <w:pPr>
        <w:pStyle w:val="45"/>
        <w:rPr>
          <w:rFonts w:ascii="宋体" w:hAnsi="宋体" w:cs="宋体"/>
          <w:lang w:val="en-US"/>
        </w:rPr>
      </w:pPr>
    </w:p>
    <w:p>
      <w:pPr>
        <w:pStyle w:val="45"/>
        <w:rPr>
          <w:rFonts w:ascii="宋体" w:hAnsi="宋体" w:cs="宋体"/>
          <w:lang w:val="en-US"/>
        </w:rPr>
      </w:pPr>
    </w:p>
    <w:p>
      <w:pPr>
        <w:pStyle w:val="45"/>
        <w:rPr>
          <w:rFonts w:ascii="宋体" w:hAnsi="宋体" w:cs="宋体"/>
          <w:lang w:val="en-US"/>
        </w:rPr>
      </w:pPr>
    </w:p>
    <w:p>
      <w:pPr>
        <w:pStyle w:val="45"/>
        <w:rPr>
          <w:rFonts w:ascii="宋体" w:hAnsi="宋体" w:cs="宋体"/>
          <w:lang w:val="en-US"/>
        </w:rPr>
      </w:pPr>
    </w:p>
    <w:p>
      <w:pPr>
        <w:pStyle w:val="45"/>
        <w:rPr>
          <w:rFonts w:ascii="宋体" w:hAnsi="宋体" w:cs="宋体"/>
          <w:lang w:val="en-US"/>
        </w:rPr>
      </w:pPr>
    </w:p>
    <w:p/>
    <w:p>
      <w:pPr>
        <w:pStyle w:val="3"/>
        <w:numPr>
          <w:ilvl w:val="0"/>
          <w:numId w:val="0"/>
        </w:numPr>
        <w:spacing w:line="240" w:lineRule="atLeast"/>
        <w:rPr>
          <w:rFonts w:ascii="宋体" w:hAnsi="宋体" w:cs="宋体"/>
        </w:rPr>
      </w:pPr>
      <w:r>
        <w:rPr>
          <w:rFonts w:hint="eastAsia" w:ascii="宋体" w:hAnsi="宋体" w:cs="宋体"/>
        </w:rPr>
        <w:t>3、货物（服务）说明一览表</w:t>
      </w:r>
      <w:bookmarkEnd w:id="111"/>
      <w:r>
        <w:rPr>
          <w:rFonts w:hint="eastAsia" w:ascii="宋体" w:hAnsi="宋体" w:cs="宋体"/>
        </w:rPr>
        <w:t>（投标文件格式七）</w:t>
      </w:r>
      <w:bookmarkEnd w:id="112"/>
      <w:bookmarkEnd w:id="113"/>
      <w:bookmarkEnd w:id="114"/>
      <w:bookmarkEnd w:id="115"/>
    </w:p>
    <w:p>
      <w:pPr>
        <w:pStyle w:val="13"/>
        <w:spacing w:line="240" w:lineRule="atLeast"/>
        <w:ind w:left="1080" w:leftChars="257" w:hanging="540"/>
        <w:rPr>
          <w:rFonts w:hAnsi="宋体" w:cs="宋体"/>
          <w:color w:val="auto"/>
          <w:sz w:val="24"/>
        </w:rPr>
      </w:pPr>
    </w:p>
    <w:p>
      <w:pPr>
        <w:pStyle w:val="13"/>
        <w:spacing w:line="240" w:lineRule="atLeast"/>
        <w:ind w:left="1080" w:leftChars="257" w:hanging="540"/>
        <w:rPr>
          <w:rFonts w:hAnsi="宋体" w:cs="宋体"/>
          <w:color w:val="auto"/>
          <w:sz w:val="24"/>
        </w:rPr>
      </w:pPr>
      <w:r>
        <w:rPr>
          <w:rFonts w:hint="eastAsia" w:hAnsi="宋体" w:cs="宋体"/>
          <w:color w:val="auto"/>
          <w:sz w:val="24"/>
        </w:rPr>
        <w:t xml:space="preserve">项目名称:                           </w:t>
      </w:r>
    </w:p>
    <w:p>
      <w:pPr>
        <w:pStyle w:val="13"/>
        <w:spacing w:line="240" w:lineRule="atLeast"/>
        <w:ind w:left="1080" w:leftChars="257" w:hanging="540"/>
        <w:rPr>
          <w:rFonts w:hAnsi="宋体" w:cs="宋体"/>
          <w:color w:val="auto"/>
          <w:sz w:val="24"/>
        </w:rPr>
      </w:pPr>
      <w:r>
        <w:rPr>
          <w:rFonts w:hint="eastAsia" w:hAnsi="宋体" w:cs="宋体"/>
          <w:color w:val="auto"/>
          <w:sz w:val="24"/>
        </w:rPr>
        <w:t xml:space="preserve">招标编号:                       包号:                      </w:t>
      </w:r>
    </w:p>
    <w:p>
      <w:pPr>
        <w:pStyle w:val="13"/>
        <w:spacing w:line="240" w:lineRule="atLeast"/>
        <w:ind w:left="1080" w:leftChars="257" w:hanging="540"/>
        <w:rPr>
          <w:rFonts w:hAnsi="宋体" w:cs="宋体"/>
          <w:color w:val="auto"/>
          <w:sz w:val="24"/>
        </w:rPr>
      </w:pPr>
    </w:p>
    <w:tbl>
      <w:tblPr>
        <w:tblStyle w:val="27"/>
        <w:tblW w:w="887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96" w:type="dxa"/>
          </w:tcPr>
          <w:p>
            <w:pPr>
              <w:jc w:val="center"/>
              <w:rPr>
                <w:rFonts w:ascii="宋体" w:hAnsi="宋体" w:cs="宋体"/>
                <w:sz w:val="24"/>
                <w:szCs w:val="20"/>
                <w:u w:color="000000"/>
              </w:rPr>
            </w:pPr>
            <w:r>
              <w:rPr>
                <w:rFonts w:hint="eastAsia" w:ascii="宋体" w:hAnsi="宋体" w:cs="宋体"/>
                <w:sz w:val="24"/>
                <w:szCs w:val="20"/>
                <w:u w:color="000000"/>
              </w:rPr>
              <w:t>序号</w:t>
            </w:r>
          </w:p>
        </w:tc>
        <w:tc>
          <w:tcPr>
            <w:tcW w:w="1601" w:type="dxa"/>
          </w:tcPr>
          <w:p>
            <w:pPr>
              <w:jc w:val="center"/>
              <w:rPr>
                <w:rFonts w:ascii="宋体" w:hAnsi="宋体" w:cs="宋体"/>
                <w:sz w:val="24"/>
                <w:szCs w:val="20"/>
                <w:u w:color="000000"/>
              </w:rPr>
            </w:pPr>
            <w:r>
              <w:rPr>
                <w:rFonts w:hint="eastAsia" w:ascii="宋体" w:hAnsi="宋体" w:cs="宋体"/>
                <w:sz w:val="24"/>
                <w:szCs w:val="20"/>
                <w:u w:color="000000"/>
              </w:rPr>
              <w:t>货物（服务）名称</w:t>
            </w:r>
          </w:p>
        </w:tc>
        <w:tc>
          <w:tcPr>
            <w:tcW w:w="1225" w:type="dxa"/>
          </w:tcPr>
          <w:p>
            <w:pPr>
              <w:jc w:val="center"/>
              <w:rPr>
                <w:rFonts w:ascii="宋体" w:hAnsi="宋体" w:cs="宋体"/>
                <w:sz w:val="24"/>
                <w:szCs w:val="20"/>
                <w:u w:color="000000"/>
              </w:rPr>
            </w:pPr>
            <w:r>
              <w:rPr>
                <w:rFonts w:hint="eastAsia" w:ascii="宋体" w:hAnsi="宋体" w:cs="宋体"/>
                <w:sz w:val="24"/>
                <w:szCs w:val="20"/>
                <w:u w:color="000000"/>
              </w:rPr>
              <w:t>主要规格</w:t>
            </w:r>
          </w:p>
        </w:tc>
        <w:tc>
          <w:tcPr>
            <w:tcW w:w="1138" w:type="dxa"/>
          </w:tcPr>
          <w:p>
            <w:pPr>
              <w:jc w:val="center"/>
              <w:rPr>
                <w:rFonts w:ascii="宋体" w:hAnsi="宋体" w:cs="宋体"/>
                <w:sz w:val="24"/>
                <w:szCs w:val="20"/>
                <w:u w:color="000000"/>
              </w:rPr>
            </w:pPr>
            <w:r>
              <w:rPr>
                <w:rFonts w:hint="eastAsia" w:ascii="宋体" w:hAnsi="宋体" w:cs="宋体"/>
                <w:sz w:val="24"/>
                <w:szCs w:val="20"/>
                <w:u w:color="000000"/>
              </w:rPr>
              <w:t>数量</w:t>
            </w:r>
          </w:p>
        </w:tc>
        <w:tc>
          <w:tcPr>
            <w:tcW w:w="1275" w:type="dxa"/>
          </w:tcPr>
          <w:p>
            <w:pPr>
              <w:jc w:val="center"/>
              <w:rPr>
                <w:rFonts w:ascii="宋体" w:hAnsi="宋体" w:cs="宋体"/>
                <w:sz w:val="24"/>
                <w:szCs w:val="20"/>
                <w:u w:color="000000"/>
              </w:rPr>
            </w:pPr>
            <w:r>
              <w:rPr>
                <w:rFonts w:hint="eastAsia" w:ascii="宋体" w:hAnsi="宋体" w:cs="宋体"/>
                <w:sz w:val="24"/>
                <w:szCs w:val="20"/>
                <w:u w:color="000000"/>
              </w:rPr>
              <w:t>交货期</w:t>
            </w:r>
          </w:p>
        </w:tc>
        <w:tc>
          <w:tcPr>
            <w:tcW w:w="1250" w:type="dxa"/>
          </w:tcPr>
          <w:p>
            <w:pPr>
              <w:jc w:val="center"/>
              <w:rPr>
                <w:rFonts w:ascii="宋体" w:hAnsi="宋体" w:cs="宋体"/>
                <w:sz w:val="24"/>
                <w:szCs w:val="20"/>
                <w:u w:color="000000"/>
              </w:rPr>
            </w:pPr>
            <w:r>
              <w:rPr>
                <w:rFonts w:hint="eastAsia" w:ascii="宋体" w:hAnsi="宋体" w:cs="宋体"/>
                <w:sz w:val="24"/>
                <w:szCs w:val="20"/>
                <w:u w:color="000000"/>
              </w:rPr>
              <w:t>交货地点</w:t>
            </w:r>
          </w:p>
        </w:tc>
        <w:tc>
          <w:tcPr>
            <w:tcW w:w="1690" w:type="dxa"/>
          </w:tcPr>
          <w:p>
            <w:pPr>
              <w:jc w:val="center"/>
              <w:rPr>
                <w:rFonts w:ascii="宋体" w:hAnsi="宋体" w:cs="宋体"/>
                <w:sz w:val="24"/>
                <w:szCs w:val="20"/>
                <w:u w:color="000000"/>
              </w:rPr>
            </w:pPr>
            <w:r>
              <w:rPr>
                <w:rFonts w:hint="eastAsia" w:ascii="宋体" w:hAnsi="宋体" w:cs="宋体"/>
                <w:sz w:val="24"/>
                <w:szCs w:val="20"/>
                <w:u w:color="000000"/>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6" w:type="dxa"/>
          </w:tcPr>
          <w:p>
            <w:pPr>
              <w:pStyle w:val="13"/>
              <w:spacing w:line="240" w:lineRule="atLeast"/>
              <w:ind w:left="1080" w:leftChars="257" w:hanging="540"/>
              <w:rPr>
                <w:rFonts w:hAnsi="宋体" w:cs="宋体"/>
                <w:color w:val="auto"/>
                <w:sz w:val="24"/>
              </w:rPr>
            </w:pPr>
          </w:p>
        </w:tc>
        <w:tc>
          <w:tcPr>
            <w:tcW w:w="1601" w:type="dxa"/>
          </w:tcPr>
          <w:p>
            <w:pPr>
              <w:pStyle w:val="13"/>
              <w:spacing w:line="240" w:lineRule="atLeast"/>
              <w:ind w:left="1080" w:leftChars="257" w:hanging="540"/>
              <w:rPr>
                <w:rFonts w:hAnsi="宋体" w:cs="宋体"/>
                <w:color w:val="auto"/>
                <w:sz w:val="24"/>
              </w:rPr>
            </w:pPr>
          </w:p>
        </w:tc>
        <w:tc>
          <w:tcPr>
            <w:tcW w:w="1225" w:type="dxa"/>
          </w:tcPr>
          <w:p>
            <w:pPr>
              <w:pStyle w:val="13"/>
              <w:spacing w:line="240" w:lineRule="atLeast"/>
              <w:ind w:left="1080" w:leftChars="257" w:hanging="540"/>
              <w:rPr>
                <w:rFonts w:hAnsi="宋体" w:cs="宋体"/>
                <w:color w:val="auto"/>
                <w:sz w:val="24"/>
              </w:rPr>
            </w:pPr>
          </w:p>
        </w:tc>
        <w:tc>
          <w:tcPr>
            <w:tcW w:w="1138" w:type="dxa"/>
          </w:tcPr>
          <w:p>
            <w:pPr>
              <w:pStyle w:val="13"/>
              <w:spacing w:line="240" w:lineRule="atLeast"/>
              <w:ind w:left="1080" w:leftChars="257" w:hanging="540"/>
              <w:rPr>
                <w:rFonts w:hAnsi="宋体" w:cs="宋体"/>
                <w:color w:val="auto"/>
                <w:sz w:val="24"/>
              </w:rPr>
            </w:pPr>
          </w:p>
        </w:tc>
        <w:tc>
          <w:tcPr>
            <w:tcW w:w="1275" w:type="dxa"/>
          </w:tcPr>
          <w:p>
            <w:pPr>
              <w:pStyle w:val="13"/>
              <w:spacing w:line="240" w:lineRule="atLeast"/>
              <w:ind w:left="1080" w:leftChars="257" w:hanging="540"/>
              <w:rPr>
                <w:rFonts w:hAnsi="宋体" w:cs="宋体"/>
                <w:color w:val="auto"/>
                <w:sz w:val="24"/>
              </w:rPr>
            </w:pPr>
          </w:p>
        </w:tc>
        <w:tc>
          <w:tcPr>
            <w:tcW w:w="1250" w:type="dxa"/>
          </w:tcPr>
          <w:p>
            <w:pPr>
              <w:pStyle w:val="13"/>
              <w:spacing w:line="240" w:lineRule="atLeast"/>
              <w:ind w:left="1080" w:leftChars="257" w:hanging="540"/>
              <w:rPr>
                <w:rFonts w:hAnsi="宋体" w:cs="宋体"/>
                <w:color w:val="auto"/>
                <w:sz w:val="24"/>
              </w:rPr>
            </w:pPr>
          </w:p>
        </w:tc>
        <w:tc>
          <w:tcPr>
            <w:tcW w:w="1690" w:type="dxa"/>
          </w:tcPr>
          <w:p>
            <w:pPr>
              <w:pStyle w:val="13"/>
              <w:spacing w:line="240" w:lineRule="atLeast"/>
              <w:ind w:left="1080" w:leftChars="257" w:hanging="540"/>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6" w:type="dxa"/>
          </w:tcPr>
          <w:p>
            <w:pPr>
              <w:pStyle w:val="13"/>
              <w:spacing w:line="240" w:lineRule="atLeast"/>
              <w:ind w:left="1080" w:leftChars="257" w:hanging="540"/>
              <w:rPr>
                <w:rFonts w:hAnsi="宋体" w:cs="宋体"/>
                <w:color w:val="auto"/>
                <w:sz w:val="24"/>
              </w:rPr>
            </w:pPr>
          </w:p>
        </w:tc>
        <w:tc>
          <w:tcPr>
            <w:tcW w:w="1601" w:type="dxa"/>
          </w:tcPr>
          <w:p>
            <w:pPr>
              <w:pStyle w:val="13"/>
              <w:spacing w:line="240" w:lineRule="atLeast"/>
              <w:ind w:left="1080" w:leftChars="257" w:hanging="540"/>
              <w:rPr>
                <w:rFonts w:hAnsi="宋体" w:cs="宋体"/>
                <w:color w:val="auto"/>
                <w:sz w:val="24"/>
              </w:rPr>
            </w:pPr>
          </w:p>
        </w:tc>
        <w:tc>
          <w:tcPr>
            <w:tcW w:w="1225" w:type="dxa"/>
          </w:tcPr>
          <w:p>
            <w:pPr>
              <w:pStyle w:val="13"/>
              <w:spacing w:line="240" w:lineRule="atLeast"/>
              <w:ind w:left="1080" w:leftChars="257" w:hanging="540"/>
              <w:rPr>
                <w:rFonts w:hAnsi="宋体" w:cs="宋体"/>
                <w:color w:val="auto"/>
                <w:sz w:val="24"/>
              </w:rPr>
            </w:pPr>
          </w:p>
        </w:tc>
        <w:tc>
          <w:tcPr>
            <w:tcW w:w="1138" w:type="dxa"/>
          </w:tcPr>
          <w:p>
            <w:pPr>
              <w:pStyle w:val="13"/>
              <w:spacing w:line="240" w:lineRule="atLeast"/>
              <w:ind w:left="1080" w:leftChars="257" w:hanging="540"/>
              <w:rPr>
                <w:rFonts w:hAnsi="宋体" w:cs="宋体"/>
                <w:color w:val="auto"/>
                <w:sz w:val="24"/>
              </w:rPr>
            </w:pPr>
          </w:p>
        </w:tc>
        <w:tc>
          <w:tcPr>
            <w:tcW w:w="1275" w:type="dxa"/>
          </w:tcPr>
          <w:p>
            <w:pPr>
              <w:pStyle w:val="13"/>
              <w:spacing w:line="240" w:lineRule="atLeast"/>
              <w:ind w:left="1080" w:leftChars="257" w:hanging="540"/>
              <w:rPr>
                <w:rFonts w:hAnsi="宋体" w:cs="宋体"/>
                <w:color w:val="auto"/>
                <w:sz w:val="24"/>
              </w:rPr>
            </w:pPr>
          </w:p>
        </w:tc>
        <w:tc>
          <w:tcPr>
            <w:tcW w:w="1250" w:type="dxa"/>
          </w:tcPr>
          <w:p>
            <w:pPr>
              <w:pStyle w:val="13"/>
              <w:spacing w:line="240" w:lineRule="atLeast"/>
              <w:ind w:left="1080" w:leftChars="257" w:hanging="540"/>
              <w:rPr>
                <w:rFonts w:hAnsi="宋体" w:cs="宋体"/>
                <w:color w:val="auto"/>
                <w:sz w:val="24"/>
              </w:rPr>
            </w:pPr>
          </w:p>
        </w:tc>
        <w:tc>
          <w:tcPr>
            <w:tcW w:w="1690" w:type="dxa"/>
          </w:tcPr>
          <w:p>
            <w:pPr>
              <w:pStyle w:val="13"/>
              <w:spacing w:line="240" w:lineRule="atLeast"/>
              <w:ind w:left="1080" w:leftChars="257" w:hanging="540"/>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6" w:type="dxa"/>
          </w:tcPr>
          <w:p>
            <w:pPr>
              <w:pStyle w:val="13"/>
              <w:spacing w:line="240" w:lineRule="atLeast"/>
              <w:ind w:left="1080" w:leftChars="257" w:hanging="540"/>
              <w:rPr>
                <w:rFonts w:hAnsi="宋体" w:cs="宋体"/>
                <w:color w:val="auto"/>
                <w:sz w:val="24"/>
              </w:rPr>
            </w:pPr>
          </w:p>
        </w:tc>
        <w:tc>
          <w:tcPr>
            <w:tcW w:w="1601" w:type="dxa"/>
          </w:tcPr>
          <w:p>
            <w:pPr>
              <w:pStyle w:val="13"/>
              <w:spacing w:line="240" w:lineRule="atLeast"/>
              <w:ind w:left="1080" w:leftChars="257" w:hanging="540"/>
              <w:rPr>
                <w:rFonts w:hAnsi="宋体" w:cs="宋体"/>
                <w:color w:val="auto"/>
                <w:sz w:val="24"/>
              </w:rPr>
            </w:pPr>
          </w:p>
        </w:tc>
        <w:tc>
          <w:tcPr>
            <w:tcW w:w="1225" w:type="dxa"/>
          </w:tcPr>
          <w:p>
            <w:pPr>
              <w:pStyle w:val="13"/>
              <w:spacing w:line="240" w:lineRule="atLeast"/>
              <w:ind w:left="1080" w:leftChars="257" w:hanging="540"/>
              <w:rPr>
                <w:rFonts w:hAnsi="宋体" w:cs="宋体"/>
                <w:color w:val="auto"/>
                <w:sz w:val="24"/>
              </w:rPr>
            </w:pPr>
          </w:p>
        </w:tc>
        <w:tc>
          <w:tcPr>
            <w:tcW w:w="1138" w:type="dxa"/>
          </w:tcPr>
          <w:p>
            <w:pPr>
              <w:pStyle w:val="13"/>
              <w:spacing w:line="240" w:lineRule="atLeast"/>
              <w:ind w:left="1080" w:leftChars="257" w:hanging="540"/>
              <w:rPr>
                <w:rFonts w:hAnsi="宋体" w:cs="宋体"/>
                <w:color w:val="auto"/>
                <w:sz w:val="24"/>
              </w:rPr>
            </w:pPr>
          </w:p>
        </w:tc>
        <w:tc>
          <w:tcPr>
            <w:tcW w:w="1275" w:type="dxa"/>
          </w:tcPr>
          <w:p>
            <w:pPr>
              <w:pStyle w:val="13"/>
              <w:spacing w:line="240" w:lineRule="atLeast"/>
              <w:ind w:left="1080" w:leftChars="257" w:hanging="540"/>
              <w:rPr>
                <w:rFonts w:hAnsi="宋体" w:cs="宋体"/>
                <w:color w:val="auto"/>
                <w:sz w:val="24"/>
              </w:rPr>
            </w:pPr>
          </w:p>
        </w:tc>
        <w:tc>
          <w:tcPr>
            <w:tcW w:w="1250" w:type="dxa"/>
          </w:tcPr>
          <w:p>
            <w:pPr>
              <w:pStyle w:val="13"/>
              <w:spacing w:line="240" w:lineRule="atLeast"/>
              <w:ind w:left="1080" w:leftChars="257" w:hanging="540"/>
              <w:rPr>
                <w:rFonts w:hAnsi="宋体" w:cs="宋体"/>
                <w:color w:val="auto"/>
                <w:sz w:val="24"/>
              </w:rPr>
            </w:pPr>
          </w:p>
        </w:tc>
        <w:tc>
          <w:tcPr>
            <w:tcW w:w="1690" w:type="dxa"/>
          </w:tcPr>
          <w:p>
            <w:pPr>
              <w:pStyle w:val="13"/>
              <w:spacing w:line="240" w:lineRule="atLeast"/>
              <w:ind w:left="1080" w:leftChars="257" w:hanging="540"/>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6" w:type="dxa"/>
          </w:tcPr>
          <w:p>
            <w:pPr>
              <w:pStyle w:val="13"/>
              <w:spacing w:line="240" w:lineRule="atLeast"/>
              <w:ind w:left="1080" w:leftChars="257" w:hanging="540"/>
              <w:rPr>
                <w:rFonts w:hAnsi="宋体" w:cs="宋体"/>
                <w:color w:val="auto"/>
                <w:sz w:val="24"/>
              </w:rPr>
            </w:pPr>
          </w:p>
        </w:tc>
        <w:tc>
          <w:tcPr>
            <w:tcW w:w="1601" w:type="dxa"/>
          </w:tcPr>
          <w:p>
            <w:pPr>
              <w:pStyle w:val="13"/>
              <w:spacing w:line="240" w:lineRule="atLeast"/>
              <w:ind w:left="1080" w:leftChars="257" w:hanging="540"/>
              <w:rPr>
                <w:rFonts w:hAnsi="宋体" w:cs="宋体"/>
                <w:color w:val="auto"/>
                <w:sz w:val="24"/>
              </w:rPr>
            </w:pPr>
          </w:p>
        </w:tc>
        <w:tc>
          <w:tcPr>
            <w:tcW w:w="1225" w:type="dxa"/>
          </w:tcPr>
          <w:p>
            <w:pPr>
              <w:pStyle w:val="13"/>
              <w:spacing w:line="240" w:lineRule="atLeast"/>
              <w:ind w:left="1080" w:leftChars="257" w:hanging="540"/>
              <w:rPr>
                <w:rFonts w:hAnsi="宋体" w:cs="宋体"/>
                <w:color w:val="auto"/>
                <w:sz w:val="24"/>
              </w:rPr>
            </w:pPr>
          </w:p>
        </w:tc>
        <w:tc>
          <w:tcPr>
            <w:tcW w:w="1138" w:type="dxa"/>
          </w:tcPr>
          <w:p>
            <w:pPr>
              <w:pStyle w:val="13"/>
              <w:spacing w:line="240" w:lineRule="atLeast"/>
              <w:ind w:left="1080" w:leftChars="257" w:hanging="540"/>
              <w:rPr>
                <w:rFonts w:hAnsi="宋体" w:cs="宋体"/>
                <w:color w:val="auto"/>
                <w:sz w:val="24"/>
              </w:rPr>
            </w:pPr>
          </w:p>
        </w:tc>
        <w:tc>
          <w:tcPr>
            <w:tcW w:w="1275" w:type="dxa"/>
          </w:tcPr>
          <w:p>
            <w:pPr>
              <w:pStyle w:val="13"/>
              <w:spacing w:line="240" w:lineRule="atLeast"/>
              <w:ind w:left="1080" w:leftChars="257" w:hanging="540"/>
              <w:rPr>
                <w:rFonts w:hAnsi="宋体" w:cs="宋体"/>
                <w:color w:val="auto"/>
                <w:sz w:val="24"/>
              </w:rPr>
            </w:pPr>
          </w:p>
        </w:tc>
        <w:tc>
          <w:tcPr>
            <w:tcW w:w="1250" w:type="dxa"/>
          </w:tcPr>
          <w:p>
            <w:pPr>
              <w:pStyle w:val="13"/>
              <w:spacing w:line="240" w:lineRule="atLeast"/>
              <w:ind w:left="1080" w:leftChars="257" w:hanging="540"/>
              <w:rPr>
                <w:rFonts w:hAnsi="宋体" w:cs="宋体"/>
                <w:color w:val="auto"/>
                <w:sz w:val="24"/>
              </w:rPr>
            </w:pPr>
          </w:p>
        </w:tc>
        <w:tc>
          <w:tcPr>
            <w:tcW w:w="1690" w:type="dxa"/>
          </w:tcPr>
          <w:p>
            <w:pPr>
              <w:pStyle w:val="13"/>
              <w:spacing w:line="240" w:lineRule="atLeast"/>
              <w:ind w:left="1080" w:leftChars="257" w:hanging="540"/>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6" w:type="dxa"/>
          </w:tcPr>
          <w:p>
            <w:pPr>
              <w:pStyle w:val="13"/>
              <w:spacing w:line="240" w:lineRule="atLeast"/>
              <w:ind w:left="1080" w:leftChars="257" w:hanging="540"/>
              <w:rPr>
                <w:rFonts w:hAnsi="宋体" w:cs="宋体"/>
                <w:color w:val="auto"/>
                <w:sz w:val="24"/>
              </w:rPr>
            </w:pPr>
          </w:p>
        </w:tc>
        <w:tc>
          <w:tcPr>
            <w:tcW w:w="1601" w:type="dxa"/>
          </w:tcPr>
          <w:p>
            <w:pPr>
              <w:pStyle w:val="13"/>
              <w:spacing w:line="240" w:lineRule="atLeast"/>
              <w:ind w:left="1080" w:leftChars="257" w:hanging="540"/>
              <w:rPr>
                <w:rFonts w:hAnsi="宋体" w:cs="宋体"/>
                <w:color w:val="auto"/>
                <w:sz w:val="24"/>
              </w:rPr>
            </w:pPr>
          </w:p>
        </w:tc>
        <w:tc>
          <w:tcPr>
            <w:tcW w:w="1225" w:type="dxa"/>
          </w:tcPr>
          <w:p>
            <w:pPr>
              <w:pStyle w:val="13"/>
              <w:spacing w:line="240" w:lineRule="atLeast"/>
              <w:ind w:left="1080" w:leftChars="257" w:hanging="540"/>
              <w:rPr>
                <w:rFonts w:hAnsi="宋体" w:cs="宋体"/>
                <w:color w:val="auto"/>
                <w:sz w:val="24"/>
              </w:rPr>
            </w:pPr>
          </w:p>
        </w:tc>
        <w:tc>
          <w:tcPr>
            <w:tcW w:w="1138" w:type="dxa"/>
          </w:tcPr>
          <w:p>
            <w:pPr>
              <w:pStyle w:val="13"/>
              <w:spacing w:line="240" w:lineRule="atLeast"/>
              <w:ind w:left="1080" w:leftChars="257" w:hanging="540"/>
              <w:rPr>
                <w:rFonts w:hAnsi="宋体" w:cs="宋体"/>
                <w:color w:val="auto"/>
                <w:sz w:val="24"/>
              </w:rPr>
            </w:pPr>
          </w:p>
        </w:tc>
        <w:tc>
          <w:tcPr>
            <w:tcW w:w="1275" w:type="dxa"/>
          </w:tcPr>
          <w:p>
            <w:pPr>
              <w:pStyle w:val="13"/>
              <w:spacing w:line="240" w:lineRule="atLeast"/>
              <w:ind w:left="1080" w:leftChars="257" w:hanging="540"/>
              <w:rPr>
                <w:rFonts w:hAnsi="宋体" w:cs="宋体"/>
                <w:color w:val="auto"/>
                <w:sz w:val="24"/>
              </w:rPr>
            </w:pPr>
          </w:p>
        </w:tc>
        <w:tc>
          <w:tcPr>
            <w:tcW w:w="1250" w:type="dxa"/>
          </w:tcPr>
          <w:p>
            <w:pPr>
              <w:pStyle w:val="13"/>
              <w:spacing w:line="240" w:lineRule="atLeast"/>
              <w:ind w:left="1080" w:leftChars="257" w:hanging="540"/>
              <w:rPr>
                <w:rFonts w:hAnsi="宋体" w:cs="宋体"/>
                <w:color w:val="auto"/>
                <w:sz w:val="24"/>
              </w:rPr>
            </w:pPr>
          </w:p>
        </w:tc>
        <w:tc>
          <w:tcPr>
            <w:tcW w:w="1690" w:type="dxa"/>
          </w:tcPr>
          <w:p>
            <w:pPr>
              <w:pStyle w:val="13"/>
              <w:spacing w:line="240" w:lineRule="atLeast"/>
              <w:ind w:left="1080" w:leftChars="257" w:hanging="540"/>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96" w:type="dxa"/>
          </w:tcPr>
          <w:p>
            <w:pPr>
              <w:pStyle w:val="13"/>
              <w:spacing w:line="240" w:lineRule="atLeast"/>
              <w:ind w:left="1080" w:leftChars="257" w:hanging="540"/>
              <w:rPr>
                <w:rFonts w:hAnsi="宋体" w:cs="宋体"/>
                <w:color w:val="auto"/>
                <w:sz w:val="24"/>
              </w:rPr>
            </w:pPr>
          </w:p>
        </w:tc>
        <w:tc>
          <w:tcPr>
            <w:tcW w:w="1601" w:type="dxa"/>
          </w:tcPr>
          <w:p>
            <w:pPr>
              <w:pStyle w:val="13"/>
              <w:spacing w:line="240" w:lineRule="atLeast"/>
              <w:ind w:left="1080" w:leftChars="257" w:hanging="540"/>
              <w:rPr>
                <w:rFonts w:hAnsi="宋体" w:cs="宋体"/>
                <w:color w:val="auto"/>
                <w:sz w:val="24"/>
              </w:rPr>
            </w:pPr>
          </w:p>
        </w:tc>
        <w:tc>
          <w:tcPr>
            <w:tcW w:w="1225" w:type="dxa"/>
          </w:tcPr>
          <w:p>
            <w:pPr>
              <w:pStyle w:val="13"/>
              <w:spacing w:line="240" w:lineRule="atLeast"/>
              <w:ind w:left="1080" w:leftChars="257" w:hanging="540"/>
              <w:rPr>
                <w:rFonts w:hAnsi="宋体" w:cs="宋体"/>
                <w:color w:val="auto"/>
                <w:sz w:val="24"/>
              </w:rPr>
            </w:pPr>
          </w:p>
        </w:tc>
        <w:tc>
          <w:tcPr>
            <w:tcW w:w="1138" w:type="dxa"/>
          </w:tcPr>
          <w:p>
            <w:pPr>
              <w:pStyle w:val="13"/>
              <w:spacing w:line="240" w:lineRule="atLeast"/>
              <w:ind w:left="1080" w:leftChars="257" w:hanging="540"/>
              <w:rPr>
                <w:rFonts w:hAnsi="宋体" w:cs="宋体"/>
                <w:color w:val="auto"/>
                <w:sz w:val="24"/>
              </w:rPr>
            </w:pPr>
          </w:p>
        </w:tc>
        <w:tc>
          <w:tcPr>
            <w:tcW w:w="1275" w:type="dxa"/>
          </w:tcPr>
          <w:p>
            <w:pPr>
              <w:pStyle w:val="13"/>
              <w:spacing w:line="240" w:lineRule="atLeast"/>
              <w:ind w:left="1080" w:leftChars="257" w:hanging="540"/>
              <w:rPr>
                <w:rFonts w:hAnsi="宋体" w:cs="宋体"/>
                <w:color w:val="auto"/>
                <w:sz w:val="24"/>
              </w:rPr>
            </w:pPr>
          </w:p>
        </w:tc>
        <w:tc>
          <w:tcPr>
            <w:tcW w:w="1250" w:type="dxa"/>
          </w:tcPr>
          <w:p>
            <w:pPr>
              <w:pStyle w:val="13"/>
              <w:spacing w:line="240" w:lineRule="atLeast"/>
              <w:ind w:left="1080" w:leftChars="257" w:hanging="540"/>
              <w:rPr>
                <w:rFonts w:hAnsi="宋体" w:cs="宋体"/>
                <w:color w:val="auto"/>
                <w:sz w:val="24"/>
              </w:rPr>
            </w:pPr>
          </w:p>
        </w:tc>
        <w:tc>
          <w:tcPr>
            <w:tcW w:w="1690" w:type="dxa"/>
          </w:tcPr>
          <w:p>
            <w:pPr>
              <w:pStyle w:val="13"/>
              <w:spacing w:line="240" w:lineRule="atLeast"/>
              <w:ind w:left="1080" w:leftChars="257" w:hanging="540"/>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96" w:type="dxa"/>
          </w:tcPr>
          <w:p>
            <w:pPr>
              <w:pStyle w:val="13"/>
              <w:spacing w:line="240" w:lineRule="atLeast"/>
              <w:ind w:left="1080" w:leftChars="257" w:hanging="540"/>
              <w:rPr>
                <w:rFonts w:hAnsi="宋体" w:cs="宋体"/>
                <w:color w:val="auto"/>
                <w:sz w:val="24"/>
              </w:rPr>
            </w:pPr>
          </w:p>
        </w:tc>
        <w:tc>
          <w:tcPr>
            <w:tcW w:w="1601" w:type="dxa"/>
          </w:tcPr>
          <w:p>
            <w:pPr>
              <w:pStyle w:val="13"/>
              <w:spacing w:line="240" w:lineRule="atLeast"/>
              <w:ind w:left="1080" w:leftChars="257" w:hanging="540"/>
              <w:rPr>
                <w:rFonts w:hAnsi="宋体" w:cs="宋体"/>
                <w:color w:val="auto"/>
                <w:sz w:val="24"/>
              </w:rPr>
            </w:pPr>
          </w:p>
        </w:tc>
        <w:tc>
          <w:tcPr>
            <w:tcW w:w="1225" w:type="dxa"/>
          </w:tcPr>
          <w:p>
            <w:pPr>
              <w:pStyle w:val="13"/>
              <w:spacing w:line="240" w:lineRule="atLeast"/>
              <w:ind w:left="1080" w:leftChars="257" w:hanging="540"/>
              <w:rPr>
                <w:rFonts w:hAnsi="宋体" w:cs="宋体"/>
                <w:color w:val="auto"/>
                <w:sz w:val="24"/>
              </w:rPr>
            </w:pPr>
          </w:p>
        </w:tc>
        <w:tc>
          <w:tcPr>
            <w:tcW w:w="1138" w:type="dxa"/>
          </w:tcPr>
          <w:p>
            <w:pPr>
              <w:pStyle w:val="13"/>
              <w:spacing w:line="240" w:lineRule="atLeast"/>
              <w:ind w:left="1080" w:leftChars="257" w:hanging="540"/>
              <w:rPr>
                <w:rFonts w:hAnsi="宋体" w:cs="宋体"/>
                <w:color w:val="auto"/>
                <w:sz w:val="24"/>
              </w:rPr>
            </w:pPr>
          </w:p>
        </w:tc>
        <w:tc>
          <w:tcPr>
            <w:tcW w:w="1275" w:type="dxa"/>
          </w:tcPr>
          <w:p>
            <w:pPr>
              <w:pStyle w:val="13"/>
              <w:spacing w:line="240" w:lineRule="atLeast"/>
              <w:ind w:left="1080" w:leftChars="257" w:hanging="540"/>
              <w:rPr>
                <w:rFonts w:hAnsi="宋体" w:cs="宋体"/>
                <w:color w:val="auto"/>
                <w:sz w:val="24"/>
              </w:rPr>
            </w:pPr>
          </w:p>
        </w:tc>
        <w:tc>
          <w:tcPr>
            <w:tcW w:w="1250" w:type="dxa"/>
          </w:tcPr>
          <w:p>
            <w:pPr>
              <w:pStyle w:val="13"/>
              <w:spacing w:line="240" w:lineRule="atLeast"/>
              <w:ind w:left="1080" w:leftChars="257" w:hanging="540"/>
              <w:rPr>
                <w:rFonts w:hAnsi="宋体" w:cs="宋体"/>
                <w:color w:val="auto"/>
                <w:sz w:val="24"/>
              </w:rPr>
            </w:pPr>
          </w:p>
        </w:tc>
        <w:tc>
          <w:tcPr>
            <w:tcW w:w="1690" w:type="dxa"/>
          </w:tcPr>
          <w:p>
            <w:pPr>
              <w:pStyle w:val="13"/>
              <w:spacing w:line="240" w:lineRule="atLeast"/>
              <w:ind w:left="1080" w:leftChars="257" w:hanging="540"/>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96" w:type="dxa"/>
          </w:tcPr>
          <w:p>
            <w:pPr>
              <w:pStyle w:val="13"/>
              <w:spacing w:line="240" w:lineRule="atLeast"/>
              <w:ind w:left="1080" w:leftChars="257" w:hanging="540"/>
              <w:rPr>
                <w:rFonts w:hAnsi="宋体" w:cs="宋体"/>
                <w:color w:val="auto"/>
                <w:sz w:val="24"/>
              </w:rPr>
            </w:pPr>
          </w:p>
        </w:tc>
        <w:tc>
          <w:tcPr>
            <w:tcW w:w="1601" w:type="dxa"/>
          </w:tcPr>
          <w:p>
            <w:pPr>
              <w:pStyle w:val="13"/>
              <w:spacing w:line="240" w:lineRule="atLeast"/>
              <w:ind w:left="1080" w:leftChars="257" w:hanging="540"/>
              <w:rPr>
                <w:rFonts w:hAnsi="宋体" w:cs="宋体"/>
                <w:color w:val="auto"/>
                <w:sz w:val="24"/>
              </w:rPr>
            </w:pPr>
          </w:p>
        </w:tc>
        <w:tc>
          <w:tcPr>
            <w:tcW w:w="1225" w:type="dxa"/>
          </w:tcPr>
          <w:p>
            <w:pPr>
              <w:pStyle w:val="13"/>
              <w:spacing w:line="240" w:lineRule="atLeast"/>
              <w:ind w:left="1080" w:leftChars="257" w:hanging="540"/>
              <w:rPr>
                <w:rFonts w:hAnsi="宋体" w:cs="宋体"/>
                <w:color w:val="auto"/>
                <w:sz w:val="24"/>
              </w:rPr>
            </w:pPr>
          </w:p>
        </w:tc>
        <w:tc>
          <w:tcPr>
            <w:tcW w:w="1138" w:type="dxa"/>
          </w:tcPr>
          <w:p>
            <w:pPr>
              <w:pStyle w:val="13"/>
              <w:spacing w:line="240" w:lineRule="atLeast"/>
              <w:ind w:left="1080" w:leftChars="257" w:hanging="540"/>
              <w:rPr>
                <w:rFonts w:hAnsi="宋体" w:cs="宋体"/>
                <w:color w:val="auto"/>
                <w:sz w:val="24"/>
              </w:rPr>
            </w:pPr>
          </w:p>
        </w:tc>
        <w:tc>
          <w:tcPr>
            <w:tcW w:w="1275" w:type="dxa"/>
          </w:tcPr>
          <w:p>
            <w:pPr>
              <w:pStyle w:val="13"/>
              <w:spacing w:line="240" w:lineRule="atLeast"/>
              <w:ind w:left="1080" w:leftChars="257" w:hanging="540"/>
              <w:rPr>
                <w:rFonts w:hAnsi="宋体" w:cs="宋体"/>
                <w:color w:val="auto"/>
                <w:sz w:val="24"/>
              </w:rPr>
            </w:pPr>
          </w:p>
        </w:tc>
        <w:tc>
          <w:tcPr>
            <w:tcW w:w="1250" w:type="dxa"/>
          </w:tcPr>
          <w:p>
            <w:pPr>
              <w:pStyle w:val="13"/>
              <w:spacing w:line="240" w:lineRule="atLeast"/>
              <w:ind w:left="1080" w:leftChars="257" w:hanging="540"/>
              <w:rPr>
                <w:rFonts w:hAnsi="宋体" w:cs="宋体"/>
                <w:color w:val="auto"/>
                <w:sz w:val="24"/>
              </w:rPr>
            </w:pPr>
          </w:p>
        </w:tc>
        <w:tc>
          <w:tcPr>
            <w:tcW w:w="1690" w:type="dxa"/>
          </w:tcPr>
          <w:p>
            <w:pPr>
              <w:pStyle w:val="13"/>
              <w:spacing w:line="240" w:lineRule="atLeast"/>
              <w:ind w:left="1080" w:leftChars="257" w:hanging="540"/>
              <w:rPr>
                <w:rFonts w:hAnsi="宋体" w:cs="宋体"/>
                <w:color w:val="auto"/>
                <w:sz w:val="24"/>
              </w:rPr>
            </w:pPr>
          </w:p>
        </w:tc>
      </w:tr>
    </w:tbl>
    <w:p>
      <w:pPr>
        <w:pStyle w:val="13"/>
        <w:spacing w:line="240" w:lineRule="atLeast"/>
        <w:ind w:left="1080" w:leftChars="257" w:hanging="540"/>
        <w:rPr>
          <w:rFonts w:hAnsi="宋体" w:cs="宋体"/>
          <w:color w:val="auto"/>
          <w:sz w:val="24"/>
        </w:rPr>
      </w:pPr>
    </w:p>
    <w:p>
      <w:pPr>
        <w:pStyle w:val="13"/>
        <w:spacing w:line="240" w:lineRule="atLeast"/>
        <w:ind w:left="1080" w:leftChars="257" w:hanging="540"/>
        <w:rPr>
          <w:rFonts w:hAnsi="宋体" w:cs="宋体"/>
          <w:color w:val="auto"/>
          <w:sz w:val="24"/>
        </w:rPr>
      </w:pPr>
      <w:r>
        <w:rPr>
          <w:rFonts w:hint="eastAsia" w:hAnsi="宋体" w:cs="宋体"/>
          <w:color w:val="auto"/>
          <w:sz w:val="24"/>
        </w:rPr>
        <w:t>法定代表人或其委托代理人签字:</w:t>
      </w:r>
      <w:r>
        <w:rPr>
          <w:rFonts w:hint="eastAsia" w:hAnsi="宋体" w:cs="宋体"/>
          <w:color w:val="auto"/>
          <w:sz w:val="24"/>
          <w:u w:val="single"/>
        </w:rPr>
        <w:t xml:space="preserve">             </w:t>
      </w:r>
      <w:r>
        <w:rPr>
          <w:rFonts w:hint="eastAsia" w:hAnsi="宋体" w:cs="宋体"/>
          <w:color w:val="auto"/>
          <w:sz w:val="24"/>
          <w:u w:val="single"/>
        </w:rPr>
        <w:tab/>
      </w:r>
      <w:r>
        <w:rPr>
          <w:rFonts w:hint="eastAsia" w:hAnsi="宋体" w:cs="宋体"/>
          <w:color w:val="auto"/>
          <w:sz w:val="24"/>
          <w:u w:val="single"/>
        </w:rPr>
        <w:t xml:space="preserve">                 </w:t>
      </w:r>
    </w:p>
    <w:p>
      <w:pPr>
        <w:pStyle w:val="13"/>
        <w:tabs>
          <w:tab w:val="left" w:pos="5370"/>
        </w:tabs>
        <w:spacing w:line="240" w:lineRule="atLeast"/>
        <w:ind w:left="1080" w:leftChars="257" w:hanging="540"/>
        <w:rPr>
          <w:rFonts w:hAnsi="宋体" w:cs="宋体"/>
          <w:color w:val="auto"/>
          <w:sz w:val="24"/>
          <w:u w:val="single"/>
        </w:rPr>
      </w:pPr>
      <w:r>
        <w:rPr>
          <w:rFonts w:hint="eastAsia" w:hAnsi="宋体" w:cs="宋体"/>
          <w:color w:val="auto"/>
          <w:sz w:val="24"/>
        </w:rPr>
        <w:t>投标人(盖单位章):</w:t>
      </w:r>
      <w:r>
        <w:rPr>
          <w:rFonts w:hint="eastAsia" w:hAnsi="宋体" w:cs="宋体"/>
          <w:color w:val="auto"/>
          <w:sz w:val="24"/>
          <w:u w:val="single"/>
        </w:rPr>
        <w:tab/>
      </w:r>
    </w:p>
    <w:p>
      <w:pPr>
        <w:pStyle w:val="13"/>
        <w:spacing w:line="240" w:lineRule="atLeast"/>
        <w:ind w:left="1080" w:leftChars="257" w:hanging="540"/>
        <w:rPr>
          <w:rFonts w:hAnsi="宋体" w:cs="宋体"/>
          <w:color w:val="auto"/>
          <w:sz w:val="24"/>
        </w:rPr>
      </w:pPr>
    </w:p>
    <w:p>
      <w:pPr>
        <w:pStyle w:val="4"/>
        <w:rPr>
          <w:rFonts w:ascii="宋体" w:hAnsi="宋体" w:cs="宋体"/>
          <w:b w:val="0"/>
          <w:bCs w:val="0"/>
          <w:color w:val="auto"/>
          <w:sz w:val="28"/>
          <w:szCs w:val="28"/>
        </w:rPr>
      </w:pPr>
      <w:r>
        <w:rPr>
          <w:rFonts w:hint="eastAsia" w:ascii="宋体" w:hAnsi="宋体" w:cs="宋体"/>
          <w:b w:val="0"/>
          <w:bCs w:val="0"/>
          <w:color w:val="auto"/>
          <w:sz w:val="24"/>
        </w:rPr>
        <w:t>注: 各项货物详细技术性能应另页描述。</w:t>
      </w:r>
    </w:p>
    <w:p>
      <w:pPr>
        <w:rPr>
          <w:rFonts w:ascii="宋体" w:hAnsi="宋体" w:cs="宋体"/>
          <w:sz w:val="28"/>
          <w:szCs w:val="28"/>
        </w:rPr>
      </w:pPr>
    </w:p>
    <w:p>
      <w:pPr>
        <w:pStyle w:val="4"/>
        <w:rPr>
          <w:rFonts w:ascii="宋体" w:hAnsi="宋体" w:cs="宋体"/>
          <w:b w:val="0"/>
          <w:bCs w:val="0"/>
          <w:color w:val="auto"/>
          <w:sz w:val="28"/>
          <w:szCs w:val="28"/>
        </w:rPr>
      </w:pPr>
    </w:p>
    <w:p>
      <w:pPr>
        <w:rPr>
          <w:rFonts w:ascii="宋体" w:hAnsi="宋体" w:cs="宋体"/>
          <w:sz w:val="28"/>
          <w:szCs w:val="28"/>
        </w:rPr>
      </w:pPr>
    </w:p>
    <w:p>
      <w:pPr>
        <w:pStyle w:val="4"/>
        <w:rPr>
          <w:rFonts w:ascii="宋体" w:hAnsi="宋体" w:cs="宋体"/>
          <w:b w:val="0"/>
          <w:bCs w:val="0"/>
          <w:color w:val="auto"/>
          <w:sz w:val="28"/>
          <w:szCs w:val="28"/>
        </w:rPr>
      </w:pPr>
    </w:p>
    <w:p/>
    <w:p>
      <w:pPr>
        <w:pStyle w:val="45"/>
        <w:rPr>
          <w:lang w:val="en-US"/>
        </w:rPr>
      </w:pPr>
    </w:p>
    <w:p>
      <w:pPr>
        <w:pStyle w:val="45"/>
        <w:rPr>
          <w:lang w:val="en-US"/>
        </w:rPr>
      </w:pPr>
    </w:p>
    <w:p>
      <w:pPr>
        <w:pStyle w:val="45"/>
        <w:rPr>
          <w:lang w:val="en-US"/>
        </w:rPr>
      </w:pPr>
    </w:p>
    <w:p>
      <w:pPr>
        <w:pStyle w:val="45"/>
        <w:rPr>
          <w:lang w:val="en-US"/>
        </w:rPr>
      </w:pPr>
    </w:p>
    <w:p>
      <w:pPr>
        <w:pStyle w:val="45"/>
        <w:rPr>
          <w:lang w:val="en-US"/>
        </w:rPr>
      </w:pPr>
    </w:p>
    <w:p>
      <w:pPr>
        <w:pStyle w:val="10"/>
      </w:pPr>
    </w:p>
    <w:p>
      <w:pPr>
        <w:pStyle w:val="3"/>
        <w:numPr>
          <w:ilvl w:val="0"/>
          <w:numId w:val="0"/>
        </w:numPr>
        <w:spacing w:line="240" w:lineRule="atLeast"/>
        <w:rPr>
          <w:rFonts w:ascii="宋体" w:hAnsi="宋体" w:cs="宋体"/>
        </w:rPr>
      </w:pPr>
    </w:p>
    <w:p/>
    <w:p>
      <w:pPr>
        <w:pStyle w:val="3"/>
        <w:numPr>
          <w:ilvl w:val="0"/>
          <w:numId w:val="0"/>
        </w:numPr>
        <w:spacing w:line="240" w:lineRule="atLeast"/>
        <w:rPr>
          <w:rFonts w:ascii="宋体" w:hAnsi="宋体" w:cs="宋体"/>
        </w:rPr>
      </w:pPr>
      <w:r>
        <w:rPr>
          <w:rFonts w:hint="eastAsia" w:ascii="宋体" w:hAnsi="宋体" w:cs="宋体"/>
        </w:rPr>
        <w:t>4、技术规格偏离表（投标文件格式八）</w:t>
      </w:r>
    </w:p>
    <w:p>
      <w:pPr>
        <w:pStyle w:val="13"/>
        <w:spacing w:line="240" w:lineRule="atLeast"/>
        <w:ind w:left="1080" w:leftChars="257" w:hanging="540"/>
        <w:rPr>
          <w:rFonts w:hAnsi="宋体" w:cs="宋体"/>
          <w:color w:val="auto"/>
          <w:sz w:val="24"/>
        </w:rPr>
      </w:pPr>
    </w:p>
    <w:p>
      <w:pPr>
        <w:pStyle w:val="13"/>
        <w:spacing w:line="240" w:lineRule="atLeast"/>
        <w:rPr>
          <w:rFonts w:hAnsi="宋体" w:cs="宋体"/>
          <w:color w:val="auto"/>
          <w:sz w:val="24"/>
        </w:rPr>
      </w:pPr>
      <w:r>
        <w:rPr>
          <w:rFonts w:hint="eastAsia" w:hAnsi="宋体" w:cs="宋体"/>
          <w:color w:val="auto"/>
          <w:sz w:val="24"/>
        </w:rPr>
        <w:t>项目名称:                       招标编号:                 包号:</w:t>
      </w:r>
    </w:p>
    <w:p>
      <w:pPr>
        <w:pStyle w:val="13"/>
        <w:spacing w:line="240" w:lineRule="atLeast"/>
        <w:ind w:left="1080" w:leftChars="257" w:hanging="540"/>
        <w:rPr>
          <w:rFonts w:hAnsi="宋体" w:cs="宋体"/>
          <w:color w:val="auto"/>
          <w:sz w:val="24"/>
        </w:rPr>
      </w:pPr>
    </w:p>
    <w:tbl>
      <w:tblPr>
        <w:tblStyle w:val="27"/>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640"/>
        <w:gridCol w:w="1186"/>
        <w:gridCol w:w="1282"/>
        <w:gridCol w:w="2414"/>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center"/>
          </w:tcPr>
          <w:p>
            <w:pPr>
              <w:pStyle w:val="13"/>
              <w:spacing w:line="240" w:lineRule="atLeast"/>
              <w:jc w:val="center"/>
              <w:rPr>
                <w:rFonts w:hAnsi="宋体" w:cs="宋体"/>
                <w:color w:val="auto"/>
                <w:sz w:val="24"/>
              </w:rPr>
            </w:pPr>
            <w:r>
              <w:rPr>
                <w:rFonts w:hint="eastAsia" w:hAnsi="宋体" w:cs="宋体"/>
                <w:color w:val="auto"/>
                <w:sz w:val="24"/>
              </w:rPr>
              <w:t>序号</w:t>
            </w:r>
          </w:p>
        </w:tc>
        <w:tc>
          <w:tcPr>
            <w:tcW w:w="1260" w:type="dxa"/>
            <w:vAlign w:val="center"/>
          </w:tcPr>
          <w:p>
            <w:pPr>
              <w:pStyle w:val="13"/>
              <w:spacing w:line="240" w:lineRule="atLeast"/>
              <w:jc w:val="center"/>
              <w:rPr>
                <w:rFonts w:hAnsi="宋体" w:cs="宋体"/>
                <w:color w:val="auto"/>
                <w:sz w:val="24"/>
              </w:rPr>
            </w:pPr>
            <w:r>
              <w:rPr>
                <w:rFonts w:hint="eastAsia" w:hAnsi="宋体" w:cs="宋体"/>
                <w:color w:val="auto"/>
                <w:sz w:val="24"/>
              </w:rPr>
              <w:t>货物（服务）名称</w:t>
            </w:r>
          </w:p>
        </w:tc>
        <w:tc>
          <w:tcPr>
            <w:tcW w:w="1640" w:type="dxa"/>
            <w:vAlign w:val="center"/>
          </w:tcPr>
          <w:p>
            <w:pPr>
              <w:pStyle w:val="13"/>
              <w:spacing w:line="240" w:lineRule="atLeast"/>
              <w:ind w:left="269" w:leftChars="128"/>
              <w:jc w:val="center"/>
              <w:rPr>
                <w:rFonts w:hAnsi="宋体" w:cs="宋体"/>
                <w:color w:val="auto"/>
                <w:sz w:val="24"/>
              </w:rPr>
            </w:pPr>
            <w:r>
              <w:rPr>
                <w:rFonts w:hint="eastAsia" w:hAnsi="宋体" w:cs="宋体"/>
                <w:color w:val="auto"/>
                <w:sz w:val="24"/>
              </w:rPr>
              <w:t>招标文件条款号</w:t>
            </w:r>
          </w:p>
        </w:tc>
        <w:tc>
          <w:tcPr>
            <w:tcW w:w="1186" w:type="dxa"/>
            <w:vAlign w:val="center"/>
          </w:tcPr>
          <w:p>
            <w:pPr>
              <w:pStyle w:val="13"/>
              <w:spacing w:line="240" w:lineRule="atLeast"/>
              <w:jc w:val="center"/>
              <w:rPr>
                <w:rFonts w:hAnsi="宋体" w:cs="宋体"/>
                <w:color w:val="auto"/>
                <w:sz w:val="24"/>
              </w:rPr>
            </w:pPr>
            <w:r>
              <w:rPr>
                <w:rFonts w:hint="eastAsia" w:hAnsi="宋体" w:cs="宋体"/>
                <w:color w:val="auto"/>
                <w:sz w:val="24"/>
              </w:rPr>
              <w:t>招标规格</w:t>
            </w:r>
          </w:p>
        </w:tc>
        <w:tc>
          <w:tcPr>
            <w:tcW w:w="1282" w:type="dxa"/>
            <w:vAlign w:val="center"/>
          </w:tcPr>
          <w:p>
            <w:pPr>
              <w:pStyle w:val="13"/>
              <w:spacing w:line="240" w:lineRule="atLeast"/>
              <w:jc w:val="center"/>
              <w:rPr>
                <w:rFonts w:hAnsi="宋体" w:cs="宋体"/>
                <w:color w:val="auto"/>
                <w:sz w:val="24"/>
              </w:rPr>
            </w:pPr>
            <w:r>
              <w:rPr>
                <w:rFonts w:hint="eastAsia" w:hAnsi="宋体" w:cs="宋体"/>
                <w:color w:val="auto"/>
                <w:sz w:val="24"/>
              </w:rPr>
              <w:t>投标规格</w:t>
            </w:r>
          </w:p>
        </w:tc>
        <w:tc>
          <w:tcPr>
            <w:tcW w:w="2414" w:type="dxa"/>
            <w:vAlign w:val="center"/>
          </w:tcPr>
          <w:p>
            <w:pPr>
              <w:pStyle w:val="13"/>
              <w:spacing w:line="240" w:lineRule="atLeast"/>
              <w:jc w:val="center"/>
              <w:rPr>
                <w:rFonts w:hAnsi="宋体" w:cs="宋体"/>
                <w:color w:val="auto"/>
                <w:sz w:val="24"/>
              </w:rPr>
            </w:pPr>
            <w:r>
              <w:rPr>
                <w:rFonts w:hint="eastAsia" w:hAnsi="宋体" w:cs="宋体"/>
                <w:color w:val="auto"/>
                <w:sz w:val="24"/>
              </w:rPr>
              <w:t>偏离</w:t>
            </w:r>
          </w:p>
        </w:tc>
        <w:tc>
          <w:tcPr>
            <w:tcW w:w="700" w:type="dxa"/>
            <w:vAlign w:val="center"/>
          </w:tcPr>
          <w:p>
            <w:pPr>
              <w:pStyle w:val="13"/>
              <w:spacing w:line="240" w:lineRule="atLeast"/>
              <w:jc w:val="center"/>
              <w:rPr>
                <w:rFonts w:hAnsi="宋体" w:cs="宋体"/>
                <w:color w:val="auto"/>
                <w:sz w:val="24"/>
              </w:rPr>
            </w:pPr>
            <w:r>
              <w:rPr>
                <w:rFonts w:hint="eastAsia" w:hAnsi="宋体" w:cs="宋体"/>
                <w:color w:val="auto"/>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3"/>
              <w:spacing w:line="240" w:lineRule="atLeast"/>
              <w:ind w:left="1080" w:leftChars="257" w:hanging="540"/>
              <w:rPr>
                <w:rFonts w:hAnsi="宋体" w:cs="宋体"/>
                <w:color w:val="auto"/>
                <w:sz w:val="24"/>
              </w:rPr>
            </w:pPr>
          </w:p>
        </w:tc>
        <w:tc>
          <w:tcPr>
            <w:tcW w:w="1260" w:type="dxa"/>
          </w:tcPr>
          <w:p>
            <w:pPr>
              <w:pStyle w:val="13"/>
              <w:spacing w:line="240" w:lineRule="atLeast"/>
              <w:ind w:left="1080" w:leftChars="257" w:hanging="540"/>
              <w:rPr>
                <w:rFonts w:hAnsi="宋体" w:cs="宋体"/>
                <w:color w:val="auto"/>
                <w:sz w:val="24"/>
              </w:rPr>
            </w:pPr>
          </w:p>
        </w:tc>
        <w:tc>
          <w:tcPr>
            <w:tcW w:w="1640" w:type="dxa"/>
          </w:tcPr>
          <w:p>
            <w:pPr>
              <w:pStyle w:val="13"/>
              <w:spacing w:line="240" w:lineRule="atLeast"/>
              <w:ind w:left="1080" w:leftChars="257" w:hanging="540"/>
              <w:rPr>
                <w:rFonts w:hAnsi="宋体" w:cs="宋体"/>
                <w:color w:val="auto"/>
                <w:sz w:val="24"/>
              </w:rPr>
            </w:pPr>
          </w:p>
        </w:tc>
        <w:tc>
          <w:tcPr>
            <w:tcW w:w="1186" w:type="dxa"/>
          </w:tcPr>
          <w:p>
            <w:pPr>
              <w:pStyle w:val="13"/>
              <w:spacing w:line="240" w:lineRule="atLeast"/>
              <w:ind w:left="1080" w:leftChars="257" w:hanging="540"/>
              <w:rPr>
                <w:rFonts w:hAnsi="宋体" w:cs="宋体"/>
                <w:color w:val="auto"/>
                <w:sz w:val="24"/>
              </w:rPr>
            </w:pPr>
          </w:p>
        </w:tc>
        <w:tc>
          <w:tcPr>
            <w:tcW w:w="1282" w:type="dxa"/>
          </w:tcPr>
          <w:p>
            <w:pPr>
              <w:pStyle w:val="13"/>
              <w:spacing w:line="240" w:lineRule="atLeast"/>
              <w:ind w:left="1080" w:leftChars="257" w:hanging="540"/>
              <w:rPr>
                <w:rFonts w:hAnsi="宋体" w:cs="宋体"/>
                <w:color w:val="auto"/>
                <w:sz w:val="24"/>
              </w:rPr>
            </w:pPr>
          </w:p>
        </w:tc>
        <w:tc>
          <w:tcPr>
            <w:tcW w:w="2414" w:type="dxa"/>
            <w:vAlign w:val="center"/>
          </w:tcPr>
          <w:p>
            <w:pPr>
              <w:pStyle w:val="13"/>
              <w:spacing w:line="240" w:lineRule="atLeast"/>
              <w:jc w:val="left"/>
              <w:rPr>
                <w:rFonts w:hAnsi="宋体" w:cs="宋体"/>
                <w:color w:val="auto"/>
                <w:sz w:val="24"/>
              </w:rPr>
            </w:pPr>
            <w:r>
              <w:rPr>
                <w:rFonts w:hint="eastAsia" w:hAnsi="宋体" w:cs="宋体"/>
                <w:color w:val="auto"/>
                <w:sz w:val="24"/>
                <w:u w:val="single"/>
              </w:rPr>
              <w:t>如有正偏离需提供证明材料，证明材料附后(并注明页码)</w:t>
            </w:r>
          </w:p>
        </w:tc>
        <w:tc>
          <w:tcPr>
            <w:tcW w:w="700" w:type="dxa"/>
          </w:tcPr>
          <w:p>
            <w:pPr>
              <w:pStyle w:val="13"/>
              <w:spacing w:line="240" w:lineRule="atLeast"/>
              <w:ind w:left="1080" w:leftChars="257" w:hanging="540"/>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3"/>
              <w:spacing w:line="240" w:lineRule="atLeast"/>
              <w:ind w:left="1080" w:leftChars="257" w:hanging="540"/>
              <w:rPr>
                <w:rFonts w:hAnsi="宋体" w:cs="宋体"/>
                <w:color w:val="auto"/>
                <w:sz w:val="24"/>
              </w:rPr>
            </w:pPr>
          </w:p>
        </w:tc>
        <w:tc>
          <w:tcPr>
            <w:tcW w:w="1260" w:type="dxa"/>
          </w:tcPr>
          <w:p>
            <w:pPr>
              <w:pStyle w:val="13"/>
              <w:spacing w:line="240" w:lineRule="atLeast"/>
              <w:ind w:left="1080" w:leftChars="257" w:hanging="540"/>
              <w:rPr>
                <w:rFonts w:hAnsi="宋体" w:cs="宋体"/>
                <w:color w:val="auto"/>
                <w:sz w:val="24"/>
              </w:rPr>
            </w:pPr>
          </w:p>
        </w:tc>
        <w:tc>
          <w:tcPr>
            <w:tcW w:w="1640" w:type="dxa"/>
          </w:tcPr>
          <w:p>
            <w:pPr>
              <w:pStyle w:val="13"/>
              <w:spacing w:line="240" w:lineRule="atLeast"/>
              <w:ind w:left="1080" w:leftChars="257" w:hanging="540"/>
              <w:rPr>
                <w:rFonts w:hAnsi="宋体" w:cs="宋体"/>
                <w:color w:val="auto"/>
                <w:sz w:val="24"/>
              </w:rPr>
            </w:pPr>
          </w:p>
        </w:tc>
        <w:tc>
          <w:tcPr>
            <w:tcW w:w="1186" w:type="dxa"/>
          </w:tcPr>
          <w:p>
            <w:pPr>
              <w:pStyle w:val="13"/>
              <w:spacing w:line="240" w:lineRule="atLeast"/>
              <w:ind w:left="1080" w:leftChars="257" w:hanging="540"/>
              <w:rPr>
                <w:rFonts w:hAnsi="宋体" w:cs="宋体"/>
                <w:color w:val="auto"/>
                <w:sz w:val="24"/>
              </w:rPr>
            </w:pPr>
          </w:p>
        </w:tc>
        <w:tc>
          <w:tcPr>
            <w:tcW w:w="1282" w:type="dxa"/>
          </w:tcPr>
          <w:p>
            <w:pPr>
              <w:pStyle w:val="13"/>
              <w:spacing w:line="240" w:lineRule="atLeast"/>
              <w:ind w:left="1080" w:leftChars="257" w:hanging="540"/>
              <w:rPr>
                <w:rFonts w:hAnsi="宋体" w:cs="宋体"/>
                <w:color w:val="auto"/>
                <w:sz w:val="24"/>
              </w:rPr>
            </w:pPr>
          </w:p>
        </w:tc>
        <w:tc>
          <w:tcPr>
            <w:tcW w:w="2414" w:type="dxa"/>
          </w:tcPr>
          <w:p>
            <w:pPr>
              <w:pStyle w:val="13"/>
              <w:spacing w:line="240" w:lineRule="atLeast"/>
              <w:ind w:left="1080" w:leftChars="257" w:hanging="540"/>
              <w:rPr>
                <w:rFonts w:hAnsi="宋体" w:cs="宋体"/>
                <w:color w:val="auto"/>
                <w:sz w:val="24"/>
              </w:rPr>
            </w:pPr>
          </w:p>
        </w:tc>
        <w:tc>
          <w:tcPr>
            <w:tcW w:w="700" w:type="dxa"/>
          </w:tcPr>
          <w:p>
            <w:pPr>
              <w:pStyle w:val="13"/>
              <w:spacing w:line="240" w:lineRule="atLeast"/>
              <w:ind w:left="1080" w:leftChars="257" w:hanging="540"/>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3"/>
              <w:spacing w:line="240" w:lineRule="atLeast"/>
              <w:ind w:left="1080" w:leftChars="257" w:hanging="540"/>
              <w:rPr>
                <w:rFonts w:hAnsi="宋体" w:cs="宋体"/>
                <w:color w:val="auto"/>
                <w:sz w:val="24"/>
              </w:rPr>
            </w:pPr>
          </w:p>
        </w:tc>
        <w:tc>
          <w:tcPr>
            <w:tcW w:w="1260" w:type="dxa"/>
          </w:tcPr>
          <w:p>
            <w:pPr>
              <w:pStyle w:val="13"/>
              <w:spacing w:line="240" w:lineRule="atLeast"/>
              <w:ind w:left="1080" w:leftChars="257" w:hanging="540"/>
              <w:rPr>
                <w:rFonts w:hAnsi="宋体" w:cs="宋体"/>
                <w:color w:val="auto"/>
                <w:sz w:val="24"/>
              </w:rPr>
            </w:pPr>
          </w:p>
        </w:tc>
        <w:tc>
          <w:tcPr>
            <w:tcW w:w="1640" w:type="dxa"/>
          </w:tcPr>
          <w:p>
            <w:pPr>
              <w:pStyle w:val="13"/>
              <w:spacing w:line="240" w:lineRule="atLeast"/>
              <w:ind w:left="1080" w:leftChars="257" w:hanging="540"/>
              <w:rPr>
                <w:rFonts w:hAnsi="宋体" w:cs="宋体"/>
                <w:color w:val="auto"/>
                <w:sz w:val="24"/>
              </w:rPr>
            </w:pPr>
          </w:p>
        </w:tc>
        <w:tc>
          <w:tcPr>
            <w:tcW w:w="1186" w:type="dxa"/>
          </w:tcPr>
          <w:p>
            <w:pPr>
              <w:pStyle w:val="13"/>
              <w:spacing w:line="240" w:lineRule="atLeast"/>
              <w:ind w:left="1080" w:leftChars="257" w:hanging="540"/>
              <w:rPr>
                <w:rFonts w:hAnsi="宋体" w:cs="宋体"/>
                <w:color w:val="auto"/>
                <w:sz w:val="24"/>
              </w:rPr>
            </w:pPr>
          </w:p>
        </w:tc>
        <w:tc>
          <w:tcPr>
            <w:tcW w:w="1282" w:type="dxa"/>
          </w:tcPr>
          <w:p>
            <w:pPr>
              <w:pStyle w:val="13"/>
              <w:spacing w:line="240" w:lineRule="atLeast"/>
              <w:ind w:left="1080" w:leftChars="257" w:hanging="540"/>
              <w:rPr>
                <w:rFonts w:hAnsi="宋体" w:cs="宋体"/>
                <w:color w:val="auto"/>
                <w:sz w:val="24"/>
              </w:rPr>
            </w:pPr>
          </w:p>
        </w:tc>
        <w:tc>
          <w:tcPr>
            <w:tcW w:w="2414" w:type="dxa"/>
          </w:tcPr>
          <w:p>
            <w:pPr>
              <w:pStyle w:val="13"/>
              <w:spacing w:line="240" w:lineRule="atLeast"/>
              <w:ind w:left="1080" w:leftChars="257" w:hanging="540"/>
              <w:rPr>
                <w:rFonts w:hAnsi="宋体" w:cs="宋体"/>
                <w:color w:val="auto"/>
                <w:sz w:val="24"/>
              </w:rPr>
            </w:pPr>
          </w:p>
        </w:tc>
        <w:tc>
          <w:tcPr>
            <w:tcW w:w="700" w:type="dxa"/>
          </w:tcPr>
          <w:p>
            <w:pPr>
              <w:pStyle w:val="13"/>
              <w:spacing w:line="240" w:lineRule="atLeast"/>
              <w:ind w:left="1080" w:leftChars="257" w:hanging="540"/>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3"/>
              <w:spacing w:line="240" w:lineRule="atLeast"/>
              <w:ind w:left="1080" w:leftChars="257" w:hanging="540"/>
              <w:rPr>
                <w:rFonts w:hAnsi="宋体" w:cs="宋体"/>
                <w:color w:val="auto"/>
                <w:sz w:val="24"/>
              </w:rPr>
            </w:pPr>
          </w:p>
        </w:tc>
        <w:tc>
          <w:tcPr>
            <w:tcW w:w="1260" w:type="dxa"/>
          </w:tcPr>
          <w:p>
            <w:pPr>
              <w:pStyle w:val="13"/>
              <w:spacing w:line="240" w:lineRule="atLeast"/>
              <w:ind w:left="1080" w:leftChars="257" w:hanging="540"/>
              <w:rPr>
                <w:rFonts w:hAnsi="宋体" w:cs="宋体"/>
                <w:color w:val="auto"/>
                <w:sz w:val="24"/>
              </w:rPr>
            </w:pPr>
          </w:p>
        </w:tc>
        <w:tc>
          <w:tcPr>
            <w:tcW w:w="1640" w:type="dxa"/>
          </w:tcPr>
          <w:p>
            <w:pPr>
              <w:pStyle w:val="13"/>
              <w:spacing w:line="240" w:lineRule="atLeast"/>
              <w:ind w:left="1080" w:leftChars="257" w:hanging="540"/>
              <w:rPr>
                <w:rFonts w:hAnsi="宋体" w:cs="宋体"/>
                <w:color w:val="auto"/>
                <w:sz w:val="24"/>
              </w:rPr>
            </w:pPr>
          </w:p>
        </w:tc>
        <w:tc>
          <w:tcPr>
            <w:tcW w:w="1186" w:type="dxa"/>
          </w:tcPr>
          <w:p>
            <w:pPr>
              <w:pStyle w:val="13"/>
              <w:spacing w:line="240" w:lineRule="atLeast"/>
              <w:ind w:left="1080" w:leftChars="257" w:hanging="540"/>
              <w:rPr>
                <w:rFonts w:hAnsi="宋体" w:cs="宋体"/>
                <w:color w:val="auto"/>
                <w:sz w:val="24"/>
              </w:rPr>
            </w:pPr>
          </w:p>
        </w:tc>
        <w:tc>
          <w:tcPr>
            <w:tcW w:w="1282" w:type="dxa"/>
          </w:tcPr>
          <w:p>
            <w:pPr>
              <w:pStyle w:val="13"/>
              <w:spacing w:line="240" w:lineRule="atLeast"/>
              <w:ind w:left="1080" w:leftChars="257" w:hanging="540"/>
              <w:rPr>
                <w:rFonts w:hAnsi="宋体" w:cs="宋体"/>
                <w:color w:val="auto"/>
                <w:sz w:val="24"/>
              </w:rPr>
            </w:pPr>
          </w:p>
        </w:tc>
        <w:tc>
          <w:tcPr>
            <w:tcW w:w="2414" w:type="dxa"/>
          </w:tcPr>
          <w:p>
            <w:pPr>
              <w:pStyle w:val="13"/>
              <w:spacing w:line="240" w:lineRule="atLeast"/>
              <w:ind w:left="1080" w:leftChars="257" w:hanging="540"/>
              <w:rPr>
                <w:rFonts w:hAnsi="宋体" w:cs="宋体"/>
                <w:color w:val="auto"/>
                <w:sz w:val="24"/>
              </w:rPr>
            </w:pPr>
          </w:p>
        </w:tc>
        <w:tc>
          <w:tcPr>
            <w:tcW w:w="700" w:type="dxa"/>
          </w:tcPr>
          <w:p>
            <w:pPr>
              <w:pStyle w:val="13"/>
              <w:spacing w:line="240" w:lineRule="atLeast"/>
              <w:ind w:left="1080" w:leftChars="257" w:hanging="540"/>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3"/>
              <w:spacing w:line="240" w:lineRule="atLeast"/>
              <w:ind w:left="1080" w:leftChars="257" w:hanging="540"/>
              <w:rPr>
                <w:rFonts w:hAnsi="宋体" w:cs="宋体"/>
                <w:color w:val="auto"/>
                <w:sz w:val="24"/>
              </w:rPr>
            </w:pPr>
          </w:p>
        </w:tc>
        <w:tc>
          <w:tcPr>
            <w:tcW w:w="1260" w:type="dxa"/>
          </w:tcPr>
          <w:p>
            <w:pPr>
              <w:pStyle w:val="13"/>
              <w:spacing w:line="240" w:lineRule="atLeast"/>
              <w:ind w:left="1080" w:leftChars="257" w:hanging="540"/>
              <w:rPr>
                <w:rFonts w:hAnsi="宋体" w:cs="宋体"/>
                <w:color w:val="auto"/>
                <w:sz w:val="24"/>
              </w:rPr>
            </w:pPr>
          </w:p>
        </w:tc>
        <w:tc>
          <w:tcPr>
            <w:tcW w:w="1640" w:type="dxa"/>
          </w:tcPr>
          <w:p>
            <w:pPr>
              <w:pStyle w:val="13"/>
              <w:spacing w:line="240" w:lineRule="atLeast"/>
              <w:ind w:left="1080" w:leftChars="257" w:hanging="540"/>
              <w:rPr>
                <w:rFonts w:hAnsi="宋体" w:cs="宋体"/>
                <w:color w:val="auto"/>
                <w:sz w:val="24"/>
              </w:rPr>
            </w:pPr>
          </w:p>
        </w:tc>
        <w:tc>
          <w:tcPr>
            <w:tcW w:w="1186" w:type="dxa"/>
          </w:tcPr>
          <w:p>
            <w:pPr>
              <w:pStyle w:val="13"/>
              <w:spacing w:line="240" w:lineRule="atLeast"/>
              <w:ind w:left="1080" w:leftChars="257" w:hanging="540"/>
              <w:rPr>
                <w:rFonts w:hAnsi="宋体" w:cs="宋体"/>
                <w:color w:val="auto"/>
                <w:sz w:val="24"/>
              </w:rPr>
            </w:pPr>
          </w:p>
        </w:tc>
        <w:tc>
          <w:tcPr>
            <w:tcW w:w="1282" w:type="dxa"/>
          </w:tcPr>
          <w:p>
            <w:pPr>
              <w:pStyle w:val="13"/>
              <w:spacing w:line="240" w:lineRule="atLeast"/>
              <w:ind w:left="1080" w:leftChars="257" w:hanging="540"/>
              <w:rPr>
                <w:rFonts w:hAnsi="宋体" w:cs="宋体"/>
                <w:color w:val="auto"/>
                <w:sz w:val="24"/>
              </w:rPr>
            </w:pPr>
          </w:p>
        </w:tc>
        <w:tc>
          <w:tcPr>
            <w:tcW w:w="2414" w:type="dxa"/>
          </w:tcPr>
          <w:p>
            <w:pPr>
              <w:pStyle w:val="13"/>
              <w:spacing w:line="240" w:lineRule="atLeast"/>
              <w:ind w:left="1080" w:leftChars="257" w:hanging="540"/>
              <w:rPr>
                <w:rFonts w:hAnsi="宋体" w:cs="宋体"/>
                <w:color w:val="auto"/>
                <w:sz w:val="24"/>
              </w:rPr>
            </w:pPr>
          </w:p>
        </w:tc>
        <w:tc>
          <w:tcPr>
            <w:tcW w:w="700" w:type="dxa"/>
          </w:tcPr>
          <w:p>
            <w:pPr>
              <w:pStyle w:val="13"/>
              <w:spacing w:line="240" w:lineRule="atLeast"/>
              <w:ind w:left="1080" w:leftChars="257" w:hanging="540"/>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3"/>
              <w:spacing w:line="240" w:lineRule="atLeast"/>
              <w:ind w:left="1080" w:leftChars="257" w:hanging="540"/>
              <w:rPr>
                <w:rFonts w:hAnsi="宋体" w:cs="宋体"/>
                <w:color w:val="auto"/>
                <w:sz w:val="24"/>
              </w:rPr>
            </w:pPr>
          </w:p>
        </w:tc>
        <w:tc>
          <w:tcPr>
            <w:tcW w:w="1260" w:type="dxa"/>
          </w:tcPr>
          <w:p>
            <w:pPr>
              <w:pStyle w:val="13"/>
              <w:spacing w:line="240" w:lineRule="atLeast"/>
              <w:ind w:left="1080" w:leftChars="257" w:hanging="540"/>
              <w:rPr>
                <w:rFonts w:hAnsi="宋体" w:cs="宋体"/>
                <w:color w:val="auto"/>
                <w:sz w:val="24"/>
              </w:rPr>
            </w:pPr>
          </w:p>
        </w:tc>
        <w:tc>
          <w:tcPr>
            <w:tcW w:w="1640" w:type="dxa"/>
          </w:tcPr>
          <w:p>
            <w:pPr>
              <w:pStyle w:val="13"/>
              <w:spacing w:line="240" w:lineRule="atLeast"/>
              <w:ind w:left="1080" w:leftChars="257" w:hanging="540"/>
              <w:rPr>
                <w:rFonts w:hAnsi="宋体" w:cs="宋体"/>
                <w:color w:val="auto"/>
                <w:sz w:val="24"/>
              </w:rPr>
            </w:pPr>
          </w:p>
        </w:tc>
        <w:tc>
          <w:tcPr>
            <w:tcW w:w="1186" w:type="dxa"/>
          </w:tcPr>
          <w:p>
            <w:pPr>
              <w:pStyle w:val="13"/>
              <w:spacing w:line="240" w:lineRule="atLeast"/>
              <w:ind w:left="1080" w:leftChars="257" w:hanging="540"/>
              <w:rPr>
                <w:rFonts w:hAnsi="宋体" w:cs="宋体"/>
                <w:color w:val="auto"/>
                <w:sz w:val="24"/>
              </w:rPr>
            </w:pPr>
          </w:p>
        </w:tc>
        <w:tc>
          <w:tcPr>
            <w:tcW w:w="1282" w:type="dxa"/>
          </w:tcPr>
          <w:p>
            <w:pPr>
              <w:pStyle w:val="13"/>
              <w:spacing w:line="240" w:lineRule="atLeast"/>
              <w:ind w:left="1080" w:leftChars="257" w:hanging="540"/>
              <w:rPr>
                <w:rFonts w:hAnsi="宋体" w:cs="宋体"/>
                <w:color w:val="auto"/>
                <w:sz w:val="24"/>
              </w:rPr>
            </w:pPr>
          </w:p>
        </w:tc>
        <w:tc>
          <w:tcPr>
            <w:tcW w:w="2414" w:type="dxa"/>
          </w:tcPr>
          <w:p>
            <w:pPr>
              <w:pStyle w:val="13"/>
              <w:spacing w:line="240" w:lineRule="atLeast"/>
              <w:ind w:left="1080" w:leftChars="257" w:hanging="540"/>
              <w:rPr>
                <w:rFonts w:hAnsi="宋体" w:cs="宋体"/>
                <w:color w:val="auto"/>
                <w:sz w:val="24"/>
              </w:rPr>
            </w:pPr>
          </w:p>
        </w:tc>
        <w:tc>
          <w:tcPr>
            <w:tcW w:w="700" w:type="dxa"/>
          </w:tcPr>
          <w:p>
            <w:pPr>
              <w:pStyle w:val="13"/>
              <w:spacing w:line="240" w:lineRule="atLeast"/>
              <w:ind w:left="1080" w:leftChars="257" w:hanging="540"/>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3"/>
              <w:spacing w:line="240" w:lineRule="atLeast"/>
              <w:ind w:left="1080" w:leftChars="257" w:hanging="540"/>
              <w:rPr>
                <w:rFonts w:hAnsi="宋体" w:cs="宋体"/>
                <w:color w:val="auto"/>
                <w:sz w:val="24"/>
              </w:rPr>
            </w:pPr>
          </w:p>
        </w:tc>
        <w:tc>
          <w:tcPr>
            <w:tcW w:w="1260" w:type="dxa"/>
          </w:tcPr>
          <w:p>
            <w:pPr>
              <w:pStyle w:val="13"/>
              <w:spacing w:line="240" w:lineRule="atLeast"/>
              <w:ind w:left="1080" w:leftChars="257" w:hanging="540"/>
              <w:rPr>
                <w:rFonts w:hAnsi="宋体" w:cs="宋体"/>
                <w:color w:val="auto"/>
                <w:sz w:val="24"/>
              </w:rPr>
            </w:pPr>
          </w:p>
        </w:tc>
        <w:tc>
          <w:tcPr>
            <w:tcW w:w="1640" w:type="dxa"/>
          </w:tcPr>
          <w:p>
            <w:pPr>
              <w:pStyle w:val="13"/>
              <w:spacing w:line="240" w:lineRule="atLeast"/>
              <w:ind w:left="1080" w:leftChars="257" w:hanging="540"/>
              <w:rPr>
                <w:rFonts w:hAnsi="宋体" w:cs="宋体"/>
                <w:color w:val="auto"/>
                <w:sz w:val="24"/>
              </w:rPr>
            </w:pPr>
          </w:p>
        </w:tc>
        <w:tc>
          <w:tcPr>
            <w:tcW w:w="1186" w:type="dxa"/>
          </w:tcPr>
          <w:p>
            <w:pPr>
              <w:pStyle w:val="13"/>
              <w:spacing w:line="240" w:lineRule="atLeast"/>
              <w:ind w:left="1080" w:leftChars="257" w:hanging="540"/>
              <w:rPr>
                <w:rFonts w:hAnsi="宋体" w:cs="宋体"/>
                <w:color w:val="auto"/>
                <w:sz w:val="24"/>
              </w:rPr>
            </w:pPr>
          </w:p>
        </w:tc>
        <w:tc>
          <w:tcPr>
            <w:tcW w:w="1282" w:type="dxa"/>
          </w:tcPr>
          <w:p>
            <w:pPr>
              <w:pStyle w:val="13"/>
              <w:spacing w:line="240" w:lineRule="atLeast"/>
              <w:ind w:left="1080" w:leftChars="257" w:hanging="540"/>
              <w:rPr>
                <w:rFonts w:hAnsi="宋体" w:cs="宋体"/>
                <w:color w:val="auto"/>
                <w:sz w:val="24"/>
              </w:rPr>
            </w:pPr>
          </w:p>
        </w:tc>
        <w:tc>
          <w:tcPr>
            <w:tcW w:w="2414" w:type="dxa"/>
          </w:tcPr>
          <w:p>
            <w:pPr>
              <w:pStyle w:val="13"/>
              <w:spacing w:line="240" w:lineRule="atLeast"/>
              <w:ind w:left="1080" w:leftChars="257" w:hanging="540"/>
              <w:rPr>
                <w:rFonts w:hAnsi="宋体" w:cs="宋体"/>
                <w:color w:val="auto"/>
                <w:sz w:val="24"/>
              </w:rPr>
            </w:pPr>
          </w:p>
        </w:tc>
        <w:tc>
          <w:tcPr>
            <w:tcW w:w="700" w:type="dxa"/>
          </w:tcPr>
          <w:p>
            <w:pPr>
              <w:pStyle w:val="13"/>
              <w:spacing w:line="240" w:lineRule="atLeast"/>
              <w:ind w:left="1080" w:leftChars="257" w:hanging="540"/>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3"/>
              <w:spacing w:line="240" w:lineRule="atLeast"/>
              <w:ind w:left="1080" w:leftChars="257" w:hanging="540"/>
              <w:rPr>
                <w:rFonts w:hAnsi="宋体" w:cs="宋体"/>
                <w:color w:val="auto"/>
                <w:sz w:val="24"/>
              </w:rPr>
            </w:pPr>
          </w:p>
        </w:tc>
        <w:tc>
          <w:tcPr>
            <w:tcW w:w="1260" w:type="dxa"/>
          </w:tcPr>
          <w:p>
            <w:pPr>
              <w:pStyle w:val="13"/>
              <w:spacing w:line="240" w:lineRule="atLeast"/>
              <w:ind w:left="1080" w:leftChars="257" w:hanging="540"/>
              <w:rPr>
                <w:rFonts w:hAnsi="宋体" w:cs="宋体"/>
                <w:color w:val="auto"/>
                <w:sz w:val="24"/>
              </w:rPr>
            </w:pPr>
          </w:p>
        </w:tc>
        <w:tc>
          <w:tcPr>
            <w:tcW w:w="1640" w:type="dxa"/>
          </w:tcPr>
          <w:p>
            <w:pPr>
              <w:pStyle w:val="13"/>
              <w:spacing w:line="240" w:lineRule="atLeast"/>
              <w:ind w:left="1080" w:leftChars="257" w:hanging="540"/>
              <w:rPr>
                <w:rFonts w:hAnsi="宋体" w:cs="宋体"/>
                <w:color w:val="auto"/>
                <w:sz w:val="24"/>
              </w:rPr>
            </w:pPr>
          </w:p>
        </w:tc>
        <w:tc>
          <w:tcPr>
            <w:tcW w:w="1186" w:type="dxa"/>
          </w:tcPr>
          <w:p>
            <w:pPr>
              <w:pStyle w:val="13"/>
              <w:spacing w:line="240" w:lineRule="atLeast"/>
              <w:ind w:left="1080" w:leftChars="257" w:hanging="540"/>
              <w:rPr>
                <w:rFonts w:hAnsi="宋体" w:cs="宋体"/>
                <w:color w:val="auto"/>
                <w:sz w:val="24"/>
              </w:rPr>
            </w:pPr>
          </w:p>
        </w:tc>
        <w:tc>
          <w:tcPr>
            <w:tcW w:w="1282" w:type="dxa"/>
          </w:tcPr>
          <w:p>
            <w:pPr>
              <w:pStyle w:val="13"/>
              <w:spacing w:line="240" w:lineRule="atLeast"/>
              <w:ind w:left="1080" w:leftChars="257" w:hanging="540"/>
              <w:rPr>
                <w:rFonts w:hAnsi="宋体" w:cs="宋体"/>
                <w:color w:val="auto"/>
                <w:sz w:val="24"/>
              </w:rPr>
            </w:pPr>
          </w:p>
        </w:tc>
        <w:tc>
          <w:tcPr>
            <w:tcW w:w="2414" w:type="dxa"/>
          </w:tcPr>
          <w:p>
            <w:pPr>
              <w:pStyle w:val="13"/>
              <w:spacing w:line="240" w:lineRule="atLeast"/>
              <w:ind w:left="1080" w:leftChars="257" w:hanging="540"/>
              <w:rPr>
                <w:rFonts w:hAnsi="宋体" w:cs="宋体"/>
                <w:color w:val="auto"/>
                <w:sz w:val="24"/>
              </w:rPr>
            </w:pPr>
          </w:p>
        </w:tc>
        <w:tc>
          <w:tcPr>
            <w:tcW w:w="700" w:type="dxa"/>
          </w:tcPr>
          <w:p>
            <w:pPr>
              <w:pStyle w:val="13"/>
              <w:spacing w:line="240" w:lineRule="atLeast"/>
              <w:ind w:left="1080" w:leftChars="257" w:hanging="540"/>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13"/>
              <w:spacing w:line="240" w:lineRule="atLeast"/>
              <w:ind w:left="1080" w:leftChars="257" w:hanging="540"/>
              <w:rPr>
                <w:rFonts w:hAnsi="宋体" w:cs="宋体"/>
                <w:color w:val="auto"/>
                <w:sz w:val="24"/>
              </w:rPr>
            </w:pPr>
          </w:p>
        </w:tc>
        <w:tc>
          <w:tcPr>
            <w:tcW w:w="1260" w:type="dxa"/>
          </w:tcPr>
          <w:p>
            <w:pPr>
              <w:pStyle w:val="13"/>
              <w:spacing w:line="240" w:lineRule="atLeast"/>
              <w:ind w:left="1080" w:leftChars="257" w:hanging="540"/>
              <w:rPr>
                <w:rFonts w:hAnsi="宋体" w:cs="宋体"/>
                <w:color w:val="auto"/>
                <w:sz w:val="24"/>
              </w:rPr>
            </w:pPr>
          </w:p>
        </w:tc>
        <w:tc>
          <w:tcPr>
            <w:tcW w:w="1640" w:type="dxa"/>
          </w:tcPr>
          <w:p>
            <w:pPr>
              <w:pStyle w:val="13"/>
              <w:spacing w:line="240" w:lineRule="atLeast"/>
              <w:ind w:left="1080" w:leftChars="257" w:hanging="540"/>
              <w:rPr>
                <w:rFonts w:hAnsi="宋体" w:cs="宋体"/>
                <w:color w:val="auto"/>
                <w:sz w:val="24"/>
              </w:rPr>
            </w:pPr>
          </w:p>
        </w:tc>
        <w:tc>
          <w:tcPr>
            <w:tcW w:w="1186" w:type="dxa"/>
          </w:tcPr>
          <w:p>
            <w:pPr>
              <w:pStyle w:val="13"/>
              <w:spacing w:line="240" w:lineRule="atLeast"/>
              <w:ind w:left="1080" w:leftChars="257" w:hanging="540"/>
              <w:rPr>
                <w:rFonts w:hAnsi="宋体" w:cs="宋体"/>
                <w:color w:val="auto"/>
                <w:sz w:val="24"/>
              </w:rPr>
            </w:pPr>
          </w:p>
        </w:tc>
        <w:tc>
          <w:tcPr>
            <w:tcW w:w="1282" w:type="dxa"/>
          </w:tcPr>
          <w:p>
            <w:pPr>
              <w:pStyle w:val="13"/>
              <w:spacing w:line="240" w:lineRule="atLeast"/>
              <w:ind w:left="1080" w:leftChars="257" w:hanging="540"/>
              <w:rPr>
                <w:rFonts w:hAnsi="宋体" w:cs="宋体"/>
                <w:color w:val="auto"/>
                <w:sz w:val="24"/>
              </w:rPr>
            </w:pPr>
          </w:p>
        </w:tc>
        <w:tc>
          <w:tcPr>
            <w:tcW w:w="2414" w:type="dxa"/>
          </w:tcPr>
          <w:p>
            <w:pPr>
              <w:pStyle w:val="13"/>
              <w:spacing w:line="240" w:lineRule="atLeast"/>
              <w:ind w:left="1080" w:leftChars="257" w:hanging="540"/>
              <w:rPr>
                <w:rFonts w:hAnsi="宋体" w:cs="宋体"/>
                <w:color w:val="auto"/>
                <w:sz w:val="24"/>
              </w:rPr>
            </w:pPr>
          </w:p>
        </w:tc>
        <w:tc>
          <w:tcPr>
            <w:tcW w:w="700" w:type="dxa"/>
          </w:tcPr>
          <w:p>
            <w:pPr>
              <w:pStyle w:val="13"/>
              <w:spacing w:line="240" w:lineRule="atLeast"/>
              <w:ind w:left="1080" w:leftChars="257" w:hanging="540"/>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3"/>
              <w:spacing w:line="240" w:lineRule="atLeast"/>
              <w:ind w:left="1080" w:leftChars="257" w:hanging="540"/>
              <w:rPr>
                <w:rFonts w:hAnsi="宋体" w:cs="宋体"/>
                <w:color w:val="auto"/>
                <w:sz w:val="24"/>
              </w:rPr>
            </w:pPr>
          </w:p>
        </w:tc>
        <w:tc>
          <w:tcPr>
            <w:tcW w:w="1260" w:type="dxa"/>
          </w:tcPr>
          <w:p>
            <w:pPr>
              <w:pStyle w:val="13"/>
              <w:spacing w:line="240" w:lineRule="atLeast"/>
              <w:ind w:left="1080" w:leftChars="257" w:hanging="540"/>
              <w:rPr>
                <w:rFonts w:hAnsi="宋体" w:cs="宋体"/>
                <w:color w:val="auto"/>
                <w:sz w:val="24"/>
              </w:rPr>
            </w:pPr>
          </w:p>
        </w:tc>
        <w:tc>
          <w:tcPr>
            <w:tcW w:w="1640" w:type="dxa"/>
          </w:tcPr>
          <w:p>
            <w:pPr>
              <w:pStyle w:val="13"/>
              <w:spacing w:line="240" w:lineRule="atLeast"/>
              <w:ind w:left="1080" w:leftChars="257" w:hanging="540"/>
              <w:rPr>
                <w:rFonts w:hAnsi="宋体" w:cs="宋体"/>
                <w:color w:val="auto"/>
                <w:sz w:val="24"/>
              </w:rPr>
            </w:pPr>
          </w:p>
        </w:tc>
        <w:tc>
          <w:tcPr>
            <w:tcW w:w="1186" w:type="dxa"/>
          </w:tcPr>
          <w:p>
            <w:pPr>
              <w:pStyle w:val="13"/>
              <w:spacing w:line="240" w:lineRule="atLeast"/>
              <w:ind w:left="1080" w:leftChars="257" w:hanging="540"/>
              <w:rPr>
                <w:rFonts w:hAnsi="宋体" w:cs="宋体"/>
                <w:color w:val="auto"/>
                <w:sz w:val="24"/>
              </w:rPr>
            </w:pPr>
          </w:p>
        </w:tc>
        <w:tc>
          <w:tcPr>
            <w:tcW w:w="1282" w:type="dxa"/>
          </w:tcPr>
          <w:p>
            <w:pPr>
              <w:pStyle w:val="13"/>
              <w:spacing w:line="240" w:lineRule="atLeast"/>
              <w:ind w:left="1080" w:leftChars="257" w:hanging="540"/>
              <w:rPr>
                <w:rFonts w:hAnsi="宋体" w:cs="宋体"/>
                <w:color w:val="auto"/>
                <w:sz w:val="24"/>
              </w:rPr>
            </w:pPr>
          </w:p>
        </w:tc>
        <w:tc>
          <w:tcPr>
            <w:tcW w:w="2414" w:type="dxa"/>
          </w:tcPr>
          <w:p>
            <w:pPr>
              <w:pStyle w:val="13"/>
              <w:spacing w:line="240" w:lineRule="atLeast"/>
              <w:ind w:left="1080" w:leftChars="257" w:hanging="540"/>
              <w:rPr>
                <w:rFonts w:hAnsi="宋体" w:cs="宋体"/>
                <w:color w:val="auto"/>
                <w:sz w:val="24"/>
              </w:rPr>
            </w:pPr>
          </w:p>
        </w:tc>
        <w:tc>
          <w:tcPr>
            <w:tcW w:w="700" w:type="dxa"/>
          </w:tcPr>
          <w:p>
            <w:pPr>
              <w:pStyle w:val="13"/>
              <w:spacing w:line="240" w:lineRule="atLeast"/>
              <w:ind w:left="1080" w:leftChars="257" w:hanging="540"/>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13"/>
              <w:spacing w:line="240" w:lineRule="atLeast"/>
              <w:ind w:left="1080" w:leftChars="257" w:hanging="540"/>
              <w:rPr>
                <w:rFonts w:hAnsi="宋体" w:cs="宋体"/>
                <w:color w:val="auto"/>
                <w:sz w:val="24"/>
              </w:rPr>
            </w:pPr>
          </w:p>
        </w:tc>
        <w:tc>
          <w:tcPr>
            <w:tcW w:w="1260" w:type="dxa"/>
          </w:tcPr>
          <w:p>
            <w:pPr>
              <w:pStyle w:val="13"/>
              <w:spacing w:line="240" w:lineRule="atLeast"/>
              <w:ind w:left="1080" w:leftChars="257" w:hanging="540"/>
              <w:rPr>
                <w:rFonts w:hAnsi="宋体" w:cs="宋体"/>
                <w:color w:val="auto"/>
                <w:sz w:val="24"/>
              </w:rPr>
            </w:pPr>
          </w:p>
        </w:tc>
        <w:tc>
          <w:tcPr>
            <w:tcW w:w="1640" w:type="dxa"/>
          </w:tcPr>
          <w:p>
            <w:pPr>
              <w:pStyle w:val="13"/>
              <w:spacing w:line="240" w:lineRule="atLeast"/>
              <w:ind w:left="1080" w:leftChars="257" w:hanging="540"/>
              <w:rPr>
                <w:rFonts w:hAnsi="宋体" w:cs="宋体"/>
                <w:color w:val="auto"/>
                <w:sz w:val="24"/>
              </w:rPr>
            </w:pPr>
          </w:p>
        </w:tc>
        <w:tc>
          <w:tcPr>
            <w:tcW w:w="1186" w:type="dxa"/>
          </w:tcPr>
          <w:p>
            <w:pPr>
              <w:pStyle w:val="13"/>
              <w:spacing w:line="240" w:lineRule="atLeast"/>
              <w:ind w:left="1080" w:leftChars="257" w:hanging="540"/>
              <w:rPr>
                <w:rFonts w:hAnsi="宋体" w:cs="宋体"/>
                <w:color w:val="auto"/>
                <w:sz w:val="24"/>
              </w:rPr>
            </w:pPr>
          </w:p>
        </w:tc>
        <w:tc>
          <w:tcPr>
            <w:tcW w:w="1282" w:type="dxa"/>
          </w:tcPr>
          <w:p>
            <w:pPr>
              <w:pStyle w:val="13"/>
              <w:spacing w:line="240" w:lineRule="atLeast"/>
              <w:ind w:left="1080" w:leftChars="257" w:hanging="540"/>
              <w:rPr>
                <w:rFonts w:hAnsi="宋体" w:cs="宋体"/>
                <w:color w:val="auto"/>
                <w:sz w:val="24"/>
              </w:rPr>
            </w:pPr>
          </w:p>
        </w:tc>
        <w:tc>
          <w:tcPr>
            <w:tcW w:w="2414" w:type="dxa"/>
          </w:tcPr>
          <w:p>
            <w:pPr>
              <w:pStyle w:val="13"/>
              <w:spacing w:line="240" w:lineRule="atLeast"/>
              <w:ind w:left="1080" w:leftChars="257" w:hanging="540"/>
              <w:rPr>
                <w:rFonts w:hAnsi="宋体" w:cs="宋体"/>
                <w:color w:val="auto"/>
                <w:sz w:val="24"/>
              </w:rPr>
            </w:pPr>
          </w:p>
        </w:tc>
        <w:tc>
          <w:tcPr>
            <w:tcW w:w="700" w:type="dxa"/>
          </w:tcPr>
          <w:p>
            <w:pPr>
              <w:pStyle w:val="13"/>
              <w:spacing w:line="240" w:lineRule="atLeast"/>
              <w:ind w:left="1080" w:leftChars="257" w:hanging="540"/>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3"/>
              <w:spacing w:line="240" w:lineRule="atLeast"/>
              <w:ind w:left="1080" w:leftChars="257" w:hanging="540"/>
              <w:rPr>
                <w:rFonts w:hAnsi="宋体" w:cs="宋体"/>
                <w:color w:val="auto"/>
                <w:sz w:val="24"/>
              </w:rPr>
            </w:pPr>
          </w:p>
        </w:tc>
        <w:tc>
          <w:tcPr>
            <w:tcW w:w="1260" w:type="dxa"/>
          </w:tcPr>
          <w:p>
            <w:pPr>
              <w:pStyle w:val="13"/>
              <w:spacing w:line="240" w:lineRule="atLeast"/>
              <w:ind w:left="1080" w:leftChars="257" w:hanging="540"/>
              <w:rPr>
                <w:rFonts w:hAnsi="宋体" w:cs="宋体"/>
                <w:color w:val="auto"/>
                <w:sz w:val="24"/>
              </w:rPr>
            </w:pPr>
          </w:p>
        </w:tc>
        <w:tc>
          <w:tcPr>
            <w:tcW w:w="1640" w:type="dxa"/>
          </w:tcPr>
          <w:p>
            <w:pPr>
              <w:pStyle w:val="13"/>
              <w:spacing w:line="240" w:lineRule="atLeast"/>
              <w:ind w:left="1080" w:leftChars="257" w:hanging="540"/>
              <w:rPr>
                <w:rFonts w:hAnsi="宋体" w:cs="宋体"/>
                <w:color w:val="auto"/>
                <w:sz w:val="24"/>
              </w:rPr>
            </w:pPr>
          </w:p>
        </w:tc>
        <w:tc>
          <w:tcPr>
            <w:tcW w:w="1186" w:type="dxa"/>
          </w:tcPr>
          <w:p>
            <w:pPr>
              <w:pStyle w:val="13"/>
              <w:spacing w:line="240" w:lineRule="atLeast"/>
              <w:ind w:left="1080" w:leftChars="257" w:hanging="540"/>
              <w:rPr>
                <w:rFonts w:hAnsi="宋体" w:cs="宋体"/>
                <w:color w:val="auto"/>
                <w:sz w:val="24"/>
              </w:rPr>
            </w:pPr>
          </w:p>
        </w:tc>
        <w:tc>
          <w:tcPr>
            <w:tcW w:w="1282" w:type="dxa"/>
          </w:tcPr>
          <w:p>
            <w:pPr>
              <w:pStyle w:val="13"/>
              <w:spacing w:line="240" w:lineRule="atLeast"/>
              <w:ind w:left="1080" w:leftChars="257" w:hanging="540"/>
              <w:rPr>
                <w:rFonts w:hAnsi="宋体" w:cs="宋体"/>
                <w:color w:val="auto"/>
                <w:sz w:val="24"/>
              </w:rPr>
            </w:pPr>
          </w:p>
        </w:tc>
        <w:tc>
          <w:tcPr>
            <w:tcW w:w="2414" w:type="dxa"/>
          </w:tcPr>
          <w:p>
            <w:pPr>
              <w:pStyle w:val="13"/>
              <w:spacing w:line="240" w:lineRule="atLeast"/>
              <w:ind w:left="1080" w:leftChars="257" w:hanging="540"/>
              <w:rPr>
                <w:rFonts w:hAnsi="宋体" w:cs="宋体"/>
                <w:color w:val="auto"/>
                <w:sz w:val="24"/>
              </w:rPr>
            </w:pPr>
          </w:p>
        </w:tc>
        <w:tc>
          <w:tcPr>
            <w:tcW w:w="700" w:type="dxa"/>
          </w:tcPr>
          <w:p>
            <w:pPr>
              <w:pStyle w:val="13"/>
              <w:spacing w:line="240" w:lineRule="atLeast"/>
              <w:ind w:left="1080" w:leftChars="257" w:hanging="540"/>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13"/>
              <w:spacing w:line="240" w:lineRule="atLeast"/>
              <w:ind w:left="1080" w:leftChars="257" w:hanging="540"/>
              <w:rPr>
                <w:rFonts w:hAnsi="宋体" w:cs="宋体"/>
                <w:color w:val="auto"/>
                <w:sz w:val="24"/>
              </w:rPr>
            </w:pPr>
          </w:p>
        </w:tc>
        <w:tc>
          <w:tcPr>
            <w:tcW w:w="1260" w:type="dxa"/>
          </w:tcPr>
          <w:p>
            <w:pPr>
              <w:pStyle w:val="13"/>
              <w:spacing w:line="240" w:lineRule="atLeast"/>
              <w:ind w:left="1080" w:leftChars="257" w:hanging="540"/>
              <w:rPr>
                <w:rFonts w:hAnsi="宋体" w:cs="宋体"/>
                <w:color w:val="auto"/>
                <w:sz w:val="24"/>
              </w:rPr>
            </w:pPr>
          </w:p>
        </w:tc>
        <w:tc>
          <w:tcPr>
            <w:tcW w:w="1640" w:type="dxa"/>
          </w:tcPr>
          <w:p>
            <w:pPr>
              <w:pStyle w:val="13"/>
              <w:spacing w:line="240" w:lineRule="atLeast"/>
              <w:ind w:left="1080" w:leftChars="257" w:hanging="540"/>
              <w:rPr>
                <w:rFonts w:hAnsi="宋体" w:cs="宋体"/>
                <w:color w:val="auto"/>
                <w:sz w:val="24"/>
              </w:rPr>
            </w:pPr>
          </w:p>
        </w:tc>
        <w:tc>
          <w:tcPr>
            <w:tcW w:w="1186" w:type="dxa"/>
          </w:tcPr>
          <w:p>
            <w:pPr>
              <w:pStyle w:val="13"/>
              <w:spacing w:line="240" w:lineRule="atLeast"/>
              <w:ind w:left="1080" w:leftChars="257" w:hanging="540"/>
              <w:rPr>
                <w:rFonts w:hAnsi="宋体" w:cs="宋体"/>
                <w:color w:val="auto"/>
                <w:sz w:val="24"/>
              </w:rPr>
            </w:pPr>
          </w:p>
        </w:tc>
        <w:tc>
          <w:tcPr>
            <w:tcW w:w="1282" w:type="dxa"/>
          </w:tcPr>
          <w:p>
            <w:pPr>
              <w:pStyle w:val="13"/>
              <w:spacing w:line="240" w:lineRule="atLeast"/>
              <w:ind w:left="1080" w:leftChars="257" w:hanging="540"/>
              <w:rPr>
                <w:rFonts w:hAnsi="宋体" w:cs="宋体"/>
                <w:color w:val="auto"/>
                <w:sz w:val="24"/>
              </w:rPr>
            </w:pPr>
          </w:p>
        </w:tc>
        <w:tc>
          <w:tcPr>
            <w:tcW w:w="2414" w:type="dxa"/>
          </w:tcPr>
          <w:p>
            <w:pPr>
              <w:pStyle w:val="13"/>
              <w:spacing w:line="240" w:lineRule="atLeast"/>
              <w:ind w:left="1080" w:leftChars="257" w:hanging="540"/>
              <w:rPr>
                <w:rFonts w:hAnsi="宋体" w:cs="宋体"/>
                <w:color w:val="auto"/>
                <w:sz w:val="24"/>
              </w:rPr>
            </w:pPr>
          </w:p>
        </w:tc>
        <w:tc>
          <w:tcPr>
            <w:tcW w:w="700" w:type="dxa"/>
          </w:tcPr>
          <w:p>
            <w:pPr>
              <w:pStyle w:val="13"/>
              <w:spacing w:line="240" w:lineRule="atLeast"/>
              <w:ind w:left="1080" w:leftChars="257" w:hanging="540"/>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3"/>
              <w:spacing w:line="240" w:lineRule="atLeast"/>
              <w:ind w:left="1080" w:leftChars="257" w:hanging="540"/>
              <w:rPr>
                <w:rFonts w:hAnsi="宋体" w:cs="宋体"/>
                <w:color w:val="auto"/>
                <w:sz w:val="24"/>
              </w:rPr>
            </w:pPr>
          </w:p>
        </w:tc>
        <w:tc>
          <w:tcPr>
            <w:tcW w:w="1260" w:type="dxa"/>
          </w:tcPr>
          <w:p>
            <w:pPr>
              <w:pStyle w:val="13"/>
              <w:spacing w:line="240" w:lineRule="atLeast"/>
              <w:ind w:left="1080" w:leftChars="257" w:hanging="540"/>
              <w:rPr>
                <w:rFonts w:hAnsi="宋体" w:cs="宋体"/>
                <w:color w:val="auto"/>
                <w:sz w:val="24"/>
              </w:rPr>
            </w:pPr>
          </w:p>
        </w:tc>
        <w:tc>
          <w:tcPr>
            <w:tcW w:w="1640" w:type="dxa"/>
          </w:tcPr>
          <w:p>
            <w:pPr>
              <w:pStyle w:val="13"/>
              <w:spacing w:line="240" w:lineRule="atLeast"/>
              <w:ind w:left="1080" w:leftChars="257" w:hanging="540"/>
              <w:rPr>
                <w:rFonts w:hAnsi="宋体" w:cs="宋体"/>
                <w:color w:val="auto"/>
                <w:sz w:val="24"/>
              </w:rPr>
            </w:pPr>
          </w:p>
        </w:tc>
        <w:tc>
          <w:tcPr>
            <w:tcW w:w="1186" w:type="dxa"/>
          </w:tcPr>
          <w:p>
            <w:pPr>
              <w:pStyle w:val="13"/>
              <w:spacing w:line="240" w:lineRule="atLeast"/>
              <w:ind w:left="1080" w:leftChars="257" w:hanging="540"/>
              <w:rPr>
                <w:rFonts w:hAnsi="宋体" w:cs="宋体"/>
                <w:color w:val="auto"/>
                <w:sz w:val="24"/>
              </w:rPr>
            </w:pPr>
          </w:p>
        </w:tc>
        <w:tc>
          <w:tcPr>
            <w:tcW w:w="1282" w:type="dxa"/>
          </w:tcPr>
          <w:p>
            <w:pPr>
              <w:pStyle w:val="13"/>
              <w:spacing w:line="240" w:lineRule="atLeast"/>
              <w:ind w:left="1080" w:leftChars="257" w:hanging="540"/>
              <w:rPr>
                <w:rFonts w:hAnsi="宋体" w:cs="宋体"/>
                <w:color w:val="auto"/>
                <w:sz w:val="24"/>
              </w:rPr>
            </w:pPr>
          </w:p>
        </w:tc>
        <w:tc>
          <w:tcPr>
            <w:tcW w:w="2414" w:type="dxa"/>
          </w:tcPr>
          <w:p>
            <w:pPr>
              <w:pStyle w:val="13"/>
              <w:spacing w:line="240" w:lineRule="atLeast"/>
              <w:ind w:left="1080" w:leftChars="257" w:hanging="540"/>
              <w:rPr>
                <w:rFonts w:hAnsi="宋体" w:cs="宋体"/>
                <w:color w:val="auto"/>
                <w:sz w:val="24"/>
              </w:rPr>
            </w:pPr>
          </w:p>
        </w:tc>
        <w:tc>
          <w:tcPr>
            <w:tcW w:w="700" w:type="dxa"/>
          </w:tcPr>
          <w:p>
            <w:pPr>
              <w:pStyle w:val="13"/>
              <w:spacing w:line="240" w:lineRule="atLeast"/>
              <w:ind w:left="1080" w:leftChars="257" w:hanging="540"/>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13"/>
              <w:spacing w:line="240" w:lineRule="atLeast"/>
              <w:ind w:left="1080" w:leftChars="257" w:hanging="540"/>
              <w:rPr>
                <w:rFonts w:hAnsi="宋体" w:cs="宋体"/>
                <w:color w:val="auto"/>
                <w:sz w:val="24"/>
              </w:rPr>
            </w:pPr>
          </w:p>
        </w:tc>
        <w:tc>
          <w:tcPr>
            <w:tcW w:w="1260" w:type="dxa"/>
          </w:tcPr>
          <w:p>
            <w:pPr>
              <w:pStyle w:val="13"/>
              <w:spacing w:line="240" w:lineRule="atLeast"/>
              <w:ind w:left="1080" w:leftChars="257" w:hanging="540"/>
              <w:rPr>
                <w:rFonts w:hAnsi="宋体" w:cs="宋体"/>
                <w:color w:val="auto"/>
                <w:sz w:val="24"/>
              </w:rPr>
            </w:pPr>
          </w:p>
        </w:tc>
        <w:tc>
          <w:tcPr>
            <w:tcW w:w="1640" w:type="dxa"/>
          </w:tcPr>
          <w:p>
            <w:pPr>
              <w:pStyle w:val="13"/>
              <w:spacing w:line="240" w:lineRule="atLeast"/>
              <w:ind w:left="1080" w:leftChars="257" w:hanging="540"/>
              <w:rPr>
                <w:rFonts w:hAnsi="宋体" w:cs="宋体"/>
                <w:color w:val="auto"/>
                <w:sz w:val="24"/>
              </w:rPr>
            </w:pPr>
          </w:p>
        </w:tc>
        <w:tc>
          <w:tcPr>
            <w:tcW w:w="1186" w:type="dxa"/>
          </w:tcPr>
          <w:p>
            <w:pPr>
              <w:pStyle w:val="13"/>
              <w:spacing w:line="240" w:lineRule="atLeast"/>
              <w:ind w:left="1080" w:leftChars="257" w:hanging="540"/>
              <w:rPr>
                <w:rFonts w:hAnsi="宋体" w:cs="宋体"/>
                <w:color w:val="auto"/>
                <w:sz w:val="24"/>
              </w:rPr>
            </w:pPr>
          </w:p>
        </w:tc>
        <w:tc>
          <w:tcPr>
            <w:tcW w:w="1282" w:type="dxa"/>
          </w:tcPr>
          <w:p>
            <w:pPr>
              <w:pStyle w:val="13"/>
              <w:spacing w:line="240" w:lineRule="atLeast"/>
              <w:ind w:left="1080" w:leftChars="257" w:hanging="540"/>
              <w:rPr>
                <w:rFonts w:hAnsi="宋体" w:cs="宋体"/>
                <w:color w:val="auto"/>
                <w:sz w:val="24"/>
              </w:rPr>
            </w:pPr>
          </w:p>
        </w:tc>
        <w:tc>
          <w:tcPr>
            <w:tcW w:w="2414" w:type="dxa"/>
          </w:tcPr>
          <w:p>
            <w:pPr>
              <w:pStyle w:val="13"/>
              <w:spacing w:line="240" w:lineRule="atLeast"/>
              <w:ind w:left="1080" w:leftChars="257" w:hanging="540"/>
              <w:rPr>
                <w:rFonts w:hAnsi="宋体" w:cs="宋体"/>
                <w:color w:val="auto"/>
                <w:sz w:val="24"/>
              </w:rPr>
            </w:pPr>
          </w:p>
        </w:tc>
        <w:tc>
          <w:tcPr>
            <w:tcW w:w="700" w:type="dxa"/>
          </w:tcPr>
          <w:p>
            <w:pPr>
              <w:pStyle w:val="13"/>
              <w:spacing w:line="240" w:lineRule="atLeast"/>
              <w:ind w:left="1080" w:leftChars="257" w:hanging="540"/>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3"/>
              <w:spacing w:line="240" w:lineRule="atLeast"/>
              <w:ind w:left="1080" w:leftChars="257" w:hanging="540"/>
              <w:rPr>
                <w:rFonts w:hAnsi="宋体" w:cs="宋体"/>
                <w:color w:val="auto"/>
                <w:sz w:val="24"/>
              </w:rPr>
            </w:pPr>
          </w:p>
        </w:tc>
        <w:tc>
          <w:tcPr>
            <w:tcW w:w="1260" w:type="dxa"/>
          </w:tcPr>
          <w:p>
            <w:pPr>
              <w:pStyle w:val="13"/>
              <w:spacing w:line="240" w:lineRule="atLeast"/>
              <w:ind w:left="1080" w:leftChars="257" w:hanging="540"/>
              <w:rPr>
                <w:rFonts w:hAnsi="宋体" w:cs="宋体"/>
                <w:color w:val="auto"/>
                <w:sz w:val="24"/>
              </w:rPr>
            </w:pPr>
          </w:p>
        </w:tc>
        <w:tc>
          <w:tcPr>
            <w:tcW w:w="1640" w:type="dxa"/>
          </w:tcPr>
          <w:p>
            <w:pPr>
              <w:pStyle w:val="13"/>
              <w:spacing w:line="240" w:lineRule="atLeast"/>
              <w:ind w:left="1080" w:leftChars="257" w:hanging="540"/>
              <w:rPr>
                <w:rFonts w:hAnsi="宋体" w:cs="宋体"/>
                <w:color w:val="auto"/>
                <w:sz w:val="24"/>
              </w:rPr>
            </w:pPr>
          </w:p>
        </w:tc>
        <w:tc>
          <w:tcPr>
            <w:tcW w:w="1186" w:type="dxa"/>
          </w:tcPr>
          <w:p>
            <w:pPr>
              <w:pStyle w:val="13"/>
              <w:spacing w:line="240" w:lineRule="atLeast"/>
              <w:ind w:left="1080" w:leftChars="257" w:hanging="540"/>
              <w:rPr>
                <w:rFonts w:hAnsi="宋体" w:cs="宋体"/>
                <w:color w:val="auto"/>
                <w:sz w:val="24"/>
              </w:rPr>
            </w:pPr>
          </w:p>
        </w:tc>
        <w:tc>
          <w:tcPr>
            <w:tcW w:w="1282" w:type="dxa"/>
          </w:tcPr>
          <w:p>
            <w:pPr>
              <w:pStyle w:val="13"/>
              <w:spacing w:line="240" w:lineRule="atLeast"/>
              <w:ind w:left="1080" w:leftChars="257" w:hanging="540"/>
              <w:rPr>
                <w:rFonts w:hAnsi="宋体" w:cs="宋体"/>
                <w:color w:val="auto"/>
                <w:sz w:val="24"/>
              </w:rPr>
            </w:pPr>
          </w:p>
        </w:tc>
        <w:tc>
          <w:tcPr>
            <w:tcW w:w="2414" w:type="dxa"/>
          </w:tcPr>
          <w:p>
            <w:pPr>
              <w:pStyle w:val="13"/>
              <w:spacing w:line="240" w:lineRule="atLeast"/>
              <w:ind w:left="1080" w:leftChars="257" w:hanging="540"/>
              <w:rPr>
                <w:rFonts w:hAnsi="宋体" w:cs="宋体"/>
                <w:color w:val="auto"/>
                <w:sz w:val="24"/>
              </w:rPr>
            </w:pPr>
          </w:p>
        </w:tc>
        <w:tc>
          <w:tcPr>
            <w:tcW w:w="700" w:type="dxa"/>
          </w:tcPr>
          <w:p>
            <w:pPr>
              <w:pStyle w:val="13"/>
              <w:spacing w:line="240" w:lineRule="atLeast"/>
              <w:ind w:left="1080" w:leftChars="257" w:hanging="540"/>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13"/>
              <w:spacing w:line="240" w:lineRule="atLeast"/>
              <w:ind w:left="1080" w:leftChars="257" w:hanging="540"/>
              <w:rPr>
                <w:rFonts w:hAnsi="宋体" w:cs="宋体"/>
                <w:color w:val="auto"/>
                <w:sz w:val="24"/>
              </w:rPr>
            </w:pPr>
          </w:p>
        </w:tc>
        <w:tc>
          <w:tcPr>
            <w:tcW w:w="1260" w:type="dxa"/>
          </w:tcPr>
          <w:p>
            <w:pPr>
              <w:pStyle w:val="13"/>
              <w:spacing w:line="240" w:lineRule="atLeast"/>
              <w:ind w:left="1080" w:leftChars="257" w:hanging="540"/>
              <w:rPr>
                <w:rFonts w:hAnsi="宋体" w:cs="宋体"/>
                <w:color w:val="auto"/>
                <w:sz w:val="24"/>
              </w:rPr>
            </w:pPr>
          </w:p>
        </w:tc>
        <w:tc>
          <w:tcPr>
            <w:tcW w:w="1640" w:type="dxa"/>
          </w:tcPr>
          <w:p>
            <w:pPr>
              <w:pStyle w:val="13"/>
              <w:spacing w:line="240" w:lineRule="atLeast"/>
              <w:ind w:left="1080" w:leftChars="257" w:hanging="540"/>
              <w:rPr>
                <w:rFonts w:hAnsi="宋体" w:cs="宋体"/>
                <w:color w:val="auto"/>
                <w:sz w:val="24"/>
              </w:rPr>
            </w:pPr>
          </w:p>
        </w:tc>
        <w:tc>
          <w:tcPr>
            <w:tcW w:w="1186" w:type="dxa"/>
          </w:tcPr>
          <w:p>
            <w:pPr>
              <w:pStyle w:val="13"/>
              <w:spacing w:line="240" w:lineRule="atLeast"/>
              <w:ind w:left="1080" w:leftChars="257" w:hanging="540"/>
              <w:rPr>
                <w:rFonts w:hAnsi="宋体" w:cs="宋体"/>
                <w:color w:val="auto"/>
                <w:sz w:val="24"/>
              </w:rPr>
            </w:pPr>
          </w:p>
        </w:tc>
        <w:tc>
          <w:tcPr>
            <w:tcW w:w="1282" w:type="dxa"/>
          </w:tcPr>
          <w:p>
            <w:pPr>
              <w:pStyle w:val="13"/>
              <w:spacing w:line="240" w:lineRule="atLeast"/>
              <w:ind w:left="1080" w:leftChars="257" w:hanging="540"/>
              <w:rPr>
                <w:rFonts w:hAnsi="宋体" w:cs="宋体"/>
                <w:color w:val="auto"/>
                <w:sz w:val="24"/>
              </w:rPr>
            </w:pPr>
          </w:p>
        </w:tc>
        <w:tc>
          <w:tcPr>
            <w:tcW w:w="2414" w:type="dxa"/>
          </w:tcPr>
          <w:p>
            <w:pPr>
              <w:pStyle w:val="13"/>
              <w:spacing w:line="240" w:lineRule="atLeast"/>
              <w:ind w:left="1080" w:leftChars="257" w:hanging="540"/>
              <w:rPr>
                <w:rFonts w:hAnsi="宋体" w:cs="宋体"/>
                <w:color w:val="auto"/>
                <w:sz w:val="24"/>
              </w:rPr>
            </w:pPr>
          </w:p>
        </w:tc>
        <w:tc>
          <w:tcPr>
            <w:tcW w:w="700" w:type="dxa"/>
          </w:tcPr>
          <w:p>
            <w:pPr>
              <w:pStyle w:val="13"/>
              <w:spacing w:line="240" w:lineRule="atLeast"/>
              <w:ind w:left="1080" w:leftChars="257" w:hanging="540"/>
              <w:rPr>
                <w:rFonts w:hAnsi="宋体" w:cs="宋体"/>
                <w:color w:val="auto"/>
                <w:sz w:val="24"/>
              </w:rPr>
            </w:pPr>
          </w:p>
        </w:tc>
      </w:tr>
    </w:tbl>
    <w:p>
      <w:pPr>
        <w:pStyle w:val="13"/>
        <w:spacing w:line="240" w:lineRule="atLeast"/>
        <w:ind w:left="1080" w:leftChars="257" w:hanging="540"/>
        <w:rPr>
          <w:rFonts w:hAnsi="宋体" w:cs="宋体"/>
          <w:color w:val="auto"/>
          <w:sz w:val="24"/>
        </w:rPr>
      </w:pPr>
    </w:p>
    <w:p>
      <w:pPr>
        <w:pStyle w:val="13"/>
        <w:spacing w:line="240" w:lineRule="atLeast"/>
        <w:ind w:left="1080" w:leftChars="257" w:hanging="540"/>
        <w:rPr>
          <w:rFonts w:hAnsi="宋体" w:cs="宋体"/>
          <w:color w:val="auto"/>
          <w:sz w:val="24"/>
        </w:rPr>
      </w:pPr>
    </w:p>
    <w:p>
      <w:pPr>
        <w:pStyle w:val="13"/>
        <w:spacing w:line="240" w:lineRule="atLeast"/>
        <w:ind w:left="1080" w:leftChars="257" w:hanging="540"/>
        <w:rPr>
          <w:rFonts w:hAnsi="宋体" w:cs="宋体"/>
          <w:color w:val="auto"/>
          <w:sz w:val="24"/>
        </w:rPr>
      </w:pPr>
      <w:r>
        <w:rPr>
          <w:rFonts w:hint="eastAsia" w:hAnsi="宋体" w:cs="宋体"/>
          <w:color w:val="auto"/>
          <w:sz w:val="24"/>
        </w:rPr>
        <w:t>法定代表人或其委托代理人签字:</w:t>
      </w:r>
      <w:r>
        <w:rPr>
          <w:rFonts w:hint="eastAsia" w:hAnsi="宋体" w:cs="宋体"/>
          <w:color w:val="auto"/>
          <w:sz w:val="24"/>
          <w:u w:val="single"/>
        </w:rPr>
        <w:t xml:space="preserve">            </w:t>
      </w:r>
      <w:r>
        <w:rPr>
          <w:rFonts w:hint="eastAsia" w:hAnsi="宋体" w:cs="宋体"/>
          <w:color w:val="auto"/>
          <w:sz w:val="24"/>
          <w:u w:val="single"/>
        </w:rPr>
        <w:tab/>
      </w:r>
      <w:r>
        <w:rPr>
          <w:rFonts w:hint="eastAsia" w:hAnsi="宋体" w:cs="宋体"/>
          <w:color w:val="auto"/>
          <w:sz w:val="24"/>
          <w:u w:val="single"/>
        </w:rPr>
        <w:t xml:space="preserve">                 </w:t>
      </w:r>
    </w:p>
    <w:p>
      <w:pPr>
        <w:pStyle w:val="13"/>
        <w:tabs>
          <w:tab w:val="left" w:pos="5370"/>
        </w:tabs>
        <w:spacing w:line="240" w:lineRule="atLeast"/>
        <w:ind w:left="1080" w:leftChars="257" w:hanging="540"/>
        <w:rPr>
          <w:rFonts w:hAnsi="宋体" w:cs="宋体"/>
          <w:color w:val="auto"/>
          <w:sz w:val="24"/>
          <w:u w:val="single"/>
        </w:rPr>
      </w:pPr>
      <w:r>
        <w:rPr>
          <w:rFonts w:hint="eastAsia" w:hAnsi="宋体" w:cs="宋体"/>
          <w:color w:val="auto"/>
          <w:sz w:val="24"/>
        </w:rPr>
        <w:t>投标人(盖单位章):</w:t>
      </w:r>
      <w:r>
        <w:rPr>
          <w:rFonts w:hint="eastAsia" w:hAnsi="宋体" w:cs="宋体"/>
          <w:color w:val="auto"/>
          <w:sz w:val="24"/>
          <w:u w:val="single"/>
        </w:rPr>
        <w:tab/>
      </w:r>
    </w:p>
    <w:p>
      <w:pPr>
        <w:pStyle w:val="3"/>
        <w:numPr>
          <w:ilvl w:val="0"/>
          <w:numId w:val="0"/>
        </w:numPr>
        <w:spacing w:line="240" w:lineRule="atLeast"/>
        <w:rPr>
          <w:rFonts w:ascii="宋体" w:hAnsi="宋体" w:cs="宋体"/>
        </w:rPr>
      </w:pPr>
      <w:r>
        <w:rPr>
          <w:rFonts w:hint="eastAsia" w:ascii="宋体" w:hAnsi="宋体" w:cs="宋体"/>
          <w:u w:val="single"/>
        </w:rPr>
        <w:br w:type="page"/>
      </w:r>
      <w:bookmarkStart w:id="116" w:name="_Toc216582818"/>
      <w:bookmarkStart w:id="117" w:name="_Toc1980"/>
      <w:bookmarkStart w:id="118" w:name="_Toc515647821"/>
      <w:bookmarkStart w:id="119" w:name="_Toc23"/>
      <w:bookmarkStart w:id="120" w:name="_Toc21391"/>
      <w:r>
        <w:rPr>
          <w:rFonts w:hint="eastAsia" w:ascii="宋体" w:hAnsi="宋体" w:cs="宋体"/>
        </w:rPr>
        <w:t>5、商务条款偏离表</w:t>
      </w:r>
      <w:bookmarkEnd w:id="116"/>
      <w:r>
        <w:rPr>
          <w:rFonts w:hint="eastAsia" w:ascii="宋体" w:hAnsi="宋体" w:cs="宋体"/>
        </w:rPr>
        <w:t>（投标文件格式九）</w:t>
      </w:r>
      <w:bookmarkEnd w:id="117"/>
      <w:bookmarkEnd w:id="118"/>
      <w:bookmarkEnd w:id="119"/>
      <w:bookmarkEnd w:id="120"/>
    </w:p>
    <w:p>
      <w:pPr>
        <w:pStyle w:val="13"/>
        <w:spacing w:line="240" w:lineRule="atLeast"/>
        <w:ind w:left="1080" w:leftChars="257" w:hanging="540"/>
        <w:rPr>
          <w:rFonts w:hAnsi="宋体" w:cs="宋体"/>
          <w:color w:val="auto"/>
          <w:sz w:val="24"/>
        </w:rPr>
      </w:pPr>
    </w:p>
    <w:p>
      <w:pPr>
        <w:pStyle w:val="13"/>
        <w:spacing w:line="240" w:lineRule="atLeast"/>
        <w:ind w:left="1080" w:leftChars="257" w:hanging="540"/>
        <w:rPr>
          <w:rFonts w:hAnsi="宋体" w:cs="宋体"/>
          <w:color w:val="auto"/>
          <w:sz w:val="24"/>
        </w:rPr>
      </w:pPr>
    </w:p>
    <w:p>
      <w:pPr>
        <w:pStyle w:val="13"/>
        <w:spacing w:line="240" w:lineRule="atLeast"/>
        <w:ind w:left="1080" w:leftChars="257" w:hanging="540"/>
        <w:rPr>
          <w:rFonts w:hAnsi="宋体" w:cs="宋体"/>
          <w:color w:val="auto"/>
          <w:sz w:val="24"/>
        </w:rPr>
      </w:pPr>
      <w:r>
        <w:rPr>
          <w:rFonts w:hint="eastAsia" w:hAnsi="宋体" w:cs="宋体"/>
          <w:color w:val="auto"/>
          <w:sz w:val="24"/>
        </w:rPr>
        <w:t>项目名称:                      招标编号:                 包号:</w:t>
      </w:r>
    </w:p>
    <w:p>
      <w:pPr>
        <w:pStyle w:val="13"/>
        <w:spacing w:line="240" w:lineRule="atLeast"/>
        <w:ind w:left="1080" w:leftChars="257" w:hanging="540"/>
        <w:rPr>
          <w:rFonts w:hAnsi="宋体" w:cs="宋体"/>
          <w:color w:val="auto"/>
          <w:sz w:val="24"/>
        </w:rPr>
      </w:pPr>
    </w:p>
    <w:tbl>
      <w:tblPr>
        <w:tblStyle w:val="27"/>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jc w:val="center"/>
              <w:rPr>
                <w:rFonts w:hAnsi="宋体" w:cs="宋体"/>
                <w:color w:val="auto"/>
                <w:sz w:val="24"/>
              </w:rPr>
            </w:pPr>
            <w:r>
              <w:rPr>
                <w:rFonts w:hint="eastAsia" w:hAnsi="宋体" w:cs="宋体"/>
                <w:color w:val="auto"/>
                <w:sz w:val="24"/>
              </w:rPr>
              <w:t>序号</w:t>
            </w:r>
          </w:p>
        </w:tc>
        <w:tc>
          <w:tcPr>
            <w:tcW w:w="2040" w:type="dxa"/>
          </w:tcPr>
          <w:p>
            <w:pPr>
              <w:pStyle w:val="13"/>
              <w:spacing w:line="240" w:lineRule="atLeast"/>
              <w:jc w:val="center"/>
              <w:rPr>
                <w:rFonts w:hAnsi="宋体" w:cs="宋体"/>
                <w:color w:val="auto"/>
                <w:sz w:val="24"/>
              </w:rPr>
            </w:pPr>
            <w:r>
              <w:rPr>
                <w:rFonts w:hint="eastAsia" w:hAnsi="宋体" w:cs="宋体"/>
                <w:color w:val="auto"/>
                <w:sz w:val="24"/>
              </w:rPr>
              <w:t>招标文件条款号</w:t>
            </w:r>
          </w:p>
        </w:tc>
        <w:tc>
          <w:tcPr>
            <w:tcW w:w="2520" w:type="dxa"/>
          </w:tcPr>
          <w:p>
            <w:pPr>
              <w:pStyle w:val="13"/>
              <w:spacing w:line="240" w:lineRule="atLeast"/>
              <w:jc w:val="center"/>
              <w:rPr>
                <w:rFonts w:hAnsi="宋体" w:cs="宋体"/>
                <w:color w:val="auto"/>
                <w:sz w:val="24"/>
              </w:rPr>
            </w:pPr>
            <w:r>
              <w:rPr>
                <w:rFonts w:hint="eastAsia" w:hAnsi="宋体" w:cs="宋体"/>
                <w:color w:val="auto"/>
                <w:sz w:val="24"/>
              </w:rPr>
              <w:t>招标文件的商务条款</w:t>
            </w:r>
          </w:p>
        </w:tc>
        <w:tc>
          <w:tcPr>
            <w:tcW w:w="2520" w:type="dxa"/>
          </w:tcPr>
          <w:p>
            <w:pPr>
              <w:pStyle w:val="13"/>
              <w:spacing w:line="240" w:lineRule="atLeast"/>
              <w:jc w:val="center"/>
              <w:rPr>
                <w:rFonts w:hAnsi="宋体" w:cs="宋体"/>
                <w:color w:val="auto"/>
                <w:sz w:val="24"/>
              </w:rPr>
            </w:pPr>
            <w:r>
              <w:rPr>
                <w:rFonts w:hint="eastAsia" w:hAnsi="宋体" w:cs="宋体"/>
                <w:color w:val="auto"/>
                <w:sz w:val="24"/>
              </w:rPr>
              <w:t>投标文件的商务条款</w:t>
            </w:r>
          </w:p>
        </w:tc>
        <w:tc>
          <w:tcPr>
            <w:tcW w:w="900" w:type="dxa"/>
          </w:tcPr>
          <w:p>
            <w:pPr>
              <w:pStyle w:val="13"/>
              <w:spacing w:line="240" w:lineRule="atLeast"/>
              <w:jc w:val="center"/>
              <w:rPr>
                <w:rFonts w:hAnsi="宋体" w:cs="宋体"/>
                <w:color w:val="auto"/>
                <w:sz w:val="24"/>
              </w:rPr>
            </w:pPr>
            <w:r>
              <w:rPr>
                <w:rFonts w:hint="eastAsia" w:hAnsi="宋体" w:cs="宋体"/>
                <w:color w:val="auto"/>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Ansi="宋体" w:cs="宋体"/>
                <w:color w:val="auto"/>
                <w:sz w:val="24"/>
              </w:rPr>
            </w:pPr>
          </w:p>
        </w:tc>
        <w:tc>
          <w:tcPr>
            <w:tcW w:w="2040" w:type="dxa"/>
          </w:tcPr>
          <w:p>
            <w:pPr>
              <w:pStyle w:val="13"/>
              <w:spacing w:line="240" w:lineRule="atLeast"/>
              <w:ind w:left="1080" w:leftChars="257" w:hanging="540"/>
              <w:rPr>
                <w:rFonts w:hAnsi="宋体" w:cs="宋体"/>
                <w:color w:val="auto"/>
                <w:sz w:val="24"/>
              </w:rPr>
            </w:pPr>
          </w:p>
        </w:tc>
        <w:tc>
          <w:tcPr>
            <w:tcW w:w="2520" w:type="dxa"/>
          </w:tcPr>
          <w:p>
            <w:pPr>
              <w:pStyle w:val="13"/>
              <w:spacing w:line="240" w:lineRule="atLeast"/>
              <w:ind w:left="1080" w:leftChars="257" w:hanging="540"/>
              <w:jc w:val="center"/>
              <w:rPr>
                <w:rFonts w:hAnsi="宋体" w:cs="宋体"/>
                <w:color w:val="auto"/>
                <w:sz w:val="24"/>
              </w:rPr>
            </w:pPr>
          </w:p>
        </w:tc>
        <w:tc>
          <w:tcPr>
            <w:tcW w:w="2520" w:type="dxa"/>
          </w:tcPr>
          <w:p>
            <w:pPr>
              <w:pStyle w:val="13"/>
              <w:spacing w:line="240" w:lineRule="atLeast"/>
              <w:ind w:left="1080" w:leftChars="257" w:hanging="540"/>
              <w:jc w:val="center"/>
              <w:rPr>
                <w:rFonts w:hAnsi="宋体" w:cs="宋体"/>
                <w:color w:val="auto"/>
                <w:sz w:val="24"/>
              </w:rPr>
            </w:pPr>
          </w:p>
        </w:tc>
        <w:tc>
          <w:tcPr>
            <w:tcW w:w="900" w:type="dxa"/>
          </w:tcPr>
          <w:p>
            <w:pPr>
              <w:pStyle w:val="13"/>
              <w:spacing w:line="240" w:lineRule="atLeast"/>
              <w:ind w:left="1080" w:leftChars="257" w:hanging="540"/>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Ansi="宋体" w:cs="宋体"/>
                <w:color w:val="auto"/>
                <w:sz w:val="24"/>
              </w:rPr>
            </w:pPr>
          </w:p>
        </w:tc>
        <w:tc>
          <w:tcPr>
            <w:tcW w:w="2040" w:type="dxa"/>
          </w:tcPr>
          <w:p>
            <w:pPr>
              <w:pStyle w:val="13"/>
              <w:spacing w:line="240" w:lineRule="atLeast"/>
              <w:ind w:left="1080" w:leftChars="257" w:hanging="540"/>
              <w:rPr>
                <w:rFonts w:hAnsi="宋体" w:cs="宋体"/>
                <w:color w:val="auto"/>
                <w:sz w:val="24"/>
              </w:rPr>
            </w:pPr>
          </w:p>
        </w:tc>
        <w:tc>
          <w:tcPr>
            <w:tcW w:w="2520" w:type="dxa"/>
          </w:tcPr>
          <w:p>
            <w:pPr>
              <w:pStyle w:val="13"/>
              <w:spacing w:line="240" w:lineRule="atLeast"/>
              <w:ind w:left="1080" w:leftChars="257" w:hanging="540"/>
              <w:rPr>
                <w:rFonts w:hAnsi="宋体" w:cs="宋体"/>
                <w:color w:val="auto"/>
                <w:sz w:val="24"/>
              </w:rPr>
            </w:pPr>
          </w:p>
        </w:tc>
        <w:tc>
          <w:tcPr>
            <w:tcW w:w="2520" w:type="dxa"/>
          </w:tcPr>
          <w:p>
            <w:pPr>
              <w:pStyle w:val="13"/>
              <w:spacing w:line="240" w:lineRule="atLeast"/>
              <w:ind w:left="1080" w:leftChars="257" w:hanging="540"/>
              <w:rPr>
                <w:rFonts w:hAnsi="宋体" w:cs="宋体"/>
                <w:color w:val="auto"/>
                <w:sz w:val="24"/>
              </w:rPr>
            </w:pPr>
          </w:p>
        </w:tc>
        <w:tc>
          <w:tcPr>
            <w:tcW w:w="900" w:type="dxa"/>
          </w:tcPr>
          <w:p>
            <w:pPr>
              <w:pStyle w:val="13"/>
              <w:spacing w:line="240" w:lineRule="atLeast"/>
              <w:ind w:left="1080" w:leftChars="257" w:hanging="540"/>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Ansi="宋体" w:cs="宋体"/>
                <w:color w:val="auto"/>
                <w:sz w:val="24"/>
              </w:rPr>
            </w:pPr>
          </w:p>
        </w:tc>
        <w:tc>
          <w:tcPr>
            <w:tcW w:w="2040" w:type="dxa"/>
          </w:tcPr>
          <w:p>
            <w:pPr>
              <w:pStyle w:val="13"/>
              <w:spacing w:line="240" w:lineRule="atLeast"/>
              <w:ind w:left="1080" w:leftChars="257" w:hanging="540"/>
              <w:rPr>
                <w:rFonts w:hAnsi="宋体" w:cs="宋体"/>
                <w:color w:val="auto"/>
                <w:sz w:val="24"/>
              </w:rPr>
            </w:pPr>
          </w:p>
        </w:tc>
        <w:tc>
          <w:tcPr>
            <w:tcW w:w="2520" w:type="dxa"/>
          </w:tcPr>
          <w:p>
            <w:pPr>
              <w:pStyle w:val="13"/>
              <w:spacing w:line="240" w:lineRule="atLeast"/>
              <w:ind w:left="1080" w:leftChars="257" w:hanging="540"/>
              <w:rPr>
                <w:rFonts w:hAnsi="宋体" w:cs="宋体"/>
                <w:color w:val="auto"/>
                <w:sz w:val="24"/>
              </w:rPr>
            </w:pPr>
          </w:p>
        </w:tc>
        <w:tc>
          <w:tcPr>
            <w:tcW w:w="2520" w:type="dxa"/>
          </w:tcPr>
          <w:p>
            <w:pPr>
              <w:pStyle w:val="13"/>
              <w:spacing w:line="240" w:lineRule="atLeast"/>
              <w:ind w:left="1080" w:leftChars="257" w:hanging="540"/>
              <w:rPr>
                <w:rFonts w:hAnsi="宋体" w:cs="宋体"/>
                <w:color w:val="auto"/>
                <w:sz w:val="24"/>
              </w:rPr>
            </w:pPr>
          </w:p>
        </w:tc>
        <w:tc>
          <w:tcPr>
            <w:tcW w:w="900" w:type="dxa"/>
          </w:tcPr>
          <w:p>
            <w:pPr>
              <w:pStyle w:val="13"/>
              <w:spacing w:line="240" w:lineRule="atLeast"/>
              <w:ind w:left="1080" w:leftChars="257" w:hanging="540"/>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Ansi="宋体" w:cs="宋体"/>
                <w:color w:val="auto"/>
                <w:sz w:val="24"/>
              </w:rPr>
            </w:pPr>
          </w:p>
        </w:tc>
        <w:tc>
          <w:tcPr>
            <w:tcW w:w="2040" w:type="dxa"/>
          </w:tcPr>
          <w:p>
            <w:pPr>
              <w:pStyle w:val="13"/>
              <w:spacing w:line="240" w:lineRule="atLeast"/>
              <w:ind w:left="1080" w:leftChars="257" w:hanging="540"/>
              <w:rPr>
                <w:rFonts w:hAnsi="宋体" w:cs="宋体"/>
                <w:color w:val="auto"/>
                <w:sz w:val="24"/>
              </w:rPr>
            </w:pPr>
          </w:p>
        </w:tc>
        <w:tc>
          <w:tcPr>
            <w:tcW w:w="2520" w:type="dxa"/>
          </w:tcPr>
          <w:p>
            <w:pPr>
              <w:pStyle w:val="13"/>
              <w:spacing w:line="240" w:lineRule="atLeast"/>
              <w:ind w:left="1080" w:leftChars="257" w:hanging="540"/>
              <w:rPr>
                <w:rFonts w:hAnsi="宋体" w:cs="宋体"/>
                <w:color w:val="auto"/>
                <w:sz w:val="24"/>
              </w:rPr>
            </w:pPr>
          </w:p>
        </w:tc>
        <w:tc>
          <w:tcPr>
            <w:tcW w:w="2520" w:type="dxa"/>
          </w:tcPr>
          <w:p>
            <w:pPr>
              <w:pStyle w:val="13"/>
              <w:spacing w:line="240" w:lineRule="atLeast"/>
              <w:ind w:left="1080" w:leftChars="257" w:hanging="540"/>
              <w:rPr>
                <w:rFonts w:hAnsi="宋体" w:cs="宋体"/>
                <w:color w:val="auto"/>
                <w:sz w:val="24"/>
              </w:rPr>
            </w:pPr>
          </w:p>
        </w:tc>
        <w:tc>
          <w:tcPr>
            <w:tcW w:w="900" w:type="dxa"/>
          </w:tcPr>
          <w:p>
            <w:pPr>
              <w:pStyle w:val="13"/>
              <w:spacing w:line="240" w:lineRule="atLeast"/>
              <w:ind w:left="1080" w:leftChars="257" w:hanging="540"/>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Ansi="宋体" w:cs="宋体"/>
                <w:color w:val="auto"/>
                <w:sz w:val="24"/>
              </w:rPr>
            </w:pPr>
          </w:p>
        </w:tc>
        <w:tc>
          <w:tcPr>
            <w:tcW w:w="2040" w:type="dxa"/>
          </w:tcPr>
          <w:p>
            <w:pPr>
              <w:pStyle w:val="13"/>
              <w:spacing w:line="240" w:lineRule="atLeast"/>
              <w:ind w:left="1080" w:leftChars="257" w:hanging="540"/>
              <w:rPr>
                <w:rFonts w:hAnsi="宋体" w:cs="宋体"/>
                <w:color w:val="auto"/>
                <w:sz w:val="24"/>
              </w:rPr>
            </w:pPr>
          </w:p>
        </w:tc>
        <w:tc>
          <w:tcPr>
            <w:tcW w:w="2520" w:type="dxa"/>
          </w:tcPr>
          <w:p>
            <w:pPr>
              <w:pStyle w:val="13"/>
              <w:spacing w:line="240" w:lineRule="atLeast"/>
              <w:ind w:left="1080" w:leftChars="257" w:hanging="540"/>
              <w:rPr>
                <w:rFonts w:hAnsi="宋体" w:cs="宋体"/>
                <w:color w:val="auto"/>
                <w:sz w:val="24"/>
              </w:rPr>
            </w:pPr>
          </w:p>
        </w:tc>
        <w:tc>
          <w:tcPr>
            <w:tcW w:w="2520" w:type="dxa"/>
          </w:tcPr>
          <w:p>
            <w:pPr>
              <w:pStyle w:val="13"/>
              <w:spacing w:line="240" w:lineRule="atLeast"/>
              <w:ind w:left="1080" w:leftChars="257" w:hanging="540"/>
              <w:rPr>
                <w:rFonts w:hAnsi="宋体" w:cs="宋体"/>
                <w:color w:val="auto"/>
                <w:sz w:val="24"/>
              </w:rPr>
            </w:pPr>
          </w:p>
        </w:tc>
        <w:tc>
          <w:tcPr>
            <w:tcW w:w="900" w:type="dxa"/>
          </w:tcPr>
          <w:p>
            <w:pPr>
              <w:pStyle w:val="13"/>
              <w:spacing w:line="240" w:lineRule="atLeast"/>
              <w:ind w:left="1080" w:leftChars="257" w:hanging="540"/>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Ansi="宋体" w:cs="宋体"/>
                <w:color w:val="auto"/>
                <w:sz w:val="24"/>
              </w:rPr>
            </w:pPr>
          </w:p>
        </w:tc>
        <w:tc>
          <w:tcPr>
            <w:tcW w:w="2040" w:type="dxa"/>
          </w:tcPr>
          <w:p>
            <w:pPr>
              <w:pStyle w:val="13"/>
              <w:spacing w:line="240" w:lineRule="atLeast"/>
              <w:ind w:left="1080" w:leftChars="257" w:hanging="540"/>
              <w:rPr>
                <w:rFonts w:hAnsi="宋体" w:cs="宋体"/>
                <w:color w:val="auto"/>
                <w:sz w:val="24"/>
              </w:rPr>
            </w:pPr>
          </w:p>
        </w:tc>
        <w:tc>
          <w:tcPr>
            <w:tcW w:w="2520" w:type="dxa"/>
          </w:tcPr>
          <w:p>
            <w:pPr>
              <w:pStyle w:val="13"/>
              <w:spacing w:line="240" w:lineRule="atLeast"/>
              <w:ind w:left="1080" w:leftChars="257" w:hanging="540"/>
              <w:rPr>
                <w:rFonts w:hAnsi="宋体" w:cs="宋体"/>
                <w:color w:val="auto"/>
                <w:sz w:val="24"/>
              </w:rPr>
            </w:pPr>
          </w:p>
        </w:tc>
        <w:tc>
          <w:tcPr>
            <w:tcW w:w="2520" w:type="dxa"/>
          </w:tcPr>
          <w:p>
            <w:pPr>
              <w:pStyle w:val="13"/>
              <w:spacing w:line="240" w:lineRule="atLeast"/>
              <w:ind w:left="1080" w:leftChars="257" w:hanging="540"/>
              <w:rPr>
                <w:rFonts w:hAnsi="宋体" w:cs="宋体"/>
                <w:color w:val="auto"/>
                <w:sz w:val="24"/>
              </w:rPr>
            </w:pPr>
          </w:p>
        </w:tc>
        <w:tc>
          <w:tcPr>
            <w:tcW w:w="900" w:type="dxa"/>
          </w:tcPr>
          <w:p>
            <w:pPr>
              <w:pStyle w:val="13"/>
              <w:spacing w:line="240" w:lineRule="atLeast"/>
              <w:ind w:left="1080" w:leftChars="257" w:hanging="540"/>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Ansi="宋体" w:cs="宋体"/>
                <w:color w:val="auto"/>
                <w:sz w:val="24"/>
              </w:rPr>
            </w:pPr>
          </w:p>
        </w:tc>
        <w:tc>
          <w:tcPr>
            <w:tcW w:w="2040" w:type="dxa"/>
          </w:tcPr>
          <w:p>
            <w:pPr>
              <w:pStyle w:val="13"/>
              <w:spacing w:line="240" w:lineRule="atLeast"/>
              <w:ind w:left="1080" w:leftChars="257" w:hanging="540"/>
              <w:rPr>
                <w:rFonts w:hAnsi="宋体" w:cs="宋体"/>
                <w:color w:val="auto"/>
                <w:sz w:val="24"/>
              </w:rPr>
            </w:pPr>
          </w:p>
        </w:tc>
        <w:tc>
          <w:tcPr>
            <w:tcW w:w="2520" w:type="dxa"/>
          </w:tcPr>
          <w:p>
            <w:pPr>
              <w:pStyle w:val="13"/>
              <w:spacing w:line="240" w:lineRule="atLeast"/>
              <w:ind w:left="1080" w:leftChars="257" w:hanging="540"/>
              <w:rPr>
                <w:rFonts w:hAnsi="宋体" w:cs="宋体"/>
                <w:color w:val="auto"/>
                <w:sz w:val="24"/>
              </w:rPr>
            </w:pPr>
          </w:p>
        </w:tc>
        <w:tc>
          <w:tcPr>
            <w:tcW w:w="2520" w:type="dxa"/>
          </w:tcPr>
          <w:p>
            <w:pPr>
              <w:pStyle w:val="13"/>
              <w:spacing w:line="240" w:lineRule="atLeast"/>
              <w:ind w:left="1080" w:leftChars="257" w:hanging="540"/>
              <w:rPr>
                <w:rFonts w:hAnsi="宋体" w:cs="宋体"/>
                <w:color w:val="auto"/>
                <w:sz w:val="24"/>
              </w:rPr>
            </w:pPr>
          </w:p>
        </w:tc>
        <w:tc>
          <w:tcPr>
            <w:tcW w:w="900" w:type="dxa"/>
          </w:tcPr>
          <w:p>
            <w:pPr>
              <w:pStyle w:val="13"/>
              <w:spacing w:line="240" w:lineRule="atLeast"/>
              <w:ind w:left="1080" w:leftChars="257" w:hanging="540"/>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Ansi="宋体" w:cs="宋体"/>
                <w:color w:val="auto"/>
                <w:sz w:val="24"/>
              </w:rPr>
            </w:pPr>
          </w:p>
        </w:tc>
        <w:tc>
          <w:tcPr>
            <w:tcW w:w="2040" w:type="dxa"/>
          </w:tcPr>
          <w:p>
            <w:pPr>
              <w:pStyle w:val="13"/>
              <w:spacing w:line="240" w:lineRule="atLeast"/>
              <w:ind w:left="1080" w:leftChars="257" w:hanging="540"/>
              <w:rPr>
                <w:rFonts w:hAnsi="宋体" w:cs="宋体"/>
                <w:color w:val="auto"/>
                <w:sz w:val="24"/>
              </w:rPr>
            </w:pPr>
          </w:p>
        </w:tc>
        <w:tc>
          <w:tcPr>
            <w:tcW w:w="2520" w:type="dxa"/>
          </w:tcPr>
          <w:p>
            <w:pPr>
              <w:pStyle w:val="13"/>
              <w:spacing w:line="240" w:lineRule="atLeast"/>
              <w:ind w:left="1080" w:leftChars="257" w:hanging="540"/>
              <w:rPr>
                <w:rFonts w:hAnsi="宋体" w:cs="宋体"/>
                <w:color w:val="auto"/>
                <w:sz w:val="24"/>
              </w:rPr>
            </w:pPr>
          </w:p>
        </w:tc>
        <w:tc>
          <w:tcPr>
            <w:tcW w:w="2520" w:type="dxa"/>
          </w:tcPr>
          <w:p>
            <w:pPr>
              <w:pStyle w:val="13"/>
              <w:spacing w:line="240" w:lineRule="atLeast"/>
              <w:ind w:left="1080" w:leftChars="257" w:hanging="540"/>
              <w:rPr>
                <w:rFonts w:hAnsi="宋体" w:cs="宋体"/>
                <w:color w:val="auto"/>
                <w:sz w:val="24"/>
              </w:rPr>
            </w:pPr>
          </w:p>
        </w:tc>
        <w:tc>
          <w:tcPr>
            <w:tcW w:w="900" w:type="dxa"/>
          </w:tcPr>
          <w:p>
            <w:pPr>
              <w:pStyle w:val="13"/>
              <w:spacing w:line="240" w:lineRule="atLeast"/>
              <w:ind w:left="1080" w:leftChars="257" w:hanging="540"/>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Ansi="宋体" w:cs="宋体"/>
                <w:color w:val="auto"/>
                <w:sz w:val="24"/>
              </w:rPr>
            </w:pPr>
          </w:p>
        </w:tc>
        <w:tc>
          <w:tcPr>
            <w:tcW w:w="2040" w:type="dxa"/>
          </w:tcPr>
          <w:p>
            <w:pPr>
              <w:pStyle w:val="13"/>
              <w:spacing w:line="240" w:lineRule="atLeast"/>
              <w:ind w:left="1080" w:leftChars="257" w:hanging="540"/>
              <w:rPr>
                <w:rFonts w:hAnsi="宋体" w:cs="宋体"/>
                <w:color w:val="auto"/>
                <w:sz w:val="24"/>
              </w:rPr>
            </w:pPr>
          </w:p>
        </w:tc>
        <w:tc>
          <w:tcPr>
            <w:tcW w:w="2520" w:type="dxa"/>
          </w:tcPr>
          <w:p>
            <w:pPr>
              <w:pStyle w:val="13"/>
              <w:spacing w:line="240" w:lineRule="atLeast"/>
              <w:ind w:left="1080" w:leftChars="257" w:hanging="540"/>
              <w:rPr>
                <w:rFonts w:hAnsi="宋体" w:cs="宋体"/>
                <w:color w:val="auto"/>
                <w:sz w:val="24"/>
              </w:rPr>
            </w:pPr>
          </w:p>
        </w:tc>
        <w:tc>
          <w:tcPr>
            <w:tcW w:w="2520" w:type="dxa"/>
          </w:tcPr>
          <w:p>
            <w:pPr>
              <w:pStyle w:val="13"/>
              <w:spacing w:line="240" w:lineRule="atLeast"/>
              <w:ind w:left="1080" w:leftChars="257" w:hanging="540"/>
              <w:rPr>
                <w:rFonts w:hAnsi="宋体" w:cs="宋体"/>
                <w:color w:val="auto"/>
                <w:sz w:val="24"/>
              </w:rPr>
            </w:pPr>
          </w:p>
        </w:tc>
        <w:tc>
          <w:tcPr>
            <w:tcW w:w="900" w:type="dxa"/>
          </w:tcPr>
          <w:p>
            <w:pPr>
              <w:pStyle w:val="13"/>
              <w:spacing w:line="240" w:lineRule="atLeast"/>
              <w:ind w:left="1080" w:leftChars="257" w:hanging="540"/>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Ansi="宋体" w:cs="宋体"/>
                <w:color w:val="auto"/>
                <w:sz w:val="24"/>
              </w:rPr>
            </w:pPr>
          </w:p>
        </w:tc>
        <w:tc>
          <w:tcPr>
            <w:tcW w:w="2040" w:type="dxa"/>
          </w:tcPr>
          <w:p>
            <w:pPr>
              <w:pStyle w:val="13"/>
              <w:spacing w:line="240" w:lineRule="atLeast"/>
              <w:ind w:left="1080" w:leftChars="257" w:hanging="540"/>
              <w:rPr>
                <w:rFonts w:hAnsi="宋体" w:cs="宋体"/>
                <w:color w:val="auto"/>
                <w:sz w:val="24"/>
              </w:rPr>
            </w:pPr>
          </w:p>
        </w:tc>
        <w:tc>
          <w:tcPr>
            <w:tcW w:w="2520" w:type="dxa"/>
          </w:tcPr>
          <w:p>
            <w:pPr>
              <w:pStyle w:val="13"/>
              <w:spacing w:line="240" w:lineRule="atLeast"/>
              <w:ind w:left="1080" w:leftChars="257" w:hanging="540"/>
              <w:rPr>
                <w:rFonts w:hAnsi="宋体" w:cs="宋体"/>
                <w:color w:val="auto"/>
                <w:sz w:val="24"/>
              </w:rPr>
            </w:pPr>
          </w:p>
        </w:tc>
        <w:tc>
          <w:tcPr>
            <w:tcW w:w="2520" w:type="dxa"/>
          </w:tcPr>
          <w:p>
            <w:pPr>
              <w:pStyle w:val="13"/>
              <w:spacing w:line="240" w:lineRule="atLeast"/>
              <w:ind w:left="1080" w:leftChars="257" w:hanging="540"/>
              <w:rPr>
                <w:rFonts w:hAnsi="宋体" w:cs="宋体"/>
                <w:color w:val="auto"/>
                <w:sz w:val="24"/>
              </w:rPr>
            </w:pPr>
          </w:p>
        </w:tc>
        <w:tc>
          <w:tcPr>
            <w:tcW w:w="900" w:type="dxa"/>
          </w:tcPr>
          <w:p>
            <w:pPr>
              <w:pStyle w:val="13"/>
              <w:spacing w:line="240" w:lineRule="atLeast"/>
              <w:ind w:left="1080" w:leftChars="257" w:hanging="540"/>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Ansi="宋体" w:cs="宋体"/>
                <w:color w:val="auto"/>
                <w:sz w:val="24"/>
              </w:rPr>
            </w:pPr>
          </w:p>
        </w:tc>
        <w:tc>
          <w:tcPr>
            <w:tcW w:w="2040" w:type="dxa"/>
          </w:tcPr>
          <w:p>
            <w:pPr>
              <w:pStyle w:val="13"/>
              <w:spacing w:line="240" w:lineRule="atLeast"/>
              <w:ind w:left="1080" w:leftChars="257" w:hanging="540"/>
              <w:rPr>
                <w:rFonts w:hAnsi="宋体" w:cs="宋体"/>
                <w:color w:val="auto"/>
                <w:sz w:val="24"/>
              </w:rPr>
            </w:pPr>
          </w:p>
        </w:tc>
        <w:tc>
          <w:tcPr>
            <w:tcW w:w="2520" w:type="dxa"/>
          </w:tcPr>
          <w:p>
            <w:pPr>
              <w:pStyle w:val="13"/>
              <w:spacing w:line="240" w:lineRule="atLeast"/>
              <w:ind w:left="1080" w:leftChars="257" w:hanging="540"/>
              <w:rPr>
                <w:rFonts w:hAnsi="宋体" w:cs="宋体"/>
                <w:color w:val="auto"/>
                <w:sz w:val="24"/>
              </w:rPr>
            </w:pPr>
          </w:p>
        </w:tc>
        <w:tc>
          <w:tcPr>
            <w:tcW w:w="2520" w:type="dxa"/>
          </w:tcPr>
          <w:p>
            <w:pPr>
              <w:pStyle w:val="13"/>
              <w:spacing w:line="240" w:lineRule="atLeast"/>
              <w:ind w:left="1080" w:leftChars="257" w:hanging="540"/>
              <w:rPr>
                <w:rFonts w:hAnsi="宋体" w:cs="宋体"/>
                <w:color w:val="auto"/>
                <w:sz w:val="24"/>
              </w:rPr>
            </w:pPr>
          </w:p>
        </w:tc>
        <w:tc>
          <w:tcPr>
            <w:tcW w:w="900" w:type="dxa"/>
          </w:tcPr>
          <w:p>
            <w:pPr>
              <w:pStyle w:val="13"/>
              <w:spacing w:line="240" w:lineRule="atLeast"/>
              <w:ind w:left="1080" w:leftChars="257" w:hanging="540"/>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Ansi="宋体" w:cs="宋体"/>
                <w:color w:val="auto"/>
                <w:sz w:val="24"/>
              </w:rPr>
            </w:pPr>
          </w:p>
        </w:tc>
        <w:tc>
          <w:tcPr>
            <w:tcW w:w="2040" w:type="dxa"/>
          </w:tcPr>
          <w:p>
            <w:pPr>
              <w:pStyle w:val="13"/>
              <w:spacing w:line="240" w:lineRule="atLeast"/>
              <w:ind w:left="1080" w:leftChars="257" w:hanging="540"/>
              <w:rPr>
                <w:rFonts w:hAnsi="宋体" w:cs="宋体"/>
                <w:color w:val="auto"/>
                <w:sz w:val="24"/>
              </w:rPr>
            </w:pPr>
          </w:p>
        </w:tc>
        <w:tc>
          <w:tcPr>
            <w:tcW w:w="2520" w:type="dxa"/>
          </w:tcPr>
          <w:p>
            <w:pPr>
              <w:pStyle w:val="13"/>
              <w:spacing w:line="240" w:lineRule="atLeast"/>
              <w:ind w:left="1080" w:leftChars="257" w:hanging="540"/>
              <w:rPr>
                <w:rFonts w:hAnsi="宋体" w:cs="宋体"/>
                <w:color w:val="auto"/>
                <w:sz w:val="24"/>
              </w:rPr>
            </w:pPr>
          </w:p>
        </w:tc>
        <w:tc>
          <w:tcPr>
            <w:tcW w:w="2520" w:type="dxa"/>
          </w:tcPr>
          <w:p>
            <w:pPr>
              <w:pStyle w:val="13"/>
              <w:spacing w:line="240" w:lineRule="atLeast"/>
              <w:ind w:left="1080" w:leftChars="257" w:hanging="540"/>
              <w:rPr>
                <w:rFonts w:hAnsi="宋体" w:cs="宋体"/>
                <w:color w:val="auto"/>
                <w:sz w:val="24"/>
              </w:rPr>
            </w:pPr>
          </w:p>
        </w:tc>
        <w:tc>
          <w:tcPr>
            <w:tcW w:w="900" w:type="dxa"/>
          </w:tcPr>
          <w:p>
            <w:pPr>
              <w:pStyle w:val="13"/>
              <w:spacing w:line="240" w:lineRule="atLeast"/>
              <w:ind w:left="1080" w:leftChars="257" w:hanging="540"/>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Ansi="宋体" w:cs="宋体"/>
                <w:color w:val="auto"/>
                <w:sz w:val="24"/>
              </w:rPr>
            </w:pPr>
          </w:p>
        </w:tc>
        <w:tc>
          <w:tcPr>
            <w:tcW w:w="2040" w:type="dxa"/>
          </w:tcPr>
          <w:p>
            <w:pPr>
              <w:pStyle w:val="13"/>
              <w:spacing w:line="240" w:lineRule="atLeast"/>
              <w:ind w:left="1080" w:leftChars="257" w:hanging="540"/>
              <w:rPr>
                <w:rFonts w:hAnsi="宋体" w:cs="宋体"/>
                <w:color w:val="auto"/>
                <w:sz w:val="24"/>
              </w:rPr>
            </w:pPr>
          </w:p>
        </w:tc>
        <w:tc>
          <w:tcPr>
            <w:tcW w:w="2520" w:type="dxa"/>
          </w:tcPr>
          <w:p>
            <w:pPr>
              <w:pStyle w:val="13"/>
              <w:spacing w:line="240" w:lineRule="atLeast"/>
              <w:ind w:left="1080" w:leftChars="257" w:hanging="540"/>
              <w:rPr>
                <w:rFonts w:hAnsi="宋体" w:cs="宋体"/>
                <w:color w:val="auto"/>
                <w:sz w:val="24"/>
              </w:rPr>
            </w:pPr>
          </w:p>
        </w:tc>
        <w:tc>
          <w:tcPr>
            <w:tcW w:w="2520" w:type="dxa"/>
          </w:tcPr>
          <w:p>
            <w:pPr>
              <w:pStyle w:val="13"/>
              <w:spacing w:line="240" w:lineRule="atLeast"/>
              <w:ind w:left="1080" w:leftChars="257" w:hanging="540"/>
              <w:rPr>
                <w:rFonts w:hAnsi="宋体" w:cs="宋体"/>
                <w:color w:val="auto"/>
                <w:sz w:val="24"/>
              </w:rPr>
            </w:pPr>
          </w:p>
        </w:tc>
        <w:tc>
          <w:tcPr>
            <w:tcW w:w="900" w:type="dxa"/>
          </w:tcPr>
          <w:p>
            <w:pPr>
              <w:pStyle w:val="13"/>
              <w:spacing w:line="240" w:lineRule="atLeast"/>
              <w:ind w:left="1080" w:leftChars="257" w:hanging="540"/>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Ansi="宋体" w:cs="宋体"/>
                <w:color w:val="auto"/>
                <w:sz w:val="24"/>
              </w:rPr>
            </w:pPr>
          </w:p>
        </w:tc>
        <w:tc>
          <w:tcPr>
            <w:tcW w:w="2040" w:type="dxa"/>
          </w:tcPr>
          <w:p>
            <w:pPr>
              <w:pStyle w:val="13"/>
              <w:spacing w:line="240" w:lineRule="atLeast"/>
              <w:ind w:left="1080" w:leftChars="257" w:hanging="540"/>
              <w:rPr>
                <w:rFonts w:hAnsi="宋体" w:cs="宋体"/>
                <w:color w:val="auto"/>
                <w:sz w:val="24"/>
              </w:rPr>
            </w:pPr>
          </w:p>
        </w:tc>
        <w:tc>
          <w:tcPr>
            <w:tcW w:w="2520" w:type="dxa"/>
          </w:tcPr>
          <w:p>
            <w:pPr>
              <w:pStyle w:val="13"/>
              <w:spacing w:line="240" w:lineRule="atLeast"/>
              <w:ind w:left="1080" w:leftChars="257" w:hanging="540"/>
              <w:rPr>
                <w:rFonts w:hAnsi="宋体" w:cs="宋体"/>
                <w:color w:val="auto"/>
                <w:sz w:val="24"/>
              </w:rPr>
            </w:pPr>
          </w:p>
        </w:tc>
        <w:tc>
          <w:tcPr>
            <w:tcW w:w="2520" w:type="dxa"/>
          </w:tcPr>
          <w:p>
            <w:pPr>
              <w:pStyle w:val="13"/>
              <w:spacing w:line="240" w:lineRule="atLeast"/>
              <w:ind w:left="1080" w:leftChars="257" w:hanging="540"/>
              <w:rPr>
                <w:rFonts w:hAnsi="宋体" w:cs="宋体"/>
                <w:color w:val="auto"/>
                <w:sz w:val="24"/>
              </w:rPr>
            </w:pPr>
          </w:p>
        </w:tc>
        <w:tc>
          <w:tcPr>
            <w:tcW w:w="900" w:type="dxa"/>
          </w:tcPr>
          <w:p>
            <w:pPr>
              <w:pStyle w:val="13"/>
              <w:spacing w:line="240" w:lineRule="atLeast"/>
              <w:ind w:left="1080" w:leftChars="257" w:hanging="540"/>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Ansi="宋体" w:cs="宋体"/>
                <w:color w:val="auto"/>
                <w:sz w:val="24"/>
              </w:rPr>
            </w:pPr>
          </w:p>
        </w:tc>
        <w:tc>
          <w:tcPr>
            <w:tcW w:w="2040" w:type="dxa"/>
          </w:tcPr>
          <w:p>
            <w:pPr>
              <w:pStyle w:val="13"/>
              <w:spacing w:line="240" w:lineRule="atLeast"/>
              <w:ind w:left="1080" w:leftChars="257" w:hanging="540"/>
              <w:rPr>
                <w:rFonts w:hAnsi="宋体" w:cs="宋体"/>
                <w:color w:val="auto"/>
                <w:sz w:val="24"/>
              </w:rPr>
            </w:pPr>
          </w:p>
        </w:tc>
        <w:tc>
          <w:tcPr>
            <w:tcW w:w="2520" w:type="dxa"/>
          </w:tcPr>
          <w:p>
            <w:pPr>
              <w:pStyle w:val="13"/>
              <w:spacing w:line="240" w:lineRule="atLeast"/>
              <w:ind w:left="1080" w:leftChars="257" w:hanging="540"/>
              <w:rPr>
                <w:rFonts w:hAnsi="宋体" w:cs="宋体"/>
                <w:color w:val="auto"/>
                <w:sz w:val="24"/>
              </w:rPr>
            </w:pPr>
          </w:p>
        </w:tc>
        <w:tc>
          <w:tcPr>
            <w:tcW w:w="2520" w:type="dxa"/>
          </w:tcPr>
          <w:p>
            <w:pPr>
              <w:pStyle w:val="13"/>
              <w:spacing w:line="240" w:lineRule="atLeast"/>
              <w:ind w:left="1080" w:leftChars="257" w:hanging="540"/>
              <w:rPr>
                <w:rFonts w:hAnsi="宋体" w:cs="宋体"/>
                <w:color w:val="auto"/>
                <w:sz w:val="24"/>
              </w:rPr>
            </w:pPr>
          </w:p>
        </w:tc>
        <w:tc>
          <w:tcPr>
            <w:tcW w:w="900" w:type="dxa"/>
          </w:tcPr>
          <w:p>
            <w:pPr>
              <w:pStyle w:val="13"/>
              <w:spacing w:line="240" w:lineRule="atLeast"/>
              <w:ind w:left="1080" w:leftChars="257" w:hanging="540"/>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Ansi="宋体" w:cs="宋体"/>
                <w:color w:val="auto"/>
                <w:sz w:val="24"/>
              </w:rPr>
            </w:pPr>
          </w:p>
        </w:tc>
        <w:tc>
          <w:tcPr>
            <w:tcW w:w="2040" w:type="dxa"/>
          </w:tcPr>
          <w:p>
            <w:pPr>
              <w:pStyle w:val="13"/>
              <w:spacing w:line="240" w:lineRule="atLeast"/>
              <w:ind w:left="1080" w:leftChars="257" w:hanging="540"/>
              <w:rPr>
                <w:rFonts w:hAnsi="宋体" w:cs="宋体"/>
                <w:color w:val="auto"/>
                <w:sz w:val="24"/>
              </w:rPr>
            </w:pPr>
          </w:p>
        </w:tc>
        <w:tc>
          <w:tcPr>
            <w:tcW w:w="2520" w:type="dxa"/>
          </w:tcPr>
          <w:p>
            <w:pPr>
              <w:pStyle w:val="13"/>
              <w:spacing w:line="240" w:lineRule="atLeast"/>
              <w:ind w:left="1080" w:leftChars="257" w:hanging="540"/>
              <w:rPr>
                <w:rFonts w:hAnsi="宋体" w:cs="宋体"/>
                <w:color w:val="auto"/>
                <w:sz w:val="24"/>
              </w:rPr>
            </w:pPr>
          </w:p>
        </w:tc>
        <w:tc>
          <w:tcPr>
            <w:tcW w:w="2520" w:type="dxa"/>
          </w:tcPr>
          <w:p>
            <w:pPr>
              <w:pStyle w:val="13"/>
              <w:spacing w:line="240" w:lineRule="atLeast"/>
              <w:ind w:left="1080" w:leftChars="257" w:hanging="540"/>
              <w:rPr>
                <w:rFonts w:hAnsi="宋体" w:cs="宋体"/>
                <w:color w:val="auto"/>
                <w:sz w:val="24"/>
              </w:rPr>
            </w:pPr>
          </w:p>
        </w:tc>
        <w:tc>
          <w:tcPr>
            <w:tcW w:w="900" w:type="dxa"/>
          </w:tcPr>
          <w:p>
            <w:pPr>
              <w:pStyle w:val="13"/>
              <w:spacing w:line="240" w:lineRule="atLeast"/>
              <w:ind w:left="1080" w:leftChars="257" w:hanging="540"/>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Ansi="宋体" w:cs="宋体"/>
                <w:color w:val="auto"/>
                <w:sz w:val="24"/>
              </w:rPr>
            </w:pPr>
          </w:p>
        </w:tc>
        <w:tc>
          <w:tcPr>
            <w:tcW w:w="2040" w:type="dxa"/>
          </w:tcPr>
          <w:p>
            <w:pPr>
              <w:pStyle w:val="13"/>
              <w:spacing w:line="240" w:lineRule="atLeast"/>
              <w:ind w:left="1080" w:leftChars="257" w:hanging="540"/>
              <w:rPr>
                <w:rFonts w:hAnsi="宋体" w:cs="宋体"/>
                <w:color w:val="auto"/>
                <w:sz w:val="24"/>
              </w:rPr>
            </w:pPr>
          </w:p>
        </w:tc>
        <w:tc>
          <w:tcPr>
            <w:tcW w:w="2520" w:type="dxa"/>
          </w:tcPr>
          <w:p>
            <w:pPr>
              <w:pStyle w:val="13"/>
              <w:spacing w:line="240" w:lineRule="atLeast"/>
              <w:ind w:left="1080" w:leftChars="257" w:hanging="540"/>
              <w:rPr>
                <w:rFonts w:hAnsi="宋体" w:cs="宋体"/>
                <w:color w:val="auto"/>
                <w:sz w:val="24"/>
              </w:rPr>
            </w:pPr>
          </w:p>
        </w:tc>
        <w:tc>
          <w:tcPr>
            <w:tcW w:w="2520" w:type="dxa"/>
          </w:tcPr>
          <w:p>
            <w:pPr>
              <w:pStyle w:val="13"/>
              <w:spacing w:line="240" w:lineRule="atLeast"/>
              <w:ind w:left="1080" w:leftChars="257" w:hanging="540"/>
              <w:rPr>
                <w:rFonts w:hAnsi="宋体" w:cs="宋体"/>
                <w:color w:val="auto"/>
                <w:sz w:val="24"/>
              </w:rPr>
            </w:pPr>
          </w:p>
        </w:tc>
        <w:tc>
          <w:tcPr>
            <w:tcW w:w="900" w:type="dxa"/>
          </w:tcPr>
          <w:p>
            <w:pPr>
              <w:pStyle w:val="13"/>
              <w:spacing w:line="240" w:lineRule="atLeast"/>
              <w:ind w:left="1080" w:leftChars="257" w:hanging="540"/>
              <w:rPr>
                <w:rFonts w:hAnsi="宋体" w:cs="宋体"/>
                <w:color w:val="auto"/>
                <w:sz w:val="24"/>
              </w:rPr>
            </w:pPr>
          </w:p>
        </w:tc>
      </w:tr>
    </w:tbl>
    <w:p>
      <w:pPr>
        <w:pStyle w:val="13"/>
        <w:spacing w:line="240" w:lineRule="atLeast"/>
        <w:ind w:left="1080" w:leftChars="257" w:hanging="540"/>
        <w:rPr>
          <w:rFonts w:hAnsi="宋体" w:cs="宋体"/>
          <w:color w:val="auto"/>
          <w:sz w:val="24"/>
        </w:rPr>
      </w:pPr>
    </w:p>
    <w:p>
      <w:pPr>
        <w:pStyle w:val="13"/>
        <w:spacing w:line="240" w:lineRule="atLeast"/>
        <w:ind w:left="1080" w:leftChars="257" w:hanging="540"/>
        <w:rPr>
          <w:rFonts w:hAnsi="宋体" w:cs="宋体"/>
          <w:color w:val="auto"/>
          <w:sz w:val="24"/>
        </w:rPr>
      </w:pPr>
    </w:p>
    <w:p>
      <w:pPr>
        <w:pStyle w:val="13"/>
        <w:spacing w:line="240" w:lineRule="atLeast"/>
        <w:ind w:left="1080" w:leftChars="257" w:hanging="540"/>
        <w:rPr>
          <w:rFonts w:hAnsi="宋体" w:cs="宋体"/>
          <w:color w:val="auto"/>
          <w:sz w:val="24"/>
        </w:rPr>
      </w:pPr>
      <w:r>
        <w:rPr>
          <w:rFonts w:hint="eastAsia" w:hAnsi="宋体" w:cs="宋体"/>
          <w:color w:val="auto"/>
          <w:sz w:val="24"/>
        </w:rPr>
        <w:t>法定代表人或其委托代理人签字:</w:t>
      </w:r>
      <w:r>
        <w:rPr>
          <w:rFonts w:hint="eastAsia" w:hAnsi="宋体" w:cs="宋体"/>
          <w:color w:val="auto"/>
          <w:sz w:val="24"/>
          <w:u w:val="single"/>
        </w:rPr>
        <w:t xml:space="preserve">           </w:t>
      </w:r>
      <w:r>
        <w:rPr>
          <w:rFonts w:hint="eastAsia" w:hAnsi="宋体" w:cs="宋体"/>
          <w:color w:val="auto"/>
          <w:sz w:val="24"/>
          <w:u w:val="single"/>
        </w:rPr>
        <w:tab/>
      </w:r>
      <w:r>
        <w:rPr>
          <w:rFonts w:hint="eastAsia" w:hAnsi="宋体" w:cs="宋体"/>
          <w:color w:val="auto"/>
          <w:sz w:val="24"/>
          <w:u w:val="single"/>
        </w:rPr>
        <w:t xml:space="preserve">                 </w:t>
      </w:r>
    </w:p>
    <w:p>
      <w:pPr>
        <w:pStyle w:val="13"/>
        <w:tabs>
          <w:tab w:val="left" w:pos="5370"/>
        </w:tabs>
        <w:spacing w:line="240" w:lineRule="atLeast"/>
        <w:ind w:left="1080" w:leftChars="257" w:hanging="540"/>
        <w:rPr>
          <w:rFonts w:hAnsi="宋体" w:cs="宋体"/>
          <w:color w:val="auto"/>
          <w:sz w:val="24"/>
          <w:u w:val="single"/>
        </w:rPr>
      </w:pPr>
      <w:r>
        <w:rPr>
          <w:rFonts w:hint="eastAsia" w:hAnsi="宋体" w:cs="宋体"/>
          <w:color w:val="auto"/>
          <w:sz w:val="24"/>
        </w:rPr>
        <w:t>投标人(盖单位章):</w:t>
      </w:r>
      <w:r>
        <w:rPr>
          <w:rFonts w:hint="eastAsia" w:hAnsi="宋体" w:cs="宋体"/>
          <w:color w:val="auto"/>
          <w:sz w:val="24"/>
          <w:u w:val="single"/>
        </w:rPr>
        <w:tab/>
      </w:r>
    </w:p>
    <w:p>
      <w:pPr>
        <w:pStyle w:val="4"/>
        <w:rPr>
          <w:rFonts w:ascii="宋体" w:hAnsi="宋体" w:cs="宋体"/>
          <w:b w:val="0"/>
          <w:bCs w:val="0"/>
          <w:color w:val="auto"/>
          <w:sz w:val="28"/>
          <w:szCs w:val="28"/>
        </w:rPr>
      </w:pPr>
    </w:p>
    <w:p>
      <w:pPr>
        <w:pStyle w:val="13"/>
        <w:spacing w:line="400" w:lineRule="exact"/>
        <w:rPr>
          <w:rFonts w:hAnsi="宋体" w:cs="宋体"/>
          <w:color w:val="auto"/>
          <w:sz w:val="24"/>
        </w:rPr>
      </w:pPr>
    </w:p>
    <w:p>
      <w:pPr>
        <w:pStyle w:val="14"/>
        <w:ind w:left="2520"/>
      </w:pPr>
    </w:p>
    <w:p>
      <w:pPr>
        <w:pStyle w:val="13"/>
        <w:spacing w:line="400" w:lineRule="exact"/>
        <w:rPr>
          <w:rFonts w:hAnsi="宋体" w:cs="宋体"/>
          <w:color w:val="auto"/>
          <w:sz w:val="24"/>
        </w:rPr>
      </w:pPr>
    </w:p>
    <w:p>
      <w:pPr>
        <w:pStyle w:val="13"/>
        <w:spacing w:line="400" w:lineRule="exact"/>
        <w:rPr>
          <w:rFonts w:hAnsi="宋体" w:cs="宋体"/>
          <w:color w:val="auto"/>
          <w:sz w:val="24"/>
        </w:rPr>
      </w:pPr>
      <w:r>
        <w:rPr>
          <w:rFonts w:hint="eastAsia" w:hAnsi="宋体" w:cs="宋体"/>
          <w:color w:val="auto"/>
          <w:sz w:val="24"/>
        </w:rPr>
        <w:t>6、符合《政府采购促进中小企业发展暂行办法》、《关于政府采购支持监狱企业发展有关问题的通知》和《三部门联合发布关于促进残疾人就业政府采购政策的通知》条件的投标人提交）</w:t>
      </w:r>
    </w:p>
    <w:p>
      <w:pPr>
        <w:pStyle w:val="3"/>
        <w:numPr>
          <w:ilvl w:val="0"/>
          <w:numId w:val="0"/>
        </w:numPr>
        <w:spacing w:line="240" w:lineRule="atLeast"/>
        <w:rPr>
          <w:rFonts w:ascii="宋体" w:hAnsi="宋体" w:cs="宋体"/>
        </w:rPr>
      </w:pPr>
    </w:p>
    <w:p>
      <w:pPr>
        <w:pStyle w:val="3"/>
        <w:numPr>
          <w:ilvl w:val="0"/>
          <w:numId w:val="0"/>
        </w:numPr>
        <w:spacing w:line="240" w:lineRule="atLeast"/>
        <w:jc w:val="center"/>
        <w:rPr>
          <w:rFonts w:ascii="宋体" w:hAnsi="宋体" w:cs="宋体"/>
        </w:rPr>
      </w:pPr>
      <w:r>
        <w:rPr>
          <w:rFonts w:hint="eastAsia" w:ascii="宋体" w:hAnsi="宋体" w:cs="宋体"/>
        </w:rPr>
        <w:t>6-1  投标人企业（单位）类型声明函（投标文件格式十）</w:t>
      </w:r>
    </w:p>
    <w:p>
      <w:pPr>
        <w:pStyle w:val="10"/>
        <w:spacing w:before="163" w:line="229" w:lineRule="auto"/>
      </w:pPr>
    </w:p>
    <w:p>
      <w:pPr>
        <w:spacing w:before="191" w:line="225" w:lineRule="auto"/>
        <w:ind w:left="2229"/>
        <w:rPr>
          <w:rFonts w:ascii="宋体" w:hAnsi="宋体" w:cs="宋体"/>
          <w:sz w:val="35"/>
          <w:szCs w:val="35"/>
        </w:rPr>
      </w:pPr>
      <w:r>
        <w:rPr>
          <w:rFonts w:ascii="宋体" w:hAnsi="宋体" w:cs="宋体"/>
          <w:spacing w:val="5"/>
          <w:sz w:val="35"/>
          <w:szCs w:val="35"/>
          <w14:textOutline w14:w="6540" w14:cap="sq" w14:cmpd="sng" w14:algn="ctr">
            <w14:solidFill>
              <w14:srgbClr w14:val="000000"/>
            </w14:solidFill>
            <w14:prstDash w14:val="solid"/>
            <w14:bevel/>
          </w14:textOutline>
        </w:rPr>
        <w:t>中小企业声明函（货物）</w:t>
      </w:r>
    </w:p>
    <w:p>
      <w:pPr>
        <w:spacing w:line="271" w:lineRule="auto"/>
        <w:rPr>
          <w:rFonts w:ascii="Arial"/>
        </w:rPr>
      </w:pPr>
    </w:p>
    <w:p>
      <w:pPr>
        <w:spacing w:line="272" w:lineRule="auto"/>
        <w:rPr>
          <w:rFonts w:ascii="Arial"/>
        </w:rPr>
      </w:pP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numPr>
          <w:ilvl w:val="0"/>
          <w:numId w:val="13"/>
        </w:numPr>
        <w:spacing w:line="360" w:lineRule="auto"/>
        <w:ind w:firstLine="480" w:firstLineChars="200"/>
        <w:rPr>
          <w:rFonts w:ascii="宋体" w:hAnsi="宋体" w:cs="宋体"/>
          <w:sz w:val="24"/>
        </w:rPr>
      </w:pPr>
      <w:r>
        <w:rPr>
          <w:rFonts w:hint="eastAsia" w:ascii="宋体" w:hAnsi="宋体" w:cs="宋体"/>
          <w:sz w:val="24"/>
          <w:u w:val="single"/>
        </w:rPr>
        <w:t xml:space="preserve">    （标的名称）</w:t>
      </w:r>
      <w:r>
        <w:rPr>
          <w:rFonts w:hint="eastAsia" w:ascii="宋体" w:hAnsi="宋体" w:cs="宋体"/>
          <w:sz w:val="24"/>
        </w:rPr>
        <w:t>，属于</w:t>
      </w:r>
      <w:r>
        <w:rPr>
          <w:rFonts w:hint="eastAsia" w:ascii="宋体" w:hAnsi="宋体" w:cs="宋体"/>
          <w:sz w:val="24"/>
          <w:u w:val="single"/>
        </w:rPr>
        <w:t xml:space="preserve">    （采购文件中明确的所属行业） </w:t>
      </w:r>
      <w:r>
        <w:rPr>
          <w:rFonts w:hint="eastAsia" w:ascii="宋体" w:hAnsi="宋体" w:cs="宋体"/>
          <w:sz w:val="24"/>
        </w:rPr>
        <w:t>；制造商为</w:t>
      </w:r>
      <w:r>
        <w:rPr>
          <w:rFonts w:hint="eastAsia" w:ascii="宋体" w:hAnsi="宋体" w:cs="宋体"/>
          <w:sz w:val="24"/>
          <w:u w:val="single"/>
        </w:rPr>
        <w:t xml:space="preserve">   （企业名称）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2. </w:t>
      </w:r>
      <w:r>
        <w:rPr>
          <w:rFonts w:hint="eastAsia" w:ascii="宋体" w:hAnsi="宋体" w:cs="宋体"/>
          <w:sz w:val="24"/>
          <w:u w:val="single"/>
        </w:rPr>
        <w:t xml:space="preserve">     （标的名称）</w:t>
      </w:r>
      <w:r>
        <w:rPr>
          <w:rFonts w:hint="eastAsia" w:ascii="宋体" w:hAnsi="宋体" w:cs="宋体"/>
          <w:sz w:val="24"/>
        </w:rPr>
        <w:t>，属于</w:t>
      </w:r>
      <w:r>
        <w:rPr>
          <w:rFonts w:hint="eastAsia" w:ascii="宋体" w:hAnsi="宋体" w:cs="宋体"/>
          <w:sz w:val="24"/>
          <w:u w:val="single"/>
        </w:rPr>
        <w:t xml:space="preserve">    （采购文件中明确的所属行业） </w:t>
      </w:r>
      <w:r>
        <w:rPr>
          <w:rFonts w:hint="eastAsia" w:ascii="宋体" w:hAnsi="宋体" w:cs="宋体"/>
          <w:sz w:val="24"/>
        </w:rPr>
        <w:t>；制造商为</w:t>
      </w:r>
      <w:r>
        <w:rPr>
          <w:rFonts w:hint="eastAsia" w:ascii="宋体" w:hAnsi="宋体" w:cs="宋体"/>
          <w:sz w:val="24"/>
          <w:u w:val="single"/>
        </w:rPr>
        <w:t xml:space="preserve">    （企业名称）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firstLine="480" w:firstLineChars="200"/>
        <w:rPr>
          <w:rFonts w:ascii="宋体" w:hAnsi="宋体" w:cs="宋体"/>
          <w:sz w:val="24"/>
        </w:rPr>
      </w:pPr>
      <w:r>
        <w:rPr>
          <w:rFonts w:hint="eastAsia" w:ascii="宋体" w:hAnsi="宋体" w:cs="宋体"/>
          <w:sz w:val="24"/>
        </w:rPr>
        <w:t xml:space="preserve">                     </w:t>
      </w:r>
    </w:p>
    <w:p>
      <w:pPr>
        <w:spacing w:line="360" w:lineRule="auto"/>
        <w:ind w:firstLine="480" w:firstLineChars="200"/>
        <w:rPr>
          <w:rFonts w:ascii="宋体" w:hAnsi="宋体" w:cs="宋体"/>
          <w:sz w:val="24"/>
        </w:rPr>
      </w:pPr>
    </w:p>
    <w:p>
      <w:pPr>
        <w:spacing w:line="360" w:lineRule="auto"/>
        <w:ind w:firstLine="4560" w:firstLineChars="1900"/>
        <w:rPr>
          <w:rFonts w:ascii="宋体" w:hAnsi="宋体" w:cs="宋体"/>
          <w:sz w:val="24"/>
        </w:rPr>
      </w:pPr>
      <w:r>
        <w:rPr>
          <w:rFonts w:hint="eastAsia" w:ascii="宋体" w:hAnsi="宋体" w:cs="宋体"/>
          <w:sz w:val="24"/>
        </w:rPr>
        <w:t xml:space="preserve"> 企业名称（盖章）：</w:t>
      </w:r>
    </w:p>
    <w:p>
      <w:pPr>
        <w:spacing w:line="360" w:lineRule="auto"/>
        <w:ind w:firstLine="480" w:firstLineChars="200"/>
        <w:rPr>
          <w:rFonts w:ascii="宋体" w:hAnsi="宋体" w:cs="宋体"/>
          <w:sz w:val="24"/>
        </w:rPr>
      </w:pPr>
      <w:r>
        <w:rPr>
          <w:rFonts w:hint="eastAsia" w:ascii="宋体" w:hAnsi="宋体" w:cs="宋体"/>
          <w:sz w:val="24"/>
        </w:rPr>
        <w:t xml:space="preserve">                                               日期：</w:t>
      </w:r>
    </w:p>
    <w:p>
      <w:pPr>
        <w:pStyle w:val="10"/>
        <w:rPr>
          <w:rFonts w:ascii="宋体" w:hAnsi="宋体" w:cs="宋体"/>
          <w:kern w:val="0"/>
          <w:sz w:val="24"/>
        </w:rPr>
      </w:pPr>
    </w:p>
    <w:p>
      <w:pPr>
        <w:rPr>
          <w:rFonts w:ascii="宋体" w:hAnsi="宋体" w:cs="宋体"/>
          <w:kern w:val="0"/>
          <w:sz w:val="24"/>
        </w:rPr>
      </w:pPr>
    </w:p>
    <w:p>
      <w:pPr>
        <w:pStyle w:val="10"/>
        <w:sectPr>
          <w:footerReference r:id="rId5" w:type="default"/>
          <w:pgSz w:w="11906" w:h="16839"/>
          <w:pgMar w:top="1431" w:right="1566" w:bottom="1378" w:left="1785" w:header="0" w:footer="1212" w:gutter="0"/>
          <w:cols w:space="720" w:num="1"/>
        </w:sectPr>
      </w:pPr>
      <w:r>
        <w:rPr>
          <w:rFonts w:hint="eastAsia"/>
        </w:rPr>
        <w:t>注；从业人员、营业收入、资产总额填报上一年度数据，无上一年度数据的新成立企业可不填报</w:t>
      </w:r>
    </w:p>
    <w:p>
      <w:pPr>
        <w:widowControl/>
        <w:spacing w:before="100" w:beforeAutospacing="1" w:after="100" w:afterAutospacing="1" w:line="330" w:lineRule="atLeast"/>
        <w:jc w:val="left"/>
        <w:rPr>
          <w:rFonts w:ascii="宋体" w:hAnsi="宋体" w:cs="宋体"/>
          <w:kern w:val="0"/>
          <w:sz w:val="24"/>
        </w:rPr>
      </w:pPr>
    </w:p>
    <w:p/>
    <w:p>
      <w:pPr>
        <w:pStyle w:val="3"/>
        <w:numPr>
          <w:ilvl w:val="0"/>
          <w:numId w:val="0"/>
        </w:numPr>
        <w:spacing w:line="240" w:lineRule="atLeast"/>
        <w:rPr>
          <w:rFonts w:ascii="宋体" w:hAnsi="宋体" w:cs="宋体"/>
        </w:rPr>
      </w:pPr>
      <w:r>
        <w:rPr>
          <w:rFonts w:hint="eastAsia" w:ascii="宋体" w:hAnsi="宋体" w:cs="宋体"/>
        </w:rPr>
        <w:t>6-2   制造商企业（单位）类型声明函（投标文件格式十一）</w:t>
      </w:r>
    </w:p>
    <w:p>
      <w:pPr>
        <w:spacing w:line="240" w:lineRule="atLeast"/>
        <w:ind w:left="1100" w:leftChars="257" w:hanging="540"/>
        <w:jc w:val="center"/>
        <w:rPr>
          <w:rFonts w:ascii="宋体" w:hAnsi="宋体" w:cs="宋体"/>
          <w:kern w:val="0"/>
          <w:sz w:val="24"/>
          <w:szCs w:val="20"/>
        </w:rPr>
      </w:pPr>
    </w:p>
    <w:p>
      <w:pPr>
        <w:pStyle w:val="3"/>
        <w:numPr>
          <w:ilvl w:val="0"/>
          <w:numId w:val="0"/>
        </w:numPr>
        <w:spacing w:line="240" w:lineRule="atLeast"/>
        <w:jc w:val="center"/>
        <w:rPr>
          <w:rFonts w:ascii="宋体" w:hAnsi="宋体" w:cs="宋体"/>
        </w:rPr>
      </w:pPr>
      <w:bookmarkStart w:id="121" w:name="_Toc10877"/>
      <w:bookmarkStart w:id="122" w:name="_Toc16679"/>
      <w:r>
        <w:rPr>
          <w:rFonts w:hint="eastAsia" w:ascii="宋体" w:hAnsi="宋体" w:cs="宋体"/>
        </w:rPr>
        <w:t>6-2   制造商企业（单位）类型声明函</w:t>
      </w:r>
      <w:bookmarkEnd w:id="121"/>
      <w:bookmarkEnd w:id="122"/>
    </w:p>
    <w:p>
      <w:pPr>
        <w:spacing w:line="240" w:lineRule="atLeast"/>
        <w:ind w:left="1100" w:leftChars="257" w:hanging="540"/>
        <w:jc w:val="center"/>
        <w:rPr>
          <w:rFonts w:ascii="宋体" w:hAnsi="宋体" w:cs="宋体"/>
          <w:kern w:val="0"/>
          <w:sz w:val="24"/>
          <w:szCs w:val="20"/>
        </w:rPr>
      </w:pPr>
    </w:p>
    <w:p>
      <w:pPr>
        <w:widowControl/>
        <w:spacing w:before="100" w:beforeAutospacing="1" w:after="100" w:afterAutospacing="1" w:line="330" w:lineRule="atLeast"/>
        <w:ind w:firstLine="420"/>
        <w:jc w:val="left"/>
        <w:rPr>
          <w:rFonts w:ascii="宋体" w:hAnsi="宋体" w:cs="宋体"/>
          <w:kern w:val="0"/>
          <w:sz w:val="24"/>
        </w:rPr>
      </w:pPr>
      <w:r>
        <w:rPr>
          <w:rFonts w:hint="eastAsia" w:ascii="宋体" w:hAnsi="宋体" w:cs="宋体"/>
          <w:kern w:val="0"/>
          <w:sz w:val="24"/>
        </w:rPr>
        <w:t>本企业（单位）作为______单位的______ 项目的设备制造商，参加政府采购活动。根据《政府采购促进中小企业发展暂行办法》（财库[2020]46号），《工业和信息化部、国家统计局、国家发展和改革委员会、财政部关于印发中小企业划型标准规定的通知》（工信部联企业[2011]300号）、《财政部、司法部关于政府采购支持监狱企业发展有关问题的通知》（财库〔2014〕68号）以及《关于促进残疾人就业政府采购政策的通知》（财库〔2017〕141号）的有关规定，作出如下声明：</w:t>
      </w:r>
    </w:p>
    <w:p>
      <w:pPr>
        <w:widowControl/>
        <w:spacing w:before="100" w:beforeAutospacing="1" w:after="100" w:afterAutospacing="1" w:line="330" w:lineRule="atLeast"/>
        <w:ind w:firstLine="420"/>
        <w:jc w:val="left"/>
        <w:rPr>
          <w:rFonts w:ascii="宋体" w:hAnsi="宋体" w:cs="宋体"/>
          <w:kern w:val="0"/>
          <w:sz w:val="24"/>
        </w:rPr>
      </w:pPr>
      <w:r>
        <w:rPr>
          <w:rFonts w:hint="eastAsia" w:ascii="宋体" w:hAnsi="宋体" w:cs="宋体"/>
          <w:kern w:val="0"/>
          <w:sz w:val="24"/>
        </w:rPr>
        <w:t>本企业为______（请填写：中型、小型、微型）企业。</w:t>
      </w:r>
    </w:p>
    <w:p>
      <w:pPr>
        <w:widowControl/>
        <w:spacing w:before="100" w:beforeAutospacing="1" w:after="100" w:afterAutospacing="1" w:line="330" w:lineRule="atLeast"/>
        <w:ind w:firstLine="420"/>
        <w:jc w:val="left"/>
        <w:rPr>
          <w:rFonts w:ascii="宋体" w:hAnsi="宋体" w:cs="宋体"/>
          <w:kern w:val="0"/>
          <w:sz w:val="24"/>
        </w:rPr>
      </w:pPr>
      <w:r>
        <w:rPr>
          <w:rFonts w:hint="eastAsia" w:ascii="宋体" w:hAnsi="宋体" w:cs="宋体"/>
          <w:kern w:val="0"/>
          <w:sz w:val="24"/>
        </w:rPr>
        <w:t>本企业</w:t>
      </w:r>
      <w:r>
        <w:rPr>
          <w:rFonts w:hint="eastAsia" w:ascii="宋体" w:hAnsi="宋体" w:cs="宋体"/>
          <w:kern w:val="0"/>
          <w:sz w:val="24"/>
          <w:u w:val="single"/>
        </w:rPr>
        <w:t xml:space="preserve">        </w:t>
      </w:r>
      <w:r>
        <w:rPr>
          <w:rFonts w:hint="eastAsia" w:ascii="宋体" w:hAnsi="宋体" w:cs="宋体"/>
          <w:kern w:val="0"/>
          <w:sz w:val="24"/>
        </w:rPr>
        <w:t>（请填写：是、不是）监狱企业。后附省级以上监狱管理局、戒毒管理局（含新疆生产建设兵团）出具的属于监狱企业的证明文件。</w:t>
      </w:r>
    </w:p>
    <w:p>
      <w:pPr>
        <w:widowControl/>
        <w:spacing w:before="100" w:beforeAutospacing="1" w:after="100" w:afterAutospacing="1" w:line="330" w:lineRule="atLeast"/>
        <w:ind w:firstLine="420"/>
        <w:jc w:val="left"/>
        <w:rPr>
          <w:rFonts w:ascii="宋体" w:hAnsi="宋体" w:cs="宋体"/>
          <w:kern w:val="0"/>
          <w:sz w:val="24"/>
        </w:rPr>
      </w:pPr>
      <w:r>
        <w:rPr>
          <w:rFonts w:hint="eastAsia" w:ascii="宋体" w:hAnsi="宋体" w:cs="宋体"/>
          <w:kern w:val="0"/>
          <w:sz w:val="24"/>
        </w:rPr>
        <w:t>本单位为</w:t>
      </w:r>
      <w:r>
        <w:rPr>
          <w:rFonts w:hint="eastAsia" w:ascii="宋体" w:hAnsi="宋体" w:cs="宋体"/>
          <w:kern w:val="0"/>
          <w:sz w:val="24"/>
          <w:u w:val="single"/>
        </w:rPr>
        <w:t xml:space="preserve">        </w:t>
      </w:r>
      <w:r>
        <w:rPr>
          <w:rFonts w:hint="eastAsia" w:ascii="宋体" w:hAnsi="宋体" w:cs="宋体"/>
          <w:kern w:val="0"/>
          <w:sz w:val="24"/>
        </w:rPr>
        <w:t>（请填写：是、不是）残疾人福利性单位。</w:t>
      </w:r>
    </w:p>
    <w:p>
      <w:pPr>
        <w:widowControl/>
        <w:spacing w:before="100" w:beforeAutospacing="1" w:after="100" w:afterAutospacing="1" w:line="330" w:lineRule="atLeast"/>
        <w:ind w:firstLine="420"/>
        <w:jc w:val="left"/>
        <w:rPr>
          <w:rFonts w:ascii="宋体" w:hAnsi="宋体" w:cs="宋体"/>
          <w:kern w:val="0"/>
          <w:sz w:val="24"/>
        </w:rPr>
      </w:pPr>
      <w:r>
        <w:rPr>
          <w:rFonts w:hint="eastAsia" w:ascii="宋体" w:hAnsi="宋体" w:cs="宋体"/>
          <w:kern w:val="0"/>
          <w:sz w:val="24"/>
        </w:rPr>
        <w:t>本企业（单位）提供本企业（单位）制造的货物。</w:t>
      </w:r>
    </w:p>
    <w:p>
      <w:pPr>
        <w:widowControl/>
        <w:spacing w:before="100" w:beforeAutospacing="1" w:after="100" w:afterAutospacing="1" w:line="330" w:lineRule="atLeast"/>
        <w:ind w:firstLine="420"/>
        <w:jc w:val="left"/>
        <w:rPr>
          <w:rFonts w:ascii="宋体" w:hAnsi="宋体" w:cs="宋体"/>
          <w:kern w:val="0"/>
          <w:sz w:val="24"/>
        </w:rPr>
      </w:pPr>
      <w:r>
        <w:rPr>
          <w:rFonts w:hint="eastAsia" w:ascii="宋体" w:hAnsi="宋体" w:cs="宋体"/>
          <w:kern w:val="0"/>
          <w:sz w:val="24"/>
        </w:rPr>
        <w:t>本企业（单位）对上述声明的真实性负责。如有虚假，将依法承担相应责任。</w:t>
      </w:r>
    </w:p>
    <w:p>
      <w:pPr>
        <w:widowControl/>
        <w:spacing w:before="100" w:beforeAutospacing="1" w:after="100" w:afterAutospacing="1" w:line="330" w:lineRule="atLeast"/>
        <w:ind w:firstLine="420"/>
        <w:jc w:val="left"/>
        <w:rPr>
          <w:rFonts w:ascii="宋体" w:hAnsi="宋体" w:cs="宋体"/>
          <w:kern w:val="0"/>
          <w:sz w:val="24"/>
          <w:u w:val="single" w:color="FFFFFF"/>
        </w:rPr>
      </w:pPr>
      <w:r>
        <w:rPr>
          <w:rFonts w:hint="eastAsia" w:ascii="宋体" w:hAnsi="宋体" w:cs="宋体"/>
          <w:kern w:val="0"/>
          <w:sz w:val="24"/>
          <w:u w:val="single" w:color="FFFFFF"/>
        </w:rPr>
        <w:t>本声明函经制造商和投标人共同盖章生效。</w:t>
      </w:r>
    </w:p>
    <w:p>
      <w:pPr>
        <w:spacing w:line="360" w:lineRule="auto"/>
        <w:rPr>
          <w:rFonts w:ascii="黑体" w:hAnsi="黑体" w:eastAsia="黑体" w:cs="黑体"/>
          <w:sz w:val="28"/>
          <w:szCs w:val="28"/>
        </w:rPr>
      </w:pPr>
    </w:p>
    <w:p>
      <w:pPr>
        <w:spacing w:line="360" w:lineRule="auto"/>
        <w:ind w:left="-436" w:leftChars="-200"/>
        <w:jc w:val="center"/>
        <w:rPr>
          <w:rFonts w:ascii="黑体" w:hAnsi="黑体" w:eastAsia="黑体" w:cs="黑体"/>
          <w:sz w:val="72"/>
          <w:szCs w:val="72"/>
        </w:rPr>
      </w:pPr>
    </w:p>
    <w:p>
      <w:pPr>
        <w:spacing w:line="360" w:lineRule="auto"/>
        <w:ind w:left="-436" w:leftChars="-200"/>
        <w:jc w:val="center"/>
        <w:rPr>
          <w:rFonts w:ascii="黑体" w:hAnsi="黑体" w:eastAsia="黑体" w:cs="黑体"/>
          <w:sz w:val="72"/>
          <w:szCs w:val="72"/>
        </w:rPr>
      </w:pPr>
    </w:p>
    <w:p/>
    <w:p>
      <w:pPr>
        <w:pStyle w:val="43"/>
        <w:ind w:firstLine="497"/>
      </w:pPr>
    </w:p>
    <w:p>
      <w:pPr>
        <w:pStyle w:val="3"/>
        <w:numPr>
          <w:ilvl w:val="0"/>
          <w:numId w:val="0"/>
        </w:numPr>
        <w:spacing w:line="240" w:lineRule="atLeast"/>
        <w:jc w:val="left"/>
        <w:rPr>
          <w:rFonts w:ascii="宋体" w:hAnsi="宋体" w:cs="宋体"/>
        </w:rPr>
      </w:pPr>
      <w:bookmarkStart w:id="123" w:name="_Toc19284"/>
      <w:bookmarkStart w:id="124" w:name="_Toc23068"/>
      <w:bookmarkStart w:id="125" w:name="_Toc8010"/>
      <w:bookmarkStart w:id="126" w:name="_Toc515647825"/>
      <w:bookmarkStart w:id="127" w:name="OLE_LINK14"/>
      <w:bookmarkStart w:id="128" w:name="OLE_LINK13"/>
      <w:r>
        <w:rPr>
          <w:rFonts w:hint="eastAsia" w:ascii="宋体" w:hAnsi="宋体" w:cs="宋体"/>
        </w:rPr>
        <w:t>6-3   残疾人福利性单位声明函（投标文件格式十二）</w:t>
      </w:r>
      <w:bookmarkEnd w:id="123"/>
      <w:bookmarkEnd w:id="124"/>
      <w:bookmarkEnd w:id="125"/>
      <w:bookmarkEnd w:id="126"/>
    </w:p>
    <w:bookmarkEnd w:id="127"/>
    <w:bookmarkEnd w:id="128"/>
    <w:p>
      <w:pPr>
        <w:spacing w:line="240" w:lineRule="atLeast"/>
        <w:ind w:left="1100" w:leftChars="257" w:hanging="540"/>
        <w:jc w:val="center"/>
        <w:rPr>
          <w:rFonts w:ascii="宋体" w:hAnsi="宋体" w:cs="宋体"/>
          <w:kern w:val="0"/>
          <w:sz w:val="24"/>
          <w:szCs w:val="20"/>
        </w:rPr>
      </w:pPr>
    </w:p>
    <w:p>
      <w:pPr>
        <w:spacing w:line="240" w:lineRule="atLeast"/>
        <w:ind w:firstLine="567"/>
        <w:rPr>
          <w:rFonts w:ascii="宋体" w:hAnsi="宋体" w:cs="宋体"/>
          <w:kern w:val="0"/>
          <w:sz w:val="24"/>
          <w:szCs w:val="20"/>
        </w:rPr>
      </w:pPr>
      <w:r>
        <w:rPr>
          <w:rFonts w:hint="eastAsia" w:ascii="宋体" w:hAnsi="宋体" w:cs="宋体"/>
          <w:kern w:val="0"/>
          <w:sz w:val="24"/>
          <w:szCs w:val="2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spacing w:line="240" w:lineRule="atLeast"/>
        <w:ind w:left="1100" w:leftChars="257" w:hanging="540"/>
        <w:rPr>
          <w:rFonts w:ascii="宋体" w:hAnsi="宋体" w:cs="宋体"/>
          <w:kern w:val="0"/>
          <w:sz w:val="24"/>
          <w:szCs w:val="20"/>
        </w:rPr>
      </w:pPr>
      <w:r>
        <w:rPr>
          <w:rFonts w:hint="eastAsia" w:ascii="宋体" w:hAnsi="宋体" w:cs="宋体"/>
          <w:kern w:val="0"/>
          <w:sz w:val="24"/>
          <w:szCs w:val="20"/>
        </w:rPr>
        <w:t>本单位对上述声明的真实性负责。如有虚假，将依法承担相应责任。</w:t>
      </w:r>
    </w:p>
    <w:p>
      <w:pPr>
        <w:spacing w:line="240" w:lineRule="atLeast"/>
        <w:ind w:left="1100" w:leftChars="257" w:hanging="540"/>
        <w:jc w:val="center"/>
        <w:rPr>
          <w:rFonts w:ascii="宋体" w:hAnsi="宋体" w:cs="宋体"/>
          <w:kern w:val="0"/>
          <w:sz w:val="24"/>
          <w:szCs w:val="20"/>
        </w:rPr>
      </w:pPr>
    </w:p>
    <w:p>
      <w:pPr>
        <w:spacing w:line="240" w:lineRule="atLeast"/>
        <w:ind w:left="1100" w:leftChars="257" w:hanging="540"/>
        <w:jc w:val="center"/>
        <w:rPr>
          <w:rFonts w:ascii="宋体" w:hAnsi="宋体" w:cs="宋体"/>
          <w:kern w:val="0"/>
          <w:sz w:val="24"/>
          <w:szCs w:val="20"/>
        </w:rPr>
      </w:pPr>
    </w:p>
    <w:p>
      <w:pPr>
        <w:spacing w:line="240" w:lineRule="atLeast"/>
        <w:ind w:left="1100" w:leftChars="257" w:hanging="540"/>
        <w:jc w:val="center"/>
        <w:rPr>
          <w:rFonts w:ascii="宋体" w:hAnsi="宋体" w:cs="宋体"/>
          <w:kern w:val="0"/>
          <w:sz w:val="24"/>
          <w:szCs w:val="20"/>
        </w:rPr>
      </w:pPr>
      <w:r>
        <w:rPr>
          <w:rFonts w:hint="eastAsia" w:ascii="宋体" w:hAnsi="宋体" w:cs="宋体"/>
          <w:kern w:val="0"/>
          <w:sz w:val="24"/>
          <w:szCs w:val="20"/>
        </w:rPr>
        <w:t xml:space="preserve">              残疾人福利性单位名称（盖单位章）：______________</w:t>
      </w:r>
    </w:p>
    <w:p>
      <w:pPr>
        <w:spacing w:line="240" w:lineRule="atLeast"/>
        <w:ind w:left="1100" w:leftChars="257" w:hanging="540"/>
        <w:jc w:val="center"/>
        <w:rPr>
          <w:rFonts w:ascii="宋体" w:hAnsi="宋体" w:cs="宋体"/>
          <w:kern w:val="0"/>
          <w:sz w:val="24"/>
          <w:szCs w:val="20"/>
        </w:rPr>
      </w:pPr>
      <w:r>
        <w:rPr>
          <w:rFonts w:hint="eastAsia" w:ascii="宋体" w:hAnsi="宋体" w:cs="宋体"/>
          <w:kern w:val="0"/>
          <w:sz w:val="24"/>
          <w:szCs w:val="20"/>
        </w:rPr>
        <w:t xml:space="preserve">  </w:t>
      </w:r>
      <w:r>
        <w:rPr>
          <w:rFonts w:hint="eastAsia" w:ascii="宋体" w:hAnsi="宋体" w:cs="宋体"/>
          <w:kern w:val="0"/>
          <w:sz w:val="24"/>
          <w:szCs w:val="20"/>
          <w:u w:val="single" w:color="FFFFFF"/>
        </w:rPr>
        <w:t xml:space="preserve">               </w:t>
      </w:r>
      <w:r>
        <w:rPr>
          <w:rFonts w:hint="eastAsia" w:ascii="宋体" w:hAnsi="宋体" w:cs="宋体"/>
          <w:kern w:val="0"/>
          <w:sz w:val="24"/>
          <w:szCs w:val="20"/>
        </w:rPr>
        <w:t>日  期：_____________________________________________</w:t>
      </w:r>
    </w:p>
    <w:p>
      <w:pPr>
        <w:spacing w:line="240" w:lineRule="atLeast"/>
        <w:ind w:left="1100" w:leftChars="257" w:hanging="540"/>
        <w:jc w:val="center"/>
        <w:rPr>
          <w:rFonts w:ascii="宋体" w:hAnsi="宋体" w:cs="宋体"/>
          <w:kern w:val="0"/>
          <w:sz w:val="24"/>
          <w:szCs w:val="20"/>
        </w:rPr>
      </w:pPr>
    </w:p>
    <w:p>
      <w:pPr>
        <w:spacing w:line="240" w:lineRule="atLeast"/>
        <w:ind w:left="1100" w:leftChars="257" w:hanging="540"/>
        <w:jc w:val="center"/>
        <w:rPr>
          <w:rFonts w:ascii="宋体" w:hAnsi="宋体" w:cs="宋体"/>
          <w:kern w:val="0"/>
          <w:szCs w:val="16"/>
        </w:rPr>
      </w:pPr>
    </w:p>
    <w:p>
      <w:pPr>
        <w:spacing w:line="360" w:lineRule="auto"/>
        <w:ind w:left="-436" w:leftChars="-200"/>
        <w:jc w:val="center"/>
        <w:rPr>
          <w:rFonts w:ascii="黑体" w:hAnsi="黑体" w:eastAsia="黑体" w:cs="黑体"/>
          <w:sz w:val="72"/>
          <w:szCs w:val="72"/>
        </w:rPr>
      </w:pPr>
    </w:p>
    <w:p>
      <w:pPr>
        <w:spacing w:line="360" w:lineRule="auto"/>
        <w:ind w:left="-436" w:leftChars="-200"/>
        <w:jc w:val="center"/>
        <w:rPr>
          <w:rFonts w:ascii="黑体" w:hAnsi="黑体" w:eastAsia="黑体" w:cs="黑体"/>
          <w:sz w:val="72"/>
          <w:szCs w:val="72"/>
        </w:rPr>
      </w:pPr>
    </w:p>
    <w:p>
      <w:pPr>
        <w:spacing w:line="360" w:lineRule="auto"/>
        <w:ind w:left="-436" w:leftChars="-200"/>
        <w:jc w:val="center"/>
        <w:rPr>
          <w:rFonts w:ascii="宋体" w:hAnsi="宋体"/>
          <w:sz w:val="28"/>
          <w:szCs w:val="28"/>
        </w:rPr>
      </w:pPr>
    </w:p>
    <w:p>
      <w:pPr>
        <w:spacing w:line="360" w:lineRule="auto"/>
        <w:ind w:left="-436" w:leftChars="-200"/>
        <w:jc w:val="center"/>
        <w:rPr>
          <w:rFonts w:ascii="宋体" w:hAnsi="宋体"/>
          <w:sz w:val="28"/>
          <w:szCs w:val="28"/>
        </w:rPr>
      </w:pPr>
    </w:p>
    <w:p>
      <w:pPr>
        <w:spacing w:line="360" w:lineRule="auto"/>
        <w:ind w:left="-436" w:leftChars="-200"/>
        <w:jc w:val="center"/>
        <w:rPr>
          <w:rFonts w:ascii="宋体" w:hAnsi="宋体"/>
          <w:sz w:val="28"/>
          <w:szCs w:val="28"/>
        </w:rPr>
      </w:pPr>
    </w:p>
    <w:p>
      <w:pPr>
        <w:spacing w:line="360" w:lineRule="auto"/>
        <w:ind w:left="-436" w:leftChars="-200"/>
        <w:jc w:val="center"/>
        <w:rPr>
          <w:rFonts w:ascii="宋体" w:hAnsi="宋体"/>
          <w:sz w:val="28"/>
          <w:szCs w:val="28"/>
        </w:rPr>
      </w:pPr>
    </w:p>
    <w:p>
      <w:pPr>
        <w:spacing w:line="360" w:lineRule="auto"/>
        <w:ind w:left="-436" w:leftChars="-200" w:firstLine="1872" w:firstLineChars="650"/>
        <w:rPr>
          <w:rFonts w:ascii="宋体" w:hAnsi="宋体"/>
          <w:sz w:val="28"/>
          <w:szCs w:val="28"/>
        </w:rPr>
      </w:pPr>
    </w:p>
    <w:p>
      <w:pPr>
        <w:widowControl/>
        <w:snapToGrid w:val="0"/>
        <w:spacing w:before="100" w:line="560" w:lineRule="atLeast"/>
        <w:rPr>
          <w:rFonts w:ascii="宋体" w:hAnsi="宋体" w:cs="宋体"/>
          <w:kern w:val="0"/>
          <w:sz w:val="30"/>
        </w:rPr>
      </w:pPr>
    </w:p>
    <w:p>
      <w:pPr>
        <w:pStyle w:val="4"/>
        <w:rPr>
          <w:rFonts w:ascii="宋体" w:hAnsi="宋体" w:cs="宋体"/>
          <w:b w:val="0"/>
          <w:bCs w:val="0"/>
          <w:color w:val="auto"/>
          <w:kern w:val="0"/>
          <w:sz w:val="30"/>
        </w:rPr>
      </w:pPr>
    </w:p>
    <w:p>
      <w:pPr>
        <w:rPr>
          <w:rFonts w:ascii="宋体" w:hAnsi="宋体" w:cs="宋体"/>
          <w:kern w:val="0"/>
          <w:sz w:val="30"/>
        </w:rPr>
      </w:pPr>
    </w:p>
    <w:p>
      <w:pPr>
        <w:rPr>
          <w:rFonts w:ascii="宋体" w:hAnsi="宋体" w:cs="宋体"/>
          <w:sz w:val="28"/>
          <w:szCs w:val="28"/>
        </w:rPr>
      </w:pPr>
    </w:p>
    <w:p>
      <w:pPr>
        <w:pStyle w:val="3"/>
        <w:numPr>
          <w:ilvl w:val="0"/>
          <w:numId w:val="0"/>
        </w:numPr>
        <w:spacing w:line="240" w:lineRule="atLeast"/>
        <w:jc w:val="left"/>
        <w:rPr>
          <w:rFonts w:ascii="宋体" w:hAnsi="宋体" w:cs="宋体"/>
        </w:rPr>
      </w:pPr>
      <w:r>
        <w:rPr>
          <w:rFonts w:hint="eastAsia" w:ascii="宋体" w:hAnsi="宋体" w:cs="宋体"/>
        </w:rPr>
        <w:t>7、投标人关联单位的说明</w:t>
      </w:r>
    </w:p>
    <w:p>
      <w:pPr>
        <w:pStyle w:val="6"/>
        <w:jc w:val="center"/>
        <w:rPr>
          <w:rFonts w:ascii="宋体" w:hAnsi="宋体" w:cs="宋体"/>
        </w:rPr>
      </w:pPr>
    </w:p>
    <w:p>
      <w:pPr>
        <w:pStyle w:val="6"/>
        <w:ind w:firstLine="496" w:firstLineChars="200"/>
        <w:rPr>
          <w:rFonts w:ascii="宋体" w:hAnsi="宋体" w:cs="宋体"/>
        </w:rPr>
      </w:pPr>
      <w:r>
        <w:rPr>
          <w:rFonts w:hint="eastAsia" w:ascii="宋体" w:hAnsi="宋体" w:cs="宋体"/>
        </w:rPr>
        <w:t>说明：投标人应当如实披露与本单位存在下列关联关系的单位名称：</w:t>
      </w:r>
    </w:p>
    <w:p>
      <w:pPr>
        <w:pStyle w:val="6"/>
        <w:ind w:firstLine="496" w:firstLineChars="200"/>
        <w:rPr>
          <w:rFonts w:ascii="宋体" w:hAnsi="宋体" w:cs="宋体"/>
        </w:rPr>
      </w:pPr>
      <w:r>
        <w:rPr>
          <w:rFonts w:hint="eastAsia" w:ascii="宋体" w:hAnsi="宋体" w:cs="宋体"/>
        </w:rPr>
        <w:t>（1）与投标人单位负责人为同一人的其他单位；</w:t>
      </w:r>
      <w:r>
        <w:rPr>
          <w:rFonts w:hint="eastAsia" w:ascii="宋体" w:hAnsi="宋体" w:cs="宋体"/>
        </w:rPr>
        <w:br w:type="textWrapping"/>
      </w:r>
      <w:r>
        <w:rPr>
          <w:rFonts w:hint="eastAsia" w:ascii="宋体" w:hAnsi="宋体" w:cs="宋体"/>
        </w:rPr>
        <w:t xml:space="preserve">    （2）与投标人存在直接控股、管理关系的其他单位。</w:t>
      </w:r>
    </w:p>
    <w:p>
      <w:pPr>
        <w:pStyle w:val="4"/>
        <w:rPr>
          <w:rFonts w:ascii="宋体" w:hAnsi="宋体" w:cs="宋体"/>
          <w:b w:val="0"/>
          <w:bCs w:val="0"/>
          <w:color w:val="auto"/>
          <w:sz w:val="28"/>
          <w:szCs w:val="28"/>
        </w:rPr>
      </w:pPr>
    </w:p>
    <w:p>
      <w:pPr>
        <w:rPr>
          <w:rFonts w:ascii="宋体" w:hAnsi="宋体" w:cs="宋体"/>
          <w:sz w:val="28"/>
          <w:szCs w:val="28"/>
        </w:rPr>
      </w:pPr>
    </w:p>
    <w:p>
      <w:pPr>
        <w:pStyle w:val="4"/>
        <w:rPr>
          <w:b w:val="0"/>
          <w:bCs w:val="0"/>
          <w:color w:val="auto"/>
        </w:rPr>
      </w:pPr>
    </w:p>
    <w:p>
      <w:pPr>
        <w:spacing w:line="440" w:lineRule="exact"/>
        <w:jc w:val="center"/>
        <w:rPr>
          <w:rFonts w:ascii="宋体" w:hAnsi="宋体" w:cs="宋体"/>
          <w:sz w:val="28"/>
          <w:szCs w:val="28"/>
        </w:rPr>
      </w:pPr>
    </w:p>
    <w:p>
      <w:pPr>
        <w:spacing w:line="440" w:lineRule="exact"/>
        <w:jc w:val="center"/>
        <w:rPr>
          <w:rFonts w:ascii="宋体" w:hAnsi="宋体" w:cs="宋体"/>
          <w:sz w:val="28"/>
          <w:szCs w:val="28"/>
        </w:rPr>
      </w:pPr>
    </w:p>
    <w:p>
      <w:pPr>
        <w:spacing w:line="500" w:lineRule="exact"/>
        <w:jc w:val="center"/>
        <w:rPr>
          <w:rFonts w:ascii="宋体" w:hAnsi="宋体" w:cs="宋体"/>
          <w:sz w:val="28"/>
          <w:szCs w:val="28"/>
        </w:rPr>
      </w:pPr>
    </w:p>
    <w:p>
      <w:pPr>
        <w:spacing w:line="500" w:lineRule="exact"/>
        <w:jc w:val="center"/>
        <w:rPr>
          <w:rFonts w:ascii="宋体" w:hAnsi="宋体" w:cs="宋体"/>
          <w:sz w:val="28"/>
          <w:szCs w:val="28"/>
        </w:rPr>
      </w:pPr>
    </w:p>
    <w:p>
      <w:pPr>
        <w:spacing w:line="500" w:lineRule="exact"/>
        <w:jc w:val="center"/>
        <w:rPr>
          <w:rFonts w:ascii="宋体" w:hAnsi="宋体" w:cs="宋体"/>
          <w:sz w:val="28"/>
          <w:szCs w:val="28"/>
        </w:rPr>
      </w:pPr>
    </w:p>
    <w:p>
      <w:pPr>
        <w:spacing w:line="500" w:lineRule="exact"/>
        <w:jc w:val="center"/>
        <w:rPr>
          <w:rFonts w:ascii="宋体" w:hAnsi="宋体" w:cs="宋体"/>
          <w:sz w:val="28"/>
          <w:szCs w:val="28"/>
        </w:rPr>
      </w:pPr>
    </w:p>
    <w:p>
      <w:pPr>
        <w:spacing w:line="500" w:lineRule="exact"/>
        <w:jc w:val="center"/>
        <w:rPr>
          <w:rFonts w:ascii="宋体" w:hAnsi="宋体" w:cs="宋体"/>
          <w:sz w:val="28"/>
          <w:szCs w:val="28"/>
        </w:rPr>
      </w:pPr>
    </w:p>
    <w:p>
      <w:pPr>
        <w:spacing w:line="500" w:lineRule="exact"/>
        <w:jc w:val="center"/>
        <w:rPr>
          <w:rFonts w:ascii="宋体" w:hAnsi="宋体" w:cs="宋体"/>
          <w:sz w:val="44"/>
          <w:szCs w:val="44"/>
        </w:rPr>
      </w:pPr>
    </w:p>
    <w:p>
      <w:pPr>
        <w:spacing w:line="500" w:lineRule="exact"/>
        <w:rPr>
          <w:rFonts w:ascii="宋体" w:hAnsi="宋体" w:cs="宋体"/>
          <w:sz w:val="28"/>
          <w:szCs w:val="28"/>
        </w:rPr>
      </w:pPr>
    </w:p>
    <w:p>
      <w:pPr>
        <w:spacing w:line="500" w:lineRule="exact"/>
        <w:rPr>
          <w:rFonts w:ascii="宋体" w:hAnsi="宋体" w:cs="宋体"/>
          <w:sz w:val="28"/>
          <w:szCs w:val="28"/>
        </w:rPr>
      </w:pPr>
    </w:p>
    <w:p>
      <w:pPr>
        <w:spacing w:line="500" w:lineRule="exact"/>
        <w:rPr>
          <w:rFonts w:ascii="宋体" w:hAnsi="宋体" w:cs="宋体"/>
          <w:sz w:val="28"/>
          <w:szCs w:val="28"/>
        </w:rPr>
      </w:pPr>
    </w:p>
    <w:p>
      <w:pPr>
        <w:spacing w:line="500" w:lineRule="exact"/>
        <w:rPr>
          <w:rFonts w:ascii="宋体" w:hAnsi="宋体" w:cs="宋体"/>
          <w:sz w:val="28"/>
          <w:szCs w:val="28"/>
        </w:rPr>
      </w:pPr>
    </w:p>
    <w:p>
      <w:pPr>
        <w:spacing w:line="500" w:lineRule="exact"/>
        <w:rPr>
          <w:rFonts w:ascii="宋体" w:hAnsi="宋体" w:cs="宋体"/>
          <w:sz w:val="28"/>
          <w:szCs w:val="28"/>
        </w:rPr>
      </w:pPr>
    </w:p>
    <w:p>
      <w:pPr>
        <w:spacing w:line="500" w:lineRule="exact"/>
        <w:rPr>
          <w:rFonts w:ascii="宋体" w:hAnsi="宋体" w:cs="宋体"/>
          <w:sz w:val="28"/>
          <w:szCs w:val="28"/>
        </w:rPr>
      </w:pPr>
    </w:p>
    <w:p>
      <w:pPr>
        <w:spacing w:line="500" w:lineRule="exact"/>
        <w:rPr>
          <w:rFonts w:ascii="宋体" w:hAnsi="宋体" w:cs="宋体"/>
          <w:sz w:val="28"/>
          <w:szCs w:val="28"/>
        </w:rPr>
      </w:pPr>
    </w:p>
    <w:p>
      <w:pPr>
        <w:spacing w:line="500" w:lineRule="exact"/>
        <w:rPr>
          <w:rFonts w:ascii="宋体" w:hAnsi="宋体" w:cs="宋体"/>
          <w:sz w:val="28"/>
          <w:szCs w:val="28"/>
        </w:rPr>
      </w:pPr>
    </w:p>
    <w:p>
      <w:pPr>
        <w:spacing w:line="500" w:lineRule="exact"/>
        <w:rPr>
          <w:rFonts w:ascii="宋体" w:hAnsi="宋体" w:cs="宋体"/>
          <w:sz w:val="28"/>
          <w:szCs w:val="28"/>
        </w:rPr>
      </w:pPr>
    </w:p>
    <w:p>
      <w:pPr>
        <w:spacing w:line="500" w:lineRule="exact"/>
        <w:rPr>
          <w:rFonts w:ascii="宋体" w:hAnsi="宋体" w:cs="宋体"/>
          <w:sz w:val="28"/>
          <w:szCs w:val="28"/>
        </w:rPr>
      </w:pPr>
    </w:p>
    <w:p>
      <w:pPr>
        <w:spacing w:line="500" w:lineRule="exact"/>
        <w:rPr>
          <w:rFonts w:ascii="宋体" w:hAnsi="宋体" w:cs="宋体"/>
          <w:sz w:val="28"/>
          <w:szCs w:val="28"/>
        </w:rPr>
      </w:pPr>
    </w:p>
    <w:p>
      <w:pPr>
        <w:pStyle w:val="3"/>
        <w:numPr>
          <w:ilvl w:val="1"/>
          <w:numId w:val="0"/>
        </w:numPr>
        <w:spacing w:line="240" w:lineRule="atLeast"/>
        <w:jc w:val="left"/>
        <w:rPr>
          <w:rFonts w:ascii="宋体" w:hAnsi="宋体" w:cs="宋体"/>
        </w:rPr>
      </w:pPr>
      <w:r>
        <w:rPr>
          <w:rFonts w:hint="eastAsia" w:ascii="宋体" w:hAnsi="宋体" w:cs="宋体"/>
        </w:rPr>
        <w:t>8、评分标准和细则中技术部分证明材料（格式自拟）</w:t>
      </w:r>
    </w:p>
    <w:p>
      <w:pPr>
        <w:pStyle w:val="3"/>
        <w:numPr>
          <w:ilvl w:val="1"/>
          <w:numId w:val="0"/>
        </w:numPr>
        <w:spacing w:line="240" w:lineRule="atLeast"/>
        <w:ind w:left="560" w:leftChars="257"/>
        <w:jc w:val="center"/>
        <w:rPr>
          <w:rFonts w:ascii="宋体" w:hAnsi="宋体" w:cs="宋体"/>
        </w:rPr>
      </w:pPr>
    </w:p>
    <w:p>
      <w:pPr>
        <w:pStyle w:val="3"/>
        <w:numPr>
          <w:ilvl w:val="1"/>
          <w:numId w:val="0"/>
        </w:numPr>
        <w:spacing w:line="240" w:lineRule="atLeast"/>
        <w:ind w:left="560" w:leftChars="257"/>
        <w:jc w:val="center"/>
        <w:rPr>
          <w:rFonts w:ascii="宋体" w:hAnsi="宋体" w:cs="宋体"/>
          <w:sz w:val="21"/>
          <w:szCs w:val="16"/>
        </w:rPr>
      </w:pPr>
    </w:p>
    <w:p>
      <w:pPr>
        <w:pStyle w:val="13"/>
        <w:tabs>
          <w:tab w:val="left" w:pos="5580"/>
        </w:tabs>
        <w:spacing w:line="240" w:lineRule="atLeast"/>
        <w:ind w:left="1100" w:leftChars="257" w:hanging="540"/>
        <w:rPr>
          <w:rFonts w:hAnsi="宋体" w:cs="宋体"/>
          <w:color w:val="auto"/>
          <w:szCs w:val="16"/>
        </w:rPr>
      </w:pPr>
      <w:r>
        <w:rPr>
          <w:rFonts w:hint="eastAsia" w:hAnsi="宋体" w:cs="宋体"/>
          <w:color w:val="auto"/>
          <w:szCs w:val="16"/>
        </w:rPr>
        <w:t>说明：1.应提供</w:t>
      </w:r>
      <w:r>
        <w:rPr>
          <w:rFonts w:hint="eastAsia" w:hAnsi="宋体" w:cs="宋体"/>
          <w:color w:val="auto"/>
          <w:szCs w:val="16"/>
          <w:u w:val="single"/>
        </w:rPr>
        <w:t>评分标准和细则中技术部分</w:t>
      </w:r>
      <w:r>
        <w:rPr>
          <w:rFonts w:hint="eastAsia" w:hAnsi="宋体" w:cs="宋体"/>
          <w:color w:val="auto"/>
          <w:szCs w:val="16"/>
        </w:rPr>
        <w:t>要求的其他资格证明文件（主要包括：技术指标、参数响应情况等）。</w:t>
      </w:r>
    </w:p>
    <w:p>
      <w:pPr>
        <w:pStyle w:val="13"/>
        <w:tabs>
          <w:tab w:val="left" w:pos="5580"/>
        </w:tabs>
        <w:spacing w:line="240" w:lineRule="atLeast"/>
        <w:ind w:firstLine="1090" w:firstLineChars="500"/>
        <w:outlineLvl w:val="2"/>
        <w:rPr>
          <w:rFonts w:hAnsi="宋体" w:cs="宋体"/>
          <w:color w:val="auto"/>
          <w:szCs w:val="16"/>
        </w:rPr>
      </w:pPr>
      <w:r>
        <w:rPr>
          <w:rFonts w:hint="eastAsia" w:hAnsi="宋体" w:cs="宋体"/>
          <w:color w:val="auto"/>
          <w:szCs w:val="16"/>
        </w:rPr>
        <w:t>2.复印件上应加盖本单位章</w:t>
      </w:r>
    </w:p>
    <w:p>
      <w:pPr>
        <w:pStyle w:val="13"/>
        <w:tabs>
          <w:tab w:val="left" w:pos="5580"/>
        </w:tabs>
        <w:spacing w:line="240" w:lineRule="atLeast"/>
        <w:ind w:left="1287" w:leftChars="344" w:hanging="538"/>
        <w:rPr>
          <w:rFonts w:hAnsi="宋体" w:cs="宋体"/>
          <w:color w:val="auto"/>
          <w:szCs w:val="16"/>
        </w:rPr>
      </w:pPr>
      <w:r>
        <w:rPr>
          <w:rFonts w:hint="eastAsia" w:hAnsi="宋体" w:cs="宋体"/>
          <w:color w:val="auto"/>
          <w:szCs w:val="16"/>
        </w:rPr>
        <w:t xml:space="preserve">    3. （本项目不接受联合体）如果是联合体投标，联合体各方需提供的满足招标文件要求的其他资格证明文件。</w:t>
      </w:r>
    </w:p>
    <w:p>
      <w:pPr>
        <w:spacing w:line="500" w:lineRule="exact"/>
        <w:rPr>
          <w:rFonts w:ascii="宋体" w:hAnsi="宋体" w:cs="宋体"/>
          <w:sz w:val="28"/>
          <w:szCs w:val="28"/>
        </w:rPr>
      </w:pPr>
    </w:p>
    <w:p>
      <w:pPr>
        <w:spacing w:line="500" w:lineRule="exact"/>
        <w:rPr>
          <w:rFonts w:ascii="宋体" w:hAnsi="宋体" w:cs="宋体"/>
          <w:sz w:val="28"/>
          <w:szCs w:val="28"/>
        </w:rPr>
      </w:pPr>
    </w:p>
    <w:p>
      <w:pPr>
        <w:spacing w:line="500" w:lineRule="exact"/>
        <w:rPr>
          <w:rFonts w:ascii="宋体" w:hAnsi="宋体" w:cs="宋体"/>
          <w:sz w:val="28"/>
          <w:szCs w:val="28"/>
        </w:rPr>
      </w:pPr>
    </w:p>
    <w:p>
      <w:pPr>
        <w:pStyle w:val="89"/>
        <w:rPr>
          <w:rFonts w:ascii="宋体" w:hAnsi="宋体" w:cs="宋体"/>
          <w:sz w:val="28"/>
          <w:szCs w:val="28"/>
        </w:rPr>
      </w:pPr>
    </w:p>
    <w:p>
      <w:pPr>
        <w:pStyle w:val="89"/>
        <w:ind w:firstLine="2880" w:firstLineChars="1000"/>
        <w:rPr>
          <w:rFonts w:ascii="宋体" w:hAnsi="宋体" w:cs="宋体"/>
          <w:sz w:val="28"/>
          <w:szCs w:val="28"/>
        </w:rPr>
      </w:pPr>
    </w:p>
    <w:p>
      <w:pPr>
        <w:pStyle w:val="89"/>
        <w:rPr>
          <w:szCs w:val="21"/>
        </w:rPr>
      </w:pPr>
    </w:p>
    <w:p>
      <w:pPr>
        <w:pStyle w:val="89"/>
        <w:rPr>
          <w:szCs w:val="21"/>
        </w:rPr>
      </w:pPr>
    </w:p>
    <w:p>
      <w:pPr>
        <w:pStyle w:val="89"/>
        <w:rPr>
          <w:szCs w:val="21"/>
        </w:rPr>
      </w:pPr>
    </w:p>
    <w:p>
      <w:pPr>
        <w:pStyle w:val="89"/>
        <w:rPr>
          <w:szCs w:val="21"/>
        </w:rPr>
      </w:pPr>
    </w:p>
    <w:p>
      <w:pPr>
        <w:pStyle w:val="89"/>
        <w:rPr>
          <w:szCs w:val="21"/>
        </w:rPr>
      </w:pPr>
    </w:p>
    <w:p>
      <w:pPr>
        <w:pStyle w:val="89"/>
        <w:rPr>
          <w:szCs w:val="21"/>
        </w:rPr>
      </w:pPr>
    </w:p>
    <w:p>
      <w:pPr>
        <w:pStyle w:val="89"/>
        <w:rPr>
          <w:szCs w:val="21"/>
        </w:rPr>
      </w:pPr>
    </w:p>
    <w:p>
      <w:pPr>
        <w:pStyle w:val="89"/>
        <w:rPr>
          <w:szCs w:val="21"/>
        </w:rPr>
      </w:pPr>
    </w:p>
    <w:p>
      <w:pPr>
        <w:pStyle w:val="89"/>
        <w:rPr>
          <w:szCs w:val="21"/>
        </w:rPr>
      </w:pPr>
    </w:p>
    <w:p>
      <w:pPr>
        <w:pStyle w:val="89"/>
        <w:rPr>
          <w:szCs w:val="21"/>
        </w:rPr>
      </w:pPr>
    </w:p>
    <w:p>
      <w:pPr>
        <w:pStyle w:val="89"/>
        <w:rPr>
          <w:szCs w:val="21"/>
        </w:rPr>
      </w:pPr>
    </w:p>
    <w:p>
      <w:pPr>
        <w:pStyle w:val="89"/>
        <w:rPr>
          <w:szCs w:val="21"/>
        </w:rPr>
      </w:pPr>
    </w:p>
    <w:p>
      <w:pPr>
        <w:pStyle w:val="89"/>
        <w:rPr>
          <w:szCs w:val="21"/>
        </w:rPr>
      </w:pPr>
    </w:p>
    <w:p>
      <w:pPr>
        <w:pStyle w:val="89"/>
        <w:rPr>
          <w:szCs w:val="21"/>
        </w:rPr>
      </w:pPr>
    </w:p>
    <w:p>
      <w:pPr>
        <w:pStyle w:val="89"/>
        <w:rPr>
          <w:szCs w:val="21"/>
        </w:rPr>
      </w:pPr>
    </w:p>
    <w:p>
      <w:pPr>
        <w:pStyle w:val="89"/>
        <w:rPr>
          <w:szCs w:val="21"/>
        </w:rPr>
      </w:pPr>
    </w:p>
    <w:p>
      <w:pPr>
        <w:pStyle w:val="89"/>
        <w:rPr>
          <w:szCs w:val="21"/>
        </w:rPr>
      </w:pPr>
    </w:p>
    <w:p>
      <w:pPr>
        <w:pStyle w:val="89"/>
        <w:rPr>
          <w:szCs w:val="21"/>
        </w:rPr>
      </w:pPr>
    </w:p>
    <w:p>
      <w:pPr>
        <w:pStyle w:val="89"/>
        <w:rPr>
          <w:szCs w:val="21"/>
        </w:rPr>
      </w:pPr>
    </w:p>
    <w:p>
      <w:pPr>
        <w:pStyle w:val="89"/>
        <w:rPr>
          <w:szCs w:val="21"/>
        </w:rPr>
      </w:pPr>
    </w:p>
    <w:p>
      <w:pPr>
        <w:pStyle w:val="89"/>
        <w:rPr>
          <w:szCs w:val="21"/>
        </w:rPr>
      </w:pPr>
    </w:p>
    <w:p>
      <w:pPr>
        <w:pStyle w:val="89"/>
        <w:rPr>
          <w:szCs w:val="21"/>
        </w:rPr>
      </w:pPr>
    </w:p>
    <w:p>
      <w:pPr>
        <w:pStyle w:val="89"/>
        <w:rPr>
          <w:szCs w:val="21"/>
        </w:rPr>
      </w:pPr>
    </w:p>
    <w:p>
      <w:pPr>
        <w:pStyle w:val="89"/>
        <w:rPr>
          <w:szCs w:val="21"/>
        </w:rPr>
      </w:pPr>
    </w:p>
    <w:p>
      <w:pPr>
        <w:pStyle w:val="3"/>
        <w:numPr>
          <w:ilvl w:val="1"/>
          <w:numId w:val="0"/>
        </w:numPr>
        <w:spacing w:line="240" w:lineRule="atLeast"/>
        <w:jc w:val="left"/>
        <w:rPr>
          <w:rFonts w:ascii="宋体" w:hAnsi="宋体" w:cs="宋体"/>
        </w:rPr>
      </w:pPr>
      <w:r>
        <w:rPr>
          <w:rFonts w:hint="eastAsia" w:ascii="宋体" w:hAnsi="宋体" w:cs="宋体"/>
        </w:rPr>
        <w:t>9、评分标准和细则中商务部分证明材料（格式自拟）</w:t>
      </w:r>
    </w:p>
    <w:p>
      <w:pPr>
        <w:pStyle w:val="13"/>
        <w:tabs>
          <w:tab w:val="left" w:pos="5580"/>
        </w:tabs>
        <w:spacing w:line="240" w:lineRule="atLeast"/>
        <w:ind w:left="1100" w:leftChars="257" w:hanging="540"/>
        <w:rPr>
          <w:rFonts w:hAnsi="宋体" w:cs="宋体"/>
          <w:color w:val="auto"/>
          <w:sz w:val="24"/>
        </w:rPr>
      </w:pPr>
    </w:p>
    <w:p>
      <w:pPr>
        <w:pStyle w:val="13"/>
        <w:tabs>
          <w:tab w:val="left" w:pos="5580"/>
        </w:tabs>
        <w:spacing w:line="240" w:lineRule="atLeast"/>
        <w:ind w:left="1100" w:leftChars="257" w:hanging="540"/>
        <w:rPr>
          <w:rFonts w:hAnsi="宋体" w:cs="宋体"/>
          <w:color w:val="auto"/>
          <w:szCs w:val="16"/>
        </w:rPr>
      </w:pPr>
    </w:p>
    <w:p>
      <w:pPr>
        <w:pStyle w:val="13"/>
        <w:tabs>
          <w:tab w:val="left" w:pos="5580"/>
        </w:tabs>
        <w:spacing w:line="240" w:lineRule="atLeast"/>
        <w:ind w:left="1100" w:leftChars="257" w:hanging="540"/>
        <w:rPr>
          <w:rFonts w:hAnsi="宋体" w:cs="宋体"/>
          <w:color w:val="auto"/>
          <w:szCs w:val="16"/>
        </w:rPr>
      </w:pPr>
      <w:r>
        <w:rPr>
          <w:rFonts w:hint="eastAsia" w:hAnsi="宋体" w:cs="宋体"/>
          <w:color w:val="auto"/>
          <w:szCs w:val="16"/>
        </w:rPr>
        <w:t>说明：1.应提供</w:t>
      </w:r>
      <w:r>
        <w:rPr>
          <w:rFonts w:hint="eastAsia" w:hAnsi="宋体" w:cs="宋体"/>
          <w:color w:val="auto"/>
          <w:szCs w:val="16"/>
          <w:u w:val="single"/>
        </w:rPr>
        <w:t>评分标准和细则中商务部分</w:t>
      </w:r>
      <w:r>
        <w:rPr>
          <w:rFonts w:hint="eastAsia" w:hAnsi="宋体" w:cs="宋体"/>
          <w:color w:val="auto"/>
          <w:szCs w:val="16"/>
        </w:rPr>
        <w:t>要求的其他资格证明文件。</w:t>
      </w:r>
    </w:p>
    <w:p>
      <w:pPr>
        <w:pStyle w:val="13"/>
        <w:tabs>
          <w:tab w:val="left" w:pos="5580"/>
        </w:tabs>
        <w:spacing w:line="240" w:lineRule="atLeast"/>
        <w:ind w:firstLine="1090" w:firstLineChars="500"/>
        <w:outlineLvl w:val="2"/>
        <w:rPr>
          <w:rFonts w:hAnsi="宋体" w:cs="宋体"/>
          <w:color w:val="auto"/>
          <w:szCs w:val="16"/>
        </w:rPr>
      </w:pPr>
      <w:r>
        <w:rPr>
          <w:rFonts w:hint="eastAsia" w:hAnsi="宋体" w:cs="宋体"/>
          <w:color w:val="auto"/>
          <w:szCs w:val="16"/>
        </w:rPr>
        <w:t>2.复印件上应加盖本单位公章。</w:t>
      </w:r>
    </w:p>
    <w:p>
      <w:pPr>
        <w:pStyle w:val="13"/>
        <w:tabs>
          <w:tab w:val="left" w:pos="5580"/>
        </w:tabs>
        <w:spacing w:line="240" w:lineRule="atLeast"/>
        <w:ind w:left="1287" w:leftChars="344" w:hanging="538"/>
        <w:rPr>
          <w:rFonts w:hAnsi="宋体" w:cs="宋体"/>
          <w:color w:val="auto"/>
          <w:szCs w:val="16"/>
        </w:rPr>
      </w:pPr>
      <w:r>
        <w:rPr>
          <w:rFonts w:hint="eastAsia" w:hAnsi="宋体" w:cs="宋体"/>
          <w:color w:val="auto"/>
          <w:szCs w:val="16"/>
        </w:rPr>
        <w:t xml:space="preserve">    3. （本项目不接受联合体）如果是联合体投标，联合体各方需提供的满足招标文件要求的其他资格证明文件。</w:t>
      </w:r>
    </w:p>
    <w:p>
      <w:pPr>
        <w:pStyle w:val="3"/>
        <w:numPr>
          <w:ilvl w:val="1"/>
          <w:numId w:val="0"/>
        </w:numPr>
        <w:spacing w:line="240" w:lineRule="atLeast"/>
        <w:ind w:left="560" w:leftChars="257"/>
        <w:jc w:val="center"/>
        <w:rPr>
          <w:rFonts w:ascii="宋体" w:hAnsi="宋体" w:cs="宋体"/>
        </w:rPr>
      </w:pPr>
    </w:p>
    <w:p>
      <w:pPr>
        <w:pStyle w:val="89"/>
        <w:rPr>
          <w:szCs w:val="21"/>
        </w:rPr>
      </w:pPr>
    </w:p>
    <w:p>
      <w:pPr>
        <w:pStyle w:val="89"/>
        <w:rPr>
          <w:szCs w:val="21"/>
        </w:rPr>
      </w:pPr>
    </w:p>
    <w:p>
      <w:pPr>
        <w:pStyle w:val="89"/>
        <w:rPr>
          <w:szCs w:val="21"/>
        </w:rPr>
      </w:pPr>
    </w:p>
    <w:p>
      <w:pPr>
        <w:pStyle w:val="89"/>
        <w:rPr>
          <w:szCs w:val="21"/>
        </w:rPr>
      </w:pPr>
    </w:p>
    <w:p>
      <w:pPr>
        <w:pStyle w:val="89"/>
        <w:rPr>
          <w:szCs w:val="21"/>
        </w:rPr>
      </w:pPr>
    </w:p>
    <w:p>
      <w:pPr>
        <w:pStyle w:val="89"/>
        <w:rPr>
          <w:szCs w:val="21"/>
        </w:rPr>
      </w:pPr>
    </w:p>
    <w:p>
      <w:pPr>
        <w:spacing w:line="500" w:lineRule="exact"/>
        <w:jc w:val="center"/>
        <w:rPr>
          <w:rFonts w:ascii="宋体" w:hAnsi="宋体" w:cs="宋体"/>
          <w:sz w:val="28"/>
          <w:szCs w:val="28"/>
        </w:rPr>
      </w:pPr>
    </w:p>
    <w:p>
      <w:pPr>
        <w:pStyle w:val="10"/>
        <w:tabs>
          <w:tab w:val="left" w:pos="562"/>
          <w:tab w:val="left" w:pos="3372"/>
          <w:tab w:val="left" w:pos="3653"/>
        </w:tabs>
      </w:pPr>
    </w:p>
    <w:p>
      <w:pPr>
        <w:spacing w:line="500" w:lineRule="exact"/>
        <w:rPr>
          <w:rFonts w:ascii="宋体" w:hAnsi="宋体" w:cs="宋体"/>
          <w:sz w:val="28"/>
          <w:szCs w:val="28"/>
        </w:rPr>
      </w:pPr>
      <w:r>
        <w:rPr>
          <w:rFonts w:hint="eastAsia" w:ascii="宋体" w:hAnsi="宋体" w:cs="宋体"/>
          <w:sz w:val="28"/>
          <w:szCs w:val="28"/>
        </w:rPr>
        <w:t xml:space="preserve">     </w:t>
      </w:r>
    </w:p>
    <w:p>
      <w:pPr>
        <w:pStyle w:val="45"/>
        <w:ind w:firstLine="577"/>
        <w:rPr>
          <w:rFonts w:ascii="宋体" w:hAnsi="宋体" w:cs="宋体"/>
          <w:sz w:val="28"/>
          <w:szCs w:val="28"/>
        </w:rPr>
      </w:pPr>
    </w:p>
    <w:p>
      <w:pPr>
        <w:pStyle w:val="45"/>
        <w:ind w:firstLine="577"/>
        <w:rPr>
          <w:rFonts w:ascii="宋体" w:hAnsi="宋体" w:cs="宋体"/>
          <w:sz w:val="28"/>
          <w:szCs w:val="28"/>
        </w:rPr>
      </w:pPr>
    </w:p>
    <w:p>
      <w:pPr>
        <w:pStyle w:val="45"/>
        <w:ind w:firstLine="577"/>
        <w:rPr>
          <w:rFonts w:ascii="宋体" w:hAnsi="宋体" w:cs="宋体"/>
          <w:sz w:val="28"/>
          <w:szCs w:val="28"/>
        </w:rPr>
      </w:pPr>
    </w:p>
    <w:p>
      <w:pPr>
        <w:spacing w:line="360" w:lineRule="auto"/>
        <w:jc w:val="center"/>
        <w:rPr>
          <w:sz w:val="32"/>
          <w:szCs w:val="32"/>
        </w:rPr>
      </w:pPr>
    </w:p>
    <w:p>
      <w:pPr>
        <w:spacing w:line="500" w:lineRule="exact"/>
        <w:jc w:val="left"/>
      </w:pPr>
    </w:p>
    <w:p>
      <w:pPr>
        <w:spacing w:line="500" w:lineRule="exact"/>
        <w:jc w:val="left"/>
      </w:pPr>
    </w:p>
    <w:p>
      <w:pPr>
        <w:spacing w:line="500" w:lineRule="exact"/>
        <w:jc w:val="left"/>
      </w:pPr>
    </w:p>
    <w:p>
      <w:pPr>
        <w:spacing w:line="500" w:lineRule="exact"/>
        <w:jc w:val="left"/>
      </w:pPr>
    </w:p>
    <w:p>
      <w:pPr>
        <w:spacing w:line="500" w:lineRule="exact"/>
        <w:jc w:val="left"/>
      </w:pPr>
    </w:p>
    <w:p>
      <w:pPr>
        <w:spacing w:line="500" w:lineRule="exact"/>
        <w:jc w:val="left"/>
      </w:pPr>
    </w:p>
    <w:p>
      <w:pPr>
        <w:spacing w:line="500" w:lineRule="exact"/>
        <w:jc w:val="left"/>
      </w:pPr>
    </w:p>
    <w:p>
      <w:pPr>
        <w:spacing w:line="500" w:lineRule="exact"/>
        <w:jc w:val="left"/>
      </w:pPr>
    </w:p>
    <w:p>
      <w:pPr>
        <w:pStyle w:val="3"/>
        <w:numPr>
          <w:ilvl w:val="1"/>
          <w:numId w:val="0"/>
        </w:numPr>
        <w:spacing w:line="240" w:lineRule="atLeast"/>
        <w:jc w:val="left"/>
        <w:rPr>
          <w:rFonts w:ascii="宋体" w:hAnsi="宋体" w:cs="宋体"/>
        </w:rPr>
      </w:pPr>
    </w:p>
    <w:p>
      <w:pPr>
        <w:pStyle w:val="3"/>
        <w:numPr>
          <w:ilvl w:val="1"/>
          <w:numId w:val="0"/>
        </w:numPr>
        <w:spacing w:line="240" w:lineRule="atLeast"/>
        <w:jc w:val="left"/>
        <w:rPr>
          <w:rFonts w:ascii="宋体" w:hAnsi="宋体" w:cs="宋体"/>
        </w:rPr>
      </w:pPr>
      <w:r>
        <w:rPr>
          <w:rFonts w:hint="eastAsia" w:ascii="宋体" w:hAnsi="宋体" w:cs="宋体"/>
        </w:rPr>
        <w:t>10、投标人认为有必要提供的其他证明材料（格式自拟）</w:t>
      </w:r>
    </w:p>
    <w:p>
      <w:pPr>
        <w:pStyle w:val="13"/>
        <w:tabs>
          <w:tab w:val="left" w:pos="5580"/>
        </w:tabs>
        <w:spacing w:line="240" w:lineRule="atLeast"/>
        <w:rPr>
          <w:rFonts w:hAnsi="宋体" w:cs="宋体"/>
          <w:color w:val="auto"/>
          <w:sz w:val="24"/>
        </w:rPr>
      </w:pPr>
    </w:p>
    <w:p>
      <w:pPr>
        <w:pStyle w:val="13"/>
        <w:tabs>
          <w:tab w:val="left" w:pos="5580"/>
        </w:tabs>
        <w:spacing w:line="240" w:lineRule="atLeast"/>
        <w:ind w:firstLine="1240" w:firstLineChars="500"/>
        <w:rPr>
          <w:rFonts w:hAnsi="宋体" w:cs="宋体"/>
          <w:color w:val="auto"/>
          <w:sz w:val="24"/>
        </w:rPr>
      </w:pPr>
    </w:p>
    <w:p>
      <w:pPr>
        <w:pStyle w:val="13"/>
        <w:tabs>
          <w:tab w:val="left" w:pos="5580"/>
        </w:tabs>
        <w:spacing w:line="240" w:lineRule="atLeast"/>
        <w:ind w:firstLine="1090" w:firstLineChars="500"/>
        <w:rPr>
          <w:rFonts w:hAnsi="宋体" w:cs="宋体"/>
          <w:color w:val="auto"/>
          <w:szCs w:val="16"/>
        </w:rPr>
      </w:pPr>
      <w:r>
        <w:rPr>
          <w:rFonts w:hint="eastAsia" w:hAnsi="宋体" w:cs="宋体"/>
          <w:color w:val="auto"/>
          <w:szCs w:val="16"/>
        </w:rPr>
        <w:t>说明：1.复印件上应加盖本单位公章。</w:t>
      </w:r>
    </w:p>
    <w:p>
      <w:pPr>
        <w:pStyle w:val="13"/>
        <w:tabs>
          <w:tab w:val="left" w:pos="5580"/>
        </w:tabs>
        <w:spacing w:line="240" w:lineRule="atLeast"/>
        <w:ind w:left="1988" w:leftChars="912"/>
        <w:rPr>
          <w:color w:val="auto"/>
          <w:sz w:val="18"/>
          <w:szCs w:val="16"/>
        </w:rPr>
      </w:pPr>
      <w:r>
        <w:rPr>
          <w:rFonts w:hint="eastAsia" w:hAnsi="宋体" w:cs="宋体"/>
          <w:color w:val="auto"/>
          <w:szCs w:val="16"/>
        </w:rPr>
        <w:t>2.（本项目不接受联合体）如果是联合体投标，联合体各方需提供的满足招标文件要求的其他资格证明文件。</w:t>
      </w:r>
    </w:p>
    <w:p>
      <w:pPr>
        <w:spacing w:line="500" w:lineRule="exact"/>
        <w:jc w:val="left"/>
      </w:pPr>
    </w:p>
    <w:p>
      <w:pPr>
        <w:spacing w:line="500" w:lineRule="exact"/>
        <w:jc w:val="left"/>
      </w:pPr>
    </w:p>
    <w:p>
      <w:pPr>
        <w:pStyle w:val="45"/>
        <w:ind w:firstLine="497"/>
      </w:pPr>
    </w:p>
    <w:p>
      <w:pPr>
        <w:pStyle w:val="45"/>
        <w:ind w:firstLine="497"/>
      </w:pPr>
    </w:p>
    <w:p>
      <w:pPr>
        <w:pStyle w:val="45"/>
        <w:ind w:firstLine="497"/>
      </w:pPr>
    </w:p>
    <w:p>
      <w:pPr>
        <w:pStyle w:val="45"/>
        <w:ind w:firstLine="497"/>
      </w:pPr>
    </w:p>
    <w:p>
      <w:pPr>
        <w:pStyle w:val="45"/>
        <w:ind w:firstLine="497"/>
      </w:pPr>
    </w:p>
    <w:p>
      <w:pPr>
        <w:pStyle w:val="45"/>
        <w:ind w:firstLine="497"/>
      </w:pPr>
    </w:p>
    <w:p>
      <w:pPr>
        <w:pStyle w:val="45"/>
        <w:ind w:firstLine="497"/>
      </w:pPr>
    </w:p>
    <w:p>
      <w:pPr>
        <w:pStyle w:val="45"/>
        <w:ind w:firstLine="497"/>
      </w:pPr>
    </w:p>
    <w:p>
      <w:pPr>
        <w:pStyle w:val="45"/>
        <w:ind w:firstLine="497"/>
      </w:pPr>
    </w:p>
    <w:p>
      <w:pPr>
        <w:pStyle w:val="45"/>
        <w:ind w:firstLine="497"/>
      </w:pPr>
    </w:p>
    <w:p>
      <w:pPr>
        <w:pStyle w:val="45"/>
        <w:ind w:firstLine="497"/>
      </w:pPr>
    </w:p>
    <w:p>
      <w:pPr>
        <w:pStyle w:val="45"/>
        <w:ind w:firstLine="497"/>
      </w:pPr>
    </w:p>
    <w:p>
      <w:pPr>
        <w:pStyle w:val="45"/>
        <w:ind w:firstLine="497"/>
      </w:pPr>
    </w:p>
    <w:p>
      <w:pPr>
        <w:pStyle w:val="45"/>
        <w:ind w:firstLine="497"/>
      </w:pPr>
    </w:p>
    <w:p>
      <w:pPr>
        <w:pStyle w:val="45"/>
        <w:ind w:firstLine="497"/>
      </w:pPr>
    </w:p>
    <w:p>
      <w:pPr>
        <w:pStyle w:val="45"/>
        <w:ind w:firstLine="497"/>
      </w:pPr>
    </w:p>
    <w:p>
      <w:pPr>
        <w:pStyle w:val="45"/>
        <w:ind w:firstLine="497"/>
      </w:pPr>
    </w:p>
    <w:p>
      <w:pPr>
        <w:pStyle w:val="45"/>
        <w:ind w:firstLine="497"/>
      </w:pPr>
    </w:p>
    <w:p>
      <w:pPr>
        <w:pStyle w:val="45"/>
        <w:ind w:firstLine="497"/>
      </w:pPr>
    </w:p>
    <w:p>
      <w:pPr>
        <w:pStyle w:val="45"/>
        <w:ind w:firstLine="497"/>
      </w:pPr>
    </w:p>
    <w:p>
      <w:pPr>
        <w:pStyle w:val="45"/>
        <w:ind w:firstLine="497"/>
        <w:rPr>
          <w:lang w:val="en-US"/>
        </w:rPr>
      </w:pPr>
    </w:p>
    <w:sectPr>
      <w:headerReference r:id="rId6" w:type="default"/>
      <w:footerReference r:id="rId7" w:type="default"/>
      <w:pgSz w:w="11905" w:h="16838"/>
      <w:pgMar w:top="1440" w:right="1797" w:bottom="1440" w:left="1797" w:header="850" w:footer="992" w:gutter="0"/>
      <w:cols w:space="0" w:num="1"/>
      <w:docGrid w:type="linesAndChars" w:linePitch="332" w:charSpace="17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decorative"/>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_x000B__x000C_">
    <w:altName w:val="Courier New"/>
    <w:panose1 w:val="00000000000000000000"/>
    <w:charset w:val="00"/>
    <w:family w:val="swiss"/>
    <w:pitch w:val="default"/>
    <w:sig w:usb0="00000000" w:usb1="00000000" w:usb2="00000000" w:usb3="00000000" w:csb0="00040001" w:csb1="00000000"/>
  </w:font>
  <w:font w:name="Helvetica">
    <w:altName w:val="Arial"/>
    <w:panose1 w:val="020B0504020202020204"/>
    <w:charset w:val="00"/>
    <w:family w:val="roman"/>
    <w:pitch w:val="default"/>
    <w:sig w:usb0="00000000" w:usb1="00000000" w:usb2="00000000" w:usb3="00000000" w:csb0="00040001" w:csb1="00000000"/>
  </w:font>
  <w:font w:name="ヒラギノ角ゴ Pro W3">
    <w:altName w:val="Yu Gothic"/>
    <w:panose1 w:val="00000000000000000000"/>
    <w:charset w:val="80"/>
    <w:family w:val="auto"/>
    <w:pitch w:val="default"/>
    <w:sig w:usb0="00000000" w:usb1="00000000" w:usb2="00000012" w:usb3="00000000" w:csb0="0002000D" w:csb1="00000000"/>
  </w:font>
  <w:font w:name="长城仿宋">
    <w:altName w:val="宋体"/>
    <w:panose1 w:val="00000000000000000000"/>
    <w:charset w:val="86"/>
    <w:family w:val="decorative"/>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swiss"/>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Light">
    <w:panose1 w:val="020B0502040204020203"/>
    <w:charset w:val="86"/>
    <w:family w:val="swiss"/>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both"/>
    </w:pPr>
    <w:r>
      <w:rPr>
        <w:rFonts w:hint="eastAsia"/>
        <w:sz w:val="13"/>
        <w:szCs w:val="13"/>
      </w:rPr>
      <w:t xml:space="preserve"> </w:t>
    </w:r>
    <w:r>
      <w:rPr>
        <w:rFonts w:hint="eastAsia"/>
      </w:rPr>
      <w:t xml:space="preserve">  </w:t>
    </w:r>
    <w:r>
      <w:rPr>
        <w:rFonts w:hint="eastAsia"/>
        <w:sz w:val="21"/>
        <w:szCs w:val="21"/>
      </w:rPr>
      <w:t xml:space="preserve"> </w:t>
    </w:r>
    <w:r>
      <w:rPr>
        <w:rFonts w:hint="eastAsia"/>
        <w:color w:val="800000"/>
        <w:sz w:val="16"/>
        <w:szCs w:val="20"/>
      </w:rPr>
      <w:t xml:space="preserve">      </w:t>
    </w:r>
  </w:p>
  <w:p>
    <w:pPr>
      <w:pStyle w:val="16"/>
      <w:tabs>
        <w:tab w:val="center" w:pos="4320"/>
        <w:tab w:val="right" w:pos="8640"/>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both"/>
    </w:pPr>
    <w:r>
      <w:rPr>
        <w:sz w:val="1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r>
      <w:rPr>
        <w:rFonts w:hint="eastAsia"/>
        <w:sz w:val="13"/>
        <w:szCs w:val="13"/>
      </w:rPr>
      <w:t xml:space="preserve"> </w:t>
    </w:r>
    <w:r>
      <w:rPr>
        <w:rFonts w:hint="eastAsia"/>
      </w:rPr>
      <w:t xml:space="preserve">  </w:t>
    </w:r>
    <w:r>
      <w:rPr>
        <w:rFonts w:hint="eastAsia"/>
        <w:sz w:val="21"/>
        <w:szCs w:val="21"/>
      </w:rPr>
      <w:t xml:space="preserve"> </w:t>
    </w:r>
    <w:r>
      <w:rPr>
        <w:rFonts w:hint="eastAsia"/>
        <w:color w:val="800000"/>
        <w:sz w:val="16"/>
        <w:szCs w:val="20"/>
      </w:rPr>
      <w:t xml:space="preserve">      </w:t>
    </w:r>
  </w:p>
  <w:p>
    <w:pPr>
      <w:pStyle w:val="16"/>
      <w:tabs>
        <w:tab w:val="center" w:pos="4320"/>
        <w:tab w:val="right" w:pos="8640"/>
        <w:tab w:val="clear" w:pos="4153"/>
        <w:tab w:val="clear" w:pos="830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27"/>
      <w:rPr>
        <w:rFonts w:ascii="Calibri" w:hAnsi="Calibri" w:eastAsia="Calibri" w:cs="Calibri"/>
        <w:sz w:val="18"/>
        <w:szCs w:val="18"/>
      </w:rPr>
    </w:pPr>
    <w:r>
      <w:rPr>
        <w:rFonts w:ascii="Calibri" w:hAnsi="Calibri" w:eastAsia="Calibri" w:cs="Calibri"/>
        <w:sz w:val="18"/>
        <w:szCs w:val="18"/>
      </w:rPr>
      <w:t>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both"/>
    </w:pPr>
    <w:r>
      <w:rPr>
        <w:sz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116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116</w:t>
                    </w:r>
                    <w:r>
                      <w:rPr>
                        <w:rFonts w:hint="eastAsia"/>
                      </w:rPr>
                      <w:fldChar w:fldCharType="end"/>
                    </w:r>
                  </w:p>
                </w:txbxContent>
              </v:textbox>
            </v:shape>
          </w:pict>
        </mc:Fallback>
      </mc:AlternateContent>
    </w:r>
    <w:r>
      <w:rPr>
        <w:rFonts w:hint="eastAsia"/>
        <w:color w:val="800000"/>
        <w:sz w:val="16"/>
        <w:szCs w:val="20"/>
      </w:rPr>
      <w:t xml:space="preserve">        </w:t>
    </w:r>
  </w:p>
  <w:p>
    <w:pPr>
      <w:pStyle w:val="16"/>
      <w:autoSpaceDE w:val="0"/>
      <w:autoSpaceDN w:val="0"/>
      <w:adjustRightInd w:val="0"/>
      <w:ind w:left="7200" w:hanging="7200" w:hangingChars="4000"/>
      <w:jc w:val="both"/>
    </w:pPr>
  </w:p>
  <w:p>
    <w:pPr>
      <w:pStyle w:val="16"/>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宋体" w:hAnsi="宋体" w:cs="宋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F12E1D"/>
    <w:multiLevelType w:val="singleLevel"/>
    <w:tmpl w:val="CEF12E1D"/>
    <w:lvl w:ilvl="0" w:tentative="0">
      <w:start w:val="1"/>
      <w:numFmt w:val="decimal"/>
      <w:suff w:val="nothing"/>
      <w:lvlText w:val="%1、"/>
      <w:lvlJc w:val="left"/>
    </w:lvl>
  </w:abstractNum>
  <w:abstractNum w:abstractNumId="1">
    <w:nsid w:val="CF0DAD01"/>
    <w:multiLevelType w:val="singleLevel"/>
    <w:tmpl w:val="CF0DAD01"/>
    <w:lvl w:ilvl="0" w:tentative="0">
      <w:start w:val="1"/>
      <w:numFmt w:val="decimal"/>
      <w:suff w:val="space"/>
      <w:lvlText w:val="%1."/>
      <w:lvlJc w:val="left"/>
    </w:lvl>
  </w:abstractNum>
  <w:abstractNum w:abstractNumId="2">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3">
    <w:nsid w:val="11A64EEE"/>
    <w:multiLevelType w:val="singleLevel"/>
    <w:tmpl w:val="11A64EEE"/>
    <w:lvl w:ilvl="0" w:tentative="0">
      <w:start w:val="1"/>
      <w:numFmt w:val="chineseCounting"/>
      <w:suff w:val="nothing"/>
      <w:lvlText w:val="%1、"/>
      <w:lvlJc w:val="left"/>
      <w:pPr>
        <w:ind w:left="0"/>
      </w:pPr>
      <w:rPr>
        <w:rFonts w:hint="eastAsia"/>
      </w:rPr>
    </w:lvl>
  </w:abstractNum>
  <w:abstractNum w:abstractNumId="4">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3"/>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5">
    <w:nsid w:val="2CB92A9F"/>
    <w:multiLevelType w:val="singleLevel"/>
    <w:tmpl w:val="2CB92A9F"/>
    <w:lvl w:ilvl="0" w:tentative="0">
      <w:start w:val="8"/>
      <w:numFmt w:val="decimal"/>
      <w:suff w:val="nothing"/>
      <w:lvlText w:val="（%1）"/>
      <w:lvlJc w:val="left"/>
      <w:pPr>
        <w:ind w:left="-420"/>
      </w:pPr>
    </w:lvl>
  </w:abstractNum>
  <w:abstractNum w:abstractNumId="6">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4CA414A1"/>
    <w:multiLevelType w:val="singleLevel"/>
    <w:tmpl w:val="4CA414A1"/>
    <w:lvl w:ilvl="0" w:tentative="0">
      <w:start w:val="34"/>
      <w:numFmt w:val="decimal"/>
      <w:suff w:val="space"/>
      <w:lvlText w:val="%1."/>
      <w:lvlJc w:val="left"/>
    </w:lvl>
  </w:abstractNum>
  <w:abstractNum w:abstractNumId="8">
    <w:nsid w:val="55CD4C99"/>
    <w:multiLevelType w:val="singleLevel"/>
    <w:tmpl w:val="55CD4C99"/>
    <w:lvl w:ilvl="0" w:tentative="0">
      <w:start w:val="1"/>
      <w:numFmt w:val="chineseCounting"/>
      <w:suff w:val="nothing"/>
      <w:lvlText w:val="%1、"/>
      <w:lvlJc w:val="left"/>
    </w:lvl>
  </w:abstractNum>
  <w:abstractNum w:abstractNumId="9">
    <w:nsid w:val="60D178AE"/>
    <w:multiLevelType w:val="multilevel"/>
    <w:tmpl w:val="60D178AE"/>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0">
    <w:nsid w:val="6EC8727B"/>
    <w:multiLevelType w:val="singleLevel"/>
    <w:tmpl w:val="6EC8727B"/>
    <w:lvl w:ilvl="0" w:tentative="0">
      <w:start w:val="1"/>
      <w:numFmt w:val="decimal"/>
      <w:suff w:val="nothing"/>
      <w:lvlText w:val="%1、"/>
      <w:lvlJc w:val="left"/>
    </w:lvl>
  </w:abstractNum>
  <w:abstractNum w:abstractNumId="11">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2">
    <w:nsid w:val="7D07505E"/>
    <w:multiLevelType w:val="singleLevel"/>
    <w:tmpl w:val="7D07505E"/>
    <w:lvl w:ilvl="0" w:tentative="0">
      <w:start w:val="4"/>
      <w:numFmt w:val="chineseCounting"/>
      <w:suff w:val="nothing"/>
      <w:lvlText w:val="第%1章、"/>
      <w:lvlJc w:val="left"/>
      <w:rPr>
        <w:rFonts w:hint="eastAsia"/>
      </w:rPr>
    </w:lvl>
  </w:abstractNum>
  <w:num w:numId="1">
    <w:abstractNumId w:val="4"/>
  </w:num>
  <w:num w:numId="2">
    <w:abstractNumId w:val="6"/>
  </w:num>
  <w:num w:numId="3">
    <w:abstractNumId w:val="3"/>
  </w:num>
  <w:num w:numId="4">
    <w:abstractNumId w:val="10"/>
  </w:num>
  <w:num w:numId="5">
    <w:abstractNumId w:val="7"/>
  </w:num>
  <w:num w:numId="6">
    <w:abstractNumId w:val="8"/>
  </w:num>
  <w:num w:numId="7">
    <w:abstractNumId w:val="2"/>
  </w:num>
  <w:num w:numId="8">
    <w:abstractNumId w:val="11"/>
  </w:num>
  <w:num w:numId="9">
    <w:abstractNumId w:val="5"/>
  </w:num>
  <w:num w:numId="10">
    <w:abstractNumId w:val="0"/>
  </w:num>
  <w:num w:numId="11">
    <w:abstractNumId w:val="12"/>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drawingGridHorizontalSpacing w:val="109"/>
  <w:drawingGridVerticalSpacing w:val="16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hZThmNTc5MDQyOWYwNDkxMDUxMDc4ZmE2Y2M4ZGQifQ=="/>
  </w:docVars>
  <w:rsids>
    <w:rsidRoot w:val="00E1273F"/>
    <w:rsid w:val="000634C2"/>
    <w:rsid w:val="001579A8"/>
    <w:rsid w:val="001B11E5"/>
    <w:rsid w:val="00290006"/>
    <w:rsid w:val="002F344B"/>
    <w:rsid w:val="004E7B38"/>
    <w:rsid w:val="005B0DCF"/>
    <w:rsid w:val="005F1FB1"/>
    <w:rsid w:val="006D26D2"/>
    <w:rsid w:val="00761ABD"/>
    <w:rsid w:val="009C525A"/>
    <w:rsid w:val="00AE6ACE"/>
    <w:rsid w:val="00BD2128"/>
    <w:rsid w:val="00C51B83"/>
    <w:rsid w:val="00E1273F"/>
    <w:rsid w:val="00EE42ED"/>
    <w:rsid w:val="02CA2FD8"/>
    <w:rsid w:val="0397158C"/>
    <w:rsid w:val="03A762C0"/>
    <w:rsid w:val="03F11C32"/>
    <w:rsid w:val="04C80BE4"/>
    <w:rsid w:val="05A942DC"/>
    <w:rsid w:val="090E134B"/>
    <w:rsid w:val="0B2C354F"/>
    <w:rsid w:val="0B8D6294"/>
    <w:rsid w:val="0C2661F0"/>
    <w:rsid w:val="0C7112BD"/>
    <w:rsid w:val="102F24B1"/>
    <w:rsid w:val="121330F1"/>
    <w:rsid w:val="14343A22"/>
    <w:rsid w:val="152C2AC9"/>
    <w:rsid w:val="158A262E"/>
    <w:rsid w:val="19A35324"/>
    <w:rsid w:val="19AC3E3F"/>
    <w:rsid w:val="1B334486"/>
    <w:rsid w:val="1B862292"/>
    <w:rsid w:val="1BA079B2"/>
    <w:rsid w:val="1C6E1C1A"/>
    <w:rsid w:val="1C73703B"/>
    <w:rsid w:val="25482684"/>
    <w:rsid w:val="280E7570"/>
    <w:rsid w:val="289447B6"/>
    <w:rsid w:val="2A2577C1"/>
    <w:rsid w:val="2B20698A"/>
    <w:rsid w:val="2B2838DB"/>
    <w:rsid w:val="2F9B677D"/>
    <w:rsid w:val="31E3230A"/>
    <w:rsid w:val="32D87CDA"/>
    <w:rsid w:val="33DB464B"/>
    <w:rsid w:val="35425E53"/>
    <w:rsid w:val="35521C81"/>
    <w:rsid w:val="365D08DD"/>
    <w:rsid w:val="36AE05F5"/>
    <w:rsid w:val="3A850402"/>
    <w:rsid w:val="3CC6494B"/>
    <w:rsid w:val="3F555D4C"/>
    <w:rsid w:val="401A7F77"/>
    <w:rsid w:val="41E83A8F"/>
    <w:rsid w:val="4719412E"/>
    <w:rsid w:val="4846575C"/>
    <w:rsid w:val="48E56510"/>
    <w:rsid w:val="4C971A27"/>
    <w:rsid w:val="539232B3"/>
    <w:rsid w:val="53CE0519"/>
    <w:rsid w:val="566651B9"/>
    <w:rsid w:val="57533B1E"/>
    <w:rsid w:val="587E5F39"/>
    <w:rsid w:val="5A8B6F17"/>
    <w:rsid w:val="5AAE2C06"/>
    <w:rsid w:val="5ACB4218"/>
    <w:rsid w:val="5DB352B7"/>
    <w:rsid w:val="5DD3655E"/>
    <w:rsid w:val="60BD12E1"/>
    <w:rsid w:val="60F35816"/>
    <w:rsid w:val="61E55501"/>
    <w:rsid w:val="631F7847"/>
    <w:rsid w:val="632969E8"/>
    <w:rsid w:val="636A5443"/>
    <w:rsid w:val="639413AD"/>
    <w:rsid w:val="654F2B7B"/>
    <w:rsid w:val="65B30749"/>
    <w:rsid w:val="66562D08"/>
    <w:rsid w:val="69B952EC"/>
    <w:rsid w:val="69F745C9"/>
    <w:rsid w:val="6B1B2CB4"/>
    <w:rsid w:val="6B3233DF"/>
    <w:rsid w:val="6DBE16FE"/>
    <w:rsid w:val="703C4B4C"/>
    <w:rsid w:val="74130252"/>
    <w:rsid w:val="74B90D4E"/>
    <w:rsid w:val="75E82553"/>
    <w:rsid w:val="78DA6BDE"/>
    <w:rsid w:val="79047168"/>
    <w:rsid w:val="7A5B3D8A"/>
    <w:rsid w:val="7AC5601E"/>
    <w:rsid w:val="7AD21E66"/>
    <w:rsid w:val="7AE83ABA"/>
    <w:rsid w:val="7E6E42D6"/>
    <w:rsid w:val="7F50191C"/>
    <w:rsid w:val="7FBC6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4">
    <w:name w:val="heading 3"/>
    <w:basedOn w:val="1"/>
    <w:next w:val="1"/>
    <w:link w:val="46"/>
    <w:qFormat/>
    <w:uiPriority w:val="0"/>
    <w:pPr>
      <w:keepNext/>
      <w:keepLines/>
      <w:spacing w:before="260" w:after="260" w:line="416" w:lineRule="atLeast"/>
      <w:textAlignment w:val="baseline"/>
      <w:outlineLvl w:val="2"/>
    </w:pPr>
    <w:rPr>
      <w:b/>
      <w:bCs/>
      <w:color w:val="000000"/>
      <w:sz w:val="32"/>
      <w:szCs w:val="32"/>
      <w:u w:color="000000"/>
    </w:rPr>
  </w:style>
  <w:style w:type="paragraph" w:styleId="5">
    <w:name w:val="heading 4"/>
    <w:basedOn w:val="1"/>
    <w:next w:val="1"/>
    <w:qFormat/>
    <w:uiPriority w:val="1"/>
    <w:pPr>
      <w:ind w:left="652"/>
      <w:outlineLvl w:val="3"/>
    </w:pPr>
    <w:rPr>
      <w:b/>
      <w:bCs/>
      <w:sz w:val="30"/>
      <w:szCs w:val="30"/>
    </w:rPr>
  </w:style>
  <w:style w:type="character" w:default="1" w:styleId="29">
    <w:name w:val="Default Paragraph Font"/>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6">
    <w:name w:val="Normal Indent"/>
    <w:basedOn w:val="1"/>
    <w:next w:val="1"/>
    <w:qFormat/>
    <w:uiPriority w:val="0"/>
    <w:pPr>
      <w:adjustRightInd w:val="0"/>
      <w:spacing w:line="360" w:lineRule="atLeast"/>
      <w:ind w:firstLine="482"/>
      <w:textAlignment w:val="baseline"/>
    </w:pPr>
    <w:rPr>
      <w:kern w:val="0"/>
      <w:sz w:val="24"/>
      <w:szCs w:val="20"/>
    </w:rPr>
  </w:style>
  <w:style w:type="paragraph" w:styleId="7">
    <w:name w:val="toa heading"/>
    <w:basedOn w:val="1"/>
    <w:next w:val="1"/>
    <w:unhideWhenUsed/>
    <w:qFormat/>
    <w:uiPriority w:val="99"/>
    <w:pPr>
      <w:spacing w:before="120"/>
    </w:pPr>
    <w:rPr>
      <w:rFonts w:ascii="Cambria" w:hAnsi="Cambria"/>
      <w:sz w:val="24"/>
    </w:rPr>
  </w:style>
  <w:style w:type="paragraph" w:styleId="8">
    <w:name w:val="annotation text"/>
    <w:basedOn w:val="1"/>
    <w:qFormat/>
    <w:uiPriority w:val="0"/>
    <w:pPr>
      <w:jc w:val="left"/>
    </w:pPr>
  </w:style>
  <w:style w:type="paragraph" w:styleId="9">
    <w:name w:val="index 6"/>
    <w:next w:val="1"/>
    <w:qFormat/>
    <w:uiPriority w:val="0"/>
    <w:pPr>
      <w:widowControl w:val="0"/>
      <w:ind w:firstLine="840"/>
      <w:jc w:val="both"/>
    </w:pPr>
    <w:rPr>
      <w:rFonts w:ascii="Calibri" w:hAnsi="Calibri" w:eastAsia="宋体" w:cs="Arial"/>
      <w:kern w:val="2"/>
      <w:sz w:val="21"/>
      <w:szCs w:val="24"/>
      <w:lang w:val="en-US" w:eastAsia="zh-CN" w:bidi="ar-SA"/>
    </w:rPr>
  </w:style>
  <w:style w:type="paragraph" w:styleId="10">
    <w:name w:val="Body Text"/>
    <w:basedOn w:val="1"/>
    <w:next w:val="1"/>
    <w:link w:val="48"/>
    <w:qFormat/>
    <w:uiPriority w:val="0"/>
    <w:pPr>
      <w:spacing w:after="120"/>
    </w:pPr>
  </w:style>
  <w:style w:type="paragraph" w:styleId="11">
    <w:name w:val="Body Text Indent"/>
    <w:basedOn w:val="1"/>
    <w:next w:val="1"/>
    <w:qFormat/>
    <w:uiPriority w:val="0"/>
    <w:pPr>
      <w:spacing w:after="120"/>
      <w:ind w:left="200" w:leftChars="200"/>
    </w:pPr>
  </w:style>
  <w:style w:type="paragraph" w:styleId="12">
    <w:name w:val="toc 3"/>
    <w:basedOn w:val="1"/>
    <w:next w:val="1"/>
    <w:qFormat/>
    <w:uiPriority w:val="39"/>
    <w:pPr>
      <w:tabs>
        <w:tab w:val="right" w:leader="dot" w:pos="9288"/>
      </w:tabs>
      <w:ind w:left="400" w:leftChars="400"/>
    </w:pPr>
    <w:rPr>
      <w:rFonts w:ascii="宋体"/>
    </w:rPr>
  </w:style>
  <w:style w:type="paragraph" w:styleId="13">
    <w:name w:val="Plain Text"/>
    <w:basedOn w:val="1"/>
    <w:next w:val="14"/>
    <w:link w:val="49"/>
    <w:qFormat/>
    <w:uiPriority w:val="0"/>
    <w:rPr>
      <w:rFonts w:ascii="宋体"/>
      <w:color w:val="000000"/>
      <w:szCs w:val="20"/>
      <w:u w:color="000000"/>
    </w:rPr>
  </w:style>
  <w:style w:type="paragraph" w:styleId="14">
    <w:name w:val="index 7"/>
    <w:basedOn w:val="1"/>
    <w:next w:val="1"/>
    <w:qFormat/>
    <w:uiPriority w:val="0"/>
    <w:pPr>
      <w:ind w:left="1200" w:leftChars="1200"/>
    </w:pPr>
  </w:style>
  <w:style w:type="paragraph" w:styleId="15">
    <w:name w:val="Date"/>
    <w:basedOn w:val="1"/>
    <w:next w:val="1"/>
    <w:link w:val="50"/>
    <w:qFormat/>
    <w:uiPriority w:val="0"/>
    <w:rPr>
      <w:rFonts w:ascii="Arial" w:hAnsi="Arial" w:eastAsia="仿宋_GB2312"/>
      <w:color w:val="000000"/>
      <w:sz w:val="32"/>
      <w:szCs w:val="20"/>
      <w:u w:color="000000"/>
    </w:rPr>
  </w:style>
  <w:style w:type="paragraph" w:styleId="16">
    <w:name w:val="footer"/>
    <w:basedOn w:val="1"/>
    <w:link w:val="51"/>
    <w:qFormat/>
    <w:uiPriority w:val="0"/>
    <w:pPr>
      <w:tabs>
        <w:tab w:val="center" w:pos="4153"/>
        <w:tab w:val="right" w:pos="8306"/>
      </w:tabs>
      <w:snapToGrid w:val="0"/>
      <w:jc w:val="left"/>
    </w:pPr>
    <w:rPr>
      <w:sz w:val="18"/>
      <w:szCs w:val="18"/>
    </w:rPr>
  </w:style>
  <w:style w:type="paragraph" w:styleId="17">
    <w:name w:val="header"/>
    <w:basedOn w:val="1"/>
    <w:link w:val="52"/>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List"/>
    <w:basedOn w:val="1"/>
    <w:qFormat/>
    <w:uiPriority w:val="0"/>
    <w:pPr>
      <w:ind w:left="200" w:hanging="200" w:hangingChars="200"/>
      <w:contextualSpacing/>
    </w:pPr>
    <w:rPr>
      <w:sz w:val="20"/>
      <w:szCs w:val="20"/>
    </w:rPr>
  </w:style>
  <w:style w:type="paragraph" w:styleId="20">
    <w:name w:val="footnote text"/>
    <w:basedOn w:val="1"/>
    <w:next w:val="10"/>
    <w:qFormat/>
    <w:uiPriority w:val="0"/>
    <w:pPr>
      <w:snapToGrid w:val="0"/>
      <w:jc w:val="left"/>
    </w:pPr>
    <w:rPr>
      <w:sz w:val="18"/>
    </w:rPr>
  </w:style>
  <w:style w:type="paragraph" w:styleId="21">
    <w:name w:val="toc 2"/>
    <w:basedOn w:val="1"/>
    <w:next w:val="1"/>
    <w:qFormat/>
    <w:uiPriority w:val="39"/>
    <w:pPr>
      <w:ind w:left="200" w:leftChars="200"/>
    </w:pPr>
  </w:style>
  <w:style w:type="paragraph" w:styleId="22">
    <w:name w:val="Body Text 2"/>
    <w:basedOn w:val="1"/>
    <w:qFormat/>
    <w:uiPriority w:val="0"/>
    <w:pPr>
      <w:tabs>
        <w:tab w:val="left" w:pos="0"/>
      </w:tabs>
      <w:spacing w:line="400" w:lineRule="atLeast"/>
    </w:pPr>
    <w:rPr>
      <w:rFonts w:ascii="Arial" w:hAnsi="Arial"/>
      <w:color w:val="000000"/>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4">
    <w:name w:val="Title"/>
    <w:basedOn w:val="1"/>
    <w:link w:val="81"/>
    <w:qFormat/>
    <w:uiPriority w:val="0"/>
    <w:pPr>
      <w:spacing w:before="240" w:after="60"/>
      <w:ind w:left="425" w:hanging="425"/>
      <w:jc w:val="center"/>
      <w:outlineLvl w:val="0"/>
    </w:pPr>
    <w:rPr>
      <w:rFonts w:ascii="Arial" w:hAnsi="Arial" w:cs="Arial"/>
      <w:b/>
      <w:bCs/>
      <w:sz w:val="32"/>
      <w:szCs w:val="32"/>
    </w:rPr>
  </w:style>
  <w:style w:type="paragraph" w:styleId="25">
    <w:name w:val="Body Text First Indent"/>
    <w:basedOn w:val="10"/>
    <w:next w:val="1"/>
    <w:unhideWhenUsed/>
    <w:qFormat/>
    <w:uiPriority w:val="0"/>
    <w:pPr>
      <w:ind w:firstLine="420" w:firstLineChars="100"/>
    </w:pPr>
  </w:style>
  <w:style w:type="paragraph" w:styleId="26">
    <w:name w:val="Body Text First Indent 2"/>
    <w:basedOn w:val="11"/>
    <w:next w:val="6"/>
    <w:unhideWhenUsed/>
    <w:qFormat/>
    <w:uiPriority w:val="99"/>
    <w:pPr>
      <w:ind w:left="420" w:firstLine="420"/>
    </w:pPr>
    <w:rPr>
      <w:rFonts w:cs="宋体"/>
      <w:szCs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qFormat/>
    <w:uiPriority w:val="0"/>
  </w:style>
  <w:style w:type="character" w:styleId="32">
    <w:name w:val="FollowedHyperlink"/>
    <w:qFormat/>
    <w:uiPriority w:val="0"/>
    <w:rPr>
      <w:color w:val="333333"/>
      <w:u w:val="none"/>
    </w:rPr>
  </w:style>
  <w:style w:type="character" w:styleId="33">
    <w:name w:val="Emphasis"/>
    <w:basedOn w:val="29"/>
    <w:qFormat/>
    <w:uiPriority w:val="0"/>
    <w:rPr>
      <w:i/>
    </w:rPr>
  </w:style>
  <w:style w:type="character" w:styleId="34">
    <w:name w:val="HTML Definition"/>
    <w:basedOn w:val="29"/>
    <w:qFormat/>
    <w:uiPriority w:val="0"/>
  </w:style>
  <w:style w:type="character" w:styleId="35">
    <w:name w:val="HTML Typewriter"/>
    <w:basedOn w:val="29"/>
    <w:qFormat/>
    <w:uiPriority w:val="0"/>
    <w:rPr>
      <w:rFonts w:ascii="monospace" w:hAnsi="monospace" w:eastAsia="monospace" w:cs="monospace"/>
      <w:sz w:val="20"/>
    </w:rPr>
  </w:style>
  <w:style w:type="character" w:styleId="36">
    <w:name w:val="HTML Acronym"/>
    <w:basedOn w:val="29"/>
    <w:qFormat/>
    <w:uiPriority w:val="0"/>
  </w:style>
  <w:style w:type="character" w:styleId="37">
    <w:name w:val="HTML Variable"/>
    <w:basedOn w:val="29"/>
    <w:qFormat/>
    <w:uiPriority w:val="0"/>
  </w:style>
  <w:style w:type="character" w:styleId="38">
    <w:name w:val="Hyperlink"/>
    <w:basedOn w:val="29"/>
    <w:qFormat/>
    <w:uiPriority w:val="99"/>
    <w:rPr>
      <w:color w:val="0000FF"/>
      <w:u w:val="single"/>
    </w:rPr>
  </w:style>
  <w:style w:type="character" w:styleId="39">
    <w:name w:val="HTML Code"/>
    <w:basedOn w:val="29"/>
    <w:qFormat/>
    <w:uiPriority w:val="0"/>
    <w:rPr>
      <w:rFonts w:hint="default" w:ascii="monospace" w:hAnsi="monospace" w:eastAsia="monospace" w:cs="monospace"/>
      <w:sz w:val="20"/>
    </w:rPr>
  </w:style>
  <w:style w:type="character" w:styleId="40">
    <w:name w:val="HTML Cite"/>
    <w:basedOn w:val="29"/>
    <w:qFormat/>
    <w:uiPriority w:val="0"/>
  </w:style>
  <w:style w:type="character" w:styleId="41">
    <w:name w:val="HTML Keyboard"/>
    <w:basedOn w:val="29"/>
    <w:qFormat/>
    <w:uiPriority w:val="0"/>
    <w:rPr>
      <w:rFonts w:hint="default" w:ascii="monospace" w:hAnsi="monospace" w:eastAsia="monospace" w:cs="monospace"/>
      <w:sz w:val="20"/>
    </w:rPr>
  </w:style>
  <w:style w:type="character" w:styleId="42">
    <w:name w:val="HTML Sample"/>
    <w:basedOn w:val="29"/>
    <w:qFormat/>
    <w:uiPriority w:val="0"/>
    <w:rPr>
      <w:rFonts w:hint="default" w:ascii="monospace" w:hAnsi="monospace" w:eastAsia="monospace" w:cs="monospace"/>
    </w:rPr>
  </w:style>
  <w:style w:type="paragraph" w:customStyle="1" w:styleId="43">
    <w:name w:val="列表段落1"/>
    <w:basedOn w:val="1"/>
    <w:qFormat/>
    <w:uiPriority w:val="0"/>
    <w:pPr>
      <w:spacing w:line="360" w:lineRule="auto"/>
      <w:ind w:firstLine="420" w:firstLineChars="200"/>
    </w:pPr>
    <w:rPr>
      <w:rFonts w:ascii="宋体" w:hAnsi="宋体" w:cs="宋体"/>
      <w:sz w:val="24"/>
    </w:rPr>
  </w:style>
  <w:style w:type="paragraph" w:customStyle="1" w:styleId="44">
    <w:name w:val="_Style 2"/>
    <w:basedOn w:val="1"/>
    <w:next w:val="1"/>
    <w:qFormat/>
    <w:uiPriority w:val="0"/>
    <w:pPr>
      <w:ind w:firstLine="200" w:firstLineChars="200"/>
    </w:pPr>
    <w:rPr>
      <w:rFonts w:ascii="Calibri" w:hAnsi="Calibri"/>
      <w:sz w:val="28"/>
      <w:szCs w:val="22"/>
    </w:rPr>
  </w:style>
  <w:style w:type="paragraph" w:customStyle="1" w:styleId="45">
    <w:name w:val="首行缩进"/>
    <w:basedOn w:val="1"/>
    <w:qFormat/>
    <w:uiPriority w:val="0"/>
    <w:pPr>
      <w:spacing w:line="360" w:lineRule="auto"/>
      <w:ind w:firstLine="480" w:firstLineChars="200"/>
    </w:pPr>
    <w:rPr>
      <w:sz w:val="24"/>
      <w:szCs w:val="22"/>
      <w:lang w:val="zh-CN"/>
    </w:rPr>
  </w:style>
  <w:style w:type="character" w:customStyle="1" w:styleId="46">
    <w:name w:val="标题 3 字符"/>
    <w:link w:val="4"/>
    <w:qFormat/>
    <w:uiPriority w:val="0"/>
    <w:rPr>
      <w:b/>
      <w:bCs/>
      <w:color w:val="000000"/>
      <w:sz w:val="32"/>
      <w:szCs w:val="32"/>
      <w:u w:val="none" w:color="000000"/>
      <w:lang w:val="en-US" w:eastAsia="zh-CN" w:bidi="ar-SA"/>
    </w:rPr>
  </w:style>
  <w:style w:type="paragraph" w:customStyle="1" w:styleId="47">
    <w:name w:val="无间隔1"/>
    <w:basedOn w:val="1"/>
    <w:qFormat/>
    <w:uiPriority w:val="1"/>
    <w:pPr>
      <w:jc w:val="center"/>
    </w:pPr>
    <w:rPr>
      <w:rFonts w:eastAsia="黑体"/>
      <w:sz w:val="30"/>
    </w:rPr>
  </w:style>
  <w:style w:type="character" w:customStyle="1" w:styleId="48">
    <w:name w:val="正文文本 字符"/>
    <w:link w:val="10"/>
    <w:semiHidden/>
    <w:qFormat/>
    <w:locked/>
    <w:uiPriority w:val="0"/>
    <w:rPr>
      <w:rFonts w:eastAsia="宋体"/>
      <w:kern w:val="2"/>
      <w:sz w:val="21"/>
      <w:szCs w:val="24"/>
      <w:lang w:val="en-US" w:eastAsia="zh-CN" w:bidi="ar-SA"/>
    </w:rPr>
  </w:style>
  <w:style w:type="character" w:customStyle="1" w:styleId="49">
    <w:name w:val="纯文本 字符"/>
    <w:link w:val="13"/>
    <w:qFormat/>
    <w:uiPriority w:val="0"/>
    <w:rPr>
      <w:rFonts w:ascii="宋体"/>
      <w:color w:val="000000"/>
      <w:kern w:val="2"/>
      <w:sz w:val="21"/>
      <w:u w:val="none" w:color="000000"/>
    </w:rPr>
  </w:style>
  <w:style w:type="character" w:customStyle="1" w:styleId="50">
    <w:name w:val="日期 字符"/>
    <w:link w:val="15"/>
    <w:qFormat/>
    <w:uiPriority w:val="0"/>
    <w:rPr>
      <w:rFonts w:ascii="Arial" w:hAnsi="Arial" w:eastAsia="仿宋_GB2312"/>
      <w:color w:val="000000"/>
      <w:kern w:val="2"/>
      <w:sz w:val="32"/>
      <w:u w:val="none" w:color="000000"/>
      <w:lang w:val="en-US" w:eastAsia="zh-CN" w:bidi="ar-SA"/>
    </w:rPr>
  </w:style>
  <w:style w:type="character" w:customStyle="1" w:styleId="51">
    <w:name w:val="页脚 字符"/>
    <w:link w:val="16"/>
    <w:qFormat/>
    <w:locked/>
    <w:uiPriority w:val="0"/>
    <w:rPr>
      <w:rFonts w:eastAsia="宋体"/>
      <w:kern w:val="2"/>
      <w:sz w:val="18"/>
      <w:szCs w:val="18"/>
      <w:lang w:val="en-US" w:eastAsia="zh-CN" w:bidi="ar-SA"/>
    </w:rPr>
  </w:style>
  <w:style w:type="character" w:customStyle="1" w:styleId="52">
    <w:name w:val="页眉 字符"/>
    <w:link w:val="17"/>
    <w:qFormat/>
    <w:locked/>
    <w:uiPriority w:val="0"/>
    <w:rPr>
      <w:rFonts w:eastAsia="宋体"/>
      <w:kern w:val="2"/>
      <w:sz w:val="18"/>
      <w:szCs w:val="18"/>
      <w:lang w:val="en-US" w:eastAsia="zh-CN" w:bidi="ar-SA"/>
    </w:rPr>
  </w:style>
  <w:style w:type="paragraph" w:customStyle="1" w:styleId="53">
    <w:name w:val="正文缩进1"/>
    <w:basedOn w:val="1"/>
    <w:qFormat/>
    <w:uiPriority w:val="0"/>
    <w:pPr>
      <w:ind w:firstLine="420" w:firstLineChars="200"/>
    </w:pPr>
  </w:style>
  <w:style w:type="paragraph" w:customStyle="1" w:styleId="54">
    <w:name w:val="正文格式"/>
    <w:basedOn w:val="1"/>
    <w:qFormat/>
    <w:uiPriority w:val="99"/>
    <w:pPr>
      <w:widowControl/>
      <w:adjustRightInd w:val="0"/>
      <w:snapToGrid w:val="0"/>
      <w:spacing w:line="400" w:lineRule="atLeast"/>
      <w:ind w:firstLine="482"/>
      <w:textAlignment w:val="baseline"/>
    </w:pPr>
    <w:rPr>
      <w:kern w:val="0"/>
      <w:sz w:val="24"/>
    </w:rPr>
  </w:style>
  <w:style w:type="character" w:customStyle="1" w:styleId="55">
    <w:name w:val="font01"/>
    <w:basedOn w:val="29"/>
    <w:qFormat/>
    <w:uiPriority w:val="0"/>
    <w:rPr>
      <w:rFonts w:hint="eastAsia" w:ascii="宋体" w:hAnsi="宋体" w:eastAsia="宋体" w:cs="宋体"/>
      <w:color w:val="000000"/>
      <w:sz w:val="22"/>
      <w:szCs w:val="22"/>
      <w:u w:val="none"/>
    </w:rPr>
  </w:style>
  <w:style w:type="character" w:customStyle="1" w:styleId="56">
    <w:name w:val="font111"/>
    <w:basedOn w:val="29"/>
    <w:qFormat/>
    <w:uiPriority w:val="0"/>
    <w:rPr>
      <w:rFonts w:ascii="Arial" w:hAnsi="Arial" w:cs="Arial"/>
      <w:color w:val="000000"/>
      <w:sz w:val="18"/>
      <w:szCs w:val="18"/>
      <w:u w:val="none"/>
    </w:rPr>
  </w:style>
  <w:style w:type="character" w:customStyle="1" w:styleId="57">
    <w:name w:val="Body Text Char"/>
    <w:qFormat/>
    <w:locked/>
    <w:uiPriority w:val="0"/>
    <w:rPr>
      <w:rFonts w:ascii="宋体" w:hAnsi="Arial"/>
      <w:sz w:val="28"/>
    </w:rPr>
  </w:style>
  <w:style w:type="paragraph" w:customStyle="1" w:styleId="58">
    <w:name w:val="black1"/>
    <w:basedOn w:val="1"/>
    <w:qFormat/>
    <w:uiPriority w:val="0"/>
    <w:pPr>
      <w:widowControl/>
      <w:spacing w:before="100" w:beforeAutospacing="1" w:after="100" w:afterAutospacing="1" w:line="280" w:lineRule="atLeast"/>
      <w:jc w:val="left"/>
    </w:pPr>
    <w:rPr>
      <w:rFonts w:ascii="_x000B__x000C_" w:hAnsi="_x000B__x000C_"/>
      <w:color w:val="000000"/>
      <w:kern w:val="0"/>
      <w:sz w:val="18"/>
      <w:szCs w:val="18"/>
    </w:rPr>
  </w:style>
  <w:style w:type="paragraph" w:customStyle="1" w:styleId="59">
    <w:name w:val="Table Paragraph"/>
    <w:basedOn w:val="1"/>
    <w:qFormat/>
    <w:uiPriority w:val="1"/>
  </w:style>
  <w:style w:type="paragraph" w:customStyle="1" w:styleId="60">
    <w:name w:val="Body 1"/>
    <w:qFormat/>
    <w:uiPriority w:val="0"/>
    <w:pPr>
      <w:outlineLvl w:val="0"/>
    </w:pPr>
    <w:rPr>
      <w:rFonts w:ascii="Helvetica" w:hAnsi="Helvetica" w:eastAsia="ヒラギノ角ゴ Pro W3" w:cs="Times New Roman"/>
      <w:color w:val="000000"/>
      <w:sz w:val="22"/>
      <w:lang w:val="en-US" w:eastAsia="zh-CN" w:bidi="ar-SA"/>
    </w:rPr>
  </w:style>
  <w:style w:type="paragraph" w:customStyle="1" w:styleId="61">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62">
    <w:name w:val="Char"/>
    <w:basedOn w:val="1"/>
    <w:next w:val="1"/>
    <w:qFormat/>
    <w:uiPriority w:val="0"/>
    <w:pPr>
      <w:widowControl/>
      <w:spacing w:line="360" w:lineRule="auto"/>
      <w:jc w:val="left"/>
    </w:pPr>
    <w:rPr>
      <w:kern w:val="0"/>
      <w:szCs w:val="20"/>
      <w:lang w:eastAsia="en-US"/>
    </w:rPr>
  </w:style>
  <w:style w:type="paragraph" w:customStyle="1" w:styleId="63">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64">
    <w:name w:val="p0"/>
    <w:basedOn w:val="1"/>
    <w:qFormat/>
    <w:uiPriority w:val="0"/>
    <w:pPr>
      <w:widowControl/>
      <w:jc w:val="left"/>
    </w:pPr>
    <w:rPr>
      <w:rFonts w:ascii="宋体" w:hAnsi="宋体" w:cs="宋体"/>
      <w:kern w:val="0"/>
      <w:sz w:val="18"/>
      <w:szCs w:val="18"/>
    </w:rPr>
  </w:style>
  <w:style w:type="paragraph" w:customStyle="1" w:styleId="65">
    <w:name w:val="WPS Plain"/>
    <w:qFormat/>
    <w:uiPriority w:val="0"/>
    <w:rPr>
      <w:rFonts w:ascii="Times New Roman" w:hAnsi="Times New Roman" w:eastAsia="宋体" w:cs="Times New Roman"/>
      <w:lang w:val="en-US" w:eastAsia="zh-CN" w:bidi="ar-SA"/>
    </w:rPr>
  </w:style>
  <w:style w:type="paragraph" w:customStyle="1" w:styleId="66">
    <w:name w:val="节标题"/>
    <w:basedOn w:val="1"/>
    <w:next w:val="1"/>
    <w:qFormat/>
    <w:uiPriority w:val="0"/>
    <w:pPr>
      <w:widowControl/>
      <w:spacing w:line="289" w:lineRule="atLeast"/>
      <w:jc w:val="center"/>
      <w:textAlignment w:val="baseline"/>
    </w:pPr>
    <w:rPr>
      <w:color w:val="000000"/>
      <w:kern w:val="0"/>
      <w:sz w:val="28"/>
      <w:szCs w:val="20"/>
      <w:u w:color="000000"/>
    </w:rPr>
  </w:style>
  <w:style w:type="paragraph" w:customStyle="1" w:styleId="67">
    <w:name w:val="样式 左侧:  0 厘米 悬挂缩进: 2.5 字符"/>
    <w:basedOn w:val="1"/>
    <w:qFormat/>
    <w:uiPriority w:val="0"/>
    <w:pPr>
      <w:ind w:left="525" w:hanging="525" w:hangingChars="250"/>
    </w:pPr>
    <w:rPr>
      <w:szCs w:val="20"/>
    </w:rPr>
  </w:style>
  <w:style w:type="paragraph" w:customStyle="1" w:styleId="68">
    <w:name w:val="标题 5（有编号）（绿盟科技）"/>
    <w:basedOn w:val="1"/>
    <w:next w:val="61"/>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6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0">
    <w:name w:val="图例"/>
    <w:basedOn w:val="1"/>
    <w:qFormat/>
    <w:uiPriority w:val="0"/>
    <w:pPr>
      <w:spacing w:before="120" w:after="120" w:line="360" w:lineRule="auto"/>
      <w:jc w:val="center"/>
    </w:pPr>
    <w:rPr>
      <w:rFonts w:eastAsia="仿宋_GB2312"/>
      <w:b/>
      <w:sz w:val="24"/>
    </w:rPr>
  </w:style>
  <w:style w:type="character" w:customStyle="1" w:styleId="71">
    <w:name w:val="font71"/>
    <w:basedOn w:val="29"/>
    <w:qFormat/>
    <w:uiPriority w:val="0"/>
    <w:rPr>
      <w:rFonts w:hint="default" w:ascii="Calibri" w:hAnsi="Calibri" w:cs="Calibri"/>
      <w:b/>
      <w:bCs/>
      <w:color w:val="000000"/>
      <w:sz w:val="21"/>
      <w:szCs w:val="21"/>
      <w:u w:val="none"/>
    </w:rPr>
  </w:style>
  <w:style w:type="character" w:customStyle="1" w:styleId="72">
    <w:name w:val="font61"/>
    <w:basedOn w:val="29"/>
    <w:qFormat/>
    <w:uiPriority w:val="0"/>
    <w:rPr>
      <w:rFonts w:hint="eastAsia" w:ascii="华文仿宋" w:hAnsi="华文仿宋" w:eastAsia="华文仿宋" w:cs="华文仿宋"/>
      <w:color w:val="000000"/>
      <w:sz w:val="21"/>
      <w:szCs w:val="21"/>
      <w:u w:val="none"/>
    </w:rPr>
  </w:style>
  <w:style w:type="character" w:customStyle="1" w:styleId="73">
    <w:name w:val="font91"/>
    <w:basedOn w:val="29"/>
    <w:qFormat/>
    <w:uiPriority w:val="0"/>
    <w:rPr>
      <w:rFonts w:hint="default" w:ascii="Calibri" w:hAnsi="Calibri" w:cs="Calibri"/>
      <w:b/>
      <w:bCs/>
      <w:color w:val="FF0000"/>
      <w:sz w:val="21"/>
      <w:szCs w:val="21"/>
      <w:u w:val="none"/>
    </w:rPr>
  </w:style>
  <w:style w:type="character" w:customStyle="1" w:styleId="74">
    <w:name w:val="font101"/>
    <w:basedOn w:val="29"/>
    <w:qFormat/>
    <w:uiPriority w:val="0"/>
    <w:rPr>
      <w:rFonts w:hint="eastAsia" w:ascii="宋体" w:hAnsi="宋体" w:eastAsia="宋体" w:cs="宋体"/>
      <w:color w:val="000000"/>
      <w:sz w:val="21"/>
      <w:szCs w:val="21"/>
      <w:u w:val="none"/>
    </w:rPr>
  </w:style>
  <w:style w:type="character" w:customStyle="1" w:styleId="75">
    <w:name w:val="font81"/>
    <w:basedOn w:val="29"/>
    <w:qFormat/>
    <w:uiPriority w:val="0"/>
    <w:rPr>
      <w:rFonts w:hint="default" w:ascii="Calibri" w:hAnsi="Calibri" w:cs="Calibri"/>
      <w:color w:val="000000"/>
      <w:sz w:val="21"/>
      <w:szCs w:val="21"/>
      <w:u w:val="none"/>
    </w:rPr>
  </w:style>
  <w:style w:type="character" w:customStyle="1" w:styleId="76">
    <w:name w:val="first-child"/>
    <w:basedOn w:val="29"/>
    <w:qFormat/>
    <w:uiPriority w:val="0"/>
  </w:style>
  <w:style w:type="character" w:customStyle="1" w:styleId="77">
    <w:name w:val="layui-layer-tabnow"/>
    <w:basedOn w:val="29"/>
    <w:qFormat/>
    <w:uiPriority w:val="0"/>
    <w:rPr>
      <w:bdr w:val="single" w:color="CCCCCC" w:sz="6" w:space="0"/>
      <w:shd w:val="clear" w:color="auto" w:fill="FFFFFF"/>
    </w:rPr>
  </w:style>
  <w:style w:type="paragraph" w:customStyle="1" w:styleId="78">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79">
    <w:name w:val="答复表头"/>
    <w:basedOn w:val="80"/>
    <w:next w:val="1"/>
    <w:qFormat/>
    <w:uiPriority w:val="0"/>
    <w:pPr>
      <w:tabs>
        <w:tab w:val="left" w:pos="480"/>
      </w:tabs>
    </w:pPr>
    <w:rPr>
      <w:b/>
    </w:rPr>
  </w:style>
  <w:style w:type="paragraph" w:customStyle="1" w:styleId="80">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81">
    <w:name w:val="标题 字符"/>
    <w:link w:val="24"/>
    <w:qFormat/>
    <w:uiPriority w:val="0"/>
    <w:rPr>
      <w:rFonts w:ascii="Arial" w:hAnsi="Arial" w:cs="Arial"/>
      <w:b/>
      <w:bCs/>
      <w:sz w:val="32"/>
      <w:szCs w:val="32"/>
    </w:rPr>
  </w:style>
  <w:style w:type="character" w:customStyle="1" w:styleId="82">
    <w:name w:val="NormalCharacter"/>
    <w:semiHidden/>
    <w:qFormat/>
    <w:uiPriority w:val="0"/>
  </w:style>
  <w:style w:type="paragraph" w:customStyle="1" w:styleId="83">
    <w:name w:val="Body text|2"/>
    <w:basedOn w:val="1"/>
    <w:qFormat/>
    <w:uiPriority w:val="0"/>
    <w:pPr>
      <w:spacing w:after="260"/>
      <w:ind w:firstLine="140"/>
    </w:pPr>
    <w:rPr>
      <w:rFonts w:ascii="宋体" w:hAnsi="宋体" w:cs="宋体"/>
      <w:sz w:val="30"/>
      <w:szCs w:val="30"/>
      <w:lang w:val="zh-TW" w:eastAsia="zh-TW" w:bidi="zh-TW"/>
    </w:rPr>
  </w:style>
  <w:style w:type="paragraph" w:customStyle="1" w:styleId="84">
    <w:name w:val="Body text|1"/>
    <w:basedOn w:val="1"/>
    <w:qFormat/>
    <w:uiPriority w:val="0"/>
    <w:pPr>
      <w:spacing w:line="454" w:lineRule="auto"/>
      <w:ind w:firstLine="140"/>
    </w:pPr>
    <w:rPr>
      <w:rFonts w:ascii="宋体" w:hAnsi="宋体" w:cs="宋体"/>
      <w:sz w:val="22"/>
      <w:szCs w:val="22"/>
      <w:lang w:val="zh-TW" w:eastAsia="zh-TW" w:bidi="zh-TW"/>
    </w:rPr>
  </w:style>
  <w:style w:type="paragraph" w:customStyle="1" w:styleId="85">
    <w:name w:val="Other|1"/>
    <w:basedOn w:val="1"/>
    <w:qFormat/>
    <w:uiPriority w:val="0"/>
    <w:pPr>
      <w:spacing w:line="454" w:lineRule="auto"/>
      <w:ind w:firstLine="140"/>
    </w:pPr>
    <w:rPr>
      <w:rFonts w:ascii="宋体" w:hAnsi="宋体" w:cs="宋体"/>
      <w:sz w:val="22"/>
      <w:szCs w:val="22"/>
      <w:lang w:val="zh-TW" w:eastAsia="zh-TW" w:bidi="zh-TW"/>
    </w:rPr>
  </w:style>
  <w:style w:type="table" w:customStyle="1" w:styleId="86">
    <w:name w:val="Table Normal"/>
    <w:unhideWhenUsed/>
    <w:qFormat/>
    <w:uiPriority w:val="0"/>
    <w:tblPr>
      <w:tblCellMar>
        <w:top w:w="0" w:type="dxa"/>
        <w:left w:w="0" w:type="dxa"/>
        <w:bottom w:w="0" w:type="dxa"/>
        <w:right w:w="0" w:type="dxa"/>
      </w:tblCellMar>
    </w:tblPr>
  </w:style>
  <w:style w:type="character" w:customStyle="1" w:styleId="87">
    <w:name w:val="fa"/>
    <w:basedOn w:val="29"/>
    <w:qFormat/>
    <w:uiPriority w:val="0"/>
    <w:rPr>
      <w:color w:val="333333"/>
      <w:sz w:val="19"/>
      <w:szCs w:val="19"/>
    </w:rPr>
  </w:style>
  <w:style w:type="character" w:customStyle="1" w:styleId="88">
    <w:name w:val="nth-child(1)"/>
    <w:basedOn w:val="29"/>
    <w:qFormat/>
    <w:uiPriority w:val="0"/>
  </w:style>
  <w:style w:type="paragraph" w:customStyle="1" w:styleId="89">
    <w:name w:val="无间隔11"/>
    <w:qFormat/>
    <w:uiPriority w:val="1"/>
    <w:rPr>
      <w:rFonts w:ascii="Times New Roman" w:hAnsi="Times New Roman" w:eastAsia="宋体" w:cs="Times New Roman"/>
      <w:sz w:val="22"/>
      <w:szCs w:val="22"/>
      <w:lang w:val="en-US" w:eastAsia="zh-CN" w:bidi="ar-SA"/>
    </w:rPr>
  </w:style>
  <w:style w:type="character" w:customStyle="1" w:styleId="90">
    <w:name w:val="Char Char8"/>
    <w:qFormat/>
    <w:uiPriority w:val="0"/>
    <w:rPr>
      <w:rFonts w:eastAsia="宋体"/>
      <w:b/>
      <w:bCs/>
      <w:kern w:val="2"/>
      <w:sz w:val="32"/>
      <w:szCs w:val="32"/>
      <w:lang w:val="en-US" w:eastAsia="zh-CN" w:bidi="ar-SA"/>
    </w:rPr>
  </w:style>
  <w:style w:type="character" w:customStyle="1" w:styleId="91">
    <w:name w:val="font41"/>
    <w:basedOn w:val="29"/>
    <w:qFormat/>
    <w:uiPriority w:val="0"/>
    <w:rPr>
      <w:rFonts w:hint="eastAsia" w:ascii="宋体" w:hAnsi="宋体" w:eastAsia="宋体" w:cs="宋体"/>
      <w:color w:val="000000"/>
      <w:sz w:val="15"/>
      <w:szCs w:val="15"/>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MSCD龙帝国技术社区 Htpp://Bbs.Mscode.Cc</Company>
  <Pages>116</Pages>
  <Words>11743</Words>
  <Characters>66939</Characters>
  <Lines>557</Lines>
  <Paragraphs>157</Paragraphs>
  <TotalTime>14</TotalTime>
  <ScaleCrop>false</ScaleCrop>
  <LinksUpToDate>false</LinksUpToDate>
  <CharactersWithSpaces>78525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2014-07-12T08:56:00Z</dcterms:created>
  <dc:creator>陈倩倩</dc:creator>
  <cp:lastModifiedBy>亮子</cp:lastModifiedBy>
  <cp:lastPrinted>2012-01-04T09:43:00Z</cp:lastPrinted>
  <dcterms:modified xsi:type="dcterms:W3CDTF">2023-10-24T11:04:04Z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C25EEF15A976440894ADE47F7A5F995D_13</vt:lpwstr>
  </property>
</Properties>
</file>