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31958">
      <w:pPr>
        <w:spacing w:line="760" w:lineRule="exact"/>
        <w:jc w:val="center"/>
        <w:rPr>
          <w:rFonts w:ascii="仿宋" w:hAnsi="仿宋" w:eastAsia="仿宋" w:cs="仿宋"/>
          <w:b/>
          <w:bCs/>
          <w:color w:val="auto"/>
          <w:sz w:val="40"/>
          <w:szCs w:val="40"/>
          <w:lang w:eastAsia="zh-CN"/>
        </w:rPr>
      </w:pPr>
    </w:p>
    <w:p w14:paraId="4FDF1133">
      <w:pPr>
        <w:spacing w:line="760" w:lineRule="exact"/>
        <w:jc w:val="center"/>
        <w:rPr>
          <w:rFonts w:hint="eastAsia" w:ascii="仿宋" w:hAnsi="仿宋" w:eastAsia="仿宋" w:cs="仿宋"/>
          <w:b/>
          <w:bCs/>
          <w:color w:val="auto"/>
          <w:sz w:val="40"/>
          <w:szCs w:val="40"/>
          <w:lang w:val="en-US" w:eastAsia="zh-CN"/>
        </w:rPr>
      </w:pPr>
      <w:r>
        <w:rPr>
          <w:rFonts w:hint="eastAsia" w:ascii="仿宋" w:hAnsi="仿宋" w:eastAsia="仿宋" w:cs="仿宋"/>
          <w:b/>
          <w:bCs/>
          <w:color w:val="auto"/>
          <w:sz w:val="40"/>
          <w:szCs w:val="40"/>
          <w:lang w:val="en-US" w:eastAsia="zh-CN"/>
        </w:rPr>
        <w:t>阿合奇县政府购买社会救助服务示范项目</w:t>
      </w:r>
    </w:p>
    <w:p w14:paraId="28976A22">
      <w:pPr>
        <w:spacing w:line="760" w:lineRule="exact"/>
        <w:jc w:val="center"/>
        <w:rPr>
          <w:rFonts w:hint="default" w:ascii="仿宋" w:hAnsi="仿宋" w:eastAsia="仿宋" w:cs="仿宋"/>
          <w:b/>
          <w:bCs/>
          <w:color w:val="auto"/>
          <w:sz w:val="40"/>
          <w:szCs w:val="40"/>
          <w:lang w:val="en-US" w:eastAsia="zh-CN"/>
        </w:rPr>
      </w:pPr>
      <w:r>
        <w:rPr>
          <w:rFonts w:hint="eastAsia" w:ascii="仿宋" w:hAnsi="仿宋" w:eastAsia="仿宋" w:cs="仿宋"/>
          <w:b/>
          <w:bCs/>
          <w:color w:val="auto"/>
          <w:sz w:val="40"/>
          <w:szCs w:val="40"/>
          <w:lang w:val="en-US" w:eastAsia="zh-CN"/>
        </w:rPr>
        <w:t>项目</w:t>
      </w:r>
      <w:r>
        <w:rPr>
          <w:rFonts w:hint="eastAsia" w:ascii="仿宋" w:hAnsi="仿宋" w:eastAsia="仿宋" w:cs="仿宋"/>
          <w:b/>
          <w:bCs/>
          <w:color w:val="auto"/>
          <w:sz w:val="40"/>
          <w:szCs w:val="40"/>
          <w:lang w:eastAsia="zh-CN"/>
        </w:rPr>
        <w:t>编号：AHQXZB</w:t>
      </w:r>
      <w:r>
        <w:rPr>
          <w:rFonts w:hint="eastAsia" w:ascii="仿宋" w:hAnsi="仿宋" w:eastAsia="仿宋" w:cs="仿宋"/>
          <w:b/>
          <w:bCs/>
          <w:color w:val="auto"/>
          <w:sz w:val="40"/>
          <w:szCs w:val="40"/>
          <w:lang w:val="en-US" w:eastAsia="zh-CN"/>
        </w:rPr>
        <w:t>-2025016</w:t>
      </w:r>
    </w:p>
    <w:p w14:paraId="28DFB1EE">
      <w:pPr>
        <w:spacing w:line="760" w:lineRule="exact"/>
        <w:jc w:val="center"/>
        <w:rPr>
          <w:rFonts w:hint="default"/>
          <w:color w:val="auto"/>
          <w:highlight w:val="none"/>
          <w:shd w:val="clear" w:color="auto" w:fill="auto"/>
          <w:lang w:val="en-US"/>
        </w:rPr>
      </w:pPr>
    </w:p>
    <w:p w14:paraId="2D1C70E7">
      <w:pPr>
        <w:spacing w:line="760" w:lineRule="exact"/>
        <w:jc w:val="center"/>
        <w:rPr>
          <w:rFonts w:hint="default" w:ascii="仿宋" w:hAnsi="仿宋" w:eastAsia="仿宋" w:cs="仿宋"/>
          <w:color w:val="auto"/>
          <w:lang w:val="en-US"/>
        </w:rPr>
      </w:pPr>
    </w:p>
    <w:p w14:paraId="2C737293">
      <w:pPr>
        <w:pStyle w:val="33"/>
        <w:rPr>
          <w:rFonts w:ascii="仿宋" w:hAnsi="仿宋" w:eastAsia="仿宋" w:cs="仿宋"/>
          <w:color w:val="auto"/>
        </w:rPr>
      </w:pPr>
    </w:p>
    <w:p w14:paraId="56083274">
      <w:pPr>
        <w:pStyle w:val="33"/>
        <w:rPr>
          <w:rFonts w:ascii="仿宋" w:hAnsi="仿宋" w:eastAsia="仿宋" w:cs="仿宋"/>
          <w:color w:val="auto"/>
        </w:rPr>
      </w:pPr>
    </w:p>
    <w:p w14:paraId="699CF688">
      <w:pPr>
        <w:pStyle w:val="33"/>
        <w:rPr>
          <w:rFonts w:ascii="仿宋" w:hAnsi="仿宋" w:eastAsia="仿宋" w:cs="仿宋"/>
          <w:color w:val="auto"/>
        </w:rPr>
      </w:pPr>
    </w:p>
    <w:p w14:paraId="15A73D8A">
      <w:pPr>
        <w:pStyle w:val="33"/>
        <w:jc w:val="center"/>
        <w:rPr>
          <w:rFonts w:hint="eastAsia" w:ascii="仿宋" w:hAnsi="仿宋" w:eastAsia="仿宋" w:cs="仿宋"/>
          <w:b/>
          <w:color w:val="auto"/>
          <w:sz w:val="96"/>
          <w:szCs w:val="96"/>
          <w:lang w:eastAsia="zh-CN"/>
        </w:rPr>
      </w:pPr>
      <w:r>
        <w:rPr>
          <w:rFonts w:hint="eastAsia" w:ascii="仿宋" w:hAnsi="仿宋" w:eastAsia="仿宋" w:cs="仿宋"/>
          <w:b/>
          <w:color w:val="auto"/>
          <w:sz w:val="96"/>
          <w:szCs w:val="96"/>
          <w:lang w:eastAsia="zh-CN"/>
        </w:rPr>
        <w:t>磋</w:t>
      </w:r>
    </w:p>
    <w:p w14:paraId="23AF617C">
      <w:pPr>
        <w:pStyle w:val="33"/>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lang w:eastAsia="zh-CN"/>
        </w:rPr>
        <w:t>商</w:t>
      </w:r>
    </w:p>
    <w:p w14:paraId="3C13CA28">
      <w:pPr>
        <w:pStyle w:val="33"/>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0002AD80">
      <w:pPr>
        <w:pStyle w:val="33"/>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23ABBA89">
      <w:pPr>
        <w:pStyle w:val="33"/>
        <w:rPr>
          <w:rFonts w:ascii="仿宋" w:hAnsi="仿宋" w:eastAsia="仿宋" w:cs="仿宋"/>
          <w:color w:val="auto"/>
        </w:rPr>
      </w:pPr>
    </w:p>
    <w:p w14:paraId="34CB6747">
      <w:pPr>
        <w:spacing w:line="700" w:lineRule="exact"/>
        <w:ind w:firstLine="640" w:firstLineChars="20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采购单位：</w:t>
      </w:r>
      <w:r>
        <w:rPr>
          <w:rFonts w:hint="eastAsia" w:ascii="仿宋" w:hAnsi="仿宋" w:eastAsia="仿宋" w:cs="仿宋"/>
          <w:color w:val="auto"/>
          <w:sz w:val="32"/>
          <w:szCs w:val="32"/>
          <w:lang w:val="en-US" w:eastAsia="zh-CN"/>
        </w:rPr>
        <w:t>阿合奇县民政局</w:t>
      </w:r>
      <w:r>
        <w:rPr>
          <w:rFonts w:hint="eastAsia" w:ascii="仿宋" w:hAnsi="仿宋" w:eastAsia="仿宋" w:cs="仿宋"/>
          <w:color w:val="auto"/>
          <w:sz w:val="32"/>
          <w:szCs w:val="32"/>
          <w:lang w:eastAsia="zh-CN"/>
        </w:rPr>
        <w:t xml:space="preserve"> </w:t>
      </w:r>
    </w:p>
    <w:p w14:paraId="3863B622">
      <w:pPr>
        <w:spacing w:line="700" w:lineRule="exact"/>
        <w:ind w:firstLine="640" w:firstLineChars="20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联 系 人: </w:t>
      </w:r>
      <w:r>
        <w:rPr>
          <w:rFonts w:hint="eastAsia" w:ascii="仿宋" w:hAnsi="仿宋" w:eastAsia="仿宋" w:cs="仿宋"/>
          <w:color w:val="auto"/>
          <w:sz w:val="32"/>
          <w:szCs w:val="32"/>
          <w:lang w:val="en-US" w:eastAsia="zh-CN"/>
        </w:rPr>
        <w:t>张先生</w:t>
      </w:r>
      <w:r>
        <w:rPr>
          <w:rFonts w:hint="eastAsia" w:ascii="仿宋" w:hAnsi="仿宋" w:eastAsia="仿宋" w:cs="仿宋"/>
          <w:color w:val="auto"/>
          <w:sz w:val="32"/>
          <w:szCs w:val="32"/>
          <w:lang w:eastAsia="zh-CN"/>
        </w:rPr>
        <w:t xml:space="preserve"> </w:t>
      </w:r>
    </w:p>
    <w:p w14:paraId="6B688E24">
      <w:pPr>
        <w:spacing w:line="70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18997860315</w:t>
      </w:r>
    </w:p>
    <w:p w14:paraId="56AC8311">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代理机构：</w:t>
      </w:r>
      <w:r>
        <w:rPr>
          <w:rFonts w:hint="eastAsia" w:ascii="仿宋" w:hAnsi="仿宋" w:eastAsia="仿宋" w:cs="仿宋"/>
          <w:color w:val="auto"/>
          <w:sz w:val="32"/>
          <w:szCs w:val="32"/>
          <w:highlight w:val="none"/>
          <w:lang w:val="en-US" w:eastAsia="zh-CN"/>
        </w:rPr>
        <w:t>阿合奇县新越项目咨询有限责任公司</w:t>
      </w:r>
    </w:p>
    <w:p w14:paraId="5E69CACE">
      <w:pPr>
        <w:pStyle w:val="31"/>
        <w:keepNext w:val="0"/>
        <w:keepLines w:val="0"/>
        <w:pageBreakBefore w:val="0"/>
        <w:kinsoku/>
        <w:wordWrap/>
        <w:overflowPunct/>
        <w:topLinePunct w:val="0"/>
        <w:autoSpaceDE/>
        <w:autoSpaceDN/>
        <w:bidi w:val="0"/>
        <w:spacing w:line="60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 系 人：</w:t>
      </w:r>
      <w:r>
        <w:rPr>
          <w:rFonts w:hint="eastAsia" w:ascii="仿宋" w:hAnsi="仿宋" w:eastAsia="仿宋" w:cs="仿宋"/>
          <w:color w:val="auto"/>
          <w:sz w:val="32"/>
          <w:szCs w:val="32"/>
          <w:highlight w:val="none"/>
          <w:lang w:val="en-US" w:eastAsia="zh-CN"/>
        </w:rPr>
        <w:t>银先生</w:t>
      </w:r>
    </w:p>
    <w:p w14:paraId="004C30F1">
      <w:pPr>
        <w:pStyle w:val="31"/>
        <w:keepNext w:val="0"/>
        <w:keepLines w:val="0"/>
        <w:pageBreakBefore w:val="0"/>
        <w:kinsoku/>
        <w:wordWrap/>
        <w:overflowPunct/>
        <w:topLinePunct w:val="0"/>
        <w:autoSpaceDE/>
        <w:autoSpaceDN/>
        <w:bidi w:val="0"/>
        <w:spacing w:line="60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电    话：18809088695</w:t>
      </w:r>
    </w:p>
    <w:p w14:paraId="6635D5D7">
      <w:pPr>
        <w:pStyle w:val="31"/>
        <w:rPr>
          <w:rFonts w:ascii="仿宋" w:hAnsi="仿宋" w:eastAsia="仿宋" w:cs="仿宋"/>
          <w:b/>
          <w:color w:val="auto"/>
          <w:sz w:val="36"/>
          <w:szCs w:val="36"/>
          <w:lang w:eastAsia="zh-CN"/>
        </w:rPr>
      </w:pPr>
    </w:p>
    <w:p w14:paraId="53AF8D56">
      <w:pPr>
        <w:jc w:val="center"/>
        <w:rPr>
          <w:rFonts w:hint="eastAsia" w:ascii="仿宋" w:hAnsi="仿宋" w:eastAsia="仿宋" w:cs="仿宋"/>
          <w:b/>
          <w:color w:val="auto"/>
          <w:sz w:val="36"/>
          <w:szCs w:val="36"/>
          <w:lang w:eastAsia="zh-CN"/>
        </w:rPr>
      </w:pPr>
    </w:p>
    <w:p w14:paraId="6AB1B1EA">
      <w:pPr>
        <w:jc w:val="center"/>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招投标监督管理机构备案登记栏</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14:paraId="12ED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14:paraId="7D5DD661">
            <w:pPr>
              <w:spacing w:line="500" w:lineRule="exact"/>
              <w:jc w:val="both"/>
              <w:rPr>
                <w:rFonts w:ascii="仿宋" w:hAnsi="仿宋" w:eastAsia="仿宋" w:cs="仿宋"/>
                <w:color w:val="auto"/>
                <w:lang w:eastAsia="zh-CN"/>
              </w:rPr>
            </w:pPr>
          </w:p>
          <w:p w14:paraId="3AFE6F1A">
            <w:pPr>
              <w:spacing w:line="500" w:lineRule="exact"/>
              <w:jc w:val="both"/>
              <w:rPr>
                <w:rFonts w:ascii="仿宋" w:hAnsi="仿宋" w:eastAsia="仿宋" w:cs="仿宋"/>
                <w:color w:val="auto"/>
                <w:sz w:val="32"/>
                <w:szCs w:val="32"/>
                <w:lang w:eastAsia="zh-CN"/>
              </w:rPr>
            </w:pPr>
          </w:p>
          <w:p w14:paraId="5974BAEB">
            <w:pPr>
              <w:spacing w:line="500" w:lineRule="exact"/>
              <w:jc w:val="both"/>
              <w:rPr>
                <w:rFonts w:ascii="仿宋" w:hAnsi="仿宋" w:eastAsia="仿宋" w:cs="仿宋"/>
                <w:color w:val="auto"/>
                <w:sz w:val="32"/>
                <w:szCs w:val="32"/>
                <w:lang w:eastAsia="zh-CN"/>
              </w:rPr>
            </w:pPr>
          </w:p>
          <w:p w14:paraId="27CB2268">
            <w:pPr>
              <w:spacing w:line="500" w:lineRule="exact"/>
              <w:jc w:val="both"/>
              <w:rPr>
                <w:rFonts w:ascii="仿宋" w:hAnsi="仿宋" w:eastAsia="仿宋" w:cs="仿宋"/>
                <w:color w:val="auto"/>
                <w:w w:val="95"/>
                <w:sz w:val="32"/>
                <w:szCs w:val="32"/>
                <w:lang w:eastAsia="zh-CN"/>
              </w:rPr>
            </w:pPr>
            <w:r>
              <w:rPr>
                <w:rFonts w:hint="eastAsia" w:ascii="仿宋" w:hAnsi="仿宋" w:eastAsia="仿宋" w:cs="仿宋"/>
                <w:color w:val="auto"/>
                <w:sz w:val="32"/>
                <w:szCs w:val="32"/>
                <w:lang w:eastAsia="zh-CN"/>
              </w:rPr>
              <w:t>采购单位：</w:t>
            </w:r>
            <w:r>
              <w:rPr>
                <w:rFonts w:hint="eastAsia" w:ascii="仿宋" w:hAnsi="仿宋" w:eastAsia="仿宋" w:cs="仿宋"/>
                <w:color w:val="auto"/>
                <w:sz w:val="32"/>
                <w:szCs w:val="32"/>
                <w:lang w:val="en-US" w:eastAsia="zh-CN"/>
              </w:rPr>
              <w:t>阿合奇县民政局</w:t>
            </w:r>
            <w:r>
              <w:rPr>
                <w:rFonts w:hint="eastAsia" w:ascii="仿宋" w:hAnsi="仿宋" w:eastAsia="仿宋" w:cs="仿宋"/>
                <w:color w:val="auto"/>
                <w:sz w:val="32"/>
                <w:szCs w:val="32"/>
                <w:lang w:eastAsia="zh-CN"/>
              </w:rPr>
              <w:t xml:space="preserve"> </w:t>
            </w:r>
            <w:r>
              <w:rPr>
                <w:rFonts w:hint="eastAsia" w:ascii="仿宋" w:hAnsi="仿宋" w:eastAsia="仿宋" w:cs="仿宋"/>
                <w:color w:val="auto"/>
                <w:w w:val="95"/>
                <w:sz w:val="32"/>
                <w:szCs w:val="32"/>
                <w:lang w:val="en-US" w:eastAsia="zh-CN"/>
              </w:rPr>
              <w:t xml:space="preserve">          （</w:t>
            </w:r>
            <w:r>
              <w:rPr>
                <w:rFonts w:hint="eastAsia" w:ascii="仿宋" w:hAnsi="仿宋" w:eastAsia="仿宋" w:cs="仿宋"/>
                <w:color w:val="auto"/>
                <w:w w:val="95"/>
                <w:sz w:val="32"/>
                <w:szCs w:val="32"/>
                <w:lang w:eastAsia="zh-CN"/>
              </w:rPr>
              <w:t>盖章）</w:t>
            </w:r>
          </w:p>
          <w:p w14:paraId="2936DCD6">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23415DA6">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65BB5E40">
            <w:pPr>
              <w:spacing w:line="500" w:lineRule="exact"/>
              <w:jc w:val="both"/>
              <w:rPr>
                <w:rFonts w:ascii="仿宋" w:hAnsi="仿宋" w:eastAsia="仿宋" w:cs="仿宋"/>
                <w:color w:val="auto"/>
                <w:sz w:val="32"/>
                <w:szCs w:val="32"/>
                <w:lang w:eastAsia="zh-CN"/>
              </w:rPr>
            </w:pPr>
          </w:p>
          <w:p w14:paraId="5E9CB38B">
            <w:pPr>
              <w:spacing w:line="500" w:lineRule="exact"/>
              <w:jc w:val="both"/>
              <w:rPr>
                <w:rFonts w:ascii="仿宋" w:hAnsi="仿宋" w:eastAsia="仿宋" w:cs="仿宋"/>
                <w:color w:val="auto"/>
                <w:sz w:val="32"/>
                <w:szCs w:val="32"/>
                <w:lang w:eastAsia="zh-CN"/>
              </w:rPr>
            </w:pPr>
          </w:p>
          <w:p w14:paraId="47DD9EF3">
            <w:pPr>
              <w:spacing w:line="500" w:lineRule="exact"/>
              <w:ind w:left="3520" w:hanging="3520" w:hangingChars="1100"/>
              <w:jc w:val="both"/>
              <w:rPr>
                <w:rFonts w:ascii="仿宋" w:hAnsi="仿宋" w:eastAsia="仿宋" w:cs="仿宋"/>
                <w:color w:val="auto"/>
                <w:sz w:val="32"/>
                <w:szCs w:val="32"/>
                <w:lang w:eastAsia="zh-CN"/>
              </w:rPr>
            </w:pPr>
          </w:p>
          <w:p w14:paraId="11E4DDA1">
            <w:pPr>
              <w:spacing w:line="7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32"/>
                <w:szCs w:val="32"/>
                <w:lang w:eastAsia="zh-CN"/>
              </w:rPr>
              <w:t>采购项目名称：</w:t>
            </w:r>
            <w:r>
              <w:rPr>
                <w:rFonts w:hint="eastAsia" w:ascii="仿宋" w:hAnsi="仿宋" w:eastAsia="仿宋" w:cs="仿宋"/>
                <w:color w:val="auto"/>
                <w:sz w:val="32"/>
                <w:szCs w:val="32"/>
                <w:highlight w:val="none"/>
                <w:lang w:val="en-US" w:eastAsia="zh-CN"/>
              </w:rPr>
              <w:t>阿合奇县政府购买社会救助服务示范项目</w:t>
            </w:r>
          </w:p>
          <w:p w14:paraId="5CF4829D">
            <w:pPr>
              <w:spacing w:line="500" w:lineRule="exact"/>
              <w:jc w:val="both"/>
              <w:rPr>
                <w:rFonts w:ascii="仿宋" w:hAnsi="仿宋" w:eastAsia="仿宋" w:cs="仿宋"/>
                <w:color w:val="auto"/>
                <w:sz w:val="32"/>
                <w:szCs w:val="32"/>
                <w:lang w:eastAsia="zh-CN"/>
              </w:rPr>
            </w:pPr>
          </w:p>
          <w:p w14:paraId="6AA78B23">
            <w:pPr>
              <w:pStyle w:val="31"/>
              <w:jc w:val="both"/>
              <w:rPr>
                <w:rFonts w:ascii="仿宋" w:hAnsi="仿宋" w:eastAsia="仿宋" w:cs="仿宋"/>
                <w:color w:val="auto"/>
                <w:sz w:val="32"/>
                <w:szCs w:val="32"/>
                <w:lang w:eastAsia="zh-CN"/>
              </w:rPr>
            </w:pPr>
          </w:p>
          <w:p w14:paraId="2526EAE8">
            <w:pPr>
              <w:pStyle w:val="31"/>
              <w:jc w:val="both"/>
              <w:rPr>
                <w:rFonts w:ascii="仿宋" w:hAnsi="仿宋" w:eastAsia="仿宋" w:cs="仿宋"/>
                <w:color w:val="auto"/>
                <w:sz w:val="32"/>
                <w:szCs w:val="32"/>
                <w:lang w:eastAsia="zh-CN"/>
              </w:rPr>
            </w:pPr>
          </w:p>
          <w:p w14:paraId="787B49B4">
            <w:pPr>
              <w:pStyle w:val="31"/>
              <w:jc w:val="both"/>
              <w:rPr>
                <w:rFonts w:ascii="仿宋" w:hAnsi="仿宋" w:eastAsia="仿宋" w:cs="仿宋"/>
                <w:color w:val="auto"/>
                <w:sz w:val="32"/>
                <w:szCs w:val="32"/>
                <w:lang w:eastAsia="zh-CN"/>
              </w:rPr>
            </w:pPr>
          </w:p>
          <w:p w14:paraId="6C9ECAF3">
            <w:pPr>
              <w:pStyle w:val="31"/>
              <w:jc w:val="both"/>
              <w:rPr>
                <w:rFonts w:ascii="仿宋" w:hAnsi="仿宋" w:eastAsia="仿宋" w:cs="仿宋"/>
                <w:color w:val="auto"/>
                <w:sz w:val="32"/>
                <w:szCs w:val="32"/>
                <w:lang w:eastAsia="zh-CN"/>
              </w:rPr>
            </w:pPr>
          </w:p>
          <w:p w14:paraId="0A8F3FE4">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w:t>
            </w:r>
            <w:r>
              <w:rPr>
                <w:rFonts w:hint="eastAsia" w:ascii="仿宋" w:hAnsi="仿宋" w:eastAsia="仿宋" w:cs="仿宋"/>
                <w:color w:val="auto"/>
                <w:sz w:val="32"/>
                <w:szCs w:val="32"/>
                <w:highlight w:val="none"/>
                <w:lang w:val="en-US" w:eastAsia="zh-CN"/>
              </w:rPr>
              <w:t>阿合奇县新越项目咨询有限责任公司</w:t>
            </w:r>
            <w:r>
              <w:rPr>
                <w:rFonts w:hint="eastAsia" w:ascii="仿宋" w:hAnsi="仿宋" w:eastAsia="仿宋" w:cs="仿宋"/>
                <w:color w:val="auto"/>
                <w:sz w:val="32"/>
                <w:szCs w:val="32"/>
                <w:lang w:eastAsia="zh-CN"/>
              </w:rPr>
              <w:t>（盖章）</w:t>
            </w:r>
          </w:p>
          <w:p w14:paraId="4D7F95F1">
            <w:pPr>
              <w:pStyle w:val="4"/>
              <w:jc w:val="both"/>
              <w:outlineLvl w:val="2"/>
              <w:rPr>
                <w:rFonts w:ascii="仿宋" w:hAnsi="仿宋" w:eastAsia="仿宋" w:cs="仿宋"/>
                <w:color w:val="auto"/>
                <w:lang w:eastAsia="zh-CN"/>
              </w:rPr>
            </w:pPr>
          </w:p>
          <w:p w14:paraId="209AED11">
            <w:pPr>
              <w:jc w:val="both"/>
              <w:rPr>
                <w:rFonts w:ascii="仿宋" w:hAnsi="仿宋" w:eastAsia="仿宋" w:cs="仿宋"/>
                <w:color w:val="auto"/>
                <w:lang w:eastAsia="zh-CN"/>
              </w:rPr>
            </w:pPr>
          </w:p>
          <w:p w14:paraId="32AD1921">
            <w:pPr>
              <w:pStyle w:val="4"/>
              <w:jc w:val="center"/>
              <w:outlineLvl w:val="2"/>
              <w:rPr>
                <w:rFonts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eastAsia="zh-CN"/>
              </w:rPr>
              <w:t>2</w:t>
            </w:r>
            <w:r>
              <w:rPr>
                <w:rFonts w:hint="eastAsia" w:ascii="仿宋" w:hAnsi="仿宋" w:eastAsia="仿宋" w:cs="仿宋"/>
                <w:color w:val="auto"/>
                <w:lang w:val="en-US" w:eastAsia="zh-CN"/>
              </w:rPr>
              <w:t>5</w:t>
            </w:r>
            <w:r>
              <w:rPr>
                <w:rFonts w:hint="eastAsia" w:ascii="仿宋" w:hAnsi="仿宋" w:eastAsia="仿宋" w:cs="仿宋"/>
                <w:color w:val="auto"/>
              </w:rPr>
              <w:t>年</w:t>
            </w:r>
            <w:r>
              <w:rPr>
                <w:rFonts w:hint="eastAsia" w:ascii="仿宋" w:hAnsi="仿宋" w:eastAsia="仿宋" w:cs="仿宋"/>
                <w:color w:val="auto"/>
                <w:lang w:val="en-US" w:eastAsia="zh-CN"/>
              </w:rPr>
              <w:t>7</w:t>
            </w:r>
            <w:r>
              <w:rPr>
                <w:rFonts w:hint="eastAsia" w:ascii="仿宋" w:hAnsi="仿宋" w:eastAsia="仿宋" w:cs="仿宋"/>
                <w:color w:val="auto"/>
              </w:rPr>
              <w:t>月</w:t>
            </w:r>
          </w:p>
          <w:p w14:paraId="47602DB5">
            <w:pPr>
              <w:pStyle w:val="4"/>
              <w:jc w:val="both"/>
              <w:outlineLvl w:val="2"/>
              <w:rPr>
                <w:rFonts w:ascii="仿宋" w:hAnsi="仿宋" w:eastAsia="仿宋" w:cs="仿宋"/>
                <w:color w:val="auto"/>
              </w:rPr>
            </w:pPr>
          </w:p>
        </w:tc>
      </w:tr>
    </w:tbl>
    <w:p w14:paraId="1E995B9C">
      <w:pPr>
        <w:spacing w:line="240" w:lineRule="exact"/>
        <w:rPr>
          <w:rFonts w:ascii="仿宋" w:hAnsi="仿宋" w:eastAsia="仿宋" w:cs="仿宋"/>
          <w:color w:val="auto"/>
          <w:sz w:val="44"/>
          <w:szCs w:val="44"/>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14:paraId="4B861518">
      <w:pPr>
        <w:pStyle w:val="34"/>
        <w:spacing w:before="0" w:line="360" w:lineRule="auto"/>
        <w:jc w:val="both"/>
        <w:rPr>
          <w:rFonts w:ascii="仿宋" w:hAnsi="仿宋" w:eastAsia="仿宋" w:cs="仿宋"/>
          <w:color w:val="auto"/>
          <w:sz w:val="44"/>
          <w:szCs w:val="44"/>
          <w:lang w:val="zh-CN"/>
        </w:rPr>
      </w:pPr>
    </w:p>
    <w:p w14:paraId="12A00D53">
      <w:pPr>
        <w:pStyle w:val="34"/>
        <w:spacing w:before="0" w:line="360" w:lineRule="auto"/>
        <w:jc w:val="center"/>
        <w:rPr>
          <w:rFonts w:ascii="仿宋" w:hAnsi="仿宋" w:eastAsia="仿宋" w:cs="仿宋"/>
          <w:color w:val="auto"/>
          <w:sz w:val="30"/>
          <w:szCs w:val="30"/>
        </w:rPr>
      </w:pPr>
      <w:r>
        <w:rPr>
          <w:rFonts w:hint="eastAsia" w:ascii="仿宋" w:hAnsi="仿宋" w:eastAsia="仿宋" w:cs="仿宋"/>
          <w:color w:val="auto"/>
          <w:sz w:val="44"/>
          <w:szCs w:val="44"/>
          <w:lang w:val="zh-CN"/>
        </w:rPr>
        <w:t>目    录</w:t>
      </w:r>
    </w:p>
    <w:p w14:paraId="5AB51555">
      <w:pPr>
        <w:widowControl/>
        <w:rPr>
          <w:rFonts w:ascii="仿宋" w:hAnsi="仿宋" w:eastAsia="仿宋" w:cs="仿宋"/>
          <w:color w:val="auto"/>
          <w:sz w:val="30"/>
          <w:szCs w:val="30"/>
        </w:rPr>
      </w:pPr>
    </w:p>
    <w:p w14:paraId="53A861A2">
      <w:pPr>
        <w:spacing w:line="600" w:lineRule="auto"/>
        <w:ind w:firstLine="1050" w:firstLineChars="350"/>
        <w:jc w:val="both"/>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第一部分  磋商公告…………………………………………1</w:t>
      </w:r>
    </w:p>
    <w:p w14:paraId="377F6BF4">
      <w:pPr>
        <w:spacing w:line="600" w:lineRule="auto"/>
        <w:ind w:firstLine="1050" w:firstLineChars="350"/>
        <w:jc w:val="both"/>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第二部分  供应商须知………………………………………</w:t>
      </w:r>
      <w:r>
        <w:rPr>
          <w:rFonts w:hint="eastAsia" w:ascii="仿宋" w:hAnsi="仿宋" w:eastAsia="仿宋" w:cs="仿宋"/>
          <w:b/>
          <w:color w:val="auto"/>
          <w:sz w:val="30"/>
          <w:szCs w:val="30"/>
          <w:lang w:val="en-US" w:eastAsia="zh-CN"/>
        </w:rPr>
        <w:t>4</w:t>
      </w:r>
    </w:p>
    <w:p w14:paraId="72852858">
      <w:pPr>
        <w:spacing w:line="600" w:lineRule="auto"/>
        <w:ind w:firstLine="1050" w:firstLineChars="350"/>
        <w:jc w:val="both"/>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eastAsia="zh-CN"/>
        </w:rPr>
        <w:t>第三部分  评标办法…………………………………………</w:t>
      </w:r>
      <w:r>
        <w:rPr>
          <w:rFonts w:hint="eastAsia" w:ascii="仿宋" w:hAnsi="仿宋" w:eastAsia="仿宋" w:cs="仿宋"/>
          <w:b/>
          <w:color w:val="auto"/>
          <w:sz w:val="30"/>
          <w:szCs w:val="30"/>
          <w:lang w:val="en-US" w:eastAsia="zh-CN"/>
        </w:rPr>
        <w:t>38</w:t>
      </w:r>
    </w:p>
    <w:p w14:paraId="6D54648C">
      <w:pPr>
        <w:spacing w:line="600" w:lineRule="auto"/>
        <w:ind w:firstLine="1050" w:firstLineChars="350"/>
        <w:jc w:val="both"/>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第四部分  采购服务需求……………………………………48</w:t>
      </w:r>
    </w:p>
    <w:p w14:paraId="3A67D1A4">
      <w:pPr>
        <w:spacing w:line="600" w:lineRule="auto"/>
        <w:ind w:firstLine="1050" w:firstLineChars="350"/>
        <w:jc w:val="both"/>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eastAsia="zh-CN"/>
        </w:rPr>
        <w:t>第五部分  合同（参考）……………………………………</w:t>
      </w:r>
      <w:r>
        <w:rPr>
          <w:rFonts w:hint="eastAsia" w:ascii="仿宋" w:hAnsi="仿宋" w:eastAsia="仿宋" w:cs="仿宋"/>
          <w:b/>
          <w:color w:val="auto"/>
          <w:sz w:val="30"/>
          <w:szCs w:val="30"/>
          <w:lang w:val="en-US" w:eastAsia="zh-CN"/>
        </w:rPr>
        <w:t>55</w:t>
      </w:r>
    </w:p>
    <w:p w14:paraId="151D540F">
      <w:pPr>
        <w:spacing w:line="600" w:lineRule="auto"/>
        <w:ind w:firstLine="1050" w:firstLineChars="350"/>
        <w:jc w:val="both"/>
        <w:rPr>
          <w:rFonts w:hint="default" w:ascii="仿宋" w:hAnsi="仿宋" w:eastAsia="仿宋" w:cs="仿宋"/>
          <w:color w:val="auto"/>
          <w:lang w:val="en-US" w:eastAsia="zh-CN"/>
        </w:rPr>
      </w:pPr>
      <w:r>
        <w:rPr>
          <w:rFonts w:hint="eastAsia" w:ascii="仿宋" w:hAnsi="仿宋" w:eastAsia="仿宋" w:cs="仿宋"/>
          <w:b/>
          <w:color w:val="auto"/>
          <w:sz w:val="30"/>
          <w:szCs w:val="30"/>
          <w:lang w:eastAsia="zh-CN"/>
        </w:rPr>
        <w:t>第六部分  响应文件格式……………………………………</w:t>
      </w:r>
      <w:r>
        <w:rPr>
          <w:rFonts w:hint="eastAsia" w:ascii="仿宋" w:hAnsi="仿宋" w:eastAsia="仿宋" w:cs="仿宋"/>
          <w:b/>
          <w:color w:val="auto"/>
          <w:sz w:val="30"/>
          <w:szCs w:val="30"/>
          <w:lang w:val="en-US" w:eastAsia="zh-CN"/>
        </w:rPr>
        <w:t>58</w:t>
      </w:r>
    </w:p>
    <w:p w14:paraId="7EA08382">
      <w:pPr>
        <w:pStyle w:val="7"/>
        <w:numPr>
          <w:ilvl w:val="0"/>
          <w:numId w:val="0"/>
        </w:numPr>
        <w:spacing w:line="480" w:lineRule="auto"/>
        <w:rPr>
          <w:rFonts w:ascii="仿宋" w:hAnsi="仿宋" w:eastAsia="仿宋" w:cs="仿宋"/>
          <w:color w:val="auto"/>
          <w:lang w:eastAsia="zh-CN"/>
        </w:rPr>
      </w:pPr>
    </w:p>
    <w:p w14:paraId="0B7B7120">
      <w:pPr>
        <w:spacing w:line="480" w:lineRule="auto"/>
        <w:rPr>
          <w:rFonts w:ascii="仿宋" w:hAnsi="仿宋" w:eastAsia="仿宋" w:cs="仿宋"/>
          <w:color w:val="auto"/>
          <w:lang w:eastAsia="zh-CN"/>
        </w:rPr>
      </w:pPr>
    </w:p>
    <w:p w14:paraId="184E338D">
      <w:pPr>
        <w:pStyle w:val="4"/>
        <w:rPr>
          <w:rFonts w:ascii="仿宋" w:hAnsi="仿宋" w:eastAsia="仿宋" w:cs="仿宋"/>
          <w:color w:val="auto"/>
          <w:lang w:eastAsia="zh-CN"/>
        </w:rPr>
      </w:pPr>
    </w:p>
    <w:p w14:paraId="77FDE1DB">
      <w:pPr>
        <w:rPr>
          <w:rFonts w:ascii="仿宋" w:hAnsi="仿宋" w:eastAsia="仿宋" w:cs="仿宋"/>
          <w:color w:val="auto"/>
          <w:lang w:eastAsia="zh-CN"/>
        </w:rPr>
      </w:pPr>
    </w:p>
    <w:p w14:paraId="60E75750">
      <w:pPr>
        <w:pStyle w:val="4"/>
        <w:rPr>
          <w:rFonts w:ascii="仿宋" w:hAnsi="仿宋" w:eastAsia="仿宋" w:cs="仿宋"/>
          <w:color w:val="auto"/>
          <w:lang w:eastAsia="zh-CN"/>
        </w:rPr>
      </w:pPr>
    </w:p>
    <w:p w14:paraId="3B3FFD66">
      <w:pPr>
        <w:rPr>
          <w:rFonts w:ascii="仿宋" w:hAnsi="仿宋" w:eastAsia="仿宋" w:cs="仿宋"/>
          <w:color w:val="auto"/>
          <w:lang w:eastAsia="zh-CN"/>
        </w:rPr>
      </w:pPr>
    </w:p>
    <w:p w14:paraId="6769B52E">
      <w:pPr>
        <w:pStyle w:val="4"/>
        <w:rPr>
          <w:rFonts w:ascii="仿宋" w:hAnsi="仿宋" w:eastAsia="仿宋" w:cs="仿宋"/>
          <w:color w:val="auto"/>
          <w:lang w:eastAsia="zh-CN"/>
        </w:rPr>
      </w:pPr>
    </w:p>
    <w:p w14:paraId="246DB42D">
      <w:pPr>
        <w:rPr>
          <w:rFonts w:ascii="仿宋" w:hAnsi="仿宋" w:eastAsia="仿宋" w:cs="仿宋"/>
          <w:color w:val="auto"/>
          <w:lang w:eastAsia="zh-CN"/>
        </w:rPr>
      </w:pPr>
    </w:p>
    <w:p w14:paraId="5CCFA651">
      <w:pPr>
        <w:pStyle w:val="4"/>
        <w:rPr>
          <w:rFonts w:ascii="仿宋" w:hAnsi="仿宋" w:eastAsia="仿宋" w:cs="仿宋"/>
          <w:color w:val="auto"/>
          <w:lang w:eastAsia="zh-CN"/>
        </w:rPr>
      </w:pPr>
    </w:p>
    <w:p w14:paraId="44F00B94">
      <w:pPr>
        <w:pStyle w:val="35"/>
        <w:keepNext/>
        <w:keepLines/>
        <w:spacing w:before="120" w:after="300"/>
        <w:jc w:val="both"/>
        <w:rPr>
          <w:rFonts w:ascii="仿宋" w:hAnsi="仿宋" w:eastAsia="仿宋" w:cs="仿宋"/>
          <w:b/>
          <w:bCs/>
          <w:color w:val="auto"/>
        </w:rPr>
        <w:sectPr>
          <w:footerReference r:id="rId5" w:type="default"/>
          <w:pgSz w:w="11906" w:h="16838"/>
          <w:pgMar w:top="1440" w:right="1134" w:bottom="1440" w:left="1134" w:header="851" w:footer="992" w:gutter="0"/>
          <w:pgNumType w:start="1"/>
          <w:cols w:space="720" w:num="1"/>
          <w:docGrid w:type="linesAndChars" w:linePitch="312" w:charSpace="0"/>
        </w:sectPr>
      </w:pPr>
    </w:p>
    <w:p w14:paraId="2D5DD084">
      <w:pPr>
        <w:pStyle w:val="35"/>
        <w:keepNext/>
        <w:keepLines/>
        <w:spacing w:before="120" w:after="300"/>
        <w:rPr>
          <w:rFonts w:ascii="仿宋" w:hAnsi="仿宋" w:eastAsia="仿宋" w:cs="仿宋"/>
          <w:b/>
          <w:bCs/>
          <w:color w:val="auto"/>
          <w:lang w:eastAsia="zh-CN"/>
        </w:rPr>
      </w:pPr>
      <w:r>
        <w:rPr>
          <w:rFonts w:hint="eastAsia" w:ascii="仿宋" w:hAnsi="仿宋" w:eastAsia="仿宋" w:cs="仿宋"/>
          <w:b/>
          <w:bCs/>
          <w:color w:val="auto"/>
        </w:rPr>
        <w:t>第一部分</w:t>
      </w:r>
      <w:r>
        <w:rPr>
          <w:rFonts w:hint="eastAsia" w:ascii="仿宋" w:hAnsi="仿宋" w:eastAsia="仿宋" w:cs="仿宋"/>
          <w:b/>
          <w:bCs/>
          <w:color w:val="auto"/>
          <w:lang w:val="en-US" w:eastAsia="zh-CN"/>
        </w:rPr>
        <w:t xml:space="preserve"> 竞争性</w:t>
      </w:r>
      <w:r>
        <w:rPr>
          <w:rFonts w:hint="eastAsia" w:ascii="仿宋" w:hAnsi="仿宋" w:eastAsia="仿宋" w:cs="仿宋"/>
          <w:b/>
          <w:bCs/>
          <w:color w:val="auto"/>
          <w:lang w:eastAsia="zh-CN"/>
        </w:rPr>
        <w:t>磋商公告</w:t>
      </w:r>
    </w:p>
    <w:p w14:paraId="6155341B">
      <w:pPr>
        <w:pStyle w:val="31"/>
        <w:spacing w:line="360" w:lineRule="exact"/>
        <w:ind w:firstLine="0"/>
        <w:jc w:val="center"/>
        <w:rPr>
          <w:rFonts w:hint="default" w:ascii="仿宋" w:hAnsi="仿宋" w:eastAsia="仿宋" w:cs="仿宋"/>
          <w:b/>
          <w:color w:val="auto"/>
          <w:sz w:val="28"/>
          <w:szCs w:val="28"/>
          <w:shd w:val="clear" w:color="auto" w:fill="FFFFFF"/>
          <w:lang w:val="en-US" w:eastAsia="zh-CN"/>
        </w:rPr>
      </w:pPr>
      <w:r>
        <w:rPr>
          <w:rFonts w:hint="default" w:ascii="仿宋" w:hAnsi="仿宋" w:eastAsia="仿宋" w:cs="仿宋"/>
          <w:b/>
          <w:color w:val="auto"/>
          <w:sz w:val="28"/>
          <w:szCs w:val="28"/>
          <w:shd w:val="clear" w:color="auto" w:fill="FFFFFF"/>
          <w:lang w:val="en-US" w:eastAsia="zh-CN"/>
        </w:rPr>
        <w:t>阿合奇县政府购买社会救助服务示范项目</w:t>
      </w:r>
    </w:p>
    <w:p w14:paraId="4ABD9F7B">
      <w:pPr>
        <w:pStyle w:val="31"/>
        <w:spacing w:line="360" w:lineRule="exact"/>
        <w:ind w:firstLine="0"/>
        <w:jc w:val="center"/>
        <w:rPr>
          <w:rFonts w:hint="eastAsia" w:ascii="仿宋" w:hAnsi="仿宋" w:eastAsia="仿宋" w:cs="仿宋"/>
          <w:b/>
          <w:color w:val="auto"/>
          <w:sz w:val="28"/>
          <w:szCs w:val="28"/>
          <w:shd w:val="clear" w:color="auto" w:fill="FFFFFF"/>
          <w:lang w:val="en-US" w:eastAsia="zh-CN"/>
        </w:rPr>
      </w:pPr>
      <w:r>
        <w:rPr>
          <w:rFonts w:hint="eastAsia" w:ascii="仿宋" w:hAnsi="仿宋" w:eastAsia="仿宋" w:cs="仿宋"/>
          <w:b/>
          <w:color w:val="auto"/>
          <w:sz w:val="28"/>
          <w:szCs w:val="28"/>
          <w:shd w:val="clear" w:color="auto" w:fill="FFFFFF"/>
          <w:lang w:val="en-US" w:eastAsia="zh-CN"/>
        </w:rPr>
        <w:t>竞争性磋商公告</w:t>
      </w:r>
    </w:p>
    <w:p w14:paraId="6CE5EE7F">
      <w:pPr>
        <w:pStyle w:val="31"/>
        <w:spacing w:line="400" w:lineRule="exact"/>
        <w:ind w:firstLine="0"/>
        <w:jc w:val="center"/>
        <w:rPr>
          <w:rFonts w:ascii="仿宋" w:hAnsi="仿宋" w:eastAsia="仿宋" w:cs="仿宋"/>
          <w:b/>
          <w:color w:val="auto"/>
          <w:shd w:val="clear" w:color="auto" w:fill="FFFFFF"/>
          <w:lang w:eastAsia="zh-CN"/>
        </w:rPr>
      </w:pPr>
    </w:p>
    <w:p w14:paraId="2844C2B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textAlignment w:val="auto"/>
        <w:rPr>
          <w:rFonts w:ascii="仿宋" w:hAnsi="仿宋" w:eastAsia="仿宋" w:cs="仿宋"/>
          <w:color w:val="auto"/>
        </w:rPr>
      </w:pPr>
      <w:r>
        <w:rPr>
          <w:rFonts w:hint="eastAsia" w:ascii="仿宋" w:hAnsi="仿宋" w:eastAsia="仿宋" w:cs="仿宋"/>
          <w:color w:val="auto"/>
        </w:rPr>
        <w:t>项目概况</w:t>
      </w:r>
    </w:p>
    <w:p w14:paraId="27C563E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86" w:firstLineChars="200"/>
        <w:textAlignment w:val="auto"/>
        <w:rPr>
          <w:rFonts w:ascii="仿宋" w:hAnsi="仿宋" w:eastAsia="仿宋" w:cs="仿宋"/>
          <w:color w:val="auto"/>
          <w:lang w:eastAsia="zh-CN"/>
        </w:rPr>
      </w:pPr>
      <w:r>
        <w:rPr>
          <w:rFonts w:hint="eastAsia" w:ascii="仿宋" w:hAnsi="仿宋" w:eastAsia="仿宋" w:cs="仿宋"/>
          <w:i w:val="0"/>
          <w:iCs w:val="0"/>
          <w:caps w:val="0"/>
          <w:color w:val="auto"/>
          <w:spacing w:val="0"/>
          <w:sz w:val="24"/>
          <w:szCs w:val="24"/>
          <w:lang w:val="en-US" w:eastAsia="zh-CN"/>
        </w:rPr>
        <w:t>阿合奇县政府购买社会救助服务示范项目</w:t>
      </w:r>
      <w:r>
        <w:rPr>
          <w:rFonts w:hint="eastAsia" w:ascii="仿宋" w:hAnsi="仿宋" w:eastAsia="仿宋" w:cs="仿宋"/>
          <w:i w:val="0"/>
          <w:iCs w:val="0"/>
          <w:caps w:val="0"/>
          <w:color w:val="auto"/>
          <w:spacing w:val="0"/>
          <w:sz w:val="24"/>
          <w:szCs w:val="24"/>
        </w:rPr>
        <w:t>招标项目的潜在投标人应在政采云平台线上获取招标文件</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并于</w:t>
      </w:r>
      <w:r>
        <w:rPr>
          <w:rFonts w:hint="eastAsia" w:ascii="仿宋" w:hAnsi="仿宋" w:eastAsia="仿宋" w:cs="仿宋"/>
          <w:b w:val="0"/>
          <w:bCs w:val="0"/>
          <w:i w:val="0"/>
          <w:iCs w:val="0"/>
          <w:caps w:val="0"/>
          <w:color w:val="auto"/>
          <w:spacing w:val="0"/>
          <w:sz w:val="24"/>
          <w:szCs w:val="24"/>
          <w:u w:val="single"/>
        </w:rPr>
        <w:t>202</w:t>
      </w:r>
      <w:r>
        <w:rPr>
          <w:rFonts w:hint="eastAsia" w:ascii="仿宋" w:hAnsi="仿宋" w:eastAsia="仿宋" w:cs="仿宋"/>
          <w:b w:val="0"/>
          <w:bCs w:val="0"/>
          <w:i w:val="0"/>
          <w:iCs w:val="0"/>
          <w:caps w:val="0"/>
          <w:color w:val="auto"/>
          <w:spacing w:val="0"/>
          <w:sz w:val="24"/>
          <w:szCs w:val="24"/>
          <w:u w:val="single"/>
          <w:lang w:val="en-US" w:eastAsia="zh-CN"/>
        </w:rPr>
        <w:t>5</w:t>
      </w:r>
      <w:r>
        <w:rPr>
          <w:rFonts w:hint="eastAsia" w:ascii="仿宋" w:hAnsi="仿宋" w:eastAsia="仿宋" w:cs="仿宋"/>
          <w:b w:val="0"/>
          <w:bCs w:val="0"/>
          <w:i w:val="0"/>
          <w:iCs w:val="0"/>
          <w:caps w:val="0"/>
          <w:color w:val="auto"/>
          <w:spacing w:val="0"/>
          <w:sz w:val="24"/>
          <w:szCs w:val="24"/>
          <w:u w:val="single"/>
        </w:rPr>
        <w:t>年</w:t>
      </w:r>
      <w:r>
        <w:rPr>
          <w:rFonts w:hint="eastAsia" w:ascii="仿宋" w:hAnsi="仿宋" w:eastAsia="仿宋" w:cs="仿宋"/>
          <w:b w:val="0"/>
          <w:bCs w:val="0"/>
          <w:i w:val="0"/>
          <w:iCs w:val="0"/>
          <w:caps w:val="0"/>
          <w:color w:val="auto"/>
          <w:spacing w:val="0"/>
          <w:sz w:val="24"/>
          <w:szCs w:val="24"/>
          <w:u w:val="single"/>
          <w:lang w:val="en-US" w:eastAsia="zh-CN"/>
        </w:rPr>
        <w:t>7</w:t>
      </w:r>
      <w:r>
        <w:rPr>
          <w:rFonts w:hint="eastAsia" w:ascii="仿宋" w:hAnsi="仿宋" w:eastAsia="仿宋" w:cs="仿宋"/>
          <w:b w:val="0"/>
          <w:bCs w:val="0"/>
          <w:i w:val="0"/>
          <w:iCs w:val="0"/>
          <w:caps w:val="0"/>
          <w:color w:val="auto"/>
          <w:spacing w:val="0"/>
          <w:sz w:val="24"/>
          <w:szCs w:val="24"/>
          <w:u w:val="single"/>
        </w:rPr>
        <w:t>月</w:t>
      </w:r>
      <w:r>
        <w:rPr>
          <w:rFonts w:hint="eastAsia" w:ascii="仿宋" w:hAnsi="仿宋" w:eastAsia="仿宋" w:cs="仿宋"/>
          <w:b w:val="0"/>
          <w:bCs w:val="0"/>
          <w:i w:val="0"/>
          <w:iCs w:val="0"/>
          <w:caps w:val="0"/>
          <w:color w:val="auto"/>
          <w:spacing w:val="0"/>
          <w:sz w:val="24"/>
          <w:szCs w:val="24"/>
          <w:u w:val="single"/>
          <w:lang w:val="en-US" w:eastAsia="zh-CN"/>
        </w:rPr>
        <w:t>25</w:t>
      </w:r>
      <w:r>
        <w:rPr>
          <w:rFonts w:hint="eastAsia" w:ascii="仿宋" w:hAnsi="仿宋" w:eastAsia="仿宋" w:cs="仿宋"/>
          <w:b w:val="0"/>
          <w:bCs w:val="0"/>
          <w:i w:val="0"/>
          <w:iCs w:val="0"/>
          <w:caps w:val="0"/>
          <w:color w:val="auto"/>
          <w:spacing w:val="0"/>
          <w:sz w:val="24"/>
          <w:szCs w:val="24"/>
          <w:u w:val="single"/>
        </w:rPr>
        <w:t>日</w:t>
      </w:r>
      <w:r>
        <w:rPr>
          <w:rFonts w:hint="eastAsia" w:ascii="仿宋" w:hAnsi="仿宋" w:eastAsia="仿宋" w:cs="仿宋"/>
          <w:b w:val="0"/>
          <w:bCs w:val="0"/>
          <w:i w:val="0"/>
          <w:iCs w:val="0"/>
          <w:caps w:val="0"/>
          <w:color w:val="auto"/>
          <w:spacing w:val="0"/>
          <w:sz w:val="24"/>
          <w:szCs w:val="24"/>
          <w:u w:val="single"/>
          <w:lang w:val="en-US" w:eastAsia="zh-CN"/>
        </w:rPr>
        <w:t>10</w:t>
      </w:r>
      <w:r>
        <w:rPr>
          <w:rFonts w:hint="eastAsia" w:ascii="仿宋" w:hAnsi="仿宋" w:eastAsia="仿宋" w:cs="仿宋"/>
          <w:b w:val="0"/>
          <w:bCs w:val="0"/>
          <w:i w:val="0"/>
          <w:iCs w:val="0"/>
          <w:caps w:val="0"/>
          <w:color w:val="auto"/>
          <w:spacing w:val="0"/>
          <w:sz w:val="24"/>
          <w:szCs w:val="24"/>
          <w:u w:val="single"/>
        </w:rPr>
        <w:t>:</w:t>
      </w:r>
      <w:r>
        <w:rPr>
          <w:rFonts w:hint="eastAsia" w:ascii="仿宋" w:hAnsi="仿宋" w:eastAsia="仿宋" w:cs="仿宋"/>
          <w:b w:val="0"/>
          <w:bCs w:val="0"/>
          <w:i w:val="0"/>
          <w:iCs w:val="0"/>
          <w:caps w:val="0"/>
          <w:color w:val="auto"/>
          <w:spacing w:val="0"/>
          <w:sz w:val="24"/>
          <w:szCs w:val="24"/>
          <w:u w:val="single"/>
          <w:lang w:val="en-US" w:eastAsia="zh-CN"/>
        </w:rPr>
        <w:t>3</w:t>
      </w:r>
      <w:r>
        <w:rPr>
          <w:rFonts w:hint="eastAsia" w:ascii="仿宋" w:hAnsi="仿宋" w:eastAsia="仿宋" w:cs="仿宋"/>
          <w:b w:val="0"/>
          <w:bCs w:val="0"/>
          <w:i w:val="0"/>
          <w:iCs w:val="0"/>
          <w:caps w:val="0"/>
          <w:color w:val="auto"/>
          <w:spacing w:val="0"/>
          <w:sz w:val="24"/>
          <w:szCs w:val="24"/>
          <w:u w:val="single"/>
        </w:rPr>
        <w:t>0</w:t>
      </w:r>
      <w:r>
        <w:rPr>
          <w:rFonts w:hint="eastAsia" w:ascii="仿宋" w:hAnsi="仿宋" w:eastAsia="仿宋" w:cs="仿宋"/>
          <w:b w:val="0"/>
          <w:bCs w:val="0"/>
          <w:i w:val="0"/>
          <w:iCs w:val="0"/>
          <w:caps w:val="0"/>
          <w:color w:val="auto"/>
          <w:spacing w:val="0"/>
          <w:sz w:val="24"/>
          <w:szCs w:val="24"/>
        </w:rPr>
        <w:t>（北京时间）前递交投标文件。</w:t>
      </w:r>
    </w:p>
    <w:p w14:paraId="08D628EE">
      <w:pPr>
        <w:pStyle w:val="3"/>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 w:hAnsi="仿宋" w:eastAsia="仿宋" w:cs="仿宋"/>
          <w:b w:val="0"/>
          <w:color w:val="auto"/>
          <w:sz w:val="24"/>
          <w:szCs w:val="24"/>
        </w:rPr>
      </w:pPr>
      <w:bookmarkStart w:id="0" w:name="_Toc28359002"/>
      <w:bookmarkStart w:id="1" w:name="_Toc35393621"/>
      <w:bookmarkStart w:id="2" w:name="_Toc28359079"/>
      <w:bookmarkStart w:id="3" w:name="_Toc35393790"/>
      <w:bookmarkStart w:id="4" w:name="_Hlk24379207"/>
      <w:r>
        <w:rPr>
          <w:rFonts w:hint="eastAsia" w:ascii="仿宋" w:hAnsi="仿宋" w:eastAsia="仿宋" w:cs="仿宋"/>
          <w:b w:val="0"/>
          <w:color w:val="auto"/>
          <w:sz w:val="24"/>
          <w:szCs w:val="24"/>
        </w:rPr>
        <w:t>一、项目基本情况</w:t>
      </w:r>
      <w:bookmarkEnd w:id="0"/>
      <w:bookmarkEnd w:id="1"/>
      <w:bookmarkEnd w:id="2"/>
      <w:bookmarkEnd w:id="3"/>
    </w:p>
    <w:bookmarkEnd w:id="4"/>
    <w:p w14:paraId="41DF4C86">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项目编号：AHQXZB</w:t>
      </w:r>
      <w:r>
        <w:rPr>
          <w:rFonts w:hint="eastAsia" w:ascii="仿宋" w:hAnsi="仿宋" w:eastAsia="仿宋" w:cs="仿宋"/>
          <w:color w:val="auto"/>
          <w:lang w:val="en-US" w:eastAsia="zh-CN"/>
        </w:rPr>
        <w:t>-2025016</w:t>
      </w:r>
    </w:p>
    <w:p w14:paraId="4FB177F0">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color w:val="auto"/>
          <w:lang w:val="en-US" w:eastAsia="zh-CN"/>
        </w:rPr>
        <w:t>阿合奇县政府购买社会救助服务示范项目</w:t>
      </w:r>
    </w:p>
    <w:p w14:paraId="0C339F77">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仿宋" w:hAnsi="仿宋" w:eastAsia="仿宋" w:cs="仿宋"/>
          <w:color w:val="auto"/>
          <w:lang w:eastAsia="zh-CN"/>
        </w:rPr>
      </w:pPr>
      <w:bookmarkStart w:id="101" w:name="_GoBack"/>
      <w:bookmarkEnd w:id="101"/>
      <w:r>
        <w:rPr>
          <w:rFonts w:hint="eastAsia" w:ascii="仿宋" w:hAnsi="仿宋" w:eastAsia="仿宋" w:cs="仿宋"/>
          <w:color w:val="auto"/>
          <w:lang w:eastAsia="zh-CN"/>
        </w:rPr>
        <w:t>采购方式：竞争性磋商</w:t>
      </w:r>
    </w:p>
    <w:p w14:paraId="1C55C772">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rPr>
        <w:t>预算金额</w:t>
      </w:r>
      <w:r>
        <w:rPr>
          <w:rFonts w:hint="eastAsia" w:ascii="仿宋" w:hAnsi="仿宋" w:eastAsia="仿宋" w:cs="仿宋"/>
          <w:color w:val="auto"/>
          <w:lang w:eastAsia="zh-CN"/>
        </w:rPr>
        <w:t>（元）</w:t>
      </w:r>
      <w:r>
        <w:rPr>
          <w:rFonts w:hint="eastAsia" w:ascii="仿宋" w:hAnsi="仿宋" w:eastAsia="仿宋" w:cs="仿宋"/>
          <w:color w:val="auto"/>
        </w:rPr>
        <w:t>：</w:t>
      </w:r>
      <w:r>
        <w:rPr>
          <w:rFonts w:hint="eastAsia" w:ascii="仿宋" w:hAnsi="仿宋" w:eastAsia="仿宋" w:cs="仿宋"/>
          <w:color w:val="auto"/>
          <w:lang w:val="en-US" w:eastAsia="zh-CN"/>
        </w:rPr>
        <w:t>500000</w:t>
      </w:r>
      <w:r>
        <w:rPr>
          <w:rFonts w:hint="eastAsia" w:ascii="仿宋" w:hAnsi="仿宋" w:eastAsia="仿宋" w:cs="仿宋"/>
          <w:color w:val="auto"/>
          <w:lang w:eastAsia="zh-CN"/>
        </w:rPr>
        <w:t>.00</w:t>
      </w:r>
    </w:p>
    <w:p w14:paraId="51152E52">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kern w:val="2"/>
          <w:lang w:eastAsia="zh-CN" w:bidi="ar-SA"/>
        </w:rPr>
        <w:t>最高限价（元）：</w:t>
      </w:r>
      <w:r>
        <w:rPr>
          <w:rFonts w:hint="eastAsia" w:ascii="仿宋" w:hAnsi="仿宋" w:eastAsia="仿宋" w:cs="仿宋"/>
          <w:color w:val="auto"/>
          <w:lang w:val="en-US" w:eastAsia="zh-CN"/>
        </w:rPr>
        <w:t>500000</w:t>
      </w:r>
      <w:r>
        <w:rPr>
          <w:rFonts w:hint="eastAsia" w:ascii="仿宋" w:hAnsi="仿宋" w:eastAsia="仿宋" w:cs="仿宋"/>
          <w:color w:val="auto"/>
          <w:lang w:eastAsia="zh-CN"/>
        </w:rPr>
        <w:t>.00</w:t>
      </w:r>
    </w:p>
    <w:p w14:paraId="7ED69A36">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采购需求：</w:t>
      </w:r>
    </w:p>
    <w:p w14:paraId="5693A12D">
      <w:pPr>
        <w:pStyle w:val="29"/>
        <w:ind w:firstLine="486"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标项一</w:t>
      </w:r>
    </w:p>
    <w:p w14:paraId="6E3B0FE1">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hint="eastAsia" w:ascii="仿宋" w:hAnsi="仿宋" w:eastAsia="仿宋" w:cs="仿宋"/>
          <w:color w:val="auto"/>
          <w:lang w:eastAsia="zh-CN"/>
        </w:rPr>
      </w:pPr>
      <w:r>
        <w:rPr>
          <w:rFonts w:hint="eastAsia" w:ascii="仿宋" w:hAnsi="仿宋" w:eastAsia="仿宋" w:cs="仿宋"/>
          <w:color w:val="auto"/>
        </w:rPr>
        <w:t>标项名称： </w:t>
      </w:r>
      <w:r>
        <w:rPr>
          <w:rFonts w:hint="eastAsia" w:ascii="仿宋" w:hAnsi="仿宋" w:eastAsia="仿宋" w:cs="仿宋"/>
          <w:color w:val="auto"/>
          <w:lang w:val="en-US" w:eastAsia="zh-CN"/>
        </w:rPr>
        <w:t>阿合奇县政府购买社会救助服务示范项目</w:t>
      </w:r>
    </w:p>
    <w:p w14:paraId="7D1AC2B5">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仿宋" w:hAnsi="仿宋" w:eastAsia="仿宋" w:cs="仿宋"/>
          <w:color w:val="auto"/>
        </w:rPr>
      </w:pPr>
      <w:r>
        <w:rPr>
          <w:rFonts w:hint="eastAsia" w:ascii="仿宋" w:hAnsi="仿宋" w:eastAsia="仿宋" w:cs="仿宋"/>
          <w:color w:val="auto"/>
          <w:lang w:eastAsia="zh-CN"/>
        </w:rPr>
        <w:t>数量：</w:t>
      </w:r>
      <w:r>
        <w:rPr>
          <w:rFonts w:hint="eastAsia" w:ascii="仿宋" w:hAnsi="仿宋" w:eastAsia="仿宋" w:cs="仿宋"/>
          <w:color w:val="auto"/>
          <w:lang w:val="en-US" w:eastAsia="zh-CN"/>
        </w:rPr>
        <w:t>1</w:t>
      </w:r>
      <w:r>
        <w:rPr>
          <w:rFonts w:hint="eastAsia" w:ascii="仿宋" w:hAnsi="仿宋" w:eastAsia="仿宋" w:cs="仿宋"/>
          <w:color w:val="auto"/>
          <w:lang w:eastAsia="zh-CN"/>
        </w:rPr>
        <w:t>     </w:t>
      </w:r>
    </w:p>
    <w:p w14:paraId="538E541C">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预算金额（元）：</w:t>
      </w:r>
      <w:r>
        <w:rPr>
          <w:rFonts w:hint="eastAsia" w:ascii="仿宋" w:hAnsi="仿宋" w:eastAsia="仿宋" w:cs="仿宋"/>
          <w:color w:val="auto"/>
          <w:lang w:val="en-US" w:eastAsia="zh-CN"/>
        </w:rPr>
        <w:t>500000.00</w:t>
      </w:r>
    </w:p>
    <w:p w14:paraId="59A48352">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单位：批</w:t>
      </w:r>
    </w:p>
    <w:p w14:paraId="10D23DA4">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hint="eastAsia" w:ascii="仿宋" w:hAnsi="仿宋" w:eastAsia="仿宋" w:cs="仿宋"/>
          <w:color w:val="auto"/>
          <w:lang w:eastAsia="zh-CN"/>
        </w:rPr>
      </w:pPr>
      <w:r>
        <w:rPr>
          <w:rFonts w:hint="eastAsia" w:ascii="仿宋" w:hAnsi="仿宋" w:eastAsia="仿宋" w:cs="仿宋"/>
          <w:color w:val="auto"/>
        </w:rPr>
        <w:t>简要规格描述：</w:t>
      </w:r>
      <w:r>
        <w:rPr>
          <w:rFonts w:hint="eastAsia" w:ascii="仿宋" w:hAnsi="仿宋" w:eastAsia="仿宋" w:cs="仿宋"/>
          <w:color w:val="auto"/>
          <w:lang w:eastAsia="zh-CN"/>
        </w:rPr>
        <w:t>政府购买社会救助事务性服务；（具体详见服务需求)。</w:t>
      </w:r>
    </w:p>
    <w:p w14:paraId="080656E6">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备注：</w:t>
      </w:r>
    </w:p>
    <w:p w14:paraId="575072C3">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hint="eastAsia" w:ascii="仿宋" w:hAnsi="仿宋" w:eastAsia="仿宋" w:cs="仿宋"/>
          <w:color w:val="auto"/>
          <w:lang w:eastAsia="zh-CN"/>
        </w:rPr>
      </w:pPr>
      <w:r>
        <w:rPr>
          <w:rFonts w:hint="eastAsia" w:ascii="仿宋" w:hAnsi="仿宋" w:eastAsia="仿宋" w:cs="仿宋"/>
          <w:color w:val="auto"/>
        </w:rPr>
        <w:t>合同履约期限：</w:t>
      </w:r>
      <w:r>
        <w:rPr>
          <w:rFonts w:hint="eastAsia" w:ascii="仿宋" w:hAnsi="仿宋" w:eastAsia="仿宋" w:cs="仿宋"/>
          <w:color w:val="auto"/>
          <w:lang w:val="en-US" w:eastAsia="zh-CN"/>
        </w:rPr>
        <w:t>合同签订之日起一年；（具体以签订合同为准）。</w:t>
      </w:r>
    </w:p>
    <w:p w14:paraId="00625EAD">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仿宋" w:hAnsi="仿宋" w:eastAsia="仿宋" w:cs="仿宋"/>
          <w:color w:val="auto"/>
        </w:rPr>
      </w:pPr>
      <w:r>
        <w:rPr>
          <w:rFonts w:hint="eastAsia" w:ascii="仿宋" w:hAnsi="仿宋" w:eastAsia="仿宋" w:cs="仿宋"/>
          <w:color w:val="auto"/>
        </w:rPr>
        <w:t>本项目</w:t>
      </w:r>
      <w:r>
        <w:rPr>
          <w:rFonts w:hint="eastAsia" w:ascii="仿宋" w:hAnsi="仿宋" w:eastAsia="仿宋" w:cs="仿宋"/>
          <w:color w:val="auto"/>
          <w:lang w:eastAsia="zh-CN"/>
        </w:rPr>
        <w:t>不</w:t>
      </w:r>
      <w:r>
        <w:rPr>
          <w:rFonts w:hint="eastAsia" w:ascii="仿宋" w:hAnsi="仿宋" w:eastAsia="仿宋" w:cs="仿宋"/>
          <w:color w:val="auto"/>
        </w:rPr>
        <w:t>接受联合体投标。</w:t>
      </w:r>
    </w:p>
    <w:p w14:paraId="1899466A">
      <w:pPr>
        <w:pStyle w:val="3"/>
        <w:keepNext w:val="0"/>
        <w:keepLines w:val="0"/>
        <w:pageBreakBefore w:val="0"/>
        <w:widowControl w:val="0"/>
        <w:numPr>
          <w:ilvl w:val="0"/>
          <w:numId w:val="3"/>
        </w:numPr>
        <w:kinsoku/>
        <w:wordWrap/>
        <w:overflowPunct/>
        <w:topLinePunct w:val="0"/>
        <w:autoSpaceDE/>
        <w:autoSpaceDN/>
        <w:bidi w:val="0"/>
        <w:adjustRightInd/>
        <w:snapToGrid/>
        <w:spacing w:line="380" w:lineRule="exact"/>
        <w:jc w:val="left"/>
        <w:textAlignment w:val="auto"/>
        <w:rPr>
          <w:rFonts w:ascii="仿宋" w:hAnsi="仿宋" w:eastAsia="仿宋" w:cs="仿宋"/>
          <w:color w:val="auto"/>
          <w:sz w:val="24"/>
          <w:szCs w:val="24"/>
        </w:rPr>
      </w:pPr>
      <w:bookmarkStart w:id="5" w:name="_Toc35393791"/>
      <w:bookmarkStart w:id="6" w:name="_Toc28359003"/>
      <w:bookmarkStart w:id="7" w:name="_Toc28359080"/>
      <w:bookmarkStart w:id="8" w:name="_Toc35393622"/>
      <w:r>
        <w:rPr>
          <w:rFonts w:hint="eastAsia" w:ascii="仿宋" w:hAnsi="仿宋" w:eastAsia="仿宋" w:cs="仿宋"/>
          <w:color w:val="auto"/>
          <w:sz w:val="24"/>
          <w:szCs w:val="24"/>
        </w:rPr>
        <w:t>申请人的资格要求：</w:t>
      </w:r>
      <w:bookmarkEnd w:id="5"/>
      <w:bookmarkEnd w:id="6"/>
      <w:bookmarkEnd w:id="7"/>
      <w:bookmarkEnd w:id="8"/>
    </w:p>
    <w:p w14:paraId="2B3D7C91">
      <w:pPr>
        <w:keepNext w:val="0"/>
        <w:keepLines w:val="0"/>
        <w:pageBreakBefore w:val="0"/>
        <w:widowControl w:val="0"/>
        <w:kinsoku/>
        <w:wordWrap/>
        <w:overflowPunct/>
        <w:topLinePunct w:val="0"/>
        <w:autoSpaceDE/>
        <w:autoSpaceDN/>
        <w:bidi w:val="0"/>
        <w:adjustRightInd/>
        <w:snapToGrid/>
        <w:spacing w:line="380" w:lineRule="exact"/>
        <w:ind w:firstLine="243" w:firstLineChars="100"/>
        <w:textAlignment w:val="auto"/>
        <w:rPr>
          <w:rFonts w:ascii="仿宋" w:hAnsi="仿宋" w:eastAsia="仿宋" w:cs="仿宋"/>
          <w:color w:val="auto"/>
          <w:lang w:eastAsia="zh-CN"/>
        </w:rPr>
      </w:pPr>
      <w:r>
        <w:rPr>
          <w:rFonts w:hint="eastAsia" w:ascii="仿宋" w:hAnsi="仿宋" w:eastAsia="仿宋" w:cs="仿宋"/>
          <w:color w:val="auto"/>
        </w:rPr>
        <w:t xml:space="preserve"> </w:t>
      </w:r>
      <w:r>
        <w:rPr>
          <w:rFonts w:hint="eastAsia" w:ascii="仿宋" w:hAnsi="仿宋" w:eastAsia="仿宋" w:cs="仿宋"/>
          <w:color w:val="auto"/>
          <w:lang w:eastAsia="zh-CN"/>
        </w:rPr>
        <w:t xml:space="preserve"> 1.满足《中华人民共和国政府采购法》第二十二条规定；</w:t>
      </w:r>
    </w:p>
    <w:p w14:paraId="5EC4487B">
      <w:pPr>
        <w:keepNext w:val="0"/>
        <w:keepLines w:val="0"/>
        <w:pageBreakBefore w:val="0"/>
        <w:widowControl w:val="0"/>
        <w:kinsoku/>
        <w:wordWrap/>
        <w:overflowPunct/>
        <w:topLinePunct w:val="0"/>
        <w:autoSpaceDE/>
        <w:autoSpaceDN/>
        <w:bidi w:val="0"/>
        <w:adjustRightInd/>
        <w:snapToGrid/>
        <w:spacing w:line="380" w:lineRule="exact"/>
        <w:ind w:firstLine="243" w:firstLineChars="100"/>
        <w:textAlignment w:val="auto"/>
        <w:rPr>
          <w:rFonts w:hint="eastAsia" w:ascii="仿宋" w:hAnsi="仿宋" w:eastAsia="仿宋" w:cs="仿宋"/>
          <w:color w:val="auto"/>
          <w:lang w:eastAsia="zh-CN"/>
        </w:rPr>
      </w:pPr>
      <w:r>
        <w:rPr>
          <w:rFonts w:hint="eastAsia" w:ascii="仿宋" w:hAnsi="仿宋" w:eastAsia="仿宋" w:cs="仿宋"/>
          <w:color w:val="auto"/>
          <w:lang w:eastAsia="zh-CN"/>
        </w:rPr>
        <w:t xml:space="preserve">  2.落实政府采购政策需满足的资格要求：</w:t>
      </w:r>
      <w:r>
        <w:rPr>
          <w:rFonts w:hint="eastAsia" w:ascii="仿宋" w:hAnsi="仿宋" w:eastAsia="仿宋" w:cs="仿宋"/>
          <w:color w:val="auto"/>
          <w:lang w:val="en-US" w:eastAsia="zh-CN"/>
        </w:rPr>
        <w:t>供应商为</w:t>
      </w:r>
      <w:r>
        <w:rPr>
          <w:rFonts w:hint="eastAsia" w:ascii="仿宋" w:hAnsi="仿宋" w:eastAsia="仿宋" w:cs="仿宋"/>
          <w:color w:val="auto"/>
          <w:lang w:eastAsia="zh-CN"/>
        </w:rPr>
        <w:t>向中小企业</w:t>
      </w:r>
    </w:p>
    <w:p w14:paraId="043A5669">
      <w:pPr>
        <w:keepNext w:val="0"/>
        <w:keepLines w:val="0"/>
        <w:pageBreakBefore w:val="0"/>
        <w:widowControl w:val="0"/>
        <w:kinsoku/>
        <w:wordWrap/>
        <w:overflowPunct/>
        <w:topLinePunct w:val="0"/>
        <w:autoSpaceDE/>
        <w:autoSpaceDN/>
        <w:bidi w:val="0"/>
        <w:adjustRightInd/>
        <w:snapToGrid/>
        <w:spacing w:line="380" w:lineRule="exact"/>
        <w:ind w:firstLine="243" w:firstLineChars="100"/>
        <w:textAlignment w:val="auto"/>
        <w:rPr>
          <w:rFonts w:ascii="仿宋" w:hAnsi="仿宋" w:eastAsia="仿宋" w:cs="仿宋"/>
          <w:color w:val="auto"/>
          <w:lang w:eastAsia="zh-CN"/>
        </w:rPr>
      </w:pPr>
      <w:r>
        <w:rPr>
          <w:rFonts w:hint="eastAsia" w:ascii="仿宋" w:hAnsi="仿宋" w:eastAsia="仿宋" w:cs="仿宋"/>
          <w:color w:val="auto"/>
          <w:lang w:eastAsia="zh-CN"/>
        </w:rPr>
        <w:t xml:space="preserve">  3.本项目的特定资格要求：</w:t>
      </w:r>
      <w:bookmarkStart w:id="9" w:name="_Toc35393792"/>
      <w:bookmarkStart w:id="10" w:name="_Toc28359004"/>
      <w:bookmarkStart w:id="11" w:name="_Toc35393623"/>
      <w:bookmarkStart w:id="12" w:name="_Toc28359081"/>
    </w:p>
    <w:p w14:paraId="28F1879A">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（1)具备三证合一营业执照副本</w:t>
      </w:r>
      <w:r>
        <w:rPr>
          <w:rFonts w:hint="eastAsia" w:ascii="仿宋" w:hAnsi="仿宋" w:eastAsia="仿宋" w:cs="仿宋"/>
          <w:color w:val="auto"/>
          <w:lang w:val="en-US" w:eastAsia="zh-CN"/>
        </w:rPr>
        <w:t>或依法在民政部门登记的社会组织</w:t>
      </w:r>
      <w:r>
        <w:rPr>
          <w:rFonts w:hint="eastAsia" w:ascii="仿宋" w:hAnsi="仿宋" w:eastAsia="仿宋" w:cs="仿宋"/>
          <w:color w:val="auto"/>
          <w:lang w:eastAsia="zh-CN"/>
        </w:rPr>
        <w:t>；</w:t>
      </w:r>
    </w:p>
    <w:p w14:paraId="52CB87BB">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（2)法定代表人参加提供法定代表人证明书，委托代理人参加提供法人代表授权委托书。</w:t>
      </w:r>
    </w:p>
    <w:p w14:paraId="62DF6F60">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（3)参加采购活动前三年内，在经营活动中没有重大违法记录，供应商须提供 “信用中国”网站（http://www.creditchina.gov.cn/）、“中国政府采购网”网站（http://www.ccgp.gov.cn）无违法违规行为的查询纪录。</w:t>
      </w:r>
    </w:p>
    <w:p w14:paraId="049D7761">
      <w:pPr>
        <w:pStyle w:val="3"/>
        <w:keepNext/>
        <w:keepLines/>
        <w:adjustRightInd/>
        <w:snapToGrid/>
        <w:spacing w:line="400" w:lineRule="exact"/>
        <w:jc w:val="left"/>
        <w:rPr>
          <w:rFonts w:hint="eastAsia" w:ascii="仿宋" w:hAnsi="仿宋" w:eastAsia="仿宋" w:cs="仿宋"/>
          <w:b w:val="0"/>
          <w:color w:val="auto"/>
          <w:sz w:val="24"/>
          <w:szCs w:val="24"/>
          <w:lang w:val="en-US" w:eastAsia="zh-CN" w:bidi="en-US"/>
        </w:rPr>
      </w:pPr>
      <w:r>
        <w:rPr>
          <w:rFonts w:hint="eastAsia" w:ascii="仿宋" w:hAnsi="仿宋" w:eastAsia="仿宋" w:cs="仿宋"/>
          <w:b w:val="0"/>
          <w:color w:val="auto"/>
          <w:sz w:val="24"/>
          <w:szCs w:val="24"/>
          <w:lang w:val="en-US" w:eastAsia="zh-CN" w:bidi="en-US"/>
        </w:rPr>
        <w:t>（4）投标企业须提供供应商（被授权本单位在职人员）近6个月内任意1个月的有效社保证明。</w:t>
      </w:r>
    </w:p>
    <w:p w14:paraId="5AB8676E">
      <w:pPr>
        <w:pStyle w:val="3"/>
        <w:keepNext/>
        <w:keepLines/>
        <w:adjustRightInd/>
        <w:snapToGrid/>
        <w:spacing w:line="400" w:lineRule="exact"/>
        <w:jc w:val="left"/>
        <w:rPr>
          <w:rFonts w:ascii="仿宋" w:hAnsi="仿宋" w:eastAsia="仿宋" w:cs="仿宋"/>
          <w:color w:val="auto"/>
          <w:sz w:val="24"/>
          <w:szCs w:val="24"/>
          <w:lang w:eastAsia="zh-CN"/>
        </w:rPr>
      </w:pPr>
      <w:r>
        <w:rPr>
          <w:rFonts w:hint="eastAsia" w:ascii="仿宋" w:hAnsi="仿宋" w:eastAsia="仿宋" w:cs="仿宋"/>
          <w:color w:val="auto"/>
          <w:sz w:val="24"/>
          <w:szCs w:val="24"/>
        </w:rPr>
        <w:t>三、获取</w:t>
      </w:r>
      <w:bookmarkEnd w:id="9"/>
      <w:bookmarkEnd w:id="10"/>
      <w:bookmarkEnd w:id="11"/>
      <w:bookmarkEnd w:id="12"/>
      <w:r>
        <w:rPr>
          <w:rFonts w:hint="eastAsia" w:ascii="仿宋" w:hAnsi="仿宋" w:eastAsia="仿宋" w:cs="仿宋"/>
          <w:color w:val="auto"/>
          <w:sz w:val="24"/>
          <w:szCs w:val="24"/>
          <w:lang w:eastAsia="zh-CN"/>
        </w:rPr>
        <w:t>采购文件</w:t>
      </w:r>
    </w:p>
    <w:p w14:paraId="076AC507">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时间：202</w:t>
      </w:r>
      <w:r>
        <w:rPr>
          <w:rFonts w:hint="eastAsia" w:ascii="仿宋" w:hAnsi="仿宋" w:eastAsia="仿宋" w:cs="仿宋"/>
          <w:color w:val="auto"/>
          <w:lang w:val="en-US" w:eastAsia="zh-CN"/>
        </w:rPr>
        <w:t>5</w:t>
      </w:r>
      <w:r>
        <w:rPr>
          <w:rFonts w:hint="eastAsia" w:ascii="仿宋" w:hAnsi="仿宋" w:eastAsia="仿宋" w:cs="仿宋"/>
          <w:color w:val="auto"/>
          <w:lang w:eastAsia="zh-CN"/>
        </w:rPr>
        <w:t>年</w:t>
      </w:r>
      <w:r>
        <w:rPr>
          <w:rFonts w:hint="eastAsia" w:ascii="仿宋" w:hAnsi="仿宋" w:eastAsia="仿宋" w:cs="仿宋"/>
          <w:color w:val="auto"/>
          <w:u w:val="single"/>
          <w:lang w:val="en-US" w:eastAsia="zh-CN"/>
        </w:rPr>
        <w:t xml:space="preserve"> 7 </w:t>
      </w:r>
      <w:r>
        <w:rPr>
          <w:rFonts w:hint="eastAsia" w:ascii="仿宋" w:hAnsi="仿宋" w:eastAsia="仿宋" w:cs="仿宋"/>
          <w:color w:val="auto"/>
          <w:lang w:eastAsia="zh-CN"/>
        </w:rPr>
        <w:t>月</w:t>
      </w:r>
      <w:r>
        <w:rPr>
          <w:rFonts w:hint="eastAsia" w:ascii="仿宋" w:hAnsi="仿宋" w:eastAsia="仿宋" w:cs="仿宋"/>
          <w:color w:val="auto"/>
          <w:u w:val="single"/>
          <w:lang w:val="en-US" w:eastAsia="zh-CN"/>
        </w:rPr>
        <w:t>15</w:t>
      </w:r>
      <w:r>
        <w:rPr>
          <w:rFonts w:hint="eastAsia" w:ascii="仿宋" w:hAnsi="仿宋" w:eastAsia="仿宋" w:cs="仿宋"/>
          <w:color w:val="auto"/>
          <w:lang w:eastAsia="zh-CN"/>
        </w:rPr>
        <w:t>日至202</w:t>
      </w:r>
      <w:r>
        <w:rPr>
          <w:rFonts w:hint="eastAsia" w:ascii="仿宋" w:hAnsi="仿宋" w:eastAsia="仿宋" w:cs="仿宋"/>
          <w:color w:val="auto"/>
          <w:lang w:val="en-US" w:eastAsia="zh-CN"/>
        </w:rPr>
        <w:t>5</w:t>
      </w:r>
      <w:r>
        <w:rPr>
          <w:rFonts w:hint="eastAsia" w:ascii="仿宋" w:hAnsi="仿宋" w:eastAsia="仿宋" w:cs="仿宋"/>
          <w:color w:val="auto"/>
          <w:lang w:eastAsia="zh-CN"/>
        </w:rPr>
        <w:t>年</w:t>
      </w:r>
      <w:r>
        <w:rPr>
          <w:rFonts w:hint="eastAsia" w:ascii="仿宋" w:hAnsi="仿宋" w:eastAsia="仿宋" w:cs="仿宋"/>
          <w:color w:val="auto"/>
          <w:u w:val="single"/>
          <w:lang w:val="en-US" w:eastAsia="zh-CN"/>
        </w:rPr>
        <w:t>7</w:t>
      </w:r>
      <w:r>
        <w:rPr>
          <w:rFonts w:hint="eastAsia" w:ascii="仿宋" w:hAnsi="仿宋" w:eastAsia="仿宋" w:cs="仿宋"/>
          <w:color w:val="auto"/>
          <w:lang w:eastAsia="zh-CN"/>
        </w:rPr>
        <w:t>月</w:t>
      </w:r>
      <w:r>
        <w:rPr>
          <w:rFonts w:hint="eastAsia" w:ascii="仿宋" w:hAnsi="仿宋" w:eastAsia="仿宋" w:cs="仿宋"/>
          <w:color w:val="auto"/>
          <w:lang w:val="en-US" w:eastAsia="zh-CN"/>
        </w:rPr>
        <w:t>22</w:t>
      </w:r>
      <w:r>
        <w:rPr>
          <w:rFonts w:hint="eastAsia" w:ascii="仿宋" w:hAnsi="仿宋" w:eastAsia="仿宋" w:cs="仿宋"/>
          <w:color w:val="auto"/>
          <w:lang w:eastAsia="zh-CN"/>
        </w:rPr>
        <w:t>日，每天上午10:00至14:00，下午16:00至</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r>
        <w:rPr>
          <w:rFonts w:hint="eastAsia" w:ascii="仿宋" w:hAnsi="仿宋" w:eastAsia="仿宋" w:cs="仿宋"/>
          <w:color w:val="auto"/>
          <w:lang w:val="en-US" w:eastAsia="zh-CN"/>
        </w:rPr>
        <w:t>0</w:t>
      </w:r>
      <w:r>
        <w:rPr>
          <w:rFonts w:hint="eastAsia" w:ascii="仿宋" w:hAnsi="仿宋" w:eastAsia="仿宋" w:cs="仿宋"/>
          <w:color w:val="auto"/>
          <w:lang w:eastAsia="zh-CN"/>
        </w:rPr>
        <w:t>0（北京时间，节假日除外）</w:t>
      </w:r>
    </w:p>
    <w:p w14:paraId="2CF6624F">
      <w:pPr>
        <w:spacing w:line="400" w:lineRule="exact"/>
        <w:ind w:firstLine="486" w:firstLineChars="200"/>
        <w:rPr>
          <w:rFonts w:ascii="仿宋" w:hAnsi="仿宋" w:eastAsia="仿宋" w:cs="仿宋"/>
          <w:color w:val="auto"/>
          <w:lang w:eastAsia="zh-CN"/>
        </w:rPr>
      </w:pPr>
      <w:bookmarkStart w:id="13" w:name="_Toc28359005"/>
      <w:bookmarkStart w:id="14" w:name="_Toc35393793"/>
      <w:bookmarkStart w:id="15" w:name="_Toc35393624"/>
      <w:bookmarkStart w:id="16" w:name="_Toc28359082"/>
      <w:r>
        <w:rPr>
          <w:rFonts w:hint="eastAsia" w:ascii="仿宋" w:hAnsi="仿宋" w:eastAsia="仿宋" w:cs="仿宋"/>
          <w:color w:val="auto"/>
          <w:lang w:eastAsia="zh-CN"/>
        </w:rPr>
        <w:t>地点：</w:t>
      </w:r>
      <w:r>
        <w:rPr>
          <w:rFonts w:hint="eastAsia" w:ascii="仿宋" w:hAnsi="仿宋" w:eastAsia="仿宋" w:cs="仿宋"/>
          <w:color w:val="auto"/>
          <w:sz w:val="24"/>
          <w:szCs w:val="24"/>
          <w:lang w:eastAsia="zh-CN"/>
        </w:rPr>
        <w:t>政采云平台线上</w:t>
      </w:r>
      <w:r>
        <w:rPr>
          <w:rFonts w:hint="eastAsia" w:ascii="仿宋" w:hAnsi="仿宋" w:eastAsia="仿宋" w:cs="仿宋"/>
          <w:color w:val="auto"/>
          <w:lang w:eastAsia="zh-CN"/>
        </w:rPr>
        <w:t>。</w:t>
      </w:r>
    </w:p>
    <w:p w14:paraId="79B97946">
      <w:pPr>
        <w:keepNext w:val="0"/>
        <w:keepLines w:val="0"/>
        <w:pageBreakBefore w:val="0"/>
        <w:widowControl w:val="0"/>
        <w:kinsoku/>
        <w:wordWrap/>
        <w:overflowPunct/>
        <w:topLinePunct w:val="0"/>
        <w:autoSpaceDE/>
        <w:autoSpaceDN/>
        <w:bidi w:val="0"/>
        <w:adjustRightInd/>
        <w:snapToGrid/>
        <w:spacing w:line="36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方式：</w:t>
      </w:r>
      <w:r>
        <w:rPr>
          <w:rFonts w:hint="eastAsia" w:ascii="仿宋" w:hAnsi="仿宋" w:eastAsia="仿宋" w:cs="仿宋"/>
          <w:color w:val="auto"/>
          <w:sz w:val="24"/>
          <w:szCs w:val="24"/>
          <w:lang w:eastAsia="zh-CN"/>
        </w:rPr>
        <w:t>供应商登录政采云平台https://www.zcygov.cn/在线申请获取采购文件（进入“项目采购”应用，在获取采购文件菜单中选择项目，申请获取采购文件）</w:t>
      </w:r>
    </w:p>
    <w:p w14:paraId="748682E5">
      <w:pPr>
        <w:tabs>
          <w:tab w:val="left" w:pos="366"/>
        </w:tabs>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售价（元）：0</w:t>
      </w:r>
    </w:p>
    <w:p w14:paraId="33051448">
      <w:pPr>
        <w:pStyle w:val="3"/>
        <w:keepNext/>
        <w:keepLines/>
        <w:adjustRightInd/>
        <w:snapToGrid/>
        <w:spacing w:line="40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四、</w:t>
      </w:r>
      <w:bookmarkEnd w:id="13"/>
      <w:bookmarkEnd w:id="14"/>
      <w:bookmarkEnd w:id="15"/>
      <w:bookmarkEnd w:id="16"/>
      <w:r>
        <w:rPr>
          <w:rFonts w:hint="eastAsia" w:ascii="仿宋" w:hAnsi="仿宋" w:eastAsia="仿宋" w:cs="仿宋"/>
          <w:color w:val="auto"/>
          <w:sz w:val="24"/>
          <w:szCs w:val="24"/>
          <w:lang w:eastAsia="zh-CN"/>
        </w:rPr>
        <w:t>响应文件提交</w:t>
      </w:r>
    </w:p>
    <w:p w14:paraId="7BDDF851">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u w:val="single"/>
          <w:lang w:eastAsia="zh-CN"/>
        </w:rPr>
        <w:t>截止时间：202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7</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 25</w:t>
      </w:r>
      <w:r>
        <w:rPr>
          <w:rFonts w:hint="eastAsia" w:ascii="仿宋" w:hAnsi="仿宋" w:eastAsia="仿宋" w:cs="仿宋"/>
          <w:color w:val="auto"/>
          <w:u w:val="single"/>
          <w:lang w:eastAsia="zh-CN"/>
        </w:rPr>
        <w:t>日 10:30（北京时间）</w:t>
      </w:r>
    </w:p>
    <w:p w14:paraId="6E1A67F6">
      <w:pPr>
        <w:keepNext w:val="0"/>
        <w:keepLines w:val="0"/>
        <w:pageBreakBefore w:val="0"/>
        <w:kinsoku/>
        <w:wordWrap/>
        <w:overflowPunct/>
        <w:topLinePunct w:val="0"/>
        <w:autoSpaceDE/>
        <w:autoSpaceDN/>
        <w:bidi w:val="0"/>
        <w:adjustRightInd/>
        <w:snapToGrid/>
        <w:spacing w:line="360" w:lineRule="exact"/>
        <w:ind w:firstLine="486"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地点：政府采购云平台（www.zcygov.cn）供应商应于递交投标文件截止时间之前将电子投标文件上传到“政采云”平台。</w:t>
      </w:r>
    </w:p>
    <w:p w14:paraId="2686709D">
      <w:pPr>
        <w:pStyle w:val="3"/>
        <w:keepNext/>
        <w:keepLines/>
        <w:adjustRightInd/>
        <w:snapToGrid/>
        <w:spacing w:line="40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五、响应文件开启</w:t>
      </w:r>
    </w:p>
    <w:p w14:paraId="7EB49EB7">
      <w:pPr>
        <w:spacing w:line="400" w:lineRule="exact"/>
        <w:ind w:firstLine="486" w:firstLineChars="200"/>
        <w:rPr>
          <w:rFonts w:ascii="仿宋" w:hAnsi="仿宋" w:eastAsia="仿宋" w:cs="仿宋"/>
          <w:color w:val="auto"/>
          <w:u w:val="single"/>
          <w:lang w:eastAsia="zh-CN"/>
        </w:rPr>
      </w:pPr>
      <w:r>
        <w:rPr>
          <w:rFonts w:hint="eastAsia" w:ascii="仿宋" w:hAnsi="仿宋" w:eastAsia="仿宋" w:cs="仿宋"/>
          <w:color w:val="auto"/>
          <w:u w:val="single"/>
          <w:lang w:eastAsia="zh-CN"/>
        </w:rPr>
        <w:t>开启时间：202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7</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25</w:t>
      </w:r>
      <w:r>
        <w:rPr>
          <w:rFonts w:hint="eastAsia" w:ascii="仿宋" w:hAnsi="仿宋" w:eastAsia="仿宋" w:cs="仿宋"/>
          <w:color w:val="auto"/>
          <w:u w:val="single"/>
          <w:lang w:eastAsia="zh-CN"/>
        </w:rPr>
        <w:t>日 10:30（北京时间）</w:t>
      </w:r>
    </w:p>
    <w:p w14:paraId="53BBF793">
      <w:pPr>
        <w:spacing w:line="40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地点：投标人登录政采云平台https://www.zcygov.cn/，进入“项目采购-开标评标-右边选择对应项目点击“进入项目”进入开标大厅。</w:t>
      </w:r>
    </w:p>
    <w:p w14:paraId="3CF737E1">
      <w:pPr>
        <w:pStyle w:val="3"/>
        <w:keepNext/>
        <w:keepLines/>
        <w:adjustRightInd/>
        <w:snapToGrid/>
        <w:spacing w:line="400" w:lineRule="exact"/>
        <w:jc w:val="left"/>
        <w:rPr>
          <w:rFonts w:ascii="仿宋" w:hAnsi="仿宋" w:eastAsia="仿宋" w:cs="仿宋"/>
          <w:color w:val="auto"/>
          <w:sz w:val="24"/>
          <w:szCs w:val="24"/>
        </w:rPr>
      </w:pPr>
      <w:bookmarkStart w:id="17" w:name="_Toc28359084"/>
      <w:bookmarkStart w:id="18" w:name="_Toc35393625"/>
      <w:bookmarkStart w:id="19" w:name="_Toc35393794"/>
      <w:bookmarkStart w:id="20" w:name="_Toc28359007"/>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、公告期限</w:t>
      </w:r>
      <w:bookmarkEnd w:id="17"/>
      <w:bookmarkEnd w:id="18"/>
      <w:bookmarkEnd w:id="19"/>
      <w:bookmarkEnd w:id="20"/>
    </w:p>
    <w:p w14:paraId="1B6A2AFE">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自本公告发布之日起</w:t>
      </w:r>
      <w:r>
        <w:rPr>
          <w:rFonts w:hint="eastAsia" w:ascii="仿宋" w:hAnsi="仿宋" w:eastAsia="仿宋" w:cs="仿宋"/>
          <w:color w:val="auto"/>
          <w:lang w:val="en-US" w:eastAsia="zh-CN"/>
        </w:rPr>
        <w:t>3</w:t>
      </w:r>
      <w:r>
        <w:rPr>
          <w:rFonts w:hint="eastAsia" w:ascii="仿宋" w:hAnsi="仿宋" w:eastAsia="仿宋" w:cs="仿宋"/>
          <w:color w:val="auto"/>
          <w:lang w:eastAsia="zh-CN"/>
        </w:rPr>
        <w:t>个工作日</w:t>
      </w:r>
    </w:p>
    <w:p w14:paraId="0B92A50C">
      <w:pPr>
        <w:pStyle w:val="3"/>
        <w:keepNext/>
        <w:keepLines/>
        <w:numPr>
          <w:ilvl w:val="0"/>
          <w:numId w:val="4"/>
        </w:numPr>
        <w:adjustRightInd/>
        <w:snapToGrid/>
        <w:spacing w:line="400" w:lineRule="exact"/>
        <w:ind w:right="-918" w:rightChars="-378"/>
        <w:jc w:val="left"/>
        <w:rPr>
          <w:rFonts w:hint="eastAsia" w:ascii="仿宋" w:hAnsi="仿宋" w:eastAsia="仿宋" w:cs="仿宋"/>
          <w:color w:val="auto"/>
          <w:sz w:val="24"/>
          <w:szCs w:val="24"/>
        </w:rPr>
      </w:pPr>
      <w:bookmarkStart w:id="21" w:name="_Toc35393626"/>
      <w:bookmarkStart w:id="22" w:name="_Toc35393795"/>
      <w:r>
        <w:rPr>
          <w:rFonts w:hint="eastAsia" w:ascii="仿宋" w:hAnsi="仿宋" w:eastAsia="仿宋" w:cs="仿宋"/>
          <w:color w:val="auto"/>
          <w:sz w:val="24"/>
          <w:szCs w:val="24"/>
        </w:rPr>
        <w:t>其他补充事宜</w:t>
      </w:r>
      <w:bookmarkEnd w:id="21"/>
      <w:bookmarkEnd w:id="22"/>
      <w:bookmarkStart w:id="23" w:name="_Toc35393796"/>
      <w:bookmarkStart w:id="24" w:name="_Toc35393627"/>
      <w:bookmarkStart w:id="25" w:name="_Toc28359008"/>
      <w:bookmarkStart w:id="26" w:name="_Toc28359085"/>
    </w:p>
    <w:p w14:paraId="2C7DCA89">
      <w:pPr>
        <w:keepNext w:val="0"/>
        <w:keepLines w:val="0"/>
        <w:pageBreakBefore w:val="0"/>
        <w:kinsoku/>
        <w:wordWrap/>
        <w:overflowPunct/>
        <w:topLinePunct w:val="0"/>
        <w:autoSpaceDE/>
        <w:autoSpaceDN/>
        <w:bidi w:val="0"/>
        <w:adjustRightInd/>
        <w:snapToGrid/>
        <w:spacing w:line="360" w:lineRule="exact"/>
        <w:ind w:firstLine="486"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特别提示：</w:t>
      </w:r>
    </w:p>
    <w:p w14:paraId="414C820D">
      <w:pPr>
        <w:keepNext w:val="0"/>
        <w:keepLines w:val="0"/>
        <w:pageBreakBefore w:val="0"/>
        <w:kinsoku/>
        <w:wordWrap/>
        <w:overflowPunct/>
        <w:topLinePunct w:val="0"/>
        <w:autoSpaceDE/>
        <w:autoSpaceDN/>
        <w:bidi w:val="0"/>
        <w:adjustRightInd/>
        <w:snapToGrid/>
        <w:spacing w:line="360" w:lineRule="exact"/>
        <w:ind w:firstLine="486"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1、采购限额标准以上，200万元以下的货物和服务采购项目、400万元以下的工程采购项目，适宜由中小企业提供的，采购人应当专门面向中小企业采购。</w:t>
      </w:r>
    </w:p>
    <w:p w14:paraId="31AF7745">
      <w:pPr>
        <w:keepNext w:val="0"/>
        <w:keepLines w:val="0"/>
        <w:pageBreakBefore w:val="0"/>
        <w:kinsoku/>
        <w:wordWrap/>
        <w:overflowPunct/>
        <w:topLinePunct w:val="0"/>
        <w:autoSpaceDE/>
        <w:autoSpaceDN/>
        <w:bidi w:val="0"/>
        <w:adjustRightInd/>
        <w:snapToGrid/>
        <w:spacing w:line="360" w:lineRule="exact"/>
        <w:ind w:firstLine="486"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2、超过200万元的货物和服务采购项目，预留该部分采购项目预算总额的30%以上专门面向中小企业采购，其中预留给小微企业的比例不低于60%。</w:t>
      </w:r>
    </w:p>
    <w:p w14:paraId="513052F6">
      <w:pPr>
        <w:keepNext w:val="0"/>
        <w:keepLines w:val="0"/>
        <w:pageBreakBefore w:val="0"/>
        <w:kinsoku/>
        <w:wordWrap/>
        <w:overflowPunct/>
        <w:topLinePunct w:val="0"/>
        <w:autoSpaceDE/>
        <w:autoSpaceDN/>
        <w:bidi w:val="0"/>
        <w:adjustRightInd/>
        <w:snapToGrid/>
        <w:spacing w:line="360" w:lineRule="exact"/>
        <w:ind w:firstLine="486"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3、超过400万元的工程采购项目中适宜由中小企业提供的，预留该部分采购项目预算总额的40%以上专门面向中小企业采购，其中预留给小微企业的比例不低于60%。</w:t>
      </w:r>
    </w:p>
    <w:p w14:paraId="1E5C5102">
      <w:pPr>
        <w:keepNext w:val="0"/>
        <w:keepLines w:val="0"/>
        <w:pageBreakBefore w:val="0"/>
        <w:kinsoku/>
        <w:wordWrap/>
        <w:overflowPunct/>
        <w:topLinePunct w:val="0"/>
        <w:autoSpaceDE/>
        <w:autoSpaceDN/>
        <w:bidi w:val="0"/>
        <w:adjustRightInd/>
        <w:snapToGrid/>
        <w:spacing w:line="360" w:lineRule="exact"/>
        <w:ind w:firstLine="486"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DC35998">
      <w:pPr>
        <w:keepNext w:val="0"/>
        <w:keepLines w:val="0"/>
        <w:pageBreakBefore w:val="0"/>
        <w:kinsoku/>
        <w:wordWrap/>
        <w:overflowPunct/>
        <w:topLinePunct w:val="0"/>
        <w:autoSpaceDE/>
        <w:autoSpaceDN/>
        <w:bidi w:val="0"/>
        <w:adjustRightInd/>
        <w:snapToGrid/>
        <w:spacing w:line="360" w:lineRule="exact"/>
        <w:ind w:firstLine="486" w:firstLineChars="200"/>
        <w:textAlignment w:val="auto"/>
        <w:rPr>
          <w:color w:val="auto"/>
        </w:rPr>
      </w:pPr>
      <w:r>
        <w:rPr>
          <w:rFonts w:hint="eastAsia" w:ascii="仿宋" w:hAnsi="仿宋" w:eastAsia="仿宋" w:cs="仿宋"/>
          <w:color w:val="auto"/>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6ACB8B9">
      <w:pPr>
        <w:spacing w:line="400" w:lineRule="exact"/>
        <w:rPr>
          <w:rFonts w:ascii="仿宋" w:hAnsi="仿宋" w:eastAsia="仿宋" w:cs="仿宋"/>
          <w:b/>
          <w:color w:val="auto"/>
        </w:rPr>
      </w:pPr>
      <w:r>
        <w:rPr>
          <w:rFonts w:hint="eastAsia" w:ascii="仿宋" w:hAnsi="仿宋" w:eastAsia="仿宋" w:cs="仿宋"/>
          <w:b/>
          <w:color w:val="auto"/>
          <w:lang w:eastAsia="zh-CN"/>
        </w:rPr>
        <w:t>八</w:t>
      </w:r>
      <w:r>
        <w:rPr>
          <w:rFonts w:hint="eastAsia" w:ascii="仿宋" w:hAnsi="仿宋" w:eastAsia="仿宋" w:cs="仿宋"/>
          <w:b/>
          <w:color w:val="auto"/>
        </w:rPr>
        <w:t>、对本次招标提出询问，请按以下方式联系。</w:t>
      </w:r>
      <w:bookmarkEnd w:id="23"/>
      <w:bookmarkEnd w:id="24"/>
      <w:bookmarkEnd w:id="25"/>
      <w:bookmarkEnd w:id="26"/>
    </w:p>
    <w:p w14:paraId="0735B274">
      <w:pPr>
        <w:spacing w:line="400" w:lineRule="exact"/>
        <w:ind w:firstLine="243" w:firstLineChars="100"/>
        <w:rPr>
          <w:rFonts w:ascii="仿宋" w:hAnsi="仿宋" w:eastAsia="仿宋" w:cs="仿宋"/>
          <w:color w:val="auto"/>
          <w:lang w:eastAsia="zh-CN"/>
        </w:rPr>
      </w:pPr>
      <w:r>
        <w:rPr>
          <w:rFonts w:hint="eastAsia" w:ascii="仿宋" w:hAnsi="仿宋" w:eastAsia="仿宋" w:cs="仿宋"/>
          <w:color w:val="auto"/>
          <w:lang w:eastAsia="zh-CN"/>
        </w:rPr>
        <w:t>1.采购人信息</w:t>
      </w:r>
    </w:p>
    <w:p w14:paraId="430A64AD">
      <w:pPr>
        <w:spacing w:line="400" w:lineRule="exact"/>
        <w:ind w:firstLine="243" w:firstLineChars="100"/>
        <w:rPr>
          <w:rFonts w:ascii="仿宋" w:hAnsi="仿宋" w:eastAsia="仿宋" w:cs="仿宋"/>
          <w:color w:val="auto"/>
          <w:lang w:eastAsia="zh-CN"/>
        </w:rPr>
      </w:pPr>
      <w:r>
        <w:rPr>
          <w:rFonts w:hint="eastAsia" w:ascii="仿宋" w:hAnsi="仿宋" w:eastAsia="仿宋" w:cs="仿宋"/>
          <w:color w:val="auto"/>
          <w:lang w:eastAsia="zh-CN"/>
        </w:rPr>
        <w:t>名 称：</w:t>
      </w:r>
      <w:r>
        <w:rPr>
          <w:rFonts w:hint="eastAsia" w:ascii="仿宋" w:hAnsi="仿宋" w:eastAsia="仿宋" w:cs="仿宋"/>
          <w:color w:val="auto"/>
          <w:lang w:val="en-US" w:eastAsia="zh-CN"/>
        </w:rPr>
        <w:t>阿合奇县民政</w:t>
      </w:r>
      <w:r>
        <w:rPr>
          <w:rFonts w:hint="eastAsia" w:ascii="仿宋" w:hAnsi="仿宋" w:eastAsia="仿宋" w:cs="仿宋"/>
          <w:color w:val="auto"/>
          <w:lang w:eastAsia="zh-CN"/>
        </w:rPr>
        <w:t xml:space="preserve">局               </w:t>
      </w:r>
    </w:p>
    <w:p w14:paraId="3AB70275">
      <w:pPr>
        <w:spacing w:line="400" w:lineRule="exact"/>
        <w:ind w:firstLine="243" w:firstLineChars="100"/>
        <w:rPr>
          <w:rFonts w:hint="eastAsia" w:ascii="仿宋" w:hAnsi="仿宋" w:eastAsia="仿宋" w:cs="仿宋"/>
          <w:color w:val="auto"/>
          <w:lang w:val="en-US" w:eastAsia="zh-CN"/>
        </w:rPr>
      </w:pPr>
      <w:r>
        <w:rPr>
          <w:rFonts w:hint="eastAsia" w:ascii="仿宋" w:hAnsi="仿宋" w:eastAsia="仿宋" w:cs="仿宋"/>
          <w:color w:val="auto"/>
          <w:lang w:eastAsia="zh-CN"/>
        </w:rPr>
        <w:t>地 址：</w:t>
      </w:r>
      <w:r>
        <w:rPr>
          <w:rFonts w:hint="eastAsia" w:ascii="仿宋" w:hAnsi="仿宋" w:eastAsia="仿宋" w:cs="仿宋"/>
          <w:color w:val="auto"/>
          <w:lang w:val="en-US" w:eastAsia="zh-CN"/>
        </w:rPr>
        <w:t>阿合奇县民政局（光明路3院）</w:t>
      </w:r>
    </w:p>
    <w:p w14:paraId="049D3EFD">
      <w:pPr>
        <w:spacing w:line="400" w:lineRule="exact"/>
        <w:ind w:firstLine="243" w:firstLineChars="100"/>
        <w:rPr>
          <w:rFonts w:ascii="仿宋" w:hAnsi="仿宋" w:eastAsia="仿宋" w:cs="仿宋"/>
          <w:color w:val="auto"/>
          <w:lang w:eastAsia="zh-CN"/>
        </w:rPr>
      </w:pPr>
      <w:r>
        <w:rPr>
          <w:rFonts w:hint="eastAsia" w:ascii="仿宋" w:hAnsi="仿宋" w:eastAsia="仿宋" w:cs="仿宋"/>
          <w:color w:val="auto"/>
          <w:lang w:eastAsia="zh-CN"/>
        </w:rPr>
        <w:t>联系方式：</w:t>
      </w:r>
      <w:r>
        <w:rPr>
          <w:rFonts w:hint="eastAsia" w:ascii="仿宋" w:hAnsi="仿宋" w:eastAsia="仿宋" w:cs="仿宋"/>
          <w:color w:val="auto"/>
          <w:lang w:val="en-US" w:eastAsia="zh-CN"/>
        </w:rPr>
        <w:t>张先生</w:t>
      </w:r>
      <w:r>
        <w:rPr>
          <w:rFonts w:hint="eastAsia" w:ascii="仿宋" w:hAnsi="仿宋" w:eastAsia="仿宋" w:cs="仿宋"/>
          <w:color w:val="auto"/>
          <w:lang w:eastAsia="zh-CN"/>
        </w:rPr>
        <w:t xml:space="preserve"> </w:t>
      </w:r>
      <w:r>
        <w:rPr>
          <w:rFonts w:hint="eastAsia" w:ascii="仿宋" w:hAnsi="仿宋" w:eastAsia="仿宋" w:cs="仿宋"/>
          <w:color w:val="auto"/>
          <w:lang w:val="en-US" w:eastAsia="zh-CN"/>
        </w:rPr>
        <w:t>18997860315</w:t>
      </w:r>
      <w:r>
        <w:rPr>
          <w:rFonts w:hint="eastAsia" w:ascii="仿宋" w:hAnsi="仿宋" w:eastAsia="仿宋" w:cs="仿宋"/>
          <w:color w:val="auto"/>
          <w:lang w:eastAsia="zh-CN"/>
        </w:rPr>
        <w:t xml:space="preserve">           </w:t>
      </w:r>
    </w:p>
    <w:p w14:paraId="4AC94AF1">
      <w:pPr>
        <w:spacing w:line="400" w:lineRule="exact"/>
        <w:ind w:firstLine="243" w:firstLineChars="100"/>
        <w:rPr>
          <w:rFonts w:ascii="仿宋" w:hAnsi="仿宋" w:eastAsia="仿宋" w:cs="仿宋"/>
          <w:color w:val="auto"/>
          <w:lang w:eastAsia="zh-CN"/>
        </w:rPr>
      </w:pPr>
      <w:r>
        <w:rPr>
          <w:rFonts w:hint="eastAsia" w:ascii="仿宋" w:hAnsi="仿宋" w:eastAsia="仿宋" w:cs="仿宋"/>
          <w:color w:val="auto"/>
          <w:lang w:eastAsia="zh-CN"/>
        </w:rPr>
        <w:t>2.采购代理机构信息</w:t>
      </w:r>
    </w:p>
    <w:p w14:paraId="1DE7B9EF">
      <w:pPr>
        <w:spacing w:line="400" w:lineRule="exact"/>
        <w:ind w:firstLine="243" w:firstLineChars="100"/>
        <w:rPr>
          <w:rFonts w:ascii="仿宋" w:hAnsi="仿宋" w:eastAsia="仿宋" w:cs="仿宋"/>
          <w:color w:val="auto"/>
          <w:lang w:eastAsia="zh-CN"/>
        </w:rPr>
      </w:pPr>
      <w:r>
        <w:rPr>
          <w:rFonts w:hint="eastAsia" w:ascii="仿宋" w:hAnsi="仿宋" w:eastAsia="仿宋" w:cs="仿宋"/>
          <w:color w:val="auto"/>
          <w:lang w:eastAsia="zh-CN"/>
        </w:rPr>
        <w:t>名 称：</w:t>
      </w:r>
      <w:r>
        <w:rPr>
          <w:rFonts w:hint="eastAsia" w:ascii="仿宋" w:hAnsi="仿宋" w:eastAsia="仿宋" w:cs="仿宋"/>
          <w:color w:val="auto"/>
          <w:lang w:val="en-US" w:eastAsia="zh-CN"/>
        </w:rPr>
        <w:t>阿合奇县新越项目咨询有限责任公司</w:t>
      </w:r>
      <w:r>
        <w:rPr>
          <w:rFonts w:hint="eastAsia" w:ascii="仿宋" w:hAnsi="仿宋" w:eastAsia="仿宋" w:cs="仿宋"/>
          <w:color w:val="auto"/>
          <w:lang w:eastAsia="zh-CN"/>
        </w:rPr>
        <w:t>　　　　　　　　   　</w:t>
      </w:r>
    </w:p>
    <w:p w14:paraId="4E330D20">
      <w:pPr>
        <w:spacing w:line="400" w:lineRule="exact"/>
        <w:ind w:firstLine="243" w:firstLineChars="100"/>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lang w:val="en-US" w:eastAsia="zh-CN"/>
        </w:rPr>
        <w:t xml:space="preserve">阿合奇县交通局4楼  </w:t>
      </w:r>
      <w:r>
        <w:rPr>
          <w:rFonts w:hint="eastAsia" w:ascii="仿宋" w:hAnsi="仿宋" w:eastAsia="仿宋" w:cs="仿宋"/>
          <w:color w:val="auto"/>
          <w:lang w:eastAsia="zh-CN"/>
        </w:rPr>
        <w:t>　  　</w:t>
      </w:r>
    </w:p>
    <w:p w14:paraId="65B6F11C">
      <w:pPr>
        <w:spacing w:line="400" w:lineRule="exact"/>
        <w:ind w:firstLine="243" w:firstLineChars="100"/>
        <w:rPr>
          <w:rFonts w:hint="eastAsia" w:ascii="仿宋" w:hAnsi="仿宋" w:eastAsia="仿宋" w:cs="仿宋"/>
          <w:color w:val="auto"/>
          <w:lang w:val="en-US" w:eastAsia="zh-CN"/>
        </w:rPr>
      </w:pPr>
      <w:r>
        <w:rPr>
          <w:rFonts w:hint="eastAsia" w:ascii="仿宋" w:hAnsi="仿宋" w:eastAsia="仿宋" w:cs="仿宋"/>
          <w:color w:val="auto"/>
          <w:lang w:eastAsia="zh-CN"/>
        </w:rPr>
        <w:t>联系方式：</w:t>
      </w:r>
      <w:r>
        <w:rPr>
          <w:rFonts w:hint="eastAsia" w:ascii="仿宋" w:hAnsi="仿宋" w:eastAsia="仿宋" w:cs="仿宋"/>
          <w:color w:val="auto"/>
          <w:lang w:val="en-US" w:eastAsia="zh-CN"/>
        </w:rPr>
        <w:t>银先生</w:t>
      </w:r>
      <w:r>
        <w:rPr>
          <w:rFonts w:hint="eastAsia" w:ascii="仿宋" w:hAnsi="仿宋" w:eastAsia="仿宋" w:cs="仿宋"/>
          <w:color w:val="auto"/>
          <w:lang w:eastAsia="zh-CN"/>
        </w:rPr>
        <w:t>　</w:t>
      </w:r>
      <w:r>
        <w:rPr>
          <w:rFonts w:hint="eastAsia" w:ascii="仿宋" w:hAnsi="仿宋" w:eastAsia="仿宋" w:cs="仿宋"/>
          <w:color w:val="auto"/>
          <w:lang w:val="en-US" w:eastAsia="zh-CN"/>
        </w:rPr>
        <w:t>18809088695</w:t>
      </w:r>
    </w:p>
    <w:p w14:paraId="75859BAD">
      <w:pPr>
        <w:spacing w:line="400" w:lineRule="exact"/>
        <w:rPr>
          <w:rFonts w:ascii="仿宋" w:hAnsi="仿宋" w:eastAsia="仿宋" w:cs="仿宋"/>
          <w:color w:val="auto"/>
        </w:rPr>
      </w:pPr>
    </w:p>
    <w:p w14:paraId="3F030AD2">
      <w:pPr>
        <w:spacing w:line="400" w:lineRule="exact"/>
        <w:rPr>
          <w:rFonts w:ascii="仿宋" w:hAnsi="仿宋" w:eastAsia="仿宋" w:cs="仿宋"/>
          <w:color w:val="auto"/>
        </w:rPr>
      </w:pPr>
    </w:p>
    <w:p w14:paraId="48E5EA54">
      <w:pPr>
        <w:spacing w:line="400" w:lineRule="exact"/>
        <w:rPr>
          <w:rFonts w:ascii="仿宋" w:hAnsi="仿宋" w:eastAsia="仿宋" w:cs="仿宋"/>
          <w:color w:val="auto"/>
        </w:rPr>
      </w:pPr>
    </w:p>
    <w:p w14:paraId="115D4A8C">
      <w:pPr>
        <w:pStyle w:val="31"/>
        <w:rPr>
          <w:rFonts w:ascii="仿宋" w:hAnsi="仿宋" w:eastAsia="仿宋" w:cs="仿宋"/>
          <w:b/>
          <w:bCs/>
          <w:color w:val="auto"/>
          <w:sz w:val="36"/>
          <w:szCs w:val="36"/>
        </w:rPr>
      </w:pPr>
    </w:p>
    <w:p w14:paraId="3D15A61B">
      <w:pPr>
        <w:pStyle w:val="22"/>
        <w:ind w:left="486" w:firstLine="486"/>
        <w:rPr>
          <w:color w:val="auto"/>
        </w:rPr>
      </w:pPr>
    </w:p>
    <w:p w14:paraId="5BD625BD">
      <w:pPr>
        <w:pStyle w:val="22"/>
        <w:ind w:left="486" w:firstLine="486"/>
        <w:rPr>
          <w:color w:val="auto"/>
        </w:rPr>
      </w:pPr>
    </w:p>
    <w:p w14:paraId="39E3A292">
      <w:pPr>
        <w:pStyle w:val="22"/>
        <w:ind w:left="486" w:firstLine="486"/>
        <w:rPr>
          <w:color w:val="auto"/>
        </w:rPr>
      </w:pPr>
    </w:p>
    <w:p w14:paraId="3C7D8AD8">
      <w:pPr>
        <w:pStyle w:val="22"/>
        <w:ind w:left="486" w:firstLine="486"/>
        <w:rPr>
          <w:color w:val="auto"/>
        </w:rPr>
      </w:pPr>
    </w:p>
    <w:p w14:paraId="444934F0">
      <w:pPr>
        <w:pStyle w:val="22"/>
        <w:ind w:left="486" w:firstLine="486"/>
        <w:rPr>
          <w:color w:val="auto"/>
        </w:rPr>
      </w:pPr>
    </w:p>
    <w:p w14:paraId="0F7D2FDE">
      <w:pPr>
        <w:pStyle w:val="22"/>
        <w:ind w:left="486" w:firstLine="486"/>
        <w:rPr>
          <w:color w:val="auto"/>
        </w:rPr>
      </w:pPr>
    </w:p>
    <w:p w14:paraId="1FB4B3B2">
      <w:pPr>
        <w:pStyle w:val="22"/>
        <w:ind w:left="486" w:firstLine="486"/>
        <w:rPr>
          <w:color w:val="auto"/>
        </w:rPr>
      </w:pPr>
    </w:p>
    <w:p w14:paraId="5D2ED0D5">
      <w:pPr>
        <w:pStyle w:val="22"/>
        <w:ind w:left="486" w:firstLine="486"/>
        <w:rPr>
          <w:color w:val="auto"/>
        </w:rPr>
      </w:pPr>
    </w:p>
    <w:p w14:paraId="192B8425">
      <w:pPr>
        <w:pStyle w:val="22"/>
        <w:ind w:left="486" w:firstLine="486"/>
        <w:rPr>
          <w:color w:val="auto"/>
        </w:rPr>
      </w:pPr>
    </w:p>
    <w:p w14:paraId="0EA538B0">
      <w:pPr>
        <w:pStyle w:val="22"/>
        <w:ind w:left="486" w:firstLine="486"/>
        <w:rPr>
          <w:color w:val="auto"/>
        </w:rPr>
      </w:pPr>
    </w:p>
    <w:p w14:paraId="73A2DF4C">
      <w:pPr>
        <w:pStyle w:val="22"/>
        <w:ind w:left="486" w:firstLine="486"/>
        <w:rPr>
          <w:color w:val="auto"/>
        </w:rPr>
      </w:pPr>
    </w:p>
    <w:p w14:paraId="4818AE9B">
      <w:pPr>
        <w:pStyle w:val="22"/>
        <w:ind w:left="486" w:firstLine="486"/>
        <w:rPr>
          <w:color w:val="auto"/>
        </w:rPr>
      </w:pPr>
    </w:p>
    <w:p w14:paraId="7CA7109D">
      <w:pPr>
        <w:pStyle w:val="22"/>
        <w:ind w:left="486" w:firstLine="486"/>
        <w:rPr>
          <w:color w:val="auto"/>
        </w:rPr>
      </w:pPr>
    </w:p>
    <w:p w14:paraId="63E45385">
      <w:pPr>
        <w:pStyle w:val="22"/>
        <w:ind w:left="486" w:firstLine="486"/>
        <w:rPr>
          <w:color w:val="auto"/>
        </w:rPr>
      </w:pPr>
    </w:p>
    <w:p w14:paraId="2D88E4D7">
      <w:pPr>
        <w:pStyle w:val="22"/>
        <w:ind w:left="486" w:firstLine="486"/>
        <w:rPr>
          <w:color w:val="auto"/>
        </w:rPr>
      </w:pPr>
    </w:p>
    <w:p w14:paraId="7EAC63D1">
      <w:pPr>
        <w:pStyle w:val="22"/>
        <w:ind w:left="486" w:firstLine="486"/>
        <w:rPr>
          <w:color w:val="auto"/>
        </w:rPr>
      </w:pPr>
    </w:p>
    <w:p w14:paraId="2D1018D5">
      <w:pPr>
        <w:pStyle w:val="22"/>
        <w:ind w:left="486" w:firstLine="486"/>
        <w:rPr>
          <w:color w:val="auto"/>
        </w:rPr>
      </w:pPr>
    </w:p>
    <w:p w14:paraId="2ED5455B">
      <w:pPr>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第二部分</w:t>
      </w:r>
      <w:r>
        <w:rPr>
          <w:rFonts w:hint="eastAsia" w:ascii="仿宋" w:hAnsi="仿宋" w:eastAsia="仿宋" w:cs="仿宋"/>
          <w:b/>
          <w:bCs/>
          <w:color w:val="auto"/>
          <w:sz w:val="36"/>
          <w:szCs w:val="36"/>
          <w:lang w:eastAsia="zh-CN"/>
        </w:rPr>
        <w:t xml:space="preserve"> </w:t>
      </w:r>
      <w:r>
        <w:rPr>
          <w:rFonts w:hint="eastAsia" w:ascii="仿宋" w:hAnsi="仿宋" w:eastAsia="仿宋" w:cs="仿宋"/>
          <w:b/>
          <w:bCs/>
          <w:color w:val="auto"/>
          <w:sz w:val="36"/>
          <w:szCs w:val="36"/>
        </w:rPr>
        <w:t>供应商须知</w:t>
      </w:r>
    </w:p>
    <w:p w14:paraId="698750DF">
      <w:pPr>
        <w:spacing w:line="400" w:lineRule="exact"/>
        <w:ind w:firstLine="566" w:firstLineChars="200"/>
        <w:jc w:val="center"/>
        <w:rPr>
          <w:rFonts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3"/>
        <w:tblW w:w="9365" w:type="dxa"/>
        <w:jc w:val="center"/>
        <w:tblLayout w:type="fixed"/>
        <w:tblCellMar>
          <w:top w:w="0" w:type="dxa"/>
          <w:left w:w="108" w:type="dxa"/>
          <w:bottom w:w="0" w:type="dxa"/>
          <w:right w:w="108" w:type="dxa"/>
        </w:tblCellMar>
      </w:tblPr>
      <w:tblGrid>
        <w:gridCol w:w="558"/>
        <w:gridCol w:w="1691"/>
        <w:gridCol w:w="7116"/>
      </w:tblGrid>
      <w:tr w14:paraId="5AB10CF2">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7C78E2A">
            <w:pPr>
              <w:widowControl/>
              <w:spacing w:line="334" w:lineRule="exact"/>
              <w:jc w:val="center"/>
              <w:rPr>
                <w:rFonts w:ascii="仿宋" w:hAnsi="仿宋" w:eastAsia="仿宋" w:cs="仿宋"/>
                <w:b/>
                <w:color w:val="auto"/>
              </w:rPr>
            </w:pPr>
            <w:r>
              <w:rPr>
                <w:rFonts w:hint="eastAsia" w:ascii="仿宋" w:hAnsi="仿宋" w:eastAsia="仿宋" w:cs="仿宋"/>
                <w:b/>
                <w:color w:val="auto"/>
              </w:rPr>
              <w:t>序 号</w:t>
            </w:r>
          </w:p>
        </w:tc>
        <w:tc>
          <w:tcPr>
            <w:tcW w:w="1691" w:type="dxa"/>
            <w:tcBorders>
              <w:top w:val="single" w:color="auto" w:sz="4" w:space="0"/>
              <w:left w:val="single" w:color="auto" w:sz="4" w:space="0"/>
              <w:bottom w:val="single" w:color="auto" w:sz="4" w:space="0"/>
              <w:right w:val="single" w:color="auto" w:sz="4" w:space="0"/>
            </w:tcBorders>
            <w:vAlign w:val="center"/>
          </w:tcPr>
          <w:p w14:paraId="5AA1652C">
            <w:pPr>
              <w:widowControl/>
              <w:spacing w:line="334" w:lineRule="exact"/>
              <w:jc w:val="center"/>
              <w:rPr>
                <w:rFonts w:ascii="仿宋" w:hAnsi="仿宋" w:eastAsia="仿宋" w:cs="仿宋"/>
                <w:b/>
                <w:color w:val="auto"/>
              </w:rPr>
            </w:pPr>
            <w:r>
              <w:rPr>
                <w:rFonts w:hint="eastAsia" w:ascii="仿宋" w:hAnsi="仿宋" w:eastAsia="仿宋" w:cs="仿宋"/>
                <w:b/>
                <w:color w:val="auto"/>
              </w:rPr>
              <w:t>名  称</w:t>
            </w:r>
          </w:p>
        </w:tc>
        <w:tc>
          <w:tcPr>
            <w:tcW w:w="7116" w:type="dxa"/>
            <w:tcBorders>
              <w:top w:val="single" w:color="auto" w:sz="4" w:space="0"/>
              <w:left w:val="single" w:color="auto" w:sz="4" w:space="0"/>
              <w:bottom w:val="single" w:color="auto" w:sz="4" w:space="0"/>
              <w:right w:val="single" w:color="auto" w:sz="4" w:space="0"/>
            </w:tcBorders>
            <w:vAlign w:val="center"/>
          </w:tcPr>
          <w:p w14:paraId="3F08DD5A">
            <w:pPr>
              <w:widowControl/>
              <w:spacing w:line="334" w:lineRule="exact"/>
              <w:jc w:val="center"/>
              <w:rPr>
                <w:rFonts w:ascii="仿宋" w:hAnsi="仿宋" w:eastAsia="仿宋" w:cs="仿宋"/>
                <w:b/>
                <w:color w:val="auto"/>
              </w:rPr>
            </w:pPr>
            <w:r>
              <w:rPr>
                <w:rFonts w:hint="eastAsia" w:ascii="仿宋" w:hAnsi="仿宋" w:eastAsia="仿宋" w:cs="仿宋"/>
                <w:b/>
                <w:color w:val="auto"/>
              </w:rPr>
              <w:t>编  列  内  容</w:t>
            </w:r>
          </w:p>
        </w:tc>
      </w:tr>
      <w:tr w14:paraId="61A41ADF">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8750D5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14:paraId="39EB84D0">
            <w:pPr>
              <w:pStyle w:val="31"/>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14:paraId="2E41A663">
            <w:pPr>
              <w:pStyle w:val="31"/>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14:paraId="6C6BBBE0">
            <w:pPr>
              <w:pStyle w:val="31"/>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14:paraId="46375CE5">
            <w:pPr>
              <w:pStyle w:val="31"/>
              <w:ind w:firstLine="0"/>
              <w:jc w:val="center"/>
              <w:rPr>
                <w:rFonts w:ascii="仿宋" w:hAnsi="仿宋" w:eastAsia="仿宋" w:cs="仿宋"/>
                <w:color w:val="auto"/>
                <w:lang w:eastAsia="zh-CN"/>
              </w:rPr>
            </w:pPr>
            <w:r>
              <w:rPr>
                <w:rFonts w:hint="eastAsia" w:ascii="仿宋" w:hAnsi="仿宋" w:eastAsia="仿宋" w:cs="仿宋"/>
                <w:color w:val="auto"/>
                <w:lang w:eastAsia="zh-CN"/>
              </w:rPr>
              <w:t>服务期：</w:t>
            </w:r>
          </w:p>
        </w:tc>
        <w:tc>
          <w:tcPr>
            <w:tcW w:w="7116" w:type="dxa"/>
            <w:tcBorders>
              <w:top w:val="single" w:color="auto" w:sz="4" w:space="0"/>
              <w:left w:val="single" w:color="auto" w:sz="4" w:space="0"/>
              <w:bottom w:val="single" w:color="auto" w:sz="4" w:space="0"/>
              <w:right w:val="single" w:color="auto" w:sz="4" w:space="0"/>
            </w:tcBorders>
            <w:vAlign w:val="center"/>
          </w:tcPr>
          <w:p w14:paraId="2613B10B">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项目名称：</w:t>
            </w:r>
            <w:r>
              <w:rPr>
                <w:rFonts w:hint="eastAsia" w:ascii="仿宋" w:hAnsi="仿宋" w:eastAsia="仿宋" w:cs="仿宋"/>
                <w:color w:val="auto"/>
                <w:lang w:val="en-US" w:eastAsia="zh-CN"/>
              </w:rPr>
              <w:t>阿合奇县政府购买社会救助服务示范项目</w:t>
            </w:r>
          </w:p>
          <w:p w14:paraId="2A770381">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项目编号：AHQXZB</w:t>
            </w:r>
            <w:r>
              <w:rPr>
                <w:rFonts w:hint="eastAsia" w:ascii="仿宋" w:hAnsi="仿宋" w:eastAsia="仿宋" w:cs="仿宋"/>
                <w:color w:val="auto"/>
                <w:lang w:val="en-US" w:eastAsia="zh-CN"/>
              </w:rPr>
              <w:t>-2025016</w:t>
            </w:r>
          </w:p>
          <w:p w14:paraId="2CF618AF">
            <w:pPr>
              <w:spacing w:line="360" w:lineRule="auto"/>
              <w:rPr>
                <w:rFonts w:ascii="仿宋" w:hAnsi="仿宋" w:eastAsia="仿宋" w:cs="仿宋"/>
                <w:color w:val="auto"/>
                <w:lang w:eastAsia="zh-CN"/>
              </w:rPr>
            </w:pPr>
            <w:r>
              <w:rPr>
                <w:rFonts w:hint="eastAsia" w:ascii="仿宋" w:hAnsi="仿宋" w:eastAsia="仿宋" w:cs="仿宋"/>
                <w:color w:val="auto"/>
                <w:lang w:eastAsia="zh-CN"/>
              </w:rPr>
              <w:t>采购内容：政府购买社会救助事务性服务；（具体详见服务需求)</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w:t>
            </w:r>
          </w:p>
          <w:p w14:paraId="0CF630B8">
            <w:pPr>
              <w:spacing w:line="360" w:lineRule="auto"/>
              <w:rPr>
                <w:rFonts w:ascii="仿宋" w:hAnsi="仿宋" w:eastAsia="仿宋" w:cs="仿宋"/>
                <w:color w:val="auto"/>
                <w:lang w:eastAsia="zh-CN"/>
              </w:rPr>
            </w:pPr>
            <w:r>
              <w:rPr>
                <w:rFonts w:hint="eastAsia" w:ascii="仿宋" w:hAnsi="仿宋" w:eastAsia="仿宋" w:cs="仿宋"/>
                <w:color w:val="auto"/>
                <w:lang w:eastAsia="zh-CN"/>
              </w:rPr>
              <w:t>服务期：</w:t>
            </w:r>
            <w:r>
              <w:rPr>
                <w:rFonts w:hint="eastAsia" w:ascii="仿宋" w:hAnsi="仿宋" w:eastAsia="仿宋" w:cs="仿宋"/>
                <w:color w:val="auto"/>
                <w:lang w:val="en-US" w:eastAsia="zh-CN"/>
              </w:rPr>
              <w:t>合同签订之日起一年；（具体以签订合同为准）。</w:t>
            </w:r>
          </w:p>
        </w:tc>
      </w:tr>
      <w:tr w14:paraId="1F250DCB">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F9F27D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1691" w:type="dxa"/>
            <w:tcBorders>
              <w:top w:val="single" w:color="auto" w:sz="4" w:space="0"/>
              <w:left w:val="single" w:color="auto" w:sz="4" w:space="0"/>
              <w:bottom w:val="single" w:color="auto" w:sz="4" w:space="0"/>
              <w:right w:val="single" w:color="auto" w:sz="4" w:space="0"/>
            </w:tcBorders>
            <w:vAlign w:val="center"/>
          </w:tcPr>
          <w:p w14:paraId="2737A354">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116" w:type="dxa"/>
            <w:tcBorders>
              <w:top w:val="single" w:color="auto" w:sz="4" w:space="0"/>
              <w:left w:val="single" w:color="auto" w:sz="4" w:space="0"/>
              <w:bottom w:val="single" w:color="auto" w:sz="4" w:space="0"/>
              <w:right w:val="single" w:color="auto" w:sz="4" w:space="0"/>
            </w:tcBorders>
            <w:vAlign w:val="center"/>
          </w:tcPr>
          <w:p w14:paraId="4883FC93">
            <w:pPr>
              <w:spacing w:line="360" w:lineRule="auto"/>
              <w:rPr>
                <w:rFonts w:ascii="仿宋" w:hAnsi="仿宋" w:eastAsia="仿宋" w:cs="仿宋"/>
                <w:color w:val="auto"/>
                <w:lang w:eastAsia="zh-CN"/>
              </w:rPr>
            </w:pPr>
            <w:r>
              <w:rPr>
                <w:rFonts w:hint="eastAsia" w:ascii="仿宋" w:hAnsi="仿宋" w:eastAsia="仿宋" w:cs="仿宋"/>
                <w:color w:val="auto"/>
                <w:lang w:eastAsia="zh-CN"/>
              </w:rPr>
              <w:t>名  称：</w:t>
            </w:r>
            <w:r>
              <w:rPr>
                <w:rFonts w:hint="eastAsia" w:ascii="仿宋" w:hAnsi="仿宋" w:eastAsia="仿宋" w:cs="仿宋"/>
                <w:color w:val="auto"/>
                <w:lang w:val="en-US" w:eastAsia="zh-CN"/>
              </w:rPr>
              <w:t>阿合奇县民政</w:t>
            </w:r>
            <w:r>
              <w:rPr>
                <w:rFonts w:hint="eastAsia" w:ascii="仿宋" w:hAnsi="仿宋" w:eastAsia="仿宋" w:cs="仿宋"/>
                <w:color w:val="auto"/>
                <w:lang w:eastAsia="zh-CN"/>
              </w:rPr>
              <w:t>局</w:t>
            </w:r>
          </w:p>
          <w:p w14:paraId="0B1BA224">
            <w:pPr>
              <w:spacing w:line="360" w:lineRule="auto"/>
              <w:rPr>
                <w:rFonts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张先生</w:t>
            </w:r>
            <w:r>
              <w:rPr>
                <w:rFonts w:hint="eastAsia" w:ascii="仿宋" w:hAnsi="仿宋" w:eastAsia="仿宋" w:cs="仿宋"/>
                <w:color w:val="auto"/>
                <w:lang w:eastAsia="zh-CN"/>
              </w:rPr>
              <w:t xml:space="preserve">    电  话： </w:t>
            </w:r>
            <w:r>
              <w:rPr>
                <w:rFonts w:hint="eastAsia" w:ascii="仿宋" w:hAnsi="仿宋" w:eastAsia="仿宋" w:cs="仿宋"/>
                <w:color w:val="auto"/>
                <w:lang w:val="en-US" w:eastAsia="zh-CN"/>
              </w:rPr>
              <w:t>18997860315</w:t>
            </w:r>
            <w:r>
              <w:rPr>
                <w:rFonts w:hint="eastAsia" w:ascii="仿宋" w:hAnsi="仿宋" w:eastAsia="仿宋" w:cs="仿宋"/>
                <w:color w:val="auto"/>
                <w:lang w:eastAsia="zh-CN"/>
              </w:rPr>
              <w:t xml:space="preserve"> </w:t>
            </w:r>
          </w:p>
        </w:tc>
      </w:tr>
      <w:tr w14:paraId="698905EF">
        <w:tblPrEx>
          <w:tblCellMar>
            <w:top w:w="0" w:type="dxa"/>
            <w:left w:w="108" w:type="dxa"/>
            <w:bottom w:w="0" w:type="dxa"/>
            <w:right w:w="108" w:type="dxa"/>
          </w:tblCellMar>
        </w:tblPrEx>
        <w:trPr>
          <w:trHeight w:val="12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4FB343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3</w:t>
            </w:r>
          </w:p>
        </w:tc>
        <w:tc>
          <w:tcPr>
            <w:tcW w:w="1691" w:type="dxa"/>
            <w:tcBorders>
              <w:top w:val="single" w:color="auto" w:sz="4" w:space="0"/>
              <w:left w:val="single" w:color="auto" w:sz="4" w:space="0"/>
              <w:bottom w:val="single" w:color="auto" w:sz="4" w:space="0"/>
              <w:right w:val="single" w:color="auto" w:sz="4" w:space="0"/>
            </w:tcBorders>
            <w:vAlign w:val="center"/>
          </w:tcPr>
          <w:p w14:paraId="57CFA8E8">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采购代理机构</w:t>
            </w:r>
          </w:p>
        </w:tc>
        <w:tc>
          <w:tcPr>
            <w:tcW w:w="7116" w:type="dxa"/>
            <w:tcBorders>
              <w:top w:val="single" w:color="auto" w:sz="4" w:space="0"/>
              <w:left w:val="single" w:color="auto" w:sz="4" w:space="0"/>
              <w:bottom w:val="single" w:color="auto" w:sz="4" w:space="0"/>
              <w:right w:val="single" w:color="auto" w:sz="4" w:space="0"/>
            </w:tcBorders>
            <w:vAlign w:val="center"/>
          </w:tcPr>
          <w:p w14:paraId="40488D91">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名 称：阿合奇县新越项目咨询有限责任公司　　　　　　　　   　</w:t>
            </w:r>
          </w:p>
          <w:p w14:paraId="76E8E0DA">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地 址：阿合奇县交通局4楼  　</w:t>
            </w:r>
          </w:p>
          <w:p w14:paraId="734D9121">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联系方式：银先生　18809088695</w:t>
            </w:r>
          </w:p>
        </w:tc>
      </w:tr>
      <w:tr w14:paraId="511228C1">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7C8380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14:paraId="42D383E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服务地点</w:t>
            </w:r>
          </w:p>
        </w:tc>
        <w:tc>
          <w:tcPr>
            <w:tcW w:w="7116" w:type="dxa"/>
            <w:tcBorders>
              <w:top w:val="single" w:color="auto" w:sz="4" w:space="0"/>
              <w:left w:val="single" w:color="auto" w:sz="4" w:space="0"/>
              <w:bottom w:val="single" w:color="auto" w:sz="4" w:space="0"/>
              <w:right w:val="single" w:color="auto" w:sz="4" w:space="0"/>
            </w:tcBorders>
            <w:vAlign w:val="center"/>
          </w:tcPr>
          <w:p w14:paraId="2AFC7A82">
            <w:pPr>
              <w:spacing w:line="360" w:lineRule="auto"/>
              <w:rPr>
                <w:rFonts w:ascii="仿宋" w:hAnsi="仿宋" w:eastAsia="仿宋" w:cs="仿宋"/>
                <w:color w:val="auto"/>
                <w:lang w:eastAsia="zh-CN"/>
              </w:rPr>
            </w:pPr>
            <w:r>
              <w:rPr>
                <w:rFonts w:hint="eastAsia" w:ascii="仿宋" w:hAnsi="仿宋" w:eastAsia="仿宋" w:cs="仿宋"/>
                <w:color w:val="auto"/>
                <w:lang w:eastAsia="zh-CN"/>
              </w:rPr>
              <w:t>采购单位指定地点</w:t>
            </w:r>
          </w:p>
        </w:tc>
      </w:tr>
      <w:tr w14:paraId="0E1EA802">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C87C4F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5</w:t>
            </w:r>
          </w:p>
        </w:tc>
        <w:tc>
          <w:tcPr>
            <w:tcW w:w="1691" w:type="dxa"/>
            <w:tcBorders>
              <w:top w:val="single" w:color="auto" w:sz="4" w:space="0"/>
              <w:left w:val="single" w:color="auto" w:sz="4" w:space="0"/>
              <w:bottom w:val="single" w:color="auto" w:sz="4" w:space="0"/>
              <w:right w:val="single" w:color="auto" w:sz="4" w:space="0"/>
            </w:tcBorders>
            <w:vAlign w:val="center"/>
          </w:tcPr>
          <w:p w14:paraId="52ABA04E">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116" w:type="dxa"/>
            <w:tcBorders>
              <w:top w:val="single" w:color="auto" w:sz="4" w:space="0"/>
              <w:left w:val="single" w:color="auto" w:sz="4" w:space="0"/>
              <w:bottom w:val="single" w:color="auto" w:sz="4" w:space="0"/>
              <w:right w:val="single" w:color="auto" w:sz="4" w:space="0"/>
            </w:tcBorders>
            <w:vAlign w:val="center"/>
          </w:tcPr>
          <w:p w14:paraId="0FAFB025">
            <w:pPr>
              <w:spacing w:line="360"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14:paraId="44CD00AA">
            <w:pPr>
              <w:spacing w:line="360" w:lineRule="auto"/>
              <w:rPr>
                <w:rFonts w:ascii="仿宋" w:hAnsi="仿宋" w:eastAsia="仿宋" w:cs="仿宋"/>
                <w:color w:val="auto"/>
                <w:lang w:eastAsia="zh-CN"/>
              </w:rPr>
            </w:pPr>
            <w:r>
              <w:rPr>
                <w:rFonts w:hint="eastAsia" w:ascii="仿宋" w:hAnsi="仿宋" w:eastAsia="仿宋" w:cs="仿宋"/>
                <w:color w:val="auto"/>
                <w:lang w:eastAsia="zh-CN"/>
              </w:rPr>
              <w:t>2.落实政府采购政策需满足的资格要求：</w:t>
            </w:r>
            <w:r>
              <w:rPr>
                <w:rFonts w:hint="eastAsia" w:ascii="仿宋" w:hAnsi="仿宋" w:eastAsia="仿宋" w:cs="仿宋"/>
                <w:color w:val="auto"/>
                <w:lang w:val="en-US" w:eastAsia="zh-CN"/>
              </w:rPr>
              <w:t>供应商为</w:t>
            </w:r>
            <w:r>
              <w:rPr>
                <w:rFonts w:hint="eastAsia" w:ascii="仿宋" w:hAnsi="仿宋" w:eastAsia="仿宋" w:cs="仿宋"/>
                <w:color w:val="auto"/>
                <w:lang w:eastAsia="zh-CN"/>
              </w:rPr>
              <w:t>中小企业。</w:t>
            </w:r>
          </w:p>
          <w:p w14:paraId="7D4EA12F">
            <w:pPr>
              <w:spacing w:line="360" w:lineRule="auto"/>
              <w:rPr>
                <w:rFonts w:ascii="仿宋" w:hAnsi="仿宋" w:eastAsia="仿宋" w:cs="仿宋"/>
                <w:color w:val="auto"/>
                <w:lang w:eastAsia="zh-CN"/>
              </w:rPr>
            </w:pPr>
            <w:r>
              <w:rPr>
                <w:rFonts w:hint="eastAsia" w:ascii="仿宋" w:hAnsi="仿宋" w:eastAsia="仿宋" w:cs="仿宋"/>
                <w:color w:val="auto"/>
                <w:lang w:eastAsia="zh-CN"/>
              </w:rPr>
              <w:t>3.本项目的特定资格要求：</w:t>
            </w:r>
          </w:p>
          <w:p w14:paraId="188F95D1">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（1)具备三证合一营业执照副本</w:t>
            </w:r>
            <w:r>
              <w:rPr>
                <w:rFonts w:hint="eastAsia" w:ascii="仿宋" w:hAnsi="仿宋" w:eastAsia="仿宋" w:cs="仿宋"/>
                <w:color w:val="auto"/>
                <w:lang w:val="en-US" w:eastAsia="zh-CN"/>
              </w:rPr>
              <w:t>或依法在民政部门登记的社会组织</w:t>
            </w:r>
            <w:r>
              <w:rPr>
                <w:rFonts w:hint="eastAsia" w:ascii="仿宋" w:hAnsi="仿宋" w:eastAsia="仿宋" w:cs="仿宋"/>
                <w:color w:val="auto"/>
                <w:lang w:eastAsia="zh-CN"/>
              </w:rPr>
              <w:t>；</w:t>
            </w:r>
          </w:p>
          <w:p w14:paraId="0F76580D">
            <w:pPr>
              <w:spacing w:line="360" w:lineRule="auto"/>
              <w:ind w:firstLine="243" w:firstLineChars="100"/>
              <w:rPr>
                <w:rFonts w:hint="eastAsia" w:ascii="仿宋" w:hAnsi="仿宋" w:eastAsia="仿宋" w:cs="仿宋"/>
                <w:color w:val="auto"/>
                <w:lang w:eastAsia="zh-CN"/>
              </w:rPr>
            </w:pPr>
            <w:r>
              <w:rPr>
                <w:rFonts w:hint="eastAsia" w:ascii="仿宋" w:hAnsi="仿宋" w:eastAsia="仿宋" w:cs="仿宋"/>
                <w:color w:val="auto"/>
                <w:lang w:eastAsia="zh-CN"/>
              </w:rPr>
              <w:t>（2)法定代表人参加提供法定代表人证明书，委托代理人参加提供法人代表授权委托书；</w:t>
            </w:r>
          </w:p>
          <w:p w14:paraId="2EC89D70">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（3)参加采购活动前三年内，在经营活动中没有重大违法记录，供应商须提供 “信用中国”网站（http://www.creditchina.gov.cn/）、“中国政府采购网”网站（http://www.ccgp.gov.cn）无违法违规行为的查询纪录。</w:t>
            </w:r>
          </w:p>
          <w:p w14:paraId="7E6A20EB">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4</w:t>
            </w:r>
            <w:r>
              <w:rPr>
                <w:rFonts w:hint="eastAsia" w:ascii="仿宋" w:hAnsi="仿宋" w:eastAsia="仿宋" w:cs="仿宋"/>
                <w:color w:val="auto"/>
                <w:lang w:eastAsia="zh-CN"/>
              </w:rPr>
              <w:t>）投标企业须提供供应商（被授权本单位在职人员）近6个月内任意1个月的有效社保证明。</w:t>
            </w:r>
          </w:p>
          <w:p w14:paraId="280FCD35">
            <w:pPr>
              <w:spacing w:line="360" w:lineRule="auto"/>
              <w:rPr>
                <w:rFonts w:ascii="仿宋" w:hAnsi="仿宋" w:eastAsia="仿宋" w:cs="仿宋"/>
                <w:color w:val="auto"/>
                <w:lang w:eastAsia="zh-CN"/>
              </w:rPr>
            </w:pPr>
            <w:r>
              <w:rPr>
                <w:rFonts w:hint="eastAsia" w:ascii="仿宋" w:hAnsi="仿宋" w:eastAsia="仿宋" w:cs="仿宋"/>
                <w:color w:val="auto"/>
                <w:lang w:eastAsia="zh-CN"/>
              </w:rPr>
              <w:t>4.本项目不接受联合体投标；</w:t>
            </w:r>
          </w:p>
        </w:tc>
      </w:tr>
      <w:tr w14:paraId="26DAC1AB">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6F3583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6</w:t>
            </w:r>
          </w:p>
        </w:tc>
        <w:tc>
          <w:tcPr>
            <w:tcW w:w="1691" w:type="dxa"/>
            <w:tcBorders>
              <w:top w:val="single" w:color="auto" w:sz="4" w:space="0"/>
              <w:left w:val="single" w:color="auto" w:sz="4" w:space="0"/>
              <w:bottom w:val="single" w:color="auto" w:sz="4" w:space="0"/>
              <w:right w:val="single" w:color="auto" w:sz="4" w:space="0"/>
            </w:tcBorders>
            <w:vAlign w:val="center"/>
          </w:tcPr>
          <w:p w14:paraId="78A7516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资金来源</w:t>
            </w:r>
          </w:p>
        </w:tc>
        <w:tc>
          <w:tcPr>
            <w:tcW w:w="7116" w:type="dxa"/>
            <w:tcBorders>
              <w:top w:val="single" w:color="auto" w:sz="4" w:space="0"/>
              <w:left w:val="single" w:color="auto" w:sz="4" w:space="0"/>
              <w:bottom w:val="single" w:color="auto" w:sz="4" w:space="0"/>
              <w:right w:val="single" w:color="auto" w:sz="4" w:space="0"/>
            </w:tcBorders>
            <w:vAlign w:val="center"/>
          </w:tcPr>
          <w:p w14:paraId="0E0F2D1A">
            <w:pPr>
              <w:spacing w:line="360" w:lineRule="auto"/>
              <w:rPr>
                <w:rFonts w:ascii="仿宋" w:hAnsi="仿宋" w:eastAsia="仿宋" w:cs="仿宋"/>
                <w:color w:val="auto"/>
                <w:lang w:eastAsia="zh-CN"/>
              </w:rPr>
            </w:pPr>
            <w:r>
              <w:rPr>
                <w:rFonts w:hint="eastAsia" w:ascii="仿宋" w:hAnsi="仿宋" w:eastAsia="仿宋" w:cs="仿宋"/>
                <w:color w:val="auto"/>
                <w:lang w:eastAsia="zh-CN"/>
              </w:rPr>
              <w:t>财政资金</w:t>
            </w:r>
          </w:p>
        </w:tc>
      </w:tr>
      <w:tr w14:paraId="4DD89697">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23D8D8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7</w:t>
            </w:r>
          </w:p>
        </w:tc>
        <w:tc>
          <w:tcPr>
            <w:tcW w:w="1691" w:type="dxa"/>
            <w:tcBorders>
              <w:top w:val="single" w:color="auto" w:sz="4" w:space="0"/>
              <w:left w:val="single" w:color="auto" w:sz="4" w:space="0"/>
              <w:bottom w:val="single" w:color="auto" w:sz="4" w:space="0"/>
              <w:right w:val="single" w:color="auto" w:sz="4" w:space="0"/>
            </w:tcBorders>
            <w:vAlign w:val="center"/>
          </w:tcPr>
          <w:p w14:paraId="29AD1B6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116" w:type="dxa"/>
            <w:tcBorders>
              <w:top w:val="single" w:color="auto" w:sz="4" w:space="0"/>
              <w:left w:val="single" w:color="auto" w:sz="4" w:space="0"/>
              <w:bottom w:val="single" w:color="auto" w:sz="4" w:space="0"/>
              <w:right w:val="single" w:color="auto" w:sz="4" w:space="0"/>
            </w:tcBorders>
            <w:vAlign w:val="center"/>
          </w:tcPr>
          <w:p w14:paraId="3E4AD6A1">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竞争性磋商(本项目采用网上电子招投标)  </w:t>
            </w:r>
          </w:p>
        </w:tc>
      </w:tr>
      <w:tr w14:paraId="13A6E416">
        <w:tblPrEx>
          <w:tblCellMar>
            <w:top w:w="0" w:type="dxa"/>
            <w:left w:w="108" w:type="dxa"/>
            <w:bottom w:w="0" w:type="dxa"/>
            <w:right w:w="108" w:type="dxa"/>
          </w:tblCellMar>
        </w:tblPrEx>
        <w:trPr>
          <w:trHeight w:val="484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523B11D">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8</w:t>
            </w:r>
          </w:p>
        </w:tc>
        <w:tc>
          <w:tcPr>
            <w:tcW w:w="1691" w:type="dxa"/>
            <w:tcBorders>
              <w:top w:val="single" w:color="auto" w:sz="4" w:space="0"/>
              <w:left w:val="single" w:color="auto" w:sz="4" w:space="0"/>
              <w:bottom w:val="single" w:color="auto" w:sz="4" w:space="0"/>
              <w:right w:val="single" w:color="auto" w:sz="4" w:space="0"/>
            </w:tcBorders>
            <w:vAlign w:val="center"/>
          </w:tcPr>
          <w:p w14:paraId="35D85478">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116" w:type="dxa"/>
            <w:tcBorders>
              <w:top w:val="single" w:color="auto" w:sz="4" w:space="0"/>
              <w:left w:val="single" w:color="auto" w:sz="4" w:space="0"/>
              <w:bottom w:val="single" w:color="auto" w:sz="4" w:space="0"/>
              <w:right w:val="single" w:color="auto" w:sz="4" w:space="0"/>
            </w:tcBorders>
            <w:vAlign w:val="center"/>
          </w:tcPr>
          <w:p w14:paraId="51CC2522">
            <w:pPr>
              <w:spacing w:line="360"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14:paraId="67E61197">
            <w:pPr>
              <w:spacing w:line="360"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14:paraId="38752B29">
            <w:pPr>
              <w:spacing w:line="360"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14:paraId="718A678E">
            <w:pPr>
              <w:spacing w:line="360"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E90E2DF">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F5252DD">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14:paraId="3E2EC6F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116" w:type="dxa"/>
            <w:tcBorders>
              <w:top w:val="single" w:color="auto" w:sz="4" w:space="0"/>
              <w:left w:val="single" w:color="auto" w:sz="4" w:space="0"/>
              <w:bottom w:val="single" w:color="auto" w:sz="4" w:space="0"/>
              <w:right w:val="single" w:color="auto" w:sz="4" w:space="0"/>
            </w:tcBorders>
            <w:vAlign w:val="center"/>
          </w:tcPr>
          <w:p w14:paraId="147D9E91">
            <w:pPr>
              <w:spacing w:line="360" w:lineRule="auto"/>
              <w:rPr>
                <w:rFonts w:ascii="仿宋" w:hAnsi="仿宋" w:eastAsia="仿宋" w:cs="仿宋"/>
                <w:color w:val="auto"/>
                <w:lang w:eastAsia="zh-CN"/>
              </w:rPr>
            </w:pPr>
            <w:r>
              <w:rPr>
                <w:rFonts w:hint="eastAsia" w:ascii="仿宋" w:hAnsi="仿宋" w:eastAsia="仿宋" w:cs="仿宋"/>
                <w:color w:val="auto"/>
                <w:lang w:eastAsia="zh-CN"/>
              </w:rPr>
              <w:sym w:font="Wingdings" w:char="00FE"/>
            </w:r>
            <w:r>
              <w:rPr>
                <w:rFonts w:hint="eastAsia" w:ascii="仿宋" w:hAnsi="仿宋" w:eastAsia="仿宋" w:cs="仿宋"/>
                <w:color w:val="auto"/>
                <w:lang w:eastAsia="zh-CN"/>
              </w:rPr>
              <w:t>不接受</w:t>
            </w:r>
          </w:p>
          <w:p w14:paraId="12694578">
            <w:pPr>
              <w:spacing w:line="360"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14:paraId="1090EECB">
        <w:tblPrEx>
          <w:tblCellMar>
            <w:top w:w="0" w:type="dxa"/>
            <w:left w:w="108" w:type="dxa"/>
            <w:bottom w:w="0" w:type="dxa"/>
            <w:right w:w="108" w:type="dxa"/>
          </w:tblCellMar>
        </w:tblPrEx>
        <w:trPr>
          <w:trHeight w:val="110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28B477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10</w:t>
            </w:r>
          </w:p>
        </w:tc>
        <w:tc>
          <w:tcPr>
            <w:tcW w:w="1691" w:type="dxa"/>
            <w:tcBorders>
              <w:top w:val="single" w:color="auto" w:sz="4" w:space="0"/>
              <w:left w:val="single" w:color="auto" w:sz="4" w:space="0"/>
              <w:bottom w:val="single" w:color="auto" w:sz="4" w:space="0"/>
              <w:right w:val="single" w:color="auto" w:sz="4" w:space="0"/>
            </w:tcBorders>
            <w:vAlign w:val="center"/>
          </w:tcPr>
          <w:p w14:paraId="0271A1C8">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116" w:type="dxa"/>
            <w:tcBorders>
              <w:top w:val="single" w:color="auto" w:sz="4" w:space="0"/>
              <w:left w:val="single" w:color="auto" w:sz="4" w:space="0"/>
              <w:bottom w:val="single" w:color="auto" w:sz="4" w:space="0"/>
              <w:right w:val="single" w:color="auto" w:sz="4" w:space="0"/>
            </w:tcBorders>
            <w:vAlign w:val="center"/>
          </w:tcPr>
          <w:p w14:paraId="3F6DC043">
            <w:pPr>
              <w:spacing w:line="360"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color w:val="auto"/>
                <w:kern w:val="2"/>
                <w:lang w:eastAsia="zh-CN" w:bidi="ar-SA"/>
              </w:rPr>
              <w:t>202</w:t>
            </w:r>
            <w:r>
              <w:rPr>
                <w:rFonts w:hint="eastAsia" w:ascii="仿宋" w:hAnsi="仿宋" w:eastAsia="仿宋" w:cs="仿宋"/>
                <w:color w:val="auto"/>
                <w:kern w:val="2"/>
                <w:lang w:val="en-US" w:eastAsia="zh-CN" w:bidi="ar-SA"/>
              </w:rPr>
              <w:t>5</w:t>
            </w:r>
            <w:r>
              <w:rPr>
                <w:rFonts w:hint="eastAsia" w:ascii="仿宋" w:hAnsi="仿宋" w:eastAsia="仿宋" w:cs="仿宋"/>
                <w:color w:val="auto"/>
                <w:kern w:val="2"/>
                <w:lang w:eastAsia="zh-CN" w:bidi="ar-SA"/>
              </w:rPr>
              <w:t>年</w:t>
            </w:r>
            <w:r>
              <w:rPr>
                <w:rFonts w:hint="eastAsia" w:ascii="仿宋" w:hAnsi="仿宋" w:eastAsia="仿宋" w:cs="仿宋"/>
                <w:color w:val="auto"/>
                <w:kern w:val="2"/>
                <w:lang w:val="en-US" w:eastAsia="zh-CN" w:bidi="ar-SA"/>
              </w:rPr>
              <w:t>7</w:t>
            </w:r>
            <w:r>
              <w:rPr>
                <w:rFonts w:hint="eastAsia" w:ascii="仿宋" w:hAnsi="仿宋" w:eastAsia="仿宋" w:cs="仿宋"/>
                <w:color w:val="auto"/>
                <w:kern w:val="2"/>
                <w:lang w:eastAsia="zh-CN" w:bidi="ar-SA"/>
              </w:rPr>
              <w:t>月</w:t>
            </w:r>
            <w:r>
              <w:rPr>
                <w:rFonts w:hint="eastAsia" w:ascii="仿宋" w:hAnsi="仿宋" w:eastAsia="仿宋" w:cs="仿宋"/>
                <w:color w:val="auto"/>
                <w:kern w:val="2"/>
                <w:u w:val="single"/>
                <w:lang w:val="en-US" w:eastAsia="zh-CN" w:bidi="ar-SA"/>
              </w:rPr>
              <w:t>25</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上午10时30分（北京时间）</w:t>
            </w:r>
          </w:p>
        </w:tc>
      </w:tr>
      <w:tr w14:paraId="3275C35D">
        <w:tblPrEx>
          <w:tblCellMar>
            <w:top w:w="0" w:type="dxa"/>
            <w:left w:w="108" w:type="dxa"/>
            <w:bottom w:w="0" w:type="dxa"/>
            <w:right w:w="108" w:type="dxa"/>
          </w:tblCellMar>
        </w:tblPrEx>
        <w:trPr>
          <w:trHeight w:val="67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4657E1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11</w:t>
            </w:r>
          </w:p>
        </w:tc>
        <w:tc>
          <w:tcPr>
            <w:tcW w:w="1691" w:type="dxa"/>
            <w:tcBorders>
              <w:top w:val="single" w:color="auto" w:sz="4" w:space="0"/>
              <w:left w:val="single" w:color="auto" w:sz="4" w:space="0"/>
              <w:bottom w:val="single" w:color="auto" w:sz="4" w:space="0"/>
              <w:right w:val="single" w:color="auto" w:sz="4" w:space="0"/>
            </w:tcBorders>
            <w:vAlign w:val="center"/>
          </w:tcPr>
          <w:p w14:paraId="40E5C67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116" w:type="dxa"/>
            <w:tcBorders>
              <w:top w:val="single" w:color="auto" w:sz="4" w:space="0"/>
              <w:left w:val="single" w:color="auto" w:sz="4" w:space="0"/>
              <w:bottom w:val="single" w:color="auto" w:sz="4" w:space="0"/>
              <w:right w:val="single" w:color="auto" w:sz="4" w:space="0"/>
            </w:tcBorders>
            <w:vAlign w:val="center"/>
          </w:tcPr>
          <w:p w14:paraId="567C6B5A">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60 天</w:t>
            </w:r>
          </w:p>
        </w:tc>
      </w:tr>
      <w:tr w14:paraId="383E9CD9">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EC030C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12</w:t>
            </w:r>
          </w:p>
        </w:tc>
        <w:tc>
          <w:tcPr>
            <w:tcW w:w="1691" w:type="dxa"/>
            <w:tcBorders>
              <w:top w:val="single" w:color="auto" w:sz="4" w:space="0"/>
              <w:left w:val="single" w:color="auto" w:sz="4" w:space="0"/>
              <w:bottom w:val="single" w:color="auto" w:sz="4" w:space="0"/>
              <w:right w:val="single" w:color="auto" w:sz="4" w:space="0"/>
            </w:tcBorders>
            <w:vAlign w:val="center"/>
          </w:tcPr>
          <w:p w14:paraId="166A4E8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116" w:type="dxa"/>
            <w:tcBorders>
              <w:top w:val="single" w:color="auto" w:sz="4" w:space="0"/>
              <w:left w:val="single" w:color="auto" w:sz="4" w:space="0"/>
              <w:bottom w:val="single" w:color="auto" w:sz="4" w:space="0"/>
              <w:right w:val="single" w:color="auto" w:sz="4" w:space="0"/>
            </w:tcBorders>
            <w:shd w:val="clear" w:color="auto" w:fill="auto"/>
            <w:vAlign w:val="center"/>
          </w:tcPr>
          <w:p w14:paraId="2230FCC2">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一、投标保证金缴纳要求：</w:t>
            </w:r>
          </w:p>
          <w:p w14:paraId="743B829E">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投标保证金应当以支票、汇票、本票、网上银行支付或者金融机构、担保机构出具的保函等非现金形式缴纳。</w:t>
            </w:r>
          </w:p>
          <w:p w14:paraId="42777808">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投标保证金金额：10000.00元     大写：壹万元整</w:t>
            </w:r>
          </w:p>
          <w:p w14:paraId="13AD4129">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 投标保证金缴纳要求：</w:t>
            </w:r>
          </w:p>
          <w:p w14:paraId="25BFF5DD">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1、投标保证金以电汇、网银等转账形式提交的，应在投标截止时间</w:t>
            </w:r>
            <w:r>
              <w:rPr>
                <w:rFonts w:hint="eastAsia" w:ascii="仿宋" w:hAnsi="仿宋" w:eastAsia="仿宋" w:cs="仿宋"/>
                <w:b w:val="0"/>
                <w:bCs w:val="0"/>
                <w:color w:val="auto"/>
                <w:sz w:val="24"/>
                <w:szCs w:val="24"/>
                <w:highlight w:val="none"/>
                <w:u w:val="single"/>
                <w:lang w:val="en-US" w:eastAsia="zh-CN"/>
              </w:rPr>
              <w:t xml:space="preserve"> 2025年7月25日 10:30(</w:t>
            </w:r>
            <w:r>
              <w:rPr>
                <w:rFonts w:hint="eastAsia" w:ascii="仿宋" w:hAnsi="仿宋" w:eastAsia="仿宋" w:cs="仿宋"/>
                <w:b w:val="0"/>
                <w:bCs w:val="0"/>
                <w:color w:val="auto"/>
                <w:sz w:val="24"/>
                <w:szCs w:val="24"/>
                <w:highlight w:val="none"/>
                <w:lang w:val="en-US" w:eastAsia="zh-CN"/>
              </w:rPr>
              <w:t>北京时间)前以总公司的基本账户一次性汇入指定账户(以到账时间为准)，不接受现金及任何个人汇款。汇款凭证作为该项目投标保证金的缴纳依据。2、投标保证金以保函等票据形式提交的，金融机构、担保机构出具的票据原件须扫描上传，标书内附有此票据。3、有效投标保证金成功交纳后，截止开标时间，供应商无正当理由不参加该项目投标且不递交弃标函，投标保证金不予退还.</w:t>
            </w:r>
          </w:p>
          <w:p w14:paraId="40AE276B">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户名 :阿合奇县政务服务和公共资源交易中心</w:t>
            </w:r>
          </w:p>
          <w:p w14:paraId="0A9C5D8F">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账号:30473101040008918</w:t>
            </w:r>
          </w:p>
          <w:p w14:paraId="46AE1F4F">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行名 :中国农业银行阿合奇县支行营业部</w:t>
            </w:r>
          </w:p>
          <w:p w14:paraId="066C7E18">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 :李女士</w:t>
            </w:r>
          </w:p>
          <w:p w14:paraId="76D73149">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电话:0908-5622028</w:t>
            </w:r>
          </w:p>
          <w:p w14:paraId="55AEC75B">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 :必须写清楚 xx 公司 xx 项目保证金)</w:t>
            </w:r>
          </w:p>
          <w:p w14:paraId="7B3BC9C3">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二、申请退还投标保证金资料(招投标结束中标结果公示后):</w:t>
            </w:r>
          </w:p>
          <w:p w14:paraId="32C1260A">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1、投标人 :待开标完成后，3 个工作日以内政资中心财务人员将收取得项目投标保证金按投标人基本户退回。</w:t>
            </w:r>
          </w:p>
          <w:p w14:paraId="356D0435">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2、中标人 :需提供已签订合同复印件一份(并携带合同原件，由中心工作人员核对后退还)。</w:t>
            </w:r>
          </w:p>
          <w:p w14:paraId="6C00B7A6">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三、其他特殊情况处理 :</w:t>
            </w:r>
          </w:p>
          <w:p w14:paraId="1088FAFB">
            <w:pPr>
              <w:numPr>
                <w:ilvl w:val="0"/>
                <w:numId w:val="0"/>
              </w:numPr>
              <w:shd w:val="clear" w:color="auto" w:fill="auto"/>
              <w:spacing w:line="360" w:lineRule="auto"/>
              <w:ind w:left="0" w:leftChars="0" w:firstLine="0" w:firstLineChars="0"/>
              <w:jc w:val="left"/>
              <w:rPr>
                <w:rFonts w:ascii="Times New Roman" w:hAnsi="Times New Roman" w:eastAsia="Times New Roman" w:cs="Times New Roman"/>
                <w:color w:val="auto"/>
                <w:sz w:val="24"/>
                <w:szCs w:val="24"/>
                <w:highlight w:val="none"/>
                <w:lang w:val="en-US" w:eastAsia="zh-CN" w:bidi="en-US"/>
              </w:rPr>
            </w:pPr>
            <w:r>
              <w:rPr>
                <w:rFonts w:hint="eastAsia" w:ascii="仿宋" w:hAnsi="仿宋" w:eastAsia="仿宋" w:cs="仿宋"/>
                <w:b w:val="0"/>
                <w:bCs w:val="0"/>
                <w:color w:val="auto"/>
                <w:sz w:val="24"/>
                <w:szCs w:val="24"/>
                <w:highlight w:val="none"/>
                <w:lang w:val="en-US" w:eastAsia="zh-CN"/>
              </w:rPr>
              <w:t xml:space="preserve">按照招标文件要求规定 :投标人无正当理由不参加该项目投标且在规定开标时间前不递交弃标函，投标保证金不予退还。                      </w:t>
            </w:r>
            <w:r>
              <w:rPr>
                <w:rFonts w:hint="eastAsia" w:ascii="仿宋" w:hAnsi="仿宋" w:eastAsia="仿宋" w:cs="仿宋"/>
                <w:color w:val="auto"/>
                <w:highlight w:val="none"/>
                <w:lang w:eastAsia="zh-CN"/>
              </w:rPr>
              <w:t xml:space="preserve"> </w:t>
            </w:r>
          </w:p>
        </w:tc>
      </w:tr>
      <w:tr w14:paraId="312E7FD7">
        <w:tblPrEx>
          <w:tblCellMar>
            <w:top w:w="0" w:type="dxa"/>
            <w:left w:w="108" w:type="dxa"/>
            <w:bottom w:w="0" w:type="dxa"/>
            <w:right w:w="108" w:type="dxa"/>
          </w:tblCellMar>
        </w:tblPrEx>
        <w:trPr>
          <w:trHeight w:val="140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7827B80">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13</w:t>
            </w:r>
          </w:p>
        </w:tc>
        <w:tc>
          <w:tcPr>
            <w:tcW w:w="1691" w:type="dxa"/>
            <w:tcBorders>
              <w:top w:val="single" w:color="auto" w:sz="4" w:space="0"/>
              <w:left w:val="single" w:color="auto" w:sz="4" w:space="0"/>
              <w:bottom w:val="single" w:color="auto" w:sz="4" w:space="0"/>
              <w:right w:val="single" w:color="auto" w:sz="4" w:space="0"/>
            </w:tcBorders>
            <w:vAlign w:val="center"/>
          </w:tcPr>
          <w:p w14:paraId="4A412FBE">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  投标方案</w:t>
            </w:r>
          </w:p>
        </w:tc>
        <w:tc>
          <w:tcPr>
            <w:tcW w:w="7116" w:type="dxa"/>
            <w:tcBorders>
              <w:top w:val="single" w:color="auto" w:sz="4" w:space="0"/>
              <w:left w:val="single" w:color="auto" w:sz="4" w:space="0"/>
              <w:bottom w:val="single" w:color="auto" w:sz="4" w:space="0"/>
              <w:right w:val="single" w:color="auto" w:sz="4" w:space="0"/>
            </w:tcBorders>
            <w:vAlign w:val="center"/>
          </w:tcPr>
          <w:p w14:paraId="4C6CA159">
            <w:pPr>
              <w:spacing w:line="360" w:lineRule="auto"/>
              <w:rPr>
                <w:rFonts w:ascii="仿宋" w:hAnsi="仿宋" w:eastAsia="仿宋" w:cs="仿宋"/>
                <w:color w:val="auto"/>
                <w:lang w:eastAsia="zh-CN"/>
              </w:rPr>
            </w:pPr>
            <w:r>
              <w:rPr>
                <w:rFonts w:hint="eastAsia" w:ascii="仿宋" w:hAnsi="仿宋" w:eastAsia="仿宋" w:cs="仿宋"/>
                <w:color w:val="auto"/>
                <w:lang w:eastAsia="zh-CN"/>
              </w:rPr>
              <w:sym w:font="Wingdings" w:char="00FE"/>
            </w:r>
            <w:r>
              <w:rPr>
                <w:rFonts w:hint="eastAsia" w:ascii="仿宋" w:hAnsi="仿宋" w:eastAsia="仿宋" w:cs="仿宋"/>
                <w:color w:val="auto"/>
                <w:lang w:eastAsia="zh-CN"/>
              </w:rPr>
              <w:t>不允许</w:t>
            </w:r>
          </w:p>
          <w:p w14:paraId="1A40BC49">
            <w:pPr>
              <w:spacing w:line="360" w:lineRule="auto"/>
              <w:rPr>
                <w:rFonts w:ascii="仿宋" w:hAnsi="仿宋" w:eastAsia="仿宋" w:cs="仿宋"/>
                <w:color w:val="auto"/>
                <w:lang w:eastAsia="zh-CN"/>
              </w:rPr>
            </w:pPr>
            <w:r>
              <w:rPr>
                <w:rFonts w:hint="eastAsia" w:ascii="仿宋" w:hAnsi="仿宋" w:eastAsia="仿宋" w:cs="仿宋"/>
                <w:color w:val="auto"/>
                <w:lang w:eastAsia="zh-CN"/>
              </w:rPr>
              <w:sym w:font="Wingdings" w:char="00A8"/>
            </w:r>
            <w:r>
              <w:rPr>
                <w:rFonts w:hint="eastAsia" w:ascii="仿宋" w:hAnsi="仿宋" w:eastAsia="仿宋" w:cs="仿宋"/>
                <w:color w:val="auto"/>
                <w:lang w:eastAsia="zh-CN"/>
              </w:rPr>
              <w:t>允  许</w:t>
            </w:r>
          </w:p>
        </w:tc>
      </w:tr>
      <w:tr w14:paraId="4F380D75">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BFE219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14</w:t>
            </w:r>
          </w:p>
        </w:tc>
        <w:tc>
          <w:tcPr>
            <w:tcW w:w="1691" w:type="dxa"/>
            <w:tcBorders>
              <w:top w:val="single" w:color="auto" w:sz="4" w:space="0"/>
              <w:left w:val="single" w:color="auto" w:sz="4" w:space="0"/>
              <w:bottom w:val="single" w:color="auto" w:sz="4" w:space="0"/>
              <w:right w:val="single" w:color="auto" w:sz="4" w:space="0"/>
            </w:tcBorders>
            <w:vAlign w:val="center"/>
          </w:tcPr>
          <w:p w14:paraId="556B448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磋商文件领取</w:t>
            </w:r>
          </w:p>
        </w:tc>
        <w:tc>
          <w:tcPr>
            <w:tcW w:w="7116" w:type="dxa"/>
            <w:tcBorders>
              <w:top w:val="single" w:color="auto" w:sz="4" w:space="0"/>
              <w:left w:val="single" w:color="auto" w:sz="4" w:space="0"/>
              <w:bottom w:val="single" w:color="auto" w:sz="4" w:space="0"/>
              <w:right w:val="single" w:color="auto" w:sz="4" w:space="0"/>
            </w:tcBorders>
            <w:vAlign w:val="center"/>
          </w:tcPr>
          <w:p w14:paraId="28081E67">
            <w:pPr>
              <w:spacing w:line="360" w:lineRule="auto"/>
              <w:rPr>
                <w:rFonts w:ascii="仿宋" w:hAnsi="仿宋" w:eastAsia="仿宋" w:cs="仿宋"/>
                <w:color w:val="auto"/>
                <w:lang w:eastAsia="zh-CN"/>
              </w:rPr>
            </w:pPr>
            <w:r>
              <w:rPr>
                <w:rFonts w:hint="eastAsia" w:ascii="仿宋" w:hAnsi="仿宋" w:eastAsia="仿宋" w:cs="仿宋"/>
                <w:color w:val="auto"/>
                <w:u w:val="single"/>
                <w:lang w:eastAsia="zh-CN"/>
              </w:rPr>
              <w:t>时间：202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7 </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15</w:t>
            </w:r>
            <w:r>
              <w:rPr>
                <w:rFonts w:hint="eastAsia" w:ascii="仿宋" w:hAnsi="仿宋" w:eastAsia="仿宋" w:cs="仿宋"/>
                <w:color w:val="auto"/>
                <w:u w:val="single"/>
                <w:lang w:eastAsia="zh-CN"/>
              </w:rPr>
              <w:t>日至202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7</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22</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，每天上午10:00至14:00，下午16:00至</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r>
              <w:rPr>
                <w:rFonts w:hint="eastAsia" w:ascii="仿宋" w:hAnsi="仿宋" w:eastAsia="仿宋" w:cs="仿宋"/>
                <w:color w:val="auto"/>
                <w:lang w:val="en-US" w:eastAsia="zh-CN"/>
              </w:rPr>
              <w:t>00</w:t>
            </w:r>
            <w:r>
              <w:rPr>
                <w:rFonts w:hint="eastAsia" w:ascii="仿宋" w:hAnsi="仿宋" w:eastAsia="仿宋" w:cs="仿宋"/>
                <w:color w:val="auto"/>
                <w:lang w:eastAsia="zh-CN"/>
              </w:rPr>
              <w:t>（北京时间，节假日除外）</w:t>
            </w:r>
          </w:p>
          <w:p w14:paraId="6AAE55B3">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地点：</w:t>
            </w:r>
            <w:r>
              <w:rPr>
                <w:rFonts w:hint="eastAsia" w:ascii="仿宋" w:hAnsi="仿宋" w:eastAsia="仿宋" w:cs="仿宋"/>
                <w:color w:val="auto"/>
                <w:sz w:val="24"/>
                <w:szCs w:val="24"/>
                <w:lang w:eastAsia="zh-CN"/>
              </w:rPr>
              <w:t>政采云平台线上</w:t>
            </w:r>
          </w:p>
          <w:p w14:paraId="4F193062">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lang w:eastAsia="zh-CN"/>
              </w:rPr>
              <w:t>方式：</w:t>
            </w:r>
            <w:r>
              <w:rPr>
                <w:rFonts w:hint="eastAsia" w:ascii="仿宋" w:hAnsi="仿宋" w:eastAsia="仿宋" w:cs="仿宋"/>
                <w:color w:val="auto"/>
                <w:highlight w:val="none"/>
                <w:lang w:eastAsia="zh-CN"/>
              </w:rPr>
              <w:t>供应商登录政采云平台https://www.zcygov.cn/在线申请获取采购文件（进入“项目采购”应用，在获取采购文件菜单中选择项目，申请获取采购文件）</w:t>
            </w:r>
          </w:p>
          <w:p w14:paraId="3779FD9A">
            <w:pPr>
              <w:spacing w:line="360" w:lineRule="auto"/>
              <w:rPr>
                <w:rFonts w:ascii="仿宋" w:hAnsi="仿宋" w:eastAsia="仿宋" w:cs="仿宋"/>
                <w:color w:val="auto"/>
                <w:lang w:eastAsia="zh-CN"/>
              </w:rPr>
            </w:pPr>
            <w:r>
              <w:rPr>
                <w:rFonts w:hint="eastAsia" w:ascii="仿宋" w:hAnsi="仿宋" w:eastAsia="仿宋" w:cs="仿宋"/>
                <w:color w:val="auto"/>
                <w:highlight w:val="none"/>
                <w:lang w:eastAsia="zh-CN"/>
              </w:rPr>
              <w:t>供应商获取招标文件前应注册成为政府采购云平台正式供应商。</w:t>
            </w:r>
          </w:p>
        </w:tc>
      </w:tr>
      <w:tr w14:paraId="29C7E753">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44BA37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15</w:t>
            </w:r>
          </w:p>
        </w:tc>
        <w:tc>
          <w:tcPr>
            <w:tcW w:w="1691" w:type="dxa"/>
            <w:tcBorders>
              <w:top w:val="single" w:color="auto" w:sz="4" w:space="0"/>
              <w:left w:val="single" w:color="auto" w:sz="4" w:space="0"/>
              <w:bottom w:val="single" w:color="auto" w:sz="4" w:space="0"/>
              <w:right w:val="single" w:color="auto" w:sz="4" w:space="0"/>
            </w:tcBorders>
            <w:vAlign w:val="center"/>
          </w:tcPr>
          <w:p w14:paraId="397C1DC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响应文件形式</w:t>
            </w:r>
          </w:p>
        </w:tc>
        <w:tc>
          <w:tcPr>
            <w:tcW w:w="7116" w:type="dxa"/>
            <w:tcBorders>
              <w:top w:val="single" w:color="auto" w:sz="4" w:space="0"/>
              <w:left w:val="single" w:color="auto" w:sz="4" w:space="0"/>
              <w:bottom w:val="single" w:color="auto" w:sz="4" w:space="0"/>
              <w:right w:val="single" w:color="auto" w:sz="4" w:space="0"/>
            </w:tcBorders>
            <w:vAlign w:val="center"/>
          </w:tcPr>
          <w:p w14:paraId="6110CED8">
            <w:pPr>
              <w:spacing w:line="360" w:lineRule="auto"/>
              <w:rPr>
                <w:rFonts w:ascii="仿宋" w:hAnsi="仿宋" w:eastAsia="仿宋" w:cs="仿宋"/>
                <w:color w:val="auto"/>
                <w:lang w:eastAsia="zh-CN"/>
              </w:rPr>
            </w:pPr>
            <w:r>
              <w:rPr>
                <w:rFonts w:hint="eastAsia" w:ascii="仿宋" w:hAnsi="仿宋" w:eastAsia="仿宋" w:cs="仿宋"/>
                <w:color w:val="auto"/>
                <w:lang w:eastAsia="zh-CN"/>
              </w:rPr>
              <w:t>电子响应文件包括“电子加密响应文件”和“备份响应文件”，在响应文件编制完成后同时生成。</w:t>
            </w:r>
          </w:p>
          <w:p w14:paraId="44518948">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1、“电子加密响应文件”是指通过“政采云电子交易客户端”完成响应文件编制后生成并加密的数据电文形式的响应文件。</w:t>
            </w:r>
          </w:p>
          <w:p w14:paraId="0C9A4CEF">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2、“备份响应文件”是指与“电子加密响应文件”同时生成的数据电文形式的电子文件（备份标书，用于供应商标书解密异常时应急使用），其他方式编制的备份响应文件视为无效备份响应文件。</w:t>
            </w:r>
          </w:p>
        </w:tc>
      </w:tr>
      <w:tr w14:paraId="7D3D9BFE">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AB6711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16</w:t>
            </w:r>
          </w:p>
        </w:tc>
        <w:tc>
          <w:tcPr>
            <w:tcW w:w="1691" w:type="dxa"/>
            <w:tcBorders>
              <w:top w:val="single" w:color="auto" w:sz="4" w:space="0"/>
              <w:left w:val="single" w:color="auto" w:sz="4" w:space="0"/>
              <w:bottom w:val="single" w:color="auto" w:sz="4" w:space="0"/>
              <w:right w:val="single" w:color="auto" w:sz="4" w:space="0"/>
            </w:tcBorders>
            <w:vAlign w:val="center"/>
          </w:tcPr>
          <w:p w14:paraId="743C146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响应文件要求</w:t>
            </w:r>
          </w:p>
        </w:tc>
        <w:tc>
          <w:tcPr>
            <w:tcW w:w="7116" w:type="dxa"/>
            <w:tcBorders>
              <w:top w:val="single" w:color="auto" w:sz="4" w:space="0"/>
              <w:left w:val="single" w:color="auto" w:sz="4" w:space="0"/>
              <w:bottom w:val="single" w:color="auto" w:sz="4" w:space="0"/>
              <w:right w:val="single" w:color="auto" w:sz="4" w:space="0"/>
            </w:tcBorders>
            <w:vAlign w:val="center"/>
          </w:tcPr>
          <w:p w14:paraId="134B6657">
            <w:pPr>
              <w:spacing w:line="360"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14:paraId="4FCB2012">
            <w:pPr>
              <w:spacing w:line="360" w:lineRule="auto"/>
              <w:rPr>
                <w:rFonts w:ascii="仿宋" w:hAnsi="仿宋" w:eastAsia="仿宋" w:cs="仿宋"/>
                <w:color w:val="auto"/>
                <w:lang w:eastAsia="zh-CN"/>
              </w:rPr>
            </w:pPr>
            <w:r>
              <w:rPr>
                <w:rFonts w:hint="eastAsia" w:ascii="仿宋" w:hAnsi="仿宋" w:eastAsia="仿宋" w:cs="仿宋"/>
                <w:color w:val="auto"/>
                <w:lang w:eastAsia="zh-CN"/>
              </w:rPr>
              <w:t>2、每份电子响应文件应包括资格证明文件和商务及技术文件两部分。</w:t>
            </w:r>
          </w:p>
        </w:tc>
      </w:tr>
      <w:tr w14:paraId="3CB69B79">
        <w:tblPrEx>
          <w:tblCellMar>
            <w:top w:w="0" w:type="dxa"/>
            <w:left w:w="108" w:type="dxa"/>
            <w:bottom w:w="0" w:type="dxa"/>
            <w:right w:w="108" w:type="dxa"/>
          </w:tblCellMar>
        </w:tblPrEx>
        <w:trPr>
          <w:trHeight w:val="3654" w:hRule="atLeast"/>
          <w:jc w:val="center"/>
        </w:trPr>
        <w:tc>
          <w:tcPr>
            <w:tcW w:w="558" w:type="dxa"/>
            <w:vMerge w:val="restart"/>
            <w:tcBorders>
              <w:top w:val="single" w:color="auto" w:sz="4" w:space="0"/>
              <w:left w:val="single" w:color="auto" w:sz="4" w:space="0"/>
              <w:right w:val="single" w:color="auto" w:sz="4" w:space="0"/>
            </w:tcBorders>
            <w:vAlign w:val="center"/>
          </w:tcPr>
          <w:p w14:paraId="559FC409">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17</w:t>
            </w:r>
          </w:p>
        </w:tc>
        <w:tc>
          <w:tcPr>
            <w:tcW w:w="1691" w:type="dxa"/>
            <w:vMerge w:val="restart"/>
            <w:tcBorders>
              <w:top w:val="single" w:color="auto" w:sz="4" w:space="0"/>
              <w:left w:val="single" w:color="auto" w:sz="4" w:space="0"/>
              <w:right w:val="single" w:color="auto" w:sz="4" w:space="0"/>
            </w:tcBorders>
            <w:vAlign w:val="center"/>
          </w:tcPr>
          <w:p w14:paraId="6367DF1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响应文件的上传和递交</w:t>
            </w:r>
          </w:p>
        </w:tc>
        <w:tc>
          <w:tcPr>
            <w:tcW w:w="7116" w:type="dxa"/>
            <w:tcBorders>
              <w:top w:val="single" w:color="auto" w:sz="4" w:space="0"/>
              <w:left w:val="single" w:color="auto" w:sz="4" w:space="0"/>
              <w:bottom w:val="single" w:color="auto" w:sz="4" w:space="0"/>
              <w:right w:val="single" w:color="auto" w:sz="4" w:space="0"/>
            </w:tcBorders>
            <w:vAlign w:val="center"/>
          </w:tcPr>
          <w:p w14:paraId="17098857">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1.电子加密响应文件：响应文件制作完成并生成加密标书，在投标截止时间前，供应商需将加密的响应文件上传至政采云平台，在开标时间开始后，待采购组织机构发出解密通知后30分钟内解密响应文件。</w:t>
            </w:r>
          </w:p>
          <w:p w14:paraId="778BB567">
            <w:pPr>
              <w:spacing w:line="360"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a.供应商未能在投标截止时间前成功上传电子加密响应文件的投标无效。</w:t>
            </w:r>
          </w:p>
          <w:p w14:paraId="1A289A42">
            <w:pPr>
              <w:spacing w:line="360"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b.供应商成功上传电子加密响应文件后，可自行打印响应文件接收回执。</w:t>
            </w:r>
          </w:p>
        </w:tc>
      </w:tr>
      <w:tr w14:paraId="0BD8DEE2">
        <w:tblPrEx>
          <w:tblCellMar>
            <w:top w:w="0" w:type="dxa"/>
            <w:left w:w="108" w:type="dxa"/>
            <w:bottom w:w="0" w:type="dxa"/>
            <w:right w:w="108" w:type="dxa"/>
          </w:tblCellMar>
        </w:tblPrEx>
        <w:trPr>
          <w:trHeight w:val="731" w:hRule="atLeast"/>
          <w:jc w:val="center"/>
        </w:trPr>
        <w:tc>
          <w:tcPr>
            <w:tcW w:w="558" w:type="dxa"/>
            <w:vMerge w:val="continue"/>
            <w:tcBorders>
              <w:left w:val="single" w:color="auto" w:sz="4" w:space="0"/>
              <w:bottom w:val="single" w:color="auto" w:sz="4" w:space="0"/>
              <w:right w:val="single" w:color="auto" w:sz="4" w:space="0"/>
            </w:tcBorders>
            <w:vAlign w:val="center"/>
          </w:tcPr>
          <w:p w14:paraId="1BF074D5">
            <w:pPr>
              <w:spacing w:line="360" w:lineRule="auto"/>
              <w:jc w:val="center"/>
              <w:rPr>
                <w:rFonts w:ascii="仿宋" w:hAnsi="仿宋" w:eastAsia="仿宋" w:cs="仿宋"/>
                <w:color w:val="auto"/>
                <w:lang w:eastAsia="zh-CN"/>
              </w:rPr>
            </w:pPr>
          </w:p>
        </w:tc>
        <w:tc>
          <w:tcPr>
            <w:tcW w:w="1691" w:type="dxa"/>
            <w:vMerge w:val="continue"/>
            <w:tcBorders>
              <w:left w:val="single" w:color="auto" w:sz="4" w:space="0"/>
              <w:bottom w:val="single" w:color="auto" w:sz="4" w:space="0"/>
              <w:right w:val="single" w:color="auto" w:sz="4" w:space="0"/>
            </w:tcBorders>
            <w:vAlign w:val="center"/>
          </w:tcPr>
          <w:p w14:paraId="2C371867">
            <w:pPr>
              <w:spacing w:line="360" w:lineRule="auto"/>
              <w:rPr>
                <w:rFonts w:ascii="仿宋" w:hAnsi="仿宋" w:eastAsia="仿宋" w:cs="仿宋"/>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09E21AF0">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响应文件：供应商在投标截止时间前将加密的响应文件上传至政府采购云平台，还可以在投标截止时间前以电子邮件方式提供备份响应文件1份（接收人邮箱：245291818@qq.com，接收人：银先生，电话：18809088695），“备份响应文件”由供应商自愿提供，磋商文件 不作强制性要求；如不提供或未按要求提供的，当电子响应文件无法解密时，将导致无备份响应文件而失去投标资格。</w:t>
            </w:r>
          </w:p>
          <w:p w14:paraId="3260CD0E">
            <w:pPr>
              <w:spacing w:line="360" w:lineRule="auto"/>
              <w:rPr>
                <w:rFonts w:ascii="仿宋" w:hAnsi="仿宋" w:eastAsia="仿宋" w:cs="仿宋"/>
                <w:color w:val="auto"/>
                <w:lang w:eastAsia="zh-CN"/>
              </w:rPr>
            </w:pPr>
            <w:r>
              <w:rPr>
                <w:rFonts w:hint="eastAsia" w:ascii="仿宋" w:hAnsi="仿宋" w:eastAsia="仿宋" w:cs="仿宋"/>
                <w:color w:val="auto"/>
                <w:lang w:eastAsia="zh-CN"/>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14:paraId="1643FB13">
            <w:pPr>
              <w:spacing w:line="360"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726BA05B">
        <w:tblPrEx>
          <w:tblCellMar>
            <w:top w:w="0" w:type="dxa"/>
            <w:left w:w="108" w:type="dxa"/>
            <w:bottom w:w="0" w:type="dxa"/>
            <w:right w:w="108" w:type="dxa"/>
          </w:tblCellMar>
        </w:tblPrEx>
        <w:trPr>
          <w:trHeight w:val="8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95467B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18</w:t>
            </w:r>
          </w:p>
        </w:tc>
        <w:tc>
          <w:tcPr>
            <w:tcW w:w="1691" w:type="dxa"/>
            <w:tcBorders>
              <w:top w:val="single" w:color="auto" w:sz="4" w:space="0"/>
              <w:left w:val="single" w:color="auto" w:sz="4" w:space="0"/>
              <w:bottom w:val="single" w:color="auto" w:sz="4" w:space="0"/>
              <w:right w:val="single" w:color="auto" w:sz="4" w:space="0"/>
            </w:tcBorders>
            <w:vAlign w:val="center"/>
          </w:tcPr>
          <w:p w14:paraId="2479B5C0">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116" w:type="dxa"/>
            <w:tcBorders>
              <w:top w:val="single" w:color="auto" w:sz="4" w:space="0"/>
              <w:left w:val="single" w:color="auto" w:sz="4" w:space="0"/>
              <w:bottom w:val="single" w:color="auto" w:sz="4" w:space="0"/>
              <w:right w:val="single" w:color="auto" w:sz="4" w:space="0"/>
            </w:tcBorders>
            <w:vAlign w:val="center"/>
          </w:tcPr>
          <w:p w14:paraId="36B49716">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评标委员会由招标人依法组建；采购人代表</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人，评审专家</w:t>
            </w:r>
            <w:r>
              <w:rPr>
                <w:rFonts w:hint="eastAsia" w:ascii="仿宋" w:hAnsi="仿宋" w:eastAsia="仿宋" w:cs="仿宋"/>
                <w:color w:val="auto"/>
                <w:lang w:val="en-US" w:eastAsia="zh-CN"/>
              </w:rPr>
              <w:t>2</w:t>
            </w:r>
            <w:r>
              <w:rPr>
                <w:rFonts w:hint="eastAsia" w:ascii="仿宋" w:hAnsi="仿宋" w:eastAsia="仿宋" w:cs="仿宋"/>
                <w:color w:val="auto"/>
                <w:lang w:val="zh-CN" w:eastAsia="zh-CN"/>
              </w:rPr>
              <w:t>人，共</w:t>
            </w:r>
            <w:r>
              <w:rPr>
                <w:rFonts w:hint="eastAsia" w:ascii="仿宋" w:hAnsi="仿宋" w:eastAsia="仿宋" w:cs="仿宋"/>
                <w:color w:val="auto"/>
                <w:lang w:val="en-US" w:eastAsia="zh-CN"/>
              </w:rPr>
              <w:t>3</w:t>
            </w:r>
            <w:r>
              <w:rPr>
                <w:rFonts w:hint="eastAsia" w:ascii="仿宋" w:hAnsi="仿宋" w:eastAsia="仿宋" w:cs="仿宋"/>
                <w:color w:val="auto"/>
                <w:lang w:val="zh-CN" w:eastAsia="zh-CN"/>
              </w:rPr>
              <w:t>人。</w:t>
            </w:r>
          </w:p>
          <w:p w14:paraId="3120EA64">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14:paraId="22B3C6E7">
        <w:tblPrEx>
          <w:tblCellMar>
            <w:top w:w="0" w:type="dxa"/>
            <w:left w:w="108" w:type="dxa"/>
            <w:bottom w:w="0" w:type="dxa"/>
            <w:right w:w="108" w:type="dxa"/>
          </w:tblCellMar>
        </w:tblPrEx>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9F9276D">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19</w:t>
            </w:r>
          </w:p>
        </w:tc>
        <w:tc>
          <w:tcPr>
            <w:tcW w:w="1691" w:type="dxa"/>
            <w:tcBorders>
              <w:top w:val="single" w:color="auto" w:sz="4" w:space="0"/>
              <w:left w:val="single" w:color="auto" w:sz="4" w:space="0"/>
              <w:bottom w:val="single" w:color="auto" w:sz="4" w:space="0"/>
              <w:right w:val="single" w:color="auto" w:sz="4" w:space="0"/>
            </w:tcBorders>
            <w:vAlign w:val="center"/>
          </w:tcPr>
          <w:p w14:paraId="0E64CBC4">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116" w:type="dxa"/>
            <w:tcBorders>
              <w:top w:val="single" w:color="auto" w:sz="4" w:space="0"/>
              <w:left w:val="single" w:color="auto" w:sz="4" w:space="0"/>
              <w:bottom w:val="single" w:color="auto" w:sz="4" w:space="0"/>
              <w:right w:val="single" w:color="auto" w:sz="4" w:space="0"/>
            </w:tcBorders>
            <w:vAlign w:val="center"/>
          </w:tcPr>
          <w:p w14:paraId="3905EA8B">
            <w:pPr>
              <w:spacing w:line="360" w:lineRule="auto"/>
              <w:rPr>
                <w:rFonts w:ascii="仿宋" w:hAnsi="仿宋" w:eastAsia="仿宋" w:cs="仿宋"/>
                <w:color w:val="auto"/>
                <w:lang w:val="zh-CN" w:eastAsia="zh-CN"/>
              </w:rPr>
            </w:pPr>
            <w:r>
              <w:rPr>
                <w:rFonts w:hint="eastAsia" w:ascii="仿宋" w:hAnsi="仿宋" w:eastAsia="仿宋" w:cs="仿宋"/>
                <w:color w:val="auto"/>
                <w:lang w:eastAsia="zh-CN"/>
              </w:rPr>
              <w:t>是</w:t>
            </w:r>
          </w:p>
        </w:tc>
      </w:tr>
      <w:tr w14:paraId="5983626E">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63F87A8">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20</w:t>
            </w:r>
          </w:p>
        </w:tc>
        <w:tc>
          <w:tcPr>
            <w:tcW w:w="1691" w:type="dxa"/>
            <w:tcBorders>
              <w:top w:val="single" w:color="auto" w:sz="4" w:space="0"/>
              <w:left w:val="single" w:color="auto" w:sz="4" w:space="0"/>
              <w:bottom w:val="single" w:color="auto" w:sz="4" w:space="0"/>
              <w:right w:val="single" w:color="auto" w:sz="4" w:space="0"/>
            </w:tcBorders>
            <w:vAlign w:val="center"/>
          </w:tcPr>
          <w:p w14:paraId="0B86F9F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递交响应文件地点</w:t>
            </w:r>
          </w:p>
        </w:tc>
        <w:tc>
          <w:tcPr>
            <w:tcW w:w="7116" w:type="dxa"/>
            <w:tcBorders>
              <w:top w:val="single" w:color="auto" w:sz="4" w:space="0"/>
              <w:left w:val="single" w:color="auto" w:sz="4" w:space="0"/>
              <w:bottom w:val="single" w:color="auto" w:sz="4" w:space="0"/>
              <w:right w:val="single" w:color="auto" w:sz="4" w:space="0"/>
            </w:tcBorders>
            <w:vAlign w:val="center"/>
          </w:tcPr>
          <w:p w14:paraId="7B5067C3">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投标截止时间：</w:t>
            </w:r>
            <w:r>
              <w:rPr>
                <w:rFonts w:hint="eastAsia" w:ascii="仿宋" w:hAnsi="仿宋" w:eastAsia="仿宋" w:cs="仿宋"/>
                <w:color w:val="auto"/>
                <w:kern w:val="2"/>
                <w:lang w:eastAsia="zh-CN" w:bidi="ar-SA"/>
              </w:rPr>
              <w:t>202</w:t>
            </w:r>
            <w:r>
              <w:rPr>
                <w:rFonts w:hint="eastAsia" w:ascii="仿宋" w:hAnsi="仿宋" w:eastAsia="仿宋" w:cs="仿宋"/>
                <w:color w:val="auto"/>
                <w:kern w:val="2"/>
                <w:lang w:val="en-US" w:eastAsia="zh-CN" w:bidi="ar-SA"/>
              </w:rPr>
              <w:t>5</w:t>
            </w:r>
            <w:r>
              <w:rPr>
                <w:rFonts w:hint="eastAsia" w:ascii="仿宋" w:hAnsi="仿宋" w:eastAsia="仿宋" w:cs="仿宋"/>
                <w:color w:val="auto"/>
                <w:kern w:val="2"/>
                <w:lang w:eastAsia="zh-CN" w:bidi="ar-SA"/>
              </w:rPr>
              <w:t>年</w:t>
            </w:r>
            <w:r>
              <w:rPr>
                <w:rFonts w:hint="eastAsia" w:ascii="仿宋" w:hAnsi="仿宋" w:eastAsia="仿宋" w:cs="仿宋"/>
                <w:color w:val="auto"/>
                <w:kern w:val="2"/>
                <w:lang w:val="en-US" w:eastAsia="zh-CN" w:bidi="ar-SA"/>
              </w:rPr>
              <w:t>7</w:t>
            </w:r>
            <w:r>
              <w:rPr>
                <w:rFonts w:hint="eastAsia" w:ascii="仿宋" w:hAnsi="仿宋" w:eastAsia="仿宋" w:cs="仿宋"/>
                <w:color w:val="auto"/>
                <w:kern w:val="2"/>
                <w:u w:val="single"/>
                <w:lang w:val="en-US" w:eastAsia="zh-CN" w:bidi="ar-SA"/>
              </w:rPr>
              <w:t xml:space="preserve"> </w:t>
            </w:r>
            <w:r>
              <w:rPr>
                <w:rFonts w:hint="eastAsia" w:ascii="仿宋" w:hAnsi="仿宋" w:eastAsia="仿宋" w:cs="仿宋"/>
                <w:color w:val="auto"/>
                <w:kern w:val="2"/>
                <w:lang w:eastAsia="zh-CN" w:bidi="ar-SA"/>
              </w:rPr>
              <w:t>月</w:t>
            </w:r>
            <w:r>
              <w:rPr>
                <w:rFonts w:hint="eastAsia" w:ascii="仿宋" w:hAnsi="仿宋" w:eastAsia="仿宋" w:cs="仿宋"/>
                <w:color w:val="auto"/>
                <w:kern w:val="2"/>
                <w:lang w:val="en-US" w:eastAsia="zh-CN" w:bidi="ar-SA"/>
              </w:rPr>
              <w:t>25</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上午10时30分（北京时间）</w:t>
            </w:r>
          </w:p>
          <w:p w14:paraId="6EB5031D">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14:paraId="3B493739">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14:paraId="4850CDF4">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21</w:t>
            </w:r>
          </w:p>
        </w:tc>
        <w:tc>
          <w:tcPr>
            <w:tcW w:w="1691" w:type="dxa"/>
            <w:tcBorders>
              <w:top w:val="single" w:color="auto" w:sz="4" w:space="0"/>
              <w:left w:val="single" w:color="auto" w:sz="4" w:space="0"/>
              <w:right w:val="single" w:color="auto" w:sz="4" w:space="0"/>
            </w:tcBorders>
            <w:vAlign w:val="center"/>
          </w:tcPr>
          <w:p w14:paraId="5F00E06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116" w:type="dxa"/>
            <w:tcBorders>
              <w:top w:val="single" w:color="auto" w:sz="4" w:space="0"/>
              <w:left w:val="single" w:color="auto" w:sz="4" w:space="0"/>
              <w:right w:val="single" w:color="auto" w:sz="4" w:space="0"/>
            </w:tcBorders>
            <w:vAlign w:val="center"/>
          </w:tcPr>
          <w:p w14:paraId="3FB423BD">
            <w:pPr>
              <w:spacing w:line="360"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color w:val="auto"/>
                <w:kern w:val="2"/>
                <w:lang w:eastAsia="zh-CN" w:bidi="ar-SA"/>
              </w:rPr>
              <w:t>202</w:t>
            </w:r>
            <w:r>
              <w:rPr>
                <w:rFonts w:hint="eastAsia" w:ascii="仿宋" w:hAnsi="仿宋" w:eastAsia="仿宋" w:cs="仿宋"/>
                <w:color w:val="auto"/>
                <w:kern w:val="2"/>
                <w:lang w:val="en-US" w:eastAsia="zh-CN" w:bidi="ar-SA"/>
              </w:rPr>
              <w:t>5</w:t>
            </w:r>
            <w:r>
              <w:rPr>
                <w:rFonts w:hint="eastAsia" w:ascii="仿宋" w:hAnsi="仿宋" w:eastAsia="仿宋" w:cs="仿宋"/>
                <w:color w:val="auto"/>
                <w:kern w:val="2"/>
                <w:lang w:eastAsia="zh-CN" w:bidi="ar-SA"/>
              </w:rPr>
              <w:t>年</w:t>
            </w:r>
            <w:r>
              <w:rPr>
                <w:rFonts w:hint="eastAsia" w:ascii="仿宋" w:hAnsi="仿宋" w:eastAsia="仿宋" w:cs="仿宋"/>
                <w:color w:val="auto"/>
                <w:kern w:val="2"/>
                <w:lang w:val="en-US" w:eastAsia="zh-CN" w:bidi="ar-SA"/>
              </w:rPr>
              <w:t xml:space="preserve">7 </w:t>
            </w:r>
            <w:r>
              <w:rPr>
                <w:rFonts w:hint="eastAsia" w:ascii="仿宋" w:hAnsi="仿宋" w:eastAsia="仿宋" w:cs="仿宋"/>
                <w:color w:val="auto"/>
                <w:kern w:val="2"/>
                <w:lang w:eastAsia="zh-CN" w:bidi="ar-SA"/>
              </w:rPr>
              <w:t>月</w:t>
            </w:r>
            <w:r>
              <w:rPr>
                <w:rFonts w:hint="eastAsia" w:ascii="仿宋" w:hAnsi="仿宋" w:eastAsia="仿宋" w:cs="仿宋"/>
                <w:color w:val="auto"/>
                <w:kern w:val="2"/>
                <w:lang w:val="en-US" w:eastAsia="zh-CN" w:bidi="ar-SA"/>
              </w:rPr>
              <w:t>25</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上午10时30分（北京时间）</w:t>
            </w:r>
          </w:p>
          <w:p w14:paraId="509C32AD">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14:paraId="62D05F3A">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14:paraId="58B5FEA7">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22</w:t>
            </w:r>
          </w:p>
        </w:tc>
        <w:tc>
          <w:tcPr>
            <w:tcW w:w="1691" w:type="dxa"/>
            <w:vMerge w:val="restart"/>
            <w:tcBorders>
              <w:top w:val="single" w:color="auto" w:sz="4" w:space="0"/>
              <w:left w:val="single" w:color="auto" w:sz="4" w:space="0"/>
              <w:right w:val="single" w:color="auto" w:sz="4" w:space="0"/>
            </w:tcBorders>
            <w:vAlign w:val="center"/>
          </w:tcPr>
          <w:p w14:paraId="590EE499">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lang w:eastAsia="zh-CN"/>
              </w:rPr>
              <w:t>重要说明</w:t>
            </w:r>
          </w:p>
        </w:tc>
        <w:tc>
          <w:tcPr>
            <w:tcW w:w="7116" w:type="dxa"/>
            <w:tcBorders>
              <w:top w:val="single" w:color="auto" w:sz="4" w:space="0"/>
              <w:left w:val="single" w:color="auto" w:sz="4" w:space="0"/>
              <w:right w:val="single" w:color="auto" w:sz="4" w:space="0"/>
            </w:tcBorders>
            <w:vAlign w:val="center"/>
          </w:tcPr>
          <w:p w14:paraId="0840D0D5">
            <w:pPr>
              <w:spacing w:line="360" w:lineRule="auto"/>
              <w:rPr>
                <w:rFonts w:ascii="仿宋" w:hAnsi="仿宋" w:eastAsia="仿宋" w:cs="仿宋"/>
                <w:color w:val="auto"/>
                <w:lang w:eastAsia="zh-CN"/>
              </w:rPr>
            </w:pPr>
            <w:r>
              <w:rPr>
                <w:rFonts w:hint="eastAsia" w:ascii="仿宋" w:hAnsi="仿宋" w:eastAsia="仿宋" w:cs="仿宋"/>
                <w:color w:val="auto"/>
                <w:lang w:eastAsia="zh-CN"/>
              </w:rPr>
              <w:t>1.本项目采用全流程不见面电子开评标，投标供应商需要使用CA加密设备，供应商可通过新疆数字证书认证中心官网（https://www.xjca.com.cn/）或下载“新疆政务通”APP自行进行申领。</w:t>
            </w:r>
          </w:p>
          <w:p w14:paraId="652C44CF">
            <w:pPr>
              <w:spacing w:line="360" w:lineRule="auto"/>
              <w:rPr>
                <w:rFonts w:ascii="仿宋" w:hAnsi="仿宋" w:eastAsia="仿宋" w:cs="仿宋"/>
                <w:color w:val="auto"/>
                <w:lang w:eastAsia="zh-CN"/>
              </w:rPr>
            </w:pPr>
            <w:r>
              <w:rPr>
                <w:rFonts w:hint="eastAsia" w:ascii="仿宋" w:hAnsi="仿宋" w:eastAsia="仿宋" w:cs="仿宋"/>
                <w:color w:val="auto"/>
                <w:lang w:eastAsia="zh-CN"/>
              </w:rPr>
              <w:t>2.本项目实行网上投标，采用加密电子响应文件(供应商须使用CA加密设备通过政采云电子投标客户端制作响应文件)。若供应商参与投标，自行承担投标一切费用。</w:t>
            </w:r>
          </w:p>
          <w:p w14:paraId="309089FE">
            <w:pPr>
              <w:spacing w:line="360" w:lineRule="auto"/>
              <w:rPr>
                <w:rFonts w:ascii="仿宋" w:hAnsi="仿宋" w:eastAsia="仿宋" w:cs="仿宋"/>
                <w:color w:val="auto"/>
                <w:lang w:eastAsia="zh-CN"/>
              </w:rPr>
            </w:pPr>
            <w:r>
              <w:rPr>
                <w:rFonts w:hint="eastAsia" w:ascii="仿宋" w:hAnsi="仿宋" w:eastAsia="仿宋" w:cs="仿宋"/>
                <w:color w:val="auto"/>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49D6063">
            <w:pPr>
              <w:spacing w:line="360" w:lineRule="auto"/>
              <w:rPr>
                <w:rFonts w:ascii="仿宋" w:hAnsi="仿宋" w:eastAsia="仿宋" w:cs="仿宋"/>
                <w:color w:val="auto"/>
                <w:lang w:eastAsia="zh-CN"/>
              </w:rPr>
            </w:pPr>
            <w:r>
              <w:rPr>
                <w:rFonts w:hint="eastAsia" w:ascii="仿宋" w:hAnsi="仿宋" w:eastAsia="仿宋" w:cs="仿宋"/>
                <w:color w:val="auto"/>
                <w:lang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1B8E2A5B">
            <w:pPr>
              <w:spacing w:line="360" w:lineRule="auto"/>
              <w:rPr>
                <w:rFonts w:ascii="仿宋" w:hAnsi="仿宋" w:eastAsia="仿宋" w:cs="仿宋"/>
                <w:color w:val="auto"/>
                <w:lang w:eastAsia="zh-CN"/>
              </w:rPr>
            </w:pPr>
            <w:r>
              <w:rPr>
                <w:rFonts w:hint="eastAsia" w:ascii="仿宋" w:hAnsi="仿宋" w:eastAsia="仿宋" w:cs="仿宋"/>
                <w:color w:val="auto"/>
                <w:lang w:eastAsia="zh-CN"/>
              </w:rPr>
              <w:t>5.供应商在开标时须使用制作加密电子响应文件所使用的CA锁及电脑，电脑须提前配置好浏览器（建议使用谷歌浏览器），以便开标时解锁。</w:t>
            </w:r>
          </w:p>
          <w:p w14:paraId="613583FD">
            <w:pPr>
              <w:spacing w:line="360" w:lineRule="auto"/>
              <w:rPr>
                <w:rFonts w:ascii="仿宋" w:hAnsi="仿宋" w:eastAsia="仿宋" w:cs="仿宋"/>
                <w:color w:val="auto"/>
                <w:lang w:eastAsia="zh-CN"/>
              </w:rPr>
            </w:pPr>
            <w:r>
              <w:rPr>
                <w:rFonts w:hint="eastAsia" w:ascii="仿宋" w:hAnsi="仿宋" w:eastAsia="仿宋" w:cs="仿宋"/>
                <w:color w:val="auto"/>
                <w:lang w:eastAsia="zh-CN"/>
              </w:rPr>
              <w:t>6.供应商对不见面开评标系统的技术操作咨询，可通过https://edu.zcygov.cn/luban/xinjiang-e-biding自助查询，也可在政采云帮助中心常见问题解答和操作流程讲解视频中自助查询，网址为：</w:t>
            </w:r>
            <w:r>
              <w:rPr>
                <w:color w:val="auto"/>
              </w:rPr>
              <w:fldChar w:fldCharType="begin"/>
            </w:r>
            <w:r>
              <w:rPr>
                <w:color w:val="auto"/>
              </w:rPr>
              <w:instrText xml:space="preserve"> HYPERLINK "https://service.zcygov.cn/" \l "/help，“项目采购”—“操作流程-电子招投标”—“政府采购项目电子交易管理操作指南-供应商”版面获取操作指南。" </w:instrText>
            </w:r>
            <w:r>
              <w:rPr>
                <w:color w:val="auto"/>
              </w:rPr>
              <w:fldChar w:fldCharType="separate"/>
            </w:r>
            <w:r>
              <w:rPr>
                <w:rFonts w:hint="eastAsia" w:ascii="仿宋" w:hAnsi="仿宋" w:eastAsia="仿宋" w:cs="仿宋"/>
                <w:color w:val="auto"/>
                <w:lang w:eastAsia="zh-CN"/>
              </w:rPr>
              <w:t>https://service.zcygov.cn/#/help，“项目采购”—“操作流程-电子招投标”—“政府采购项目电子交易管理操作指南-供应商”版面获取操作指南。</w:t>
            </w:r>
            <w:r>
              <w:rPr>
                <w:rFonts w:hint="eastAsia" w:ascii="仿宋" w:hAnsi="仿宋" w:eastAsia="仿宋" w:cs="仿宋"/>
                <w:color w:val="auto"/>
                <w:lang w:eastAsia="zh-CN"/>
              </w:rPr>
              <w:fldChar w:fldCharType="end"/>
            </w:r>
          </w:p>
          <w:p w14:paraId="3C817FB5">
            <w:pPr>
              <w:spacing w:line="360" w:lineRule="auto"/>
              <w:rPr>
                <w:rFonts w:ascii="仿宋" w:hAnsi="仿宋" w:eastAsia="仿宋" w:cs="仿宋"/>
                <w:color w:val="auto"/>
                <w:lang w:eastAsia="zh-CN"/>
              </w:rPr>
            </w:pPr>
            <w:r>
              <w:rPr>
                <w:rFonts w:hint="eastAsia" w:ascii="仿宋" w:hAnsi="仿宋" w:eastAsia="仿宋" w:cs="仿宋"/>
                <w:color w:val="auto"/>
                <w:lang w:eastAsia="zh-CN"/>
              </w:rPr>
              <w:t>7.为了保证开评标顺利进行，政采云线上开标功能完全实现，供应商开标所使用的电脑设备须具有视频及语音功能。</w:t>
            </w:r>
          </w:p>
        </w:tc>
      </w:tr>
      <w:tr w14:paraId="197C8CD5">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14:paraId="2C05DD4E">
            <w:pPr>
              <w:spacing w:line="360" w:lineRule="auto"/>
              <w:rPr>
                <w:rFonts w:ascii="仿宋" w:hAnsi="仿宋" w:eastAsia="仿宋" w:cs="仿宋"/>
                <w:color w:val="auto"/>
                <w:sz w:val="21"/>
                <w:szCs w:val="21"/>
                <w:lang w:eastAsia="zh-CN"/>
              </w:rPr>
            </w:pPr>
          </w:p>
        </w:tc>
        <w:tc>
          <w:tcPr>
            <w:tcW w:w="1691" w:type="dxa"/>
            <w:vMerge w:val="continue"/>
            <w:tcBorders>
              <w:left w:val="single" w:color="auto" w:sz="4" w:space="0"/>
              <w:bottom w:val="single" w:color="auto" w:sz="4" w:space="0"/>
              <w:right w:val="single" w:color="auto" w:sz="4" w:space="0"/>
            </w:tcBorders>
            <w:vAlign w:val="center"/>
          </w:tcPr>
          <w:p w14:paraId="2842E89F">
            <w:pPr>
              <w:spacing w:line="360" w:lineRule="auto"/>
              <w:rPr>
                <w:rFonts w:ascii="仿宋" w:hAnsi="仿宋" w:eastAsia="仿宋" w:cs="仿宋"/>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0CD02050">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1、电子招投标情况说明：</w:t>
            </w:r>
          </w:p>
          <w:p w14:paraId="49272EA4">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（1）电子招投标：本项目以数据电文形式，依托“政府采购云平台（www.zcygov.cn）”进行招投标活动。</w:t>
            </w:r>
          </w:p>
          <w:p w14:paraId="2B6FA1D9">
            <w:pPr>
              <w:spacing w:line="360" w:lineRule="auto"/>
              <w:rPr>
                <w:rFonts w:ascii="仿宋" w:hAnsi="仿宋" w:eastAsia="仿宋" w:cs="仿宋"/>
                <w:color w:val="auto"/>
                <w:lang w:eastAsia="zh-CN"/>
              </w:rPr>
            </w:pPr>
            <w:r>
              <w:rPr>
                <w:rFonts w:hint="eastAsia" w:ascii="仿宋" w:hAnsi="仿宋" w:eastAsia="仿宋" w:cs="仿宋"/>
                <w:color w:val="auto"/>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5971C22C">
            <w:pPr>
              <w:spacing w:line="360" w:lineRule="auto"/>
              <w:rPr>
                <w:rFonts w:ascii="仿宋" w:hAnsi="仿宋" w:eastAsia="仿宋" w:cs="仿宋"/>
                <w:color w:val="auto"/>
                <w:lang w:eastAsia="zh-CN"/>
              </w:rPr>
            </w:pPr>
            <w:r>
              <w:rPr>
                <w:rFonts w:hint="eastAsia" w:ascii="仿宋" w:hAnsi="仿宋" w:eastAsia="仿宋" w:cs="仿宋"/>
                <w:color w:val="auto"/>
                <w:lang w:eastAsia="zh-CN"/>
              </w:rPr>
              <w:t>（3）磋商文件 的获取：使用账号登录或者短信验证码或者使用CA登录政采云平台；进入“项目采购”应用，在获取磋商文件 菜单中选择项目，获取磋商文件 。</w:t>
            </w:r>
          </w:p>
          <w:p w14:paraId="54D74960">
            <w:pPr>
              <w:spacing w:line="360" w:lineRule="auto"/>
              <w:rPr>
                <w:rFonts w:ascii="仿宋" w:hAnsi="仿宋" w:eastAsia="仿宋" w:cs="仿宋"/>
                <w:color w:val="auto"/>
                <w:lang w:eastAsia="zh-CN"/>
              </w:rPr>
            </w:pPr>
            <w:r>
              <w:rPr>
                <w:rFonts w:hint="eastAsia" w:ascii="仿宋" w:hAnsi="仿宋" w:eastAsia="仿宋" w:cs="仿宋"/>
                <w:color w:val="auto"/>
                <w:lang w:eastAsia="zh-CN"/>
              </w:rPr>
              <w:t>（4）响应文件的制作：在“政采云电子交易客户端”中完成“填写基本信息”、“导入响应文件”、“标书关联”、“标书检查”、“电子签名”、“生成电子标书”等操作。</w:t>
            </w:r>
          </w:p>
          <w:p w14:paraId="04CD6594">
            <w:pPr>
              <w:spacing w:line="360" w:lineRule="auto"/>
              <w:rPr>
                <w:rFonts w:ascii="仿宋" w:hAnsi="仿宋" w:eastAsia="仿宋" w:cs="仿宋"/>
                <w:color w:val="auto"/>
                <w:lang w:eastAsia="zh-CN"/>
              </w:rPr>
            </w:pPr>
            <w:r>
              <w:rPr>
                <w:rFonts w:hint="eastAsia" w:ascii="仿宋" w:hAnsi="仿宋" w:eastAsia="仿宋" w:cs="仿宋"/>
                <w:color w:val="auto"/>
                <w:lang w:eastAsia="zh-CN"/>
              </w:rPr>
              <w:t>（5）响应文件的传输递交：供应商在投标截止时间前将加密的响应文件上传至政府采购云平台，还可以在投标截止时间前以电子邮件方式提供备份响应文件1份（接收人邮箱：245291818@qq.com，接收人：银先生，电话：18809088695），备份响应文件可以打包压缩并加密，压缩包命名为“XX单位备份响应文件”，加密密码由供应商自行保管（“备份响应文件”由供应商自愿提供，磋商文件 不作强制性要求；如不提供或未按要求提供的，当电子响应文件无法解密时，将导致无备份响应文件而失去投标资格）。</w:t>
            </w:r>
          </w:p>
          <w:p w14:paraId="7FBDB708">
            <w:pPr>
              <w:spacing w:line="360" w:lineRule="auto"/>
              <w:rPr>
                <w:rFonts w:ascii="仿宋" w:hAnsi="仿宋" w:eastAsia="仿宋" w:cs="仿宋"/>
                <w:color w:val="auto"/>
                <w:lang w:eastAsia="zh-CN"/>
              </w:rPr>
            </w:pPr>
            <w:r>
              <w:rPr>
                <w:rFonts w:hint="eastAsia" w:ascii="仿宋" w:hAnsi="仿宋" w:eastAsia="仿宋" w:cs="仿宋"/>
                <w:color w:val="auto"/>
                <w:lang w:eastAsia="zh-CN"/>
              </w:rPr>
              <w:t>（6）响应文件的解密：供应商按照平台提示和磋商文件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34F49AAF">
            <w:pPr>
              <w:spacing w:line="360" w:lineRule="auto"/>
              <w:rPr>
                <w:rFonts w:ascii="仿宋" w:hAnsi="仿宋" w:eastAsia="仿宋" w:cs="仿宋"/>
                <w:color w:val="auto"/>
                <w:lang w:eastAsia="zh-CN"/>
              </w:rPr>
            </w:pPr>
            <w:r>
              <w:rPr>
                <w:rFonts w:hint="eastAsia" w:ascii="仿宋" w:hAnsi="仿宋" w:eastAsia="仿宋" w:cs="仿宋"/>
                <w:color w:val="auto"/>
                <w:lang w:eastAsia="zh-CN"/>
              </w:rPr>
              <w:t>（7）具体操作指南：详见政采云平台“服务中心-帮助文档-项目采购-操作流程-电子招投标-政府采购项目电子交易管理操作指南-供应商”。</w:t>
            </w:r>
          </w:p>
          <w:p w14:paraId="5BE07B3F">
            <w:pPr>
              <w:spacing w:line="360" w:lineRule="auto"/>
              <w:rPr>
                <w:rFonts w:ascii="仿宋" w:hAnsi="仿宋" w:eastAsia="仿宋" w:cs="仿宋"/>
                <w:color w:val="auto"/>
                <w:lang w:eastAsia="zh-CN"/>
              </w:rPr>
            </w:pPr>
            <w:r>
              <w:rPr>
                <w:rFonts w:hint="eastAsia" w:ascii="仿宋" w:hAnsi="仿宋" w:eastAsia="仿宋" w:cs="仿宋"/>
                <w:color w:val="auto"/>
                <w:lang w:eastAsia="zh-CN"/>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仿宋" w:hAnsi="仿宋" w:eastAsia="仿宋" w:cs="仿宋"/>
                <w:color w:val="auto"/>
                <w:lang w:eastAsia="zh-CN"/>
              </w:rPr>
              <w:t>www.zcygov.cn/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），点击右侧咨询小采，获取采小蜜智能服务管家帮助，或拨打政采云服务热线 95763 获取热线服务帮助。</w:t>
            </w:r>
          </w:p>
          <w:p w14:paraId="5B3649D1">
            <w:pPr>
              <w:spacing w:line="360" w:lineRule="auto"/>
              <w:rPr>
                <w:rFonts w:ascii="仿宋" w:hAnsi="仿宋" w:eastAsia="仿宋" w:cs="仿宋"/>
                <w:color w:val="auto"/>
                <w:lang w:eastAsia="zh-CN"/>
              </w:rPr>
            </w:pPr>
            <w:r>
              <w:rPr>
                <w:rFonts w:hint="eastAsia" w:ascii="仿宋" w:hAnsi="仿宋" w:eastAsia="仿宋" w:cs="仿宋"/>
                <w:color w:val="auto"/>
                <w:lang w:eastAsia="zh-CN"/>
              </w:rPr>
              <w:t>温馨提醒：供应商应提前上传，以便在上传时遇到技术问题，有充足的时间请教平台的技术人员。</w:t>
            </w:r>
          </w:p>
          <w:p w14:paraId="75A93DCF">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2、供应商认为磋商文件 使自己的权益受到损害的，可以自收到磋商文件之日（磋商文件 公告期限届满之前收到磋商文件 的，以完成获取磋商文件 申请后下载磋商文件 的时间为准）或者磋商文件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磋商文件 或逾期提出的不予受理、答复。</w:t>
            </w:r>
          </w:p>
        </w:tc>
      </w:tr>
      <w:tr w14:paraId="1F958DF8">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5D99467">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lang w:eastAsia="zh-CN"/>
              </w:rPr>
              <w:t>23</w:t>
            </w:r>
          </w:p>
        </w:tc>
        <w:tc>
          <w:tcPr>
            <w:tcW w:w="1691" w:type="dxa"/>
            <w:tcBorders>
              <w:top w:val="single" w:color="auto" w:sz="4" w:space="0"/>
              <w:left w:val="single" w:color="auto" w:sz="4" w:space="0"/>
              <w:bottom w:val="single" w:color="auto" w:sz="4" w:space="0"/>
              <w:right w:val="single" w:color="auto" w:sz="4" w:space="0"/>
            </w:tcBorders>
            <w:vAlign w:val="center"/>
          </w:tcPr>
          <w:p w14:paraId="0C65143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116" w:type="dxa"/>
            <w:tcBorders>
              <w:top w:val="single" w:color="auto" w:sz="4" w:space="0"/>
              <w:left w:val="single" w:color="auto" w:sz="4" w:space="0"/>
              <w:bottom w:val="single" w:color="auto" w:sz="4" w:space="0"/>
              <w:right w:val="single" w:color="auto" w:sz="4" w:space="0"/>
            </w:tcBorders>
            <w:vAlign w:val="center"/>
          </w:tcPr>
          <w:p w14:paraId="2909BD34">
            <w:pPr>
              <w:spacing w:line="360" w:lineRule="auto"/>
              <w:rPr>
                <w:rFonts w:ascii="仿宋" w:hAnsi="仿宋" w:eastAsia="仿宋" w:cs="仿宋"/>
                <w:color w:val="auto"/>
                <w:lang w:eastAsia="zh-CN"/>
              </w:rPr>
            </w:pPr>
            <w:r>
              <w:rPr>
                <w:rFonts w:hint="eastAsia" w:ascii="仿宋" w:hAnsi="仿宋" w:eastAsia="仿宋" w:cs="仿宋"/>
                <w:color w:val="auto"/>
                <w:lang w:eastAsia="zh-CN"/>
              </w:rPr>
              <w:t>克州公共资源交易中心网、新疆政府采购网，公示期为一个工作日。</w:t>
            </w:r>
          </w:p>
        </w:tc>
      </w:tr>
      <w:tr w14:paraId="086418A1">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7402024">
            <w:pPr>
              <w:spacing w:line="360" w:lineRule="auto"/>
              <w:rPr>
                <w:rFonts w:ascii="仿宋" w:hAnsi="仿宋" w:eastAsia="仿宋" w:cs="仿宋"/>
                <w:color w:val="auto"/>
                <w:lang w:eastAsia="zh-CN"/>
              </w:rPr>
            </w:pPr>
            <w:r>
              <w:rPr>
                <w:rFonts w:hint="eastAsia" w:ascii="仿宋" w:hAnsi="仿宋" w:eastAsia="仿宋" w:cs="仿宋"/>
                <w:color w:val="auto"/>
                <w:lang w:eastAsia="zh-CN"/>
              </w:rPr>
              <w:t>24</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005C7735">
            <w:pPr>
              <w:spacing w:line="360"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14:paraId="4B8E48F7">
        <w:tblPrEx>
          <w:tblCellMar>
            <w:top w:w="0" w:type="dxa"/>
            <w:left w:w="108" w:type="dxa"/>
            <w:bottom w:w="0" w:type="dxa"/>
            <w:right w:w="108" w:type="dxa"/>
          </w:tblCellMar>
        </w:tblPrEx>
        <w:trPr>
          <w:trHeight w:val="65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A7F37D0">
            <w:pPr>
              <w:spacing w:line="360" w:lineRule="auto"/>
              <w:rPr>
                <w:rFonts w:ascii="仿宋" w:hAnsi="仿宋" w:eastAsia="仿宋" w:cs="仿宋"/>
                <w:color w:val="auto"/>
                <w:sz w:val="21"/>
                <w:szCs w:val="21"/>
                <w:lang w:eastAsia="zh-CN"/>
              </w:rPr>
            </w:pP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198AF05A">
            <w:pPr>
              <w:spacing w:line="360" w:lineRule="auto"/>
              <w:rPr>
                <w:rFonts w:ascii="仿宋" w:hAnsi="仿宋" w:eastAsia="仿宋" w:cs="仿宋"/>
                <w:color w:val="auto"/>
                <w:sz w:val="21"/>
                <w:szCs w:val="21"/>
                <w:lang w:eastAsia="zh-CN"/>
              </w:rPr>
            </w:pPr>
            <w:r>
              <w:rPr>
                <w:rFonts w:hint="eastAsia" w:ascii="仿宋" w:hAnsi="仿宋" w:eastAsia="仿宋" w:cs="仿宋"/>
                <w:color w:val="auto"/>
                <w:lang w:val="en-US" w:eastAsia="zh-CN"/>
              </w:rPr>
              <w:t>按照发改价格【2015】299号规定全面放开招标代理费，本项目招标代理费为：7500元(柒仟伍佰元整)。招标代理费在中标通知书发放前由中标单位缴纳。</w:t>
            </w:r>
          </w:p>
        </w:tc>
      </w:tr>
      <w:tr w14:paraId="7E4C354D">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5D743D3">
            <w:pPr>
              <w:spacing w:line="360" w:lineRule="auto"/>
              <w:rPr>
                <w:rFonts w:ascii="仿宋" w:hAnsi="仿宋" w:eastAsia="仿宋" w:cs="仿宋"/>
                <w:color w:val="auto"/>
                <w:lang w:eastAsia="zh-CN"/>
              </w:rPr>
            </w:pPr>
            <w:r>
              <w:rPr>
                <w:rFonts w:hint="eastAsia" w:ascii="仿宋" w:hAnsi="仿宋" w:eastAsia="仿宋" w:cs="仿宋"/>
                <w:color w:val="auto"/>
                <w:lang w:eastAsia="zh-CN"/>
              </w:rPr>
              <w:t>25</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30042312">
            <w:pPr>
              <w:spacing w:line="360"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14:paraId="536AB383">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99B1EFB">
            <w:pPr>
              <w:spacing w:line="360" w:lineRule="auto"/>
              <w:rPr>
                <w:rFonts w:ascii="仿宋" w:hAnsi="仿宋" w:eastAsia="仿宋" w:cs="仿宋"/>
                <w:color w:val="auto"/>
                <w:lang w:eastAsia="zh-CN"/>
              </w:rPr>
            </w:pPr>
            <w:r>
              <w:rPr>
                <w:rFonts w:hint="eastAsia" w:ascii="仿宋" w:hAnsi="仿宋" w:eastAsia="仿宋" w:cs="仿宋"/>
                <w:color w:val="auto"/>
                <w:lang w:eastAsia="zh-CN"/>
              </w:rPr>
              <w:t>26</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0854E1A0">
            <w:pPr>
              <w:spacing w:line="360"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14:paraId="2F52053A">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D54517B">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lang w:eastAsia="zh-CN"/>
              </w:rPr>
              <w:t>27</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60B40F68">
            <w:pPr>
              <w:spacing w:line="360" w:lineRule="auto"/>
              <w:rPr>
                <w:rFonts w:ascii="仿宋" w:hAnsi="仿宋" w:eastAsia="仿宋" w:cs="仿宋"/>
                <w:color w:val="auto"/>
                <w:lang w:eastAsia="zh-CN"/>
              </w:rPr>
            </w:pPr>
            <w:r>
              <w:rPr>
                <w:rFonts w:hint="eastAsia" w:ascii="仿宋" w:hAnsi="仿宋" w:eastAsia="仿宋" w:cs="仿宋"/>
                <w:color w:val="auto"/>
                <w:lang w:eastAsia="zh-CN"/>
              </w:rPr>
              <w:t>本次招标预算价：</w:t>
            </w:r>
            <w:r>
              <w:rPr>
                <w:rFonts w:hint="eastAsia" w:ascii="仿宋" w:hAnsi="仿宋" w:eastAsia="仿宋" w:cs="仿宋"/>
                <w:b/>
                <w:bCs/>
                <w:color w:val="auto"/>
                <w:lang w:val="en-US" w:eastAsia="zh-CN"/>
              </w:rPr>
              <w:t>500000.00</w:t>
            </w:r>
            <w:r>
              <w:rPr>
                <w:rFonts w:hint="eastAsia" w:ascii="仿宋" w:hAnsi="仿宋" w:eastAsia="仿宋" w:cs="仿宋"/>
                <w:b/>
                <w:bCs/>
                <w:color w:val="auto"/>
                <w:lang w:eastAsia="zh-CN"/>
              </w:rPr>
              <w:t>元；投标总报价超过采购预算价的按废标处理。</w:t>
            </w:r>
          </w:p>
        </w:tc>
      </w:tr>
      <w:tr w14:paraId="02BA6BB0">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14:paraId="39F6F166">
            <w:pPr>
              <w:spacing w:line="360" w:lineRule="auto"/>
              <w:rPr>
                <w:rFonts w:ascii="仿宋" w:hAnsi="仿宋" w:eastAsia="仿宋" w:cs="仿宋"/>
                <w:color w:val="auto"/>
                <w:lang w:eastAsia="zh-CN"/>
              </w:rPr>
            </w:pPr>
            <w:r>
              <w:rPr>
                <w:rFonts w:hint="eastAsia" w:ascii="仿宋" w:hAnsi="仿宋" w:eastAsia="仿宋" w:cs="仿宋"/>
                <w:color w:val="auto"/>
                <w:lang w:eastAsia="zh-CN"/>
              </w:rPr>
              <w:t>28</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14:paraId="0EC1F18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116" w:type="dxa"/>
            <w:tcBorders>
              <w:top w:val="single" w:color="auto" w:sz="4" w:space="0"/>
              <w:left w:val="single" w:color="auto" w:sz="4" w:space="0"/>
              <w:bottom w:val="single" w:color="auto" w:sz="4" w:space="0"/>
              <w:right w:val="single" w:color="auto" w:sz="4" w:space="0"/>
            </w:tcBorders>
            <w:vAlign w:val="center"/>
          </w:tcPr>
          <w:p w14:paraId="73858374">
            <w:pPr>
              <w:spacing w:line="360" w:lineRule="auto"/>
              <w:rPr>
                <w:rFonts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bCs/>
                <w:color w:val="auto"/>
                <w:lang w:eastAsia="zh-CN"/>
              </w:rPr>
              <w:t>按磋商文件格式提供《中小企业声明函》</w:t>
            </w:r>
            <w:r>
              <w:rPr>
                <w:rFonts w:hint="eastAsia" w:ascii="仿宋" w:hAnsi="仿宋" w:eastAsia="仿宋" w:cs="仿宋"/>
                <w:color w:val="auto"/>
                <w:lang w:eastAsia="zh-CN"/>
              </w:rPr>
              <w:t>。</w:t>
            </w:r>
          </w:p>
        </w:tc>
      </w:tr>
      <w:tr w14:paraId="63B596C1">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4A6F258D">
            <w:pPr>
              <w:spacing w:line="360" w:lineRule="auto"/>
              <w:rPr>
                <w:rFonts w:ascii="仿宋" w:hAnsi="仿宋" w:eastAsia="仿宋" w:cs="仿宋"/>
                <w:color w:val="auto"/>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3BBC618D">
            <w:pPr>
              <w:spacing w:line="360" w:lineRule="auto"/>
              <w:rPr>
                <w:rFonts w:ascii="仿宋" w:hAnsi="仿宋" w:eastAsia="仿宋" w:cs="仿宋"/>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1A35CA2B">
            <w:pPr>
              <w:spacing w:line="360"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42F3CC7B">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739A176E">
            <w:pPr>
              <w:spacing w:line="360" w:lineRule="auto"/>
              <w:rPr>
                <w:rFonts w:ascii="仿宋" w:hAnsi="仿宋" w:eastAsia="仿宋" w:cs="仿宋"/>
                <w:color w:val="auto"/>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0EF734A2">
            <w:pPr>
              <w:spacing w:line="360" w:lineRule="auto"/>
              <w:rPr>
                <w:rFonts w:ascii="仿宋" w:hAnsi="仿宋" w:eastAsia="仿宋" w:cs="仿宋"/>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5E3E55B2">
            <w:pPr>
              <w:spacing w:line="360" w:lineRule="auto"/>
              <w:rPr>
                <w:rFonts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供应商属于残疾人福利性单位的，按照磋商文件格式提供残疾人福利性单位声明函。</w:t>
            </w:r>
          </w:p>
        </w:tc>
      </w:tr>
      <w:tr w14:paraId="7EA5D611">
        <w:tblPrEx>
          <w:tblCellMar>
            <w:top w:w="0" w:type="dxa"/>
            <w:left w:w="108" w:type="dxa"/>
            <w:bottom w:w="0" w:type="dxa"/>
            <w:right w:w="108" w:type="dxa"/>
          </w:tblCellMar>
        </w:tblPrEx>
        <w:trPr>
          <w:trHeight w:val="90" w:hRule="atLeast"/>
          <w:jc w:val="center"/>
        </w:trPr>
        <w:tc>
          <w:tcPr>
            <w:tcW w:w="558" w:type="dxa"/>
            <w:vMerge w:val="restart"/>
            <w:tcBorders>
              <w:top w:val="single" w:color="auto" w:sz="4" w:space="0"/>
              <w:left w:val="single" w:color="auto" w:sz="4" w:space="0"/>
              <w:right w:val="single" w:color="auto" w:sz="4" w:space="0"/>
            </w:tcBorders>
            <w:vAlign w:val="center"/>
          </w:tcPr>
          <w:p w14:paraId="0A4CE6A4">
            <w:pPr>
              <w:spacing w:line="360" w:lineRule="auto"/>
              <w:rPr>
                <w:rFonts w:ascii="仿宋" w:hAnsi="仿宋" w:eastAsia="仿宋" w:cs="仿宋"/>
                <w:color w:val="auto"/>
                <w:lang w:eastAsia="zh-CN"/>
              </w:rPr>
            </w:pPr>
            <w:r>
              <w:rPr>
                <w:rFonts w:hint="eastAsia" w:ascii="仿宋" w:hAnsi="仿宋" w:eastAsia="仿宋" w:cs="仿宋"/>
                <w:color w:val="auto"/>
                <w:lang w:eastAsia="zh-CN"/>
              </w:rPr>
              <w:t>29</w:t>
            </w:r>
          </w:p>
        </w:tc>
        <w:tc>
          <w:tcPr>
            <w:tcW w:w="1691" w:type="dxa"/>
            <w:vMerge w:val="restart"/>
            <w:tcBorders>
              <w:top w:val="single" w:color="auto" w:sz="4" w:space="0"/>
              <w:left w:val="single" w:color="auto" w:sz="4" w:space="0"/>
              <w:right w:val="single" w:color="auto" w:sz="4" w:space="0"/>
            </w:tcBorders>
            <w:vAlign w:val="center"/>
          </w:tcPr>
          <w:p w14:paraId="7BD55DDD">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中小微企业政策文件说明</w:t>
            </w:r>
          </w:p>
        </w:tc>
        <w:tc>
          <w:tcPr>
            <w:tcW w:w="7116" w:type="dxa"/>
            <w:tcBorders>
              <w:top w:val="single" w:color="auto" w:sz="4" w:space="0"/>
              <w:left w:val="single" w:color="auto" w:sz="4" w:space="0"/>
              <w:bottom w:val="single" w:color="auto" w:sz="4" w:space="0"/>
              <w:right w:val="single" w:color="auto" w:sz="4" w:space="0"/>
            </w:tcBorders>
            <w:vAlign w:val="center"/>
          </w:tcPr>
          <w:p w14:paraId="23A0F109">
            <w:pPr>
              <w:spacing w:line="360" w:lineRule="auto"/>
              <w:rPr>
                <w:rFonts w:ascii="仿宋" w:hAnsi="仿宋" w:eastAsia="仿宋" w:cs="仿宋"/>
                <w:color w:val="auto"/>
                <w:lang w:eastAsia="zh-CN"/>
              </w:rPr>
            </w:pP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1</w:t>
            </w:r>
            <w:r>
              <w:rPr>
                <w:rFonts w:hint="eastAsia" w:ascii="仿宋" w:hAnsi="仿宋" w:eastAsia="仿宋" w:cs="仿宋"/>
                <w:b/>
                <w:bCs/>
                <w:color w:val="auto"/>
                <w:lang w:eastAsia="zh-CN"/>
              </w:rPr>
              <w:t>）本项目为专门面向中小企业，</w:t>
            </w:r>
            <w:r>
              <w:rPr>
                <w:rFonts w:hint="eastAsia" w:ascii="仿宋" w:hAnsi="仿宋" w:eastAsia="仿宋" w:cs="仿宋"/>
                <w:b/>
                <w:bCs/>
                <w:color w:val="auto"/>
                <w:lang w:val="en-US" w:eastAsia="zh-CN"/>
              </w:rPr>
              <w:t>必须按照要求提供中小企业声明函，不提供作废标处理。</w:t>
            </w:r>
          </w:p>
        </w:tc>
      </w:tr>
      <w:tr w14:paraId="627A24DB">
        <w:tblPrEx>
          <w:tblCellMar>
            <w:top w:w="0" w:type="dxa"/>
            <w:left w:w="108" w:type="dxa"/>
            <w:bottom w:w="0" w:type="dxa"/>
            <w:right w:w="108" w:type="dxa"/>
          </w:tblCellMar>
        </w:tblPrEx>
        <w:trPr>
          <w:trHeight w:val="568" w:hRule="atLeast"/>
          <w:jc w:val="center"/>
        </w:trPr>
        <w:tc>
          <w:tcPr>
            <w:tcW w:w="558" w:type="dxa"/>
            <w:vMerge w:val="continue"/>
            <w:tcBorders>
              <w:left w:val="single" w:color="auto" w:sz="4" w:space="0"/>
              <w:right w:val="single" w:color="auto" w:sz="4" w:space="0"/>
            </w:tcBorders>
            <w:vAlign w:val="center"/>
          </w:tcPr>
          <w:p w14:paraId="59A84BFA">
            <w:pPr>
              <w:spacing w:line="360" w:lineRule="auto"/>
              <w:jc w:val="center"/>
              <w:rPr>
                <w:rFonts w:ascii="仿宋" w:hAnsi="仿宋" w:eastAsia="仿宋" w:cs="仿宋"/>
                <w:color w:val="auto"/>
                <w:sz w:val="21"/>
                <w:szCs w:val="21"/>
                <w:lang w:eastAsia="zh-CN"/>
              </w:rPr>
            </w:pPr>
          </w:p>
        </w:tc>
        <w:tc>
          <w:tcPr>
            <w:tcW w:w="1691" w:type="dxa"/>
            <w:vMerge w:val="continue"/>
            <w:tcBorders>
              <w:left w:val="single" w:color="auto" w:sz="4" w:space="0"/>
              <w:right w:val="single" w:color="auto" w:sz="4" w:space="0"/>
            </w:tcBorders>
            <w:vAlign w:val="center"/>
          </w:tcPr>
          <w:p w14:paraId="174D06A4">
            <w:pPr>
              <w:spacing w:line="360" w:lineRule="auto"/>
              <w:rPr>
                <w:rFonts w:ascii="仿宋" w:hAnsi="仿宋" w:eastAsia="仿宋" w:cs="仿宋"/>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181A19FE">
            <w:pPr>
              <w:spacing w:line="360" w:lineRule="auto"/>
              <w:rPr>
                <w:rFonts w:hint="default" w:ascii="仿宋" w:hAnsi="仿宋" w:eastAsia="仿宋" w:cs="仿宋"/>
                <w:color w:val="auto"/>
                <w:lang w:val="en-US" w:eastAsia="zh-CN"/>
              </w:rPr>
            </w:pPr>
            <w:r>
              <w:rPr>
                <w:rFonts w:hint="eastAsia" w:ascii="仿宋" w:hAnsi="仿宋" w:eastAsia="仿宋" w:cs="仿宋"/>
                <w:b/>
                <w:bCs/>
                <w:color w:val="auto"/>
                <w:lang w:eastAsia="zh-CN"/>
              </w:rPr>
              <w:t>（2）本项目货物所属行业：</w:t>
            </w:r>
            <w:r>
              <w:rPr>
                <w:rFonts w:hint="eastAsia" w:ascii="仿宋" w:hAnsi="仿宋" w:eastAsia="仿宋" w:cs="仿宋"/>
                <w:b/>
                <w:bCs/>
                <w:color w:val="auto"/>
                <w:lang w:val="en-US" w:eastAsia="zh-CN"/>
              </w:rPr>
              <w:t>其他未列明行业</w:t>
            </w:r>
          </w:p>
        </w:tc>
      </w:tr>
      <w:tr w14:paraId="4F79EE63">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bottom w:val="single" w:color="auto" w:sz="4" w:space="0"/>
              <w:right w:val="single" w:color="auto" w:sz="4" w:space="0"/>
            </w:tcBorders>
            <w:vAlign w:val="center"/>
          </w:tcPr>
          <w:p w14:paraId="5AF72B29">
            <w:pPr>
              <w:spacing w:line="360" w:lineRule="auto"/>
              <w:jc w:val="center"/>
              <w:rPr>
                <w:rFonts w:ascii="仿宋" w:hAnsi="仿宋" w:eastAsia="仿宋" w:cs="仿宋"/>
                <w:color w:val="auto"/>
                <w:sz w:val="21"/>
                <w:szCs w:val="21"/>
                <w:lang w:eastAsia="zh-CN"/>
              </w:rPr>
            </w:pPr>
          </w:p>
        </w:tc>
        <w:tc>
          <w:tcPr>
            <w:tcW w:w="1691" w:type="dxa"/>
            <w:vMerge w:val="continue"/>
            <w:tcBorders>
              <w:left w:val="single" w:color="auto" w:sz="4" w:space="0"/>
              <w:bottom w:val="single" w:color="auto" w:sz="4" w:space="0"/>
              <w:right w:val="single" w:color="auto" w:sz="4" w:space="0"/>
            </w:tcBorders>
            <w:vAlign w:val="center"/>
          </w:tcPr>
          <w:p w14:paraId="1E82FD6C">
            <w:pPr>
              <w:spacing w:line="360" w:lineRule="auto"/>
              <w:rPr>
                <w:rFonts w:ascii="仿宋" w:hAnsi="仿宋" w:eastAsia="仿宋" w:cs="仿宋"/>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59D78F34">
            <w:pPr>
              <w:spacing w:line="360" w:lineRule="auto"/>
              <w:rPr>
                <w:rFonts w:ascii="仿宋" w:hAnsi="仿宋" w:eastAsia="仿宋" w:cs="仿宋"/>
                <w:color w:val="auto"/>
                <w:lang w:eastAsia="zh-CN"/>
              </w:rPr>
            </w:pPr>
            <w:r>
              <w:rPr>
                <w:rFonts w:hint="eastAsia" w:ascii="仿宋" w:hAnsi="仿宋" w:eastAsia="仿宋" w:cs="仿宋"/>
                <w:b/>
                <w:bCs/>
                <w:color w:val="auto"/>
                <w:lang w:eastAsia="zh-CN"/>
              </w:rPr>
              <w:t>着重提醒：投标供应商在提供《中小企业声明函》时，必须将招标文件采购标的物全部列入《中小企业声明函》</w:t>
            </w:r>
          </w:p>
        </w:tc>
      </w:tr>
      <w:tr w14:paraId="1EA53CCB">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3870261">
            <w:pPr>
              <w:spacing w:line="360" w:lineRule="auto"/>
              <w:rPr>
                <w:rFonts w:ascii="仿宋" w:hAnsi="仿宋" w:eastAsia="仿宋" w:cs="仿宋"/>
                <w:color w:val="auto"/>
                <w:lang w:eastAsia="zh-CN"/>
              </w:rPr>
            </w:pPr>
            <w:r>
              <w:rPr>
                <w:rFonts w:hint="eastAsia" w:ascii="仿宋" w:hAnsi="仿宋" w:eastAsia="仿宋" w:cs="仿宋"/>
                <w:color w:val="auto"/>
                <w:lang w:eastAsia="zh-CN"/>
              </w:rPr>
              <w:t>30</w:t>
            </w:r>
          </w:p>
        </w:tc>
        <w:tc>
          <w:tcPr>
            <w:tcW w:w="1691" w:type="dxa"/>
            <w:tcBorders>
              <w:top w:val="single" w:color="auto" w:sz="4" w:space="0"/>
              <w:left w:val="single" w:color="auto" w:sz="4" w:space="0"/>
              <w:bottom w:val="single" w:color="auto" w:sz="4" w:space="0"/>
              <w:right w:val="single" w:color="auto" w:sz="4" w:space="0"/>
            </w:tcBorders>
            <w:vAlign w:val="center"/>
          </w:tcPr>
          <w:p w14:paraId="16D22001">
            <w:pPr>
              <w:spacing w:line="360" w:lineRule="auto"/>
              <w:jc w:val="center"/>
              <w:rPr>
                <w:rFonts w:ascii="仿宋" w:hAnsi="仿宋" w:eastAsia="仿宋" w:cs="仿宋"/>
                <w:color w:val="auto"/>
                <w:lang w:val="zh-CN" w:eastAsia="zh-CN"/>
              </w:rPr>
            </w:pPr>
          </w:p>
          <w:p w14:paraId="3CCD0401">
            <w:pPr>
              <w:spacing w:line="360" w:lineRule="auto"/>
              <w:jc w:val="center"/>
              <w:rPr>
                <w:rFonts w:ascii="仿宋" w:hAnsi="仿宋" w:eastAsia="仿宋" w:cs="仿宋"/>
                <w:color w:val="auto"/>
                <w:lang w:val="zh-CN" w:eastAsia="zh-CN"/>
              </w:rPr>
            </w:pPr>
            <w:r>
              <w:rPr>
                <w:rFonts w:hint="eastAsia" w:ascii="仿宋" w:hAnsi="仿宋" w:eastAsia="仿宋" w:cs="仿宋"/>
                <w:color w:val="auto"/>
                <w:lang w:val="zh-CN" w:eastAsia="zh-CN"/>
              </w:rPr>
              <w:t>履约保证金</w:t>
            </w:r>
          </w:p>
          <w:p w14:paraId="1FDBD35A">
            <w:pPr>
              <w:spacing w:line="360" w:lineRule="auto"/>
              <w:jc w:val="center"/>
              <w:rPr>
                <w:rFonts w:ascii="仿宋" w:hAnsi="仿宋" w:eastAsia="仿宋" w:cs="仿宋"/>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14:paraId="4F070036">
            <w:pPr>
              <w:spacing w:line="360" w:lineRule="auto"/>
              <w:rPr>
                <w:rFonts w:ascii="仿宋" w:hAnsi="仿宋" w:eastAsia="仿宋" w:cs="仿宋"/>
                <w:color w:val="auto"/>
                <w:lang w:eastAsia="zh-CN"/>
              </w:rPr>
            </w:pPr>
            <w:r>
              <w:rPr>
                <w:rFonts w:hint="eastAsia" w:ascii="仿宋" w:hAnsi="仿宋" w:eastAsia="仿宋" w:cs="仿宋"/>
                <w:color w:val="auto"/>
                <w:lang w:val="zh-CN" w:eastAsia="zh-CN"/>
              </w:rPr>
              <w:t>中标人</w:t>
            </w:r>
            <w:r>
              <w:rPr>
                <w:rFonts w:hint="eastAsia" w:ascii="仿宋" w:hAnsi="仿宋" w:eastAsia="仿宋" w:cs="仿宋"/>
                <w:color w:val="auto"/>
                <w:lang w:eastAsia="zh-CN"/>
              </w:rPr>
              <w:t>应在领取《成交通知书》后的十个日历日内，办理履约保证金，</w:t>
            </w:r>
            <w:r>
              <w:rPr>
                <w:rFonts w:hint="eastAsia" w:ascii="仿宋" w:hAnsi="仿宋" w:eastAsia="仿宋" w:cs="仿宋"/>
                <w:color w:val="auto"/>
                <w:u w:val="single"/>
                <w:lang w:val="zh-CN" w:eastAsia="zh-CN"/>
              </w:rPr>
              <w:t>金额为合同总价的</w:t>
            </w:r>
            <w:r>
              <w:rPr>
                <w:rFonts w:hint="eastAsia" w:ascii="仿宋" w:hAnsi="仿宋" w:eastAsia="仿宋" w:cs="仿宋"/>
                <w:color w:val="auto"/>
                <w:u w:val="single"/>
                <w:lang w:eastAsia="zh-CN"/>
              </w:rPr>
              <w:t>10</w:t>
            </w:r>
            <w:r>
              <w:rPr>
                <w:rFonts w:hint="eastAsia" w:ascii="仿宋" w:hAnsi="仿宋" w:eastAsia="仿宋" w:cs="仿宋"/>
                <w:color w:val="auto"/>
                <w:u w:val="single"/>
                <w:lang w:val="zh-CN" w:eastAsia="zh-CN"/>
              </w:rPr>
              <w:t>%</w:t>
            </w:r>
            <w:r>
              <w:rPr>
                <w:rFonts w:hint="eastAsia" w:ascii="仿宋" w:hAnsi="仿宋" w:eastAsia="仿宋" w:cs="仿宋"/>
                <w:color w:val="auto"/>
                <w:lang w:val="zh-CN" w:eastAsia="zh-CN"/>
              </w:rPr>
              <w:t>，</w:t>
            </w:r>
            <w:r>
              <w:rPr>
                <w:rFonts w:hint="eastAsia" w:ascii="仿宋" w:hAnsi="仿宋" w:eastAsia="仿宋" w:cs="仿宋"/>
                <w:color w:val="auto"/>
                <w:lang w:eastAsia="zh-CN"/>
              </w:rPr>
              <w:t>否则招标人可取消</w:t>
            </w:r>
            <w:r>
              <w:rPr>
                <w:rFonts w:hint="eastAsia" w:ascii="仿宋" w:hAnsi="仿宋" w:eastAsia="仿宋" w:cs="仿宋"/>
                <w:color w:val="auto"/>
                <w:lang w:val="zh-CN" w:eastAsia="zh-CN"/>
              </w:rPr>
              <w:t>成交人</w:t>
            </w:r>
            <w:r>
              <w:rPr>
                <w:rFonts w:hint="eastAsia" w:ascii="仿宋" w:hAnsi="仿宋" w:eastAsia="仿宋" w:cs="仿宋"/>
                <w:color w:val="auto"/>
                <w:lang w:eastAsia="zh-CN"/>
              </w:rPr>
              <w:t>的</w:t>
            </w:r>
            <w:r>
              <w:rPr>
                <w:rFonts w:hint="eastAsia" w:ascii="仿宋" w:hAnsi="仿宋" w:eastAsia="仿宋" w:cs="仿宋"/>
                <w:color w:val="auto"/>
                <w:lang w:val="zh-CN" w:eastAsia="zh-CN"/>
              </w:rPr>
              <w:t>成交</w:t>
            </w:r>
            <w:r>
              <w:rPr>
                <w:rFonts w:hint="eastAsia" w:ascii="仿宋" w:hAnsi="仿宋" w:eastAsia="仿宋" w:cs="仿宋"/>
                <w:color w:val="auto"/>
                <w:lang w:eastAsia="zh-CN"/>
              </w:rPr>
              <w:t>资格，并没收其投标保证金。</w:t>
            </w:r>
          </w:p>
        </w:tc>
      </w:tr>
      <w:tr w14:paraId="2E3C2C7D">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vAlign w:val="center"/>
          </w:tcPr>
          <w:p w14:paraId="13FEED90">
            <w:pPr>
              <w:spacing w:line="360" w:lineRule="auto"/>
              <w:ind w:firstLine="729" w:firstLineChars="300"/>
              <w:rPr>
                <w:rFonts w:ascii="仿宋" w:hAnsi="仿宋" w:eastAsia="仿宋" w:cs="仿宋"/>
                <w:color w:val="auto"/>
                <w:lang w:eastAsia="zh-CN"/>
              </w:rPr>
            </w:pPr>
            <w:r>
              <w:rPr>
                <w:rFonts w:hint="eastAsia" w:ascii="仿宋" w:hAnsi="仿宋" w:eastAsia="仿宋" w:cs="仿宋"/>
                <w:color w:val="auto"/>
                <w:lang w:eastAsia="zh-CN"/>
              </w:rPr>
              <w:t>备注</w:t>
            </w:r>
          </w:p>
        </w:tc>
        <w:tc>
          <w:tcPr>
            <w:tcW w:w="7116" w:type="dxa"/>
            <w:tcBorders>
              <w:top w:val="single" w:color="auto" w:sz="4" w:space="0"/>
              <w:left w:val="single" w:color="auto" w:sz="4" w:space="0"/>
              <w:bottom w:val="single" w:color="auto" w:sz="4" w:space="0"/>
              <w:right w:val="single" w:color="auto" w:sz="4" w:space="0"/>
            </w:tcBorders>
            <w:vAlign w:val="center"/>
          </w:tcPr>
          <w:p w14:paraId="0A453008">
            <w:pPr>
              <w:spacing w:line="360" w:lineRule="auto"/>
              <w:rPr>
                <w:rFonts w:ascii="仿宋" w:hAnsi="仿宋" w:eastAsia="仿宋" w:cs="仿宋"/>
                <w:color w:val="auto"/>
                <w:lang w:eastAsia="zh-CN"/>
              </w:rPr>
            </w:pPr>
            <w:r>
              <w:rPr>
                <w:rFonts w:hint="eastAsia" w:ascii="仿宋" w:hAnsi="仿宋" w:eastAsia="仿宋" w:cs="仿宋"/>
                <w:color w:val="auto"/>
                <w:lang w:eastAsia="zh-CN"/>
              </w:rPr>
              <w:t>1、着重提醒各供应商注意，并认真查看磋商文件中的每一个条款及要求，因误读磋商文件而造成的后果，招标人概不负责。</w:t>
            </w:r>
          </w:p>
          <w:p w14:paraId="0EDCEE80">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2、供应商使用相同IP地址的，一经发现，相关部门将进一步核实，查实后按串通投标处理。</w:t>
            </w:r>
          </w:p>
          <w:p w14:paraId="1477281F">
            <w:pPr>
              <w:spacing w:line="360" w:lineRule="auto"/>
              <w:rPr>
                <w:rFonts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14:paraId="55BCEA99">
            <w:pPr>
              <w:spacing w:line="360" w:lineRule="auto"/>
              <w:rPr>
                <w:rFonts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122F4F04">
            <w:pPr>
              <w:spacing w:line="360" w:lineRule="auto"/>
              <w:rPr>
                <w:rFonts w:ascii="仿宋" w:hAnsi="仿宋" w:eastAsia="仿宋" w:cs="仿宋"/>
                <w:color w:val="auto"/>
                <w:lang w:eastAsia="zh-CN"/>
              </w:rPr>
            </w:pPr>
            <w:r>
              <w:rPr>
                <w:rFonts w:hint="eastAsia" w:ascii="仿宋" w:hAnsi="仿宋" w:eastAsia="仿宋" w:cs="仿宋"/>
                <w:color w:val="auto"/>
                <w:lang w:eastAsia="zh-CN"/>
              </w:rPr>
              <w:t>5、其它：</w:t>
            </w:r>
          </w:p>
          <w:p w14:paraId="257B8D07">
            <w:pPr>
              <w:spacing w:line="360" w:lineRule="auto"/>
              <w:rPr>
                <w:rFonts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14:paraId="5143BC7E">
            <w:pPr>
              <w:spacing w:line="360" w:lineRule="auto"/>
              <w:rPr>
                <w:rFonts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14:paraId="7D87843B">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（3）供应商应以书面形式保证中标后由本公司组织实施，不得以任何理由将项目转包给其他机构。</w:t>
            </w:r>
          </w:p>
          <w:p w14:paraId="24A6A0CE">
            <w:pPr>
              <w:spacing w:line="360" w:lineRule="auto"/>
              <w:rPr>
                <w:rFonts w:hint="default"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default" w:ascii="仿宋" w:hAnsi="仿宋" w:eastAsia="仿宋" w:cs="仿宋"/>
                <w:color w:val="auto"/>
                <w:lang w:eastAsia="zh-CN"/>
              </w:rPr>
              <w:t>如为信息系统采购项目，供应商不得为该整体项目或其中分项目前期工作提供过设计、编制、管理等服务的法人及附属单位。</w:t>
            </w:r>
          </w:p>
          <w:p w14:paraId="51EBD68B">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5</w:t>
            </w:r>
            <w:r>
              <w:rPr>
                <w:rFonts w:hint="eastAsia" w:ascii="仿宋" w:hAnsi="仿宋" w:eastAsia="仿宋" w:cs="仿宋"/>
                <w:color w:val="auto"/>
                <w:lang w:eastAsia="zh-CN"/>
              </w:rPr>
              <w:t>）</w:t>
            </w:r>
            <w:r>
              <w:rPr>
                <w:rFonts w:hint="default" w:ascii="仿宋" w:hAnsi="仿宋" w:eastAsia="仿宋" w:cs="仿宋"/>
                <w:color w:val="auto"/>
                <w:lang w:eastAsia="zh-CN"/>
              </w:rPr>
              <w:t>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36811A53">
            <w:pPr>
              <w:spacing w:line="360" w:lineRule="auto"/>
              <w:rPr>
                <w:rFonts w:hint="eastAsia" w:ascii="仿宋" w:hAnsi="仿宋" w:eastAsia="仿宋" w:cs="仿宋"/>
                <w:b/>
                <w:bCs/>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6</w:t>
            </w:r>
            <w:r>
              <w:rPr>
                <w:rFonts w:hint="eastAsia" w:ascii="仿宋" w:hAnsi="仿宋" w:eastAsia="仿宋" w:cs="仿宋"/>
                <w:color w:val="auto"/>
                <w:lang w:eastAsia="zh-CN"/>
              </w:rPr>
              <w:t>）</w:t>
            </w:r>
            <w:r>
              <w:rPr>
                <w:rFonts w:hint="eastAsia" w:ascii="仿宋" w:hAnsi="仿宋" w:eastAsia="仿宋" w:cs="仿宋"/>
                <w:b/>
                <w:bCs/>
                <w:color w:val="auto"/>
                <w:lang w:eastAsia="zh-CN"/>
              </w:rPr>
              <w:t>磋商响应文件中的报价为一次报价，各投标单位进行二次报价（磋商），采购人也可以根据磋商情况进行多轮报价，投标报价评审以最终报价为准。</w:t>
            </w:r>
          </w:p>
          <w:p w14:paraId="11D4D556">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7</w:t>
            </w:r>
            <w:r>
              <w:rPr>
                <w:rFonts w:hint="eastAsia" w:ascii="仿宋" w:hAnsi="仿宋" w:eastAsia="仿宋" w:cs="仿宋"/>
                <w:color w:val="auto"/>
                <w:lang w:eastAsia="zh-CN"/>
              </w:rPr>
              <w:t>）磋商文件中如出现前后不一致情况，均以前附表内容为准。</w:t>
            </w:r>
          </w:p>
          <w:p w14:paraId="632AE7B8">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8</w:t>
            </w:r>
            <w:r>
              <w:rPr>
                <w:rFonts w:hint="eastAsia" w:ascii="仿宋" w:hAnsi="仿宋" w:eastAsia="仿宋" w:cs="仿宋"/>
                <w:color w:val="auto"/>
                <w:lang w:eastAsia="zh-CN"/>
              </w:rPr>
              <w:t>）</w:t>
            </w:r>
            <w:r>
              <w:rPr>
                <w:rFonts w:hint="eastAsia" w:ascii="仿宋" w:hAnsi="仿宋" w:eastAsia="仿宋" w:cs="仿宋"/>
                <w:b/>
                <w:bCs/>
                <w:color w:val="auto"/>
                <w:lang w:eastAsia="zh-CN"/>
              </w:rPr>
              <w:t>投标供应商须按照对应的包号参加投标，即按包号进行投标。</w:t>
            </w:r>
          </w:p>
        </w:tc>
      </w:tr>
    </w:tbl>
    <w:p w14:paraId="4004E4CA">
      <w:pPr>
        <w:pageBreakBefore/>
        <w:spacing w:beforeLines="100" w:afterLines="100" w:line="340" w:lineRule="exact"/>
        <w:jc w:val="center"/>
        <w:outlineLvl w:val="1"/>
        <w:rPr>
          <w:rFonts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14:paraId="7882F2C1">
      <w:pPr>
        <w:spacing w:line="340" w:lineRule="exact"/>
        <w:jc w:val="center"/>
        <w:outlineLvl w:val="2"/>
        <w:rPr>
          <w:rFonts w:ascii="仿宋" w:hAnsi="仿宋" w:eastAsia="仿宋" w:cs="仿宋"/>
          <w:color w:val="auto"/>
          <w:sz w:val="28"/>
          <w:szCs w:val="28"/>
          <w:lang w:eastAsia="zh-CN"/>
        </w:rPr>
      </w:pPr>
      <w:bookmarkStart w:id="27"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27"/>
    </w:p>
    <w:p w14:paraId="11222CAA">
      <w:pPr>
        <w:snapToGrid w:val="0"/>
        <w:spacing w:line="3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14:paraId="171E9860">
      <w:pPr>
        <w:snapToGrid w:val="0"/>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14:paraId="4AB91A21">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14:paraId="6A3CE7B6">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招标人：见供应商须知前附表。</w:t>
      </w:r>
    </w:p>
    <w:p w14:paraId="6898E32A">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服务期：见供应商须知前附表。</w:t>
      </w:r>
    </w:p>
    <w:p w14:paraId="04C30C89">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服务地点：见供应商须知前附表。</w:t>
      </w:r>
    </w:p>
    <w:p w14:paraId="2F053333">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14:paraId="28251D61">
      <w:pPr>
        <w:snapToGrid w:val="0"/>
        <w:spacing w:line="440" w:lineRule="exact"/>
        <w:ind w:firstLine="607" w:firstLineChars="25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14:paraId="2575DACC">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14:paraId="571A4352">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14:paraId="3D302520">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14:paraId="41136DD2">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14:paraId="2294D7B5">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14:paraId="6A62E3B9">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 技术要求：详见磋商文件第四章采购服务需求。</w:t>
      </w:r>
    </w:p>
    <w:p w14:paraId="0D1FDF76">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14:paraId="6DF0A19F">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  </w:t>
      </w:r>
      <w:r>
        <w:rPr>
          <w:rFonts w:hint="eastAsia" w:ascii="仿宋" w:hAnsi="仿宋" w:eastAsia="仿宋" w:cs="仿宋"/>
          <w:color w:val="auto"/>
          <w:szCs w:val="21"/>
          <w:lang w:eastAsia="zh-CN"/>
        </w:rPr>
        <w:t>个包。</w:t>
      </w:r>
    </w:p>
    <w:p w14:paraId="1E22C795">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14:paraId="3B30BC5D">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4.1本项目招标方式：公开招标。</w:t>
      </w:r>
    </w:p>
    <w:p w14:paraId="7E696E3E">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14:paraId="7347299E">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固</w:t>
      </w:r>
      <w:r>
        <w:rPr>
          <w:rFonts w:hint="eastAsia" w:ascii="仿宋" w:hAnsi="仿宋" w:eastAsia="仿宋" w:cs="仿宋"/>
          <w:color w:val="auto"/>
          <w:szCs w:val="21"/>
          <w:u w:val="single"/>
          <w:lang w:val="en-US" w:eastAsia="zh-CN"/>
        </w:rPr>
        <w:t>定总价</w:t>
      </w:r>
      <w:r>
        <w:rPr>
          <w:rFonts w:hint="eastAsia" w:ascii="仿宋" w:hAnsi="仿宋" w:eastAsia="仿宋" w:cs="仿宋"/>
          <w:color w:val="auto"/>
          <w:szCs w:val="21"/>
          <w:u w:val="single"/>
          <w:lang w:eastAsia="zh-CN"/>
        </w:rPr>
        <w:t xml:space="preserve"> 。</w:t>
      </w:r>
    </w:p>
    <w:p w14:paraId="709522DD">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14:paraId="10F97420">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14:paraId="427788FE">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7.供应商资格：</w:t>
      </w:r>
    </w:p>
    <w:p w14:paraId="00161B83">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14:paraId="07370695">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14:paraId="6CE5D6E1">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lang w:eastAsia="zh-CN" w:bidi="ar-SA"/>
        </w:rPr>
        <w:t>(已在政采云平台其他省份入驻的供应商无须重复注册），</w:t>
      </w:r>
      <w:r>
        <w:rPr>
          <w:rFonts w:hint="eastAsia" w:ascii="仿宋" w:hAnsi="仿宋" w:eastAsia="仿宋" w:cs="仿宋"/>
          <w:color w:val="auto"/>
          <w:szCs w:val="21"/>
          <w:lang w:eastAsia="zh-CN"/>
        </w:rPr>
        <w:t>并完成CA数字证书申领。因未注册入库、未办理CA数字证书等原因造成无法投标或投标失败等后果由供应商自行承担。</w:t>
      </w:r>
    </w:p>
    <w:p w14:paraId="52B6C985">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7.4供应商必须确保自己在信息库中注册的信息真实、准确，并保证响应文件中的有关信息与库中的信息相一致。否则，供应商因此蒙受损失，招标人概不负责。</w:t>
      </w:r>
    </w:p>
    <w:p w14:paraId="7C7588D1">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14:paraId="25958F49">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14:paraId="40D8BC85">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28" w:name="_Toc296602429"/>
      <w:bookmarkStart w:id="29" w:name="_Toc152045539"/>
      <w:bookmarkStart w:id="30" w:name="_Toc152042315"/>
      <w:bookmarkStart w:id="31" w:name="_Toc247592876"/>
      <w:bookmarkStart w:id="32" w:name="_Toc144974507"/>
      <w:bookmarkStart w:id="33" w:name="_Toc247513962"/>
      <w:bookmarkStart w:id="34" w:name="_Toc247527563"/>
      <w:r>
        <w:rPr>
          <w:rFonts w:hint="eastAsia" w:ascii="仿宋" w:hAnsi="仿宋" w:eastAsia="仿宋" w:cs="仿宋"/>
          <w:b/>
          <w:color w:val="auto"/>
          <w:szCs w:val="21"/>
          <w:lang w:eastAsia="zh-CN"/>
        </w:rPr>
        <w:t xml:space="preserve"> 踏勘现场</w:t>
      </w:r>
      <w:bookmarkEnd w:id="28"/>
      <w:bookmarkEnd w:id="29"/>
      <w:bookmarkEnd w:id="30"/>
      <w:bookmarkEnd w:id="31"/>
      <w:bookmarkEnd w:id="32"/>
      <w:bookmarkEnd w:id="33"/>
      <w:bookmarkEnd w:id="34"/>
    </w:p>
    <w:p w14:paraId="52A32AF4">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lang w:eastAsia="zh-CN"/>
        </w:rPr>
        <w:t>供应商自行踏勘现场的，可咨询本项目采购人或采购代理机构联系人。</w:t>
      </w:r>
      <w:r>
        <w:rPr>
          <w:rFonts w:hint="eastAsia" w:ascii="仿宋" w:hAnsi="仿宋" w:eastAsia="仿宋" w:cs="仿宋"/>
          <w:b/>
          <w:bCs/>
          <w:color w:val="auto"/>
          <w:lang w:eastAsia="zh-CN"/>
        </w:rPr>
        <w:t>供应商自行踏勘现场的，可咨询本项目采购人或采购代理机构联系人。</w:t>
      </w:r>
      <w:r>
        <w:rPr>
          <w:rFonts w:hint="eastAsia" w:ascii="仿宋" w:hAnsi="仿宋" w:eastAsia="仿宋" w:cs="仿宋"/>
          <w:b/>
          <w:bCs/>
          <w:color w:val="auto"/>
          <w:szCs w:val="21"/>
          <w:lang w:eastAsia="zh-CN"/>
        </w:rPr>
        <w:t xml:space="preserve"> </w:t>
      </w:r>
    </w:p>
    <w:p w14:paraId="35EE702D">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14:paraId="00E133D3">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14:paraId="3BEB85EA">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招标人在踏勘现场中介绍的场地和相关的周边环境情况，供供应商在编制响应文件时参考，招标人不对供应商据此作出的判断和决策负责。</w:t>
      </w:r>
      <w:bookmarkStart w:id="35" w:name="_Toc296602430"/>
      <w:bookmarkStart w:id="36" w:name="_Toc247513963"/>
      <w:bookmarkStart w:id="37" w:name="_Toc152042316"/>
      <w:bookmarkStart w:id="38" w:name="_Toc247527564"/>
      <w:bookmarkStart w:id="39" w:name="_Toc247592877"/>
      <w:bookmarkStart w:id="40" w:name="_Toc152045540"/>
      <w:bookmarkStart w:id="41" w:name="_Toc144974508"/>
    </w:p>
    <w:p w14:paraId="68A69386">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35"/>
      <w:bookmarkEnd w:id="36"/>
      <w:bookmarkEnd w:id="37"/>
      <w:bookmarkEnd w:id="38"/>
      <w:bookmarkEnd w:id="39"/>
      <w:bookmarkEnd w:id="40"/>
      <w:bookmarkEnd w:id="41"/>
    </w:p>
    <w:p w14:paraId="556471B1">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10.1供应商须知前附表规定召开投标预备会的，招标人按供应商须知前附表规定的时间和地点召开投标预备会，澄清供应商提出的问题。</w:t>
      </w:r>
    </w:p>
    <w:p w14:paraId="6C5F143B">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14:paraId="6E8FEB59">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10.3招标人在供应商须知前附表规定的时间，将对供应商所提的问题进行澄清。该澄清内容为磋商文件的组成部分。</w:t>
      </w:r>
    </w:p>
    <w:p w14:paraId="7C43C208">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11. 联合投标</w:t>
      </w:r>
    </w:p>
    <w:p w14:paraId="258D1B08">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768741FC">
      <w:pPr>
        <w:spacing w:line="40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响应文件一并提交招标人。联合体各方签订共同投标协议后，不得再以自己名义单独在同一项目中投标，也不得组成新的联合体参加同一项目投标。</w:t>
      </w:r>
    </w:p>
    <w:p w14:paraId="2ED21770">
      <w:pPr>
        <w:spacing w:line="4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14:paraId="78C1DC1F">
      <w:pPr>
        <w:pStyle w:val="8"/>
        <w:spacing w:after="0" w:line="400" w:lineRule="exact"/>
        <w:ind w:left="0" w:leftChars="0" w:firstLine="490" w:firstLineChars="202"/>
        <w:rPr>
          <w:rFonts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14:paraId="5FA8F54A">
      <w:pPr>
        <w:spacing w:line="440" w:lineRule="exact"/>
        <w:ind w:firstLine="475"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r>
        <w:rPr>
          <w:rFonts w:hint="eastAsia" w:ascii="仿宋" w:hAnsi="仿宋" w:eastAsia="仿宋" w:cs="仿宋"/>
          <w:color w:val="auto"/>
          <w:szCs w:val="21"/>
          <w:lang w:eastAsia="zh-CN"/>
        </w:rPr>
        <w:t xml:space="preserve"> 见供应商须知前附表。</w:t>
      </w:r>
    </w:p>
    <w:p w14:paraId="328DC099">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13.供应商应注意的事项</w:t>
      </w:r>
    </w:p>
    <w:p w14:paraId="4C5B4087">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color w:val="auto"/>
          <w:szCs w:val="21"/>
          <w:lang w:eastAsia="zh-CN"/>
        </w:rPr>
        <w:t>13.1供应商一旦按规定缴纳了投标保证金并参加投标，即被认为接受了本磋商文件中的所有条件和规定。供应商必须严格按磋商文件的要求编制响应文件，响应文件宜编制页码和目录，以便评委审核。否则，由此产生的一切后果由供应商承担。</w:t>
      </w:r>
    </w:p>
    <w:p w14:paraId="4BE8A2D1">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13.2 供应商对采购内容中规定的技术参数、规格等要求必须完全响应或优于磋商文件中的要求。</w:t>
      </w:r>
    </w:p>
    <w:p w14:paraId="222E1F34">
      <w:pPr>
        <w:spacing w:line="440" w:lineRule="exact"/>
        <w:ind w:firstLine="475"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13.3所有供应商的投标保证金都应在磋商文件规定的投标保证金缴纳截止日期前缴纳。</w:t>
      </w:r>
    </w:p>
    <w:p w14:paraId="2CB875E9">
      <w:pPr>
        <w:spacing w:line="440" w:lineRule="exact"/>
        <w:ind w:firstLine="475"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14:paraId="178CA0C7">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124C5531">
      <w:pPr>
        <w:wordWrap w:val="0"/>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13.6  供应商被视为充分熟悉本招标项目所在地的与履行合同有关的各种情况，包括但不限于：</w:t>
      </w:r>
    </w:p>
    <w:p w14:paraId="3071677D">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14:paraId="33F09201">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14:paraId="1817F054">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14:paraId="1BC6A862">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本磋商文件不再对上述情况进行描述。</w:t>
      </w:r>
      <w:bookmarkStart w:id="42" w:name="_Toc469495725"/>
    </w:p>
    <w:p w14:paraId="593C8409">
      <w:pPr>
        <w:spacing w:line="400" w:lineRule="exact"/>
        <w:ind w:firstLine="424" w:firstLineChars="150"/>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42"/>
      <w:r>
        <w:rPr>
          <w:rFonts w:hint="eastAsia" w:ascii="仿宋" w:hAnsi="仿宋" w:eastAsia="仿宋" w:cs="仿宋"/>
          <w:b/>
          <w:color w:val="auto"/>
          <w:sz w:val="28"/>
          <w:szCs w:val="28"/>
          <w:lang w:eastAsia="zh-CN"/>
        </w:rPr>
        <w:t>磋商文件</w:t>
      </w:r>
    </w:p>
    <w:p w14:paraId="5A56AE08">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15. 磋商文件的编制依据</w:t>
      </w:r>
    </w:p>
    <w:p w14:paraId="3BFCEA2A">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lang w:eastAsia="zh-CN"/>
        </w:rPr>
        <w:t>等相关法律法规和规章及部、省、市级规范性文件的规定，编制本磋商文件。</w:t>
      </w:r>
    </w:p>
    <w:p w14:paraId="36DDDB73">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16. 磋商文件的组成</w:t>
      </w:r>
    </w:p>
    <w:p w14:paraId="4104891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16.1 磋商文件包括内容：第一章  磋商公告</w:t>
      </w:r>
    </w:p>
    <w:p w14:paraId="1640F9CA">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第二章  供应商须知</w:t>
      </w:r>
    </w:p>
    <w:p w14:paraId="3BBA0D06">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14:paraId="3D0C313D">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第四章  采购服务需求</w:t>
      </w:r>
    </w:p>
    <w:p w14:paraId="0BE70633">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14:paraId="406E6EA2">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第六章  响应文件格式文本</w:t>
      </w:r>
    </w:p>
    <w:p w14:paraId="6F8434CC">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第七章  招标单位、招标代理机构对本文件的确认</w:t>
      </w:r>
    </w:p>
    <w:p w14:paraId="3B15BDB9">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除16.1内容外，招标答疑亦为磋商文件的组成部分，对招标人和供应商起约束作用。</w:t>
      </w:r>
    </w:p>
    <w:p w14:paraId="060AE656">
      <w:pPr>
        <w:pStyle w:val="10"/>
        <w:wordWrap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16.3供应商应仔细阅读和检查磋商文件的全部内容。如发现缺页或附件不全，应及时向招标人提出，以便补齐。如有疑问，供应商应在以书面形式一次性向采购人和采购代理机构提出同一环节的质疑。</w:t>
      </w:r>
    </w:p>
    <w:p w14:paraId="222D7B8D">
      <w:pPr>
        <w:wordWrap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磋商文件使自己的权益受到损害的，可以自收到磋商文件之日（磋商文件公告期限届满之前收到磋商文件的，以完成获取磋商文件申请后下载磋商文件的时间为准）或者磋商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磋商文件的澄清将在政采云平台“更正公告”栏目予以公告，但不指明澄清问题的来源。如果澄清内容影响响应文件编制的，将相应延长投标截止时间。</w:t>
      </w:r>
    </w:p>
    <w:p w14:paraId="54072F65">
      <w:pPr>
        <w:spacing w:line="440" w:lineRule="exact"/>
        <w:rPr>
          <w:rFonts w:ascii="仿宋" w:hAnsi="仿宋" w:eastAsia="仿宋" w:cs="仿宋"/>
          <w:b/>
          <w:bCs/>
          <w:color w:val="auto"/>
          <w:szCs w:val="21"/>
          <w:lang w:eastAsia="zh-CN"/>
        </w:rPr>
      </w:pPr>
      <w:r>
        <w:rPr>
          <w:rFonts w:hint="eastAsia" w:ascii="仿宋" w:hAnsi="仿宋" w:eastAsia="仿宋" w:cs="仿宋"/>
          <w:b/>
          <w:bCs/>
          <w:color w:val="auto"/>
          <w:szCs w:val="21"/>
          <w:lang w:eastAsia="zh-CN"/>
        </w:rPr>
        <w:t>17. 磋商文件的修改、补充、解释</w:t>
      </w:r>
    </w:p>
    <w:p w14:paraId="09E00ADD">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17.1磋商文件发出后，招标人在规定的投标截止时间前可对磋商文件进行必要的修改和补充，并以更正公告形式在政采云平台 “更正公告”栏目予以公告，请各位供应商注意查看有关澄清内容，如不及时查看造成后果由供应商自负。磋商文件的修改、补充等内容作为磋商文件的组成部分，具有约束作用。</w:t>
      </w:r>
    </w:p>
    <w:p w14:paraId="1222F164">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17.2 为使供应商有充分的时间对竞争性磋商文件的修改部分进行分析、研究，采购代理机构有权推迟响应文件接收截止日期和招标时间，并将此变更在政采云平台以变更通知的形式予以公布或以书面通知所有购买竞争性磋商文件的供应商。 </w:t>
      </w:r>
    </w:p>
    <w:p w14:paraId="73300980">
      <w:pPr>
        <w:wordWrap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17.3 采购代理机构发出的所有补充、修改和变更文件均作为竞争性磋商文件的组成部分，与竞争性磋商文件具有同等法律效力。</w:t>
      </w:r>
    </w:p>
    <w:p w14:paraId="4752BA48">
      <w:pPr>
        <w:spacing w:line="40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17.4 磋商文件的解释</w:t>
      </w:r>
    </w:p>
    <w:p w14:paraId="4B8AB15D">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本磋商文件由招标人（或其委托的招标代理机构）负责解释。</w:t>
      </w:r>
    </w:p>
    <w:p w14:paraId="40BF81A3">
      <w:pPr>
        <w:spacing w:line="40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 </w:t>
      </w:r>
      <w:r>
        <w:rPr>
          <w:rFonts w:hint="eastAsia" w:ascii="仿宋" w:hAnsi="仿宋" w:eastAsia="仿宋" w:cs="仿宋"/>
          <w:b/>
          <w:color w:val="auto"/>
          <w:szCs w:val="21"/>
          <w:lang w:val="en-US" w:eastAsia="zh-CN"/>
        </w:rPr>
        <w:t xml:space="preserve">   </w:t>
      </w:r>
      <w:r>
        <w:rPr>
          <w:rFonts w:hint="eastAsia" w:ascii="仿宋" w:hAnsi="仿宋" w:eastAsia="仿宋" w:cs="仿宋"/>
          <w:b/>
          <w:color w:val="auto"/>
          <w:szCs w:val="21"/>
          <w:lang w:eastAsia="zh-CN"/>
        </w:rPr>
        <w:t>18. 磋商文件的发出</w:t>
      </w:r>
    </w:p>
    <w:p w14:paraId="06815826">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18.1  磋商文件、磋商文件的澄清、修改、补充及招标答疑等均应报相关部门备案后，方可发出。</w:t>
      </w:r>
    </w:p>
    <w:p w14:paraId="4F72C689">
      <w:pPr>
        <w:spacing w:line="440" w:lineRule="exact"/>
        <w:ind w:firstLine="486" w:firstLineChars="200"/>
        <w:rPr>
          <w:rFonts w:ascii="仿宋" w:hAnsi="仿宋" w:eastAsia="仿宋" w:cs="仿宋"/>
          <w:color w:val="auto"/>
          <w:szCs w:val="21"/>
          <w:lang w:eastAsia="zh-CN"/>
        </w:rPr>
      </w:pPr>
      <w:bookmarkStart w:id="43"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51BEF87A">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磋商文件中应明确样品送检方式、检测费用支付方法、供应商在规定时间内无法提供第三方权威检测机构检测报告的处理方式。（采购人根据项目需求按上述要求自行描述）</w:t>
      </w:r>
    </w:p>
    <w:p w14:paraId="29CD7FCB">
      <w:pPr>
        <w:spacing w:beforeLines="100" w:afterLines="100" w:line="440" w:lineRule="exact"/>
        <w:jc w:val="center"/>
        <w:outlineLvl w:val="2"/>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（三）响应文件的编制</w:t>
      </w:r>
      <w:bookmarkEnd w:id="43"/>
    </w:p>
    <w:p w14:paraId="26F7CD1A">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20. 投标的语言及度量衡单位</w:t>
      </w:r>
    </w:p>
    <w:p w14:paraId="02149527">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20.1供应商提交的响应文件、技术文件和资料，以及供应商与招标人就有关投标的所有来往函电均应使用中文。响应文件中若有英文或其他语言文字的资料，应提供相应的中文翻译资料。对不同文本响应文件的解释发生异议的，以中文文本为准。</w:t>
      </w:r>
    </w:p>
    <w:p w14:paraId="18AF116C">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20.2除磋商文件中另有规定外，投标书所使用的度量衡均须采用法定计量单位。</w:t>
      </w:r>
    </w:p>
    <w:p w14:paraId="0ABF68F9">
      <w:pPr>
        <w:spacing w:line="400" w:lineRule="exact"/>
        <w:ind w:firstLine="480" w:firstLineChars="198"/>
        <w:rPr>
          <w:rFonts w:ascii="仿宋" w:hAnsi="仿宋" w:eastAsia="仿宋" w:cs="仿宋"/>
          <w:b/>
          <w:color w:val="auto"/>
          <w:szCs w:val="21"/>
          <w:lang w:eastAsia="zh-CN"/>
        </w:rPr>
      </w:pPr>
      <w:r>
        <w:rPr>
          <w:rFonts w:hint="eastAsia" w:ascii="仿宋" w:hAnsi="仿宋" w:eastAsia="仿宋" w:cs="仿宋"/>
          <w:b/>
          <w:color w:val="auto"/>
          <w:szCs w:val="21"/>
          <w:lang w:eastAsia="zh-CN"/>
        </w:rPr>
        <w:t>21. 响应文件的组成</w:t>
      </w:r>
    </w:p>
    <w:p w14:paraId="3D67FD1D">
      <w:pPr>
        <w:spacing w:line="4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资格证明文件和商务及技术文件两部分。</w:t>
      </w:r>
    </w:p>
    <w:p w14:paraId="617AA0FF">
      <w:pPr>
        <w:spacing w:line="40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14:paraId="2738D30C">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资格证明文件是证明供应商有资格参加投标和中标后有能力履行合同的文件，这些文件应能满足招标的要求，否则作无效投标处理。</w:t>
      </w:r>
    </w:p>
    <w:p w14:paraId="4BDE0A83">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14:paraId="77D44BAA">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2、法定代表人资格证明书</w:t>
      </w:r>
    </w:p>
    <w:p w14:paraId="2F8B02C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3、法定代表人授权书</w:t>
      </w:r>
    </w:p>
    <w:p w14:paraId="6CB7546F">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4、参加政府采购活动前3年内在经营活动中没有重大违法记录的书面声明;</w:t>
      </w:r>
    </w:p>
    <w:p w14:paraId="39F58697">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5、投标保证金收据或投标担保函；</w:t>
      </w:r>
    </w:p>
    <w:p w14:paraId="6F0E79D5">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6</w:t>
      </w:r>
      <w:r>
        <w:rPr>
          <w:rFonts w:hint="eastAsia" w:ascii="仿宋" w:hAnsi="仿宋" w:eastAsia="仿宋" w:cs="仿宋"/>
          <w:color w:val="auto"/>
          <w:szCs w:val="21"/>
          <w:lang w:eastAsia="zh-CN"/>
        </w:rPr>
        <w:t>、投标企业须提供供应商（被授权本单位在职人员）近6个月内任意1个月的有效社保证明。</w:t>
      </w:r>
    </w:p>
    <w:p w14:paraId="3D894CAD">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、参加采购活动前三年内，在经营活动中没有重大违法记录，供应商须提供 “信用中国”网站（http://www.creditchina.gov.cn/）、“中国政府采购网”网站（http://www.ccgp.gov.cn）无违法违规行为的查询记录。</w:t>
      </w:r>
    </w:p>
    <w:p w14:paraId="6E93601D">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8</w:t>
      </w:r>
      <w:r>
        <w:rPr>
          <w:rFonts w:hint="eastAsia" w:ascii="仿宋" w:hAnsi="仿宋" w:eastAsia="仿宋" w:cs="仿宋"/>
          <w:color w:val="auto"/>
          <w:szCs w:val="21"/>
          <w:lang w:eastAsia="zh-CN"/>
        </w:rPr>
        <w:t xml:space="preserve">、供应商须知资料表要求的其他资格证明文件。 </w:t>
      </w:r>
    </w:p>
    <w:p w14:paraId="5FF4BB3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14:paraId="3F4B38E4">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1、投标函</w:t>
      </w:r>
    </w:p>
    <w:p w14:paraId="263F760B">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2、开标一览表</w:t>
      </w:r>
    </w:p>
    <w:p w14:paraId="78ADFACC">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3、投标分项报价表</w:t>
      </w:r>
    </w:p>
    <w:p w14:paraId="7D022225">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4、技术规格偏离表</w:t>
      </w:r>
    </w:p>
    <w:p w14:paraId="14B8A5C0">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5、商务条款偏离表</w:t>
      </w:r>
    </w:p>
    <w:p w14:paraId="47746E35">
      <w:pPr>
        <w:spacing w:line="400" w:lineRule="exact"/>
        <w:ind w:firstLine="482"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6、供应商基本情况表</w:t>
      </w:r>
    </w:p>
    <w:p w14:paraId="3CAB24E8">
      <w:pPr>
        <w:spacing w:line="400" w:lineRule="exact"/>
        <w:ind w:firstLine="482"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val="en-US" w:eastAsia="zh-CN"/>
        </w:rPr>
        <w:t>7、</w:t>
      </w:r>
      <w:r>
        <w:rPr>
          <w:rFonts w:hint="eastAsia" w:ascii="仿宋" w:hAnsi="仿宋" w:eastAsia="仿宋" w:cs="仿宋"/>
          <w:bCs/>
          <w:color w:val="auto"/>
          <w:szCs w:val="21"/>
          <w:lang w:eastAsia="zh-CN"/>
        </w:rPr>
        <w:t>近三年（20</w:t>
      </w:r>
      <w:r>
        <w:rPr>
          <w:rFonts w:hint="eastAsia" w:ascii="仿宋" w:hAnsi="仿宋" w:eastAsia="仿宋" w:cs="仿宋"/>
          <w:bCs/>
          <w:color w:val="auto"/>
          <w:szCs w:val="21"/>
          <w:lang w:val="en-US" w:eastAsia="zh-CN"/>
        </w:rPr>
        <w:t>22</w:t>
      </w:r>
      <w:r>
        <w:rPr>
          <w:rFonts w:hint="eastAsia" w:ascii="仿宋" w:hAnsi="仿宋" w:eastAsia="仿宋" w:cs="仿宋"/>
          <w:bCs/>
          <w:color w:val="auto"/>
          <w:szCs w:val="21"/>
          <w:lang w:eastAsia="zh-CN"/>
        </w:rPr>
        <w:t>年1月1日至今）类似项目业绩；</w:t>
      </w:r>
    </w:p>
    <w:p w14:paraId="148BAFC0">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val="en-US" w:eastAsia="zh-CN"/>
        </w:rPr>
        <w:t>8</w:t>
      </w:r>
      <w:r>
        <w:rPr>
          <w:rFonts w:hint="eastAsia" w:ascii="仿宋" w:hAnsi="仿宋" w:eastAsia="仿宋" w:cs="仿宋"/>
          <w:bCs/>
          <w:color w:val="auto"/>
          <w:szCs w:val="21"/>
          <w:lang w:eastAsia="zh-CN"/>
        </w:rPr>
        <w:t>、中小企业声明函(服务)</w:t>
      </w:r>
    </w:p>
    <w:p w14:paraId="787F9F8F">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val="en-US" w:eastAsia="zh-CN"/>
        </w:rPr>
        <w:t>9</w:t>
      </w:r>
      <w:r>
        <w:rPr>
          <w:rFonts w:hint="eastAsia" w:ascii="仿宋" w:hAnsi="仿宋" w:eastAsia="仿宋" w:cs="仿宋"/>
          <w:bCs/>
          <w:color w:val="auto"/>
          <w:szCs w:val="21"/>
          <w:lang w:eastAsia="zh-CN"/>
        </w:rPr>
        <w:t>、《残疾人福利性单位声明函》</w:t>
      </w:r>
    </w:p>
    <w:p w14:paraId="04BDCC8D">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val="en-US" w:eastAsia="zh-CN"/>
        </w:rPr>
        <w:t>10</w:t>
      </w:r>
      <w:r>
        <w:rPr>
          <w:rFonts w:hint="eastAsia" w:ascii="仿宋" w:hAnsi="仿宋" w:eastAsia="仿宋" w:cs="仿宋"/>
          <w:bCs/>
          <w:color w:val="auto"/>
          <w:szCs w:val="21"/>
          <w:lang w:eastAsia="zh-CN"/>
        </w:rPr>
        <w:t>、评分标准和细则中技术部分证明材料</w:t>
      </w:r>
    </w:p>
    <w:p w14:paraId="528E1015">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w:t>
      </w:r>
      <w:r>
        <w:rPr>
          <w:rFonts w:hint="eastAsia" w:ascii="仿宋" w:hAnsi="仿宋" w:eastAsia="仿宋" w:cs="仿宋"/>
          <w:bCs/>
          <w:color w:val="auto"/>
          <w:szCs w:val="21"/>
          <w:lang w:val="en-US" w:eastAsia="zh-CN"/>
        </w:rPr>
        <w:t>1</w:t>
      </w:r>
      <w:r>
        <w:rPr>
          <w:rFonts w:hint="eastAsia" w:ascii="仿宋" w:hAnsi="仿宋" w:eastAsia="仿宋" w:cs="仿宋"/>
          <w:bCs/>
          <w:color w:val="auto"/>
          <w:szCs w:val="21"/>
          <w:lang w:eastAsia="zh-CN"/>
        </w:rPr>
        <w:t>、评分标准和细则中技术部分证明材料（格式自拟）</w:t>
      </w:r>
    </w:p>
    <w:p w14:paraId="63105578">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w:t>
      </w:r>
      <w:r>
        <w:rPr>
          <w:rFonts w:hint="eastAsia" w:ascii="仿宋" w:hAnsi="仿宋" w:eastAsia="仿宋" w:cs="仿宋"/>
          <w:bCs/>
          <w:color w:val="auto"/>
          <w:szCs w:val="21"/>
          <w:lang w:val="en-US" w:eastAsia="zh-CN"/>
        </w:rPr>
        <w:t>2</w:t>
      </w:r>
      <w:r>
        <w:rPr>
          <w:rFonts w:hint="eastAsia" w:ascii="仿宋" w:hAnsi="仿宋" w:eastAsia="仿宋" w:cs="仿宋"/>
          <w:bCs/>
          <w:color w:val="auto"/>
          <w:szCs w:val="21"/>
          <w:lang w:eastAsia="zh-CN"/>
        </w:rPr>
        <w:t>、供应商认为有必要提供的其他证明材料（格式自拟）</w:t>
      </w:r>
    </w:p>
    <w:p w14:paraId="13756785">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b/>
          <w:color w:val="auto"/>
          <w:szCs w:val="21"/>
          <w:u w:val="single"/>
          <w:lang w:eastAsia="zh-CN"/>
        </w:rPr>
        <w:t>注：以上材料须逐页加盖单位公章。</w:t>
      </w:r>
    </w:p>
    <w:p w14:paraId="6208F64A">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21.3响应文件的要求</w:t>
      </w:r>
    </w:p>
    <w:p w14:paraId="159A777C">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1）供应商应仔细阅读磋商文件的所有内容，按照磋商文件的要求详细编制响应文件，所提交的全部资料必须真实有效，并且要保证字迹清晰易于辨认。响应文件应对磋商文件实质性内容作出响应，否则按无效标处理。</w:t>
      </w:r>
    </w:p>
    <w:p w14:paraId="04FFDAEB">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（2）响应文件格式应按本磋商文件第六章格式要求编制，不得对磋商文件格式进行增删更改，否则按无效标处理。</w:t>
      </w:r>
    </w:p>
    <w:p w14:paraId="659838D3">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（3）对磋商文件格式可更改的例外情况：磋商文件第六章附件格式要求中明确规定表格中行数不够用时可按相同格式增加行数，其他一切内容和格式不得更改。 </w:t>
      </w:r>
    </w:p>
    <w:p w14:paraId="61419A39">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（4）响应文件为电子响应文件，电子响应文件按“政采云供应商项目采购-电子招投标操作指南”及本磋商文件要求制作、加密传输。</w:t>
      </w:r>
    </w:p>
    <w:p w14:paraId="49C97FF9">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（5）响应文件未在投标截止时间前完成传输的，视为响应文件撤回；响应文件未按时解密也未提供备份响应文件的，亦视为响应文件撤回。</w:t>
      </w:r>
    </w:p>
    <w:p w14:paraId="7B6332F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22</w:t>
      </w:r>
      <w:r>
        <w:rPr>
          <w:rFonts w:hint="eastAsia" w:ascii="仿宋" w:hAnsi="仿宋" w:eastAsia="仿宋" w:cs="仿宋"/>
          <w:color w:val="auto"/>
          <w:szCs w:val="21"/>
          <w:lang w:eastAsia="zh-CN"/>
        </w:rPr>
        <w:t>.</w:t>
      </w:r>
      <w:r>
        <w:rPr>
          <w:rFonts w:hint="eastAsia" w:ascii="仿宋" w:hAnsi="仿宋" w:eastAsia="仿宋" w:cs="仿宋"/>
          <w:b/>
          <w:color w:val="auto"/>
          <w:szCs w:val="21"/>
          <w:lang w:eastAsia="zh-CN"/>
        </w:rPr>
        <w:t>投标报价</w:t>
      </w:r>
    </w:p>
    <w:p w14:paraId="2860386A">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22.1投标报价文件中的单价和总价全部采用人民币表示。</w:t>
      </w:r>
    </w:p>
    <w:p w14:paraId="2CBE4D5E">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22.2投标报价表上应清楚地标明供应商拟提供货物/服务的名称、技术要求、数量、单价和总价。</w:t>
      </w:r>
    </w:p>
    <w:p w14:paraId="48992E60">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22.3供应商只允许有一个方案、一个报价。</w:t>
      </w:r>
    </w:p>
    <w:p w14:paraId="472941C3">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22.4供应商应按“采购内容及服务需求”所列货物/服务逐项进行单价报价，并最终按货物总量乘以货物/服务单价报总价，不得采用总价下浮的方式进行报价。综合单价包括：管理费、利润、风险费用、代理费、验收、培训及后期服务及国家对中标单位征收的各种税费等所有一切费用，综合单价今后将不作任何调整。</w:t>
      </w:r>
    </w:p>
    <w:p w14:paraId="6C6B539B">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22.5投标报价的价格是货物/服务交货地验收价格，其总价即为履行合同的综合单位。</w:t>
      </w:r>
    </w:p>
    <w:p w14:paraId="37ADCDA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22.6服务需求中规定的全部费用应包括在投标价格中。响应文件报价为含税价，招标人不再为此次招标支付任何费用。</w:t>
      </w:r>
    </w:p>
    <w:p w14:paraId="113E5416">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22.7投标报价应由法定代表人或被授权人签署。</w:t>
      </w:r>
    </w:p>
    <w:p w14:paraId="3E496F5D">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22.8</w:t>
      </w:r>
      <w:r>
        <w:rPr>
          <w:rFonts w:hint="eastAsia" w:ascii="仿宋" w:hAnsi="仿宋" w:eastAsia="仿宋" w:cs="仿宋"/>
          <w:b/>
          <w:color w:val="auto"/>
          <w:szCs w:val="21"/>
          <w:lang w:eastAsia="zh-CN"/>
        </w:rPr>
        <w:t>供应商投标总价，不得高于本次招标设置的最高限价，</w:t>
      </w:r>
      <w:r>
        <w:rPr>
          <w:rFonts w:hint="eastAsia" w:ascii="仿宋" w:hAnsi="仿宋" w:eastAsia="仿宋" w:cs="仿宋"/>
          <w:b/>
          <w:bCs/>
          <w:color w:val="auto"/>
          <w:szCs w:val="21"/>
          <w:lang w:eastAsia="zh-CN"/>
        </w:rPr>
        <w:t>否则将作为无效投标处理。</w:t>
      </w:r>
    </w:p>
    <w:p w14:paraId="583B51E5">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22.9如响应文件中未列明全面实现投标货物/服务功能而必须配置的配套或辅助设施及相应技术措施的费用，这些费用将被视为已包含在总投标价中。</w:t>
      </w:r>
    </w:p>
    <w:p w14:paraId="63ADCAFE">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22.10总投标价中不得包含磋商文件要求以外的内容，否则，在评标时不予核减，但在授予合同时，招标人有权将这部分价格从其中标价格中扣除。</w:t>
      </w:r>
    </w:p>
    <w:p w14:paraId="04A646FB">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22.11总投标价中不得缺漏磋商文件所要求的内容，否则，评标时将有效投标中该项内容的最高价计入其评标总价，但在授予合同时，缺漏项目的报价视作已含在其他项目的报价中，这些项目将作为免费赠送而包含在合同内。    </w:t>
      </w:r>
    </w:p>
    <w:p w14:paraId="190B05D0">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23. 投标有效期</w:t>
      </w:r>
    </w:p>
    <w:p w14:paraId="278CCA71">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23.1 除供应商须知前附表另有规定外，投标有效期为60天。</w:t>
      </w:r>
    </w:p>
    <w:p w14:paraId="396EAF0A">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23.2在投标有效期内，供应商撤销或修改其响应文件的，应承担磋商文件和法律规定的责任。</w:t>
      </w:r>
    </w:p>
    <w:p w14:paraId="19C49AD8">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23.3出现特殊情况需要延长投标有效期的，招标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14:paraId="132BE5C9">
      <w:pPr>
        <w:spacing w:line="440" w:lineRule="exact"/>
        <w:ind w:firstLine="465" w:firstLineChars="192"/>
        <w:rPr>
          <w:rFonts w:ascii="仿宋" w:hAnsi="仿宋" w:eastAsia="仿宋" w:cs="仿宋"/>
          <w:b/>
          <w:color w:val="auto"/>
          <w:szCs w:val="21"/>
          <w:lang w:eastAsia="zh-CN"/>
        </w:rPr>
      </w:pPr>
      <w:r>
        <w:rPr>
          <w:rFonts w:hint="eastAsia" w:ascii="仿宋" w:hAnsi="仿宋" w:eastAsia="仿宋" w:cs="仿宋"/>
          <w:b/>
          <w:color w:val="auto"/>
          <w:szCs w:val="21"/>
          <w:lang w:eastAsia="zh-CN"/>
        </w:rPr>
        <w:t>24. 投标保证金</w:t>
      </w:r>
    </w:p>
    <w:p w14:paraId="1B63EB44">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24.1供应商须知前附表规定递交投标保证金的，供应商在递交响应文件的同时，应按供应商须知前附表规定的金额、担保形式和第六部分“响应文件格式”规定的投标保证金格式递交投标保证金，并作为其响应文件的组成部分。供应商不按要求提交投标保证金的，评标委员会将否决其投标。</w:t>
      </w:r>
    </w:p>
    <w:p w14:paraId="21CFD085">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24.2自成交通知书发出之日起5个工作日内退还未成交供应商的投标保证金，自政府采购合同签订之日起5个工作日内退还中标人的投标保证金。</w:t>
      </w:r>
    </w:p>
    <w:p w14:paraId="5EEAB292">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24.3有下列情形之一的，投标保证金将不予退还： </w:t>
      </w:r>
    </w:p>
    <w:p w14:paraId="239F9A12">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（1）供应商在规定的投标有效期内撤回或修改其响应文件；</w:t>
      </w:r>
    </w:p>
    <w:p w14:paraId="200D1DD6">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（2）成交通知书发出后三十天内，中标人无正当理由拒签合同协议书或未按磋商文件规定提交履约担保。</w:t>
      </w:r>
    </w:p>
    <w:p w14:paraId="0970165A">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（3）提供虚假材料谋取中标的；</w:t>
      </w:r>
    </w:p>
    <w:p w14:paraId="3DD0E518">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（4）经查实属于陪标、串通投标的等。</w:t>
      </w:r>
    </w:p>
    <w:p w14:paraId="55A6A5DE">
      <w:pPr>
        <w:spacing w:line="400" w:lineRule="exact"/>
        <w:ind w:firstLine="486" w:firstLineChars="200"/>
        <w:rPr>
          <w:rFonts w:ascii="仿宋" w:hAnsi="仿宋" w:eastAsia="仿宋" w:cs="仿宋"/>
          <w:color w:val="auto"/>
          <w:szCs w:val="21"/>
          <w:lang w:eastAsia="zh-CN"/>
        </w:rPr>
      </w:pPr>
      <w:bookmarkStart w:id="44" w:name="_Toc469495727"/>
      <w:r>
        <w:rPr>
          <w:rFonts w:hint="eastAsia" w:ascii="仿宋" w:hAnsi="仿宋" w:eastAsia="仿宋" w:cs="仿宋"/>
          <w:color w:val="auto"/>
          <w:szCs w:val="21"/>
          <w:lang w:eastAsia="zh-CN"/>
        </w:rPr>
        <w:t>24.4投标保证金按供应商须知前附表第13条规定执行。</w:t>
      </w:r>
    </w:p>
    <w:p w14:paraId="5494E08B">
      <w:pPr>
        <w:pStyle w:val="2"/>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（四）</w:t>
      </w:r>
      <w:bookmarkEnd w:id="44"/>
      <w:r>
        <w:rPr>
          <w:rFonts w:hint="eastAsia" w:ascii="仿宋" w:hAnsi="仿宋" w:eastAsia="仿宋" w:cs="仿宋"/>
          <w:color w:val="auto"/>
          <w:sz w:val="28"/>
          <w:szCs w:val="28"/>
          <w:lang w:eastAsia="zh-CN"/>
        </w:rPr>
        <w:t>响应文件的制作、上传及递交要求</w:t>
      </w:r>
    </w:p>
    <w:p w14:paraId="585E7EA5">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25.响应文件的制作要求</w:t>
      </w:r>
    </w:p>
    <w:p w14:paraId="27EEAE89">
      <w:pPr>
        <w:pStyle w:val="5"/>
        <w:snapToGrid w:val="0"/>
        <w:spacing w:line="360" w:lineRule="auto"/>
        <w:rPr>
          <w:rFonts w:ascii="仿宋" w:hAnsi="仿宋" w:eastAsia="仿宋" w:cs="仿宋"/>
          <w:color w:val="auto"/>
          <w:szCs w:val="24"/>
          <w:lang w:eastAsia="zh-CN"/>
        </w:rPr>
      </w:pPr>
      <w:r>
        <w:rPr>
          <w:rFonts w:hint="eastAsia" w:ascii="仿宋" w:hAnsi="仿宋" w:eastAsia="仿宋" w:cs="仿宋"/>
          <w:bCs/>
          <w:color w:val="auto"/>
          <w:szCs w:val="24"/>
          <w:lang w:eastAsia="zh-CN"/>
        </w:rPr>
        <w:t>（1）供应商应按照响应文件组成内容及项目招标需求和新疆政府采购云平台要求制作响应文件，不按磋商文件和新疆政府采购云平台要求制作响应文件的将视情况处理（拒收等），由此产生的责任由供应商自行承担。</w:t>
      </w:r>
    </w:p>
    <w:p w14:paraId="59DA7CD4">
      <w:pPr>
        <w:pStyle w:val="5"/>
        <w:snapToGrid w:val="0"/>
        <w:spacing w:line="360" w:lineRule="auto"/>
        <w:ind w:firstLine="486" w:firstLineChars="200"/>
        <w:rPr>
          <w:rFonts w:ascii="仿宋" w:hAnsi="仿宋" w:eastAsia="仿宋" w:cs="仿宋"/>
          <w:color w:val="auto"/>
          <w:szCs w:val="24"/>
          <w:lang w:eastAsia="zh-CN"/>
        </w:rPr>
      </w:pPr>
      <w:r>
        <w:rPr>
          <w:rFonts w:hint="eastAsia" w:ascii="仿宋" w:hAnsi="仿宋" w:eastAsia="仿宋" w:cs="仿宋"/>
          <w:bCs/>
          <w:color w:val="auto"/>
          <w:szCs w:val="24"/>
          <w:lang w:eastAsia="zh-CN"/>
        </w:rPr>
        <w:t>电子响应文件部分：供应商应根据“政采云供应商项目采购-电子招投标操作指南”及本磋商文件规定的格式和顺序编制电子响应文件并进行关联定位。本文件《第六章 响应文件格式》中有提供格式的，供应商应按照格式进行编制（格式中要求提供相关证明材料的还需后附相关证明材料），并按格式要求在指定位置根据要求进行签章，否则视为未提供；本文件《第六部分响应文件格式》未提供格式的，请供应商自行拟定格式，并加盖单位公章，否则视为未提供。</w:t>
      </w:r>
    </w:p>
    <w:p w14:paraId="6B0A6AF9">
      <w:pPr>
        <w:pStyle w:val="5"/>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备份电子响应文件：通过“政采云”平台电子投标工具制作响应文件所产生的备份文件。</w:t>
      </w:r>
    </w:p>
    <w:p w14:paraId="776F29DC">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（2）供应商应对所提供的全部资料的真实性、有效性承担法律责任，电子响应文件中所须加盖公章部分均采用CA签章。</w:t>
      </w:r>
    </w:p>
    <w:p w14:paraId="6949803B">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（3）响应文件以及供应商与采购组织机构就有关投标事宜的所有来往函电，均应以中文汉语书写。除签章、盖章、专用名称等特殊情形外，以中文汉语以外的文字表述的响应文件视同未提供。</w:t>
      </w:r>
    </w:p>
    <w:p w14:paraId="3D9D7A40">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（4）投标计量单位，磋商文件已有明确规定的，使用磋商文件规定的计量单位；磋商文件没有规定的，应采用中华人民共和国法定计量单位（货币单位：人民币元）。</w:t>
      </w:r>
    </w:p>
    <w:p w14:paraId="7D217A34">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（5）若供应商不按磋商文件的要求提供资格审查材料，其风险由供应商自行承担。</w:t>
      </w:r>
    </w:p>
    <w:p w14:paraId="46B07239">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（6）与本次投标无关的内容请不要制作在内，确保响应文件有针对性、简洁明了。</w:t>
      </w:r>
    </w:p>
    <w:p w14:paraId="565A1B4E">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26.响应文件的上传</w:t>
      </w:r>
    </w:p>
    <w:p w14:paraId="054E200F">
      <w:pPr>
        <w:pStyle w:val="5"/>
        <w:snapToGrid w:val="0"/>
        <w:spacing w:line="360" w:lineRule="auto"/>
        <w:rPr>
          <w:rFonts w:ascii="仿宋" w:hAnsi="仿宋" w:eastAsia="仿宋" w:cs="仿宋"/>
          <w:b/>
          <w:bCs/>
          <w:color w:val="auto"/>
          <w:szCs w:val="24"/>
          <w:lang w:eastAsia="zh-CN"/>
        </w:rPr>
      </w:pPr>
      <w:r>
        <w:rPr>
          <w:rFonts w:hint="eastAsia" w:ascii="仿宋" w:hAnsi="仿宋" w:eastAsia="仿宋" w:cs="仿宋"/>
          <w:b/>
          <w:bCs/>
          <w:color w:val="auto"/>
          <w:szCs w:val="24"/>
          <w:lang w:eastAsia="zh-CN"/>
        </w:rPr>
        <w:t>（1）</w:t>
      </w:r>
      <w:r>
        <w:rPr>
          <w:rFonts w:hint="eastAsia" w:ascii="仿宋" w:hAnsi="仿宋" w:eastAsia="仿宋" w:cs="仿宋"/>
          <w:b/>
          <w:bCs/>
          <w:color w:val="auto"/>
          <w:szCs w:val="24"/>
          <w:lang w:eastAsia="zh-CN" w:bidi="zh-CN"/>
        </w:rPr>
        <w:t>电子加密响应文件（“.jmbs”格式）</w:t>
      </w:r>
      <w:r>
        <w:rPr>
          <w:rFonts w:hint="eastAsia" w:ascii="仿宋" w:hAnsi="仿宋" w:eastAsia="仿宋" w:cs="仿宋"/>
          <w:b/>
          <w:bCs/>
          <w:color w:val="auto"/>
          <w:szCs w:val="24"/>
          <w:lang w:eastAsia="zh-CN"/>
        </w:rPr>
        <w:t>：</w:t>
      </w:r>
    </w:p>
    <w:p w14:paraId="15285104">
      <w:pPr>
        <w:pStyle w:val="5"/>
        <w:snapToGrid w:val="0"/>
        <w:spacing w:line="360" w:lineRule="auto"/>
        <w:ind w:firstLine="607"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a.</w:t>
      </w:r>
      <w:r>
        <w:rPr>
          <w:rFonts w:hint="eastAsia" w:ascii="仿宋" w:hAnsi="仿宋" w:eastAsia="仿宋" w:cs="仿宋"/>
          <w:bCs/>
          <w:color w:val="auto"/>
          <w:szCs w:val="24"/>
          <w:lang w:eastAsia="zh-CN"/>
        </w:rPr>
        <w:t xml:space="preserve"> </w:t>
      </w:r>
      <w:r>
        <w:rPr>
          <w:rFonts w:hint="eastAsia" w:ascii="仿宋" w:hAnsi="仿宋" w:eastAsia="仿宋" w:cs="仿宋"/>
          <w:bCs/>
          <w:color w:val="auto"/>
          <w:szCs w:val="24"/>
          <w:lang w:eastAsia="zh-CN" w:bidi="zh-CN"/>
        </w:rPr>
        <w:t>供应商应在投标截止时间前将电子加密响应文件成功上传递交至新疆政府采购云平台，否则投标无效；</w:t>
      </w:r>
    </w:p>
    <w:p w14:paraId="65B68307">
      <w:pPr>
        <w:pStyle w:val="5"/>
        <w:snapToGrid w:val="0"/>
        <w:spacing w:line="360" w:lineRule="auto"/>
        <w:ind w:firstLine="607" w:firstLineChars="250"/>
        <w:rPr>
          <w:rFonts w:ascii="仿宋" w:hAnsi="仿宋" w:eastAsia="仿宋" w:cs="仿宋"/>
          <w:bCs/>
          <w:color w:val="auto"/>
          <w:szCs w:val="24"/>
          <w:lang w:eastAsia="zh-CN"/>
        </w:rPr>
      </w:pPr>
      <w:r>
        <w:rPr>
          <w:rFonts w:hint="eastAsia" w:ascii="仿宋" w:hAnsi="仿宋" w:eastAsia="仿宋" w:cs="仿宋"/>
          <w:bCs/>
          <w:color w:val="auto"/>
          <w:szCs w:val="24"/>
          <w:lang w:eastAsia="zh-CN" w:bidi="zh-CN"/>
        </w:rPr>
        <w:t>b.供应商成功上传电子加密响应文件后，可自行打印响应文件接收回执。</w:t>
      </w:r>
    </w:p>
    <w:p w14:paraId="0A9E4C6D">
      <w:pPr>
        <w:pStyle w:val="5"/>
        <w:snapToGrid w:val="0"/>
        <w:spacing w:line="360" w:lineRule="auto"/>
        <w:rPr>
          <w:rFonts w:ascii="仿宋" w:hAnsi="仿宋" w:eastAsia="仿宋" w:cs="仿宋"/>
          <w:b/>
          <w:bCs/>
          <w:color w:val="auto"/>
          <w:szCs w:val="24"/>
          <w:lang w:eastAsia="zh-CN" w:bidi="zh-CN"/>
        </w:rPr>
      </w:pPr>
      <w:r>
        <w:rPr>
          <w:rFonts w:hint="eastAsia" w:ascii="仿宋" w:hAnsi="仿宋" w:eastAsia="仿宋" w:cs="仿宋"/>
          <w:b/>
          <w:bCs/>
          <w:color w:val="auto"/>
          <w:szCs w:val="24"/>
          <w:lang w:eastAsia="zh-CN"/>
        </w:rPr>
        <w:t>（2）</w:t>
      </w:r>
      <w:r>
        <w:rPr>
          <w:rFonts w:hint="eastAsia" w:ascii="仿宋" w:hAnsi="仿宋" w:eastAsia="仿宋" w:cs="仿宋"/>
          <w:b/>
          <w:bCs/>
          <w:color w:val="auto"/>
          <w:szCs w:val="24"/>
          <w:lang w:eastAsia="zh-CN" w:bidi="zh-CN"/>
        </w:rPr>
        <w:t>备份响应文件（“.bfbs”格式）：</w:t>
      </w:r>
    </w:p>
    <w:p w14:paraId="2A4FA756">
      <w:pPr>
        <w:pStyle w:val="5"/>
        <w:snapToGrid w:val="0"/>
        <w:spacing w:line="360" w:lineRule="auto"/>
        <w:ind w:firstLine="607" w:firstLineChars="250"/>
        <w:rPr>
          <w:rFonts w:ascii="仿宋" w:hAnsi="仿宋" w:eastAsia="仿宋" w:cs="仿宋"/>
          <w:color w:val="auto"/>
          <w:szCs w:val="24"/>
          <w:lang w:eastAsia="zh-CN" w:bidi="zh-CN"/>
        </w:rPr>
      </w:pPr>
      <w:r>
        <w:rPr>
          <w:rFonts w:hint="eastAsia" w:ascii="仿宋" w:hAnsi="仿宋" w:eastAsia="仿宋" w:cs="仿宋"/>
          <w:bCs/>
          <w:color w:val="auto"/>
          <w:szCs w:val="24"/>
          <w:lang w:eastAsia="zh-CN" w:bidi="zh-CN"/>
        </w:rPr>
        <w:t>a.供应商可以将备份响应文件打包压缩并加密，压缩包命名为“XX单位备份响应文件”，加密密码由供应商自行保管；送达时间以采购代理机构实际接收时间为准。</w:t>
      </w:r>
      <w:r>
        <w:rPr>
          <w:rFonts w:hint="eastAsia" w:ascii="仿宋" w:hAnsi="仿宋" w:eastAsia="仿宋" w:cs="仿宋"/>
          <w:color w:val="auto"/>
          <w:szCs w:val="24"/>
          <w:lang w:eastAsia="zh-CN" w:bidi="zh-CN"/>
        </w:rPr>
        <w:t>“备份响应文件”以投标截止时间前指定接收邮箱最终收到的文件为准，逾期或未按要求提供的视为未提供，建议供应商提前1日办理邮件提供事宜（接收人邮箱：</w:t>
      </w:r>
      <w:r>
        <w:rPr>
          <w:color w:val="auto"/>
        </w:rPr>
        <w:fldChar w:fldCharType="begin"/>
      </w:r>
      <w:r>
        <w:rPr>
          <w:color w:val="auto"/>
        </w:rPr>
        <w:instrText xml:space="preserve"> HYPERLINK "mailto:1207446769@qq.com，接收人：陈加轲，电话：15157655122" </w:instrText>
      </w:r>
      <w:r>
        <w:rPr>
          <w:color w:val="auto"/>
        </w:rPr>
        <w:fldChar w:fldCharType="separate"/>
      </w:r>
      <w:r>
        <w:rPr>
          <w:rFonts w:hint="eastAsia" w:ascii="仿宋" w:hAnsi="仿宋" w:eastAsia="仿宋" w:cs="仿宋"/>
          <w:color w:val="auto"/>
          <w:szCs w:val="24"/>
          <w:u w:val="single"/>
          <w:lang w:eastAsia="zh-CN" w:bidi="zh-CN"/>
        </w:rPr>
        <w:t>245291818@qq.com</w:t>
      </w:r>
      <w:r>
        <w:rPr>
          <w:rStyle w:val="27"/>
          <w:rFonts w:hint="eastAsia" w:ascii="仿宋" w:hAnsi="仿宋" w:eastAsia="仿宋" w:cs="仿宋"/>
          <w:color w:val="auto"/>
          <w:szCs w:val="24"/>
          <w:lang w:eastAsia="zh-CN" w:bidi="zh-CN"/>
        </w:rPr>
        <w:t>，接收人：</w:t>
      </w:r>
      <w:r>
        <w:rPr>
          <w:rFonts w:hint="eastAsia" w:ascii="仿宋" w:hAnsi="仿宋" w:eastAsia="仿宋" w:cs="仿宋"/>
          <w:color w:val="auto"/>
          <w:szCs w:val="24"/>
          <w:u w:val="single"/>
          <w:lang w:eastAsia="zh-CN" w:bidi="zh-CN"/>
        </w:rPr>
        <w:t>银先生</w:t>
      </w:r>
      <w:r>
        <w:rPr>
          <w:rStyle w:val="27"/>
          <w:rFonts w:hint="eastAsia" w:ascii="仿宋" w:hAnsi="仿宋" w:eastAsia="仿宋" w:cs="仿宋"/>
          <w:color w:val="auto"/>
          <w:szCs w:val="24"/>
          <w:lang w:eastAsia="zh-CN" w:bidi="zh-CN"/>
        </w:rPr>
        <w:t>，电话：</w:t>
      </w:r>
      <w:r>
        <w:rPr>
          <w:rFonts w:hint="eastAsia" w:ascii="仿宋" w:hAnsi="仿宋" w:eastAsia="仿宋" w:cs="仿宋"/>
          <w:color w:val="auto"/>
          <w:szCs w:val="24"/>
          <w:u w:val="single"/>
          <w:lang w:eastAsia="zh-CN" w:bidi="zh-CN"/>
        </w:rPr>
        <w:t>1</w:t>
      </w:r>
      <w:r>
        <w:rPr>
          <w:rFonts w:hint="eastAsia" w:ascii="仿宋" w:hAnsi="仿宋" w:eastAsia="仿宋" w:cs="仿宋"/>
          <w:color w:val="auto"/>
          <w:szCs w:val="24"/>
          <w:u w:val="single"/>
          <w:lang w:eastAsia="zh-CN" w:bidi="zh-CN"/>
        </w:rPr>
        <w:fldChar w:fldCharType="end"/>
      </w:r>
      <w:r>
        <w:rPr>
          <w:rFonts w:hint="eastAsia" w:ascii="仿宋" w:hAnsi="仿宋" w:eastAsia="仿宋" w:cs="仿宋"/>
          <w:color w:val="auto"/>
          <w:szCs w:val="24"/>
          <w:u w:val="single"/>
          <w:lang w:val="en-US" w:eastAsia="zh-CN" w:bidi="zh-CN"/>
        </w:rPr>
        <w:t>8809088695</w:t>
      </w:r>
      <w:r>
        <w:rPr>
          <w:rFonts w:hint="eastAsia" w:ascii="仿宋" w:hAnsi="仿宋" w:eastAsia="仿宋" w:cs="仿宋"/>
          <w:color w:val="auto"/>
          <w:szCs w:val="24"/>
          <w:lang w:eastAsia="zh-CN" w:bidi="zh-CN"/>
        </w:rPr>
        <w:t>）；</w:t>
      </w:r>
    </w:p>
    <w:p w14:paraId="146CF356">
      <w:pPr>
        <w:pStyle w:val="5"/>
        <w:snapToGrid w:val="0"/>
        <w:spacing w:line="360" w:lineRule="auto"/>
        <w:ind w:firstLine="607"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66186371">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27.</w:t>
      </w:r>
      <w:r>
        <w:rPr>
          <w:rFonts w:hint="eastAsia" w:ascii="仿宋" w:hAnsi="仿宋" w:eastAsia="仿宋" w:cs="仿宋"/>
          <w:b/>
          <w:color w:val="auto"/>
          <w:lang w:eastAsia="zh-CN"/>
        </w:rPr>
        <w:t>响应文件的递交要求</w:t>
      </w:r>
    </w:p>
    <w:p w14:paraId="2DF514F9">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（1）供应商须按照磋商文件和政采云平台的要求编制并加密响应文件。在响应文件递交截止时间以前完成响应文件的传输递交，截止时间后递交的响应文件，将被拒收。</w:t>
      </w:r>
    </w:p>
    <w:p w14:paraId="66D08D21">
      <w:pPr>
        <w:tabs>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（2）备份电子响应文件必须在投标截止时间前送达指定的投标地点。备份电子响应文件在截止时间后提交，采购组织机构将拒绝接收。</w:t>
      </w:r>
    </w:p>
    <w:p w14:paraId="6D61E4CD">
      <w:pPr>
        <w:tabs>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（3）如有特殊情况，采购组织机构延长截止时间和开标时间，采购组织机构和供应商的权利和义务将受到新的截止时间和开标时间的约束。</w:t>
      </w:r>
    </w:p>
    <w:p w14:paraId="020C8BC1">
      <w:pPr>
        <w:snapToGrid w:val="0"/>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28．响应文件的补充、修改与撤回</w:t>
      </w:r>
    </w:p>
    <w:p w14:paraId="715EA6F3">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响应文件撤回。投标截止时间后传输递交的响应文件，“政府采购云平台”将予以拒收。投标截止时间后，供应商不得修改（补充）或撤回其响应文件。</w:t>
      </w:r>
      <w:bookmarkStart w:id="45" w:name="_Toc469495728"/>
    </w:p>
    <w:p w14:paraId="48DF403F">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（五）开标、评标和定标</w:t>
      </w:r>
      <w:bookmarkEnd w:id="45"/>
    </w:p>
    <w:p w14:paraId="0988A952">
      <w:pPr>
        <w:snapToGrid w:val="0"/>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29. 开标</w:t>
      </w:r>
    </w:p>
    <w:p w14:paraId="29354E52">
      <w:pPr>
        <w:snapToGrid w:val="0"/>
        <w:spacing w:line="360" w:lineRule="auto"/>
        <w:ind w:firstLine="486" w:firstLineChars="200"/>
        <w:rPr>
          <w:rFonts w:ascii="仿宋" w:hAnsi="仿宋" w:eastAsia="仿宋" w:cs="仿宋"/>
          <w:b/>
          <w:bCs/>
          <w:color w:val="auto"/>
          <w:lang w:eastAsia="zh-CN"/>
        </w:rPr>
      </w:pPr>
      <w:bookmarkStart w:id="46" w:name="_Toc73975822"/>
      <w:r>
        <w:rPr>
          <w:rFonts w:hint="eastAsia" w:ascii="仿宋" w:hAnsi="仿宋" w:eastAsia="仿宋" w:cs="仿宋"/>
          <w:b/>
          <w:bCs/>
          <w:color w:val="auto"/>
          <w:lang w:eastAsia="zh-CN"/>
        </w:rPr>
        <w:t>29.1开标邀请</w:t>
      </w:r>
      <w:bookmarkEnd w:id="46"/>
    </w:p>
    <w:p w14:paraId="589672B9">
      <w:pPr>
        <w:pStyle w:val="10"/>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（1）开标准备：本项目开标的准备工作由采购组织机构负责落实，开标过程由采购组织机构负责记录；</w:t>
      </w:r>
    </w:p>
    <w:p w14:paraId="77CD794E">
      <w:pPr>
        <w:pStyle w:val="10"/>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（2）开标主持:本项目开标由采购人或者采购代理机构主持；</w:t>
      </w:r>
    </w:p>
    <w:p w14:paraId="6C10FA01">
      <w:pPr>
        <w:pStyle w:val="10"/>
        <w:snapToGrid w:val="0"/>
        <w:spacing w:line="360" w:lineRule="auto"/>
        <w:ind w:firstLine="486" w:firstLineChars="200"/>
        <w:rPr>
          <w:rFonts w:ascii="仿宋" w:hAnsi="仿宋" w:eastAsia="仿宋" w:cs="仿宋"/>
          <w:color w:val="auto"/>
          <w:szCs w:val="24"/>
        </w:rPr>
      </w:pPr>
      <w:r>
        <w:rPr>
          <w:rFonts w:hint="eastAsia" w:ascii="仿宋" w:hAnsi="仿宋" w:eastAsia="仿宋" w:cs="仿宋"/>
          <w:color w:val="auto"/>
          <w:szCs w:val="24"/>
          <w:lang w:eastAsia="zh-CN"/>
        </w:rPr>
        <w:t>（3）</w:t>
      </w:r>
      <w:r>
        <w:rPr>
          <w:rFonts w:hint="eastAsia" w:ascii="仿宋" w:hAnsi="仿宋" w:eastAsia="仿宋" w:cs="仿宋"/>
          <w:color w:val="auto"/>
          <w:szCs w:val="24"/>
        </w:rPr>
        <w:t>开标邀请：本项目采用电子交易，采购组织机构将按照</w:t>
      </w:r>
      <w:r>
        <w:rPr>
          <w:rFonts w:hint="eastAsia" w:ascii="仿宋" w:hAnsi="仿宋" w:eastAsia="仿宋" w:cs="仿宋"/>
          <w:color w:val="auto"/>
          <w:szCs w:val="24"/>
          <w:lang w:eastAsia="zh-CN"/>
        </w:rPr>
        <w:t>磋商文件</w:t>
      </w:r>
      <w:r>
        <w:rPr>
          <w:rFonts w:hint="eastAsia" w:ascii="仿宋" w:hAnsi="仿宋" w:eastAsia="仿宋" w:cs="仿宋"/>
          <w:color w:val="auto"/>
          <w:szCs w:val="24"/>
        </w:rPr>
        <w:t>规定的时间通过“</w:t>
      </w:r>
      <w:r>
        <w:rPr>
          <w:rFonts w:hint="eastAsia" w:ascii="仿宋" w:hAnsi="仿宋" w:eastAsia="仿宋" w:cs="仿宋"/>
          <w:color w:val="auto"/>
          <w:szCs w:val="24"/>
          <w:lang w:eastAsia="zh-CN"/>
        </w:rPr>
        <w:t>新疆</w:t>
      </w:r>
      <w:r>
        <w:rPr>
          <w:rFonts w:hint="eastAsia" w:ascii="仿宋" w:hAnsi="仿宋" w:eastAsia="仿宋" w:cs="仿宋"/>
          <w:color w:val="auto"/>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Style w:val="27"/>
          <w:rFonts w:hint="eastAsia" w:ascii="仿宋" w:hAnsi="仿宋" w:eastAsia="仿宋" w:cs="仿宋"/>
          <w:color w:val="auto"/>
          <w:szCs w:val="24"/>
          <w:u w:val="none"/>
        </w:rPr>
        <w:t>www.zcygov.cn</w:t>
      </w:r>
      <w:r>
        <w:rPr>
          <w:rStyle w:val="27"/>
          <w:rFonts w:hint="eastAsia" w:ascii="仿宋" w:hAnsi="仿宋" w:eastAsia="仿宋" w:cs="仿宋"/>
          <w:color w:val="auto"/>
          <w:szCs w:val="24"/>
          <w:u w:val="none"/>
        </w:rPr>
        <w:fldChar w:fldCharType="end"/>
      </w:r>
      <w:r>
        <w:rPr>
          <w:rFonts w:hint="eastAsia" w:ascii="仿宋" w:hAnsi="仿宋" w:eastAsia="仿宋" w:cs="仿宋"/>
          <w:color w:val="auto"/>
          <w:szCs w:val="24"/>
        </w:rPr>
        <w:t>”组织开标、开启投标响应文件，所有供应商均应当准时在线参加。</w:t>
      </w:r>
    </w:p>
    <w:p w14:paraId="67D0D65E">
      <w:pPr>
        <w:pStyle w:val="10"/>
        <w:snapToGrid w:val="0"/>
        <w:spacing w:line="360" w:lineRule="auto"/>
        <w:ind w:firstLine="486" w:firstLineChars="200"/>
        <w:rPr>
          <w:rFonts w:ascii="仿宋" w:hAnsi="仿宋" w:eastAsia="仿宋" w:cs="仿宋"/>
          <w:color w:val="auto"/>
          <w:szCs w:val="24"/>
          <w:lang w:eastAsia="zh-CN"/>
        </w:rPr>
      </w:pPr>
      <w:r>
        <w:rPr>
          <w:rFonts w:hint="eastAsia" w:ascii="仿宋" w:hAnsi="仿宋" w:eastAsia="仿宋" w:cs="仿宋"/>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响应文件无法按时解密等一切后果由供应商自行承担。</w:t>
      </w:r>
    </w:p>
    <w:p w14:paraId="27F78C09">
      <w:pPr>
        <w:snapToGrid w:val="0"/>
        <w:spacing w:line="360" w:lineRule="auto"/>
        <w:ind w:firstLine="486" w:firstLineChars="200"/>
        <w:outlineLvl w:val="2"/>
        <w:rPr>
          <w:rFonts w:ascii="仿宋" w:hAnsi="仿宋" w:eastAsia="仿宋" w:cs="仿宋"/>
          <w:b/>
          <w:color w:val="auto"/>
          <w:lang w:eastAsia="zh-CN"/>
        </w:rPr>
      </w:pPr>
      <w:bookmarkStart w:id="47" w:name="_Toc73975823"/>
      <w:r>
        <w:rPr>
          <w:rFonts w:hint="eastAsia" w:ascii="仿宋" w:hAnsi="仿宋" w:eastAsia="仿宋" w:cs="仿宋"/>
          <w:b/>
          <w:color w:val="auto"/>
          <w:lang w:eastAsia="zh-CN"/>
        </w:rPr>
        <w:t>29.2</w:t>
      </w:r>
      <w:r>
        <w:rPr>
          <w:rFonts w:hint="eastAsia" w:ascii="仿宋" w:hAnsi="仿宋" w:eastAsia="仿宋" w:cs="仿宋"/>
          <w:b/>
          <w:bCs/>
          <w:color w:val="auto"/>
          <w:lang w:eastAsia="zh-CN"/>
        </w:rPr>
        <w:t>开标程序</w:t>
      </w:r>
      <w:bookmarkEnd w:id="47"/>
    </w:p>
    <w:p w14:paraId="718A42B4">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（1）开标时间到后，主持人宣布开标会议开始。</w:t>
      </w:r>
    </w:p>
    <w:p w14:paraId="25563760">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（2）响应文件解密（</w:t>
      </w:r>
      <w:r>
        <w:rPr>
          <w:rFonts w:hint="eastAsia" w:ascii="仿宋" w:hAnsi="仿宋" w:eastAsia="仿宋" w:cs="仿宋"/>
          <w:b/>
          <w:color w:val="auto"/>
          <w:lang w:eastAsia="zh-CN"/>
        </w:rPr>
        <w:t>解密规定见《供应商须知前附表》</w:t>
      </w:r>
      <w:r>
        <w:rPr>
          <w:rFonts w:hint="eastAsia" w:ascii="仿宋" w:hAnsi="仿宋" w:eastAsia="仿宋" w:cs="仿宋"/>
          <w:color w:val="auto"/>
          <w:lang w:eastAsia="zh-CN"/>
        </w:rPr>
        <w:t>）。</w:t>
      </w:r>
    </w:p>
    <w:p w14:paraId="3F1F8071">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（3）响应文件解密异常情况处理（</w:t>
      </w:r>
      <w:r>
        <w:rPr>
          <w:rFonts w:hint="eastAsia" w:ascii="仿宋" w:hAnsi="仿宋" w:eastAsia="仿宋" w:cs="仿宋"/>
          <w:b/>
          <w:color w:val="auto"/>
          <w:lang w:eastAsia="zh-CN"/>
        </w:rPr>
        <w:t>处理办法见《供应商须知前附表》</w:t>
      </w:r>
      <w:r>
        <w:rPr>
          <w:rFonts w:hint="eastAsia" w:ascii="仿宋" w:hAnsi="仿宋" w:eastAsia="仿宋" w:cs="仿宋"/>
          <w:color w:val="auto"/>
          <w:lang w:eastAsia="zh-CN"/>
        </w:rPr>
        <w:t>）。</w:t>
      </w:r>
    </w:p>
    <w:p w14:paraId="0FDE354D">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（4）公布响应文件解密情况（响应文件成功解密的供应商名单等信息），组织签署</w:t>
      </w:r>
      <w:r>
        <w:rPr>
          <w:rFonts w:hint="eastAsia" w:ascii="仿宋" w:hAnsi="仿宋" w:eastAsia="仿宋" w:cs="仿宋"/>
          <w:b/>
          <w:bCs/>
          <w:color w:val="auto"/>
          <w:lang w:eastAsia="zh-CN"/>
        </w:rPr>
        <w:t>《政府采购活动现场确认声明书》（疫情防控期间，将通过电子邮件形式组织签署），供应商应在20分钟内通过邮件形式将经签署的《政府采购活动现场确认声明书》发送至采购代理机构指定邮箱245291818@qq.com ，逾期发送或未发送的视为无异议</w:t>
      </w:r>
      <w:r>
        <w:rPr>
          <w:rFonts w:hint="eastAsia" w:ascii="仿宋" w:hAnsi="仿宋" w:eastAsia="仿宋" w:cs="仿宋"/>
          <w:color w:val="auto"/>
          <w:lang w:eastAsia="zh-CN"/>
        </w:rPr>
        <w:t>。</w:t>
      </w:r>
    </w:p>
    <w:p w14:paraId="1E02FB3B">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5B18BD28">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14:paraId="424A8998">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（7）开启有效投标供应商的报价，公布开标一览表有关内容，</w:t>
      </w:r>
      <w:r>
        <w:rPr>
          <w:rFonts w:hint="eastAsia" w:ascii="仿宋" w:hAnsi="仿宋" w:eastAsia="仿宋" w:cs="仿宋"/>
          <w:color w:val="auto"/>
          <w:lang w:eastAsia="zh-CN" w:bidi="zh-CN"/>
        </w:rPr>
        <w:t>并【开启签章时段】，供应商对开标记录进行在线签章确认（不予确认的应说明理由，否则视为无异议）</w:t>
      </w:r>
      <w:r>
        <w:rPr>
          <w:rFonts w:hint="eastAsia" w:ascii="仿宋" w:hAnsi="仿宋" w:eastAsia="仿宋" w:cs="仿宋"/>
          <w:color w:val="auto"/>
          <w:lang w:eastAsia="zh-CN"/>
        </w:rPr>
        <w:t>。开标结束后，由评标委员会对报价的合理性、准确性等进行审查核实。</w:t>
      </w:r>
    </w:p>
    <w:p w14:paraId="00C08D2D">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（8）评审结束后，采购代理机构在系统上公布评审结果。</w:t>
      </w:r>
    </w:p>
    <w:p w14:paraId="5C048609">
      <w:pPr>
        <w:snapToGrid w:val="0"/>
        <w:spacing w:line="360" w:lineRule="auto"/>
        <w:ind w:left="480"/>
        <w:rPr>
          <w:rFonts w:ascii="仿宋" w:hAnsi="仿宋" w:eastAsia="仿宋" w:cs="仿宋"/>
          <w:b/>
          <w:color w:val="auto"/>
          <w:lang w:eastAsia="zh-CN"/>
        </w:rPr>
      </w:pPr>
      <w:r>
        <w:rPr>
          <w:rFonts w:hint="eastAsia" w:ascii="仿宋" w:hAnsi="仿宋" w:eastAsia="仿宋" w:cs="仿宋"/>
          <w:b/>
          <w:color w:val="auto"/>
          <w:lang w:eastAsia="zh-CN"/>
        </w:rPr>
        <w:t>特别情况说明：</w:t>
      </w:r>
    </w:p>
    <w:p w14:paraId="2F32E902">
      <w:pPr>
        <w:snapToGrid w:val="0"/>
        <w:spacing w:line="360" w:lineRule="auto"/>
        <w:ind w:firstLine="429" w:firstLineChars="177"/>
        <w:rPr>
          <w:rFonts w:ascii="仿宋" w:hAnsi="仿宋" w:eastAsia="仿宋" w:cs="仿宋"/>
          <w:b/>
          <w:color w:val="auto"/>
          <w:lang w:eastAsia="zh-CN"/>
        </w:rPr>
      </w:pPr>
      <w:r>
        <w:rPr>
          <w:rFonts w:hint="eastAsia" w:ascii="仿宋" w:hAnsi="仿宋" w:eastAsia="仿宋" w:cs="仿宋"/>
          <w:b/>
          <w:color w:val="auto"/>
          <w:lang w:eastAsia="zh-CN"/>
        </w:rPr>
        <w:t>（1）本项目采用电子交易，如遇“新疆政府采购云平台”电子化开标或评审程序调整的，按调整后程序执行。</w:t>
      </w:r>
    </w:p>
    <w:p w14:paraId="2209ABC9">
      <w:pPr>
        <w:snapToGrid w:val="0"/>
        <w:spacing w:line="360" w:lineRule="auto"/>
        <w:ind w:firstLine="429" w:firstLineChars="177"/>
        <w:rPr>
          <w:rFonts w:ascii="仿宋" w:hAnsi="仿宋" w:eastAsia="仿宋" w:cs="仿宋"/>
          <w:b/>
          <w:color w:val="auto"/>
          <w:lang w:eastAsia="zh-CN"/>
        </w:rPr>
      </w:pPr>
      <w:r>
        <w:rPr>
          <w:rFonts w:hint="eastAsia" w:ascii="仿宋" w:hAnsi="仿宋" w:eastAsia="仿宋" w:cs="仿宋"/>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lang w:eastAsia="zh-CN"/>
        </w:rPr>
        <w:t>。</w:t>
      </w:r>
    </w:p>
    <w:p w14:paraId="6B619AEB">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color w:val="auto"/>
          <w:lang w:eastAsia="zh-CN"/>
        </w:rPr>
        <w:t>29.3 投标供应商资格审查：</w:t>
      </w:r>
    </w:p>
    <w:p w14:paraId="68E0CBA7">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Cs/>
          <w:color w:val="auto"/>
          <w:lang w:eastAsia="zh-CN"/>
        </w:rPr>
        <w:t>开标（标书信息开启）后，采购人或采购代理机构或</w:t>
      </w:r>
      <w:r>
        <w:rPr>
          <w:rFonts w:hint="eastAsia" w:ascii="仿宋" w:hAnsi="仿宋" w:eastAsia="仿宋" w:cs="仿宋"/>
          <w:color w:val="auto"/>
          <w:lang w:eastAsia="zh-CN"/>
        </w:rPr>
        <w:t>评审小组</w:t>
      </w:r>
      <w:r>
        <w:rPr>
          <w:rFonts w:hint="eastAsia" w:ascii="仿宋" w:hAnsi="仿宋" w:eastAsia="仿宋" w:cs="仿宋"/>
          <w:bCs/>
          <w:color w:val="auto"/>
          <w:lang w:eastAsia="zh-CN"/>
        </w:rPr>
        <w:t>首先依法对投标供应商的资格文件进行审查，审查各投标供应商的资格符合情况。</w:t>
      </w:r>
      <w:r>
        <w:rPr>
          <w:rFonts w:hint="eastAsia" w:ascii="仿宋" w:hAnsi="仿宋" w:eastAsia="仿宋" w:cs="仿宋"/>
          <w:color w:val="auto"/>
          <w:lang w:eastAsia="zh-CN"/>
        </w:rPr>
        <w:t>采购人或采购代理机构</w:t>
      </w:r>
      <w:r>
        <w:rPr>
          <w:rFonts w:hint="eastAsia" w:ascii="仿宋" w:hAnsi="仿宋" w:eastAsia="仿宋" w:cs="仿宋"/>
          <w:bCs/>
          <w:color w:val="auto"/>
          <w:lang w:eastAsia="zh-CN"/>
        </w:rPr>
        <w:t>或</w:t>
      </w:r>
      <w:r>
        <w:rPr>
          <w:rFonts w:hint="eastAsia" w:ascii="仿宋" w:hAnsi="仿宋" w:eastAsia="仿宋" w:cs="仿宋"/>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289D8044">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投标供应商提交的资格证明材料无法证明其符合磋商文件规定的“投标供应商资格要求”的，采购人或采购代理机构将对其作“资格审查不合格”处理（无效投标），并不再将其投标提交评标委员会进行后续评审。</w:t>
      </w:r>
    </w:p>
    <w:p w14:paraId="34BF7D2D">
      <w:pPr>
        <w:pStyle w:val="5"/>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（3）供应商信用记录查询与使用：见《供应商须知前附表》。</w:t>
      </w:r>
    </w:p>
    <w:p w14:paraId="1BB25F0B">
      <w:pPr>
        <w:snapToGrid w:val="0"/>
        <w:spacing w:line="360" w:lineRule="auto"/>
        <w:ind w:firstLine="486" w:firstLineChars="200"/>
        <w:rPr>
          <w:rFonts w:ascii="仿宋" w:hAnsi="仿宋" w:eastAsia="仿宋" w:cs="仿宋"/>
          <w:b/>
          <w:color w:val="auto"/>
        </w:rPr>
      </w:pPr>
      <w:r>
        <w:rPr>
          <w:rFonts w:hint="eastAsia" w:ascii="仿宋" w:hAnsi="仿宋" w:eastAsia="仿宋" w:cs="仿宋"/>
          <w:b/>
          <w:color w:val="auto"/>
          <w:lang w:val="en-US" w:eastAsia="zh-CN"/>
        </w:rPr>
        <w:t>29.4</w:t>
      </w:r>
      <w:r>
        <w:rPr>
          <w:rFonts w:hint="eastAsia" w:ascii="仿宋" w:hAnsi="仿宋" w:eastAsia="仿宋" w:cs="仿宋"/>
          <w:b/>
          <w:color w:val="auto"/>
        </w:rPr>
        <w:t>磋商报价方式</w:t>
      </w:r>
    </w:p>
    <w:p w14:paraId="79487BF7">
      <w:pPr>
        <w:snapToGrid w:val="0"/>
        <w:spacing w:line="360" w:lineRule="auto"/>
        <w:ind w:firstLine="486" w:firstLineChars="200"/>
        <w:rPr>
          <w:rFonts w:ascii="仿宋" w:hAnsi="仿宋" w:eastAsia="仿宋" w:cs="仿宋"/>
          <w:color w:val="auto"/>
        </w:rPr>
      </w:pPr>
      <w:r>
        <w:rPr>
          <w:rFonts w:hint="eastAsia" w:ascii="仿宋" w:hAnsi="仿宋" w:eastAsia="仿宋" w:cs="仿宋"/>
          <w:color w:val="auto"/>
        </w:rPr>
        <w:t>1、供应商提交的响应性文件中的报价，该报价只允许有一个报价，任何有选择性的报价将不予接受。</w:t>
      </w:r>
    </w:p>
    <w:p w14:paraId="6C5BCFAE">
      <w:pPr>
        <w:snapToGrid w:val="0"/>
        <w:spacing w:line="360" w:lineRule="auto"/>
        <w:ind w:firstLine="486" w:firstLineChars="200"/>
        <w:rPr>
          <w:rFonts w:ascii="仿宋" w:hAnsi="仿宋" w:eastAsia="仿宋" w:cs="仿宋"/>
          <w:color w:val="auto"/>
        </w:rPr>
      </w:pPr>
      <w:r>
        <w:rPr>
          <w:rFonts w:hint="eastAsia" w:ascii="仿宋" w:hAnsi="仿宋" w:eastAsia="仿宋" w:cs="仿宋"/>
          <w:color w:val="auto"/>
        </w:rPr>
        <w:t>2、 磋商小组所有成员与供应商进行单独磋商。在磋商中，磋商的任何一方不得透露与磋商有关的其他供应商的技术资料、价格和其他信息。磋商文件有实质性变动的，磋商小组应以书面形式通知所有参加磋商的供应商。</w:t>
      </w:r>
    </w:p>
    <w:p w14:paraId="15EA5F9D">
      <w:pPr>
        <w:snapToGrid w:val="0"/>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rPr>
        <w:t>3、磋商结束后，供应商可根据磋商情况，进行第二次报价</w:t>
      </w:r>
      <w:r>
        <w:rPr>
          <w:rFonts w:hint="eastAsia" w:ascii="仿宋" w:hAnsi="仿宋" w:eastAsia="仿宋" w:cs="仿宋"/>
          <w:color w:val="auto"/>
          <w:lang w:eastAsia="zh-CN"/>
        </w:rPr>
        <w:t>，采购人也可以根据磋商情况开启多轮报价，</w:t>
      </w:r>
      <w:r>
        <w:rPr>
          <w:rFonts w:hint="eastAsia" w:ascii="仿宋" w:hAnsi="仿宋" w:eastAsia="仿宋" w:cs="仿宋"/>
          <w:color w:val="auto"/>
        </w:rPr>
        <w:t>该报价为磋商的最终报价。</w:t>
      </w:r>
    </w:p>
    <w:p w14:paraId="79173448">
      <w:pPr>
        <w:snapToGrid w:val="0"/>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rPr>
        <w:t>4、第二次报价</w:t>
      </w:r>
      <w:r>
        <w:rPr>
          <w:rFonts w:hint="eastAsia" w:ascii="仿宋" w:hAnsi="仿宋" w:eastAsia="仿宋" w:cs="仿宋"/>
          <w:color w:val="auto"/>
          <w:lang w:eastAsia="zh-CN"/>
        </w:rPr>
        <w:t>在政采云不见面开评标系统</w:t>
      </w:r>
      <w:r>
        <w:rPr>
          <w:rFonts w:hint="eastAsia" w:ascii="仿宋" w:hAnsi="仿宋" w:eastAsia="仿宋" w:cs="仿宋"/>
          <w:color w:val="auto"/>
        </w:rPr>
        <w:t>填写提交。所有供应商的二次报价收集齐全后，二次报价不进行公开唱标</w:t>
      </w:r>
      <w:r>
        <w:rPr>
          <w:rFonts w:hint="eastAsia" w:ascii="仿宋" w:hAnsi="仿宋" w:eastAsia="仿宋" w:cs="仿宋"/>
          <w:color w:val="auto"/>
          <w:lang w:eastAsia="zh-CN"/>
        </w:rPr>
        <w:t>，依次类推。</w:t>
      </w:r>
    </w:p>
    <w:p w14:paraId="58B355D1">
      <w:pPr>
        <w:snapToGrid w:val="0"/>
        <w:spacing w:line="440" w:lineRule="exact"/>
        <w:ind w:firstLine="486" w:firstLineChars="200"/>
        <w:rPr>
          <w:color w:val="auto"/>
          <w:lang w:eastAsia="zh-CN"/>
        </w:rPr>
      </w:pPr>
      <w:r>
        <w:rPr>
          <w:rFonts w:hint="eastAsia" w:ascii="仿宋" w:hAnsi="仿宋" w:eastAsia="仿宋" w:cs="仿宋"/>
          <w:color w:val="auto"/>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p>
    <w:p w14:paraId="6BDA5E82">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30.评审工作的组织</w:t>
      </w:r>
    </w:p>
    <w:p w14:paraId="638F5549">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采购人或采购代理机构负责组织本项目的评审工作，并依据《政府采购货物和服务招标投标管理办法（财政部第87号令）》第四十五条的相关规定履行职责。</w:t>
      </w:r>
    </w:p>
    <w:p w14:paraId="421EFA41">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 评标委员会的组建</w:t>
      </w:r>
    </w:p>
    <w:p w14:paraId="0D0D760E">
      <w:pPr>
        <w:widowControl/>
        <w:spacing w:line="440" w:lineRule="exact"/>
        <w:ind w:firstLine="486" w:firstLineChars="200"/>
        <w:rPr>
          <w:rFonts w:ascii="仿宋" w:hAnsi="仿宋" w:eastAsia="仿宋" w:cs="仿宋"/>
          <w:b/>
          <w:bCs/>
          <w:color w:val="auto"/>
          <w:szCs w:val="21"/>
          <w:lang w:eastAsia="zh-CN"/>
        </w:rPr>
      </w:pPr>
      <w:r>
        <w:rPr>
          <w:rFonts w:hint="eastAsia" w:ascii="仿宋" w:hAnsi="仿宋" w:eastAsia="仿宋" w:cs="仿宋"/>
          <w:b/>
          <w:bCs/>
          <w:color w:val="auto"/>
          <w:szCs w:val="21"/>
          <w:lang w:eastAsia="zh-CN"/>
        </w:rPr>
        <w:t>31.1评标委员会由采购人或采购代理机构依法组建，成员由采购人代表</w:t>
      </w:r>
      <w:r>
        <w:rPr>
          <w:rFonts w:hint="eastAsia" w:ascii="仿宋" w:hAnsi="仿宋" w:eastAsia="仿宋" w:cs="仿宋"/>
          <w:b/>
          <w:bCs/>
          <w:color w:val="auto"/>
          <w:szCs w:val="21"/>
          <w:lang w:val="en-US" w:eastAsia="zh-CN"/>
        </w:rPr>
        <w:t>1</w:t>
      </w:r>
      <w:r>
        <w:rPr>
          <w:rFonts w:hint="eastAsia" w:ascii="仿宋" w:hAnsi="仿宋" w:eastAsia="仿宋" w:cs="仿宋"/>
          <w:b/>
          <w:bCs/>
          <w:color w:val="auto"/>
          <w:szCs w:val="21"/>
          <w:lang w:eastAsia="zh-CN"/>
        </w:rPr>
        <w:t>人和评审专家</w:t>
      </w:r>
      <w:r>
        <w:rPr>
          <w:rFonts w:hint="eastAsia" w:ascii="仿宋" w:hAnsi="仿宋" w:eastAsia="仿宋" w:cs="仿宋"/>
          <w:b/>
          <w:bCs/>
          <w:color w:val="auto"/>
          <w:szCs w:val="21"/>
          <w:lang w:val="en-US" w:eastAsia="zh-CN"/>
        </w:rPr>
        <w:t>2</w:t>
      </w:r>
      <w:r>
        <w:rPr>
          <w:rFonts w:hint="eastAsia" w:ascii="仿宋" w:hAnsi="仿宋" w:eastAsia="仿宋" w:cs="仿宋"/>
          <w:b/>
          <w:bCs/>
          <w:color w:val="auto"/>
          <w:szCs w:val="21"/>
          <w:lang w:eastAsia="zh-CN"/>
        </w:rPr>
        <w:t>人，成员人数为</w:t>
      </w:r>
      <w:r>
        <w:rPr>
          <w:rFonts w:hint="eastAsia" w:ascii="仿宋" w:hAnsi="仿宋" w:eastAsia="仿宋" w:cs="仿宋"/>
          <w:b/>
          <w:bCs/>
          <w:color w:val="auto"/>
          <w:szCs w:val="21"/>
          <w:lang w:val="en-US" w:eastAsia="zh-CN"/>
        </w:rPr>
        <w:t>3</w:t>
      </w:r>
      <w:r>
        <w:rPr>
          <w:rFonts w:hint="eastAsia" w:ascii="仿宋" w:hAnsi="仿宋" w:eastAsia="仿宋" w:cs="仿宋"/>
          <w:b/>
          <w:bCs/>
          <w:color w:val="auto"/>
          <w:szCs w:val="21"/>
          <w:lang w:eastAsia="zh-CN"/>
        </w:rPr>
        <w:t>人，其中评审专家不少于成员总数的三分之二。</w:t>
      </w:r>
    </w:p>
    <w:p w14:paraId="35321618">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31.2评审专家从新疆政府采购云平台专家库中通过随机方式抽取产生。评标委员会成员名单在采购结果公告前保密。</w:t>
      </w:r>
    </w:p>
    <w:p w14:paraId="4768B2E4">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32.评标委员会的职责</w:t>
      </w:r>
    </w:p>
    <w:p w14:paraId="34D15F38">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32.1审查、评价响应文件是否符合磋商文件的商务、技术等实质性要求。</w:t>
      </w:r>
    </w:p>
    <w:p w14:paraId="5BDA48B4">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32.2要求供应商对响应文件有关事项作出澄清或者说明。</w:t>
      </w:r>
    </w:p>
    <w:p w14:paraId="569FC8BB">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32.3对响应文件进行比较和评价。</w:t>
      </w:r>
    </w:p>
    <w:p w14:paraId="6E0D4FD5">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32.4确定中标候选人名单，以及根据采购人委托直接确定中标人。</w:t>
      </w:r>
    </w:p>
    <w:p w14:paraId="6CFB079E">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32.5向采购人、采购代理机构或者有关部门报告评审中发现的违法行为。</w:t>
      </w:r>
    </w:p>
    <w:p w14:paraId="297CC306">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33. 评标原则</w:t>
      </w:r>
    </w:p>
    <w:p w14:paraId="6B8A7632">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33.1评标委员会将遵循公平、公正、科学的原则，对供应商提交的响应文件进行综合评审，评标委员会按照磋商文件规定的评标细则进行评分。</w:t>
      </w:r>
    </w:p>
    <w:p w14:paraId="72CFE259">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33.2客观公正对待所有供应商，对所有投标评价均采用相同的程序和标准。 </w:t>
      </w:r>
    </w:p>
    <w:p w14:paraId="7C1BC073">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5CEB5882">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2371728C">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非单一产品采购项目，采购人应当根据采购项目技术构成、产品价格比重等合理确定核心产品，并在磋商文件中载明。多家供应商提供的核心产品品牌相同的，按前款规定处理。      </w:t>
      </w:r>
    </w:p>
    <w:p w14:paraId="4CC319DC">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34. 评委纪律</w:t>
      </w:r>
    </w:p>
    <w:p w14:paraId="46C2317E">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委员会成员必须严格遵守保密规定，不得泄露评审的有关情况，任何单位和个人不得干扰、影响评标的正常进行，评标委员会成员不得私下与投标供应商接触，不得出现克州政府采购活动现场组织管理办法中规定的其他禁止行为。</w:t>
      </w:r>
    </w:p>
    <w:p w14:paraId="101E9993">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35.评标程序</w:t>
      </w:r>
    </w:p>
    <w:p w14:paraId="1A6A9FFB">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35.1 在评审专家中推选评标委员会组长，采购人代表不得担任评标委员会组长。</w:t>
      </w:r>
    </w:p>
    <w:p w14:paraId="4D7BD907">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35.2 评标委员会组长召集成员认真阅读磋商文件以及相关补充、质疑、答复文件、项目书面说明等材料，熟悉采购项目的基本概况，采购项目的质量要求、数量、主要技术标准或服务需求，采购合同主要条款，响应文件无效情形，评审方法、评审依据、评审标准等。</w:t>
      </w:r>
    </w:p>
    <w:p w14:paraId="2C4BA524">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35.3 评审人员对符合资格的供应商的响应文件的有效性、符合性、完整性和响应程度进行审查，确定是否对磋商文件作出实质性响应。</w:t>
      </w:r>
    </w:p>
    <w:p w14:paraId="67A30D05">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35.4 评审人员按磋商文件规定的评审方法和评审标准，依法独立对供应商响应文件进行评估、比较，并给予评价或打分，不受任何单位和个人的干预。</w:t>
      </w:r>
    </w:p>
    <w:p w14:paraId="7C6DE2E5">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综合评分法服务项目的价格分值占总分值的比重(即权值)为</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0％</w:t>
      </w:r>
      <w:r>
        <w:rPr>
          <w:rFonts w:hint="eastAsia" w:ascii="仿宋" w:hAnsi="仿宋" w:eastAsia="仿宋" w:cs="仿宋"/>
          <w:color w:val="auto"/>
          <w:szCs w:val="21"/>
          <w:lang w:eastAsia="zh-CN"/>
        </w:rPr>
        <w:t>，采购项目中含不同采购对象的，以占项目资金比例最高的采购对象确定其项目属性。其价格不列为评分因素，有特殊情况需要在上述规定范围外设定价格分权重的。</w:t>
      </w:r>
    </w:p>
    <w:p w14:paraId="5F0FCA87">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综合评分法中的价格分统一采用低价优先法计算，即满足磋商文件要求且最后报价最低的供应商的价格为招标基准价，其价格分为满分。其他供应商的价格分统一按照下列公式计算：</w:t>
      </w:r>
    </w:p>
    <w:p w14:paraId="199F4740">
      <w:pPr>
        <w:widowControl/>
        <w:spacing w:line="440" w:lineRule="exact"/>
        <w:ind w:firstLine="480"/>
        <w:rPr>
          <w:rFonts w:ascii="仿宋" w:hAnsi="仿宋" w:eastAsia="仿宋" w:cs="仿宋"/>
          <w:color w:val="auto"/>
          <w:szCs w:val="21"/>
          <w:lang w:eastAsia="zh-CN"/>
        </w:rPr>
      </w:pPr>
      <w:r>
        <w:rPr>
          <w:rFonts w:hint="eastAsia" w:ascii="仿宋" w:hAnsi="仿宋" w:eastAsia="仿宋" w:cs="仿宋"/>
          <w:color w:val="auto"/>
          <w:szCs w:val="21"/>
          <w:lang w:eastAsia="zh-CN"/>
        </w:rPr>
        <w:t>投标报价得分=（基准价/投标报价）×价格权值×100</w:t>
      </w:r>
    </w:p>
    <w:p w14:paraId="25AC7ABD">
      <w:pPr>
        <w:widowControl/>
        <w:spacing w:line="440" w:lineRule="exact"/>
        <w:ind w:firstLine="480"/>
        <w:rPr>
          <w:rFonts w:ascii="仿宋" w:hAnsi="仿宋" w:eastAsia="仿宋" w:cs="仿宋"/>
          <w:color w:val="auto"/>
          <w:szCs w:val="21"/>
          <w:lang w:eastAsia="zh-CN"/>
        </w:rPr>
      </w:pPr>
      <w:r>
        <w:rPr>
          <w:rFonts w:hint="eastAsia" w:ascii="仿宋" w:hAnsi="仿宋" w:eastAsia="仿宋" w:cs="仿宋"/>
          <w:color w:val="auto"/>
          <w:szCs w:val="21"/>
          <w:lang w:eastAsia="zh-CN"/>
        </w:rPr>
        <w:t>项目评审过程中，不得去掉最后报价中的最高报价和最低报价。</w:t>
      </w:r>
    </w:p>
    <w:p w14:paraId="7BFE19F6">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35.5 评审人员对各供应商响应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13EB48F8">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35%以上的）情形的，应由相关人员当场改正或作出书面说明；拒不改正又不作书面说明的，由现场监督员如实记载后存入项目档案资料。</w:t>
      </w:r>
    </w:p>
    <w:p w14:paraId="5BBD3A28">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35.7 评标委员会根据评审汇总情况和磋商文件规定确定中标候选供应商排序名单。</w:t>
      </w:r>
    </w:p>
    <w:p w14:paraId="32D2947D">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35.8 起草评审报告，所有评审人员须在评审报告上签章确认，对自己的评审意见承担法律责任。 </w:t>
      </w:r>
    </w:p>
    <w:p w14:paraId="65F1EFE7">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35.9 采购组织机构对评标委员会评审专家进行评价。</w:t>
      </w:r>
    </w:p>
    <w:p w14:paraId="0BA0751F">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35.10 修改评审结果</w:t>
      </w:r>
    </w:p>
    <w:p w14:paraId="2C7EDF3C">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评标结果汇总完成后，除下列情形外，任何人不得修改评标结果：</w:t>
      </w:r>
    </w:p>
    <w:p w14:paraId="27A39524">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（1）分值汇总计算错误的；</w:t>
      </w:r>
    </w:p>
    <w:p w14:paraId="2E85608F">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（2）分项评分超出评分标准范围的；</w:t>
      </w:r>
    </w:p>
    <w:p w14:paraId="481BC382">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（3）评标委员会成员对客观评审因素评分不一致的；</w:t>
      </w:r>
    </w:p>
    <w:p w14:paraId="7B112A14">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（4）经评标委员会认定评分畸高、畸低的。</w:t>
      </w:r>
    </w:p>
    <w:p w14:paraId="34FC9ADA">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382D5C6">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36．澄清、说明或补正的形式</w:t>
      </w:r>
    </w:p>
    <w:p w14:paraId="5897A62E">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36.1对于响应文件中含义不明确、同类问题表述不一致或者有明显文字和计算错误的内容，评标委员会将通过“政府采购云平台”在线询标的方式要求投标供应商在规定的时间内作出必要的澄清、说明或者补正，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lang w:eastAsia="zh-CN"/>
        </w:rPr>
        <w:t>投标供应商澄清、说明或补正时间为20分钟</w:t>
      </w:r>
      <w:r>
        <w:rPr>
          <w:rFonts w:hint="eastAsia" w:ascii="仿宋" w:hAnsi="仿宋" w:eastAsia="仿宋" w:cs="仿宋"/>
          <w:color w:val="auto"/>
          <w:szCs w:val="21"/>
          <w:lang w:eastAsia="zh-CN"/>
        </w:rPr>
        <w:t>。</w:t>
      </w:r>
    </w:p>
    <w:p w14:paraId="2F9B9E9C">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3979ED00">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FA3B34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37．错误修正的原则</w:t>
      </w:r>
    </w:p>
    <w:p w14:paraId="0D662CEF">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30951E16">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响应文件报价出现前后不一致的，除磋商文件另有规定外，按照下列规定修正：</w:t>
      </w:r>
    </w:p>
    <w:p w14:paraId="0162E4AC">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37.1 投标函中表述的内容与报价表中不一致的，以报价表为准；报价表中的内容与报价明细表不一致的，以报价表为准；</w:t>
      </w:r>
    </w:p>
    <w:p w14:paraId="3A735B0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37.2 响应文件中的大写金额和小写金额不一致的，以大写金额为准；</w:t>
      </w:r>
    </w:p>
    <w:p w14:paraId="2EEB8C7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37.3 单价金额小数点或者百分比有明显错位的，以开标一览表的总价为准，并修改单价；</w:t>
      </w:r>
    </w:p>
    <w:p w14:paraId="177146CB">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37.4 总价金额与按单价汇总金额不一致的，以单价金额计算结果为准；</w:t>
      </w:r>
    </w:p>
    <w:p w14:paraId="7153591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37.5 若用文字表示的数值与用数字表示的数值不一致，以文字表示的数值为准；</w:t>
      </w:r>
    </w:p>
    <w:p w14:paraId="6F6F6680">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37.6 如有多报（指数量超出磋商文件需求）、重报（指同一货物重复报价），其投标总价在评标过程中不予调整，如其中标，其合同价按其投标单价予以调整；</w:t>
      </w:r>
    </w:p>
    <w:p w14:paraId="43799E78">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37.7 对不同文字文本响应文件的解释发生异议的，以中文文本为准；</w:t>
      </w:r>
    </w:p>
    <w:p w14:paraId="6740BAC9">
      <w:pPr>
        <w:spacing w:line="440" w:lineRule="exact"/>
        <w:ind w:firstLine="486" w:firstLineChars="200"/>
        <w:rPr>
          <w:rFonts w:ascii="仿宋" w:hAnsi="仿宋" w:eastAsia="仿宋" w:cs="仿宋"/>
          <w:b/>
          <w:bCs/>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仿宋" w:hAnsi="仿宋" w:eastAsia="仿宋" w:cs="仿宋"/>
          <w:b/>
          <w:bCs/>
          <w:color w:val="auto"/>
          <w:szCs w:val="21"/>
          <w:lang w:eastAsia="zh-CN"/>
        </w:rPr>
        <w:t>修正应当采用电子询标的形式，并加盖公章（电子印章）。</w:t>
      </w:r>
    </w:p>
    <w:p w14:paraId="0A37439B">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38．无效响应文件</w:t>
      </w:r>
    </w:p>
    <w:p w14:paraId="4FE79FFB">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有下列情形之一的，响应文件按无效标处理：</w:t>
      </w:r>
    </w:p>
    <w:p w14:paraId="625AC8BF">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38.1 报名的供应商与参加投标的供应商发生实质性变更的且未提供有效证明的；</w:t>
      </w:r>
    </w:p>
    <w:p w14:paraId="6E69EAEA">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38.2 供应商提交两份或两份以上内容不同的响应文件，未声明哪一份有效的；</w:t>
      </w:r>
    </w:p>
    <w:p w14:paraId="0B8801CA">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38.3 响应文件非供应商法定代表人签署的，未提供或提供无效的法定代表人授权书；</w:t>
      </w:r>
    </w:p>
    <w:p w14:paraId="0F30F0F1">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38.4 未按磋商文件规定装订；</w:t>
      </w:r>
    </w:p>
    <w:p w14:paraId="10BD51DF">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38.5 响应文件内容未按磋商文件规定签章或盖章的；</w:t>
      </w:r>
    </w:p>
    <w:p w14:paraId="64A1321C">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38.6 响应文件组成漏项或未按规定的格式编制或响应文件正、副本份数不足或内容不全或内容字迹模糊辨认不清的等而导致评标活动无法正常进行；</w:t>
      </w:r>
    </w:p>
    <w:p w14:paraId="5587B7E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38.7 供应商未按磋商文件变更通知更改响应文件的；</w:t>
      </w:r>
    </w:p>
    <w:p w14:paraId="48A190F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38.8 《开标一览表》和《投标分项报价表》内容不完整且不接受修正意见或字迹不能辨认的或未提供；</w:t>
      </w:r>
    </w:p>
    <w:p w14:paraId="1D94EE03">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38.9 标项投标报价超过磋商文件规定的预算金额或最高限价</w:t>
      </w:r>
    </w:p>
    <w:p w14:paraId="5A82A5F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38.10 因供应商原因编制错误造成经评标委员会修正后的报价达到或超过投标报价的0.5%；</w:t>
      </w:r>
    </w:p>
    <w:p w14:paraId="3E47AB41">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38.11 供应商的报价明显低于其他通过符合性审查供应商的报价，有可能影响产品质量或者不能诚信履约的，且在规定时间内不能合理说明原因并提供证明材料的；</w:t>
      </w:r>
    </w:p>
    <w:p w14:paraId="56780397">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38.12 未实质性响应磋商文件中条款要求的响应文件；</w:t>
      </w:r>
    </w:p>
    <w:p w14:paraId="1FF9ACA7">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38.13 不符合招标范围、技术规格、技术标准的要求无法满足采购人使用要求；</w:t>
      </w:r>
    </w:p>
    <w:p w14:paraId="2BEC9517">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38.14 响应文件附有采购人不能接受的条款；</w:t>
      </w:r>
    </w:p>
    <w:p w14:paraId="15738E97">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38.15 响应文件中提供了赠品或者与本项目采购无关的其他商品、服务；</w:t>
      </w:r>
    </w:p>
    <w:p w14:paraId="35511E58">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38.16 响应文件中承诺的投标有效期少于磋商文件中载明的投标有效期；</w:t>
      </w:r>
    </w:p>
    <w:p w14:paraId="54F2444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38.17供应商串通投标，妨碍其他供应商的竞争行为，损害采购人或者其他供应商的合法权益；</w:t>
      </w:r>
    </w:p>
    <w:p w14:paraId="500165AE">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38.18违反国家及政府部门相关法律、法规、文件规定或经评标委员会认定的其他属于重大偏离；</w:t>
      </w:r>
    </w:p>
    <w:p w14:paraId="6BDC8FA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39．废标</w:t>
      </w:r>
    </w:p>
    <w:p w14:paraId="5F0E18C2">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39.1 符合磋商文件规定废标情形的；</w:t>
      </w:r>
    </w:p>
    <w:p w14:paraId="0F28BFA0">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39.2 出现影响采购公正的违法、违规行为的；</w:t>
      </w:r>
    </w:p>
    <w:p w14:paraId="1BE5D135">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39.3 供应商的报价均超过了采购预算（或最高限价），采购人不能支付的;</w:t>
      </w:r>
    </w:p>
    <w:p w14:paraId="1CCFC6C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39.4 因重大变故，采购任务取消的。</w:t>
      </w:r>
    </w:p>
    <w:p w14:paraId="41797255">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40．突发情况处理</w:t>
      </w:r>
    </w:p>
    <w:p w14:paraId="1B03A9A5">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40.1 采购过程中出现以下情形，导致电子交易平台无法正常运行，或者无法保证电子交易的公平、公正和安全时，采购组织机构可中止电子交易活动：</w:t>
      </w:r>
    </w:p>
    <w:p w14:paraId="197437E8">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（1）电子交易平台发生故障而无法登录访问的； </w:t>
      </w:r>
    </w:p>
    <w:p w14:paraId="23D6D19D">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（2）电子交易平台应用或数据库出现错误，不能进行正常操作的；</w:t>
      </w:r>
    </w:p>
    <w:p w14:paraId="3450C6E0">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（3）电子交易平台发现严重安全漏洞，有潜在泄密危险的；</w:t>
      </w:r>
    </w:p>
    <w:p w14:paraId="3FD3E75E">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（4）病毒发作导致不能进行正常操作的； </w:t>
      </w:r>
    </w:p>
    <w:p w14:paraId="02940315">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（5）其他无法保证电子交易的公平、公正和安全的情况。</w:t>
      </w:r>
    </w:p>
    <w:p w14:paraId="42981F8D">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04A8B4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40.2 采购代理机构或评审小组因不可抗力（不可抗力包括但不限于自然灾害、断电、传播疫病等）原因造成电子交易活动无法正常运行的，将采取以下措施：</w:t>
      </w:r>
    </w:p>
    <w:p w14:paraId="72E6D6D2">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（1）短时间内能消除不可抗力因素的，采购代理机构或评审小组在消除不可抗力因素后继续组织电子交易活动； </w:t>
      </w:r>
    </w:p>
    <w:p w14:paraId="1F6AB305">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（2）长时间内无法消除不可抗力因素的，采购代理机构或评审小组将中止电子交易活动。中止电子交易活动的，采购人应当重新组织政府采购活动。</w:t>
      </w:r>
    </w:p>
    <w:p w14:paraId="5616E23A">
      <w:pPr>
        <w:snapToGrid w:val="0"/>
        <w:spacing w:line="360" w:lineRule="exact"/>
        <w:ind w:firstLine="668" w:firstLineChars="275"/>
        <w:rPr>
          <w:rFonts w:ascii="仿宋" w:hAnsi="仿宋" w:eastAsia="仿宋" w:cs="仿宋"/>
          <w:b/>
          <w:color w:val="auto"/>
          <w:szCs w:val="21"/>
          <w:lang w:eastAsia="zh-CN"/>
        </w:rPr>
      </w:pPr>
      <w:r>
        <w:rPr>
          <w:rFonts w:hint="eastAsia" w:ascii="仿宋" w:hAnsi="仿宋" w:eastAsia="仿宋" w:cs="仿宋"/>
          <w:b/>
          <w:color w:val="auto"/>
          <w:szCs w:val="21"/>
          <w:lang w:eastAsia="zh-CN"/>
        </w:rPr>
        <w:t>41. 定标</w:t>
      </w:r>
    </w:p>
    <w:p w14:paraId="6BFFD938">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bookmarkStart w:id="48" w:name="_Toc469495729"/>
      <w:r>
        <w:rPr>
          <w:rFonts w:hint="eastAsia" w:ascii="仿宋" w:hAnsi="仿宋" w:eastAsia="仿宋" w:cs="仿宋"/>
          <w:color w:val="auto"/>
          <w:szCs w:val="21"/>
          <w:lang w:eastAsia="zh-CN"/>
        </w:rPr>
        <w:t>41.1采购结果确认（确定成交供应商）</w:t>
      </w:r>
    </w:p>
    <w:p w14:paraId="2B9F06CB">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采购结果确认（确定成交供应商）：本项目由采购人根据评标委员会提交的《评审报告》，通过“政府采购云平台”依法确认采购结果、确定成交供应商。具体流程如下：</w:t>
      </w:r>
    </w:p>
    <w:p w14:paraId="2F4563E6">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（1）采购代理机构将在评审结束后2个工作日内将评审报告送采购人。</w:t>
      </w:r>
    </w:p>
    <w:p w14:paraId="1465E96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（2）采购人将在收到评审报告之日起5个工作日内，在评审报告推荐的中标候选供应商名单中按顺序确定成交供应商，并将确认意见以书面形式回复采购代理机构。 </w:t>
      </w:r>
    </w:p>
    <w:p w14:paraId="6536169A">
      <w:pPr>
        <w:spacing w:line="440" w:lineRule="exact"/>
        <w:ind w:firstLine="486" w:firstLineChars="200"/>
        <w:rPr>
          <w:rFonts w:ascii="仿宋" w:hAnsi="仿宋" w:eastAsia="仿宋" w:cs="仿宋"/>
          <w:b/>
          <w:bCs/>
          <w:color w:val="auto"/>
          <w:szCs w:val="21"/>
          <w:lang w:eastAsia="zh-CN"/>
        </w:rPr>
      </w:pPr>
      <w:r>
        <w:rPr>
          <w:rFonts w:hint="eastAsia" w:ascii="仿宋" w:hAnsi="仿宋" w:eastAsia="仿宋" w:cs="仿宋"/>
          <w:color w:val="auto"/>
          <w:szCs w:val="21"/>
          <w:lang w:eastAsia="zh-CN"/>
        </w:rPr>
        <w:t>41.2采购结果经采购人确认后2个工作日内，采购代理机构将在</w:t>
      </w:r>
      <w:r>
        <w:rPr>
          <w:rFonts w:hint="eastAsia" w:ascii="仿宋" w:hAnsi="仿宋" w:eastAsia="仿宋" w:cs="仿宋"/>
          <w:b/>
          <w:bCs/>
          <w:color w:val="auto"/>
          <w:szCs w:val="21"/>
          <w:lang w:eastAsia="zh-CN"/>
        </w:rPr>
        <w:t>克州公共资源交易中心网、新疆政府采购网（www.zjzfcg.gov.cn）上公告采购结果，中标公告期限为1个工作日。</w:t>
      </w:r>
    </w:p>
    <w:p w14:paraId="19343172">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42. 成交通知书</w:t>
      </w:r>
    </w:p>
    <w:p w14:paraId="08682F0B">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42.1在成交通知书发出前，招标人将中标侯选人的情况在克州公共资源交易中心网、新疆政府采购网予以公示，</w:t>
      </w:r>
      <w:r>
        <w:rPr>
          <w:rFonts w:hint="eastAsia" w:ascii="仿宋" w:hAnsi="仿宋" w:eastAsia="仿宋" w:cs="仿宋"/>
          <w:b/>
          <w:bCs/>
          <w:color w:val="auto"/>
          <w:szCs w:val="21"/>
          <w:lang w:eastAsia="zh-CN"/>
        </w:rPr>
        <w:t>公示期为一个工作日。待公示期结束后，</w:t>
      </w:r>
      <w:r>
        <w:rPr>
          <w:rFonts w:hint="eastAsia" w:ascii="仿宋" w:hAnsi="仿宋" w:eastAsia="仿宋" w:cs="仿宋"/>
          <w:color w:val="auto"/>
          <w:szCs w:val="21"/>
          <w:lang w:eastAsia="zh-CN"/>
        </w:rPr>
        <w:t>采购组织机构向中标人发出成交通知书。</w:t>
      </w:r>
    </w:p>
    <w:p w14:paraId="2F1337AA">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42.2成交通知书作为签订合同的重要依据，对采购人和成交供应商均具有法律效力。采购人改变中标结果或者成交供应商放弃中标项目的都应承担法律责任。成交供应商不得向他人转让中标项目，也不得将中标项目肢解后分别向他人转让。</w:t>
      </w:r>
    </w:p>
    <w:p w14:paraId="3D3D7C65">
      <w:pPr>
        <w:spacing w:beforeLines="50" w:line="440" w:lineRule="exact"/>
        <w:jc w:val="center"/>
        <w:outlineLvl w:val="2"/>
        <w:rPr>
          <w:rFonts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48"/>
    </w:p>
    <w:p w14:paraId="25894181">
      <w:pPr>
        <w:spacing w:line="440" w:lineRule="exact"/>
        <w:ind w:firstLine="486" w:firstLineChars="200"/>
        <w:rPr>
          <w:rFonts w:ascii="仿宋" w:hAnsi="仿宋" w:eastAsia="仿宋" w:cs="仿宋"/>
          <w:color w:val="auto"/>
          <w:szCs w:val="21"/>
          <w:lang w:eastAsia="zh-CN"/>
        </w:rPr>
      </w:pPr>
      <w:bookmarkStart w:id="49" w:name="_Toc73975842"/>
      <w:bookmarkStart w:id="50" w:name="_Toc469495730"/>
      <w:r>
        <w:rPr>
          <w:rFonts w:hint="eastAsia" w:ascii="仿宋" w:hAnsi="仿宋" w:eastAsia="仿宋" w:cs="仿宋"/>
          <w:color w:val="auto"/>
          <w:szCs w:val="21"/>
          <w:lang w:eastAsia="zh-CN"/>
        </w:rPr>
        <w:t>43．履约保证金</w:t>
      </w:r>
      <w:bookmarkEnd w:id="49"/>
    </w:p>
    <w:p w14:paraId="2582465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43.1 成交供应商在签订合同后10个工作日内向采购人缴纳中标价</w:t>
      </w:r>
      <w:r>
        <w:rPr>
          <w:rFonts w:hint="eastAsia" w:ascii="仿宋" w:hAnsi="仿宋" w:eastAsia="仿宋" w:cs="仿宋"/>
          <w:color w:val="auto"/>
          <w:szCs w:val="21"/>
          <w:lang w:val="en-US" w:eastAsia="zh-CN"/>
        </w:rPr>
        <w:t>10</w:t>
      </w:r>
      <w:r>
        <w:rPr>
          <w:rFonts w:hint="eastAsia" w:ascii="仿宋" w:hAnsi="仿宋" w:eastAsia="仿宋" w:cs="仿宋"/>
          <w:color w:val="auto"/>
          <w:szCs w:val="21"/>
          <w:lang w:eastAsia="zh-CN"/>
        </w:rPr>
        <w:t>%的履约保证金（鼓励以银行、保险公司出具的履约保函形式提交；若以电汇、银行转账方式提交的，必须转到采购人的指定账户）。</w:t>
      </w:r>
    </w:p>
    <w:p w14:paraId="215D6A1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签订合同后，如成交供应商不按合同约定履约的，履约保证金不予退还，履约保证金不足以赔偿损失的，按实际损失赔偿。</w:t>
      </w:r>
    </w:p>
    <w:p w14:paraId="216CBED7">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43.3 如果成交供应商在建设期内没有涉及采购人的应付而未付金额或违约行为，采购人在项目验收合格后或提前终止合同后全额无息退还履约保证金。</w:t>
      </w:r>
    </w:p>
    <w:p w14:paraId="127AA075">
      <w:pPr>
        <w:spacing w:line="440" w:lineRule="exact"/>
        <w:ind w:firstLine="486" w:firstLineChars="200"/>
        <w:rPr>
          <w:rFonts w:ascii="仿宋" w:hAnsi="仿宋" w:eastAsia="仿宋" w:cs="仿宋"/>
          <w:color w:val="auto"/>
          <w:szCs w:val="21"/>
          <w:lang w:eastAsia="zh-CN"/>
        </w:rPr>
      </w:pPr>
      <w:bookmarkStart w:id="51" w:name="_Toc73975843"/>
      <w:r>
        <w:rPr>
          <w:rFonts w:hint="eastAsia" w:ascii="仿宋" w:hAnsi="仿宋" w:eastAsia="仿宋" w:cs="仿宋"/>
          <w:color w:val="auto"/>
          <w:szCs w:val="21"/>
          <w:lang w:eastAsia="zh-CN"/>
        </w:rPr>
        <w:t>44．签订合同及公告</w:t>
      </w:r>
      <w:bookmarkEnd w:id="51"/>
    </w:p>
    <w:p w14:paraId="18ED3543">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44.1采购人在成交通知书发出之日起30日内与成交供应商签订合同。</w:t>
      </w:r>
    </w:p>
    <w:p w14:paraId="379D7D33">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44.2成交供应商拖延、拒签合同的,取消中标资格。</w:t>
      </w:r>
    </w:p>
    <w:p w14:paraId="585941B2">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44.3 磋商文件、成交供应商的响应文件及评标过程中有关澄清文件等均作为签订合同的依据。所签订的合同不得对磋商文件和成交供应商的响应文件的内容作实质性修改。</w:t>
      </w:r>
    </w:p>
    <w:p w14:paraId="01591D8F">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14:paraId="7F293FD1">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14:paraId="2DD9B0C6">
      <w:pPr>
        <w:adjustRightInd w:val="0"/>
        <w:snapToGrid w:val="0"/>
        <w:spacing w:line="440" w:lineRule="exact"/>
        <w:jc w:val="center"/>
        <w:outlineLvl w:val="2"/>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50"/>
    </w:p>
    <w:p w14:paraId="34D78170">
      <w:pPr>
        <w:spacing w:line="440" w:lineRule="exact"/>
        <w:ind w:firstLine="599" w:firstLineChars="2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14:paraId="67D1AB0E">
      <w:pPr>
        <w:adjustRightInd w:val="0"/>
        <w:snapToGrid w:val="0"/>
        <w:spacing w:line="440" w:lineRule="exact"/>
        <w:ind w:firstLine="607" w:firstLineChars="2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45.1招标人不得泄漏招标投标活动中应当保密的情况和资料，不得与供应商串通损害国家利益，社会公共利益或者他人合法权益。 </w:t>
      </w:r>
    </w:p>
    <w:p w14:paraId="5B45F617">
      <w:pPr>
        <w:spacing w:line="440" w:lineRule="exact"/>
        <w:ind w:firstLine="599" w:firstLineChars="2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46. 对供应商的纪律要求 </w:t>
      </w:r>
    </w:p>
    <w:p w14:paraId="53980EB6">
      <w:pPr>
        <w:adjustRightInd w:val="0"/>
        <w:snapToGrid w:val="0"/>
        <w:spacing w:line="440" w:lineRule="exact"/>
        <w:ind w:firstLine="607" w:firstLineChars="2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621F2475">
      <w:pPr>
        <w:spacing w:line="440" w:lineRule="exact"/>
        <w:ind w:firstLine="599" w:firstLineChars="2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14:paraId="4D0CA5EE">
      <w:pPr>
        <w:adjustRightInd w:val="0"/>
        <w:snapToGrid w:val="0"/>
        <w:spacing w:line="440" w:lineRule="exact"/>
        <w:ind w:firstLine="607" w:firstLineChars="2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47.1评标委员会成员不得收受他人的财物或者其他好处，不得向他人透漏对响应文件的评审和比较、中标候选人的推荐情况以及评标有关的其他情况。</w:t>
      </w:r>
    </w:p>
    <w:p w14:paraId="650FE277">
      <w:pPr>
        <w:adjustRightInd w:val="0"/>
        <w:snapToGrid w:val="0"/>
        <w:spacing w:line="440" w:lineRule="exact"/>
        <w:ind w:firstLine="607" w:firstLineChars="2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14:paraId="12AA9CFD">
      <w:pPr>
        <w:spacing w:line="440" w:lineRule="exact"/>
        <w:ind w:firstLine="599" w:firstLineChars="2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14:paraId="505F2C7A">
      <w:pPr>
        <w:adjustRightInd w:val="0"/>
        <w:snapToGrid w:val="0"/>
        <w:spacing w:line="440" w:lineRule="exact"/>
        <w:ind w:firstLine="607" w:firstLineChars="2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14:paraId="53A9EDB4">
      <w:pPr>
        <w:spacing w:beforeLines="50" w:afterLines="50" w:line="320" w:lineRule="exact"/>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14:paraId="1B33EF4D">
      <w:pPr>
        <w:spacing w:line="36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14:paraId="39B14ACA">
      <w:pPr>
        <w:spacing w:line="36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49.1.供应商认为磋商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7E0AD95">
      <w:pPr>
        <w:spacing w:line="36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（一）对可以质疑的磋商文件提出质疑的，为收到磋商文件之日或者磋商文件公告期限届满之日；</w:t>
      </w:r>
    </w:p>
    <w:p w14:paraId="5539C2B8">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14:paraId="2B33DC1C">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14:paraId="22FC6E2D">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18167AC">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14:paraId="3DF1DC6F">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119E4247">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23D4397B">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49.5供应商有下列情形之一的，采购代理机构将报告克州财政局，将其列入不良行为记录名单：</w:t>
      </w:r>
    </w:p>
    <w:p w14:paraId="2E36B14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14:paraId="1155C962">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14:paraId="784B19F8">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14:paraId="7706673D">
      <w:pPr>
        <w:spacing w:line="360" w:lineRule="exact"/>
        <w:jc w:val="center"/>
        <w:rPr>
          <w:rFonts w:ascii="仿宋" w:hAnsi="仿宋" w:eastAsia="仿宋" w:cs="仿宋"/>
          <w:color w:val="auto"/>
          <w:sz w:val="30"/>
          <w:szCs w:val="30"/>
          <w:lang w:eastAsia="zh-CN"/>
        </w:rPr>
      </w:pPr>
    </w:p>
    <w:p w14:paraId="17A2526B">
      <w:pPr>
        <w:rPr>
          <w:rFonts w:ascii="仿宋" w:hAnsi="仿宋" w:eastAsia="仿宋" w:cs="仿宋"/>
          <w:b/>
          <w:bCs/>
          <w:color w:val="auto"/>
          <w:sz w:val="21"/>
          <w:szCs w:val="21"/>
          <w:lang w:eastAsia="zh-CN"/>
        </w:rPr>
      </w:pPr>
    </w:p>
    <w:p w14:paraId="03E2433B">
      <w:pPr>
        <w:rPr>
          <w:rFonts w:hint="eastAsia" w:ascii="仿宋" w:hAnsi="仿宋" w:eastAsia="仿宋" w:cs="仿宋"/>
          <w:b/>
          <w:bCs/>
          <w:color w:val="auto"/>
          <w:lang w:eastAsia="zh-CN"/>
        </w:rPr>
      </w:pPr>
    </w:p>
    <w:p w14:paraId="1CB2F8C5">
      <w:pPr>
        <w:rPr>
          <w:rFonts w:ascii="仿宋" w:hAnsi="仿宋" w:eastAsia="仿宋" w:cs="仿宋"/>
          <w:b/>
          <w:bCs/>
          <w:color w:val="auto"/>
          <w:lang w:eastAsia="zh-CN"/>
        </w:rPr>
      </w:pPr>
      <w:r>
        <w:rPr>
          <w:rFonts w:hint="eastAsia" w:ascii="仿宋" w:hAnsi="仿宋" w:eastAsia="仿宋" w:cs="仿宋"/>
          <w:b/>
          <w:bCs/>
          <w:color w:val="auto"/>
          <w:lang w:eastAsia="zh-CN"/>
        </w:rPr>
        <w:t>附件：</w:t>
      </w:r>
    </w:p>
    <w:p w14:paraId="55395B9F">
      <w:pPr>
        <w:jc w:val="center"/>
        <w:rPr>
          <w:rFonts w:ascii="仿宋" w:hAnsi="仿宋" w:eastAsia="仿宋" w:cs="仿宋"/>
          <w:b/>
          <w:bCs/>
          <w:color w:val="auto"/>
          <w:sz w:val="28"/>
          <w:szCs w:val="28"/>
          <w:lang w:eastAsia="zh-CN"/>
        </w:rPr>
      </w:pPr>
      <w:r>
        <w:rPr>
          <w:rFonts w:hint="eastAsia" w:ascii="仿宋" w:hAnsi="仿宋" w:eastAsia="仿宋" w:cs="仿宋"/>
          <w:b/>
          <w:bCs/>
          <w:color w:val="auto"/>
          <w:sz w:val="32"/>
          <w:szCs w:val="32"/>
          <w:lang w:eastAsia="zh-CN"/>
        </w:rPr>
        <w:t>政府采购投诉书（范本）、质疑函范本</w:t>
      </w:r>
    </w:p>
    <w:p w14:paraId="0BAE5A99">
      <w:pPr>
        <w:spacing w:line="400" w:lineRule="exact"/>
        <w:jc w:val="center"/>
        <w:rPr>
          <w:rFonts w:ascii="仿宋" w:hAnsi="仿宋" w:eastAsia="仿宋" w:cs="仿宋"/>
          <w:color w:val="auto"/>
          <w:u w:val="single"/>
          <w:lang w:eastAsia="zh-CN"/>
        </w:rPr>
      </w:pPr>
      <w:r>
        <w:rPr>
          <w:rFonts w:hint="eastAsia" w:ascii="仿宋" w:hAnsi="仿宋" w:eastAsia="仿宋" w:cs="仿宋"/>
          <w:b/>
          <w:bCs/>
          <w:color w:val="auto"/>
          <w:sz w:val="28"/>
          <w:szCs w:val="28"/>
          <w:lang w:eastAsia="zh-CN"/>
        </w:rPr>
        <w:t>政府采购投诉书（范本）</w:t>
      </w:r>
    </w:p>
    <w:p w14:paraId="424A2E72">
      <w:pPr>
        <w:spacing w:line="400" w:lineRule="exact"/>
        <w:rPr>
          <w:rFonts w:ascii="仿宋" w:hAnsi="仿宋" w:eastAsia="仿宋" w:cs="仿宋"/>
          <w:color w:val="auto"/>
          <w:lang w:eastAsia="zh-CN"/>
        </w:rPr>
      </w:pPr>
    </w:p>
    <w:p w14:paraId="629E6365">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投诉人：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法定代表人：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5940D04A">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电话：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0A34933B">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委托代理人姓名：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7FE02316">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住址：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联系电话：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50012BF5">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被投诉人：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法定代表人：</w:t>
      </w:r>
      <w:r>
        <w:rPr>
          <w:rFonts w:hint="eastAsia" w:ascii="仿宋" w:hAnsi="仿宋" w:eastAsia="仿宋" w:cs="仿宋"/>
          <w:color w:val="auto"/>
          <w:u w:val="single"/>
          <w:lang w:eastAsia="zh-CN"/>
        </w:rPr>
        <w:t xml:space="preserve">         </w:t>
      </w:r>
    </w:p>
    <w:p w14:paraId="78AFBD41">
      <w:pPr>
        <w:spacing w:line="40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电话：</w:t>
      </w:r>
      <w:r>
        <w:rPr>
          <w:rFonts w:hint="eastAsia" w:ascii="仿宋" w:hAnsi="仿宋" w:eastAsia="仿宋" w:cs="仿宋"/>
          <w:color w:val="auto"/>
          <w:u w:val="single"/>
          <w:lang w:eastAsia="zh-CN"/>
        </w:rPr>
        <w:t xml:space="preserve">               </w:t>
      </w:r>
    </w:p>
    <w:p w14:paraId="196D4A4C">
      <w:pPr>
        <w:spacing w:line="400" w:lineRule="exact"/>
        <w:ind w:firstLine="486" w:firstLineChars="200"/>
        <w:rPr>
          <w:rFonts w:ascii="仿宋" w:hAnsi="仿宋" w:eastAsia="仿宋" w:cs="仿宋"/>
          <w:color w:val="auto"/>
          <w:lang w:eastAsia="zh-CN"/>
        </w:rPr>
      </w:pPr>
    </w:p>
    <w:p w14:paraId="5EDB334F">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我公司参加了</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年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日被投诉人组织的</w:t>
      </w:r>
      <w:r>
        <w:rPr>
          <w:rFonts w:hint="eastAsia" w:ascii="仿宋" w:hAnsi="仿宋" w:eastAsia="仿宋" w:cs="仿宋"/>
          <w:color w:val="auto"/>
          <w:u w:val="single"/>
          <w:lang w:eastAsia="zh-CN"/>
        </w:rPr>
        <w:t>（采购人）（项目名称）（项目编号）</w:t>
      </w:r>
      <w:r>
        <w:rPr>
          <w:rFonts w:hint="eastAsia" w:ascii="仿宋" w:hAnsi="仿宋" w:eastAsia="仿宋" w:cs="仿宋"/>
          <w:color w:val="auto"/>
          <w:lang w:eastAsia="zh-CN"/>
        </w:rPr>
        <w:t>的采购活动，我公司认为该项目的</w:t>
      </w:r>
      <w:r>
        <w:rPr>
          <w:rFonts w:hint="eastAsia" w:ascii="仿宋" w:hAnsi="仿宋" w:eastAsia="仿宋" w:cs="仿宋"/>
          <w:color w:val="auto"/>
          <w:u w:val="single"/>
          <w:lang w:eastAsia="zh-CN"/>
        </w:rPr>
        <w:t>（磋商文件/采购过程/中标（中标）结果）</w:t>
      </w:r>
      <w:r>
        <w:rPr>
          <w:rFonts w:hint="eastAsia" w:ascii="仿宋" w:hAnsi="仿宋" w:eastAsia="仿宋" w:cs="仿宋"/>
          <w:color w:val="auto"/>
          <w:lang w:eastAsia="zh-CN"/>
        </w:rPr>
        <w:t>损害了我公司权益，对此，我公司于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日向</w:t>
      </w:r>
      <w:r>
        <w:rPr>
          <w:rFonts w:hint="eastAsia" w:ascii="仿宋" w:hAnsi="仿宋" w:eastAsia="仿宋" w:cs="仿宋"/>
          <w:color w:val="auto"/>
          <w:u w:val="single"/>
          <w:lang w:eastAsia="zh-CN"/>
        </w:rPr>
        <w:t>（采购人或者政府采购代理机构）</w:t>
      </w:r>
      <w:r>
        <w:rPr>
          <w:rFonts w:hint="eastAsia" w:ascii="仿宋" w:hAnsi="仿宋" w:eastAsia="仿宋" w:cs="仿宋"/>
          <w:color w:val="auto"/>
          <w:lang w:eastAsia="zh-CN"/>
        </w:rPr>
        <w:t>提出了质疑，</w:t>
      </w:r>
      <w:r>
        <w:rPr>
          <w:rFonts w:hint="eastAsia" w:ascii="仿宋" w:hAnsi="仿宋" w:eastAsia="仿宋" w:cs="仿宋"/>
          <w:color w:val="auto"/>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lang w:eastAsia="zh-CN"/>
        </w:rPr>
        <w:t>，现向贵机关提起投诉：</w:t>
      </w:r>
    </w:p>
    <w:p w14:paraId="2269F892">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u w:val="single"/>
          <w:lang w:eastAsia="zh-CN"/>
        </w:rPr>
        <w:t>具体的投诉事项及事实依据；</w:t>
      </w:r>
    </w:p>
    <w:p w14:paraId="58335195">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u w:val="single"/>
          <w:lang w:eastAsia="zh-CN"/>
        </w:rPr>
        <w:t>质疑和质疑答复情况简要描述；</w:t>
      </w:r>
    </w:p>
    <w:p w14:paraId="680DF08B">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w:t>
      </w:r>
      <w:r>
        <w:rPr>
          <w:rFonts w:hint="eastAsia" w:ascii="仿宋" w:hAnsi="仿宋" w:eastAsia="仿宋" w:cs="仿宋"/>
          <w:color w:val="auto"/>
          <w:u w:val="single"/>
          <w:lang w:eastAsia="zh-CN"/>
        </w:rPr>
        <w:t>投诉请求。</w:t>
      </w:r>
    </w:p>
    <w:p w14:paraId="272717BF">
      <w:pPr>
        <w:spacing w:line="400" w:lineRule="exact"/>
        <w:rPr>
          <w:rFonts w:ascii="仿宋" w:hAnsi="仿宋" w:eastAsia="仿宋" w:cs="仿宋"/>
          <w:color w:val="auto"/>
          <w:lang w:eastAsia="zh-CN"/>
        </w:rPr>
      </w:pPr>
      <w:r>
        <w:rPr>
          <w:rFonts w:hint="eastAsia" w:ascii="仿宋" w:hAnsi="仿宋" w:eastAsia="仿宋" w:cs="仿宋"/>
          <w:color w:val="auto"/>
          <w:lang w:eastAsia="zh-CN"/>
        </w:rPr>
        <w:t>附件：</w:t>
      </w:r>
    </w:p>
    <w:p w14:paraId="7342699E">
      <w:pPr>
        <w:spacing w:line="400" w:lineRule="exact"/>
        <w:rPr>
          <w:rFonts w:ascii="仿宋" w:hAnsi="仿宋" w:eastAsia="仿宋" w:cs="仿宋"/>
          <w:color w:val="auto"/>
          <w:lang w:eastAsia="zh-CN"/>
        </w:rPr>
      </w:pPr>
      <w:r>
        <w:rPr>
          <w:rFonts w:hint="eastAsia" w:ascii="仿宋" w:hAnsi="仿宋" w:eastAsia="仿宋" w:cs="仿宋"/>
          <w:color w:val="auto"/>
          <w:lang w:eastAsia="zh-CN"/>
        </w:rPr>
        <w:t>1.质疑书和质疑答复书；</w:t>
      </w:r>
    </w:p>
    <w:p w14:paraId="633B99EC">
      <w:pPr>
        <w:spacing w:line="400" w:lineRule="exact"/>
        <w:rPr>
          <w:rFonts w:ascii="仿宋" w:hAnsi="仿宋" w:eastAsia="仿宋" w:cs="仿宋"/>
          <w:color w:val="auto"/>
          <w:lang w:eastAsia="zh-CN"/>
        </w:rPr>
      </w:pPr>
      <w:r>
        <w:rPr>
          <w:rFonts w:hint="eastAsia" w:ascii="仿宋" w:hAnsi="仿宋" w:eastAsia="仿宋" w:cs="仿宋"/>
          <w:color w:val="auto"/>
          <w:lang w:eastAsia="zh-CN"/>
        </w:rPr>
        <w:t>2.证据材料（需注明证据来源），证人的姓名、住址和联系方式等；</w:t>
      </w:r>
    </w:p>
    <w:p w14:paraId="5753E45A">
      <w:pPr>
        <w:spacing w:line="400" w:lineRule="exact"/>
        <w:rPr>
          <w:rFonts w:ascii="仿宋" w:hAnsi="仿宋" w:eastAsia="仿宋" w:cs="仿宋"/>
          <w:color w:val="auto"/>
          <w:lang w:eastAsia="zh-CN"/>
        </w:rPr>
      </w:pPr>
      <w:r>
        <w:rPr>
          <w:rFonts w:hint="eastAsia" w:ascii="仿宋" w:hAnsi="仿宋" w:eastAsia="仿宋" w:cs="仿宋"/>
          <w:color w:val="auto"/>
          <w:lang w:eastAsia="zh-CN"/>
        </w:rPr>
        <w:t>3.营业执照；</w:t>
      </w:r>
    </w:p>
    <w:p w14:paraId="712343A8">
      <w:pPr>
        <w:spacing w:line="400" w:lineRule="exact"/>
        <w:rPr>
          <w:rFonts w:ascii="仿宋" w:hAnsi="仿宋" w:eastAsia="仿宋" w:cs="仿宋"/>
          <w:color w:val="auto"/>
          <w:lang w:eastAsia="zh-CN"/>
        </w:rPr>
      </w:pPr>
      <w:r>
        <w:rPr>
          <w:rFonts w:hint="eastAsia" w:ascii="仿宋" w:hAnsi="仿宋" w:eastAsia="仿宋" w:cs="仿宋"/>
          <w:color w:val="auto"/>
          <w:lang w:eastAsia="zh-CN"/>
        </w:rPr>
        <w:t>4.法定代表人身份证明函</w:t>
      </w:r>
    </w:p>
    <w:p w14:paraId="0243C230">
      <w:pPr>
        <w:spacing w:line="400" w:lineRule="exact"/>
        <w:rPr>
          <w:rFonts w:ascii="仿宋" w:hAnsi="仿宋" w:eastAsia="仿宋" w:cs="仿宋"/>
          <w:color w:val="auto"/>
          <w:lang w:eastAsia="zh-CN"/>
        </w:rPr>
      </w:pPr>
      <w:r>
        <w:rPr>
          <w:rFonts w:hint="eastAsia" w:ascii="仿宋" w:hAnsi="仿宋" w:eastAsia="仿宋" w:cs="仿宋"/>
          <w:color w:val="auto"/>
          <w:lang w:eastAsia="zh-CN"/>
        </w:rPr>
        <w:t>5.法定代表人授权委托书（包含法定代表人和委托代理人的身份证复印件）；</w:t>
      </w:r>
    </w:p>
    <w:p w14:paraId="2391E0F8">
      <w:pPr>
        <w:spacing w:line="400" w:lineRule="exact"/>
        <w:rPr>
          <w:rFonts w:ascii="仿宋" w:hAnsi="仿宋" w:eastAsia="仿宋" w:cs="仿宋"/>
          <w:color w:val="auto"/>
          <w:lang w:eastAsia="zh-CN"/>
        </w:rPr>
      </w:pPr>
      <w:r>
        <w:rPr>
          <w:rFonts w:hint="eastAsia" w:ascii="仿宋" w:hAnsi="仿宋" w:eastAsia="仿宋" w:cs="仿宋"/>
          <w:color w:val="auto"/>
          <w:lang w:eastAsia="zh-CN"/>
        </w:rPr>
        <w:t>6.政府采购监管部门认为应当提供的其它材料。</w:t>
      </w:r>
    </w:p>
    <w:p w14:paraId="754DFD33">
      <w:pPr>
        <w:spacing w:line="400" w:lineRule="exact"/>
        <w:jc w:val="center"/>
        <w:rPr>
          <w:rFonts w:ascii="仿宋" w:hAnsi="仿宋" w:eastAsia="仿宋" w:cs="仿宋"/>
          <w:color w:val="auto"/>
          <w:lang w:eastAsia="zh-CN"/>
        </w:rPr>
      </w:pPr>
    </w:p>
    <w:p w14:paraId="20CE9223">
      <w:pPr>
        <w:spacing w:line="400" w:lineRule="exact"/>
        <w:jc w:val="center"/>
        <w:rPr>
          <w:rFonts w:ascii="仿宋" w:hAnsi="仿宋" w:eastAsia="仿宋" w:cs="仿宋"/>
          <w:color w:val="auto"/>
          <w:lang w:eastAsia="zh-CN"/>
        </w:rPr>
      </w:pPr>
      <w:r>
        <w:rPr>
          <w:rFonts w:hint="eastAsia" w:ascii="仿宋" w:hAnsi="仿宋" w:eastAsia="仿宋" w:cs="仿宋"/>
          <w:color w:val="auto"/>
          <w:lang w:eastAsia="zh-CN"/>
        </w:rPr>
        <w:t>投诉供应商：（盖章）</w:t>
      </w:r>
    </w:p>
    <w:p w14:paraId="2A19ECC1">
      <w:pPr>
        <w:spacing w:line="400" w:lineRule="exact"/>
        <w:rPr>
          <w:rFonts w:ascii="仿宋" w:hAnsi="仿宋" w:eastAsia="仿宋" w:cs="仿宋"/>
          <w:color w:val="auto"/>
          <w:lang w:eastAsia="zh-CN"/>
        </w:rPr>
      </w:pPr>
      <w:r>
        <w:rPr>
          <w:rFonts w:hint="eastAsia" w:ascii="仿宋" w:hAnsi="仿宋" w:eastAsia="仿宋" w:cs="仿宋"/>
          <w:color w:val="auto"/>
          <w:lang w:eastAsia="zh-CN"/>
        </w:rPr>
        <w:t xml:space="preserve">                              法定代表人（或主要负责人）：（签章）</w:t>
      </w:r>
    </w:p>
    <w:p w14:paraId="5AB45E96">
      <w:pPr>
        <w:spacing w:line="400" w:lineRule="exact"/>
        <w:ind w:firstLine="3888" w:firstLineChars="1600"/>
        <w:rPr>
          <w:rFonts w:ascii="仿宋" w:hAnsi="仿宋" w:eastAsia="仿宋" w:cs="仿宋"/>
          <w:color w:val="auto"/>
          <w:lang w:eastAsia="zh-CN"/>
        </w:rPr>
      </w:pP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70868AED">
      <w:pPr>
        <w:spacing w:line="400" w:lineRule="exact"/>
        <w:rPr>
          <w:rFonts w:ascii="仿宋" w:hAnsi="仿宋" w:eastAsia="仿宋" w:cs="仿宋"/>
          <w:color w:val="auto"/>
          <w:lang w:eastAsia="zh-CN"/>
        </w:rPr>
      </w:pPr>
    </w:p>
    <w:p w14:paraId="75285E41">
      <w:pPr>
        <w:spacing w:line="400" w:lineRule="exact"/>
        <w:jc w:val="right"/>
        <w:rPr>
          <w:rFonts w:ascii="仿宋" w:hAnsi="仿宋" w:eastAsia="仿宋" w:cs="仿宋"/>
          <w:color w:val="auto"/>
          <w:lang w:eastAsia="zh-CN"/>
        </w:rPr>
      </w:pPr>
      <w:r>
        <w:rPr>
          <w:rFonts w:hint="eastAsia" w:ascii="仿宋" w:hAnsi="仿宋" w:eastAsia="仿宋" w:cs="仿宋"/>
          <w:color w:val="auto"/>
          <w:lang w:eastAsia="zh-CN"/>
        </w:rPr>
        <w:t>本投诉书正本叁份，副本</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份并附电子文档。</w:t>
      </w:r>
    </w:p>
    <w:p w14:paraId="717EA9FE">
      <w:pPr>
        <w:ind w:left="5838" w:hanging="5814" w:hangingChars="1800"/>
        <w:jc w:val="center"/>
        <w:outlineLvl w:val="0"/>
        <w:rPr>
          <w:rFonts w:ascii="仿宋" w:hAnsi="仿宋" w:eastAsia="仿宋" w:cs="仿宋"/>
          <w:b/>
          <w:bCs/>
          <w:color w:val="auto"/>
          <w:sz w:val="32"/>
          <w:szCs w:val="32"/>
          <w:lang w:eastAsia="zh-CN"/>
        </w:rPr>
      </w:pPr>
      <w:bookmarkStart w:id="52" w:name="_Toc17515"/>
    </w:p>
    <w:p w14:paraId="29077967">
      <w:pPr>
        <w:ind w:left="5838" w:hanging="5814" w:hangingChars="1800"/>
        <w:jc w:val="center"/>
        <w:outlineLvl w:val="0"/>
        <w:rPr>
          <w:rFonts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投诉相关说明</w:t>
      </w:r>
      <w:bookmarkEnd w:id="52"/>
    </w:p>
    <w:p w14:paraId="5DD948A0">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lang w:eastAsia="zh-CN"/>
        </w:rPr>
        <w:t>投诉人应当满足《政府采购法》、《政府采购法实施条例》和《政府采购供应商投诉处理办法》的相关规定。</w:t>
      </w:r>
    </w:p>
    <w:p w14:paraId="0BECCB33">
      <w:pPr>
        <w:numPr>
          <w:ilvl w:val="0"/>
          <w:numId w:val="5"/>
        </w:numPr>
        <w:spacing w:line="400" w:lineRule="exact"/>
        <w:ind w:left="4626" w:leftChars="304" w:hanging="3888" w:hangingChars="1600"/>
        <w:outlineLvl w:val="0"/>
        <w:rPr>
          <w:rFonts w:ascii="仿宋" w:hAnsi="仿宋" w:eastAsia="仿宋" w:cs="仿宋"/>
          <w:b/>
          <w:bCs/>
          <w:color w:val="auto"/>
        </w:rPr>
      </w:pPr>
      <w:bookmarkStart w:id="53" w:name="_Toc11499"/>
      <w:r>
        <w:rPr>
          <w:rFonts w:hint="eastAsia" w:ascii="仿宋" w:hAnsi="仿宋" w:eastAsia="仿宋" w:cs="仿宋"/>
          <w:b/>
          <w:bCs/>
          <w:color w:val="auto"/>
        </w:rPr>
        <w:t>质疑前置及时间要求</w:t>
      </w:r>
      <w:bookmarkEnd w:id="53"/>
    </w:p>
    <w:p w14:paraId="46B99903">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lang w:eastAsia="zh-CN"/>
        </w:rPr>
        <w:t>《中华人民共和国政府采购法》</w:t>
      </w:r>
      <w:r>
        <w:rPr>
          <w:rFonts w:hint="eastAsia" w:ascii="仿宋" w:hAnsi="仿宋" w:eastAsia="仿宋" w:cs="仿宋"/>
          <w:color w:val="auto"/>
          <w:shd w:val="clear" w:color="auto" w:fill="FFFFFF"/>
          <w:lang w:eastAsia="zh-CN"/>
        </w:rPr>
        <w:t>第五十一条：供应商对政府采购活动事项有疑问的，可以向采购人提出询问，采购人应当及时作出答复，但答复的内容不得涉及商业秘密。</w:t>
      </w:r>
    </w:p>
    <w:p w14:paraId="50D6C033">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第五十二条：供应商认为磋商文件、采购过程和中标、中标结果使自己的权益受到损害的，可以在知道或者应知其权益受到损害之日起七个工作日内，以书面形式向采购人提出质疑。</w:t>
      </w:r>
    </w:p>
    <w:p w14:paraId="489B08C3">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37853A42">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04F0D046">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《政府采购实施条例》第五十五条：供应商质疑、投诉应当有明确的请求和必要的证明材料。供应商投诉的事项不得超出质疑事项的范围。</w:t>
      </w:r>
    </w:p>
    <w:p w14:paraId="3AD77061">
      <w:pPr>
        <w:spacing w:line="400" w:lineRule="exact"/>
        <w:ind w:left="3836" w:hanging="3834" w:hangingChars="1800"/>
        <w:outlineLvl w:val="0"/>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b/>
          <w:bCs/>
          <w:color w:val="auto"/>
          <w:sz w:val="21"/>
          <w:szCs w:val="21"/>
          <w:lang w:eastAsia="zh-CN"/>
        </w:rPr>
        <w:t xml:space="preserve">   </w:t>
      </w:r>
      <w:bookmarkStart w:id="54" w:name="_Toc13508"/>
      <w:r>
        <w:rPr>
          <w:rFonts w:hint="eastAsia" w:ascii="仿宋" w:hAnsi="仿宋" w:eastAsia="仿宋" w:cs="仿宋"/>
          <w:b/>
          <w:bCs/>
          <w:color w:val="auto"/>
          <w:sz w:val="21"/>
          <w:szCs w:val="21"/>
          <w:lang w:eastAsia="zh-CN"/>
        </w:rPr>
        <w:t>二、书面方式</w:t>
      </w:r>
      <w:bookmarkEnd w:id="54"/>
    </w:p>
    <w:p w14:paraId="6CF61E7B">
      <w:pPr>
        <w:spacing w:line="400" w:lineRule="exact"/>
        <w:ind w:left="3836" w:hanging="3834" w:hangingChars="1800"/>
        <w:rPr>
          <w:rFonts w:ascii="仿宋" w:hAnsi="仿宋" w:eastAsia="仿宋" w:cs="仿宋"/>
          <w:color w:val="auto"/>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color w:val="auto"/>
          <w:lang w:eastAsia="zh-CN"/>
        </w:rPr>
        <w:t>政府采购供应商投诉处理办法》第八条：投诉人投诉</w:t>
      </w:r>
    </w:p>
    <w:p w14:paraId="7A9A71C8">
      <w:pPr>
        <w:spacing w:line="400" w:lineRule="exact"/>
        <w:rPr>
          <w:rFonts w:ascii="仿宋" w:hAnsi="仿宋" w:eastAsia="仿宋" w:cs="仿宋"/>
          <w:color w:val="auto"/>
          <w:lang w:eastAsia="zh-CN"/>
        </w:rPr>
      </w:pPr>
      <w:r>
        <w:rPr>
          <w:rFonts w:hint="eastAsia" w:ascii="仿宋" w:hAnsi="仿宋" w:eastAsia="仿宋" w:cs="仿宋"/>
          <w:color w:val="auto"/>
          <w:lang w:eastAsia="zh-CN"/>
        </w:rPr>
        <w:t>时，应当提交投诉书，并按照被投诉人以及与投诉事项有关的供应商数量提供投诉书的副本。</w:t>
      </w:r>
    </w:p>
    <w:p w14:paraId="743364A3">
      <w:pPr>
        <w:spacing w:line="400" w:lineRule="exact"/>
        <w:ind w:left="4376" w:hanging="4374" w:hangingChars="1800"/>
        <w:rPr>
          <w:rFonts w:ascii="仿宋" w:hAnsi="仿宋" w:eastAsia="仿宋" w:cs="仿宋"/>
          <w:color w:val="auto"/>
          <w:lang w:eastAsia="zh-CN"/>
        </w:rPr>
      </w:pPr>
      <w:r>
        <w:rPr>
          <w:rFonts w:hint="eastAsia" w:ascii="仿宋" w:hAnsi="仿宋" w:eastAsia="仿宋" w:cs="仿宋"/>
          <w:color w:val="auto"/>
          <w:lang w:eastAsia="zh-CN"/>
        </w:rPr>
        <w:t xml:space="preserve">   投诉书应当包括下列主要内容：</w:t>
      </w:r>
    </w:p>
    <w:p w14:paraId="04B9CA4B">
      <w:pPr>
        <w:numPr>
          <w:ilvl w:val="0"/>
          <w:numId w:val="6"/>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投诉人和被投诉人的名称、地址、电话等；</w:t>
      </w:r>
    </w:p>
    <w:p w14:paraId="77C8356D">
      <w:pPr>
        <w:numPr>
          <w:ilvl w:val="0"/>
          <w:numId w:val="6"/>
        </w:numPr>
        <w:spacing w:line="400" w:lineRule="exact"/>
        <w:rPr>
          <w:rFonts w:ascii="仿宋" w:hAnsi="仿宋" w:eastAsia="仿宋" w:cs="仿宋"/>
          <w:color w:val="auto"/>
          <w:lang w:eastAsia="zh-CN"/>
        </w:rPr>
      </w:pPr>
      <w:r>
        <w:rPr>
          <w:rFonts w:hint="eastAsia" w:ascii="仿宋" w:hAnsi="仿宋" w:eastAsia="仿宋" w:cs="仿宋"/>
          <w:color w:val="auto"/>
          <w:lang w:eastAsia="zh-CN"/>
        </w:rPr>
        <w:t>具体的投诉事项及事实依据；</w:t>
      </w:r>
    </w:p>
    <w:p w14:paraId="7C860FD3">
      <w:pPr>
        <w:numPr>
          <w:ilvl w:val="0"/>
          <w:numId w:val="6"/>
        </w:numPr>
        <w:spacing w:line="400" w:lineRule="exact"/>
        <w:rPr>
          <w:rFonts w:ascii="仿宋" w:hAnsi="仿宋" w:eastAsia="仿宋" w:cs="仿宋"/>
          <w:color w:val="auto"/>
          <w:lang w:eastAsia="zh-CN"/>
        </w:rPr>
      </w:pPr>
      <w:r>
        <w:rPr>
          <w:rFonts w:hint="eastAsia" w:ascii="仿宋" w:hAnsi="仿宋" w:eastAsia="仿宋" w:cs="仿宋"/>
          <w:color w:val="auto"/>
          <w:lang w:eastAsia="zh-CN"/>
        </w:rPr>
        <w:t>质疑和质疑答复情况及相关证明材料；</w:t>
      </w:r>
    </w:p>
    <w:p w14:paraId="20F7E574">
      <w:pPr>
        <w:numPr>
          <w:ilvl w:val="0"/>
          <w:numId w:val="6"/>
        </w:numPr>
        <w:spacing w:line="400" w:lineRule="exact"/>
        <w:rPr>
          <w:rFonts w:ascii="仿宋" w:hAnsi="仿宋" w:eastAsia="仿宋" w:cs="仿宋"/>
          <w:color w:val="auto"/>
        </w:rPr>
      </w:pPr>
      <w:r>
        <w:rPr>
          <w:rFonts w:hint="eastAsia" w:ascii="仿宋" w:hAnsi="仿宋" w:eastAsia="仿宋" w:cs="仿宋"/>
          <w:color w:val="auto"/>
        </w:rPr>
        <w:t>提起投诉的日期。</w:t>
      </w:r>
    </w:p>
    <w:p w14:paraId="2EFC078D">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投诉书应当署名。投诉人为自然人，应当由本人签章；投诉人为法人或者其他组织的，应当由法定代表人或者主要负责人签章并加盖公章。</w:t>
      </w:r>
    </w:p>
    <w:p w14:paraId="2B83481A">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6F65770">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《政府采购供应商投诉处理办法》第十条：投诉人提起投诉应当符合下列条件：</w:t>
      </w:r>
    </w:p>
    <w:p w14:paraId="5EC3F1FB">
      <w:pPr>
        <w:numPr>
          <w:ilvl w:val="0"/>
          <w:numId w:val="7"/>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投诉人是参与所投诉政府采购活动的供应商；</w:t>
      </w:r>
    </w:p>
    <w:p w14:paraId="660BDAA6">
      <w:pPr>
        <w:numPr>
          <w:ilvl w:val="0"/>
          <w:numId w:val="7"/>
        </w:numPr>
        <w:spacing w:line="400" w:lineRule="exact"/>
        <w:rPr>
          <w:rFonts w:ascii="仿宋" w:hAnsi="仿宋" w:eastAsia="仿宋" w:cs="仿宋"/>
          <w:color w:val="auto"/>
          <w:lang w:eastAsia="zh-CN"/>
        </w:rPr>
      </w:pPr>
      <w:r>
        <w:rPr>
          <w:rFonts w:hint="eastAsia" w:ascii="仿宋" w:hAnsi="仿宋" w:eastAsia="仿宋" w:cs="仿宋"/>
          <w:color w:val="auto"/>
          <w:lang w:eastAsia="zh-CN"/>
        </w:rPr>
        <w:t>提起投诉诉前已依法进行质疑；</w:t>
      </w:r>
    </w:p>
    <w:p w14:paraId="51C26147">
      <w:pPr>
        <w:numPr>
          <w:ilvl w:val="0"/>
          <w:numId w:val="7"/>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投诉书内容符合本办法的规定；</w:t>
      </w:r>
    </w:p>
    <w:p w14:paraId="06B1796E">
      <w:pPr>
        <w:numPr>
          <w:ilvl w:val="0"/>
          <w:numId w:val="7"/>
        </w:numPr>
        <w:spacing w:line="400" w:lineRule="exact"/>
        <w:rPr>
          <w:rFonts w:ascii="仿宋" w:hAnsi="仿宋" w:eastAsia="仿宋" w:cs="仿宋"/>
          <w:color w:val="auto"/>
          <w:lang w:eastAsia="zh-CN"/>
        </w:rPr>
      </w:pPr>
      <w:r>
        <w:rPr>
          <w:rFonts w:hint="eastAsia" w:ascii="仿宋" w:hAnsi="仿宋" w:eastAsia="仿宋" w:cs="仿宋"/>
          <w:color w:val="auto"/>
          <w:lang w:eastAsia="zh-CN"/>
        </w:rPr>
        <w:t>在投诉有效期内提起投诉；</w:t>
      </w:r>
    </w:p>
    <w:p w14:paraId="3EB078D4">
      <w:pPr>
        <w:numPr>
          <w:ilvl w:val="0"/>
          <w:numId w:val="7"/>
        </w:numPr>
        <w:spacing w:line="400" w:lineRule="exact"/>
        <w:rPr>
          <w:rFonts w:ascii="仿宋" w:hAnsi="仿宋" w:eastAsia="仿宋" w:cs="仿宋"/>
          <w:color w:val="auto"/>
          <w:lang w:eastAsia="zh-CN"/>
        </w:rPr>
      </w:pPr>
      <w:r>
        <w:rPr>
          <w:rFonts w:hint="eastAsia" w:ascii="仿宋" w:hAnsi="仿宋" w:eastAsia="仿宋" w:cs="仿宋"/>
          <w:color w:val="auto"/>
          <w:lang w:eastAsia="zh-CN"/>
        </w:rPr>
        <w:t>属于本级财政部门管辖；</w:t>
      </w:r>
    </w:p>
    <w:p w14:paraId="6B9B5C62">
      <w:pPr>
        <w:numPr>
          <w:ilvl w:val="0"/>
          <w:numId w:val="7"/>
        </w:numPr>
        <w:spacing w:line="400" w:lineRule="exact"/>
        <w:rPr>
          <w:rFonts w:ascii="仿宋" w:hAnsi="仿宋" w:eastAsia="仿宋" w:cs="仿宋"/>
          <w:color w:val="auto"/>
          <w:lang w:eastAsia="zh-CN"/>
        </w:rPr>
      </w:pPr>
      <w:r>
        <w:rPr>
          <w:rFonts w:hint="eastAsia" w:ascii="仿宋" w:hAnsi="仿宋" w:eastAsia="仿宋" w:cs="仿宋"/>
          <w:color w:val="auto"/>
          <w:lang w:eastAsia="zh-CN"/>
        </w:rPr>
        <w:t>同一投诉事项未经财政部门投诉处理；</w:t>
      </w:r>
    </w:p>
    <w:p w14:paraId="001AC2D8">
      <w:pPr>
        <w:numPr>
          <w:ilvl w:val="0"/>
          <w:numId w:val="7"/>
        </w:numPr>
        <w:spacing w:line="400" w:lineRule="exact"/>
        <w:rPr>
          <w:rFonts w:ascii="仿宋" w:hAnsi="仿宋" w:eastAsia="仿宋" w:cs="仿宋"/>
          <w:color w:val="auto"/>
          <w:lang w:eastAsia="zh-CN"/>
        </w:rPr>
      </w:pPr>
      <w:r>
        <w:rPr>
          <w:rFonts w:hint="eastAsia" w:ascii="仿宋" w:hAnsi="仿宋" w:eastAsia="仿宋" w:cs="仿宋"/>
          <w:color w:val="auto"/>
          <w:lang w:eastAsia="zh-CN"/>
        </w:rPr>
        <w:t>国务院财政部门规定的其他条件。</w:t>
      </w:r>
    </w:p>
    <w:p w14:paraId="1DAF0645">
      <w:pPr>
        <w:spacing w:line="400" w:lineRule="exact"/>
        <w:ind w:left="4376" w:hanging="4374" w:hangingChars="1800"/>
        <w:rPr>
          <w:rFonts w:ascii="仿宋" w:hAnsi="仿宋" w:eastAsia="仿宋" w:cs="仿宋"/>
          <w:color w:val="auto"/>
          <w:lang w:eastAsia="zh-CN"/>
        </w:rPr>
      </w:pPr>
      <w:r>
        <w:rPr>
          <w:rFonts w:hint="eastAsia" w:ascii="仿宋" w:hAnsi="仿宋" w:eastAsia="仿宋" w:cs="仿宋"/>
          <w:color w:val="auto"/>
          <w:lang w:eastAsia="zh-CN"/>
        </w:rPr>
        <w:t xml:space="preserve">   </w:t>
      </w:r>
    </w:p>
    <w:p w14:paraId="65249459">
      <w:pPr>
        <w:outlineLvl w:val="0"/>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b/>
          <w:bCs/>
          <w:color w:val="auto"/>
          <w:lang w:eastAsia="zh-CN"/>
        </w:rPr>
        <w:t xml:space="preserve">   </w:t>
      </w:r>
      <w:bookmarkStart w:id="55" w:name="_Toc5978"/>
      <w:r>
        <w:rPr>
          <w:rFonts w:hint="eastAsia" w:ascii="仿宋" w:hAnsi="仿宋" w:eastAsia="仿宋" w:cs="仿宋"/>
          <w:b/>
          <w:bCs/>
          <w:color w:val="auto"/>
          <w:lang w:eastAsia="zh-CN"/>
        </w:rPr>
        <w:t>三、虚假、恶意投诉法律责任</w:t>
      </w:r>
      <w:bookmarkEnd w:id="55"/>
    </w:p>
    <w:p w14:paraId="51EA3BE2">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第七十三条：供应商捏造实施、提供虚假材料或者以非法手段取得证明材料进行投诉的，由财政部门列入不良行为记录名单，禁止其1至3年内参加政府采购活动。</w:t>
      </w:r>
    </w:p>
    <w:p w14:paraId="44209C43">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《政府采购供应商投诉处理办法》第二十六条：投诉人有下列情形之一的，属于虚假、恶意投诉，财政部门应当驳回投诉，将其列入不良行为记录名单，并依法予以处罚：</w:t>
      </w:r>
    </w:p>
    <w:p w14:paraId="019ABD23">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（一）1年内3次以上投诉均查无实据的；</w:t>
      </w:r>
    </w:p>
    <w:p w14:paraId="057A675D">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（二）捏造事实或者提供虚假投诉材料的。</w:t>
      </w:r>
    </w:p>
    <w:p w14:paraId="0E719E55">
      <w:pPr>
        <w:spacing w:line="400" w:lineRule="exact"/>
        <w:rPr>
          <w:rFonts w:ascii="仿宋" w:hAnsi="仿宋" w:eastAsia="仿宋" w:cs="仿宋"/>
          <w:color w:val="auto"/>
          <w:sz w:val="21"/>
          <w:szCs w:val="21"/>
          <w:lang w:eastAsia="zh-CN"/>
        </w:rPr>
      </w:pPr>
    </w:p>
    <w:p w14:paraId="06372121">
      <w:pPr>
        <w:spacing w:line="400" w:lineRule="exact"/>
        <w:rPr>
          <w:rFonts w:ascii="仿宋" w:hAnsi="仿宋" w:eastAsia="仿宋" w:cs="仿宋"/>
          <w:color w:val="auto"/>
          <w:sz w:val="21"/>
          <w:szCs w:val="21"/>
          <w:lang w:eastAsia="zh-CN"/>
        </w:rPr>
      </w:pPr>
    </w:p>
    <w:p w14:paraId="13CEA2CB">
      <w:pPr>
        <w:jc w:val="both"/>
        <w:rPr>
          <w:rFonts w:ascii="仿宋" w:hAnsi="仿宋" w:eastAsia="仿宋" w:cs="仿宋"/>
          <w:color w:val="auto"/>
          <w:lang w:eastAsia="zh-CN"/>
        </w:rPr>
      </w:pPr>
      <w:r>
        <w:rPr>
          <w:rFonts w:hint="eastAsia" w:ascii="仿宋" w:hAnsi="仿宋" w:eastAsia="仿宋" w:cs="仿宋"/>
          <w:color w:val="auto"/>
          <w:lang w:eastAsia="zh-CN"/>
        </w:rPr>
        <w:t>递交投诉书地址：</w:t>
      </w:r>
      <w:r>
        <w:rPr>
          <w:rFonts w:hint="eastAsia" w:ascii="仿宋" w:hAnsi="仿宋" w:eastAsia="仿宋" w:cs="仿宋"/>
          <w:color w:val="auto"/>
          <w:lang w:val="en-US" w:eastAsia="zh-CN"/>
        </w:rPr>
        <w:t>阿合奇县</w:t>
      </w:r>
      <w:r>
        <w:rPr>
          <w:rFonts w:hint="eastAsia" w:ascii="仿宋" w:hAnsi="仿宋" w:eastAsia="仿宋" w:cs="仿宋"/>
          <w:color w:val="auto"/>
          <w:lang w:eastAsia="zh-CN"/>
        </w:rPr>
        <w:t>政府采购办监管办公室</w:t>
      </w:r>
    </w:p>
    <w:p w14:paraId="3F927AEE">
      <w:pPr>
        <w:jc w:val="right"/>
        <w:rPr>
          <w:rFonts w:hint="default" w:ascii="仿宋" w:hAnsi="仿宋" w:eastAsia="仿宋" w:cs="仿宋"/>
          <w:color w:val="auto"/>
          <w:sz w:val="32"/>
          <w:szCs w:val="32"/>
          <w:lang w:val="en-US" w:eastAsia="zh-CN"/>
        </w:rPr>
      </w:pPr>
    </w:p>
    <w:p w14:paraId="43B9854C">
      <w:pPr>
        <w:spacing w:line="540" w:lineRule="exact"/>
        <w:jc w:val="center"/>
        <w:rPr>
          <w:rFonts w:ascii="仿宋" w:hAnsi="仿宋" w:eastAsia="仿宋" w:cs="仿宋"/>
          <w:b/>
          <w:bCs/>
          <w:color w:val="auto"/>
          <w:sz w:val="44"/>
          <w:szCs w:val="44"/>
          <w:lang w:eastAsia="zh-CN"/>
        </w:rPr>
      </w:pPr>
    </w:p>
    <w:p w14:paraId="4E7E19CA">
      <w:pPr>
        <w:spacing w:line="540" w:lineRule="exact"/>
        <w:jc w:val="center"/>
        <w:rPr>
          <w:rFonts w:ascii="仿宋" w:hAnsi="仿宋" w:eastAsia="仿宋" w:cs="仿宋"/>
          <w:b/>
          <w:bCs/>
          <w:color w:val="auto"/>
          <w:sz w:val="44"/>
          <w:szCs w:val="44"/>
          <w:lang w:eastAsia="zh-CN"/>
        </w:rPr>
      </w:pPr>
    </w:p>
    <w:p w14:paraId="2BE53B8A">
      <w:pPr>
        <w:spacing w:line="540" w:lineRule="exact"/>
        <w:jc w:val="center"/>
        <w:rPr>
          <w:rFonts w:ascii="仿宋" w:hAnsi="仿宋" w:eastAsia="仿宋" w:cs="仿宋"/>
          <w:b/>
          <w:bCs/>
          <w:color w:val="auto"/>
          <w:sz w:val="44"/>
          <w:szCs w:val="44"/>
          <w:lang w:eastAsia="zh-CN"/>
        </w:rPr>
      </w:pPr>
    </w:p>
    <w:p w14:paraId="5F69E19C">
      <w:pPr>
        <w:spacing w:line="540" w:lineRule="exact"/>
        <w:jc w:val="center"/>
        <w:rPr>
          <w:rFonts w:ascii="仿宋" w:hAnsi="仿宋" w:eastAsia="仿宋" w:cs="仿宋"/>
          <w:b/>
          <w:bCs/>
          <w:color w:val="auto"/>
          <w:sz w:val="44"/>
          <w:szCs w:val="44"/>
          <w:lang w:eastAsia="zh-CN"/>
        </w:rPr>
      </w:pPr>
    </w:p>
    <w:p w14:paraId="57AE6BB4">
      <w:pPr>
        <w:spacing w:line="540" w:lineRule="exact"/>
        <w:jc w:val="center"/>
        <w:rPr>
          <w:rFonts w:ascii="仿宋" w:hAnsi="仿宋" w:eastAsia="仿宋" w:cs="仿宋"/>
          <w:b/>
          <w:bCs/>
          <w:color w:val="auto"/>
          <w:sz w:val="44"/>
          <w:szCs w:val="44"/>
          <w:lang w:eastAsia="zh-CN"/>
        </w:rPr>
      </w:pPr>
    </w:p>
    <w:p w14:paraId="74D100D7">
      <w:pPr>
        <w:spacing w:line="540" w:lineRule="exact"/>
        <w:jc w:val="center"/>
        <w:rPr>
          <w:rFonts w:ascii="仿宋" w:hAnsi="仿宋" w:eastAsia="仿宋" w:cs="仿宋"/>
          <w:b/>
          <w:bCs/>
          <w:color w:val="auto"/>
          <w:sz w:val="44"/>
          <w:szCs w:val="44"/>
          <w:lang w:eastAsia="zh-CN"/>
        </w:rPr>
      </w:pPr>
    </w:p>
    <w:p w14:paraId="2ADF53C4">
      <w:pPr>
        <w:spacing w:line="540" w:lineRule="exact"/>
        <w:jc w:val="center"/>
        <w:rPr>
          <w:rFonts w:ascii="仿宋" w:hAnsi="仿宋" w:eastAsia="仿宋" w:cs="仿宋"/>
          <w:b/>
          <w:bCs/>
          <w:color w:val="auto"/>
          <w:sz w:val="44"/>
          <w:szCs w:val="44"/>
          <w:lang w:eastAsia="zh-CN"/>
        </w:rPr>
      </w:pPr>
    </w:p>
    <w:p w14:paraId="4972EB94">
      <w:pPr>
        <w:pStyle w:val="31"/>
        <w:rPr>
          <w:rFonts w:ascii="仿宋" w:hAnsi="仿宋" w:eastAsia="仿宋" w:cs="仿宋"/>
          <w:b/>
          <w:bCs/>
          <w:color w:val="auto"/>
          <w:sz w:val="44"/>
          <w:szCs w:val="44"/>
          <w:lang w:eastAsia="zh-CN"/>
        </w:rPr>
      </w:pPr>
    </w:p>
    <w:p w14:paraId="4DDFE046">
      <w:pPr>
        <w:pStyle w:val="31"/>
        <w:rPr>
          <w:rFonts w:ascii="仿宋" w:hAnsi="仿宋" w:eastAsia="仿宋" w:cs="仿宋"/>
          <w:b/>
          <w:bCs/>
          <w:color w:val="auto"/>
          <w:sz w:val="44"/>
          <w:szCs w:val="44"/>
          <w:lang w:eastAsia="zh-CN"/>
        </w:rPr>
      </w:pPr>
    </w:p>
    <w:p w14:paraId="3FFEAAC2">
      <w:pPr>
        <w:spacing w:line="540" w:lineRule="exact"/>
        <w:jc w:val="both"/>
        <w:rPr>
          <w:rFonts w:ascii="仿宋" w:hAnsi="仿宋" w:eastAsia="仿宋" w:cs="仿宋"/>
          <w:b/>
          <w:bCs/>
          <w:color w:val="auto"/>
          <w:sz w:val="44"/>
          <w:szCs w:val="44"/>
          <w:lang w:eastAsia="zh-CN"/>
        </w:rPr>
      </w:pPr>
    </w:p>
    <w:p w14:paraId="74B413AE">
      <w:pPr>
        <w:spacing w:line="540" w:lineRule="exact"/>
        <w:jc w:val="center"/>
        <w:outlineLvl w:val="0"/>
        <w:rPr>
          <w:rFonts w:ascii="仿宋" w:hAnsi="仿宋" w:eastAsia="仿宋" w:cs="仿宋"/>
          <w:b/>
          <w:bCs/>
          <w:color w:val="auto"/>
          <w:sz w:val="32"/>
          <w:szCs w:val="32"/>
          <w:lang w:eastAsia="zh-CN"/>
        </w:rPr>
      </w:pPr>
      <w:bookmarkStart w:id="56" w:name="_Toc1697"/>
      <w:r>
        <w:rPr>
          <w:rFonts w:hint="eastAsia" w:ascii="仿宋" w:hAnsi="仿宋" w:eastAsia="仿宋" w:cs="仿宋"/>
          <w:b/>
          <w:bCs/>
          <w:color w:val="auto"/>
          <w:sz w:val="32"/>
          <w:szCs w:val="32"/>
          <w:lang w:eastAsia="zh-CN"/>
        </w:rPr>
        <w:t>质疑函范本</w:t>
      </w:r>
      <w:bookmarkEnd w:id="56"/>
    </w:p>
    <w:p w14:paraId="49E3FCD8">
      <w:pPr>
        <w:adjustRightInd w:val="0"/>
        <w:snapToGrid w:val="0"/>
        <w:spacing w:beforeLines="100" w:line="540" w:lineRule="exact"/>
        <w:ind w:firstLine="486" w:firstLineChars="200"/>
        <w:outlineLvl w:val="0"/>
        <w:rPr>
          <w:rFonts w:ascii="仿宋" w:hAnsi="仿宋" w:eastAsia="仿宋" w:cs="仿宋"/>
          <w:bCs/>
          <w:color w:val="auto"/>
          <w:lang w:eastAsia="zh-CN"/>
        </w:rPr>
      </w:pPr>
      <w:bookmarkStart w:id="57" w:name="_Toc9061"/>
      <w:r>
        <w:rPr>
          <w:rFonts w:hint="eastAsia" w:ascii="仿宋" w:hAnsi="仿宋" w:eastAsia="仿宋" w:cs="仿宋"/>
          <w:bCs/>
          <w:color w:val="auto"/>
          <w:lang w:eastAsia="zh-CN"/>
        </w:rPr>
        <w:t>一、质疑供应商基本信息</w:t>
      </w:r>
      <w:bookmarkEnd w:id="57"/>
    </w:p>
    <w:p w14:paraId="175FBCE7">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质疑供应商：</w:t>
      </w:r>
      <w:r>
        <w:rPr>
          <w:rFonts w:hint="eastAsia" w:ascii="仿宋" w:hAnsi="仿宋" w:eastAsia="仿宋" w:cs="仿宋"/>
          <w:color w:val="auto"/>
          <w:u w:val="dotted"/>
          <w:lang w:eastAsia="zh-CN"/>
        </w:rPr>
        <w:t xml:space="preserve">                         </w:t>
      </w:r>
    </w:p>
    <w:p w14:paraId="3A667C8F">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14:paraId="38B672DE">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14:paraId="79659059">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授权代表：</w:t>
      </w:r>
      <w:r>
        <w:rPr>
          <w:rFonts w:hint="eastAsia" w:ascii="仿宋" w:hAnsi="仿宋" w:eastAsia="仿宋" w:cs="仿宋"/>
          <w:color w:val="auto"/>
          <w:u w:val="dotted"/>
          <w:lang w:eastAsia="zh-CN"/>
        </w:rPr>
        <w:t xml:space="preserve">                                          </w:t>
      </w:r>
    </w:p>
    <w:p w14:paraId="17704575">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14:paraId="3B00FAA7">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 xml:space="preserve">地址： </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14:paraId="2C3DB296">
      <w:pPr>
        <w:adjustRightInd w:val="0"/>
        <w:snapToGrid w:val="0"/>
        <w:spacing w:line="540" w:lineRule="exact"/>
        <w:ind w:firstLine="486" w:firstLineChars="200"/>
        <w:outlineLvl w:val="0"/>
        <w:rPr>
          <w:rFonts w:ascii="仿宋" w:hAnsi="仿宋" w:eastAsia="仿宋" w:cs="仿宋"/>
          <w:bCs/>
          <w:color w:val="auto"/>
          <w:lang w:eastAsia="zh-CN"/>
        </w:rPr>
      </w:pPr>
      <w:bookmarkStart w:id="58" w:name="_Toc15938"/>
      <w:r>
        <w:rPr>
          <w:rFonts w:hint="eastAsia" w:ascii="仿宋" w:hAnsi="仿宋" w:eastAsia="仿宋" w:cs="仿宋"/>
          <w:bCs/>
          <w:color w:val="auto"/>
          <w:lang w:eastAsia="zh-CN"/>
        </w:rPr>
        <w:t>二、质疑项目基本情况</w:t>
      </w:r>
      <w:bookmarkEnd w:id="58"/>
    </w:p>
    <w:p w14:paraId="17C91DD6">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质疑项目的名称：</w:t>
      </w:r>
      <w:r>
        <w:rPr>
          <w:rFonts w:hint="eastAsia" w:ascii="仿宋" w:hAnsi="仿宋" w:eastAsia="仿宋" w:cs="仿宋"/>
          <w:color w:val="auto"/>
          <w:u w:val="dotted"/>
          <w:lang w:eastAsia="zh-CN"/>
        </w:rPr>
        <w:t xml:space="preserve">                                     </w:t>
      </w:r>
    </w:p>
    <w:p w14:paraId="0C40F1D5">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质疑项目的编号：</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包号：</w:t>
      </w:r>
      <w:r>
        <w:rPr>
          <w:rFonts w:hint="eastAsia" w:ascii="仿宋" w:hAnsi="仿宋" w:eastAsia="仿宋" w:cs="仿宋"/>
          <w:color w:val="auto"/>
          <w:u w:val="dotted"/>
          <w:lang w:eastAsia="zh-CN"/>
        </w:rPr>
        <w:t xml:space="preserve">                </w:t>
      </w:r>
    </w:p>
    <w:p w14:paraId="27C7696C">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采购人名称：</w:t>
      </w:r>
      <w:r>
        <w:rPr>
          <w:rFonts w:hint="eastAsia" w:ascii="仿宋" w:hAnsi="仿宋" w:eastAsia="仿宋" w:cs="仿宋"/>
          <w:color w:val="auto"/>
          <w:u w:val="dotted"/>
          <w:lang w:eastAsia="zh-CN"/>
        </w:rPr>
        <w:t xml:space="preserve">                                         </w:t>
      </w:r>
    </w:p>
    <w:p w14:paraId="2B3D862B">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磋商文件获取日期：</w:t>
      </w:r>
      <w:r>
        <w:rPr>
          <w:rFonts w:hint="eastAsia" w:ascii="仿宋" w:hAnsi="仿宋" w:eastAsia="仿宋" w:cs="仿宋"/>
          <w:color w:val="auto"/>
          <w:u w:val="dotted"/>
          <w:lang w:eastAsia="zh-CN"/>
        </w:rPr>
        <w:t xml:space="preserve">                                   </w:t>
      </w:r>
    </w:p>
    <w:p w14:paraId="260D8100">
      <w:pPr>
        <w:adjustRightInd w:val="0"/>
        <w:snapToGrid w:val="0"/>
        <w:spacing w:line="540" w:lineRule="exact"/>
        <w:ind w:firstLine="486" w:firstLineChars="200"/>
        <w:outlineLvl w:val="0"/>
        <w:rPr>
          <w:rFonts w:ascii="仿宋" w:hAnsi="仿宋" w:eastAsia="仿宋" w:cs="仿宋"/>
          <w:bCs/>
          <w:color w:val="auto"/>
          <w:lang w:eastAsia="zh-CN"/>
        </w:rPr>
      </w:pPr>
      <w:bookmarkStart w:id="59" w:name="_Toc18271"/>
      <w:r>
        <w:rPr>
          <w:rFonts w:hint="eastAsia" w:ascii="仿宋" w:hAnsi="仿宋" w:eastAsia="仿宋" w:cs="仿宋"/>
          <w:bCs/>
          <w:color w:val="auto"/>
          <w:lang w:eastAsia="zh-CN"/>
        </w:rPr>
        <w:t>三、质疑事项具体内容</w:t>
      </w:r>
      <w:bookmarkEnd w:id="59"/>
    </w:p>
    <w:p w14:paraId="1C569F7E">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质疑事项1：</w:t>
      </w:r>
      <w:r>
        <w:rPr>
          <w:rFonts w:hint="eastAsia" w:ascii="仿宋" w:hAnsi="仿宋" w:eastAsia="仿宋" w:cs="仿宋"/>
          <w:color w:val="auto"/>
          <w:u w:val="dotted"/>
          <w:lang w:eastAsia="zh-CN"/>
        </w:rPr>
        <w:t xml:space="preserve">                                         </w:t>
      </w:r>
    </w:p>
    <w:p w14:paraId="0E3F3290">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事实依据：</w:t>
      </w:r>
      <w:r>
        <w:rPr>
          <w:rFonts w:hint="eastAsia" w:ascii="仿宋" w:hAnsi="仿宋" w:eastAsia="仿宋" w:cs="仿宋"/>
          <w:color w:val="auto"/>
          <w:u w:val="dotted"/>
          <w:lang w:eastAsia="zh-CN"/>
        </w:rPr>
        <w:t xml:space="preserve">                                           </w:t>
      </w:r>
    </w:p>
    <w:p w14:paraId="481E8E95">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法律依据：</w:t>
      </w:r>
      <w:r>
        <w:rPr>
          <w:rFonts w:hint="eastAsia" w:ascii="仿宋" w:hAnsi="仿宋" w:eastAsia="仿宋" w:cs="仿宋"/>
          <w:color w:val="auto"/>
          <w:u w:val="dotted"/>
          <w:lang w:eastAsia="zh-CN"/>
        </w:rPr>
        <w:t xml:space="preserve">                                           </w:t>
      </w:r>
    </w:p>
    <w:p w14:paraId="59081704">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质疑事项2</w:t>
      </w:r>
    </w:p>
    <w:p w14:paraId="651D2E12">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w:t>
      </w:r>
    </w:p>
    <w:p w14:paraId="393A8EA8">
      <w:pPr>
        <w:adjustRightInd w:val="0"/>
        <w:snapToGrid w:val="0"/>
        <w:spacing w:line="540" w:lineRule="exact"/>
        <w:ind w:firstLine="486" w:firstLineChars="200"/>
        <w:outlineLvl w:val="0"/>
        <w:rPr>
          <w:rFonts w:ascii="仿宋" w:hAnsi="仿宋" w:eastAsia="仿宋" w:cs="仿宋"/>
          <w:bCs/>
          <w:color w:val="auto"/>
          <w:lang w:eastAsia="zh-CN"/>
        </w:rPr>
      </w:pPr>
      <w:bookmarkStart w:id="60" w:name="_Toc22365"/>
      <w:r>
        <w:rPr>
          <w:rFonts w:hint="eastAsia" w:ascii="仿宋" w:hAnsi="仿宋" w:eastAsia="仿宋" w:cs="仿宋"/>
          <w:bCs/>
          <w:color w:val="auto"/>
          <w:lang w:eastAsia="zh-CN"/>
        </w:rPr>
        <w:t>四、与质疑事项相关的质疑请求</w:t>
      </w:r>
      <w:bookmarkEnd w:id="60"/>
    </w:p>
    <w:p w14:paraId="4EAB2ACC">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请求：</w:t>
      </w:r>
      <w:r>
        <w:rPr>
          <w:rFonts w:hint="eastAsia" w:ascii="仿宋" w:hAnsi="仿宋" w:eastAsia="仿宋" w:cs="仿宋"/>
          <w:color w:val="auto"/>
          <w:u w:val="dotted"/>
          <w:lang w:eastAsia="zh-CN"/>
        </w:rPr>
        <w:t xml:space="preserve">                                               </w:t>
      </w:r>
    </w:p>
    <w:p w14:paraId="15CEB6AC">
      <w:pPr>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 xml:space="preserve">签章(签章)：                   公章：                      </w:t>
      </w:r>
    </w:p>
    <w:p w14:paraId="14A1C2E2">
      <w:pPr>
        <w:spacing w:line="540" w:lineRule="exact"/>
        <w:ind w:firstLine="486" w:firstLineChars="200"/>
        <w:rPr>
          <w:rFonts w:ascii="仿宋" w:hAnsi="仿宋" w:eastAsia="仿宋" w:cs="仿宋"/>
          <w:b/>
          <w:bCs/>
          <w:color w:val="auto"/>
          <w:lang w:eastAsia="zh-CN"/>
        </w:rPr>
      </w:pPr>
      <w:r>
        <w:rPr>
          <w:rFonts w:hint="eastAsia" w:ascii="仿宋" w:hAnsi="仿宋" w:eastAsia="仿宋" w:cs="仿宋"/>
          <w:color w:val="auto"/>
          <w:lang w:eastAsia="zh-CN"/>
        </w:rPr>
        <w:t xml:space="preserve">日期：    </w:t>
      </w:r>
    </w:p>
    <w:p w14:paraId="5DFAD83A">
      <w:pPr>
        <w:spacing w:line="540" w:lineRule="exact"/>
        <w:ind w:firstLine="426" w:firstLineChars="200"/>
        <w:rPr>
          <w:rFonts w:ascii="仿宋" w:hAnsi="仿宋" w:eastAsia="仿宋" w:cs="仿宋"/>
          <w:b/>
          <w:bCs/>
          <w:color w:val="auto"/>
          <w:sz w:val="21"/>
          <w:szCs w:val="21"/>
          <w:lang w:eastAsia="zh-CN"/>
        </w:rPr>
      </w:pPr>
    </w:p>
    <w:p w14:paraId="7FDE1EFE">
      <w:pPr>
        <w:pageBreakBefore/>
        <w:spacing w:line="440" w:lineRule="exact"/>
        <w:jc w:val="center"/>
        <w:outlineLvl w:val="0"/>
        <w:rPr>
          <w:rFonts w:ascii="仿宋" w:hAnsi="仿宋" w:eastAsia="仿宋" w:cs="仿宋"/>
          <w:b/>
          <w:bCs/>
          <w:color w:val="auto"/>
          <w:sz w:val="30"/>
          <w:szCs w:val="30"/>
          <w:lang w:eastAsia="zh-CN"/>
        </w:rPr>
      </w:pPr>
      <w:bookmarkStart w:id="61" w:name="_Toc469495731"/>
      <w:r>
        <w:rPr>
          <w:rFonts w:hint="eastAsia" w:ascii="仿宋" w:hAnsi="仿宋" w:eastAsia="仿宋" w:cs="仿宋"/>
          <w:b/>
          <w:bCs/>
          <w:color w:val="auto"/>
          <w:sz w:val="30"/>
          <w:szCs w:val="30"/>
          <w:lang w:eastAsia="zh-CN"/>
        </w:rPr>
        <w:t>第三部分  评标办法</w:t>
      </w:r>
      <w:bookmarkEnd w:id="61"/>
    </w:p>
    <w:p w14:paraId="254B2E1D">
      <w:pPr>
        <w:jc w:val="center"/>
        <w:outlineLvl w:val="1"/>
        <w:rPr>
          <w:rFonts w:ascii="仿宋" w:hAnsi="仿宋" w:eastAsia="仿宋" w:cs="仿宋"/>
          <w:b/>
          <w:color w:val="auto"/>
          <w:sz w:val="28"/>
          <w:szCs w:val="28"/>
          <w:lang w:eastAsia="zh-CN"/>
        </w:rPr>
      </w:pPr>
      <w:bookmarkStart w:id="62" w:name="_Toc469495733"/>
      <w:bookmarkStart w:id="63" w:name="_Toc362983802"/>
      <w:bookmarkStart w:id="64" w:name="_Toc267320058"/>
      <w:bookmarkStart w:id="65" w:name="_Toc363135205"/>
      <w:r>
        <w:rPr>
          <w:rFonts w:hint="eastAsia" w:ascii="仿宋" w:hAnsi="仿宋" w:eastAsia="仿宋" w:cs="仿宋"/>
          <w:b/>
          <w:color w:val="auto"/>
          <w:sz w:val="28"/>
          <w:szCs w:val="28"/>
          <w:lang w:eastAsia="zh-CN"/>
        </w:rPr>
        <w:t>一  总  则</w:t>
      </w:r>
    </w:p>
    <w:p w14:paraId="77AA6B4C">
      <w:pPr>
        <w:tabs>
          <w:tab w:val="left" w:pos="567"/>
          <w:tab w:val="left" w:pos="600"/>
        </w:tabs>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1、一般规定</w:t>
      </w:r>
    </w:p>
    <w:p w14:paraId="1B2AF439">
      <w:pPr>
        <w:spacing w:line="440" w:lineRule="exact"/>
        <w:ind w:firstLine="619" w:firstLineChars="25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31F4A568">
      <w:pPr>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14:paraId="60F70DD9">
      <w:pPr>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14:paraId="3A15D8DA">
      <w:pPr>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1.4评标按照磋商文件规定的内容进行，采取符合磋商文件要求的最低评标价法；</w:t>
      </w:r>
    </w:p>
    <w:p w14:paraId="44EC6E22">
      <w:pPr>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1.5本办法的评标对象是指供应商按照磋商文件要求提供的有效响应文件，包括供应商应评标委员会要求对原响应文件作出的正式书面澄清文件。</w:t>
      </w:r>
    </w:p>
    <w:p w14:paraId="27B7C7E0">
      <w:pPr>
        <w:tabs>
          <w:tab w:val="left" w:pos="567"/>
          <w:tab w:val="left" w:pos="1145"/>
        </w:tabs>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2、评标组织机构的组成</w:t>
      </w:r>
    </w:p>
    <w:p w14:paraId="722A82F5">
      <w:pPr>
        <w:widowControl/>
        <w:spacing w:line="440" w:lineRule="exact"/>
        <w:ind w:firstLine="480"/>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评标委员会由采购人代表</w:t>
      </w:r>
      <w:r>
        <w:rPr>
          <w:rFonts w:hint="eastAsia" w:ascii="仿宋" w:hAnsi="仿宋" w:eastAsia="仿宋" w:cs="仿宋"/>
          <w:color w:val="auto"/>
          <w:spacing w:val="-2"/>
          <w:lang w:val="en-US" w:eastAsia="zh-CN"/>
        </w:rPr>
        <w:t>1</w:t>
      </w:r>
      <w:r>
        <w:rPr>
          <w:rFonts w:hint="eastAsia" w:ascii="仿宋" w:hAnsi="仿宋" w:eastAsia="仿宋" w:cs="仿宋"/>
          <w:color w:val="auto"/>
          <w:spacing w:val="-2"/>
          <w:lang w:eastAsia="zh-CN"/>
        </w:rPr>
        <w:t>人和有关技术、经济等方面的专家</w:t>
      </w:r>
      <w:r>
        <w:rPr>
          <w:rFonts w:hint="eastAsia" w:ascii="仿宋" w:hAnsi="仿宋" w:eastAsia="仿宋" w:cs="仿宋"/>
          <w:color w:val="auto"/>
          <w:spacing w:val="-2"/>
          <w:lang w:val="en-US" w:eastAsia="zh-CN"/>
        </w:rPr>
        <w:t>2</w:t>
      </w:r>
      <w:r>
        <w:rPr>
          <w:rFonts w:hint="eastAsia" w:ascii="仿宋" w:hAnsi="仿宋" w:eastAsia="仿宋" w:cs="仿宋"/>
          <w:color w:val="auto"/>
          <w:spacing w:val="-2"/>
          <w:lang w:eastAsia="zh-CN"/>
        </w:rPr>
        <w:t>人组成，成员人数为</w:t>
      </w:r>
      <w:r>
        <w:rPr>
          <w:rFonts w:hint="eastAsia" w:ascii="仿宋" w:hAnsi="仿宋" w:eastAsia="仿宋" w:cs="仿宋"/>
          <w:color w:val="auto"/>
          <w:spacing w:val="-2"/>
          <w:lang w:val="en-US" w:eastAsia="zh-CN"/>
        </w:rPr>
        <w:t>3</w:t>
      </w:r>
      <w:r>
        <w:rPr>
          <w:rFonts w:hint="eastAsia" w:ascii="仿宋" w:hAnsi="仿宋" w:eastAsia="仿宋" w:cs="仿宋"/>
          <w:color w:val="auto"/>
          <w:spacing w:val="-2"/>
          <w:lang w:eastAsia="zh-CN"/>
        </w:rPr>
        <w:t>人。</w:t>
      </w:r>
      <w:r>
        <w:rPr>
          <w:rFonts w:hint="eastAsia" w:ascii="仿宋" w:hAnsi="仿宋" w:eastAsia="仿宋" w:cs="仿宋"/>
          <w:color w:val="auto"/>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7C01B454">
      <w:pPr>
        <w:tabs>
          <w:tab w:val="left" w:pos="567"/>
          <w:tab w:val="left" w:pos="1145"/>
        </w:tabs>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2.2评标工作组由招标人及有关专家组成，由评标委员会确认，并接受其领导。</w:t>
      </w:r>
    </w:p>
    <w:p w14:paraId="7F53444C">
      <w:pPr>
        <w:tabs>
          <w:tab w:val="left" w:pos="567"/>
          <w:tab w:val="left" w:pos="1145"/>
        </w:tabs>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14:paraId="612182D0">
      <w:pPr>
        <w:tabs>
          <w:tab w:val="left" w:pos="567"/>
          <w:tab w:val="left" w:pos="600"/>
        </w:tabs>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3、评标委员会职责</w:t>
      </w:r>
    </w:p>
    <w:p w14:paraId="00E4CC68">
      <w:pPr>
        <w:pStyle w:val="41"/>
        <w:spacing w:before="0" w:beforeAutospacing="0" w:after="0" w:afterAutospacing="0" w:line="440" w:lineRule="exact"/>
        <w:ind w:firstLine="619" w:firstLineChars="255"/>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3.1审查响应文件是否符合磋商文件要求，并作出评价；</w:t>
      </w:r>
    </w:p>
    <w:p w14:paraId="3230B69A">
      <w:pPr>
        <w:pStyle w:val="41"/>
        <w:spacing w:before="0" w:beforeAutospacing="0" w:after="0" w:afterAutospacing="0" w:line="440" w:lineRule="exact"/>
        <w:ind w:firstLine="619" w:firstLineChars="255"/>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3.2要求供应商对响应文件有关事项作出解释或者澄清；</w:t>
      </w:r>
    </w:p>
    <w:p w14:paraId="60C7B740">
      <w:pPr>
        <w:pStyle w:val="41"/>
        <w:spacing w:before="0" w:beforeAutospacing="0" w:after="0" w:afterAutospacing="0" w:line="440" w:lineRule="exact"/>
        <w:ind w:firstLine="619" w:firstLineChars="255"/>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14:paraId="49CC48D0">
      <w:pPr>
        <w:pStyle w:val="41"/>
        <w:spacing w:before="0" w:beforeAutospacing="0" w:after="0" w:afterAutospacing="0" w:line="440" w:lineRule="exact"/>
        <w:ind w:firstLine="619" w:firstLineChars="255"/>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14:paraId="67CB2430">
      <w:pPr>
        <w:tabs>
          <w:tab w:val="left" w:pos="567"/>
          <w:tab w:val="left" w:pos="600"/>
        </w:tabs>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4、评标委员会义务</w:t>
      </w:r>
    </w:p>
    <w:p w14:paraId="27EA8812">
      <w:pPr>
        <w:tabs>
          <w:tab w:val="left" w:pos="567"/>
          <w:tab w:val="left" w:pos="600"/>
        </w:tabs>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14:paraId="0F146DA7">
      <w:pPr>
        <w:tabs>
          <w:tab w:val="left" w:pos="567"/>
          <w:tab w:val="left" w:pos="600"/>
        </w:tabs>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4.2按照磋商文件规定的评标方法和评标标准进行评标，对评审意见承担个人责任；</w:t>
      </w:r>
    </w:p>
    <w:p w14:paraId="04A15481">
      <w:pPr>
        <w:tabs>
          <w:tab w:val="left" w:pos="567"/>
          <w:tab w:val="left" w:pos="600"/>
        </w:tabs>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4.3对评标过程和结果，以及供应商的商业秘密保密；</w:t>
      </w:r>
    </w:p>
    <w:p w14:paraId="7323E5D2">
      <w:pPr>
        <w:tabs>
          <w:tab w:val="left" w:pos="567"/>
          <w:tab w:val="left" w:pos="600"/>
        </w:tabs>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14:paraId="40956701">
      <w:pPr>
        <w:tabs>
          <w:tab w:val="left" w:pos="567"/>
          <w:tab w:val="left" w:pos="600"/>
        </w:tabs>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14:paraId="614CBC60">
      <w:pPr>
        <w:tabs>
          <w:tab w:val="left" w:pos="567"/>
          <w:tab w:val="left" w:pos="600"/>
        </w:tabs>
        <w:spacing w:line="440" w:lineRule="exact"/>
        <w:ind w:firstLine="619"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14:paraId="4DEBB2FD">
      <w:pPr>
        <w:tabs>
          <w:tab w:val="left" w:pos="1547"/>
        </w:tabs>
        <w:spacing w:line="440" w:lineRule="exact"/>
        <w:ind w:firstLine="619" w:firstLineChars="255"/>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14:paraId="0B83DB72">
      <w:pPr>
        <w:pStyle w:val="18"/>
        <w:tabs>
          <w:tab w:val="left" w:pos="720"/>
          <w:tab w:val="clear" w:pos="0"/>
        </w:tabs>
        <w:spacing w:line="440" w:lineRule="exact"/>
        <w:ind w:firstLine="619" w:firstLineChars="255"/>
        <w:rPr>
          <w:rFonts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5.1本次评标首先由评标委员会对供应商的响应文件进行初审，对未能通过初审的响应文件作无效标处理；</w:t>
      </w:r>
    </w:p>
    <w:p w14:paraId="35F1728B">
      <w:pPr>
        <w:tabs>
          <w:tab w:val="left" w:pos="720"/>
        </w:tabs>
        <w:spacing w:line="440" w:lineRule="exact"/>
        <w:ind w:firstLine="619" w:firstLineChars="255"/>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5.2对通过初审的供应商的响应文件进行详细的比较和评价。如需要，进行必要的澄清工作；</w:t>
      </w:r>
    </w:p>
    <w:p w14:paraId="3E25F6CD">
      <w:pPr>
        <w:pStyle w:val="31"/>
        <w:rPr>
          <w:rFonts w:hint="default"/>
          <w:color w:val="auto"/>
          <w:lang w:val="en-US" w:eastAsia="zh-CN"/>
        </w:rPr>
      </w:pPr>
      <w:r>
        <w:rPr>
          <w:rFonts w:hint="eastAsia" w:ascii="仿宋" w:hAnsi="仿宋" w:eastAsia="仿宋" w:cs="仿宋"/>
          <w:color w:val="auto"/>
          <w:szCs w:val="21"/>
          <w:lang w:val="en-US" w:eastAsia="zh-CN" w:bidi="ar-SA"/>
        </w:rPr>
        <w:t>5.3经磋商确定最终采购需求和提交最后报价的供应商后，由磋商小组采用综合评分法对提交最后报价的供应商的响应文件和最后报价进行综合评分。</w:t>
      </w:r>
    </w:p>
    <w:p w14:paraId="36A9DFF6">
      <w:pPr>
        <w:widowControl/>
        <w:spacing w:line="360" w:lineRule="exact"/>
        <w:ind w:firstLine="482"/>
        <w:rPr>
          <w:rFonts w:ascii="仿宋" w:hAnsi="仿宋" w:eastAsia="仿宋" w:cs="仿宋"/>
          <w:b/>
          <w:bCs/>
          <w:color w:val="auto"/>
          <w:sz w:val="36"/>
          <w:szCs w:val="36"/>
          <w:lang w:eastAsia="zh-CN" w:bidi="ar-SA"/>
        </w:rPr>
      </w:pPr>
      <w:r>
        <w:rPr>
          <w:rFonts w:hint="eastAsia" w:ascii="仿宋" w:hAnsi="仿宋" w:eastAsia="仿宋" w:cs="仿宋"/>
          <w:color w:val="auto"/>
          <w:szCs w:val="21"/>
          <w:lang w:eastAsia="zh-CN" w:bidi="ar-SA"/>
        </w:rPr>
        <w:t>5.</w:t>
      </w:r>
      <w:r>
        <w:rPr>
          <w:rFonts w:hint="eastAsia" w:ascii="仿宋" w:hAnsi="仿宋" w:eastAsia="仿宋" w:cs="仿宋"/>
          <w:color w:val="auto"/>
          <w:szCs w:val="21"/>
          <w:lang w:val="en-US" w:eastAsia="zh-CN" w:bidi="ar-SA"/>
        </w:rPr>
        <w:t>4</w:t>
      </w:r>
      <w:r>
        <w:rPr>
          <w:rFonts w:hint="eastAsia" w:ascii="仿宋" w:hAnsi="仿宋" w:eastAsia="仿宋" w:cs="仿宋"/>
          <w:color w:val="auto"/>
          <w:szCs w:val="21"/>
          <w:lang w:eastAsia="zh-CN" w:bidi="ar-SA"/>
        </w:rPr>
        <w:t>依据评分标准以及各项权值，各位评委单独就每个供应商的响应文件进行价格、技术、企业实力、业绩、人员配置、对磋商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7B5D2A7F">
      <w:pPr>
        <w:jc w:val="center"/>
        <w:outlineLvl w:val="1"/>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响应文件初审</w:t>
      </w:r>
      <w:bookmarkEnd w:id="62"/>
      <w:bookmarkEnd w:id="63"/>
    </w:p>
    <w:p w14:paraId="6F787F4A">
      <w:pPr>
        <w:spacing w:line="40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6.资格性审查:</w:t>
      </w:r>
    </w:p>
    <w:p w14:paraId="48FE9FF0">
      <w:pPr>
        <w:spacing w:line="400" w:lineRule="exact"/>
        <w:ind w:firstLine="356" w:firstLineChars="147"/>
        <w:rPr>
          <w:rFonts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1204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4D09E7AA">
            <w:pPr>
              <w:jc w:val="center"/>
              <w:rPr>
                <w:rFonts w:ascii="仿宋" w:hAnsi="仿宋" w:eastAsia="仿宋" w:cs="仿宋"/>
                <w:b/>
                <w:color w:val="auto"/>
                <w:sz w:val="21"/>
                <w:szCs w:val="21"/>
              </w:rPr>
            </w:pPr>
            <w:r>
              <w:rPr>
                <w:rFonts w:hint="eastAsia" w:ascii="仿宋" w:hAnsi="仿宋" w:eastAsia="仿宋" w:cs="仿宋"/>
                <w:b/>
                <w:color w:val="auto"/>
                <w:sz w:val="21"/>
                <w:szCs w:val="21"/>
              </w:rPr>
              <w:t>项目</w:t>
            </w:r>
          </w:p>
        </w:tc>
        <w:tc>
          <w:tcPr>
            <w:tcW w:w="7196" w:type="dxa"/>
            <w:gridSpan w:val="2"/>
            <w:vMerge w:val="restart"/>
            <w:vAlign w:val="center"/>
          </w:tcPr>
          <w:p w14:paraId="0C1B7881">
            <w:pPr>
              <w:jc w:val="center"/>
              <w:rPr>
                <w:rFonts w:ascii="仿宋" w:hAnsi="仿宋" w:eastAsia="仿宋" w:cs="仿宋"/>
                <w:b/>
                <w:color w:val="auto"/>
                <w:sz w:val="21"/>
                <w:szCs w:val="21"/>
              </w:rPr>
            </w:pPr>
            <w:r>
              <w:rPr>
                <w:rFonts w:hint="eastAsia" w:ascii="仿宋" w:hAnsi="仿宋" w:eastAsia="仿宋" w:cs="仿宋"/>
                <w:b/>
                <w:color w:val="auto"/>
                <w:sz w:val="21"/>
                <w:szCs w:val="21"/>
              </w:rPr>
              <w:t>评审内容</w:t>
            </w:r>
          </w:p>
        </w:tc>
        <w:tc>
          <w:tcPr>
            <w:tcW w:w="1209" w:type="dxa"/>
            <w:gridSpan w:val="2"/>
            <w:vAlign w:val="center"/>
          </w:tcPr>
          <w:p w14:paraId="505C2F0B">
            <w:pPr>
              <w:jc w:val="center"/>
              <w:rPr>
                <w:rFonts w:ascii="仿宋" w:hAnsi="仿宋" w:eastAsia="仿宋" w:cs="仿宋"/>
                <w:b/>
                <w:color w:val="auto"/>
                <w:sz w:val="21"/>
                <w:szCs w:val="21"/>
              </w:rPr>
            </w:pPr>
            <w:r>
              <w:rPr>
                <w:rFonts w:hint="eastAsia" w:ascii="仿宋" w:hAnsi="仿宋" w:eastAsia="仿宋" w:cs="仿宋"/>
                <w:b/>
                <w:color w:val="auto"/>
                <w:sz w:val="21"/>
                <w:szCs w:val="21"/>
              </w:rPr>
              <w:t>评审意见</w:t>
            </w:r>
          </w:p>
        </w:tc>
      </w:tr>
      <w:tr w14:paraId="7481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710F02F8">
            <w:pPr>
              <w:rPr>
                <w:rFonts w:ascii="仿宋" w:hAnsi="仿宋" w:eastAsia="仿宋" w:cs="仿宋"/>
                <w:color w:val="auto"/>
                <w:sz w:val="18"/>
                <w:szCs w:val="21"/>
              </w:rPr>
            </w:pPr>
          </w:p>
        </w:tc>
        <w:tc>
          <w:tcPr>
            <w:tcW w:w="7196" w:type="dxa"/>
            <w:gridSpan w:val="2"/>
            <w:vMerge w:val="continue"/>
          </w:tcPr>
          <w:p w14:paraId="3D70A3A6">
            <w:pPr>
              <w:rPr>
                <w:rFonts w:ascii="仿宋" w:hAnsi="仿宋" w:eastAsia="仿宋" w:cs="仿宋"/>
                <w:color w:val="auto"/>
                <w:sz w:val="18"/>
                <w:szCs w:val="21"/>
              </w:rPr>
            </w:pPr>
          </w:p>
        </w:tc>
        <w:tc>
          <w:tcPr>
            <w:tcW w:w="555" w:type="dxa"/>
            <w:vAlign w:val="center"/>
          </w:tcPr>
          <w:p w14:paraId="0408F145">
            <w:pPr>
              <w:jc w:val="center"/>
              <w:rPr>
                <w:rFonts w:ascii="仿宋" w:hAnsi="仿宋" w:eastAsia="仿宋" w:cs="仿宋"/>
                <w:b/>
                <w:color w:val="auto"/>
                <w:sz w:val="21"/>
                <w:szCs w:val="21"/>
              </w:rPr>
            </w:pPr>
            <w:r>
              <w:rPr>
                <w:rFonts w:hint="eastAsia" w:ascii="仿宋" w:hAnsi="仿宋" w:eastAsia="仿宋" w:cs="仿宋"/>
                <w:b/>
                <w:color w:val="auto"/>
                <w:sz w:val="21"/>
                <w:szCs w:val="21"/>
              </w:rPr>
              <w:t>是</w:t>
            </w:r>
          </w:p>
        </w:tc>
        <w:tc>
          <w:tcPr>
            <w:tcW w:w="654" w:type="dxa"/>
            <w:vAlign w:val="center"/>
          </w:tcPr>
          <w:p w14:paraId="72DD731C">
            <w:pPr>
              <w:jc w:val="center"/>
              <w:rPr>
                <w:rFonts w:ascii="仿宋" w:hAnsi="仿宋" w:eastAsia="仿宋" w:cs="仿宋"/>
                <w:b/>
                <w:color w:val="auto"/>
                <w:sz w:val="21"/>
                <w:szCs w:val="21"/>
              </w:rPr>
            </w:pPr>
            <w:r>
              <w:rPr>
                <w:rFonts w:hint="eastAsia" w:ascii="仿宋" w:hAnsi="仿宋" w:eastAsia="仿宋" w:cs="仿宋"/>
                <w:b/>
                <w:color w:val="auto"/>
                <w:sz w:val="21"/>
                <w:szCs w:val="21"/>
              </w:rPr>
              <w:t>否</w:t>
            </w:r>
          </w:p>
        </w:tc>
      </w:tr>
      <w:tr w14:paraId="01D4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restart"/>
            <w:vAlign w:val="center"/>
          </w:tcPr>
          <w:p w14:paraId="6B29F4F6">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审</w:t>
            </w:r>
          </w:p>
          <w:p w14:paraId="1957B3C4">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查</w:t>
            </w:r>
          </w:p>
          <w:p w14:paraId="5DA69135">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标</w:t>
            </w:r>
          </w:p>
          <w:p w14:paraId="315871DD">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准</w:t>
            </w:r>
          </w:p>
          <w:p w14:paraId="02A9F56A">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(适</w:t>
            </w:r>
          </w:p>
          <w:p w14:paraId="01031EB9">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用</w:t>
            </w:r>
          </w:p>
          <w:p w14:paraId="7CED15F8">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于</w:t>
            </w:r>
          </w:p>
          <w:p w14:paraId="524B383D">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资</w:t>
            </w:r>
          </w:p>
          <w:p w14:paraId="1CEC21AE">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格</w:t>
            </w:r>
          </w:p>
          <w:p w14:paraId="3D2006EF">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后</w:t>
            </w:r>
          </w:p>
          <w:p w14:paraId="728CE0A1">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审)</w:t>
            </w:r>
          </w:p>
        </w:tc>
        <w:tc>
          <w:tcPr>
            <w:tcW w:w="547" w:type="dxa"/>
            <w:vAlign w:val="center"/>
          </w:tcPr>
          <w:p w14:paraId="41EA566A">
            <w:pPr>
              <w:jc w:val="center"/>
              <w:rPr>
                <w:rFonts w:ascii="仿宋" w:hAnsi="仿宋" w:eastAsia="仿宋" w:cs="仿宋"/>
                <w:color w:val="auto"/>
                <w:szCs w:val="21"/>
              </w:rPr>
            </w:pPr>
            <w:r>
              <w:rPr>
                <w:rFonts w:hint="eastAsia" w:ascii="仿宋" w:hAnsi="仿宋" w:eastAsia="仿宋" w:cs="仿宋"/>
                <w:color w:val="auto"/>
                <w:szCs w:val="21"/>
              </w:rPr>
              <w:t>1</w:t>
            </w:r>
          </w:p>
        </w:tc>
        <w:tc>
          <w:tcPr>
            <w:tcW w:w="6649" w:type="dxa"/>
            <w:vAlign w:val="center"/>
          </w:tcPr>
          <w:p w14:paraId="65989B09">
            <w:pPr>
              <w:widowControl/>
              <w:textAlignment w:val="center"/>
              <w:rPr>
                <w:rFonts w:hint="default" w:ascii="仿宋" w:hAnsi="仿宋" w:eastAsia="仿宋" w:cs="仿宋"/>
                <w:color w:val="auto"/>
                <w:lang w:val="en-US" w:eastAsia="zh-CN"/>
              </w:rPr>
            </w:pPr>
            <w:r>
              <w:rPr>
                <w:rFonts w:hint="default" w:ascii="仿宋" w:hAnsi="仿宋" w:eastAsia="仿宋" w:cs="仿宋"/>
                <w:color w:val="auto"/>
                <w:lang w:eastAsia="zh-CN"/>
              </w:rPr>
              <w:t>本项目为专门面向中小企业</w:t>
            </w:r>
            <w:r>
              <w:rPr>
                <w:rFonts w:hint="eastAsia" w:ascii="仿宋" w:hAnsi="仿宋" w:eastAsia="仿宋" w:cs="仿宋"/>
                <w:color w:val="auto"/>
                <w:lang w:eastAsia="zh-CN"/>
              </w:rPr>
              <w:t>，</w:t>
            </w:r>
            <w:r>
              <w:rPr>
                <w:rFonts w:hint="eastAsia" w:ascii="仿宋" w:hAnsi="仿宋" w:eastAsia="仿宋" w:cs="仿宋"/>
                <w:color w:val="auto"/>
                <w:lang w:val="en-US" w:eastAsia="zh-CN"/>
              </w:rPr>
              <w:t>提供《中小企业声明函》</w:t>
            </w:r>
          </w:p>
        </w:tc>
        <w:tc>
          <w:tcPr>
            <w:tcW w:w="555" w:type="dxa"/>
          </w:tcPr>
          <w:p w14:paraId="7716A311">
            <w:pPr>
              <w:rPr>
                <w:rFonts w:ascii="仿宋" w:hAnsi="仿宋" w:eastAsia="仿宋" w:cs="仿宋"/>
                <w:color w:val="auto"/>
                <w:szCs w:val="21"/>
                <w:lang w:eastAsia="zh-CN"/>
              </w:rPr>
            </w:pPr>
          </w:p>
        </w:tc>
        <w:tc>
          <w:tcPr>
            <w:tcW w:w="654" w:type="dxa"/>
          </w:tcPr>
          <w:p w14:paraId="0F906BE7">
            <w:pPr>
              <w:rPr>
                <w:rFonts w:ascii="仿宋" w:hAnsi="仿宋" w:eastAsia="仿宋" w:cs="仿宋"/>
                <w:color w:val="auto"/>
                <w:szCs w:val="21"/>
                <w:lang w:eastAsia="zh-CN"/>
              </w:rPr>
            </w:pPr>
          </w:p>
        </w:tc>
      </w:tr>
      <w:tr w14:paraId="6DA6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continue"/>
            <w:vAlign w:val="center"/>
          </w:tcPr>
          <w:p w14:paraId="1ADEEBDA">
            <w:pPr>
              <w:jc w:val="center"/>
              <w:rPr>
                <w:rFonts w:hint="eastAsia" w:ascii="仿宋" w:hAnsi="仿宋" w:eastAsia="仿宋" w:cs="仿宋"/>
                <w:color w:val="auto"/>
                <w:szCs w:val="21"/>
                <w:lang w:eastAsia="zh-CN"/>
              </w:rPr>
            </w:pPr>
          </w:p>
        </w:tc>
        <w:tc>
          <w:tcPr>
            <w:tcW w:w="547" w:type="dxa"/>
            <w:vAlign w:val="center"/>
          </w:tcPr>
          <w:p w14:paraId="5675BD00">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w:t>
            </w:r>
          </w:p>
        </w:tc>
        <w:tc>
          <w:tcPr>
            <w:tcW w:w="6649" w:type="dxa"/>
            <w:vAlign w:val="center"/>
          </w:tcPr>
          <w:p w14:paraId="745DC383">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rPr>
              <w:t>（三证合一）营业执照</w:t>
            </w:r>
            <w:r>
              <w:rPr>
                <w:rFonts w:hint="eastAsia" w:ascii="仿宋" w:hAnsi="仿宋" w:eastAsia="仿宋" w:cs="仿宋"/>
                <w:color w:val="auto"/>
                <w:lang w:val="en-US" w:eastAsia="zh-CN"/>
              </w:rPr>
              <w:t>或依法在民政部门登记的社会组织</w:t>
            </w:r>
          </w:p>
        </w:tc>
        <w:tc>
          <w:tcPr>
            <w:tcW w:w="555" w:type="dxa"/>
          </w:tcPr>
          <w:p w14:paraId="14511A05">
            <w:pPr>
              <w:rPr>
                <w:rFonts w:ascii="仿宋" w:hAnsi="仿宋" w:eastAsia="仿宋" w:cs="仿宋"/>
                <w:color w:val="auto"/>
                <w:szCs w:val="21"/>
                <w:lang w:eastAsia="zh-CN"/>
              </w:rPr>
            </w:pPr>
          </w:p>
        </w:tc>
        <w:tc>
          <w:tcPr>
            <w:tcW w:w="654" w:type="dxa"/>
          </w:tcPr>
          <w:p w14:paraId="30AE9450">
            <w:pPr>
              <w:rPr>
                <w:rFonts w:ascii="仿宋" w:hAnsi="仿宋" w:eastAsia="仿宋" w:cs="仿宋"/>
                <w:color w:val="auto"/>
                <w:szCs w:val="21"/>
                <w:lang w:eastAsia="zh-CN"/>
              </w:rPr>
            </w:pPr>
          </w:p>
        </w:tc>
      </w:tr>
      <w:tr w14:paraId="658E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1" w:type="dxa"/>
            <w:vMerge w:val="continue"/>
            <w:vAlign w:val="center"/>
          </w:tcPr>
          <w:p w14:paraId="2CD4BF0F">
            <w:pPr>
              <w:rPr>
                <w:rFonts w:ascii="仿宋" w:hAnsi="仿宋" w:eastAsia="仿宋" w:cs="仿宋"/>
                <w:color w:val="auto"/>
                <w:lang w:eastAsia="zh-CN"/>
              </w:rPr>
            </w:pPr>
          </w:p>
        </w:tc>
        <w:tc>
          <w:tcPr>
            <w:tcW w:w="547" w:type="dxa"/>
            <w:vAlign w:val="center"/>
          </w:tcPr>
          <w:p w14:paraId="02B6207D">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6649" w:type="dxa"/>
            <w:vAlign w:val="center"/>
          </w:tcPr>
          <w:p w14:paraId="2B499BF5">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法定代表人参加提供法定代表人证明书；委托代理人参加提供法人代表授权委托书；</w:t>
            </w:r>
          </w:p>
        </w:tc>
        <w:tc>
          <w:tcPr>
            <w:tcW w:w="555" w:type="dxa"/>
          </w:tcPr>
          <w:p w14:paraId="18BA8AA0">
            <w:pPr>
              <w:rPr>
                <w:rFonts w:ascii="仿宋" w:hAnsi="仿宋" w:eastAsia="仿宋" w:cs="仿宋"/>
                <w:color w:val="auto"/>
                <w:szCs w:val="21"/>
                <w:lang w:eastAsia="zh-CN"/>
              </w:rPr>
            </w:pPr>
          </w:p>
        </w:tc>
        <w:tc>
          <w:tcPr>
            <w:tcW w:w="654" w:type="dxa"/>
          </w:tcPr>
          <w:p w14:paraId="09B76F9F">
            <w:pPr>
              <w:rPr>
                <w:rFonts w:ascii="仿宋" w:hAnsi="仿宋" w:eastAsia="仿宋" w:cs="仿宋"/>
                <w:color w:val="auto"/>
                <w:szCs w:val="21"/>
                <w:lang w:eastAsia="zh-CN"/>
              </w:rPr>
            </w:pPr>
          </w:p>
        </w:tc>
      </w:tr>
      <w:tr w14:paraId="7B67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881" w:type="dxa"/>
            <w:vMerge w:val="continue"/>
            <w:vAlign w:val="center"/>
          </w:tcPr>
          <w:p w14:paraId="13437EA3">
            <w:pPr>
              <w:rPr>
                <w:rFonts w:ascii="仿宋" w:hAnsi="仿宋" w:eastAsia="仿宋" w:cs="仿宋"/>
                <w:color w:val="auto"/>
                <w:lang w:eastAsia="zh-CN"/>
              </w:rPr>
            </w:pPr>
          </w:p>
        </w:tc>
        <w:tc>
          <w:tcPr>
            <w:tcW w:w="547" w:type="dxa"/>
            <w:vAlign w:val="center"/>
          </w:tcPr>
          <w:p w14:paraId="0E5C5EFE">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6649" w:type="dxa"/>
            <w:vAlign w:val="center"/>
          </w:tcPr>
          <w:p w14:paraId="00ED15E1">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参加采购活动前三年内，在经营活动中没有重大违法记录，供应商须提供 “信用中国”网站（http://www.creditchina.gov.cn/）、“中国政府采购网”网站（http://www.ccgp.gov.cn）无违法违规行为的查询记录。</w:t>
            </w:r>
          </w:p>
        </w:tc>
        <w:tc>
          <w:tcPr>
            <w:tcW w:w="555" w:type="dxa"/>
          </w:tcPr>
          <w:p w14:paraId="1FE8FE6C">
            <w:pPr>
              <w:rPr>
                <w:rFonts w:ascii="仿宋" w:hAnsi="仿宋" w:eastAsia="仿宋" w:cs="仿宋"/>
                <w:color w:val="auto"/>
                <w:szCs w:val="21"/>
                <w:lang w:eastAsia="zh-CN"/>
              </w:rPr>
            </w:pPr>
          </w:p>
        </w:tc>
        <w:tc>
          <w:tcPr>
            <w:tcW w:w="654" w:type="dxa"/>
          </w:tcPr>
          <w:p w14:paraId="6ACF1372">
            <w:pPr>
              <w:rPr>
                <w:rFonts w:ascii="仿宋" w:hAnsi="仿宋" w:eastAsia="仿宋" w:cs="仿宋"/>
                <w:color w:val="auto"/>
                <w:szCs w:val="21"/>
                <w:lang w:eastAsia="zh-CN"/>
              </w:rPr>
            </w:pPr>
          </w:p>
        </w:tc>
      </w:tr>
      <w:tr w14:paraId="326F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vMerge w:val="continue"/>
            <w:vAlign w:val="center"/>
          </w:tcPr>
          <w:p w14:paraId="75539E35">
            <w:pPr>
              <w:rPr>
                <w:rFonts w:ascii="仿宋" w:hAnsi="仿宋" w:eastAsia="仿宋" w:cs="仿宋"/>
                <w:color w:val="auto"/>
                <w:lang w:eastAsia="zh-CN"/>
              </w:rPr>
            </w:pPr>
          </w:p>
        </w:tc>
        <w:tc>
          <w:tcPr>
            <w:tcW w:w="547" w:type="dxa"/>
            <w:vAlign w:val="center"/>
          </w:tcPr>
          <w:p w14:paraId="378528C2">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6649" w:type="dxa"/>
            <w:vAlign w:val="center"/>
          </w:tcPr>
          <w:p w14:paraId="7EF0AFF7">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投标保证金</w:t>
            </w:r>
            <w:r>
              <w:rPr>
                <w:rFonts w:hint="eastAsia" w:ascii="仿宋" w:hAnsi="仿宋" w:eastAsia="仿宋" w:cs="仿宋"/>
                <w:color w:val="auto"/>
                <w:lang w:val="en-US" w:eastAsia="zh-CN"/>
              </w:rPr>
              <w:t>缴纳凭证</w:t>
            </w:r>
            <w:r>
              <w:rPr>
                <w:rFonts w:hint="eastAsia" w:ascii="仿宋" w:hAnsi="仿宋" w:eastAsia="仿宋" w:cs="仿宋"/>
                <w:color w:val="auto"/>
                <w:lang w:eastAsia="zh-CN"/>
              </w:rPr>
              <w:t>或保函等票据</w:t>
            </w:r>
          </w:p>
        </w:tc>
        <w:tc>
          <w:tcPr>
            <w:tcW w:w="555" w:type="dxa"/>
          </w:tcPr>
          <w:p w14:paraId="0538B8F6">
            <w:pPr>
              <w:rPr>
                <w:rFonts w:ascii="仿宋" w:hAnsi="仿宋" w:eastAsia="仿宋" w:cs="仿宋"/>
                <w:color w:val="auto"/>
                <w:szCs w:val="21"/>
                <w:lang w:eastAsia="zh-CN"/>
              </w:rPr>
            </w:pPr>
          </w:p>
        </w:tc>
        <w:tc>
          <w:tcPr>
            <w:tcW w:w="654" w:type="dxa"/>
          </w:tcPr>
          <w:p w14:paraId="48B052F5">
            <w:pPr>
              <w:rPr>
                <w:rFonts w:ascii="仿宋" w:hAnsi="仿宋" w:eastAsia="仿宋" w:cs="仿宋"/>
                <w:color w:val="auto"/>
                <w:szCs w:val="21"/>
                <w:lang w:eastAsia="zh-CN"/>
              </w:rPr>
            </w:pPr>
          </w:p>
        </w:tc>
      </w:tr>
      <w:tr w14:paraId="4B04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692B5DD2">
            <w:pPr>
              <w:rPr>
                <w:rFonts w:ascii="仿宋" w:hAnsi="仿宋" w:eastAsia="仿宋" w:cs="仿宋"/>
                <w:color w:val="auto"/>
                <w:lang w:eastAsia="zh-CN"/>
              </w:rPr>
            </w:pPr>
          </w:p>
        </w:tc>
        <w:tc>
          <w:tcPr>
            <w:tcW w:w="547" w:type="dxa"/>
            <w:vAlign w:val="center"/>
          </w:tcPr>
          <w:p w14:paraId="3B04C5BC">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6</w:t>
            </w:r>
          </w:p>
        </w:tc>
        <w:tc>
          <w:tcPr>
            <w:tcW w:w="6649" w:type="dxa"/>
            <w:vAlign w:val="center"/>
          </w:tcPr>
          <w:p w14:paraId="7C69CF87">
            <w:pPr>
              <w:widowControl/>
              <w:textAlignment w:val="center"/>
              <w:rPr>
                <w:rFonts w:ascii="仿宋" w:hAnsi="仿宋" w:eastAsia="仿宋" w:cs="仿宋"/>
                <w:color w:val="auto"/>
                <w:lang w:eastAsia="zh-CN"/>
              </w:rPr>
            </w:pPr>
            <w:r>
              <w:rPr>
                <w:rFonts w:hint="eastAsia" w:ascii="仿宋" w:hAnsi="仿宋" w:eastAsia="仿宋" w:cs="仿宋"/>
                <w:color w:val="auto"/>
                <w:lang w:val="en-US" w:eastAsia="zh-CN"/>
              </w:rPr>
              <w:t>投标企业须提供供应商（被授权本单位在职人员）近6个月内任意1个月的有效社保证明。</w:t>
            </w:r>
            <w:r>
              <w:rPr>
                <w:rFonts w:hint="eastAsia" w:ascii="仿宋" w:hAnsi="仿宋" w:eastAsia="仿宋" w:cs="仿宋"/>
                <w:color w:val="auto"/>
                <w:lang w:eastAsia="zh-CN"/>
              </w:rPr>
              <w:t>；</w:t>
            </w:r>
          </w:p>
        </w:tc>
        <w:tc>
          <w:tcPr>
            <w:tcW w:w="555" w:type="dxa"/>
          </w:tcPr>
          <w:p w14:paraId="077A3BA9">
            <w:pPr>
              <w:rPr>
                <w:rFonts w:ascii="仿宋" w:hAnsi="仿宋" w:eastAsia="仿宋" w:cs="仿宋"/>
                <w:color w:val="auto"/>
                <w:szCs w:val="21"/>
                <w:lang w:eastAsia="zh-CN"/>
              </w:rPr>
            </w:pPr>
          </w:p>
        </w:tc>
        <w:tc>
          <w:tcPr>
            <w:tcW w:w="654" w:type="dxa"/>
          </w:tcPr>
          <w:p w14:paraId="11FAAD61">
            <w:pPr>
              <w:rPr>
                <w:rFonts w:ascii="仿宋" w:hAnsi="仿宋" w:eastAsia="仿宋" w:cs="仿宋"/>
                <w:color w:val="auto"/>
                <w:szCs w:val="21"/>
                <w:lang w:eastAsia="zh-CN"/>
              </w:rPr>
            </w:pPr>
          </w:p>
        </w:tc>
      </w:tr>
      <w:tr w14:paraId="73C8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17F5B26C">
            <w:pPr>
              <w:jc w:val="center"/>
              <w:rPr>
                <w:rFonts w:ascii="仿宋" w:hAnsi="仿宋" w:eastAsia="仿宋" w:cs="仿宋"/>
                <w:color w:val="auto"/>
                <w:szCs w:val="21"/>
                <w:lang w:eastAsia="zh-CN"/>
              </w:rPr>
            </w:pPr>
          </w:p>
        </w:tc>
        <w:tc>
          <w:tcPr>
            <w:tcW w:w="547" w:type="dxa"/>
          </w:tcPr>
          <w:p w14:paraId="0E2D5E79">
            <w:pPr>
              <w:spacing w:line="440" w:lineRule="exact"/>
              <w:rPr>
                <w:rFonts w:ascii="仿宋" w:hAnsi="仿宋" w:eastAsia="仿宋" w:cs="仿宋"/>
                <w:color w:val="auto"/>
                <w:szCs w:val="21"/>
                <w:lang w:eastAsia="zh-CN"/>
              </w:rPr>
            </w:pPr>
          </w:p>
        </w:tc>
        <w:tc>
          <w:tcPr>
            <w:tcW w:w="6649" w:type="dxa"/>
          </w:tcPr>
          <w:p w14:paraId="44CF6697">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14:paraId="217D732F">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209" w:type="dxa"/>
            <w:gridSpan w:val="2"/>
          </w:tcPr>
          <w:p w14:paraId="783A7911">
            <w:pPr>
              <w:rPr>
                <w:rFonts w:ascii="仿宋" w:hAnsi="仿宋" w:eastAsia="仿宋" w:cs="仿宋"/>
                <w:color w:val="auto"/>
                <w:szCs w:val="21"/>
                <w:lang w:eastAsia="zh-CN"/>
              </w:rPr>
            </w:pPr>
          </w:p>
        </w:tc>
      </w:tr>
    </w:tbl>
    <w:p w14:paraId="78703C90">
      <w:pPr>
        <w:spacing w:line="400" w:lineRule="exact"/>
        <w:ind w:firstLine="585" w:firstLineChars="241"/>
        <w:rPr>
          <w:rFonts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535DC553">
      <w:pPr>
        <w:spacing w:beforeLines="50" w:line="440" w:lineRule="exact"/>
        <w:ind w:firstLine="356" w:firstLineChars="147"/>
        <w:rPr>
          <w:rFonts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14:paraId="719B3822">
      <w:pPr>
        <w:spacing w:line="440" w:lineRule="exact"/>
        <w:ind w:firstLine="364" w:firstLineChars="150"/>
        <w:rPr>
          <w:rFonts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23"/>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4018A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18613820">
            <w:pPr>
              <w:jc w:val="center"/>
              <w:rPr>
                <w:rFonts w:ascii="仿宋" w:hAnsi="仿宋" w:eastAsia="仿宋" w:cs="仿宋"/>
                <w:b/>
                <w:color w:val="auto"/>
              </w:rPr>
            </w:pPr>
            <w:r>
              <w:rPr>
                <w:rFonts w:hint="eastAsia" w:ascii="仿宋" w:hAnsi="仿宋" w:eastAsia="仿宋" w:cs="仿宋"/>
                <w:b/>
                <w:color w:val="auto"/>
              </w:rPr>
              <w:t>项目</w:t>
            </w:r>
          </w:p>
        </w:tc>
        <w:tc>
          <w:tcPr>
            <w:tcW w:w="6975" w:type="dxa"/>
            <w:gridSpan w:val="2"/>
            <w:vMerge w:val="restart"/>
            <w:tcBorders>
              <w:top w:val="single" w:color="auto" w:sz="4" w:space="0"/>
            </w:tcBorders>
            <w:vAlign w:val="center"/>
          </w:tcPr>
          <w:p w14:paraId="116D5B86">
            <w:pPr>
              <w:jc w:val="center"/>
              <w:rPr>
                <w:rFonts w:ascii="仿宋" w:hAnsi="仿宋" w:eastAsia="仿宋" w:cs="仿宋"/>
                <w:b/>
                <w:color w:val="auto"/>
              </w:rPr>
            </w:pPr>
            <w:r>
              <w:rPr>
                <w:rFonts w:hint="eastAsia" w:ascii="仿宋" w:hAnsi="仿宋" w:eastAsia="仿宋" w:cs="仿宋"/>
                <w:b/>
                <w:color w:val="auto"/>
              </w:rPr>
              <w:t>评审内容</w:t>
            </w:r>
          </w:p>
        </w:tc>
        <w:tc>
          <w:tcPr>
            <w:tcW w:w="1366" w:type="dxa"/>
            <w:gridSpan w:val="2"/>
            <w:tcBorders>
              <w:top w:val="single" w:color="auto" w:sz="4" w:space="0"/>
              <w:right w:val="single" w:color="auto" w:sz="4" w:space="0"/>
            </w:tcBorders>
            <w:vAlign w:val="center"/>
          </w:tcPr>
          <w:p w14:paraId="2F8ECF2A">
            <w:pPr>
              <w:jc w:val="center"/>
              <w:rPr>
                <w:rFonts w:ascii="仿宋" w:hAnsi="仿宋" w:eastAsia="仿宋" w:cs="仿宋"/>
                <w:b/>
                <w:color w:val="auto"/>
              </w:rPr>
            </w:pPr>
            <w:r>
              <w:rPr>
                <w:rFonts w:hint="eastAsia" w:ascii="仿宋" w:hAnsi="仿宋" w:eastAsia="仿宋" w:cs="仿宋"/>
                <w:b/>
                <w:color w:val="auto"/>
              </w:rPr>
              <w:t>评审意见</w:t>
            </w:r>
          </w:p>
        </w:tc>
      </w:tr>
      <w:tr w14:paraId="4992C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511F6977">
            <w:pPr>
              <w:rPr>
                <w:rFonts w:ascii="仿宋" w:hAnsi="仿宋" w:eastAsia="仿宋" w:cs="仿宋"/>
                <w:color w:val="auto"/>
              </w:rPr>
            </w:pPr>
          </w:p>
        </w:tc>
        <w:tc>
          <w:tcPr>
            <w:tcW w:w="6975" w:type="dxa"/>
            <w:gridSpan w:val="2"/>
            <w:vMerge w:val="continue"/>
            <w:tcBorders>
              <w:bottom w:val="single" w:color="auto" w:sz="4" w:space="0"/>
            </w:tcBorders>
          </w:tcPr>
          <w:p w14:paraId="56B9214D">
            <w:pPr>
              <w:rPr>
                <w:rFonts w:ascii="仿宋" w:hAnsi="仿宋" w:eastAsia="仿宋" w:cs="仿宋"/>
                <w:color w:val="auto"/>
              </w:rPr>
            </w:pPr>
          </w:p>
        </w:tc>
        <w:tc>
          <w:tcPr>
            <w:tcW w:w="749" w:type="dxa"/>
            <w:vAlign w:val="center"/>
          </w:tcPr>
          <w:p w14:paraId="4DCD4C9C">
            <w:pPr>
              <w:jc w:val="center"/>
              <w:rPr>
                <w:rFonts w:ascii="仿宋" w:hAnsi="仿宋" w:eastAsia="仿宋" w:cs="仿宋"/>
                <w:b/>
                <w:color w:val="auto"/>
              </w:rPr>
            </w:pPr>
            <w:r>
              <w:rPr>
                <w:rFonts w:hint="eastAsia" w:ascii="仿宋" w:hAnsi="仿宋" w:eastAsia="仿宋" w:cs="仿宋"/>
                <w:b/>
                <w:color w:val="auto"/>
              </w:rPr>
              <w:t>是</w:t>
            </w:r>
          </w:p>
        </w:tc>
        <w:tc>
          <w:tcPr>
            <w:tcW w:w="617" w:type="dxa"/>
            <w:tcBorders>
              <w:right w:val="single" w:color="auto" w:sz="4" w:space="0"/>
            </w:tcBorders>
            <w:vAlign w:val="center"/>
          </w:tcPr>
          <w:p w14:paraId="6708A6B3">
            <w:pPr>
              <w:jc w:val="center"/>
              <w:rPr>
                <w:rFonts w:ascii="仿宋" w:hAnsi="仿宋" w:eastAsia="仿宋" w:cs="仿宋"/>
                <w:b/>
                <w:color w:val="auto"/>
              </w:rPr>
            </w:pPr>
            <w:r>
              <w:rPr>
                <w:rFonts w:hint="eastAsia" w:ascii="仿宋" w:hAnsi="仿宋" w:eastAsia="仿宋" w:cs="仿宋"/>
                <w:b/>
                <w:color w:val="auto"/>
              </w:rPr>
              <w:t>否</w:t>
            </w:r>
          </w:p>
        </w:tc>
      </w:tr>
      <w:tr w14:paraId="0751D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13B6F58D">
            <w:pPr>
              <w:jc w:val="center"/>
              <w:rPr>
                <w:rFonts w:ascii="仿宋" w:hAnsi="仿宋" w:eastAsia="仿宋" w:cs="仿宋"/>
                <w:color w:val="auto"/>
                <w:szCs w:val="21"/>
              </w:rPr>
            </w:pPr>
            <w:r>
              <w:rPr>
                <w:rFonts w:hint="eastAsia" w:ascii="仿宋" w:hAnsi="仿宋" w:eastAsia="仿宋" w:cs="仿宋"/>
                <w:color w:val="auto"/>
                <w:szCs w:val="21"/>
              </w:rPr>
              <w:t>审</w:t>
            </w:r>
          </w:p>
          <w:p w14:paraId="70BE81D3">
            <w:pPr>
              <w:jc w:val="center"/>
              <w:rPr>
                <w:rFonts w:ascii="仿宋" w:hAnsi="仿宋" w:eastAsia="仿宋" w:cs="仿宋"/>
                <w:color w:val="auto"/>
                <w:szCs w:val="21"/>
              </w:rPr>
            </w:pPr>
            <w:r>
              <w:rPr>
                <w:rFonts w:hint="eastAsia" w:ascii="仿宋" w:hAnsi="仿宋" w:eastAsia="仿宋" w:cs="仿宋"/>
                <w:color w:val="auto"/>
                <w:szCs w:val="21"/>
              </w:rPr>
              <w:t>查</w:t>
            </w:r>
          </w:p>
          <w:p w14:paraId="1CAFDE69">
            <w:pPr>
              <w:jc w:val="center"/>
              <w:rPr>
                <w:rFonts w:ascii="仿宋" w:hAnsi="仿宋" w:eastAsia="仿宋" w:cs="仿宋"/>
                <w:color w:val="auto"/>
                <w:szCs w:val="21"/>
              </w:rPr>
            </w:pPr>
            <w:r>
              <w:rPr>
                <w:rFonts w:hint="eastAsia" w:ascii="仿宋" w:hAnsi="仿宋" w:eastAsia="仿宋" w:cs="仿宋"/>
                <w:color w:val="auto"/>
                <w:szCs w:val="21"/>
              </w:rPr>
              <w:t>标</w:t>
            </w:r>
          </w:p>
          <w:p w14:paraId="0F489FE5">
            <w:pPr>
              <w:jc w:val="center"/>
              <w:rPr>
                <w:rFonts w:ascii="仿宋" w:hAnsi="仿宋" w:eastAsia="仿宋" w:cs="仿宋"/>
                <w:color w:val="auto"/>
                <w:szCs w:val="21"/>
              </w:rPr>
            </w:pPr>
            <w:r>
              <w:rPr>
                <w:rFonts w:hint="eastAsia" w:ascii="仿宋" w:hAnsi="仿宋" w:eastAsia="仿宋" w:cs="仿宋"/>
                <w:color w:val="auto"/>
                <w:szCs w:val="21"/>
              </w:rPr>
              <w:t>准</w:t>
            </w:r>
          </w:p>
        </w:tc>
        <w:tc>
          <w:tcPr>
            <w:tcW w:w="597" w:type="dxa"/>
            <w:tcBorders>
              <w:top w:val="single" w:color="auto" w:sz="4" w:space="0"/>
              <w:left w:val="single" w:color="auto" w:sz="4" w:space="0"/>
              <w:right w:val="single" w:color="auto" w:sz="4" w:space="0"/>
            </w:tcBorders>
            <w:vAlign w:val="center"/>
          </w:tcPr>
          <w:p w14:paraId="6CBBFAA2">
            <w:pPr>
              <w:jc w:val="center"/>
              <w:rPr>
                <w:rFonts w:ascii="仿宋" w:hAnsi="仿宋" w:eastAsia="仿宋" w:cs="仿宋"/>
                <w:color w:val="auto"/>
              </w:rPr>
            </w:pPr>
            <w:r>
              <w:rPr>
                <w:rFonts w:hint="eastAsia" w:ascii="仿宋" w:hAnsi="仿宋" w:eastAsia="仿宋" w:cs="仿宋"/>
                <w:color w:val="auto"/>
              </w:rPr>
              <w:t>1</w:t>
            </w:r>
          </w:p>
        </w:tc>
        <w:tc>
          <w:tcPr>
            <w:tcW w:w="6378" w:type="dxa"/>
            <w:tcBorders>
              <w:top w:val="single" w:color="auto" w:sz="4" w:space="0"/>
              <w:left w:val="single" w:color="auto" w:sz="4" w:space="0"/>
              <w:right w:val="single" w:color="auto" w:sz="4" w:space="0"/>
            </w:tcBorders>
            <w:vAlign w:val="center"/>
          </w:tcPr>
          <w:p w14:paraId="68C37DF1">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由政府立项核准、审批的采购项目, 报价高于设定的采购预算价的；</w:t>
            </w:r>
          </w:p>
        </w:tc>
        <w:tc>
          <w:tcPr>
            <w:tcW w:w="749" w:type="dxa"/>
            <w:tcBorders>
              <w:left w:val="single" w:color="auto" w:sz="4" w:space="0"/>
              <w:right w:val="single" w:color="auto" w:sz="4" w:space="0"/>
            </w:tcBorders>
          </w:tcPr>
          <w:p w14:paraId="40BFC520">
            <w:pPr>
              <w:jc w:val="center"/>
              <w:rPr>
                <w:rFonts w:ascii="仿宋" w:hAnsi="仿宋" w:eastAsia="仿宋" w:cs="仿宋"/>
                <w:b/>
                <w:color w:val="auto"/>
                <w:szCs w:val="21"/>
                <w:lang w:eastAsia="zh-CN"/>
              </w:rPr>
            </w:pPr>
          </w:p>
        </w:tc>
        <w:tc>
          <w:tcPr>
            <w:tcW w:w="617" w:type="dxa"/>
            <w:tcBorders>
              <w:left w:val="single" w:color="auto" w:sz="4" w:space="0"/>
              <w:right w:val="single" w:color="auto" w:sz="4" w:space="0"/>
            </w:tcBorders>
          </w:tcPr>
          <w:p w14:paraId="5F9EA694">
            <w:pPr>
              <w:jc w:val="center"/>
              <w:rPr>
                <w:rFonts w:ascii="仿宋" w:hAnsi="仿宋" w:eastAsia="仿宋" w:cs="仿宋"/>
                <w:b/>
                <w:color w:val="auto"/>
                <w:szCs w:val="21"/>
                <w:lang w:eastAsia="zh-CN"/>
              </w:rPr>
            </w:pPr>
          </w:p>
        </w:tc>
      </w:tr>
      <w:tr w14:paraId="71DF5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538AFF52">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7960ED5">
            <w:pPr>
              <w:jc w:val="center"/>
              <w:rPr>
                <w:rFonts w:ascii="仿宋" w:hAnsi="仿宋" w:eastAsia="仿宋" w:cs="仿宋"/>
                <w:color w:val="auto"/>
              </w:rPr>
            </w:pPr>
            <w:r>
              <w:rPr>
                <w:rFonts w:hint="eastAsia" w:ascii="仿宋" w:hAnsi="仿宋" w:eastAsia="仿宋" w:cs="仿宋"/>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14:paraId="515948B5">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法定代表人身份证明及授权委托书有效，且符合磋商文件规定的格式。</w:t>
            </w:r>
          </w:p>
        </w:tc>
        <w:tc>
          <w:tcPr>
            <w:tcW w:w="749" w:type="dxa"/>
            <w:tcBorders>
              <w:left w:val="single" w:color="auto" w:sz="4" w:space="0"/>
            </w:tcBorders>
          </w:tcPr>
          <w:p w14:paraId="41B32A30">
            <w:pPr>
              <w:rPr>
                <w:rFonts w:ascii="仿宋" w:hAnsi="仿宋" w:eastAsia="仿宋" w:cs="仿宋"/>
                <w:color w:val="auto"/>
                <w:szCs w:val="21"/>
                <w:lang w:eastAsia="zh-CN"/>
              </w:rPr>
            </w:pPr>
          </w:p>
        </w:tc>
        <w:tc>
          <w:tcPr>
            <w:tcW w:w="617" w:type="dxa"/>
            <w:tcBorders>
              <w:right w:val="single" w:color="auto" w:sz="4" w:space="0"/>
            </w:tcBorders>
          </w:tcPr>
          <w:p w14:paraId="752C984E">
            <w:pPr>
              <w:rPr>
                <w:rFonts w:ascii="仿宋" w:hAnsi="仿宋" w:eastAsia="仿宋" w:cs="仿宋"/>
                <w:color w:val="auto"/>
                <w:szCs w:val="21"/>
                <w:lang w:eastAsia="zh-CN"/>
              </w:rPr>
            </w:pPr>
          </w:p>
        </w:tc>
      </w:tr>
      <w:tr w14:paraId="02C7B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3628F5C5">
            <w:pPr>
              <w:rPr>
                <w:rFonts w:ascii="仿宋" w:hAnsi="仿宋" w:eastAsia="仿宋" w:cs="仿宋"/>
                <w:color w:val="auto"/>
                <w:lang w:eastAsia="zh-CN"/>
              </w:rPr>
            </w:pPr>
          </w:p>
        </w:tc>
        <w:tc>
          <w:tcPr>
            <w:tcW w:w="597" w:type="dxa"/>
            <w:tcBorders>
              <w:top w:val="single" w:color="auto" w:sz="4" w:space="0"/>
              <w:left w:val="single" w:color="auto" w:sz="4" w:space="0"/>
              <w:right w:val="single" w:color="auto" w:sz="4" w:space="0"/>
            </w:tcBorders>
            <w:vAlign w:val="center"/>
          </w:tcPr>
          <w:p w14:paraId="30E8EC08">
            <w:pPr>
              <w:jc w:val="center"/>
              <w:rPr>
                <w:rFonts w:ascii="仿宋" w:hAnsi="仿宋" w:eastAsia="仿宋" w:cs="仿宋"/>
                <w:color w:val="auto"/>
              </w:rPr>
            </w:pPr>
            <w:r>
              <w:rPr>
                <w:rFonts w:hint="eastAsia" w:ascii="仿宋" w:hAnsi="仿宋" w:eastAsia="仿宋" w:cs="仿宋"/>
                <w:color w:val="auto"/>
              </w:rPr>
              <w:t>3</w:t>
            </w:r>
          </w:p>
        </w:tc>
        <w:tc>
          <w:tcPr>
            <w:tcW w:w="6378" w:type="dxa"/>
            <w:tcBorders>
              <w:top w:val="single" w:color="auto" w:sz="4" w:space="0"/>
              <w:left w:val="single" w:color="auto" w:sz="4" w:space="0"/>
              <w:right w:val="single" w:color="auto" w:sz="4" w:space="0"/>
            </w:tcBorders>
            <w:vAlign w:val="center"/>
          </w:tcPr>
          <w:p w14:paraId="265074FF">
            <w:pPr>
              <w:widowControl/>
              <w:textAlignment w:val="center"/>
              <w:rPr>
                <w:rFonts w:ascii="仿宋" w:hAnsi="仿宋" w:eastAsia="仿宋" w:cs="仿宋"/>
                <w:color w:val="auto"/>
              </w:rPr>
            </w:pPr>
            <w:r>
              <w:rPr>
                <w:rFonts w:hint="eastAsia" w:ascii="仿宋" w:hAnsi="仿宋" w:eastAsia="仿宋" w:cs="仿宋"/>
                <w:color w:val="auto"/>
              </w:rPr>
              <w:t>只有一个方案投标。</w:t>
            </w:r>
          </w:p>
        </w:tc>
        <w:tc>
          <w:tcPr>
            <w:tcW w:w="749" w:type="dxa"/>
            <w:tcBorders>
              <w:left w:val="single" w:color="auto" w:sz="4" w:space="0"/>
            </w:tcBorders>
          </w:tcPr>
          <w:p w14:paraId="34C4DDAF">
            <w:pPr>
              <w:rPr>
                <w:rFonts w:ascii="仿宋" w:hAnsi="仿宋" w:eastAsia="仿宋" w:cs="仿宋"/>
                <w:color w:val="auto"/>
                <w:szCs w:val="21"/>
              </w:rPr>
            </w:pPr>
          </w:p>
        </w:tc>
        <w:tc>
          <w:tcPr>
            <w:tcW w:w="617" w:type="dxa"/>
            <w:tcBorders>
              <w:right w:val="single" w:color="auto" w:sz="4" w:space="0"/>
            </w:tcBorders>
          </w:tcPr>
          <w:p w14:paraId="46157264">
            <w:pPr>
              <w:rPr>
                <w:rFonts w:ascii="仿宋" w:hAnsi="仿宋" w:eastAsia="仿宋" w:cs="仿宋"/>
                <w:color w:val="auto"/>
                <w:szCs w:val="21"/>
              </w:rPr>
            </w:pPr>
          </w:p>
        </w:tc>
      </w:tr>
      <w:tr w14:paraId="5AF07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5366462D">
            <w:pPr>
              <w:rPr>
                <w:rFonts w:ascii="仿宋" w:hAnsi="仿宋" w:eastAsia="仿宋" w:cs="仿宋"/>
                <w:color w:val="auto"/>
              </w:rPr>
            </w:pPr>
          </w:p>
        </w:tc>
        <w:tc>
          <w:tcPr>
            <w:tcW w:w="597" w:type="dxa"/>
            <w:tcBorders>
              <w:left w:val="single" w:color="auto" w:sz="4" w:space="0"/>
            </w:tcBorders>
            <w:vAlign w:val="center"/>
          </w:tcPr>
          <w:p w14:paraId="249B8468">
            <w:pPr>
              <w:jc w:val="center"/>
              <w:rPr>
                <w:rFonts w:ascii="仿宋" w:hAnsi="仿宋" w:eastAsia="仿宋" w:cs="仿宋"/>
                <w:color w:val="auto"/>
              </w:rPr>
            </w:pPr>
            <w:r>
              <w:rPr>
                <w:rFonts w:hint="eastAsia" w:ascii="仿宋" w:hAnsi="仿宋" w:eastAsia="仿宋" w:cs="仿宋"/>
                <w:color w:val="auto"/>
                <w:lang w:eastAsia="zh-CN"/>
              </w:rPr>
              <w:t>4</w:t>
            </w:r>
          </w:p>
        </w:tc>
        <w:tc>
          <w:tcPr>
            <w:tcW w:w="6378" w:type="dxa"/>
            <w:tcBorders>
              <w:right w:val="single" w:color="auto" w:sz="4" w:space="0"/>
            </w:tcBorders>
            <w:vAlign w:val="center"/>
          </w:tcPr>
          <w:p w14:paraId="12784EE5">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响应文件内容齐全、无遗漏。</w:t>
            </w:r>
          </w:p>
        </w:tc>
        <w:tc>
          <w:tcPr>
            <w:tcW w:w="749" w:type="dxa"/>
            <w:tcBorders>
              <w:left w:val="single" w:color="auto" w:sz="4" w:space="0"/>
            </w:tcBorders>
          </w:tcPr>
          <w:p w14:paraId="4AAC796E">
            <w:pPr>
              <w:rPr>
                <w:rFonts w:ascii="仿宋" w:hAnsi="仿宋" w:eastAsia="仿宋" w:cs="仿宋"/>
                <w:color w:val="auto"/>
                <w:szCs w:val="21"/>
                <w:lang w:eastAsia="zh-CN"/>
              </w:rPr>
            </w:pPr>
          </w:p>
        </w:tc>
        <w:tc>
          <w:tcPr>
            <w:tcW w:w="617" w:type="dxa"/>
            <w:tcBorders>
              <w:right w:val="single" w:color="auto" w:sz="4" w:space="0"/>
            </w:tcBorders>
          </w:tcPr>
          <w:p w14:paraId="05A8F31C">
            <w:pPr>
              <w:rPr>
                <w:rFonts w:ascii="仿宋" w:hAnsi="仿宋" w:eastAsia="仿宋" w:cs="仿宋"/>
                <w:color w:val="auto"/>
                <w:szCs w:val="21"/>
                <w:lang w:eastAsia="zh-CN"/>
              </w:rPr>
            </w:pPr>
          </w:p>
        </w:tc>
      </w:tr>
      <w:tr w14:paraId="224A1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6238184B">
            <w:pPr>
              <w:rPr>
                <w:rFonts w:ascii="仿宋" w:hAnsi="仿宋" w:eastAsia="仿宋" w:cs="仿宋"/>
                <w:color w:val="auto"/>
                <w:lang w:eastAsia="zh-CN"/>
              </w:rPr>
            </w:pPr>
          </w:p>
        </w:tc>
        <w:tc>
          <w:tcPr>
            <w:tcW w:w="597" w:type="dxa"/>
            <w:tcBorders>
              <w:left w:val="single" w:color="auto" w:sz="4" w:space="0"/>
              <w:bottom w:val="single" w:color="auto" w:sz="4" w:space="0"/>
            </w:tcBorders>
            <w:vAlign w:val="center"/>
          </w:tcPr>
          <w:p w14:paraId="24A8B01C">
            <w:pPr>
              <w:jc w:val="center"/>
              <w:rPr>
                <w:rFonts w:ascii="仿宋" w:hAnsi="仿宋" w:eastAsia="仿宋" w:cs="仿宋"/>
                <w:color w:val="auto"/>
              </w:rPr>
            </w:pPr>
            <w:r>
              <w:rPr>
                <w:rFonts w:hint="eastAsia" w:ascii="仿宋" w:hAnsi="仿宋" w:eastAsia="仿宋" w:cs="仿宋"/>
                <w:color w:val="auto"/>
              </w:rPr>
              <w:t>5</w:t>
            </w:r>
          </w:p>
        </w:tc>
        <w:tc>
          <w:tcPr>
            <w:tcW w:w="6378" w:type="dxa"/>
            <w:tcBorders>
              <w:bottom w:val="single" w:color="auto" w:sz="4" w:space="0"/>
              <w:right w:val="single" w:color="auto" w:sz="4" w:space="0"/>
            </w:tcBorders>
            <w:vAlign w:val="center"/>
          </w:tcPr>
          <w:p w14:paraId="4FE239B8">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对磋商文件规定的招标内容全部作出响应。</w:t>
            </w:r>
          </w:p>
        </w:tc>
        <w:tc>
          <w:tcPr>
            <w:tcW w:w="749" w:type="dxa"/>
            <w:tcBorders>
              <w:left w:val="single" w:color="auto" w:sz="4" w:space="0"/>
              <w:bottom w:val="single" w:color="auto" w:sz="4" w:space="0"/>
            </w:tcBorders>
          </w:tcPr>
          <w:p w14:paraId="58C2936E">
            <w:pPr>
              <w:rPr>
                <w:rFonts w:ascii="仿宋" w:hAnsi="仿宋" w:eastAsia="仿宋" w:cs="仿宋"/>
                <w:color w:val="auto"/>
                <w:szCs w:val="21"/>
                <w:lang w:eastAsia="zh-CN"/>
              </w:rPr>
            </w:pPr>
          </w:p>
        </w:tc>
        <w:tc>
          <w:tcPr>
            <w:tcW w:w="617" w:type="dxa"/>
            <w:tcBorders>
              <w:bottom w:val="single" w:color="auto" w:sz="4" w:space="0"/>
              <w:right w:val="single" w:color="auto" w:sz="4" w:space="0"/>
            </w:tcBorders>
          </w:tcPr>
          <w:p w14:paraId="6576D78B">
            <w:pPr>
              <w:rPr>
                <w:rFonts w:ascii="仿宋" w:hAnsi="仿宋" w:eastAsia="仿宋" w:cs="仿宋"/>
                <w:color w:val="auto"/>
                <w:szCs w:val="21"/>
                <w:lang w:eastAsia="zh-CN"/>
              </w:rPr>
            </w:pPr>
          </w:p>
        </w:tc>
      </w:tr>
      <w:tr w14:paraId="30683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70686507">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2D96CD3">
            <w:pPr>
              <w:jc w:val="center"/>
              <w:rPr>
                <w:rFonts w:ascii="仿宋" w:hAnsi="仿宋" w:eastAsia="仿宋" w:cs="仿宋"/>
                <w:color w:val="auto"/>
              </w:rPr>
            </w:pPr>
            <w:r>
              <w:rPr>
                <w:rFonts w:hint="eastAsia" w:ascii="仿宋" w:hAnsi="仿宋" w:eastAsia="仿宋" w:cs="仿宋"/>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14:paraId="539E804E">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满足磋商文件提出的技术和质量要求。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4B46D2FE">
            <w:pPr>
              <w:rPr>
                <w:rFonts w:ascii="仿宋" w:hAnsi="仿宋" w:eastAsia="仿宋" w:cs="仿宋"/>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268C3BC8">
            <w:pPr>
              <w:rPr>
                <w:rFonts w:ascii="仿宋" w:hAnsi="仿宋" w:eastAsia="仿宋" w:cs="仿宋"/>
                <w:color w:val="auto"/>
                <w:szCs w:val="21"/>
                <w:lang w:eastAsia="zh-CN"/>
              </w:rPr>
            </w:pPr>
          </w:p>
        </w:tc>
      </w:tr>
      <w:tr w14:paraId="75F0D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796468E5">
            <w:pPr>
              <w:rPr>
                <w:rFonts w:ascii="仿宋" w:hAnsi="仿宋" w:eastAsia="仿宋" w:cs="仿宋"/>
                <w:color w:val="auto"/>
                <w:lang w:eastAsia="zh-CN"/>
              </w:rPr>
            </w:pPr>
          </w:p>
        </w:tc>
        <w:tc>
          <w:tcPr>
            <w:tcW w:w="597" w:type="dxa"/>
            <w:tcBorders>
              <w:top w:val="single" w:color="auto" w:sz="4" w:space="0"/>
              <w:left w:val="single" w:color="auto" w:sz="4" w:space="0"/>
            </w:tcBorders>
            <w:vAlign w:val="center"/>
          </w:tcPr>
          <w:p w14:paraId="61D0DCC7">
            <w:pPr>
              <w:jc w:val="center"/>
              <w:rPr>
                <w:rFonts w:ascii="仿宋" w:hAnsi="仿宋" w:eastAsia="仿宋" w:cs="仿宋"/>
                <w:color w:val="auto"/>
              </w:rPr>
            </w:pPr>
            <w:r>
              <w:rPr>
                <w:rFonts w:hint="eastAsia" w:ascii="仿宋" w:hAnsi="仿宋" w:eastAsia="仿宋" w:cs="仿宋"/>
                <w:color w:val="auto"/>
              </w:rPr>
              <w:t>7</w:t>
            </w:r>
          </w:p>
        </w:tc>
        <w:tc>
          <w:tcPr>
            <w:tcW w:w="6378" w:type="dxa"/>
            <w:tcBorders>
              <w:top w:val="single" w:color="auto" w:sz="4" w:space="0"/>
              <w:right w:val="single" w:color="auto" w:sz="4" w:space="0"/>
            </w:tcBorders>
            <w:vAlign w:val="center"/>
          </w:tcPr>
          <w:p w14:paraId="7A40F0F7">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完成期限满足磋商文件要求。</w:t>
            </w:r>
          </w:p>
        </w:tc>
        <w:tc>
          <w:tcPr>
            <w:tcW w:w="749" w:type="dxa"/>
            <w:tcBorders>
              <w:top w:val="single" w:color="auto" w:sz="4" w:space="0"/>
              <w:left w:val="single" w:color="auto" w:sz="4" w:space="0"/>
            </w:tcBorders>
          </w:tcPr>
          <w:p w14:paraId="34658209">
            <w:pPr>
              <w:rPr>
                <w:rFonts w:ascii="仿宋" w:hAnsi="仿宋" w:eastAsia="仿宋" w:cs="仿宋"/>
                <w:color w:val="auto"/>
                <w:szCs w:val="21"/>
                <w:lang w:eastAsia="zh-CN"/>
              </w:rPr>
            </w:pPr>
          </w:p>
        </w:tc>
        <w:tc>
          <w:tcPr>
            <w:tcW w:w="617" w:type="dxa"/>
            <w:tcBorders>
              <w:top w:val="single" w:color="auto" w:sz="4" w:space="0"/>
              <w:right w:val="single" w:color="auto" w:sz="4" w:space="0"/>
            </w:tcBorders>
          </w:tcPr>
          <w:p w14:paraId="4B1136D7">
            <w:pPr>
              <w:rPr>
                <w:rFonts w:ascii="仿宋" w:hAnsi="仿宋" w:eastAsia="仿宋" w:cs="仿宋"/>
                <w:color w:val="auto"/>
                <w:szCs w:val="21"/>
                <w:lang w:eastAsia="zh-CN"/>
              </w:rPr>
            </w:pPr>
          </w:p>
        </w:tc>
      </w:tr>
      <w:tr w14:paraId="13BAC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A39C317">
            <w:pPr>
              <w:rPr>
                <w:rFonts w:ascii="仿宋" w:hAnsi="仿宋" w:eastAsia="仿宋" w:cs="仿宋"/>
                <w:color w:val="auto"/>
                <w:lang w:eastAsia="zh-CN"/>
              </w:rPr>
            </w:pPr>
          </w:p>
        </w:tc>
        <w:tc>
          <w:tcPr>
            <w:tcW w:w="597" w:type="dxa"/>
            <w:tcBorders>
              <w:left w:val="single" w:color="auto" w:sz="4" w:space="0"/>
            </w:tcBorders>
            <w:vAlign w:val="center"/>
          </w:tcPr>
          <w:p w14:paraId="4515C258">
            <w:pPr>
              <w:jc w:val="center"/>
              <w:rPr>
                <w:rFonts w:ascii="仿宋" w:hAnsi="仿宋" w:eastAsia="仿宋" w:cs="仿宋"/>
                <w:color w:val="auto"/>
              </w:rPr>
            </w:pPr>
            <w:r>
              <w:rPr>
                <w:rFonts w:hint="eastAsia" w:ascii="仿宋" w:hAnsi="仿宋" w:eastAsia="仿宋" w:cs="仿宋"/>
                <w:color w:val="auto"/>
              </w:rPr>
              <w:t>8</w:t>
            </w:r>
          </w:p>
        </w:tc>
        <w:tc>
          <w:tcPr>
            <w:tcW w:w="6378" w:type="dxa"/>
            <w:tcBorders>
              <w:right w:val="single" w:color="auto" w:sz="4" w:space="0"/>
            </w:tcBorders>
            <w:vAlign w:val="center"/>
          </w:tcPr>
          <w:p w14:paraId="1EAF3CAD">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售后服务满足磋商文件要求。</w:t>
            </w:r>
          </w:p>
        </w:tc>
        <w:tc>
          <w:tcPr>
            <w:tcW w:w="749" w:type="dxa"/>
            <w:tcBorders>
              <w:left w:val="single" w:color="auto" w:sz="4" w:space="0"/>
            </w:tcBorders>
          </w:tcPr>
          <w:p w14:paraId="2253A38D">
            <w:pPr>
              <w:rPr>
                <w:rFonts w:ascii="仿宋" w:hAnsi="仿宋" w:eastAsia="仿宋" w:cs="仿宋"/>
                <w:color w:val="auto"/>
                <w:szCs w:val="21"/>
                <w:lang w:eastAsia="zh-CN"/>
              </w:rPr>
            </w:pPr>
          </w:p>
        </w:tc>
        <w:tc>
          <w:tcPr>
            <w:tcW w:w="617" w:type="dxa"/>
            <w:tcBorders>
              <w:right w:val="single" w:color="auto" w:sz="4" w:space="0"/>
            </w:tcBorders>
          </w:tcPr>
          <w:p w14:paraId="61B14FC8">
            <w:pPr>
              <w:rPr>
                <w:rFonts w:ascii="仿宋" w:hAnsi="仿宋" w:eastAsia="仿宋" w:cs="仿宋"/>
                <w:color w:val="auto"/>
                <w:szCs w:val="21"/>
                <w:lang w:eastAsia="zh-CN"/>
              </w:rPr>
            </w:pPr>
          </w:p>
        </w:tc>
      </w:tr>
      <w:tr w14:paraId="3D5AB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5C7F96EF">
            <w:pPr>
              <w:rPr>
                <w:rFonts w:ascii="仿宋" w:hAnsi="仿宋" w:eastAsia="仿宋" w:cs="仿宋"/>
                <w:color w:val="auto"/>
                <w:lang w:eastAsia="zh-CN"/>
              </w:rPr>
            </w:pPr>
          </w:p>
        </w:tc>
        <w:tc>
          <w:tcPr>
            <w:tcW w:w="597" w:type="dxa"/>
            <w:tcBorders>
              <w:left w:val="single" w:color="auto" w:sz="4" w:space="0"/>
            </w:tcBorders>
            <w:vAlign w:val="center"/>
          </w:tcPr>
          <w:p w14:paraId="6E57262A">
            <w:pPr>
              <w:jc w:val="center"/>
              <w:rPr>
                <w:rFonts w:ascii="仿宋" w:hAnsi="仿宋" w:eastAsia="仿宋" w:cs="仿宋"/>
                <w:color w:val="auto"/>
              </w:rPr>
            </w:pPr>
            <w:r>
              <w:rPr>
                <w:rFonts w:hint="eastAsia" w:ascii="仿宋" w:hAnsi="仿宋" w:eastAsia="仿宋" w:cs="仿宋"/>
                <w:color w:val="auto"/>
              </w:rPr>
              <w:t>9</w:t>
            </w:r>
          </w:p>
        </w:tc>
        <w:tc>
          <w:tcPr>
            <w:tcW w:w="6378" w:type="dxa"/>
            <w:tcBorders>
              <w:right w:val="single" w:color="auto" w:sz="4" w:space="0"/>
            </w:tcBorders>
            <w:vAlign w:val="center"/>
          </w:tcPr>
          <w:p w14:paraId="040F469C">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投标有效期满足磋商文件要求。</w:t>
            </w:r>
          </w:p>
        </w:tc>
        <w:tc>
          <w:tcPr>
            <w:tcW w:w="749" w:type="dxa"/>
            <w:tcBorders>
              <w:left w:val="single" w:color="auto" w:sz="4" w:space="0"/>
            </w:tcBorders>
          </w:tcPr>
          <w:p w14:paraId="2DFB7033">
            <w:pPr>
              <w:rPr>
                <w:rFonts w:ascii="仿宋" w:hAnsi="仿宋" w:eastAsia="仿宋" w:cs="仿宋"/>
                <w:color w:val="auto"/>
                <w:szCs w:val="21"/>
                <w:lang w:eastAsia="zh-CN"/>
              </w:rPr>
            </w:pPr>
          </w:p>
        </w:tc>
        <w:tc>
          <w:tcPr>
            <w:tcW w:w="617" w:type="dxa"/>
            <w:tcBorders>
              <w:right w:val="single" w:color="auto" w:sz="4" w:space="0"/>
            </w:tcBorders>
          </w:tcPr>
          <w:p w14:paraId="1B2F8C56">
            <w:pPr>
              <w:rPr>
                <w:rFonts w:ascii="仿宋" w:hAnsi="仿宋" w:eastAsia="仿宋" w:cs="仿宋"/>
                <w:color w:val="auto"/>
                <w:szCs w:val="21"/>
                <w:lang w:eastAsia="zh-CN"/>
              </w:rPr>
            </w:pPr>
          </w:p>
        </w:tc>
      </w:tr>
      <w:tr w14:paraId="6811E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3721559A">
            <w:pPr>
              <w:rPr>
                <w:rFonts w:ascii="仿宋" w:hAnsi="仿宋" w:eastAsia="仿宋" w:cs="仿宋"/>
                <w:color w:val="auto"/>
                <w:lang w:eastAsia="zh-CN"/>
              </w:rPr>
            </w:pPr>
          </w:p>
        </w:tc>
        <w:tc>
          <w:tcPr>
            <w:tcW w:w="597" w:type="dxa"/>
            <w:tcBorders>
              <w:left w:val="single" w:color="auto" w:sz="4" w:space="0"/>
            </w:tcBorders>
            <w:vAlign w:val="center"/>
          </w:tcPr>
          <w:p w14:paraId="6AC25C42">
            <w:pPr>
              <w:jc w:val="center"/>
              <w:rPr>
                <w:rFonts w:ascii="仿宋" w:hAnsi="仿宋" w:eastAsia="仿宋" w:cs="仿宋"/>
                <w:color w:val="auto"/>
              </w:rPr>
            </w:pPr>
            <w:r>
              <w:rPr>
                <w:rFonts w:hint="eastAsia" w:ascii="仿宋" w:hAnsi="仿宋" w:eastAsia="仿宋" w:cs="仿宋"/>
                <w:color w:val="auto"/>
              </w:rPr>
              <w:t>10</w:t>
            </w:r>
          </w:p>
        </w:tc>
        <w:tc>
          <w:tcPr>
            <w:tcW w:w="6378" w:type="dxa"/>
            <w:tcBorders>
              <w:right w:val="single" w:color="auto" w:sz="4" w:space="0"/>
            </w:tcBorders>
            <w:vAlign w:val="center"/>
          </w:tcPr>
          <w:p w14:paraId="55B1F3E0">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供应商详细地址、联系人、电话</w:t>
            </w:r>
          </w:p>
        </w:tc>
        <w:tc>
          <w:tcPr>
            <w:tcW w:w="749" w:type="dxa"/>
            <w:tcBorders>
              <w:left w:val="single" w:color="auto" w:sz="4" w:space="0"/>
            </w:tcBorders>
          </w:tcPr>
          <w:p w14:paraId="6D2790CA">
            <w:pPr>
              <w:rPr>
                <w:rFonts w:ascii="仿宋" w:hAnsi="仿宋" w:eastAsia="仿宋" w:cs="仿宋"/>
                <w:color w:val="auto"/>
                <w:szCs w:val="21"/>
                <w:lang w:eastAsia="zh-CN"/>
              </w:rPr>
            </w:pPr>
          </w:p>
        </w:tc>
        <w:tc>
          <w:tcPr>
            <w:tcW w:w="617" w:type="dxa"/>
            <w:tcBorders>
              <w:right w:val="single" w:color="auto" w:sz="4" w:space="0"/>
            </w:tcBorders>
          </w:tcPr>
          <w:p w14:paraId="00B1BF2E">
            <w:pPr>
              <w:rPr>
                <w:rFonts w:ascii="仿宋" w:hAnsi="仿宋" w:eastAsia="仿宋" w:cs="仿宋"/>
                <w:color w:val="auto"/>
                <w:szCs w:val="21"/>
                <w:lang w:eastAsia="zh-CN"/>
              </w:rPr>
            </w:pPr>
          </w:p>
        </w:tc>
      </w:tr>
      <w:tr w14:paraId="5CF1E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2C9ADA16">
            <w:pPr>
              <w:jc w:val="center"/>
              <w:rPr>
                <w:rFonts w:ascii="仿宋" w:hAnsi="仿宋" w:eastAsia="仿宋" w:cs="仿宋"/>
                <w:color w:val="auto"/>
                <w:szCs w:val="21"/>
                <w:lang w:eastAsia="zh-CN"/>
              </w:rPr>
            </w:pPr>
          </w:p>
        </w:tc>
        <w:tc>
          <w:tcPr>
            <w:tcW w:w="6975" w:type="dxa"/>
            <w:gridSpan w:val="2"/>
            <w:tcBorders>
              <w:left w:val="single" w:color="auto" w:sz="4" w:space="0"/>
              <w:bottom w:val="single" w:color="auto" w:sz="4" w:space="0"/>
              <w:right w:val="single" w:color="auto" w:sz="4" w:space="0"/>
            </w:tcBorders>
          </w:tcPr>
          <w:p w14:paraId="1B9624EB">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14:paraId="0E6C2157">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5B345923">
            <w:pPr>
              <w:rPr>
                <w:rFonts w:ascii="仿宋" w:hAnsi="仿宋" w:eastAsia="仿宋" w:cs="仿宋"/>
                <w:color w:val="auto"/>
                <w:szCs w:val="21"/>
                <w:lang w:eastAsia="zh-CN"/>
              </w:rPr>
            </w:pPr>
          </w:p>
        </w:tc>
      </w:tr>
    </w:tbl>
    <w:p w14:paraId="0E53A606">
      <w:pPr>
        <w:rPr>
          <w:rFonts w:ascii="仿宋" w:hAnsi="仿宋" w:eastAsia="仿宋" w:cs="仿宋"/>
          <w:color w:val="auto"/>
          <w:lang w:eastAsia="zh-CN"/>
        </w:rPr>
      </w:pPr>
    </w:p>
    <w:p w14:paraId="57AF6ECF">
      <w:pPr>
        <w:spacing w:line="400" w:lineRule="exact"/>
        <w:ind w:firstLine="585" w:firstLineChars="241"/>
        <w:rPr>
          <w:rFonts w:ascii="仿宋" w:hAnsi="仿宋" w:eastAsia="仿宋" w:cs="仿宋"/>
          <w:color w:val="auto"/>
          <w:szCs w:val="21"/>
          <w:lang w:eastAsia="zh-CN"/>
        </w:rPr>
      </w:pPr>
      <w:r>
        <w:rPr>
          <w:rFonts w:hint="eastAsia" w:ascii="仿宋" w:hAnsi="仿宋" w:eastAsia="仿宋" w:cs="仿宋"/>
          <w:color w:val="auto"/>
          <w:szCs w:val="21"/>
          <w:lang w:eastAsia="zh-CN"/>
        </w:rPr>
        <w:t>7.2评委会判定响应文件的响应性只根据响应文件本身的内容，而不寻求外部的证据，但投标有不真实不正确的内容时除外。</w:t>
      </w:r>
    </w:p>
    <w:p w14:paraId="0F259FFD">
      <w:pPr>
        <w:spacing w:line="400" w:lineRule="exact"/>
        <w:ind w:firstLine="585" w:firstLineChars="241"/>
        <w:rPr>
          <w:rFonts w:ascii="仿宋" w:hAnsi="仿宋" w:eastAsia="仿宋" w:cs="仿宋"/>
          <w:color w:val="auto"/>
          <w:szCs w:val="21"/>
          <w:lang w:eastAsia="zh-CN"/>
        </w:rPr>
      </w:pPr>
      <w:r>
        <w:rPr>
          <w:rFonts w:hint="eastAsia" w:ascii="仿宋" w:hAnsi="仿宋" w:eastAsia="仿宋" w:cs="仿宋"/>
          <w:color w:val="auto"/>
          <w:szCs w:val="21"/>
          <w:lang w:eastAsia="zh-CN"/>
        </w:rPr>
        <w:t>7.3如果响应文件实质上没有响应磋商文件的要求，评委会将予以拒绝，供应商不得通过修正或撤销不符合要求的偏离或保留，而使其投标成为实质上响应的投标。</w:t>
      </w:r>
    </w:p>
    <w:p w14:paraId="63345321">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7.4供应商可在现场20分钟内对评标委员会的评审结论提出异议，评标委员会根据磋商文件及有关规定对供应商的异议进行复议</w:t>
      </w:r>
    </w:p>
    <w:p w14:paraId="327CC916">
      <w:pPr>
        <w:spacing w:line="400" w:lineRule="exact"/>
        <w:ind w:firstLine="607" w:firstLineChars="250"/>
        <w:rPr>
          <w:rFonts w:ascii="仿宋" w:hAnsi="仿宋" w:eastAsia="仿宋" w:cs="仿宋"/>
          <w:color w:val="auto"/>
          <w:szCs w:val="21"/>
          <w:lang w:eastAsia="zh-CN"/>
        </w:rPr>
      </w:pPr>
      <w:r>
        <w:rPr>
          <w:rFonts w:hint="eastAsia" w:ascii="仿宋" w:hAnsi="仿宋" w:eastAsia="仿宋" w:cs="仿宋"/>
          <w:color w:val="auto"/>
          <w:szCs w:val="21"/>
          <w:lang w:eastAsia="zh-CN"/>
        </w:rPr>
        <w:t>7.5只有通过初审的供应商才能进入下一步评标程序。</w:t>
      </w:r>
    </w:p>
    <w:p w14:paraId="4ABE319D">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温馨提示：响应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77F3DDA4">
      <w:pPr>
        <w:spacing w:beforeLines="50" w:line="400" w:lineRule="exact"/>
        <w:jc w:val="center"/>
        <w:outlineLvl w:val="1"/>
        <w:rPr>
          <w:rFonts w:ascii="仿宋" w:hAnsi="仿宋" w:eastAsia="仿宋" w:cs="仿宋"/>
          <w:b/>
          <w:color w:val="auto"/>
          <w:lang w:eastAsia="zh-CN"/>
        </w:rPr>
      </w:pPr>
      <w:bookmarkStart w:id="66" w:name="_Toc469495734"/>
      <w:bookmarkStart w:id="67" w:name="_Toc362983803"/>
      <w:r>
        <w:rPr>
          <w:rFonts w:hint="eastAsia" w:ascii="仿宋" w:hAnsi="仿宋" w:eastAsia="仿宋" w:cs="仿宋"/>
          <w:b/>
          <w:color w:val="auto"/>
          <w:lang w:eastAsia="zh-CN"/>
        </w:rPr>
        <w:t xml:space="preserve">三 </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lang w:eastAsia="zh-CN"/>
        </w:rPr>
        <w:t>响应文件的澄清和补正</w:t>
      </w:r>
      <w:bookmarkEnd w:id="66"/>
      <w:bookmarkEnd w:id="67"/>
    </w:p>
    <w:p w14:paraId="6F25FFDD">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14:paraId="5B2C9B4E">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8.1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F59E7CC">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3B4483D8">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5A22F8D">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14:paraId="63BB7423">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39AB717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响应文件报价出现前后不一致的，除磋商文件另有规定外，按照下列规定修正：</w:t>
      </w:r>
    </w:p>
    <w:p w14:paraId="763DBFF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14:paraId="57613687">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9.2 响应文件中的大写金额和小写金额不一致的，以大写金额为准；</w:t>
      </w:r>
    </w:p>
    <w:p w14:paraId="004FAF2C">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14:paraId="46F2B3B0">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14:paraId="596E049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14:paraId="3CFD6222">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如有多报（指数量超出磋商文件需求）、重报（指同一货物重复报价），其投标总价在评标过程中不予调整，如其中标，其合同价按其投标单价予以调整；</w:t>
      </w:r>
    </w:p>
    <w:p w14:paraId="3B0D623E">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9.7 对不同文字文本响应文件的解释发生异议的，以中文文本为准；</w:t>
      </w:r>
    </w:p>
    <w:p w14:paraId="113ECED8">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4AE3FCAC">
      <w:pPr>
        <w:spacing w:line="400" w:lineRule="exact"/>
        <w:jc w:val="center"/>
        <w:outlineLvl w:val="1"/>
        <w:rPr>
          <w:rFonts w:ascii="仿宋" w:hAnsi="仿宋" w:eastAsia="仿宋" w:cs="仿宋"/>
          <w:b/>
          <w:color w:val="auto"/>
          <w:lang w:eastAsia="zh-CN"/>
        </w:rPr>
      </w:pPr>
      <w:bookmarkStart w:id="68" w:name="_Toc469495735"/>
      <w:r>
        <w:rPr>
          <w:rFonts w:hint="eastAsia" w:ascii="仿宋" w:hAnsi="仿宋" w:eastAsia="仿宋" w:cs="仿宋"/>
          <w:b/>
          <w:color w:val="auto"/>
          <w:lang w:eastAsia="zh-CN"/>
        </w:rPr>
        <w:t>四 比较与评价</w:t>
      </w:r>
      <w:bookmarkEnd w:id="68"/>
    </w:p>
    <w:p w14:paraId="3E8BA95F">
      <w:pPr>
        <w:tabs>
          <w:tab w:val="left" w:pos="720"/>
        </w:tabs>
        <w:spacing w:line="440" w:lineRule="exact"/>
        <w:ind w:firstLine="486" w:firstLineChars="200"/>
        <w:rPr>
          <w:rFonts w:ascii="仿宋" w:hAnsi="仿宋" w:eastAsia="仿宋" w:cs="仿宋"/>
          <w:color w:val="auto"/>
          <w:szCs w:val="21"/>
          <w:lang w:eastAsia="zh-CN" w:bidi="ar-SA"/>
        </w:rPr>
      </w:pPr>
      <w:bookmarkStart w:id="69" w:name="_Toc362983805"/>
      <w:bookmarkStart w:id="70" w:name="_Toc469495736"/>
      <w:r>
        <w:rPr>
          <w:rFonts w:hint="eastAsia" w:ascii="仿宋" w:hAnsi="仿宋" w:eastAsia="仿宋" w:cs="仿宋"/>
          <w:color w:val="auto"/>
          <w:szCs w:val="21"/>
          <w:lang w:eastAsia="zh-CN" w:bidi="ar-SA"/>
        </w:rPr>
        <w:t>10.1评标委员会按磋商文件中规定的评标方法和标准，对资格性检查和符合性检查合格的响应文件进行商务和技术评估、综合比较与评价。</w:t>
      </w:r>
    </w:p>
    <w:p w14:paraId="7DE03ACA">
      <w:pPr>
        <w:spacing w:line="400" w:lineRule="exact"/>
        <w:ind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10.2评标委员会根据商务和技术评估的结果，采用综合评分法，分别对响应文件的商务、技术、价格等内容进行打分。其中，商务评估、技术评估、价格评估的评分权值（详见评分标准）。</w:t>
      </w:r>
    </w:p>
    <w:p w14:paraId="252AB3C1">
      <w:pPr>
        <w:spacing w:line="400" w:lineRule="exact"/>
        <w:ind w:firstLine="486" w:firstLineChars="200"/>
        <w:rPr>
          <w:rFonts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14:paraId="33FD40AC">
      <w:pPr>
        <w:spacing w:line="400" w:lineRule="exact"/>
        <w:ind w:firstLine="486" w:firstLineChars="200"/>
        <w:rPr>
          <w:rFonts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14:paraId="0AAA636E">
      <w:pPr>
        <w:spacing w:line="400" w:lineRule="exact"/>
        <w:ind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（2）衡量、对比的依据，应以磋商文件、响应文件、提供的正式试验数据、质询澄清中的文字为准，口头回答和收集的资料只作为参考。</w:t>
      </w:r>
    </w:p>
    <w:p w14:paraId="3781B226">
      <w:pPr>
        <w:spacing w:line="400" w:lineRule="exact"/>
        <w:ind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（3）评分主要是为比较各供应商的价格、商务和技术综合排序。</w:t>
      </w:r>
    </w:p>
    <w:p w14:paraId="1AF82339">
      <w:pPr>
        <w:spacing w:line="400" w:lineRule="exact"/>
        <w:ind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14:paraId="25852FA0">
      <w:pPr>
        <w:spacing w:line="400" w:lineRule="exact"/>
        <w:ind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14:paraId="47A4C25C">
      <w:pPr>
        <w:spacing w:line="400" w:lineRule="exact"/>
        <w:ind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（6）对打分表中的每项条款，各评委应根据响应文件、澄清材料、磋商文件要求，按满足的程度给供应商打分。</w:t>
      </w:r>
    </w:p>
    <w:p w14:paraId="484DDDC3">
      <w:pPr>
        <w:spacing w:line="400" w:lineRule="exact"/>
        <w:ind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14:paraId="2D5CE36F">
      <w:pPr>
        <w:spacing w:line="400" w:lineRule="exact"/>
        <w:ind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1)就供应商的响应文件对照整理出商务、技术评标因素对比表、偏差表，并在经过校核的基础上逐项打分。</w:t>
      </w:r>
    </w:p>
    <w:p w14:paraId="1C83095E">
      <w:pPr>
        <w:spacing w:line="400" w:lineRule="exact"/>
        <w:ind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14:paraId="031E3828">
      <w:pPr>
        <w:spacing w:line="400" w:lineRule="exact"/>
        <w:ind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3)最终汇总表中各供应商得分应为评委打分的算术平均值。</w:t>
      </w:r>
    </w:p>
    <w:p w14:paraId="2D9D2AA3">
      <w:pPr>
        <w:pStyle w:val="5"/>
        <w:spacing w:line="400" w:lineRule="exact"/>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（8）评分标准和细则（综合评分法评分标准）</w:t>
      </w:r>
    </w:p>
    <w:p w14:paraId="3F373EE3">
      <w:pPr>
        <w:pStyle w:val="5"/>
        <w:jc w:val="center"/>
        <w:rPr>
          <w:rFonts w:hint="eastAsia" w:ascii="仿宋" w:hAnsi="仿宋" w:eastAsia="仿宋" w:cs="仿宋"/>
          <w:b/>
          <w:bCs/>
          <w:color w:val="auto"/>
          <w:sz w:val="28"/>
          <w:szCs w:val="21"/>
          <w:lang w:eastAsia="zh-CN"/>
        </w:rPr>
      </w:pPr>
    </w:p>
    <w:p w14:paraId="4FE987DB">
      <w:pPr>
        <w:pStyle w:val="5"/>
        <w:jc w:val="center"/>
        <w:rPr>
          <w:rFonts w:hint="eastAsia" w:ascii="仿宋" w:hAnsi="仿宋" w:eastAsia="仿宋" w:cs="仿宋"/>
          <w:b/>
          <w:bCs/>
          <w:color w:val="auto"/>
          <w:sz w:val="28"/>
          <w:szCs w:val="21"/>
          <w:lang w:eastAsia="zh-CN"/>
        </w:rPr>
      </w:pPr>
    </w:p>
    <w:p w14:paraId="690DD7C7">
      <w:pPr>
        <w:pStyle w:val="5"/>
        <w:jc w:val="center"/>
        <w:rPr>
          <w:rFonts w:hint="eastAsia" w:ascii="仿宋" w:hAnsi="仿宋" w:eastAsia="仿宋" w:cs="仿宋"/>
          <w:b/>
          <w:bCs/>
          <w:color w:val="auto"/>
          <w:sz w:val="28"/>
          <w:szCs w:val="21"/>
          <w:lang w:eastAsia="zh-CN"/>
        </w:rPr>
      </w:pPr>
    </w:p>
    <w:p w14:paraId="148C234A">
      <w:pPr>
        <w:pStyle w:val="5"/>
        <w:jc w:val="center"/>
        <w:rPr>
          <w:rFonts w:hint="eastAsia" w:ascii="仿宋" w:hAnsi="仿宋" w:eastAsia="仿宋" w:cs="仿宋"/>
          <w:b/>
          <w:bCs/>
          <w:color w:val="auto"/>
          <w:sz w:val="28"/>
          <w:szCs w:val="21"/>
          <w:lang w:eastAsia="zh-CN"/>
        </w:rPr>
      </w:pPr>
    </w:p>
    <w:p w14:paraId="6AD72013">
      <w:pPr>
        <w:pStyle w:val="5"/>
        <w:jc w:val="center"/>
        <w:rPr>
          <w:rFonts w:hint="eastAsia" w:ascii="仿宋" w:hAnsi="仿宋" w:eastAsia="仿宋" w:cs="仿宋"/>
          <w:b/>
          <w:bCs/>
          <w:color w:val="auto"/>
          <w:sz w:val="28"/>
          <w:szCs w:val="21"/>
          <w:lang w:eastAsia="zh-CN"/>
        </w:rPr>
      </w:pPr>
    </w:p>
    <w:p w14:paraId="770E4AE6">
      <w:pPr>
        <w:pStyle w:val="5"/>
        <w:jc w:val="center"/>
        <w:rPr>
          <w:rFonts w:hint="eastAsia" w:ascii="仿宋" w:hAnsi="仿宋" w:eastAsia="仿宋" w:cs="仿宋"/>
          <w:b/>
          <w:bCs/>
          <w:color w:val="auto"/>
          <w:sz w:val="28"/>
          <w:szCs w:val="21"/>
          <w:lang w:eastAsia="zh-CN"/>
        </w:rPr>
      </w:pPr>
    </w:p>
    <w:p w14:paraId="6DA72E7D">
      <w:pPr>
        <w:pStyle w:val="5"/>
        <w:jc w:val="center"/>
        <w:rPr>
          <w:rFonts w:hint="eastAsia" w:ascii="仿宋" w:hAnsi="仿宋" w:eastAsia="仿宋" w:cs="仿宋"/>
          <w:b/>
          <w:bCs/>
          <w:color w:val="auto"/>
          <w:sz w:val="28"/>
          <w:szCs w:val="21"/>
          <w:lang w:eastAsia="zh-CN"/>
        </w:rPr>
      </w:pPr>
    </w:p>
    <w:p w14:paraId="16885308">
      <w:pPr>
        <w:rPr>
          <w:rFonts w:hint="eastAsia" w:ascii="仿宋" w:hAnsi="仿宋" w:eastAsia="仿宋" w:cs="仿宋"/>
          <w:b/>
          <w:bCs/>
          <w:color w:val="auto"/>
          <w:sz w:val="28"/>
          <w:szCs w:val="21"/>
          <w:lang w:eastAsia="zh-CN"/>
        </w:rPr>
      </w:pPr>
    </w:p>
    <w:p w14:paraId="2660A1B7">
      <w:pPr>
        <w:pStyle w:val="5"/>
        <w:ind w:left="0" w:leftChars="0" w:firstLine="0" w:firstLineChars="0"/>
        <w:jc w:val="center"/>
        <w:rPr>
          <w:rFonts w:ascii="仿宋" w:hAnsi="仿宋" w:eastAsia="仿宋" w:cs="仿宋"/>
          <w:b/>
          <w:bCs/>
          <w:color w:val="auto"/>
          <w:sz w:val="28"/>
          <w:szCs w:val="21"/>
          <w:highlight w:val="none"/>
          <w:lang w:eastAsia="zh-CN"/>
        </w:rPr>
      </w:pPr>
      <w:r>
        <w:rPr>
          <w:rFonts w:hint="eastAsia" w:ascii="仿宋" w:hAnsi="仿宋" w:eastAsia="仿宋" w:cs="仿宋"/>
          <w:b/>
          <w:bCs/>
          <w:color w:val="auto"/>
          <w:sz w:val="28"/>
          <w:szCs w:val="21"/>
          <w:highlight w:val="none"/>
          <w:lang w:eastAsia="zh-CN"/>
        </w:rPr>
        <w:t>评分标准</w:t>
      </w:r>
    </w:p>
    <w:tbl>
      <w:tblPr>
        <w:tblStyle w:val="23"/>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035"/>
        <w:gridCol w:w="1035"/>
        <w:gridCol w:w="6716"/>
        <w:gridCol w:w="614"/>
      </w:tblGrid>
      <w:tr w14:paraId="2633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79202E74">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E28565D">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分值</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F4A063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评审项目</w:t>
            </w:r>
          </w:p>
        </w:tc>
        <w:tc>
          <w:tcPr>
            <w:tcW w:w="6716" w:type="dxa"/>
            <w:tcBorders>
              <w:top w:val="single" w:color="auto" w:sz="4" w:space="0"/>
              <w:left w:val="single" w:color="auto" w:sz="4" w:space="0"/>
              <w:bottom w:val="single" w:color="auto" w:sz="4" w:space="0"/>
              <w:right w:val="single" w:color="auto" w:sz="4" w:space="0"/>
            </w:tcBorders>
            <w:noWrap w:val="0"/>
            <w:vAlign w:val="center"/>
          </w:tcPr>
          <w:p w14:paraId="617A99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603676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237E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0815DE8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价格权重20%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E87C038">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zh-CN" w:eastAsia="zh-CN"/>
              </w:rPr>
              <w:t>价格部分</w:t>
            </w:r>
            <w:r>
              <w:rPr>
                <w:rFonts w:hint="eastAsia" w:ascii="仿宋" w:hAnsi="仿宋" w:eastAsia="仿宋" w:cs="仿宋"/>
                <w:b/>
                <w:bCs/>
                <w:color w:val="auto"/>
                <w:sz w:val="24"/>
                <w:szCs w:val="24"/>
                <w:highlight w:val="none"/>
                <w:lang w:val="en-US" w:eastAsia="zh-CN"/>
              </w:rPr>
              <w:t>20分</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48D4811">
            <w:pPr>
              <w:jc w:val="center"/>
              <w:rPr>
                <w:rFonts w:hint="eastAsia" w:ascii="仿宋" w:hAnsi="仿宋" w:eastAsia="仿宋" w:cs="仿宋"/>
                <w:b/>
                <w:bCs/>
                <w:color w:val="auto"/>
                <w:sz w:val="24"/>
                <w:szCs w:val="24"/>
                <w:highlight w:val="none"/>
              </w:rPr>
            </w:pPr>
            <w:r>
              <w:rPr>
                <w:rFonts w:hint="eastAsia" w:ascii="仿宋" w:hAnsi="仿宋" w:eastAsia="仿宋" w:cs="仿宋"/>
                <w:snapToGrid w:val="0"/>
                <w:color w:val="auto"/>
                <w:kern w:val="0"/>
                <w:sz w:val="24"/>
                <w:szCs w:val="24"/>
                <w:highlight w:val="none"/>
                <w:lang w:val="en-US" w:eastAsia="zh-CN" w:bidi="ar-SA"/>
              </w:rPr>
              <w:t>20分</w:t>
            </w:r>
          </w:p>
        </w:tc>
        <w:tc>
          <w:tcPr>
            <w:tcW w:w="6716" w:type="dxa"/>
            <w:tcBorders>
              <w:top w:val="single" w:color="auto" w:sz="4" w:space="0"/>
              <w:left w:val="single" w:color="auto" w:sz="4" w:space="0"/>
              <w:bottom w:val="single" w:color="auto" w:sz="4" w:space="0"/>
              <w:right w:val="single" w:color="auto" w:sz="4" w:space="0"/>
            </w:tcBorders>
            <w:noWrap w:val="0"/>
            <w:vAlign w:val="center"/>
          </w:tcPr>
          <w:p w14:paraId="1FC4AA43">
            <w:pPr>
              <w:rPr>
                <w:rFonts w:hint="eastAsia" w:ascii="仿宋" w:hAnsi="仿宋" w:eastAsia="仿宋" w:cs="仿宋"/>
                <w:color w:val="auto"/>
                <w:sz w:val="24"/>
                <w:szCs w:val="24"/>
              </w:rPr>
            </w:pPr>
            <w:r>
              <w:rPr>
                <w:rFonts w:hint="eastAsia" w:ascii="仿宋" w:hAnsi="仿宋" w:eastAsia="仿宋" w:cs="仿宋"/>
                <w:color w:val="auto"/>
                <w:sz w:val="24"/>
                <w:szCs w:val="24"/>
              </w:rPr>
              <w:t>评标基准价=有效投标报价的最低值，有效投标报价等于基准值的得满分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rPr>
              <w:t>分，投标报价得分=（评标基准价/投标报价）×价格权重×100；有效投标报价为通过资格性和符合性审查的供应商报价。</w:t>
            </w:r>
          </w:p>
          <w:p w14:paraId="22DB791B">
            <w:pPr>
              <w:rPr>
                <w:rFonts w:hint="eastAsia" w:ascii="仿宋" w:hAnsi="仿宋" w:eastAsia="仿宋" w:cs="仿宋"/>
                <w:color w:val="auto"/>
                <w:sz w:val="24"/>
                <w:szCs w:val="24"/>
              </w:rPr>
            </w:pPr>
            <w:r>
              <w:rPr>
                <w:rFonts w:hint="eastAsia" w:ascii="仿宋" w:hAnsi="仿宋" w:eastAsia="仿宋" w:cs="仿宋"/>
                <w:color w:val="auto"/>
                <w:sz w:val="24"/>
                <w:szCs w:val="24"/>
              </w:rPr>
              <w:t>(注：投标报价超过采购预算价的按废标处理)</w:t>
            </w:r>
          </w:p>
        </w:tc>
        <w:tc>
          <w:tcPr>
            <w:tcW w:w="614" w:type="dxa"/>
            <w:vMerge w:val="restart"/>
            <w:tcBorders>
              <w:top w:val="single" w:color="auto" w:sz="4" w:space="0"/>
              <w:left w:val="single" w:color="auto" w:sz="4" w:space="0"/>
              <w:right w:val="single" w:color="auto" w:sz="4" w:space="0"/>
            </w:tcBorders>
            <w:noWrap w:val="0"/>
            <w:vAlign w:val="center"/>
          </w:tcPr>
          <w:p w14:paraId="3621085F">
            <w:pPr>
              <w:jc w:val="center"/>
              <w:rPr>
                <w:rFonts w:hint="eastAsia" w:ascii="仿宋" w:hAnsi="仿宋" w:eastAsia="仿宋" w:cs="仿宋"/>
                <w:color w:val="auto"/>
                <w:sz w:val="24"/>
                <w:szCs w:val="24"/>
              </w:rPr>
            </w:pPr>
          </w:p>
        </w:tc>
      </w:tr>
      <w:tr w14:paraId="066B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035" w:type="dxa"/>
            <w:vMerge w:val="restart"/>
            <w:tcBorders>
              <w:top w:val="single" w:color="auto" w:sz="4" w:space="0"/>
              <w:left w:val="single" w:color="auto" w:sz="4" w:space="0"/>
              <w:right w:val="single" w:color="auto" w:sz="4" w:space="0"/>
            </w:tcBorders>
            <w:noWrap w:val="0"/>
            <w:vAlign w:val="center"/>
          </w:tcPr>
          <w:p w14:paraId="59CF043F">
            <w:pPr>
              <w:jc w:val="center"/>
              <w:rPr>
                <w:rFonts w:hint="eastAsia" w:ascii="仿宋" w:hAnsi="仿宋" w:eastAsia="仿宋" w:cs="仿宋"/>
                <w:color w:val="auto"/>
                <w:sz w:val="24"/>
                <w:szCs w:val="24"/>
              </w:rPr>
            </w:pPr>
            <w:r>
              <w:rPr>
                <w:rFonts w:hint="eastAsia" w:ascii="仿宋" w:hAnsi="仿宋" w:eastAsia="仿宋" w:cs="仿宋"/>
                <w:b/>
                <w:bCs/>
                <w:color w:val="auto"/>
                <w:spacing w:val="0"/>
                <w:w w:val="100"/>
                <w:position w:val="0"/>
                <w:sz w:val="24"/>
                <w:szCs w:val="24"/>
                <w:highlight w:val="none"/>
                <w:shd w:val="clear" w:color="auto" w:fill="auto"/>
                <w:lang w:val="en-US" w:eastAsia="zh-CN" w:bidi="en-US"/>
              </w:rPr>
              <w:t>商务与技术权重80%</w:t>
            </w:r>
          </w:p>
        </w:tc>
        <w:tc>
          <w:tcPr>
            <w:tcW w:w="1035" w:type="dxa"/>
            <w:vMerge w:val="restart"/>
            <w:tcBorders>
              <w:top w:val="single" w:color="auto" w:sz="4" w:space="0"/>
              <w:left w:val="single" w:color="auto" w:sz="4" w:space="0"/>
              <w:right w:val="single" w:color="auto" w:sz="4" w:space="0"/>
            </w:tcBorders>
            <w:noWrap w:val="0"/>
            <w:vAlign w:val="center"/>
          </w:tcPr>
          <w:p w14:paraId="3F8BD7CB">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w:t>
            </w:r>
          </w:p>
          <w:p w14:paraId="2AC5596A">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务</w:t>
            </w:r>
          </w:p>
          <w:p w14:paraId="1D55D28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w:t>
            </w:r>
          </w:p>
          <w:p w14:paraId="44E8284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w:t>
            </w:r>
          </w:p>
          <w:p w14:paraId="72EFA17C">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审</w:t>
            </w:r>
          </w:p>
          <w:p w14:paraId="30C0B05D">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25分</w:t>
            </w:r>
            <w:r>
              <w:rPr>
                <w:rFonts w:hint="eastAsia" w:ascii="仿宋" w:hAnsi="仿宋" w:eastAsia="仿宋" w:cs="仿宋"/>
                <w:b/>
                <w:bCs/>
                <w:color w:val="auto"/>
                <w:sz w:val="24"/>
                <w:szCs w:val="24"/>
                <w:highlight w:val="none"/>
                <w:lang w:eastAsia="zh-CN"/>
              </w:rPr>
              <w:t>）</w:t>
            </w:r>
          </w:p>
        </w:tc>
        <w:tc>
          <w:tcPr>
            <w:tcW w:w="1035" w:type="dxa"/>
            <w:tcBorders>
              <w:top w:val="single" w:color="auto" w:sz="4" w:space="0"/>
              <w:left w:val="single" w:color="auto" w:sz="4" w:space="0"/>
              <w:right w:val="single" w:color="auto" w:sz="4" w:space="0"/>
            </w:tcBorders>
            <w:noWrap w:val="0"/>
            <w:vAlign w:val="center"/>
          </w:tcPr>
          <w:p w14:paraId="0210EE17">
            <w:pPr>
              <w:pStyle w:val="6"/>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实力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w:t>
            </w:r>
          </w:p>
        </w:tc>
        <w:tc>
          <w:tcPr>
            <w:tcW w:w="6716" w:type="dxa"/>
            <w:tcBorders>
              <w:top w:val="single" w:color="auto" w:sz="4" w:space="0"/>
              <w:left w:val="single" w:color="auto" w:sz="4" w:space="0"/>
              <w:bottom w:val="single" w:color="auto" w:sz="4" w:space="0"/>
              <w:right w:val="single" w:color="auto" w:sz="4" w:space="0"/>
            </w:tcBorders>
            <w:noWrap w:val="0"/>
            <w:vAlign w:val="center"/>
          </w:tcPr>
          <w:p w14:paraId="7C95394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投标供应商提供20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年1月1日至今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履约服务评价优的，每提供1个的得2分，最多得10分。（提供业主评价函，不提供不得分）</w:t>
            </w:r>
          </w:p>
        </w:tc>
        <w:tc>
          <w:tcPr>
            <w:tcW w:w="614" w:type="dxa"/>
            <w:vMerge w:val="continue"/>
            <w:tcBorders>
              <w:left w:val="single" w:color="auto" w:sz="4" w:space="0"/>
              <w:right w:val="single" w:color="auto" w:sz="4" w:space="0"/>
            </w:tcBorders>
            <w:noWrap w:val="0"/>
            <w:vAlign w:val="center"/>
          </w:tcPr>
          <w:p w14:paraId="3FE3512E">
            <w:pPr>
              <w:rPr>
                <w:rFonts w:hint="eastAsia" w:ascii="仿宋" w:hAnsi="仿宋" w:eastAsia="仿宋" w:cs="仿宋"/>
                <w:color w:val="auto"/>
                <w:sz w:val="24"/>
                <w:szCs w:val="24"/>
              </w:rPr>
            </w:pPr>
          </w:p>
        </w:tc>
      </w:tr>
      <w:tr w14:paraId="3AD1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1035" w:type="dxa"/>
            <w:vMerge w:val="continue"/>
            <w:tcBorders>
              <w:left w:val="single" w:color="auto" w:sz="4" w:space="0"/>
              <w:right w:val="single" w:color="auto" w:sz="4" w:space="0"/>
            </w:tcBorders>
            <w:noWrap w:val="0"/>
            <w:vAlign w:val="center"/>
          </w:tcPr>
          <w:p w14:paraId="70558B5C">
            <w:pPr>
              <w:jc w:val="center"/>
              <w:rPr>
                <w:rFonts w:hint="eastAsia" w:ascii="仿宋" w:hAnsi="仿宋" w:eastAsia="仿宋" w:cs="仿宋"/>
                <w:color w:val="auto"/>
                <w:sz w:val="24"/>
                <w:szCs w:val="24"/>
              </w:rPr>
            </w:pPr>
          </w:p>
        </w:tc>
        <w:tc>
          <w:tcPr>
            <w:tcW w:w="1035" w:type="dxa"/>
            <w:vMerge w:val="continue"/>
            <w:tcBorders>
              <w:left w:val="single" w:color="auto" w:sz="4" w:space="0"/>
              <w:right w:val="single" w:color="auto" w:sz="4" w:space="0"/>
            </w:tcBorders>
            <w:noWrap w:val="0"/>
            <w:vAlign w:val="center"/>
          </w:tcPr>
          <w:p w14:paraId="375CB286">
            <w:pPr>
              <w:jc w:val="center"/>
              <w:rPr>
                <w:rFonts w:hint="eastAsia" w:ascii="仿宋" w:hAnsi="仿宋" w:eastAsia="仿宋" w:cs="仿宋"/>
                <w:color w:val="auto"/>
                <w:sz w:val="24"/>
                <w:szCs w:val="24"/>
              </w:rPr>
            </w:pPr>
          </w:p>
        </w:tc>
        <w:tc>
          <w:tcPr>
            <w:tcW w:w="1035" w:type="dxa"/>
            <w:tcBorders>
              <w:left w:val="single" w:color="auto" w:sz="4" w:space="0"/>
              <w:right w:val="single" w:color="auto" w:sz="4" w:space="0"/>
            </w:tcBorders>
            <w:noWrap w:val="0"/>
            <w:vAlign w:val="center"/>
          </w:tcPr>
          <w:p w14:paraId="51EDD8BF">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拟投入本项目的项目组成员及配备情况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12分</w:t>
            </w:r>
            <w:r>
              <w:rPr>
                <w:rFonts w:hint="eastAsia" w:ascii="仿宋" w:hAnsi="仿宋" w:eastAsia="仿宋" w:cs="仿宋"/>
                <w:color w:val="auto"/>
                <w:sz w:val="24"/>
                <w:szCs w:val="24"/>
                <w:lang w:eastAsia="zh-CN"/>
              </w:rPr>
              <w:t>）</w:t>
            </w:r>
          </w:p>
        </w:tc>
        <w:tc>
          <w:tcPr>
            <w:tcW w:w="6716" w:type="dxa"/>
            <w:tcBorders>
              <w:top w:val="single" w:color="auto" w:sz="4" w:space="0"/>
              <w:left w:val="single" w:color="auto" w:sz="4" w:space="0"/>
              <w:bottom w:val="single" w:color="auto" w:sz="4" w:space="0"/>
              <w:right w:val="single" w:color="auto" w:sz="4" w:space="0"/>
            </w:tcBorders>
            <w:noWrap w:val="0"/>
            <w:vAlign w:val="center"/>
          </w:tcPr>
          <w:p w14:paraId="228E036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拟派驻团队：</w:t>
            </w:r>
          </w:p>
          <w:p w14:paraId="3C5E7A67">
            <w:pP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为保障本项目服务质量，合理规划设置各岗位及项目团队人员，需提供投入人员相关资格证书、身份证正反面及聘用合同。其中：提供取得社会工作职业资格证书中级及以上1名（得2分），提供社会工作职业资格证书初级及以上2名（每提供一名得1分，共计2分），提供人力资源管理师1名（得2分），提供会计专业1名（得2分），提供具备国家通用语言表达能力和计算机操作能力4名（每提供一名得1分，共计4分），所有人员不得重复，否则不得分，注：提供资料不全不得分。</w:t>
            </w:r>
          </w:p>
        </w:tc>
        <w:tc>
          <w:tcPr>
            <w:tcW w:w="614" w:type="dxa"/>
            <w:vMerge w:val="continue"/>
            <w:tcBorders>
              <w:left w:val="single" w:color="auto" w:sz="4" w:space="0"/>
              <w:right w:val="single" w:color="auto" w:sz="4" w:space="0"/>
            </w:tcBorders>
            <w:noWrap w:val="0"/>
            <w:vAlign w:val="center"/>
          </w:tcPr>
          <w:p w14:paraId="65258506">
            <w:pPr>
              <w:jc w:val="center"/>
              <w:rPr>
                <w:rFonts w:hint="eastAsia" w:ascii="仿宋" w:hAnsi="仿宋" w:eastAsia="仿宋" w:cs="仿宋"/>
                <w:color w:val="auto"/>
                <w:sz w:val="24"/>
                <w:szCs w:val="24"/>
              </w:rPr>
            </w:pPr>
          </w:p>
        </w:tc>
      </w:tr>
      <w:tr w14:paraId="4CCA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035" w:type="dxa"/>
            <w:vMerge w:val="continue"/>
            <w:tcBorders>
              <w:left w:val="single" w:color="auto" w:sz="4" w:space="0"/>
              <w:right w:val="single" w:color="auto" w:sz="4" w:space="0"/>
            </w:tcBorders>
            <w:noWrap w:val="0"/>
            <w:vAlign w:val="center"/>
          </w:tcPr>
          <w:p w14:paraId="1ACB67A4">
            <w:pPr>
              <w:jc w:val="center"/>
              <w:rPr>
                <w:rFonts w:hint="eastAsia" w:ascii="仿宋" w:hAnsi="仿宋" w:eastAsia="仿宋" w:cs="仿宋"/>
                <w:color w:val="auto"/>
                <w:sz w:val="24"/>
                <w:szCs w:val="24"/>
              </w:rPr>
            </w:pPr>
          </w:p>
        </w:tc>
        <w:tc>
          <w:tcPr>
            <w:tcW w:w="1035" w:type="dxa"/>
            <w:vMerge w:val="continue"/>
            <w:tcBorders>
              <w:left w:val="single" w:color="auto" w:sz="4" w:space="0"/>
              <w:right w:val="single" w:color="auto" w:sz="4" w:space="0"/>
            </w:tcBorders>
            <w:noWrap w:val="0"/>
            <w:vAlign w:val="center"/>
          </w:tcPr>
          <w:p w14:paraId="0E3B36F9">
            <w:pPr>
              <w:jc w:val="center"/>
              <w:rPr>
                <w:rFonts w:hint="eastAsia" w:ascii="仿宋" w:hAnsi="仿宋" w:eastAsia="仿宋" w:cs="仿宋"/>
                <w:color w:val="auto"/>
                <w:sz w:val="24"/>
                <w:szCs w:val="24"/>
              </w:rPr>
            </w:pPr>
          </w:p>
        </w:tc>
        <w:tc>
          <w:tcPr>
            <w:tcW w:w="1035" w:type="dxa"/>
            <w:tcBorders>
              <w:left w:val="single" w:color="auto" w:sz="4" w:space="0"/>
              <w:right w:val="single" w:color="auto" w:sz="4" w:space="0"/>
            </w:tcBorders>
            <w:noWrap w:val="0"/>
            <w:vAlign w:val="center"/>
          </w:tcPr>
          <w:p w14:paraId="324CCEBD">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人力资源保障措施（3分）</w:t>
            </w:r>
          </w:p>
        </w:tc>
        <w:tc>
          <w:tcPr>
            <w:tcW w:w="6716" w:type="dxa"/>
            <w:tcBorders>
              <w:top w:val="single" w:color="auto" w:sz="4" w:space="0"/>
              <w:left w:val="single" w:color="auto" w:sz="4" w:space="0"/>
              <w:bottom w:val="single" w:color="auto" w:sz="4" w:space="0"/>
              <w:right w:val="single" w:color="auto" w:sz="4" w:space="0"/>
            </w:tcBorders>
            <w:noWrap w:val="0"/>
            <w:vAlign w:val="center"/>
          </w:tcPr>
          <w:p w14:paraId="3570ECE2">
            <w:pPr>
              <w:jc w:val="left"/>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kern w:val="2"/>
                <w:sz w:val="24"/>
                <w:szCs w:val="24"/>
                <w:highlight w:val="none"/>
                <w:lang w:val="en-US" w:eastAsia="zh-CN" w:bidi="ar-SA"/>
              </w:rPr>
              <w:t>1、供应商针对该项目提供的人力资源保障措施，人员流失补充措施，人员招聘、管理、培训制度完整合理，可行性强，针对性强得3分；</w:t>
            </w:r>
          </w:p>
          <w:p w14:paraId="70A57591">
            <w:p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2、项目整体人力资源保障措施包含内容较为全面，有一定针对性、可行性，能满足部分需求，基本合理得1分；</w:t>
            </w:r>
          </w:p>
          <w:p w14:paraId="185C9C5B">
            <w:p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3、项目整体人力资源保障措施内容简略，不清晰，可行性差，针对性差内容不完善得0分；未提供 0 分。</w:t>
            </w:r>
          </w:p>
        </w:tc>
        <w:tc>
          <w:tcPr>
            <w:tcW w:w="614" w:type="dxa"/>
            <w:vMerge w:val="continue"/>
            <w:tcBorders>
              <w:left w:val="single" w:color="auto" w:sz="4" w:space="0"/>
              <w:right w:val="single" w:color="auto" w:sz="4" w:space="0"/>
            </w:tcBorders>
            <w:noWrap w:val="0"/>
            <w:vAlign w:val="center"/>
          </w:tcPr>
          <w:p w14:paraId="1932F47A">
            <w:pPr>
              <w:jc w:val="center"/>
              <w:rPr>
                <w:rFonts w:hint="eastAsia" w:ascii="仿宋" w:hAnsi="仿宋" w:eastAsia="仿宋" w:cs="仿宋"/>
                <w:color w:val="auto"/>
                <w:sz w:val="24"/>
                <w:szCs w:val="24"/>
              </w:rPr>
            </w:pPr>
          </w:p>
        </w:tc>
      </w:tr>
      <w:tr w14:paraId="11D3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35" w:type="dxa"/>
            <w:vMerge w:val="continue"/>
            <w:tcBorders>
              <w:left w:val="single" w:color="auto" w:sz="4" w:space="0"/>
              <w:right w:val="single" w:color="auto" w:sz="4" w:space="0"/>
            </w:tcBorders>
            <w:noWrap w:val="0"/>
            <w:vAlign w:val="center"/>
          </w:tcPr>
          <w:p w14:paraId="08FF6BC0">
            <w:pPr>
              <w:jc w:val="center"/>
              <w:rPr>
                <w:rFonts w:hint="eastAsia" w:ascii="仿宋" w:hAnsi="仿宋" w:eastAsia="仿宋" w:cs="仿宋"/>
                <w:color w:val="auto"/>
                <w:sz w:val="24"/>
                <w:szCs w:val="24"/>
              </w:rPr>
            </w:pPr>
          </w:p>
        </w:tc>
        <w:tc>
          <w:tcPr>
            <w:tcW w:w="1035" w:type="dxa"/>
            <w:vMerge w:val="restart"/>
            <w:tcBorders>
              <w:left w:val="single" w:color="auto" w:sz="4" w:space="0"/>
              <w:right w:val="single" w:color="auto" w:sz="4" w:space="0"/>
            </w:tcBorders>
            <w:noWrap w:val="0"/>
            <w:vAlign w:val="center"/>
          </w:tcPr>
          <w:p w14:paraId="544C0BC2">
            <w:pPr>
              <w:jc w:val="center"/>
              <w:rPr>
                <w:rFonts w:hint="eastAsia" w:ascii="仿宋" w:hAnsi="仿宋" w:eastAsia="仿宋" w:cs="仿宋"/>
                <w:b/>
                <w:bCs/>
                <w:color w:val="auto"/>
                <w:sz w:val="24"/>
                <w:szCs w:val="24"/>
                <w:highlight w:val="none"/>
                <w:lang w:eastAsia="zh-CN"/>
              </w:rPr>
            </w:pPr>
          </w:p>
          <w:p w14:paraId="19449383">
            <w:pPr>
              <w:jc w:val="center"/>
              <w:rPr>
                <w:rFonts w:hint="eastAsia" w:ascii="仿宋" w:hAnsi="仿宋" w:eastAsia="仿宋" w:cs="仿宋"/>
                <w:b/>
                <w:bCs/>
                <w:color w:val="auto"/>
                <w:sz w:val="24"/>
                <w:szCs w:val="24"/>
                <w:highlight w:val="none"/>
                <w:lang w:eastAsia="zh-CN"/>
              </w:rPr>
            </w:pPr>
          </w:p>
          <w:p w14:paraId="7663D108">
            <w:pPr>
              <w:jc w:val="center"/>
              <w:rPr>
                <w:rFonts w:hint="eastAsia" w:ascii="仿宋" w:hAnsi="仿宋" w:eastAsia="仿宋" w:cs="仿宋"/>
                <w:b/>
                <w:bCs/>
                <w:color w:val="auto"/>
                <w:sz w:val="24"/>
                <w:szCs w:val="24"/>
                <w:highlight w:val="none"/>
                <w:lang w:eastAsia="zh-CN"/>
              </w:rPr>
            </w:pPr>
          </w:p>
          <w:p w14:paraId="0CDA8AE6">
            <w:pPr>
              <w:jc w:val="center"/>
              <w:rPr>
                <w:rFonts w:hint="eastAsia" w:ascii="仿宋" w:hAnsi="仿宋" w:eastAsia="仿宋" w:cs="仿宋"/>
                <w:b/>
                <w:bCs/>
                <w:color w:val="auto"/>
                <w:sz w:val="24"/>
                <w:szCs w:val="24"/>
                <w:highlight w:val="none"/>
                <w:lang w:eastAsia="zh-CN"/>
              </w:rPr>
            </w:pPr>
          </w:p>
          <w:p w14:paraId="6294B30A">
            <w:pPr>
              <w:jc w:val="center"/>
              <w:rPr>
                <w:rFonts w:hint="eastAsia" w:ascii="仿宋" w:hAnsi="仿宋" w:eastAsia="仿宋" w:cs="仿宋"/>
                <w:b/>
                <w:bCs/>
                <w:color w:val="auto"/>
                <w:sz w:val="24"/>
                <w:szCs w:val="24"/>
                <w:highlight w:val="none"/>
                <w:lang w:eastAsia="zh-CN"/>
              </w:rPr>
            </w:pPr>
          </w:p>
          <w:p w14:paraId="05AA9C5B">
            <w:pPr>
              <w:jc w:val="center"/>
              <w:rPr>
                <w:rFonts w:hint="eastAsia" w:ascii="仿宋" w:hAnsi="仿宋" w:eastAsia="仿宋" w:cs="仿宋"/>
                <w:b/>
                <w:bCs/>
                <w:color w:val="auto"/>
                <w:sz w:val="24"/>
                <w:szCs w:val="24"/>
                <w:highlight w:val="none"/>
                <w:lang w:eastAsia="zh-CN"/>
              </w:rPr>
            </w:pPr>
          </w:p>
          <w:p w14:paraId="00E0CB38">
            <w:pPr>
              <w:jc w:val="center"/>
              <w:rPr>
                <w:rFonts w:hint="eastAsia" w:ascii="仿宋" w:hAnsi="仿宋" w:eastAsia="仿宋" w:cs="仿宋"/>
                <w:b/>
                <w:bCs/>
                <w:color w:val="auto"/>
                <w:sz w:val="24"/>
                <w:szCs w:val="24"/>
                <w:highlight w:val="none"/>
                <w:lang w:eastAsia="zh-CN"/>
              </w:rPr>
            </w:pPr>
          </w:p>
          <w:p w14:paraId="0B96A01B">
            <w:pPr>
              <w:jc w:val="center"/>
              <w:rPr>
                <w:rFonts w:hint="eastAsia" w:ascii="仿宋" w:hAnsi="仿宋" w:eastAsia="仿宋" w:cs="仿宋"/>
                <w:b/>
                <w:bCs/>
                <w:color w:val="auto"/>
                <w:sz w:val="24"/>
                <w:szCs w:val="24"/>
                <w:highlight w:val="none"/>
                <w:lang w:eastAsia="zh-CN"/>
              </w:rPr>
            </w:pPr>
          </w:p>
          <w:p w14:paraId="15FBFBBF">
            <w:pPr>
              <w:jc w:val="center"/>
              <w:rPr>
                <w:rFonts w:hint="eastAsia" w:ascii="仿宋" w:hAnsi="仿宋" w:eastAsia="仿宋" w:cs="仿宋"/>
                <w:b/>
                <w:bCs/>
                <w:color w:val="auto"/>
                <w:sz w:val="24"/>
                <w:szCs w:val="24"/>
                <w:highlight w:val="none"/>
                <w:lang w:eastAsia="zh-CN"/>
              </w:rPr>
            </w:pPr>
          </w:p>
          <w:p w14:paraId="708BB3EE">
            <w:pPr>
              <w:jc w:val="center"/>
              <w:rPr>
                <w:rFonts w:hint="eastAsia" w:ascii="仿宋" w:hAnsi="仿宋" w:eastAsia="仿宋" w:cs="仿宋"/>
                <w:b/>
                <w:bCs/>
                <w:color w:val="auto"/>
                <w:sz w:val="24"/>
                <w:szCs w:val="24"/>
                <w:highlight w:val="none"/>
                <w:lang w:eastAsia="zh-CN"/>
              </w:rPr>
            </w:pPr>
          </w:p>
          <w:p w14:paraId="35F77005">
            <w:pPr>
              <w:jc w:val="center"/>
              <w:rPr>
                <w:rFonts w:hint="eastAsia" w:ascii="仿宋" w:hAnsi="仿宋" w:eastAsia="仿宋" w:cs="仿宋"/>
                <w:b/>
                <w:bCs/>
                <w:color w:val="auto"/>
                <w:sz w:val="24"/>
                <w:szCs w:val="24"/>
                <w:highlight w:val="none"/>
                <w:lang w:eastAsia="zh-CN"/>
              </w:rPr>
            </w:pPr>
          </w:p>
          <w:p w14:paraId="2EEE2D25">
            <w:pPr>
              <w:jc w:val="center"/>
              <w:rPr>
                <w:rFonts w:hint="eastAsia" w:ascii="仿宋" w:hAnsi="仿宋" w:eastAsia="仿宋" w:cs="仿宋"/>
                <w:b/>
                <w:bCs/>
                <w:color w:val="auto"/>
                <w:sz w:val="24"/>
                <w:szCs w:val="24"/>
                <w:highlight w:val="none"/>
                <w:lang w:eastAsia="zh-CN"/>
              </w:rPr>
            </w:pPr>
          </w:p>
          <w:p w14:paraId="0F0CB9B3">
            <w:pPr>
              <w:jc w:val="center"/>
              <w:rPr>
                <w:rFonts w:hint="eastAsia" w:ascii="仿宋" w:hAnsi="仿宋" w:eastAsia="仿宋" w:cs="仿宋"/>
                <w:b/>
                <w:bCs/>
                <w:color w:val="auto"/>
                <w:sz w:val="24"/>
                <w:szCs w:val="24"/>
                <w:highlight w:val="none"/>
                <w:lang w:eastAsia="zh-CN"/>
              </w:rPr>
            </w:pPr>
          </w:p>
          <w:p w14:paraId="464A5FED">
            <w:pPr>
              <w:jc w:val="center"/>
              <w:rPr>
                <w:rFonts w:hint="eastAsia" w:ascii="仿宋" w:hAnsi="仿宋" w:eastAsia="仿宋" w:cs="仿宋"/>
                <w:b/>
                <w:bCs/>
                <w:color w:val="auto"/>
                <w:sz w:val="24"/>
                <w:szCs w:val="24"/>
                <w:highlight w:val="none"/>
                <w:lang w:eastAsia="zh-CN"/>
              </w:rPr>
            </w:pPr>
          </w:p>
          <w:p w14:paraId="75C65644">
            <w:pPr>
              <w:jc w:val="center"/>
              <w:rPr>
                <w:rFonts w:hint="eastAsia" w:ascii="仿宋" w:hAnsi="仿宋" w:eastAsia="仿宋" w:cs="仿宋"/>
                <w:b/>
                <w:bCs/>
                <w:color w:val="auto"/>
                <w:sz w:val="24"/>
                <w:szCs w:val="24"/>
                <w:highlight w:val="none"/>
                <w:lang w:eastAsia="zh-CN"/>
              </w:rPr>
            </w:pPr>
          </w:p>
          <w:p w14:paraId="1FEEA37D">
            <w:pPr>
              <w:jc w:val="center"/>
              <w:rPr>
                <w:rFonts w:hint="eastAsia" w:ascii="仿宋" w:hAnsi="仿宋" w:eastAsia="仿宋" w:cs="仿宋"/>
                <w:b/>
                <w:bCs/>
                <w:color w:val="auto"/>
                <w:sz w:val="24"/>
                <w:szCs w:val="24"/>
                <w:highlight w:val="none"/>
                <w:lang w:eastAsia="zh-CN"/>
              </w:rPr>
            </w:pPr>
          </w:p>
          <w:p w14:paraId="7AFE4A50">
            <w:pPr>
              <w:jc w:val="center"/>
              <w:rPr>
                <w:rFonts w:hint="eastAsia" w:ascii="仿宋" w:hAnsi="仿宋" w:eastAsia="仿宋" w:cs="仿宋"/>
                <w:b/>
                <w:bCs/>
                <w:color w:val="auto"/>
                <w:sz w:val="24"/>
                <w:szCs w:val="24"/>
                <w:highlight w:val="none"/>
                <w:lang w:eastAsia="zh-CN"/>
              </w:rPr>
            </w:pPr>
          </w:p>
          <w:p w14:paraId="440BCE66">
            <w:pPr>
              <w:jc w:val="center"/>
              <w:rPr>
                <w:rFonts w:hint="eastAsia" w:ascii="仿宋" w:hAnsi="仿宋" w:eastAsia="仿宋" w:cs="仿宋"/>
                <w:b/>
                <w:bCs/>
                <w:color w:val="auto"/>
                <w:sz w:val="24"/>
                <w:szCs w:val="24"/>
                <w:highlight w:val="none"/>
                <w:lang w:eastAsia="zh-CN"/>
              </w:rPr>
            </w:pPr>
          </w:p>
          <w:p w14:paraId="1D1034CE">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技</w:t>
            </w:r>
          </w:p>
          <w:p w14:paraId="266AFC65">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术</w:t>
            </w:r>
          </w:p>
          <w:p w14:paraId="4C2FD748">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w:t>
            </w:r>
          </w:p>
          <w:p w14:paraId="5AD7C30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w:t>
            </w:r>
          </w:p>
          <w:p w14:paraId="2CAE8F4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审</w:t>
            </w:r>
          </w:p>
          <w:p w14:paraId="21FEB5C7">
            <w:pPr>
              <w:jc w:val="center"/>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55分</w:t>
            </w:r>
            <w:r>
              <w:rPr>
                <w:rFonts w:hint="eastAsia" w:ascii="仿宋" w:hAnsi="仿宋" w:eastAsia="仿宋" w:cs="仿宋"/>
                <w:b/>
                <w:bCs/>
                <w:color w:val="auto"/>
                <w:sz w:val="24"/>
                <w:szCs w:val="24"/>
                <w:highlight w:val="none"/>
                <w:lang w:eastAsia="zh-CN"/>
              </w:rPr>
              <w:t>）</w:t>
            </w:r>
          </w:p>
        </w:tc>
        <w:tc>
          <w:tcPr>
            <w:tcW w:w="1035" w:type="dxa"/>
            <w:tcBorders>
              <w:left w:val="single" w:color="auto" w:sz="4" w:space="0"/>
              <w:right w:val="single" w:color="auto" w:sz="4" w:space="0"/>
            </w:tcBorders>
            <w:noWrap w:val="0"/>
            <w:vAlign w:val="center"/>
          </w:tcPr>
          <w:p w14:paraId="2D39F0BB">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整体项目实施方案和</w:t>
            </w:r>
            <w:r>
              <w:rPr>
                <w:rFonts w:hint="eastAsia" w:ascii="仿宋" w:hAnsi="仿宋" w:eastAsia="仿宋" w:cs="仿宋"/>
                <w:color w:val="auto"/>
                <w:sz w:val="24"/>
                <w:szCs w:val="24"/>
                <w:lang w:val="en-US" w:eastAsia="zh-CN"/>
              </w:rPr>
              <w:t>工作方法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25分</w:t>
            </w:r>
            <w:r>
              <w:rPr>
                <w:rFonts w:hint="eastAsia" w:ascii="仿宋" w:hAnsi="仿宋" w:eastAsia="仿宋" w:cs="仿宋"/>
                <w:color w:val="auto"/>
                <w:sz w:val="24"/>
                <w:szCs w:val="24"/>
                <w:lang w:eastAsia="zh-CN"/>
              </w:rPr>
              <w:t>）</w:t>
            </w:r>
          </w:p>
        </w:tc>
        <w:tc>
          <w:tcPr>
            <w:tcW w:w="6716" w:type="dxa"/>
            <w:tcBorders>
              <w:top w:val="single" w:color="auto" w:sz="4" w:space="0"/>
              <w:left w:val="single" w:color="auto" w:sz="4" w:space="0"/>
              <w:bottom w:val="single" w:color="auto" w:sz="4" w:space="0"/>
              <w:right w:val="single" w:color="auto" w:sz="4" w:space="0"/>
            </w:tcBorders>
            <w:noWrap w:val="0"/>
            <w:vAlign w:val="center"/>
          </w:tcPr>
          <w:p w14:paraId="0575652B">
            <w:p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应商根据项目需求，阐述服务方案①具有完整详细的国家、自治区、自治州、县有关民政工作的方针政策和法律法规的宣传；②具有完整详细的低收入人口调查监测方案；③具有完整详细的社会救助示范性培训方案，包含培训时间计划；④具有完整详细的申请社会救助人员的入户核查方案；⑤低收入人口排查及低保入户核查过程中不能出现漏报、错报、关系保、人情保等情况保障方案。每项内容完整贴合实际得4分，本项共计20分。每缺少一项内容扣4分；每有一项内容不完整或未能满足采购需求的或每有一处不具有针对性或逻辑性错误且不完整的扣2分；扣完为止。</w:t>
            </w:r>
          </w:p>
          <w:p w14:paraId="1A4FA8C1">
            <w:pPr>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highlight w:val="none"/>
                <w:lang w:val="en-US" w:eastAsia="zh-CN" w:bidi="ar-SA"/>
              </w:rPr>
              <w:t>2、供应商针对本项目提出建设性方案或工作方法，效果明显、有利于本项目开展的得5分，效果一般，实际作用不明显得2分，提供不详细、无实质作用或未提供不得分。</w:t>
            </w:r>
          </w:p>
        </w:tc>
        <w:tc>
          <w:tcPr>
            <w:tcW w:w="614" w:type="dxa"/>
            <w:vMerge w:val="continue"/>
            <w:tcBorders>
              <w:left w:val="single" w:color="auto" w:sz="4" w:space="0"/>
              <w:right w:val="single" w:color="auto" w:sz="4" w:space="0"/>
            </w:tcBorders>
            <w:noWrap w:val="0"/>
            <w:vAlign w:val="center"/>
          </w:tcPr>
          <w:p w14:paraId="3DAFAE98">
            <w:pPr>
              <w:jc w:val="center"/>
              <w:rPr>
                <w:rFonts w:hint="eastAsia" w:ascii="仿宋" w:hAnsi="仿宋" w:eastAsia="仿宋" w:cs="仿宋"/>
                <w:color w:val="auto"/>
                <w:sz w:val="24"/>
                <w:szCs w:val="24"/>
              </w:rPr>
            </w:pPr>
          </w:p>
        </w:tc>
      </w:tr>
      <w:tr w14:paraId="1375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1035" w:type="dxa"/>
            <w:vMerge w:val="continue"/>
            <w:tcBorders>
              <w:left w:val="single" w:color="auto" w:sz="4" w:space="0"/>
              <w:right w:val="single" w:color="auto" w:sz="4" w:space="0"/>
            </w:tcBorders>
            <w:noWrap w:val="0"/>
            <w:vAlign w:val="center"/>
          </w:tcPr>
          <w:p w14:paraId="0D28F913">
            <w:pPr>
              <w:jc w:val="center"/>
              <w:rPr>
                <w:rFonts w:hint="eastAsia" w:ascii="仿宋" w:hAnsi="仿宋" w:eastAsia="仿宋" w:cs="仿宋"/>
                <w:color w:val="auto"/>
                <w:sz w:val="24"/>
                <w:szCs w:val="24"/>
              </w:rPr>
            </w:pPr>
          </w:p>
        </w:tc>
        <w:tc>
          <w:tcPr>
            <w:tcW w:w="1035" w:type="dxa"/>
            <w:vMerge w:val="continue"/>
            <w:tcBorders>
              <w:left w:val="single" w:color="auto" w:sz="4" w:space="0"/>
              <w:right w:val="single" w:color="auto" w:sz="4" w:space="0"/>
            </w:tcBorders>
            <w:noWrap w:val="0"/>
            <w:vAlign w:val="center"/>
          </w:tcPr>
          <w:p w14:paraId="14B2EE2F">
            <w:pPr>
              <w:jc w:val="center"/>
              <w:rPr>
                <w:rFonts w:hint="eastAsia" w:ascii="仿宋" w:hAnsi="仿宋" w:eastAsia="仿宋" w:cs="仿宋"/>
                <w:color w:val="auto"/>
                <w:sz w:val="24"/>
                <w:szCs w:val="24"/>
                <w:lang w:eastAsia="zh-CN"/>
              </w:rPr>
            </w:pPr>
          </w:p>
        </w:tc>
        <w:tc>
          <w:tcPr>
            <w:tcW w:w="1035" w:type="dxa"/>
            <w:tcBorders>
              <w:left w:val="single" w:color="auto" w:sz="4" w:space="0"/>
              <w:right w:val="single" w:color="auto" w:sz="4" w:space="0"/>
            </w:tcBorders>
            <w:noWrap w:val="0"/>
            <w:vAlign w:val="center"/>
          </w:tcPr>
          <w:p w14:paraId="3E4A550F">
            <w:pPr>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服务质量保证措施</w:t>
            </w:r>
            <w:r>
              <w:rPr>
                <w:rFonts w:hint="eastAsia" w:ascii="仿宋" w:hAnsi="仿宋" w:eastAsia="仿宋" w:cs="仿宋"/>
                <w:color w:val="auto"/>
                <w:sz w:val="24"/>
                <w:szCs w:val="24"/>
                <w:lang w:val="en-US" w:eastAsia="zh-CN"/>
              </w:rPr>
              <w:t>（9分）</w:t>
            </w:r>
          </w:p>
        </w:tc>
        <w:tc>
          <w:tcPr>
            <w:tcW w:w="6716" w:type="dxa"/>
            <w:tcBorders>
              <w:top w:val="single" w:color="auto" w:sz="4" w:space="0"/>
              <w:left w:val="single" w:color="auto" w:sz="4" w:space="0"/>
              <w:bottom w:val="single" w:color="auto" w:sz="4" w:space="0"/>
              <w:right w:val="single" w:color="auto" w:sz="4" w:space="0"/>
            </w:tcBorders>
            <w:noWrap w:val="0"/>
            <w:vAlign w:val="center"/>
          </w:tcPr>
          <w:p w14:paraId="7F3D196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针对本项目服务质量保证措施：</w:t>
            </w:r>
          </w:p>
          <w:p w14:paraId="17F7E367">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1、提供必要的数据备份和恢复服务，确保项目数据安全、完整性和可持续性，提供详细的、完整合理的保障方案得 3 分；</w:t>
            </w:r>
          </w:p>
          <w:p w14:paraId="69FEB926">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2、不断优化社会救助服务项目的质量和效果，对项目实施情况进行分期评估并进行绩效评价，提出改进意见，提供详细的绩效评价方案得 3分；</w:t>
            </w:r>
          </w:p>
          <w:p w14:paraId="309EDEF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3、协助做好服务对象信息收集整理并进行建档，提供建档模板、建档专用电脑得3分；</w:t>
            </w:r>
          </w:p>
          <w:p w14:paraId="634895E4">
            <w:pPr>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每缺少一项内容扣3分；每有一项内容不完整或未能满足采购需求的或每有一处不具有针对性或逻辑性错误且不完整的扣 1 分；扣完为止。不提供或者其他情况得 0 分。</w:t>
            </w:r>
          </w:p>
        </w:tc>
        <w:tc>
          <w:tcPr>
            <w:tcW w:w="614" w:type="dxa"/>
            <w:vMerge w:val="continue"/>
            <w:tcBorders>
              <w:left w:val="single" w:color="auto" w:sz="4" w:space="0"/>
              <w:right w:val="single" w:color="auto" w:sz="4" w:space="0"/>
            </w:tcBorders>
            <w:noWrap w:val="0"/>
            <w:vAlign w:val="center"/>
          </w:tcPr>
          <w:p w14:paraId="04DAC5C8">
            <w:pPr>
              <w:jc w:val="center"/>
              <w:rPr>
                <w:rFonts w:hint="eastAsia" w:ascii="仿宋" w:hAnsi="仿宋" w:eastAsia="仿宋" w:cs="仿宋"/>
                <w:color w:val="auto"/>
                <w:sz w:val="24"/>
                <w:szCs w:val="24"/>
              </w:rPr>
            </w:pPr>
          </w:p>
        </w:tc>
      </w:tr>
      <w:tr w14:paraId="344C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035" w:type="dxa"/>
            <w:vMerge w:val="continue"/>
            <w:tcBorders>
              <w:left w:val="single" w:color="auto" w:sz="4" w:space="0"/>
              <w:right w:val="single" w:color="auto" w:sz="4" w:space="0"/>
            </w:tcBorders>
            <w:noWrap w:val="0"/>
            <w:vAlign w:val="center"/>
          </w:tcPr>
          <w:p w14:paraId="69287F4F">
            <w:pPr>
              <w:jc w:val="center"/>
              <w:rPr>
                <w:rFonts w:hint="eastAsia" w:ascii="仿宋" w:hAnsi="仿宋" w:eastAsia="仿宋" w:cs="仿宋"/>
                <w:color w:val="auto"/>
                <w:sz w:val="24"/>
                <w:szCs w:val="24"/>
              </w:rPr>
            </w:pPr>
          </w:p>
        </w:tc>
        <w:tc>
          <w:tcPr>
            <w:tcW w:w="1035" w:type="dxa"/>
            <w:vMerge w:val="continue"/>
            <w:tcBorders>
              <w:left w:val="single" w:color="auto" w:sz="4" w:space="0"/>
              <w:right w:val="single" w:color="auto" w:sz="4" w:space="0"/>
            </w:tcBorders>
            <w:noWrap w:val="0"/>
            <w:vAlign w:val="center"/>
          </w:tcPr>
          <w:p w14:paraId="73804CCC">
            <w:pPr>
              <w:jc w:val="center"/>
              <w:rPr>
                <w:rFonts w:hint="eastAsia" w:ascii="仿宋" w:hAnsi="仿宋" w:eastAsia="仿宋" w:cs="仿宋"/>
                <w:color w:val="auto"/>
                <w:sz w:val="24"/>
                <w:szCs w:val="24"/>
                <w:lang w:eastAsia="zh-CN"/>
              </w:rPr>
            </w:pPr>
          </w:p>
        </w:tc>
        <w:tc>
          <w:tcPr>
            <w:tcW w:w="1035" w:type="dxa"/>
            <w:tcBorders>
              <w:left w:val="single" w:color="auto" w:sz="4" w:space="0"/>
              <w:right w:val="single" w:color="auto" w:sz="4" w:space="0"/>
            </w:tcBorders>
            <w:noWrap w:val="0"/>
            <w:vAlign w:val="center"/>
          </w:tcPr>
          <w:p w14:paraId="353378D8">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应急管理方案（10分） </w:t>
            </w:r>
          </w:p>
          <w:p w14:paraId="55C23CC3">
            <w:pPr>
              <w:jc w:val="left"/>
              <w:rPr>
                <w:rFonts w:hint="eastAsia" w:ascii="仿宋" w:hAnsi="仿宋" w:eastAsia="仿宋" w:cs="仿宋"/>
                <w:color w:val="auto"/>
                <w:sz w:val="24"/>
                <w:szCs w:val="24"/>
                <w:highlight w:val="none"/>
              </w:rPr>
            </w:pPr>
          </w:p>
        </w:tc>
        <w:tc>
          <w:tcPr>
            <w:tcW w:w="6716" w:type="dxa"/>
            <w:tcBorders>
              <w:top w:val="single" w:color="auto" w:sz="4" w:space="0"/>
              <w:left w:val="single" w:color="auto" w:sz="4" w:space="0"/>
              <w:bottom w:val="single" w:color="auto" w:sz="4" w:space="0"/>
              <w:right w:val="single" w:color="auto" w:sz="4" w:space="0"/>
            </w:tcBorders>
            <w:noWrap w:val="0"/>
            <w:vAlign w:val="center"/>
          </w:tcPr>
          <w:p w14:paraId="7F3375E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结合采购需求的要求，提供符合本项目服务的应急管理服务方案及措施：所提供的方案及措施详细具体，针对临时性、应急事件处理工作强、反应迅速，有序调配、符合实际、安全，能很好满足项目需求，可操作性高，得10分；</w:t>
            </w:r>
          </w:p>
          <w:p w14:paraId="78195E25">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2、所提供的方案较为全面的紧急情况分析，并能针对紧急情况出具较为科学合理的应对措施，符合项目实际的情况的，得8分；</w:t>
            </w:r>
          </w:p>
          <w:p w14:paraId="7E236D8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3、所提供的方案有紧急情况分析并能出具基本的应对措施的，得5分；</w:t>
            </w:r>
          </w:p>
          <w:p w14:paraId="34C55224">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4、所提供的方案不够全面情况分析，对突发事件做应对措施的或应急方案不够全面的，得3分；</w:t>
            </w:r>
          </w:p>
          <w:p w14:paraId="2BE5F36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5、其他情况或无提供不得分。</w:t>
            </w:r>
          </w:p>
        </w:tc>
        <w:tc>
          <w:tcPr>
            <w:tcW w:w="614" w:type="dxa"/>
            <w:vMerge w:val="continue"/>
            <w:tcBorders>
              <w:left w:val="single" w:color="auto" w:sz="4" w:space="0"/>
              <w:right w:val="single" w:color="auto" w:sz="4" w:space="0"/>
            </w:tcBorders>
            <w:noWrap w:val="0"/>
            <w:vAlign w:val="center"/>
          </w:tcPr>
          <w:p w14:paraId="27A288E9">
            <w:pPr>
              <w:jc w:val="center"/>
              <w:rPr>
                <w:rFonts w:hint="eastAsia" w:ascii="仿宋" w:hAnsi="仿宋" w:eastAsia="仿宋" w:cs="仿宋"/>
                <w:color w:val="auto"/>
                <w:sz w:val="24"/>
                <w:szCs w:val="24"/>
              </w:rPr>
            </w:pPr>
          </w:p>
        </w:tc>
      </w:tr>
      <w:tr w14:paraId="08BA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035" w:type="dxa"/>
            <w:vMerge w:val="continue"/>
            <w:tcBorders>
              <w:left w:val="single" w:color="auto" w:sz="4" w:space="0"/>
              <w:right w:val="single" w:color="auto" w:sz="4" w:space="0"/>
            </w:tcBorders>
            <w:noWrap w:val="0"/>
            <w:vAlign w:val="center"/>
          </w:tcPr>
          <w:p w14:paraId="4E89101D">
            <w:pPr>
              <w:jc w:val="center"/>
              <w:rPr>
                <w:rFonts w:hint="eastAsia" w:ascii="仿宋" w:hAnsi="仿宋" w:eastAsia="仿宋" w:cs="仿宋"/>
                <w:color w:val="auto"/>
                <w:sz w:val="24"/>
                <w:szCs w:val="24"/>
              </w:rPr>
            </w:pPr>
          </w:p>
        </w:tc>
        <w:tc>
          <w:tcPr>
            <w:tcW w:w="1035" w:type="dxa"/>
            <w:vMerge w:val="continue"/>
            <w:tcBorders>
              <w:left w:val="single" w:color="auto" w:sz="4" w:space="0"/>
              <w:right w:val="single" w:color="auto" w:sz="4" w:space="0"/>
            </w:tcBorders>
            <w:noWrap w:val="0"/>
            <w:vAlign w:val="center"/>
          </w:tcPr>
          <w:p w14:paraId="5FDCE15C">
            <w:pPr>
              <w:jc w:val="center"/>
              <w:rPr>
                <w:rFonts w:hint="eastAsia" w:ascii="仿宋" w:hAnsi="仿宋" w:eastAsia="仿宋" w:cs="仿宋"/>
                <w:color w:val="auto"/>
                <w:sz w:val="24"/>
                <w:szCs w:val="24"/>
                <w:lang w:eastAsia="zh-CN"/>
              </w:rPr>
            </w:pPr>
          </w:p>
        </w:tc>
        <w:tc>
          <w:tcPr>
            <w:tcW w:w="1035" w:type="dxa"/>
            <w:tcBorders>
              <w:left w:val="single" w:color="auto" w:sz="4" w:space="0"/>
              <w:right w:val="single" w:color="auto" w:sz="4" w:space="0"/>
            </w:tcBorders>
            <w:noWrap w:val="0"/>
            <w:vAlign w:val="center"/>
          </w:tcPr>
          <w:p w14:paraId="3FF098A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项目进度保障措施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lang w:eastAsia="zh-CN"/>
              </w:rPr>
              <w:t>）</w:t>
            </w:r>
          </w:p>
        </w:tc>
        <w:tc>
          <w:tcPr>
            <w:tcW w:w="6716" w:type="dxa"/>
            <w:tcBorders>
              <w:top w:val="single" w:color="auto" w:sz="4" w:space="0"/>
              <w:left w:val="single" w:color="auto" w:sz="4" w:space="0"/>
              <w:bottom w:val="single" w:color="auto" w:sz="4" w:space="0"/>
              <w:right w:val="single" w:color="auto" w:sz="4" w:space="0"/>
            </w:tcBorders>
            <w:noWrap w:val="0"/>
            <w:vAlign w:val="center"/>
          </w:tcPr>
          <w:p w14:paraId="4F67355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服务方案中对本项目保障措施、进度目标等进行相应的综合评估，能够提供高效、实施性强的解决方案。方案介绍细致全面，完全满足或高于项目需求的得5分；解决方案一般，基本满足项目需求或有偏差的，得 2分；未提供或不满足的不得分。</w:t>
            </w:r>
          </w:p>
        </w:tc>
        <w:tc>
          <w:tcPr>
            <w:tcW w:w="614" w:type="dxa"/>
            <w:tcBorders>
              <w:left w:val="single" w:color="auto" w:sz="4" w:space="0"/>
              <w:right w:val="single" w:color="auto" w:sz="4" w:space="0"/>
            </w:tcBorders>
            <w:noWrap w:val="0"/>
            <w:vAlign w:val="center"/>
          </w:tcPr>
          <w:p w14:paraId="2FD05C1D">
            <w:pPr>
              <w:jc w:val="center"/>
              <w:rPr>
                <w:rFonts w:hint="eastAsia" w:ascii="仿宋" w:hAnsi="仿宋" w:eastAsia="仿宋" w:cs="仿宋"/>
                <w:color w:val="auto"/>
                <w:sz w:val="24"/>
                <w:szCs w:val="24"/>
              </w:rPr>
            </w:pPr>
          </w:p>
        </w:tc>
      </w:tr>
      <w:tr w14:paraId="35D1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035" w:type="dxa"/>
            <w:vMerge w:val="continue"/>
            <w:tcBorders>
              <w:left w:val="single" w:color="auto" w:sz="4" w:space="0"/>
              <w:right w:val="single" w:color="auto" w:sz="4" w:space="0"/>
            </w:tcBorders>
            <w:noWrap w:val="0"/>
            <w:vAlign w:val="center"/>
          </w:tcPr>
          <w:p w14:paraId="598F2498">
            <w:pPr>
              <w:jc w:val="center"/>
              <w:rPr>
                <w:rFonts w:hint="eastAsia" w:ascii="仿宋" w:hAnsi="仿宋" w:eastAsia="仿宋" w:cs="仿宋"/>
                <w:color w:val="auto"/>
                <w:sz w:val="24"/>
                <w:szCs w:val="24"/>
              </w:rPr>
            </w:pPr>
          </w:p>
        </w:tc>
        <w:tc>
          <w:tcPr>
            <w:tcW w:w="1035" w:type="dxa"/>
            <w:vMerge w:val="continue"/>
            <w:tcBorders>
              <w:left w:val="single" w:color="auto" w:sz="4" w:space="0"/>
              <w:right w:val="single" w:color="auto" w:sz="4" w:space="0"/>
            </w:tcBorders>
            <w:noWrap w:val="0"/>
            <w:vAlign w:val="center"/>
          </w:tcPr>
          <w:p w14:paraId="2EFA9391">
            <w:pPr>
              <w:jc w:val="center"/>
              <w:rPr>
                <w:rFonts w:hint="eastAsia" w:ascii="仿宋" w:hAnsi="仿宋" w:eastAsia="仿宋" w:cs="仿宋"/>
                <w:color w:val="auto"/>
                <w:sz w:val="24"/>
                <w:szCs w:val="24"/>
                <w:lang w:eastAsia="zh-CN"/>
              </w:rPr>
            </w:pPr>
          </w:p>
        </w:tc>
        <w:tc>
          <w:tcPr>
            <w:tcW w:w="1035" w:type="dxa"/>
            <w:tcBorders>
              <w:left w:val="single" w:color="auto" w:sz="4" w:space="0"/>
              <w:right w:val="single" w:color="auto" w:sz="4" w:space="0"/>
            </w:tcBorders>
            <w:noWrap w:val="0"/>
            <w:vAlign w:val="center"/>
          </w:tcPr>
          <w:p w14:paraId="433970A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后续跟踪服务方案（6分）</w:t>
            </w:r>
          </w:p>
        </w:tc>
        <w:tc>
          <w:tcPr>
            <w:tcW w:w="6716" w:type="dxa"/>
            <w:tcBorders>
              <w:top w:val="single" w:color="auto" w:sz="4" w:space="0"/>
              <w:left w:val="single" w:color="auto" w:sz="4" w:space="0"/>
              <w:bottom w:val="single" w:color="auto" w:sz="4" w:space="0"/>
              <w:right w:val="single" w:color="auto" w:sz="4" w:space="0"/>
            </w:tcBorders>
            <w:noWrap w:val="0"/>
            <w:vAlign w:val="center"/>
          </w:tcPr>
          <w:p w14:paraId="49B1D4B6">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根据针对本项目提供的后续跟踪服务方案进行综合评审，方案内容至少包含：①服务机构设置；②服务内容和范围；③响应时间；④服务保障措施。每缺少一项内容扣 1.5 分；每有一项内容不完整或未能满足采购需求的或每有一处不具有针对性或逻辑性错误且不完整的扣 1 分；扣完为止。</w:t>
            </w:r>
          </w:p>
        </w:tc>
        <w:tc>
          <w:tcPr>
            <w:tcW w:w="614" w:type="dxa"/>
            <w:tcBorders>
              <w:left w:val="single" w:color="auto" w:sz="4" w:space="0"/>
              <w:right w:val="single" w:color="auto" w:sz="4" w:space="0"/>
            </w:tcBorders>
            <w:noWrap w:val="0"/>
            <w:vAlign w:val="center"/>
          </w:tcPr>
          <w:p w14:paraId="28A9DCBE">
            <w:pPr>
              <w:jc w:val="center"/>
              <w:rPr>
                <w:rFonts w:hint="eastAsia" w:ascii="仿宋" w:hAnsi="仿宋" w:eastAsia="仿宋" w:cs="仿宋"/>
                <w:color w:val="auto"/>
                <w:sz w:val="24"/>
                <w:szCs w:val="24"/>
              </w:rPr>
            </w:pPr>
          </w:p>
        </w:tc>
      </w:tr>
    </w:tbl>
    <w:p w14:paraId="722D68B4">
      <w:pPr>
        <w:spacing w:line="440" w:lineRule="exact"/>
        <w:ind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1E6CCAD9">
      <w:pPr>
        <w:pStyle w:val="44"/>
        <w:tabs>
          <w:tab w:val="left" w:pos="1701"/>
        </w:tabs>
        <w:spacing w:line="440" w:lineRule="exact"/>
        <w:ind w:left="0"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10.2.2价格评分方法</w:t>
      </w:r>
    </w:p>
    <w:p w14:paraId="1CAF7E6C">
      <w:pPr>
        <w:spacing w:line="440" w:lineRule="exact"/>
        <w:ind w:firstLine="486"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满足磋商文件技术要求且投标价格最低的投标报价为评标基准价，其价格分为满分。其他供应商的价格分别按照下列公式计算： 投标报价得分=（评标基准价/投标报价）×价格权重。</w:t>
      </w:r>
    </w:p>
    <w:p w14:paraId="55E80F90">
      <w:pPr>
        <w:spacing w:beforeLines="50" w:line="400" w:lineRule="exact"/>
        <w:jc w:val="center"/>
        <w:outlineLvl w:val="1"/>
        <w:rPr>
          <w:rFonts w:hint="eastAsia" w:ascii="仿宋" w:hAnsi="仿宋" w:eastAsia="仿宋" w:cs="仿宋"/>
          <w:b/>
          <w:color w:val="auto"/>
          <w:lang w:eastAsia="zh-CN"/>
        </w:rPr>
      </w:pPr>
    </w:p>
    <w:p w14:paraId="5F8E814B">
      <w:pPr>
        <w:spacing w:beforeLines="50" w:line="400" w:lineRule="exact"/>
        <w:jc w:val="center"/>
        <w:outlineLvl w:val="1"/>
        <w:rPr>
          <w:rFonts w:ascii="仿宋" w:hAnsi="仿宋" w:eastAsia="仿宋" w:cs="仿宋"/>
          <w:b/>
          <w:color w:val="auto"/>
          <w:lang w:eastAsia="zh-CN"/>
        </w:rPr>
      </w:pPr>
      <w:r>
        <w:rPr>
          <w:rFonts w:hint="eastAsia" w:ascii="仿宋" w:hAnsi="仿宋" w:eastAsia="仿宋" w:cs="仿宋"/>
          <w:b/>
          <w:color w:val="auto"/>
          <w:lang w:eastAsia="zh-CN"/>
        </w:rPr>
        <w:t>五  推荐中标候选人</w:t>
      </w:r>
      <w:bookmarkEnd w:id="69"/>
      <w:bookmarkEnd w:id="70"/>
    </w:p>
    <w:p w14:paraId="78A657A9">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11.1评标委员会推荐3名中标候选人，并标明排序。</w:t>
      </w:r>
    </w:p>
    <w:p w14:paraId="7627B86A">
      <w:pPr>
        <w:spacing w:line="4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11.2如出现报价得分相同情况，则由招标人现场抽签确定中标候选人排名顺序。</w:t>
      </w:r>
    </w:p>
    <w:bookmarkEnd w:id="64"/>
    <w:p w14:paraId="0C5A6447">
      <w:pPr>
        <w:snapToGrid w:val="0"/>
        <w:spacing w:line="40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12.无效投标条款</w:t>
      </w:r>
    </w:p>
    <w:p w14:paraId="0C6BBB13">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12.1响应文件有下列情形之一的,其响应文件拒收:</w:t>
      </w:r>
    </w:p>
    <w:p w14:paraId="13AA5B8D">
      <w:pPr>
        <w:snapToGrid w:val="0"/>
        <w:spacing w:line="400" w:lineRule="exact"/>
        <w:rPr>
          <w:rFonts w:ascii="仿宋" w:hAnsi="仿宋" w:eastAsia="仿宋" w:cs="仿宋"/>
          <w:b/>
          <w:bCs/>
          <w:color w:val="auto"/>
          <w:szCs w:val="21"/>
          <w:lang w:eastAsia="zh-CN"/>
        </w:rPr>
      </w:pPr>
      <w:r>
        <w:rPr>
          <w:rFonts w:hint="eastAsia" w:ascii="仿宋" w:hAnsi="仿宋" w:eastAsia="仿宋" w:cs="仿宋"/>
          <w:color w:val="auto"/>
          <w:szCs w:val="21"/>
          <w:lang w:eastAsia="zh-CN"/>
        </w:rPr>
        <w:t xml:space="preserve">   </w:t>
      </w:r>
      <w:r>
        <w:rPr>
          <w:rFonts w:hint="eastAsia" w:ascii="仿宋" w:hAnsi="仿宋" w:eastAsia="仿宋" w:cs="仿宋"/>
          <w:b/>
          <w:bCs/>
          <w:color w:val="auto"/>
          <w:szCs w:val="21"/>
          <w:lang w:eastAsia="zh-CN"/>
        </w:rPr>
        <w:t xml:space="preserve"> (1) 未在开标截止时间前通过网上招标投标系统递交有效电子响应文件的，开标系统不予接收。</w:t>
      </w:r>
    </w:p>
    <w:p w14:paraId="26DE077A">
      <w:pPr>
        <w:snapToGrid w:val="0"/>
        <w:spacing w:line="400" w:lineRule="exact"/>
        <w:ind w:firstLine="486" w:firstLineChars="200"/>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w:t>
      </w:r>
      <w:r>
        <w:rPr>
          <w:rFonts w:hint="eastAsia" w:ascii="仿宋" w:hAnsi="仿宋" w:eastAsia="仿宋" w:cs="仿宋"/>
          <w:b/>
          <w:color w:val="auto"/>
          <w:szCs w:val="21"/>
          <w:lang w:eastAsia="zh-CN"/>
        </w:rPr>
        <w:t>所有供应商应在规定时间里完成响应文件的解密工作</w:t>
      </w:r>
      <w:r>
        <w:rPr>
          <w:rFonts w:hint="eastAsia" w:ascii="仿宋" w:hAnsi="仿宋" w:eastAsia="仿宋" w:cs="仿宋"/>
          <w:b/>
          <w:bCs/>
          <w:color w:val="auto"/>
          <w:szCs w:val="21"/>
          <w:lang w:eastAsia="zh-CN"/>
        </w:rPr>
        <w:t>【供应商使用其有效加密锁（CA锁）进行解密（因供应商原因未能提供有效CA锁对其响应文件进行解密的，其响应文件按无效标处理），以网上招投标系统解密倒计时为准】</w:t>
      </w:r>
      <w:r>
        <w:rPr>
          <w:rFonts w:hint="eastAsia" w:ascii="仿宋" w:hAnsi="仿宋" w:eastAsia="仿宋" w:cs="仿宋"/>
          <w:b/>
          <w:color w:val="auto"/>
          <w:szCs w:val="21"/>
          <w:lang w:eastAsia="zh-CN"/>
        </w:rPr>
        <w:t>，因系统原因未能成功解密的响应文件，可导入备份响应文件。备份响应文件也无法导入的，则响应文件被否决。</w:t>
      </w:r>
    </w:p>
    <w:p w14:paraId="65EBA9C0">
      <w:pPr>
        <w:snapToGrid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12.2供应商有下列情形之一的,资格审查后其投标作无效投标处理：</w:t>
      </w:r>
    </w:p>
    <w:p w14:paraId="72EDB703">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(1)法定代表人参加开标会议未携带有效的法定代表人身份证明原件和本人身份证的；委托代理人参加开标会议未携带有效的法定代表人授权书和本人身份证；</w:t>
      </w:r>
    </w:p>
    <w:p w14:paraId="444F8EBC">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(2)供应商为本项目提供招标代理服务的；</w:t>
      </w:r>
    </w:p>
    <w:p w14:paraId="6CFE3B05">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(3)供应商与在本项目代理机构存在相互任职或工作的；</w:t>
      </w:r>
    </w:p>
    <w:p w14:paraId="0025307E">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(4)投标保证金未按规定要求缴纳的；</w:t>
      </w:r>
    </w:p>
    <w:p w14:paraId="6D10C90B">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(5)评标专家无法查看并检验电子标书中相关资料的；</w:t>
      </w:r>
    </w:p>
    <w:p w14:paraId="2FA9013C">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(6)供应商超出营业范围投标的；</w:t>
      </w:r>
    </w:p>
    <w:p w14:paraId="1AE8538E">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(7)联合体投标未提交联合体协议的；</w:t>
      </w:r>
    </w:p>
    <w:p w14:paraId="0DD750EF">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(8)被暂停营业的；</w:t>
      </w:r>
    </w:p>
    <w:p w14:paraId="0284FA7F">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(9)被暂停或取消投标资格的；</w:t>
      </w:r>
    </w:p>
    <w:p w14:paraId="66B9FD31">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(10)财产被接管或冻结的；</w:t>
      </w:r>
    </w:p>
    <w:p w14:paraId="5D9FDF7E">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(11)供应商单位负责人为同一人或者存在控股、管理关系的不同单位的；</w:t>
      </w:r>
    </w:p>
    <w:p w14:paraId="48915465">
      <w:pPr>
        <w:snapToGrid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（12）供应商基本资格条件和特定资格条件中有一项及以上不符合要求的；</w:t>
      </w:r>
    </w:p>
    <w:p w14:paraId="5E21BC2D">
      <w:pPr>
        <w:snapToGrid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（13）供应商使用相同的MAC地址进行报名的；</w:t>
      </w:r>
    </w:p>
    <w:p w14:paraId="3EAE3293">
      <w:pPr>
        <w:snapToGrid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（14）其它情形，经评标委员会委提出按无效投标处理，并经公共资源交易监督部门核准的；</w:t>
      </w:r>
    </w:p>
    <w:p w14:paraId="11FEF3F2">
      <w:pPr>
        <w:snapToGrid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（15）供应商使用相同IP地址报名的，一经发现，监管部门将进一步核实，查实后按串通投标处理；</w:t>
      </w:r>
    </w:p>
    <w:p w14:paraId="055F59E5">
      <w:pPr>
        <w:snapToGrid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（16）磋商文件规定的其它无效投标情形。</w:t>
      </w:r>
    </w:p>
    <w:p w14:paraId="1F255758">
      <w:pPr>
        <w:snapToGrid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12.3 供应商有下列情形之一的,符合性审查后其投标按无效投标处理：</w:t>
      </w:r>
    </w:p>
    <w:p w14:paraId="46A25129">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 响应文件签章、盖章不全，经评标委员会一致认定对开评标内容有实质性影响并经监督部门核准的；</w:t>
      </w:r>
    </w:p>
    <w:p w14:paraId="33CFA8AE">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(2)未按规定的格式填写，实质性内容不全或关键字迹模糊、无法辨认; 经监督部门核准的；</w:t>
      </w:r>
    </w:p>
    <w:p w14:paraId="611A99EA">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(4)同一供应商提交两个以上不同的响应文件或者投标报价，但磋商文件规定提交备选方案的除外；</w:t>
      </w:r>
    </w:p>
    <w:p w14:paraId="6B829F2B">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(3)响应文件没有对磋商文件的实质性要求和条件作出响应;</w:t>
      </w:r>
    </w:p>
    <w:p w14:paraId="49C14EB2">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(4)投标报价超出规定的投标限价或公布的采购预算的；注：供应商的投标报价各项单价均不得高于磋商文件给定的单价最高限价，否则，其响应文件将按无效投标处理。</w:t>
      </w:r>
    </w:p>
    <w:p w14:paraId="4BCC11E7">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(5)不按评标委员会要求澄清、说明或补正的，或者评标委员会根据磋商文件的规定对磋商文件的计算错误进行修正后，供应商不接受修正的投标报价的。</w:t>
      </w:r>
    </w:p>
    <w:p w14:paraId="74F1DC54">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（6）其它情形，经评标委员会委提出按无效投标处理，并经公共资源交易监督部门核准的；</w:t>
      </w:r>
    </w:p>
    <w:p w14:paraId="4283EF6C">
      <w:pPr>
        <w:widowControl/>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shd w:val="clear" w:color="auto" w:fill="FFFFFF"/>
          <w:lang w:eastAsia="zh-CN"/>
        </w:rPr>
        <w:t>未按照磋商文件的规定提交投标保证金的；</w:t>
      </w:r>
    </w:p>
    <w:p w14:paraId="2BCC1B4B">
      <w:pPr>
        <w:widowControl/>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w:t>
      </w:r>
      <w:r>
        <w:rPr>
          <w:rFonts w:hint="eastAsia" w:ascii="仿宋" w:hAnsi="仿宋" w:eastAsia="仿宋" w:cs="仿宋"/>
          <w:color w:val="auto"/>
          <w:szCs w:val="21"/>
          <w:shd w:val="clear" w:color="auto" w:fill="FFFFFF"/>
          <w:lang w:eastAsia="zh-CN"/>
        </w:rPr>
        <w:t>响应文件含有采购人不能接受的附加条件的;</w:t>
      </w:r>
    </w:p>
    <w:p w14:paraId="27250205">
      <w:pPr>
        <w:tabs>
          <w:tab w:val="left" w:pos="1123"/>
        </w:tabs>
        <w:snapToGrid w:val="0"/>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（9）磋商文件规定的其它无效投标情形。</w:t>
      </w:r>
    </w:p>
    <w:p w14:paraId="371D2C85">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12.4 供应商有下列情形之一的, 详细评审后其投标按无效投标处理：</w:t>
      </w:r>
    </w:p>
    <w:p w14:paraId="6DF8667B">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(1)投标产品不符合必须强制执行的国家标准的；</w:t>
      </w:r>
    </w:p>
    <w:p w14:paraId="2680B8C7">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(2)供应商有串通投标、弄虚作假、行贿等违法行为；</w:t>
      </w:r>
    </w:p>
    <w:p w14:paraId="0290A121">
      <w:pPr>
        <w:snapToGrid w:val="0"/>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(3)响应文件含有违反国家法律、法规的内容，或附有招标人不能接受的条件的；</w:t>
      </w:r>
    </w:p>
    <w:p w14:paraId="6BE376D2">
      <w:pPr>
        <w:spacing w:line="360" w:lineRule="auto"/>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（4）在同一项目（或同一标段）中有多个供应商有效投标报价接近最高限价，且评标委员会认为报价出现异常的，可以宣布其投标无效；</w:t>
      </w:r>
    </w:p>
    <w:p w14:paraId="50F71040">
      <w:pPr>
        <w:spacing w:line="360" w:lineRule="auto"/>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（5）报价明显低于其他供应商，且不能证明报价合理性的投标无效；</w:t>
      </w:r>
    </w:p>
    <w:p w14:paraId="6E1A37EE">
      <w:pPr>
        <w:spacing w:line="360" w:lineRule="auto"/>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（6）拒不确认评标委员会评审修正的投标无效；</w:t>
      </w:r>
    </w:p>
    <w:p w14:paraId="1E02032C">
      <w:pPr>
        <w:spacing w:line="360" w:lineRule="auto"/>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（7）其它情形，经评标委员会委提出按无效投标处理，并经公共资源交易监督部门核准的；</w:t>
      </w:r>
    </w:p>
    <w:p w14:paraId="258FCE01">
      <w:pPr>
        <w:spacing w:line="360" w:lineRule="auto"/>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（8）磋商文件规定的其它无效投标情形。</w:t>
      </w:r>
    </w:p>
    <w:p w14:paraId="5003BA1B">
      <w:pPr>
        <w:spacing w:line="360" w:lineRule="auto"/>
        <w:ind w:firstLine="364" w:firstLineChars="150"/>
        <w:rPr>
          <w:rFonts w:ascii="仿宋" w:hAnsi="仿宋" w:eastAsia="仿宋" w:cs="仿宋"/>
          <w:color w:val="auto"/>
          <w:szCs w:val="21"/>
          <w:lang w:eastAsia="zh-CN"/>
        </w:rPr>
      </w:pPr>
    </w:p>
    <w:p w14:paraId="0F8FBD2C">
      <w:pPr>
        <w:pStyle w:val="22"/>
        <w:ind w:left="486" w:firstLine="486"/>
        <w:rPr>
          <w:rFonts w:eastAsia="仿宋"/>
          <w:color w:val="auto"/>
          <w:lang w:eastAsia="zh-CN"/>
        </w:rPr>
      </w:pPr>
    </w:p>
    <w:p w14:paraId="5715A72D">
      <w:pPr>
        <w:pStyle w:val="22"/>
        <w:ind w:left="486" w:firstLine="486"/>
        <w:rPr>
          <w:rFonts w:eastAsia="仿宋"/>
          <w:color w:val="auto"/>
          <w:lang w:eastAsia="zh-CN"/>
        </w:rPr>
      </w:pPr>
    </w:p>
    <w:p w14:paraId="07CE6611">
      <w:pPr>
        <w:numPr>
          <w:ilvl w:val="0"/>
          <w:numId w:val="0"/>
        </w:numPr>
        <w:spacing w:line="360" w:lineRule="auto"/>
        <w:jc w:val="both"/>
        <w:rPr>
          <w:rFonts w:hint="eastAsia" w:ascii="仿宋" w:hAnsi="仿宋" w:eastAsia="仿宋" w:cs="仿宋"/>
          <w:b/>
          <w:color w:val="auto"/>
          <w:sz w:val="32"/>
          <w:szCs w:val="32"/>
          <w:lang w:eastAsia="zh-CN"/>
        </w:rPr>
      </w:pPr>
    </w:p>
    <w:p w14:paraId="4FCDD2DB">
      <w:pPr>
        <w:numPr>
          <w:ilvl w:val="0"/>
          <w:numId w:val="0"/>
        </w:numPr>
        <w:spacing w:line="360" w:lineRule="auto"/>
        <w:jc w:val="center"/>
        <w:rPr>
          <w:rFonts w:hint="eastAsia" w:ascii="仿宋" w:hAnsi="仿宋" w:eastAsia="仿宋" w:cs="仿宋"/>
          <w:b/>
          <w:bCs w:val="0"/>
          <w:color w:val="auto"/>
          <w:sz w:val="44"/>
          <w:szCs w:val="44"/>
          <w:lang w:eastAsia="zh-CN"/>
        </w:rPr>
      </w:pPr>
      <w:r>
        <w:rPr>
          <w:rFonts w:hint="eastAsia" w:ascii="仿宋" w:hAnsi="仿宋" w:eastAsia="仿宋" w:cs="仿宋"/>
          <w:b/>
          <w:bCs w:val="0"/>
          <w:color w:val="auto"/>
          <w:sz w:val="44"/>
          <w:szCs w:val="44"/>
          <w:lang w:eastAsia="zh-CN"/>
        </w:rPr>
        <w:t>第四部分</w:t>
      </w:r>
      <w:r>
        <w:rPr>
          <w:rFonts w:hint="eastAsia" w:ascii="仿宋" w:hAnsi="仿宋" w:eastAsia="仿宋" w:cs="仿宋"/>
          <w:b/>
          <w:bCs w:val="0"/>
          <w:color w:val="auto"/>
          <w:sz w:val="44"/>
          <w:szCs w:val="44"/>
          <w:lang w:val="en-US" w:eastAsia="zh-CN"/>
        </w:rPr>
        <w:t xml:space="preserve"> </w:t>
      </w:r>
      <w:bookmarkEnd w:id="65"/>
      <w:bookmarkStart w:id="71" w:name="OLE_LINK4"/>
      <w:bookmarkStart w:id="72" w:name="_Toc340225294"/>
      <w:bookmarkStart w:id="73" w:name="_Toc267320052"/>
      <w:r>
        <w:rPr>
          <w:rFonts w:hint="eastAsia" w:ascii="仿宋" w:hAnsi="仿宋" w:eastAsia="仿宋" w:cs="仿宋"/>
          <w:b/>
          <w:bCs w:val="0"/>
          <w:color w:val="auto"/>
          <w:sz w:val="44"/>
          <w:szCs w:val="44"/>
          <w:lang w:eastAsia="zh-CN"/>
        </w:rPr>
        <w:t>采购需求</w:t>
      </w:r>
    </w:p>
    <w:p w14:paraId="6CEBFE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32"/>
          <w:szCs w:val="32"/>
        </w:rPr>
      </w:pPr>
    </w:p>
    <w:tbl>
      <w:tblPr>
        <w:tblStyle w:val="24"/>
        <w:tblpPr w:leftFromText="180" w:rightFromText="180" w:vertAnchor="text" w:horzAnchor="page" w:tblpX="1617" w:tblpY="603"/>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2220"/>
        <w:gridCol w:w="4856"/>
      </w:tblGrid>
      <w:tr w14:paraId="5640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1733" w:type="dxa"/>
            <w:vAlign w:val="center"/>
          </w:tcPr>
          <w:p w14:paraId="05E457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服务领域</w:t>
            </w:r>
          </w:p>
        </w:tc>
        <w:tc>
          <w:tcPr>
            <w:tcW w:w="2220" w:type="dxa"/>
            <w:vAlign w:val="center"/>
          </w:tcPr>
          <w:p w14:paraId="6C179B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lang w:val="en-US" w:eastAsia="zh-CN"/>
              </w:rPr>
              <w:t>服务内容</w:t>
            </w:r>
          </w:p>
        </w:tc>
        <w:tc>
          <w:tcPr>
            <w:tcW w:w="4856" w:type="dxa"/>
            <w:vAlign w:val="center"/>
          </w:tcPr>
          <w:p w14:paraId="7D6422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lang w:val="en-US" w:eastAsia="zh-CN"/>
              </w:rPr>
              <w:t>具体服务内容</w:t>
            </w:r>
          </w:p>
        </w:tc>
      </w:tr>
      <w:tr w14:paraId="4659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vAlign w:val="center"/>
          </w:tcPr>
          <w:p w14:paraId="0BEF6823">
            <w:pPr>
              <w:jc w:val="center"/>
              <w:rPr>
                <w:rFonts w:hint="eastAsia" w:ascii="仿宋" w:hAnsi="仿宋" w:eastAsia="仿宋" w:cs="仿宋"/>
                <w:b w:val="0"/>
                <w:bCs w:val="0"/>
                <w:color w:val="auto"/>
                <w:sz w:val="24"/>
                <w:szCs w:val="24"/>
                <w:vertAlign w:val="baseline"/>
              </w:rPr>
            </w:pPr>
            <w:r>
              <w:rPr>
                <w:rFonts w:hint="eastAsia" w:ascii="仿宋" w:hAnsi="仿宋" w:eastAsia="仿宋" w:cs="仿宋"/>
                <w:color w:val="auto"/>
                <w:sz w:val="24"/>
                <w:szCs w:val="24"/>
                <w:lang w:eastAsia="zh-CN"/>
              </w:rPr>
              <w:t>社会救助</w:t>
            </w:r>
          </w:p>
        </w:tc>
        <w:tc>
          <w:tcPr>
            <w:tcW w:w="2220" w:type="dxa"/>
            <w:vAlign w:val="center"/>
          </w:tcPr>
          <w:p w14:paraId="1A9153B2">
            <w:pPr>
              <w:widowControl w:val="0"/>
              <w:bidi w:val="0"/>
              <w:jc w:val="center"/>
              <w:rPr>
                <w:rFonts w:hint="eastAsia" w:ascii="仿宋" w:hAnsi="仿宋" w:eastAsia="仿宋" w:cs="仿宋"/>
                <w:b w:val="0"/>
                <w:bCs w:val="0"/>
                <w:color w:val="auto"/>
                <w:sz w:val="24"/>
                <w:szCs w:val="24"/>
                <w:vertAlign w:val="baseline"/>
              </w:rPr>
            </w:pPr>
            <w:r>
              <w:rPr>
                <w:rFonts w:hint="eastAsia" w:ascii="仿宋" w:hAnsi="仿宋" w:eastAsia="仿宋" w:cs="仿宋"/>
                <w:color w:val="auto"/>
                <w:spacing w:val="2"/>
                <w:sz w:val="24"/>
                <w:szCs w:val="24"/>
              </w:rPr>
              <w:t>1.对象排查</w:t>
            </w:r>
          </w:p>
        </w:tc>
        <w:tc>
          <w:tcPr>
            <w:tcW w:w="4856" w:type="dxa"/>
            <w:vAlign w:val="top"/>
          </w:tcPr>
          <w:p w14:paraId="0D4D4430">
            <w:pPr>
              <w:pStyle w:val="53"/>
              <w:widowControl w:val="0"/>
              <w:spacing w:before="83" w:line="264" w:lineRule="auto"/>
              <w:ind w:right="2" w:rightChars="0"/>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通过部门数据信息比对、入户摸底排查、主动发现等方式，开展社会救助对象和其他困难群众的摸排工作，了解其基本生活是否存在问题，以及基本生活保障、住房、医疗、教育、就业等政策落实方面是否存在问题。</w:t>
            </w:r>
          </w:p>
        </w:tc>
      </w:tr>
      <w:tr w14:paraId="565D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035CC50B">
            <w:pPr>
              <w:jc w:val="center"/>
              <w:rPr>
                <w:rFonts w:hint="eastAsia" w:ascii="仿宋" w:hAnsi="仿宋" w:eastAsia="仿宋" w:cs="仿宋"/>
                <w:b w:val="0"/>
                <w:bCs w:val="0"/>
                <w:color w:val="auto"/>
                <w:sz w:val="24"/>
                <w:szCs w:val="24"/>
                <w:vertAlign w:val="baseline"/>
              </w:rPr>
            </w:pPr>
          </w:p>
        </w:tc>
        <w:tc>
          <w:tcPr>
            <w:tcW w:w="2220" w:type="dxa"/>
            <w:vAlign w:val="center"/>
          </w:tcPr>
          <w:p w14:paraId="5E62E2B7">
            <w:pPr>
              <w:widowControl w:val="0"/>
              <w:spacing w:before="57" w:line="234" w:lineRule="auto"/>
              <w:ind w:right="377" w:rightChars="0"/>
              <w:jc w:val="center"/>
              <w:rPr>
                <w:rFonts w:hint="eastAsia" w:ascii="仿宋" w:hAnsi="仿宋" w:eastAsia="仿宋" w:cs="仿宋"/>
                <w:b w:val="0"/>
                <w:bCs w:val="0"/>
                <w:color w:val="auto"/>
                <w:sz w:val="24"/>
                <w:szCs w:val="24"/>
                <w:vertAlign w:val="baseline"/>
              </w:rPr>
            </w:pPr>
            <w:r>
              <w:rPr>
                <w:rFonts w:hint="eastAsia" w:ascii="仿宋" w:hAnsi="仿宋" w:eastAsia="仿宋" w:cs="仿宋"/>
                <w:color w:val="auto"/>
                <w:spacing w:val="2"/>
                <w:sz w:val="24"/>
                <w:szCs w:val="24"/>
              </w:rPr>
              <w:t>2.家计调查</w:t>
            </w:r>
          </w:p>
        </w:tc>
        <w:tc>
          <w:tcPr>
            <w:tcW w:w="4856" w:type="dxa"/>
            <w:vAlign w:val="top"/>
          </w:tcPr>
          <w:p w14:paraId="2AADC817">
            <w:pPr>
              <w:pStyle w:val="53"/>
              <w:widowControl w:val="0"/>
              <w:spacing w:before="61" w:line="265" w:lineRule="auto"/>
              <w:ind w:left="12" w:leftChars="0"/>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结合年度动态调整工作，采取入户调查、邻里访问等方式，对辖区内民政服务 对象开展全面家计调查，了解居民家庭经济状况、居住条件、文化程度、身体状况及家庭成员的就业、收入、支出、困难类型及程度等相关情况，进行信息 采集、录入、数据更新等相关工作。</w:t>
            </w:r>
          </w:p>
        </w:tc>
      </w:tr>
      <w:tr w14:paraId="4BB3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2BBB8854">
            <w:pPr>
              <w:jc w:val="center"/>
              <w:rPr>
                <w:rFonts w:hint="eastAsia" w:ascii="仿宋" w:hAnsi="仿宋" w:eastAsia="仿宋" w:cs="仿宋"/>
                <w:b w:val="0"/>
                <w:bCs w:val="0"/>
                <w:color w:val="auto"/>
                <w:sz w:val="24"/>
                <w:szCs w:val="24"/>
                <w:vertAlign w:val="baseline"/>
              </w:rPr>
            </w:pPr>
          </w:p>
        </w:tc>
        <w:tc>
          <w:tcPr>
            <w:tcW w:w="2220" w:type="dxa"/>
            <w:vAlign w:val="center"/>
          </w:tcPr>
          <w:p w14:paraId="6BF003BE">
            <w:pPr>
              <w:widowControl w:val="0"/>
              <w:spacing w:before="57" w:line="234" w:lineRule="auto"/>
              <w:ind w:right="377" w:rightChars="0"/>
              <w:jc w:val="center"/>
              <w:rPr>
                <w:rFonts w:hint="eastAsia" w:ascii="仿宋" w:hAnsi="仿宋" w:eastAsia="仿宋" w:cs="仿宋"/>
                <w:b w:val="0"/>
                <w:bCs w:val="0"/>
                <w:color w:val="auto"/>
                <w:sz w:val="24"/>
                <w:szCs w:val="24"/>
                <w:vertAlign w:val="baseline"/>
              </w:rPr>
            </w:pPr>
            <w:r>
              <w:rPr>
                <w:rFonts w:hint="eastAsia" w:ascii="仿宋" w:hAnsi="仿宋" w:eastAsia="仿宋" w:cs="仿宋"/>
                <w:color w:val="auto"/>
                <w:spacing w:val="5"/>
                <w:sz w:val="24"/>
                <w:szCs w:val="24"/>
              </w:rPr>
              <w:t>3.业务培训</w:t>
            </w:r>
          </w:p>
        </w:tc>
        <w:tc>
          <w:tcPr>
            <w:tcW w:w="4856" w:type="dxa"/>
            <w:vAlign w:val="top"/>
          </w:tcPr>
          <w:p w14:paraId="3E62A1F9">
            <w:pPr>
              <w:pStyle w:val="53"/>
              <w:widowControl w:val="0"/>
              <w:spacing w:before="86" w:line="219" w:lineRule="auto"/>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对各级经办人员和承接主体人员进行社会救助业务培训，讲解社会救助领域相关专业知识以及开展社会救助服务相关注意事项、工作要求等，提升其专业服务水平。</w:t>
            </w:r>
          </w:p>
        </w:tc>
      </w:tr>
      <w:tr w14:paraId="1057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06792AA6">
            <w:pPr>
              <w:jc w:val="center"/>
              <w:rPr>
                <w:rFonts w:hint="eastAsia" w:ascii="仿宋" w:hAnsi="仿宋" w:eastAsia="仿宋" w:cs="仿宋"/>
                <w:b w:val="0"/>
                <w:bCs w:val="0"/>
                <w:color w:val="auto"/>
                <w:sz w:val="24"/>
                <w:szCs w:val="24"/>
                <w:vertAlign w:val="baseline"/>
              </w:rPr>
            </w:pPr>
          </w:p>
        </w:tc>
        <w:tc>
          <w:tcPr>
            <w:tcW w:w="2220" w:type="dxa"/>
            <w:vAlign w:val="center"/>
          </w:tcPr>
          <w:p w14:paraId="60FC53AC">
            <w:pPr>
              <w:widowControl w:val="0"/>
              <w:spacing w:before="57" w:line="234" w:lineRule="auto"/>
              <w:ind w:right="377" w:rightChars="0"/>
              <w:jc w:val="center"/>
              <w:rPr>
                <w:rFonts w:hint="eastAsia" w:ascii="仿宋" w:hAnsi="仿宋" w:eastAsia="仿宋" w:cs="仿宋"/>
                <w:b w:val="0"/>
                <w:bCs w:val="0"/>
                <w:color w:val="auto"/>
                <w:sz w:val="24"/>
                <w:szCs w:val="24"/>
                <w:vertAlign w:val="baseline"/>
              </w:rPr>
            </w:pPr>
            <w:r>
              <w:rPr>
                <w:rFonts w:hint="eastAsia" w:ascii="仿宋" w:hAnsi="仿宋" w:eastAsia="仿宋" w:cs="仿宋"/>
                <w:color w:val="auto"/>
                <w:spacing w:val="2"/>
                <w:sz w:val="24"/>
                <w:szCs w:val="24"/>
              </w:rPr>
              <w:t>4.政策宣传</w:t>
            </w:r>
          </w:p>
        </w:tc>
        <w:tc>
          <w:tcPr>
            <w:tcW w:w="4856" w:type="dxa"/>
            <w:vAlign w:val="top"/>
          </w:tcPr>
          <w:p w14:paraId="404228CD">
            <w:pPr>
              <w:pStyle w:val="53"/>
              <w:widowControl w:val="0"/>
              <w:spacing w:before="57" w:line="252" w:lineRule="auto"/>
              <w:ind w:right="51" w:rightChars="0"/>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通过多渠道宣传党的惠民政策，进一步筑牢中华民族共同意识，让各族困难群众明白惠从何来，凝聚人心汇聚民心。</w:t>
            </w:r>
          </w:p>
        </w:tc>
      </w:tr>
      <w:tr w14:paraId="4B50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0C4B0221">
            <w:pPr>
              <w:jc w:val="center"/>
              <w:rPr>
                <w:rFonts w:hint="eastAsia" w:ascii="仿宋" w:hAnsi="仿宋" w:eastAsia="仿宋" w:cs="仿宋"/>
                <w:b w:val="0"/>
                <w:bCs w:val="0"/>
                <w:color w:val="auto"/>
                <w:sz w:val="24"/>
                <w:szCs w:val="24"/>
                <w:vertAlign w:val="baseline"/>
              </w:rPr>
            </w:pPr>
          </w:p>
        </w:tc>
        <w:tc>
          <w:tcPr>
            <w:tcW w:w="2220" w:type="dxa"/>
            <w:vAlign w:val="center"/>
          </w:tcPr>
          <w:p w14:paraId="3CC6488B">
            <w:pPr>
              <w:widowControl w:val="0"/>
              <w:spacing w:before="57" w:line="234" w:lineRule="auto"/>
              <w:ind w:right="377" w:rightChars="0"/>
              <w:jc w:val="center"/>
              <w:rPr>
                <w:rFonts w:hint="eastAsia" w:ascii="仿宋" w:hAnsi="仿宋" w:eastAsia="仿宋" w:cs="仿宋"/>
                <w:b w:val="0"/>
                <w:bCs w:val="0"/>
                <w:color w:val="auto"/>
                <w:sz w:val="24"/>
                <w:szCs w:val="24"/>
                <w:vertAlign w:val="baseline"/>
              </w:rPr>
            </w:pPr>
            <w:r>
              <w:rPr>
                <w:rFonts w:hint="eastAsia" w:ascii="仿宋" w:hAnsi="仿宋" w:eastAsia="仿宋" w:cs="仿宋"/>
                <w:color w:val="auto"/>
                <w:spacing w:val="2"/>
                <w:sz w:val="24"/>
                <w:szCs w:val="24"/>
              </w:rPr>
              <w:t>5.绩效评价</w:t>
            </w:r>
          </w:p>
        </w:tc>
        <w:tc>
          <w:tcPr>
            <w:tcW w:w="4856" w:type="dxa"/>
            <w:vAlign w:val="top"/>
          </w:tcPr>
          <w:p w14:paraId="165A3665">
            <w:pPr>
              <w:pStyle w:val="53"/>
              <w:widowControl w:val="0"/>
              <w:spacing w:before="68" w:line="257" w:lineRule="auto"/>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通过入户调查、访谈、查阅资料等方式，对当地困难群众基本生活救助政策执行、标准落实、资金发放情况、政策知晓率及社会满意度等指标开展评价和审计。</w:t>
            </w:r>
          </w:p>
        </w:tc>
      </w:tr>
      <w:tr w14:paraId="10D4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5924C341">
            <w:pPr>
              <w:jc w:val="center"/>
              <w:rPr>
                <w:rFonts w:hint="eastAsia" w:ascii="仿宋" w:hAnsi="仿宋" w:eastAsia="仿宋" w:cs="仿宋"/>
                <w:b w:val="0"/>
                <w:bCs w:val="0"/>
                <w:color w:val="auto"/>
                <w:sz w:val="24"/>
                <w:szCs w:val="24"/>
                <w:vertAlign w:val="baseline"/>
              </w:rPr>
            </w:pPr>
          </w:p>
        </w:tc>
        <w:tc>
          <w:tcPr>
            <w:tcW w:w="2220" w:type="dxa"/>
            <w:vAlign w:val="center"/>
          </w:tcPr>
          <w:p w14:paraId="048F8195">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6.自理能力评估</w:t>
            </w:r>
          </w:p>
        </w:tc>
        <w:tc>
          <w:tcPr>
            <w:tcW w:w="4856" w:type="dxa"/>
            <w:vAlign w:val="top"/>
          </w:tcPr>
          <w:p w14:paraId="058379D4">
            <w:pPr>
              <w:pStyle w:val="53"/>
              <w:widowControl w:val="0"/>
              <w:spacing w:before="48" w:line="256" w:lineRule="auto"/>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spacing w:val="2"/>
                <w:kern w:val="0"/>
                <w:sz w:val="24"/>
                <w:szCs w:val="24"/>
                <w:lang w:val="en-US" w:eastAsia="zh-CN" w:bidi="ar-SA"/>
              </w:rPr>
              <w:t>根据进食、洗澡、穿衣、大小便控制、如厕、上下床、行走、精神状态、感知觉与社会参与等情况，对困难群众自理能力开展综合评估。</w:t>
            </w:r>
          </w:p>
        </w:tc>
      </w:tr>
      <w:tr w14:paraId="0FE2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5C9DA296">
            <w:pPr>
              <w:jc w:val="center"/>
              <w:rPr>
                <w:rFonts w:hint="eastAsia" w:ascii="仿宋" w:hAnsi="仿宋" w:eastAsia="仿宋" w:cs="仿宋"/>
                <w:b w:val="0"/>
                <w:bCs w:val="0"/>
                <w:color w:val="auto"/>
                <w:sz w:val="24"/>
                <w:szCs w:val="24"/>
                <w:vertAlign w:val="baseline"/>
              </w:rPr>
            </w:pPr>
          </w:p>
        </w:tc>
        <w:tc>
          <w:tcPr>
            <w:tcW w:w="2220" w:type="dxa"/>
            <w:vAlign w:val="center"/>
          </w:tcPr>
          <w:p w14:paraId="11AD77AC">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7.照料护理</w:t>
            </w:r>
          </w:p>
        </w:tc>
        <w:tc>
          <w:tcPr>
            <w:tcW w:w="4856" w:type="dxa"/>
            <w:vAlign w:val="top"/>
          </w:tcPr>
          <w:p w14:paraId="0D750759">
            <w:pPr>
              <w:pStyle w:val="53"/>
              <w:widowControl w:val="0"/>
              <w:spacing w:before="41" w:line="255" w:lineRule="auto"/>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spacing w:val="2"/>
                <w:kern w:val="0"/>
                <w:sz w:val="24"/>
                <w:szCs w:val="24"/>
                <w:lang w:val="en-US" w:eastAsia="zh-CN" w:bidi="ar-SA"/>
              </w:rPr>
              <w:t>对有需求困难对象提供用餐、饮水、用药、穿(脱)衣、洗漱、洗澡、如厕等生活照料、生病看护以及需求转介等服务，协助做好居所安全隐患排查，并及时向村(居)委会、乡镇(街道)报告等。</w:t>
            </w:r>
          </w:p>
        </w:tc>
      </w:tr>
      <w:tr w14:paraId="181D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43E4B656">
            <w:pPr>
              <w:jc w:val="center"/>
              <w:rPr>
                <w:rFonts w:hint="eastAsia" w:ascii="仿宋" w:hAnsi="仿宋" w:eastAsia="仿宋" w:cs="仿宋"/>
                <w:b w:val="0"/>
                <w:bCs w:val="0"/>
                <w:color w:val="auto"/>
                <w:sz w:val="24"/>
                <w:szCs w:val="24"/>
                <w:vertAlign w:val="baseline"/>
              </w:rPr>
            </w:pPr>
          </w:p>
        </w:tc>
        <w:tc>
          <w:tcPr>
            <w:tcW w:w="2220" w:type="dxa"/>
            <w:vAlign w:val="center"/>
          </w:tcPr>
          <w:p w14:paraId="688ABB45">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8.康复训练</w:t>
            </w:r>
          </w:p>
        </w:tc>
        <w:tc>
          <w:tcPr>
            <w:tcW w:w="4856" w:type="dxa"/>
            <w:vAlign w:val="top"/>
          </w:tcPr>
          <w:p w14:paraId="464472B7">
            <w:pPr>
              <w:pStyle w:val="53"/>
              <w:widowControl w:val="0"/>
              <w:spacing w:before="45" w:line="252" w:lineRule="auto"/>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spacing w:val="2"/>
                <w:kern w:val="0"/>
                <w:sz w:val="24"/>
                <w:szCs w:val="24"/>
                <w:lang w:val="en-US" w:eastAsia="zh-CN" w:bidi="ar-SA"/>
              </w:rPr>
              <w:t>制定康复训练计划，充分利用社区或家庭康复设施，帮助指导有康复需求的困难群众进行康复训练等</w:t>
            </w:r>
          </w:p>
        </w:tc>
      </w:tr>
      <w:tr w14:paraId="1DC3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0135304D">
            <w:pPr>
              <w:jc w:val="center"/>
              <w:rPr>
                <w:rFonts w:hint="eastAsia" w:ascii="仿宋" w:hAnsi="仿宋" w:eastAsia="仿宋" w:cs="仿宋"/>
                <w:b w:val="0"/>
                <w:bCs w:val="0"/>
                <w:color w:val="auto"/>
                <w:sz w:val="24"/>
                <w:szCs w:val="24"/>
                <w:vertAlign w:val="baseline"/>
              </w:rPr>
            </w:pPr>
          </w:p>
        </w:tc>
        <w:tc>
          <w:tcPr>
            <w:tcW w:w="2220" w:type="dxa"/>
            <w:vAlign w:val="center"/>
          </w:tcPr>
          <w:p w14:paraId="7AED73E2">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9.送医陪护</w:t>
            </w:r>
          </w:p>
        </w:tc>
        <w:tc>
          <w:tcPr>
            <w:tcW w:w="4856" w:type="dxa"/>
            <w:vAlign w:val="top"/>
          </w:tcPr>
          <w:p w14:paraId="5FC4B046">
            <w:pPr>
              <w:pStyle w:val="53"/>
              <w:widowControl w:val="0"/>
              <w:spacing w:before="97" w:line="219" w:lineRule="auto"/>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spacing w:val="2"/>
                <w:kern w:val="0"/>
                <w:sz w:val="24"/>
                <w:szCs w:val="24"/>
                <w:lang w:val="en-US" w:eastAsia="zh-CN" w:bidi="ar-SA"/>
              </w:rPr>
              <w:t>陪送服务对象就医，并代为挂号、取药，陪同就诊、检查及住院陪护等。</w:t>
            </w:r>
          </w:p>
        </w:tc>
      </w:tr>
      <w:tr w14:paraId="39A6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41C5C590">
            <w:pPr>
              <w:jc w:val="center"/>
              <w:rPr>
                <w:rFonts w:hint="eastAsia" w:ascii="仿宋" w:hAnsi="仿宋" w:eastAsia="仿宋" w:cs="仿宋"/>
                <w:b w:val="0"/>
                <w:bCs w:val="0"/>
                <w:color w:val="auto"/>
                <w:sz w:val="24"/>
                <w:szCs w:val="24"/>
                <w:vertAlign w:val="baseline"/>
              </w:rPr>
            </w:pPr>
          </w:p>
        </w:tc>
        <w:tc>
          <w:tcPr>
            <w:tcW w:w="2220" w:type="dxa"/>
            <w:vAlign w:val="center"/>
          </w:tcPr>
          <w:p w14:paraId="243D49EF">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10.心理疏导</w:t>
            </w:r>
          </w:p>
        </w:tc>
        <w:tc>
          <w:tcPr>
            <w:tcW w:w="4856" w:type="dxa"/>
            <w:vAlign w:val="top"/>
          </w:tcPr>
          <w:p w14:paraId="72184411">
            <w:pPr>
              <w:pStyle w:val="53"/>
              <w:widowControl w:val="0"/>
              <w:spacing w:before="67" w:line="264" w:lineRule="auto"/>
              <w:ind w:right="270" w:rightChars="0"/>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spacing w:val="2"/>
                <w:kern w:val="0"/>
                <w:sz w:val="24"/>
                <w:szCs w:val="24"/>
                <w:lang w:val="en-US" w:eastAsia="zh-CN" w:bidi="ar-SA"/>
              </w:rPr>
              <w:t>帮助困难群众抚慰消极和敌视情绪、缓解心理压力、矫正不良行为、改变负面看法，建立积极乐观上进的心态。</w:t>
            </w:r>
          </w:p>
        </w:tc>
      </w:tr>
      <w:tr w14:paraId="3E84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633F3F55">
            <w:pPr>
              <w:jc w:val="center"/>
              <w:rPr>
                <w:rFonts w:hint="eastAsia" w:ascii="仿宋" w:hAnsi="仿宋" w:eastAsia="仿宋" w:cs="仿宋"/>
                <w:b w:val="0"/>
                <w:bCs w:val="0"/>
                <w:color w:val="auto"/>
                <w:sz w:val="24"/>
                <w:szCs w:val="24"/>
                <w:vertAlign w:val="baseline"/>
              </w:rPr>
            </w:pPr>
          </w:p>
        </w:tc>
        <w:tc>
          <w:tcPr>
            <w:tcW w:w="2220" w:type="dxa"/>
            <w:vAlign w:val="center"/>
          </w:tcPr>
          <w:p w14:paraId="140C1195">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11.医疗救治</w:t>
            </w:r>
          </w:p>
        </w:tc>
        <w:tc>
          <w:tcPr>
            <w:tcW w:w="4856" w:type="dxa"/>
            <w:vAlign w:val="top"/>
          </w:tcPr>
          <w:p w14:paraId="33083C9C">
            <w:pPr>
              <w:pStyle w:val="53"/>
              <w:widowControl w:val="0"/>
              <w:spacing w:before="57" w:line="219" w:lineRule="auto"/>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spacing w:val="2"/>
                <w:kern w:val="0"/>
                <w:sz w:val="24"/>
                <w:szCs w:val="24"/>
                <w:lang w:val="en-US" w:eastAsia="zh-CN" w:bidi="ar-SA"/>
              </w:rPr>
              <w:t>对流浪乞讨人员提供疾病救治、卫生防疫、医疗康复等基本医疗服务。</w:t>
            </w:r>
          </w:p>
        </w:tc>
      </w:tr>
      <w:tr w14:paraId="543C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242CDF2B">
            <w:pPr>
              <w:jc w:val="center"/>
              <w:rPr>
                <w:rFonts w:hint="eastAsia" w:ascii="仿宋" w:hAnsi="仿宋" w:eastAsia="仿宋" w:cs="仿宋"/>
                <w:b w:val="0"/>
                <w:bCs w:val="0"/>
                <w:color w:val="auto"/>
                <w:sz w:val="24"/>
                <w:szCs w:val="24"/>
                <w:vertAlign w:val="baseline"/>
              </w:rPr>
            </w:pPr>
          </w:p>
        </w:tc>
        <w:tc>
          <w:tcPr>
            <w:tcW w:w="2220" w:type="dxa"/>
            <w:vAlign w:val="center"/>
          </w:tcPr>
          <w:p w14:paraId="339DACA4">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12.教育矫治</w:t>
            </w:r>
          </w:p>
        </w:tc>
        <w:tc>
          <w:tcPr>
            <w:tcW w:w="4856" w:type="dxa"/>
            <w:vAlign w:val="top"/>
          </w:tcPr>
          <w:p w14:paraId="2EE4C6A0">
            <w:pPr>
              <w:pStyle w:val="53"/>
              <w:widowControl w:val="0"/>
              <w:spacing w:before="58" w:line="219" w:lineRule="auto"/>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spacing w:val="2"/>
                <w:kern w:val="0"/>
                <w:sz w:val="24"/>
                <w:szCs w:val="24"/>
                <w:lang w:val="en-US" w:eastAsia="zh-CN" w:bidi="ar-SA"/>
              </w:rPr>
              <w:t>对流浪乞讨人员提供文化法制教育、心理疏导、行为矫治等服务。</w:t>
            </w:r>
          </w:p>
        </w:tc>
      </w:tr>
      <w:tr w14:paraId="27AA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4DE97EF3">
            <w:pPr>
              <w:jc w:val="center"/>
              <w:rPr>
                <w:rFonts w:hint="eastAsia" w:ascii="仿宋" w:hAnsi="仿宋" w:eastAsia="仿宋" w:cs="仿宋"/>
                <w:b w:val="0"/>
                <w:bCs w:val="0"/>
                <w:color w:val="auto"/>
                <w:sz w:val="24"/>
                <w:szCs w:val="24"/>
                <w:vertAlign w:val="baseline"/>
              </w:rPr>
            </w:pPr>
          </w:p>
        </w:tc>
        <w:tc>
          <w:tcPr>
            <w:tcW w:w="2220" w:type="dxa"/>
            <w:vAlign w:val="center"/>
          </w:tcPr>
          <w:p w14:paraId="4F7B1425">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13.临时安置</w:t>
            </w:r>
          </w:p>
        </w:tc>
        <w:tc>
          <w:tcPr>
            <w:tcW w:w="4856" w:type="dxa"/>
            <w:vAlign w:val="top"/>
          </w:tcPr>
          <w:p w14:paraId="6976E47E">
            <w:pPr>
              <w:pStyle w:val="53"/>
              <w:widowControl w:val="0"/>
              <w:spacing w:before="58" w:line="254" w:lineRule="auto"/>
              <w:ind w:right="282" w:rightChars="0"/>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spacing w:val="2"/>
                <w:kern w:val="0"/>
                <w:sz w:val="24"/>
                <w:szCs w:val="24"/>
                <w:lang w:val="en-US" w:eastAsia="zh-CN" w:bidi="ar-SA"/>
              </w:rPr>
              <w:t>对暂时查找不到户籍、无家可归的流浪乞讨人员提供养育照料、生活护理等服务。</w:t>
            </w:r>
          </w:p>
        </w:tc>
      </w:tr>
      <w:tr w14:paraId="79EB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3568EE6F">
            <w:pPr>
              <w:jc w:val="center"/>
              <w:rPr>
                <w:rFonts w:hint="eastAsia" w:ascii="仿宋" w:hAnsi="仿宋" w:eastAsia="仿宋" w:cs="仿宋"/>
                <w:b w:val="0"/>
                <w:bCs w:val="0"/>
                <w:color w:val="auto"/>
                <w:sz w:val="24"/>
                <w:szCs w:val="24"/>
                <w:vertAlign w:val="baseline"/>
              </w:rPr>
            </w:pPr>
          </w:p>
        </w:tc>
        <w:tc>
          <w:tcPr>
            <w:tcW w:w="2220" w:type="dxa"/>
            <w:vAlign w:val="center"/>
          </w:tcPr>
          <w:p w14:paraId="0E025D96">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14.未成年人社会保护</w:t>
            </w:r>
          </w:p>
        </w:tc>
        <w:tc>
          <w:tcPr>
            <w:tcW w:w="4856" w:type="dxa"/>
            <w:vAlign w:val="top"/>
          </w:tcPr>
          <w:p w14:paraId="2201CD1B">
            <w:pPr>
              <w:pStyle w:val="53"/>
              <w:widowControl w:val="0"/>
              <w:spacing w:before="61" w:line="262" w:lineRule="auto"/>
              <w:ind w:right="264" w:rightChars="0"/>
              <w:jc w:val="both"/>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spacing w:val="2"/>
                <w:kern w:val="0"/>
                <w:sz w:val="24"/>
                <w:szCs w:val="24"/>
                <w:lang w:val="en-US" w:eastAsia="zh-CN" w:bidi="ar-SA"/>
              </w:rPr>
              <w:t>未成年人保护机构、救助管理站开展的对留守儿童、困境儿童、流浪乞讨儿童的应急处置、救助帮扶、监护支持、精神关爱等未成年人社会保护性服务。</w:t>
            </w:r>
          </w:p>
        </w:tc>
      </w:tr>
      <w:tr w14:paraId="3417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vAlign w:val="center"/>
          </w:tcPr>
          <w:p w14:paraId="686B3D2F">
            <w:pPr>
              <w:jc w:val="center"/>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养老服务</w:t>
            </w:r>
          </w:p>
        </w:tc>
        <w:tc>
          <w:tcPr>
            <w:tcW w:w="2220" w:type="dxa"/>
            <w:vAlign w:val="center"/>
          </w:tcPr>
          <w:p w14:paraId="445912E7">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1.开展特殊困难老年人居家探视巡访</w:t>
            </w:r>
          </w:p>
        </w:tc>
        <w:tc>
          <w:tcPr>
            <w:tcW w:w="4856" w:type="dxa"/>
            <w:vAlign w:val="center"/>
          </w:tcPr>
          <w:p w14:paraId="12E96042">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协助建立高龄、空巢、留守等特殊困难老年人信息台账，重点排查存在安全风险和生活困难的老年人；对高龄、空巢、留守等特殊困难老年人开展探视巡访，了解老年人健康状况、精神状态、居所安全、居住卫生环境等，依据其困难情况，帮助链接资源对其进行救助帮扶</w:t>
            </w:r>
          </w:p>
        </w:tc>
      </w:tr>
      <w:tr w14:paraId="3FC9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781A39BA">
            <w:pPr>
              <w:jc w:val="center"/>
              <w:rPr>
                <w:rFonts w:hint="eastAsia" w:ascii="仿宋" w:hAnsi="仿宋" w:eastAsia="仿宋" w:cs="仿宋"/>
                <w:b w:val="0"/>
                <w:bCs w:val="0"/>
                <w:color w:val="auto"/>
                <w:sz w:val="24"/>
                <w:szCs w:val="24"/>
                <w:vertAlign w:val="baseline"/>
              </w:rPr>
            </w:pPr>
          </w:p>
        </w:tc>
        <w:tc>
          <w:tcPr>
            <w:tcW w:w="2220" w:type="dxa"/>
            <w:vAlign w:val="center"/>
          </w:tcPr>
          <w:p w14:paraId="273AE074">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2.救助服务</w:t>
            </w:r>
          </w:p>
        </w:tc>
        <w:tc>
          <w:tcPr>
            <w:tcW w:w="4856" w:type="dxa"/>
            <w:vAlign w:val="center"/>
          </w:tcPr>
          <w:p w14:paraId="219ABC85">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协助评估特殊困难老年人身体状况、居住环境、经济状况等，摸底排查特 殊困难老年人生活状况，确立风险等级。协助符合条件的老年人申请最低 生活保障、特困人员供养、医疗救助、住房救助等社会救助政策。链接公 益慈善、志愿服务等社会资源为特殊困难老年人提供援助</w:t>
            </w:r>
          </w:p>
        </w:tc>
      </w:tr>
      <w:tr w14:paraId="4A71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3D754B5A">
            <w:pPr>
              <w:jc w:val="center"/>
              <w:rPr>
                <w:rFonts w:hint="eastAsia" w:ascii="仿宋" w:hAnsi="仿宋" w:eastAsia="仿宋" w:cs="仿宋"/>
                <w:b w:val="0"/>
                <w:bCs w:val="0"/>
                <w:color w:val="auto"/>
                <w:sz w:val="24"/>
                <w:szCs w:val="24"/>
                <w:vertAlign w:val="baseline"/>
              </w:rPr>
            </w:pPr>
          </w:p>
        </w:tc>
        <w:tc>
          <w:tcPr>
            <w:tcW w:w="2220" w:type="dxa"/>
            <w:vAlign w:val="center"/>
          </w:tcPr>
          <w:p w14:paraId="44C67FA1">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3.参与社区居家养老服务</w:t>
            </w:r>
          </w:p>
        </w:tc>
        <w:tc>
          <w:tcPr>
            <w:tcW w:w="4856" w:type="dxa"/>
            <w:vAlign w:val="center"/>
          </w:tcPr>
          <w:p w14:paraId="251BE9CE">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在社区居家养老服务中心，开展多种形式的社会支持、学习教育、文化娱乐等活动，协助有需要的老年人获得居家照顾和社区日间照料等服务，帮助链接居家社区、机构养老服务资源</w:t>
            </w:r>
          </w:p>
        </w:tc>
      </w:tr>
      <w:tr w14:paraId="5E51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4E954230">
            <w:pPr>
              <w:jc w:val="center"/>
              <w:rPr>
                <w:rFonts w:hint="eastAsia" w:ascii="仿宋" w:hAnsi="仿宋" w:eastAsia="仿宋" w:cs="仿宋"/>
                <w:b w:val="0"/>
                <w:bCs w:val="0"/>
                <w:color w:val="auto"/>
                <w:sz w:val="24"/>
                <w:szCs w:val="24"/>
                <w:vertAlign w:val="baseline"/>
              </w:rPr>
            </w:pPr>
          </w:p>
        </w:tc>
        <w:tc>
          <w:tcPr>
            <w:tcW w:w="2220" w:type="dxa"/>
            <w:vAlign w:val="center"/>
          </w:tcPr>
          <w:p w14:paraId="34EEE0F4">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4.机构养老服务</w:t>
            </w:r>
          </w:p>
        </w:tc>
        <w:tc>
          <w:tcPr>
            <w:tcW w:w="4856" w:type="dxa"/>
            <w:vAlign w:val="center"/>
          </w:tcPr>
          <w:p w14:paraId="69C46182">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鼓励专业人员介入机构养老服务，对入住老年人的问题和需求进行综合评估，为老年人提供社会支持、心理慰藉、危机干预、政策咨询等服务，帮助老年人适应机构生活，拓展老年人社交，开展丰富多彩的文化娱乐活动</w:t>
            </w:r>
          </w:p>
        </w:tc>
      </w:tr>
      <w:tr w14:paraId="6195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5011E855">
            <w:pPr>
              <w:jc w:val="center"/>
              <w:rPr>
                <w:rFonts w:hint="eastAsia" w:ascii="仿宋" w:hAnsi="仿宋" w:eastAsia="仿宋" w:cs="仿宋"/>
                <w:b w:val="0"/>
                <w:bCs w:val="0"/>
                <w:color w:val="auto"/>
                <w:sz w:val="24"/>
                <w:szCs w:val="24"/>
                <w:vertAlign w:val="baseline"/>
              </w:rPr>
            </w:pPr>
          </w:p>
        </w:tc>
        <w:tc>
          <w:tcPr>
            <w:tcW w:w="2220" w:type="dxa"/>
            <w:vAlign w:val="center"/>
          </w:tcPr>
          <w:p w14:paraId="041506A4">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5.权益保障</w:t>
            </w:r>
          </w:p>
        </w:tc>
        <w:tc>
          <w:tcPr>
            <w:tcW w:w="4856" w:type="dxa"/>
            <w:vAlign w:val="center"/>
          </w:tcPr>
          <w:p w14:paraId="2123C77D">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与有关部门和专业人士共同维护和保障老年人的财产处置和婚姻自由等合法权益不受侵犯。排查老年人有可能遭遇的风险，包括受虐待、被遗弃或疏于照顾等特殊问题，经发现后及时开展危机介入服务。协助老年人开展养老规划，帮助和引导符合条件的老年人申请和享受来自街道(镇)、社区(村)和养老机构的有关服务和政策支持。开展社区宣传和社区教育，防止老年人遭遇不公平对待或社会歧视，防范化解以养老服务为名的非法集资风险。</w:t>
            </w:r>
          </w:p>
        </w:tc>
      </w:tr>
      <w:tr w14:paraId="275D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vAlign w:val="center"/>
          </w:tcPr>
          <w:p w14:paraId="688FA7A9">
            <w:pPr>
              <w:jc w:val="center"/>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儿童服务</w:t>
            </w:r>
          </w:p>
        </w:tc>
        <w:tc>
          <w:tcPr>
            <w:tcW w:w="2220" w:type="dxa"/>
            <w:vAlign w:val="center"/>
          </w:tcPr>
          <w:p w14:paraId="2B5B3416">
            <w:pPr>
              <w:jc w:val="center"/>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1.家庭随访</w:t>
            </w:r>
          </w:p>
        </w:tc>
        <w:tc>
          <w:tcPr>
            <w:tcW w:w="4856" w:type="dxa"/>
            <w:vAlign w:val="center"/>
          </w:tcPr>
          <w:p w14:paraId="7A101CC9">
            <w:pPr>
              <w:jc w:val="left"/>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采取入户调查、邻里访问等方式，了解评估辖区常住儿童家庭养育、照料护理、居住条件、身体状况、学习状况等相关情况。全面掌握孤儿、艾滋病病毒感染儿童、事实无人抚养儿童等困境儿童、留守儿童和流动儿童情况，开展排查、登记、建档、核查工作。评估儿童监护状况及流动儿童面临问题、迫切需求、优势资源，建立服务档案，为合理设计和提供儿童服务提供依据。</w:t>
            </w:r>
          </w:p>
        </w:tc>
      </w:tr>
      <w:tr w14:paraId="41C2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7458BB3C">
            <w:pPr>
              <w:jc w:val="center"/>
              <w:rPr>
                <w:rFonts w:hint="eastAsia" w:ascii="仿宋" w:hAnsi="仿宋" w:eastAsia="仿宋" w:cs="仿宋"/>
                <w:b w:val="0"/>
                <w:bCs w:val="0"/>
                <w:color w:val="auto"/>
                <w:sz w:val="24"/>
                <w:szCs w:val="24"/>
                <w:vertAlign w:val="baseline"/>
              </w:rPr>
            </w:pPr>
          </w:p>
        </w:tc>
        <w:tc>
          <w:tcPr>
            <w:tcW w:w="2220" w:type="dxa"/>
            <w:vAlign w:val="center"/>
          </w:tcPr>
          <w:p w14:paraId="33545981">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2.危机介入</w:t>
            </w:r>
          </w:p>
        </w:tc>
        <w:tc>
          <w:tcPr>
            <w:tcW w:w="4856" w:type="dxa"/>
            <w:vAlign w:val="center"/>
          </w:tcPr>
          <w:p w14:paraId="60DADA4E">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对遭受性侵害、家庭暴力、欺凌等伤害事件或处于成长危机和情境危机的儿童进行重点核查，对其安全处境、监护情况、身心健康状况等进行调查评估，评估结果反馈相关部门，协同相关部门排除风险；对已经遭受侵害的儿童，提供紧急保护措施，如安置到临时庇护场所、未成年人救助保护机构或者福利机构实施保护，协助其就医、鉴定伤情、调查取证、协助维权。</w:t>
            </w:r>
          </w:p>
        </w:tc>
      </w:tr>
      <w:tr w14:paraId="196D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05FF10F5">
            <w:pPr>
              <w:jc w:val="center"/>
              <w:rPr>
                <w:rFonts w:hint="eastAsia" w:ascii="仿宋" w:hAnsi="仿宋" w:eastAsia="仿宋" w:cs="仿宋"/>
                <w:b w:val="0"/>
                <w:bCs w:val="0"/>
                <w:color w:val="auto"/>
                <w:sz w:val="24"/>
                <w:szCs w:val="24"/>
                <w:vertAlign w:val="baseline"/>
              </w:rPr>
            </w:pPr>
          </w:p>
        </w:tc>
        <w:tc>
          <w:tcPr>
            <w:tcW w:w="2220" w:type="dxa"/>
            <w:vAlign w:val="center"/>
          </w:tcPr>
          <w:p w14:paraId="2E242AD5">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3.家庭教育</w:t>
            </w:r>
          </w:p>
        </w:tc>
        <w:tc>
          <w:tcPr>
            <w:tcW w:w="4856" w:type="dxa"/>
            <w:vAlign w:val="center"/>
          </w:tcPr>
          <w:p w14:paraId="3CC2EFFF">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开展儿童监护法制宣传和家庭暴力预防教育等活动，指导儿童监护人履行抚养义务和监护责任，提升儿童家庭监护人的法制观念和教育理念。为儿童及其家庭提供安全自护教育、调适亲子关系、代际关系、增进家庭情感联结和亲情交流等关爱服务。</w:t>
            </w:r>
          </w:p>
        </w:tc>
      </w:tr>
      <w:tr w14:paraId="7CCD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47105B3D">
            <w:pPr>
              <w:jc w:val="center"/>
              <w:rPr>
                <w:rFonts w:hint="eastAsia" w:ascii="仿宋" w:hAnsi="仿宋" w:eastAsia="仿宋" w:cs="仿宋"/>
                <w:b w:val="0"/>
                <w:bCs w:val="0"/>
                <w:color w:val="auto"/>
                <w:sz w:val="24"/>
                <w:szCs w:val="24"/>
                <w:vertAlign w:val="baseline"/>
              </w:rPr>
            </w:pPr>
          </w:p>
        </w:tc>
        <w:tc>
          <w:tcPr>
            <w:tcW w:w="2220" w:type="dxa"/>
            <w:vAlign w:val="center"/>
          </w:tcPr>
          <w:p w14:paraId="44F77462">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4.社会关爱</w:t>
            </w:r>
          </w:p>
        </w:tc>
        <w:tc>
          <w:tcPr>
            <w:tcW w:w="4856" w:type="dxa"/>
            <w:vAlign w:val="center"/>
          </w:tcPr>
          <w:p w14:paraId="7A6D726B">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协助(村)居委会开展农村留守儿童、困境儿童学业帮扶及安全教育等活动，提供儿童心理健康教育、支持与疏导，开展儿童社会化引导，促进社会融入，开展宣传培训。</w:t>
            </w:r>
          </w:p>
        </w:tc>
      </w:tr>
      <w:tr w14:paraId="0E67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vAlign w:val="center"/>
          </w:tcPr>
          <w:p w14:paraId="0754C74C">
            <w:pPr>
              <w:jc w:val="center"/>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社会事务服务</w:t>
            </w:r>
          </w:p>
        </w:tc>
        <w:tc>
          <w:tcPr>
            <w:tcW w:w="2220" w:type="dxa"/>
            <w:vAlign w:val="center"/>
          </w:tcPr>
          <w:p w14:paraId="23F40B97">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1.殡葬服务</w:t>
            </w:r>
          </w:p>
        </w:tc>
        <w:tc>
          <w:tcPr>
            <w:tcW w:w="4856" w:type="dxa"/>
            <w:vAlign w:val="center"/>
          </w:tcPr>
          <w:p w14:paraId="51C378E3">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开展殡葬政策法规宣传教育，倡导绿色殡葬理念、节地生态安葬方式。向辖区居民提供治丧需求服务，配合开展生命教育，协助对接殡葬服务机构，建立服务档案，统计服务数据。</w:t>
            </w:r>
          </w:p>
        </w:tc>
      </w:tr>
      <w:tr w14:paraId="2DFA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75C97954">
            <w:pPr>
              <w:jc w:val="center"/>
              <w:rPr>
                <w:rFonts w:hint="eastAsia" w:ascii="仿宋" w:hAnsi="仿宋" w:eastAsia="仿宋" w:cs="仿宋"/>
                <w:b w:val="0"/>
                <w:bCs w:val="0"/>
                <w:color w:val="auto"/>
                <w:sz w:val="24"/>
                <w:szCs w:val="24"/>
                <w:vertAlign w:val="baseline"/>
              </w:rPr>
            </w:pPr>
          </w:p>
        </w:tc>
        <w:tc>
          <w:tcPr>
            <w:tcW w:w="2220" w:type="dxa"/>
            <w:vAlign w:val="center"/>
          </w:tcPr>
          <w:p w14:paraId="1D079F5C">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2.婚姻家庭服务</w:t>
            </w:r>
          </w:p>
        </w:tc>
        <w:tc>
          <w:tcPr>
            <w:tcW w:w="4856" w:type="dxa"/>
            <w:vAlign w:val="center"/>
          </w:tcPr>
          <w:p w14:paraId="13F3A0D7">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开展婚恋观、婚育观教育；提供家庭行为学习及家庭心理健康教育；组织婚姻家庭辅导，预防发生家庭暴力等事件；为遭遇家庭暴力的成员及遭遇重大变故的家庭提供危机介入和帮助；宣传婚姻法律法规，倡导文明婚俗。</w:t>
            </w:r>
          </w:p>
        </w:tc>
      </w:tr>
      <w:tr w14:paraId="5108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464FBFB4">
            <w:pPr>
              <w:jc w:val="center"/>
              <w:rPr>
                <w:rFonts w:hint="eastAsia" w:ascii="仿宋" w:hAnsi="仿宋" w:eastAsia="仿宋" w:cs="仿宋"/>
                <w:b w:val="0"/>
                <w:bCs w:val="0"/>
                <w:color w:val="auto"/>
                <w:sz w:val="24"/>
                <w:szCs w:val="24"/>
                <w:vertAlign w:val="baseline"/>
              </w:rPr>
            </w:pPr>
          </w:p>
        </w:tc>
        <w:tc>
          <w:tcPr>
            <w:tcW w:w="2220" w:type="dxa"/>
            <w:vAlign w:val="center"/>
          </w:tcPr>
          <w:p w14:paraId="58697A78">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3.残疾人服务</w:t>
            </w:r>
          </w:p>
        </w:tc>
        <w:tc>
          <w:tcPr>
            <w:tcW w:w="4856" w:type="dxa"/>
            <w:vAlign w:val="center"/>
          </w:tcPr>
          <w:p w14:paraId="50B28A34">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入户巡访了解残疾人及其家庭情况，进行综合评估，协助符合条件但未申请残疾人两项补贴的主动申请，对不符合条件的根据困难程度链接其他救助帮扶资源。</w:t>
            </w:r>
          </w:p>
        </w:tc>
      </w:tr>
      <w:tr w14:paraId="2953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7FECAFBA">
            <w:pPr>
              <w:jc w:val="center"/>
              <w:rPr>
                <w:rFonts w:hint="eastAsia" w:ascii="仿宋" w:hAnsi="仿宋" w:eastAsia="仿宋" w:cs="仿宋"/>
                <w:b w:val="0"/>
                <w:bCs w:val="0"/>
                <w:color w:val="auto"/>
                <w:sz w:val="24"/>
                <w:szCs w:val="24"/>
                <w:vertAlign w:val="baseline"/>
              </w:rPr>
            </w:pPr>
          </w:p>
        </w:tc>
        <w:tc>
          <w:tcPr>
            <w:tcW w:w="2220" w:type="dxa"/>
            <w:vAlign w:val="center"/>
          </w:tcPr>
          <w:p w14:paraId="6DF4CB2F">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4.精神障碍社区康复服务</w:t>
            </w:r>
          </w:p>
        </w:tc>
        <w:tc>
          <w:tcPr>
            <w:tcW w:w="4856" w:type="dxa"/>
            <w:vAlign w:val="center"/>
          </w:tcPr>
          <w:p w14:paraId="0EE6201D">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围绕精神障碍患者提高生活自理能力、社会适应力、恢复职业能力等，开展精神障碍社区康复服务，帮助精神障碍患者融入社会、回归家庭。</w:t>
            </w:r>
          </w:p>
        </w:tc>
      </w:tr>
      <w:tr w14:paraId="799C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17469C41">
            <w:pPr>
              <w:jc w:val="center"/>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流浪乞讨服务</w:t>
            </w:r>
          </w:p>
        </w:tc>
        <w:tc>
          <w:tcPr>
            <w:tcW w:w="2220" w:type="dxa"/>
            <w:vAlign w:val="center"/>
          </w:tcPr>
          <w:p w14:paraId="78310B54">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流浪乞讨人员救助服务</w:t>
            </w:r>
          </w:p>
        </w:tc>
        <w:tc>
          <w:tcPr>
            <w:tcW w:w="4856" w:type="dxa"/>
            <w:vAlign w:val="center"/>
          </w:tcPr>
          <w:p w14:paraId="357790C8">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协助开展流浪乞讨人员的临时救助管理、心理疏导、接收送返及寻亲安置工作；协助开展街面巡回救助和转介服务；推动流浪乞讨源头预防和治理工作，维护易流浪走失人员信息库和帮扶台账，帮助落实相关救助政策等。</w:t>
            </w:r>
          </w:p>
        </w:tc>
      </w:tr>
      <w:tr w14:paraId="14CB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vAlign w:val="center"/>
          </w:tcPr>
          <w:p w14:paraId="7AB7534B">
            <w:pPr>
              <w:jc w:val="center"/>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社会组织服务</w:t>
            </w:r>
          </w:p>
        </w:tc>
        <w:tc>
          <w:tcPr>
            <w:tcW w:w="2220" w:type="dxa"/>
            <w:vAlign w:val="center"/>
          </w:tcPr>
          <w:p w14:paraId="6332B9D3">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1.孵化培育</w:t>
            </w:r>
          </w:p>
        </w:tc>
        <w:tc>
          <w:tcPr>
            <w:tcW w:w="4856" w:type="dxa"/>
            <w:vAlign w:val="center"/>
          </w:tcPr>
          <w:p w14:paraId="3C23ADC7">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重点培育和孵化为低保对象、特困人员、空巢老人、农村留守人员、困境儿童、残疾人、困难家庭等特定群体服务的公益慈善类社区社会组织，引导和支持社区社会组织为社区困难群众提供生活照料、文体娱乐、人文关怀、医疗保健等各类社会服务。</w:t>
            </w:r>
          </w:p>
        </w:tc>
      </w:tr>
      <w:tr w14:paraId="466C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2C19F073">
            <w:pPr>
              <w:jc w:val="center"/>
              <w:rPr>
                <w:rFonts w:hint="eastAsia" w:ascii="仿宋" w:hAnsi="仿宋" w:eastAsia="仿宋" w:cs="仿宋"/>
                <w:b w:val="0"/>
                <w:bCs w:val="0"/>
                <w:color w:val="auto"/>
                <w:sz w:val="24"/>
                <w:szCs w:val="24"/>
                <w:vertAlign w:val="baseline"/>
              </w:rPr>
            </w:pPr>
          </w:p>
        </w:tc>
        <w:tc>
          <w:tcPr>
            <w:tcW w:w="2220" w:type="dxa"/>
            <w:vAlign w:val="center"/>
          </w:tcPr>
          <w:p w14:paraId="27E9ED7F">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2.能力建设</w:t>
            </w:r>
          </w:p>
        </w:tc>
        <w:tc>
          <w:tcPr>
            <w:tcW w:w="4856" w:type="dxa"/>
            <w:vAlign w:val="center"/>
          </w:tcPr>
          <w:p w14:paraId="4136678A">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指导社区社会组织加强项目开发能力，通过举办社区服务项目交流会、公益创投竞赛等方式，强化社区社会组织项目意识，提升需求调研、项目设计、项目实施水平，提升服务能力。</w:t>
            </w:r>
          </w:p>
        </w:tc>
      </w:tr>
      <w:tr w14:paraId="5284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430549E2">
            <w:pPr>
              <w:jc w:val="center"/>
              <w:rPr>
                <w:rFonts w:hint="eastAsia" w:ascii="仿宋" w:hAnsi="仿宋" w:eastAsia="仿宋" w:cs="仿宋"/>
                <w:b w:val="0"/>
                <w:bCs w:val="0"/>
                <w:color w:val="auto"/>
                <w:sz w:val="24"/>
                <w:szCs w:val="24"/>
                <w:vertAlign w:val="baseline"/>
              </w:rPr>
            </w:pPr>
          </w:p>
        </w:tc>
        <w:tc>
          <w:tcPr>
            <w:tcW w:w="2220" w:type="dxa"/>
            <w:vAlign w:val="center"/>
          </w:tcPr>
          <w:p w14:paraId="6BBE0726">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3.辅助性服务</w:t>
            </w:r>
          </w:p>
        </w:tc>
        <w:tc>
          <w:tcPr>
            <w:tcW w:w="4856" w:type="dxa"/>
            <w:vAlign w:val="center"/>
          </w:tcPr>
          <w:p w14:paraId="79ED05CE">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开展社区社会组织培育发展的辅助性服务。</w:t>
            </w:r>
          </w:p>
        </w:tc>
      </w:tr>
      <w:tr w14:paraId="7AE0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vAlign w:val="center"/>
          </w:tcPr>
          <w:p w14:paraId="1FB5EDA8">
            <w:pPr>
              <w:jc w:val="center"/>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慈善事业发展</w:t>
            </w:r>
          </w:p>
        </w:tc>
        <w:tc>
          <w:tcPr>
            <w:tcW w:w="2220" w:type="dxa"/>
            <w:vAlign w:val="center"/>
          </w:tcPr>
          <w:p w14:paraId="2DA7094B">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1.链接慈善资源</w:t>
            </w:r>
          </w:p>
        </w:tc>
        <w:tc>
          <w:tcPr>
            <w:tcW w:w="4856" w:type="dxa"/>
            <w:vAlign w:val="center"/>
          </w:tcPr>
          <w:p w14:paraId="2DC03EF2">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引导慈善资源下沉基层，鼓励社会各界通过慈善捐赠、设立慈善信托、设立社区慈善基金、提供慈善公益服务等方式，参与公益慈善事业。加强与慈善组织和慈善行业组织合作，实施开展公益慈善活动。</w:t>
            </w:r>
          </w:p>
        </w:tc>
      </w:tr>
      <w:tr w14:paraId="04FB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70324349">
            <w:pPr>
              <w:jc w:val="center"/>
              <w:rPr>
                <w:rFonts w:hint="eastAsia" w:ascii="仿宋" w:hAnsi="仿宋" w:eastAsia="仿宋" w:cs="仿宋"/>
                <w:b w:val="0"/>
                <w:bCs w:val="0"/>
                <w:color w:val="auto"/>
                <w:sz w:val="24"/>
                <w:szCs w:val="24"/>
                <w:vertAlign w:val="baseline"/>
              </w:rPr>
            </w:pPr>
          </w:p>
        </w:tc>
        <w:tc>
          <w:tcPr>
            <w:tcW w:w="2220" w:type="dxa"/>
            <w:vAlign w:val="center"/>
          </w:tcPr>
          <w:p w14:paraId="0D758FCD">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2.慈善帮扶</w:t>
            </w:r>
          </w:p>
        </w:tc>
        <w:tc>
          <w:tcPr>
            <w:tcW w:w="4856" w:type="dxa"/>
            <w:vAlign w:val="center"/>
          </w:tcPr>
          <w:p w14:paraId="400E6283">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促进慈善帮扶与政府救助的有效衔接，为民政服务对象提供慈善帮扶；推动社区慈善发展，搭建社区慈善帮扶平台，为家门口参与慈善提供良好条件。</w:t>
            </w:r>
          </w:p>
        </w:tc>
      </w:tr>
      <w:tr w14:paraId="2A03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485E7708">
            <w:pPr>
              <w:jc w:val="center"/>
              <w:rPr>
                <w:rFonts w:hint="eastAsia" w:ascii="仿宋" w:hAnsi="仿宋" w:eastAsia="仿宋" w:cs="仿宋"/>
                <w:b w:val="0"/>
                <w:bCs w:val="0"/>
                <w:color w:val="auto"/>
                <w:sz w:val="24"/>
                <w:szCs w:val="24"/>
                <w:vertAlign w:val="baseline"/>
              </w:rPr>
            </w:pPr>
          </w:p>
        </w:tc>
        <w:tc>
          <w:tcPr>
            <w:tcW w:w="2220" w:type="dxa"/>
            <w:vAlign w:val="center"/>
          </w:tcPr>
          <w:p w14:paraId="61FECADB">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3.慈善文化宣传</w:t>
            </w:r>
          </w:p>
        </w:tc>
        <w:tc>
          <w:tcPr>
            <w:tcW w:w="4856" w:type="dxa"/>
            <w:vAlign w:val="center"/>
          </w:tcPr>
          <w:p w14:paraId="77C64D44">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利用线上线下等各类媒介宣传普及慈善事业发展等民政相关政策，提升政策知晓率；开展“中华慈善日”等主题宣传活动，弘扬慈善文化、典型事迹，营造“人人参与慈善人人心怀慈善”良好氛围。</w:t>
            </w:r>
          </w:p>
        </w:tc>
      </w:tr>
      <w:tr w14:paraId="3993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vAlign w:val="center"/>
          </w:tcPr>
          <w:p w14:paraId="13A97F2B">
            <w:pPr>
              <w:jc w:val="center"/>
              <w:rPr>
                <w:rFonts w:hint="eastAsia" w:ascii="仿宋" w:hAnsi="仿宋" w:eastAsia="仿宋" w:cs="仿宋"/>
                <w:b w:val="0"/>
                <w:bCs w:val="0"/>
                <w:color w:val="auto"/>
                <w:sz w:val="24"/>
                <w:szCs w:val="24"/>
                <w:vertAlign w:val="baseline"/>
              </w:rPr>
            </w:pPr>
            <w:r>
              <w:rPr>
                <w:rFonts w:hint="eastAsia" w:ascii="仿宋" w:hAnsi="仿宋" w:eastAsia="仿宋" w:cs="仿宋"/>
                <w:snapToGrid w:val="0"/>
                <w:color w:val="auto"/>
                <w:kern w:val="0"/>
                <w:sz w:val="24"/>
                <w:szCs w:val="24"/>
                <w:lang w:val="en-US" w:eastAsia="zh-CN" w:bidi="ar-SA"/>
              </w:rPr>
              <w:t>老龄工作</w:t>
            </w:r>
          </w:p>
        </w:tc>
        <w:tc>
          <w:tcPr>
            <w:tcW w:w="2220" w:type="dxa"/>
            <w:vAlign w:val="center"/>
          </w:tcPr>
          <w:p w14:paraId="2F81F553">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1.老年人权益保障</w:t>
            </w:r>
          </w:p>
        </w:tc>
        <w:tc>
          <w:tcPr>
            <w:tcW w:w="4856" w:type="dxa"/>
            <w:vAlign w:val="center"/>
          </w:tcPr>
          <w:p w14:paraId="1637A995">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开展经常性的老年人权益保障宣传教育，普及老年人权益保障法律、法规、政策和个人信息安全、投资消费安全、健康保健等相关知识，提升老年人识骗防骗能力，提高老年人运用法律手段保护权益意识。加强对辖区内涉老婚姻家庭、侵权等矛盾纠纷的预警、排查、调解等工作，定期开展辖区内老年人权益保障相关法律法规落实情况自查。</w:t>
            </w:r>
          </w:p>
        </w:tc>
      </w:tr>
      <w:tr w14:paraId="35C5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0BB1A039">
            <w:pPr>
              <w:jc w:val="center"/>
              <w:rPr>
                <w:rFonts w:hint="eastAsia" w:ascii="仿宋" w:hAnsi="仿宋" w:eastAsia="仿宋" w:cs="仿宋"/>
                <w:b w:val="0"/>
                <w:bCs w:val="0"/>
                <w:color w:val="auto"/>
                <w:sz w:val="24"/>
                <w:szCs w:val="24"/>
                <w:vertAlign w:val="baseline"/>
              </w:rPr>
            </w:pPr>
          </w:p>
        </w:tc>
        <w:tc>
          <w:tcPr>
            <w:tcW w:w="2220" w:type="dxa"/>
            <w:vAlign w:val="center"/>
          </w:tcPr>
          <w:p w14:paraId="1E1DD44D">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2.老年人法律援助</w:t>
            </w:r>
          </w:p>
        </w:tc>
        <w:tc>
          <w:tcPr>
            <w:tcW w:w="4856" w:type="dxa"/>
            <w:vAlign w:val="center"/>
          </w:tcPr>
          <w:p w14:paraId="3A338D53">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加大老年人法律援助服务，为农村、高龄、空巢、失能、残疾等特殊困难老年人群体提供法律服务、法律援助和司法救助，提升辖区内老年人法律援助服务质量。</w:t>
            </w:r>
          </w:p>
        </w:tc>
      </w:tr>
      <w:tr w14:paraId="5F7B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60ED9ED6">
            <w:pPr>
              <w:jc w:val="center"/>
              <w:rPr>
                <w:rFonts w:hint="eastAsia" w:ascii="仿宋" w:hAnsi="仿宋" w:eastAsia="仿宋" w:cs="仿宋"/>
                <w:b w:val="0"/>
                <w:bCs w:val="0"/>
                <w:color w:val="auto"/>
                <w:sz w:val="24"/>
                <w:szCs w:val="24"/>
                <w:vertAlign w:val="baseline"/>
              </w:rPr>
            </w:pPr>
          </w:p>
        </w:tc>
        <w:tc>
          <w:tcPr>
            <w:tcW w:w="2220" w:type="dxa"/>
            <w:vAlign w:val="center"/>
          </w:tcPr>
          <w:p w14:paraId="1815E7AC">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3.开展人口老龄化国情教育</w:t>
            </w:r>
          </w:p>
        </w:tc>
        <w:tc>
          <w:tcPr>
            <w:tcW w:w="4856" w:type="dxa"/>
            <w:vAlign w:val="center"/>
          </w:tcPr>
          <w:p w14:paraId="220626C6">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在辖区内开展人口老龄化国情教育，增强辖区群众积极应对人口老龄化 意识。广泛开展敬老、养老、助老宣传教育活动，树立尊重、关心、帮 助老年人的社会风尚。组织人员进校园、进社区、进企业进行敬老、养 老、助老的道德教育和维护老年人合法权益的宣传宣讲活动。</w:t>
            </w:r>
          </w:p>
        </w:tc>
      </w:tr>
      <w:tr w14:paraId="7DA4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vAlign w:val="center"/>
          </w:tcPr>
          <w:p w14:paraId="16D340FB">
            <w:pPr>
              <w:jc w:val="center"/>
              <w:rPr>
                <w:rFonts w:hint="eastAsia" w:ascii="仿宋" w:hAnsi="仿宋" w:eastAsia="仿宋" w:cs="仿宋"/>
                <w:b w:val="0"/>
                <w:bCs w:val="0"/>
                <w:color w:val="auto"/>
                <w:sz w:val="24"/>
                <w:szCs w:val="24"/>
                <w:vertAlign w:val="baseline"/>
              </w:rPr>
            </w:pPr>
          </w:p>
        </w:tc>
        <w:tc>
          <w:tcPr>
            <w:tcW w:w="2220" w:type="dxa"/>
            <w:vAlign w:val="center"/>
          </w:tcPr>
          <w:p w14:paraId="1F74D7EC">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4.丰富老年人精神文化生活</w:t>
            </w:r>
          </w:p>
        </w:tc>
        <w:tc>
          <w:tcPr>
            <w:tcW w:w="4856" w:type="dxa"/>
            <w:vAlign w:val="center"/>
          </w:tcPr>
          <w:p w14:paraId="7EDAD569">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搭建老年人文体活动交流展示平台，组织举办老年文艺演出、运动会等各类文体活动。</w:t>
            </w:r>
          </w:p>
        </w:tc>
      </w:tr>
    </w:tbl>
    <w:p w14:paraId="7B7D13C7">
      <w:pPr>
        <w:pStyle w:val="7"/>
        <w:numPr>
          <w:ilvl w:val="0"/>
          <w:numId w:val="0"/>
        </w:numPr>
        <w:tabs>
          <w:tab w:val="left" w:pos="567"/>
          <w:tab w:val="left" w:pos="780"/>
        </w:tabs>
        <w:ind w:leftChars="200"/>
        <w:rPr>
          <w:rFonts w:hint="eastAsia" w:ascii="仿宋" w:hAnsi="仿宋" w:eastAsia="仿宋" w:cs="仿宋"/>
          <w:b/>
          <w:bCs w:val="0"/>
          <w:color w:val="auto"/>
          <w:spacing w:val="1"/>
          <w:sz w:val="24"/>
          <w:szCs w:val="24"/>
          <w:highlight w:val="none"/>
          <w:rtl w:val="0"/>
          <w:cs w:val="0"/>
          <w:lang w:val="en-US" w:eastAsia="zh-CN"/>
        </w:rPr>
      </w:pPr>
      <w:r>
        <w:rPr>
          <w:rFonts w:hint="eastAsia" w:ascii="仿宋" w:hAnsi="仿宋" w:eastAsia="仿宋" w:cs="仿宋"/>
          <w:b/>
          <w:bCs w:val="0"/>
          <w:color w:val="auto"/>
          <w:spacing w:val="1"/>
          <w:sz w:val="24"/>
          <w:szCs w:val="24"/>
          <w:highlight w:val="none"/>
          <w:rtl w:val="0"/>
          <w:cs w:val="0"/>
          <w:lang w:val="en-US" w:eastAsia="zh-CN"/>
        </w:rPr>
        <w:t>服务指标：</w:t>
      </w:r>
    </w:p>
    <w:p w14:paraId="450ABD1C">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社会救助服务基本原则：为社会救助对象做好资源链接工作，促进等服务对象挖掘自身潜能、贡献社会。</w:t>
      </w:r>
    </w:p>
    <w:p w14:paraId="4C9A444A">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针对服务片区每个乡镇内特困老人、困难老年人、独居老年人、高龄老人每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至少开展</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场</w:t>
      </w:r>
      <w:r>
        <w:rPr>
          <w:rFonts w:hint="eastAsia" w:ascii="仿宋" w:hAnsi="仿宋" w:eastAsia="仿宋" w:cs="仿宋"/>
          <w:color w:val="auto"/>
          <w:sz w:val="24"/>
          <w:highlight w:val="none"/>
          <w:lang w:val="en-US" w:eastAsia="zh-CN"/>
        </w:rPr>
        <w:t>探访</w:t>
      </w:r>
      <w:r>
        <w:rPr>
          <w:rFonts w:hint="eastAsia" w:ascii="仿宋" w:hAnsi="仿宋" w:eastAsia="仿宋" w:cs="仿宋"/>
          <w:color w:val="auto"/>
          <w:sz w:val="24"/>
          <w:highlight w:val="none"/>
        </w:rPr>
        <w:t>；</w:t>
      </w:r>
    </w:p>
    <w:p w14:paraId="03E0E2D8">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针对服务片区每个乡镇实际情况，深入挖掘群众需求，服务片区每个乡镇、街道每年建立个案服务不少于2个；</w:t>
      </w:r>
    </w:p>
    <w:p w14:paraId="396FDF34">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.每月开展服务片区每个乡镇内留守儿童、困境儿童、留守</w:t>
      </w:r>
      <w:r>
        <w:rPr>
          <w:rFonts w:hint="eastAsia" w:ascii="仿宋" w:hAnsi="仿宋" w:eastAsia="仿宋" w:cs="仿宋"/>
          <w:color w:val="auto"/>
          <w:sz w:val="24"/>
          <w:highlight w:val="none"/>
          <w:lang w:val="en-US" w:eastAsia="zh-CN"/>
        </w:rPr>
        <w:t>老人</w:t>
      </w:r>
      <w:r>
        <w:rPr>
          <w:rFonts w:hint="eastAsia" w:ascii="仿宋" w:hAnsi="仿宋" w:eastAsia="仿宋" w:cs="仿宋"/>
          <w:color w:val="auto"/>
          <w:sz w:val="24"/>
          <w:highlight w:val="none"/>
        </w:rPr>
        <w:t>等家庭入户走访；</w:t>
      </w:r>
    </w:p>
    <w:p w14:paraId="77F59CC0">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.根据走访服务片区每个乡镇留守儿童、困境儿童情况，建立工作台账；</w:t>
      </w:r>
    </w:p>
    <w:p w14:paraId="339B88A9">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.每季度服务片区每个乡镇开展儿童、妇女心理健康教育、安全、监护法法律宣传不少于1场；</w:t>
      </w:r>
    </w:p>
    <w:p w14:paraId="41A3EC03">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.服务片区每个乡镇每季度针对困境儿童开展心理健康、安全教育、文化教育、社会融入等专题活动不少于2场次；</w:t>
      </w:r>
    </w:p>
    <w:p w14:paraId="53992097">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.开展政策宣传。利用周一升国旗、庭院宣讲、农民夜校等群众集体活动每周开展惠民政策宣传，进一步增强群众的政策知晓度，维护群众合法权益，逐一解答群众提问，及时解决困难诉求。</w:t>
      </w:r>
    </w:p>
    <w:p w14:paraId="6F96CAE3">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.对低保家庭、申请临时救助家庭、特困人员、低收入家庭、困难残疾人、高龄老人及其他一般家庭，每周完成不少于15户困难群众入户走访工作。</w:t>
      </w:r>
    </w:p>
    <w:p w14:paraId="6E471264">
      <w:pPr>
        <w:spacing w:line="460" w:lineRule="exact"/>
        <w:rPr>
          <w:rFonts w:hint="eastAsia" w:ascii="仿宋" w:hAnsi="仿宋" w:eastAsia="仿宋" w:cs="仿宋"/>
          <w:b/>
          <w:bCs/>
          <w:color w:val="auto"/>
          <w:highlight w:val="none"/>
          <w:lang w:eastAsia="zh-CN"/>
        </w:rPr>
      </w:pPr>
    </w:p>
    <w:p w14:paraId="212848F2">
      <w:pPr>
        <w:spacing w:line="460" w:lineRule="exact"/>
        <w:rPr>
          <w:rFonts w:hint="eastAsia" w:ascii="仿宋" w:hAnsi="仿宋" w:eastAsia="仿宋" w:cs="仿宋"/>
          <w:b/>
          <w:bCs/>
          <w:color w:val="auto"/>
          <w:highlight w:val="none"/>
          <w:lang w:eastAsia="zh-CN"/>
        </w:rPr>
      </w:pPr>
    </w:p>
    <w:p w14:paraId="405BDB53">
      <w:pPr>
        <w:pStyle w:val="29"/>
        <w:rPr>
          <w:rFonts w:hint="eastAsia" w:ascii="仿宋" w:hAnsi="仿宋" w:eastAsia="仿宋" w:cs="仿宋"/>
          <w:b/>
          <w:bCs/>
          <w:color w:val="auto"/>
          <w:highlight w:val="none"/>
          <w:lang w:eastAsia="zh-CN"/>
        </w:rPr>
      </w:pPr>
    </w:p>
    <w:p w14:paraId="5BF593BD">
      <w:pPr>
        <w:rPr>
          <w:rFonts w:hint="eastAsia" w:ascii="仿宋" w:hAnsi="仿宋" w:eastAsia="仿宋" w:cs="仿宋"/>
          <w:b/>
          <w:bCs/>
          <w:color w:val="auto"/>
          <w:highlight w:val="none"/>
          <w:lang w:eastAsia="zh-CN"/>
        </w:rPr>
      </w:pPr>
    </w:p>
    <w:p w14:paraId="16894C2C">
      <w:pPr>
        <w:pStyle w:val="29"/>
        <w:rPr>
          <w:rFonts w:hint="eastAsia" w:ascii="仿宋" w:hAnsi="仿宋" w:eastAsia="仿宋" w:cs="仿宋"/>
          <w:b/>
          <w:bCs/>
          <w:color w:val="auto"/>
          <w:lang w:eastAsia="zh-CN"/>
        </w:rPr>
      </w:pPr>
    </w:p>
    <w:p w14:paraId="3A9C1E67">
      <w:pPr>
        <w:rPr>
          <w:rFonts w:hint="eastAsia" w:ascii="仿宋" w:hAnsi="仿宋" w:eastAsia="仿宋" w:cs="仿宋"/>
          <w:b/>
          <w:bCs/>
          <w:color w:val="auto"/>
          <w:lang w:eastAsia="zh-CN"/>
        </w:rPr>
      </w:pPr>
    </w:p>
    <w:p w14:paraId="1111E5AF">
      <w:pPr>
        <w:pStyle w:val="29"/>
        <w:rPr>
          <w:rFonts w:hint="eastAsia" w:ascii="仿宋" w:hAnsi="仿宋" w:eastAsia="仿宋" w:cs="仿宋"/>
          <w:b/>
          <w:bCs/>
          <w:color w:val="auto"/>
          <w:lang w:eastAsia="zh-CN"/>
        </w:rPr>
      </w:pPr>
    </w:p>
    <w:p w14:paraId="0F607C42">
      <w:pPr>
        <w:rPr>
          <w:rFonts w:hint="eastAsia" w:ascii="仿宋" w:hAnsi="仿宋" w:eastAsia="仿宋" w:cs="仿宋"/>
          <w:b/>
          <w:bCs/>
          <w:color w:val="auto"/>
          <w:lang w:eastAsia="zh-CN"/>
        </w:rPr>
      </w:pPr>
    </w:p>
    <w:p w14:paraId="5423BC70">
      <w:pPr>
        <w:pStyle w:val="29"/>
        <w:rPr>
          <w:rFonts w:hint="eastAsia" w:ascii="仿宋" w:hAnsi="仿宋" w:eastAsia="仿宋" w:cs="仿宋"/>
          <w:b/>
          <w:bCs/>
          <w:color w:val="auto"/>
          <w:lang w:eastAsia="zh-CN"/>
        </w:rPr>
      </w:pPr>
    </w:p>
    <w:p w14:paraId="0BF972AD">
      <w:pPr>
        <w:rPr>
          <w:rFonts w:hint="eastAsia" w:ascii="仿宋" w:hAnsi="仿宋" w:eastAsia="仿宋" w:cs="仿宋"/>
          <w:b/>
          <w:bCs/>
          <w:color w:val="auto"/>
          <w:lang w:eastAsia="zh-CN"/>
        </w:rPr>
      </w:pPr>
    </w:p>
    <w:p w14:paraId="6287D573">
      <w:pPr>
        <w:pStyle w:val="29"/>
        <w:rPr>
          <w:rFonts w:hint="eastAsia" w:ascii="仿宋" w:hAnsi="仿宋" w:eastAsia="仿宋" w:cs="仿宋"/>
          <w:b/>
          <w:bCs/>
          <w:color w:val="auto"/>
          <w:lang w:eastAsia="zh-CN"/>
        </w:rPr>
      </w:pPr>
    </w:p>
    <w:p w14:paraId="21EFB532">
      <w:pPr>
        <w:rPr>
          <w:rFonts w:hint="eastAsia" w:ascii="仿宋" w:hAnsi="仿宋" w:eastAsia="仿宋" w:cs="仿宋"/>
          <w:b/>
          <w:bCs/>
          <w:color w:val="auto"/>
          <w:lang w:eastAsia="zh-CN"/>
        </w:rPr>
      </w:pPr>
    </w:p>
    <w:p w14:paraId="07C1E422">
      <w:pPr>
        <w:pStyle w:val="29"/>
        <w:rPr>
          <w:rFonts w:hint="eastAsia" w:ascii="仿宋" w:hAnsi="仿宋" w:eastAsia="仿宋" w:cs="仿宋"/>
          <w:b/>
          <w:bCs/>
          <w:color w:val="auto"/>
          <w:lang w:eastAsia="zh-CN"/>
        </w:rPr>
      </w:pPr>
    </w:p>
    <w:p w14:paraId="7F41D809">
      <w:pPr>
        <w:rPr>
          <w:rFonts w:hint="eastAsia" w:ascii="仿宋" w:hAnsi="仿宋" w:eastAsia="仿宋" w:cs="仿宋"/>
          <w:b/>
          <w:bCs/>
          <w:color w:val="auto"/>
          <w:lang w:eastAsia="zh-CN"/>
        </w:rPr>
      </w:pPr>
    </w:p>
    <w:p w14:paraId="185E20B5">
      <w:pPr>
        <w:pStyle w:val="29"/>
        <w:rPr>
          <w:rFonts w:hint="eastAsia" w:ascii="仿宋" w:hAnsi="仿宋" w:eastAsia="仿宋" w:cs="仿宋"/>
          <w:b/>
          <w:bCs/>
          <w:color w:val="auto"/>
          <w:lang w:eastAsia="zh-CN"/>
        </w:rPr>
      </w:pPr>
    </w:p>
    <w:p w14:paraId="01518604">
      <w:pPr>
        <w:rPr>
          <w:rFonts w:hint="eastAsia" w:ascii="仿宋" w:hAnsi="仿宋" w:eastAsia="仿宋" w:cs="仿宋"/>
          <w:b/>
          <w:bCs/>
          <w:color w:val="auto"/>
          <w:lang w:eastAsia="zh-CN"/>
        </w:rPr>
      </w:pPr>
    </w:p>
    <w:p w14:paraId="6A802046">
      <w:pPr>
        <w:pStyle w:val="29"/>
        <w:rPr>
          <w:rFonts w:hint="eastAsia" w:ascii="仿宋" w:hAnsi="仿宋" w:eastAsia="仿宋" w:cs="仿宋"/>
          <w:b/>
          <w:bCs/>
          <w:color w:val="auto"/>
          <w:lang w:eastAsia="zh-CN"/>
        </w:rPr>
      </w:pPr>
    </w:p>
    <w:p w14:paraId="3F4BC212">
      <w:pPr>
        <w:rPr>
          <w:rFonts w:hint="eastAsia" w:ascii="仿宋" w:hAnsi="仿宋" w:eastAsia="仿宋" w:cs="仿宋"/>
          <w:b/>
          <w:bCs/>
          <w:color w:val="auto"/>
          <w:lang w:eastAsia="zh-CN"/>
        </w:rPr>
      </w:pPr>
    </w:p>
    <w:p w14:paraId="58E53519">
      <w:pPr>
        <w:pStyle w:val="29"/>
        <w:rPr>
          <w:rFonts w:hint="eastAsia" w:ascii="仿宋" w:hAnsi="仿宋" w:eastAsia="仿宋" w:cs="仿宋"/>
          <w:b/>
          <w:bCs/>
          <w:color w:val="auto"/>
          <w:lang w:eastAsia="zh-CN"/>
        </w:rPr>
      </w:pPr>
    </w:p>
    <w:p w14:paraId="59C7371A">
      <w:pPr>
        <w:rPr>
          <w:rFonts w:hint="eastAsia" w:ascii="仿宋" w:hAnsi="仿宋" w:eastAsia="仿宋" w:cs="仿宋"/>
          <w:b/>
          <w:bCs/>
          <w:color w:val="auto"/>
          <w:lang w:eastAsia="zh-CN"/>
        </w:rPr>
      </w:pPr>
    </w:p>
    <w:p w14:paraId="7AD0BF7E">
      <w:pPr>
        <w:pStyle w:val="29"/>
        <w:rPr>
          <w:rFonts w:hint="eastAsia" w:ascii="仿宋" w:hAnsi="仿宋" w:eastAsia="仿宋" w:cs="仿宋"/>
          <w:b/>
          <w:bCs/>
          <w:color w:val="auto"/>
          <w:lang w:eastAsia="zh-CN"/>
        </w:rPr>
      </w:pPr>
    </w:p>
    <w:p w14:paraId="66AA997C">
      <w:pPr>
        <w:rPr>
          <w:rFonts w:hint="eastAsia" w:ascii="仿宋" w:hAnsi="仿宋" w:eastAsia="仿宋" w:cs="仿宋"/>
          <w:b/>
          <w:bCs/>
          <w:color w:val="auto"/>
          <w:lang w:eastAsia="zh-CN"/>
        </w:rPr>
      </w:pPr>
    </w:p>
    <w:p w14:paraId="24A56094">
      <w:pPr>
        <w:pStyle w:val="29"/>
        <w:rPr>
          <w:rFonts w:hint="eastAsia" w:ascii="仿宋" w:hAnsi="仿宋" w:eastAsia="仿宋" w:cs="仿宋"/>
          <w:b/>
          <w:bCs/>
          <w:color w:val="auto"/>
          <w:lang w:eastAsia="zh-CN"/>
        </w:rPr>
      </w:pPr>
    </w:p>
    <w:p w14:paraId="29F3315E">
      <w:pPr>
        <w:rPr>
          <w:rFonts w:hint="eastAsia"/>
          <w:color w:val="auto"/>
          <w:lang w:eastAsia="zh-CN"/>
        </w:rPr>
      </w:pPr>
    </w:p>
    <w:p w14:paraId="158FA0A9">
      <w:pPr>
        <w:pStyle w:val="29"/>
        <w:rPr>
          <w:rFonts w:hint="eastAsia" w:ascii="仿宋" w:hAnsi="仿宋" w:eastAsia="仿宋" w:cs="仿宋"/>
          <w:b/>
          <w:bCs/>
          <w:color w:val="auto"/>
          <w:lang w:eastAsia="zh-CN"/>
        </w:rPr>
      </w:pPr>
    </w:p>
    <w:p w14:paraId="764881CE">
      <w:pPr>
        <w:rPr>
          <w:rFonts w:hint="eastAsia"/>
          <w:color w:val="auto"/>
          <w:lang w:eastAsia="zh-CN"/>
        </w:rPr>
      </w:pPr>
    </w:p>
    <w:p w14:paraId="27ECFE04">
      <w:pPr>
        <w:rPr>
          <w:rFonts w:hint="eastAsia"/>
          <w:color w:val="auto"/>
          <w:lang w:eastAsia="zh-CN"/>
        </w:rPr>
      </w:pPr>
    </w:p>
    <w:p w14:paraId="469C7207">
      <w:pPr>
        <w:rPr>
          <w:rFonts w:hint="eastAsia"/>
          <w:color w:val="auto"/>
          <w:lang w:eastAsia="zh-CN"/>
        </w:rPr>
      </w:pPr>
    </w:p>
    <w:p w14:paraId="0A4526F5">
      <w:pPr>
        <w:rPr>
          <w:rFonts w:hint="eastAsia"/>
          <w:color w:val="auto"/>
          <w:lang w:eastAsia="zh-CN"/>
        </w:rPr>
      </w:pPr>
    </w:p>
    <w:p w14:paraId="52808E5B">
      <w:pPr>
        <w:spacing w:line="460" w:lineRule="exact"/>
        <w:rPr>
          <w:rFonts w:ascii="仿宋" w:hAnsi="仿宋" w:eastAsia="仿宋" w:cs="仿宋"/>
          <w:b/>
          <w:bCs/>
          <w:color w:val="auto"/>
          <w:lang w:eastAsia="zh-CN"/>
        </w:rPr>
      </w:pPr>
      <w:r>
        <w:rPr>
          <w:rFonts w:hint="eastAsia" w:ascii="仿宋" w:hAnsi="仿宋" w:eastAsia="仿宋" w:cs="仿宋"/>
          <w:b/>
          <w:bCs/>
          <w:color w:val="auto"/>
          <w:lang w:eastAsia="zh-CN"/>
        </w:rPr>
        <w:t>商务要求：</w:t>
      </w:r>
    </w:p>
    <w:p w14:paraId="1B57F97F">
      <w:pPr>
        <w:spacing w:line="460" w:lineRule="exact"/>
        <w:ind w:left="486" w:leftChars="200"/>
        <w:rPr>
          <w:rFonts w:ascii="仿宋" w:hAnsi="仿宋" w:eastAsia="仿宋" w:cs="仿宋"/>
          <w:b/>
          <w:bCs/>
          <w:color w:val="auto"/>
          <w:highlight w:val="none"/>
          <w:lang w:eastAsia="zh-CN"/>
        </w:rPr>
      </w:pPr>
      <w:r>
        <w:rPr>
          <w:rFonts w:hint="eastAsia" w:ascii="仿宋" w:hAnsi="仿宋" w:eastAsia="仿宋" w:cs="仿宋"/>
          <w:b/>
          <w:bCs/>
          <w:color w:val="auto"/>
          <w:lang w:eastAsia="zh-CN"/>
        </w:rPr>
        <w:t>（一）实施（服务期） ：</w:t>
      </w:r>
      <w:r>
        <w:rPr>
          <w:rFonts w:hint="eastAsia" w:ascii="仿宋" w:hAnsi="仿宋" w:eastAsia="仿宋" w:cs="仿宋"/>
          <w:b/>
          <w:bCs/>
          <w:color w:val="auto"/>
          <w:highlight w:val="none"/>
          <w:lang w:val="en-US" w:eastAsia="zh-CN"/>
        </w:rPr>
        <w:t>合同签订之日起一年；（具体以签订合同为准）。</w:t>
      </w:r>
    </w:p>
    <w:p w14:paraId="34EDD999">
      <w:pPr>
        <w:spacing w:line="460" w:lineRule="exact"/>
        <w:ind w:left="486" w:leftChars="200"/>
        <w:rPr>
          <w:rFonts w:ascii="仿宋" w:hAnsi="仿宋" w:eastAsia="仿宋" w:cs="仿宋"/>
          <w:color w:val="auto"/>
          <w:lang w:eastAsia="zh-CN"/>
        </w:rPr>
      </w:pPr>
      <w:r>
        <w:rPr>
          <w:rFonts w:hint="eastAsia" w:ascii="仿宋" w:hAnsi="仿宋" w:eastAsia="仿宋" w:cs="仿宋"/>
          <w:b/>
          <w:bCs/>
          <w:color w:val="auto"/>
          <w:lang w:eastAsia="zh-CN"/>
        </w:rPr>
        <w:t>（二）实施（服务）地点</w:t>
      </w:r>
      <w:r>
        <w:rPr>
          <w:rFonts w:hint="eastAsia" w:ascii="仿宋" w:hAnsi="仿宋" w:eastAsia="仿宋" w:cs="仿宋"/>
          <w:color w:val="auto"/>
          <w:lang w:eastAsia="zh-CN"/>
        </w:rPr>
        <w:t xml:space="preserve"> ：甲方指定地点</w:t>
      </w:r>
    </w:p>
    <w:p w14:paraId="6C2D8A2C">
      <w:pPr>
        <w:spacing w:line="46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（三）报价要求</w:t>
      </w:r>
    </w:p>
    <w:p w14:paraId="5CD8D598">
      <w:pPr>
        <w:spacing w:line="460" w:lineRule="exact"/>
        <w:ind w:firstLine="486" w:firstLineChars="200"/>
        <w:rPr>
          <w:rFonts w:hint="eastAsia" w:ascii="仿宋" w:hAnsi="仿宋" w:eastAsia="仿宋" w:cs="仿宋"/>
          <w:color w:val="auto"/>
          <w:lang w:val="en-US" w:eastAsia="zh-CN"/>
        </w:rPr>
      </w:pPr>
      <w:r>
        <w:rPr>
          <w:rFonts w:hint="eastAsia" w:ascii="仿宋" w:hAnsi="仿宋" w:eastAsia="仿宋" w:cs="仿宋"/>
          <w:color w:val="auto"/>
          <w:lang w:eastAsia="zh-CN"/>
        </w:rPr>
        <w:t>本次报价为人民币报价，投标报价应包括：管理费、利润、风险费用、代理费、验收、培训及后期服务及国家对中标单位征收的各种税费等所有一切费用。</w:t>
      </w:r>
    </w:p>
    <w:p w14:paraId="1D12EA48">
      <w:pPr>
        <w:spacing w:line="46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(四)售后服务质量保证的承诺</w:t>
      </w:r>
    </w:p>
    <w:p w14:paraId="2C12A256">
      <w:pPr>
        <w:spacing w:line="46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1、服务质量：在合同期内，如因乙方失误造成的后果，乙方负责。</w:t>
      </w:r>
    </w:p>
    <w:p w14:paraId="093B678C">
      <w:pPr>
        <w:spacing w:line="46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2、符合国家行业现行标准和规范。</w:t>
      </w:r>
    </w:p>
    <w:p w14:paraId="2A67C689">
      <w:pPr>
        <w:spacing w:line="46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3、具有独立履行合同所必须的设施和相关技术能力。</w:t>
      </w:r>
    </w:p>
    <w:p w14:paraId="0F1C35D9">
      <w:pPr>
        <w:spacing w:line="46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4、服务质量需满足甲方要求。</w:t>
      </w:r>
    </w:p>
    <w:p w14:paraId="1F80B837">
      <w:pPr>
        <w:spacing w:line="46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5、经常上门走访,征求采购单位意见和建议,及时改正售前售后服务的不足之处,做到信息反馈及时,沟通顺畅。</w:t>
      </w:r>
    </w:p>
    <w:p w14:paraId="2526A7CE">
      <w:pPr>
        <w:spacing w:line="46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6、中标后设立专人协调工作,提供姓名和详尽的联系办法,负责服务的有关咨询、査询、签定和执行合同、无条件履行售前售。</w:t>
      </w:r>
    </w:p>
    <w:p w14:paraId="01B190FD">
      <w:pPr>
        <w:spacing w:line="460" w:lineRule="exact"/>
        <w:rPr>
          <w:rFonts w:hint="eastAsia" w:ascii="仿宋" w:hAnsi="仿宋" w:eastAsia="仿宋" w:cs="仿宋"/>
          <w:b/>
          <w:bCs/>
          <w:color w:val="auto"/>
          <w:lang w:eastAsia="zh-CN"/>
        </w:rPr>
      </w:pPr>
      <w:r>
        <w:rPr>
          <w:rFonts w:hint="eastAsia" w:ascii="仿宋" w:hAnsi="仿宋" w:eastAsia="仿宋" w:cs="仿宋"/>
          <w:b/>
          <w:bCs/>
          <w:color w:val="auto"/>
          <w:lang w:eastAsia="zh-CN"/>
        </w:rPr>
        <w:t>（五）付款方式：</w:t>
      </w:r>
      <w:r>
        <w:rPr>
          <w:rFonts w:hint="eastAsia" w:ascii="仿宋" w:hAnsi="仿宋" w:eastAsia="仿宋" w:cs="仿宋"/>
          <w:b/>
          <w:bCs/>
          <w:color w:val="auto"/>
          <w:lang w:val="en-US" w:eastAsia="zh-CN"/>
        </w:rPr>
        <w:t>以每月实际情况支付（具体以合同签订为准）。</w:t>
      </w:r>
    </w:p>
    <w:p w14:paraId="1BE10C2F">
      <w:pPr>
        <w:spacing w:line="460" w:lineRule="exact"/>
        <w:rPr>
          <w:rFonts w:ascii="仿宋" w:hAnsi="仿宋" w:eastAsia="仿宋" w:cs="仿宋"/>
          <w:b/>
          <w:bCs/>
          <w:color w:val="auto"/>
          <w:lang w:eastAsia="zh-CN"/>
        </w:rPr>
      </w:pPr>
      <w:r>
        <w:rPr>
          <w:rFonts w:hint="eastAsia" w:ascii="仿宋" w:hAnsi="仿宋" w:eastAsia="仿宋" w:cs="仿宋"/>
          <w:b/>
          <w:bCs/>
          <w:color w:val="auto"/>
          <w:lang w:eastAsia="zh-CN"/>
        </w:rPr>
        <w:t>（六）知识产权</w:t>
      </w:r>
    </w:p>
    <w:p w14:paraId="6B0EF6D3">
      <w:pPr>
        <w:spacing w:line="46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71"/>
    <w:bookmarkEnd w:id="72"/>
    <w:bookmarkEnd w:id="73"/>
    <w:p w14:paraId="43313BD1">
      <w:pPr>
        <w:spacing w:line="460" w:lineRule="exact"/>
        <w:ind w:firstLine="486" w:firstLineChars="200"/>
        <w:rPr>
          <w:rFonts w:ascii="仿宋" w:hAnsi="仿宋" w:eastAsia="仿宋" w:cs="仿宋"/>
          <w:b/>
          <w:bCs/>
          <w:color w:val="auto"/>
          <w:lang w:eastAsia="zh-CN"/>
        </w:rPr>
      </w:pPr>
      <w:bookmarkStart w:id="74" w:name="_Toc20832"/>
      <w:bookmarkStart w:id="75" w:name="_Toc7598"/>
      <w:bookmarkStart w:id="76" w:name="_Toc12239"/>
      <w:bookmarkStart w:id="77" w:name="_Toc12840_WPSOffice_Level1"/>
      <w:bookmarkStart w:id="78" w:name="_Toc267320054"/>
      <w:bookmarkStart w:id="79" w:name="_Toc439255252"/>
      <w:bookmarkStart w:id="80" w:name="_Toc469495740"/>
      <w:r>
        <w:rPr>
          <w:rFonts w:hint="eastAsia" w:ascii="仿宋" w:hAnsi="仿宋" w:eastAsia="仿宋" w:cs="仿宋"/>
          <w:b/>
          <w:bCs/>
          <w:color w:val="auto"/>
          <w:lang w:eastAsia="zh-CN"/>
        </w:rPr>
        <w:t>（七）其他</w:t>
      </w:r>
      <w:bookmarkEnd w:id="74"/>
      <w:bookmarkEnd w:id="75"/>
      <w:bookmarkEnd w:id="76"/>
    </w:p>
    <w:bookmarkEnd w:id="77"/>
    <w:bookmarkEnd w:id="78"/>
    <w:bookmarkEnd w:id="79"/>
    <w:p w14:paraId="6357D386">
      <w:pPr>
        <w:spacing w:line="46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1、供应商必须在响应文件中对以上条款和服务承诺明确列出，承诺内容必须达到本篇及磋商文件其他条款的要求。</w:t>
      </w:r>
    </w:p>
    <w:p w14:paraId="448F6FC3">
      <w:pPr>
        <w:spacing w:line="46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2、中标人与采购人签订《协议》后，须与用户方签订《服务采购供应合同》（包括服务范围、需求数量、单价等），明确具体供货数量、供货时间、送达地点等内容。</w:t>
      </w:r>
    </w:p>
    <w:p w14:paraId="132FC6AA">
      <w:pPr>
        <w:spacing w:line="46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3、其他未尽事宜由供需双方在采购合同中详细约定。</w:t>
      </w:r>
    </w:p>
    <w:p w14:paraId="44966E56">
      <w:pPr>
        <w:spacing w:line="46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4、 若供应商不能按磋商文件规定的交货期正常交货，采购方有权终止采购合同，并将相关情况上报给采购计划主管部门，取消其中标资格。</w:t>
      </w:r>
    </w:p>
    <w:p w14:paraId="062B8CE9">
      <w:pPr>
        <w:spacing w:line="460" w:lineRule="exact"/>
        <w:ind w:firstLine="486" w:firstLineChars="200"/>
        <w:rPr>
          <w:rFonts w:ascii="仿宋" w:hAnsi="仿宋" w:eastAsia="仿宋" w:cs="仿宋"/>
          <w:b/>
          <w:color w:val="auto"/>
          <w:sz w:val="30"/>
          <w:szCs w:val="30"/>
          <w:lang w:eastAsia="zh-CN"/>
        </w:rPr>
      </w:pPr>
      <w:r>
        <w:rPr>
          <w:rFonts w:hint="eastAsia" w:ascii="仿宋" w:hAnsi="仿宋" w:eastAsia="仿宋" w:cs="仿宋"/>
          <w:color w:val="auto"/>
          <w:lang w:eastAsia="zh-CN"/>
        </w:rPr>
        <w:t>5、</w:t>
      </w:r>
      <w:r>
        <w:rPr>
          <w:rFonts w:hint="eastAsia" w:ascii="仿宋" w:hAnsi="仿宋" w:eastAsia="仿宋" w:cs="仿宋"/>
          <w:color w:val="auto"/>
          <w:kern w:val="2"/>
          <w:lang w:eastAsia="zh-CN" w:bidi="ar-SA"/>
        </w:rPr>
        <w:t>其他未尽事宜由供需双方在采购合同中详细约定。</w:t>
      </w:r>
      <w:bookmarkEnd w:id="80"/>
    </w:p>
    <w:p w14:paraId="02B2CB9B">
      <w:pPr>
        <w:spacing w:line="360" w:lineRule="auto"/>
        <w:ind w:firstLine="484" w:firstLineChars="150"/>
        <w:jc w:val="center"/>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第五部分 合同条款及格式</w:t>
      </w:r>
      <w:bookmarkStart w:id="81" w:name="_Toc20669"/>
    </w:p>
    <w:bookmarkEnd w:id="81"/>
    <w:p w14:paraId="58ED2C58">
      <w:pPr>
        <w:spacing w:line="440" w:lineRule="exact"/>
        <w:jc w:val="center"/>
        <w:rPr>
          <w:rFonts w:ascii="仿宋" w:hAnsi="仿宋" w:eastAsia="仿宋" w:cs="仿宋"/>
          <w:color w:val="auto"/>
          <w:szCs w:val="21"/>
          <w:lang w:eastAsia="zh-CN"/>
        </w:rPr>
      </w:pPr>
      <w:r>
        <w:rPr>
          <w:rFonts w:hint="eastAsia" w:ascii="仿宋" w:hAnsi="仿宋" w:eastAsia="仿宋" w:cs="仿宋"/>
          <w:color w:val="auto"/>
          <w:szCs w:val="21"/>
        </w:rPr>
        <w:t>（本合同为合同样稿，最终稿由供需双方协商后确定）</w:t>
      </w:r>
    </w:p>
    <w:p w14:paraId="15EFB42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5285C95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w:t>
      </w:r>
    </w:p>
    <w:p w14:paraId="3A98E43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118DFE6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2D0D358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0602EF2B">
      <w:pPr>
        <w:pStyle w:val="19"/>
        <w:keepNext w:val="0"/>
        <w:keepLines w:val="0"/>
        <w:widowControl/>
        <w:suppressLineNumbers w:val="0"/>
        <w:spacing w:beforeAutospacing="1" w:afterAutospacing="1"/>
        <w:rPr>
          <w:rFonts w:hint="eastAsia" w:ascii="仿宋" w:hAnsi="仿宋" w:eastAsia="仿宋" w:cs="仿宋"/>
          <w:color w:val="auto"/>
          <w:sz w:val="24"/>
          <w:szCs w:val="24"/>
        </w:rPr>
      </w:pPr>
      <w:r>
        <w:rPr>
          <w:rFonts w:hint="eastAsia" w:ascii="仿宋" w:hAnsi="仿宋" w:eastAsia="仿宋" w:cs="仿宋"/>
          <w:color w:val="auto"/>
          <w:sz w:val="24"/>
          <w:szCs w:val="24"/>
          <w:lang w:val="en-US" w:eastAsia="en-US" w:bidi="en-US"/>
        </w:rPr>
        <w:t>根据《中华人民共和国民法典</w:t>
      </w:r>
      <w:r>
        <w:rPr>
          <w:rFonts w:hint="eastAsia" w:ascii="仿宋" w:hAnsi="仿宋" w:eastAsia="仿宋" w:cs="仿宋"/>
          <w:color w:val="auto"/>
          <w:sz w:val="24"/>
          <w:szCs w:val="24"/>
        </w:rPr>
        <w:t>》及《中华人民共和国政府采购法》相关规定，经甲乙双方协商一致，就</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拟定协议如下：</w:t>
      </w:r>
    </w:p>
    <w:p w14:paraId="14196E2D">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一、工作内容：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p>
    <w:p w14:paraId="52CE69E9">
      <w:pPr>
        <w:spacing w:line="520" w:lineRule="exact"/>
        <w:ind w:firstLine="645"/>
        <w:rPr>
          <w:rFonts w:hint="eastAsia" w:ascii="仿宋" w:hAnsi="仿宋" w:eastAsia="仿宋" w:cs="仿宋"/>
          <w:color w:val="auto"/>
          <w:sz w:val="24"/>
          <w:szCs w:val="24"/>
          <w:u w:val="single"/>
        </w:rPr>
      </w:pPr>
      <w:r>
        <w:rPr>
          <w:rFonts w:hint="eastAsia" w:ascii="仿宋" w:hAnsi="仿宋" w:eastAsia="仿宋" w:cs="仿宋"/>
          <w:color w:val="auto"/>
          <w:sz w:val="24"/>
          <w:szCs w:val="24"/>
        </w:rPr>
        <w:t>二、合同金额：</w:t>
      </w:r>
      <w:r>
        <w:rPr>
          <w:rFonts w:hint="eastAsia" w:ascii="仿宋" w:hAnsi="仿宋" w:eastAsia="仿宋" w:cs="仿宋"/>
          <w:color w:val="auto"/>
          <w:sz w:val="24"/>
          <w:szCs w:val="24"/>
          <w:u w:val="single"/>
        </w:rPr>
        <w:t xml:space="preserve">                                  </w:t>
      </w:r>
    </w:p>
    <w:p w14:paraId="1B5F982F">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三、服务期限：</w:t>
      </w:r>
      <w:r>
        <w:rPr>
          <w:rFonts w:hint="eastAsia" w:ascii="仿宋" w:hAnsi="仿宋" w:eastAsia="仿宋" w:cs="仿宋"/>
          <w:color w:val="auto"/>
          <w:sz w:val="24"/>
          <w:szCs w:val="24"/>
          <w:u w:val="single"/>
        </w:rPr>
        <w:t xml:space="preserve">                                  </w:t>
      </w:r>
    </w:p>
    <w:p w14:paraId="35E00AC2">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四、 双方权利和义务</w:t>
      </w:r>
    </w:p>
    <w:p w14:paraId="6C1B064B">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1、甲方的权利和义务：</w:t>
      </w:r>
    </w:p>
    <w:p w14:paraId="5E5370D6">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2、乙方的权利和义务：</w:t>
      </w:r>
    </w:p>
    <w:p w14:paraId="373BC727">
      <w:pPr>
        <w:spacing w:line="520" w:lineRule="exact"/>
        <w:ind w:firstLine="64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五、付款方式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w:t>
      </w:r>
    </w:p>
    <w:p w14:paraId="05FF24D7">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六、 违约责任</w:t>
      </w:r>
    </w:p>
    <w:p w14:paraId="1802E9EF">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1、乙方提供的服务不符合</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、报价文件或本合同规定的，甲方有权拒收，并且乙方须向甲方支付本合同总价__ %的违约金。</w:t>
      </w:r>
    </w:p>
    <w:p w14:paraId="45E0EA0C">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2、乙方未能按本合同规定的服务时间提供服务，从逾期之日起每日按本合同总价__ %的数额向甲方支付违约金；逾期半个月以上的，甲方有权终止合同，由此造成的甲方经济损失由乙方承担。</w:t>
      </w:r>
    </w:p>
    <w:p w14:paraId="024B0A10">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3、未经甲方同意乙方不得私自将该服务转包第三方完成。如私自转包，则处本合同总价__ %的违约金。</w:t>
      </w:r>
    </w:p>
    <w:p w14:paraId="759A9782">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4、甲方无正当理由拒绝接受服务，到期拒付服务款项的，甲方向乙方偿付本合同总价的__ %的违约金。甲方逾期付款，则每日按逾期金额的__ %向乙方偿付违约金。</w:t>
      </w:r>
    </w:p>
    <w:p w14:paraId="474D00AD">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5、其它违约责任按《中华人民共和国合同法》处理。</w:t>
      </w:r>
    </w:p>
    <w:p w14:paraId="2A2C4D19">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七、 知识产权归属</w:t>
      </w:r>
    </w:p>
    <w:p w14:paraId="47E9CC11">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八、 保密条款</w:t>
      </w:r>
    </w:p>
    <w:p w14:paraId="32C17CD3">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1、乙方对甲方提供的资料负有保密义务，未经甲方同意，不得向项目无关单位和个人提供有关资料。如发生以上情况，甲方有权索赔。</w:t>
      </w:r>
    </w:p>
    <w:p w14:paraId="642EC95F">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2、甲方有义务保护乙方的知识产权，未经乙方同意，甲方对工程咨询单位交付的成果文件、资料不得向第三方转让或用于本合同以外的项目。如发生以上情况，乙方有权索赔。</w:t>
      </w:r>
    </w:p>
    <w:p w14:paraId="006C354C">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九、 争议的解决</w:t>
      </w:r>
    </w:p>
    <w:p w14:paraId="42BB143B">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本合同执行过程中发生的任何争议，如双方不能通过友好协商解决，由合同签订地法院处理。</w:t>
      </w:r>
    </w:p>
    <w:p w14:paraId="3728C2FA">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十、  不可抗力</w:t>
      </w:r>
    </w:p>
    <w:p w14:paraId="274802EB">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CBEBB10">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十一、合同的终止</w:t>
      </w:r>
    </w:p>
    <w:p w14:paraId="764055D6">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1、合同期满，双方未续签的；</w:t>
      </w:r>
    </w:p>
    <w:p w14:paraId="4ABD579F">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2、乙方服务能力丧失，致使服务无法正常进行的；</w:t>
      </w:r>
    </w:p>
    <w:p w14:paraId="71C3C6E0">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3、在履行合同过程中，发现乙方已不符合国办发〔2013〕96号文件规定的承接主体应具备的条件，造成合同无法履行的。</w:t>
      </w:r>
    </w:p>
    <w:p w14:paraId="5843AB99">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十二、 税费</w:t>
      </w:r>
    </w:p>
    <w:p w14:paraId="576F5195">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此项目发生的与本合同执行有关的一切税费均由乙方负担。</w:t>
      </w:r>
    </w:p>
    <w:p w14:paraId="3FD5E3EB">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十三、 其它</w:t>
      </w:r>
    </w:p>
    <w:p w14:paraId="53B9D1F7">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1、本合同所有附件及政府</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均为合同的有效组成部分，与本合同具有同等法律效力。</w:t>
      </w:r>
    </w:p>
    <w:p w14:paraId="18AA10D7">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2、在执行本合同的过程中，所有经双方签署确认的文件（包括会议纪要、补充协议、往来信函）即成为本合同的有效组成部分。</w:t>
      </w:r>
    </w:p>
    <w:p w14:paraId="3C647B82">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 xml:space="preserve">3、如一方地址、电话、传真号码有变更，应在变更当日内书面通知对方，否则，应承担相应责任。 </w:t>
      </w:r>
    </w:p>
    <w:p w14:paraId="23754E75">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十四、 补充条款</w:t>
      </w:r>
    </w:p>
    <w:p w14:paraId="6F68B29C">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1、谅解与备忘条款：</w:t>
      </w:r>
    </w:p>
    <w:p w14:paraId="072D9212">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2、双方不可撤销的责任与义务：</w:t>
      </w:r>
    </w:p>
    <w:p w14:paraId="2A732C9F">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3、双方约定以下补充条款：</w:t>
      </w:r>
    </w:p>
    <w:p w14:paraId="2F6E212D">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十五、 合同生效</w:t>
      </w:r>
    </w:p>
    <w:p w14:paraId="24F8B449">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1、本合同订立时间：        年      月      日</w:t>
      </w:r>
    </w:p>
    <w:p w14:paraId="1C302607">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 xml:space="preserve">2、本合同订立地点：                          。                       </w:t>
      </w:r>
    </w:p>
    <w:p w14:paraId="2AB67E19">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3、本合同在甲乙双方法人代表或其授权代表签字盖章后生效。</w:t>
      </w:r>
    </w:p>
    <w:p w14:paraId="0B4A556B">
      <w:pPr>
        <w:spacing w:line="520" w:lineRule="exact"/>
        <w:ind w:firstLine="645"/>
        <w:rPr>
          <w:rFonts w:hint="eastAsia" w:ascii="仿宋" w:hAnsi="仿宋" w:eastAsia="仿宋" w:cs="仿宋"/>
          <w:color w:val="auto"/>
          <w:sz w:val="24"/>
          <w:szCs w:val="24"/>
        </w:rPr>
      </w:pPr>
      <w:r>
        <w:rPr>
          <w:rFonts w:hint="eastAsia" w:ascii="仿宋" w:hAnsi="仿宋" w:eastAsia="仿宋" w:cs="仿宋"/>
          <w:color w:val="auto"/>
          <w:sz w:val="24"/>
          <w:szCs w:val="24"/>
        </w:rPr>
        <w:t>4、本合同一式</w:t>
      </w:r>
      <w:r>
        <w:rPr>
          <w:rFonts w:hint="eastAsia" w:ascii="仿宋" w:hAnsi="仿宋" w:eastAsia="仿宋" w:cs="仿宋"/>
          <w:color w:val="auto"/>
          <w:sz w:val="24"/>
          <w:szCs w:val="24"/>
          <w:lang w:eastAsia="zh-CN"/>
        </w:rPr>
        <w:t>肆</w:t>
      </w:r>
      <w:r>
        <w:rPr>
          <w:rFonts w:hint="eastAsia" w:ascii="仿宋" w:hAnsi="仿宋" w:eastAsia="仿宋" w:cs="仿宋"/>
          <w:color w:val="auto"/>
          <w:sz w:val="24"/>
          <w:szCs w:val="24"/>
        </w:rPr>
        <w:t>份，甲乙双方各执</w:t>
      </w:r>
      <w:r>
        <w:rPr>
          <w:rFonts w:hint="eastAsia" w:ascii="仿宋" w:hAnsi="仿宋" w:eastAsia="仿宋" w:cs="仿宋"/>
          <w:color w:val="auto"/>
          <w:sz w:val="24"/>
          <w:szCs w:val="24"/>
          <w:lang w:eastAsia="zh-CN"/>
        </w:rPr>
        <w:t>两</w:t>
      </w:r>
      <w:r>
        <w:rPr>
          <w:rFonts w:hint="eastAsia" w:ascii="仿宋" w:hAnsi="仿宋" w:eastAsia="仿宋" w:cs="仿宋"/>
          <w:color w:val="auto"/>
          <w:sz w:val="24"/>
          <w:szCs w:val="24"/>
        </w:rPr>
        <w:t>份，具有同等法律效力。</w:t>
      </w:r>
    </w:p>
    <w:p w14:paraId="25026564">
      <w:pPr>
        <w:spacing w:line="520" w:lineRule="exact"/>
        <w:ind w:firstLine="645"/>
        <w:rPr>
          <w:rFonts w:hint="eastAsia" w:ascii="仿宋" w:hAnsi="仿宋" w:eastAsia="仿宋" w:cs="仿宋"/>
          <w:b/>
          <w:color w:val="auto"/>
          <w:sz w:val="24"/>
          <w:szCs w:val="24"/>
        </w:rPr>
      </w:pPr>
      <w:r>
        <w:rPr>
          <w:rFonts w:hint="eastAsia" w:ascii="仿宋" w:hAnsi="仿宋" w:eastAsia="仿宋" w:cs="仿宋"/>
          <w:color w:val="auto"/>
          <w:sz w:val="24"/>
          <w:szCs w:val="24"/>
        </w:rPr>
        <w:t>十六、合同附件(签定具体合同时，若有附件应注明，并注明附件名称。)</w:t>
      </w:r>
    </w:p>
    <w:p w14:paraId="26C1E360">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甲方（盖章）：                          乙方（盖章）：</w:t>
      </w:r>
    </w:p>
    <w:p w14:paraId="0FE78AC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法定代表人（盖章或签字）：             法定代表人（盖章或签字）：</w:t>
      </w:r>
    </w:p>
    <w:p w14:paraId="150CD6F0">
      <w:pPr>
        <w:tabs>
          <w:tab w:val="left" w:pos="525"/>
          <w:tab w:val="left" w:pos="1155"/>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委托代理人（签字）：                   委托代理人（签字）：</w:t>
      </w:r>
    </w:p>
    <w:p w14:paraId="5712C6DD">
      <w:pPr>
        <w:tabs>
          <w:tab w:val="left" w:pos="525"/>
          <w:tab w:val="left" w:pos="1155"/>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                               地  址：</w:t>
      </w:r>
    </w:p>
    <w:p w14:paraId="1AE18099">
      <w:pPr>
        <w:tabs>
          <w:tab w:val="left" w:pos="525"/>
          <w:tab w:val="left" w:pos="1155"/>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  话：                               电  话：</w:t>
      </w:r>
    </w:p>
    <w:p w14:paraId="0ABF1A21">
      <w:pPr>
        <w:tabs>
          <w:tab w:val="left" w:pos="525"/>
          <w:tab w:val="left" w:pos="1155"/>
        </w:tabs>
        <w:spacing w:line="360" w:lineRule="auto"/>
        <w:ind w:firstLine="4738" w:firstLineChars="1950"/>
        <w:rPr>
          <w:rFonts w:hint="eastAsia" w:ascii="仿宋" w:hAnsi="仿宋" w:eastAsia="仿宋" w:cs="仿宋"/>
          <w:color w:val="auto"/>
          <w:sz w:val="24"/>
          <w:szCs w:val="24"/>
        </w:rPr>
      </w:pPr>
      <w:r>
        <w:rPr>
          <w:rFonts w:hint="eastAsia" w:ascii="仿宋" w:hAnsi="仿宋" w:eastAsia="仿宋" w:cs="仿宋"/>
          <w:color w:val="auto"/>
          <w:sz w:val="24"/>
          <w:szCs w:val="24"/>
        </w:rPr>
        <w:t>开户名称：</w:t>
      </w:r>
    </w:p>
    <w:p w14:paraId="54781740">
      <w:pPr>
        <w:tabs>
          <w:tab w:val="left" w:pos="525"/>
          <w:tab w:val="left" w:pos="1155"/>
        </w:tabs>
        <w:spacing w:line="360" w:lineRule="auto"/>
        <w:ind w:firstLine="4738" w:firstLineChars="1950"/>
        <w:rPr>
          <w:rFonts w:hint="eastAsia" w:ascii="仿宋" w:hAnsi="仿宋" w:eastAsia="仿宋" w:cs="仿宋"/>
          <w:color w:val="auto"/>
          <w:sz w:val="24"/>
          <w:szCs w:val="24"/>
        </w:rPr>
      </w:pPr>
      <w:r>
        <w:rPr>
          <w:rFonts w:hint="eastAsia" w:ascii="仿宋" w:hAnsi="仿宋" w:eastAsia="仿宋" w:cs="仿宋"/>
          <w:color w:val="auto"/>
          <w:sz w:val="24"/>
          <w:szCs w:val="24"/>
        </w:rPr>
        <w:t>开 户 行：</w:t>
      </w:r>
    </w:p>
    <w:p w14:paraId="582C1B62">
      <w:pPr>
        <w:tabs>
          <w:tab w:val="left" w:pos="525"/>
          <w:tab w:val="left" w:pos="1155"/>
        </w:tabs>
        <w:spacing w:line="360" w:lineRule="auto"/>
        <w:ind w:firstLine="4738" w:firstLineChars="1950"/>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p w14:paraId="4F919AC7">
      <w:pPr>
        <w:rPr>
          <w:rFonts w:hint="eastAsia"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年 　月　 日</w:t>
      </w:r>
      <w:r>
        <w:rPr>
          <w:rFonts w:hint="eastAsia" w:ascii="仿宋" w:hAnsi="仿宋" w:eastAsia="仿宋" w:cs="仿宋"/>
          <w:color w:val="auto"/>
          <w:sz w:val="24"/>
          <w:szCs w:val="24"/>
        </w:rPr>
        <w:t xml:space="preserve">              　日    期：</w:t>
      </w:r>
      <w:r>
        <w:rPr>
          <w:rFonts w:hint="eastAsia" w:ascii="仿宋" w:hAnsi="仿宋" w:eastAsia="仿宋" w:cs="仿宋"/>
          <w:color w:val="auto"/>
          <w:sz w:val="24"/>
          <w:szCs w:val="24"/>
          <w:u w:val="single"/>
        </w:rPr>
        <w:t xml:space="preserve">    年   月   日</w:t>
      </w:r>
    </w:p>
    <w:p w14:paraId="30D32654">
      <w:pPr>
        <w:rPr>
          <w:rFonts w:hint="eastAsia" w:ascii="仿宋" w:hAnsi="仿宋" w:eastAsia="仿宋" w:cs="仿宋"/>
          <w:b/>
          <w:bCs/>
          <w:color w:val="auto"/>
          <w:sz w:val="24"/>
          <w:szCs w:val="24"/>
        </w:rPr>
      </w:pPr>
    </w:p>
    <w:p w14:paraId="05E54056">
      <w:pPr>
        <w:rPr>
          <w:rFonts w:hint="eastAsia" w:ascii="仿宋" w:hAnsi="仿宋" w:eastAsia="仿宋" w:cs="仿宋"/>
          <w:color w:val="auto"/>
          <w:sz w:val="24"/>
          <w:szCs w:val="24"/>
          <w:u w:val="single"/>
        </w:rPr>
      </w:pPr>
      <w:r>
        <w:rPr>
          <w:rFonts w:hint="eastAsia" w:ascii="仿宋" w:hAnsi="仿宋" w:eastAsia="仿宋" w:cs="仿宋"/>
          <w:b/>
          <w:bCs/>
          <w:color w:val="auto"/>
          <w:sz w:val="24"/>
          <w:szCs w:val="24"/>
        </w:rPr>
        <w:t>注：本合同仅为合同的参考文本，合同签订双方可根据项目的具体要求进行修订 。</w:t>
      </w:r>
    </w:p>
    <w:p w14:paraId="15ED1190">
      <w:pPr>
        <w:pStyle w:val="22"/>
        <w:ind w:left="486" w:firstLine="729"/>
        <w:rPr>
          <w:rFonts w:hint="eastAsia" w:ascii="仿宋" w:hAnsi="仿宋" w:eastAsia="仿宋" w:cs="仿宋"/>
          <w:b/>
          <w:color w:val="auto"/>
          <w:sz w:val="24"/>
          <w:szCs w:val="24"/>
        </w:rPr>
      </w:pPr>
    </w:p>
    <w:p w14:paraId="5CBFB490">
      <w:pPr>
        <w:pStyle w:val="22"/>
        <w:ind w:left="486" w:firstLine="729"/>
        <w:rPr>
          <w:rFonts w:ascii="仿宋" w:hAnsi="仿宋" w:eastAsia="仿宋" w:cs="仿宋"/>
          <w:b/>
          <w:color w:val="auto"/>
          <w:sz w:val="24"/>
          <w:szCs w:val="24"/>
        </w:rPr>
      </w:pPr>
    </w:p>
    <w:p w14:paraId="0EBA4F42">
      <w:pPr>
        <w:pStyle w:val="22"/>
        <w:ind w:left="486" w:firstLine="729"/>
        <w:rPr>
          <w:rFonts w:ascii="仿宋" w:hAnsi="仿宋" w:eastAsia="仿宋" w:cs="仿宋"/>
          <w:b/>
          <w:color w:val="auto"/>
          <w:sz w:val="24"/>
          <w:szCs w:val="24"/>
        </w:rPr>
      </w:pPr>
    </w:p>
    <w:p w14:paraId="30CAAB90">
      <w:pPr>
        <w:pStyle w:val="22"/>
        <w:ind w:left="486" w:firstLine="729"/>
        <w:rPr>
          <w:rFonts w:ascii="仿宋" w:hAnsi="仿宋" w:eastAsia="仿宋" w:cs="仿宋"/>
          <w:b/>
          <w:color w:val="auto"/>
          <w:sz w:val="24"/>
          <w:szCs w:val="24"/>
        </w:rPr>
      </w:pPr>
    </w:p>
    <w:p w14:paraId="202373F6">
      <w:pPr>
        <w:pStyle w:val="22"/>
        <w:ind w:left="486" w:firstLine="729"/>
        <w:rPr>
          <w:rFonts w:ascii="仿宋" w:hAnsi="仿宋" w:eastAsia="仿宋" w:cs="仿宋"/>
          <w:b/>
          <w:color w:val="auto"/>
          <w:sz w:val="24"/>
          <w:szCs w:val="24"/>
        </w:rPr>
      </w:pPr>
    </w:p>
    <w:p w14:paraId="0C0F50B4">
      <w:pPr>
        <w:rPr>
          <w:rFonts w:ascii="仿宋" w:hAnsi="仿宋" w:eastAsia="仿宋" w:cs="仿宋"/>
          <w:color w:val="auto"/>
          <w:lang w:eastAsia="zh-CN"/>
        </w:rPr>
      </w:pPr>
    </w:p>
    <w:p w14:paraId="004AA53D">
      <w:pPr>
        <w:pStyle w:val="35"/>
        <w:keepNext/>
        <w:keepLines/>
        <w:spacing w:before="0" w:after="1160"/>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六</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响应文件</w:t>
      </w:r>
      <w:r>
        <w:rPr>
          <w:rFonts w:hint="eastAsia" w:ascii="仿宋" w:hAnsi="仿宋" w:eastAsia="仿宋" w:cs="仿宋"/>
          <w:b/>
          <w:bCs/>
          <w:color w:val="auto"/>
        </w:rPr>
        <w:t>格式</w:t>
      </w:r>
    </w:p>
    <w:p w14:paraId="58AA50C8">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lang w:eastAsia="zh-CN"/>
        </w:rPr>
      </w:pPr>
      <w:bookmarkStart w:id="82" w:name="bookmark196"/>
      <w:r>
        <w:rPr>
          <w:rFonts w:hint="eastAsia" w:ascii="仿宋" w:hAnsi="仿宋" w:eastAsia="仿宋" w:cs="仿宋"/>
          <w:b/>
          <w:bCs/>
          <w:color w:val="auto"/>
          <w:sz w:val="28"/>
          <w:szCs w:val="28"/>
          <w:bdr w:val="single" w:color="auto" w:sz="4" w:space="0"/>
          <w:lang w:eastAsia="zh-CN"/>
        </w:rPr>
        <w:t>正/副 本</w:t>
      </w:r>
    </w:p>
    <w:p w14:paraId="6D79CDA4">
      <w:pPr>
        <w:adjustRightInd w:val="0"/>
        <w:snapToGrid w:val="0"/>
        <w:spacing w:line="360" w:lineRule="auto"/>
        <w:jc w:val="center"/>
        <w:rPr>
          <w:rFonts w:ascii="仿宋" w:hAnsi="仿宋" w:eastAsia="仿宋" w:cs="仿宋"/>
          <w:b/>
          <w:caps/>
          <w:color w:val="auto"/>
          <w:lang w:eastAsia="zh-CN"/>
        </w:rPr>
      </w:pPr>
    </w:p>
    <w:p w14:paraId="27C3553D">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14:paraId="2D6CEDD9">
      <w:pPr>
        <w:adjustRightInd w:val="0"/>
        <w:snapToGrid w:val="0"/>
        <w:spacing w:line="360" w:lineRule="auto"/>
        <w:jc w:val="both"/>
        <w:rPr>
          <w:rFonts w:ascii="仿宋" w:hAnsi="仿宋" w:eastAsia="仿宋" w:cs="仿宋"/>
          <w:bCs/>
          <w:color w:val="auto"/>
          <w:sz w:val="32"/>
          <w:szCs w:val="32"/>
          <w:lang w:eastAsia="zh-CN"/>
        </w:rPr>
      </w:pPr>
    </w:p>
    <w:p w14:paraId="5D0589B3">
      <w:pPr>
        <w:adjustRightInd w:val="0"/>
        <w:snapToGrid w:val="0"/>
        <w:spacing w:line="360" w:lineRule="auto"/>
        <w:jc w:val="center"/>
        <w:rPr>
          <w:rFonts w:ascii="仿宋" w:hAnsi="仿宋" w:eastAsia="仿宋" w:cs="仿宋"/>
          <w:bCs/>
          <w:color w:val="auto"/>
          <w:sz w:val="32"/>
          <w:szCs w:val="32"/>
          <w:lang w:eastAsia="zh-CN"/>
        </w:rPr>
      </w:pPr>
    </w:p>
    <w:p w14:paraId="145CA7EF">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响应文件</w:t>
      </w:r>
    </w:p>
    <w:p w14:paraId="3B5C729B">
      <w:pPr>
        <w:adjustRightInd w:val="0"/>
        <w:snapToGrid w:val="0"/>
        <w:spacing w:line="360" w:lineRule="auto"/>
        <w:jc w:val="center"/>
        <w:rPr>
          <w:rFonts w:ascii="仿宋" w:hAnsi="仿宋" w:eastAsia="仿宋" w:cs="仿宋"/>
          <w:bCs/>
          <w:color w:val="auto"/>
          <w:sz w:val="32"/>
          <w:szCs w:val="32"/>
          <w:lang w:eastAsia="zh-CN"/>
        </w:rPr>
      </w:pPr>
    </w:p>
    <w:p w14:paraId="682A88E4">
      <w:pPr>
        <w:adjustRightInd w:val="0"/>
        <w:snapToGrid w:val="0"/>
        <w:spacing w:line="360" w:lineRule="auto"/>
        <w:jc w:val="both"/>
        <w:rPr>
          <w:rFonts w:ascii="仿宋" w:hAnsi="仿宋" w:eastAsia="仿宋" w:cs="仿宋"/>
          <w:bCs/>
          <w:color w:val="auto"/>
          <w:sz w:val="32"/>
          <w:szCs w:val="32"/>
          <w:lang w:eastAsia="zh-CN"/>
        </w:rPr>
      </w:pPr>
    </w:p>
    <w:p w14:paraId="6B7CC866">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1470909418"/>
          <w:lang w:eastAsia="zh-CN"/>
        </w:rPr>
        <w:t>供应商名称（公章）：</w:t>
      </w:r>
    </w:p>
    <w:p w14:paraId="3F963C57">
      <w:pPr>
        <w:adjustRightInd w:val="0"/>
        <w:snapToGrid w:val="0"/>
        <w:spacing w:line="360" w:lineRule="auto"/>
        <w:ind w:right="-155" w:rightChars="-64"/>
        <w:rPr>
          <w:rFonts w:ascii="仿宋" w:hAnsi="仿宋" w:eastAsia="仿宋" w:cs="仿宋"/>
          <w:b/>
          <w:caps/>
          <w:color w:val="auto"/>
          <w:sz w:val="28"/>
          <w:szCs w:val="28"/>
          <w:lang w:eastAsia="zh-CN"/>
        </w:rPr>
      </w:pPr>
    </w:p>
    <w:p w14:paraId="739ABF84">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1"/>
          <w:lang w:eastAsia="zh-CN"/>
        </w:rPr>
        <w:t>法定代表人（签章或盖章）</w:t>
      </w:r>
      <w:r>
        <w:rPr>
          <w:rFonts w:hint="eastAsia" w:ascii="仿宋" w:hAnsi="仿宋" w:eastAsia="仿宋" w:cs="仿宋"/>
          <w:b/>
          <w:caps/>
          <w:color w:val="auto"/>
          <w:spacing w:val="-1"/>
          <w:w w:val="77"/>
          <w:kern w:val="0"/>
          <w:sz w:val="28"/>
          <w:szCs w:val="28"/>
          <w:fitText w:val="2810" w:id="1"/>
          <w:lang w:eastAsia="zh-CN"/>
        </w:rPr>
        <w:t>：</w:t>
      </w:r>
    </w:p>
    <w:p w14:paraId="2E6CFDB7">
      <w:pPr>
        <w:adjustRightInd w:val="0"/>
        <w:snapToGrid w:val="0"/>
        <w:spacing w:line="360" w:lineRule="auto"/>
        <w:ind w:right="-155" w:rightChars="-64"/>
        <w:rPr>
          <w:rFonts w:ascii="仿宋" w:hAnsi="仿宋" w:eastAsia="仿宋" w:cs="仿宋"/>
          <w:b/>
          <w:caps/>
          <w:color w:val="auto"/>
          <w:sz w:val="28"/>
          <w:szCs w:val="28"/>
          <w:lang w:eastAsia="zh-CN"/>
        </w:rPr>
      </w:pPr>
    </w:p>
    <w:p w14:paraId="52BD1D1A">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2"/>
          <w:lang w:eastAsia="zh-CN"/>
        </w:rPr>
        <w:t>供应商地址</w:t>
      </w:r>
      <w:r>
        <w:rPr>
          <w:rFonts w:hint="eastAsia" w:ascii="仿宋" w:hAnsi="仿宋" w:eastAsia="仿宋" w:cs="仿宋"/>
          <w:b/>
          <w:caps/>
          <w:color w:val="auto"/>
          <w:spacing w:val="0"/>
          <w:kern w:val="0"/>
          <w:sz w:val="28"/>
          <w:szCs w:val="28"/>
          <w:fitText w:val="2810" w:id="2"/>
          <w:lang w:eastAsia="zh-CN"/>
        </w:rPr>
        <w:t>：</w:t>
      </w:r>
    </w:p>
    <w:p w14:paraId="12DDF556">
      <w:pPr>
        <w:adjustRightInd w:val="0"/>
        <w:snapToGrid w:val="0"/>
        <w:spacing w:line="360" w:lineRule="auto"/>
        <w:ind w:right="-155" w:rightChars="-64"/>
        <w:rPr>
          <w:rFonts w:ascii="仿宋" w:hAnsi="仿宋" w:eastAsia="仿宋" w:cs="仿宋"/>
          <w:b/>
          <w:caps/>
          <w:color w:val="auto"/>
          <w:sz w:val="28"/>
          <w:szCs w:val="28"/>
          <w:lang w:eastAsia="zh-CN"/>
        </w:rPr>
      </w:pPr>
    </w:p>
    <w:p w14:paraId="62D07581">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3"/>
          <w:lang w:eastAsia="zh-CN"/>
        </w:rPr>
        <w:t>联系人</w:t>
      </w:r>
      <w:r>
        <w:rPr>
          <w:rFonts w:hint="eastAsia" w:ascii="仿宋" w:hAnsi="仿宋" w:eastAsia="仿宋" w:cs="仿宋"/>
          <w:b/>
          <w:caps/>
          <w:color w:val="auto"/>
          <w:spacing w:val="2"/>
          <w:kern w:val="0"/>
          <w:sz w:val="28"/>
          <w:szCs w:val="28"/>
          <w:fitText w:val="2810" w:id="3"/>
          <w:lang w:eastAsia="zh-CN"/>
        </w:rPr>
        <w:t>：</w:t>
      </w:r>
    </w:p>
    <w:p w14:paraId="742C9B41">
      <w:pPr>
        <w:adjustRightInd w:val="0"/>
        <w:snapToGrid w:val="0"/>
        <w:spacing w:line="360" w:lineRule="auto"/>
        <w:ind w:right="-155" w:rightChars="-64"/>
        <w:rPr>
          <w:rFonts w:ascii="仿宋" w:hAnsi="仿宋" w:eastAsia="仿宋" w:cs="仿宋"/>
          <w:b/>
          <w:caps/>
          <w:color w:val="auto"/>
          <w:sz w:val="28"/>
          <w:szCs w:val="28"/>
          <w:lang w:eastAsia="zh-CN"/>
        </w:rPr>
      </w:pPr>
    </w:p>
    <w:p w14:paraId="711203DA">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4"/>
          <w:lang w:eastAsia="zh-CN"/>
        </w:rPr>
        <w:t>联系电话</w:t>
      </w:r>
      <w:r>
        <w:rPr>
          <w:rFonts w:hint="eastAsia" w:ascii="仿宋" w:hAnsi="仿宋" w:eastAsia="仿宋" w:cs="仿宋"/>
          <w:b/>
          <w:caps/>
          <w:color w:val="auto"/>
          <w:spacing w:val="1"/>
          <w:kern w:val="0"/>
          <w:sz w:val="28"/>
          <w:szCs w:val="28"/>
          <w:fitText w:val="2810" w:id="4"/>
          <w:lang w:eastAsia="zh-CN"/>
        </w:rPr>
        <w:t>：</w:t>
      </w:r>
    </w:p>
    <w:p w14:paraId="47AF9002">
      <w:pPr>
        <w:adjustRightInd w:val="0"/>
        <w:snapToGrid w:val="0"/>
        <w:spacing w:line="360" w:lineRule="auto"/>
        <w:jc w:val="center"/>
        <w:rPr>
          <w:rFonts w:ascii="仿宋" w:hAnsi="仿宋" w:eastAsia="仿宋" w:cs="仿宋"/>
          <w:b/>
          <w:caps/>
          <w:color w:val="auto"/>
          <w:sz w:val="28"/>
          <w:szCs w:val="28"/>
          <w:lang w:eastAsia="zh-CN"/>
        </w:rPr>
      </w:pPr>
    </w:p>
    <w:p w14:paraId="231D0C5C">
      <w:pPr>
        <w:adjustRightInd w:val="0"/>
        <w:snapToGrid w:val="0"/>
        <w:spacing w:line="360" w:lineRule="auto"/>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p w14:paraId="733D4F95">
      <w:pPr>
        <w:pStyle w:val="37"/>
        <w:spacing w:after="340" w:line="240" w:lineRule="auto"/>
        <w:ind w:firstLine="0"/>
        <w:rPr>
          <w:rFonts w:ascii="仿宋" w:hAnsi="仿宋" w:eastAsia="仿宋" w:cs="仿宋"/>
          <w:color w:val="auto"/>
        </w:rPr>
      </w:pPr>
    </w:p>
    <w:bookmarkEnd w:id="82"/>
    <w:p w14:paraId="7624AD7B">
      <w:pPr>
        <w:pStyle w:val="3"/>
        <w:spacing w:line="240" w:lineRule="atLeast"/>
        <w:rPr>
          <w:rFonts w:ascii="仿宋" w:hAnsi="仿宋" w:eastAsia="仿宋" w:cs="仿宋"/>
          <w:bCs/>
          <w:color w:val="auto"/>
          <w:sz w:val="24"/>
          <w:lang w:eastAsia="zh-CN"/>
        </w:rPr>
      </w:pPr>
      <w:bookmarkStart w:id="83" w:name="_Toc515647803"/>
      <w:bookmarkStart w:id="84" w:name="_Toc8919"/>
      <w:bookmarkStart w:id="85" w:name="_Toc18694"/>
      <w:bookmarkStart w:id="86" w:name="_Toc18974"/>
    </w:p>
    <w:p w14:paraId="41200579">
      <w:pPr>
        <w:pStyle w:val="3"/>
        <w:spacing w:line="240" w:lineRule="atLeast"/>
        <w:rPr>
          <w:rFonts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83"/>
      <w:bookmarkEnd w:id="84"/>
      <w:bookmarkEnd w:id="85"/>
      <w:bookmarkEnd w:id="86"/>
    </w:p>
    <w:p w14:paraId="329EF99C">
      <w:pPr>
        <w:spacing w:line="240" w:lineRule="atLeast"/>
        <w:ind w:left="717" w:hanging="716" w:hangingChars="295"/>
        <w:jc w:val="center"/>
        <w:rPr>
          <w:rFonts w:ascii="仿宋" w:hAnsi="仿宋" w:eastAsia="仿宋" w:cs="仿宋"/>
          <w:color w:val="auto"/>
          <w:lang w:eastAsia="zh-CN"/>
        </w:rPr>
      </w:pPr>
    </w:p>
    <w:p w14:paraId="5B1DD9A4">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1、法人或者非法人组织的营业执照等证明文件复印件（须加盖本单位章）或自然人的身份证明复印件;</w:t>
      </w:r>
    </w:p>
    <w:p w14:paraId="47E42AAD">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2、法定代表人资格证明书；</w:t>
      </w:r>
    </w:p>
    <w:p w14:paraId="24597763">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 xml:space="preserve">3、法定代表人授权书； </w:t>
      </w:r>
    </w:p>
    <w:p w14:paraId="13392578">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14:paraId="340BF999">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、投标保证金收据或投标担保函；</w:t>
      </w:r>
    </w:p>
    <w:p w14:paraId="21AFB77A">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、投标企业须提供供应商（被授权本单位在职人员）近6个月内任意1个月的有效社保证明。</w:t>
      </w:r>
    </w:p>
    <w:p w14:paraId="4D5B792E">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、参加采购活动前三年内，在经营活动中没有重大违法记录，供应商须提供 “信用中国”网站（http://www.creditchina.gov.cn/）、“中国政府采购网”网站（http://www.ccgp.gov.cn）无违法违规行为的查询记录。</w:t>
      </w:r>
    </w:p>
    <w:p w14:paraId="7D958A61">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8</w:t>
      </w:r>
      <w:r>
        <w:rPr>
          <w:rFonts w:hint="eastAsia" w:ascii="仿宋" w:hAnsi="仿宋" w:eastAsia="仿宋" w:cs="仿宋"/>
          <w:color w:val="auto"/>
          <w:lang w:eastAsia="zh-CN"/>
        </w:rPr>
        <w:t>、供应商须知资料表要求的其他资格证明文件;</w:t>
      </w:r>
    </w:p>
    <w:p w14:paraId="2D5A9C15">
      <w:pPr>
        <w:pStyle w:val="7"/>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5FB421B0">
      <w:pPr>
        <w:pStyle w:val="7"/>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01469DB5">
      <w:pPr>
        <w:rPr>
          <w:rFonts w:ascii="仿宋" w:hAnsi="仿宋" w:eastAsia="仿宋" w:cs="仿宋"/>
          <w:b/>
          <w:bCs/>
          <w:color w:val="auto"/>
          <w:sz w:val="36"/>
          <w:szCs w:val="36"/>
          <w:lang w:eastAsia="zh-CN"/>
        </w:rPr>
      </w:pPr>
    </w:p>
    <w:p w14:paraId="5EFDF969">
      <w:pPr>
        <w:pStyle w:val="31"/>
        <w:rPr>
          <w:rFonts w:ascii="仿宋" w:hAnsi="仿宋" w:eastAsia="仿宋" w:cs="仿宋"/>
          <w:b/>
          <w:bCs/>
          <w:color w:val="auto"/>
          <w:sz w:val="36"/>
          <w:szCs w:val="36"/>
          <w:lang w:eastAsia="zh-CN"/>
        </w:rPr>
      </w:pPr>
    </w:p>
    <w:p w14:paraId="48820249">
      <w:pPr>
        <w:pStyle w:val="31"/>
        <w:rPr>
          <w:rFonts w:ascii="仿宋" w:hAnsi="仿宋" w:eastAsia="仿宋" w:cs="仿宋"/>
          <w:b/>
          <w:bCs/>
          <w:color w:val="auto"/>
          <w:sz w:val="36"/>
          <w:szCs w:val="36"/>
          <w:lang w:eastAsia="zh-CN"/>
        </w:rPr>
      </w:pPr>
    </w:p>
    <w:p w14:paraId="1B24160F">
      <w:pPr>
        <w:pStyle w:val="31"/>
        <w:rPr>
          <w:rFonts w:ascii="仿宋" w:hAnsi="仿宋" w:eastAsia="仿宋" w:cs="仿宋"/>
          <w:b/>
          <w:bCs/>
          <w:color w:val="auto"/>
          <w:sz w:val="36"/>
          <w:szCs w:val="36"/>
          <w:lang w:eastAsia="zh-CN"/>
        </w:rPr>
      </w:pPr>
    </w:p>
    <w:p w14:paraId="412620BD">
      <w:pPr>
        <w:pStyle w:val="31"/>
        <w:rPr>
          <w:rFonts w:ascii="仿宋" w:hAnsi="仿宋" w:eastAsia="仿宋" w:cs="仿宋"/>
          <w:b/>
          <w:bCs/>
          <w:color w:val="auto"/>
          <w:sz w:val="36"/>
          <w:szCs w:val="36"/>
          <w:lang w:eastAsia="zh-CN"/>
        </w:rPr>
      </w:pPr>
    </w:p>
    <w:p w14:paraId="45918BF2">
      <w:pPr>
        <w:pStyle w:val="31"/>
        <w:rPr>
          <w:rFonts w:ascii="仿宋" w:hAnsi="仿宋" w:eastAsia="仿宋" w:cs="仿宋"/>
          <w:b/>
          <w:bCs/>
          <w:color w:val="auto"/>
          <w:sz w:val="36"/>
          <w:szCs w:val="36"/>
          <w:lang w:eastAsia="zh-CN"/>
        </w:rPr>
      </w:pPr>
    </w:p>
    <w:p w14:paraId="74E3F7F2">
      <w:pPr>
        <w:pStyle w:val="31"/>
        <w:rPr>
          <w:rFonts w:ascii="仿宋" w:hAnsi="仿宋" w:eastAsia="仿宋" w:cs="仿宋"/>
          <w:b/>
          <w:bCs/>
          <w:color w:val="auto"/>
          <w:sz w:val="36"/>
          <w:szCs w:val="36"/>
          <w:lang w:eastAsia="zh-CN"/>
        </w:rPr>
      </w:pPr>
    </w:p>
    <w:p w14:paraId="54DF8638">
      <w:pPr>
        <w:pStyle w:val="31"/>
        <w:rPr>
          <w:rFonts w:ascii="仿宋" w:hAnsi="仿宋" w:eastAsia="仿宋" w:cs="仿宋"/>
          <w:b/>
          <w:bCs/>
          <w:color w:val="auto"/>
          <w:sz w:val="36"/>
          <w:szCs w:val="36"/>
          <w:lang w:eastAsia="zh-CN"/>
        </w:rPr>
      </w:pPr>
    </w:p>
    <w:p w14:paraId="6290EDF3">
      <w:pPr>
        <w:pStyle w:val="31"/>
        <w:rPr>
          <w:rFonts w:ascii="仿宋" w:hAnsi="仿宋" w:eastAsia="仿宋" w:cs="仿宋"/>
          <w:b/>
          <w:bCs/>
          <w:color w:val="auto"/>
          <w:sz w:val="36"/>
          <w:szCs w:val="36"/>
          <w:lang w:eastAsia="zh-CN"/>
        </w:rPr>
      </w:pPr>
    </w:p>
    <w:p w14:paraId="3FBE19AB">
      <w:pPr>
        <w:pStyle w:val="31"/>
        <w:rPr>
          <w:rFonts w:ascii="仿宋" w:hAnsi="仿宋" w:eastAsia="仿宋" w:cs="仿宋"/>
          <w:b/>
          <w:bCs/>
          <w:color w:val="auto"/>
          <w:sz w:val="36"/>
          <w:szCs w:val="36"/>
          <w:lang w:eastAsia="zh-CN"/>
        </w:rPr>
      </w:pPr>
    </w:p>
    <w:p w14:paraId="4B980BC6">
      <w:pPr>
        <w:pStyle w:val="31"/>
        <w:rPr>
          <w:rFonts w:ascii="仿宋" w:hAnsi="仿宋" w:eastAsia="仿宋" w:cs="仿宋"/>
          <w:b/>
          <w:bCs/>
          <w:color w:val="auto"/>
          <w:sz w:val="36"/>
          <w:szCs w:val="36"/>
          <w:lang w:eastAsia="zh-CN"/>
        </w:rPr>
      </w:pPr>
    </w:p>
    <w:p w14:paraId="729E0E77">
      <w:pPr>
        <w:pStyle w:val="7"/>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14:paraId="6271654F">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bookmarkStart w:id="87" w:name="_Toc515647805"/>
      <w:bookmarkStart w:id="88" w:name="_Toc29899"/>
      <w:bookmarkStart w:id="89" w:name="_Toc4844"/>
      <w:bookmarkStart w:id="90" w:name="_Toc17577"/>
      <w:r>
        <w:rPr>
          <w:rFonts w:hint="eastAsia" w:ascii="仿宋" w:hAnsi="仿宋" w:eastAsia="仿宋" w:cs="仿宋"/>
          <w:b/>
          <w:bCs/>
          <w:color w:val="auto"/>
          <w:sz w:val="36"/>
          <w:szCs w:val="36"/>
          <w:lang w:eastAsia="zh-CN"/>
        </w:rPr>
        <w:t>1、 法人或者非法人组织的营业执照等证明文件</w:t>
      </w:r>
      <w:bookmarkEnd w:id="87"/>
      <w:bookmarkStart w:id="91" w:name="_Toc515647806"/>
      <w:r>
        <w:rPr>
          <w:rFonts w:hint="eastAsia" w:ascii="仿宋" w:hAnsi="仿宋" w:eastAsia="仿宋" w:cs="仿宋"/>
          <w:b/>
          <w:bCs/>
          <w:color w:val="auto"/>
          <w:sz w:val="36"/>
          <w:szCs w:val="36"/>
          <w:lang w:eastAsia="zh-CN"/>
        </w:rPr>
        <w:t>或自然人的身份证明</w:t>
      </w:r>
      <w:bookmarkEnd w:id="88"/>
      <w:bookmarkEnd w:id="89"/>
      <w:bookmarkEnd w:id="90"/>
      <w:bookmarkEnd w:id="91"/>
    </w:p>
    <w:p w14:paraId="220B3988">
      <w:pPr>
        <w:pStyle w:val="10"/>
        <w:tabs>
          <w:tab w:val="left" w:pos="5580"/>
        </w:tabs>
        <w:spacing w:line="400" w:lineRule="exact"/>
        <w:ind w:left="1164" w:leftChars="257" w:hanging="540"/>
        <w:jc w:val="center"/>
        <w:rPr>
          <w:rFonts w:ascii="仿宋" w:hAnsi="仿宋" w:eastAsia="仿宋" w:cs="仿宋"/>
          <w:b/>
          <w:color w:val="auto"/>
          <w:lang w:eastAsia="zh-CN"/>
        </w:rPr>
      </w:pPr>
    </w:p>
    <w:p w14:paraId="4F78A0AA">
      <w:pPr>
        <w:pStyle w:val="10"/>
        <w:tabs>
          <w:tab w:val="left" w:pos="5580"/>
        </w:tabs>
        <w:spacing w:line="400" w:lineRule="exact"/>
        <w:ind w:left="1164" w:leftChars="257" w:hanging="540"/>
        <w:rPr>
          <w:rFonts w:ascii="仿宋" w:hAnsi="仿宋" w:eastAsia="仿宋" w:cs="仿宋"/>
          <w:b/>
          <w:color w:val="auto"/>
          <w:lang w:eastAsia="zh-CN"/>
        </w:rPr>
      </w:pPr>
    </w:p>
    <w:p w14:paraId="3ECFA7AE">
      <w:pPr>
        <w:pStyle w:val="10"/>
        <w:tabs>
          <w:tab w:val="left" w:pos="5580"/>
        </w:tabs>
        <w:spacing w:line="400" w:lineRule="exact"/>
        <w:ind w:left="1164" w:leftChars="257" w:hanging="540"/>
        <w:rPr>
          <w:rFonts w:ascii="仿宋" w:hAnsi="仿宋" w:eastAsia="仿宋" w:cs="仿宋"/>
          <w:b/>
          <w:color w:val="auto"/>
          <w:lang w:eastAsia="zh-CN"/>
        </w:rPr>
      </w:pPr>
    </w:p>
    <w:p w14:paraId="615FCF9B">
      <w:pPr>
        <w:pStyle w:val="10"/>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14:paraId="7383C855">
      <w:pPr>
        <w:pStyle w:val="10"/>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14:paraId="7110E45E">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01751C04">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49488CD5">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694A22B3">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4DE95BD0">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308D5EAC">
      <w:pPr>
        <w:pStyle w:val="7"/>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14:paraId="4A5595CF">
      <w:pPr>
        <w:rPr>
          <w:rFonts w:ascii="仿宋" w:hAnsi="仿宋" w:eastAsia="仿宋" w:cs="仿宋"/>
          <w:b/>
          <w:bCs/>
          <w:color w:val="auto"/>
          <w:sz w:val="36"/>
          <w:szCs w:val="36"/>
          <w:lang w:eastAsia="zh-CN"/>
        </w:rPr>
      </w:pPr>
    </w:p>
    <w:p w14:paraId="5F2728FB">
      <w:pPr>
        <w:pStyle w:val="31"/>
        <w:rPr>
          <w:rFonts w:ascii="仿宋" w:hAnsi="仿宋" w:eastAsia="仿宋" w:cs="仿宋"/>
          <w:b/>
          <w:bCs/>
          <w:color w:val="auto"/>
          <w:sz w:val="36"/>
          <w:szCs w:val="36"/>
          <w:lang w:eastAsia="zh-CN"/>
        </w:rPr>
      </w:pPr>
    </w:p>
    <w:p w14:paraId="633F5652">
      <w:pPr>
        <w:pStyle w:val="31"/>
        <w:rPr>
          <w:rFonts w:ascii="仿宋" w:hAnsi="仿宋" w:eastAsia="仿宋" w:cs="仿宋"/>
          <w:b/>
          <w:bCs/>
          <w:color w:val="auto"/>
          <w:sz w:val="36"/>
          <w:szCs w:val="36"/>
          <w:lang w:eastAsia="zh-CN"/>
        </w:rPr>
      </w:pPr>
    </w:p>
    <w:p w14:paraId="2DEA6732">
      <w:pPr>
        <w:pStyle w:val="31"/>
        <w:rPr>
          <w:rFonts w:ascii="仿宋" w:hAnsi="仿宋" w:eastAsia="仿宋" w:cs="仿宋"/>
          <w:b/>
          <w:bCs/>
          <w:color w:val="auto"/>
          <w:sz w:val="36"/>
          <w:szCs w:val="36"/>
          <w:lang w:eastAsia="zh-CN"/>
        </w:rPr>
      </w:pPr>
    </w:p>
    <w:p w14:paraId="40A329E6">
      <w:pPr>
        <w:pStyle w:val="31"/>
        <w:rPr>
          <w:rFonts w:ascii="仿宋" w:hAnsi="仿宋" w:eastAsia="仿宋" w:cs="仿宋"/>
          <w:b/>
          <w:bCs/>
          <w:color w:val="auto"/>
          <w:sz w:val="36"/>
          <w:szCs w:val="36"/>
          <w:lang w:eastAsia="zh-CN"/>
        </w:rPr>
      </w:pPr>
    </w:p>
    <w:p w14:paraId="0DC821BC">
      <w:pPr>
        <w:pStyle w:val="31"/>
        <w:rPr>
          <w:rFonts w:ascii="仿宋" w:hAnsi="仿宋" w:eastAsia="仿宋" w:cs="仿宋"/>
          <w:b/>
          <w:bCs/>
          <w:color w:val="auto"/>
          <w:sz w:val="36"/>
          <w:szCs w:val="36"/>
          <w:lang w:eastAsia="zh-CN"/>
        </w:rPr>
      </w:pPr>
    </w:p>
    <w:p w14:paraId="5BDB7139">
      <w:pPr>
        <w:pStyle w:val="31"/>
        <w:rPr>
          <w:rFonts w:ascii="仿宋" w:hAnsi="仿宋" w:eastAsia="仿宋" w:cs="仿宋"/>
          <w:b/>
          <w:bCs/>
          <w:color w:val="auto"/>
          <w:sz w:val="36"/>
          <w:szCs w:val="36"/>
          <w:lang w:eastAsia="zh-CN"/>
        </w:rPr>
      </w:pPr>
    </w:p>
    <w:p w14:paraId="437436C8">
      <w:pPr>
        <w:pStyle w:val="31"/>
        <w:rPr>
          <w:rFonts w:ascii="仿宋" w:hAnsi="仿宋" w:eastAsia="仿宋" w:cs="仿宋"/>
          <w:b/>
          <w:bCs/>
          <w:color w:val="auto"/>
          <w:sz w:val="36"/>
          <w:szCs w:val="36"/>
          <w:lang w:eastAsia="zh-CN"/>
        </w:rPr>
      </w:pPr>
    </w:p>
    <w:p w14:paraId="601C88B4">
      <w:pPr>
        <w:pStyle w:val="31"/>
        <w:rPr>
          <w:rFonts w:ascii="仿宋" w:hAnsi="仿宋" w:eastAsia="仿宋" w:cs="仿宋"/>
          <w:b/>
          <w:bCs/>
          <w:color w:val="auto"/>
          <w:sz w:val="36"/>
          <w:szCs w:val="36"/>
          <w:lang w:eastAsia="zh-CN"/>
        </w:rPr>
      </w:pPr>
    </w:p>
    <w:p w14:paraId="5D5E2DA6">
      <w:pPr>
        <w:pStyle w:val="31"/>
        <w:rPr>
          <w:rFonts w:ascii="仿宋" w:hAnsi="仿宋" w:eastAsia="仿宋" w:cs="仿宋"/>
          <w:b/>
          <w:bCs/>
          <w:color w:val="auto"/>
          <w:sz w:val="36"/>
          <w:szCs w:val="36"/>
          <w:lang w:eastAsia="zh-CN"/>
        </w:rPr>
      </w:pPr>
    </w:p>
    <w:p w14:paraId="55CD0CC0">
      <w:pPr>
        <w:pStyle w:val="31"/>
        <w:rPr>
          <w:rFonts w:ascii="仿宋" w:hAnsi="仿宋" w:eastAsia="仿宋" w:cs="仿宋"/>
          <w:b/>
          <w:bCs/>
          <w:color w:val="auto"/>
          <w:sz w:val="36"/>
          <w:szCs w:val="36"/>
          <w:lang w:eastAsia="zh-CN"/>
        </w:rPr>
      </w:pPr>
    </w:p>
    <w:p w14:paraId="11F3E980">
      <w:pPr>
        <w:pStyle w:val="31"/>
        <w:rPr>
          <w:rFonts w:ascii="仿宋" w:hAnsi="仿宋" w:eastAsia="仿宋" w:cs="仿宋"/>
          <w:b/>
          <w:bCs/>
          <w:color w:val="auto"/>
          <w:sz w:val="36"/>
          <w:szCs w:val="36"/>
          <w:lang w:eastAsia="zh-CN"/>
        </w:rPr>
      </w:pPr>
    </w:p>
    <w:p w14:paraId="05027787">
      <w:pPr>
        <w:pStyle w:val="31"/>
        <w:rPr>
          <w:rFonts w:ascii="仿宋" w:hAnsi="仿宋" w:eastAsia="仿宋" w:cs="仿宋"/>
          <w:b/>
          <w:bCs/>
          <w:color w:val="auto"/>
          <w:sz w:val="36"/>
          <w:szCs w:val="36"/>
          <w:lang w:eastAsia="zh-CN"/>
        </w:rPr>
      </w:pPr>
    </w:p>
    <w:p w14:paraId="721DB9AF">
      <w:pPr>
        <w:pStyle w:val="31"/>
        <w:rPr>
          <w:rFonts w:ascii="仿宋" w:hAnsi="仿宋" w:eastAsia="仿宋" w:cs="仿宋"/>
          <w:b/>
          <w:bCs/>
          <w:color w:val="auto"/>
          <w:sz w:val="36"/>
          <w:szCs w:val="36"/>
          <w:lang w:eastAsia="zh-CN"/>
        </w:rPr>
      </w:pPr>
    </w:p>
    <w:p w14:paraId="1BD03BB7">
      <w:pPr>
        <w:pStyle w:val="31"/>
        <w:rPr>
          <w:rFonts w:ascii="仿宋" w:hAnsi="仿宋" w:eastAsia="仿宋" w:cs="仿宋"/>
          <w:b/>
          <w:bCs/>
          <w:color w:val="auto"/>
          <w:sz w:val="36"/>
          <w:szCs w:val="36"/>
          <w:lang w:eastAsia="zh-CN"/>
        </w:rPr>
      </w:pPr>
    </w:p>
    <w:p w14:paraId="1B0E5FA9">
      <w:pPr>
        <w:pStyle w:val="31"/>
        <w:rPr>
          <w:rFonts w:ascii="仿宋" w:hAnsi="仿宋" w:eastAsia="仿宋" w:cs="仿宋"/>
          <w:b/>
          <w:bCs/>
          <w:color w:val="auto"/>
          <w:sz w:val="36"/>
          <w:szCs w:val="36"/>
          <w:lang w:eastAsia="zh-CN"/>
        </w:rPr>
      </w:pPr>
    </w:p>
    <w:p w14:paraId="268B3E65">
      <w:pPr>
        <w:pStyle w:val="31"/>
        <w:ind w:firstLine="0"/>
        <w:rPr>
          <w:rFonts w:ascii="仿宋" w:hAnsi="仿宋" w:eastAsia="仿宋" w:cs="仿宋"/>
          <w:b/>
          <w:bCs/>
          <w:color w:val="auto"/>
          <w:sz w:val="36"/>
          <w:szCs w:val="36"/>
          <w:lang w:eastAsia="zh-CN"/>
        </w:rPr>
      </w:pPr>
    </w:p>
    <w:p w14:paraId="5507D918">
      <w:pPr>
        <w:pStyle w:val="7"/>
        <w:numPr>
          <w:ilvl w:val="0"/>
          <w:numId w:val="0"/>
        </w:numPr>
        <w:kinsoku w:val="0"/>
        <w:overflowPunct w:val="0"/>
        <w:spacing w:before="34" w:line="440" w:lineRule="exact"/>
        <w:ind w:left="480" w:right="126"/>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2、法定代表人身份证明</w:t>
      </w:r>
    </w:p>
    <w:p w14:paraId="3585F327">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14:paraId="1D4EEDD8">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14:paraId="3F919722">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14:paraId="6DF87383">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0C196ABB">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14:paraId="138618ED">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56ED32ED">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14:paraId="5B931388">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14:paraId="3EBEA5CC">
      <w:pPr>
        <w:spacing w:line="420" w:lineRule="exact"/>
        <w:ind w:firstLine="972" w:firstLineChars="400"/>
        <w:rPr>
          <w:rFonts w:ascii="仿宋" w:hAnsi="仿宋" w:eastAsia="仿宋" w:cs="仿宋"/>
          <w:color w:val="auto"/>
        </w:rPr>
      </w:pPr>
      <w:r>
        <w:rPr>
          <w:rFonts w:hint="eastAsia" w:ascii="仿宋" w:hAnsi="仿宋" w:eastAsia="仿宋" w:cs="仿宋"/>
          <w:color w:val="auto"/>
        </w:rPr>
        <w:t>特此证明。</w:t>
      </w:r>
    </w:p>
    <w:p w14:paraId="7113FF71">
      <w:pPr>
        <w:pStyle w:val="7"/>
        <w:numPr>
          <w:ilvl w:val="0"/>
          <w:numId w:val="0"/>
        </w:numPr>
        <w:kinsoku w:val="0"/>
        <w:overflowPunct w:val="0"/>
        <w:rPr>
          <w:rFonts w:ascii="仿宋" w:hAnsi="仿宋" w:eastAsia="仿宋" w:cs="仿宋"/>
          <w:color w:val="auto"/>
          <w:sz w:val="20"/>
          <w:szCs w:val="20"/>
        </w:rPr>
      </w:pPr>
      <w:r>
        <w:rPr>
          <w:rFonts w:ascii="仿宋" w:hAnsi="仿宋" w:eastAsia="仿宋" w:cs="仿宋"/>
          <w:color w:val="auto"/>
          <w:sz w:val="25"/>
        </w:rPr>
        <mc:AlternateContent>
          <mc:Choice Requires="wps">
            <w:drawing>
              <wp:anchor distT="0" distB="0" distL="114300" distR="114300" simplePos="0" relativeHeight="251659264" behindDoc="0" locked="0" layoutInCell="1" allowOverlap="1">
                <wp:simplePos x="0" y="0"/>
                <wp:positionH relativeFrom="column">
                  <wp:posOffset>2991485</wp:posOffset>
                </wp:positionH>
                <wp:positionV relativeFrom="paragraph">
                  <wp:posOffset>194945</wp:posOffset>
                </wp:positionV>
                <wp:extent cx="2363470" cy="1403350"/>
                <wp:effectExtent l="0" t="0" r="0" b="0"/>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225E495">
                            <w:pPr>
                              <w:jc w:val="center"/>
                              <w:rPr>
                                <w:rFonts w:ascii="仿宋" w:hAnsi="仿宋" w:eastAsia="仿宋" w:cs="仿宋"/>
                              </w:rPr>
                            </w:pPr>
                          </w:p>
                          <w:p w14:paraId="091AAC2C">
                            <w:pPr>
                              <w:jc w:val="center"/>
                              <w:rPr>
                                <w:rFonts w:ascii="仿宋" w:hAnsi="仿宋" w:eastAsia="仿宋" w:cs="仿宋"/>
                              </w:rPr>
                            </w:pPr>
                          </w:p>
                          <w:p w14:paraId="24190FB1">
                            <w:pPr>
                              <w:jc w:val="center"/>
                              <w:rPr>
                                <w:rFonts w:ascii="仿宋" w:hAnsi="仿宋" w:eastAsia="仿宋" w:cs="仿宋"/>
                              </w:rPr>
                            </w:pPr>
                            <w:r>
                              <w:rPr>
                                <w:rFonts w:hint="eastAsia" w:ascii="仿宋" w:hAnsi="仿宋" w:eastAsia="仿宋" w:cs="仿宋"/>
                              </w:rPr>
                              <w:t>法定代表人身份证复印件</w:t>
                            </w:r>
                            <w:r>
                              <w:rPr>
                                <w:rFonts w:hint="eastAsia" w:ascii="仿宋" w:hAnsi="仿宋" w:eastAsia="仿宋" w:cs="仿宋"/>
                                <w:lang w:eastAsia="zh-CN"/>
                              </w:rPr>
                              <w:t>反</w:t>
                            </w:r>
                            <w:r>
                              <w:rPr>
                                <w:rFonts w:hint="eastAsia" w:ascii="仿宋" w:hAnsi="仿宋" w:eastAsia="仿宋" w:cs="仿宋"/>
                              </w:rPr>
                              <w:t>面</w:t>
                            </w:r>
                          </w:p>
                          <w:p w14:paraId="357FEAE9"/>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59264;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14:paraId="3225E495">
                      <w:pPr>
                        <w:jc w:val="center"/>
                        <w:rPr>
                          <w:rFonts w:ascii="仿宋" w:hAnsi="仿宋" w:eastAsia="仿宋" w:cs="仿宋"/>
                        </w:rPr>
                      </w:pPr>
                    </w:p>
                    <w:p w14:paraId="091AAC2C">
                      <w:pPr>
                        <w:jc w:val="center"/>
                        <w:rPr>
                          <w:rFonts w:ascii="仿宋" w:hAnsi="仿宋" w:eastAsia="仿宋" w:cs="仿宋"/>
                        </w:rPr>
                      </w:pPr>
                    </w:p>
                    <w:p w14:paraId="24190FB1">
                      <w:pPr>
                        <w:jc w:val="center"/>
                        <w:rPr>
                          <w:rFonts w:ascii="仿宋" w:hAnsi="仿宋" w:eastAsia="仿宋" w:cs="仿宋"/>
                        </w:rPr>
                      </w:pPr>
                      <w:r>
                        <w:rPr>
                          <w:rFonts w:hint="eastAsia" w:ascii="仿宋" w:hAnsi="仿宋" w:eastAsia="仿宋" w:cs="仿宋"/>
                        </w:rPr>
                        <w:t>法定代表人身份证复印件</w:t>
                      </w:r>
                      <w:r>
                        <w:rPr>
                          <w:rFonts w:hint="eastAsia" w:ascii="仿宋" w:hAnsi="仿宋" w:eastAsia="仿宋" w:cs="仿宋"/>
                          <w:lang w:eastAsia="zh-CN"/>
                        </w:rPr>
                        <w:t>反</w:t>
                      </w:r>
                      <w:r>
                        <w:rPr>
                          <w:rFonts w:hint="eastAsia" w:ascii="仿宋" w:hAnsi="仿宋" w:eastAsia="仿宋" w:cs="仿宋"/>
                        </w:rPr>
                        <w:t>面</w:t>
                      </w:r>
                    </w:p>
                    <w:p w14:paraId="357FEAE9"/>
                  </w:txbxContent>
                </v:textbox>
                <w10:wrap type="square"/>
              </v:roundrect>
            </w:pict>
          </mc:Fallback>
        </mc:AlternateContent>
      </w:r>
    </w:p>
    <w:p w14:paraId="179FE376">
      <w:pPr>
        <w:pStyle w:val="7"/>
        <w:numPr>
          <w:ilvl w:val="0"/>
          <w:numId w:val="0"/>
        </w:numPr>
        <w:kinsoku w:val="0"/>
        <w:overflowPunct w:val="0"/>
        <w:spacing w:before="7"/>
        <w:rPr>
          <w:rFonts w:ascii="仿宋" w:hAnsi="仿宋" w:eastAsia="仿宋" w:cs="仿宋"/>
          <w:color w:val="auto"/>
          <w:sz w:val="25"/>
          <w:szCs w:val="25"/>
        </w:rPr>
      </w:pPr>
      <w:r>
        <w:rPr>
          <w:rFonts w:ascii="仿宋" w:hAnsi="仿宋" w:eastAsia="仿宋" w:cs="仿宋"/>
          <w:color w:val="auto"/>
          <w:sz w:val="25"/>
        </w:rPr>
        <mc:AlternateContent>
          <mc:Choice Requires="wps">
            <w:drawing>
              <wp:anchor distT="0" distB="0" distL="114300" distR="114300" simplePos="0" relativeHeight="251662336" behindDoc="1" locked="0" layoutInCell="1" allowOverlap="1">
                <wp:simplePos x="0" y="0"/>
                <wp:positionH relativeFrom="column">
                  <wp:posOffset>336550</wp:posOffset>
                </wp:positionH>
                <wp:positionV relativeFrom="paragraph">
                  <wp:posOffset>17145</wp:posOffset>
                </wp:positionV>
                <wp:extent cx="2371725" cy="1403350"/>
                <wp:effectExtent l="0" t="0" r="0" b="0"/>
                <wp:wrapTight wrapText="bothSides">
                  <wp:wrapPolygon>
                    <wp:start x="20682" y="-2"/>
                    <wp:lineTo x="909" y="0"/>
                    <wp:lineTo x="0" y="1611"/>
                    <wp:lineTo x="0" y="3600"/>
                    <wp:lineTo x="0" y="18000"/>
                    <wp:lineTo x="0" y="19988"/>
                    <wp:lineTo x="909" y="21600"/>
                    <wp:lineTo x="20682" y="21602"/>
                    <wp:lineTo x="917" y="21602"/>
                    <wp:lineTo x="20690" y="21600"/>
                    <wp:lineTo x="21599" y="19988"/>
                    <wp:lineTo x="21599" y="18000"/>
                    <wp:lineTo x="21599" y="3600"/>
                    <wp:lineTo x="21599" y="1611"/>
                    <wp:lineTo x="20690" y="0"/>
                    <wp:lineTo x="917" y="-2"/>
                    <wp:lineTo x="20682" y="-2"/>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DDF5613">
                            <w:pPr>
                              <w:jc w:val="center"/>
                              <w:rPr>
                                <w:rFonts w:ascii="仿宋" w:hAnsi="仿宋" w:eastAsia="仿宋" w:cs="仿宋"/>
                              </w:rPr>
                            </w:pPr>
                          </w:p>
                          <w:p w14:paraId="05F6321B">
                            <w:pPr>
                              <w:jc w:val="center"/>
                              <w:rPr>
                                <w:rFonts w:ascii="仿宋" w:hAnsi="仿宋" w:eastAsia="仿宋" w:cs="仿宋"/>
                              </w:rPr>
                            </w:pPr>
                          </w:p>
                          <w:p w14:paraId="5DC1C828">
                            <w:pPr>
                              <w:jc w:val="center"/>
                              <w:rPr>
                                <w:rFonts w:ascii="仿宋" w:hAnsi="仿宋" w:eastAsia="仿宋" w:cs="仿宋"/>
                              </w:rPr>
                            </w:pPr>
                            <w:r>
                              <w:rPr>
                                <w:rFonts w:hint="eastAsia" w:ascii="仿宋" w:hAnsi="仿宋" w:eastAsia="仿宋" w:cs="仿宋"/>
                              </w:rPr>
                              <w:t>法定代表人身份证复印件正面</w:t>
                            </w:r>
                          </w:p>
                          <w:p w14:paraId="201B90BB"/>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4144;mso-width-relative:page;mso-height-relative:page;" fillcolor="#FFFFFF" filled="t" stroked="t" coordsize="21600,21600" wrapcoords="20682 -2 909 0 0 1611 0 3600 0 18000 0 19988 909 21600 20682 21602 917 21602 20690 21600 21599 19988 21599 18000 21599 3600 21599 1611 20690 0 917 -2 20682 -2"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2rcKNUA&#10;AAAI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14:paraId="4DDF5613">
                      <w:pPr>
                        <w:jc w:val="center"/>
                        <w:rPr>
                          <w:rFonts w:ascii="仿宋" w:hAnsi="仿宋" w:eastAsia="仿宋" w:cs="仿宋"/>
                        </w:rPr>
                      </w:pPr>
                    </w:p>
                    <w:p w14:paraId="05F6321B">
                      <w:pPr>
                        <w:jc w:val="center"/>
                        <w:rPr>
                          <w:rFonts w:ascii="仿宋" w:hAnsi="仿宋" w:eastAsia="仿宋" w:cs="仿宋"/>
                        </w:rPr>
                      </w:pPr>
                    </w:p>
                    <w:p w14:paraId="5DC1C828">
                      <w:pPr>
                        <w:jc w:val="center"/>
                        <w:rPr>
                          <w:rFonts w:ascii="仿宋" w:hAnsi="仿宋" w:eastAsia="仿宋" w:cs="仿宋"/>
                        </w:rPr>
                      </w:pPr>
                      <w:r>
                        <w:rPr>
                          <w:rFonts w:hint="eastAsia" w:ascii="仿宋" w:hAnsi="仿宋" w:eastAsia="仿宋" w:cs="仿宋"/>
                        </w:rPr>
                        <w:t>法定代表人身份证复印件正面</w:t>
                      </w:r>
                    </w:p>
                    <w:p w14:paraId="201B90BB"/>
                  </w:txbxContent>
                </v:textbox>
                <w10:wrap type="tight"/>
              </v:roundrect>
            </w:pict>
          </mc:Fallback>
        </mc:AlternateContent>
      </w:r>
    </w:p>
    <w:p w14:paraId="6FDAC437">
      <w:pPr>
        <w:pStyle w:val="7"/>
        <w:numPr>
          <w:ilvl w:val="0"/>
          <w:numId w:val="0"/>
        </w:numPr>
        <w:kinsoku w:val="0"/>
        <w:overflowPunct w:val="0"/>
        <w:spacing w:line="200" w:lineRule="atLeast"/>
        <w:rPr>
          <w:rFonts w:ascii="仿宋" w:hAnsi="仿宋" w:eastAsia="仿宋" w:cs="仿宋"/>
          <w:color w:val="auto"/>
          <w:sz w:val="20"/>
          <w:szCs w:val="20"/>
        </w:rPr>
      </w:pPr>
    </w:p>
    <w:p w14:paraId="50E2BF2D">
      <w:pPr>
        <w:wordWrap w:val="0"/>
        <w:spacing w:line="420" w:lineRule="exact"/>
        <w:ind w:firstLine="486" w:firstLineChars="200"/>
        <w:jc w:val="right"/>
        <w:rPr>
          <w:rFonts w:ascii="仿宋" w:hAnsi="仿宋" w:eastAsia="仿宋" w:cs="仿宋"/>
          <w:color w:val="auto"/>
        </w:rPr>
      </w:pPr>
    </w:p>
    <w:p w14:paraId="4932339A">
      <w:pPr>
        <w:pStyle w:val="7"/>
        <w:numPr>
          <w:ilvl w:val="0"/>
          <w:numId w:val="0"/>
        </w:numPr>
        <w:kinsoku w:val="0"/>
        <w:overflowPunct w:val="0"/>
        <w:spacing w:before="34" w:line="357" w:lineRule="auto"/>
        <w:ind w:right="126"/>
        <w:jc w:val="both"/>
        <w:rPr>
          <w:rFonts w:ascii="仿宋" w:hAnsi="仿宋" w:eastAsia="仿宋" w:cs="仿宋"/>
          <w:color w:val="auto"/>
          <w:lang w:eastAsia="zh-CN"/>
        </w:rPr>
      </w:pPr>
    </w:p>
    <w:p w14:paraId="30F9BE37">
      <w:pPr>
        <w:pStyle w:val="7"/>
        <w:numPr>
          <w:ilvl w:val="0"/>
          <w:numId w:val="0"/>
        </w:numPr>
        <w:kinsoku w:val="0"/>
        <w:overflowPunct w:val="0"/>
        <w:spacing w:before="34" w:line="357" w:lineRule="auto"/>
        <w:ind w:right="126"/>
        <w:jc w:val="both"/>
        <w:rPr>
          <w:rFonts w:ascii="仿宋" w:hAnsi="仿宋" w:eastAsia="仿宋" w:cs="仿宋"/>
          <w:color w:val="auto"/>
          <w:sz w:val="24"/>
          <w:lang w:eastAsia="zh-CN"/>
        </w:rPr>
      </w:pPr>
    </w:p>
    <w:p w14:paraId="64A5955B">
      <w:pPr>
        <w:pStyle w:val="7"/>
        <w:numPr>
          <w:ilvl w:val="0"/>
          <w:numId w:val="0"/>
        </w:numPr>
        <w:kinsoku w:val="0"/>
        <w:overflowPunct w:val="0"/>
        <w:spacing w:before="34" w:line="357" w:lineRule="auto"/>
        <w:ind w:right="126"/>
        <w:jc w:val="both"/>
        <w:rPr>
          <w:rFonts w:ascii="仿宋" w:hAnsi="仿宋" w:eastAsia="仿宋" w:cs="仿宋"/>
          <w:color w:val="auto"/>
          <w:sz w:val="24"/>
          <w:lang w:eastAsia="zh-CN"/>
        </w:rPr>
      </w:pPr>
    </w:p>
    <w:p w14:paraId="59F5A9B0">
      <w:pPr>
        <w:pStyle w:val="7"/>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14:paraId="4C42EBBF">
      <w:pPr>
        <w:pStyle w:val="7"/>
        <w:numPr>
          <w:ilvl w:val="0"/>
          <w:numId w:val="0"/>
        </w:numPr>
        <w:kinsoku w:val="0"/>
        <w:overflowPunct w:val="0"/>
        <w:spacing w:before="34" w:line="357" w:lineRule="auto"/>
        <w:ind w:right="126"/>
        <w:jc w:val="both"/>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14:paraId="025BD557">
      <w:pPr>
        <w:pStyle w:val="7"/>
        <w:numPr>
          <w:ilvl w:val="0"/>
          <w:numId w:val="0"/>
        </w:numPr>
        <w:kinsoku w:val="0"/>
        <w:overflowPunct w:val="0"/>
        <w:spacing w:before="34" w:line="357" w:lineRule="auto"/>
        <w:ind w:right="126"/>
        <w:jc w:val="both"/>
        <w:rPr>
          <w:rFonts w:ascii="仿宋" w:hAnsi="仿宋" w:eastAsia="仿宋" w:cs="仿宋"/>
          <w:color w:val="auto"/>
          <w:lang w:eastAsia="zh-CN"/>
        </w:rPr>
      </w:pPr>
    </w:p>
    <w:p w14:paraId="487298C3">
      <w:pPr>
        <w:pStyle w:val="7"/>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14:paraId="302371A4">
      <w:pPr>
        <w:pStyle w:val="7"/>
        <w:numPr>
          <w:ilvl w:val="0"/>
          <w:numId w:val="0"/>
        </w:numPr>
        <w:kinsoku w:val="0"/>
        <w:overflowPunct w:val="0"/>
        <w:spacing w:before="34" w:line="357" w:lineRule="auto"/>
        <w:ind w:left="480" w:right="126"/>
        <w:jc w:val="center"/>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eastAsia="zh-CN"/>
        </w:rPr>
        <w:t>3、授权委托书</w:t>
      </w:r>
    </w:p>
    <w:p w14:paraId="0D691789">
      <w:pPr>
        <w:spacing w:line="420" w:lineRule="exact"/>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14:paraId="2A9137A0">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14:paraId="29F590F2">
      <w:pPr>
        <w:adjustRightInd w:val="0"/>
        <w:snapToGrid w:val="0"/>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14:paraId="16C77FE5">
      <w:pPr>
        <w:pStyle w:val="7"/>
        <w:tabs>
          <w:tab w:val="left" w:pos="780"/>
        </w:tabs>
        <w:kinsoku w:val="0"/>
        <w:overflowPunct w:val="0"/>
        <w:adjustRightInd w:val="0"/>
        <w:snapToGrid w:val="0"/>
        <w:spacing w:before="12"/>
        <w:rPr>
          <w:rFonts w:ascii="仿宋" w:hAnsi="仿宋" w:eastAsia="仿宋" w:cs="仿宋"/>
          <w:color w:val="auto"/>
          <w:sz w:val="4"/>
          <w:szCs w:val="4"/>
          <w:lang w:eastAsia="zh-CN"/>
        </w:rPr>
      </w:pPr>
    </w:p>
    <w:p w14:paraId="39BA9869">
      <w:pPr>
        <w:pStyle w:val="7"/>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rPr>
      </w:pPr>
      <w:r>
        <w:rPr>
          <w:rFonts w:ascii="仿宋" w:hAnsi="仿宋" w:eastAsia="仿宋" w:cs="仿宋"/>
          <w:color w:val="auto"/>
          <w:sz w:val="18"/>
        </w:rPr>
        <mc:AlternateContent>
          <mc:Choice Requires="wps">
            <w:drawing>
              <wp:anchor distT="0" distB="0" distL="114300" distR="114300" simplePos="0" relativeHeight="251661312" behindDoc="0" locked="0" layoutInCell="1" allowOverlap="1">
                <wp:simplePos x="0" y="0"/>
                <wp:positionH relativeFrom="column">
                  <wp:posOffset>252730</wp:posOffset>
                </wp:positionH>
                <wp:positionV relativeFrom="paragraph">
                  <wp:posOffset>1524635</wp:posOffset>
                </wp:positionV>
                <wp:extent cx="2348230" cy="1367155"/>
                <wp:effectExtent l="0" t="0" r="0" b="0"/>
                <wp:wrapSquare wrapText="bothSides"/>
                <wp:docPr id="3"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F59168F">
                            <w:pPr>
                              <w:jc w:val="center"/>
                              <w:rPr>
                                <w:rFonts w:ascii="仿宋" w:hAnsi="仿宋" w:eastAsia="仿宋" w:cs="仿宋"/>
                              </w:rPr>
                            </w:pPr>
                          </w:p>
                          <w:p w14:paraId="539EB686">
                            <w:pPr>
                              <w:jc w:val="center"/>
                              <w:rPr>
                                <w:rFonts w:ascii="仿宋" w:hAnsi="仿宋" w:eastAsia="仿宋" w:cs="仿宋"/>
                              </w:rPr>
                            </w:pPr>
                          </w:p>
                          <w:p w14:paraId="2A80F57A">
                            <w:pPr>
                              <w:jc w:val="center"/>
                              <w:rPr>
                                <w:rFonts w:ascii="仿宋" w:hAnsi="仿宋" w:eastAsia="仿宋" w:cs="仿宋"/>
                              </w:rPr>
                            </w:pPr>
                            <w:r>
                              <w:rPr>
                                <w:rFonts w:hint="eastAsia" w:ascii="仿宋" w:hAnsi="仿宋" w:eastAsia="仿宋" w:cs="仿宋"/>
                              </w:rPr>
                              <w:t>法定代表人身份证复印件正面</w:t>
                            </w:r>
                          </w:p>
                          <w:p w14:paraId="4A03BFBC"/>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AMKhr/JAIAAFgEAAAOAAAAAAAAAAEAIAAAACYBAABkcnMvZTJvRG9jLnhtbFBLBQYAAAAABgAG&#10;AFkBAAC8BQAAAAA=&#10;">
                <v:fill on="t" focussize="0,0"/>
                <v:stroke color="#000000" joinstyle="round"/>
                <v:imagedata o:title=""/>
                <o:lock v:ext="edit" aspectratio="f"/>
                <v:textbox>
                  <w:txbxContent>
                    <w:p w14:paraId="1F59168F">
                      <w:pPr>
                        <w:jc w:val="center"/>
                        <w:rPr>
                          <w:rFonts w:ascii="仿宋" w:hAnsi="仿宋" w:eastAsia="仿宋" w:cs="仿宋"/>
                        </w:rPr>
                      </w:pPr>
                    </w:p>
                    <w:p w14:paraId="539EB686">
                      <w:pPr>
                        <w:jc w:val="center"/>
                        <w:rPr>
                          <w:rFonts w:ascii="仿宋" w:hAnsi="仿宋" w:eastAsia="仿宋" w:cs="仿宋"/>
                        </w:rPr>
                      </w:pPr>
                    </w:p>
                    <w:p w14:paraId="2A80F57A">
                      <w:pPr>
                        <w:jc w:val="center"/>
                        <w:rPr>
                          <w:rFonts w:ascii="仿宋" w:hAnsi="仿宋" w:eastAsia="仿宋" w:cs="仿宋"/>
                        </w:rPr>
                      </w:pPr>
                      <w:r>
                        <w:rPr>
                          <w:rFonts w:hint="eastAsia" w:ascii="仿宋" w:hAnsi="仿宋" w:eastAsia="仿宋" w:cs="仿宋"/>
                        </w:rPr>
                        <w:t>法定代表人身份证复印件正面</w:t>
                      </w:r>
                    </w:p>
                    <w:p w14:paraId="4A03BFBC"/>
                  </w:txbxContent>
                </v:textbox>
                <w10:wrap type="square"/>
              </v:roundrect>
            </w:pict>
          </mc:Fallback>
        </mc:AlternateContent>
      </w:r>
      <w:r>
        <w:rPr>
          <w:rFonts w:ascii="仿宋" w:hAnsi="仿宋" w:eastAsia="仿宋" w:cs="仿宋"/>
          <w:color w:val="auto"/>
          <w:sz w:val="18"/>
        </w:rPr>
        <mc:AlternateContent>
          <mc:Choice Requires="wps">
            <w:drawing>
              <wp:anchor distT="0" distB="0" distL="114300" distR="114300" simplePos="0" relativeHeight="251660288" behindDoc="1" locked="0" layoutInCell="1" allowOverlap="1">
                <wp:simplePos x="0" y="0"/>
                <wp:positionH relativeFrom="column">
                  <wp:posOffset>214630</wp:posOffset>
                </wp:positionH>
                <wp:positionV relativeFrom="paragraph">
                  <wp:posOffset>62865</wp:posOffset>
                </wp:positionV>
                <wp:extent cx="2378075" cy="1367155"/>
                <wp:effectExtent l="0" t="0" r="0" b="0"/>
                <wp:wrapTight wrapText="bothSides">
                  <wp:wrapPolygon>
                    <wp:start x="20605" y="-2"/>
                    <wp:lineTo x="986" y="0"/>
                    <wp:lineTo x="0" y="1611"/>
                    <wp:lineTo x="0" y="3600"/>
                    <wp:lineTo x="0" y="18000"/>
                    <wp:lineTo x="0" y="19988"/>
                    <wp:lineTo x="986" y="21600"/>
                    <wp:lineTo x="20605" y="21602"/>
                    <wp:lineTo x="994" y="21602"/>
                    <wp:lineTo x="20613" y="21600"/>
                    <wp:lineTo x="21599" y="19988"/>
                    <wp:lineTo x="21599" y="18000"/>
                    <wp:lineTo x="21599" y="3600"/>
                    <wp:lineTo x="21599" y="1611"/>
                    <wp:lineTo x="20613" y="0"/>
                    <wp:lineTo x="994" y="-2"/>
                    <wp:lineTo x="20605" y="-2"/>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B064D1F">
                            <w:pPr>
                              <w:jc w:val="center"/>
                              <w:rPr>
                                <w:rFonts w:ascii="仿宋" w:hAnsi="仿宋" w:eastAsia="仿宋" w:cs="仿宋"/>
                              </w:rPr>
                            </w:pPr>
                          </w:p>
                          <w:p w14:paraId="50846E1F">
                            <w:pPr>
                              <w:jc w:val="center"/>
                              <w:rPr>
                                <w:rFonts w:ascii="仿宋" w:hAnsi="仿宋" w:eastAsia="仿宋" w:cs="仿宋"/>
                              </w:rPr>
                            </w:pPr>
                          </w:p>
                          <w:p w14:paraId="349CF0D7">
                            <w:pPr>
                              <w:jc w:val="center"/>
                              <w:rPr>
                                <w:rFonts w:ascii="仿宋" w:hAnsi="仿宋" w:eastAsia="仿宋" w:cs="仿宋"/>
                                <w:lang w:eastAsia="zh-CN"/>
                              </w:rPr>
                            </w:pPr>
                            <w:r>
                              <w:rPr>
                                <w:rFonts w:hint="eastAsia" w:ascii="仿宋" w:hAnsi="仿宋" w:eastAsia="仿宋" w:cs="仿宋"/>
                              </w:rPr>
                              <w:t>授权委托人身份证复印件</w:t>
                            </w:r>
                            <w:r>
                              <w:rPr>
                                <w:rFonts w:hint="eastAsia" w:ascii="仿宋" w:hAnsi="仿宋" w:eastAsia="仿宋" w:cs="仿宋"/>
                                <w:lang w:eastAsia="zh-CN"/>
                              </w:rPr>
                              <w:t>正面</w:t>
                            </w:r>
                          </w:p>
                          <w:p w14:paraId="40A2EFFF">
                            <w:pPr>
                              <w:rPr>
                                <w:lang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6192;mso-width-relative:page;mso-height-relative:page;" fillcolor="#FFFFFF" filled="t" stroked="t" coordsize="21600,21600" wrapcoords="20605 -2 986 0 0 1611 0 3600 0 18000 0 19988 986 21600 20605 21602 994 21602 20613 21600 21599 19988 21599 18000 21599 3600 21599 1611 20613 0 994 -2 20605 -2"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14:paraId="7B064D1F">
                      <w:pPr>
                        <w:jc w:val="center"/>
                        <w:rPr>
                          <w:rFonts w:ascii="仿宋" w:hAnsi="仿宋" w:eastAsia="仿宋" w:cs="仿宋"/>
                        </w:rPr>
                      </w:pPr>
                    </w:p>
                    <w:p w14:paraId="50846E1F">
                      <w:pPr>
                        <w:jc w:val="center"/>
                        <w:rPr>
                          <w:rFonts w:ascii="仿宋" w:hAnsi="仿宋" w:eastAsia="仿宋" w:cs="仿宋"/>
                        </w:rPr>
                      </w:pPr>
                    </w:p>
                    <w:p w14:paraId="349CF0D7">
                      <w:pPr>
                        <w:jc w:val="center"/>
                        <w:rPr>
                          <w:rFonts w:ascii="仿宋" w:hAnsi="仿宋" w:eastAsia="仿宋" w:cs="仿宋"/>
                          <w:lang w:eastAsia="zh-CN"/>
                        </w:rPr>
                      </w:pPr>
                      <w:r>
                        <w:rPr>
                          <w:rFonts w:hint="eastAsia" w:ascii="仿宋" w:hAnsi="仿宋" w:eastAsia="仿宋" w:cs="仿宋"/>
                        </w:rPr>
                        <w:t>授权委托人身份证复印件</w:t>
                      </w:r>
                      <w:r>
                        <w:rPr>
                          <w:rFonts w:hint="eastAsia" w:ascii="仿宋" w:hAnsi="仿宋" w:eastAsia="仿宋" w:cs="仿宋"/>
                          <w:lang w:eastAsia="zh-CN"/>
                        </w:rPr>
                        <w:t>正面</w:t>
                      </w:r>
                    </w:p>
                    <w:p w14:paraId="40A2EFFF">
                      <w:pPr>
                        <w:rPr>
                          <w:lang w:eastAsia="zh-CN"/>
                        </w:rPr>
                      </w:pPr>
                    </w:p>
                  </w:txbxContent>
                </v:textbox>
                <w10:wrap type="tight"/>
              </v:roundrect>
            </w:pict>
          </mc:Fallback>
        </mc:AlternateContent>
      </w:r>
      <w:r>
        <w:rPr>
          <w:rFonts w:ascii="仿宋" w:hAnsi="仿宋" w:eastAsia="仿宋" w:cs="仿宋"/>
          <w:color w:val="auto"/>
          <w:sz w:val="18"/>
        </w:rPr>
        <mc:AlternateContent>
          <mc:Choice Requires="wps">
            <w:drawing>
              <wp:anchor distT="0" distB="0" distL="114300" distR="114300" simplePos="0" relativeHeight="251663360" behindDoc="0" locked="0" layoutInCell="1" allowOverlap="1">
                <wp:simplePos x="0" y="0"/>
                <wp:positionH relativeFrom="column">
                  <wp:posOffset>2920365</wp:posOffset>
                </wp:positionH>
                <wp:positionV relativeFrom="paragraph">
                  <wp:posOffset>1524635</wp:posOffset>
                </wp:positionV>
                <wp:extent cx="2341245" cy="1367155"/>
                <wp:effectExtent l="0" t="0" r="0" b="0"/>
                <wp:wrapSquare wrapText="bothSides"/>
                <wp:docPr id="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AB5B57A">
                            <w:pPr>
                              <w:jc w:val="center"/>
                              <w:rPr>
                                <w:rFonts w:ascii="仿宋" w:hAnsi="仿宋" w:eastAsia="仿宋" w:cs="仿宋"/>
                              </w:rPr>
                            </w:pPr>
                          </w:p>
                          <w:p w14:paraId="27365609">
                            <w:pPr>
                              <w:jc w:val="center"/>
                              <w:rPr>
                                <w:rFonts w:ascii="仿宋" w:hAnsi="仿宋" w:eastAsia="仿宋" w:cs="仿宋"/>
                              </w:rPr>
                            </w:pPr>
                          </w:p>
                          <w:p w14:paraId="1980D4D0">
                            <w:pPr>
                              <w:jc w:val="center"/>
                              <w:rPr>
                                <w:rFonts w:ascii="仿宋" w:hAnsi="仿宋" w:eastAsia="仿宋" w:cs="仿宋"/>
                              </w:rPr>
                            </w:pPr>
                            <w:r>
                              <w:rPr>
                                <w:rFonts w:hint="eastAsia" w:ascii="仿宋" w:hAnsi="仿宋" w:eastAsia="仿宋" w:cs="仿宋"/>
                              </w:rPr>
                              <w:t>法定代表人身份证复印件正面</w:t>
                            </w:r>
                          </w:p>
                          <w:p w14:paraId="4F4C9B26"/>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3360;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nsBQYjAgAAWA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uewFBiMCAABYBAAADgAAAAAAAAABACAAAAAlAQAAZHJzL2Uyb0RvYy54bWxQSwUGAAAAAAYABgBZ&#10;AQAAugUAAAAA&#10;">
                <v:fill on="t" focussize="0,0"/>
                <v:stroke color="#000000" joinstyle="round"/>
                <v:imagedata o:title=""/>
                <o:lock v:ext="edit" aspectratio="f"/>
                <v:textbox>
                  <w:txbxContent>
                    <w:p w14:paraId="2AB5B57A">
                      <w:pPr>
                        <w:jc w:val="center"/>
                        <w:rPr>
                          <w:rFonts w:ascii="仿宋" w:hAnsi="仿宋" w:eastAsia="仿宋" w:cs="仿宋"/>
                        </w:rPr>
                      </w:pPr>
                    </w:p>
                    <w:p w14:paraId="27365609">
                      <w:pPr>
                        <w:jc w:val="center"/>
                        <w:rPr>
                          <w:rFonts w:ascii="仿宋" w:hAnsi="仿宋" w:eastAsia="仿宋" w:cs="仿宋"/>
                        </w:rPr>
                      </w:pPr>
                    </w:p>
                    <w:p w14:paraId="1980D4D0">
                      <w:pPr>
                        <w:jc w:val="center"/>
                        <w:rPr>
                          <w:rFonts w:ascii="仿宋" w:hAnsi="仿宋" w:eastAsia="仿宋" w:cs="仿宋"/>
                        </w:rPr>
                      </w:pPr>
                      <w:r>
                        <w:rPr>
                          <w:rFonts w:hint="eastAsia" w:ascii="仿宋" w:hAnsi="仿宋" w:eastAsia="仿宋" w:cs="仿宋"/>
                        </w:rPr>
                        <w:t>法定代表人身份证复印件正面</w:t>
                      </w:r>
                    </w:p>
                    <w:p w14:paraId="4F4C9B26"/>
                  </w:txbxContent>
                </v:textbox>
                <w10:wrap type="square"/>
              </v:roundrect>
            </w:pict>
          </mc:Fallback>
        </mc:AlternateContent>
      </w:r>
      <w:r>
        <w:rPr>
          <w:rFonts w:ascii="仿宋" w:hAnsi="仿宋" w:eastAsia="仿宋" w:cs="仿宋"/>
          <w:color w:val="auto"/>
          <w:sz w:val="18"/>
        </w:rPr>
        <mc:AlternateContent>
          <mc:Choice Requires="wps">
            <w:drawing>
              <wp:anchor distT="0" distB="0" distL="114300" distR="114300" simplePos="0" relativeHeight="251661312" behindDoc="0" locked="0" layoutInCell="1" allowOverlap="1">
                <wp:simplePos x="0" y="0"/>
                <wp:positionH relativeFrom="column">
                  <wp:posOffset>2902585</wp:posOffset>
                </wp:positionH>
                <wp:positionV relativeFrom="paragraph">
                  <wp:posOffset>41275</wp:posOffset>
                </wp:positionV>
                <wp:extent cx="2327275" cy="1367155"/>
                <wp:effectExtent l="0" t="0" r="0" b="0"/>
                <wp:wrapSquare wrapText="bothSides"/>
                <wp:docPr id="4"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4D554F7">
                            <w:pPr>
                              <w:jc w:val="center"/>
                              <w:rPr>
                                <w:rFonts w:ascii="仿宋" w:hAnsi="仿宋" w:eastAsia="仿宋" w:cs="仿宋"/>
                              </w:rPr>
                            </w:pPr>
                          </w:p>
                          <w:p w14:paraId="28BE717A">
                            <w:pPr>
                              <w:jc w:val="center"/>
                              <w:rPr>
                                <w:rFonts w:ascii="仿宋" w:hAnsi="仿宋" w:eastAsia="仿宋" w:cs="仿宋"/>
                              </w:rPr>
                            </w:pPr>
                          </w:p>
                          <w:p w14:paraId="24E33FE9">
                            <w:pPr>
                              <w:jc w:val="center"/>
                              <w:rPr>
                                <w:rFonts w:ascii="仿宋" w:hAnsi="仿宋" w:eastAsia="仿宋" w:cs="仿宋"/>
                                <w:lang w:eastAsia="zh-CN"/>
                              </w:rPr>
                            </w:pPr>
                            <w:r>
                              <w:rPr>
                                <w:rFonts w:hint="eastAsia" w:ascii="仿宋" w:hAnsi="仿宋" w:eastAsia="仿宋" w:cs="仿宋"/>
                              </w:rPr>
                              <w:t>授权委托人身份证复印件</w:t>
                            </w:r>
                            <w:r>
                              <w:rPr>
                                <w:rFonts w:hint="eastAsia" w:ascii="仿宋" w:hAnsi="仿宋" w:eastAsia="仿宋" w:cs="仿宋"/>
                                <w:lang w:eastAsia="zh-CN"/>
                              </w:rPr>
                              <w:t>反面</w:t>
                            </w:r>
                          </w:p>
                          <w:p w14:paraId="4EFB0331"/>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BX&#10;EgR5IwIAAFgEAAAOAAAAAAAAAAEAIAAAACQBAABkcnMvZTJvRG9jLnhtbFBLBQYAAAAABgAGAFkB&#10;AAC5BQAAAAA=&#10;">
                <v:fill on="t" focussize="0,0"/>
                <v:stroke color="#000000" joinstyle="round"/>
                <v:imagedata o:title=""/>
                <o:lock v:ext="edit" aspectratio="f"/>
                <v:textbox>
                  <w:txbxContent>
                    <w:p w14:paraId="64D554F7">
                      <w:pPr>
                        <w:jc w:val="center"/>
                        <w:rPr>
                          <w:rFonts w:ascii="仿宋" w:hAnsi="仿宋" w:eastAsia="仿宋" w:cs="仿宋"/>
                        </w:rPr>
                      </w:pPr>
                    </w:p>
                    <w:p w14:paraId="28BE717A">
                      <w:pPr>
                        <w:jc w:val="center"/>
                        <w:rPr>
                          <w:rFonts w:ascii="仿宋" w:hAnsi="仿宋" w:eastAsia="仿宋" w:cs="仿宋"/>
                        </w:rPr>
                      </w:pPr>
                    </w:p>
                    <w:p w14:paraId="24E33FE9">
                      <w:pPr>
                        <w:jc w:val="center"/>
                        <w:rPr>
                          <w:rFonts w:ascii="仿宋" w:hAnsi="仿宋" w:eastAsia="仿宋" w:cs="仿宋"/>
                          <w:lang w:eastAsia="zh-CN"/>
                        </w:rPr>
                      </w:pPr>
                      <w:r>
                        <w:rPr>
                          <w:rFonts w:hint="eastAsia" w:ascii="仿宋" w:hAnsi="仿宋" w:eastAsia="仿宋" w:cs="仿宋"/>
                        </w:rPr>
                        <w:t>授权委托人身份证复印件</w:t>
                      </w:r>
                      <w:r>
                        <w:rPr>
                          <w:rFonts w:hint="eastAsia" w:ascii="仿宋" w:hAnsi="仿宋" w:eastAsia="仿宋" w:cs="仿宋"/>
                          <w:lang w:eastAsia="zh-CN"/>
                        </w:rPr>
                        <w:t>反面</w:t>
                      </w:r>
                    </w:p>
                    <w:p w14:paraId="4EFB0331"/>
                  </w:txbxContent>
                </v:textbox>
                <w10:wrap type="square"/>
              </v:roundrect>
            </w:pict>
          </mc:Fallback>
        </mc:AlternateContent>
      </w:r>
    </w:p>
    <w:p w14:paraId="21349768">
      <w:pPr>
        <w:pStyle w:val="7"/>
        <w:numPr>
          <w:ilvl w:val="0"/>
          <w:numId w:val="0"/>
        </w:numPr>
        <w:kinsoku w:val="0"/>
        <w:overflowPunct w:val="0"/>
        <w:adjustRightInd w:val="0"/>
        <w:snapToGrid w:val="0"/>
        <w:spacing w:line="200" w:lineRule="atLeast"/>
        <w:rPr>
          <w:rFonts w:ascii="仿宋" w:hAnsi="仿宋" w:eastAsia="仿宋" w:cs="仿宋"/>
          <w:color w:val="auto"/>
          <w:sz w:val="18"/>
          <w:szCs w:val="20"/>
        </w:rPr>
      </w:pPr>
    </w:p>
    <w:p w14:paraId="47C467FD">
      <w:pPr>
        <w:rPr>
          <w:rFonts w:ascii="仿宋" w:hAnsi="仿宋" w:eastAsia="仿宋" w:cs="仿宋"/>
          <w:color w:val="auto"/>
          <w:sz w:val="18"/>
          <w:szCs w:val="20"/>
        </w:rPr>
      </w:pPr>
    </w:p>
    <w:p w14:paraId="7078AD97">
      <w:pPr>
        <w:pStyle w:val="31"/>
        <w:rPr>
          <w:rFonts w:ascii="仿宋" w:hAnsi="仿宋" w:eastAsia="仿宋" w:cs="仿宋"/>
          <w:color w:val="auto"/>
          <w:sz w:val="18"/>
          <w:szCs w:val="20"/>
        </w:rPr>
      </w:pPr>
    </w:p>
    <w:p w14:paraId="604ACE19">
      <w:pPr>
        <w:pStyle w:val="31"/>
        <w:rPr>
          <w:rFonts w:ascii="仿宋" w:hAnsi="仿宋" w:eastAsia="仿宋" w:cs="仿宋"/>
          <w:color w:val="auto"/>
          <w:sz w:val="18"/>
          <w:szCs w:val="20"/>
        </w:rPr>
      </w:pPr>
    </w:p>
    <w:p w14:paraId="650990A5">
      <w:pPr>
        <w:pStyle w:val="31"/>
        <w:rPr>
          <w:rFonts w:ascii="仿宋" w:hAnsi="仿宋" w:eastAsia="仿宋" w:cs="仿宋"/>
          <w:color w:val="auto"/>
          <w:sz w:val="18"/>
          <w:szCs w:val="20"/>
        </w:rPr>
      </w:pPr>
    </w:p>
    <w:p w14:paraId="1818B2BD">
      <w:pPr>
        <w:pStyle w:val="31"/>
        <w:rPr>
          <w:rFonts w:ascii="仿宋" w:hAnsi="仿宋" w:eastAsia="仿宋" w:cs="仿宋"/>
          <w:color w:val="auto"/>
          <w:sz w:val="18"/>
          <w:szCs w:val="20"/>
        </w:rPr>
      </w:pPr>
    </w:p>
    <w:p w14:paraId="391E1069">
      <w:pPr>
        <w:pStyle w:val="7"/>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p>
    <w:p w14:paraId="30D37DA8">
      <w:pPr>
        <w:pStyle w:val="7"/>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p>
    <w:p w14:paraId="78EBC1AC">
      <w:pPr>
        <w:pStyle w:val="7"/>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p>
    <w:p w14:paraId="71F07E70">
      <w:pPr>
        <w:pStyle w:val="7"/>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p>
    <w:p w14:paraId="7DBCCFC5">
      <w:pPr>
        <w:pStyle w:val="7"/>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p>
    <w:p w14:paraId="04BCAFA8">
      <w:pPr>
        <w:pStyle w:val="7"/>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被授权代表（签章）：                 法定代表人（签章）：</w:t>
      </w:r>
    </w:p>
    <w:p w14:paraId="4F696AE0">
      <w:pPr>
        <w:pStyle w:val="7"/>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7C08E464">
      <w:pPr>
        <w:pStyle w:val="7"/>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2C85F004">
      <w:pPr>
        <w:pStyle w:val="7"/>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661EBA94">
      <w:pPr>
        <w:pStyle w:val="7"/>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072437C9">
      <w:pPr>
        <w:pStyle w:val="31"/>
        <w:rPr>
          <w:rFonts w:ascii="仿宋" w:hAnsi="仿宋" w:eastAsia="仿宋" w:cs="仿宋"/>
          <w:color w:val="auto"/>
          <w:lang w:eastAsia="zh-CN"/>
        </w:rPr>
      </w:pPr>
      <w:r>
        <w:rPr>
          <w:rFonts w:hint="eastAsia" w:ascii="仿宋" w:hAnsi="仿宋" w:eastAsia="仿宋" w:cs="仿宋"/>
          <w:color w:val="auto"/>
          <w:lang w:eastAsia="zh-CN"/>
        </w:rPr>
        <w:br w:type="page"/>
      </w:r>
    </w:p>
    <w:p w14:paraId="41D433AC">
      <w:pPr>
        <w:pStyle w:val="31"/>
        <w:rPr>
          <w:rFonts w:ascii="仿宋" w:hAnsi="仿宋" w:eastAsia="仿宋" w:cs="仿宋"/>
          <w:color w:val="auto"/>
          <w:lang w:eastAsia="zh-CN"/>
        </w:rPr>
      </w:pPr>
    </w:p>
    <w:p w14:paraId="6D8E7ED4">
      <w:pPr>
        <w:pStyle w:val="3"/>
        <w:spacing w:line="240" w:lineRule="atLeast"/>
        <w:rPr>
          <w:rFonts w:ascii="仿宋" w:hAnsi="仿宋" w:eastAsia="仿宋" w:cs="仿宋"/>
          <w:color w:val="auto"/>
          <w:sz w:val="24"/>
          <w:lang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、参加政府采购活动前3年内</w:t>
      </w:r>
      <w:bookmarkStart w:id="92" w:name="_Toc6008"/>
      <w:bookmarkStart w:id="93" w:name="_Toc1137"/>
      <w:bookmarkStart w:id="94" w:name="_Toc515647812"/>
      <w:r>
        <w:rPr>
          <w:rFonts w:hint="eastAsia" w:ascii="仿宋" w:hAnsi="仿宋" w:eastAsia="仿宋" w:cs="仿宋"/>
          <w:color w:val="auto"/>
          <w:sz w:val="24"/>
          <w:lang w:eastAsia="zh-CN"/>
        </w:rPr>
        <w:t>在经营活动中没有重大违法记录的书面声明</w:t>
      </w:r>
      <w:bookmarkEnd w:id="92"/>
      <w:bookmarkEnd w:id="93"/>
      <w:bookmarkEnd w:id="94"/>
    </w:p>
    <w:p w14:paraId="3D896C8B">
      <w:pPr>
        <w:pStyle w:val="10"/>
        <w:tabs>
          <w:tab w:val="left" w:pos="5580"/>
        </w:tabs>
        <w:spacing w:line="240" w:lineRule="atLeast"/>
        <w:ind w:left="1164" w:leftChars="257" w:hanging="540"/>
        <w:jc w:val="center"/>
        <w:rPr>
          <w:rFonts w:ascii="仿宋" w:hAnsi="仿宋" w:eastAsia="仿宋" w:cs="仿宋"/>
          <w:b/>
          <w:color w:val="auto"/>
          <w:lang w:eastAsia="zh-CN"/>
        </w:rPr>
      </w:pPr>
    </w:p>
    <w:p w14:paraId="27E20B05">
      <w:pPr>
        <w:pStyle w:val="10"/>
        <w:tabs>
          <w:tab w:val="left" w:pos="5580"/>
        </w:tabs>
        <w:spacing w:line="240" w:lineRule="atLeast"/>
        <w:ind w:left="1164" w:leftChars="257" w:hanging="540"/>
        <w:rPr>
          <w:rFonts w:ascii="仿宋" w:hAnsi="仿宋" w:eastAsia="仿宋" w:cs="仿宋"/>
          <w:color w:val="auto"/>
          <w:lang w:eastAsia="zh-CN"/>
        </w:rPr>
      </w:pPr>
    </w:p>
    <w:p w14:paraId="3E718A0E">
      <w:pPr>
        <w:pStyle w:val="10"/>
        <w:tabs>
          <w:tab w:val="left" w:pos="5580"/>
        </w:tabs>
        <w:spacing w:line="240" w:lineRule="atLeast"/>
        <w:ind w:left="1164" w:leftChars="257" w:hanging="540"/>
        <w:rPr>
          <w:rFonts w:ascii="仿宋" w:hAnsi="仿宋" w:eastAsia="仿宋" w:cs="仿宋"/>
          <w:color w:val="auto"/>
          <w:lang w:eastAsia="zh-CN"/>
        </w:rPr>
      </w:pPr>
    </w:p>
    <w:p w14:paraId="5F2F04FE">
      <w:pPr>
        <w:pStyle w:val="10"/>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说明：1.供应商应按照相关法规规定如实作出说明。</w:t>
      </w:r>
    </w:p>
    <w:p w14:paraId="603E1F75">
      <w:pPr>
        <w:pStyle w:val="10"/>
        <w:tabs>
          <w:tab w:val="left" w:pos="5580"/>
        </w:tabs>
        <w:spacing w:line="360" w:lineRule="auto"/>
        <w:ind w:left="746" w:leftChars="307" w:firstLine="607" w:firstLineChars="250"/>
        <w:rPr>
          <w:rFonts w:ascii="仿宋" w:hAnsi="仿宋" w:eastAsia="仿宋" w:cs="仿宋"/>
          <w:color w:val="auto"/>
          <w:lang w:eastAsia="zh-CN"/>
        </w:rPr>
      </w:pPr>
      <w:r>
        <w:rPr>
          <w:rFonts w:hint="eastAsia" w:ascii="仿宋" w:hAnsi="仿宋" w:eastAsia="仿宋" w:cs="仿宋"/>
          <w:color w:val="auto"/>
          <w:lang w:eastAsia="zh-CN"/>
        </w:rPr>
        <w:t>2．按照磋商文件的规定加盖单位章（自然人投标的无需盖章，需要签字）。</w:t>
      </w:r>
    </w:p>
    <w:p w14:paraId="1B24E82E">
      <w:pPr>
        <w:pStyle w:val="10"/>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w:t>
      </w:r>
    </w:p>
    <w:p w14:paraId="3831664B">
      <w:pPr>
        <w:pStyle w:val="4"/>
        <w:rPr>
          <w:rFonts w:ascii="仿宋" w:hAnsi="仿宋" w:eastAsia="仿宋" w:cs="仿宋"/>
          <w:color w:val="auto"/>
          <w:sz w:val="36"/>
          <w:szCs w:val="36"/>
          <w:lang w:eastAsia="zh-CN"/>
        </w:rPr>
      </w:pPr>
    </w:p>
    <w:p w14:paraId="462F69A1">
      <w:pPr>
        <w:rPr>
          <w:rFonts w:ascii="仿宋" w:hAnsi="仿宋" w:eastAsia="仿宋" w:cs="仿宋"/>
          <w:b/>
          <w:bCs/>
          <w:color w:val="auto"/>
          <w:sz w:val="36"/>
          <w:szCs w:val="36"/>
          <w:lang w:eastAsia="zh-CN"/>
        </w:rPr>
      </w:pPr>
    </w:p>
    <w:p w14:paraId="572E16F1">
      <w:pPr>
        <w:pStyle w:val="4"/>
        <w:rPr>
          <w:rFonts w:ascii="仿宋" w:hAnsi="仿宋" w:eastAsia="仿宋" w:cs="仿宋"/>
          <w:color w:val="auto"/>
          <w:sz w:val="36"/>
          <w:szCs w:val="36"/>
          <w:lang w:eastAsia="zh-CN"/>
        </w:rPr>
      </w:pPr>
    </w:p>
    <w:p w14:paraId="2A7BC2E0">
      <w:pPr>
        <w:rPr>
          <w:rFonts w:ascii="仿宋" w:hAnsi="仿宋" w:eastAsia="仿宋" w:cs="仿宋"/>
          <w:b/>
          <w:bCs/>
          <w:color w:val="auto"/>
          <w:sz w:val="36"/>
          <w:szCs w:val="36"/>
          <w:lang w:eastAsia="zh-CN"/>
        </w:rPr>
      </w:pPr>
    </w:p>
    <w:p w14:paraId="58BDC8C8">
      <w:pPr>
        <w:pStyle w:val="4"/>
        <w:rPr>
          <w:rFonts w:ascii="仿宋" w:hAnsi="仿宋" w:eastAsia="仿宋" w:cs="仿宋"/>
          <w:color w:val="auto"/>
          <w:sz w:val="36"/>
          <w:szCs w:val="36"/>
          <w:lang w:eastAsia="zh-CN"/>
        </w:rPr>
      </w:pPr>
    </w:p>
    <w:p w14:paraId="401B4014">
      <w:pPr>
        <w:rPr>
          <w:rFonts w:ascii="仿宋" w:hAnsi="仿宋" w:eastAsia="仿宋" w:cs="仿宋"/>
          <w:b/>
          <w:bCs/>
          <w:color w:val="auto"/>
          <w:sz w:val="36"/>
          <w:szCs w:val="36"/>
          <w:lang w:eastAsia="zh-CN"/>
        </w:rPr>
      </w:pPr>
    </w:p>
    <w:p w14:paraId="172CE9B7">
      <w:pPr>
        <w:pStyle w:val="4"/>
        <w:rPr>
          <w:rFonts w:ascii="仿宋" w:hAnsi="仿宋" w:eastAsia="仿宋" w:cs="仿宋"/>
          <w:color w:val="auto"/>
          <w:sz w:val="36"/>
          <w:szCs w:val="36"/>
          <w:lang w:eastAsia="zh-CN"/>
        </w:rPr>
      </w:pPr>
    </w:p>
    <w:p w14:paraId="04C5AB0A">
      <w:pPr>
        <w:rPr>
          <w:rFonts w:ascii="仿宋" w:hAnsi="仿宋" w:eastAsia="仿宋" w:cs="仿宋"/>
          <w:b/>
          <w:bCs/>
          <w:color w:val="auto"/>
          <w:sz w:val="36"/>
          <w:szCs w:val="36"/>
          <w:lang w:eastAsia="zh-CN"/>
        </w:rPr>
      </w:pPr>
    </w:p>
    <w:p w14:paraId="44698355">
      <w:pPr>
        <w:pStyle w:val="22"/>
        <w:ind w:left="486" w:firstLine="486"/>
        <w:rPr>
          <w:rFonts w:eastAsia="仿宋"/>
          <w:color w:val="auto"/>
          <w:lang w:eastAsia="zh-CN"/>
        </w:rPr>
      </w:pPr>
    </w:p>
    <w:p w14:paraId="7CAE5BED">
      <w:pPr>
        <w:pStyle w:val="4"/>
        <w:rPr>
          <w:rFonts w:ascii="仿宋" w:hAnsi="仿宋" w:eastAsia="仿宋" w:cs="仿宋"/>
          <w:color w:val="auto"/>
          <w:sz w:val="36"/>
          <w:szCs w:val="36"/>
          <w:lang w:eastAsia="zh-CN"/>
        </w:rPr>
      </w:pPr>
    </w:p>
    <w:p w14:paraId="74D719BF">
      <w:pPr>
        <w:rPr>
          <w:rFonts w:ascii="仿宋" w:hAnsi="仿宋" w:eastAsia="仿宋" w:cs="仿宋"/>
          <w:b/>
          <w:bCs/>
          <w:color w:val="auto"/>
          <w:sz w:val="36"/>
          <w:szCs w:val="36"/>
          <w:lang w:eastAsia="zh-CN"/>
        </w:rPr>
      </w:pPr>
    </w:p>
    <w:p w14:paraId="4DEC102D">
      <w:pPr>
        <w:rPr>
          <w:rFonts w:ascii="仿宋" w:hAnsi="仿宋" w:eastAsia="仿宋" w:cs="仿宋"/>
          <w:b/>
          <w:bCs/>
          <w:color w:val="auto"/>
          <w:sz w:val="36"/>
          <w:szCs w:val="36"/>
          <w:lang w:eastAsia="zh-CN"/>
        </w:rPr>
      </w:pPr>
    </w:p>
    <w:p w14:paraId="674B93C5">
      <w:pPr>
        <w:pStyle w:val="31"/>
        <w:rPr>
          <w:rFonts w:ascii="仿宋" w:hAnsi="仿宋" w:eastAsia="仿宋" w:cs="仿宋"/>
          <w:color w:val="auto"/>
          <w:lang w:eastAsia="zh-CN"/>
        </w:rPr>
      </w:pPr>
    </w:p>
    <w:p w14:paraId="26A3F7D9">
      <w:pPr>
        <w:pStyle w:val="3"/>
        <w:spacing w:line="240" w:lineRule="atLeast"/>
        <w:rPr>
          <w:rFonts w:ascii="仿宋" w:hAnsi="仿宋" w:eastAsia="仿宋" w:cs="仿宋"/>
          <w:bCs/>
          <w:color w:val="auto"/>
          <w:sz w:val="36"/>
          <w:szCs w:val="36"/>
          <w:lang w:eastAsia="zh-CN"/>
        </w:rPr>
      </w:pPr>
    </w:p>
    <w:p w14:paraId="15353585">
      <w:pPr>
        <w:pStyle w:val="3"/>
        <w:spacing w:line="240" w:lineRule="atLeast"/>
        <w:rPr>
          <w:rFonts w:ascii="仿宋" w:hAnsi="仿宋" w:eastAsia="仿宋" w:cs="仿宋"/>
          <w:bCs/>
          <w:color w:val="auto"/>
          <w:sz w:val="36"/>
          <w:szCs w:val="36"/>
          <w:lang w:eastAsia="zh-CN"/>
        </w:rPr>
      </w:pPr>
      <w:r>
        <w:rPr>
          <w:rFonts w:hint="eastAsia" w:ascii="仿宋" w:hAnsi="仿宋" w:eastAsia="仿宋" w:cs="仿宋"/>
          <w:bCs/>
          <w:color w:val="auto"/>
          <w:sz w:val="36"/>
          <w:szCs w:val="36"/>
          <w:lang w:val="en-US" w:eastAsia="zh-CN"/>
        </w:rPr>
        <w:t>5</w:t>
      </w:r>
      <w:r>
        <w:rPr>
          <w:rFonts w:hint="eastAsia" w:ascii="仿宋" w:hAnsi="仿宋" w:eastAsia="仿宋" w:cs="仿宋"/>
          <w:bCs/>
          <w:color w:val="auto"/>
          <w:sz w:val="36"/>
          <w:szCs w:val="36"/>
          <w:lang w:eastAsia="zh-CN"/>
        </w:rPr>
        <w:t>、投标保证金缴纳凭证或投标担保函</w:t>
      </w:r>
    </w:p>
    <w:p w14:paraId="7ED9ABAD">
      <w:pPr>
        <w:ind w:firstLine="486" w:firstLineChars="200"/>
        <w:rPr>
          <w:rFonts w:ascii="仿宋" w:hAnsi="仿宋" w:eastAsia="仿宋" w:cs="仿宋"/>
          <w:color w:val="auto"/>
          <w:lang w:eastAsia="zh-CN"/>
        </w:rPr>
      </w:pPr>
      <w:bookmarkStart w:id="95" w:name="_Toc494296665"/>
      <w:bookmarkStart w:id="96" w:name="_Toc494296991"/>
    </w:p>
    <w:bookmarkEnd w:id="95"/>
    <w:bookmarkEnd w:id="96"/>
    <w:p w14:paraId="06DBABA8">
      <w:pPr>
        <w:pStyle w:val="5"/>
        <w:rPr>
          <w:rFonts w:ascii="仿宋" w:hAnsi="仿宋" w:eastAsia="仿宋" w:cs="仿宋"/>
          <w:color w:val="auto"/>
          <w:lang w:eastAsia="zh-CN"/>
        </w:rPr>
      </w:pPr>
    </w:p>
    <w:p w14:paraId="3F2EF2F0">
      <w:pPr>
        <w:pStyle w:val="5"/>
        <w:rPr>
          <w:rFonts w:ascii="仿宋" w:hAnsi="仿宋" w:eastAsia="仿宋" w:cs="仿宋"/>
          <w:color w:val="auto"/>
        </w:rPr>
      </w:pPr>
    </w:p>
    <w:p w14:paraId="074F87EA">
      <w:pPr>
        <w:spacing w:line="240" w:lineRule="atLeast"/>
        <w:ind w:left="1164" w:leftChars="257" w:hanging="540"/>
        <w:jc w:val="center"/>
        <w:rPr>
          <w:rFonts w:ascii="仿宋" w:hAnsi="仿宋" w:eastAsia="仿宋" w:cs="仿宋"/>
          <w:color w:val="auto"/>
        </w:rPr>
      </w:pPr>
    </w:p>
    <w:p w14:paraId="4058407C">
      <w:pPr>
        <w:rPr>
          <w:rFonts w:ascii="仿宋" w:hAnsi="仿宋" w:eastAsia="仿宋" w:cs="仿宋"/>
          <w:color w:val="auto"/>
          <w:sz w:val="28"/>
          <w:szCs w:val="28"/>
        </w:rPr>
      </w:pPr>
    </w:p>
    <w:tbl>
      <w:tblPr>
        <w:tblStyle w:val="23"/>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3DB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7230A84">
            <w:pPr>
              <w:rPr>
                <w:rFonts w:ascii="仿宋" w:hAnsi="仿宋" w:eastAsia="仿宋" w:cs="仿宋"/>
                <w:b/>
                <w:bCs/>
                <w:color w:val="auto"/>
                <w:sz w:val="30"/>
                <w:szCs w:val="30"/>
              </w:rPr>
            </w:pPr>
          </w:p>
          <w:p w14:paraId="24A60410">
            <w:pPr>
              <w:jc w:val="center"/>
              <w:rPr>
                <w:rFonts w:ascii="仿宋" w:hAnsi="仿宋" w:eastAsia="仿宋" w:cs="仿宋"/>
                <w:b/>
                <w:bCs/>
                <w:color w:val="auto"/>
                <w:sz w:val="30"/>
                <w:szCs w:val="30"/>
              </w:rPr>
            </w:pPr>
          </w:p>
          <w:p w14:paraId="703A9831">
            <w:pPr>
              <w:jc w:val="center"/>
              <w:rPr>
                <w:rFonts w:ascii="仿宋" w:hAnsi="仿宋" w:eastAsia="仿宋" w:cs="仿宋"/>
                <w:b/>
                <w:bCs/>
                <w:color w:val="auto"/>
                <w:sz w:val="30"/>
                <w:szCs w:val="30"/>
              </w:rPr>
            </w:pPr>
          </w:p>
          <w:p w14:paraId="5E5FE55E">
            <w:pPr>
              <w:jc w:val="center"/>
              <w:rPr>
                <w:rFonts w:ascii="仿宋" w:hAnsi="仿宋" w:eastAsia="仿宋" w:cs="仿宋"/>
                <w:b/>
                <w:bCs/>
                <w:color w:val="auto"/>
                <w:sz w:val="30"/>
                <w:szCs w:val="30"/>
              </w:rPr>
            </w:pPr>
          </w:p>
          <w:p w14:paraId="0EB5DCE2">
            <w:pPr>
              <w:jc w:val="center"/>
              <w:rPr>
                <w:rFonts w:ascii="仿宋" w:hAnsi="仿宋" w:eastAsia="仿宋" w:cs="仿宋"/>
                <w:b/>
                <w:bCs/>
                <w:color w:val="auto"/>
                <w:sz w:val="30"/>
                <w:szCs w:val="30"/>
                <w:lang w:eastAsia="zh-CN"/>
              </w:rPr>
            </w:pPr>
            <w:r>
              <w:rPr>
                <w:rFonts w:hint="eastAsia" w:ascii="仿宋" w:hAnsi="仿宋" w:eastAsia="仿宋" w:cs="仿宋"/>
                <w:bCs/>
                <w:color w:val="auto"/>
                <w:sz w:val="36"/>
                <w:szCs w:val="36"/>
                <w:lang w:eastAsia="zh-CN"/>
              </w:rPr>
              <w:t>投标保证金缴纳凭证</w:t>
            </w:r>
          </w:p>
        </w:tc>
      </w:tr>
    </w:tbl>
    <w:p w14:paraId="3DCA6667">
      <w:pPr>
        <w:pStyle w:val="5"/>
        <w:rPr>
          <w:rFonts w:ascii="仿宋" w:hAnsi="仿宋" w:eastAsia="仿宋" w:cs="仿宋"/>
          <w:color w:val="auto"/>
        </w:rPr>
      </w:pPr>
    </w:p>
    <w:p w14:paraId="15CAB8B4">
      <w:pPr>
        <w:pStyle w:val="5"/>
        <w:rPr>
          <w:rFonts w:ascii="仿宋" w:hAnsi="仿宋" w:eastAsia="仿宋" w:cs="仿宋"/>
          <w:color w:val="auto"/>
        </w:rPr>
      </w:pPr>
    </w:p>
    <w:p w14:paraId="1A5B30F2">
      <w:pPr>
        <w:pStyle w:val="5"/>
        <w:rPr>
          <w:rFonts w:ascii="仿宋" w:hAnsi="仿宋" w:eastAsia="仿宋" w:cs="仿宋"/>
          <w:color w:val="auto"/>
        </w:rPr>
      </w:pPr>
    </w:p>
    <w:p w14:paraId="09E65470">
      <w:pPr>
        <w:pStyle w:val="5"/>
        <w:rPr>
          <w:rFonts w:ascii="仿宋" w:hAnsi="仿宋" w:eastAsia="仿宋" w:cs="仿宋"/>
          <w:color w:val="auto"/>
        </w:rPr>
      </w:pPr>
    </w:p>
    <w:p w14:paraId="5EB335CC">
      <w:pPr>
        <w:pStyle w:val="5"/>
        <w:rPr>
          <w:rFonts w:ascii="仿宋" w:hAnsi="仿宋" w:eastAsia="仿宋" w:cs="仿宋"/>
          <w:color w:val="auto"/>
        </w:rPr>
      </w:pPr>
    </w:p>
    <w:p w14:paraId="6C767D3A">
      <w:pPr>
        <w:pStyle w:val="5"/>
        <w:rPr>
          <w:rFonts w:ascii="仿宋" w:hAnsi="仿宋" w:eastAsia="仿宋" w:cs="仿宋"/>
          <w:color w:val="auto"/>
        </w:rPr>
      </w:pPr>
    </w:p>
    <w:p w14:paraId="20F24C50">
      <w:pPr>
        <w:rPr>
          <w:rFonts w:ascii="仿宋" w:hAnsi="仿宋" w:eastAsia="仿宋" w:cs="仿宋"/>
          <w:color w:val="auto"/>
        </w:rPr>
      </w:pPr>
    </w:p>
    <w:p w14:paraId="203473B0">
      <w:pPr>
        <w:pStyle w:val="4"/>
        <w:rPr>
          <w:rFonts w:ascii="仿宋" w:hAnsi="仿宋" w:eastAsia="仿宋" w:cs="仿宋"/>
          <w:color w:val="auto"/>
        </w:rPr>
      </w:pPr>
    </w:p>
    <w:p w14:paraId="3432949B">
      <w:pPr>
        <w:rPr>
          <w:rFonts w:ascii="仿宋" w:hAnsi="仿宋" w:eastAsia="仿宋" w:cs="仿宋"/>
          <w:color w:val="auto"/>
        </w:rPr>
      </w:pPr>
    </w:p>
    <w:p w14:paraId="4DD6EADF">
      <w:pPr>
        <w:rPr>
          <w:rFonts w:ascii="仿宋" w:hAnsi="仿宋" w:eastAsia="仿宋" w:cs="仿宋"/>
          <w:color w:val="auto"/>
        </w:rPr>
      </w:pPr>
    </w:p>
    <w:p w14:paraId="22C72DA5">
      <w:pPr>
        <w:rPr>
          <w:rFonts w:ascii="仿宋" w:hAnsi="仿宋" w:eastAsia="仿宋" w:cs="仿宋"/>
          <w:color w:val="auto"/>
        </w:rPr>
      </w:pPr>
    </w:p>
    <w:p w14:paraId="52007A13">
      <w:pPr>
        <w:jc w:val="center"/>
        <w:rPr>
          <w:rFonts w:ascii="仿宋" w:hAnsi="仿宋" w:eastAsia="仿宋" w:cs="仿宋"/>
          <w:color w:val="auto"/>
          <w:sz w:val="28"/>
          <w:szCs w:val="28"/>
        </w:rPr>
      </w:pPr>
    </w:p>
    <w:p w14:paraId="72271560">
      <w:pPr>
        <w:jc w:val="center"/>
        <w:rPr>
          <w:rFonts w:ascii="仿宋" w:hAnsi="仿宋" w:eastAsia="仿宋" w:cs="仿宋"/>
          <w:color w:val="auto"/>
          <w:sz w:val="28"/>
          <w:szCs w:val="28"/>
        </w:rPr>
      </w:pPr>
    </w:p>
    <w:p w14:paraId="06F67E7C">
      <w:pPr>
        <w:jc w:val="center"/>
        <w:rPr>
          <w:rFonts w:ascii="仿宋" w:hAnsi="仿宋" w:eastAsia="仿宋" w:cs="仿宋"/>
          <w:color w:val="auto"/>
          <w:sz w:val="28"/>
          <w:szCs w:val="28"/>
        </w:rPr>
      </w:pPr>
    </w:p>
    <w:p w14:paraId="39863541">
      <w:pPr>
        <w:jc w:val="center"/>
        <w:rPr>
          <w:rFonts w:ascii="仿宋" w:hAnsi="仿宋" w:eastAsia="仿宋" w:cs="仿宋"/>
          <w:color w:val="auto"/>
          <w:sz w:val="28"/>
          <w:szCs w:val="28"/>
        </w:rPr>
      </w:pPr>
    </w:p>
    <w:p w14:paraId="3CAB9B1A">
      <w:pPr>
        <w:jc w:val="center"/>
        <w:rPr>
          <w:rFonts w:ascii="仿宋" w:hAnsi="仿宋" w:eastAsia="仿宋" w:cs="仿宋"/>
          <w:color w:val="auto"/>
          <w:sz w:val="28"/>
          <w:szCs w:val="28"/>
        </w:rPr>
      </w:pPr>
    </w:p>
    <w:p w14:paraId="68B101A6">
      <w:pPr>
        <w:jc w:val="center"/>
        <w:rPr>
          <w:rFonts w:ascii="仿宋" w:hAnsi="仿宋" w:eastAsia="仿宋" w:cs="仿宋"/>
          <w:color w:val="auto"/>
          <w:sz w:val="28"/>
          <w:szCs w:val="28"/>
        </w:rPr>
      </w:pPr>
    </w:p>
    <w:p w14:paraId="24FB3FAE">
      <w:pPr>
        <w:jc w:val="center"/>
        <w:rPr>
          <w:rFonts w:ascii="仿宋" w:hAnsi="仿宋" w:eastAsia="仿宋" w:cs="仿宋"/>
          <w:color w:val="auto"/>
          <w:sz w:val="28"/>
          <w:szCs w:val="28"/>
        </w:rPr>
      </w:pPr>
    </w:p>
    <w:p w14:paraId="608D4108">
      <w:pPr>
        <w:jc w:val="center"/>
        <w:rPr>
          <w:rFonts w:ascii="仿宋" w:hAnsi="仿宋" w:eastAsia="仿宋" w:cs="仿宋"/>
          <w:color w:val="auto"/>
          <w:sz w:val="28"/>
          <w:szCs w:val="28"/>
        </w:rPr>
      </w:pPr>
    </w:p>
    <w:p w14:paraId="0A46A63F">
      <w:pPr>
        <w:pStyle w:val="29"/>
        <w:rPr>
          <w:color w:val="auto"/>
        </w:rPr>
      </w:pPr>
    </w:p>
    <w:p w14:paraId="27606E66">
      <w:pPr>
        <w:pStyle w:val="31"/>
        <w:rPr>
          <w:rFonts w:ascii="仿宋" w:hAnsi="仿宋" w:eastAsia="仿宋" w:cs="仿宋"/>
          <w:color w:val="auto"/>
          <w:lang w:eastAsia="zh-CN"/>
        </w:rPr>
      </w:pPr>
    </w:p>
    <w:p w14:paraId="0757D410">
      <w:pPr>
        <w:pStyle w:val="31"/>
        <w:rPr>
          <w:rFonts w:ascii="仿宋" w:hAnsi="仿宋" w:eastAsia="仿宋" w:cs="仿宋"/>
          <w:color w:val="auto"/>
          <w:lang w:eastAsia="zh-CN"/>
        </w:rPr>
      </w:pPr>
    </w:p>
    <w:p w14:paraId="62BC575A">
      <w:pPr>
        <w:spacing w:line="360" w:lineRule="auto"/>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2B0ED02D">
      <w:pPr>
        <w:spacing w:line="360" w:lineRule="auto"/>
        <w:rPr>
          <w:rFonts w:ascii="仿宋" w:hAnsi="仿宋" w:eastAsia="仿宋" w:cs="仿宋"/>
          <w:color w:val="auto"/>
          <w:lang w:eastAsia="zh-CN"/>
        </w:rPr>
      </w:pPr>
      <w:r>
        <w:rPr>
          <w:rFonts w:hint="eastAsia" w:ascii="仿宋" w:hAnsi="仿宋" w:eastAsia="仿宋" w:cs="仿宋"/>
          <w:color w:val="auto"/>
          <w:lang w:eastAsia="zh-CN"/>
        </w:rPr>
        <w:t>编号：</w:t>
      </w:r>
    </w:p>
    <w:p w14:paraId="2F3F0BB6">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14:paraId="2B55D55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1CCD2058">
      <w:pPr>
        <w:spacing w:line="360" w:lineRule="auto"/>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5DAC2731">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0595F4D9">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14:paraId="42357E2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14:paraId="04271847">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2．询价通知书规定的供应商应当缴纳保证金的其他情形。</w:t>
      </w:r>
    </w:p>
    <w:p w14:paraId="10592FB5">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14:paraId="55A2032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14:paraId="57832D3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343BBF8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059E7BE5">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14:paraId="5275A3F7">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228B78BB">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14:paraId="6012EDD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四、保证责任的终止</w:t>
      </w:r>
    </w:p>
    <w:p w14:paraId="3BC9F2E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34678FA1">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7508CF76">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5FC660AD">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五、免责条款</w:t>
      </w:r>
    </w:p>
    <w:p w14:paraId="0FF5302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14:paraId="7E8E93E7">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14:paraId="6BA66BA8">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14:paraId="1DFFF44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14:paraId="16BB986B">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六、争议的解决</w:t>
      </w:r>
    </w:p>
    <w:p w14:paraId="199F5B9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14:paraId="10E463A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七、保函的生效</w:t>
      </w:r>
    </w:p>
    <w:p w14:paraId="333621D1">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433F54B2">
      <w:pPr>
        <w:spacing w:line="360" w:lineRule="auto"/>
        <w:ind w:firstLine="6439" w:firstLineChars="2650"/>
        <w:rPr>
          <w:rFonts w:ascii="仿宋" w:hAnsi="仿宋" w:eastAsia="仿宋" w:cs="仿宋"/>
          <w:color w:val="auto"/>
          <w:lang w:eastAsia="zh-CN"/>
        </w:rPr>
      </w:pPr>
    </w:p>
    <w:p w14:paraId="0148324E">
      <w:pPr>
        <w:spacing w:line="360" w:lineRule="auto"/>
        <w:ind w:firstLine="6439" w:firstLineChars="2650"/>
        <w:rPr>
          <w:rFonts w:ascii="仿宋" w:hAnsi="仿宋" w:eastAsia="仿宋" w:cs="仿宋"/>
          <w:color w:val="auto"/>
          <w:lang w:eastAsia="zh-CN"/>
        </w:rPr>
      </w:pPr>
    </w:p>
    <w:p w14:paraId="60B6996E">
      <w:pPr>
        <w:spacing w:line="360" w:lineRule="auto"/>
        <w:ind w:firstLine="6439" w:firstLineChars="2650"/>
        <w:rPr>
          <w:rFonts w:ascii="仿宋" w:hAnsi="仿宋" w:eastAsia="仿宋" w:cs="仿宋"/>
          <w:color w:val="auto"/>
          <w:lang w:eastAsia="zh-CN"/>
        </w:rPr>
      </w:pPr>
      <w:r>
        <w:rPr>
          <w:rFonts w:hint="eastAsia" w:ascii="仿宋" w:hAnsi="仿宋" w:eastAsia="仿宋" w:cs="仿宋"/>
          <w:color w:val="auto"/>
          <w:lang w:eastAsia="zh-CN"/>
        </w:rPr>
        <w:t>保证人：（公章）</w:t>
      </w:r>
    </w:p>
    <w:p w14:paraId="40BA74D6">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p>
    <w:p w14:paraId="75D97386">
      <w:pPr>
        <w:spacing w:line="360" w:lineRule="auto"/>
        <w:ind w:firstLine="6318" w:firstLineChars="2600"/>
        <w:rPr>
          <w:rFonts w:ascii="仿宋" w:hAnsi="仿宋" w:eastAsia="仿宋" w:cs="仿宋"/>
          <w:color w:val="auto"/>
          <w:lang w:eastAsia="zh-CN"/>
        </w:rPr>
        <w:sectPr>
          <w:headerReference r:id="rId6" w:type="default"/>
          <w:footerReference r:id="rId7" w:type="default"/>
          <w:pgSz w:w="11905" w:h="16838"/>
          <w:pgMar w:top="1440" w:right="1417" w:bottom="1440" w:left="1417" w:header="850" w:footer="992" w:gutter="0"/>
          <w:pgNumType w:start="1"/>
          <w:cols w:space="0" w:num="1"/>
          <w:docGrid w:type="linesAndChars" w:linePitch="325" w:charSpace="635"/>
        </w:sectPr>
      </w:pPr>
      <w:r>
        <w:rPr>
          <w:rFonts w:hint="eastAsia" w:ascii="仿宋" w:hAnsi="仿宋" w:eastAsia="仿宋" w:cs="仿宋"/>
          <w:color w:val="auto"/>
          <w:lang w:eastAsia="zh-CN"/>
        </w:rPr>
        <w:t>年     月      日</w:t>
      </w:r>
    </w:p>
    <w:p w14:paraId="56A5F37B">
      <w:pPr>
        <w:spacing w:line="400" w:lineRule="exact"/>
        <w:ind w:firstLine="482" w:firstLineChars="200"/>
        <w:rPr>
          <w:rFonts w:ascii="仿宋" w:hAnsi="仿宋" w:eastAsia="仿宋" w:cs="仿宋"/>
          <w:b/>
          <w:bCs/>
          <w:color w:val="auto"/>
          <w:lang w:eastAsia="zh-CN"/>
        </w:rPr>
      </w:pPr>
      <w:r>
        <w:rPr>
          <w:rFonts w:hint="eastAsia" w:ascii="仿宋" w:hAnsi="仿宋" w:eastAsia="仿宋" w:cs="仿宋"/>
          <w:b/>
          <w:bCs/>
          <w:color w:val="auto"/>
          <w:lang w:val="en-US" w:eastAsia="zh-CN"/>
        </w:rPr>
        <w:t>6</w:t>
      </w:r>
      <w:r>
        <w:rPr>
          <w:rFonts w:hint="eastAsia" w:ascii="仿宋" w:hAnsi="仿宋" w:eastAsia="仿宋" w:cs="仿宋"/>
          <w:b/>
          <w:bCs/>
          <w:color w:val="auto"/>
          <w:lang w:eastAsia="zh-CN"/>
        </w:rPr>
        <w:t>、投标企业须提供供应商（被授权本单位在职人员）近6个月内任意1个月的有效社保证明</w:t>
      </w:r>
    </w:p>
    <w:p w14:paraId="120C87B6">
      <w:pPr>
        <w:spacing w:line="400" w:lineRule="exact"/>
        <w:ind w:firstLine="482" w:firstLineChars="200"/>
        <w:rPr>
          <w:rFonts w:ascii="仿宋" w:hAnsi="仿宋" w:eastAsia="仿宋" w:cs="仿宋"/>
          <w:b/>
          <w:bCs/>
          <w:color w:val="auto"/>
          <w:lang w:eastAsia="zh-CN"/>
        </w:rPr>
      </w:pPr>
    </w:p>
    <w:p w14:paraId="48A57A60">
      <w:pPr>
        <w:spacing w:line="400" w:lineRule="exact"/>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14:paraId="77795B9E">
      <w:pPr>
        <w:pStyle w:val="31"/>
        <w:ind w:firstLine="0"/>
        <w:rPr>
          <w:rFonts w:ascii="仿宋" w:hAnsi="仿宋" w:eastAsia="仿宋" w:cs="仿宋"/>
          <w:color w:val="auto"/>
          <w:lang w:eastAsia="zh-CN"/>
        </w:rPr>
      </w:pPr>
    </w:p>
    <w:p w14:paraId="1181993D">
      <w:pPr>
        <w:pStyle w:val="31"/>
        <w:rPr>
          <w:rFonts w:ascii="仿宋" w:hAnsi="仿宋" w:eastAsia="仿宋" w:cs="仿宋"/>
          <w:color w:val="auto"/>
          <w:lang w:eastAsia="zh-CN"/>
        </w:rPr>
      </w:pPr>
    </w:p>
    <w:p w14:paraId="562A3C9A">
      <w:pPr>
        <w:spacing w:line="400" w:lineRule="exact"/>
        <w:ind w:firstLine="482" w:firstLineChars="200"/>
        <w:rPr>
          <w:rFonts w:ascii="仿宋" w:hAnsi="仿宋" w:eastAsia="仿宋" w:cs="仿宋"/>
          <w:b/>
          <w:bCs/>
          <w:color w:val="auto"/>
          <w:lang w:eastAsia="zh-CN"/>
        </w:rPr>
      </w:pPr>
      <w:r>
        <w:rPr>
          <w:rFonts w:hint="eastAsia" w:ascii="仿宋" w:hAnsi="仿宋" w:eastAsia="仿宋" w:cs="仿宋"/>
          <w:b/>
          <w:bCs/>
          <w:color w:val="auto"/>
          <w:lang w:val="en-US" w:eastAsia="zh-CN"/>
        </w:rPr>
        <w:t>7</w:t>
      </w:r>
      <w:r>
        <w:rPr>
          <w:rFonts w:hint="eastAsia" w:ascii="仿宋" w:hAnsi="仿宋" w:eastAsia="仿宋" w:cs="仿宋"/>
          <w:b/>
          <w:bCs/>
          <w:color w:val="auto"/>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33209B40">
      <w:pPr>
        <w:pStyle w:val="31"/>
        <w:ind w:firstLine="0"/>
        <w:rPr>
          <w:rFonts w:ascii="仿宋" w:hAnsi="仿宋" w:eastAsia="仿宋" w:cs="仿宋"/>
          <w:b/>
          <w:bCs/>
          <w:color w:val="auto"/>
          <w:lang w:eastAsia="zh-CN"/>
        </w:rPr>
      </w:pPr>
    </w:p>
    <w:p w14:paraId="12AB7EF5">
      <w:pPr>
        <w:pStyle w:val="31"/>
        <w:rPr>
          <w:rFonts w:ascii="仿宋" w:hAnsi="仿宋" w:eastAsia="仿宋" w:cs="仿宋"/>
          <w:b/>
          <w:bCs/>
          <w:color w:val="auto"/>
          <w:lang w:eastAsia="zh-CN"/>
        </w:rPr>
      </w:pPr>
    </w:p>
    <w:p w14:paraId="64C5BD9E">
      <w:pPr>
        <w:rPr>
          <w:rFonts w:ascii="仿宋" w:hAnsi="仿宋" w:eastAsia="仿宋" w:cs="仿宋"/>
          <w:color w:val="auto"/>
          <w:lang w:eastAsia="zh-CN"/>
        </w:rPr>
      </w:pPr>
    </w:p>
    <w:p w14:paraId="16E3CB5C">
      <w:pPr>
        <w:spacing w:line="400" w:lineRule="exact"/>
        <w:ind w:firstLine="482" w:firstLineChars="200"/>
        <w:rPr>
          <w:rFonts w:ascii="仿宋" w:hAnsi="仿宋" w:eastAsia="仿宋" w:cs="仿宋"/>
          <w:b/>
          <w:bCs/>
          <w:color w:val="auto"/>
          <w:lang w:eastAsia="zh-CN"/>
        </w:rPr>
      </w:pPr>
    </w:p>
    <w:p w14:paraId="2B8364A4">
      <w:pPr>
        <w:spacing w:line="400" w:lineRule="exact"/>
        <w:ind w:firstLine="482" w:firstLineChars="200"/>
        <w:rPr>
          <w:rFonts w:ascii="仿宋" w:hAnsi="仿宋" w:eastAsia="仿宋" w:cs="仿宋"/>
          <w:b/>
          <w:bCs/>
          <w:color w:val="auto"/>
          <w:lang w:eastAsia="zh-CN"/>
        </w:rPr>
      </w:pPr>
      <w:r>
        <w:rPr>
          <w:rFonts w:hint="eastAsia" w:ascii="仿宋" w:hAnsi="仿宋" w:eastAsia="仿宋" w:cs="仿宋"/>
          <w:b/>
          <w:bCs/>
          <w:color w:val="auto"/>
          <w:lang w:val="en-US" w:eastAsia="zh-CN"/>
        </w:rPr>
        <w:t>8</w:t>
      </w:r>
      <w:r>
        <w:rPr>
          <w:rFonts w:hint="eastAsia" w:ascii="仿宋" w:hAnsi="仿宋" w:eastAsia="仿宋" w:cs="仿宋"/>
          <w:b/>
          <w:bCs/>
          <w:color w:val="auto"/>
          <w:lang w:eastAsia="zh-CN"/>
        </w:rPr>
        <w:t>、供应商须知资料表要求的其他资格证明文件</w:t>
      </w:r>
    </w:p>
    <w:p w14:paraId="6A12E666">
      <w:pPr>
        <w:pStyle w:val="2"/>
        <w:spacing w:before="40" w:after="40" w:line="579" w:lineRule="auto"/>
        <w:jc w:val="both"/>
        <w:rPr>
          <w:rFonts w:ascii="仿宋" w:hAnsi="仿宋" w:eastAsia="仿宋" w:cs="仿宋"/>
          <w:color w:val="auto"/>
          <w:sz w:val="32"/>
          <w:szCs w:val="32"/>
          <w:lang w:eastAsia="zh-CN"/>
        </w:rPr>
      </w:pPr>
      <w:bookmarkStart w:id="97" w:name="_Toc11180"/>
      <w:bookmarkStart w:id="98" w:name="_Toc22967"/>
      <w:bookmarkStart w:id="99" w:name="_Toc515647816"/>
      <w:bookmarkStart w:id="100" w:name="_Toc5695"/>
    </w:p>
    <w:p w14:paraId="40056A75">
      <w:pPr>
        <w:rPr>
          <w:rFonts w:ascii="仿宋" w:hAnsi="仿宋" w:eastAsia="仿宋" w:cs="仿宋"/>
          <w:color w:val="auto"/>
          <w:sz w:val="32"/>
          <w:szCs w:val="32"/>
          <w:lang w:eastAsia="zh-CN"/>
        </w:rPr>
      </w:pPr>
    </w:p>
    <w:p w14:paraId="67D6DA7F">
      <w:pPr>
        <w:pStyle w:val="4"/>
        <w:rPr>
          <w:rFonts w:ascii="仿宋" w:hAnsi="仿宋" w:eastAsia="仿宋" w:cs="仿宋"/>
          <w:color w:val="auto"/>
          <w:lang w:eastAsia="zh-CN"/>
        </w:rPr>
      </w:pPr>
    </w:p>
    <w:p w14:paraId="667EDE27">
      <w:pPr>
        <w:rPr>
          <w:rFonts w:ascii="仿宋" w:hAnsi="仿宋" w:eastAsia="仿宋" w:cs="仿宋"/>
          <w:color w:val="auto"/>
          <w:sz w:val="32"/>
          <w:szCs w:val="32"/>
          <w:lang w:eastAsia="zh-CN"/>
        </w:rPr>
      </w:pPr>
    </w:p>
    <w:p w14:paraId="3FCAFE09">
      <w:pPr>
        <w:pStyle w:val="31"/>
        <w:rPr>
          <w:rFonts w:ascii="仿宋" w:hAnsi="仿宋" w:eastAsia="仿宋" w:cs="仿宋"/>
          <w:color w:val="auto"/>
          <w:lang w:eastAsia="zh-CN"/>
        </w:rPr>
      </w:pPr>
    </w:p>
    <w:p w14:paraId="42969595">
      <w:pPr>
        <w:pStyle w:val="31"/>
        <w:rPr>
          <w:rFonts w:ascii="仿宋" w:hAnsi="仿宋" w:eastAsia="仿宋" w:cs="仿宋"/>
          <w:color w:val="auto"/>
          <w:lang w:eastAsia="zh-CN"/>
        </w:rPr>
      </w:pPr>
    </w:p>
    <w:p w14:paraId="7DE4B6B7">
      <w:pPr>
        <w:pStyle w:val="31"/>
        <w:rPr>
          <w:rFonts w:ascii="仿宋" w:hAnsi="仿宋" w:eastAsia="仿宋" w:cs="仿宋"/>
          <w:color w:val="auto"/>
          <w:lang w:eastAsia="zh-CN"/>
        </w:rPr>
      </w:pPr>
    </w:p>
    <w:p w14:paraId="2C3BC565">
      <w:pPr>
        <w:pStyle w:val="31"/>
        <w:rPr>
          <w:rFonts w:ascii="仿宋" w:hAnsi="仿宋" w:eastAsia="仿宋" w:cs="仿宋"/>
          <w:color w:val="auto"/>
          <w:lang w:eastAsia="zh-CN"/>
        </w:rPr>
      </w:pPr>
    </w:p>
    <w:p w14:paraId="498644D1">
      <w:pPr>
        <w:pStyle w:val="31"/>
        <w:rPr>
          <w:rFonts w:ascii="仿宋" w:hAnsi="仿宋" w:eastAsia="仿宋" w:cs="仿宋"/>
          <w:color w:val="auto"/>
          <w:lang w:eastAsia="zh-CN"/>
        </w:rPr>
      </w:pPr>
    </w:p>
    <w:p w14:paraId="42AADC64">
      <w:pPr>
        <w:pStyle w:val="31"/>
        <w:rPr>
          <w:rFonts w:ascii="仿宋" w:hAnsi="仿宋" w:eastAsia="仿宋" w:cs="仿宋"/>
          <w:color w:val="auto"/>
          <w:lang w:eastAsia="zh-CN"/>
        </w:rPr>
      </w:pPr>
    </w:p>
    <w:p w14:paraId="6D6C076E">
      <w:pPr>
        <w:pStyle w:val="31"/>
        <w:rPr>
          <w:rFonts w:ascii="仿宋" w:hAnsi="仿宋" w:eastAsia="仿宋" w:cs="仿宋"/>
          <w:color w:val="auto"/>
          <w:lang w:eastAsia="zh-CN"/>
        </w:rPr>
      </w:pPr>
    </w:p>
    <w:p w14:paraId="595D005C">
      <w:pPr>
        <w:pStyle w:val="31"/>
        <w:rPr>
          <w:rFonts w:ascii="仿宋" w:hAnsi="仿宋" w:eastAsia="仿宋" w:cs="仿宋"/>
          <w:color w:val="auto"/>
          <w:lang w:eastAsia="zh-CN"/>
        </w:rPr>
      </w:pPr>
    </w:p>
    <w:p w14:paraId="2FF67C21">
      <w:pPr>
        <w:pStyle w:val="31"/>
        <w:rPr>
          <w:rFonts w:ascii="仿宋" w:hAnsi="仿宋" w:eastAsia="仿宋" w:cs="仿宋"/>
          <w:color w:val="auto"/>
          <w:lang w:eastAsia="zh-CN"/>
        </w:rPr>
      </w:pPr>
    </w:p>
    <w:p w14:paraId="2138081B">
      <w:pPr>
        <w:pStyle w:val="31"/>
        <w:rPr>
          <w:rFonts w:ascii="仿宋" w:hAnsi="仿宋" w:eastAsia="仿宋" w:cs="仿宋"/>
          <w:color w:val="auto"/>
          <w:lang w:eastAsia="zh-CN"/>
        </w:rPr>
      </w:pPr>
    </w:p>
    <w:p w14:paraId="168F976B">
      <w:pPr>
        <w:rPr>
          <w:rFonts w:ascii="仿宋" w:hAnsi="仿宋" w:eastAsia="仿宋" w:cs="仿宋"/>
          <w:color w:val="auto"/>
          <w:lang w:eastAsia="zh-CN"/>
        </w:rPr>
      </w:pPr>
    </w:p>
    <w:p w14:paraId="3DA3BFB8">
      <w:pPr>
        <w:pStyle w:val="2"/>
        <w:spacing w:before="40" w:after="40" w:line="579" w:lineRule="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97"/>
      <w:bookmarkEnd w:id="98"/>
      <w:bookmarkEnd w:id="99"/>
      <w:bookmarkEnd w:id="100"/>
    </w:p>
    <w:p w14:paraId="6C2F525F">
      <w:pPr>
        <w:pStyle w:val="10"/>
        <w:spacing w:line="400" w:lineRule="exact"/>
        <w:ind w:left="1157"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14:paraId="6709E0F5">
      <w:pPr>
        <w:pStyle w:val="10"/>
        <w:spacing w:line="400" w:lineRule="exact"/>
        <w:ind w:left="1157" w:leftChars="257" w:hanging="540"/>
        <w:rPr>
          <w:rFonts w:ascii="仿宋" w:hAnsi="仿宋" w:eastAsia="仿宋" w:cs="仿宋"/>
          <w:color w:val="auto"/>
          <w:lang w:eastAsia="zh-CN"/>
        </w:rPr>
      </w:pPr>
      <w:r>
        <w:rPr>
          <w:rFonts w:hint="eastAsia" w:ascii="仿宋" w:hAnsi="仿宋" w:eastAsia="仿宋" w:cs="仿宋"/>
          <w:color w:val="auto"/>
          <w:lang w:eastAsia="zh-CN"/>
        </w:rPr>
        <w:t>2、开标一览表</w:t>
      </w:r>
    </w:p>
    <w:p w14:paraId="6C4D330F">
      <w:pPr>
        <w:pStyle w:val="10"/>
        <w:spacing w:line="400" w:lineRule="exact"/>
        <w:ind w:left="1157" w:leftChars="257" w:hanging="540"/>
        <w:rPr>
          <w:rFonts w:ascii="仿宋" w:hAnsi="仿宋" w:eastAsia="仿宋" w:cs="仿宋"/>
          <w:color w:val="auto"/>
          <w:lang w:eastAsia="zh-CN"/>
        </w:rPr>
      </w:pPr>
      <w:r>
        <w:rPr>
          <w:rFonts w:hint="eastAsia" w:ascii="仿宋" w:hAnsi="仿宋" w:eastAsia="仿宋" w:cs="仿宋"/>
          <w:color w:val="auto"/>
          <w:lang w:eastAsia="zh-CN"/>
        </w:rPr>
        <w:t>3、投标分项报价表</w:t>
      </w:r>
    </w:p>
    <w:p w14:paraId="6D0C7F4A">
      <w:pPr>
        <w:pStyle w:val="10"/>
        <w:spacing w:line="400" w:lineRule="exact"/>
        <w:ind w:left="1157" w:leftChars="257" w:hanging="540"/>
        <w:rPr>
          <w:rFonts w:ascii="仿宋" w:hAnsi="仿宋" w:eastAsia="仿宋" w:cs="仿宋"/>
          <w:color w:val="auto"/>
          <w:lang w:eastAsia="zh-CN"/>
        </w:rPr>
      </w:pPr>
      <w:r>
        <w:rPr>
          <w:rFonts w:hint="eastAsia" w:ascii="仿宋" w:hAnsi="仿宋" w:eastAsia="仿宋" w:cs="仿宋"/>
          <w:color w:val="auto"/>
          <w:lang w:eastAsia="zh-CN"/>
        </w:rPr>
        <w:t>4、技术规格偏离表</w:t>
      </w:r>
    </w:p>
    <w:p w14:paraId="3B45A891">
      <w:pPr>
        <w:pStyle w:val="10"/>
        <w:spacing w:line="400" w:lineRule="exact"/>
        <w:ind w:left="1157" w:leftChars="257" w:hanging="540"/>
        <w:rPr>
          <w:rFonts w:ascii="仿宋" w:hAnsi="仿宋" w:eastAsia="仿宋" w:cs="仿宋"/>
          <w:color w:val="auto"/>
          <w:lang w:eastAsia="zh-CN"/>
        </w:rPr>
      </w:pPr>
      <w:r>
        <w:rPr>
          <w:rFonts w:hint="eastAsia" w:ascii="仿宋" w:hAnsi="仿宋" w:eastAsia="仿宋" w:cs="仿宋"/>
          <w:color w:val="auto"/>
          <w:lang w:eastAsia="zh-CN"/>
        </w:rPr>
        <w:t>5、商务条款偏离表</w:t>
      </w:r>
    </w:p>
    <w:p w14:paraId="415E6D3F">
      <w:pPr>
        <w:pStyle w:val="10"/>
        <w:spacing w:line="400" w:lineRule="exact"/>
        <w:ind w:left="1157" w:leftChars="257" w:hanging="540"/>
        <w:rPr>
          <w:rFonts w:hint="eastAsia" w:ascii="仿宋" w:hAnsi="仿宋" w:eastAsia="仿宋" w:cs="仿宋"/>
          <w:color w:val="auto"/>
          <w:lang w:eastAsia="zh-CN"/>
        </w:rPr>
      </w:pPr>
      <w:r>
        <w:rPr>
          <w:rFonts w:hint="eastAsia" w:ascii="仿宋" w:hAnsi="仿宋" w:eastAsia="仿宋" w:cs="仿宋"/>
          <w:color w:val="auto"/>
          <w:lang w:eastAsia="zh-CN"/>
        </w:rPr>
        <w:t>6、供应商基本情况表</w:t>
      </w:r>
    </w:p>
    <w:p w14:paraId="671983EF">
      <w:pPr>
        <w:pStyle w:val="10"/>
        <w:spacing w:line="400" w:lineRule="exact"/>
        <w:ind w:left="1157" w:leftChars="257" w:hanging="540"/>
        <w:rPr>
          <w:rFonts w:hint="eastAsia"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近三年（20</w:t>
      </w:r>
      <w:r>
        <w:rPr>
          <w:rFonts w:hint="eastAsia" w:ascii="仿宋" w:hAnsi="仿宋" w:eastAsia="仿宋" w:cs="仿宋"/>
          <w:color w:val="auto"/>
          <w:lang w:val="en-US" w:eastAsia="zh-CN"/>
        </w:rPr>
        <w:t>22</w:t>
      </w:r>
      <w:r>
        <w:rPr>
          <w:rFonts w:hint="eastAsia" w:ascii="仿宋" w:hAnsi="仿宋" w:eastAsia="仿宋" w:cs="仿宋"/>
          <w:color w:val="auto"/>
          <w:lang w:eastAsia="zh-CN"/>
        </w:rPr>
        <w:t xml:space="preserve">年1月1日至今）类似项目业绩； </w:t>
      </w:r>
    </w:p>
    <w:p w14:paraId="78F0A37A">
      <w:pPr>
        <w:pStyle w:val="10"/>
        <w:spacing w:line="400" w:lineRule="exact"/>
        <w:ind w:left="355" w:leftChars="148" w:firstLine="228"/>
        <w:rPr>
          <w:rFonts w:ascii="仿宋" w:hAnsi="仿宋" w:eastAsia="仿宋" w:cs="仿宋"/>
          <w:color w:val="auto"/>
          <w:lang w:eastAsia="zh-CN"/>
        </w:rPr>
      </w:pPr>
      <w:r>
        <w:rPr>
          <w:rFonts w:hint="eastAsia" w:ascii="仿宋" w:hAnsi="仿宋" w:eastAsia="仿宋" w:cs="仿宋"/>
          <w:color w:val="auto"/>
          <w:lang w:val="en-US" w:eastAsia="zh-CN"/>
        </w:rPr>
        <w:t>8</w:t>
      </w:r>
      <w:r>
        <w:rPr>
          <w:rFonts w:hint="eastAsia" w:ascii="仿宋" w:hAnsi="仿宋" w:eastAsia="仿宋" w:cs="仿宋"/>
          <w:color w:val="auto"/>
          <w:lang w:eastAsia="zh-CN"/>
        </w:rPr>
        <w:t>、中小企业声明函(服务)</w:t>
      </w:r>
    </w:p>
    <w:p w14:paraId="027CE4EB">
      <w:pPr>
        <w:pStyle w:val="10"/>
        <w:spacing w:line="400" w:lineRule="exact"/>
        <w:ind w:left="355" w:leftChars="148" w:firstLine="228"/>
        <w:rPr>
          <w:rFonts w:ascii="仿宋" w:hAnsi="仿宋" w:eastAsia="仿宋" w:cs="仿宋"/>
          <w:color w:val="auto"/>
          <w:lang w:eastAsia="zh-CN"/>
        </w:rPr>
      </w:pPr>
      <w:r>
        <w:rPr>
          <w:rFonts w:hint="eastAsia" w:ascii="仿宋" w:hAnsi="仿宋" w:eastAsia="仿宋" w:cs="仿宋"/>
          <w:color w:val="auto"/>
          <w:lang w:val="en-US" w:eastAsia="zh-CN"/>
        </w:rPr>
        <w:t>9</w:t>
      </w:r>
      <w:r>
        <w:rPr>
          <w:rFonts w:hint="eastAsia" w:ascii="仿宋" w:hAnsi="仿宋" w:eastAsia="仿宋" w:cs="仿宋"/>
          <w:color w:val="auto"/>
          <w:lang w:eastAsia="zh-CN"/>
        </w:rPr>
        <w:t>、《残疾人福利性单位声明函》</w:t>
      </w:r>
    </w:p>
    <w:p w14:paraId="06F6A57E">
      <w:pPr>
        <w:pStyle w:val="10"/>
        <w:spacing w:line="400" w:lineRule="exact"/>
        <w:ind w:left="355" w:leftChars="148" w:firstLine="228"/>
        <w:rPr>
          <w:rFonts w:ascii="仿宋" w:hAnsi="仿宋" w:eastAsia="仿宋" w:cs="仿宋"/>
          <w:color w:val="auto"/>
          <w:lang w:eastAsia="zh-CN"/>
        </w:rPr>
      </w:pPr>
      <w:r>
        <w:rPr>
          <w:rFonts w:hint="eastAsia" w:ascii="仿宋" w:hAnsi="仿宋" w:eastAsia="仿宋" w:cs="仿宋"/>
          <w:color w:val="auto"/>
          <w:lang w:val="en-US" w:eastAsia="zh-CN"/>
        </w:rPr>
        <w:t>10</w:t>
      </w:r>
      <w:r>
        <w:rPr>
          <w:rFonts w:hint="eastAsia" w:ascii="仿宋" w:hAnsi="仿宋" w:eastAsia="仿宋" w:cs="仿宋"/>
          <w:color w:val="auto"/>
          <w:lang w:eastAsia="zh-CN"/>
        </w:rPr>
        <w:t>、评分标准和细则中技术部分证明材料</w:t>
      </w:r>
    </w:p>
    <w:p w14:paraId="7EFAF361">
      <w:pPr>
        <w:pStyle w:val="10"/>
        <w:spacing w:line="400" w:lineRule="exact"/>
        <w:ind w:left="355" w:leftChars="148" w:firstLine="228"/>
        <w:rPr>
          <w:rFonts w:ascii="仿宋" w:hAnsi="仿宋" w:eastAsia="仿宋" w:cs="仿宋"/>
          <w:color w:val="auto"/>
          <w:lang w:eastAsia="zh-CN"/>
        </w:rPr>
      </w:pPr>
      <w:r>
        <w:rPr>
          <w:rFonts w:hint="eastAsia" w:ascii="仿宋" w:hAnsi="仿宋" w:eastAsia="仿宋" w:cs="仿宋"/>
          <w:color w:val="auto"/>
          <w:lang w:val="en-US" w:eastAsia="zh-CN"/>
        </w:rPr>
        <w:t>11</w:t>
      </w:r>
      <w:r>
        <w:rPr>
          <w:rFonts w:hint="eastAsia" w:ascii="仿宋" w:hAnsi="仿宋" w:eastAsia="仿宋" w:cs="仿宋"/>
          <w:color w:val="auto"/>
          <w:lang w:eastAsia="zh-CN"/>
        </w:rPr>
        <w:t>、评分标准和细则中技术部分证明材料（格式自拟）</w:t>
      </w:r>
    </w:p>
    <w:p w14:paraId="5FD9AE33">
      <w:pPr>
        <w:pStyle w:val="10"/>
        <w:spacing w:line="400" w:lineRule="exact"/>
        <w:ind w:left="355"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lang w:val="en-US" w:eastAsia="zh-CN"/>
        </w:rPr>
        <w:t>2</w:t>
      </w:r>
      <w:r>
        <w:rPr>
          <w:rFonts w:hint="eastAsia" w:ascii="仿宋" w:hAnsi="仿宋" w:eastAsia="仿宋" w:cs="仿宋"/>
          <w:color w:val="auto"/>
          <w:lang w:eastAsia="zh-CN"/>
        </w:rPr>
        <w:t>、供应商认为有必要提供的其他证明材料（格式自拟）</w:t>
      </w:r>
    </w:p>
    <w:p w14:paraId="47948B39">
      <w:pPr>
        <w:pStyle w:val="10"/>
        <w:tabs>
          <w:tab w:val="left" w:pos="5580"/>
        </w:tabs>
        <w:spacing w:line="400" w:lineRule="exact"/>
        <w:ind w:left="641" w:leftChars="267"/>
        <w:rPr>
          <w:rFonts w:ascii="仿宋" w:hAnsi="仿宋" w:eastAsia="仿宋" w:cs="仿宋"/>
          <w:color w:val="auto"/>
          <w:sz w:val="21"/>
          <w:szCs w:val="21"/>
          <w:lang w:eastAsia="zh-CN"/>
        </w:rPr>
      </w:pPr>
      <w:r>
        <w:rPr>
          <w:rFonts w:hint="eastAsia" w:ascii="仿宋" w:hAnsi="仿宋" w:eastAsia="仿宋" w:cs="仿宋"/>
          <w:color w:val="auto"/>
          <w:lang w:eastAsia="zh-CN"/>
        </w:rPr>
        <w:br w:type="page"/>
      </w:r>
    </w:p>
    <w:p w14:paraId="0645E2BD">
      <w:pPr>
        <w:pStyle w:val="7"/>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14:paraId="13492BA3">
      <w:pPr>
        <w:spacing w:line="440" w:lineRule="exact"/>
        <w:rPr>
          <w:rFonts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14:paraId="72C46227">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14:paraId="5B5CD069">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磋商文件的全部内容。</w:t>
      </w:r>
    </w:p>
    <w:p w14:paraId="5371EDB2">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我方在参与投标前已详细研究了磋商文件的所有内容，包括澄清、修改文件（如果有）和所有已提供的参考资料以及有关附件，我方完全明白并认为此磋商文件没有倾向性，也不存在排斥潜在报价供应商的内容，我方同意磋商文件的相关条款，放弃对磋商文件提出误解和质疑的一切权力。</w:t>
      </w:r>
    </w:p>
    <w:p w14:paraId="566CC279">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(供应商名称)      </w:t>
      </w:r>
      <w:r>
        <w:rPr>
          <w:rFonts w:hint="eastAsia" w:ascii="仿宋" w:hAnsi="仿宋" w:eastAsia="仿宋" w:cs="仿宋"/>
          <w:color w:val="auto"/>
          <w:lang w:eastAsia="zh-CN"/>
        </w:rPr>
        <w:t>作为供应商正式授权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14:paraId="64DBCC82">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我方已完全明白磋商文件的所有条款要求，并申明如下：</w:t>
      </w:r>
    </w:p>
    <w:p w14:paraId="6E46D7A7">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（一）按磋商文件提供的全部货物与相关服务的投标总价详见《报价一览表》。</w:t>
      </w:r>
    </w:p>
    <w:p w14:paraId="3A946839">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（二）本响应文件的有效期为投标截止时间起</w:t>
      </w:r>
      <w:r>
        <w:rPr>
          <w:rFonts w:hint="eastAsia" w:ascii="仿宋" w:hAnsi="仿宋" w:eastAsia="仿宋" w:cs="仿宋"/>
          <w:color w:val="auto"/>
          <w:u w:val="single"/>
          <w:lang w:eastAsia="zh-CN"/>
        </w:rPr>
        <w:t>60</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78121E9">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14:paraId="34A8F7E9">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14:paraId="21550063">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（五）我方如果中标，将保证履行磋商文件及其澄清、修改文件（如果有）中的全部责任和义务，按质、按量、按期完成《招标内容》及《合同书》中的全部任务。</w:t>
      </w:r>
    </w:p>
    <w:p w14:paraId="3310CF5D">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（六）如我方被授予合同，我方承诺支付就本次招标应支付或将支付的中标服务费（详见按磋商文件要求格式填写的《中标服务费支付承诺书》）。</w:t>
      </w:r>
    </w:p>
    <w:p w14:paraId="627527F6">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（七）我方作为在法律、财务和运作上独立于采购人、招标代理机构的供应商，在此保证所提交的所有文件和全部说明是真实的和正确的。</w:t>
      </w:r>
    </w:p>
    <w:p w14:paraId="01696B9B">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14:paraId="14078349">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（九）我方与其他供应商不存在单位负责人为同一人或者存在直接控股、管理关系。</w:t>
      </w:r>
    </w:p>
    <w:p w14:paraId="3D0B8B54">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14:paraId="1C7EC31F">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14:paraId="6BABB9E3">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14:paraId="396008B9">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14:paraId="0CE5D5C6">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14:paraId="71E729F3">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14:paraId="2185001B">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14:paraId="4300A76C">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14:paraId="61328D70">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（十三）我方对在本函及响应文件中所作的所有承诺承担法律责任。</w:t>
      </w:r>
    </w:p>
    <w:p w14:paraId="6EEDDF5B">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14:paraId="32AAF2E0">
      <w:pPr>
        <w:spacing w:line="440" w:lineRule="exact"/>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27390B67">
      <w:pPr>
        <w:spacing w:line="440" w:lineRule="exact"/>
        <w:rPr>
          <w:rFonts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3766E50C">
      <w:pPr>
        <w:spacing w:line="440" w:lineRule="exact"/>
        <w:rPr>
          <w:rFonts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3E4DF51E">
      <w:pPr>
        <w:spacing w:line="440" w:lineRule="exact"/>
        <w:rPr>
          <w:rFonts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6197AC50">
      <w:pPr>
        <w:spacing w:line="440" w:lineRule="exact"/>
        <w:ind w:right="480"/>
        <w:jc w:val="right"/>
        <w:rPr>
          <w:rFonts w:ascii="仿宋" w:hAnsi="仿宋" w:eastAsia="仿宋" w:cs="仿宋"/>
          <w:color w:val="auto"/>
          <w:lang w:eastAsia="zh-CN"/>
        </w:rPr>
      </w:pPr>
      <w:r>
        <w:rPr>
          <w:rFonts w:hint="eastAsia" w:ascii="仿宋" w:hAnsi="仿宋" w:eastAsia="仿宋" w:cs="仿宋"/>
          <w:color w:val="auto"/>
          <w:lang w:eastAsia="zh-CN"/>
        </w:rPr>
        <w:t>供应商：</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14:paraId="1F65A926">
      <w:pPr>
        <w:wordWrap w:val="0"/>
        <w:spacing w:line="440" w:lineRule="exact"/>
        <w:ind w:firstLine="480" w:firstLineChars="200"/>
        <w:jc w:val="right"/>
        <w:rPr>
          <w:rFonts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14:paraId="39F32642">
      <w:pPr>
        <w:wordWrap w:val="0"/>
        <w:spacing w:line="440" w:lineRule="exact"/>
        <w:ind w:firstLine="480" w:firstLineChars="200"/>
        <w:jc w:val="righ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7D434C16">
      <w:pPr>
        <w:pStyle w:val="31"/>
        <w:rPr>
          <w:rFonts w:ascii="仿宋" w:hAnsi="仿宋" w:eastAsia="仿宋" w:cs="仿宋"/>
          <w:color w:val="auto"/>
          <w:lang w:eastAsia="zh-CN"/>
        </w:rPr>
      </w:pPr>
      <w:r>
        <w:rPr>
          <w:rFonts w:hint="eastAsia" w:ascii="仿宋" w:hAnsi="仿宋" w:eastAsia="仿宋" w:cs="仿宋"/>
          <w:color w:val="auto"/>
          <w:lang w:eastAsia="zh-CN"/>
        </w:rPr>
        <w:br w:type="page"/>
      </w:r>
    </w:p>
    <w:p w14:paraId="3A4E8456">
      <w:pPr>
        <w:pStyle w:val="5"/>
        <w:tabs>
          <w:tab w:val="left" w:pos="5580"/>
        </w:tabs>
        <w:spacing w:line="240" w:lineRule="atLeast"/>
        <w:ind w:firstLine="3350"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14:paraId="2695928F">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19605F08">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5CB82266">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3"/>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3E36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435C6FDA">
            <w:pPr>
              <w:ind w:firstLine="480" w:firstLineChars="200"/>
              <w:jc w:val="both"/>
              <w:rPr>
                <w:rFonts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14:paraId="03C81AFC">
            <w:pPr>
              <w:rPr>
                <w:rFonts w:ascii="仿宋" w:hAnsi="仿宋" w:eastAsia="仿宋" w:cs="仿宋"/>
                <w:color w:val="auto"/>
                <w:szCs w:val="21"/>
              </w:rPr>
            </w:pPr>
          </w:p>
        </w:tc>
      </w:tr>
      <w:tr w14:paraId="282E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2C7B58BD">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服务期（年）</w:t>
            </w:r>
          </w:p>
        </w:tc>
        <w:tc>
          <w:tcPr>
            <w:tcW w:w="6185" w:type="dxa"/>
            <w:vAlign w:val="center"/>
          </w:tcPr>
          <w:p w14:paraId="2D3163D8">
            <w:pPr>
              <w:jc w:val="center"/>
              <w:rPr>
                <w:rFonts w:ascii="仿宋" w:hAnsi="仿宋" w:eastAsia="仿宋" w:cs="仿宋"/>
                <w:color w:val="auto"/>
                <w:szCs w:val="21"/>
                <w:lang w:eastAsia="zh-CN"/>
              </w:rPr>
            </w:pPr>
          </w:p>
        </w:tc>
      </w:tr>
      <w:tr w14:paraId="2058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7CC0D5A0">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14:paraId="55D872C0">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60天</w:t>
            </w:r>
          </w:p>
        </w:tc>
      </w:tr>
      <w:tr w14:paraId="2C97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7219EDAD">
            <w:pPr>
              <w:jc w:val="center"/>
              <w:rPr>
                <w:rFonts w:ascii="仿宋" w:hAnsi="仿宋" w:eastAsia="仿宋" w:cs="仿宋"/>
                <w:color w:val="auto"/>
                <w:szCs w:val="21"/>
              </w:rPr>
            </w:pPr>
            <w:r>
              <w:rPr>
                <w:rFonts w:hint="eastAsia" w:ascii="仿宋" w:hAnsi="仿宋" w:eastAsia="仿宋" w:cs="仿宋"/>
                <w:color w:val="auto"/>
                <w:szCs w:val="21"/>
              </w:rPr>
              <w:t>投标报价</w:t>
            </w:r>
          </w:p>
          <w:p w14:paraId="73E84616">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6E56926B">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14:paraId="1102F77D">
            <w:pPr>
              <w:jc w:val="center"/>
              <w:rPr>
                <w:rFonts w:ascii="仿宋" w:hAnsi="仿宋" w:eastAsia="仿宋" w:cs="仿宋"/>
                <w:color w:val="auto"/>
                <w:szCs w:val="21"/>
              </w:rPr>
            </w:pPr>
          </w:p>
        </w:tc>
      </w:tr>
      <w:tr w14:paraId="0C2F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087E1BCF">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11FD9143">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14:paraId="11DA6E3F">
            <w:pPr>
              <w:jc w:val="center"/>
              <w:rPr>
                <w:rFonts w:ascii="仿宋" w:hAnsi="仿宋" w:eastAsia="仿宋" w:cs="仿宋"/>
                <w:color w:val="auto"/>
                <w:szCs w:val="21"/>
              </w:rPr>
            </w:pPr>
          </w:p>
        </w:tc>
      </w:tr>
    </w:tbl>
    <w:p w14:paraId="1DE5AC1C">
      <w:pPr>
        <w:spacing w:line="500" w:lineRule="exact"/>
        <w:ind w:firstLine="470" w:firstLineChars="196"/>
        <w:rPr>
          <w:rFonts w:ascii="仿宋" w:hAnsi="仿宋" w:eastAsia="仿宋" w:cs="仿宋"/>
          <w:color w:val="auto"/>
          <w:szCs w:val="21"/>
        </w:rPr>
      </w:pPr>
      <w:r>
        <w:rPr>
          <w:rFonts w:hint="eastAsia" w:ascii="仿宋" w:hAnsi="仿宋" w:eastAsia="仿宋" w:cs="仿宋"/>
          <w:color w:val="auto"/>
          <w:szCs w:val="21"/>
        </w:rPr>
        <w:t>填写说明：</w:t>
      </w:r>
    </w:p>
    <w:p w14:paraId="4D835F30">
      <w:pPr>
        <w:spacing w:line="500" w:lineRule="exact"/>
        <w:ind w:firstLine="470"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1.为方便开标唱标，供应商应将开标一览表单独密封，并在信封上标明“开标一览表”字样，然后在递交响应文件时单独递交</w:t>
      </w:r>
      <w:r>
        <w:rPr>
          <w:rFonts w:hint="eastAsia" w:ascii="仿宋" w:hAnsi="仿宋" w:eastAsia="仿宋" w:cs="仿宋"/>
          <w:b/>
          <w:bCs/>
          <w:color w:val="auto"/>
          <w:lang w:eastAsia="zh-CN"/>
        </w:rPr>
        <w:t>。</w:t>
      </w:r>
    </w:p>
    <w:p w14:paraId="3451A789">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开标时，本表中的内容与响应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186C456">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3.投标总价为招标范围所列全部招标项目的报价总和，并应与投标报价明细表及分项价格表保持一致。</w:t>
      </w:r>
    </w:p>
    <w:p w14:paraId="469EC5C5">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4.必须在响应文件中装订。</w:t>
      </w:r>
    </w:p>
    <w:p w14:paraId="49DF032F">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5.投标报价不得填报选择性报价。</w:t>
      </w:r>
    </w:p>
    <w:p w14:paraId="32B0F102">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供应商名称：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1EC15B93">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7BC15F55">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751DC366">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2120DC52">
      <w:pPr>
        <w:pStyle w:val="3"/>
        <w:spacing w:line="240" w:lineRule="atLeast"/>
        <w:rPr>
          <w:rFonts w:ascii="仿宋" w:hAnsi="仿宋" w:eastAsia="仿宋" w:cs="仿宋"/>
          <w:bCs/>
          <w:color w:val="auto"/>
          <w:sz w:val="24"/>
          <w:lang w:eastAsia="zh-CN"/>
        </w:rPr>
      </w:pPr>
    </w:p>
    <w:p w14:paraId="0656EB9A">
      <w:pPr>
        <w:pStyle w:val="3"/>
        <w:spacing w:line="240" w:lineRule="atLeast"/>
        <w:rPr>
          <w:rFonts w:ascii="仿宋" w:hAnsi="仿宋" w:eastAsia="仿宋" w:cs="仿宋"/>
          <w:bCs/>
          <w:color w:val="auto"/>
          <w:sz w:val="24"/>
          <w:lang w:eastAsia="zh-CN"/>
        </w:rPr>
      </w:pPr>
    </w:p>
    <w:p w14:paraId="1998CA8A">
      <w:pPr>
        <w:pStyle w:val="35"/>
        <w:keepNext/>
        <w:keepLines/>
        <w:spacing w:before="0" w:after="220"/>
        <w:rPr>
          <w:rFonts w:ascii="仿宋" w:hAnsi="仿宋" w:eastAsia="仿宋" w:cs="仿宋"/>
          <w:b/>
          <w:bCs/>
          <w:color w:val="auto"/>
        </w:rPr>
      </w:pPr>
      <w:r>
        <w:rPr>
          <w:rFonts w:hint="eastAsia" w:ascii="仿宋" w:hAnsi="仿宋" w:eastAsia="仿宋" w:cs="仿宋"/>
          <w:b/>
          <w:bCs/>
          <w:color w:val="auto"/>
          <w:lang w:val="en-US" w:eastAsia="zh-CN"/>
        </w:rPr>
        <w:t>3</w:t>
      </w:r>
      <w:r>
        <w:rPr>
          <w:rFonts w:hint="eastAsia" w:ascii="仿宋" w:hAnsi="仿宋" w:eastAsia="仿宋" w:cs="仿宋"/>
          <w:b/>
          <w:bCs/>
          <w:color w:val="auto"/>
          <w:lang w:eastAsia="zh-CN"/>
        </w:rPr>
        <w:t>、</w:t>
      </w:r>
      <w:r>
        <w:rPr>
          <w:rFonts w:hint="eastAsia" w:ascii="仿宋" w:hAnsi="仿宋" w:eastAsia="仿宋" w:cs="仿宋"/>
          <w:b/>
          <w:bCs/>
          <w:color w:val="auto"/>
        </w:rPr>
        <w:t>投标报价明细表</w:t>
      </w:r>
    </w:p>
    <w:p w14:paraId="755F32BB">
      <w:pPr>
        <w:pStyle w:val="37"/>
        <w:keepNext w:val="0"/>
        <w:keepLines w:val="0"/>
        <w:widowControl w:val="0"/>
        <w:shd w:val="clear" w:color="auto" w:fill="auto"/>
        <w:bidi w:val="0"/>
        <w:spacing w:before="0" w:after="220" w:line="240" w:lineRule="auto"/>
        <w:ind w:right="0" w:firstLine="379" w:firstLineChars="158"/>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项目编号:</w:t>
      </w:r>
    </w:p>
    <w:p w14:paraId="753FAF6B">
      <w:pPr>
        <w:pStyle w:val="39"/>
        <w:keepNext w:val="0"/>
        <w:keepLines w:val="0"/>
        <w:widowControl w:val="0"/>
        <w:shd w:val="clear" w:color="auto" w:fill="auto"/>
        <w:bidi w:val="0"/>
        <w:spacing w:before="0" w:after="0" w:line="240" w:lineRule="auto"/>
        <w:ind w:left="162" w:right="0" w:firstLine="240" w:firstLineChars="10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项目名称:</w:t>
      </w:r>
    </w:p>
    <w:tbl>
      <w:tblPr>
        <w:tblStyle w:val="23"/>
        <w:tblW w:w="8686" w:type="dxa"/>
        <w:jc w:val="center"/>
        <w:tblLayout w:type="fixed"/>
        <w:tblCellMar>
          <w:top w:w="0" w:type="dxa"/>
          <w:left w:w="10" w:type="dxa"/>
          <w:bottom w:w="0" w:type="dxa"/>
          <w:right w:w="10" w:type="dxa"/>
        </w:tblCellMar>
      </w:tblPr>
      <w:tblGrid>
        <w:gridCol w:w="750"/>
        <w:gridCol w:w="1431"/>
        <w:gridCol w:w="6505"/>
      </w:tblGrid>
      <w:tr w14:paraId="40D62053">
        <w:tblPrEx>
          <w:tblCellMar>
            <w:top w:w="0" w:type="dxa"/>
            <w:left w:w="10" w:type="dxa"/>
            <w:bottom w:w="0" w:type="dxa"/>
            <w:right w:w="10" w:type="dxa"/>
          </w:tblCellMar>
        </w:tblPrEx>
        <w:trPr>
          <w:trHeight w:val="972" w:hRule="exact"/>
          <w:jc w:val="center"/>
        </w:trPr>
        <w:tc>
          <w:tcPr>
            <w:tcW w:w="750" w:type="dxa"/>
            <w:tcBorders>
              <w:top w:val="single" w:color="auto" w:sz="4" w:space="0"/>
              <w:left w:val="single" w:color="auto" w:sz="4" w:space="0"/>
            </w:tcBorders>
            <w:shd w:val="clear" w:color="auto" w:fill="FFFFFF"/>
            <w:vAlign w:val="center"/>
          </w:tcPr>
          <w:p w14:paraId="7D368864">
            <w:pPr>
              <w:pStyle w:val="38"/>
              <w:keepNext w:val="0"/>
              <w:keepLines w:val="0"/>
              <w:widowControl w:val="0"/>
              <w:shd w:val="clear" w:color="auto" w:fill="auto"/>
              <w:bidi w:val="0"/>
              <w:spacing w:before="0" w:after="22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序</w:t>
            </w:r>
          </w:p>
          <w:p w14:paraId="7B623B50">
            <w:pPr>
              <w:pStyle w:val="3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号</w:t>
            </w:r>
          </w:p>
        </w:tc>
        <w:tc>
          <w:tcPr>
            <w:tcW w:w="1431" w:type="dxa"/>
            <w:tcBorders>
              <w:top w:val="single" w:color="auto" w:sz="4" w:space="0"/>
              <w:left w:val="single" w:color="auto" w:sz="4" w:space="0"/>
            </w:tcBorders>
            <w:shd w:val="clear" w:color="auto" w:fill="FFFFFF"/>
            <w:vAlign w:val="center"/>
          </w:tcPr>
          <w:p w14:paraId="15B62E9F">
            <w:pPr>
              <w:pStyle w:val="3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明细名称</w:t>
            </w:r>
          </w:p>
        </w:tc>
        <w:tc>
          <w:tcPr>
            <w:tcW w:w="6505" w:type="dxa"/>
            <w:tcBorders>
              <w:top w:val="single" w:color="auto" w:sz="4" w:space="0"/>
              <w:left w:val="single" w:color="auto" w:sz="4" w:space="0"/>
              <w:right w:val="single" w:color="auto" w:sz="4" w:space="0"/>
            </w:tcBorders>
            <w:shd w:val="clear" w:color="auto" w:fill="FFFFFF"/>
            <w:vAlign w:val="top"/>
          </w:tcPr>
          <w:p w14:paraId="421DE053">
            <w:pPr>
              <w:widowControl w:val="0"/>
              <w:rPr>
                <w:rFonts w:hint="eastAsia" w:ascii="仿宋" w:hAnsi="仿宋" w:eastAsia="仿宋" w:cs="仿宋"/>
                <w:color w:val="auto"/>
                <w:sz w:val="24"/>
                <w:szCs w:val="24"/>
              </w:rPr>
            </w:pPr>
          </w:p>
        </w:tc>
      </w:tr>
      <w:tr w14:paraId="3DAD8A14">
        <w:tblPrEx>
          <w:tblCellMar>
            <w:top w:w="0" w:type="dxa"/>
            <w:left w:w="10" w:type="dxa"/>
            <w:bottom w:w="0" w:type="dxa"/>
            <w:right w:w="10" w:type="dxa"/>
          </w:tblCellMar>
        </w:tblPrEx>
        <w:trPr>
          <w:trHeight w:val="482" w:hRule="exact"/>
          <w:jc w:val="center"/>
        </w:trPr>
        <w:tc>
          <w:tcPr>
            <w:tcW w:w="750" w:type="dxa"/>
            <w:tcBorders>
              <w:top w:val="single" w:color="auto" w:sz="4" w:space="0"/>
              <w:left w:val="single" w:color="auto" w:sz="4" w:space="0"/>
            </w:tcBorders>
            <w:shd w:val="clear" w:color="auto" w:fill="FFFFFF"/>
            <w:vAlign w:val="center"/>
          </w:tcPr>
          <w:p w14:paraId="090D20F8">
            <w:pPr>
              <w:pStyle w:val="3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1</w:t>
            </w:r>
          </w:p>
        </w:tc>
        <w:tc>
          <w:tcPr>
            <w:tcW w:w="1431" w:type="dxa"/>
            <w:tcBorders>
              <w:top w:val="single" w:color="auto" w:sz="4" w:space="0"/>
              <w:left w:val="single" w:color="auto" w:sz="4" w:space="0"/>
            </w:tcBorders>
            <w:shd w:val="clear" w:color="auto" w:fill="FFFFFF"/>
            <w:vAlign w:val="center"/>
          </w:tcPr>
          <w:p w14:paraId="7E994276">
            <w:pPr>
              <w:pStyle w:val="3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服务1</w:t>
            </w:r>
          </w:p>
        </w:tc>
        <w:tc>
          <w:tcPr>
            <w:tcW w:w="6505" w:type="dxa"/>
            <w:tcBorders>
              <w:top w:val="single" w:color="auto" w:sz="4" w:space="0"/>
              <w:left w:val="single" w:color="auto" w:sz="4" w:space="0"/>
              <w:right w:val="single" w:color="auto" w:sz="4" w:space="0"/>
            </w:tcBorders>
            <w:shd w:val="clear" w:color="auto" w:fill="FFFFFF"/>
            <w:vAlign w:val="top"/>
          </w:tcPr>
          <w:p w14:paraId="64A8E00F">
            <w:pPr>
              <w:widowControl w:val="0"/>
              <w:rPr>
                <w:rFonts w:hint="eastAsia" w:ascii="仿宋" w:hAnsi="仿宋" w:eastAsia="仿宋" w:cs="仿宋"/>
                <w:color w:val="auto"/>
                <w:sz w:val="24"/>
                <w:szCs w:val="24"/>
              </w:rPr>
            </w:pPr>
          </w:p>
        </w:tc>
      </w:tr>
      <w:tr w14:paraId="2BDE6C4A">
        <w:tblPrEx>
          <w:tblCellMar>
            <w:top w:w="0" w:type="dxa"/>
            <w:left w:w="10" w:type="dxa"/>
            <w:bottom w:w="0" w:type="dxa"/>
            <w:right w:w="10" w:type="dxa"/>
          </w:tblCellMar>
        </w:tblPrEx>
        <w:trPr>
          <w:trHeight w:val="486" w:hRule="exact"/>
          <w:jc w:val="center"/>
        </w:trPr>
        <w:tc>
          <w:tcPr>
            <w:tcW w:w="750" w:type="dxa"/>
            <w:tcBorders>
              <w:top w:val="single" w:color="auto" w:sz="4" w:space="0"/>
              <w:left w:val="single" w:color="auto" w:sz="4" w:space="0"/>
            </w:tcBorders>
            <w:shd w:val="clear" w:color="auto" w:fill="FFFFFF"/>
            <w:vAlign w:val="center"/>
          </w:tcPr>
          <w:p w14:paraId="60281F72">
            <w:pPr>
              <w:pStyle w:val="3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2</w:t>
            </w:r>
          </w:p>
        </w:tc>
        <w:tc>
          <w:tcPr>
            <w:tcW w:w="1431" w:type="dxa"/>
            <w:tcBorders>
              <w:top w:val="single" w:color="auto" w:sz="4" w:space="0"/>
              <w:left w:val="single" w:color="auto" w:sz="4" w:space="0"/>
            </w:tcBorders>
            <w:shd w:val="clear" w:color="auto" w:fill="FFFFFF"/>
            <w:vAlign w:val="center"/>
          </w:tcPr>
          <w:p w14:paraId="6A565EDD">
            <w:pPr>
              <w:pStyle w:val="3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服务1</w:t>
            </w:r>
          </w:p>
        </w:tc>
        <w:tc>
          <w:tcPr>
            <w:tcW w:w="6505" w:type="dxa"/>
            <w:tcBorders>
              <w:top w:val="single" w:color="auto" w:sz="4" w:space="0"/>
              <w:left w:val="single" w:color="auto" w:sz="4" w:space="0"/>
              <w:right w:val="single" w:color="auto" w:sz="4" w:space="0"/>
            </w:tcBorders>
            <w:shd w:val="clear" w:color="auto" w:fill="FFFFFF"/>
            <w:vAlign w:val="top"/>
          </w:tcPr>
          <w:p w14:paraId="3EFB7D21">
            <w:pPr>
              <w:widowControl w:val="0"/>
              <w:rPr>
                <w:rFonts w:hint="eastAsia" w:ascii="仿宋" w:hAnsi="仿宋" w:eastAsia="仿宋" w:cs="仿宋"/>
                <w:color w:val="auto"/>
                <w:sz w:val="24"/>
                <w:szCs w:val="24"/>
              </w:rPr>
            </w:pPr>
          </w:p>
        </w:tc>
      </w:tr>
      <w:tr w14:paraId="223780F1">
        <w:tblPrEx>
          <w:tblCellMar>
            <w:top w:w="0" w:type="dxa"/>
            <w:left w:w="10" w:type="dxa"/>
            <w:bottom w:w="0" w:type="dxa"/>
            <w:right w:w="10" w:type="dxa"/>
          </w:tblCellMar>
        </w:tblPrEx>
        <w:trPr>
          <w:trHeight w:val="518" w:hRule="exact"/>
          <w:jc w:val="center"/>
        </w:trPr>
        <w:tc>
          <w:tcPr>
            <w:tcW w:w="750" w:type="dxa"/>
            <w:tcBorders>
              <w:top w:val="single" w:color="auto" w:sz="4" w:space="0"/>
              <w:left w:val="single" w:color="auto" w:sz="4" w:space="0"/>
            </w:tcBorders>
            <w:shd w:val="clear" w:color="auto" w:fill="FFFFFF"/>
            <w:vAlign w:val="center"/>
          </w:tcPr>
          <w:p w14:paraId="0204B8E8">
            <w:pPr>
              <w:pStyle w:val="3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3</w:t>
            </w:r>
          </w:p>
        </w:tc>
        <w:tc>
          <w:tcPr>
            <w:tcW w:w="1431" w:type="dxa"/>
            <w:tcBorders>
              <w:top w:val="single" w:color="auto" w:sz="4" w:space="0"/>
              <w:left w:val="single" w:color="auto" w:sz="4" w:space="0"/>
            </w:tcBorders>
            <w:shd w:val="clear" w:color="auto" w:fill="FFFFFF"/>
            <w:vAlign w:val="center"/>
          </w:tcPr>
          <w:p w14:paraId="2022F22F">
            <w:pPr>
              <w:pStyle w:val="3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服务1</w:t>
            </w:r>
          </w:p>
        </w:tc>
        <w:tc>
          <w:tcPr>
            <w:tcW w:w="6505" w:type="dxa"/>
            <w:tcBorders>
              <w:top w:val="single" w:color="auto" w:sz="4" w:space="0"/>
              <w:left w:val="single" w:color="auto" w:sz="4" w:space="0"/>
              <w:right w:val="single" w:color="auto" w:sz="4" w:space="0"/>
            </w:tcBorders>
            <w:shd w:val="clear" w:color="auto" w:fill="FFFFFF"/>
            <w:vAlign w:val="top"/>
          </w:tcPr>
          <w:p w14:paraId="283BA716">
            <w:pPr>
              <w:widowControl w:val="0"/>
              <w:rPr>
                <w:rFonts w:hint="eastAsia" w:ascii="仿宋" w:hAnsi="仿宋" w:eastAsia="仿宋" w:cs="仿宋"/>
                <w:color w:val="auto"/>
                <w:sz w:val="24"/>
                <w:szCs w:val="24"/>
              </w:rPr>
            </w:pPr>
          </w:p>
        </w:tc>
      </w:tr>
      <w:tr w14:paraId="7C6B3DBC">
        <w:tblPrEx>
          <w:tblCellMar>
            <w:top w:w="0" w:type="dxa"/>
            <w:left w:w="10" w:type="dxa"/>
            <w:bottom w:w="0" w:type="dxa"/>
            <w:right w:w="10" w:type="dxa"/>
          </w:tblCellMar>
        </w:tblPrEx>
        <w:trPr>
          <w:trHeight w:val="486" w:hRule="exact"/>
          <w:jc w:val="center"/>
        </w:trPr>
        <w:tc>
          <w:tcPr>
            <w:tcW w:w="750" w:type="dxa"/>
            <w:tcBorders>
              <w:top w:val="single" w:color="auto" w:sz="4" w:space="0"/>
              <w:left w:val="single" w:color="auto" w:sz="4" w:space="0"/>
            </w:tcBorders>
            <w:shd w:val="clear" w:color="auto" w:fill="FFFFFF"/>
            <w:vAlign w:val="center"/>
          </w:tcPr>
          <w:p w14:paraId="62EAF4E5">
            <w:pPr>
              <w:pStyle w:val="3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w:t>
            </w:r>
          </w:p>
        </w:tc>
        <w:tc>
          <w:tcPr>
            <w:tcW w:w="1431" w:type="dxa"/>
            <w:tcBorders>
              <w:top w:val="single" w:color="auto" w:sz="4" w:space="0"/>
              <w:left w:val="single" w:color="auto" w:sz="4" w:space="0"/>
            </w:tcBorders>
            <w:shd w:val="clear" w:color="auto" w:fill="FFFFFF"/>
            <w:vAlign w:val="center"/>
          </w:tcPr>
          <w:p w14:paraId="7CC09B39">
            <w:pPr>
              <w:pStyle w:val="3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w:t>
            </w:r>
          </w:p>
        </w:tc>
        <w:tc>
          <w:tcPr>
            <w:tcW w:w="6505" w:type="dxa"/>
            <w:tcBorders>
              <w:top w:val="single" w:color="auto" w:sz="4" w:space="0"/>
              <w:left w:val="single" w:color="auto" w:sz="4" w:space="0"/>
              <w:right w:val="single" w:color="auto" w:sz="4" w:space="0"/>
            </w:tcBorders>
            <w:shd w:val="clear" w:color="auto" w:fill="FFFFFF"/>
            <w:vAlign w:val="top"/>
          </w:tcPr>
          <w:p w14:paraId="4D07BB69">
            <w:pPr>
              <w:widowControl w:val="0"/>
              <w:rPr>
                <w:rFonts w:hint="eastAsia" w:ascii="仿宋" w:hAnsi="仿宋" w:eastAsia="仿宋" w:cs="仿宋"/>
                <w:color w:val="auto"/>
                <w:sz w:val="24"/>
                <w:szCs w:val="24"/>
              </w:rPr>
            </w:pPr>
          </w:p>
        </w:tc>
      </w:tr>
      <w:tr w14:paraId="6C9DA4F2">
        <w:tblPrEx>
          <w:tblCellMar>
            <w:top w:w="0" w:type="dxa"/>
            <w:left w:w="10" w:type="dxa"/>
            <w:bottom w:w="0" w:type="dxa"/>
            <w:right w:w="10" w:type="dxa"/>
          </w:tblCellMar>
        </w:tblPrEx>
        <w:trPr>
          <w:trHeight w:val="486" w:hRule="exact"/>
          <w:jc w:val="center"/>
        </w:trPr>
        <w:tc>
          <w:tcPr>
            <w:tcW w:w="750" w:type="dxa"/>
            <w:tcBorders>
              <w:top w:val="single" w:color="auto" w:sz="4" w:space="0"/>
              <w:left w:val="single" w:color="auto" w:sz="4" w:space="0"/>
            </w:tcBorders>
            <w:shd w:val="clear" w:color="auto" w:fill="FFFFFF"/>
            <w:vAlign w:val="top"/>
          </w:tcPr>
          <w:p w14:paraId="1444650E">
            <w:pPr>
              <w:widowControl w:val="0"/>
              <w:rPr>
                <w:rFonts w:hint="eastAsia" w:ascii="仿宋" w:hAnsi="仿宋" w:eastAsia="仿宋" w:cs="仿宋"/>
                <w:color w:val="auto"/>
                <w:sz w:val="24"/>
                <w:szCs w:val="24"/>
              </w:rPr>
            </w:pPr>
          </w:p>
        </w:tc>
        <w:tc>
          <w:tcPr>
            <w:tcW w:w="1431" w:type="dxa"/>
            <w:tcBorders>
              <w:top w:val="single" w:color="auto" w:sz="4" w:space="0"/>
              <w:left w:val="single" w:color="auto" w:sz="4" w:space="0"/>
            </w:tcBorders>
            <w:shd w:val="clear" w:color="auto" w:fill="FFFFFF"/>
            <w:vAlign w:val="center"/>
          </w:tcPr>
          <w:p w14:paraId="124C0B48">
            <w:pPr>
              <w:pStyle w:val="3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其他</w:t>
            </w:r>
          </w:p>
        </w:tc>
        <w:tc>
          <w:tcPr>
            <w:tcW w:w="6505" w:type="dxa"/>
            <w:tcBorders>
              <w:top w:val="single" w:color="auto" w:sz="4" w:space="0"/>
              <w:left w:val="single" w:color="auto" w:sz="4" w:space="0"/>
              <w:right w:val="single" w:color="auto" w:sz="4" w:space="0"/>
            </w:tcBorders>
            <w:shd w:val="clear" w:color="auto" w:fill="FFFFFF"/>
            <w:vAlign w:val="top"/>
          </w:tcPr>
          <w:p w14:paraId="25A25141">
            <w:pPr>
              <w:widowControl w:val="0"/>
              <w:rPr>
                <w:rFonts w:hint="eastAsia" w:ascii="仿宋" w:hAnsi="仿宋" w:eastAsia="仿宋" w:cs="仿宋"/>
                <w:color w:val="auto"/>
                <w:sz w:val="24"/>
                <w:szCs w:val="24"/>
              </w:rPr>
            </w:pPr>
          </w:p>
        </w:tc>
      </w:tr>
      <w:tr w14:paraId="7732B763">
        <w:tblPrEx>
          <w:tblCellMar>
            <w:top w:w="0" w:type="dxa"/>
            <w:left w:w="10" w:type="dxa"/>
            <w:bottom w:w="0" w:type="dxa"/>
            <w:right w:w="10" w:type="dxa"/>
          </w:tblCellMar>
        </w:tblPrEx>
        <w:trPr>
          <w:trHeight w:val="752" w:hRule="exact"/>
          <w:jc w:val="center"/>
        </w:trPr>
        <w:tc>
          <w:tcPr>
            <w:tcW w:w="2181" w:type="dxa"/>
            <w:gridSpan w:val="2"/>
            <w:tcBorders>
              <w:top w:val="single" w:color="auto" w:sz="4" w:space="0"/>
              <w:left w:val="single" w:color="auto" w:sz="4" w:space="0"/>
              <w:bottom w:val="single" w:color="auto" w:sz="4" w:space="0"/>
            </w:tcBorders>
            <w:shd w:val="clear" w:color="auto" w:fill="FFFFFF"/>
            <w:vAlign w:val="center"/>
          </w:tcPr>
          <w:p w14:paraId="33FC2927">
            <w:pPr>
              <w:pStyle w:val="3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总计：</w:t>
            </w:r>
          </w:p>
        </w:tc>
        <w:tc>
          <w:tcPr>
            <w:tcW w:w="6505" w:type="dxa"/>
            <w:tcBorders>
              <w:top w:val="single" w:color="auto" w:sz="4" w:space="0"/>
              <w:bottom w:val="single" w:color="auto" w:sz="4" w:space="0"/>
              <w:right w:val="single" w:color="auto" w:sz="4" w:space="0"/>
            </w:tcBorders>
            <w:shd w:val="clear" w:color="auto" w:fill="FFFFFF"/>
            <w:vAlign w:val="center"/>
          </w:tcPr>
          <w:p w14:paraId="46300293">
            <w:pPr>
              <w:pStyle w:val="38"/>
              <w:keepNext w:val="0"/>
              <w:keepLines w:val="0"/>
              <w:widowControl w:val="0"/>
              <w:shd w:val="clear" w:color="auto" w:fill="auto"/>
              <w:bidi w:val="0"/>
              <w:spacing w:before="0" w:after="0" w:line="240" w:lineRule="auto"/>
              <w:ind w:left="0" w:right="1520" w:firstLine="0"/>
              <w:jc w:val="righ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w:t>
            </w:r>
          </w:p>
        </w:tc>
      </w:tr>
    </w:tbl>
    <w:p w14:paraId="7360F97D">
      <w:pPr>
        <w:pStyle w:val="39"/>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14:paraId="1AAB3951">
      <w:pPr>
        <w:pStyle w:val="39"/>
        <w:keepNext w:val="0"/>
        <w:keepLines w:val="0"/>
        <w:widowControl w:val="0"/>
        <w:numPr>
          <w:ilvl w:val="0"/>
          <w:numId w:val="8"/>
        </w:numPr>
        <w:shd w:val="clear" w:color="auto" w:fill="auto"/>
        <w:tabs>
          <w:tab w:val="left" w:pos="378"/>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eastAsia="zh-CN"/>
        </w:rPr>
        <w:t>投标报价单</w:t>
      </w:r>
      <w:r>
        <w:rPr>
          <w:rFonts w:hint="eastAsia" w:ascii="仿宋" w:hAnsi="仿宋" w:eastAsia="仿宋" w:cs="仿宋"/>
          <w:color w:val="auto"/>
          <w:spacing w:val="0"/>
          <w:w w:val="100"/>
          <w:position w:val="0"/>
          <w:sz w:val="24"/>
          <w:szCs w:val="24"/>
        </w:rPr>
        <w:t>》报价一致。</w:t>
      </w:r>
    </w:p>
    <w:p w14:paraId="65DD33E7">
      <w:pPr>
        <w:pStyle w:val="39"/>
        <w:keepNext w:val="0"/>
        <w:keepLines w:val="0"/>
        <w:widowControl w:val="0"/>
        <w:numPr>
          <w:ilvl w:val="0"/>
          <w:numId w:val="8"/>
        </w:numPr>
        <w:shd w:val="clear" w:color="auto" w:fill="auto"/>
        <w:tabs>
          <w:tab w:val="left" w:pos="490"/>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如果不提供详细的分项报价表将被视为没有实质性响应文件。</w:t>
      </w:r>
    </w:p>
    <w:p w14:paraId="5C6E4BA2">
      <w:pPr>
        <w:pStyle w:val="39"/>
        <w:keepNext w:val="0"/>
        <w:keepLines w:val="0"/>
        <w:widowControl w:val="0"/>
        <w:numPr>
          <w:ilvl w:val="0"/>
          <w:numId w:val="8"/>
        </w:numPr>
        <w:shd w:val="clear" w:color="auto" w:fill="auto"/>
        <w:tabs>
          <w:tab w:val="left" w:pos="493"/>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投标人必须按此表格式中的对应栏目内容填写，若需增加栏目，请在栏目</w:t>
      </w:r>
      <w:r>
        <w:rPr>
          <w:rFonts w:hint="eastAsia" w:ascii="仿宋" w:hAnsi="仿宋" w:eastAsia="仿宋" w:cs="仿宋"/>
          <w:color w:val="auto"/>
          <w:spacing w:val="0"/>
          <w:w w:val="100"/>
          <w:position w:val="0"/>
          <w:sz w:val="24"/>
          <w:szCs w:val="24"/>
          <w:lang w:val="zh-CN" w:eastAsia="zh-CN" w:bidi="zh-CN"/>
        </w:rPr>
        <w:t>“其</w:t>
      </w:r>
      <w:r>
        <w:rPr>
          <w:rFonts w:hint="eastAsia" w:ascii="仿宋" w:hAnsi="仿宋" w:eastAsia="仿宋" w:cs="仿宋"/>
          <w:color w:val="auto"/>
          <w:spacing w:val="0"/>
          <w:w w:val="100"/>
          <w:position w:val="0"/>
          <w:sz w:val="24"/>
          <w:szCs w:val="24"/>
        </w:rPr>
        <w:t>它”中填写，并作详细说明。</w:t>
      </w:r>
    </w:p>
    <w:p w14:paraId="3AA33BDC">
      <w:pPr>
        <w:pStyle w:val="39"/>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4"/>
          <w:szCs w:val="24"/>
        </w:rPr>
      </w:pPr>
    </w:p>
    <w:p w14:paraId="2DFA940A">
      <w:pPr>
        <w:pStyle w:val="39"/>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4"/>
          <w:szCs w:val="24"/>
        </w:rPr>
      </w:pPr>
    </w:p>
    <w:p w14:paraId="3B52DB66">
      <w:pPr>
        <w:pStyle w:val="39"/>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4"/>
          <w:szCs w:val="24"/>
        </w:rPr>
      </w:pPr>
    </w:p>
    <w:p w14:paraId="5F075DD4">
      <w:pPr>
        <w:pStyle w:val="39"/>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4"/>
          <w:szCs w:val="24"/>
        </w:rPr>
      </w:pPr>
    </w:p>
    <w:p w14:paraId="397349AE">
      <w:pPr>
        <w:pStyle w:val="39"/>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4"/>
          <w:szCs w:val="24"/>
        </w:rPr>
      </w:pPr>
    </w:p>
    <w:p w14:paraId="38D9BB98">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00B43877">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（签字）</w:t>
      </w:r>
    </w:p>
    <w:p w14:paraId="424D4702">
      <w:pPr>
        <w:pStyle w:val="7"/>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048E2DD9">
      <w:pPr>
        <w:spacing w:line="360" w:lineRule="auto"/>
        <w:jc w:val="center"/>
        <w:rPr>
          <w:rFonts w:hint="eastAsia" w:ascii="仿宋" w:hAnsi="仿宋" w:eastAsia="仿宋" w:cs="仿宋"/>
          <w:b/>
          <w:color w:val="auto"/>
          <w:sz w:val="24"/>
          <w:szCs w:val="24"/>
          <w:lang w:eastAsia="zh-CN"/>
        </w:rPr>
      </w:pPr>
    </w:p>
    <w:p w14:paraId="21869CCC">
      <w:pPr>
        <w:spacing w:line="360" w:lineRule="auto"/>
        <w:jc w:val="center"/>
        <w:rPr>
          <w:rFonts w:hint="eastAsia" w:ascii="仿宋" w:hAnsi="仿宋" w:eastAsia="仿宋" w:cs="仿宋"/>
          <w:b/>
          <w:color w:val="auto"/>
          <w:sz w:val="24"/>
          <w:szCs w:val="24"/>
          <w:lang w:eastAsia="zh-CN"/>
        </w:rPr>
      </w:pPr>
    </w:p>
    <w:p w14:paraId="1C458369">
      <w:pPr>
        <w:spacing w:line="360" w:lineRule="auto"/>
        <w:jc w:val="center"/>
        <w:rPr>
          <w:rFonts w:hint="eastAsia" w:ascii="仿宋" w:hAnsi="仿宋" w:eastAsia="仿宋" w:cs="仿宋"/>
          <w:b/>
          <w:color w:val="auto"/>
          <w:sz w:val="24"/>
          <w:szCs w:val="24"/>
          <w:lang w:eastAsia="zh-CN"/>
        </w:rPr>
      </w:pPr>
    </w:p>
    <w:p w14:paraId="071748DF">
      <w:pPr>
        <w:spacing w:line="360" w:lineRule="auto"/>
        <w:jc w:val="center"/>
        <w:rPr>
          <w:rFonts w:hint="eastAsia" w:ascii="仿宋" w:hAnsi="仿宋" w:eastAsia="仿宋" w:cs="仿宋"/>
          <w:b/>
          <w:color w:val="auto"/>
          <w:sz w:val="36"/>
          <w:szCs w:val="36"/>
          <w:lang w:eastAsia="zh-CN"/>
        </w:rPr>
      </w:pPr>
    </w:p>
    <w:p w14:paraId="1AF5C677">
      <w:pPr>
        <w:spacing w:line="360" w:lineRule="auto"/>
        <w:jc w:val="center"/>
        <w:rPr>
          <w:rFonts w:hint="eastAsia" w:ascii="仿宋" w:hAnsi="仿宋" w:eastAsia="仿宋" w:cs="仿宋"/>
          <w:b/>
          <w:color w:val="auto"/>
          <w:sz w:val="36"/>
          <w:szCs w:val="36"/>
          <w:lang w:eastAsia="zh-CN"/>
        </w:rPr>
      </w:pPr>
    </w:p>
    <w:p w14:paraId="45B3C6AB">
      <w:pPr>
        <w:rPr>
          <w:rFonts w:hint="eastAsia"/>
          <w:color w:val="auto"/>
          <w:lang w:eastAsia="zh-CN"/>
        </w:rPr>
      </w:pPr>
    </w:p>
    <w:p w14:paraId="635D14FD">
      <w:pPr>
        <w:pStyle w:val="31"/>
        <w:rPr>
          <w:rFonts w:hint="eastAsia"/>
          <w:color w:val="auto"/>
          <w:lang w:eastAsia="zh-CN"/>
        </w:rPr>
      </w:pPr>
    </w:p>
    <w:p w14:paraId="136CE285">
      <w:pPr>
        <w:spacing w:line="360" w:lineRule="auto"/>
        <w:jc w:val="center"/>
        <w:rPr>
          <w:rFonts w:ascii="仿宋" w:hAnsi="仿宋" w:eastAsia="仿宋" w:cs="仿宋"/>
          <w:b/>
          <w:bCs/>
          <w:color w:val="auto"/>
          <w:sz w:val="32"/>
          <w:szCs w:val="32"/>
          <w:lang w:eastAsia="zh-CN"/>
        </w:rPr>
      </w:pPr>
      <w:r>
        <w:rPr>
          <w:rFonts w:hint="eastAsia" w:ascii="仿宋" w:hAnsi="仿宋" w:eastAsia="仿宋" w:cs="仿宋"/>
          <w:b/>
          <w:color w:val="auto"/>
          <w:sz w:val="36"/>
          <w:szCs w:val="36"/>
          <w:lang w:eastAsia="zh-CN"/>
        </w:rPr>
        <w:t>4、</w:t>
      </w:r>
      <w:r>
        <w:rPr>
          <w:rFonts w:hint="eastAsia" w:ascii="仿宋" w:hAnsi="仿宋" w:eastAsia="仿宋" w:cs="仿宋"/>
          <w:b/>
          <w:bCs/>
          <w:color w:val="auto"/>
          <w:sz w:val="32"/>
          <w:szCs w:val="32"/>
          <w:lang w:eastAsia="zh-CN"/>
        </w:rPr>
        <w:t>技术条款偏离表</w:t>
      </w:r>
    </w:p>
    <w:tbl>
      <w:tblPr>
        <w:tblStyle w:val="23"/>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4285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5DAC0C65">
            <w:pPr>
              <w:jc w:val="center"/>
              <w:rPr>
                <w:rFonts w:ascii="仿宋" w:hAnsi="仿宋" w:eastAsia="仿宋" w:cs="仿宋"/>
                <w:bCs/>
                <w:color w:val="auto"/>
              </w:rPr>
            </w:pPr>
            <w:r>
              <w:rPr>
                <w:rFonts w:hint="eastAsia" w:ascii="仿宋" w:hAnsi="仿宋" w:eastAsia="仿宋" w:cs="仿宋"/>
                <w:bCs/>
                <w:color w:val="auto"/>
              </w:rPr>
              <w:t>序号</w:t>
            </w:r>
          </w:p>
        </w:tc>
        <w:tc>
          <w:tcPr>
            <w:tcW w:w="1357" w:type="dxa"/>
            <w:vAlign w:val="center"/>
          </w:tcPr>
          <w:p w14:paraId="2B205BA7">
            <w:pPr>
              <w:jc w:val="center"/>
              <w:rPr>
                <w:rFonts w:ascii="仿宋" w:hAnsi="仿宋" w:eastAsia="仿宋" w:cs="仿宋"/>
                <w:bCs/>
                <w:color w:val="auto"/>
              </w:rPr>
            </w:pPr>
            <w:r>
              <w:rPr>
                <w:rFonts w:hint="eastAsia" w:ascii="仿宋" w:hAnsi="仿宋" w:eastAsia="仿宋" w:cs="仿宋"/>
                <w:bCs/>
                <w:color w:val="auto"/>
                <w:lang w:eastAsia="zh-CN"/>
              </w:rPr>
              <w:t>服务</w:t>
            </w:r>
            <w:r>
              <w:rPr>
                <w:rFonts w:hint="eastAsia" w:ascii="仿宋" w:hAnsi="仿宋" w:eastAsia="仿宋" w:cs="仿宋"/>
                <w:bCs/>
                <w:color w:val="auto"/>
              </w:rPr>
              <w:t>名称</w:t>
            </w:r>
          </w:p>
        </w:tc>
        <w:tc>
          <w:tcPr>
            <w:tcW w:w="1326" w:type="dxa"/>
            <w:vAlign w:val="center"/>
          </w:tcPr>
          <w:p w14:paraId="4BAED376">
            <w:pPr>
              <w:jc w:val="center"/>
              <w:rPr>
                <w:rFonts w:ascii="仿宋" w:hAnsi="仿宋" w:eastAsia="仿宋" w:cs="仿宋"/>
                <w:bCs/>
                <w:color w:val="auto"/>
              </w:rPr>
            </w:pPr>
            <w:r>
              <w:rPr>
                <w:rFonts w:hint="eastAsia" w:ascii="仿宋" w:hAnsi="仿宋" w:eastAsia="仿宋" w:cs="仿宋"/>
                <w:bCs/>
                <w:color w:val="auto"/>
                <w:lang w:eastAsia="zh-CN"/>
              </w:rPr>
              <w:t>磋商文件</w:t>
            </w:r>
            <w:r>
              <w:rPr>
                <w:rFonts w:hint="eastAsia" w:ascii="仿宋" w:hAnsi="仿宋" w:eastAsia="仿宋" w:cs="仿宋"/>
                <w:bCs/>
                <w:color w:val="auto"/>
              </w:rPr>
              <w:t>条目号</w:t>
            </w:r>
          </w:p>
        </w:tc>
        <w:tc>
          <w:tcPr>
            <w:tcW w:w="1326" w:type="dxa"/>
            <w:vAlign w:val="center"/>
          </w:tcPr>
          <w:p w14:paraId="5E443363">
            <w:pPr>
              <w:jc w:val="center"/>
              <w:rPr>
                <w:rFonts w:ascii="仿宋" w:hAnsi="仿宋" w:eastAsia="仿宋" w:cs="仿宋"/>
                <w:bCs/>
                <w:color w:val="auto"/>
              </w:rPr>
            </w:pPr>
            <w:r>
              <w:rPr>
                <w:rFonts w:hint="eastAsia" w:ascii="仿宋" w:hAnsi="仿宋" w:eastAsia="仿宋" w:cs="仿宋"/>
                <w:bCs/>
                <w:color w:val="auto"/>
                <w:lang w:eastAsia="zh-CN"/>
              </w:rPr>
              <w:t>磋商文件</w:t>
            </w:r>
            <w:r>
              <w:rPr>
                <w:rFonts w:hint="eastAsia" w:ascii="仿宋" w:hAnsi="仿宋" w:eastAsia="仿宋" w:cs="仿宋"/>
                <w:bCs/>
                <w:color w:val="auto"/>
              </w:rPr>
              <w:t>要求规格</w:t>
            </w:r>
          </w:p>
        </w:tc>
        <w:tc>
          <w:tcPr>
            <w:tcW w:w="1326" w:type="dxa"/>
            <w:vAlign w:val="center"/>
          </w:tcPr>
          <w:p w14:paraId="39F13984">
            <w:pPr>
              <w:jc w:val="center"/>
              <w:rPr>
                <w:rFonts w:ascii="仿宋" w:hAnsi="仿宋" w:eastAsia="仿宋" w:cs="仿宋"/>
                <w:bCs/>
                <w:color w:val="auto"/>
              </w:rPr>
            </w:pPr>
            <w:r>
              <w:rPr>
                <w:rFonts w:hint="eastAsia" w:ascii="仿宋" w:hAnsi="仿宋" w:eastAsia="仿宋" w:cs="仿宋"/>
                <w:bCs/>
                <w:color w:val="auto"/>
              </w:rPr>
              <w:t>投标规格</w:t>
            </w:r>
          </w:p>
        </w:tc>
        <w:tc>
          <w:tcPr>
            <w:tcW w:w="1327" w:type="dxa"/>
            <w:vAlign w:val="center"/>
          </w:tcPr>
          <w:p w14:paraId="4EA955ED">
            <w:pPr>
              <w:jc w:val="center"/>
              <w:rPr>
                <w:rFonts w:ascii="仿宋" w:hAnsi="仿宋" w:eastAsia="仿宋" w:cs="仿宋"/>
                <w:bCs/>
                <w:color w:val="auto"/>
              </w:rPr>
            </w:pPr>
            <w:r>
              <w:rPr>
                <w:rFonts w:hint="eastAsia" w:ascii="仿宋" w:hAnsi="仿宋" w:eastAsia="仿宋" w:cs="仿宋"/>
                <w:bCs/>
                <w:color w:val="auto"/>
              </w:rPr>
              <w:t>偏离</w:t>
            </w:r>
          </w:p>
        </w:tc>
        <w:tc>
          <w:tcPr>
            <w:tcW w:w="1327" w:type="dxa"/>
            <w:vAlign w:val="center"/>
          </w:tcPr>
          <w:p w14:paraId="22D98C27">
            <w:pPr>
              <w:jc w:val="center"/>
              <w:rPr>
                <w:rFonts w:ascii="仿宋" w:hAnsi="仿宋" w:eastAsia="仿宋" w:cs="仿宋"/>
                <w:bCs/>
                <w:color w:val="auto"/>
              </w:rPr>
            </w:pPr>
            <w:r>
              <w:rPr>
                <w:rFonts w:hint="eastAsia" w:ascii="仿宋" w:hAnsi="仿宋" w:eastAsia="仿宋" w:cs="仿宋"/>
                <w:bCs/>
                <w:color w:val="auto"/>
              </w:rPr>
              <w:t>说明</w:t>
            </w:r>
          </w:p>
        </w:tc>
      </w:tr>
      <w:tr w14:paraId="083A2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2EA3103">
            <w:pPr>
              <w:jc w:val="center"/>
              <w:rPr>
                <w:rFonts w:ascii="仿宋" w:hAnsi="仿宋" w:eastAsia="仿宋" w:cs="仿宋"/>
                <w:b/>
                <w:bCs/>
                <w:color w:val="auto"/>
              </w:rPr>
            </w:pPr>
          </w:p>
        </w:tc>
        <w:tc>
          <w:tcPr>
            <w:tcW w:w="1357" w:type="dxa"/>
          </w:tcPr>
          <w:p w14:paraId="3D12C0C4">
            <w:pPr>
              <w:jc w:val="center"/>
              <w:rPr>
                <w:rFonts w:ascii="仿宋" w:hAnsi="仿宋" w:eastAsia="仿宋" w:cs="仿宋"/>
                <w:b/>
                <w:bCs/>
                <w:color w:val="auto"/>
              </w:rPr>
            </w:pPr>
          </w:p>
        </w:tc>
        <w:tc>
          <w:tcPr>
            <w:tcW w:w="1326" w:type="dxa"/>
          </w:tcPr>
          <w:p w14:paraId="7DE51052">
            <w:pPr>
              <w:jc w:val="center"/>
              <w:rPr>
                <w:rFonts w:ascii="仿宋" w:hAnsi="仿宋" w:eastAsia="仿宋" w:cs="仿宋"/>
                <w:b/>
                <w:bCs/>
                <w:color w:val="auto"/>
              </w:rPr>
            </w:pPr>
          </w:p>
        </w:tc>
        <w:tc>
          <w:tcPr>
            <w:tcW w:w="1326" w:type="dxa"/>
          </w:tcPr>
          <w:p w14:paraId="1E3ED6C4">
            <w:pPr>
              <w:jc w:val="center"/>
              <w:rPr>
                <w:rFonts w:ascii="仿宋" w:hAnsi="仿宋" w:eastAsia="仿宋" w:cs="仿宋"/>
                <w:b/>
                <w:bCs/>
                <w:color w:val="auto"/>
              </w:rPr>
            </w:pPr>
          </w:p>
        </w:tc>
        <w:tc>
          <w:tcPr>
            <w:tcW w:w="1326" w:type="dxa"/>
          </w:tcPr>
          <w:p w14:paraId="0B8ADB2A">
            <w:pPr>
              <w:jc w:val="center"/>
              <w:rPr>
                <w:rFonts w:ascii="仿宋" w:hAnsi="仿宋" w:eastAsia="仿宋" w:cs="仿宋"/>
                <w:b/>
                <w:bCs/>
                <w:color w:val="auto"/>
              </w:rPr>
            </w:pPr>
          </w:p>
        </w:tc>
        <w:tc>
          <w:tcPr>
            <w:tcW w:w="1327" w:type="dxa"/>
          </w:tcPr>
          <w:p w14:paraId="20D5E567">
            <w:pPr>
              <w:jc w:val="center"/>
              <w:rPr>
                <w:rFonts w:ascii="仿宋" w:hAnsi="仿宋" w:eastAsia="仿宋" w:cs="仿宋"/>
                <w:b/>
                <w:bCs/>
                <w:color w:val="auto"/>
                <w:lang w:eastAsia="zh-CN"/>
              </w:rPr>
            </w:pPr>
            <w:r>
              <w:rPr>
                <w:rFonts w:hint="eastAsia" w:ascii="仿宋" w:hAnsi="仿宋" w:eastAsia="仿宋" w:cs="仿宋"/>
                <w:bCs/>
                <w:color w:val="auto"/>
                <w:lang w:eastAsia="zh-CN"/>
              </w:rPr>
              <w:t>如有正偏离需提供证明材料，证明材料附后(并注明页码)</w:t>
            </w:r>
          </w:p>
        </w:tc>
        <w:tc>
          <w:tcPr>
            <w:tcW w:w="1327" w:type="dxa"/>
          </w:tcPr>
          <w:p w14:paraId="346940E8">
            <w:pPr>
              <w:jc w:val="center"/>
              <w:rPr>
                <w:rFonts w:ascii="仿宋" w:hAnsi="仿宋" w:eastAsia="仿宋" w:cs="仿宋"/>
                <w:b/>
                <w:bCs/>
                <w:color w:val="auto"/>
                <w:lang w:eastAsia="zh-CN"/>
              </w:rPr>
            </w:pPr>
          </w:p>
        </w:tc>
      </w:tr>
      <w:tr w14:paraId="5975B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F9FF5CF">
            <w:pPr>
              <w:jc w:val="center"/>
              <w:rPr>
                <w:rFonts w:ascii="仿宋" w:hAnsi="仿宋" w:eastAsia="仿宋" w:cs="仿宋"/>
                <w:b/>
                <w:bCs/>
                <w:color w:val="auto"/>
                <w:lang w:eastAsia="zh-CN"/>
              </w:rPr>
            </w:pPr>
          </w:p>
        </w:tc>
        <w:tc>
          <w:tcPr>
            <w:tcW w:w="1357" w:type="dxa"/>
          </w:tcPr>
          <w:p w14:paraId="73AFEDEF">
            <w:pPr>
              <w:jc w:val="center"/>
              <w:rPr>
                <w:rFonts w:ascii="仿宋" w:hAnsi="仿宋" w:eastAsia="仿宋" w:cs="仿宋"/>
                <w:b/>
                <w:bCs/>
                <w:color w:val="auto"/>
                <w:lang w:eastAsia="zh-CN"/>
              </w:rPr>
            </w:pPr>
          </w:p>
        </w:tc>
        <w:tc>
          <w:tcPr>
            <w:tcW w:w="1326" w:type="dxa"/>
          </w:tcPr>
          <w:p w14:paraId="6F70A9DE">
            <w:pPr>
              <w:jc w:val="center"/>
              <w:rPr>
                <w:rFonts w:ascii="仿宋" w:hAnsi="仿宋" w:eastAsia="仿宋" w:cs="仿宋"/>
                <w:b/>
                <w:bCs/>
                <w:color w:val="auto"/>
                <w:lang w:eastAsia="zh-CN"/>
              </w:rPr>
            </w:pPr>
          </w:p>
        </w:tc>
        <w:tc>
          <w:tcPr>
            <w:tcW w:w="1326" w:type="dxa"/>
          </w:tcPr>
          <w:p w14:paraId="5D3A801C">
            <w:pPr>
              <w:jc w:val="center"/>
              <w:rPr>
                <w:rFonts w:ascii="仿宋" w:hAnsi="仿宋" w:eastAsia="仿宋" w:cs="仿宋"/>
                <w:b/>
                <w:bCs/>
                <w:color w:val="auto"/>
                <w:lang w:eastAsia="zh-CN"/>
              </w:rPr>
            </w:pPr>
          </w:p>
        </w:tc>
        <w:tc>
          <w:tcPr>
            <w:tcW w:w="1326" w:type="dxa"/>
          </w:tcPr>
          <w:p w14:paraId="66A37C30">
            <w:pPr>
              <w:jc w:val="center"/>
              <w:rPr>
                <w:rFonts w:ascii="仿宋" w:hAnsi="仿宋" w:eastAsia="仿宋" w:cs="仿宋"/>
                <w:b/>
                <w:bCs/>
                <w:color w:val="auto"/>
                <w:lang w:eastAsia="zh-CN"/>
              </w:rPr>
            </w:pPr>
          </w:p>
        </w:tc>
        <w:tc>
          <w:tcPr>
            <w:tcW w:w="1327" w:type="dxa"/>
          </w:tcPr>
          <w:p w14:paraId="0C8CEE29">
            <w:pPr>
              <w:jc w:val="center"/>
              <w:rPr>
                <w:rFonts w:ascii="仿宋" w:hAnsi="仿宋" w:eastAsia="仿宋" w:cs="仿宋"/>
                <w:b/>
                <w:bCs/>
                <w:color w:val="auto"/>
                <w:lang w:eastAsia="zh-CN"/>
              </w:rPr>
            </w:pPr>
          </w:p>
        </w:tc>
        <w:tc>
          <w:tcPr>
            <w:tcW w:w="1327" w:type="dxa"/>
          </w:tcPr>
          <w:p w14:paraId="3CA6FF80">
            <w:pPr>
              <w:jc w:val="center"/>
              <w:rPr>
                <w:rFonts w:ascii="仿宋" w:hAnsi="仿宋" w:eastAsia="仿宋" w:cs="仿宋"/>
                <w:b/>
                <w:bCs/>
                <w:color w:val="auto"/>
                <w:lang w:eastAsia="zh-CN"/>
              </w:rPr>
            </w:pPr>
          </w:p>
        </w:tc>
      </w:tr>
      <w:tr w14:paraId="70E2C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3A141BE0">
            <w:pPr>
              <w:jc w:val="center"/>
              <w:rPr>
                <w:rFonts w:ascii="仿宋" w:hAnsi="仿宋" w:eastAsia="仿宋" w:cs="仿宋"/>
                <w:b/>
                <w:bCs/>
                <w:color w:val="auto"/>
                <w:lang w:eastAsia="zh-CN"/>
              </w:rPr>
            </w:pPr>
          </w:p>
        </w:tc>
        <w:tc>
          <w:tcPr>
            <w:tcW w:w="1357" w:type="dxa"/>
          </w:tcPr>
          <w:p w14:paraId="3E27C965">
            <w:pPr>
              <w:jc w:val="center"/>
              <w:rPr>
                <w:rFonts w:ascii="仿宋" w:hAnsi="仿宋" w:eastAsia="仿宋" w:cs="仿宋"/>
                <w:b/>
                <w:bCs/>
                <w:color w:val="auto"/>
                <w:lang w:eastAsia="zh-CN"/>
              </w:rPr>
            </w:pPr>
          </w:p>
        </w:tc>
        <w:tc>
          <w:tcPr>
            <w:tcW w:w="1326" w:type="dxa"/>
          </w:tcPr>
          <w:p w14:paraId="6083CA0E">
            <w:pPr>
              <w:jc w:val="center"/>
              <w:rPr>
                <w:rFonts w:ascii="仿宋" w:hAnsi="仿宋" w:eastAsia="仿宋" w:cs="仿宋"/>
                <w:b/>
                <w:bCs/>
                <w:color w:val="auto"/>
                <w:lang w:eastAsia="zh-CN"/>
              </w:rPr>
            </w:pPr>
          </w:p>
        </w:tc>
        <w:tc>
          <w:tcPr>
            <w:tcW w:w="1326" w:type="dxa"/>
          </w:tcPr>
          <w:p w14:paraId="4F1FF8CC">
            <w:pPr>
              <w:jc w:val="center"/>
              <w:rPr>
                <w:rFonts w:ascii="仿宋" w:hAnsi="仿宋" w:eastAsia="仿宋" w:cs="仿宋"/>
                <w:b/>
                <w:bCs/>
                <w:color w:val="auto"/>
                <w:lang w:eastAsia="zh-CN"/>
              </w:rPr>
            </w:pPr>
          </w:p>
        </w:tc>
        <w:tc>
          <w:tcPr>
            <w:tcW w:w="1326" w:type="dxa"/>
          </w:tcPr>
          <w:p w14:paraId="454D8B41">
            <w:pPr>
              <w:jc w:val="center"/>
              <w:rPr>
                <w:rFonts w:ascii="仿宋" w:hAnsi="仿宋" w:eastAsia="仿宋" w:cs="仿宋"/>
                <w:b/>
                <w:bCs/>
                <w:color w:val="auto"/>
                <w:lang w:eastAsia="zh-CN"/>
              </w:rPr>
            </w:pPr>
          </w:p>
        </w:tc>
        <w:tc>
          <w:tcPr>
            <w:tcW w:w="1327" w:type="dxa"/>
          </w:tcPr>
          <w:p w14:paraId="5237E1C3">
            <w:pPr>
              <w:jc w:val="center"/>
              <w:rPr>
                <w:rFonts w:ascii="仿宋" w:hAnsi="仿宋" w:eastAsia="仿宋" w:cs="仿宋"/>
                <w:b/>
                <w:bCs/>
                <w:color w:val="auto"/>
                <w:lang w:eastAsia="zh-CN"/>
              </w:rPr>
            </w:pPr>
          </w:p>
        </w:tc>
        <w:tc>
          <w:tcPr>
            <w:tcW w:w="1327" w:type="dxa"/>
          </w:tcPr>
          <w:p w14:paraId="4761917A">
            <w:pPr>
              <w:jc w:val="center"/>
              <w:rPr>
                <w:rFonts w:ascii="仿宋" w:hAnsi="仿宋" w:eastAsia="仿宋" w:cs="仿宋"/>
                <w:b/>
                <w:bCs/>
                <w:color w:val="auto"/>
                <w:lang w:eastAsia="zh-CN"/>
              </w:rPr>
            </w:pPr>
          </w:p>
        </w:tc>
      </w:tr>
      <w:tr w14:paraId="1311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5115628">
            <w:pPr>
              <w:jc w:val="center"/>
              <w:rPr>
                <w:rFonts w:ascii="仿宋" w:hAnsi="仿宋" w:eastAsia="仿宋" w:cs="仿宋"/>
                <w:b/>
                <w:bCs/>
                <w:color w:val="auto"/>
                <w:lang w:eastAsia="zh-CN"/>
              </w:rPr>
            </w:pPr>
          </w:p>
        </w:tc>
        <w:tc>
          <w:tcPr>
            <w:tcW w:w="1357" w:type="dxa"/>
          </w:tcPr>
          <w:p w14:paraId="7A0A8F31">
            <w:pPr>
              <w:jc w:val="center"/>
              <w:rPr>
                <w:rFonts w:ascii="仿宋" w:hAnsi="仿宋" w:eastAsia="仿宋" w:cs="仿宋"/>
                <w:b/>
                <w:bCs/>
                <w:color w:val="auto"/>
                <w:lang w:eastAsia="zh-CN"/>
              </w:rPr>
            </w:pPr>
          </w:p>
        </w:tc>
        <w:tc>
          <w:tcPr>
            <w:tcW w:w="1326" w:type="dxa"/>
          </w:tcPr>
          <w:p w14:paraId="5A567B0D">
            <w:pPr>
              <w:jc w:val="center"/>
              <w:rPr>
                <w:rFonts w:ascii="仿宋" w:hAnsi="仿宋" w:eastAsia="仿宋" w:cs="仿宋"/>
                <w:b/>
                <w:bCs/>
                <w:color w:val="auto"/>
                <w:lang w:eastAsia="zh-CN"/>
              </w:rPr>
            </w:pPr>
          </w:p>
        </w:tc>
        <w:tc>
          <w:tcPr>
            <w:tcW w:w="1326" w:type="dxa"/>
          </w:tcPr>
          <w:p w14:paraId="41D7E27B">
            <w:pPr>
              <w:jc w:val="center"/>
              <w:rPr>
                <w:rFonts w:ascii="仿宋" w:hAnsi="仿宋" w:eastAsia="仿宋" w:cs="仿宋"/>
                <w:b/>
                <w:bCs/>
                <w:color w:val="auto"/>
                <w:lang w:eastAsia="zh-CN"/>
              </w:rPr>
            </w:pPr>
          </w:p>
        </w:tc>
        <w:tc>
          <w:tcPr>
            <w:tcW w:w="1326" w:type="dxa"/>
          </w:tcPr>
          <w:p w14:paraId="703D0946">
            <w:pPr>
              <w:jc w:val="center"/>
              <w:rPr>
                <w:rFonts w:ascii="仿宋" w:hAnsi="仿宋" w:eastAsia="仿宋" w:cs="仿宋"/>
                <w:b/>
                <w:bCs/>
                <w:color w:val="auto"/>
                <w:lang w:eastAsia="zh-CN"/>
              </w:rPr>
            </w:pPr>
          </w:p>
        </w:tc>
        <w:tc>
          <w:tcPr>
            <w:tcW w:w="1327" w:type="dxa"/>
          </w:tcPr>
          <w:p w14:paraId="565E339A">
            <w:pPr>
              <w:jc w:val="center"/>
              <w:rPr>
                <w:rFonts w:ascii="仿宋" w:hAnsi="仿宋" w:eastAsia="仿宋" w:cs="仿宋"/>
                <w:b/>
                <w:bCs/>
                <w:color w:val="auto"/>
                <w:lang w:eastAsia="zh-CN"/>
              </w:rPr>
            </w:pPr>
          </w:p>
        </w:tc>
        <w:tc>
          <w:tcPr>
            <w:tcW w:w="1327" w:type="dxa"/>
          </w:tcPr>
          <w:p w14:paraId="096A05A2">
            <w:pPr>
              <w:jc w:val="center"/>
              <w:rPr>
                <w:rFonts w:ascii="仿宋" w:hAnsi="仿宋" w:eastAsia="仿宋" w:cs="仿宋"/>
                <w:b/>
                <w:bCs/>
                <w:color w:val="auto"/>
                <w:lang w:eastAsia="zh-CN"/>
              </w:rPr>
            </w:pPr>
          </w:p>
        </w:tc>
      </w:tr>
      <w:tr w14:paraId="0D874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B09B923">
            <w:pPr>
              <w:jc w:val="center"/>
              <w:rPr>
                <w:rFonts w:ascii="仿宋" w:hAnsi="仿宋" w:eastAsia="仿宋" w:cs="仿宋"/>
                <w:b/>
                <w:bCs/>
                <w:color w:val="auto"/>
                <w:lang w:eastAsia="zh-CN"/>
              </w:rPr>
            </w:pPr>
          </w:p>
        </w:tc>
        <w:tc>
          <w:tcPr>
            <w:tcW w:w="1357" w:type="dxa"/>
          </w:tcPr>
          <w:p w14:paraId="517ADD7D">
            <w:pPr>
              <w:jc w:val="center"/>
              <w:rPr>
                <w:rFonts w:ascii="仿宋" w:hAnsi="仿宋" w:eastAsia="仿宋" w:cs="仿宋"/>
                <w:b/>
                <w:bCs/>
                <w:color w:val="auto"/>
                <w:lang w:eastAsia="zh-CN"/>
              </w:rPr>
            </w:pPr>
          </w:p>
        </w:tc>
        <w:tc>
          <w:tcPr>
            <w:tcW w:w="1326" w:type="dxa"/>
          </w:tcPr>
          <w:p w14:paraId="49A2C821">
            <w:pPr>
              <w:jc w:val="center"/>
              <w:rPr>
                <w:rFonts w:ascii="仿宋" w:hAnsi="仿宋" w:eastAsia="仿宋" w:cs="仿宋"/>
                <w:b/>
                <w:bCs/>
                <w:color w:val="auto"/>
                <w:lang w:eastAsia="zh-CN"/>
              </w:rPr>
            </w:pPr>
          </w:p>
        </w:tc>
        <w:tc>
          <w:tcPr>
            <w:tcW w:w="1326" w:type="dxa"/>
          </w:tcPr>
          <w:p w14:paraId="4CD568BB">
            <w:pPr>
              <w:jc w:val="center"/>
              <w:rPr>
                <w:rFonts w:ascii="仿宋" w:hAnsi="仿宋" w:eastAsia="仿宋" w:cs="仿宋"/>
                <w:b/>
                <w:bCs/>
                <w:color w:val="auto"/>
                <w:lang w:eastAsia="zh-CN"/>
              </w:rPr>
            </w:pPr>
          </w:p>
        </w:tc>
        <w:tc>
          <w:tcPr>
            <w:tcW w:w="1326" w:type="dxa"/>
          </w:tcPr>
          <w:p w14:paraId="2B8757D4">
            <w:pPr>
              <w:jc w:val="center"/>
              <w:rPr>
                <w:rFonts w:ascii="仿宋" w:hAnsi="仿宋" w:eastAsia="仿宋" w:cs="仿宋"/>
                <w:b/>
                <w:bCs/>
                <w:color w:val="auto"/>
                <w:lang w:eastAsia="zh-CN"/>
              </w:rPr>
            </w:pPr>
          </w:p>
        </w:tc>
        <w:tc>
          <w:tcPr>
            <w:tcW w:w="1327" w:type="dxa"/>
          </w:tcPr>
          <w:p w14:paraId="2C4B6D92">
            <w:pPr>
              <w:jc w:val="center"/>
              <w:rPr>
                <w:rFonts w:ascii="仿宋" w:hAnsi="仿宋" w:eastAsia="仿宋" w:cs="仿宋"/>
                <w:b/>
                <w:bCs/>
                <w:color w:val="auto"/>
                <w:lang w:eastAsia="zh-CN"/>
              </w:rPr>
            </w:pPr>
          </w:p>
        </w:tc>
        <w:tc>
          <w:tcPr>
            <w:tcW w:w="1327" w:type="dxa"/>
          </w:tcPr>
          <w:p w14:paraId="47D0062F">
            <w:pPr>
              <w:jc w:val="center"/>
              <w:rPr>
                <w:rFonts w:ascii="仿宋" w:hAnsi="仿宋" w:eastAsia="仿宋" w:cs="仿宋"/>
                <w:b/>
                <w:bCs/>
                <w:color w:val="auto"/>
                <w:lang w:eastAsia="zh-CN"/>
              </w:rPr>
            </w:pPr>
          </w:p>
        </w:tc>
      </w:tr>
    </w:tbl>
    <w:p w14:paraId="1F2E2A88">
      <w:pPr>
        <w:spacing w:line="360" w:lineRule="auto"/>
        <w:ind w:firstLine="475" w:firstLineChars="198"/>
        <w:rPr>
          <w:rFonts w:ascii="仿宋" w:hAnsi="仿宋" w:eastAsia="仿宋" w:cs="仿宋"/>
          <w:color w:val="auto"/>
          <w:lang w:eastAsia="zh-CN"/>
        </w:rPr>
      </w:pPr>
      <w:r>
        <w:rPr>
          <w:rFonts w:hint="eastAsia" w:ascii="仿宋" w:hAnsi="仿宋" w:eastAsia="仿宋" w:cs="仿宋"/>
          <w:color w:val="auto"/>
          <w:lang w:eastAsia="zh-CN"/>
        </w:rPr>
        <w:t>备注：供应商应根据其提供的服务</w:t>
      </w:r>
      <w:r>
        <w:rPr>
          <w:rFonts w:hint="eastAsia" w:ascii="仿宋" w:hAnsi="仿宋" w:eastAsia="仿宋" w:cs="仿宋"/>
          <w:color w:val="auto"/>
          <w:lang w:val="en-US" w:eastAsia="zh-CN"/>
        </w:rPr>
        <w:t>/货物</w:t>
      </w:r>
      <w:r>
        <w:rPr>
          <w:rFonts w:hint="eastAsia" w:ascii="仿宋" w:hAnsi="仿宋" w:eastAsia="仿宋" w:cs="仿宋"/>
          <w:color w:val="auto"/>
          <w:lang w:eastAsia="zh-CN"/>
        </w:rPr>
        <w:t>，对照磋商文件第四章“采购服务需求，有差异的，则在此表中列明实际响应的内容提要并加以说明，以便查对。本表包括所有的技术响应及差异。无差异说明表示完全响应。</w:t>
      </w:r>
    </w:p>
    <w:p w14:paraId="0ABABA16">
      <w:pPr>
        <w:pStyle w:val="10"/>
        <w:tabs>
          <w:tab w:val="left" w:pos="5580"/>
        </w:tabs>
        <w:spacing w:line="360" w:lineRule="auto"/>
        <w:ind w:firstLine="3120" w:firstLineChars="1300"/>
        <w:rPr>
          <w:rFonts w:ascii="仿宋" w:hAnsi="仿宋" w:eastAsia="仿宋" w:cs="仿宋"/>
          <w:color w:val="auto"/>
          <w:lang w:eastAsia="zh-CN"/>
        </w:rPr>
      </w:pPr>
    </w:p>
    <w:p w14:paraId="501F3476">
      <w:pPr>
        <w:pStyle w:val="10"/>
        <w:tabs>
          <w:tab w:val="left" w:pos="5580"/>
        </w:tabs>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供应商（盖章）：</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102D8940">
      <w:pPr>
        <w:pStyle w:val="10"/>
        <w:tabs>
          <w:tab w:val="left" w:pos="5580"/>
        </w:tabs>
        <w:spacing w:line="360" w:lineRule="auto"/>
        <w:ind w:firstLine="3120" w:firstLineChars="1300"/>
        <w:rPr>
          <w:rFonts w:ascii="仿宋" w:hAnsi="仿宋" w:eastAsia="仿宋" w:cs="仿宋"/>
          <w:color w:val="auto"/>
          <w:szCs w:val="24"/>
          <w:u w:val="single"/>
          <w:lang w:eastAsia="zh-CN"/>
        </w:rPr>
      </w:pPr>
      <w:r>
        <w:rPr>
          <w:rFonts w:hint="eastAsia" w:ascii="仿宋" w:hAnsi="仿宋" w:eastAsia="仿宋" w:cs="仿宋"/>
          <w:color w:val="auto"/>
          <w:lang w:eastAsia="zh-CN"/>
        </w:rPr>
        <w:t>法定代表人或</w:t>
      </w:r>
      <w:r>
        <w:rPr>
          <w:rFonts w:hint="eastAsia" w:ascii="仿宋" w:hAnsi="仿宋" w:eastAsia="仿宋" w:cs="仿宋"/>
          <w:color w:val="auto"/>
          <w:szCs w:val="24"/>
          <w:lang w:eastAsia="zh-CN"/>
        </w:rPr>
        <w:t>委托代理人</w:t>
      </w:r>
      <w:r>
        <w:rPr>
          <w:rFonts w:hint="eastAsia" w:ascii="仿宋" w:hAnsi="仿宋" w:eastAsia="仿宋" w:cs="仿宋"/>
          <w:color w:val="auto"/>
          <w:lang w:eastAsia="zh-CN"/>
        </w:rPr>
        <w:t>（签章）</w:t>
      </w:r>
      <w:r>
        <w:rPr>
          <w:rFonts w:hint="eastAsia" w:ascii="仿宋" w:hAnsi="仿宋" w:eastAsia="仿宋" w:cs="仿宋"/>
          <w:color w:val="auto"/>
          <w:szCs w:val="24"/>
          <w:lang w:eastAsia="zh-CN"/>
        </w:rPr>
        <w:t>：</w:t>
      </w:r>
      <w:r>
        <w:rPr>
          <w:rFonts w:hint="eastAsia" w:ascii="仿宋" w:hAnsi="仿宋" w:eastAsia="仿宋" w:cs="仿宋"/>
          <w:color w:val="auto"/>
          <w:szCs w:val="24"/>
          <w:u w:val="single"/>
          <w:lang w:eastAsia="zh-CN"/>
        </w:rPr>
        <w:t xml:space="preserve">             </w:t>
      </w:r>
    </w:p>
    <w:p w14:paraId="6F0AFD6D">
      <w:pPr>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日期：       年   月   日</w:t>
      </w:r>
    </w:p>
    <w:p w14:paraId="478C806F">
      <w:pPr>
        <w:pStyle w:val="4"/>
        <w:rPr>
          <w:rFonts w:ascii="仿宋" w:hAnsi="仿宋" w:eastAsia="仿宋" w:cs="仿宋"/>
          <w:color w:val="auto"/>
          <w:sz w:val="36"/>
          <w:szCs w:val="36"/>
          <w:lang w:eastAsia="zh-CN"/>
        </w:rPr>
      </w:pPr>
    </w:p>
    <w:p w14:paraId="7ECEED1F">
      <w:pPr>
        <w:rPr>
          <w:rFonts w:ascii="仿宋" w:hAnsi="仿宋" w:eastAsia="仿宋" w:cs="仿宋"/>
          <w:color w:val="auto"/>
          <w:lang w:eastAsia="zh-CN"/>
        </w:rPr>
      </w:pPr>
    </w:p>
    <w:p w14:paraId="301FF651">
      <w:pPr>
        <w:pStyle w:val="36"/>
        <w:spacing w:after="0"/>
        <w:ind w:firstLine="420"/>
        <w:jc w:val="center"/>
        <w:rPr>
          <w:rFonts w:ascii="仿宋" w:hAnsi="仿宋" w:eastAsia="仿宋" w:cs="仿宋"/>
          <w:color w:val="auto"/>
          <w:sz w:val="36"/>
          <w:szCs w:val="36"/>
          <w:lang w:eastAsia="zh-CN"/>
        </w:rPr>
      </w:pPr>
    </w:p>
    <w:p w14:paraId="6E3BC7C6">
      <w:pPr>
        <w:pStyle w:val="36"/>
        <w:spacing w:after="0"/>
        <w:ind w:firstLine="420"/>
        <w:jc w:val="center"/>
        <w:rPr>
          <w:rFonts w:ascii="仿宋" w:hAnsi="仿宋" w:eastAsia="仿宋" w:cs="仿宋"/>
          <w:color w:val="auto"/>
          <w:sz w:val="36"/>
          <w:szCs w:val="36"/>
          <w:lang w:eastAsia="zh-CN"/>
        </w:rPr>
      </w:pPr>
    </w:p>
    <w:p w14:paraId="48DB35AF">
      <w:pPr>
        <w:pStyle w:val="36"/>
        <w:spacing w:after="0"/>
        <w:ind w:firstLine="420"/>
        <w:jc w:val="center"/>
        <w:rPr>
          <w:rFonts w:ascii="仿宋" w:hAnsi="仿宋" w:eastAsia="仿宋" w:cs="仿宋"/>
          <w:color w:val="auto"/>
          <w:sz w:val="36"/>
          <w:szCs w:val="36"/>
          <w:lang w:eastAsia="zh-CN"/>
        </w:rPr>
      </w:pPr>
    </w:p>
    <w:p w14:paraId="66C7A3C5">
      <w:pPr>
        <w:pStyle w:val="36"/>
        <w:spacing w:after="0"/>
        <w:ind w:firstLine="420"/>
        <w:jc w:val="center"/>
        <w:rPr>
          <w:rFonts w:ascii="仿宋" w:hAnsi="仿宋" w:eastAsia="仿宋" w:cs="仿宋"/>
          <w:color w:val="auto"/>
          <w:sz w:val="36"/>
          <w:szCs w:val="36"/>
          <w:lang w:eastAsia="zh-CN"/>
        </w:rPr>
      </w:pPr>
    </w:p>
    <w:p w14:paraId="5D3271EA">
      <w:pPr>
        <w:pStyle w:val="36"/>
        <w:spacing w:after="0"/>
        <w:ind w:firstLine="420"/>
        <w:jc w:val="center"/>
        <w:rPr>
          <w:rFonts w:ascii="仿宋" w:hAnsi="仿宋" w:eastAsia="仿宋" w:cs="仿宋"/>
          <w:color w:val="auto"/>
          <w:sz w:val="36"/>
          <w:szCs w:val="36"/>
          <w:lang w:eastAsia="zh-CN"/>
        </w:rPr>
      </w:pPr>
    </w:p>
    <w:p w14:paraId="3B4BEE4D">
      <w:pPr>
        <w:pStyle w:val="36"/>
        <w:spacing w:after="0"/>
        <w:ind w:firstLine="420"/>
        <w:jc w:val="center"/>
        <w:rPr>
          <w:rFonts w:ascii="仿宋" w:hAnsi="仿宋" w:eastAsia="仿宋" w:cs="仿宋"/>
          <w:color w:val="auto"/>
          <w:sz w:val="36"/>
          <w:szCs w:val="36"/>
          <w:lang w:eastAsia="zh-CN"/>
        </w:rPr>
      </w:pPr>
    </w:p>
    <w:p w14:paraId="615C91E9">
      <w:pPr>
        <w:pStyle w:val="36"/>
        <w:spacing w:after="0"/>
        <w:ind w:firstLine="420"/>
        <w:jc w:val="center"/>
        <w:rPr>
          <w:rFonts w:ascii="仿宋" w:hAnsi="仿宋" w:eastAsia="仿宋" w:cs="仿宋"/>
          <w:color w:val="auto"/>
          <w:sz w:val="36"/>
          <w:szCs w:val="36"/>
          <w:lang w:eastAsia="zh-CN"/>
        </w:rPr>
      </w:pPr>
    </w:p>
    <w:p w14:paraId="7251001D">
      <w:pPr>
        <w:jc w:val="center"/>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5、商务条款偏离表</w:t>
      </w:r>
    </w:p>
    <w:tbl>
      <w:tblPr>
        <w:tblStyle w:val="23"/>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7D4C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41C773D">
            <w:pPr>
              <w:rPr>
                <w:rFonts w:ascii="仿宋" w:hAnsi="仿宋" w:eastAsia="仿宋" w:cs="仿宋"/>
                <w:color w:val="auto"/>
                <w:spacing w:val="-1"/>
              </w:rPr>
            </w:pPr>
            <w:r>
              <w:rPr>
                <w:rFonts w:hint="eastAsia" w:ascii="仿宋" w:hAnsi="仿宋" w:eastAsia="仿宋" w:cs="仿宋"/>
                <w:color w:val="auto"/>
                <w:spacing w:val="-1"/>
              </w:rPr>
              <w:t>序号</w:t>
            </w:r>
          </w:p>
        </w:tc>
        <w:tc>
          <w:tcPr>
            <w:tcW w:w="2154" w:type="dxa"/>
          </w:tcPr>
          <w:p w14:paraId="4E57D50D">
            <w:pPr>
              <w:pStyle w:val="10"/>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磋商文件条款号</w:t>
            </w:r>
          </w:p>
        </w:tc>
        <w:tc>
          <w:tcPr>
            <w:tcW w:w="2477" w:type="dxa"/>
          </w:tcPr>
          <w:p w14:paraId="7B87810E">
            <w:pPr>
              <w:pStyle w:val="10"/>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磋商文件的商务条款</w:t>
            </w:r>
          </w:p>
        </w:tc>
        <w:tc>
          <w:tcPr>
            <w:tcW w:w="2454" w:type="dxa"/>
          </w:tcPr>
          <w:p w14:paraId="34BB3865">
            <w:pPr>
              <w:pStyle w:val="10"/>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响应文件的商务条款</w:t>
            </w:r>
          </w:p>
        </w:tc>
        <w:tc>
          <w:tcPr>
            <w:tcW w:w="1130" w:type="dxa"/>
          </w:tcPr>
          <w:p w14:paraId="012084CD">
            <w:pPr>
              <w:pStyle w:val="10"/>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说明</w:t>
            </w:r>
          </w:p>
        </w:tc>
      </w:tr>
      <w:tr w14:paraId="54E7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FB587A4">
            <w:pPr>
              <w:rPr>
                <w:rFonts w:ascii="仿宋" w:hAnsi="仿宋" w:eastAsia="仿宋" w:cs="仿宋"/>
                <w:color w:val="auto"/>
                <w:spacing w:val="-1"/>
              </w:rPr>
            </w:pPr>
            <w:r>
              <w:rPr>
                <w:rFonts w:hint="eastAsia" w:ascii="仿宋" w:hAnsi="仿宋" w:eastAsia="仿宋" w:cs="仿宋"/>
                <w:color w:val="auto"/>
                <w:spacing w:val="-1"/>
              </w:rPr>
              <w:t>1</w:t>
            </w:r>
          </w:p>
        </w:tc>
        <w:tc>
          <w:tcPr>
            <w:tcW w:w="2154" w:type="dxa"/>
            <w:vAlign w:val="center"/>
          </w:tcPr>
          <w:p w14:paraId="4BC95C0C">
            <w:pPr>
              <w:rPr>
                <w:rFonts w:ascii="仿宋" w:hAnsi="仿宋" w:eastAsia="仿宋" w:cs="仿宋"/>
                <w:color w:val="auto"/>
                <w:spacing w:val="-1"/>
              </w:rPr>
            </w:pPr>
          </w:p>
        </w:tc>
        <w:tc>
          <w:tcPr>
            <w:tcW w:w="2477" w:type="dxa"/>
            <w:vAlign w:val="center"/>
          </w:tcPr>
          <w:p w14:paraId="7CA0B5CF">
            <w:pPr>
              <w:rPr>
                <w:rFonts w:ascii="仿宋" w:hAnsi="仿宋" w:eastAsia="仿宋" w:cs="仿宋"/>
                <w:color w:val="auto"/>
                <w:spacing w:val="-1"/>
              </w:rPr>
            </w:pPr>
          </w:p>
        </w:tc>
        <w:tc>
          <w:tcPr>
            <w:tcW w:w="2454" w:type="dxa"/>
            <w:vAlign w:val="center"/>
          </w:tcPr>
          <w:p w14:paraId="59601312">
            <w:pPr>
              <w:rPr>
                <w:rFonts w:ascii="仿宋" w:hAnsi="仿宋" w:eastAsia="仿宋" w:cs="仿宋"/>
                <w:color w:val="auto"/>
                <w:spacing w:val="-1"/>
              </w:rPr>
            </w:pPr>
          </w:p>
        </w:tc>
        <w:tc>
          <w:tcPr>
            <w:tcW w:w="1130" w:type="dxa"/>
            <w:vAlign w:val="center"/>
          </w:tcPr>
          <w:p w14:paraId="60DBB4A3">
            <w:pPr>
              <w:rPr>
                <w:rFonts w:ascii="仿宋" w:hAnsi="仿宋" w:eastAsia="仿宋" w:cs="仿宋"/>
                <w:color w:val="auto"/>
                <w:spacing w:val="-1"/>
              </w:rPr>
            </w:pPr>
          </w:p>
        </w:tc>
      </w:tr>
      <w:tr w14:paraId="10FB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6B70CD4">
            <w:pPr>
              <w:rPr>
                <w:rFonts w:ascii="仿宋" w:hAnsi="仿宋" w:eastAsia="仿宋" w:cs="仿宋"/>
                <w:color w:val="auto"/>
                <w:spacing w:val="-1"/>
              </w:rPr>
            </w:pPr>
            <w:r>
              <w:rPr>
                <w:rFonts w:hint="eastAsia" w:ascii="仿宋" w:hAnsi="仿宋" w:eastAsia="仿宋" w:cs="仿宋"/>
                <w:color w:val="auto"/>
                <w:spacing w:val="-1"/>
              </w:rPr>
              <w:t>2</w:t>
            </w:r>
          </w:p>
        </w:tc>
        <w:tc>
          <w:tcPr>
            <w:tcW w:w="2154" w:type="dxa"/>
            <w:vAlign w:val="center"/>
          </w:tcPr>
          <w:p w14:paraId="42E46A74">
            <w:pPr>
              <w:rPr>
                <w:rFonts w:ascii="仿宋" w:hAnsi="仿宋" w:eastAsia="仿宋" w:cs="仿宋"/>
                <w:color w:val="auto"/>
                <w:spacing w:val="-1"/>
              </w:rPr>
            </w:pPr>
          </w:p>
        </w:tc>
        <w:tc>
          <w:tcPr>
            <w:tcW w:w="2477" w:type="dxa"/>
            <w:vAlign w:val="center"/>
          </w:tcPr>
          <w:p w14:paraId="6323428B">
            <w:pPr>
              <w:rPr>
                <w:rFonts w:ascii="仿宋" w:hAnsi="仿宋" w:eastAsia="仿宋" w:cs="仿宋"/>
                <w:color w:val="auto"/>
                <w:spacing w:val="-1"/>
              </w:rPr>
            </w:pPr>
          </w:p>
        </w:tc>
        <w:tc>
          <w:tcPr>
            <w:tcW w:w="2454" w:type="dxa"/>
            <w:vAlign w:val="center"/>
          </w:tcPr>
          <w:p w14:paraId="6E025038">
            <w:pPr>
              <w:rPr>
                <w:rFonts w:ascii="仿宋" w:hAnsi="仿宋" w:eastAsia="仿宋" w:cs="仿宋"/>
                <w:color w:val="auto"/>
                <w:spacing w:val="-1"/>
              </w:rPr>
            </w:pPr>
          </w:p>
        </w:tc>
        <w:tc>
          <w:tcPr>
            <w:tcW w:w="1130" w:type="dxa"/>
            <w:vAlign w:val="center"/>
          </w:tcPr>
          <w:p w14:paraId="2BFA4E60">
            <w:pPr>
              <w:rPr>
                <w:rFonts w:ascii="仿宋" w:hAnsi="仿宋" w:eastAsia="仿宋" w:cs="仿宋"/>
                <w:color w:val="auto"/>
                <w:spacing w:val="-1"/>
              </w:rPr>
            </w:pPr>
          </w:p>
        </w:tc>
      </w:tr>
      <w:tr w14:paraId="35F6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93C1B84">
            <w:pPr>
              <w:rPr>
                <w:rFonts w:ascii="仿宋" w:hAnsi="仿宋" w:eastAsia="仿宋" w:cs="仿宋"/>
                <w:color w:val="auto"/>
                <w:spacing w:val="-1"/>
              </w:rPr>
            </w:pPr>
            <w:r>
              <w:rPr>
                <w:rFonts w:hint="eastAsia" w:ascii="仿宋" w:hAnsi="仿宋" w:eastAsia="仿宋" w:cs="仿宋"/>
                <w:color w:val="auto"/>
                <w:spacing w:val="-1"/>
              </w:rPr>
              <w:t>3</w:t>
            </w:r>
          </w:p>
        </w:tc>
        <w:tc>
          <w:tcPr>
            <w:tcW w:w="2154" w:type="dxa"/>
            <w:vAlign w:val="center"/>
          </w:tcPr>
          <w:p w14:paraId="3D3B9F70">
            <w:pPr>
              <w:rPr>
                <w:rFonts w:ascii="仿宋" w:hAnsi="仿宋" w:eastAsia="仿宋" w:cs="仿宋"/>
                <w:color w:val="auto"/>
                <w:spacing w:val="-1"/>
              </w:rPr>
            </w:pPr>
          </w:p>
        </w:tc>
        <w:tc>
          <w:tcPr>
            <w:tcW w:w="2477" w:type="dxa"/>
            <w:vAlign w:val="center"/>
          </w:tcPr>
          <w:p w14:paraId="15EF7DE0">
            <w:pPr>
              <w:rPr>
                <w:rFonts w:ascii="仿宋" w:hAnsi="仿宋" w:eastAsia="仿宋" w:cs="仿宋"/>
                <w:color w:val="auto"/>
                <w:spacing w:val="-1"/>
              </w:rPr>
            </w:pPr>
          </w:p>
        </w:tc>
        <w:tc>
          <w:tcPr>
            <w:tcW w:w="2454" w:type="dxa"/>
            <w:vAlign w:val="center"/>
          </w:tcPr>
          <w:p w14:paraId="1A32DAD4">
            <w:pPr>
              <w:rPr>
                <w:rFonts w:ascii="仿宋" w:hAnsi="仿宋" w:eastAsia="仿宋" w:cs="仿宋"/>
                <w:color w:val="auto"/>
                <w:spacing w:val="-1"/>
              </w:rPr>
            </w:pPr>
          </w:p>
        </w:tc>
        <w:tc>
          <w:tcPr>
            <w:tcW w:w="1130" w:type="dxa"/>
            <w:vAlign w:val="center"/>
          </w:tcPr>
          <w:p w14:paraId="01B1F7C2">
            <w:pPr>
              <w:rPr>
                <w:rFonts w:ascii="仿宋" w:hAnsi="仿宋" w:eastAsia="仿宋" w:cs="仿宋"/>
                <w:color w:val="auto"/>
                <w:spacing w:val="-1"/>
              </w:rPr>
            </w:pPr>
          </w:p>
        </w:tc>
      </w:tr>
      <w:tr w14:paraId="0231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2A5A75D">
            <w:pPr>
              <w:rPr>
                <w:rFonts w:ascii="仿宋" w:hAnsi="仿宋" w:eastAsia="仿宋" w:cs="仿宋"/>
                <w:color w:val="auto"/>
                <w:spacing w:val="-1"/>
              </w:rPr>
            </w:pPr>
            <w:r>
              <w:rPr>
                <w:rFonts w:hint="eastAsia" w:ascii="仿宋" w:hAnsi="仿宋" w:eastAsia="仿宋" w:cs="仿宋"/>
                <w:color w:val="auto"/>
                <w:spacing w:val="-1"/>
              </w:rPr>
              <w:t>4</w:t>
            </w:r>
          </w:p>
        </w:tc>
        <w:tc>
          <w:tcPr>
            <w:tcW w:w="2154" w:type="dxa"/>
            <w:vAlign w:val="center"/>
          </w:tcPr>
          <w:p w14:paraId="4CD35991">
            <w:pPr>
              <w:rPr>
                <w:rFonts w:ascii="仿宋" w:hAnsi="仿宋" w:eastAsia="仿宋" w:cs="仿宋"/>
                <w:color w:val="auto"/>
                <w:spacing w:val="-1"/>
              </w:rPr>
            </w:pPr>
          </w:p>
        </w:tc>
        <w:tc>
          <w:tcPr>
            <w:tcW w:w="2477" w:type="dxa"/>
            <w:vAlign w:val="center"/>
          </w:tcPr>
          <w:p w14:paraId="2ECCD5A8">
            <w:pPr>
              <w:rPr>
                <w:rFonts w:ascii="仿宋" w:hAnsi="仿宋" w:eastAsia="仿宋" w:cs="仿宋"/>
                <w:color w:val="auto"/>
                <w:spacing w:val="-1"/>
              </w:rPr>
            </w:pPr>
          </w:p>
        </w:tc>
        <w:tc>
          <w:tcPr>
            <w:tcW w:w="2454" w:type="dxa"/>
            <w:vAlign w:val="center"/>
          </w:tcPr>
          <w:p w14:paraId="2DB5813E">
            <w:pPr>
              <w:rPr>
                <w:rFonts w:ascii="仿宋" w:hAnsi="仿宋" w:eastAsia="仿宋" w:cs="仿宋"/>
                <w:color w:val="auto"/>
                <w:spacing w:val="-1"/>
              </w:rPr>
            </w:pPr>
          </w:p>
        </w:tc>
        <w:tc>
          <w:tcPr>
            <w:tcW w:w="1130" w:type="dxa"/>
            <w:vAlign w:val="center"/>
          </w:tcPr>
          <w:p w14:paraId="4CA03448">
            <w:pPr>
              <w:rPr>
                <w:rFonts w:ascii="仿宋" w:hAnsi="仿宋" w:eastAsia="仿宋" w:cs="仿宋"/>
                <w:color w:val="auto"/>
                <w:spacing w:val="-1"/>
              </w:rPr>
            </w:pPr>
          </w:p>
        </w:tc>
      </w:tr>
      <w:tr w14:paraId="23BA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07BF07F">
            <w:pPr>
              <w:rPr>
                <w:rFonts w:ascii="仿宋" w:hAnsi="仿宋" w:eastAsia="仿宋" w:cs="仿宋"/>
                <w:color w:val="auto"/>
                <w:spacing w:val="-1"/>
              </w:rPr>
            </w:pPr>
            <w:r>
              <w:rPr>
                <w:rFonts w:hint="eastAsia" w:ascii="仿宋" w:hAnsi="仿宋" w:eastAsia="仿宋" w:cs="仿宋"/>
                <w:color w:val="auto"/>
                <w:spacing w:val="-1"/>
              </w:rPr>
              <w:t>5</w:t>
            </w:r>
          </w:p>
        </w:tc>
        <w:tc>
          <w:tcPr>
            <w:tcW w:w="2154" w:type="dxa"/>
            <w:vAlign w:val="center"/>
          </w:tcPr>
          <w:p w14:paraId="360ABB74">
            <w:pPr>
              <w:rPr>
                <w:rFonts w:ascii="仿宋" w:hAnsi="仿宋" w:eastAsia="仿宋" w:cs="仿宋"/>
                <w:color w:val="auto"/>
                <w:spacing w:val="-1"/>
              </w:rPr>
            </w:pPr>
          </w:p>
        </w:tc>
        <w:tc>
          <w:tcPr>
            <w:tcW w:w="2477" w:type="dxa"/>
            <w:vAlign w:val="center"/>
          </w:tcPr>
          <w:p w14:paraId="4B896ADD">
            <w:pPr>
              <w:rPr>
                <w:rFonts w:ascii="仿宋" w:hAnsi="仿宋" w:eastAsia="仿宋" w:cs="仿宋"/>
                <w:color w:val="auto"/>
                <w:spacing w:val="-1"/>
              </w:rPr>
            </w:pPr>
          </w:p>
        </w:tc>
        <w:tc>
          <w:tcPr>
            <w:tcW w:w="2454" w:type="dxa"/>
            <w:vAlign w:val="center"/>
          </w:tcPr>
          <w:p w14:paraId="5F5E40E5">
            <w:pPr>
              <w:rPr>
                <w:rFonts w:ascii="仿宋" w:hAnsi="仿宋" w:eastAsia="仿宋" w:cs="仿宋"/>
                <w:color w:val="auto"/>
                <w:spacing w:val="-1"/>
              </w:rPr>
            </w:pPr>
          </w:p>
        </w:tc>
        <w:tc>
          <w:tcPr>
            <w:tcW w:w="1130" w:type="dxa"/>
            <w:vAlign w:val="center"/>
          </w:tcPr>
          <w:p w14:paraId="22AC5B54">
            <w:pPr>
              <w:rPr>
                <w:rFonts w:ascii="仿宋" w:hAnsi="仿宋" w:eastAsia="仿宋" w:cs="仿宋"/>
                <w:color w:val="auto"/>
                <w:spacing w:val="-1"/>
              </w:rPr>
            </w:pPr>
          </w:p>
        </w:tc>
      </w:tr>
      <w:tr w14:paraId="6CD0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981A0F8">
            <w:pPr>
              <w:rPr>
                <w:rFonts w:ascii="仿宋" w:hAnsi="仿宋" w:eastAsia="仿宋" w:cs="仿宋"/>
                <w:color w:val="auto"/>
                <w:spacing w:val="-1"/>
              </w:rPr>
            </w:pPr>
            <w:r>
              <w:rPr>
                <w:rFonts w:hint="eastAsia" w:ascii="仿宋" w:hAnsi="仿宋" w:eastAsia="仿宋" w:cs="仿宋"/>
                <w:color w:val="auto"/>
                <w:spacing w:val="-1"/>
              </w:rPr>
              <w:t>6</w:t>
            </w:r>
          </w:p>
        </w:tc>
        <w:tc>
          <w:tcPr>
            <w:tcW w:w="2154" w:type="dxa"/>
            <w:vAlign w:val="center"/>
          </w:tcPr>
          <w:p w14:paraId="3F1D554A">
            <w:pPr>
              <w:rPr>
                <w:rFonts w:ascii="仿宋" w:hAnsi="仿宋" w:eastAsia="仿宋" w:cs="仿宋"/>
                <w:color w:val="auto"/>
                <w:spacing w:val="-1"/>
              </w:rPr>
            </w:pPr>
          </w:p>
        </w:tc>
        <w:tc>
          <w:tcPr>
            <w:tcW w:w="2477" w:type="dxa"/>
            <w:vAlign w:val="center"/>
          </w:tcPr>
          <w:p w14:paraId="3631BF38">
            <w:pPr>
              <w:rPr>
                <w:rFonts w:ascii="仿宋" w:hAnsi="仿宋" w:eastAsia="仿宋" w:cs="仿宋"/>
                <w:color w:val="auto"/>
                <w:spacing w:val="-1"/>
              </w:rPr>
            </w:pPr>
          </w:p>
        </w:tc>
        <w:tc>
          <w:tcPr>
            <w:tcW w:w="2454" w:type="dxa"/>
            <w:vAlign w:val="center"/>
          </w:tcPr>
          <w:p w14:paraId="43D9D898">
            <w:pPr>
              <w:rPr>
                <w:rFonts w:ascii="仿宋" w:hAnsi="仿宋" w:eastAsia="仿宋" w:cs="仿宋"/>
                <w:color w:val="auto"/>
                <w:spacing w:val="-1"/>
              </w:rPr>
            </w:pPr>
          </w:p>
        </w:tc>
        <w:tc>
          <w:tcPr>
            <w:tcW w:w="1130" w:type="dxa"/>
            <w:vAlign w:val="center"/>
          </w:tcPr>
          <w:p w14:paraId="09FAF60D">
            <w:pPr>
              <w:rPr>
                <w:rFonts w:ascii="仿宋" w:hAnsi="仿宋" w:eastAsia="仿宋" w:cs="仿宋"/>
                <w:color w:val="auto"/>
                <w:spacing w:val="-1"/>
              </w:rPr>
            </w:pPr>
          </w:p>
        </w:tc>
      </w:tr>
      <w:tr w14:paraId="4ABA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B0FA3E6">
            <w:pPr>
              <w:rPr>
                <w:rFonts w:ascii="仿宋" w:hAnsi="仿宋" w:eastAsia="仿宋" w:cs="仿宋"/>
                <w:color w:val="auto"/>
                <w:spacing w:val="-1"/>
              </w:rPr>
            </w:pPr>
            <w:r>
              <w:rPr>
                <w:rFonts w:hint="eastAsia" w:ascii="仿宋" w:hAnsi="仿宋" w:eastAsia="仿宋" w:cs="仿宋"/>
                <w:color w:val="auto"/>
                <w:spacing w:val="-1"/>
              </w:rPr>
              <w:t>7</w:t>
            </w:r>
          </w:p>
        </w:tc>
        <w:tc>
          <w:tcPr>
            <w:tcW w:w="2154" w:type="dxa"/>
            <w:vAlign w:val="center"/>
          </w:tcPr>
          <w:p w14:paraId="479FE8AF">
            <w:pPr>
              <w:rPr>
                <w:rFonts w:ascii="仿宋" w:hAnsi="仿宋" w:eastAsia="仿宋" w:cs="仿宋"/>
                <w:color w:val="auto"/>
                <w:spacing w:val="-1"/>
              </w:rPr>
            </w:pPr>
          </w:p>
        </w:tc>
        <w:tc>
          <w:tcPr>
            <w:tcW w:w="2477" w:type="dxa"/>
            <w:vAlign w:val="center"/>
          </w:tcPr>
          <w:p w14:paraId="7B8AF4F6">
            <w:pPr>
              <w:rPr>
                <w:rFonts w:ascii="仿宋" w:hAnsi="仿宋" w:eastAsia="仿宋" w:cs="仿宋"/>
                <w:color w:val="auto"/>
                <w:spacing w:val="-1"/>
              </w:rPr>
            </w:pPr>
          </w:p>
        </w:tc>
        <w:tc>
          <w:tcPr>
            <w:tcW w:w="2454" w:type="dxa"/>
            <w:vAlign w:val="center"/>
          </w:tcPr>
          <w:p w14:paraId="783E9CA5">
            <w:pPr>
              <w:rPr>
                <w:rFonts w:ascii="仿宋" w:hAnsi="仿宋" w:eastAsia="仿宋" w:cs="仿宋"/>
                <w:color w:val="auto"/>
                <w:spacing w:val="-1"/>
              </w:rPr>
            </w:pPr>
          </w:p>
        </w:tc>
        <w:tc>
          <w:tcPr>
            <w:tcW w:w="1130" w:type="dxa"/>
            <w:vAlign w:val="center"/>
          </w:tcPr>
          <w:p w14:paraId="0856EA0E">
            <w:pPr>
              <w:rPr>
                <w:rFonts w:ascii="仿宋" w:hAnsi="仿宋" w:eastAsia="仿宋" w:cs="仿宋"/>
                <w:color w:val="auto"/>
                <w:spacing w:val="-1"/>
              </w:rPr>
            </w:pPr>
          </w:p>
        </w:tc>
      </w:tr>
      <w:tr w14:paraId="6025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5AD2DE4">
            <w:pPr>
              <w:rPr>
                <w:rFonts w:ascii="仿宋" w:hAnsi="仿宋" w:eastAsia="仿宋" w:cs="仿宋"/>
                <w:color w:val="auto"/>
                <w:spacing w:val="-1"/>
              </w:rPr>
            </w:pPr>
            <w:r>
              <w:rPr>
                <w:rFonts w:hint="eastAsia" w:ascii="仿宋" w:hAnsi="仿宋" w:eastAsia="仿宋" w:cs="仿宋"/>
                <w:color w:val="auto"/>
                <w:spacing w:val="-1"/>
              </w:rPr>
              <w:t>8</w:t>
            </w:r>
          </w:p>
        </w:tc>
        <w:tc>
          <w:tcPr>
            <w:tcW w:w="2154" w:type="dxa"/>
            <w:vAlign w:val="center"/>
          </w:tcPr>
          <w:p w14:paraId="6BA0A39E">
            <w:pPr>
              <w:rPr>
                <w:rFonts w:ascii="仿宋" w:hAnsi="仿宋" w:eastAsia="仿宋" w:cs="仿宋"/>
                <w:color w:val="auto"/>
                <w:spacing w:val="-1"/>
              </w:rPr>
            </w:pPr>
          </w:p>
        </w:tc>
        <w:tc>
          <w:tcPr>
            <w:tcW w:w="2477" w:type="dxa"/>
            <w:vAlign w:val="center"/>
          </w:tcPr>
          <w:p w14:paraId="614BD736">
            <w:pPr>
              <w:rPr>
                <w:rFonts w:ascii="仿宋" w:hAnsi="仿宋" w:eastAsia="仿宋" w:cs="仿宋"/>
                <w:color w:val="auto"/>
                <w:spacing w:val="-1"/>
              </w:rPr>
            </w:pPr>
          </w:p>
        </w:tc>
        <w:tc>
          <w:tcPr>
            <w:tcW w:w="2454" w:type="dxa"/>
            <w:vAlign w:val="center"/>
          </w:tcPr>
          <w:p w14:paraId="6392D686">
            <w:pPr>
              <w:rPr>
                <w:rFonts w:ascii="仿宋" w:hAnsi="仿宋" w:eastAsia="仿宋" w:cs="仿宋"/>
                <w:color w:val="auto"/>
                <w:spacing w:val="-1"/>
              </w:rPr>
            </w:pPr>
          </w:p>
        </w:tc>
        <w:tc>
          <w:tcPr>
            <w:tcW w:w="1130" w:type="dxa"/>
            <w:vAlign w:val="center"/>
          </w:tcPr>
          <w:p w14:paraId="4E701289">
            <w:pPr>
              <w:rPr>
                <w:rFonts w:ascii="仿宋" w:hAnsi="仿宋" w:eastAsia="仿宋" w:cs="仿宋"/>
                <w:color w:val="auto"/>
                <w:spacing w:val="-1"/>
              </w:rPr>
            </w:pPr>
          </w:p>
        </w:tc>
      </w:tr>
      <w:tr w14:paraId="2262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E275272">
            <w:pPr>
              <w:rPr>
                <w:rFonts w:ascii="仿宋" w:hAnsi="仿宋" w:eastAsia="仿宋" w:cs="仿宋"/>
                <w:color w:val="auto"/>
                <w:spacing w:val="-1"/>
              </w:rPr>
            </w:pPr>
            <w:r>
              <w:rPr>
                <w:rFonts w:hint="eastAsia" w:ascii="仿宋" w:hAnsi="仿宋" w:eastAsia="仿宋" w:cs="仿宋"/>
                <w:color w:val="auto"/>
                <w:spacing w:val="-1"/>
              </w:rPr>
              <w:t>9</w:t>
            </w:r>
          </w:p>
        </w:tc>
        <w:tc>
          <w:tcPr>
            <w:tcW w:w="2154" w:type="dxa"/>
            <w:vAlign w:val="center"/>
          </w:tcPr>
          <w:p w14:paraId="5E0D038B">
            <w:pPr>
              <w:rPr>
                <w:rFonts w:ascii="仿宋" w:hAnsi="仿宋" w:eastAsia="仿宋" w:cs="仿宋"/>
                <w:color w:val="auto"/>
                <w:spacing w:val="-1"/>
              </w:rPr>
            </w:pPr>
          </w:p>
        </w:tc>
        <w:tc>
          <w:tcPr>
            <w:tcW w:w="2477" w:type="dxa"/>
            <w:vAlign w:val="center"/>
          </w:tcPr>
          <w:p w14:paraId="53CF9F39">
            <w:pPr>
              <w:rPr>
                <w:rFonts w:ascii="仿宋" w:hAnsi="仿宋" w:eastAsia="仿宋" w:cs="仿宋"/>
                <w:color w:val="auto"/>
                <w:spacing w:val="-1"/>
              </w:rPr>
            </w:pPr>
          </w:p>
        </w:tc>
        <w:tc>
          <w:tcPr>
            <w:tcW w:w="2454" w:type="dxa"/>
            <w:vAlign w:val="center"/>
          </w:tcPr>
          <w:p w14:paraId="6BAE8E4A">
            <w:pPr>
              <w:rPr>
                <w:rFonts w:ascii="仿宋" w:hAnsi="仿宋" w:eastAsia="仿宋" w:cs="仿宋"/>
                <w:color w:val="auto"/>
                <w:spacing w:val="-1"/>
              </w:rPr>
            </w:pPr>
          </w:p>
        </w:tc>
        <w:tc>
          <w:tcPr>
            <w:tcW w:w="1130" w:type="dxa"/>
            <w:vAlign w:val="center"/>
          </w:tcPr>
          <w:p w14:paraId="5B2FA7A3">
            <w:pPr>
              <w:rPr>
                <w:rFonts w:ascii="仿宋" w:hAnsi="仿宋" w:eastAsia="仿宋" w:cs="仿宋"/>
                <w:color w:val="auto"/>
                <w:spacing w:val="-1"/>
              </w:rPr>
            </w:pPr>
          </w:p>
        </w:tc>
      </w:tr>
      <w:tr w14:paraId="64C8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793C8DE">
            <w:pPr>
              <w:rPr>
                <w:rFonts w:ascii="仿宋" w:hAnsi="仿宋" w:eastAsia="仿宋" w:cs="仿宋"/>
                <w:color w:val="auto"/>
                <w:spacing w:val="-1"/>
              </w:rPr>
            </w:pPr>
            <w:r>
              <w:rPr>
                <w:rFonts w:hint="eastAsia" w:ascii="仿宋" w:hAnsi="仿宋" w:eastAsia="仿宋" w:cs="仿宋"/>
                <w:color w:val="auto"/>
                <w:spacing w:val="-1"/>
              </w:rPr>
              <w:t>10</w:t>
            </w:r>
          </w:p>
        </w:tc>
        <w:tc>
          <w:tcPr>
            <w:tcW w:w="2154" w:type="dxa"/>
            <w:vAlign w:val="center"/>
          </w:tcPr>
          <w:p w14:paraId="7116BFB4">
            <w:pPr>
              <w:rPr>
                <w:rFonts w:ascii="仿宋" w:hAnsi="仿宋" w:eastAsia="仿宋" w:cs="仿宋"/>
                <w:color w:val="auto"/>
                <w:spacing w:val="-1"/>
              </w:rPr>
            </w:pPr>
          </w:p>
        </w:tc>
        <w:tc>
          <w:tcPr>
            <w:tcW w:w="2477" w:type="dxa"/>
            <w:vAlign w:val="center"/>
          </w:tcPr>
          <w:p w14:paraId="589F1179">
            <w:pPr>
              <w:rPr>
                <w:rFonts w:ascii="仿宋" w:hAnsi="仿宋" w:eastAsia="仿宋" w:cs="仿宋"/>
                <w:color w:val="auto"/>
                <w:spacing w:val="-1"/>
              </w:rPr>
            </w:pPr>
          </w:p>
        </w:tc>
        <w:tc>
          <w:tcPr>
            <w:tcW w:w="2454" w:type="dxa"/>
            <w:vAlign w:val="center"/>
          </w:tcPr>
          <w:p w14:paraId="66D8C93A">
            <w:pPr>
              <w:rPr>
                <w:rFonts w:ascii="仿宋" w:hAnsi="仿宋" w:eastAsia="仿宋" w:cs="仿宋"/>
                <w:color w:val="auto"/>
                <w:spacing w:val="-1"/>
              </w:rPr>
            </w:pPr>
          </w:p>
        </w:tc>
        <w:tc>
          <w:tcPr>
            <w:tcW w:w="1130" w:type="dxa"/>
            <w:vAlign w:val="center"/>
          </w:tcPr>
          <w:p w14:paraId="19527FC6">
            <w:pPr>
              <w:rPr>
                <w:rFonts w:ascii="仿宋" w:hAnsi="仿宋" w:eastAsia="仿宋" w:cs="仿宋"/>
                <w:color w:val="auto"/>
                <w:spacing w:val="-1"/>
              </w:rPr>
            </w:pPr>
          </w:p>
        </w:tc>
      </w:tr>
      <w:tr w14:paraId="0DFC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E487CA0">
            <w:pPr>
              <w:rPr>
                <w:rFonts w:ascii="仿宋" w:hAnsi="仿宋" w:eastAsia="仿宋" w:cs="仿宋"/>
                <w:color w:val="auto"/>
                <w:spacing w:val="-1"/>
              </w:rPr>
            </w:pPr>
            <w:r>
              <w:rPr>
                <w:rFonts w:hint="eastAsia" w:ascii="仿宋" w:hAnsi="仿宋" w:eastAsia="仿宋" w:cs="仿宋"/>
                <w:color w:val="auto"/>
                <w:spacing w:val="-1"/>
              </w:rPr>
              <w:t>11</w:t>
            </w:r>
          </w:p>
        </w:tc>
        <w:tc>
          <w:tcPr>
            <w:tcW w:w="2154" w:type="dxa"/>
            <w:vAlign w:val="center"/>
          </w:tcPr>
          <w:p w14:paraId="6CF34301">
            <w:pPr>
              <w:rPr>
                <w:rFonts w:ascii="仿宋" w:hAnsi="仿宋" w:eastAsia="仿宋" w:cs="仿宋"/>
                <w:color w:val="auto"/>
                <w:spacing w:val="-1"/>
              </w:rPr>
            </w:pPr>
          </w:p>
        </w:tc>
        <w:tc>
          <w:tcPr>
            <w:tcW w:w="2477" w:type="dxa"/>
            <w:vAlign w:val="center"/>
          </w:tcPr>
          <w:p w14:paraId="684BF853">
            <w:pPr>
              <w:rPr>
                <w:rFonts w:ascii="仿宋" w:hAnsi="仿宋" w:eastAsia="仿宋" w:cs="仿宋"/>
                <w:color w:val="auto"/>
                <w:spacing w:val="-1"/>
              </w:rPr>
            </w:pPr>
          </w:p>
        </w:tc>
        <w:tc>
          <w:tcPr>
            <w:tcW w:w="2454" w:type="dxa"/>
            <w:vAlign w:val="center"/>
          </w:tcPr>
          <w:p w14:paraId="6CAC9848">
            <w:pPr>
              <w:rPr>
                <w:rFonts w:ascii="仿宋" w:hAnsi="仿宋" w:eastAsia="仿宋" w:cs="仿宋"/>
                <w:color w:val="auto"/>
                <w:spacing w:val="-1"/>
              </w:rPr>
            </w:pPr>
          </w:p>
        </w:tc>
        <w:tc>
          <w:tcPr>
            <w:tcW w:w="1130" w:type="dxa"/>
            <w:vAlign w:val="center"/>
          </w:tcPr>
          <w:p w14:paraId="3DA739C9">
            <w:pPr>
              <w:rPr>
                <w:rFonts w:ascii="仿宋" w:hAnsi="仿宋" w:eastAsia="仿宋" w:cs="仿宋"/>
                <w:color w:val="auto"/>
                <w:spacing w:val="-1"/>
              </w:rPr>
            </w:pPr>
          </w:p>
        </w:tc>
      </w:tr>
      <w:tr w14:paraId="0C87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1622D62">
            <w:pPr>
              <w:rPr>
                <w:rFonts w:ascii="仿宋" w:hAnsi="仿宋" w:eastAsia="仿宋" w:cs="仿宋"/>
                <w:color w:val="auto"/>
                <w:spacing w:val="-1"/>
              </w:rPr>
            </w:pPr>
            <w:r>
              <w:rPr>
                <w:rFonts w:hint="eastAsia" w:ascii="仿宋" w:hAnsi="仿宋" w:eastAsia="仿宋" w:cs="仿宋"/>
                <w:color w:val="auto"/>
                <w:spacing w:val="-1"/>
              </w:rPr>
              <w:t>12</w:t>
            </w:r>
          </w:p>
        </w:tc>
        <w:tc>
          <w:tcPr>
            <w:tcW w:w="2154" w:type="dxa"/>
            <w:vAlign w:val="center"/>
          </w:tcPr>
          <w:p w14:paraId="11CA2DB6">
            <w:pPr>
              <w:rPr>
                <w:rFonts w:ascii="仿宋" w:hAnsi="仿宋" w:eastAsia="仿宋" w:cs="仿宋"/>
                <w:color w:val="auto"/>
                <w:spacing w:val="-1"/>
              </w:rPr>
            </w:pPr>
          </w:p>
        </w:tc>
        <w:tc>
          <w:tcPr>
            <w:tcW w:w="2477" w:type="dxa"/>
            <w:vAlign w:val="center"/>
          </w:tcPr>
          <w:p w14:paraId="23DFCEEA">
            <w:pPr>
              <w:rPr>
                <w:rFonts w:ascii="仿宋" w:hAnsi="仿宋" w:eastAsia="仿宋" w:cs="仿宋"/>
                <w:color w:val="auto"/>
                <w:spacing w:val="-1"/>
              </w:rPr>
            </w:pPr>
          </w:p>
        </w:tc>
        <w:tc>
          <w:tcPr>
            <w:tcW w:w="2454" w:type="dxa"/>
            <w:vAlign w:val="center"/>
          </w:tcPr>
          <w:p w14:paraId="3E2FFF4C">
            <w:pPr>
              <w:rPr>
                <w:rFonts w:ascii="仿宋" w:hAnsi="仿宋" w:eastAsia="仿宋" w:cs="仿宋"/>
                <w:color w:val="auto"/>
                <w:spacing w:val="-1"/>
              </w:rPr>
            </w:pPr>
          </w:p>
        </w:tc>
        <w:tc>
          <w:tcPr>
            <w:tcW w:w="1130" w:type="dxa"/>
            <w:vAlign w:val="center"/>
          </w:tcPr>
          <w:p w14:paraId="69E80FB8">
            <w:pPr>
              <w:rPr>
                <w:rFonts w:ascii="仿宋" w:hAnsi="仿宋" w:eastAsia="仿宋" w:cs="仿宋"/>
                <w:color w:val="auto"/>
                <w:spacing w:val="-1"/>
              </w:rPr>
            </w:pPr>
          </w:p>
        </w:tc>
      </w:tr>
      <w:tr w14:paraId="1E3C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7FD15ED">
            <w:pPr>
              <w:rPr>
                <w:rFonts w:ascii="仿宋" w:hAnsi="仿宋" w:eastAsia="仿宋" w:cs="仿宋"/>
                <w:color w:val="auto"/>
                <w:spacing w:val="-1"/>
              </w:rPr>
            </w:pPr>
            <w:r>
              <w:rPr>
                <w:rFonts w:hint="eastAsia" w:ascii="仿宋" w:hAnsi="仿宋" w:eastAsia="仿宋" w:cs="仿宋"/>
                <w:color w:val="auto"/>
                <w:spacing w:val="-1"/>
              </w:rPr>
              <w:t>13</w:t>
            </w:r>
          </w:p>
        </w:tc>
        <w:tc>
          <w:tcPr>
            <w:tcW w:w="2154" w:type="dxa"/>
            <w:vAlign w:val="center"/>
          </w:tcPr>
          <w:p w14:paraId="681FE6EC">
            <w:pPr>
              <w:rPr>
                <w:rFonts w:ascii="仿宋" w:hAnsi="仿宋" w:eastAsia="仿宋" w:cs="仿宋"/>
                <w:color w:val="auto"/>
                <w:spacing w:val="-1"/>
              </w:rPr>
            </w:pPr>
          </w:p>
        </w:tc>
        <w:tc>
          <w:tcPr>
            <w:tcW w:w="2477" w:type="dxa"/>
            <w:vAlign w:val="center"/>
          </w:tcPr>
          <w:p w14:paraId="0B8068E1">
            <w:pPr>
              <w:rPr>
                <w:rFonts w:ascii="仿宋" w:hAnsi="仿宋" w:eastAsia="仿宋" w:cs="仿宋"/>
                <w:color w:val="auto"/>
                <w:spacing w:val="-1"/>
              </w:rPr>
            </w:pPr>
          </w:p>
        </w:tc>
        <w:tc>
          <w:tcPr>
            <w:tcW w:w="2454" w:type="dxa"/>
            <w:vAlign w:val="center"/>
          </w:tcPr>
          <w:p w14:paraId="65235A35">
            <w:pPr>
              <w:rPr>
                <w:rFonts w:ascii="仿宋" w:hAnsi="仿宋" w:eastAsia="仿宋" w:cs="仿宋"/>
                <w:color w:val="auto"/>
                <w:spacing w:val="-1"/>
              </w:rPr>
            </w:pPr>
          </w:p>
        </w:tc>
        <w:tc>
          <w:tcPr>
            <w:tcW w:w="1130" w:type="dxa"/>
            <w:vAlign w:val="center"/>
          </w:tcPr>
          <w:p w14:paraId="664DFBAC">
            <w:pPr>
              <w:rPr>
                <w:rFonts w:ascii="仿宋" w:hAnsi="仿宋" w:eastAsia="仿宋" w:cs="仿宋"/>
                <w:color w:val="auto"/>
                <w:spacing w:val="-1"/>
              </w:rPr>
            </w:pPr>
          </w:p>
        </w:tc>
      </w:tr>
      <w:tr w14:paraId="5676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E9BF1FC">
            <w:pPr>
              <w:rPr>
                <w:rFonts w:ascii="仿宋" w:hAnsi="仿宋" w:eastAsia="仿宋" w:cs="仿宋"/>
                <w:color w:val="auto"/>
                <w:spacing w:val="-1"/>
              </w:rPr>
            </w:pPr>
            <w:r>
              <w:rPr>
                <w:rFonts w:hint="eastAsia" w:ascii="仿宋" w:hAnsi="仿宋" w:eastAsia="仿宋" w:cs="仿宋"/>
                <w:color w:val="auto"/>
                <w:spacing w:val="-1"/>
              </w:rPr>
              <w:t>14</w:t>
            </w:r>
          </w:p>
        </w:tc>
        <w:tc>
          <w:tcPr>
            <w:tcW w:w="2154" w:type="dxa"/>
            <w:vAlign w:val="center"/>
          </w:tcPr>
          <w:p w14:paraId="202DF7D6">
            <w:pPr>
              <w:rPr>
                <w:rFonts w:ascii="仿宋" w:hAnsi="仿宋" w:eastAsia="仿宋" w:cs="仿宋"/>
                <w:color w:val="auto"/>
                <w:spacing w:val="-1"/>
              </w:rPr>
            </w:pPr>
          </w:p>
        </w:tc>
        <w:tc>
          <w:tcPr>
            <w:tcW w:w="2477" w:type="dxa"/>
            <w:vAlign w:val="center"/>
          </w:tcPr>
          <w:p w14:paraId="332D78B5">
            <w:pPr>
              <w:rPr>
                <w:rFonts w:ascii="仿宋" w:hAnsi="仿宋" w:eastAsia="仿宋" w:cs="仿宋"/>
                <w:color w:val="auto"/>
                <w:spacing w:val="-1"/>
              </w:rPr>
            </w:pPr>
          </w:p>
        </w:tc>
        <w:tc>
          <w:tcPr>
            <w:tcW w:w="2454" w:type="dxa"/>
            <w:vAlign w:val="center"/>
          </w:tcPr>
          <w:p w14:paraId="1A2A1C3F">
            <w:pPr>
              <w:rPr>
                <w:rFonts w:ascii="仿宋" w:hAnsi="仿宋" w:eastAsia="仿宋" w:cs="仿宋"/>
                <w:color w:val="auto"/>
                <w:spacing w:val="-1"/>
              </w:rPr>
            </w:pPr>
          </w:p>
        </w:tc>
        <w:tc>
          <w:tcPr>
            <w:tcW w:w="1130" w:type="dxa"/>
            <w:vAlign w:val="center"/>
          </w:tcPr>
          <w:p w14:paraId="3DE81359">
            <w:pPr>
              <w:rPr>
                <w:rFonts w:ascii="仿宋" w:hAnsi="仿宋" w:eastAsia="仿宋" w:cs="仿宋"/>
                <w:color w:val="auto"/>
                <w:spacing w:val="-1"/>
              </w:rPr>
            </w:pPr>
          </w:p>
        </w:tc>
      </w:tr>
      <w:tr w14:paraId="33C1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97802CA">
            <w:pPr>
              <w:rPr>
                <w:rFonts w:ascii="仿宋" w:hAnsi="仿宋" w:eastAsia="仿宋" w:cs="仿宋"/>
                <w:color w:val="auto"/>
                <w:spacing w:val="-1"/>
              </w:rPr>
            </w:pPr>
            <w:r>
              <w:rPr>
                <w:rFonts w:hint="eastAsia" w:ascii="仿宋" w:hAnsi="仿宋" w:eastAsia="仿宋" w:cs="仿宋"/>
                <w:color w:val="auto"/>
                <w:spacing w:val="-1"/>
              </w:rPr>
              <w:t>15</w:t>
            </w:r>
          </w:p>
        </w:tc>
        <w:tc>
          <w:tcPr>
            <w:tcW w:w="2154" w:type="dxa"/>
            <w:vAlign w:val="center"/>
          </w:tcPr>
          <w:p w14:paraId="53514010">
            <w:pPr>
              <w:rPr>
                <w:rFonts w:ascii="仿宋" w:hAnsi="仿宋" w:eastAsia="仿宋" w:cs="仿宋"/>
                <w:color w:val="auto"/>
                <w:spacing w:val="-1"/>
              </w:rPr>
            </w:pPr>
          </w:p>
        </w:tc>
        <w:tc>
          <w:tcPr>
            <w:tcW w:w="2477" w:type="dxa"/>
            <w:vAlign w:val="center"/>
          </w:tcPr>
          <w:p w14:paraId="1BB6D85A">
            <w:pPr>
              <w:rPr>
                <w:rFonts w:ascii="仿宋" w:hAnsi="仿宋" w:eastAsia="仿宋" w:cs="仿宋"/>
                <w:color w:val="auto"/>
                <w:spacing w:val="-1"/>
              </w:rPr>
            </w:pPr>
          </w:p>
        </w:tc>
        <w:tc>
          <w:tcPr>
            <w:tcW w:w="2454" w:type="dxa"/>
            <w:vAlign w:val="center"/>
          </w:tcPr>
          <w:p w14:paraId="5953401C">
            <w:pPr>
              <w:rPr>
                <w:rFonts w:ascii="仿宋" w:hAnsi="仿宋" w:eastAsia="仿宋" w:cs="仿宋"/>
                <w:color w:val="auto"/>
                <w:spacing w:val="-1"/>
              </w:rPr>
            </w:pPr>
          </w:p>
        </w:tc>
        <w:tc>
          <w:tcPr>
            <w:tcW w:w="1130" w:type="dxa"/>
            <w:vAlign w:val="center"/>
          </w:tcPr>
          <w:p w14:paraId="1979E618">
            <w:pPr>
              <w:rPr>
                <w:rFonts w:ascii="仿宋" w:hAnsi="仿宋" w:eastAsia="仿宋" w:cs="仿宋"/>
                <w:color w:val="auto"/>
                <w:spacing w:val="-1"/>
              </w:rPr>
            </w:pPr>
          </w:p>
        </w:tc>
      </w:tr>
    </w:tbl>
    <w:p w14:paraId="7539D654">
      <w:pPr>
        <w:rPr>
          <w:rFonts w:ascii="仿宋" w:hAnsi="仿宋" w:eastAsia="仿宋" w:cs="仿宋"/>
          <w:color w:val="auto"/>
          <w:spacing w:val="-1"/>
          <w:lang w:eastAsia="zh-CN"/>
        </w:rPr>
      </w:pPr>
      <w:r>
        <w:rPr>
          <w:rFonts w:hint="eastAsia" w:ascii="仿宋" w:hAnsi="仿宋" w:eastAsia="仿宋" w:cs="仿宋"/>
          <w:color w:val="auto"/>
          <w:spacing w:val="-1"/>
          <w:lang w:eastAsia="zh-CN"/>
        </w:rPr>
        <w:t>注：请在“偏离说明”栏内扼要说明偏离情况，如无偏离则不需列明。</w:t>
      </w:r>
    </w:p>
    <w:p w14:paraId="249A8EED">
      <w:pPr>
        <w:pStyle w:val="7"/>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14:paraId="778F3A61">
      <w:pPr>
        <w:pStyle w:val="7"/>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14:paraId="6211C989">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14:paraId="4982BFB8">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7AB846A0">
      <w:pPr>
        <w:pStyle w:val="7"/>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11DC1060">
      <w:pPr>
        <w:pStyle w:val="36"/>
        <w:spacing w:after="0"/>
        <w:ind w:firstLine="420"/>
        <w:jc w:val="center"/>
        <w:rPr>
          <w:rFonts w:ascii="仿宋" w:hAnsi="仿宋" w:eastAsia="仿宋" w:cs="仿宋"/>
          <w:color w:val="auto"/>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765769A6">
      <w:pPr>
        <w:pStyle w:val="36"/>
        <w:spacing w:after="0"/>
        <w:ind w:firstLine="420"/>
        <w:jc w:val="center"/>
        <w:rPr>
          <w:rFonts w:ascii="仿宋" w:hAnsi="仿宋" w:eastAsia="仿宋" w:cs="仿宋"/>
          <w:color w:val="auto"/>
          <w:sz w:val="36"/>
          <w:szCs w:val="36"/>
        </w:rPr>
      </w:pPr>
    </w:p>
    <w:p w14:paraId="1B644640">
      <w:pPr>
        <w:pStyle w:val="37"/>
        <w:tabs>
          <w:tab w:val="left" w:pos="826"/>
        </w:tabs>
        <w:spacing w:line="470" w:lineRule="exact"/>
        <w:ind w:firstLine="0"/>
        <w:jc w:val="center"/>
        <w:rPr>
          <w:rFonts w:ascii="仿宋" w:hAnsi="仿宋" w:eastAsia="仿宋" w:cs="仿宋"/>
          <w:color w:val="auto"/>
          <w:sz w:val="21"/>
          <w:szCs w:val="21"/>
        </w:rPr>
      </w:pPr>
    </w:p>
    <w:p w14:paraId="74DF5DED">
      <w:pPr>
        <w:pStyle w:val="37"/>
        <w:tabs>
          <w:tab w:val="left" w:pos="826"/>
        </w:tabs>
        <w:spacing w:line="470" w:lineRule="exact"/>
        <w:ind w:firstLine="0"/>
        <w:jc w:val="center"/>
        <w:rPr>
          <w:rFonts w:ascii="仿宋" w:hAnsi="仿宋" w:eastAsia="仿宋" w:cs="仿宋"/>
          <w:color w:val="auto"/>
          <w:sz w:val="21"/>
          <w:szCs w:val="21"/>
        </w:rPr>
      </w:pPr>
    </w:p>
    <w:p w14:paraId="426CD164">
      <w:pPr>
        <w:pStyle w:val="37"/>
        <w:tabs>
          <w:tab w:val="left" w:pos="826"/>
        </w:tabs>
        <w:spacing w:line="470" w:lineRule="exact"/>
        <w:ind w:firstLine="0"/>
        <w:jc w:val="center"/>
        <w:rPr>
          <w:rFonts w:ascii="仿宋" w:hAnsi="仿宋" w:eastAsia="仿宋" w:cs="仿宋"/>
          <w:color w:val="auto"/>
          <w:sz w:val="21"/>
          <w:szCs w:val="21"/>
        </w:rPr>
      </w:pPr>
    </w:p>
    <w:p w14:paraId="2D1D7417">
      <w:pPr>
        <w:pStyle w:val="37"/>
        <w:tabs>
          <w:tab w:val="left" w:pos="826"/>
        </w:tabs>
        <w:spacing w:line="470" w:lineRule="exact"/>
        <w:ind w:firstLine="0"/>
        <w:jc w:val="center"/>
        <w:rPr>
          <w:rFonts w:ascii="仿宋" w:hAnsi="仿宋" w:eastAsia="仿宋" w:cs="仿宋"/>
          <w:color w:val="auto"/>
          <w:sz w:val="21"/>
          <w:szCs w:val="21"/>
        </w:rPr>
      </w:pPr>
    </w:p>
    <w:p w14:paraId="65AEB383">
      <w:pPr>
        <w:pStyle w:val="37"/>
        <w:tabs>
          <w:tab w:val="left" w:pos="826"/>
        </w:tabs>
        <w:spacing w:line="470" w:lineRule="exact"/>
        <w:ind w:firstLine="0"/>
        <w:jc w:val="center"/>
        <w:rPr>
          <w:rFonts w:ascii="仿宋" w:hAnsi="仿宋" w:eastAsia="仿宋" w:cs="仿宋"/>
          <w:color w:val="auto"/>
          <w:sz w:val="21"/>
          <w:szCs w:val="21"/>
        </w:rPr>
      </w:pPr>
    </w:p>
    <w:p w14:paraId="4559B05A">
      <w:pPr>
        <w:pStyle w:val="37"/>
        <w:tabs>
          <w:tab w:val="left" w:pos="826"/>
        </w:tabs>
        <w:spacing w:line="470" w:lineRule="exact"/>
        <w:ind w:firstLine="0"/>
        <w:jc w:val="center"/>
        <w:rPr>
          <w:rFonts w:ascii="仿宋" w:hAnsi="仿宋" w:eastAsia="仿宋" w:cs="仿宋"/>
          <w:color w:val="auto"/>
          <w:sz w:val="21"/>
          <w:szCs w:val="21"/>
        </w:rPr>
      </w:pPr>
    </w:p>
    <w:p w14:paraId="0C5DD517">
      <w:pPr>
        <w:jc w:val="center"/>
        <w:rPr>
          <w:rFonts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6、供应商基本情况表</w:t>
      </w:r>
    </w:p>
    <w:p w14:paraId="5BC079A2">
      <w:pPr>
        <w:pStyle w:val="7"/>
        <w:numPr>
          <w:ilvl w:val="0"/>
          <w:numId w:val="0"/>
        </w:numPr>
        <w:kinsoku w:val="0"/>
        <w:overflowPunct w:val="0"/>
        <w:spacing w:before="5"/>
        <w:rPr>
          <w:rFonts w:ascii="仿宋" w:hAnsi="仿宋" w:eastAsia="仿宋" w:cs="仿宋"/>
          <w:b/>
          <w:bCs/>
          <w:color w:val="auto"/>
          <w:sz w:val="6"/>
          <w:szCs w:val="6"/>
          <w:lang w:eastAsia="zh-CN"/>
        </w:rPr>
      </w:pPr>
    </w:p>
    <w:tbl>
      <w:tblPr>
        <w:tblStyle w:val="23"/>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04E7957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DC399FB">
            <w:pPr>
              <w:pStyle w:val="40"/>
              <w:kinsoku w:val="0"/>
              <w:overflowPunct w:val="0"/>
              <w:spacing w:before="145"/>
              <w:ind w:left="137"/>
              <w:rPr>
                <w:rFonts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387A61A2">
            <w:pPr>
              <w:rPr>
                <w:rFonts w:ascii="仿宋" w:hAnsi="仿宋" w:eastAsia="仿宋" w:cs="仿宋"/>
                <w:color w:val="auto"/>
              </w:rPr>
            </w:pPr>
          </w:p>
        </w:tc>
      </w:tr>
      <w:tr w14:paraId="75EBA7B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455E46C">
            <w:pPr>
              <w:pStyle w:val="40"/>
              <w:kinsoku w:val="0"/>
              <w:overflowPunct w:val="0"/>
              <w:spacing w:before="145"/>
              <w:ind w:left="137"/>
              <w:rPr>
                <w:rFonts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2531F45F">
            <w:pPr>
              <w:rPr>
                <w:rFonts w:ascii="仿宋" w:hAnsi="仿宋" w:eastAsia="仿宋" w:cs="仿宋"/>
                <w:color w:val="auto"/>
              </w:rPr>
            </w:pPr>
          </w:p>
        </w:tc>
      </w:tr>
      <w:tr w14:paraId="6E0646B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5D732EC">
            <w:pPr>
              <w:pStyle w:val="40"/>
              <w:kinsoku w:val="0"/>
              <w:overflowPunct w:val="0"/>
              <w:spacing w:before="145"/>
              <w:ind w:left="137"/>
              <w:rPr>
                <w:rFonts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759DDDFF">
            <w:pPr>
              <w:rPr>
                <w:rFonts w:ascii="仿宋" w:hAnsi="仿宋" w:eastAsia="仿宋" w:cs="仿宋"/>
                <w:color w:val="auto"/>
              </w:rPr>
            </w:pPr>
          </w:p>
        </w:tc>
      </w:tr>
      <w:tr w14:paraId="6718994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6F36196">
            <w:pPr>
              <w:pStyle w:val="40"/>
              <w:kinsoku w:val="0"/>
              <w:overflowPunct w:val="0"/>
              <w:spacing w:before="145"/>
              <w:ind w:left="137"/>
              <w:rPr>
                <w:rFonts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4513E1A6">
            <w:pPr>
              <w:rPr>
                <w:rFonts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0FCE7F7A">
            <w:pPr>
              <w:pStyle w:val="40"/>
              <w:kinsoku w:val="0"/>
              <w:overflowPunct w:val="0"/>
              <w:spacing w:before="145"/>
              <w:ind w:left="181"/>
              <w:rPr>
                <w:rFonts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44CF628">
            <w:pPr>
              <w:rPr>
                <w:rFonts w:ascii="仿宋" w:hAnsi="仿宋" w:eastAsia="仿宋" w:cs="仿宋"/>
                <w:color w:val="auto"/>
              </w:rPr>
            </w:pPr>
          </w:p>
        </w:tc>
      </w:tr>
      <w:tr w14:paraId="2580EDF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251FD62">
            <w:pPr>
              <w:pStyle w:val="40"/>
              <w:kinsoku w:val="0"/>
              <w:overflowPunct w:val="0"/>
              <w:spacing w:before="146"/>
              <w:ind w:left="137"/>
              <w:rPr>
                <w:rFonts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329C69E4">
            <w:pPr>
              <w:rPr>
                <w:rFonts w:ascii="仿宋" w:hAnsi="仿宋" w:eastAsia="仿宋" w:cs="仿宋"/>
                <w:color w:val="auto"/>
              </w:rPr>
            </w:pPr>
          </w:p>
        </w:tc>
      </w:tr>
      <w:tr w14:paraId="314D023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6DC45F7">
            <w:pPr>
              <w:pStyle w:val="40"/>
              <w:kinsoku w:val="0"/>
              <w:overflowPunct w:val="0"/>
              <w:spacing w:before="141" w:line="312" w:lineRule="exact"/>
              <w:ind w:left="257" w:right="133" w:hanging="120"/>
              <w:rPr>
                <w:rFonts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46BB387C">
            <w:pPr>
              <w:rPr>
                <w:rFonts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02EE2F70">
            <w:pPr>
              <w:pStyle w:val="40"/>
              <w:kinsoku w:val="0"/>
              <w:overflowPunct w:val="0"/>
              <w:spacing w:before="4"/>
              <w:rPr>
                <w:rFonts w:ascii="仿宋" w:hAnsi="仿宋" w:eastAsia="仿宋" w:cs="仿宋"/>
                <w:b/>
                <w:bCs/>
                <w:color w:val="auto"/>
                <w:sz w:val="20"/>
                <w:szCs w:val="20"/>
              </w:rPr>
            </w:pPr>
          </w:p>
          <w:p w14:paraId="29CC27DC">
            <w:pPr>
              <w:pStyle w:val="40"/>
              <w:kinsoku w:val="0"/>
              <w:overflowPunct w:val="0"/>
              <w:ind w:left="366"/>
              <w:rPr>
                <w:rFonts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829F402">
            <w:pPr>
              <w:rPr>
                <w:rFonts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414AF51D">
            <w:pPr>
              <w:pStyle w:val="40"/>
              <w:kinsoku w:val="0"/>
              <w:overflowPunct w:val="0"/>
              <w:spacing w:before="4"/>
              <w:rPr>
                <w:rFonts w:ascii="仿宋" w:hAnsi="仿宋" w:eastAsia="仿宋" w:cs="仿宋"/>
                <w:b/>
                <w:bCs/>
                <w:color w:val="auto"/>
                <w:sz w:val="20"/>
                <w:szCs w:val="20"/>
              </w:rPr>
            </w:pPr>
          </w:p>
          <w:p w14:paraId="185FFFD9">
            <w:pPr>
              <w:pStyle w:val="40"/>
              <w:kinsoku w:val="0"/>
              <w:overflowPunct w:val="0"/>
              <w:ind w:left="383"/>
              <w:rPr>
                <w:rFonts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640563E">
            <w:pPr>
              <w:rPr>
                <w:rFonts w:ascii="仿宋" w:hAnsi="仿宋" w:eastAsia="仿宋" w:cs="仿宋"/>
                <w:color w:val="auto"/>
              </w:rPr>
            </w:pPr>
          </w:p>
        </w:tc>
      </w:tr>
      <w:tr w14:paraId="0500DDF9">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34609B84">
            <w:pPr>
              <w:pStyle w:val="40"/>
              <w:kinsoku w:val="0"/>
              <w:overflowPunct w:val="0"/>
              <w:rPr>
                <w:rFonts w:ascii="仿宋" w:hAnsi="仿宋" w:eastAsia="仿宋" w:cs="仿宋"/>
                <w:b/>
                <w:bCs/>
                <w:color w:val="auto"/>
              </w:rPr>
            </w:pPr>
          </w:p>
          <w:p w14:paraId="0B93F775">
            <w:pPr>
              <w:pStyle w:val="40"/>
              <w:kinsoku w:val="0"/>
              <w:overflowPunct w:val="0"/>
              <w:rPr>
                <w:rFonts w:ascii="仿宋" w:hAnsi="仿宋" w:eastAsia="仿宋" w:cs="仿宋"/>
                <w:b/>
                <w:bCs/>
                <w:color w:val="auto"/>
              </w:rPr>
            </w:pPr>
          </w:p>
          <w:p w14:paraId="0B7E8DE3">
            <w:pPr>
              <w:pStyle w:val="40"/>
              <w:kinsoku w:val="0"/>
              <w:overflowPunct w:val="0"/>
              <w:rPr>
                <w:rFonts w:ascii="仿宋" w:hAnsi="仿宋" w:eastAsia="仿宋" w:cs="仿宋"/>
                <w:b/>
                <w:bCs/>
                <w:color w:val="auto"/>
              </w:rPr>
            </w:pPr>
          </w:p>
          <w:p w14:paraId="4720F40C">
            <w:pPr>
              <w:pStyle w:val="40"/>
              <w:kinsoku w:val="0"/>
              <w:overflowPunct w:val="0"/>
              <w:spacing w:line="475" w:lineRule="auto"/>
              <w:ind w:left="497" w:right="493"/>
              <w:jc w:val="both"/>
              <w:rPr>
                <w:rFonts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53770408">
            <w:pPr>
              <w:pStyle w:val="40"/>
              <w:kinsoku w:val="0"/>
              <w:overflowPunct w:val="0"/>
              <w:spacing w:before="144"/>
              <w:ind w:left="236"/>
              <w:rPr>
                <w:rFonts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87D3EA5">
            <w:pPr>
              <w:rPr>
                <w:rFonts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2F82732A">
            <w:pPr>
              <w:pStyle w:val="40"/>
              <w:kinsoku w:val="0"/>
              <w:overflowPunct w:val="0"/>
              <w:spacing w:before="144"/>
              <w:ind w:left="118"/>
              <w:rPr>
                <w:rFonts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0C755E41">
            <w:pPr>
              <w:rPr>
                <w:rFonts w:ascii="仿宋" w:hAnsi="仿宋" w:eastAsia="仿宋" w:cs="仿宋"/>
                <w:color w:val="auto"/>
              </w:rPr>
            </w:pPr>
          </w:p>
        </w:tc>
      </w:tr>
      <w:tr w14:paraId="4AD0141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AE28FBA">
            <w:pPr>
              <w:rPr>
                <w:rFonts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126DFF41">
            <w:pPr>
              <w:pStyle w:val="40"/>
              <w:kinsoku w:val="0"/>
              <w:overflowPunct w:val="0"/>
              <w:spacing w:before="145"/>
              <w:jc w:val="center"/>
              <w:rPr>
                <w:rFonts w:ascii="仿宋" w:hAnsi="仿宋" w:eastAsia="仿宋" w:cs="仿宋"/>
                <w:color w:val="auto"/>
                <w:lang w:eastAsia="zh-CN"/>
              </w:rPr>
            </w:pPr>
            <w:r>
              <w:rPr>
                <w:rFonts w:hint="eastAsia" w:ascii="仿宋" w:hAnsi="仿宋" w:eastAsia="仿宋" w:cs="仿宋"/>
                <w:color w:val="auto"/>
                <w:lang w:eastAsia="zh-CN"/>
              </w:rPr>
              <w:t>单位行政和技术负责人</w:t>
            </w:r>
          </w:p>
        </w:tc>
      </w:tr>
      <w:tr w14:paraId="08652F78">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CE16EFB">
            <w:pPr>
              <w:pStyle w:val="40"/>
              <w:kinsoku w:val="0"/>
              <w:overflowPunct w:val="0"/>
              <w:spacing w:before="145"/>
              <w:jc w:val="center"/>
              <w:rPr>
                <w:rFonts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4A5F0BE5">
            <w:pPr>
              <w:pStyle w:val="40"/>
              <w:kinsoku w:val="0"/>
              <w:overflowPunct w:val="0"/>
              <w:spacing w:before="145"/>
              <w:ind w:left="416"/>
              <w:rPr>
                <w:rFonts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66E78DB0">
            <w:pPr>
              <w:pStyle w:val="40"/>
              <w:kinsoku w:val="0"/>
              <w:overflowPunct w:val="0"/>
              <w:spacing w:before="145"/>
              <w:ind w:left="452"/>
              <w:rPr>
                <w:rFonts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66FC3A10">
            <w:pPr>
              <w:pStyle w:val="40"/>
              <w:kinsoku w:val="0"/>
              <w:overflowPunct w:val="0"/>
              <w:spacing w:before="145"/>
              <w:ind w:left="450"/>
              <w:rPr>
                <w:rFonts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1E1725CE">
            <w:pPr>
              <w:pStyle w:val="40"/>
              <w:tabs>
                <w:tab w:val="left" w:pos="479"/>
              </w:tabs>
              <w:kinsoku w:val="0"/>
              <w:overflowPunct w:val="0"/>
              <w:spacing w:before="145"/>
              <w:ind w:right="1"/>
              <w:jc w:val="center"/>
              <w:rPr>
                <w:rFonts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47C651E4">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7402EBD">
            <w:pPr>
              <w:pStyle w:val="40"/>
              <w:tabs>
                <w:tab w:val="left" w:pos="479"/>
              </w:tabs>
              <w:kinsoku w:val="0"/>
              <w:overflowPunct w:val="0"/>
              <w:spacing w:before="145"/>
              <w:ind w:right="1"/>
              <w:jc w:val="cente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744F7477">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C97DC1C">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60D3296">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68B027F">
            <w:pPr>
              <w:rPr>
                <w:rFonts w:ascii="仿宋" w:hAnsi="仿宋" w:eastAsia="仿宋" w:cs="仿宋"/>
                <w:color w:val="auto"/>
              </w:rPr>
            </w:pPr>
          </w:p>
        </w:tc>
      </w:tr>
      <w:tr w14:paraId="0270BB6D">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8726318">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50B7B59D">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981A281">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D231F4E">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EF4E830">
            <w:pPr>
              <w:rPr>
                <w:rFonts w:ascii="仿宋" w:hAnsi="仿宋" w:eastAsia="仿宋" w:cs="仿宋"/>
                <w:color w:val="auto"/>
              </w:rPr>
            </w:pPr>
          </w:p>
        </w:tc>
      </w:tr>
      <w:tr w14:paraId="49E756ED">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6684E42">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564FEFEF">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FB79A95">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59746D79">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834267E">
            <w:pPr>
              <w:rPr>
                <w:rFonts w:ascii="仿宋" w:hAnsi="仿宋" w:eastAsia="仿宋" w:cs="仿宋"/>
                <w:color w:val="auto"/>
              </w:rPr>
            </w:pPr>
          </w:p>
        </w:tc>
      </w:tr>
      <w:tr w14:paraId="73A783C8">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C2B9C26">
            <w:pPr>
              <w:pStyle w:val="40"/>
              <w:kinsoku w:val="0"/>
              <w:overflowPunct w:val="0"/>
              <w:spacing w:before="1"/>
              <w:rPr>
                <w:rFonts w:ascii="仿宋" w:hAnsi="仿宋" w:eastAsia="仿宋" w:cs="仿宋"/>
                <w:b/>
                <w:bCs/>
                <w:color w:val="auto"/>
                <w:sz w:val="23"/>
                <w:szCs w:val="23"/>
              </w:rPr>
            </w:pPr>
          </w:p>
          <w:p w14:paraId="1272B455">
            <w:pPr>
              <w:pStyle w:val="40"/>
              <w:kinsoku w:val="0"/>
              <w:overflowPunct w:val="0"/>
              <w:spacing w:line="237" w:lineRule="auto"/>
              <w:ind w:left="497" w:right="493"/>
              <w:jc w:val="both"/>
              <w:rPr>
                <w:rFonts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6182E504">
            <w:pPr>
              <w:rPr>
                <w:rFonts w:ascii="仿宋" w:hAnsi="仿宋" w:eastAsia="仿宋" w:cs="仿宋"/>
                <w:color w:val="auto"/>
              </w:rPr>
            </w:pPr>
          </w:p>
        </w:tc>
      </w:tr>
    </w:tbl>
    <w:p w14:paraId="708529E9">
      <w:pPr>
        <w:pStyle w:val="37"/>
        <w:spacing w:line="440" w:lineRule="exact"/>
        <w:ind w:firstLine="0"/>
        <w:jc w:val="both"/>
        <w:rPr>
          <w:rFonts w:ascii="仿宋" w:hAnsi="仿宋" w:eastAsia="仿宋" w:cs="仿宋"/>
          <w:b/>
          <w:color w:val="auto"/>
          <w:sz w:val="30"/>
          <w:szCs w:val="30"/>
        </w:rPr>
      </w:pPr>
    </w:p>
    <w:p w14:paraId="7F3EBC34">
      <w:pPr>
        <w:pStyle w:val="37"/>
        <w:spacing w:line="440" w:lineRule="exact"/>
        <w:ind w:firstLine="0"/>
        <w:jc w:val="both"/>
        <w:rPr>
          <w:rFonts w:ascii="仿宋" w:hAnsi="仿宋" w:eastAsia="仿宋" w:cs="仿宋"/>
          <w:b/>
          <w:color w:val="auto"/>
          <w:sz w:val="30"/>
          <w:szCs w:val="30"/>
        </w:rPr>
      </w:pPr>
    </w:p>
    <w:p w14:paraId="7B603A79">
      <w:pPr>
        <w:pStyle w:val="37"/>
        <w:spacing w:line="440" w:lineRule="exact"/>
        <w:ind w:firstLine="0"/>
        <w:jc w:val="both"/>
        <w:rPr>
          <w:rFonts w:ascii="仿宋" w:hAnsi="仿宋" w:eastAsia="仿宋" w:cs="仿宋"/>
          <w:b/>
          <w:color w:val="auto"/>
          <w:sz w:val="30"/>
          <w:szCs w:val="30"/>
        </w:rPr>
      </w:pPr>
    </w:p>
    <w:p w14:paraId="305F3BEC">
      <w:pPr>
        <w:pStyle w:val="37"/>
        <w:spacing w:line="440" w:lineRule="exact"/>
        <w:ind w:firstLine="0"/>
        <w:jc w:val="both"/>
        <w:rPr>
          <w:rFonts w:ascii="仿宋" w:hAnsi="仿宋" w:eastAsia="仿宋" w:cs="仿宋"/>
          <w:b/>
          <w:color w:val="auto"/>
          <w:sz w:val="30"/>
          <w:szCs w:val="30"/>
        </w:rPr>
      </w:pPr>
    </w:p>
    <w:p w14:paraId="30D31650">
      <w:pPr>
        <w:pStyle w:val="37"/>
        <w:spacing w:line="440" w:lineRule="exact"/>
        <w:ind w:firstLine="0"/>
        <w:jc w:val="both"/>
        <w:rPr>
          <w:rFonts w:ascii="仿宋" w:hAnsi="仿宋" w:eastAsia="仿宋" w:cs="仿宋"/>
          <w:b/>
          <w:color w:val="auto"/>
          <w:sz w:val="30"/>
          <w:szCs w:val="30"/>
        </w:rPr>
      </w:pPr>
    </w:p>
    <w:p w14:paraId="4A214FE2">
      <w:pPr>
        <w:pStyle w:val="37"/>
        <w:spacing w:line="440" w:lineRule="exact"/>
        <w:ind w:firstLine="0"/>
        <w:jc w:val="both"/>
        <w:rPr>
          <w:rFonts w:ascii="仿宋" w:hAnsi="仿宋" w:eastAsia="仿宋" w:cs="仿宋"/>
          <w:b/>
          <w:color w:val="auto"/>
          <w:sz w:val="30"/>
          <w:szCs w:val="30"/>
        </w:rPr>
      </w:pPr>
    </w:p>
    <w:p w14:paraId="52753E67">
      <w:pPr>
        <w:pStyle w:val="37"/>
        <w:spacing w:line="440" w:lineRule="exact"/>
        <w:ind w:firstLine="0"/>
        <w:jc w:val="both"/>
        <w:rPr>
          <w:rFonts w:ascii="仿宋" w:hAnsi="仿宋" w:eastAsia="仿宋" w:cs="仿宋"/>
          <w:b/>
          <w:color w:val="auto"/>
          <w:sz w:val="30"/>
          <w:szCs w:val="30"/>
        </w:rPr>
      </w:pPr>
    </w:p>
    <w:p w14:paraId="63A6DB81">
      <w:pPr>
        <w:pStyle w:val="37"/>
        <w:spacing w:line="440" w:lineRule="exact"/>
        <w:ind w:firstLine="0"/>
        <w:jc w:val="both"/>
        <w:rPr>
          <w:rFonts w:ascii="仿宋" w:hAnsi="仿宋" w:eastAsia="仿宋" w:cs="仿宋"/>
          <w:b/>
          <w:color w:val="auto"/>
          <w:sz w:val="30"/>
          <w:szCs w:val="30"/>
        </w:rPr>
      </w:pPr>
    </w:p>
    <w:p w14:paraId="38A28FE5">
      <w:pPr>
        <w:pStyle w:val="7"/>
        <w:numPr>
          <w:ilvl w:val="0"/>
          <w:numId w:val="0"/>
        </w:numPr>
        <w:kinsoku w:val="0"/>
        <w:overflowPunct w:val="0"/>
        <w:spacing w:before="34" w:line="357" w:lineRule="auto"/>
        <w:ind w:left="480" w:right="126"/>
        <w:jc w:val="center"/>
        <w:rPr>
          <w:rFonts w:ascii="仿宋" w:hAnsi="仿宋" w:eastAsia="仿宋" w:cs="仿宋"/>
          <w:b/>
          <w:bCs/>
          <w:color w:val="auto"/>
        </w:rPr>
      </w:pPr>
      <w:r>
        <w:rPr>
          <w:rFonts w:hint="eastAsia" w:ascii="仿宋" w:hAnsi="仿宋" w:eastAsia="仿宋" w:cs="仿宋"/>
          <w:b/>
          <w:bCs/>
          <w:color w:val="auto"/>
          <w:sz w:val="36"/>
          <w:szCs w:val="36"/>
          <w:lang w:val="en-US" w:eastAsia="zh-CN"/>
        </w:rPr>
        <w:t>7、</w:t>
      </w:r>
      <w:r>
        <w:rPr>
          <w:rFonts w:hint="eastAsia" w:ascii="仿宋" w:hAnsi="仿宋" w:eastAsia="仿宋" w:cs="仿宋"/>
          <w:b/>
          <w:bCs/>
          <w:color w:val="auto"/>
          <w:sz w:val="36"/>
          <w:szCs w:val="36"/>
        </w:rPr>
        <w:t>近三年（20</w:t>
      </w:r>
      <w:r>
        <w:rPr>
          <w:rFonts w:hint="eastAsia" w:ascii="仿宋" w:hAnsi="仿宋" w:eastAsia="仿宋" w:cs="仿宋"/>
          <w:b/>
          <w:bCs/>
          <w:color w:val="auto"/>
          <w:sz w:val="36"/>
          <w:szCs w:val="36"/>
          <w:lang w:val="en-US" w:eastAsia="zh-CN"/>
        </w:rPr>
        <w:t>22</w:t>
      </w:r>
      <w:r>
        <w:rPr>
          <w:rFonts w:hint="eastAsia" w:ascii="仿宋" w:hAnsi="仿宋" w:eastAsia="仿宋" w:cs="仿宋"/>
          <w:b/>
          <w:bCs/>
          <w:color w:val="auto"/>
          <w:sz w:val="36"/>
          <w:szCs w:val="36"/>
        </w:rPr>
        <w:t>年1月1日至今）类似项目业绩</w:t>
      </w:r>
    </w:p>
    <w:p w14:paraId="77F68BEB">
      <w:pPr>
        <w:pStyle w:val="7"/>
        <w:numPr>
          <w:ilvl w:val="0"/>
          <w:numId w:val="0"/>
        </w:numPr>
        <w:kinsoku w:val="0"/>
        <w:overflowPunct w:val="0"/>
        <w:rPr>
          <w:rFonts w:ascii="仿宋" w:hAnsi="仿宋" w:eastAsia="仿宋" w:cs="仿宋"/>
          <w:b/>
          <w:bCs/>
          <w:color w:val="auto"/>
          <w:sz w:val="20"/>
          <w:szCs w:val="20"/>
        </w:rPr>
      </w:pPr>
    </w:p>
    <w:tbl>
      <w:tblPr>
        <w:tblStyle w:val="23"/>
        <w:tblW w:w="9115" w:type="dxa"/>
        <w:jc w:val="center"/>
        <w:tblLayout w:type="fixed"/>
        <w:tblCellMar>
          <w:top w:w="0" w:type="dxa"/>
          <w:left w:w="10" w:type="dxa"/>
          <w:bottom w:w="0" w:type="dxa"/>
          <w:right w:w="10" w:type="dxa"/>
        </w:tblCellMar>
      </w:tblPr>
      <w:tblGrid>
        <w:gridCol w:w="1919"/>
        <w:gridCol w:w="7196"/>
      </w:tblGrid>
      <w:tr w14:paraId="7242DEC8">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68B5CC8D">
            <w:pPr>
              <w:pStyle w:val="38"/>
              <w:spacing w:line="240" w:lineRule="auto"/>
              <w:ind w:firstLine="0"/>
              <w:jc w:val="center"/>
              <w:rPr>
                <w:rFonts w:ascii="仿宋" w:hAnsi="仿宋" w:eastAsia="仿宋" w:cs="仿宋"/>
                <w:color w:val="auto"/>
              </w:rPr>
            </w:pPr>
            <w:r>
              <w:rPr>
                <w:rFonts w:hint="eastAsia" w:ascii="仿宋" w:hAnsi="仿宋" w:eastAsia="仿宋" w:cs="仿宋"/>
                <w:color w:val="auto"/>
              </w:rPr>
              <w:t>项目名称</w:t>
            </w:r>
          </w:p>
        </w:tc>
        <w:tc>
          <w:tcPr>
            <w:tcW w:w="7196" w:type="dxa"/>
            <w:tcBorders>
              <w:top w:val="single" w:color="auto" w:sz="4" w:space="0"/>
              <w:left w:val="single" w:color="auto" w:sz="4" w:space="0"/>
              <w:right w:val="single" w:color="auto" w:sz="4" w:space="0"/>
            </w:tcBorders>
            <w:shd w:val="clear" w:color="auto" w:fill="FFFFFF"/>
          </w:tcPr>
          <w:p w14:paraId="5EFC8BF0">
            <w:pPr>
              <w:rPr>
                <w:rFonts w:ascii="仿宋" w:hAnsi="仿宋" w:eastAsia="仿宋" w:cs="仿宋"/>
                <w:color w:val="auto"/>
                <w:sz w:val="10"/>
                <w:szCs w:val="10"/>
              </w:rPr>
            </w:pPr>
          </w:p>
        </w:tc>
      </w:tr>
      <w:tr w14:paraId="1CF8073C">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tcPr>
          <w:p w14:paraId="6A5409C0">
            <w:pPr>
              <w:pStyle w:val="38"/>
              <w:spacing w:before="120" w:line="240" w:lineRule="auto"/>
              <w:ind w:firstLine="220"/>
              <w:rPr>
                <w:rFonts w:ascii="仿宋" w:hAnsi="仿宋" w:eastAsia="仿宋" w:cs="仿宋"/>
                <w:color w:val="auto"/>
              </w:rPr>
            </w:pPr>
            <w:r>
              <w:rPr>
                <w:rFonts w:hint="eastAsia" w:ascii="仿宋" w:hAnsi="仿宋" w:eastAsia="仿宋" w:cs="仿宋"/>
                <w:color w:val="auto"/>
              </w:rPr>
              <w:t>项目单位名称</w:t>
            </w:r>
          </w:p>
        </w:tc>
        <w:tc>
          <w:tcPr>
            <w:tcW w:w="7196" w:type="dxa"/>
            <w:tcBorders>
              <w:top w:val="single" w:color="auto" w:sz="4" w:space="0"/>
              <w:left w:val="single" w:color="auto" w:sz="4" w:space="0"/>
              <w:right w:val="single" w:color="auto" w:sz="4" w:space="0"/>
            </w:tcBorders>
            <w:shd w:val="clear" w:color="auto" w:fill="FFFFFF"/>
          </w:tcPr>
          <w:p w14:paraId="4C0248EB">
            <w:pPr>
              <w:rPr>
                <w:rFonts w:ascii="仿宋" w:hAnsi="仿宋" w:eastAsia="仿宋" w:cs="仿宋"/>
                <w:color w:val="auto"/>
                <w:sz w:val="10"/>
                <w:szCs w:val="10"/>
              </w:rPr>
            </w:pPr>
          </w:p>
        </w:tc>
      </w:tr>
      <w:tr w14:paraId="0046C6ED">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tcPr>
          <w:p w14:paraId="62A8578F">
            <w:pPr>
              <w:pStyle w:val="38"/>
              <w:spacing w:line="320" w:lineRule="exact"/>
              <w:ind w:firstLine="0"/>
              <w:jc w:val="center"/>
              <w:rPr>
                <w:rFonts w:ascii="仿宋" w:hAnsi="仿宋" w:eastAsia="仿宋" w:cs="仿宋"/>
                <w:color w:val="auto"/>
              </w:rPr>
            </w:pPr>
            <w:r>
              <w:rPr>
                <w:rFonts w:hint="eastAsia" w:ascii="仿宋" w:hAnsi="仿宋" w:eastAsia="仿宋" w:cs="仿宋"/>
                <w:color w:val="auto"/>
              </w:rPr>
              <w:t>项目单位联系姓名及联系方式</w:t>
            </w:r>
          </w:p>
        </w:tc>
        <w:tc>
          <w:tcPr>
            <w:tcW w:w="7196" w:type="dxa"/>
            <w:tcBorders>
              <w:top w:val="single" w:color="auto" w:sz="4" w:space="0"/>
              <w:left w:val="single" w:color="auto" w:sz="4" w:space="0"/>
              <w:right w:val="single" w:color="auto" w:sz="4" w:space="0"/>
            </w:tcBorders>
            <w:shd w:val="clear" w:color="auto" w:fill="FFFFFF"/>
          </w:tcPr>
          <w:p w14:paraId="746AE1D8">
            <w:pPr>
              <w:rPr>
                <w:rFonts w:ascii="仿宋" w:hAnsi="仿宋" w:eastAsia="仿宋" w:cs="仿宋"/>
                <w:color w:val="auto"/>
                <w:sz w:val="10"/>
                <w:szCs w:val="10"/>
              </w:rPr>
            </w:pPr>
          </w:p>
        </w:tc>
      </w:tr>
      <w:tr w14:paraId="59EC951A">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44B395CC">
            <w:pPr>
              <w:pStyle w:val="38"/>
              <w:spacing w:line="240"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合同金额</w:t>
            </w:r>
          </w:p>
        </w:tc>
        <w:tc>
          <w:tcPr>
            <w:tcW w:w="7196" w:type="dxa"/>
            <w:tcBorders>
              <w:top w:val="single" w:color="auto" w:sz="4" w:space="0"/>
              <w:left w:val="single" w:color="auto" w:sz="4" w:space="0"/>
              <w:right w:val="single" w:color="auto" w:sz="4" w:space="0"/>
            </w:tcBorders>
            <w:shd w:val="clear" w:color="auto" w:fill="FFFFFF"/>
          </w:tcPr>
          <w:p w14:paraId="328C6EC4">
            <w:pPr>
              <w:rPr>
                <w:rFonts w:ascii="仿宋" w:hAnsi="仿宋" w:eastAsia="仿宋" w:cs="仿宋"/>
                <w:color w:val="auto"/>
                <w:sz w:val="10"/>
                <w:szCs w:val="10"/>
              </w:rPr>
            </w:pPr>
          </w:p>
        </w:tc>
      </w:tr>
      <w:tr w14:paraId="445FBF92">
        <w:tblPrEx>
          <w:tblCellMar>
            <w:top w:w="0" w:type="dxa"/>
            <w:left w:w="10" w:type="dxa"/>
            <w:bottom w:w="0" w:type="dxa"/>
            <w:right w:w="10" w:type="dxa"/>
          </w:tblCellMar>
        </w:tblPrEx>
        <w:trPr>
          <w:trHeight w:val="1008" w:hRule="exact"/>
          <w:jc w:val="center"/>
        </w:trPr>
        <w:tc>
          <w:tcPr>
            <w:tcW w:w="1919" w:type="dxa"/>
            <w:tcBorders>
              <w:top w:val="single" w:color="auto" w:sz="4" w:space="0"/>
              <w:left w:val="single" w:color="auto" w:sz="4" w:space="0"/>
            </w:tcBorders>
            <w:shd w:val="clear" w:color="auto" w:fill="FFFFFF"/>
          </w:tcPr>
          <w:p w14:paraId="36E1E0DC">
            <w:pPr>
              <w:pStyle w:val="38"/>
              <w:spacing w:line="306" w:lineRule="exact"/>
              <w:ind w:firstLine="0"/>
              <w:jc w:val="center"/>
              <w:rPr>
                <w:rFonts w:ascii="仿宋" w:hAnsi="仿宋" w:eastAsia="仿宋" w:cs="仿宋"/>
                <w:color w:val="auto"/>
              </w:rPr>
            </w:pPr>
            <w:r>
              <w:rPr>
                <w:rFonts w:hint="eastAsia" w:ascii="仿宋" w:hAnsi="仿宋" w:eastAsia="仿宋" w:cs="仿宋"/>
                <w:color w:val="auto"/>
              </w:rPr>
              <w:t>项目负责人姓名</w:t>
            </w:r>
          </w:p>
        </w:tc>
        <w:tc>
          <w:tcPr>
            <w:tcW w:w="7196" w:type="dxa"/>
            <w:tcBorders>
              <w:top w:val="single" w:color="auto" w:sz="4" w:space="0"/>
              <w:left w:val="single" w:color="auto" w:sz="4" w:space="0"/>
              <w:right w:val="single" w:color="auto" w:sz="4" w:space="0"/>
            </w:tcBorders>
            <w:shd w:val="clear" w:color="auto" w:fill="FFFFFF"/>
          </w:tcPr>
          <w:p w14:paraId="0E7F7F18">
            <w:pPr>
              <w:rPr>
                <w:rFonts w:ascii="仿宋" w:hAnsi="仿宋" w:eastAsia="仿宋" w:cs="仿宋"/>
                <w:color w:val="auto"/>
                <w:sz w:val="10"/>
                <w:szCs w:val="10"/>
              </w:rPr>
            </w:pPr>
          </w:p>
        </w:tc>
      </w:tr>
      <w:tr w14:paraId="303CD0BA">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tcPr>
          <w:p w14:paraId="67122514">
            <w:pPr>
              <w:pStyle w:val="38"/>
              <w:spacing w:before="120" w:line="240" w:lineRule="auto"/>
              <w:ind w:firstLine="220"/>
              <w:rPr>
                <w:rFonts w:ascii="仿宋" w:hAnsi="仿宋" w:eastAsia="仿宋" w:cs="仿宋"/>
                <w:color w:val="auto"/>
              </w:rPr>
            </w:pPr>
            <w:r>
              <w:rPr>
                <w:rFonts w:hint="eastAsia" w:ascii="仿宋" w:hAnsi="仿宋" w:eastAsia="仿宋" w:cs="仿宋"/>
                <w:color w:val="auto"/>
              </w:rPr>
              <w:t>项目实施时间</w:t>
            </w:r>
          </w:p>
        </w:tc>
        <w:tc>
          <w:tcPr>
            <w:tcW w:w="7196" w:type="dxa"/>
            <w:tcBorders>
              <w:top w:val="single" w:color="auto" w:sz="4" w:space="0"/>
              <w:left w:val="single" w:color="auto" w:sz="4" w:space="0"/>
              <w:right w:val="single" w:color="auto" w:sz="4" w:space="0"/>
            </w:tcBorders>
            <w:shd w:val="clear" w:color="auto" w:fill="FFFFFF"/>
          </w:tcPr>
          <w:p w14:paraId="58152034">
            <w:pPr>
              <w:rPr>
                <w:rFonts w:ascii="仿宋" w:hAnsi="仿宋" w:eastAsia="仿宋" w:cs="仿宋"/>
                <w:color w:val="auto"/>
                <w:sz w:val="10"/>
                <w:szCs w:val="10"/>
              </w:rPr>
            </w:pPr>
          </w:p>
        </w:tc>
      </w:tr>
      <w:tr w14:paraId="778CAD03">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2F1FDF47">
            <w:pPr>
              <w:pStyle w:val="38"/>
              <w:spacing w:line="240" w:lineRule="auto"/>
              <w:ind w:firstLine="220"/>
              <w:rPr>
                <w:rFonts w:ascii="仿宋" w:hAnsi="仿宋" w:eastAsia="仿宋" w:cs="仿宋"/>
                <w:color w:val="auto"/>
              </w:rPr>
            </w:pPr>
            <w:r>
              <w:rPr>
                <w:rFonts w:hint="eastAsia" w:ascii="仿宋" w:hAnsi="仿宋" w:eastAsia="仿宋" w:cs="仿宋"/>
                <w:color w:val="auto"/>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tcPr>
          <w:p w14:paraId="1039CDDB">
            <w:pPr>
              <w:rPr>
                <w:rFonts w:ascii="仿宋" w:hAnsi="仿宋" w:eastAsia="仿宋" w:cs="仿宋"/>
                <w:color w:val="auto"/>
                <w:sz w:val="10"/>
                <w:szCs w:val="10"/>
              </w:rPr>
            </w:pPr>
          </w:p>
        </w:tc>
      </w:tr>
    </w:tbl>
    <w:p w14:paraId="0BA57F85">
      <w:pPr>
        <w:rPr>
          <w:rFonts w:hint="eastAsia" w:ascii="仿宋" w:hAnsi="仿宋" w:eastAsia="仿宋" w:cs="仿宋"/>
          <w:color w:val="auto"/>
          <w:spacing w:val="-1"/>
          <w:lang w:eastAsia="zh-CN"/>
        </w:rPr>
      </w:pPr>
      <w:r>
        <w:rPr>
          <w:rFonts w:hint="eastAsia" w:ascii="仿宋" w:hAnsi="仿宋" w:eastAsia="仿宋" w:cs="仿宋"/>
          <w:color w:val="auto"/>
          <w:spacing w:val="-1"/>
        </w:rPr>
        <w:t>注：每个</w:t>
      </w:r>
      <w:r>
        <w:rPr>
          <w:rFonts w:hint="eastAsia" w:ascii="仿宋" w:hAnsi="仿宋" w:eastAsia="仿宋" w:cs="仿宋"/>
          <w:color w:val="auto"/>
          <w:spacing w:val="-1"/>
          <w:lang w:eastAsia="zh-CN"/>
        </w:rPr>
        <w:t>业绩</w:t>
      </w:r>
      <w:r>
        <w:rPr>
          <w:rFonts w:hint="eastAsia" w:ascii="仿宋" w:hAnsi="仿宋" w:eastAsia="仿宋" w:cs="仿宋"/>
          <w:color w:val="auto"/>
          <w:spacing w:val="-1"/>
        </w:rPr>
        <w:t>须单独附表，并附上</w:t>
      </w:r>
      <w:r>
        <w:rPr>
          <w:rFonts w:hint="eastAsia" w:ascii="仿宋" w:hAnsi="仿宋" w:eastAsia="仿宋" w:cs="仿宋"/>
          <w:color w:val="auto"/>
          <w:spacing w:val="-1"/>
          <w:lang w:eastAsia="zh-CN"/>
        </w:rPr>
        <w:t>合同或成交通知书</w:t>
      </w:r>
      <w:r>
        <w:rPr>
          <w:rFonts w:hint="eastAsia" w:ascii="仿宋" w:hAnsi="仿宋" w:eastAsia="仿宋" w:cs="仿宋"/>
          <w:color w:val="auto"/>
          <w:spacing w:val="-1"/>
        </w:rPr>
        <w:t>相关证明材料</w:t>
      </w:r>
      <w:r>
        <w:rPr>
          <w:rFonts w:hint="eastAsia" w:ascii="仿宋" w:hAnsi="仿宋" w:eastAsia="仿宋" w:cs="仿宋"/>
          <w:color w:val="auto"/>
          <w:spacing w:val="-1"/>
          <w:lang w:eastAsia="zh-CN"/>
        </w:rPr>
        <w:t>。</w:t>
      </w:r>
    </w:p>
    <w:p w14:paraId="32EE84FE">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rPr>
      </w:pPr>
    </w:p>
    <w:p w14:paraId="75E3F8B2">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rPr>
      </w:pPr>
    </w:p>
    <w:p w14:paraId="5D098E4E">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rPr>
      </w:pPr>
    </w:p>
    <w:p w14:paraId="11AACCAE">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 xml:space="preserve">   </w:t>
      </w:r>
      <w:r>
        <w:rPr>
          <w:rFonts w:hint="eastAsia" w:ascii="仿宋" w:hAnsi="仿宋" w:eastAsia="仿宋" w:cs="仿宋"/>
          <w:color w:val="auto"/>
          <w:w w:val="95"/>
          <w:sz w:val="24"/>
        </w:rPr>
        <w:t>（盖章）</w:t>
      </w:r>
      <w:r>
        <w:rPr>
          <w:rFonts w:hint="eastAsia" w:ascii="仿宋" w:hAnsi="仿宋" w:eastAsia="仿宋" w:cs="仿宋"/>
          <w:color w:val="auto"/>
          <w:sz w:val="24"/>
        </w:rPr>
        <w:t xml:space="preserve"> </w:t>
      </w:r>
    </w:p>
    <w:p w14:paraId="1EA4004E">
      <w:pPr>
        <w:pStyle w:val="7"/>
        <w:numPr>
          <w:ilvl w:val="0"/>
          <w:numId w:val="0"/>
        </w:numPr>
        <w:tabs>
          <w:tab w:val="left" w:pos="8227"/>
        </w:tabs>
        <w:kinsoku w:val="0"/>
        <w:overflowPunct w:val="0"/>
        <w:spacing w:line="381" w:lineRule="auto"/>
        <w:ind w:left="1680" w:right="118"/>
        <w:rPr>
          <w:rFonts w:ascii="仿宋" w:hAnsi="仿宋" w:eastAsia="仿宋" w:cs="仿宋"/>
          <w:color w:val="auto"/>
          <w:w w:val="95"/>
          <w:sz w:val="24"/>
        </w:rPr>
      </w:pPr>
      <w:r>
        <w:rPr>
          <w:rFonts w:hint="eastAsia" w:ascii="仿宋" w:hAnsi="仿宋" w:eastAsia="仿宋" w:cs="仿宋"/>
          <w:color w:val="auto"/>
          <w:sz w:val="24"/>
        </w:rPr>
        <w:t>法定代表人或被授权人：</w:t>
      </w:r>
      <w:r>
        <w:rPr>
          <w:rFonts w:hint="eastAsia" w:ascii="仿宋" w:hAnsi="仿宋" w:eastAsia="仿宋" w:cs="仿宋"/>
          <w:color w:val="auto"/>
          <w:sz w:val="24"/>
          <w:u w:val="single"/>
        </w:rPr>
        <w:tab/>
      </w:r>
      <w:r>
        <w:rPr>
          <w:rFonts w:hint="eastAsia" w:ascii="仿宋" w:hAnsi="仿宋" w:eastAsia="仿宋" w:cs="仿宋"/>
          <w:color w:val="auto"/>
          <w:sz w:val="24"/>
          <w:u w:val="single"/>
          <w:lang w:eastAsia="zh-CN"/>
        </w:rPr>
        <w:t>(</w:t>
      </w:r>
      <w:r>
        <w:rPr>
          <w:rFonts w:hint="eastAsia" w:ascii="仿宋" w:hAnsi="仿宋" w:eastAsia="仿宋" w:cs="仿宋"/>
          <w:color w:val="auto"/>
          <w:w w:val="95"/>
          <w:sz w:val="24"/>
          <w:lang w:eastAsia="zh-CN"/>
        </w:rPr>
        <w:t>签章</w:t>
      </w:r>
      <w:r>
        <w:rPr>
          <w:rFonts w:hint="eastAsia" w:ascii="仿宋" w:hAnsi="仿宋" w:eastAsia="仿宋" w:cs="仿宋"/>
          <w:color w:val="auto"/>
          <w:w w:val="95"/>
          <w:sz w:val="24"/>
        </w:rPr>
        <w:t>）</w:t>
      </w:r>
    </w:p>
    <w:p w14:paraId="27D104CA">
      <w:pPr>
        <w:pStyle w:val="7"/>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ab/>
      </w:r>
      <w:r>
        <w:rPr>
          <w:rFonts w:hint="eastAsia" w:ascii="仿宋" w:hAnsi="仿宋" w:eastAsia="仿宋" w:cs="仿宋"/>
          <w:color w:val="auto"/>
          <w:sz w:val="24"/>
        </w:rPr>
        <w:t>年</w:t>
      </w:r>
      <w:r>
        <w:rPr>
          <w:rFonts w:hint="eastAsia" w:ascii="仿宋" w:hAnsi="仿宋" w:eastAsia="仿宋" w:cs="仿宋"/>
          <w:color w:val="auto"/>
          <w:sz w:val="24"/>
          <w:u w:val="single"/>
        </w:rPr>
        <w:tab/>
      </w:r>
      <w:r>
        <w:rPr>
          <w:rFonts w:hint="eastAsia" w:ascii="仿宋" w:hAnsi="仿宋" w:eastAsia="仿宋" w:cs="仿宋"/>
          <w:color w:val="auto"/>
          <w:sz w:val="24"/>
        </w:rPr>
        <w:t>月</w:t>
      </w:r>
      <w:r>
        <w:rPr>
          <w:rFonts w:hint="eastAsia" w:ascii="仿宋" w:hAnsi="仿宋" w:eastAsia="仿宋" w:cs="仿宋"/>
          <w:color w:val="auto"/>
          <w:sz w:val="24"/>
          <w:u w:val="single"/>
        </w:rPr>
        <w:tab/>
      </w:r>
      <w:r>
        <w:rPr>
          <w:rFonts w:hint="eastAsia" w:ascii="仿宋" w:hAnsi="仿宋" w:eastAsia="仿宋" w:cs="仿宋"/>
          <w:color w:val="auto"/>
          <w:sz w:val="24"/>
        </w:rPr>
        <w:t>日</w:t>
      </w:r>
    </w:p>
    <w:p w14:paraId="1F39020E">
      <w:pPr>
        <w:pStyle w:val="36"/>
        <w:spacing w:after="580"/>
        <w:ind w:firstLine="360"/>
        <w:rPr>
          <w:rFonts w:ascii="仿宋" w:hAnsi="仿宋" w:eastAsia="仿宋" w:cs="仿宋"/>
          <w:color w:val="auto"/>
        </w:rPr>
      </w:pPr>
    </w:p>
    <w:p w14:paraId="5D92A9E7">
      <w:pPr>
        <w:pStyle w:val="37"/>
        <w:spacing w:line="440" w:lineRule="exact"/>
        <w:ind w:firstLine="0"/>
        <w:jc w:val="both"/>
        <w:rPr>
          <w:rFonts w:ascii="仿宋" w:hAnsi="仿宋" w:eastAsia="仿宋" w:cs="仿宋"/>
          <w:b/>
          <w:color w:val="auto"/>
          <w:sz w:val="30"/>
          <w:szCs w:val="30"/>
        </w:rPr>
      </w:pPr>
    </w:p>
    <w:p w14:paraId="3EE5D193">
      <w:pPr>
        <w:pStyle w:val="37"/>
        <w:spacing w:line="440" w:lineRule="exact"/>
        <w:ind w:firstLine="0"/>
        <w:jc w:val="both"/>
        <w:rPr>
          <w:rFonts w:ascii="仿宋" w:hAnsi="仿宋" w:eastAsia="仿宋" w:cs="仿宋"/>
          <w:b/>
          <w:color w:val="auto"/>
          <w:sz w:val="30"/>
          <w:szCs w:val="30"/>
        </w:rPr>
      </w:pPr>
    </w:p>
    <w:p w14:paraId="39D9646F">
      <w:pPr>
        <w:pStyle w:val="7"/>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494F4D68">
      <w:pPr>
        <w:rPr>
          <w:rFonts w:ascii="仿宋" w:hAnsi="仿宋" w:eastAsia="仿宋" w:cs="仿宋"/>
          <w:bCs/>
          <w:color w:val="auto"/>
          <w:sz w:val="36"/>
          <w:szCs w:val="36"/>
          <w:lang w:eastAsia="zh-CN"/>
        </w:rPr>
      </w:pPr>
    </w:p>
    <w:p w14:paraId="1170CBF3">
      <w:pPr>
        <w:pStyle w:val="29"/>
        <w:rPr>
          <w:color w:val="auto"/>
          <w:lang w:eastAsia="zh-CN"/>
        </w:rPr>
      </w:pPr>
    </w:p>
    <w:p w14:paraId="2BB5564C">
      <w:pPr>
        <w:pStyle w:val="31"/>
        <w:rPr>
          <w:rFonts w:ascii="仿宋" w:hAnsi="仿宋" w:eastAsia="仿宋" w:cs="仿宋"/>
          <w:bCs/>
          <w:color w:val="auto"/>
          <w:sz w:val="36"/>
          <w:szCs w:val="36"/>
          <w:lang w:eastAsia="zh-CN"/>
        </w:rPr>
      </w:pPr>
    </w:p>
    <w:p w14:paraId="319AA5E7">
      <w:pPr>
        <w:spacing w:line="360" w:lineRule="auto"/>
        <w:jc w:val="center"/>
        <w:rPr>
          <w:rFonts w:ascii="仿宋" w:hAnsi="仿宋" w:eastAsia="仿宋" w:cs="仿宋"/>
          <w:b/>
          <w:color w:val="auto"/>
          <w:sz w:val="32"/>
          <w:szCs w:val="32"/>
          <w:lang w:eastAsia="zh-CN"/>
        </w:rPr>
      </w:pPr>
      <w:r>
        <w:rPr>
          <w:rFonts w:hint="eastAsia" w:ascii="仿宋" w:hAnsi="仿宋" w:eastAsia="仿宋" w:cs="仿宋"/>
          <w:b/>
          <w:color w:val="auto"/>
          <w:sz w:val="36"/>
          <w:szCs w:val="36"/>
          <w:lang w:val="en-US" w:eastAsia="zh-CN"/>
        </w:rPr>
        <w:t>8</w:t>
      </w:r>
      <w:r>
        <w:rPr>
          <w:rFonts w:hint="eastAsia" w:ascii="仿宋" w:hAnsi="仿宋" w:eastAsia="仿宋" w:cs="仿宋"/>
          <w:b/>
          <w:color w:val="auto"/>
          <w:sz w:val="36"/>
          <w:szCs w:val="36"/>
          <w:lang w:eastAsia="zh-CN"/>
        </w:rPr>
        <w:t>、中小企业声明函(服务)</w:t>
      </w:r>
    </w:p>
    <w:p w14:paraId="75F64C4C">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338DB1B">
      <w:pPr>
        <w:pStyle w:val="31"/>
        <w:rPr>
          <w:rFonts w:ascii="仿宋" w:hAnsi="仿宋" w:eastAsia="仿宋" w:cs="仿宋"/>
          <w:color w:val="auto"/>
          <w:lang w:eastAsia="zh-CN"/>
        </w:rPr>
      </w:pPr>
    </w:p>
    <w:p w14:paraId="28006804">
      <w:pPr>
        <w:numPr>
          <w:ilvl w:val="0"/>
          <w:numId w:val="9"/>
        </w:num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 xml:space="preserve">（采购文件中明确的所属行业） </w:t>
      </w:r>
      <w:r>
        <w:rPr>
          <w:rFonts w:hint="eastAsia" w:ascii="仿宋" w:hAnsi="仿宋" w:eastAsia="仿宋" w:cs="仿宋"/>
          <w:color w:val="auto"/>
          <w:lang w:eastAsia="zh-CN"/>
        </w:rPr>
        <w:t>；承建（承接）企业为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（中型企业、小型企业、微型企业）；</w:t>
      </w:r>
    </w:p>
    <w:p w14:paraId="472BBCA2">
      <w:pPr>
        <w:pStyle w:val="31"/>
        <w:rPr>
          <w:rFonts w:ascii="仿宋" w:hAnsi="仿宋" w:eastAsia="仿宋" w:cs="仿宋"/>
          <w:color w:val="auto"/>
          <w:lang w:eastAsia="zh-CN"/>
        </w:rPr>
      </w:pPr>
    </w:p>
    <w:p w14:paraId="78C46DF7">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 xml:space="preserve">（采购文件中明确的所属行业） </w:t>
      </w:r>
      <w:r>
        <w:rPr>
          <w:rFonts w:hint="eastAsia" w:ascii="仿宋" w:hAnsi="仿宋" w:eastAsia="仿宋" w:cs="仿宋"/>
          <w:color w:val="auto"/>
          <w:lang w:eastAsia="zh-CN"/>
        </w:rPr>
        <w:t>；承建（承接）企业为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（中型企业、小型企业、微型企业）；</w:t>
      </w:r>
    </w:p>
    <w:p w14:paraId="460E1ABA">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14:paraId="38882A43">
      <w:pPr>
        <w:pStyle w:val="31"/>
        <w:rPr>
          <w:rFonts w:ascii="仿宋" w:hAnsi="仿宋" w:eastAsia="仿宋" w:cs="仿宋"/>
          <w:color w:val="auto"/>
          <w:lang w:eastAsia="zh-CN"/>
        </w:rPr>
      </w:pPr>
    </w:p>
    <w:p w14:paraId="40A36164">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14:paraId="5045E163">
      <w:pPr>
        <w:pStyle w:val="31"/>
        <w:rPr>
          <w:rFonts w:ascii="仿宋" w:hAnsi="仿宋" w:eastAsia="仿宋" w:cs="仿宋"/>
          <w:color w:val="auto"/>
          <w:lang w:eastAsia="zh-CN"/>
        </w:rPr>
      </w:pPr>
    </w:p>
    <w:p w14:paraId="36453997">
      <w:pPr>
        <w:spacing w:line="360" w:lineRule="auto"/>
        <w:ind w:firstLine="480" w:firstLineChars="200"/>
        <w:rPr>
          <w:rFonts w:ascii="仿宋" w:hAnsi="仿宋" w:eastAsia="仿宋" w:cs="仿宋"/>
          <w:color w:val="auto"/>
          <w:lang w:eastAsia="zh-CN"/>
        </w:rPr>
      </w:pPr>
    </w:p>
    <w:p w14:paraId="2EC65C98">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14:paraId="3DC25AA8">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14:paraId="63CFF814">
      <w:pPr>
        <w:pStyle w:val="31"/>
        <w:rPr>
          <w:rFonts w:ascii="仿宋" w:hAnsi="仿宋" w:eastAsia="仿宋" w:cs="仿宋"/>
          <w:color w:val="auto"/>
          <w:lang w:eastAsia="zh-CN"/>
        </w:rPr>
      </w:pPr>
    </w:p>
    <w:p w14:paraId="3A02FC53">
      <w:pPr>
        <w:spacing w:line="360" w:lineRule="auto"/>
        <w:ind w:firstLine="480" w:firstLineChars="200"/>
        <w:rPr>
          <w:rFonts w:ascii="仿宋" w:hAnsi="仿宋" w:eastAsia="仿宋" w:cs="仿宋"/>
          <w:color w:val="auto"/>
          <w:lang w:eastAsia="zh-CN"/>
        </w:rPr>
      </w:pPr>
    </w:p>
    <w:p w14:paraId="47447472">
      <w:pPr>
        <w:spacing w:line="360" w:lineRule="auto"/>
        <w:ind w:firstLine="456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14:paraId="6D4B089C">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14:paraId="76537DC5">
      <w:pPr>
        <w:pStyle w:val="17"/>
        <w:rPr>
          <w:rFonts w:ascii="仿宋" w:hAnsi="仿宋" w:eastAsia="仿宋" w:cs="仿宋"/>
          <w:color w:val="auto"/>
          <w:lang w:eastAsia="zh-CN"/>
        </w:rPr>
      </w:pPr>
    </w:p>
    <w:p w14:paraId="227F802C">
      <w:pPr>
        <w:pStyle w:val="17"/>
        <w:rPr>
          <w:rFonts w:ascii="仿宋" w:hAnsi="仿宋" w:eastAsia="仿宋" w:cs="仿宋"/>
          <w:color w:val="auto"/>
          <w:lang w:eastAsia="zh-CN"/>
        </w:rPr>
      </w:pPr>
    </w:p>
    <w:p w14:paraId="24E05CA6">
      <w:pPr>
        <w:pStyle w:val="17"/>
        <w:rPr>
          <w:rFonts w:ascii="仿宋" w:hAnsi="仿宋" w:eastAsia="仿宋" w:cs="仿宋"/>
          <w:color w:val="auto"/>
          <w:lang w:eastAsia="zh-CN"/>
        </w:rPr>
      </w:pPr>
    </w:p>
    <w:p w14:paraId="57CC4EAB">
      <w:pPr>
        <w:pStyle w:val="17"/>
        <w:rPr>
          <w:rFonts w:ascii="仿宋" w:hAnsi="仿宋" w:eastAsia="仿宋" w:cs="仿宋"/>
          <w:color w:val="auto"/>
          <w:lang w:eastAsia="zh-CN"/>
        </w:rPr>
      </w:pPr>
    </w:p>
    <w:p w14:paraId="245889A7">
      <w:pPr>
        <w:pStyle w:val="17"/>
        <w:rPr>
          <w:rFonts w:ascii="仿宋" w:hAnsi="仿宋" w:eastAsia="仿宋" w:cs="仿宋"/>
          <w:color w:val="auto"/>
          <w:lang w:eastAsia="zh-CN"/>
        </w:rPr>
      </w:pPr>
    </w:p>
    <w:p w14:paraId="60648082">
      <w:pPr>
        <w:pStyle w:val="17"/>
        <w:rPr>
          <w:rFonts w:ascii="仿宋" w:hAnsi="仿宋" w:eastAsia="仿宋" w:cs="仿宋"/>
          <w:color w:val="auto"/>
          <w:lang w:eastAsia="zh-CN"/>
        </w:rPr>
      </w:pPr>
    </w:p>
    <w:p w14:paraId="73BF1919">
      <w:pPr>
        <w:pStyle w:val="17"/>
        <w:rPr>
          <w:rFonts w:ascii="仿宋" w:hAnsi="仿宋" w:eastAsia="仿宋" w:cs="仿宋"/>
          <w:color w:val="auto"/>
          <w:lang w:eastAsia="zh-CN"/>
        </w:rPr>
      </w:pPr>
    </w:p>
    <w:p w14:paraId="03C47A3C">
      <w:pPr>
        <w:pStyle w:val="17"/>
        <w:rPr>
          <w:rFonts w:ascii="仿宋" w:hAnsi="仿宋" w:eastAsia="仿宋" w:cs="仿宋"/>
          <w:color w:val="auto"/>
          <w:lang w:eastAsia="zh-CN"/>
        </w:rPr>
      </w:pPr>
    </w:p>
    <w:p w14:paraId="6B5EE5CB">
      <w:pPr>
        <w:tabs>
          <w:tab w:val="left" w:pos="3600"/>
        </w:tabs>
        <w:adjustRightInd w:val="0"/>
        <w:snapToGrid w:val="0"/>
        <w:spacing w:line="440" w:lineRule="exact"/>
        <w:jc w:val="center"/>
        <w:rPr>
          <w:rFonts w:ascii="仿宋" w:hAnsi="仿宋" w:eastAsia="仿宋" w:cs="仿宋"/>
          <w:b/>
          <w:bCs/>
          <w:color w:val="auto"/>
          <w:spacing w:val="6"/>
          <w:sz w:val="36"/>
          <w:szCs w:val="36"/>
          <w:lang w:eastAsia="zh-CN"/>
        </w:rPr>
      </w:pPr>
      <w:r>
        <w:rPr>
          <w:rFonts w:hint="eastAsia" w:ascii="仿宋" w:hAnsi="仿宋" w:eastAsia="仿宋" w:cs="仿宋"/>
          <w:color w:val="auto"/>
          <w:sz w:val="36"/>
          <w:szCs w:val="36"/>
          <w:lang w:val="en-US" w:eastAsia="zh-CN"/>
        </w:rPr>
        <w:t>9</w:t>
      </w:r>
      <w:r>
        <w:rPr>
          <w:rFonts w:hint="eastAsia" w:ascii="仿宋" w:hAnsi="仿宋" w:eastAsia="仿宋" w:cs="仿宋"/>
          <w:color w:val="auto"/>
          <w:sz w:val="36"/>
          <w:szCs w:val="36"/>
          <w:lang w:eastAsia="zh-CN"/>
        </w:rPr>
        <w:t>、</w:t>
      </w:r>
      <w:r>
        <w:rPr>
          <w:rFonts w:hint="eastAsia" w:ascii="仿宋" w:hAnsi="仿宋" w:eastAsia="仿宋" w:cs="仿宋"/>
          <w:b/>
          <w:bCs/>
          <w:color w:val="auto"/>
          <w:spacing w:val="6"/>
          <w:sz w:val="36"/>
          <w:szCs w:val="36"/>
          <w:lang w:eastAsia="zh-CN"/>
        </w:rPr>
        <w:t>残疾人福利性单位声明函</w:t>
      </w:r>
    </w:p>
    <w:p w14:paraId="56F53239">
      <w:pPr>
        <w:widowControl/>
        <w:adjustRightInd w:val="0"/>
        <w:snapToGrid w:val="0"/>
        <w:spacing w:line="440" w:lineRule="exact"/>
        <w:ind w:firstLine="504" w:firstLineChars="200"/>
        <w:rPr>
          <w:rFonts w:ascii="仿宋" w:hAnsi="仿宋" w:eastAsia="仿宋" w:cs="仿宋"/>
          <w:color w:val="auto"/>
          <w:spacing w:val="6"/>
          <w:lang w:eastAsia="zh-CN"/>
        </w:rPr>
      </w:pPr>
    </w:p>
    <w:p w14:paraId="7044EDB9">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单位的</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项目采购活动提供本单位制造的货物（由本单位承担工程/提供服务），或者提供其他残疾人福利性单位制造的货物（不包括使用非残疾人福利性单位注册商标的货物）。</w:t>
      </w:r>
    </w:p>
    <w:p w14:paraId="32E8DE87">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本单位对上述声明的真实性负责。如有虚假，将依法承担相应责任。</w:t>
      </w:r>
    </w:p>
    <w:p w14:paraId="3D389B32">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w:t>
      </w:r>
    </w:p>
    <w:p w14:paraId="2CE6723B">
      <w:pPr>
        <w:widowControl/>
        <w:adjustRightInd w:val="0"/>
        <w:snapToGrid w:val="0"/>
        <w:spacing w:line="440" w:lineRule="exact"/>
        <w:ind w:firstLine="5544" w:firstLineChars="2200"/>
        <w:rPr>
          <w:rFonts w:ascii="仿宋" w:hAnsi="仿宋" w:eastAsia="仿宋" w:cs="仿宋"/>
          <w:color w:val="auto"/>
          <w:spacing w:val="6"/>
          <w:lang w:eastAsia="zh-CN"/>
        </w:rPr>
      </w:pPr>
      <w:r>
        <w:rPr>
          <w:rFonts w:hint="eastAsia" w:ascii="仿宋" w:hAnsi="仿宋" w:eastAsia="仿宋" w:cs="仿宋"/>
          <w:color w:val="auto"/>
          <w:spacing w:val="6"/>
          <w:lang w:eastAsia="zh-CN"/>
        </w:rPr>
        <w:t>单位名称（盖章）：</w:t>
      </w:r>
    </w:p>
    <w:p w14:paraId="7AF1D5FA">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日  期：</w:t>
      </w:r>
    </w:p>
    <w:p w14:paraId="08BEF254">
      <w:pPr>
        <w:pStyle w:val="3"/>
        <w:numPr>
          <w:ilvl w:val="1"/>
          <w:numId w:val="0"/>
        </w:numPr>
        <w:spacing w:line="240" w:lineRule="atLeast"/>
        <w:jc w:val="left"/>
        <w:rPr>
          <w:rFonts w:ascii="仿宋" w:hAnsi="仿宋" w:eastAsia="仿宋" w:cs="仿宋"/>
          <w:bCs/>
          <w:color w:val="auto"/>
          <w:sz w:val="24"/>
          <w:lang w:eastAsia="zh-CN"/>
        </w:rPr>
      </w:pPr>
    </w:p>
    <w:p w14:paraId="0C2C6F3D">
      <w:pPr>
        <w:pStyle w:val="3"/>
        <w:numPr>
          <w:ilvl w:val="1"/>
          <w:numId w:val="0"/>
        </w:numPr>
        <w:spacing w:line="240" w:lineRule="atLeast"/>
        <w:jc w:val="left"/>
        <w:rPr>
          <w:rFonts w:ascii="仿宋" w:hAnsi="仿宋" w:eastAsia="仿宋" w:cs="仿宋"/>
          <w:bCs/>
          <w:color w:val="auto"/>
          <w:sz w:val="24"/>
          <w:lang w:eastAsia="zh-CN"/>
        </w:rPr>
      </w:pPr>
    </w:p>
    <w:p w14:paraId="11FDAD6D">
      <w:pPr>
        <w:pStyle w:val="3"/>
        <w:numPr>
          <w:ilvl w:val="1"/>
          <w:numId w:val="0"/>
        </w:numPr>
        <w:spacing w:line="240" w:lineRule="atLeast"/>
        <w:jc w:val="left"/>
        <w:rPr>
          <w:rFonts w:ascii="仿宋" w:hAnsi="仿宋" w:eastAsia="仿宋" w:cs="仿宋"/>
          <w:bCs/>
          <w:color w:val="auto"/>
          <w:sz w:val="24"/>
          <w:lang w:eastAsia="zh-CN"/>
        </w:rPr>
      </w:pPr>
    </w:p>
    <w:p w14:paraId="0917FDC3">
      <w:pPr>
        <w:rPr>
          <w:rFonts w:ascii="仿宋" w:hAnsi="仿宋" w:eastAsia="仿宋" w:cs="仿宋"/>
          <w:b/>
          <w:bCs/>
          <w:color w:val="auto"/>
          <w:lang w:eastAsia="zh-CN"/>
        </w:rPr>
      </w:pPr>
    </w:p>
    <w:p w14:paraId="48F91A57">
      <w:pPr>
        <w:pStyle w:val="31"/>
        <w:rPr>
          <w:rFonts w:ascii="仿宋" w:hAnsi="仿宋" w:eastAsia="仿宋" w:cs="仿宋"/>
          <w:b/>
          <w:bCs/>
          <w:color w:val="auto"/>
          <w:lang w:eastAsia="zh-CN"/>
        </w:rPr>
      </w:pPr>
    </w:p>
    <w:p w14:paraId="03197F5C">
      <w:pPr>
        <w:pStyle w:val="31"/>
        <w:rPr>
          <w:rFonts w:ascii="仿宋" w:hAnsi="仿宋" w:eastAsia="仿宋" w:cs="仿宋"/>
          <w:b/>
          <w:bCs/>
          <w:color w:val="auto"/>
          <w:lang w:eastAsia="zh-CN"/>
        </w:rPr>
      </w:pPr>
    </w:p>
    <w:p w14:paraId="27296837">
      <w:pPr>
        <w:pStyle w:val="31"/>
        <w:rPr>
          <w:rFonts w:ascii="仿宋" w:hAnsi="仿宋" w:eastAsia="仿宋" w:cs="仿宋"/>
          <w:b/>
          <w:bCs/>
          <w:color w:val="auto"/>
          <w:lang w:eastAsia="zh-CN"/>
        </w:rPr>
      </w:pPr>
    </w:p>
    <w:p w14:paraId="25840CFA">
      <w:pPr>
        <w:pStyle w:val="31"/>
        <w:rPr>
          <w:rFonts w:ascii="仿宋" w:hAnsi="仿宋" w:eastAsia="仿宋" w:cs="仿宋"/>
          <w:b/>
          <w:bCs/>
          <w:color w:val="auto"/>
          <w:lang w:eastAsia="zh-CN"/>
        </w:rPr>
      </w:pPr>
    </w:p>
    <w:p w14:paraId="5BD4B308">
      <w:pPr>
        <w:pStyle w:val="31"/>
        <w:rPr>
          <w:rFonts w:ascii="仿宋" w:hAnsi="仿宋" w:eastAsia="仿宋" w:cs="仿宋"/>
          <w:b/>
          <w:bCs/>
          <w:color w:val="auto"/>
          <w:lang w:eastAsia="zh-CN"/>
        </w:rPr>
      </w:pPr>
    </w:p>
    <w:p w14:paraId="140581CD">
      <w:pPr>
        <w:pStyle w:val="31"/>
        <w:rPr>
          <w:rFonts w:ascii="仿宋" w:hAnsi="仿宋" w:eastAsia="仿宋" w:cs="仿宋"/>
          <w:b/>
          <w:bCs/>
          <w:color w:val="auto"/>
          <w:lang w:eastAsia="zh-CN"/>
        </w:rPr>
      </w:pPr>
    </w:p>
    <w:p w14:paraId="06FBCC7E">
      <w:pPr>
        <w:pStyle w:val="31"/>
        <w:rPr>
          <w:rFonts w:ascii="仿宋" w:hAnsi="仿宋" w:eastAsia="仿宋" w:cs="仿宋"/>
          <w:b/>
          <w:bCs/>
          <w:color w:val="auto"/>
          <w:lang w:eastAsia="zh-CN"/>
        </w:rPr>
      </w:pPr>
    </w:p>
    <w:p w14:paraId="5EA5C6E3">
      <w:pPr>
        <w:pStyle w:val="31"/>
        <w:rPr>
          <w:rFonts w:ascii="仿宋" w:hAnsi="仿宋" w:eastAsia="仿宋" w:cs="仿宋"/>
          <w:b/>
          <w:bCs/>
          <w:color w:val="auto"/>
          <w:lang w:eastAsia="zh-CN"/>
        </w:rPr>
      </w:pPr>
    </w:p>
    <w:p w14:paraId="6FFCA448">
      <w:pPr>
        <w:pStyle w:val="31"/>
        <w:rPr>
          <w:rFonts w:ascii="仿宋" w:hAnsi="仿宋" w:eastAsia="仿宋" w:cs="仿宋"/>
          <w:b/>
          <w:bCs/>
          <w:color w:val="auto"/>
          <w:lang w:eastAsia="zh-CN"/>
        </w:rPr>
      </w:pPr>
    </w:p>
    <w:p w14:paraId="22F1EE26">
      <w:pPr>
        <w:pStyle w:val="31"/>
        <w:rPr>
          <w:rFonts w:ascii="仿宋" w:hAnsi="仿宋" w:eastAsia="仿宋" w:cs="仿宋"/>
          <w:b/>
          <w:bCs/>
          <w:color w:val="auto"/>
          <w:lang w:eastAsia="zh-CN"/>
        </w:rPr>
      </w:pPr>
    </w:p>
    <w:p w14:paraId="368167A3">
      <w:pPr>
        <w:pStyle w:val="31"/>
        <w:rPr>
          <w:rFonts w:ascii="仿宋" w:hAnsi="仿宋" w:eastAsia="仿宋" w:cs="仿宋"/>
          <w:b/>
          <w:bCs/>
          <w:color w:val="auto"/>
          <w:lang w:eastAsia="zh-CN"/>
        </w:rPr>
      </w:pPr>
    </w:p>
    <w:p w14:paraId="1F6A6433">
      <w:pPr>
        <w:pStyle w:val="31"/>
        <w:rPr>
          <w:rFonts w:ascii="仿宋" w:hAnsi="仿宋" w:eastAsia="仿宋" w:cs="仿宋"/>
          <w:b/>
          <w:bCs/>
          <w:color w:val="auto"/>
          <w:lang w:eastAsia="zh-CN"/>
        </w:rPr>
      </w:pPr>
    </w:p>
    <w:p w14:paraId="1D06070C">
      <w:pPr>
        <w:pStyle w:val="31"/>
        <w:rPr>
          <w:rFonts w:ascii="仿宋" w:hAnsi="仿宋" w:eastAsia="仿宋" w:cs="仿宋"/>
          <w:b/>
          <w:bCs/>
          <w:color w:val="auto"/>
          <w:lang w:eastAsia="zh-CN"/>
        </w:rPr>
      </w:pPr>
    </w:p>
    <w:p w14:paraId="1BF13BA4">
      <w:pPr>
        <w:pStyle w:val="31"/>
        <w:rPr>
          <w:rFonts w:ascii="仿宋" w:hAnsi="仿宋" w:eastAsia="仿宋" w:cs="仿宋"/>
          <w:b/>
          <w:bCs/>
          <w:color w:val="auto"/>
          <w:lang w:eastAsia="zh-CN"/>
        </w:rPr>
      </w:pPr>
    </w:p>
    <w:p w14:paraId="1FBAB094">
      <w:pPr>
        <w:pStyle w:val="31"/>
        <w:rPr>
          <w:rFonts w:ascii="仿宋" w:hAnsi="仿宋" w:eastAsia="仿宋" w:cs="仿宋"/>
          <w:b/>
          <w:bCs/>
          <w:color w:val="auto"/>
          <w:lang w:eastAsia="zh-CN"/>
        </w:rPr>
      </w:pPr>
    </w:p>
    <w:p w14:paraId="0A751929">
      <w:pPr>
        <w:pStyle w:val="31"/>
        <w:rPr>
          <w:rFonts w:ascii="仿宋" w:hAnsi="仿宋" w:eastAsia="仿宋" w:cs="仿宋"/>
          <w:b/>
          <w:bCs/>
          <w:color w:val="auto"/>
          <w:lang w:eastAsia="zh-CN"/>
        </w:rPr>
      </w:pPr>
    </w:p>
    <w:p w14:paraId="4A552B0F">
      <w:pPr>
        <w:pStyle w:val="31"/>
        <w:rPr>
          <w:rFonts w:ascii="仿宋" w:hAnsi="仿宋" w:eastAsia="仿宋" w:cs="仿宋"/>
          <w:b/>
          <w:bCs/>
          <w:color w:val="auto"/>
          <w:lang w:eastAsia="zh-CN"/>
        </w:rPr>
      </w:pPr>
    </w:p>
    <w:p w14:paraId="03698005">
      <w:pPr>
        <w:pStyle w:val="3"/>
        <w:numPr>
          <w:ilvl w:val="1"/>
          <w:numId w:val="0"/>
        </w:numPr>
        <w:spacing w:line="240" w:lineRule="atLeast"/>
        <w:jc w:val="left"/>
        <w:rPr>
          <w:rFonts w:ascii="仿宋" w:hAnsi="仿宋" w:eastAsia="仿宋" w:cs="仿宋"/>
          <w:bCs/>
          <w:color w:val="auto"/>
          <w:sz w:val="24"/>
          <w:lang w:eastAsia="zh-CN"/>
        </w:rPr>
      </w:pPr>
    </w:p>
    <w:p w14:paraId="17C2DACA">
      <w:pPr>
        <w:tabs>
          <w:tab w:val="left" w:pos="3600"/>
        </w:tabs>
        <w:adjustRightInd w:val="0"/>
        <w:snapToGrid w:val="0"/>
        <w:spacing w:line="440" w:lineRule="exact"/>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val="en-US" w:eastAsia="zh-CN"/>
        </w:rPr>
        <w:t>10</w:t>
      </w:r>
      <w:r>
        <w:rPr>
          <w:rFonts w:hint="eastAsia" w:ascii="仿宋" w:hAnsi="仿宋" w:eastAsia="仿宋" w:cs="仿宋"/>
          <w:b/>
          <w:bCs/>
          <w:color w:val="auto"/>
          <w:sz w:val="36"/>
          <w:szCs w:val="36"/>
          <w:lang w:eastAsia="zh-CN"/>
        </w:rPr>
        <w:t>、评分标准和细则中技术部分证明材料（格式自拟</w:t>
      </w:r>
      <w:r>
        <w:rPr>
          <w:rFonts w:hint="eastAsia" w:ascii="仿宋" w:hAnsi="仿宋" w:eastAsia="仿宋" w:cs="仿宋"/>
          <w:color w:val="auto"/>
          <w:sz w:val="36"/>
          <w:szCs w:val="36"/>
          <w:lang w:eastAsia="zh-CN"/>
        </w:rPr>
        <w:t>）</w:t>
      </w:r>
    </w:p>
    <w:p w14:paraId="3FDADBD3">
      <w:pPr>
        <w:pStyle w:val="3"/>
        <w:numPr>
          <w:ilvl w:val="1"/>
          <w:numId w:val="0"/>
        </w:numPr>
        <w:spacing w:line="240" w:lineRule="atLeast"/>
        <w:ind w:left="617" w:leftChars="257"/>
        <w:rPr>
          <w:rFonts w:ascii="仿宋" w:hAnsi="仿宋" w:eastAsia="仿宋" w:cs="仿宋"/>
          <w:color w:val="auto"/>
          <w:sz w:val="24"/>
          <w:lang w:eastAsia="zh-CN"/>
        </w:rPr>
      </w:pPr>
    </w:p>
    <w:p w14:paraId="27E17196">
      <w:pPr>
        <w:spacing w:line="440" w:lineRule="exact"/>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评分标准和细则中技术部分</w:t>
      </w:r>
      <w:r>
        <w:rPr>
          <w:rFonts w:hint="eastAsia" w:ascii="仿宋" w:hAnsi="仿宋" w:eastAsia="仿宋" w:cs="仿宋"/>
          <w:color w:val="auto"/>
          <w:lang w:eastAsia="zh-CN"/>
        </w:rPr>
        <w:t>要求的其他资格证明文件（主要包括：技术指标参数及功能要求</w:t>
      </w:r>
      <w:r>
        <w:rPr>
          <w:rFonts w:hint="eastAsia" w:ascii="仿宋" w:hAnsi="仿宋" w:eastAsia="仿宋" w:cs="仿宋"/>
          <w:color w:val="auto"/>
          <w:szCs w:val="21"/>
          <w:lang w:eastAsia="zh-CN" w:bidi="ar-SA"/>
        </w:rPr>
        <w:t>等</w:t>
      </w:r>
      <w:r>
        <w:rPr>
          <w:rFonts w:hint="eastAsia" w:ascii="仿宋" w:hAnsi="仿宋" w:eastAsia="仿宋" w:cs="仿宋"/>
          <w:color w:val="auto"/>
          <w:lang w:eastAsia="zh-CN"/>
        </w:rPr>
        <w:t>）。</w:t>
      </w:r>
    </w:p>
    <w:p w14:paraId="5E8CE423">
      <w:pPr>
        <w:pStyle w:val="10"/>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44C82EEF">
      <w:pPr>
        <w:pStyle w:val="4"/>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4D5CEC60">
      <w:pPr>
        <w:rPr>
          <w:rFonts w:ascii="仿宋" w:hAnsi="仿宋" w:eastAsia="仿宋" w:cs="仿宋"/>
          <w:color w:val="auto"/>
          <w:lang w:eastAsia="zh-CN"/>
        </w:rPr>
      </w:pPr>
    </w:p>
    <w:p w14:paraId="4E99BBC3">
      <w:pPr>
        <w:pStyle w:val="3"/>
        <w:numPr>
          <w:ilvl w:val="1"/>
          <w:numId w:val="0"/>
        </w:numPr>
        <w:spacing w:line="240" w:lineRule="atLeast"/>
        <w:ind w:left="617" w:leftChars="257"/>
        <w:rPr>
          <w:rFonts w:ascii="仿宋" w:hAnsi="仿宋" w:eastAsia="仿宋" w:cs="仿宋"/>
          <w:color w:val="auto"/>
          <w:sz w:val="24"/>
          <w:lang w:eastAsia="zh-CN"/>
        </w:rPr>
      </w:pPr>
    </w:p>
    <w:p w14:paraId="79E83407">
      <w:pPr>
        <w:tabs>
          <w:tab w:val="left" w:pos="3600"/>
        </w:tabs>
        <w:adjustRightInd w:val="0"/>
        <w:snapToGrid w:val="0"/>
        <w:spacing w:line="440" w:lineRule="exact"/>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lang w:eastAsia="zh-CN"/>
        </w:rPr>
        <w:t>、评分标准和细则中商务部分证明材料（格式自拟）</w:t>
      </w:r>
    </w:p>
    <w:p w14:paraId="429DA2C1">
      <w:pPr>
        <w:pStyle w:val="10"/>
        <w:tabs>
          <w:tab w:val="left" w:pos="5580"/>
        </w:tabs>
        <w:spacing w:line="240" w:lineRule="atLeast"/>
        <w:rPr>
          <w:rFonts w:ascii="仿宋" w:hAnsi="仿宋" w:eastAsia="仿宋" w:cs="仿宋"/>
          <w:color w:val="auto"/>
          <w:lang w:eastAsia="zh-CN"/>
        </w:rPr>
      </w:pPr>
    </w:p>
    <w:p w14:paraId="41CC45C7">
      <w:pPr>
        <w:spacing w:line="440" w:lineRule="exact"/>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评分标准和细则中商务部分</w:t>
      </w:r>
      <w:r>
        <w:rPr>
          <w:rFonts w:hint="eastAsia" w:ascii="仿宋" w:hAnsi="仿宋" w:eastAsia="仿宋" w:cs="仿宋"/>
          <w:color w:val="auto"/>
          <w:lang w:eastAsia="zh-CN"/>
        </w:rPr>
        <w:t>要求的其他资格证明文件（主要包括：</w:t>
      </w:r>
      <w:r>
        <w:rPr>
          <w:rFonts w:hint="eastAsia" w:ascii="仿宋" w:hAnsi="仿宋" w:eastAsia="仿宋" w:cs="仿宋"/>
          <w:color w:val="auto"/>
          <w:sz w:val="24"/>
          <w:szCs w:val="24"/>
          <w:lang w:eastAsia="zh-CN"/>
        </w:rPr>
        <w:t xml:space="preserve">技术方案 </w:t>
      </w:r>
      <w:r>
        <w:rPr>
          <w:rFonts w:hint="eastAsia" w:ascii="仿宋" w:hAnsi="仿宋" w:eastAsia="仿宋" w:cs="仿宋"/>
          <w:color w:val="auto"/>
          <w:lang w:eastAsia="zh-CN"/>
        </w:rPr>
        <w:t>、企业实力、企业业绩、</w:t>
      </w:r>
      <w:r>
        <w:rPr>
          <w:rFonts w:hint="eastAsia" w:ascii="仿宋" w:hAnsi="仿宋" w:eastAsia="仿宋" w:cs="仿宋"/>
          <w:color w:val="auto"/>
          <w:kern w:val="2"/>
          <w:sz w:val="24"/>
          <w:szCs w:val="24"/>
          <w:lang w:eastAsia="zh-CN" w:bidi="ar-SA"/>
        </w:rPr>
        <w:t>人员配置</w:t>
      </w:r>
      <w:r>
        <w:rPr>
          <w:rFonts w:hint="eastAsia" w:ascii="仿宋" w:hAnsi="仿宋" w:eastAsia="仿宋" w:cs="仿宋"/>
          <w:color w:val="auto"/>
          <w:lang w:eastAsia="zh-CN"/>
        </w:rPr>
        <w:t>等）。</w:t>
      </w:r>
    </w:p>
    <w:p w14:paraId="4A3CF723">
      <w:pPr>
        <w:pStyle w:val="10"/>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5532A19D">
      <w:pPr>
        <w:pStyle w:val="3"/>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5A4A00F7">
      <w:pPr>
        <w:pStyle w:val="3"/>
        <w:numPr>
          <w:ilvl w:val="1"/>
          <w:numId w:val="0"/>
        </w:numPr>
        <w:spacing w:line="240" w:lineRule="atLeast"/>
        <w:jc w:val="left"/>
        <w:rPr>
          <w:rFonts w:ascii="仿宋" w:hAnsi="仿宋" w:eastAsia="仿宋" w:cs="仿宋"/>
          <w:bCs/>
          <w:color w:val="auto"/>
          <w:sz w:val="24"/>
          <w:lang w:eastAsia="zh-CN"/>
        </w:rPr>
      </w:pPr>
    </w:p>
    <w:p w14:paraId="759F7EF2">
      <w:pPr>
        <w:pStyle w:val="3"/>
        <w:numPr>
          <w:ilvl w:val="1"/>
          <w:numId w:val="0"/>
        </w:numPr>
        <w:spacing w:line="240" w:lineRule="atLeast"/>
        <w:jc w:val="left"/>
        <w:rPr>
          <w:rFonts w:ascii="仿宋" w:hAnsi="仿宋" w:eastAsia="仿宋" w:cs="仿宋"/>
          <w:bCs/>
          <w:color w:val="auto"/>
          <w:sz w:val="24"/>
          <w:lang w:eastAsia="zh-CN"/>
        </w:rPr>
      </w:pPr>
    </w:p>
    <w:p w14:paraId="42CCC445">
      <w:pPr>
        <w:rPr>
          <w:rFonts w:ascii="仿宋" w:hAnsi="仿宋" w:eastAsia="仿宋" w:cs="仿宋"/>
          <w:color w:val="auto"/>
          <w:lang w:eastAsia="zh-CN"/>
        </w:rPr>
      </w:pPr>
    </w:p>
    <w:p w14:paraId="56E759EA">
      <w:pPr>
        <w:pStyle w:val="3"/>
        <w:numPr>
          <w:ilvl w:val="1"/>
          <w:numId w:val="0"/>
        </w:numPr>
        <w:spacing w:line="240" w:lineRule="atLeast"/>
        <w:jc w:val="left"/>
        <w:rPr>
          <w:rFonts w:ascii="仿宋" w:hAnsi="仿宋" w:eastAsia="仿宋" w:cs="仿宋"/>
          <w:bCs/>
          <w:color w:val="auto"/>
          <w:sz w:val="24"/>
          <w:lang w:eastAsia="zh-CN"/>
        </w:rPr>
      </w:pPr>
    </w:p>
    <w:p w14:paraId="5977101B">
      <w:pPr>
        <w:pStyle w:val="3"/>
        <w:numPr>
          <w:ilvl w:val="1"/>
          <w:numId w:val="0"/>
        </w:numPr>
        <w:spacing w:line="240" w:lineRule="atLeast"/>
        <w:jc w:val="left"/>
        <w:rPr>
          <w:rFonts w:ascii="仿宋" w:hAnsi="仿宋" w:eastAsia="仿宋" w:cs="仿宋"/>
          <w:bCs/>
          <w:color w:val="auto"/>
          <w:sz w:val="24"/>
          <w:lang w:eastAsia="zh-CN"/>
        </w:rPr>
      </w:pPr>
    </w:p>
    <w:p w14:paraId="7B4FE082">
      <w:pPr>
        <w:tabs>
          <w:tab w:val="left" w:pos="3600"/>
        </w:tabs>
        <w:adjustRightInd w:val="0"/>
        <w:snapToGrid w:val="0"/>
        <w:spacing w:line="440" w:lineRule="exact"/>
        <w:jc w:val="center"/>
        <w:rPr>
          <w:rFonts w:ascii="仿宋" w:hAnsi="仿宋" w:eastAsia="仿宋" w:cs="仿宋"/>
          <w:b/>
          <w:bCs/>
          <w:color w:val="auto"/>
          <w:w w:val="90"/>
          <w:sz w:val="36"/>
          <w:szCs w:val="36"/>
          <w:lang w:eastAsia="zh-CN"/>
        </w:rPr>
      </w:pPr>
      <w:r>
        <w:rPr>
          <w:rFonts w:hint="eastAsia" w:ascii="仿宋" w:hAnsi="仿宋" w:eastAsia="仿宋" w:cs="仿宋"/>
          <w:b/>
          <w:bCs/>
          <w:color w:val="auto"/>
          <w:sz w:val="36"/>
          <w:szCs w:val="36"/>
          <w:lang w:eastAsia="zh-CN"/>
        </w:rPr>
        <w:t>1</w:t>
      </w: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lang w:eastAsia="zh-CN"/>
        </w:rPr>
        <w:t>、</w:t>
      </w:r>
      <w:r>
        <w:rPr>
          <w:rFonts w:hint="eastAsia" w:ascii="仿宋" w:hAnsi="仿宋" w:eastAsia="仿宋" w:cs="仿宋"/>
          <w:b/>
          <w:bCs/>
          <w:color w:val="auto"/>
          <w:w w:val="90"/>
          <w:sz w:val="36"/>
          <w:szCs w:val="36"/>
          <w:lang w:eastAsia="zh-CN"/>
        </w:rPr>
        <w:t>供应商认为有必要提供的其他证明材料（格式自拟）</w:t>
      </w:r>
    </w:p>
    <w:p w14:paraId="644A4C50">
      <w:pPr>
        <w:pStyle w:val="10"/>
        <w:tabs>
          <w:tab w:val="left" w:pos="5580"/>
        </w:tabs>
        <w:spacing w:line="240" w:lineRule="atLeast"/>
        <w:ind w:firstLine="480" w:firstLineChars="200"/>
        <w:rPr>
          <w:rFonts w:ascii="仿宋" w:hAnsi="仿宋" w:eastAsia="仿宋" w:cs="仿宋"/>
          <w:color w:val="auto"/>
          <w:lang w:eastAsia="zh-CN"/>
        </w:rPr>
      </w:pPr>
    </w:p>
    <w:p w14:paraId="582F354F">
      <w:pPr>
        <w:pStyle w:val="10"/>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14:paraId="42DC8056">
      <w:pPr>
        <w:pStyle w:val="11"/>
        <w:ind w:left="2880"/>
        <w:rPr>
          <w:rFonts w:ascii="仿宋" w:hAnsi="仿宋" w:eastAsia="仿宋" w:cs="仿宋"/>
          <w:color w:val="auto"/>
          <w:lang w:eastAsia="zh-C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76D59">
    <w:pPr>
      <w:pStyle w:val="14"/>
      <w:ind w:right="360"/>
      <w:jc w:val="both"/>
    </w:pPr>
    <w:r>
      <w:rPr>
        <w:sz w:val="16"/>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C55D0C"/>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74C55D0C"/>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49328">
    <w:pPr>
      <w:pStyle w:val="14"/>
      <w:ind w:right="360"/>
      <w:jc w:val="both"/>
    </w:pPr>
    <w:r>
      <w:rPr>
        <w:sz w:val="16"/>
        <w:lang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F2579B">
                          <w:pPr>
                            <w:pStyle w:val="1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55F2579B">
                    <w:pPr>
                      <w:pStyle w:val="14"/>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3A54">
    <w:pPr>
      <w:pStyle w:val="14"/>
      <w:ind w:right="360"/>
      <w:jc w:val="both"/>
    </w:pPr>
    <w:r>
      <w:rPr>
        <w:sz w:val="13"/>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E0BC7E">
                          <w:pPr>
                            <w:pStyle w:val="1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14:paraId="2FE0BC7E">
                    <w:pPr>
                      <w:pStyle w:val="14"/>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sz w:val="13"/>
        <w:szCs w:val="13"/>
      </w:rPr>
      <w:t xml:space="preserve"> </w:t>
    </w:r>
    <w:r>
      <w:rPr>
        <w:rFonts w:hint="eastAsia"/>
      </w:rPr>
      <w:t xml:space="preserve">  </w:t>
    </w:r>
  </w:p>
  <w:p w14:paraId="336D432A">
    <w:pPr>
      <w:pStyle w:val="14"/>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69A82">
    <w:pPr>
      <w:pStyle w:val="14"/>
    </w:pPr>
    <w:r>
      <w:rPr>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CF0C75">
                          <w:pPr>
                            <w:pStyle w:val="1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06CF0C75">
                    <w:pPr>
                      <w:pStyle w:val="1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6EACD">
    <w:pPr>
      <w:pStyle w:val="15"/>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3BEA6">
    <w:pPr>
      <w:pStyle w:val="15"/>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E65E">
    <w:pPr>
      <w:pStyle w:val="15"/>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C11C6E7"/>
    <w:multiLevelType w:val="singleLevel"/>
    <w:tmpl w:val="CC11C6E7"/>
    <w:lvl w:ilvl="0" w:tentative="0">
      <w:start w:val="7"/>
      <w:numFmt w:val="chineseCounting"/>
      <w:suff w:val="nothing"/>
      <w:lvlText w:val="%1、"/>
      <w:lvlJc w:val="left"/>
      <w:rPr>
        <w:rFonts w:hint="eastAsia"/>
      </w:rPr>
    </w:lvl>
  </w:abstractNum>
  <w:abstractNum w:abstractNumId="2">
    <w:nsid w:val="CF0DAD01"/>
    <w:multiLevelType w:val="singleLevel"/>
    <w:tmpl w:val="CF0DAD01"/>
    <w:lvl w:ilvl="0" w:tentative="0">
      <w:start w:val="1"/>
      <w:numFmt w:val="decimal"/>
      <w:suff w:val="space"/>
      <w:lvlText w:val="%1."/>
      <w:lvlJc w:val="left"/>
    </w:lvl>
  </w:abstractNum>
  <w:abstractNum w:abstractNumId="3">
    <w:nsid w:val="0000000D"/>
    <w:multiLevelType w:val="multilevel"/>
    <w:tmpl w:val="0000000D"/>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8734CA6"/>
    <w:multiLevelType w:val="singleLevel"/>
    <w:tmpl w:val="18734CA6"/>
    <w:lvl w:ilvl="0" w:tentative="0">
      <w:start w:val="2"/>
      <w:numFmt w:val="chineseCounting"/>
      <w:suff w:val="nothing"/>
      <w:lvlText w:val="%1、"/>
      <w:lvlJc w:val="left"/>
      <w:rPr>
        <w:rFonts w:hint="eastAsia"/>
      </w:r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69B2113E"/>
    <w:multiLevelType w:val="multilevel"/>
    <w:tmpl w:val="69B2113E"/>
    <w:lvl w:ilvl="0" w:tentative="0">
      <w:start w:val="1"/>
      <w:numFmt w:val="chineseCountingThousand"/>
      <w:pStyle w:val="16"/>
      <w:suff w:val="space"/>
      <w:lvlText w:val="(%1)"/>
      <w:lvlJc w:val="left"/>
      <w:pPr>
        <w:ind w:left="1942" w:hanging="982"/>
      </w:pPr>
    </w:lvl>
    <w:lvl w:ilvl="1" w:tentative="0">
      <w:start w:val="1"/>
      <w:numFmt w:val="lowerLetter"/>
      <w:lvlText w:val="%2)"/>
      <w:lvlJc w:val="left"/>
      <w:pPr>
        <w:ind w:left="1882" w:hanging="420"/>
      </w:pPr>
    </w:lvl>
    <w:lvl w:ilvl="2" w:tentative="0">
      <w:start w:val="1"/>
      <w:numFmt w:val="lowerRoman"/>
      <w:lvlText w:val="%3."/>
      <w:lvlJc w:val="right"/>
      <w:pPr>
        <w:ind w:left="2302" w:hanging="420"/>
      </w:pPr>
    </w:lvl>
    <w:lvl w:ilvl="3" w:tentative="0">
      <w:start w:val="1"/>
      <w:numFmt w:val="decimal"/>
      <w:lvlText w:val="%4."/>
      <w:lvlJc w:val="left"/>
      <w:pPr>
        <w:ind w:left="2722" w:hanging="420"/>
      </w:pPr>
    </w:lvl>
    <w:lvl w:ilvl="4" w:tentative="0">
      <w:start w:val="1"/>
      <w:numFmt w:val="lowerLetter"/>
      <w:lvlText w:val="%5)"/>
      <w:lvlJc w:val="left"/>
      <w:pPr>
        <w:ind w:left="3142" w:hanging="420"/>
      </w:pPr>
    </w:lvl>
    <w:lvl w:ilvl="5" w:tentative="0">
      <w:start w:val="1"/>
      <w:numFmt w:val="lowerRoman"/>
      <w:lvlText w:val="%6."/>
      <w:lvlJc w:val="right"/>
      <w:pPr>
        <w:ind w:left="3562" w:hanging="420"/>
      </w:pPr>
    </w:lvl>
    <w:lvl w:ilvl="6" w:tentative="0">
      <w:start w:val="1"/>
      <w:numFmt w:val="decimal"/>
      <w:lvlText w:val="%7."/>
      <w:lvlJc w:val="left"/>
      <w:pPr>
        <w:ind w:left="3982" w:hanging="420"/>
      </w:pPr>
    </w:lvl>
    <w:lvl w:ilvl="7" w:tentative="0">
      <w:start w:val="1"/>
      <w:numFmt w:val="lowerLetter"/>
      <w:lvlText w:val="%8)"/>
      <w:lvlJc w:val="left"/>
      <w:pPr>
        <w:ind w:left="4402" w:hanging="420"/>
      </w:pPr>
    </w:lvl>
    <w:lvl w:ilvl="8" w:tentative="0">
      <w:start w:val="1"/>
      <w:numFmt w:val="lowerRoman"/>
      <w:lvlText w:val="%9."/>
      <w:lvlJc w:val="right"/>
      <w:pPr>
        <w:ind w:left="4822" w:hanging="420"/>
      </w:pPr>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7"/>
  </w:num>
  <w:num w:numId="3">
    <w:abstractNumId w:val="5"/>
  </w:num>
  <w:num w:numId="4">
    <w:abstractNumId w:val="1"/>
  </w:num>
  <w:num w:numId="5">
    <w:abstractNumId w:val="6"/>
  </w:num>
  <w:num w:numId="6">
    <w:abstractNumId w:val="4"/>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NGJkMjkxZDQzMGFhNzBiMDk4ODQyOWJmZDE3YzIifQ=="/>
  </w:docVars>
  <w:rsids>
    <w:rsidRoot w:val="430832B2"/>
    <w:rsid w:val="00036274"/>
    <w:rsid w:val="00065F1A"/>
    <w:rsid w:val="000E4DA7"/>
    <w:rsid w:val="000E7277"/>
    <w:rsid w:val="00153D08"/>
    <w:rsid w:val="001909B2"/>
    <w:rsid w:val="001E67F0"/>
    <w:rsid w:val="00232484"/>
    <w:rsid w:val="00366967"/>
    <w:rsid w:val="00370057"/>
    <w:rsid w:val="003B3386"/>
    <w:rsid w:val="004259D8"/>
    <w:rsid w:val="00450906"/>
    <w:rsid w:val="00461E17"/>
    <w:rsid w:val="00471CA4"/>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76956"/>
    <w:rsid w:val="008849F7"/>
    <w:rsid w:val="008D1783"/>
    <w:rsid w:val="008D66BB"/>
    <w:rsid w:val="009143D6"/>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714B1"/>
    <w:rsid w:val="00FB6C7A"/>
    <w:rsid w:val="00FE2AAE"/>
    <w:rsid w:val="0123584C"/>
    <w:rsid w:val="014631E4"/>
    <w:rsid w:val="014A6B6C"/>
    <w:rsid w:val="014F6266"/>
    <w:rsid w:val="0190027D"/>
    <w:rsid w:val="019D168E"/>
    <w:rsid w:val="01CF0060"/>
    <w:rsid w:val="01E44B68"/>
    <w:rsid w:val="02156133"/>
    <w:rsid w:val="021D4D1D"/>
    <w:rsid w:val="02614ACA"/>
    <w:rsid w:val="02C170CB"/>
    <w:rsid w:val="02E7054D"/>
    <w:rsid w:val="03120DC1"/>
    <w:rsid w:val="03152839"/>
    <w:rsid w:val="031E5CDD"/>
    <w:rsid w:val="03531E23"/>
    <w:rsid w:val="035508BA"/>
    <w:rsid w:val="03735124"/>
    <w:rsid w:val="039D2197"/>
    <w:rsid w:val="042A106A"/>
    <w:rsid w:val="04E10ED2"/>
    <w:rsid w:val="050F221F"/>
    <w:rsid w:val="051E7B81"/>
    <w:rsid w:val="0591547A"/>
    <w:rsid w:val="05CE725F"/>
    <w:rsid w:val="05D26519"/>
    <w:rsid w:val="05E43238"/>
    <w:rsid w:val="06141E47"/>
    <w:rsid w:val="062E44A1"/>
    <w:rsid w:val="06385AA9"/>
    <w:rsid w:val="063B7194"/>
    <w:rsid w:val="068F23C3"/>
    <w:rsid w:val="06A20D46"/>
    <w:rsid w:val="072C60C0"/>
    <w:rsid w:val="073826E5"/>
    <w:rsid w:val="074F6B51"/>
    <w:rsid w:val="07581523"/>
    <w:rsid w:val="08050D39"/>
    <w:rsid w:val="08253C96"/>
    <w:rsid w:val="08323FEC"/>
    <w:rsid w:val="0845254C"/>
    <w:rsid w:val="085D5AE7"/>
    <w:rsid w:val="086504F8"/>
    <w:rsid w:val="08A37CA5"/>
    <w:rsid w:val="08F00085"/>
    <w:rsid w:val="091D420B"/>
    <w:rsid w:val="09231976"/>
    <w:rsid w:val="093F2ABC"/>
    <w:rsid w:val="09406633"/>
    <w:rsid w:val="095073FA"/>
    <w:rsid w:val="0958005D"/>
    <w:rsid w:val="09B17236"/>
    <w:rsid w:val="09E92566"/>
    <w:rsid w:val="0A007485"/>
    <w:rsid w:val="0A1514FC"/>
    <w:rsid w:val="0A226110"/>
    <w:rsid w:val="0A271261"/>
    <w:rsid w:val="0A622E54"/>
    <w:rsid w:val="0A982D0F"/>
    <w:rsid w:val="0AEC1713"/>
    <w:rsid w:val="0AFE7394"/>
    <w:rsid w:val="0B213EE8"/>
    <w:rsid w:val="0B2F3756"/>
    <w:rsid w:val="0B472137"/>
    <w:rsid w:val="0B641CFB"/>
    <w:rsid w:val="0B941400"/>
    <w:rsid w:val="0B9E39F1"/>
    <w:rsid w:val="0BB54396"/>
    <w:rsid w:val="0BE91440"/>
    <w:rsid w:val="0BF26C44"/>
    <w:rsid w:val="0C1429D4"/>
    <w:rsid w:val="0C5719E5"/>
    <w:rsid w:val="0CA24947"/>
    <w:rsid w:val="0D533015"/>
    <w:rsid w:val="0D9030DE"/>
    <w:rsid w:val="0D9378B6"/>
    <w:rsid w:val="0DE35329"/>
    <w:rsid w:val="0E3E1813"/>
    <w:rsid w:val="0F155B5C"/>
    <w:rsid w:val="0FA22205"/>
    <w:rsid w:val="10015291"/>
    <w:rsid w:val="10685029"/>
    <w:rsid w:val="114227C7"/>
    <w:rsid w:val="116457F1"/>
    <w:rsid w:val="11814820"/>
    <w:rsid w:val="12326DC2"/>
    <w:rsid w:val="127C76B1"/>
    <w:rsid w:val="12891287"/>
    <w:rsid w:val="12FF5684"/>
    <w:rsid w:val="130308CA"/>
    <w:rsid w:val="1312560D"/>
    <w:rsid w:val="132C218A"/>
    <w:rsid w:val="13B81ECA"/>
    <w:rsid w:val="13CD729B"/>
    <w:rsid w:val="13D55805"/>
    <w:rsid w:val="13F84D28"/>
    <w:rsid w:val="142B46CE"/>
    <w:rsid w:val="14602089"/>
    <w:rsid w:val="14841E5F"/>
    <w:rsid w:val="14953EB8"/>
    <w:rsid w:val="14CD6092"/>
    <w:rsid w:val="1525173B"/>
    <w:rsid w:val="153C6A85"/>
    <w:rsid w:val="156D1711"/>
    <w:rsid w:val="159F732A"/>
    <w:rsid w:val="15BD7BC5"/>
    <w:rsid w:val="15C31338"/>
    <w:rsid w:val="15CE7349"/>
    <w:rsid w:val="15E42BDF"/>
    <w:rsid w:val="15E839EB"/>
    <w:rsid w:val="16010E59"/>
    <w:rsid w:val="161F5E7F"/>
    <w:rsid w:val="163634D4"/>
    <w:rsid w:val="167B61DA"/>
    <w:rsid w:val="16A31AA6"/>
    <w:rsid w:val="171F0B4E"/>
    <w:rsid w:val="172577D0"/>
    <w:rsid w:val="177C6818"/>
    <w:rsid w:val="178644DD"/>
    <w:rsid w:val="17881C02"/>
    <w:rsid w:val="17EB3771"/>
    <w:rsid w:val="18226406"/>
    <w:rsid w:val="18A90629"/>
    <w:rsid w:val="18FE29CF"/>
    <w:rsid w:val="1910625E"/>
    <w:rsid w:val="19445F08"/>
    <w:rsid w:val="19791440"/>
    <w:rsid w:val="198D3D53"/>
    <w:rsid w:val="19D24BCD"/>
    <w:rsid w:val="19F35DD2"/>
    <w:rsid w:val="1A5E3F75"/>
    <w:rsid w:val="1A6A7BF0"/>
    <w:rsid w:val="1A6C043C"/>
    <w:rsid w:val="1AA14F3E"/>
    <w:rsid w:val="1ACD57BB"/>
    <w:rsid w:val="1AFE16C7"/>
    <w:rsid w:val="1B027E29"/>
    <w:rsid w:val="1B242B60"/>
    <w:rsid w:val="1B2938B4"/>
    <w:rsid w:val="1B3867B7"/>
    <w:rsid w:val="1B481EA2"/>
    <w:rsid w:val="1B526E30"/>
    <w:rsid w:val="1B5A42F2"/>
    <w:rsid w:val="1BA46EB4"/>
    <w:rsid w:val="1BE65325"/>
    <w:rsid w:val="1BF54431"/>
    <w:rsid w:val="1C191BC6"/>
    <w:rsid w:val="1C641A5B"/>
    <w:rsid w:val="1C770BAC"/>
    <w:rsid w:val="1C8812E8"/>
    <w:rsid w:val="1CBF4223"/>
    <w:rsid w:val="1CC048D1"/>
    <w:rsid w:val="1CFF3DC8"/>
    <w:rsid w:val="1D28001A"/>
    <w:rsid w:val="1D3A57C8"/>
    <w:rsid w:val="1D6F5759"/>
    <w:rsid w:val="1D910095"/>
    <w:rsid w:val="1DDE4B7D"/>
    <w:rsid w:val="1E435DE1"/>
    <w:rsid w:val="1E6813A9"/>
    <w:rsid w:val="1E6900E2"/>
    <w:rsid w:val="1E6D1634"/>
    <w:rsid w:val="1ECE4F82"/>
    <w:rsid w:val="1EE5064C"/>
    <w:rsid w:val="1F262D19"/>
    <w:rsid w:val="1F5B26D6"/>
    <w:rsid w:val="1F6007D8"/>
    <w:rsid w:val="1F983CDF"/>
    <w:rsid w:val="1FB748C5"/>
    <w:rsid w:val="20013B70"/>
    <w:rsid w:val="203828DD"/>
    <w:rsid w:val="20746CEC"/>
    <w:rsid w:val="20801F1B"/>
    <w:rsid w:val="2096561A"/>
    <w:rsid w:val="209D4381"/>
    <w:rsid w:val="20EC3454"/>
    <w:rsid w:val="218454A5"/>
    <w:rsid w:val="21F7470F"/>
    <w:rsid w:val="220E65E1"/>
    <w:rsid w:val="22561186"/>
    <w:rsid w:val="22965E6B"/>
    <w:rsid w:val="22AE28BF"/>
    <w:rsid w:val="22D700DE"/>
    <w:rsid w:val="22F917C9"/>
    <w:rsid w:val="23226B91"/>
    <w:rsid w:val="23287712"/>
    <w:rsid w:val="232F1D60"/>
    <w:rsid w:val="23463622"/>
    <w:rsid w:val="235A0020"/>
    <w:rsid w:val="235B1AD6"/>
    <w:rsid w:val="23696C97"/>
    <w:rsid w:val="23874BA3"/>
    <w:rsid w:val="23D5113E"/>
    <w:rsid w:val="242923FE"/>
    <w:rsid w:val="245B2E54"/>
    <w:rsid w:val="24BD1F5B"/>
    <w:rsid w:val="25002F8D"/>
    <w:rsid w:val="252C3B2C"/>
    <w:rsid w:val="25546BA5"/>
    <w:rsid w:val="25550156"/>
    <w:rsid w:val="255B0195"/>
    <w:rsid w:val="255E41D9"/>
    <w:rsid w:val="256D43FD"/>
    <w:rsid w:val="25722260"/>
    <w:rsid w:val="25C1100C"/>
    <w:rsid w:val="25FB512C"/>
    <w:rsid w:val="262B2929"/>
    <w:rsid w:val="265C0D35"/>
    <w:rsid w:val="267D2FA7"/>
    <w:rsid w:val="26D37563"/>
    <w:rsid w:val="27013906"/>
    <w:rsid w:val="274B4345"/>
    <w:rsid w:val="2759752E"/>
    <w:rsid w:val="27641FEC"/>
    <w:rsid w:val="283D072F"/>
    <w:rsid w:val="286B44D3"/>
    <w:rsid w:val="28A30E9D"/>
    <w:rsid w:val="290F6532"/>
    <w:rsid w:val="291C049E"/>
    <w:rsid w:val="291F0973"/>
    <w:rsid w:val="293710DF"/>
    <w:rsid w:val="29384AB9"/>
    <w:rsid w:val="29477A7A"/>
    <w:rsid w:val="294E1863"/>
    <w:rsid w:val="29EC3DAC"/>
    <w:rsid w:val="29F20F87"/>
    <w:rsid w:val="2A015314"/>
    <w:rsid w:val="2A2953D2"/>
    <w:rsid w:val="2A482069"/>
    <w:rsid w:val="2A6779B3"/>
    <w:rsid w:val="2A6F2C28"/>
    <w:rsid w:val="2A991128"/>
    <w:rsid w:val="2AB303AA"/>
    <w:rsid w:val="2ADC5AFD"/>
    <w:rsid w:val="2AE56C24"/>
    <w:rsid w:val="2AF23A16"/>
    <w:rsid w:val="2AF552B4"/>
    <w:rsid w:val="2AF9470D"/>
    <w:rsid w:val="2B2A724C"/>
    <w:rsid w:val="2B762634"/>
    <w:rsid w:val="2B97636B"/>
    <w:rsid w:val="2BD650E5"/>
    <w:rsid w:val="2C302A48"/>
    <w:rsid w:val="2C5031C9"/>
    <w:rsid w:val="2C5E4EFD"/>
    <w:rsid w:val="2CBC252D"/>
    <w:rsid w:val="2CBE5289"/>
    <w:rsid w:val="2D107FD9"/>
    <w:rsid w:val="2D1B0C53"/>
    <w:rsid w:val="2D1F486A"/>
    <w:rsid w:val="2D261D28"/>
    <w:rsid w:val="2D380A40"/>
    <w:rsid w:val="2D3D212F"/>
    <w:rsid w:val="2D7E66F1"/>
    <w:rsid w:val="2D95546D"/>
    <w:rsid w:val="2DB43A1E"/>
    <w:rsid w:val="2DF1140A"/>
    <w:rsid w:val="2E1B0C2F"/>
    <w:rsid w:val="2E2D19AE"/>
    <w:rsid w:val="2E3662A3"/>
    <w:rsid w:val="2E764B34"/>
    <w:rsid w:val="2F265E4E"/>
    <w:rsid w:val="2F5A7DDB"/>
    <w:rsid w:val="2F664B0F"/>
    <w:rsid w:val="2FA50B1C"/>
    <w:rsid w:val="2FAD33C2"/>
    <w:rsid w:val="31A16195"/>
    <w:rsid w:val="31C54436"/>
    <w:rsid w:val="31DE4CF4"/>
    <w:rsid w:val="32157CE1"/>
    <w:rsid w:val="3221486C"/>
    <w:rsid w:val="32387E25"/>
    <w:rsid w:val="32A82970"/>
    <w:rsid w:val="32F60913"/>
    <w:rsid w:val="335B1D88"/>
    <w:rsid w:val="335C76C1"/>
    <w:rsid w:val="3464452F"/>
    <w:rsid w:val="34AC63E7"/>
    <w:rsid w:val="34F903B8"/>
    <w:rsid w:val="34FB0AA2"/>
    <w:rsid w:val="351A6043"/>
    <w:rsid w:val="35427B0F"/>
    <w:rsid w:val="35447AEC"/>
    <w:rsid w:val="356B5D1D"/>
    <w:rsid w:val="357F49FA"/>
    <w:rsid w:val="358B081F"/>
    <w:rsid w:val="35FC548C"/>
    <w:rsid w:val="35FE5964"/>
    <w:rsid w:val="36121410"/>
    <w:rsid w:val="36443DE3"/>
    <w:rsid w:val="36637EBD"/>
    <w:rsid w:val="36A4475E"/>
    <w:rsid w:val="36AA5E0A"/>
    <w:rsid w:val="36CA0C5E"/>
    <w:rsid w:val="371C74DF"/>
    <w:rsid w:val="372E04CB"/>
    <w:rsid w:val="374E6478"/>
    <w:rsid w:val="37520F41"/>
    <w:rsid w:val="3762161D"/>
    <w:rsid w:val="378679C0"/>
    <w:rsid w:val="378F65A8"/>
    <w:rsid w:val="37A12630"/>
    <w:rsid w:val="37AC319E"/>
    <w:rsid w:val="37D00869"/>
    <w:rsid w:val="37D44BCF"/>
    <w:rsid w:val="37EE3E36"/>
    <w:rsid w:val="38083993"/>
    <w:rsid w:val="381664E2"/>
    <w:rsid w:val="384F4255"/>
    <w:rsid w:val="38895400"/>
    <w:rsid w:val="38915CB6"/>
    <w:rsid w:val="38BD4DB8"/>
    <w:rsid w:val="38C56C0D"/>
    <w:rsid w:val="38D46E50"/>
    <w:rsid w:val="38DE52AC"/>
    <w:rsid w:val="39A77BA6"/>
    <w:rsid w:val="39C07B4A"/>
    <w:rsid w:val="3A1273C6"/>
    <w:rsid w:val="3A2E54CE"/>
    <w:rsid w:val="3A4F678F"/>
    <w:rsid w:val="3A5E2E76"/>
    <w:rsid w:val="3A6D6A80"/>
    <w:rsid w:val="3AE06945"/>
    <w:rsid w:val="3AF764E0"/>
    <w:rsid w:val="3B1339F6"/>
    <w:rsid w:val="3B7F7C46"/>
    <w:rsid w:val="3BA743A8"/>
    <w:rsid w:val="3BBA063F"/>
    <w:rsid w:val="3BDE19D1"/>
    <w:rsid w:val="3C893FAF"/>
    <w:rsid w:val="3CA827C1"/>
    <w:rsid w:val="3CAD59EE"/>
    <w:rsid w:val="3CB52AF5"/>
    <w:rsid w:val="3CDA4418"/>
    <w:rsid w:val="3CE753A4"/>
    <w:rsid w:val="3D015D3A"/>
    <w:rsid w:val="3D38095E"/>
    <w:rsid w:val="3D723DD3"/>
    <w:rsid w:val="3D751F42"/>
    <w:rsid w:val="3DA87F4F"/>
    <w:rsid w:val="3E941710"/>
    <w:rsid w:val="3EBD182C"/>
    <w:rsid w:val="3F6A3151"/>
    <w:rsid w:val="3F6B53E1"/>
    <w:rsid w:val="3F874C1D"/>
    <w:rsid w:val="3FBD5E0C"/>
    <w:rsid w:val="3FE644B0"/>
    <w:rsid w:val="3FFB4297"/>
    <w:rsid w:val="40153FD6"/>
    <w:rsid w:val="403F2E01"/>
    <w:rsid w:val="40814B23"/>
    <w:rsid w:val="408E72C3"/>
    <w:rsid w:val="408E7BCF"/>
    <w:rsid w:val="40AB15B8"/>
    <w:rsid w:val="40B26236"/>
    <w:rsid w:val="40C14C05"/>
    <w:rsid w:val="40F04347"/>
    <w:rsid w:val="416359C8"/>
    <w:rsid w:val="41681350"/>
    <w:rsid w:val="416F668A"/>
    <w:rsid w:val="419378A9"/>
    <w:rsid w:val="419F6662"/>
    <w:rsid w:val="41A72D03"/>
    <w:rsid w:val="41B47C47"/>
    <w:rsid w:val="41BC55E0"/>
    <w:rsid w:val="41BF069E"/>
    <w:rsid w:val="41FF6CC9"/>
    <w:rsid w:val="420B7389"/>
    <w:rsid w:val="423563C7"/>
    <w:rsid w:val="42B3048E"/>
    <w:rsid w:val="42C57370"/>
    <w:rsid w:val="42DC702D"/>
    <w:rsid w:val="430832B2"/>
    <w:rsid w:val="43144276"/>
    <w:rsid w:val="43264088"/>
    <w:rsid w:val="43333AFF"/>
    <w:rsid w:val="434308F8"/>
    <w:rsid w:val="434966C0"/>
    <w:rsid w:val="43603D96"/>
    <w:rsid w:val="437C4518"/>
    <w:rsid w:val="43900453"/>
    <w:rsid w:val="43CB7C06"/>
    <w:rsid w:val="43CE514A"/>
    <w:rsid w:val="43F26816"/>
    <w:rsid w:val="44024872"/>
    <w:rsid w:val="445769C9"/>
    <w:rsid w:val="445D038C"/>
    <w:rsid w:val="44637696"/>
    <w:rsid w:val="44740DA7"/>
    <w:rsid w:val="44C7578F"/>
    <w:rsid w:val="44D31AB8"/>
    <w:rsid w:val="45111167"/>
    <w:rsid w:val="4517597F"/>
    <w:rsid w:val="45442C68"/>
    <w:rsid w:val="454815E5"/>
    <w:rsid w:val="4573648C"/>
    <w:rsid w:val="45780D85"/>
    <w:rsid w:val="457C2033"/>
    <w:rsid w:val="463F789E"/>
    <w:rsid w:val="466A125B"/>
    <w:rsid w:val="467632F5"/>
    <w:rsid w:val="46994235"/>
    <w:rsid w:val="46A2549B"/>
    <w:rsid w:val="46A95479"/>
    <w:rsid w:val="46B856BC"/>
    <w:rsid w:val="46F77B89"/>
    <w:rsid w:val="46FD7572"/>
    <w:rsid w:val="47042CA1"/>
    <w:rsid w:val="4743767B"/>
    <w:rsid w:val="4757256C"/>
    <w:rsid w:val="47981F8D"/>
    <w:rsid w:val="479E023F"/>
    <w:rsid w:val="47B64E90"/>
    <w:rsid w:val="47F15329"/>
    <w:rsid w:val="47FC6E81"/>
    <w:rsid w:val="487B3318"/>
    <w:rsid w:val="48975D85"/>
    <w:rsid w:val="48B93029"/>
    <w:rsid w:val="48E56134"/>
    <w:rsid w:val="49493351"/>
    <w:rsid w:val="49726A4B"/>
    <w:rsid w:val="49F034CA"/>
    <w:rsid w:val="4A076C56"/>
    <w:rsid w:val="4A0946B2"/>
    <w:rsid w:val="4A431F7F"/>
    <w:rsid w:val="4A711501"/>
    <w:rsid w:val="4AA86C07"/>
    <w:rsid w:val="4AAF0341"/>
    <w:rsid w:val="4ADE5F63"/>
    <w:rsid w:val="4AE253FD"/>
    <w:rsid w:val="4B097E96"/>
    <w:rsid w:val="4B105AC6"/>
    <w:rsid w:val="4B3E34E1"/>
    <w:rsid w:val="4B7B64DF"/>
    <w:rsid w:val="4BA10E14"/>
    <w:rsid w:val="4BB73B85"/>
    <w:rsid w:val="4BF478AD"/>
    <w:rsid w:val="4C17384D"/>
    <w:rsid w:val="4C257A37"/>
    <w:rsid w:val="4C64712B"/>
    <w:rsid w:val="4C700EF1"/>
    <w:rsid w:val="4C760354"/>
    <w:rsid w:val="4C7C6C96"/>
    <w:rsid w:val="4CC17176"/>
    <w:rsid w:val="4D7F6F33"/>
    <w:rsid w:val="4D8B58D8"/>
    <w:rsid w:val="4DA80CD9"/>
    <w:rsid w:val="4DF50B78"/>
    <w:rsid w:val="4DF616CB"/>
    <w:rsid w:val="4E514AB5"/>
    <w:rsid w:val="4E6938E7"/>
    <w:rsid w:val="4E6A5759"/>
    <w:rsid w:val="4E701DC0"/>
    <w:rsid w:val="4E705ACE"/>
    <w:rsid w:val="4E740418"/>
    <w:rsid w:val="4E93713A"/>
    <w:rsid w:val="4EBB21ED"/>
    <w:rsid w:val="4ECA741E"/>
    <w:rsid w:val="4EDA6A05"/>
    <w:rsid w:val="4F006719"/>
    <w:rsid w:val="4F2E489B"/>
    <w:rsid w:val="4F4C72E9"/>
    <w:rsid w:val="4F5166AD"/>
    <w:rsid w:val="4F5D25FD"/>
    <w:rsid w:val="4F643265"/>
    <w:rsid w:val="4F741231"/>
    <w:rsid w:val="4FB41D44"/>
    <w:rsid w:val="4FB93303"/>
    <w:rsid w:val="4FBC32D6"/>
    <w:rsid w:val="4FCC1812"/>
    <w:rsid w:val="50105D76"/>
    <w:rsid w:val="503713A6"/>
    <w:rsid w:val="50BF6E81"/>
    <w:rsid w:val="50C304E5"/>
    <w:rsid w:val="50FF0870"/>
    <w:rsid w:val="51256043"/>
    <w:rsid w:val="5131339E"/>
    <w:rsid w:val="513D513B"/>
    <w:rsid w:val="513F080C"/>
    <w:rsid w:val="518E2B89"/>
    <w:rsid w:val="52085FA2"/>
    <w:rsid w:val="523D7A9D"/>
    <w:rsid w:val="52654DCD"/>
    <w:rsid w:val="5296795B"/>
    <w:rsid w:val="52DA541F"/>
    <w:rsid w:val="5306542C"/>
    <w:rsid w:val="533662E6"/>
    <w:rsid w:val="53390376"/>
    <w:rsid w:val="533A2B75"/>
    <w:rsid w:val="533C1C56"/>
    <w:rsid w:val="53564DC6"/>
    <w:rsid w:val="53842532"/>
    <w:rsid w:val="540A24A6"/>
    <w:rsid w:val="541D6439"/>
    <w:rsid w:val="54210B62"/>
    <w:rsid w:val="546A09A4"/>
    <w:rsid w:val="549E4143"/>
    <w:rsid w:val="552535BC"/>
    <w:rsid w:val="553813F1"/>
    <w:rsid w:val="557E3F74"/>
    <w:rsid w:val="55821076"/>
    <w:rsid w:val="56493792"/>
    <w:rsid w:val="56777341"/>
    <w:rsid w:val="56D402F0"/>
    <w:rsid w:val="572F4B71"/>
    <w:rsid w:val="575329D5"/>
    <w:rsid w:val="58317C08"/>
    <w:rsid w:val="58555460"/>
    <w:rsid w:val="58D41A42"/>
    <w:rsid w:val="594015B1"/>
    <w:rsid w:val="59554FEC"/>
    <w:rsid w:val="595A0DC1"/>
    <w:rsid w:val="596D4A2C"/>
    <w:rsid w:val="599B0EFC"/>
    <w:rsid w:val="59A25CBB"/>
    <w:rsid w:val="59B241EC"/>
    <w:rsid w:val="59BD150F"/>
    <w:rsid w:val="5A130C2C"/>
    <w:rsid w:val="5A39563D"/>
    <w:rsid w:val="5A5B4884"/>
    <w:rsid w:val="5AC66491"/>
    <w:rsid w:val="5AE0581C"/>
    <w:rsid w:val="5AE96334"/>
    <w:rsid w:val="5AF30F60"/>
    <w:rsid w:val="5B31213F"/>
    <w:rsid w:val="5B5B4DF1"/>
    <w:rsid w:val="5B5F738D"/>
    <w:rsid w:val="5B70435F"/>
    <w:rsid w:val="5BA54009"/>
    <w:rsid w:val="5BB32D18"/>
    <w:rsid w:val="5BE43388"/>
    <w:rsid w:val="5C643EC4"/>
    <w:rsid w:val="5CCF1148"/>
    <w:rsid w:val="5CD53D28"/>
    <w:rsid w:val="5CF61922"/>
    <w:rsid w:val="5D0460DC"/>
    <w:rsid w:val="5D2366CB"/>
    <w:rsid w:val="5D3331A6"/>
    <w:rsid w:val="5D5173CF"/>
    <w:rsid w:val="5D79399F"/>
    <w:rsid w:val="5D8363D2"/>
    <w:rsid w:val="5D8774BB"/>
    <w:rsid w:val="5D8A153C"/>
    <w:rsid w:val="5DE1497B"/>
    <w:rsid w:val="5E135BA1"/>
    <w:rsid w:val="5E1D1079"/>
    <w:rsid w:val="5E211941"/>
    <w:rsid w:val="5E4C4EB1"/>
    <w:rsid w:val="5E6D59C3"/>
    <w:rsid w:val="5E9341CF"/>
    <w:rsid w:val="5E9C0CBE"/>
    <w:rsid w:val="5EDA6373"/>
    <w:rsid w:val="5EF46D8B"/>
    <w:rsid w:val="5EFB7CF4"/>
    <w:rsid w:val="5F0C50F0"/>
    <w:rsid w:val="5F5A15AE"/>
    <w:rsid w:val="5F9C1BC7"/>
    <w:rsid w:val="5FFB68ED"/>
    <w:rsid w:val="6012249B"/>
    <w:rsid w:val="601F4136"/>
    <w:rsid w:val="6022031E"/>
    <w:rsid w:val="60AA69DE"/>
    <w:rsid w:val="61137122"/>
    <w:rsid w:val="61183C2B"/>
    <w:rsid w:val="617D1400"/>
    <w:rsid w:val="61903A3C"/>
    <w:rsid w:val="61C24BFD"/>
    <w:rsid w:val="61DB0771"/>
    <w:rsid w:val="634A483E"/>
    <w:rsid w:val="637846F9"/>
    <w:rsid w:val="637A3FCD"/>
    <w:rsid w:val="639747FA"/>
    <w:rsid w:val="63C51B85"/>
    <w:rsid w:val="642B45E0"/>
    <w:rsid w:val="64604EAC"/>
    <w:rsid w:val="64740A1C"/>
    <w:rsid w:val="647F41B9"/>
    <w:rsid w:val="64805FF8"/>
    <w:rsid w:val="64D7429C"/>
    <w:rsid w:val="65434447"/>
    <w:rsid w:val="65933A05"/>
    <w:rsid w:val="65BA4B55"/>
    <w:rsid w:val="65D200F0"/>
    <w:rsid w:val="65D3795C"/>
    <w:rsid w:val="65F73581"/>
    <w:rsid w:val="66457796"/>
    <w:rsid w:val="66A5387A"/>
    <w:rsid w:val="66C2621A"/>
    <w:rsid w:val="66C45466"/>
    <w:rsid w:val="66F10A4A"/>
    <w:rsid w:val="67144738"/>
    <w:rsid w:val="67537CF0"/>
    <w:rsid w:val="67656B1B"/>
    <w:rsid w:val="679542C8"/>
    <w:rsid w:val="67AE419D"/>
    <w:rsid w:val="67B22635"/>
    <w:rsid w:val="67BE74C9"/>
    <w:rsid w:val="681D2ACD"/>
    <w:rsid w:val="683769EB"/>
    <w:rsid w:val="684F37DE"/>
    <w:rsid w:val="68B2669E"/>
    <w:rsid w:val="68E22B52"/>
    <w:rsid w:val="68EB131E"/>
    <w:rsid w:val="69182A19"/>
    <w:rsid w:val="69764EE6"/>
    <w:rsid w:val="698C50B9"/>
    <w:rsid w:val="698E1753"/>
    <w:rsid w:val="69CA10DE"/>
    <w:rsid w:val="69D47128"/>
    <w:rsid w:val="69F07ED0"/>
    <w:rsid w:val="69FE3890"/>
    <w:rsid w:val="6A10379F"/>
    <w:rsid w:val="6A303637"/>
    <w:rsid w:val="6A537326"/>
    <w:rsid w:val="6A7A0A2B"/>
    <w:rsid w:val="6A7A2DE7"/>
    <w:rsid w:val="6A7F636D"/>
    <w:rsid w:val="6ADE7537"/>
    <w:rsid w:val="6B133F99"/>
    <w:rsid w:val="6B221B0E"/>
    <w:rsid w:val="6B373AD2"/>
    <w:rsid w:val="6B426B13"/>
    <w:rsid w:val="6B515C58"/>
    <w:rsid w:val="6B557FEE"/>
    <w:rsid w:val="6B9419A4"/>
    <w:rsid w:val="6BC4672D"/>
    <w:rsid w:val="6C364F34"/>
    <w:rsid w:val="6C3A4520"/>
    <w:rsid w:val="6C565BAA"/>
    <w:rsid w:val="6C6204DD"/>
    <w:rsid w:val="6C7543E1"/>
    <w:rsid w:val="6C7D42B4"/>
    <w:rsid w:val="6C8A3E98"/>
    <w:rsid w:val="6C963B87"/>
    <w:rsid w:val="6CA05161"/>
    <w:rsid w:val="6CA96079"/>
    <w:rsid w:val="6CAC1F8A"/>
    <w:rsid w:val="6CAD0F6F"/>
    <w:rsid w:val="6CC81EA4"/>
    <w:rsid w:val="6D37776E"/>
    <w:rsid w:val="6D69517B"/>
    <w:rsid w:val="6D69756C"/>
    <w:rsid w:val="6D9141FB"/>
    <w:rsid w:val="6DD644F6"/>
    <w:rsid w:val="6DDA65C4"/>
    <w:rsid w:val="6E6B7334"/>
    <w:rsid w:val="6E920594"/>
    <w:rsid w:val="6EC8214A"/>
    <w:rsid w:val="6F1976C8"/>
    <w:rsid w:val="6FFC5967"/>
    <w:rsid w:val="70021CEB"/>
    <w:rsid w:val="703412AA"/>
    <w:rsid w:val="704838FD"/>
    <w:rsid w:val="707F6878"/>
    <w:rsid w:val="709119F6"/>
    <w:rsid w:val="70AF7F0C"/>
    <w:rsid w:val="70D16063"/>
    <w:rsid w:val="70F562D7"/>
    <w:rsid w:val="713D64DC"/>
    <w:rsid w:val="71941D4C"/>
    <w:rsid w:val="71F7318A"/>
    <w:rsid w:val="721A3870"/>
    <w:rsid w:val="72264D1E"/>
    <w:rsid w:val="726B3C1D"/>
    <w:rsid w:val="72873F22"/>
    <w:rsid w:val="728E35F1"/>
    <w:rsid w:val="72DB435C"/>
    <w:rsid w:val="731750C1"/>
    <w:rsid w:val="737C6513"/>
    <w:rsid w:val="739641CD"/>
    <w:rsid w:val="73B344DE"/>
    <w:rsid w:val="73F76C73"/>
    <w:rsid w:val="746135D3"/>
    <w:rsid w:val="75145081"/>
    <w:rsid w:val="753541F8"/>
    <w:rsid w:val="75781DD0"/>
    <w:rsid w:val="75824D9D"/>
    <w:rsid w:val="759224B5"/>
    <w:rsid w:val="75A1363B"/>
    <w:rsid w:val="75AB1C93"/>
    <w:rsid w:val="75B17510"/>
    <w:rsid w:val="761B163F"/>
    <w:rsid w:val="761F3505"/>
    <w:rsid w:val="762E2343"/>
    <w:rsid w:val="763639D5"/>
    <w:rsid w:val="763E3663"/>
    <w:rsid w:val="76486327"/>
    <w:rsid w:val="76810114"/>
    <w:rsid w:val="769C7E50"/>
    <w:rsid w:val="76E41762"/>
    <w:rsid w:val="76E46ECE"/>
    <w:rsid w:val="7717316E"/>
    <w:rsid w:val="77603777"/>
    <w:rsid w:val="77901BB9"/>
    <w:rsid w:val="779B3C6B"/>
    <w:rsid w:val="77AB5706"/>
    <w:rsid w:val="77C7479C"/>
    <w:rsid w:val="782347DB"/>
    <w:rsid w:val="78626435"/>
    <w:rsid w:val="78626A84"/>
    <w:rsid w:val="787B3EF7"/>
    <w:rsid w:val="787D26D8"/>
    <w:rsid w:val="788E3223"/>
    <w:rsid w:val="78BB0EB8"/>
    <w:rsid w:val="78E06AB0"/>
    <w:rsid w:val="79643504"/>
    <w:rsid w:val="798E0318"/>
    <w:rsid w:val="79AF62F8"/>
    <w:rsid w:val="79BF18B1"/>
    <w:rsid w:val="79D16A39"/>
    <w:rsid w:val="7A09540F"/>
    <w:rsid w:val="7A1F0FD2"/>
    <w:rsid w:val="7A246CC6"/>
    <w:rsid w:val="7A253830"/>
    <w:rsid w:val="7A326EC1"/>
    <w:rsid w:val="7AC415A1"/>
    <w:rsid w:val="7AD93877"/>
    <w:rsid w:val="7B055C33"/>
    <w:rsid w:val="7B4C35A5"/>
    <w:rsid w:val="7B964766"/>
    <w:rsid w:val="7BF53DED"/>
    <w:rsid w:val="7BFC0690"/>
    <w:rsid w:val="7C1D50F5"/>
    <w:rsid w:val="7C6106D5"/>
    <w:rsid w:val="7C6151AF"/>
    <w:rsid w:val="7CC540BD"/>
    <w:rsid w:val="7D423759"/>
    <w:rsid w:val="7D695F1A"/>
    <w:rsid w:val="7DD956AA"/>
    <w:rsid w:val="7DFA4230"/>
    <w:rsid w:val="7E2D5B39"/>
    <w:rsid w:val="7E42351F"/>
    <w:rsid w:val="7E7713DD"/>
    <w:rsid w:val="7EAB1087"/>
    <w:rsid w:val="7EB443DF"/>
    <w:rsid w:val="7EBB39C0"/>
    <w:rsid w:val="7EC07ED4"/>
    <w:rsid w:val="7EC80FEE"/>
    <w:rsid w:val="7ECC0DE9"/>
    <w:rsid w:val="7ED160D1"/>
    <w:rsid w:val="7EDB5E10"/>
    <w:rsid w:val="7EFD2E00"/>
    <w:rsid w:val="7F257394"/>
    <w:rsid w:val="7F271126"/>
    <w:rsid w:val="7F2B4D67"/>
    <w:rsid w:val="7F693A4A"/>
    <w:rsid w:val="7F7B4EFD"/>
    <w:rsid w:val="7F7D6DFD"/>
    <w:rsid w:val="7F9F5AC1"/>
    <w:rsid w:val="7FB3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Body Text"/>
    <w:basedOn w:val="1"/>
    <w:qFormat/>
    <w:uiPriority w:val="99"/>
    <w:pPr>
      <w:numPr>
        <w:ilvl w:val="0"/>
        <w:numId w:val="1"/>
      </w:numPr>
      <w:tabs>
        <w:tab w:val="clear" w:pos="780"/>
      </w:tabs>
      <w:ind w:left="0" w:firstLine="0"/>
    </w:pPr>
    <w:rPr>
      <w:rFonts w:ascii="黑体" w:eastAsia="黑体"/>
      <w:sz w:val="22"/>
    </w:rPr>
  </w:style>
  <w:style w:type="paragraph" w:styleId="8">
    <w:name w:val="Body Text Indent"/>
    <w:basedOn w:val="1"/>
    <w:next w:val="1"/>
    <w:qFormat/>
    <w:uiPriority w:val="0"/>
    <w:pPr>
      <w:spacing w:after="120"/>
      <w:ind w:left="200" w:leftChars="200"/>
    </w:pPr>
  </w:style>
  <w:style w:type="paragraph" w:styleId="9">
    <w:name w:val="toc 3"/>
    <w:basedOn w:val="1"/>
    <w:next w:val="1"/>
    <w:qFormat/>
    <w:uiPriority w:val="39"/>
    <w:pPr>
      <w:tabs>
        <w:tab w:val="left" w:pos="1260"/>
        <w:tab w:val="right" w:leader="dot" w:pos="8630"/>
      </w:tabs>
      <w:ind w:left="840" w:leftChars="400"/>
    </w:pPr>
  </w:style>
  <w:style w:type="paragraph" w:styleId="10">
    <w:name w:val="Plain Text"/>
    <w:basedOn w:val="1"/>
    <w:next w:val="11"/>
    <w:qFormat/>
    <w:uiPriority w:val="0"/>
    <w:rPr>
      <w:rFonts w:ascii="宋体"/>
      <w:szCs w:val="20"/>
      <w:u w:color="000000"/>
    </w:rPr>
  </w:style>
  <w:style w:type="paragraph" w:styleId="11">
    <w:name w:val="index 7"/>
    <w:basedOn w:val="1"/>
    <w:next w:val="1"/>
    <w:qFormat/>
    <w:uiPriority w:val="0"/>
    <w:pPr>
      <w:ind w:left="1200" w:leftChars="1200"/>
    </w:pPr>
    <w:rPr>
      <w:color w:val="auto"/>
      <w:kern w:val="2"/>
    </w:rPr>
  </w:style>
  <w:style w:type="paragraph" w:styleId="12">
    <w:name w:val="Date"/>
    <w:basedOn w:val="1"/>
    <w:next w:val="1"/>
    <w:qFormat/>
    <w:uiPriority w:val="0"/>
    <w:rPr>
      <w:rFonts w:ascii="Arial" w:hAnsi="Arial" w:eastAsia="仿宋_GB2312"/>
      <w:sz w:val="32"/>
      <w:szCs w:val="20"/>
      <w:u w:color="000000"/>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Subtitle"/>
    <w:basedOn w:val="3"/>
    <w:next w:val="1"/>
    <w:qFormat/>
    <w:uiPriority w:val="11"/>
    <w:pPr>
      <w:numPr>
        <w:ilvl w:val="0"/>
        <w:numId w:val="2"/>
      </w:numPr>
      <w:adjustRightInd w:val="0"/>
      <w:spacing w:line="360" w:lineRule="auto"/>
      <w:ind w:firstLine="0" w:firstLineChars="0"/>
    </w:pPr>
    <w:rPr>
      <w:rFonts w:ascii="仿宋" w:hAnsi="仿宋" w:eastAsia="仿宋" w:cs="Calibri"/>
      <w:color w:val="000000"/>
    </w:rPr>
  </w:style>
  <w:style w:type="paragraph" w:styleId="17">
    <w:name w:val="footnote text"/>
    <w:basedOn w:val="1"/>
    <w:semiHidden/>
    <w:unhideWhenUsed/>
    <w:qFormat/>
    <w:uiPriority w:val="99"/>
    <w:pPr>
      <w:snapToGrid w:val="0"/>
    </w:pPr>
    <w:rPr>
      <w:sz w:val="18"/>
      <w:szCs w:val="18"/>
    </w:rPr>
  </w:style>
  <w:style w:type="paragraph" w:styleId="18">
    <w:name w:val="Body Text 2"/>
    <w:basedOn w:val="1"/>
    <w:qFormat/>
    <w:uiPriority w:val="0"/>
    <w:pPr>
      <w:tabs>
        <w:tab w:val="left" w:pos="0"/>
      </w:tabs>
      <w:spacing w:line="400" w:lineRule="atLeast"/>
    </w:pPr>
    <w:rPr>
      <w:rFonts w:ascii="Arial" w:hAnsi="Arial"/>
    </w:rPr>
  </w:style>
  <w:style w:type="paragraph" w:styleId="19">
    <w:name w:val="Normal (Web)"/>
    <w:basedOn w:val="1"/>
    <w:qFormat/>
    <w:uiPriority w:val="99"/>
    <w:pPr>
      <w:widowControl/>
    </w:pPr>
    <w:rPr>
      <w:rFonts w:ascii="宋体" w:hAnsi="宋体" w:eastAsia="宋体" w:cs="宋体"/>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styleId="21">
    <w:name w:val="Body Text First Indent"/>
    <w:basedOn w:val="7"/>
    <w:semiHidden/>
    <w:qFormat/>
    <w:uiPriority w:val="0"/>
    <w:pPr>
      <w:tabs>
        <w:tab w:val="left" w:pos="780"/>
      </w:tabs>
      <w:spacing w:line="400" w:lineRule="atLeast"/>
      <w:ind w:firstLine="426"/>
    </w:pPr>
    <w:rPr>
      <w:sz w:val="24"/>
    </w:rPr>
  </w:style>
  <w:style w:type="paragraph" w:styleId="22">
    <w:name w:val="Body Text First Indent 2"/>
    <w:basedOn w:val="8"/>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Hyperlink"/>
    <w:qFormat/>
    <w:uiPriority w:val="99"/>
    <w:rPr>
      <w:color w:val="0000FF"/>
      <w:u w:val="single"/>
    </w:rPr>
  </w:style>
  <w:style w:type="character" w:styleId="28">
    <w:name w:val="footnote reference"/>
    <w:basedOn w:val="25"/>
    <w:semiHidden/>
    <w:unhideWhenUsed/>
    <w:qFormat/>
    <w:uiPriority w:val="99"/>
    <w:rPr>
      <w:vertAlign w:val="superscript"/>
    </w:rPr>
  </w:style>
  <w:style w:type="paragraph" w:customStyle="1" w:styleId="29">
    <w:name w:val="BodyText"/>
    <w:basedOn w:val="1"/>
    <w:next w:val="1"/>
    <w:qFormat/>
    <w:uiPriority w:val="0"/>
    <w:pPr>
      <w:tabs>
        <w:tab w:val="left" w:pos="780"/>
      </w:tabs>
    </w:pPr>
    <w:rPr>
      <w:rFonts w:ascii="黑体" w:eastAsia="黑体"/>
      <w:sz w:val="22"/>
    </w:rPr>
  </w:style>
  <w:style w:type="paragraph" w:customStyle="1" w:styleId="30">
    <w:name w:val="样式 样式 左侧:  2 字符 + 左侧:  0.85 厘米 首行缩进:  2 字符1"/>
    <w:basedOn w:val="1"/>
    <w:qFormat/>
    <w:uiPriority w:val="0"/>
    <w:pPr>
      <w:ind w:left="482" w:firstLine="200" w:firstLineChars="200"/>
    </w:pPr>
    <w:rPr>
      <w:rFonts w:cs="宋体"/>
      <w:szCs w:val="20"/>
    </w:rPr>
  </w:style>
  <w:style w:type="paragraph" w:customStyle="1" w:styleId="31">
    <w:name w:val="正文格式"/>
    <w:basedOn w:val="1"/>
    <w:qFormat/>
    <w:uiPriority w:val="99"/>
    <w:pPr>
      <w:widowControl/>
      <w:adjustRightInd w:val="0"/>
      <w:snapToGrid w:val="0"/>
      <w:spacing w:line="400" w:lineRule="atLeast"/>
      <w:ind w:firstLine="482"/>
      <w:textAlignment w:val="baseline"/>
    </w:pPr>
  </w:style>
  <w:style w:type="paragraph" w:customStyle="1" w:styleId="32">
    <w:name w:val="文档正文"/>
    <w:basedOn w:val="5"/>
    <w:qFormat/>
    <w:uiPriority w:val="0"/>
    <w:pPr>
      <w:spacing w:line="360" w:lineRule="auto"/>
    </w:pPr>
    <w:rPr>
      <w:rFonts w:hAnsi="宋体"/>
      <w:b/>
      <w:bCs/>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5">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6">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7">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8">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9">
    <w:name w:val="Table caption|1"/>
    <w:basedOn w:val="1"/>
    <w:qFormat/>
    <w:uiPriority w:val="0"/>
    <w:rPr>
      <w:rFonts w:ascii="宋体" w:hAnsi="宋体" w:eastAsia="宋体" w:cs="宋体"/>
      <w:sz w:val="22"/>
      <w:szCs w:val="22"/>
      <w:lang w:val="zh-TW" w:eastAsia="zh-TW" w:bidi="zh-TW"/>
    </w:rPr>
  </w:style>
  <w:style w:type="paragraph" w:customStyle="1" w:styleId="40">
    <w:name w:val="Table Paragraph"/>
    <w:basedOn w:val="1"/>
    <w:qFormat/>
    <w:uiPriority w:val="1"/>
    <w:pPr>
      <w:autoSpaceDE w:val="0"/>
      <w:autoSpaceDN w:val="0"/>
      <w:adjustRightInd w:val="0"/>
    </w:pPr>
    <w:rPr>
      <w:rFonts w:eastAsia="宋体"/>
    </w:rPr>
  </w:style>
  <w:style w:type="paragraph" w:customStyle="1" w:styleId="41">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2">
    <w:name w:val="图例"/>
    <w:basedOn w:val="1"/>
    <w:qFormat/>
    <w:uiPriority w:val="0"/>
    <w:pPr>
      <w:spacing w:before="120" w:after="120" w:line="360" w:lineRule="auto"/>
      <w:jc w:val="center"/>
    </w:pPr>
    <w:rPr>
      <w:rFonts w:eastAsia="仿宋_GB2312"/>
      <w:b/>
    </w:rPr>
  </w:style>
  <w:style w:type="paragraph" w:customStyle="1" w:styleId="43">
    <w:name w:val="WPS Plain"/>
    <w:qFormat/>
    <w:uiPriority w:val="0"/>
    <w:rPr>
      <w:rFonts w:ascii="Times New Roman" w:hAnsi="Times New Roman" w:eastAsia="宋体" w:cs="Times New Roman"/>
      <w:lang w:val="en-US" w:eastAsia="zh-CN" w:bidi="ar-SA"/>
    </w:rPr>
  </w:style>
  <w:style w:type="paragraph" w:customStyle="1" w:styleId="44">
    <w:name w:val="样式 左侧:  0 厘米 悬挂缩进: 2.5 字符"/>
    <w:basedOn w:val="1"/>
    <w:qFormat/>
    <w:uiPriority w:val="0"/>
    <w:pPr>
      <w:ind w:left="525" w:hanging="525" w:hangingChars="250"/>
    </w:pPr>
    <w:rPr>
      <w:szCs w:val="20"/>
    </w:rPr>
  </w:style>
  <w:style w:type="character" w:customStyle="1" w:styleId="45">
    <w:name w:val="font11"/>
    <w:basedOn w:val="25"/>
    <w:qFormat/>
    <w:uiPriority w:val="0"/>
    <w:rPr>
      <w:rFonts w:ascii="Calibri" w:hAnsi="Calibri" w:cs="Calibri"/>
      <w:color w:val="000000"/>
      <w:sz w:val="20"/>
      <w:szCs w:val="20"/>
      <w:u w:val="none"/>
    </w:rPr>
  </w:style>
  <w:style w:type="paragraph" w:styleId="46">
    <w:name w:val="List Paragraph"/>
    <w:basedOn w:val="1"/>
    <w:qFormat/>
    <w:uiPriority w:val="0"/>
    <w:pPr>
      <w:widowControl/>
      <w:ind w:firstLine="420" w:firstLineChars="200"/>
    </w:pPr>
  </w:style>
  <w:style w:type="paragraph" w:customStyle="1" w:styleId="47">
    <w:name w:val="列出段落1"/>
    <w:basedOn w:val="1"/>
    <w:qFormat/>
    <w:uiPriority w:val="34"/>
    <w:pPr>
      <w:ind w:firstLine="420" w:firstLineChars="200"/>
    </w:p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p15"/>
    <w:basedOn w:val="1"/>
    <w:qFormat/>
    <w:uiPriority w:val="0"/>
    <w:rPr>
      <w:rFonts w:ascii="Arial Unicode MS" w:hAnsi="Arial Unicode MS" w:eastAsia="宋体" w:cs="宋体"/>
    </w:rPr>
  </w:style>
  <w:style w:type="paragraph" w:customStyle="1" w:styleId="50">
    <w:name w:val="Body text|4"/>
    <w:basedOn w:val="1"/>
    <w:qFormat/>
    <w:uiPriority w:val="0"/>
    <w:pPr>
      <w:spacing w:after="580"/>
    </w:pPr>
    <w:rPr>
      <w:rFonts w:ascii="MingLiU" w:hAnsi="MingLiU" w:eastAsia="MingLiU" w:cs="MingLiU"/>
      <w:color w:val="00005D"/>
      <w:sz w:val="56"/>
      <w:szCs w:val="56"/>
      <w:lang w:val="zh-TW" w:eastAsia="zh-TW" w:bidi="zh-TW"/>
    </w:rPr>
  </w:style>
  <w:style w:type="paragraph" w:customStyle="1" w:styleId="51">
    <w:name w:val="表格"/>
    <w:basedOn w:val="1"/>
    <w:qFormat/>
    <w:uiPriority w:val="0"/>
    <w:pPr>
      <w:spacing w:line="240" w:lineRule="auto"/>
      <w:ind w:firstLine="0" w:firstLineChars="0"/>
    </w:pPr>
  </w:style>
  <w:style w:type="paragraph" w:customStyle="1" w:styleId="52">
    <w:name w:val="正文缩进2字符"/>
    <w:basedOn w:val="1"/>
    <w:qFormat/>
    <w:uiPriority w:val="0"/>
  </w:style>
  <w:style w:type="paragraph" w:customStyle="1" w:styleId="53">
    <w:name w:val="Table Text"/>
    <w:basedOn w:val="1"/>
    <w:semiHidden/>
    <w:qFormat/>
    <w:uiPriority w:val="0"/>
    <w:rPr>
      <w:rFonts w:ascii="宋体" w:hAnsi="宋体" w:eastAsia="宋体" w:cs="宋体"/>
      <w:sz w:val="29"/>
      <w:szCs w:val="29"/>
      <w:lang w:val="en-US" w:eastAsia="en-US" w:bidi="ar-SA"/>
    </w:rPr>
  </w:style>
  <w:style w:type="character" w:customStyle="1" w:styleId="54">
    <w:name w:val="font21"/>
    <w:basedOn w:val="25"/>
    <w:qFormat/>
    <w:uiPriority w:val="0"/>
    <w:rPr>
      <w:rFonts w:hint="eastAsia" w:ascii="方正仿宋_GBK" w:hAnsi="方正仿宋_GBK" w:eastAsia="方正仿宋_GBK" w:cs="方正仿宋_GBK"/>
      <w:color w:val="000000"/>
      <w:sz w:val="23"/>
      <w:szCs w:val="23"/>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80</Pages>
  <Words>629</Words>
  <Characters>714</Characters>
  <Lines>69</Lines>
  <Paragraphs>101</Paragraphs>
  <TotalTime>16</TotalTime>
  <ScaleCrop>false</ScaleCrop>
  <LinksUpToDate>false</LinksUpToDate>
  <CharactersWithSpaces>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宝贝虫虫</cp:lastModifiedBy>
  <cp:lastPrinted>2023-03-29T11:51:00Z</cp:lastPrinted>
  <dcterms:modified xsi:type="dcterms:W3CDTF">2025-07-11T12:11:15Z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D4578F2E550C4B9BB3796CC2F9658914</vt:lpwstr>
  </property>
  <property fmtid="{D5CDD505-2E9C-101B-9397-08002B2CF9AE}" pid="4" name="KSOTemplateDocerSaveRecord">
    <vt:lpwstr>eyJoZGlkIjoiM2RjZTkxMGY0NGU0ZDEwZjBiZjQ3NjVlZWRhOTQ1YWUiLCJ1c2VySWQiOiI0MDIxNzY0MTUifQ==</vt:lpwstr>
  </property>
</Properties>
</file>