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21191">
      <w:pPr>
        <w:tabs>
          <w:tab w:val="left" w:pos="1134"/>
          <w:tab w:val="left" w:pos="5481"/>
          <w:tab w:val="left" w:pos="5859"/>
        </w:tabs>
        <w:jc w:val="both"/>
        <w:rPr>
          <w:rFonts w:hint="eastAsia" w:ascii="宋体" w:hAnsi="宋体" w:eastAsia="宋体" w:cs="宋体"/>
          <w:color w:val="auto"/>
          <w:sz w:val="10"/>
          <w:szCs w:val="10"/>
        </w:rPr>
      </w:pPr>
    </w:p>
    <w:p w14:paraId="20E443DE">
      <w:pPr>
        <w:pStyle w:val="31"/>
        <w:ind w:left="0" w:leftChars="0" w:firstLine="0" w:firstLineChars="0"/>
        <w:jc w:val="center"/>
        <w:rPr>
          <w:rFonts w:hint="eastAsia" w:ascii="宋体" w:hAnsi="宋体" w:eastAsia="宋体" w:cs="宋体"/>
          <w:b/>
          <w:sz w:val="52"/>
          <w:szCs w:val="52"/>
          <w:highlight w:val="none"/>
          <w:lang w:val="en-US" w:eastAsia="zh-CN"/>
        </w:rPr>
      </w:pPr>
      <w:r>
        <w:rPr>
          <w:rFonts w:hint="eastAsia" w:ascii="宋体" w:hAnsi="宋体" w:eastAsia="宋体" w:cs="宋体"/>
          <w:b/>
          <w:sz w:val="32"/>
          <w:szCs w:val="32"/>
          <w:highlight w:val="none"/>
          <w:lang w:val="en-US" w:eastAsia="zh-CN"/>
        </w:rPr>
        <w:t>2025年乌什县“我爱浙疆”系列文化品牌工程-2025首届“烂柯杯”中国-中亚围棋邀请赛</w:t>
      </w:r>
    </w:p>
    <w:p w14:paraId="7E291907">
      <w:pPr>
        <w:pStyle w:val="31"/>
        <w:ind w:left="0" w:leftChars="0" w:firstLine="0" w:firstLineChars="0"/>
        <w:jc w:val="center"/>
        <w:rPr>
          <w:rFonts w:hint="eastAsia" w:ascii="宋体" w:hAnsi="宋体" w:eastAsia="宋体" w:cs="宋体"/>
          <w:b/>
          <w:bCs/>
          <w:color w:val="auto"/>
          <w:sz w:val="28"/>
          <w:szCs w:val="18"/>
          <w:lang w:eastAsia="zh-CN"/>
        </w:rPr>
      </w:pPr>
      <w:r>
        <w:rPr>
          <w:rFonts w:hint="eastAsia" w:ascii="宋体" w:hAnsi="宋体" w:eastAsia="宋体" w:cs="宋体"/>
          <w:b/>
          <w:bCs/>
          <w:color w:val="auto"/>
          <w:sz w:val="28"/>
          <w:szCs w:val="18"/>
          <w:lang w:eastAsia="zh-CN"/>
        </w:rPr>
        <w:t>（项目编号：</w:t>
      </w:r>
      <w:r>
        <w:rPr>
          <w:rFonts w:hint="eastAsia" w:ascii="宋体" w:hAnsi="宋体" w:eastAsia="宋体" w:cs="宋体"/>
          <w:b/>
          <w:bCs/>
          <w:color w:val="auto"/>
          <w:sz w:val="28"/>
          <w:szCs w:val="18"/>
          <w:lang w:val="en-US" w:eastAsia="zh-CN"/>
        </w:rPr>
        <w:t>WSX</w:t>
      </w:r>
      <w:r>
        <w:rPr>
          <w:rFonts w:ascii="微软雅黑" w:hAnsi="微软雅黑" w:eastAsia="微软雅黑" w:cs="微软雅黑"/>
          <w:b/>
          <w:bCs/>
          <w:i w:val="0"/>
          <w:iCs w:val="0"/>
          <w:caps w:val="0"/>
          <w:color w:val="333333"/>
          <w:spacing w:val="0"/>
          <w:sz w:val="24"/>
          <w:szCs w:val="24"/>
          <w:shd w:val="clear" w:fill="FFFFFF"/>
        </w:rPr>
        <w:t>[2025]</w:t>
      </w:r>
      <w:r>
        <w:rPr>
          <w:rFonts w:hint="eastAsia" w:ascii="微软雅黑" w:hAnsi="微软雅黑" w:eastAsia="微软雅黑" w:cs="微软雅黑"/>
          <w:b/>
          <w:bCs/>
          <w:i w:val="0"/>
          <w:iCs w:val="0"/>
          <w:caps w:val="0"/>
          <w:color w:val="333333"/>
          <w:spacing w:val="0"/>
          <w:sz w:val="24"/>
          <w:szCs w:val="24"/>
          <w:shd w:val="clear" w:fill="FFFFFF"/>
          <w:lang w:val="en-US" w:eastAsia="zh-CN"/>
        </w:rPr>
        <w:t>-122</w:t>
      </w:r>
      <w:r>
        <w:rPr>
          <w:rFonts w:hint="eastAsia" w:ascii="宋体" w:hAnsi="宋体" w:eastAsia="宋体" w:cs="宋体"/>
          <w:b/>
          <w:bCs/>
          <w:color w:val="auto"/>
          <w:sz w:val="28"/>
          <w:szCs w:val="18"/>
          <w:lang w:eastAsia="zh-CN"/>
        </w:rPr>
        <w:t>）</w:t>
      </w:r>
    </w:p>
    <w:p w14:paraId="4CAE2338">
      <w:pPr>
        <w:rPr>
          <w:rFonts w:hint="eastAsia" w:ascii="宋体" w:hAnsi="宋体" w:eastAsia="宋体" w:cs="宋体"/>
          <w:b/>
          <w:color w:val="auto"/>
          <w:sz w:val="84"/>
          <w:szCs w:val="84"/>
        </w:rPr>
      </w:pPr>
    </w:p>
    <w:p w14:paraId="4B4BCAFD">
      <w:pPr>
        <w:jc w:val="center"/>
        <w:rPr>
          <w:rFonts w:hint="eastAsia" w:ascii="宋体" w:hAnsi="宋体" w:eastAsia="宋体" w:cs="宋体"/>
          <w:b/>
          <w:color w:val="auto"/>
          <w:sz w:val="144"/>
          <w:szCs w:val="144"/>
        </w:rPr>
      </w:pPr>
      <w:r>
        <w:rPr>
          <w:rFonts w:hint="eastAsia" w:ascii="宋体" w:hAnsi="宋体" w:eastAsia="宋体" w:cs="宋体"/>
          <w:b/>
          <w:color w:val="auto"/>
          <w:sz w:val="96"/>
          <w:szCs w:val="96"/>
          <w:lang w:eastAsia="zh-CN"/>
        </w:rPr>
        <w:t>竞争性磋商</w:t>
      </w:r>
      <w:r>
        <w:rPr>
          <w:rFonts w:hint="eastAsia" w:ascii="宋体" w:hAnsi="宋体" w:eastAsia="宋体" w:cs="宋体"/>
          <w:b/>
          <w:color w:val="auto"/>
          <w:sz w:val="96"/>
          <w:szCs w:val="96"/>
        </w:rPr>
        <w:t>文件</w:t>
      </w:r>
    </w:p>
    <w:p w14:paraId="309F85D0">
      <w:pPr>
        <w:jc w:val="center"/>
        <w:rPr>
          <w:rFonts w:hint="eastAsia" w:ascii="宋体" w:hAnsi="宋体" w:eastAsia="宋体" w:cs="宋体"/>
          <w:color w:val="auto"/>
          <w:sz w:val="32"/>
          <w:szCs w:val="32"/>
        </w:rPr>
      </w:pPr>
    </w:p>
    <w:p w14:paraId="4F9A4662">
      <w:pPr>
        <w:jc w:val="both"/>
        <w:rPr>
          <w:rFonts w:hint="eastAsia" w:ascii="宋体" w:hAnsi="宋体" w:eastAsia="宋体" w:cs="宋体"/>
          <w:color w:val="auto"/>
          <w:sz w:val="32"/>
          <w:szCs w:val="32"/>
        </w:rPr>
      </w:pPr>
    </w:p>
    <w:p w14:paraId="51036C94">
      <w:pPr>
        <w:jc w:val="both"/>
        <w:rPr>
          <w:rFonts w:hint="eastAsia" w:ascii="宋体" w:hAnsi="宋体" w:eastAsia="宋体" w:cs="宋体"/>
          <w:color w:val="auto"/>
          <w:sz w:val="32"/>
          <w:szCs w:val="32"/>
        </w:rPr>
      </w:pPr>
    </w:p>
    <w:p w14:paraId="31FF0AD0">
      <w:pPr>
        <w:pStyle w:val="31"/>
        <w:ind w:left="0" w:leftChars="0" w:firstLine="0" w:firstLineChars="0"/>
        <w:jc w:val="center"/>
        <w:rPr>
          <w:rFonts w:hint="eastAsia" w:ascii="宋体" w:hAnsi="宋体" w:eastAsia="宋体" w:cs="宋体"/>
          <w:color w:val="auto"/>
          <w:sz w:val="32"/>
          <w:szCs w:val="32"/>
        </w:rPr>
      </w:pPr>
      <w:r>
        <w:rPr>
          <w:rFonts w:hint="eastAsia" w:ascii="宋体" w:hAnsi="宋体" w:eastAsia="宋体" w:cs="宋体"/>
          <w:b/>
          <w:color w:val="auto"/>
          <w:sz w:val="36"/>
          <w:szCs w:val="36"/>
          <w:lang w:val="en-US" w:eastAsia="zh-CN"/>
        </w:rPr>
        <w:drawing>
          <wp:inline distT="0" distB="0" distL="114300" distR="114300">
            <wp:extent cx="1727200" cy="1481455"/>
            <wp:effectExtent l="0" t="0" r="0" b="4445"/>
            <wp:docPr id="3" name="图片 3" descr="恒泽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恒泽logo"/>
                    <pic:cNvPicPr>
                      <a:picLocks noChangeAspect="1"/>
                    </pic:cNvPicPr>
                  </pic:nvPicPr>
                  <pic:blipFill>
                    <a:blip r:embed="rId6"/>
                    <a:stretch>
                      <a:fillRect/>
                    </a:stretch>
                  </pic:blipFill>
                  <pic:spPr>
                    <a:xfrm>
                      <a:off x="0" y="0"/>
                      <a:ext cx="1727200" cy="1481455"/>
                    </a:xfrm>
                    <a:prstGeom prst="rect">
                      <a:avLst/>
                    </a:prstGeom>
                  </pic:spPr>
                </pic:pic>
              </a:graphicData>
            </a:graphic>
          </wp:inline>
        </w:drawing>
      </w:r>
    </w:p>
    <w:p w14:paraId="4E1CBC7D">
      <w:pPr>
        <w:pStyle w:val="31"/>
        <w:rPr>
          <w:rFonts w:hint="eastAsia" w:ascii="宋体" w:hAnsi="宋体" w:eastAsia="宋体" w:cs="宋体"/>
          <w:color w:val="auto"/>
          <w:sz w:val="32"/>
          <w:szCs w:val="32"/>
        </w:rPr>
      </w:pPr>
    </w:p>
    <w:p w14:paraId="6478AABE">
      <w:pPr>
        <w:pStyle w:val="31"/>
        <w:rPr>
          <w:rFonts w:hint="eastAsia" w:ascii="宋体" w:hAnsi="宋体" w:eastAsia="宋体" w:cs="宋体"/>
          <w:color w:val="auto"/>
          <w:sz w:val="32"/>
          <w:szCs w:val="32"/>
        </w:rPr>
      </w:pPr>
    </w:p>
    <w:p w14:paraId="7FCA00CC">
      <w:pPr>
        <w:pStyle w:val="31"/>
        <w:rPr>
          <w:rFonts w:hint="eastAsia" w:ascii="宋体" w:hAnsi="宋体" w:eastAsia="宋体" w:cs="宋体"/>
          <w:color w:val="auto"/>
          <w:sz w:val="32"/>
          <w:szCs w:val="32"/>
        </w:rPr>
      </w:pPr>
    </w:p>
    <w:p w14:paraId="0C771100">
      <w:pPr>
        <w:pStyle w:val="31"/>
        <w:rPr>
          <w:rFonts w:hint="eastAsia" w:ascii="宋体" w:hAnsi="宋体" w:eastAsia="宋体" w:cs="宋体"/>
          <w:color w:val="auto"/>
          <w:sz w:val="32"/>
          <w:szCs w:val="32"/>
        </w:rPr>
      </w:pPr>
    </w:p>
    <w:p w14:paraId="17389D38">
      <w:pPr>
        <w:pStyle w:val="31"/>
        <w:rPr>
          <w:rFonts w:hint="eastAsia" w:ascii="宋体" w:hAnsi="宋体" w:eastAsia="宋体" w:cs="宋体"/>
          <w:color w:val="auto"/>
          <w:sz w:val="32"/>
          <w:szCs w:val="32"/>
        </w:rPr>
      </w:pPr>
    </w:p>
    <w:p w14:paraId="21092A15">
      <w:pPr>
        <w:pStyle w:val="31"/>
        <w:rPr>
          <w:rFonts w:hint="eastAsia" w:ascii="宋体" w:hAnsi="宋体" w:eastAsia="宋体" w:cs="宋体"/>
          <w:color w:val="auto"/>
          <w:sz w:val="32"/>
          <w:szCs w:val="32"/>
        </w:rPr>
      </w:pPr>
    </w:p>
    <w:p w14:paraId="77C41489">
      <w:pPr>
        <w:pStyle w:val="31"/>
        <w:rPr>
          <w:rFonts w:hint="eastAsia" w:ascii="宋体" w:hAnsi="宋体" w:eastAsia="宋体" w:cs="宋体"/>
          <w:color w:val="auto"/>
          <w:sz w:val="32"/>
          <w:szCs w:val="32"/>
        </w:rPr>
      </w:pPr>
    </w:p>
    <w:p w14:paraId="35771159">
      <w:pPr>
        <w:pStyle w:val="31"/>
        <w:ind w:left="0" w:leftChars="0" w:firstLine="0" w:firstLineChars="0"/>
        <w:rPr>
          <w:rFonts w:hint="eastAsia" w:ascii="宋体" w:hAnsi="宋体" w:eastAsia="宋体" w:cs="宋体"/>
          <w:color w:val="auto"/>
          <w:sz w:val="32"/>
          <w:szCs w:val="32"/>
        </w:rPr>
      </w:pPr>
    </w:p>
    <w:p w14:paraId="08E83F47">
      <w:pPr>
        <w:jc w:val="both"/>
        <w:rPr>
          <w:rFonts w:hint="eastAsia" w:ascii="宋体" w:hAnsi="宋体" w:eastAsia="宋体" w:cs="宋体"/>
          <w:color w:val="auto"/>
          <w:sz w:val="32"/>
          <w:szCs w:val="32"/>
        </w:rPr>
      </w:pPr>
    </w:p>
    <w:p w14:paraId="54812E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采购</w:t>
      </w:r>
      <w:r>
        <w:rPr>
          <w:rFonts w:hint="eastAsia" w:ascii="宋体" w:hAnsi="宋体" w:eastAsia="宋体" w:cs="宋体"/>
          <w:b/>
          <w:color w:val="auto"/>
          <w:sz w:val="32"/>
          <w:szCs w:val="32"/>
        </w:rPr>
        <w:t>人</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章</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rPr>
        <w:t>：</w:t>
      </w:r>
      <w:r>
        <w:rPr>
          <w:rFonts w:hint="eastAsia" w:ascii="宋体" w:hAnsi="宋体" w:eastAsia="宋体" w:cs="宋体"/>
          <w:b/>
          <w:color w:val="auto"/>
          <w:sz w:val="32"/>
          <w:szCs w:val="32"/>
          <w:lang w:val="en-US" w:eastAsia="zh-CN"/>
        </w:rPr>
        <w:t>乌什县文化体育广播电视和旅游局</w:t>
      </w:r>
    </w:p>
    <w:p w14:paraId="66C079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采购</w:t>
      </w: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章</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rPr>
        <w:t>：</w:t>
      </w:r>
      <w:r>
        <w:rPr>
          <w:rFonts w:hint="eastAsia" w:ascii="宋体" w:hAnsi="宋体" w:eastAsia="宋体" w:cs="宋体"/>
          <w:b/>
          <w:color w:val="auto"/>
          <w:sz w:val="32"/>
          <w:szCs w:val="32"/>
          <w:lang w:eastAsia="zh-CN"/>
        </w:rPr>
        <w:t>新疆恒泽工程项目管理有限公司</w:t>
      </w:r>
    </w:p>
    <w:p w14:paraId="099763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二Ｏ</w:t>
      </w:r>
      <w:r>
        <w:rPr>
          <w:rFonts w:hint="eastAsia" w:ascii="宋体" w:hAnsi="宋体" w:eastAsia="宋体" w:cs="宋体"/>
          <w:b/>
          <w:color w:val="auto"/>
          <w:sz w:val="32"/>
          <w:szCs w:val="32"/>
          <w:lang w:eastAsia="zh-CN"/>
        </w:rPr>
        <w:t>二</w:t>
      </w:r>
      <w:r>
        <w:rPr>
          <w:rFonts w:hint="eastAsia" w:ascii="宋体" w:hAnsi="宋体" w:cs="宋体"/>
          <w:b/>
          <w:color w:val="auto"/>
          <w:sz w:val="32"/>
          <w:szCs w:val="32"/>
          <w:lang w:val="en-US" w:eastAsia="zh-CN"/>
        </w:rPr>
        <w:t>五</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七</w:t>
      </w:r>
      <w:r>
        <w:rPr>
          <w:rFonts w:hint="eastAsia" w:ascii="宋体" w:hAnsi="宋体" w:eastAsia="宋体" w:cs="宋体"/>
          <w:b/>
          <w:color w:val="auto"/>
          <w:sz w:val="32"/>
          <w:szCs w:val="32"/>
        </w:rPr>
        <w:t>月</w:t>
      </w:r>
    </w:p>
    <w:p w14:paraId="7470842C">
      <w:pPr>
        <w:pStyle w:val="31"/>
        <w:rPr>
          <w:rFonts w:hint="eastAsia" w:ascii="宋体" w:hAnsi="宋体" w:eastAsia="宋体" w:cs="宋体"/>
          <w:color w:val="auto"/>
          <w:sz w:val="36"/>
          <w:szCs w:val="36"/>
          <w:highlight w:val="none"/>
        </w:rPr>
      </w:pPr>
    </w:p>
    <w:p w14:paraId="1E6054E5">
      <w:pPr>
        <w:pStyle w:val="31"/>
        <w:rPr>
          <w:rFonts w:hint="eastAsia" w:ascii="宋体" w:hAnsi="宋体" w:eastAsia="宋体" w:cs="宋体"/>
          <w:color w:val="auto"/>
          <w:sz w:val="36"/>
          <w:szCs w:val="36"/>
          <w:highlight w:val="none"/>
        </w:rPr>
      </w:pPr>
    </w:p>
    <w:p w14:paraId="382A965C">
      <w:pPr>
        <w:adjustRightInd w:val="0"/>
        <w:snapToGrid w:val="0"/>
        <w:spacing w:line="360" w:lineRule="auto"/>
        <w:jc w:val="both"/>
        <w:rPr>
          <w:rFonts w:hint="eastAsia" w:ascii="宋体" w:hAnsi="宋体" w:eastAsia="宋体" w:cs="宋体"/>
          <w:color w:val="auto"/>
          <w:highlight w:val="none"/>
        </w:rPr>
      </w:pPr>
    </w:p>
    <w:p w14:paraId="29793772">
      <w:pPr>
        <w:pStyle w:val="31"/>
        <w:rPr>
          <w:rFonts w:hint="eastAsia" w:ascii="宋体" w:hAnsi="宋体" w:eastAsia="宋体" w:cs="宋体"/>
          <w:color w:val="auto"/>
          <w:highlight w:val="none"/>
        </w:rPr>
      </w:pPr>
    </w:p>
    <w:p w14:paraId="55F2E466">
      <w:pPr>
        <w:pStyle w:val="31"/>
        <w:rPr>
          <w:rFonts w:hint="eastAsia" w:ascii="宋体" w:hAnsi="宋体" w:eastAsia="宋体" w:cs="宋体"/>
          <w:color w:val="auto"/>
          <w:highlight w:val="none"/>
        </w:rPr>
      </w:pPr>
    </w:p>
    <w:p w14:paraId="2C0F586E">
      <w:pPr>
        <w:pStyle w:val="31"/>
        <w:rPr>
          <w:rFonts w:hint="eastAsia" w:ascii="宋体" w:hAnsi="宋体" w:eastAsia="宋体" w:cs="宋体"/>
          <w:color w:val="auto"/>
          <w:highlight w:val="none"/>
        </w:rPr>
      </w:pPr>
    </w:p>
    <w:p w14:paraId="58E1EA34">
      <w:pPr>
        <w:pStyle w:val="31"/>
        <w:rPr>
          <w:rFonts w:hint="eastAsia" w:ascii="宋体" w:hAnsi="宋体" w:eastAsia="宋体" w:cs="宋体"/>
          <w:color w:val="auto"/>
          <w:highlight w:val="none"/>
        </w:rPr>
      </w:pPr>
    </w:p>
    <w:p w14:paraId="26F04D75">
      <w:pPr>
        <w:pStyle w:val="31"/>
        <w:rPr>
          <w:rFonts w:hint="eastAsia" w:ascii="宋体" w:hAnsi="宋体" w:eastAsia="宋体" w:cs="宋体"/>
          <w:color w:val="auto"/>
          <w:highlight w:val="none"/>
        </w:rPr>
      </w:pPr>
    </w:p>
    <w:p w14:paraId="004EF356">
      <w:pPr>
        <w:pStyle w:val="31"/>
        <w:rPr>
          <w:rFonts w:hint="eastAsia" w:ascii="宋体" w:hAnsi="宋体" w:eastAsia="宋体" w:cs="宋体"/>
          <w:color w:val="auto"/>
          <w:highlight w:val="none"/>
        </w:rPr>
      </w:pPr>
    </w:p>
    <w:p w14:paraId="28820C32">
      <w:pPr>
        <w:pStyle w:val="31"/>
        <w:rPr>
          <w:rFonts w:hint="eastAsia" w:ascii="宋体" w:hAnsi="宋体" w:eastAsia="宋体" w:cs="宋体"/>
          <w:color w:val="auto"/>
          <w:highlight w:val="none"/>
        </w:rPr>
      </w:pPr>
    </w:p>
    <w:p w14:paraId="563EB33E">
      <w:pPr>
        <w:pStyle w:val="31"/>
        <w:rPr>
          <w:rFonts w:hint="eastAsia" w:ascii="宋体" w:hAnsi="宋体" w:eastAsia="宋体" w:cs="宋体"/>
          <w:color w:val="auto"/>
          <w:highlight w:val="none"/>
        </w:rPr>
      </w:pPr>
    </w:p>
    <w:p w14:paraId="6D46AC5D">
      <w:pPr>
        <w:pStyle w:val="31"/>
        <w:rPr>
          <w:rFonts w:hint="eastAsia" w:ascii="宋体" w:hAnsi="宋体" w:eastAsia="宋体" w:cs="宋体"/>
          <w:color w:val="auto"/>
          <w:highlight w:val="none"/>
        </w:rPr>
      </w:pPr>
    </w:p>
    <w:p w14:paraId="64A0A4BC">
      <w:pPr>
        <w:pStyle w:val="31"/>
        <w:rPr>
          <w:rFonts w:hint="eastAsia" w:ascii="宋体" w:hAnsi="宋体" w:eastAsia="宋体" w:cs="宋体"/>
          <w:color w:val="auto"/>
          <w:highlight w:val="none"/>
        </w:rPr>
      </w:pPr>
    </w:p>
    <w:p w14:paraId="37AA179D">
      <w:pPr>
        <w:pStyle w:val="31"/>
        <w:rPr>
          <w:rFonts w:hint="eastAsia" w:ascii="宋体" w:hAnsi="宋体" w:eastAsia="宋体" w:cs="宋体"/>
          <w:color w:val="auto"/>
          <w:highlight w:val="none"/>
        </w:rPr>
      </w:pPr>
    </w:p>
    <w:p w14:paraId="0EE0EF18">
      <w:pPr>
        <w:pStyle w:val="31"/>
        <w:rPr>
          <w:rFonts w:hint="eastAsia" w:ascii="宋体" w:hAnsi="宋体" w:eastAsia="宋体" w:cs="宋体"/>
          <w:color w:val="auto"/>
          <w:highlight w:val="none"/>
        </w:rPr>
      </w:pPr>
    </w:p>
    <w:p w14:paraId="6F7C4C54">
      <w:pPr>
        <w:pStyle w:val="31"/>
        <w:rPr>
          <w:rFonts w:hint="eastAsia" w:ascii="宋体" w:hAnsi="宋体" w:eastAsia="宋体" w:cs="宋体"/>
          <w:color w:val="auto"/>
          <w:highlight w:val="none"/>
        </w:rPr>
      </w:pPr>
    </w:p>
    <w:p w14:paraId="67AF0196">
      <w:pPr>
        <w:pStyle w:val="31"/>
        <w:rPr>
          <w:rFonts w:hint="eastAsia" w:ascii="宋体" w:hAnsi="宋体" w:eastAsia="宋体" w:cs="宋体"/>
          <w:color w:val="auto"/>
          <w:highlight w:val="none"/>
        </w:rPr>
      </w:pPr>
    </w:p>
    <w:p w14:paraId="37558BCA">
      <w:pPr>
        <w:pStyle w:val="31"/>
        <w:rPr>
          <w:rFonts w:hint="eastAsia" w:ascii="宋体" w:hAnsi="宋体" w:eastAsia="宋体" w:cs="宋体"/>
          <w:color w:val="auto"/>
          <w:highlight w:val="none"/>
        </w:rPr>
      </w:pPr>
    </w:p>
    <w:p w14:paraId="54DA2E84">
      <w:pPr>
        <w:pStyle w:val="31"/>
        <w:rPr>
          <w:rFonts w:hint="eastAsia" w:ascii="宋体" w:hAnsi="宋体" w:eastAsia="宋体" w:cs="宋体"/>
          <w:color w:val="auto"/>
          <w:highlight w:val="none"/>
        </w:rPr>
      </w:pPr>
    </w:p>
    <w:p w14:paraId="3239A89A">
      <w:pPr>
        <w:pStyle w:val="31"/>
        <w:rPr>
          <w:rFonts w:hint="eastAsia" w:ascii="宋体" w:hAnsi="宋体" w:eastAsia="宋体" w:cs="宋体"/>
          <w:color w:val="auto"/>
          <w:highlight w:val="none"/>
        </w:rPr>
      </w:pPr>
    </w:p>
    <w:p w14:paraId="523B1E70">
      <w:pPr>
        <w:pStyle w:val="31"/>
        <w:rPr>
          <w:rFonts w:hint="eastAsia" w:ascii="宋体" w:hAnsi="宋体" w:eastAsia="宋体" w:cs="宋体"/>
          <w:color w:val="auto"/>
          <w:highlight w:val="none"/>
        </w:rPr>
      </w:pPr>
    </w:p>
    <w:p w14:paraId="1ED63206">
      <w:pPr>
        <w:pStyle w:val="31"/>
        <w:rPr>
          <w:rFonts w:hint="eastAsia" w:ascii="宋体" w:hAnsi="宋体" w:eastAsia="宋体" w:cs="宋体"/>
          <w:color w:val="auto"/>
          <w:highlight w:val="none"/>
        </w:rPr>
      </w:pPr>
    </w:p>
    <w:p w14:paraId="24570879">
      <w:pPr>
        <w:pStyle w:val="31"/>
        <w:rPr>
          <w:rFonts w:hint="eastAsia" w:ascii="宋体" w:hAnsi="宋体" w:eastAsia="宋体" w:cs="宋体"/>
          <w:color w:val="auto"/>
          <w:highlight w:val="none"/>
        </w:rPr>
      </w:pPr>
    </w:p>
    <w:p w14:paraId="71A12121">
      <w:pPr>
        <w:pStyle w:val="31"/>
        <w:rPr>
          <w:rFonts w:hint="eastAsia" w:ascii="宋体" w:hAnsi="宋体" w:eastAsia="宋体" w:cs="宋体"/>
          <w:color w:val="auto"/>
          <w:highlight w:val="none"/>
        </w:rPr>
      </w:pPr>
    </w:p>
    <w:p w14:paraId="7988A780">
      <w:pPr>
        <w:pStyle w:val="31"/>
        <w:rPr>
          <w:rFonts w:hint="eastAsia" w:ascii="宋体" w:hAnsi="宋体" w:eastAsia="宋体" w:cs="宋体"/>
          <w:color w:val="auto"/>
          <w:highlight w:val="none"/>
        </w:rPr>
      </w:pPr>
    </w:p>
    <w:p w14:paraId="1D3465E5">
      <w:pPr>
        <w:pStyle w:val="31"/>
        <w:rPr>
          <w:rFonts w:hint="eastAsia" w:ascii="宋体" w:hAnsi="宋体" w:eastAsia="宋体" w:cs="宋体"/>
          <w:color w:val="auto"/>
          <w:highlight w:val="none"/>
        </w:rPr>
      </w:pPr>
    </w:p>
    <w:p w14:paraId="66C10469">
      <w:pPr>
        <w:pStyle w:val="31"/>
        <w:rPr>
          <w:rFonts w:hint="eastAsia" w:ascii="宋体" w:hAnsi="宋体" w:eastAsia="宋体" w:cs="宋体"/>
          <w:color w:val="auto"/>
          <w:highlight w:val="none"/>
        </w:rPr>
      </w:pPr>
    </w:p>
    <w:p w14:paraId="7EA4E725">
      <w:pPr>
        <w:pStyle w:val="31"/>
        <w:rPr>
          <w:rFonts w:hint="eastAsia" w:ascii="宋体" w:hAnsi="宋体" w:eastAsia="宋体" w:cs="宋体"/>
          <w:color w:val="auto"/>
          <w:highlight w:val="none"/>
        </w:rPr>
      </w:pPr>
    </w:p>
    <w:p w14:paraId="41F38864">
      <w:pPr>
        <w:pStyle w:val="31"/>
        <w:rPr>
          <w:rFonts w:hint="eastAsia" w:ascii="宋体" w:hAnsi="宋体" w:eastAsia="宋体" w:cs="宋体"/>
          <w:color w:val="auto"/>
          <w:highlight w:val="none"/>
        </w:rPr>
      </w:pPr>
    </w:p>
    <w:p w14:paraId="0576D8B8">
      <w:pPr>
        <w:pStyle w:val="31"/>
        <w:rPr>
          <w:rFonts w:hint="eastAsia" w:ascii="宋体" w:hAnsi="宋体" w:eastAsia="宋体" w:cs="宋体"/>
          <w:color w:val="auto"/>
          <w:highlight w:val="none"/>
        </w:rPr>
      </w:pPr>
    </w:p>
    <w:p w14:paraId="1C6BF0D3">
      <w:pPr>
        <w:pStyle w:val="31"/>
        <w:rPr>
          <w:rFonts w:hint="eastAsia" w:ascii="宋体" w:hAnsi="宋体" w:eastAsia="宋体" w:cs="宋体"/>
          <w:color w:val="auto"/>
          <w:highlight w:val="none"/>
        </w:rPr>
      </w:pPr>
    </w:p>
    <w:p w14:paraId="3A1BA3B7">
      <w:pPr>
        <w:pStyle w:val="31"/>
        <w:rPr>
          <w:rFonts w:hint="eastAsia" w:ascii="宋体" w:hAnsi="宋体" w:eastAsia="宋体" w:cs="宋体"/>
          <w:color w:val="auto"/>
          <w:highlight w:val="none"/>
        </w:rPr>
      </w:pPr>
    </w:p>
    <w:p w14:paraId="1E5C721D">
      <w:pPr>
        <w:pStyle w:val="31"/>
        <w:rPr>
          <w:rFonts w:hint="eastAsia" w:ascii="宋体" w:hAnsi="宋体" w:eastAsia="宋体" w:cs="宋体"/>
          <w:color w:val="auto"/>
          <w:highlight w:val="none"/>
        </w:rPr>
      </w:pPr>
    </w:p>
    <w:p w14:paraId="014DCC53">
      <w:pPr>
        <w:pStyle w:val="31"/>
        <w:rPr>
          <w:rFonts w:hint="eastAsia" w:ascii="宋体" w:hAnsi="宋体" w:eastAsia="宋体" w:cs="宋体"/>
          <w:color w:val="auto"/>
          <w:highlight w:val="none"/>
        </w:rPr>
      </w:pPr>
    </w:p>
    <w:p w14:paraId="0EF0B468">
      <w:pPr>
        <w:pStyle w:val="31"/>
        <w:rPr>
          <w:rFonts w:hint="eastAsia" w:ascii="宋体" w:hAnsi="宋体" w:eastAsia="宋体" w:cs="宋体"/>
          <w:color w:val="auto"/>
          <w:highlight w:val="none"/>
        </w:rPr>
      </w:pPr>
    </w:p>
    <w:p w14:paraId="32138BFD">
      <w:pPr>
        <w:pStyle w:val="31"/>
        <w:ind w:left="0" w:leftChars="0" w:firstLine="0" w:firstLineChars="0"/>
        <w:rPr>
          <w:rFonts w:hint="eastAsia" w:ascii="宋体" w:hAnsi="宋体" w:eastAsia="宋体" w:cs="宋体"/>
          <w:b/>
          <w:color w:val="auto"/>
          <w:sz w:val="44"/>
          <w:highlight w:val="white"/>
          <w:lang w:val="zh-CN"/>
        </w:rPr>
      </w:pPr>
    </w:p>
    <w:p w14:paraId="1198DC1A">
      <w:pPr>
        <w:pStyle w:val="18"/>
        <w:adjustRightInd w:val="0"/>
        <w:snapToGrid w:val="0"/>
        <w:spacing w:line="360" w:lineRule="auto"/>
        <w:jc w:val="center"/>
        <w:rPr>
          <w:rFonts w:hint="eastAsia" w:ascii="宋体" w:hAnsi="宋体" w:eastAsia="宋体" w:cs="宋体"/>
          <w:b/>
          <w:color w:val="auto"/>
          <w:spacing w:val="160"/>
          <w:sz w:val="28"/>
          <w:szCs w:val="28"/>
        </w:rPr>
      </w:pPr>
      <w:r>
        <w:rPr>
          <w:rFonts w:hint="eastAsia" w:ascii="宋体" w:hAnsi="宋体" w:eastAsia="宋体" w:cs="宋体"/>
          <w:b/>
          <w:color w:val="auto"/>
          <w:spacing w:val="160"/>
          <w:sz w:val="28"/>
          <w:szCs w:val="28"/>
        </w:rPr>
        <w:t>目录</w:t>
      </w:r>
    </w:p>
    <w:p w14:paraId="586AE5AF">
      <w:pPr>
        <w:autoSpaceDE w:val="0"/>
        <w:autoSpaceDN w:val="0"/>
        <w:adjustRightInd w:val="0"/>
        <w:snapToGrid w:val="0"/>
        <w:spacing w:line="360" w:lineRule="auto"/>
        <w:rPr>
          <w:rFonts w:hint="eastAsia" w:ascii="宋体" w:hAnsi="宋体" w:eastAsia="宋体" w:cs="宋体"/>
          <w:color w:val="auto"/>
          <w:szCs w:val="21"/>
        </w:rPr>
      </w:pPr>
    </w:p>
    <w:p w14:paraId="716B603F">
      <w:pPr>
        <w:pStyle w:val="23"/>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color w:val="auto"/>
          <w:spacing w:val="160"/>
          <w:szCs w:val="24"/>
        </w:rPr>
        <w:instrText xml:space="preserve">TOC \o "1-1" \h \u </w:instrText>
      </w:r>
      <w:r>
        <w:rPr>
          <w:rFonts w:hint="eastAsia" w:ascii="宋体" w:hAnsi="宋体" w:eastAsia="宋体" w:cs="宋体"/>
          <w:color w:val="auto"/>
          <w:spacing w:val="160"/>
          <w:szCs w:val="24"/>
        </w:rPr>
        <w:fldChar w:fldCharType="separate"/>
      </w: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_Toc531 </w:instrText>
      </w:r>
      <w:r>
        <w:rPr>
          <w:rFonts w:hint="eastAsia" w:ascii="宋体" w:hAnsi="宋体" w:eastAsia="宋体" w:cs="宋体"/>
          <w:spacing w:val="160"/>
          <w:szCs w:val="24"/>
        </w:rPr>
        <w:fldChar w:fldCharType="separate"/>
      </w:r>
      <w:r>
        <w:rPr>
          <w:rFonts w:hint="eastAsia" w:ascii="宋体" w:hAnsi="宋体" w:eastAsia="宋体" w:cs="宋体"/>
        </w:rPr>
        <w:t>第一章 竞争性磋商</w:t>
      </w:r>
      <w:r>
        <w:rPr>
          <w:rFonts w:hint="eastAsia" w:ascii="宋体" w:hAnsi="宋体" w:eastAsia="宋体" w:cs="宋体"/>
          <w:lang w:eastAsia="zh-CN"/>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48DB87EC">
      <w:pPr>
        <w:pStyle w:val="23"/>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_Toc25381 </w:instrText>
      </w:r>
      <w:r>
        <w:rPr>
          <w:rFonts w:hint="eastAsia" w:ascii="宋体" w:hAnsi="宋体" w:eastAsia="宋体" w:cs="宋体"/>
          <w:spacing w:val="160"/>
          <w:szCs w:val="24"/>
        </w:rPr>
        <w:fldChar w:fldCharType="separate"/>
      </w:r>
      <w:r>
        <w:rPr>
          <w:rFonts w:hint="eastAsia" w:ascii="宋体" w:hAnsi="宋体" w:eastAsia="宋体" w:cs="宋体"/>
          <w:lang w:val="en-US" w:eastAsia="zh-CN"/>
        </w:rPr>
        <w:t xml:space="preserve">第二章 </w:t>
      </w:r>
      <w:r>
        <w:rPr>
          <w:rFonts w:hint="eastAsia" w:ascii="宋体" w:hAnsi="宋体" w:eastAsia="宋体" w:cs="宋体"/>
        </w:rPr>
        <w:t>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_Toc25381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4B9EA1E4">
      <w:pPr>
        <w:pStyle w:val="23"/>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_Toc8546 </w:instrText>
      </w:r>
      <w:r>
        <w:rPr>
          <w:rFonts w:hint="eastAsia" w:ascii="宋体" w:hAnsi="宋体" w:eastAsia="宋体" w:cs="宋体"/>
          <w:spacing w:val="160"/>
          <w:szCs w:val="24"/>
        </w:rPr>
        <w:fldChar w:fldCharType="separate"/>
      </w:r>
      <w:r>
        <w:rPr>
          <w:rFonts w:hint="eastAsia" w:ascii="宋体" w:hAnsi="宋体" w:eastAsia="宋体" w:cs="宋体"/>
        </w:rPr>
        <w:t>第三章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_Toc8546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433E05A6">
      <w:pPr>
        <w:pStyle w:val="23"/>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_Toc3330 </w:instrText>
      </w:r>
      <w:r>
        <w:rPr>
          <w:rFonts w:hint="eastAsia" w:ascii="宋体" w:hAnsi="宋体" w:eastAsia="宋体" w:cs="宋体"/>
          <w:spacing w:val="160"/>
          <w:szCs w:val="24"/>
        </w:rPr>
        <w:fldChar w:fldCharType="separate"/>
      </w:r>
      <w:r>
        <w:rPr>
          <w:rFonts w:hint="eastAsia" w:ascii="宋体" w:hAnsi="宋体" w:eastAsia="宋体" w:cs="宋体"/>
        </w:rPr>
        <w:t>第四章 评审方法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_Toc3330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1D2697CC">
      <w:pPr>
        <w:pStyle w:val="23"/>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_Toc14090 </w:instrText>
      </w:r>
      <w:r>
        <w:rPr>
          <w:rFonts w:hint="eastAsia" w:ascii="宋体" w:hAnsi="宋体" w:eastAsia="宋体" w:cs="宋体"/>
          <w:spacing w:val="160"/>
          <w:szCs w:val="24"/>
        </w:rPr>
        <w:fldChar w:fldCharType="separate"/>
      </w:r>
      <w:r>
        <w:rPr>
          <w:rFonts w:hint="eastAsia" w:ascii="宋体" w:hAnsi="宋体" w:eastAsia="宋体" w:cs="宋体"/>
        </w:rPr>
        <w:t>第五章 合同</w:t>
      </w:r>
      <w:r>
        <w:rPr>
          <w:rFonts w:hint="eastAsia" w:ascii="宋体" w:hAnsi="宋体" w:eastAsia="宋体" w:cs="宋体"/>
          <w:lang w:eastAsia="zh-CN"/>
        </w:rPr>
        <w:t>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_Toc14090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1D10934D">
      <w:pPr>
        <w:pStyle w:val="23"/>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_Toc4707 </w:instrText>
      </w:r>
      <w:r>
        <w:rPr>
          <w:rFonts w:hint="eastAsia" w:ascii="宋体" w:hAnsi="宋体" w:eastAsia="宋体" w:cs="宋体"/>
          <w:spacing w:val="160"/>
          <w:szCs w:val="24"/>
        </w:rPr>
        <w:fldChar w:fldCharType="separate"/>
      </w:r>
      <w:r>
        <w:rPr>
          <w:rFonts w:hint="eastAsia" w:ascii="宋体" w:hAnsi="宋体" w:eastAsia="宋体" w:cs="宋体"/>
        </w:rPr>
        <w:t>第六章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_Toc4707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213448D9">
      <w:pPr>
        <w:pStyle w:val="31"/>
        <w:ind w:left="0" w:leftChars="0" w:firstLine="0" w:firstLineChars="0"/>
        <w:rPr>
          <w:rFonts w:hint="eastAsia" w:ascii="宋体" w:hAnsi="宋体" w:eastAsia="宋体" w:cs="宋体"/>
          <w:color w:val="auto"/>
          <w:spacing w:val="160"/>
          <w:szCs w:val="24"/>
        </w:rPr>
      </w:pPr>
      <w:r>
        <w:rPr>
          <w:rFonts w:hint="eastAsia" w:ascii="宋体" w:hAnsi="宋体" w:eastAsia="宋体" w:cs="宋体"/>
          <w:color w:val="auto"/>
          <w:spacing w:val="160"/>
          <w:szCs w:val="24"/>
        </w:rPr>
        <w:fldChar w:fldCharType="end"/>
      </w:r>
    </w:p>
    <w:p w14:paraId="4787D6F7">
      <w:pPr>
        <w:pStyle w:val="31"/>
        <w:ind w:left="0" w:leftChars="0" w:firstLine="0" w:firstLineChars="0"/>
        <w:rPr>
          <w:rFonts w:hint="eastAsia" w:ascii="宋体" w:hAnsi="宋体" w:eastAsia="宋体" w:cs="宋体"/>
          <w:color w:val="auto"/>
          <w:spacing w:val="160"/>
          <w:szCs w:val="24"/>
        </w:rPr>
      </w:pPr>
    </w:p>
    <w:p w14:paraId="7277BDD2">
      <w:pPr>
        <w:pStyle w:val="31"/>
        <w:ind w:left="0" w:leftChars="0" w:firstLine="0" w:firstLineChars="0"/>
        <w:rPr>
          <w:rFonts w:hint="eastAsia" w:ascii="宋体" w:hAnsi="宋体" w:eastAsia="宋体" w:cs="宋体"/>
          <w:color w:val="auto"/>
          <w:spacing w:val="160"/>
          <w:szCs w:val="24"/>
        </w:rPr>
      </w:pPr>
    </w:p>
    <w:p w14:paraId="185E0860">
      <w:pPr>
        <w:pStyle w:val="31"/>
        <w:ind w:left="0" w:leftChars="0" w:firstLine="0" w:firstLineChars="0"/>
        <w:rPr>
          <w:rFonts w:hint="eastAsia" w:ascii="宋体" w:hAnsi="宋体" w:eastAsia="宋体" w:cs="宋体"/>
          <w:color w:val="auto"/>
          <w:spacing w:val="160"/>
          <w:szCs w:val="24"/>
        </w:rPr>
      </w:pPr>
    </w:p>
    <w:p w14:paraId="19ABC319">
      <w:pPr>
        <w:pStyle w:val="31"/>
        <w:ind w:left="0" w:leftChars="0" w:firstLine="0" w:firstLineChars="0"/>
        <w:rPr>
          <w:rFonts w:hint="eastAsia" w:ascii="宋体" w:hAnsi="宋体" w:eastAsia="宋体" w:cs="宋体"/>
          <w:color w:val="auto"/>
          <w:spacing w:val="160"/>
          <w:szCs w:val="24"/>
        </w:rPr>
      </w:pPr>
    </w:p>
    <w:p w14:paraId="4A5EE180">
      <w:pPr>
        <w:pStyle w:val="31"/>
        <w:ind w:left="0" w:leftChars="0" w:firstLine="0" w:firstLineChars="0"/>
        <w:rPr>
          <w:rFonts w:hint="eastAsia" w:ascii="宋体" w:hAnsi="宋体" w:eastAsia="宋体" w:cs="宋体"/>
          <w:color w:val="auto"/>
          <w:spacing w:val="160"/>
          <w:szCs w:val="24"/>
        </w:rPr>
      </w:pPr>
    </w:p>
    <w:p w14:paraId="59A0A113">
      <w:pPr>
        <w:pStyle w:val="31"/>
        <w:ind w:left="0" w:leftChars="0" w:firstLine="0" w:firstLineChars="0"/>
        <w:rPr>
          <w:rFonts w:hint="eastAsia" w:ascii="宋体" w:hAnsi="宋体" w:eastAsia="宋体" w:cs="宋体"/>
          <w:color w:val="auto"/>
          <w:spacing w:val="160"/>
          <w:szCs w:val="24"/>
        </w:rPr>
      </w:pPr>
    </w:p>
    <w:p w14:paraId="102977F2">
      <w:pPr>
        <w:pStyle w:val="31"/>
        <w:ind w:left="0" w:leftChars="0" w:firstLine="0" w:firstLineChars="0"/>
        <w:rPr>
          <w:rFonts w:hint="eastAsia" w:ascii="宋体" w:hAnsi="宋体" w:eastAsia="宋体" w:cs="宋体"/>
          <w:color w:val="auto"/>
          <w:spacing w:val="160"/>
          <w:szCs w:val="24"/>
        </w:rPr>
      </w:pPr>
    </w:p>
    <w:p w14:paraId="59E0BF7F">
      <w:pPr>
        <w:pStyle w:val="31"/>
        <w:ind w:left="0" w:leftChars="0" w:firstLine="0" w:firstLineChars="0"/>
        <w:rPr>
          <w:rFonts w:hint="eastAsia" w:ascii="宋体" w:hAnsi="宋体" w:eastAsia="宋体" w:cs="宋体"/>
          <w:color w:val="auto"/>
          <w:spacing w:val="160"/>
          <w:szCs w:val="24"/>
        </w:rPr>
      </w:pPr>
    </w:p>
    <w:p w14:paraId="433A92FB">
      <w:pPr>
        <w:pStyle w:val="31"/>
        <w:ind w:left="0" w:leftChars="0" w:firstLine="0" w:firstLineChars="0"/>
        <w:rPr>
          <w:rFonts w:hint="eastAsia" w:ascii="宋体" w:hAnsi="宋体" w:eastAsia="宋体" w:cs="宋体"/>
          <w:color w:val="auto"/>
          <w:spacing w:val="160"/>
          <w:szCs w:val="24"/>
        </w:rPr>
      </w:pPr>
    </w:p>
    <w:p w14:paraId="58339BE5">
      <w:pPr>
        <w:pStyle w:val="31"/>
        <w:ind w:left="0" w:leftChars="0" w:firstLine="0" w:firstLineChars="0"/>
        <w:rPr>
          <w:rFonts w:hint="eastAsia" w:ascii="宋体" w:hAnsi="宋体" w:eastAsia="宋体" w:cs="宋体"/>
          <w:color w:val="auto"/>
          <w:spacing w:val="160"/>
          <w:szCs w:val="24"/>
        </w:rPr>
      </w:pPr>
    </w:p>
    <w:p w14:paraId="1F5CD9C6">
      <w:pPr>
        <w:pStyle w:val="31"/>
        <w:ind w:left="0" w:leftChars="0" w:firstLine="0" w:firstLineChars="0"/>
        <w:rPr>
          <w:rFonts w:hint="eastAsia" w:ascii="宋体" w:hAnsi="宋体" w:eastAsia="宋体" w:cs="宋体"/>
          <w:color w:val="auto"/>
          <w:spacing w:val="160"/>
          <w:szCs w:val="24"/>
        </w:rPr>
      </w:pPr>
    </w:p>
    <w:p w14:paraId="47DA65C8">
      <w:pPr>
        <w:pStyle w:val="31"/>
        <w:ind w:left="0" w:leftChars="0" w:firstLine="0" w:firstLineChars="0"/>
        <w:rPr>
          <w:rFonts w:hint="eastAsia" w:ascii="宋体" w:hAnsi="宋体" w:eastAsia="宋体" w:cs="宋体"/>
          <w:color w:val="auto"/>
          <w:spacing w:val="160"/>
          <w:szCs w:val="24"/>
        </w:rPr>
      </w:pPr>
    </w:p>
    <w:p w14:paraId="7CFE1857">
      <w:pPr>
        <w:pStyle w:val="31"/>
        <w:ind w:left="0" w:leftChars="0" w:firstLine="0" w:firstLineChars="0"/>
        <w:rPr>
          <w:rFonts w:hint="eastAsia" w:ascii="宋体" w:hAnsi="宋体" w:eastAsia="宋体" w:cs="宋体"/>
          <w:color w:val="auto"/>
          <w:spacing w:val="160"/>
          <w:szCs w:val="24"/>
        </w:rPr>
      </w:pPr>
    </w:p>
    <w:p w14:paraId="1E1910DE">
      <w:pPr>
        <w:pStyle w:val="31"/>
        <w:ind w:left="0" w:leftChars="0" w:firstLine="0" w:firstLineChars="0"/>
        <w:rPr>
          <w:rFonts w:hint="eastAsia" w:ascii="宋体" w:hAnsi="宋体" w:eastAsia="宋体" w:cs="宋体"/>
          <w:color w:val="auto"/>
          <w:spacing w:val="160"/>
          <w:szCs w:val="24"/>
        </w:rPr>
      </w:pPr>
    </w:p>
    <w:p w14:paraId="332966D9">
      <w:pPr>
        <w:pStyle w:val="31"/>
        <w:ind w:left="0" w:leftChars="0" w:firstLine="0" w:firstLineChars="0"/>
        <w:rPr>
          <w:rFonts w:hint="eastAsia" w:ascii="宋体" w:hAnsi="宋体" w:eastAsia="宋体" w:cs="宋体"/>
          <w:color w:val="auto"/>
          <w:spacing w:val="160"/>
          <w:szCs w:val="24"/>
        </w:rPr>
      </w:pPr>
    </w:p>
    <w:p w14:paraId="7A3EBEB0">
      <w:pPr>
        <w:pStyle w:val="31"/>
        <w:ind w:left="0" w:leftChars="0" w:firstLine="0" w:firstLineChars="0"/>
        <w:rPr>
          <w:rFonts w:hint="eastAsia" w:ascii="宋体" w:hAnsi="宋体" w:eastAsia="宋体" w:cs="宋体"/>
          <w:color w:val="auto"/>
          <w:spacing w:val="160"/>
          <w:szCs w:val="24"/>
        </w:rPr>
      </w:pPr>
    </w:p>
    <w:p w14:paraId="1F44E202">
      <w:pPr>
        <w:pStyle w:val="31"/>
        <w:ind w:left="0" w:leftChars="0" w:firstLine="0" w:firstLineChars="0"/>
        <w:rPr>
          <w:rFonts w:hint="eastAsia" w:ascii="宋体" w:hAnsi="宋体" w:eastAsia="宋体" w:cs="宋体"/>
          <w:color w:val="auto"/>
          <w:spacing w:val="160"/>
          <w:szCs w:val="24"/>
        </w:rPr>
      </w:pPr>
    </w:p>
    <w:p w14:paraId="58EF48D8">
      <w:pPr>
        <w:pStyle w:val="31"/>
        <w:ind w:left="0" w:leftChars="0" w:firstLine="0" w:firstLineChars="0"/>
        <w:rPr>
          <w:rFonts w:hint="eastAsia" w:ascii="宋体" w:hAnsi="宋体" w:eastAsia="宋体" w:cs="宋体"/>
          <w:color w:val="auto"/>
          <w:spacing w:val="160"/>
          <w:szCs w:val="24"/>
        </w:rPr>
      </w:pPr>
    </w:p>
    <w:p w14:paraId="7F6B8968">
      <w:pPr>
        <w:pStyle w:val="31"/>
        <w:ind w:left="0" w:leftChars="0" w:firstLine="0" w:firstLineChars="0"/>
        <w:rPr>
          <w:rFonts w:hint="eastAsia" w:ascii="宋体" w:hAnsi="宋体" w:eastAsia="宋体" w:cs="宋体"/>
          <w:color w:val="auto"/>
          <w:spacing w:val="160"/>
          <w:szCs w:val="24"/>
        </w:rPr>
      </w:pPr>
    </w:p>
    <w:p w14:paraId="662AE853">
      <w:pPr>
        <w:pStyle w:val="31"/>
        <w:ind w:left="0" w:leftChars="0" w:firstLine="0" w:firstLineChars="0"/>
        <w:rPr>
          <w:rFonts w:hint="eastAsia" w:ascii="宋体" w:hAnsi="宋体" w:eastAsia="宋体" w:cs="宋体"/>
          <w:color w:val="auto"/>
          <w:spacing w:val="160"/>
          <w:szCs w:val="24"/>
        </w:rPr>
      </w:pPr>
    </w:p>
    <w:p w14:paraId="227D990B">
      <w:pPr>
        <w:pStyle w:val="31"/>
        <w:ind w:left="0" w:leftChars="0" w:firstLine="0" w:firstLineChars="0"/>
        <w:rPr>
          <w:rFonts w:hint="eastAsia" w:ascii="宋体" w:hAnsi="宋体" w:eastAsia="宋体" w:cs="宋体"/>
          <w:color w:val="auto"/>
          <w:spacing w:val="160"/>
          <w:szCs w:val="24"/>
        </w:rPr>
      </w:pPr>
    </w:p>
    <w:p w14:paraId="29D5B7B2">
      <w:pPr>
        <w:pStyle w:val="31"/>
        <w:ind w:left="0" w:leftChars="0" w:firstLine="0" w:firstLineChars="0"/>
        <w:rPr>
          <w:rFonts w:hint="eastAsia" w:ascii="宋体" w:hAnsi="宋体" w:eastAsia="宋体" w:cs="宋体"/>
          <w:color w:val="auto"/>
          <w:spacing w:val="160"/>
          <w:szCs w:val="24"/>
          <w:lang w:val="zh-CN"/>
        </w:rPr>
      </w:pPr>
    </w:p>
    <w:p w14:paraId="5CDAAEEB">
      <w:pPr>
        <w:pStyle w:val="2"/>
        <w:numPr>
          <w:ilvl w:val="0"/>
          <w:numId w:val="2"/>
        </w:numPr>
        <w:spacing w:before="0" w:after="0" w:line="240" w:lineRule="auto"/>
        <w:ind w:left="0" w:leftChars="0"/>
        <w:rPr>
          <w:rFonts w:hint="eastAsia" w:ascii="宋体" w:hAnsi="宋体" w:eastAsia="宋体" w:cs="宋体"/>
          <w:color w:val="auto"/>
        </w:rPr>
        <w:sectPr>
          <w:pgSz w:w="11906" w:h="16838"/>
          <w:pgMar w:top="1440" w:right="1080" w:bottom="1440" w:left="1080" w:header="851" w:footer="992" w:gutter="0"/>
          <w:pgNumType w:fmt="decimal" w:start="1"/>
          <w:cols w:space="425" w:num="1"/>
          <w:docGrid w:linePitch="312" w:charSpace="0"/>
        </w:sectPr>
      </w:pPr>
      <w:bookmarkStart w:id="0" w:name="_Toc21151"/>
      <w:bookmarkStart w:id="1" w:name="_Toc456718476"/>
    </w:p>
    <w:p w14:paraId="69ABC160">
      <w:pPr>
        <w:pStyle w:val="2"/>
        <w:numPr>
          <w:ilvl w:val="0"/>
          <w:numId w:val="2"/>
        </w:numPr>
        <w:spacing w:before="0" w:after="0" w:line="240" w:lineRule="auto"/>
        <w:ind w:left="0" w:leftChars="0"/>
        <w:rPr>
          <w:rFonts w:hint="eastAsia" w:ascii="宋体" w:hAnsi="宋体" w:eastAsia="宋体" w:cs="宋体"/>
          <w:color w:val="auto"/>
        </w:rPr>
      </w:pPr>
      <w:bookmarkStart w:id="312" w:name="_GoBack"/>
      <w:bookmarkEnd w:id="312"/>
      <w:r>
        <w:rPr>
          <w:rFonts w:hint="eastAsia" w:ascii="宋体" w:hAnsi="宋体" w:eastAsia="宋体" w:cs="宋体"/>
          <w:color w:val="auto"/>
          <w:lang w:val="en-US" w:eastAsia="zh-CN"/>
        </w:rPr>
        <w:t xml:space="preserve"> </w:t>
      </w:r>
      <w:bookmarkStart w:id="2" w:name="_Toc531"/>
      <w:bookmarkStart w:id="3" w:name="_Toc6006"/>
      <w:bookmarkStart w:id="4" w:name="_Toc4209"/>
      <w:r>
        <w:rPr>
          <w:rFonts w:hint="eastAsia" w:ascii="宋体" w:hAnsi="宋体" w:eastAsia="宋体" w:cs="宋体"/>
          <w:color w:val="auto"/>
        </w:rPr>
        <w:t>竞争性磋商</w:t>
      </w:r>
      <w:bookmarkEnd w:id="0"/>
      <w:r>
        <w:rPr>
          <w:rFonts w:hint="eastAsia" w:ascii="宋体" w:hAnsi="宋体" w:eastAsia="宋体" w:cs="宋体"/>
          <w:color w:val="auto"/>
          <w:lang w:eastAsia="zh-CN"/>
        </w:rPr>
        <w:t>公告</w:t>
      </w:r>
      <w:bookmarkEnd w:id="2"/>
      <w:bookmarkEnd w:id="3"/>
      <w:bookmarkEnd w:id="4"/>
    </w:p>
    <w:p w14:paraId="44624A85">
      <w:pPr>
        <w:numPr>
          <w:ilvl w:val="0"/>
          <w:numId w:val="0"/>
        </w:numPr>
        <w:rPr>
          <w:rFonts w:hint="eastAsia" w:ascii="宋体" w:hAnsi="宋体" w:eastAsia="宋体" w:cs="宋体"/>
          <w:color w:val="auto"/>
          <w:sz w:val="24"/>
        </w:rPr>
      </w:pP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6AF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noWrap w:val="0"/>
            <w:vAlign w:val="top"/>
          </w:tcPr>
          <w:p w14:paraId="1C0A564C">
            <w:pPr>
              <w:rPr>
                <w:rFonts w:hint="eastAsia"/>
                <w:lang w:val="en-US" w:eastAsia="zh-CN"/>
              </w:rPr>
            </w:pPr>
            <w:r>
              <w:rPr>
                <w:rFonts w:hint="eastAsia" w:ascii="宋体" w:hAnsi="宋体" w:eastAsia="宋体" w:cs="宋体"/>
                <w:i w:val="0"/>
                <w:iCs w:val="0"/>
                <w:caps w:val="0"/>
                <w:color w:val="auto"/>
                <w:spacing w:val="0"/>
                <w:kern w:val="0"/>
                <w:sz w:val="24"/>
                <w:szCs w:val="24"/>
                <w:lang w:val="en-US" w:eastAsia="zh-CN" w:bidi="ar-SA"/>
              </w:rPr>
              <w:t xml:space="preserve">项目概况    </w:t>
            </w:r>
            <w:r>
              <w:rPr>
                <w:rFonts w:hint="eastAsia"/>
                <w:lang w:val="en-US" w:eastAsia="zh-CN"/>
              </w:rPr>
              <w:t>                                               </w:t>
            </w:r>
          </w:p>
          <w:p w14:paraId="5C96FF7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2"/>
                <w:szCs w:val="22"/>
                <w:vertAlign w:val="baseline"/>
              </w:rPr>
            </w:pPr>
            <w:r>
              <w:rPr>
                <w:rFonts w:hint="eastAsia" w:ascii="宋体" w:hAnsi="宋体" w:eastAsia="宋体" w:cs="宋体"/>
                <w:color w:val="auto"/>
                <w:sz w:val="24"/>
                <w:szCs w:val="24"/>
                <w:u w:val="none"/>
                <w:lang w:val="en-US" w:eastAsia="zh-CN"/>
              </w:rPr>
              <w:t>2025年乌什县“我爱浙疆”系列文化品牌工程-2025首届“烂柯杯”中国-中亚围棋邀请赛</w:t>
            </w:r>
            <w:r>
              <w:rPr>
                <w:rFonts w:hint="eastAsia" w:ascii="宋体" w:hAnsi="宋体" w:eastAsia="宋体" w:cs="宋体"/>
                <w:i w:val="0"/>
                <w:iCs w:val="0"/>
                <w:caps w:val="0"/>
                <w:color w:val="auto"/>
                <w:spacing w:val="0"/>
                <w:sz w:val="24"/>
                <w:szCs w:val="24"/>
                <w:lang w:val="en-US" w:eastAsia="zh-CN"/>
              </w:rPr>
              <w:t>的潜在供应商应在政采云平台线上获取采购文件，并于</w:t>
            </w:r>
            <w:r>
              <w:rPr>
                <w:rFonts w:hint="eastAsia" w:cs="宋体"/>
                <w:i w:val="0"/>
                <w:iCs w:val="0"/>
                <w:caps w:val="0"/>
                <w:color w:val="auto"/>
                <w:spacing w:val="0"/>
                <w:sz w:val="24"/>
                <w:szCs w:val="24"/>
                <w:lang w:val="en-US" w:eastAsia="zh-CN"/>
              </w:rPr>
              <w:t>2025</w:t>
            </w:r>
            <w:r>
              <w:rPr>
                <w:rFonts w:hint="eastAsia" w:ascii="宋体" w:hAnsi="宋体" w:eastAsia="宋体" w:cs="宋体"/>
                <w:i w:val="0"/>
                <w:iCs w:val="0"/>
                <w:caps w:val="0"/>
                <w:color w:val="auto"/>
                <w:spacing w:val="0"/>
                <w:sz w:val="24"/>
                <w:szCs w:val="24"/>
                <w:lang w:val="en-US" w:eastAsia="zh-CN"/>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lang w:val="en-US" w:eastAsia="zh-CN"/>
              </w:rPr>
              <w:t>月</w:t>
            </w:r>
            <w:r>
              <w:rPr>
                <w:rFonts w:hint="eastAsia" w:cs="宋体"/>
                <w:i w:val="0"/>
                <w:iCs w:val="0"/>
                <w:caps w:val="0"/>
                <w:color w:val="auto"/>
                <w:spacing w:val="0"/>
                <w:sz w:val="24"/>
                <w:szCs w:val="24"/>
                <w:lang w:val="en-US" w:eastAsia="zh-CN"/>
              </w:rPr>
              <w:t>21</w:t>
            </w:r>
            <w:r>
              <w:rPr>
                <w:rFonts w:hint="eastAsia" w:ascii="宋体" w:hAnsi="宋体" w:eastAsia="宋体" w:cs="宋体"/>
                <w:i w:val="0"/>
                <w:iCs w:val="0"/>
                <w:caps w:val="0"/>
                <w:color w:val="auto"/>
                <w:spacing w:val="0"/>
                <w:sz w:val="24"/>
                <w:szCs w:val="24"/>
                <w:lang w:val="en-US" w:eastAsia="zh-CN"/>
              </w:rPr>
              <w:t>日1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lang w:val="en-US" w:eastAsia="zh-CN"/>
              </w:rPr>
              <w:t>：30（北京时间）前提交响应文件。</w:t>
            </w:r>
          </w:p>
        </w:tc>
      </w:tr>
    </w:tbl>
    <w:p w14:paraId="536A320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jc w:val="left"/>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一、项目基本情况</w:t>
      </w:r>
    </w:p>
    <w:p w14:paraId="25C38A4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lang w:eastAsia="zh-CN"/>
        </w:rPr>
      </w:pPr>
      <w:r>
        <w:rPr>
          <w:rFonts w:hint="eastAsia" w:ascii="宋体" w:hAnsi="宋体" w:eastAsia="宋体" w:cs="宋体"/>
          <w:i w:val="0"/>
          <w:iCs w:val="0"/>
          <w:caps w:val="0"/>
          <w:color w:val="auto"/>
          <w:spacing w:val="0"/>
          <w:sz w:val="24"/>
          <w:szCs w:val="24"/>
        </w:rPr>
        <w:t>项目编号：</w:t>
      </w:r>
      <w:r>
        <w:rPr>
          <w:rFonts w:hint="eastAsia" w:ascii="宋体" w:hAnsi="宋体" w:eastAsia="宋体" w:cs="宋体"/>
          <w:i w:val="0"/>
          <w:iCs w:val="0"/>
          <w:caps w:val="0"/>
          <w:color w:val="auto"/>
          <w:spacing w:val="0"/>
          <w:sz w:val="24"/>
          <w:szCs w:val="24"/>
          <w:lang w:val="en-US" w:eastAsia="zh-CN"/>
        </w:rPr>
        <w:t>WSX</w:t>
      </w:r>
      <w:r>
        <w:rPr>
          <w:rFonts w:hint="eastAsia" w:ascii="宋体" w:hAnsi="宋体" w:eastAsia="宋体" w:cs="宋体"/>
          <w:i w:val="0"/>
          <w:iCs w:val="0"/>
          <w:caps w:val="0"/>
          <w:color w:val="auto"/>
          <w:spacing w:val="0"/>
          <w:sz w:val="24"/>
          <w:szCs w:val="24"/>
        </w:rPr>
        <w:t>[2025]</w:t>
      </w:r>
      <w:r>
        <w:rPr>
          <w:rFonts w:hint="eastAsia" w:ascii="宋体" w:hAnsi="宋体" w:eastAsia="宋体" w:cs="宋体"/>
          <w:i w:val="0"/>
          <w:iCs w:val="0"/>
          <w:caps w:val="0"/>
          <w:color w:val="auto"/>
          <w:spacing w:val="0"/>
          <w:sz w:val="24"/>
          <w:szCs w:val="24"/>
          <w:lang w:val="en-US" w:eastAsia="zh-CN"/>
        </w:rPr>
        <w:t>-122</w:t>
      </w:r>
    </w:p>
    <w:p w14:paraId="67B392A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项目名称：</w:t>
      </w:r>
      <w:r>
        <w:rPr>
          <w:rFonts w:hint="eastAsia" w:ascii="宋体" w:hAnsi="宋体" w:eastAsia="宋体" w:cs="宋体"/>
          <w:color w:val="auto"/>
          <w:sz w:val="24"/>
          <w:szCs w:val="24"/>
          <w:u w:val="none"/>
          <w:lang w:val="en-US" w:eastAsia="zh-CN"/>
        </w:rPr>
        <w:t>2025年乌什县“我爱浙疆”系列文化品牌工程-2025首届“烂柯杯”中国-中亚围棋邀请赛</w:t>
      </w:r>
    </w:p>
    <w:p w14:paraId="308D4CF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采购方式：竞争性磋商</w:t>
      </w:r>
      <w:r>
        <w:rPr>
          <w:rFonts w:hint="eastAsia" w:ascii="宋体" w:hAnsi="宋体" w:eastAsia="宋体" w:cs="宋体"/>
          <w:i w:val="0"/>
          <w:iCs w:val="0"/>
          <w:caps w:val="0"/>
          <w:color w:val="auto"/>
          <w:spacing w:val="0"/>
          <w:sz w:val="20"/>
          <w:szCs w:val="20"/>
        </w:rPr>
        <w:t> </w:t>
      </w:r>
    </w:p>
    <w:p w14:paraId="4A182AE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color w:val="auto"/>
          <w:sz w:val="22"/>
          <w:szCs w:val="22"/>
          <w:lang w:val="en-US"/>
        </w:rPr>
      </w:pPr>
      <w:r>
        <w:rPr>
          <w:rFonts w:hint="eastAsia" w:ascii="宋体" w:hAnsi="宋体" w:eastAsia="宋体" w:cs="宋体"/>
          <w:i w:val="0"/>
          <w:iCs w:val="0"/>
          <w:caps w:val="0"/>
          <w:color w:val="auto"/>
          <w:spacing w:val="0"/>
          <w:sz w:val="24"/>
          <w:szCs w:val="24"/>
        </w:rPr>
        <w:t>预算金额（元）：</w:t>
      </w:r>
      <w:r>
        <w:rPr>
          <w:rFonts w:hint="eastAsia" w:ascii="宋体" w:hAnsi="宋体" w:eastAsia="宋体" w:cs="宋体"/>
          <w:i w:val="0"/>
          <w:iCs w:val="0"/>
          <w:caps w:val="0"/>
          <w:color w:val="auto"/>
          <w:spacing w:val="0"/>
          <w:sz w:val="24"/>
          <w:szCs w:val="24"/>
          <w:lang w:val="en-US" w:eastAsia="zh-CN"/>
        </w:rPr>
        <w:t>1300000.00</w:t>
      </w:r>
      <w:r>
        <w:rPr>
          <w:rFonts w:hint="eastAsia" w:ascii="宋体" w:hAnsi="宋体" w:eastAsia="宋体" w:cs="宋体"/>
          <w:i w:val="0"/>
          <w:iCs w:val="0"/>
          <w:caps w:val="0"/>
          <w:color w:val="auto"/>
          <w:spacing w:val="0"/>
          <w:sz w:val="24"/>
          <w:szCs w:val="24"/>
        </w:rPr>
        <w:t>元</w:t>
      </w:r>
    </w:p>
    <w:p w14:paraId="4AB537D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最高限价（元）：</w:t>
      </w:r>
      <w:r>
        <w:rPr>
          <w:rFonts w:hint="eastAsia" w:ascii="宋体" w:hAnsi="宋体" w:eastAsia="宋体" w:cs="宋体"/>
          <w:sz w:val="24"/>
          <w:szCs w:val="24"/>
          <w:lang w:val="en-US" w:eastAsia="zh-CN"/>
        </w:rPr>
        <w:t>1300000.00</w:t>
      </w:r>
      <w:r>
        <w:rPr>
          <w:rFonts w:hint="eastAsia" w:ascii="宋体" w:hAnsi="宋体" w:eastAsia="宋体" w:cs="宋体"/>
          <w:sz w:val="24"/>
          <w:szCs w:val="24"/>
        </w:rPr>
        <w:t>元</w:t>
      </w:r>
    </w:p>
    <w:p w14:paraId="42EC97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auto"/>
          <w:spacing w:val="0"/>
          <w:sz w:val="24"/>
          <w:szCs w:val="24"/>
        </w:rPr>
        <w:t>采购需求：</w:t>
      </w:r>
      <w:r>
        <w:rPr>
          <w:rFonts w:hint="eastAsia" w:ascii="宋体" w:hAnsi="宋体" w:eastAsia="宋体" w:cs="宋体"/>
          <w:sz w:val="24"/>
          <w:szCs w:val="24"/>
          <w:lang w:val="en-US" w:eastAsia="zh-CN"/>
        </w:rPr>
        <w:t>举办2025首届“烂柯杯”中国-中亚围棋邀请赛赛事活动(详见采购需求）</w:t>
      </w:r>
      <w:r>
        <w:rPr>
          <w:rFonts w:hint="eastAsia" w:ascii="宋体" w:hAnsi="宋体" w:eastAsia="宋体" w:cs="宋体"/>
          <w:sz w:val="24"/>
          <w:szCs w:val="24"/>
        </w:rPr>
        <w:t>。</w:t>
      </w:r>
    </w:p>
    <w:p w14:paraId="2A7A030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00" w:firstLineChars="200"/>
        <w:textAlignment w:val="auto"/>
        <w:rPr>
          <w:rFonts w:hint="eastAsia" w:ascii="宋体" w:hAnsi="宋体" w:eastAsia="宋体" w:cs="宋体"/>
          <w:i w:val="0"/>
          <w:iCs w:val="0"/>
          <w:caps w:val="0"/>
          <w:color w:val="auto"/>
          <w:spacing w:val="0"/>
          <w:sz w:val="20"/>
          <w:szCs w:val="20"/>
        </w:rPr>
      </w:pPr>
    </w:p>
    <w:p w14:paraId="26E7212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标项名称：</w:t>
      </w:r>
      <w:r>
        <w:rPr>
          <w:rFonts w:hint="eastAsia" w:cs="宋体"/>
          <w:i w:val="0"/>
          <w:iCs w:val="0"/>
          <w:caps w:val="0"/>
          <w:color w:val="auto"/>
          <w:spacing w:val="0"/>
          <w:sz w:val="24"/>
          <w:szCs w:val="24"/>
          <w:lang w:val="en-US" w:eastAsia="zh-CN"/>
        </w:rPr>
        <w:t>2</w:t>
      </w:r>
      <w:r>
        <w:rPr>
          <w:rFonts w:hint="eastAsia" w:ascii="宋体" w:hAnsi="宋体" w:eastAsia="宋体" w:cs="宋体"/>
          <w:color w:val="auto"/>
          <w:sz w:val="24"/>
          <w:szCs w:val="24"/>
          <w:u w:val="none"/>
          <w:lang w:val="en-US" w:eastAsia="zh-CN"/>
        </w:rPr>
        <w:t>025年乌什县“我爱浙疆”系列文化品牌工程-2025首届“烂柯杯”中国-中亚围棋邀请赛</w:t>
      </w:r>
    </w:p>
    <w:p w14:paraId="5887F19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960" w:firstLineChars="400"/>
        <w:jc w:val="left"/>
        <w:textAlignment w:val="auto"/>
        <w:rPr>
          <w:rFonts w:hint="eastAsia" w:ascii="宋体" w:hAnsi="宋体" w:eastAsia="宋体" w:cs="宋体"/>
          <w:color w:val="auto"/>
          <w:sz w:val="20"/>
          <w:szCs w:val="22"/>
        </w:rPr>
      </w:pPr>
      <w:r>
        <w:rPr>
          <w:rFonts w:hint="eastAsia" w:ascii="宋体" w:hAnsi="宋体" w:eastAsia="宋体" w:cs="宋体"/>
          <w:i w:val="0"/>
          <w:iCs w:val="0"/>
          <w:caps w:val="0"/>
          <w:color w:val="auto"/>
          <w:spacing w:val="0"/>
          <w:kern w:val="0"/>
          <w:sz w:val="24"/>
          <w:szCs w:val="24"/>
          <w:lang w:val="en-US" w:eastAsia="zh-CN" w:bidi="ar"/>
        </w:rPr>
        <w:t>数量：不限 </w:t>
      </w:r>
      <w:r>
        <w:rPr>
          <w:rFonts w:hint="eastAsia" w:ascii="宋体" w:hAnsi="宋体" w:eastAsia="宋体" w:cs="宋体"/>
          <w:i w:val="0"/>
          <w:iCs w:val="0"/>
          <w:caps w:val="0"/>
          <w:color w:val="auto"/>
          <w:spacing w:val="0"/>
          <w:kern w:val="0"/>
          <w:sz w:val="20"/>
          <w:szCs w:val="20"/>
          <w:lang w:val="en-US" w:eastAsia="zh-CN" w:bidi="ar"/>
        </w:rPr>
        <w:t>    </w:t>
      </w:r>
    </w:p>
    <w:p w14:paraId="6256A7F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预算金额（元）：</w:t>
      </w:r>
      <w:r>
        <w:rPr>
          <w:rFonts w:hint="eastAsia" w:ascii="宋体" w:hAnsi="宋体" w:eastAsia="宋体" w:cs="宋体"/>
          <w:sz w:val="24"/>
          <w:szCs w:val="24"/>
          <w:lang w:val="en-US" w:eastAsia="zh-CN"/>
        </w:rPr>
        <w:t>1300000.00</w:t>
      </w:r>
      <w:r>
        <w:rPr>
          <w:rFonts w:hint="eastAsia" w:ascii="宋体" w:hAnsi="宋体" w:eastAsia="宋体" w:cs="宋体"/>
          <w:sz w:val="24"/>
          <w:szCs w:val="24"/>
        </w:rPr>
        <w:t>元</w:t>
      </w:r>
      <w:r>
        <w:rPr>
          <w:rFonts w:hint="eastAsia" w:ascii="宋体" w:hAnsi="宋体" w:eastAsia="宋体" w:cs="宋体"/>
          <w:i w:val="0"/>
          <w:iCs w:val="0"/>
          <w:caps w:val="0"/>
          <w:color w:val="auto"/>
          <w:spacing w:val="0"/>
          <w:sz w:val="24"/>
          <w:szCs w:val="24"/>
        </w:rPr>
        <w:t> </w:t>
      </w:r>
    </w:p>
    <w:p w14:paraId="01068A5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单位：批 </w:t>
      </w:r>
    </w:p>
    <w:p w14:paraId="100C1AF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简要规格描述：详见</w:t>
      </w:r>
      <w:r>
        <w:rPr>
          <w:rFonts w:hint="eastAsia" w:ascii="宋体" w:hAnsi="宋体" w:eastAsia="宋体" w:cs="宋体"/>
          <w:i w:val="0"/>
          <w:iCs w:val="0"/>
          <w:caps w:val="0"/>
          <w:color w:val="auto"/>
          <w:spacing w:val="0"/>
          <w:sz w:val="24"/>
          <w:szCs w:val="24"/>
          <w:lang w:val="en-US" w:eastAsia="zh-CN"/>
        </w:rPr>
        <w:t>竞争性</w:t>
      </w:r>
      <w:r>
        <w:rPr>
          <w:rFonts w:hint="eastAsia" w:ascii="宋体" w:hAnsi="宋体" w:eastAsia="宋体" w:cs="宋体"/>
          <w:i w:val="0"/>
          <w:iCs w:val="0"/>
          <w:caps w:val="0"/>
          <w:color w:val="auto"/>
          <w:spacing w:val="0"/>
          <w:sz w:val="24"/>
          <w:szCs w:val="24"/>
        </w:rPr>
        <w:t>磋商文件采购需求  </w:t>
      </w:r>
    </w:p>
    <w:p w14:paraId="4470C15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备注： </w:t>
      </w:r>
    </w:p>
    <w:p w14:paraId="610DE09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highlight w:val="yellow"/>
          <w:lang w:val="en-US" w:eastAsia="zh-CN"/>
        </w:rPr>
      </w:pPr>
      <w:r>
        <w:rPr>
          <w:rFonts w:hint="eastAsia" w:ascii="宋体" w:hAnsi="宋体" w:eastAsia="宋体" w:cs="宋体"/>
          <w:i w:val="0"/>
          <w:iCs w:val="0"/>
          <w:caps w:val="0"/>
          <w:color w:val="auto"/>
          <w:spacing w:val="0"/>
          <w:sz w:val="24"/>
          <w:szCs w:val="24"/>
          <w:highlight w:val="none"/>
        </w:rPr>
        <w:t>合同履约期限：</w:t>
      </w:r>
      <w:r>
        <w:rPr>
          <w:rFonts w:hint="eastAsia" w:ascii="宋体" w:hAnsi="宋体" w:eastAsia="宋体" w:cs="宋体"/>
          <w:i w:val="0"/>
          <w:iCs w:val="0"/>
          <w:caps w:val="0"/>
          <w:color w:val="auto"/>
          <w:spacing w:val="0"/>
          <w:sz w:val="24"/>
          <w:szCs w:val="24"/>
          <w:highlight w:val="none"/>
          <w:lang w:val="en-US" w:eastAsia="zh-CN"/>
        </w:rPr>
        <w:t>30</w:t>
      </w:r>
      <w:r>
        <w:rPr>
          <w:rFonts w:hint="eastAsia" w:ascii="宋体" w:hAnsi="宋体" w:eastAsia="宋体" w:cs="宋体"/>
          <w:i w:val="0"/>
          <w:iCs w:val="0"/>
          <w:caps w:val="0"/>
          <w:color w:val="auto"/>
          <w:spacing w:val="0"/>
          <w:sz w:val="24"/>
          <w:szCs w:val="24"/>
          <w:highlight w:val="none"/>
        </w:rPr>
        <w:t xml:space="preserve"> 天，具体服务期以签订的合同为准</w:t>
      </w:r>
      <w:r>
        <w:rPr>
          <w:rFonts w:hint="eastAsia" w:ascii="宋体" w:hAnsi="宋体" w:eastAsia="宋体" w:cs="宋体"/>
          <w:i w:val="0"/>
          <w:iCs w:val="0"/>
          <w:caps w:val="0"/>
          <w:color w:val="auto"/>
          <w:spacing w:val="0"/>
          <w:sz w:val="24"/>
          <w:szCs w:val="24"/>
          <w:highlight w:val="none"/>
          <w:lang w:eastAsia="zh-CN"/>
        </w:rPr>
        <w:t>。</w:t>
      </w:r>
    </w:p>
    <w:p w14:paraId="6FDDD65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本项目（否）接受联合体投标。</w:t>
      </w:r>
      <w:r>
        <w:rPr>
          <w:rFonts w:hint="eastAsia" w:ascii="宋体" w:hAnsi="宋体" w:eastAsia="宋体" w:cs="宋体"/>
          <w:i w:val="0"/>
          <w:iCs w:val="0"/>
          <w:caps w:val="0"/>
          <w:color w:val="auto"/>
          <w:spacing w:val="0"/>
          <w:sz w:val="20"/>
          <w:szCs w:val="20"/>
        </w:rPr>
        <w:t>  </w:t>
      </w:r>
    </w:p>
    <w:p w14:paraId="26E53B7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二、申请人的资格要求：</w:t>
      </w:r>
    </w:p>
    <w:p w14:paraId="3845E02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1.满足《中华人民共和国政府采购法》第二十二条规定；</w:t>
      </w:r>
    </w:p>
    <w:p w14:paraId="5A14AF0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rPr>
        <w:t>2.落实政府采购政策需满足的资格要求：</w:t>
      </w:r>
      <w:r>
        <w:rPr>
          <w:rFonts w:hint="eastAsia" w:ascii="宋体" w:hAnsi="宋体" w:eastAsia="宋体" w:cs="宋体"/>
          <w:i w:val="0"/>
          <w:iCs w:val="0"/>
          <w:caps w:val="0"/>
          <w:color w:val="auto"/>
          <w:spacing w:val="0"/>
          <w:sz w:val="24"/>
          <w:szCs w:val="24"/>
          <w:highlight w:val="none"/>
        </w:rPr>
        <w:t>标项1：</w:t>
      </w:r>
      <w:r>
        <w:rPr>
          <w:rFonts w:hint="eastAsia" w:cs="宋体"/>
          <w:i w:val="0"/>
          <w:iCs w:val="0"/>
          <w:caps w:val="0"/>
          <w:color w:val="auto"/>
          <w:spacing w:val="0"/>
          <w:sz w:val="24"/>
          <w:szCs w:val="24"/>
          <w:highlight w:val="none"/>
          <w:lang w:val="en-US" w:eastAsia="zh-CN"/>
        </w:rPr>
        <w:t>本项目专门面向小微企业</w:t>
      </w:r>
      <w:r>
        <w:rPr>
          <w:rFonts w:hint="eastAsia" w:ascii="宋体" w:hAnsi="宋体" w:eastAsia="宋体" w:cs="宋体"/>
          <w:i w:val="0"/>
          <w:iCs w:val="0"/>
          <w:caps w:val="0"/>
          <w:color w:val="auto"/>
          <w:spacing w:val="0"/>
          <w:sz w:val="24"/>
          <w:szCs w:val="24"/>
          <w:highlight w:val="none"/>
        </w:rPr>
        <w:t>；</w:t>
      </w:r>
    </w:p>
    <w:p w14:paraId="3C159AC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3.本项目的特定资格要求：</w:t>
      </w:r>
      <w:r>
        <w:rPr>
          <w:rFonts w:hint="eastAsia" w:ascii="宋体" w:hAnsi="宋体" w:eastAsia="宋体" w:cs="宋体"/>
          <w:sz w:val="24"/>
          <w:szCs w:val="24"/>
          <w:lang w:val="en-US" w:eastAsia="zh-CN"/>
        </w:rPr>
        <w:t>无</w:t>
      </w:r>
    </w:p>
    <w:p w14:paraId="7708901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firstLine="482" w:firstLineChars="20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三、获取采购文件</w:t>
      </w:r>
    </w:p>
    <w:p w14:paraId="3BE6401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时间：</w:t>
      </w:r>
      <w:r>
        <w:rPr>
          <w:rFonts w:hint="eastAsia" w:cs="宋体"/>
          <w:i w:val="0"/>
          <w:iCs w:val="0"/>
          <w:caps w:val="0"/>
          <w:color w:val="auto"/>
          <w:spacing w:val="0"/>
          <w:sz w:val="24"/>
          <w:szCs w:val="24"/>
          <w:lang w:eastAsia="zh-CN"/>
        </w:rPr>
        <w:t>2025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10</w:t>
      </w:r>
      <w:r>
        <w:rPr>
          <w:rFonts w:hint="eastAsia" w:ascii="宋体" w:hAnsi="宋体" w:eastAsia="宋体" w:cs="宋体"/>
          <w:i w:val="0"/>
          <w:iCs w:val="0"/>
          <w:caps w:val="0"/>
          <w:color w:val="auto"/>
          <w:spacing w:val="0"/>
          <w:sz w:val="24"/>
          <w:szCs w:val="24"/>
        </w:rPr>
        <w:t>日至</w:t>
      </w:r>
      <w:r>
        <w:rPr>
          <w:rFonts w:hint="eastAsia" w:cs="宋体"/>
          <w:i w:val="0"/>
          <w:iCs w:val="0"/>
          <w:caps w:val="0"/>
          <w:color w:val="auto"/>
          <w:spacing w:val="0"/>
          <w:sz w:val="24"/>
          <w:szCs w:val="24"/>
          <w:lang w:val="en-US" w:eastAsia="zh-CN"/>
        </w:rPr>
        <w:t>2025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17</w:t>
      </w:r>
      <w:r>
        <w:rPr>
          <w:rFonts w:hint="eastAsia" w:ascii="宋体" w:hAnsi="宋体" w:eastAsia="宋体" w:cs="宋体"/>
          <w:i w:val="0"/>
          <w:iCs w:val="0"/>
          <w:caps w:val="0"/>
          <w:color w:val="auto"/>
          <w:spacing w:val="0"/>
          <w:sz w:val="24"/>
          <w:szCs w:val="24"/>
        </w:rPr>
        <w:t>日，每天上午10:00至14:00，下午16:00至20:00（北京时间，法定节假日除外）</w:t>
      </w:r>
    </w:p>
    <w:p w14:paraId="518084B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地点：政采云平台线上</w:t>
      </w:r>
    </w:p>
    <w:p w14:paraId="27FE1BA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方式：供应商登录政采云平台https://www.zcygov.cn/在线申请获取采购文件（进入“项目采购”应用，在获取采购文件菜单中选择项目，申请获取采购文件） </w:t>
      </w:r>
    </w:p>
    <w:p w14:paraId="6E5502B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售价（元）：0</w:t>
      </w:r>
    </w:p>
    <w:p w14:paraId="5FDD24D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四、响应文件提交</w:t>
      </w:r>
      <w:r>
        <w:rPr>
          <w:rFonts w:hint="eastAsia" w:ascii="宋体" w:hAnsi="宋体" w:eastAsia="宋体" w:cs="宋体"/>
          <w:i w:val="0"/>
          <w:iCs w:val="0"/>
          <w:caps w:val="0"/>
          <w:color w:val="auto"/>
          <w:spacing w:val="0"/>
          <w:sz w:val="24"/>
          <w:szCs w:val="24"/>
        </w:rPr>
        <w:t> </w:t>
      </w:r>
    </w:p>
    <w:p w14:paraId="47B7036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截止时间：</w:t>
      </w:r>
      <w:r>
        <w:rPr>
          <w:rFonts w:hint="eastAsia" w:cs="宋体"/>
          <w:i w:val="0"/>
          <w:iCs w:val="0"/>
          <w:caps w:val="0"/>
          <w:color w:val="auto"/>
          <w:spacing w:val="0"/>
          <w:sz w:val="24"/>
          <w:szCs w:val="24"/>
          <w:lang w:val="en-US" w:eastAsia="zh-CN"/>
        </w:rPr>
        <w:t>2025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21</w:t>
      </w:r>
      <w:r>
        <w:rPr>
          <w:rFonts w:hint="eastAsia" w:ascii="宋体" w:hAnsi="宋体" w:eastAsia="宋体" w:cs="宋体"/>
          <w:i w:val="0"/>
          <w:iCs w:val="0"/>
          <w:caps w:val="0"/>
          <w:color w:val="auto"/>
          <w:spacing w:val="0"/>
          <w:sz w:val="24"/>
          <w:szCs w:val="24"/>
        </w:rPr>
        <w:t>日</w:t>
      </w:r>
      <w:r>
        <w:rPr>
          <w:rFonts w:hint="eastAsia" w:cs="宋体"/>
          <w:i w:val="0"/>
          <w:iCs w:val="0"/>
          <w:caps w:val="0"/>
          <w:color w:val="auto"/>
          <w:spacing w:val="0"/>
          <w:sz w:val="24"/>
          <w:szCs w:val="24"/>
          <w:lang w:val="en-US" w:eastAsia="zh-CN"/>
        </w:rPr>
        <w:t>10</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（北京时间）</w:t>
      </w:r>
    </w:p>
    <w:p w14:paraId="24DE8B0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地点：请登录政采云投标客户端投标  </w:t>
      </w:r>
    </w:p>
    <w:p w14:paraId="136555E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firstLine="482" w:firstLineChars="20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五、响应文件开启</w:t>
      </w:r>
      <w:r>
        <w:rPr>
          <w:rFonts w:hint="eastAsia" w:ascii="宋体" w:hAnsi="宋体" w:eastAsia="宋体" w:cs="宋体"/>
          <w:i w:val="0"/>
          <w:iCs w:val="0"/>
          <w:caps w:val="0"/>
          <w:color w:val="auto"/>
          <w:spacing w:val="0"/>
          <w:sz w:val="24"/>
          <w:szCs w:val="24"/>
        </w:rPr>
        <w:t> </w:t>
      </w:r>
    </w:p>
    <w:p w14:paraId="68D68CC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开启时间：</w:t>
      </w:r>
      <w:r>
        <w:rPr>
          <w:rFonts w:hint="eastAsia" w:cs="宋体"/>
          <w:i w:val="0"/>
          <w:iCs w:val="0"/>
          <w:caps w:val="0"/>
          <w:color w:val="auto"/>
          <w:spacing w:val="0"/>
          <w:sz w:val="24"/>
          <w:szCs w:val="24"/>
          <w:lang w:val="en-US" w:eastAsia="zh-CN"/>
        </w:rPr>
        <w:t>2025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21</w:t>
      </w:r>
      <w:r>
        <w:rPr>
          <w:rFonts w:hint="eastAsia" w:ascii="宋体" w:hAnsi="宋体" w:eastAsia="宋体" w:cs="宋体"/>
          <w:i w:val="0"/>
          <w:iCs w:val="0"/>
          <w:caps w:val="0"/>
          <w:color w:val="auto"/>
          <w:spacing w:val="0"/>
          <w:sz w:val="24"/>
          <w:szCs w:val="24"/>
        </w:rPr>
        <w:t>日</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（北京时间）</w:t>
      </w:r>
    </w:p>
    <w:p w14:paraId="1067653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地点：</w:t>
      </w:r>
      <w:r>
        <w:rPr>
          <w:rFonts w:hint="eastAsia" w:cs="宋体"/>
          <w:i w:val="0"/>
          <w:iCs w:val="0"/>
          <w:caps w:val="0"/>
          <w:color w:val="auto"/>
          <w:spacing w:val="0"/>
          <w:sz w:val="24"/>
          <w:szCs w:val="24"/>
          <w:lang w:eastAsia="zh-CN"/>
        </w:rPr>
        <w:t>供应商</w:t>
      </w:r>
      <w:r>
        <w:rPr>
          <w:rFonts w:hint="eastAsia" w:ascii="宋体" w:hAnsi="宋体" w:eastAsia="宋体" w:cs="宋体"/>
          <w:i w:val="0"/>
          <w:iCs w:val="0"/>
          <w:caps w:val="0"/>
          <w:color w:val="auto"/>
          <w:spacing w:val="0"/>
          <w:sz w:val="24"/>
          <w:szCs w:val="24"/>
        </w:rPr>
        <w:t>登录政采云平台https://www.zcygov.cn/，进入“项目采购-开标评标-右边选择对应项目点击“进入项目”进入开标大厅。 </w:t>
      </w:r>
    </w:p>
    <w:p w14:paraId="520F48B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六、公告期限</w:t>
      </w:r>
    </w:p>
    <w:p w14:paraId="70B9598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自本公告发布之日起</w:t>
      </w:r>
      <w:r>
        <w:rPr>
          <w:rFonts w:hint="eastAsia"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个工作日。</w:t>
      </w:r>
    </w:p>
    <w:p w14:paraId="1E467EF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七、其他补充事宜</w:t>
      </w:r>
      <w:r>
        <w:rPr>
          <w:rFonts w:hint="eastAsia" w:ascii="宋体" w:hAnsi="宋体" w:eastAsia="宋体" w:cs="宋体"/>
          <w:i w:val="0"/>
          <w:iCs w:val="0"/>
          <w:caps w:val="0"/>
          <w:color w:val="auto"/>
          <w:spacing w:val="0"/>
          <w:sz w:val="24"/>
          <w:szCs w:val="24"/>
        </w:rPr>
        <w:t> </w:t>
      </w:r>
    </w:p>
    <w:p w14:paraId="156A95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1.本次公告在新疆政府采购网</w:t>
      </w:r>
      <w:r>
        <w:rPr>
          <w:rFonts w:hint="eastAsia" w:ascii="宋体" w:hAnsi="宋体" w:cs="宋体"/>
          <w:color w:val="auto"/>
          <w:sz w:val="24"/>
          <w:szCs w:val="24"/>
          <w:lang w:val="en-US" w:eastAsia="zh-CN"/>
        </w:rPr>
        <w:t>上</w:t>
      </w:r>
      <w:r>
        <w:rPr>
          <w:rFonts w:hint="eastAsia" w:ascii="宋体" w:hAnsi="宋体" w:eastAsia="宋体" w:cs="宋体"/>
          <w:color w:val="auto"/>
          <w:sz w:val="24"/>
          <w:szCs w:val="24"/>
          <w:lang w:val="en-US" w:eastAsia="zh-CN"/>
        </w:rPr>
        <w:t>发布。</w:t>
      </w:r>
    </w:p>
    <w:p w14:paraId="123A82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2.请各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随时关注本项目的澄清、答疑、变更事项。</w:t>
      </w:r>
    </w:p>
    <w:p w14:paraId="1F08D9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未被“信用中国”（www.creditchina.gov.cn）、中国政府采购网（www.ccgp.gov.cn）列入失信被执行人、重大税收违法案件当事人名单、政府采购严重违法失信行为记录名单，供应商如在“信用中国”网站或中国政府采购网被列入严重违法失信行为记录名单的（尚在处罚期内的），将拒绝其参加本次采购活动。</w:t>
      </w:r>
    </w:p>
    <w:p w14:paraId="1765AD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4.供应商单位负责人为同一人或者存在直接控股、管理关系的不同供应商，不得参加同一合同项下的招标活动。</w:t>
      </w:r>
    </w:p>
    <w:p w14:paraId="078764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5.本次采购项目采用电子交易方式，电子交易平台为新疆政府采购云平台。供应商参与本项目电子交易活动前，应注册成为新疆政府采购云平台供应商。编制电子</w:t>
      </w:r>
      <w:r>
        <w:rPr>
          <w:rFonts w:hint="eastAsia" w:ascii="宋体" w:hAnsi="宋体" w:cs="宋体"/>
          <w:color w:val="auto"/>
          <w:sz w:val="24"/>
          <w:szCs w:val="24"/>
          <w:lang w:val="en-US" w:eastAsia="zh-CN"/>
        </w:rPr>
        <w:t>响应文件</w:t>
      </w:r>
      <w:r>
        <w:rPr>
          <w:rFonts w:hint="eastAsia" w:ascii="宋体" w:hAnsi="宋体" w:eastAsia="宋体" w:cs="宋体"/>
          <w:color w:val="auto"/>
          <w:sz w:val="24"/>
          <w:szCs w:val="24"/>
          <w:lang w:val="en-US" w:eastAsia="zh-CN"/>
        </w:rPr>
        <w:t>前还需申领CA证书并绑定帐号。</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应充分考虑完成平台注册、申领CA证书等所需的时间。因未注册入库、未办理CA数字证书等原因造成无法投标或投标失败等后果由供应商自行承担。</w:t>
      </w:r>
    </w:p>
    <w:p w14:paraId="27EB4E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6.供应商可前往新疆政府采购网（http://www.ccgp-xinjiang.gov.cn/）下载专区，下载政采云投标客户端，安装完成后，可通过账号密码或CA登录客户端进行</w:t>
      </w:r>
      <w:r>
        <w:rPr>
          <w:rFonts w:hint="eastAsia" w:ascii="宋体" w:hAnsi="宋体" w:cs="宋体"/>
          <w:color w:val="auto"/>
          <w:sz w:val="24"/>
          <w:szCs w:val="24"/>
          <w:lang w:val="en-US" w:eastAsia="zh-CN"/>
        </w:rPr>
        <w:t>响应文件</w:t>
      </w:r>
      <w:r>
        <w:rPr>
          <w:rFonts w:hint="eastAsia" w:ascii="宋体" w:hAnsi="宋体" w:eastAsia="宋体" w:cs="宋体"/>
          <w:color w:val="auto"/>
          <w:sz w:val="24"/>
          <w:szCs w:val="24"/>
          <w:lang w:val="en-US" w:eastAsia="zh-CN"/>
        </w:rPr>
        <w:t>制作。在使用政采云电子投标客户端时，如有问题可拨打政采云客户服务热线400-881-7190进行咨询。</w:t>
      </w:r>
    </w:p>
    <w:p w14:paraId="3CFE2B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特别提示：</w:t>
      </w:r>
    </w:p>
    <w:p w14:paraId="74997E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1、采购限额标准以上，200万元以下的货物和服务采购项目、400万元以下的工程采购项目，适宜由中小企业提供的，采购人应当专门面向中小企业采购。</w:t>
      </w:r>
    </w:p>
    <w:p w14:paraId="7247D3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2、超过200万元的货物和服务采购项目，预留该部分采购项目预算总额的30%以上专门面向中小企业采购，其中预留给小微企业的比例不低于60%。</w:t>
      </w:r>
    </w:p>
    <w:p w14:paraId="3D068E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3、超过400万元的工程采购项目中适宜由中小企业提供的，预留该部分采购项目预算总额的40%以上专门面向中小企业采购，其中预留给小微企业的比例不低于60%。</w:t>
      </w:r>
    </w:p>
    <w:p w14:paraId="165BAE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20%（工程项目为3%</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5%作为其价格分。</w:t>
      </w:r>
    </w:p>
    <w:p w14:paraId="1C9184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color w:val="auto"/>
          <w:sz w:val="21"/>
          <w:szCs w:val="21"/>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6%（工程项目为1%</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2%作为其价格分。</w:t>
      </w:r>
    </w:p>
    <w:p w14:paraId="010F7CE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八、凡对本次招标提出询问，请按以下方式联系</w:t>
      </w:r>
    </w:p>
    <w:p w14:paraId="5EED0E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bookmarkStart w:id="5" w:name="_Toc1347"/>
      <w:bookmarkStart w:id="6" w:name="_Toc10571"/>
      <w:r>
        <w:rPr>
          <w:rFonts w:hint="eastAsia" w:ascii="宋体" w:hAnsi="宋体" w:eastAsia="宋体" w:cs="宋体"/>
          <w:sz w:val="24"/>
          <w:szCs w:val="24"/>
          <w:lang w:val="en-US" w:eastAsia="zh-CN"/>
        </w:rPr>
        <w:t>1、采购人信息</w:t>
      </w:r>
    </w:p>
    <w:p w14:paraId="0FADDB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称：乌什县文化体育广播电视和旅游局  </w:t>
      </w:r>
    </w:p>
    <w:p w14:paraId="2F0A41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址：乌什县热斯太西街16号</w:t>
      </w:r>
    </w:p>
    <w:p w14:paraId="4D8E3A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bookmarkStart w:id="7" w:name="_Toc28359009"/>
      <w:bookmarkStart w:id="8" w:name="_Toc28359086"/>
      <w:r>
        <w:rPr>
          <w:rFonts w:hint="eastAsia" w:ascii="宋体" w:hAnsi="宋体" w:eastAsia="宋体" w:cs="宋体"/>
          <w:sz w:val="24"/>
          <w:szCs w:val="24"/>
          <w:lang w:val="en-US" w:eastAsia="zh-CN"/>
        </w:rPr>
        <w:t xml:space="preserve">0997-5323150  </w:t>
      </w:r>
    </w:p>
    <w:p w14:paraId="28A6DE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bookmarkEnd w:id="7"/>
      <w:bookmarkEnd w:id="8"/>
    </w:p>
    <w:p w14:paraId="2419D4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称：新疆恒泽工程项目管理有限公司</w:t>
      </w:r>
    </w:p>
    <w:p w14:paraId="64E39A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址：新疆阿克苏地区阿克苏市友谊南路众恒·城市绿洲2栋一单元804室</w:t>
      </w:r>
    </w:p>
    <w:p w14:paraId="1AAF1C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bookmarkStart w:id="9" w:name="_Toc28359010"/>
      <w:bookmarkStart w:id="10" w:name="_Toc28359087"/>
      <w:r>
        <w:rPr>
          <w:rFonts w:hint="eastAsia" w:ascii="宋体" w:hAnsi="宋体" w:eastAsia="宋体" w:cs="宋体"/>
          <w:sz w:val="24"/>
          <w:szCs w:val="24"/>
          <w:lang w:val="en-US" w:eastAsia="zh-CN"/>
        </w:rPr>
        <w:t>18096956372</w:t>
      </w:r>
    </w:p>
    <w:p w14:paraId="2B204D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bookmarkEnd w:id="9"/>
      <w:bookmarkEnd w:id="10"/>
    </w:p>
    <w:p w14:paraId="2968A7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项目联系人：刘鑫</w:t>
      </w:r>
    </w:p>
    <w:p w14:paraId="1C3CC0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话：18096956372</w:t>
      </w:r>
    </w:p>
    <w:p w14:paraId="0F8CFFB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p>
    <w:p w14:paraId="306609C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p>
    <w:p w14:paraId="5963E10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p>
    <w:p w14:paraId="2A12EEF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p>
    <w:p w14:paraId="427833C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p>
    <w:p w14:paraId="50D15E5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p>
    <w:p w14:paraId="3BD5CB5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p>
    <w:p w14:paraId="6152D4B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p>
    <w:p w14:paraId="31316FD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p>
    <w:p w14:paraId="6C8218C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p>
    <w:p w14:paraId="34C96DA4">
      <w:pPr>
        <w:pStyle w:val="2"/>
        <w:numPr>
          <w:ilvl w:val="0"/>
          <w:numId w:val="2"/>
        </w:numPr>
        <w:spacing w:before="0" w:after="0" w:line="240" w:lineRule="auto"/>
        <w:ind w:left="0" w:lef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bookmarkStart w:id="11" w:name="_Toc136"/>
      <w:bookmarkStart w:id="12" w:name="_Toc21077"/>
      <w:bookmarkStart w:id="13" w:name="_Toc25381"/>
      <w:r>
        <w:rPr>
          <w:rFonts w:hint="eastAsia" w:ascii="宋体" w:hAnsi="宋体" w:eastAsia="宋体" w:cs="宋体"/>
          <w:color w:val="auto"/>
          <w:lang w:val="en-US" w:eastAsia="zh-CN"/>
        </w:rPr>
        <w:t>供应商须知</w:t>
      </w:r>
      <w:bookmarkEnd w:id="5"/>
      <w:bookmarkEnd w:id="6"/>
      <w:bookmarkEnd w:id="11"/>
      <w:bookmarkEnd w:id="12"/>
      <w:bookmarkEnd w:id="13"/>
      <w:bookmarkStart w:id="14" w:name="_Toc21720"/>
    </w:p>
    <w:p w14:paraId="196BA733">
      <w:pPr>
        <w:pStyle w:val="3"/>
        <w:jc w:val="center"/>
        <w:rPr>
          <w:rFonts w:hint="eastAsia" w:ascii="宋体" w:hAnsi="宋体" w:eastAsia="宋体" w:cs="宋体"/>
          <w:color w:val="auto"/>
        </w:rPr>
      </w:pPr>
      <w:r>
        <w:rPr>
          <w:rFonts w:hint="eastAsia" w:ascii="宋体" w:hAnsi="宋体" w:eastAsia="宋体" w:cs="宋体"/>
          <w:color w:val="auto"/>
        </w:rPr>
        <w:t>供应商须知前附表</w:t>
      </w:r>
      <w:bookmarkEnd w:id="14"/>
    </w:p>
    <w:tbl>
      <w:tblPr>
        <w:tblStyle w:val="32"/>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647"/>
        <w:gridCol w:w="6038"/>
      </w:tblGrid>
      <w:tr w14:paraId="25C6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17" w:type="dxa"/>
            <w:vAlign w:val="center"/>
          </w:tcPr>
          <w:p w14:paraId="3674FD42">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序列号</w:t>
            </w:r>
          </w:p>
        </w:tc>
        <w:tc>
          <w:tcPr>
            <w:tcW w:w="2647" w:type="dxa"/>
            <w:vAlign w:val="center"/>
          </w:tcPr>
          <w:p w14:paraId="2E018F51">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条款名称</w:t>
            </w:r>
          </w:p>
        </w:tc>
        <w:tc>
          <w:tcPr>
            <w:tcW w:w="6038" w:type="dxa"/>
            <w:vAlign w:val="center"/>
          </w:tcPr>
          <w:p w14:paraId="4BE279D7">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编列内容规定</w:t>
            </w:r>
          </w:p>
        </w:tc>
      </w:tr>
      <w:tr w14:paraId="4354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074E16B">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1.1.1</w:t>
            </w:r>
          </w:p>
        </w:tc>
        <w:tc>
          <w:tcPr>
            <w:tcW w:w="2647" w:type="dxa"/>
            <w:vAlign w:val="center"/>
          </w:tcPr>
          <w:p w14:paraId="55063DB2">
            <w:pPr>
              <w:adjustRightInd w:val="0"/>
              <w:snapToGrid w:val="0"/>
              <w:spacing w:before="120" w:beforeLines="50" w:line="360" w:lineRule="auto"/>
              <w:jc w:val="center"/>
              <w:rPr>
                <w:rFonts w:hint="eastAsia" w:ascii="宋体" w:hAnsi="宋体" w:eastAsia="宋体" w:cs="宋体"/>
                <w:b/>
                <w:bCs/>
                <w:color w:val="auto"/>
                <w:sz w:val="24"/>
                <w:szCs w:val="24"/>
                <w:highlight w:val="green"/>
                <w:u w:val="none"/>
              </w:rPr>
            </w:pPr>
            <w:r>
              <w:rPr>
                <w:rFonts w:hint="eastAsia" w:ascii="宋体" w:hAnsi="宋体" w:eastAsia="宋体" w:cs="宋体"/>
                <w:b/>
                <w:bCs/>
                <w:color w:val="auto"/>
                <w:sz w:val="24"/>
                <w:szCs w:val="24"/>
                <w:u w:val="none"/>
              </w:rPr>
              <w:t>项目名称</w:t>
            </w:r>
          </w:p>
        </w:tc>
        <w:tc>
          <w:tcPr>
            <w:tcW w:w="6038" w:type="dxa"/>
            <w:vAlign w:val="center"/>
          </w:tcPr>
          <w:p w14:paraId="0F69D859">
            <w:pPr>
              <w:adjustRightInd w:val="0"/>
              <w:snapToGrid w:val="0"/>
              <w:spacing w:before="120" w:beforeLines="50" w:line="360" w:lineRule="auto"/>
              <w:jc w:val="left"/>
              <w:rPr>
                <w:rFonts w:hint="eastAsia" w:ascii="宋体" w:hAnsi="宋体" w:eastAsia="宋体" w:cs="宋体"/>
                <w:color w:val="auto"/>
                <w:sz w:val="24"/>
                <w:szCs w:val="24"/>
                <w:highlight w:val="green"/>
                <w:u w:val="none"/>
                <w:lang w:val="en-US"/>
              </w:rPr>
            </w:pPr>
            <w:r>
              <w:rPr>
                <w:rFonts w:hint="default" w:ascii="宋体" w:hAnsi="宋体" w:eastAsia="宋体" w:cs="宋体"/>
                <w:b w:val="0"/>
                <w:bCs w:val="0"/>
                <w:color w:val="auto"/>
                <w:sz w:val="24"/>
                <w:szCs w:val="24"/>
                <w:lang w:val="en-US" w:eastAsia="zh-CN"/>
              </w:rPr>
              <w:t>2025年乌什县“我爱浙疆”系列文化品牌工程-2025首届“烂柯杯”中国-中亚围棋邀请赛</w:t>
            </w:r>
          </w:p>
        </w:tc>
      </w:tr>
      <w:tr w14:paraId="114A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1B5C4025">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1.2.1</w:t>
            </w:r>
          </w:p>
        </w:tc>
        <w:tc>
          <w:tcPr>
            <w:tcW w:w="2647" w:type="dxa"/>
            <w:vAlign w:val="center"/>
          </w:tcPr>
          <w:p w14:paraId="01C97870">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采购人</w:t>
            </w:r>
          </w:p>
        </w:tc>
        <w:tc>
          <w:tcPr>
            <w:tcW w:w="6038" w:type="dxa"/>
            <w:vAlign w:val="center"/>
          </w:tcPr>
          <w:p w14:paraId="5E8DA087">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采购人：乌什县文化体育广播电视和旅游局  </w:t>
            </w:r>
          </w:p>
          <w:p w14:paraId="0A2CE427">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zh-CN" w:eastAsia="zh-CN"/>
              </w:rPr>
              <w:t xml:space="preserve">地  址：乌什县热斯太西街16号 </w:t>
            </w:r>
          </w:p>
          <w:p w14:paraId="149BF63B">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联系人：吕辰光</w:t>
            </w:r>
          </w:p>
          <w:p w14:paraId="1D639C49">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sz w:val="24"/>
                <w:lang w:val="en-US" w:eastAsia="zh-CN"/>
              </w:rPr>
              <w:t xml:space="preserve">电话： 0997-5323150 </w:t>
            </w:r>
            <w:r>
              <w:rPr>
                <w:rFonts w:hint="eastAsia" w:ascii="宋体" w:hAnsi="宋体" w:eastAsia="宋体" w:cs="宋体"/>
                <w:color w:val="auto"/>
                <w:kern w:val="0"/>
                <w:sz w:val="24"/>
                <w:lang w:val="en-US" w:eastAsia="zh-CN"/>
              </w:rPr>
              <w:t xml:space="preserve">                       </w:t>
            </w:r>
          </w:p>
        </w:tc>
      </w:tr>
      <w:tr w14:paraId="5C61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9AA830A">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1.2.2</w:t>
            </w:r>
          </w:p>
        </w:tc>
        <w:tc>
          <w:tcPr>
            <w:tcW w:w="2647" w:type="dxa"/>
            <w:vAlign w:val="center"/>
          </w:tcPr>
          <w:p w14:paraId="106E16F7">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采购代理机构</w:t>
            </w:r>
          </w:p>
        </w:tc>
        <w:tc>
          <w:tcPr>
            <w:tcW w:w="6038" w:type="dxa"/>
            <w:vAlign w:val="center"/>
          </w:tcPr>
          <w:p w14:paraId="3A0EBA35">
            <w:pPr>
              <w:spacing w:line="360" w:lineRule="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名  称：新疆恒泽工程项目管理有限公司</w:t>
            </w:r>
          </w:p>
          <w:p w14:paraId="167F775E">
            <w:pPr>
              <w:spacing w:line="360" w:lineRule="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地  址：新疆阿克苏地区阿克苏市</w:t>
            </w:r>
            <w:r>
              <w:rPr>
                <w:rFonts w:hint="eastAsia" w:ascii="宋体" w:hAnsi="宋体" w:eastAsia="宋体" w:cs="宋体"/>
                <w:color w:val="auto"/>
                <w:sz w:val="24"/>
                <w:lang w:val="en-US" w:eastAsia="zh-CN"/>
              </w:rPr>
              <w:t>友谊南路</w:t>
            </w:r>
            <w:r>
              <w:rPr>
                <w:rFonts w:hint="eastAsia" w:ascii="宋体" w:hAnsi="宋体" w:eastAsia="宋体" w:cs="宋体"/>
                <w:color w:val="auto"/>
                <w:sz w:val="24"/>
                <w:lang w:val="zh-CN" w:eastAsia="zh-CN"/>
              </w:rPr>
              <w:t>众恒·城市绿洲2栋一单元804室</w:t>
            </w:r>
          </w:p>
          <w:p w14:paraId="74995F0E">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联系人：</w:t>
            </w:r>
            <w:r>
              <w:rPr>
                <w:rFonts w:hint="eastAsia" w:ascii="宋体" w:hAnsi="宋体" w:eastAsia="宋体" w:cs="宋体"/>
                <w:color w:val="auto"/>
                <w:sz w:val="24"/>
                <w:lang w:val="en-US" w:eastAsia="zh-CN"/>
              </w:rPr>
              <w:t>刘鑫</w:t>
            </w:r>
          </w:p>
          <w:p w14:paraId="0A324392">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sz w:val="24"/>
                <w:lang w:val="zh-CN" w:eastAsia="zh-CN"/>
              </w:rPr>
              <w:t>电  话：</w:t>
            </w:r>
            <w:r>
              <w:rPr>
                <w:rFonts w:hint="eastAsia" w:ascii="宋体" w:hAnsi="宋体" w:eastAsia="宋体" w:cs="宋体"/>
                <w:color w:val="auto"/>
                <w:sz w:val="24"/>
                <w:lang w:val="en-US" w:eastAsia="zh-CN"/>
              </w:rPr>
              <w:t>18096956372</w:t>
            </w:r>
            <w:r>
              <w:rPr>
                <w:rFonts w:hint="eastAsia" w:ascii="宋体" w:hAnsi="宋体" w:eastAsia="宋体" w:cs="宋体"/>
                <w:color w:val="auto"/>
                <w:kern w:val="0"/>
                <w:sz w:val="24"/>
                <w:lang w:val="en-US" w:eastAsia="zh-CN"/>
              </w:rPr>
              <w:t xml:space="preserve">                            </w:t>
            </w:r>
          </w:p>
        </w:tc>
      </w:tr>
      <w:tr w14:paraId="1E38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14D0F25E">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1.2.3</w:t>
            </w:r>
          </w:p>
        </w:tc>
        <w:tc>
          <w:tcPr>
            <w:tcW w:w="2647" w:type="dxa"/>
            <w:vAlign w:val="center"/>
          </w:tcPr>
          <w:p w14:paraId="01056F3F">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监管部门</w:t>
            </w:r>
          </w:p>
        </w:tc>
        <w:tc>
          <w:tcPr>
            <w:tcW w:w="6038" w:type="dxa"/>
            <w:vAlign w:val="center"/>
          </w:tcPr>
          <w:p w14:paraId="075D7B05">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乌什县财政局                              </w:t>
            </w:r>
          </w:p>
        </w:tc>
      </w:tr>
      <w:tr w14:paraId="632A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954F40F">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lang w:val="en-US" w:eastAsia="zh-CN"/>
              </w:rPr>
              <w:t>1.3.1</w:t>
            </w:r>
          </w:p>
        </w:tc>
        <w:tc>
          <w:tcPr>
            <w:tcW w:w="2647" w:type="dxa"/>
            <w:vAlign w:val="center"/>
          </w:tcPr>
          <w:p w14:paraId="1D85AB1F">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rPr>
              <w:t>供应商资格</w:t>
            </w:r>
            <w:r>
              <w:rPr>
                <w:rFonts w:hint="eastAsia" w:ascii="宋体" w:hAnsi="宋体" w:eastAsia="宋体" w:cs="宋体"/>
                <w:b/>
                <w:bCs/>
                <w:color w:val="auto"/>
                <w:sz w:val="24"/>
                <w:szCs w:val="24"/>
                <w:u w:val="none"/>
                <w:lang w:eastAsia="zh-CN"/>
              </w:rPr>
              <w:t>要求</w:t>
            </w:r>
          </w:p>
        </w:tc>
        <w:tc>
          <w:tcPr>
            <w:tcW w:w="6038" w:type="dxa"/>
            <w:vAlign w:val="center"/>
          </w:tcPr>
          <w:p w14:paraId="1CC265C5">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满足《中华人民共和国政府采购法》第二十二条规定：</w:t>
            </w:r>
          </w:p>
          <w:p w14:paraId="1C1D401B">
            <w:pPr>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具有独立承担民事责任的能力：</w:t>
            </w:r>
          </w:p>
          <w:p w14:paraId="21DE9C3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提供营业执照原件复印件（扫描件）；</w:t>
            </w:r>
          </w:p>
          <w:p w14:paraId="49914550">
            <w:pPr>
              <w:numPr>
                <w:ilvl w:val="0"/>
                <w:numId w:val="0"/>
              </w:numPr>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kern w:val="2"/>
                <w:sz w:val="24"/>
                <w:szCs w:val="22"/>
                <w:lang w:val="zh-CN" w:eastAsia="zh-CN" w:bidi="ar-SA"/>
              </w:rPr>
              <w:t>2、</w:t>
            </w:r>
            <w:r>
              <w:rPr>
                <w:rFonts w:hint="eastAsia" w:ascii="宋体" w:hAnsi="宋体" w:eastAsia="宋体" w:cs="宋体"/>
                <w:color w:val="auto"/>
                <w:sz w:val="24"/>
                <w:highlight w:val="none"/>
                <w:lang w:val="zh-CN" w:eastAsia="zh-CN"/>
              </w:rPr>
              <w:t>具有良好的商业信誉和健全的财务会计制度：</w:t>
            </w:r>
          </w:p>
          <w:p w14:paraId="20244117">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年度经审计财务报告或202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年财务报表（含资产负债表、利润表、现金流量表）或基本开户银行出具的资信证明原件复印件（扫描件）；</w:t>
            </w:r>
          </w:p>
          <w:p w14:paraId="4344A2B7">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lang w:val="en-US" w:eastAsia="zh-CN"/>
              </w:rPr>
              <w:t>供应商成立时间少于该规定时限的</w:t>
            </w:r>
            <w:r>
              <w:rPr>
                <w:rFonts w:hint="eastAsia" w:ascii="宋体" w:hAnsi="宋体" w:eastAsia="宋体" w:cs="宋体"/>
                <w:color w:val="auto"/>
                <w:sz w:val="24"/>
                <w:highlight w:val="none"/>
                <w:lang w:val="en-US" w:eastAsia="zh-CN"/>
              </w:rPr>
              <w:t>，提供成立至今的材料原件复印件（扫描件）；</w:t>
            </w:r>
          </w:p>
          <w:p w14:paraId="133550D7">
            <w:pPr>
              <w:numPr>
                <w:ilvl w:val="0"/>
                <w:numId w:val="0"/>
              </w:numPr>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kern w:val="2"/>
                <w:sz w:val="24"/>
                <w:szCs w:val="22"/>
                <w:lang w:val="zh-CN" w:eastAsia="zh-CN" w:bidi="ar-SA"/>
              </w:rPr>
              <w:t>3、</w:t>
            </w:r>
            <w:r>
              <w:rPr>
                <w:rFonts w:hint="eastAsia" w:ascii="宋体" w:hAnsi="宋体" w:eastAsia="宋体" w:cs="宋体"/>
                <w:color w:val="auto"/>
                <w:sz w:val="24"/>
                <w:highlight w:val="none"/>
                <w:lang w:val="en-US" w:eastAsia="zh-CN"/>
              </w:rPr>
              <w:t>具有履</w:t>
            </w:r>
            <w:r>
              <w:rPr>
                <w:rFonts w:hint="eastAsia" w:ascii="宋体" w:hAnsi="宋体" w:eastAsia="宋体" w:cs="宋体"/>
                <w:color w:val="auto"/>
                <w:sz w:val="24"/>
                <w:highlight w:val="none"/>
                <w:lang w:val="zh-CN" w:eastAsia="zh-CN"/>
              </w:rPr>
              <w:t>行合同所必需的设备和专业技术能力：</w:t>
            </w:r>
          </w:p>
          <w:p w14:paraId="0651368E">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提供书面声明；</w:t>
            </w:r>
          </w:p>
          <w:p w14:paraId="7CA0D119">
            <w:pPr>
              <w:numPr>
                <w:ilvl w:val="0"/>
                <w:numId w:val="0"/>
              </w:numPr>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kern w:val="2"/>
                <w:sz w:val="24"/>
                <w:szCs w:val="22"/>
                <w:lang w:val="zh-CN" w:eastAsia="zh-CN" w:bidi="ar-SA"/>
              </w:rPr>
              <w:t>4、</w:t>
            </w:r>
            <w:r>
              <w:rPr>
                <w:rFonts w:hint="eastAsia" w:ascii="宋体" w:hAnsi="宋体" w:eastAsia="宋体" w:cs="宋体"/>
                <w:color w:val="auto"/>
                <w:sz w:val="24"/>
                <w:highlight w:val="none"/>
                <w:lang w:val="zh-CN" w:eastAsia="zh-CN"/>
              </w:rPr>
              <w:t>有依法缴纳税收和社会保障资金的良好记录：</w:t>
            </w:r>
          </w:p>
          <w:p w14:paraId="7DA30110">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提供近半年缴纳税收的凭据以及缴纳社会保险的凭据（专用收据或社会保险缴纳清单）原件复印件（扫描件）；依法免税或不需要缴纳社会保障资金的供应商，提供相应文件证明原件复印件（扫描件）；</w:t>
            </w:r>
          </w:p>
          <w:p w14:paraId="4FEF91AB">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lang w:val="en-US" w:eastAsia="zh-CN"/>
              </w:rPr>
              <w:t>供应商成立时间少于该规定时限的</w:t>
            </w:r>
            <w:r>
              <w:rPr>
                <w:rFonts w:hint="eastAsia" w:ascii="宋体" w:hAnsi="宋体" w:eastAsia="宋体" w:cs="宋体"/>
                <w:color w:val="auto"/>
                <w:sz w:val="24"/>
                <w:highlight w:val="none"/>
                <w:lang w:val="en-US" w:eastAsia="zh-CN"/>
              </w:rPr>
              <w:t>，提供成立至今的材料原件复印件（扫描件）；</w:t>
            </w:r>
          </w:p>
          <w:p w14:paraId="712CA857">
            <w:pPr>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参加政府采购活动前三年内，在经营活动中没有重大违法记录：</w:t>
            </w:r>
            <w:r>
              <w:rPr>
                <w:rFonts w:hint="eastAsia" w:ascii="宋体" w:hAnsi="宋体" w:eastAsia="宋体" w:cs="宋体"/>
                <w:color w:val="auto"/>
                <w:sz w:val="24"/>
                <w:highlight w:val="none"/>
                <w:lang w:val="en-US" w:eastAsia="zh-CN"/>
              </w:rPr>
              <w:t>提供书面声明。</w:t>
            </w:r>
          </w:p>
          <w:p w14:paraId="24A50C42">
            <w:pPr>
              <w:spacing w:line="360" w:lineRule="auto"/>
              <w:rPr>
                <w:rFonts w:hint="eastAsia" w:ascii="宋体" w:hAnsi="宋体" w:eastAsia="宋体" w:cs="宋体"/>
                <w:b w:val="0"/>
                <w:bCs w:val="0"/>
                <w:color w:val="auto"/>
                <w:sz w:val="24"/>
                <w:highlight w:val="none"/>
                <w:lang w:val="zh-CN" w:eastAsia="zh-CN"/>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lang w:val="zh-CN" w:eastAsia="zh-CN"/>
              </w:rPr>
              <w:t>落实政府采购政策需满足的资格要求：</w:t>
            </w:r>
            <w:r>
              <w:rPr>
                <w:rFonts w:hint="eastAsia" w:ascii="宋体" w:hAnsi="宋体" w:eastAsia="宋体" w:cs="宋体"/>
                <w:b w:val="0"/>
                <w:bCs w:val="0"/>
                <w:color w:val="auto"/>
                <w:sz w:val="24"/>
                <w:highlight w:val="none"/>
                <w:lang w:val="zh-CN" w:eastAsia="zh-CN"/>
              </w:rPr>
              <w:t>提供《中小企业声明函》并加盖公章；</w:t>
            </w:r>
          </w:p>
          <w:p w14:paraId="5B7E472E">
            <w:pPr>
              <w:spacing w:line="360" w:lineRule="auto"/>
              <w:rPr>
                <w:rFonts w:hint="default" w:ascii="宋体" w:hAnsi="宋体" w:eastAsia="宋体" w:cs="宋体"/>
                <w:b w:val="0"/>
                <w:bCs w:val="0"/>
                <w:color w:val="auto"/>
                <w:sz w:val="24"/>
                <w:highlight w:val="yellow"/>
                <w:lang w:val="en-US" w:eastAsia="zh-CN"/>
              </w:rPr>
            </w:pPr>
            <w:r>
              <w:rPr>
                <w:rFonts w:hint="eastAsia" w:ascii="宋体" w:hAnsi="宋体" w:eastAsia="宋体" w:cs="宋体"/>
                <w:b/>
                <w:bCs/>
                <w:color w:val="auto"/>
                <w:sz w:val="24"/>
                <w:highlight w:val="none"/>
                <w:lang w:val="zh-CN" w:eastAsia="zh-CN"/>
              </w:rPr>
              <w:t>三、本项目的特定资格要求</w:t>
            </w:r>
            <w:r>
              <w:rPr>
                <w:rFonts w:hint="eastAsia" w:ascii="宋体" w:hAnsi="宋体" w:cs="宋体"/>
                <w:b/>
                <w:bCs/>
                <w:color w:val="auto"/>
                <w:sz w:val="24"/>
                <w:highlight w:val="none"/>
                <w:lang w:val="zh-CN" w:eastAsia="zh-CN"/>
              </w:rPr>
              <w:t>：</w:t>
            </w:r>
            <w:r>
              <w:rPr>
                <w:rFonts w:hint="eastAsia" w:ascii="宋体" w:hAnsi="宋体" w:cs="宋体"/>
                <w:b/>
                <w:bCs/>
                <w:color w:val="auto"/>
                <w:sz w:val="24"/>
                <w:highlight w:val="none"/>
                <w:lang w:val="en-US" w:eastAsia="zh-CN"/>
              </w:rPr>
              <w:t>无</w:t>
            </w:r>
          </w:p>
          <w:p w14:paraId="73BE899F">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四、不得参加和拒绝参加本次招标的情形</w:t>
            </w:r>
          </w:p>
          <w:p w14:paraId="2B5DD667">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1、单位负责人为同一人或者存在直接控股、管理关系的不同供应商，不得参加本次采购活动；</w:t>
            </w:r>
          </w:p>
          <w:p w14:paraId="7041BC45">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提供书面声明，书面声明包括如下内容：供应商法定代表人（单位负责人）在其单位外的其他单位担任法定代表人（单位负责人）的信息；供应商直接控股、存在管理关系的其他单位信息；格式自拟。</w:t>
            </w:r>
          </w:p>
          <w:p w14:paraId="07092032">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sz w:val="24"/>
                <w:highlight w:val="none"/>
                <w:lang w:val="en-US" w:eastAsia="zh-CN"/>
              </w:rPr>
              <w:t>2、未被“信用中国”网站、中国政府采购网列入失信被执行人、重大税收违法案件当事人名单、政府采购严重违法失信行为记录名单，供应商如在“信用中国”网站或中国政府采购网被列入严重违法失信行为记录名单的（尚在处罚期内的），将拒绝其参加本次采购活动。</w:t>
            </w:r>
            <w:r>
              <w:rPr>
                <w:rFonts w:hint="eastAsia" w:ascii="宋体" w:hAnsi="宋体" w:eastAsia="宋体" w:cs="宋体"/>
                <w:color w:val="auto"/>
                <w:kern w:val="0"/>
                <w:sz w:val="24"/>
                <w:lang w:val="zh-CN" w:eastAsia="zh-CN"/>
              </w:rPr>
              <w:t xml:space="preserve">                         </w:t>
            </w:r>
          </w:p>
        </w:tc>
      </w:tr>
      <w:tr w14:paraId="6DF5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5762CA4">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1.4</w:t>
            </w:r>
          </w:p>
        </w:tc>
        <w:tc>
          <w:tcPr>
            <w:tcW w:w="2647" w:type="dxa"/>
            <w:vAlign w:val="center"/>
          </w:tcPr>
          <w:p w14:paraId="34162D96">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highlight w:val="none"/>
                <w:lang w:eastAsia="zh-CN"/>
              </w:rPr>
              <w:t>是否接受联合体投标</w:t>
            </w:r>
          </w:p>
        </w:tc>
        <w:tc>
          <w:tcPr>
            <w:tcW w:w="6038" w:type="dxa"/>
            <w:vAlign w:val="center"/>
          </w:tcPr>
          <w:p w14:paraId="15E1ACF4">
            <w:pPr>
              <w:pStyle w:val="31"/>
              <w:spacing w:line="360"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kern w:val="0"/>
                <w:sz w:val="24"/>
                <w:lang w:val="en-US" w:eastAsia="zh-CN"/>
              </w:rPr>
              <w:t>不接受</w:t>
            </w:r>
          </w:p>
        </w:tc>
      </w:tr>
      <w:tr w14:paraId="5647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F86861B">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1.8.1</w:t>
            </w:r>
          </w:p>
        </w:tc>
        <w:tc>
          <w:tcPr>
            <w:tcW w:w="2647" w:type="dxa"/>
            <w:vAlign w:val="center"/>
          </w:tcPr>
          <w:p w14:paraId="2CFF8E2B">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是否组织现场考察</w:t>
            </w:r>
          </w:p>
        </w:tc>
        <w:tc>
          <w:tcPr>
            <w:tcW w:w="6038" w:type="dxa"/>
            <w:vAlign w:val="center"/>
          </w:tcPr>
          <w:p w14:paraId="5DB6CA2C">
            <w:pPr>
              <w:pStyle w:val="31"/>
              <w:spacing w:line="360" w:lineRule="auto"/>
              <w:ind w:left="0" w:leftChars="0" w:firstLine="0" w:firstLineChars="0"/>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lang w:val="en-US" w:eastAsia="zh-CN"/>
              </w:rPr>
              <w:t>不组织</w:t>
            </w:r>
          </w:p>
        </w:tc>
      </w:tr>
      <w:tr w14:paraId="2689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399BA6E">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1.9.1</w:t>
            </w:r>
          </w:p>
        </w:tc>
        <w:tc>
          <w:tcPr>
            <w:tcW w:w="2647" w:type="dxa"/>
            <w:vAlign w:val="center"/>
          </w:tcPr>
          <w:p w14:paraId="09BCBFF6">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分包</w:t>
            </w:r>
          </w:p>
        </w:tc>
        <w:tc>
          <w:tcPr>
            <w:tcW w:w="6038" w:type="dxa"/>
            <w:vAlign w:val="center"/>
          </w:tcPr>
          <w:p w14:paraId="6C831085">
            <w:pPr>
              <w:pStyle w:val="31"/>
              <w:spacing w:line="360" w:lineRule="auto"/>
              <w:ind w:left="0" w:leftChars="0" w:firstLine="0" w:firstLineChars="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lang w:val="en-US" w:eastAsia="zh-CN"/>
              </w:rPr>
              <w:t>不允许</w:t>
            </w:r>
          </w:p>
        </w:tc>
      </w:tr>
      <w:tr w14:paraId="470C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391D1B5">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1.10.4</w:t>
            </w:r>
          </w:p>
        </w:tc>
        <w:tc>
          <w:tcPr>
            <w:tcW w:w="2647" w:type="dxa"/>
            <w:vAlign w:val="center"/>
          </w:tcPr>
          <w:p w14:paraId="491FD7B5">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非实质性要求和条件是否允许偏离</w:t>
            </w:r>
          </w:p>
        </w:tc>
        <w:tc>
          <w:tcPr>
            <w:tcW w:w="6038" w:type="dxa"/>
            <w:vAlign w:val="center"/>
          </w:tcPr>
          <w:p w14:paraId="6D8C9EE2">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允许</w:t>
            </w:r>
          </w:p>
        </w:tc>
      </w:tr>
      <w:tr w14:paraId="2F5C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48E9760">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2.2.6</w:t>
            </w:r>
          </w:p>
        </w:tc>
        <w:tc>
          <w:tcPr>
            <w:tcW w:w="2647" w:type="dxa"/>
            <w:vAlign w:val="center"/>
          </w:tcPr>
          <w:p w14:paraId="7924350A">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磋商文件澄清或修改发出的形式</w:t>
            </w:r>
          </w:p>
        </w:tc>
        <w:tc>
          <w:tcPr>
            <w:tcW w:w="6038" w:type="dxa"/>
            <w:vAlign w:val="center"/>
          </w:tcPr>
          <w:p w14:paraId="058F3877">
            <w:pPr>
              <w:pStyle w:val="31"/>
              <w:spacing w:line="360" w:lineRule="auto"/>
              <w:ind w:left="0" w:leftChars="0" w:firstLine="0" w:firstLineChars="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更正公告</w:t>
            </w:r>
          </w:p>
        </w:tc>
      </w:tr>
      <w:tr w14:paraId="38C4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88D77AE">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highlight w:val="none"/>
                <w:u w:val="none"/>
                <w:lang w:val="en-US" w:eastAsia="zh-CN"/>
              </w:rPr>
              <w:t>3.3.1</w:t>
            </w:r>
          </w:p>
        </w:tc>
        <w:tc>
          <w:tcPr>
            <w:tcW w:w="2647" w:type="dxa"/>
            <w:vAlign w:val="center"/>
          </w:tcPr>
          <w:p w14:paraId="5457275D">
            <w:pPr>
              <w:adjustRightInd w:val="0"/>
              <w:snapToGrid w:val="0"/>
              <w:spacing w:before="156"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none"/>
                <w:lang w:val="en-US" w:eastAsia="zh-CN"/>
              </w:rPr>
              <w:t>响应文件</w:t>
            </w:r>
          </w:p>
        </w:tc>
        <w:tc>
          <w:tcPr>
            <w:tcW w:w="6038" w:type="dxa"/>
            <w:vAlign w:val="center"/>
          </w:tcPr>
          <w:p w14:paraId="07D95CFF">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一、电子响应文件制作：</w:t>
            </w:r>
          </w:p>
          <w:p w14:paraId="660A1DB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1、本项目实行电子投标。供应商应先安装“新疆政采云投标客户端”（新疆政府采购网首页“下载专区”自行下载安装）</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"https://customer.zcygov.cn/CA-driver-download?utm=web-ca-front.3ddc8fbb.0.0.744734903d5911ec80b1370c1c0d466e）。供应商应按招标文件要求，通过\“政采云投标客户端\”制作、加密并提交投标文件。" </w:instrText>
            </w:r>
            <w:r>
              <w:rPr>
                <w:rFonts w:hint="eastAsia" w:ascii="宋体" w:hAnsi="宋体" w:eastAsia="宋体" w:cs="宋体"/>
                <w:color w:val="auto"/>
                <w:sz w:val="24"/>
                <w:szCs w:val="24"/>
                <w:highlight w:val="none"/>
                <w:u w:val="none"/>
                <w:lang w:val="en-US" w:eastAsia="zh-CN"/>
              </w:rPr>
              <w:fldChar w:fldCharType="separate"/>
            </w:r>
            <w:r>
              <w:rPr>
                <w:rStyle w:val="38"/>
                <w:rFonts w:hint="eastAsia" w:ascii="宋体" w:hAnsi="宋体" w:eastAsia="宋体" w:cs="宋体"/>
                <w:color w:val="auto"/>
                <w:sz w:val="24"/>
                <w:szCs w:val="24"/>
                <w:highlight w:val="none"/>
                <w:u w:val="none"/>
                <w:lang w:val="en-US" w:eastAsia="zh-CN"/>
              </w:rPr>
              <w:t>。供应商按照</w:t>
            </w:r>
            <w:r>
              <w:rPr>
                <w:rStyle w:val="38"/>
                <w:rFonts w:hint="eastAsia" w:ascii="宋体" w:hAnsi="宋体" w:cs="宋体"/>
                <w:color w:val="auto"/>
                <w:sz w:val="24"/>
                <w:szCs w:val="24"/>
                <w:highlight w:val="none"/>
                <w:u w:val="none"/>
                <w:lang w:val="en-US" w:eastAsia="zh-CN"/>
              </w:rPr>
              <w:t>磋商文件</w:t>
            </w:r>
            <w:r>
              <w:rPr>
                <w:rStyle w:val="38"/>
                <w:rFonts w:hint="eastAsia" w:ascii="宋体" w:hAnsi="宋体" w:eastAsia="宋体" w:cs="宋体"/>
                <w:color w:val="auto"/>
                <w:sz w:val="24"/>
                <w:szCs w:val="24"/>
                <w:highlight w:val="none"/>
                <w:u w:val="none"/>
                <w:lang w:val="en-US" w:eastAsia="zh-CN"/>
              </w:rPr>
              <w:t>要求，通过“政采云投标客户端”制作、加密并上传响应文件。</w:t>
            </w:r>
            <w:r>
              <w:rPr>
                <w:rFonts w:hint="eastAsia" w:ascii="宋体" w:hAnsi="宋体" w:eastAsia="宋体" w:cs="宋体"/>
                <w:color w:val="auto"/>
                <w:sz w:val="24"/>
                <w:szCs w:val="24"/>
                <w:highlight w:val="none"/>
                <w:u w:val="none"/>
                <w:lang w:val="en-US" w:eastAsia="zh-CN"/>
              </w:rPr>
              <w:fldChar w:fldCharType="end"/>
            </w:r>
          </w:p>
          <w:p w14:paraId="28797E77">
            <w:pPr>
              <w:spacing w:line="360" w:lineRule="auto"/>
              <w:jc w:val="left"/>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2、投标客户端中完成“填写基本信息”、“导入</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”、“标书关联”、“标书检查”、“电子签名”、“生成电子标书”“上传”等操作。</w:t>
            </w:r>
          </w:p>
          <w:p w14:paraId="704E5DA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应加盖供应商（法定名称）电子签章，不得使用供应商专用章（如经济合同章、投标专用章等）或下属单位印章代替。</w:t>
            </w:r>
          </w:p>
          <w:p w14:paraId="5ABF116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4、供应商应使用本企业CA数字证书对响应文件进行加密。</w:t>
            </w:r>
          </w:p>
          <w:p w14:paraId="031676A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5、磋商文件有修改的，供应商须重新下载修改后的磋商文件（修改后的磋商文件在更正公告中下载），根据修改后的磋商文件制作、撤回、修改响应文件并上传。</w:t>
            </w:r>
          </w:p>
          <w:p w14:paraId="776432C8">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二、纸质响应文件要求</w:t>
            </w:r>
          </w:p>
          <w:p w14:paraId="62EFD6DF">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1.份数：正本一份，副本二份；</w:t>
            </w:r>
          </w:p>
          <w:p w14:paraId="5E420D87">
            <w:pPr>
              <w:spacing w:line="360" w:lineRule="auto"/>
              <w:jc w:val="lef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sz w:val="24"/>
                <w:lang w:val="en-US" w:eastAsia="zh-CN"/>
              </w:rPr>
              <w:t>2.纸质响应文件须使用</w:t>
            </w:r>
            <w:r>
              <w:rPr>
                <w:rFonts w:hint="eastAsia" w:ascii="宋体" w:hAnsi="宋体" w:eastAsia="宋体" w:cs="宋体"/>
                <w:color w:val="auto"/>
                <w:kern w:val="0"/>
                <w:sz w:val="24"/>
                <w:szCs w:val="22"/>
                <w:lang w:val="en-US" w:eastAsia="zh-CN" w:bidi="ar-SA"/>
              </w:rPr>
              <w:t>加密电子响应文件打印生成，所有内容须与电子响应文件完全一致；</w:t>
            </w:r>
          </w:p>
          <w:p w14:paraId="57C74267">
            <w:pPr>
              <w:spacing w:line="360" w:lineRule="auto"/>
              <w:jc w:val="left"/>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kern w:val="0"/>
                <w:sz w:val="24"/>
                <w:szCs w:val="22"/>
                <w:lang w:val="en-US" w:eastAsia="zh-CN" w:bidi="ar-SA"/>
              </w:rPr>
              <w:t>3.</w:t>
            </w:r>
            <w:r>
              <w:rPr>
                <w:rFonts w:hint="eastAsia" w:ascii="宋体" w:hAnsi="宋体" w:eastAsia="宋体" w:cs="宋体"/>
                <w:b w:val="0"/>
                <w:bCs w:val="0"/>
                <w:color w:val="auto"/>
                <w:sz w:val="24"/>
                <w:lang w:val="en-US" w:eastAsia="zh-CN"/>
              </w:rPr>
              <w:t>采用</w:t>
            </w:r>
            <w:r>
              <w:rPr>
                <w:rFonts w:hint="eastAsia" w:ascii="宋体" w:hAnsi="宋体" w:eastAsia="宋体" w:cs="宋体"/>
                <w:b w:val="0"/>
                <w:bCs w:val="0"/>
                <w:color w:val="auto"/>
                <w:sz w:val="24"/>
                <w:u w:val="none"/>
                <w:lang w:val="en-US" w:eastAsia="zh-CN"/>
              </w:rPr>
              <w:t>死页胶装</w:t>
            </w:r>
            <w:r>
              <w:rPr>
                <w:rFonts w:hint="eastAsia" w:ascii="宋体" w:hAnsi="宋体" w:eastAsia="宋体" w:cs="宋体"/>
                <w:b w:val="0"/>
                <w:bCs w:val="0"/>
                <w:color w:val="auto"/>
                <w:sz w:val="24"/>
                <w:lang w:val="en-US" w:eastAsia="zh-CN"/>
              </w:rPr>
              <w:t>方式装订,装订应牢固、不易拆散和换页，不得采用活页装订；</w:t>
            </w:r>
          </w:p>
          <w:p w14:paraId="2E5BDBAD">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b w:val="0"/>
                <w:bCs w:val="0"/>
                <w:color w:val="auto"/>
                <w:sz w:val="24"/>
                <w:lang w:val="en-US" w:eastAsia="zh-CN"/>
              </w:rPr>
              <w:t>4.提供时间：项目中标结果公告发布后，所有参与投标的供应商将纸质版响应文件送至或邮寄至采购代理机构处用于项目归档，费用自理。</w:t>
            </w:r>
          </w:p>
        </w:tc>
      </w:tr>
      <w:tr w14:paraId="43BE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120D7B70">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3.4.8</w:t>
            </w:r>
          </w:p>
        </w:tc>
        <w:tc>
          <w:tcPr>
            <w:tcW w:w="2647" w:type="dxa"/>
            <w:vAlign w:val="center"/>
          </w:tcPr>
          <w:p w14:paraId="43DD533A">
            <w:pPr>
              <w:adjustRightInd w:val="0"/>
              <w:snapToGrid w:val="0"/>
              <w:spacing w:before="156"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★预算金额</w:t>
            </w:r>
          </w:p>
        </w:tc>
        <w:tc>
          <w:tcPr>
            <w:tcW w:w="6038" w:type="dxa"/>
            <w:vAlign w:val="center"/>
          </w:tcPr>
          <w:p w14:paraId="451C11A6">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金额（小写）：1300000.00元</w:t>
            </w:r>
            <w:r>
              <w:rPr>
                <w:rFonts w:hint="eastAsia" w:ascii="宋体" w:hAnsi="宋体" w:eastAsia="宋体" w:cs="宋体"/>
                <w:color w:val="auto"/>
                <w:kern w:val="0"/>
                <w:sz w:val="24"/>
                <w:lang w:val="en-US" w:eastAsia="zh-CN"/>
              </w:rPr>
              <w:t xml:space="preserve">                            </w:t>
            </w:r>
          </w:p>
          <w:p w14:paraId="39DEEF25">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本项目设有最高限价：1300000.00元   </w:t>
            </w:r>
          </w:p>
        </w:tc>
      </w:tr>
      <w:tr w14:paraId="3400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F54021A">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lang w:val="en-US" w:eastAsia="zh-CN"/>
              </w:rPr>
              <w:t>3.5.1</w:t>
            </w:r>
          </w:p>
        </w:tc>
        <w:tc>
          <w:tcPr>
            <w:tcW w:w="2647" w:type="dxa"/>
            <w:vAlign w:val="center"/>
          </w:tcPr>
          <w:p w14:paraId="00F9455C">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rPr>
              <w:t>备选方案</w:t>
            </w:r>
          </w:p>
        </w:tc>
        <w:tc>
          <w:tcPr>
            <w:tcW w:w="6038" w:type="dxa"/>
            <w:vAlign w:val="center"/>
          </w:tcPr>
          <w:p w14:paraId="18BCA2E4">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不接受</w:t>
            </w:r>
          </w:p>
        </w:tc>
      </w:tr>
      <w:tr w14:paraId="044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93E5C84">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3.6.1</w:t>
            </w:r>
          </w:p>
        </w:tc>
        <w:tc>
          <w:tcPr>
            <w:tcW w:w="2647" w:type="dxa"/>
            <w:vAlign w:val="center"/>
          </w:tcPr>
          <w:p w14:paraId="21848896">
            <w:pPr>
              <w:adjustRightInd w:val="0"/>
              <w:snapToGrid w:val="0"/>
              <w:spacing w:before="120"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lang w:eastAsia="zh-CN"/>
              </w:rPr>
              <w:t>响应保证金</w:t>
            </w:r>
          </w:p>
        </w:tc>
        <w:tc>
          <w:tcPr>
            <w:tcW w:w="6038" w:type="dxa"/>
            <w:vAlign w:val="center"/>
          </w:tcPr>
          <w:p w14:paraId="62BB4BA1">
            <w:pPr>
              <w:pStyle w:val="31"/>
              <w:spacing w:line="360"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kern w:val="0"/>
                <w:sz w:val="24"/>
                <w:lang w:val="en-US" w:eastAsia="zh-CN"/>
              </w:rPr>
              <w:t>不要求</w:t>
            </w:r>
          </w:p>
        </w:tc>
      </w:tr>
      <w:tr w14:paraId="2FE3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9E5D19E">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3.7.1</w:t>
            </w:r>
          </w:p>
        </w:tc>
        <w:tc>
          <w:tcPr>
            <w:tcW w:w="2647" w:type="dxa"/>
            <w:vAlign w:val="center"/>
          </w:tcPr>
          <w:p w14:paraId="2B4152BF">
            <w:pPr>
              <w:adjustRightInd w:val="0"/>
              <w:snapToGrid w:val="0"/>
              <w:spacing w:before="120" w:beforeLines="50"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lang w:eastAsia="zh-CN"/>
              </w:rPr>
              <w:t>投标有效期</w:t>
            </w:r>
          </w:p>
        </w:tc>
        <w:tc>
          <w:tcPr>
            <w:tcW w:w="6038" w:type="dxa"/>
            <w:vAlign w:val="center"/>
          </w:tcPr>
          <w:p w14:paraId="49BDDF9B">
            <w:pPr>
              <w:spacing w:line="360" w:lineRule="auto"/>
              <w:ind w:left="520" w:leftChars="1" w:hanging="518" w:hangingChars="216"/>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u w:val="none"/>
                <w:lang w:val="en-US" w:eastAsia="zh-CN"/>
              </w:rPr>
              <w:t>90</w:t>
            </w:r>
            <w:r>
              <w:rPr>
                <w:rFonts w:hint="eastAsia" w:ascii="宋体" w:hAnsi="宋体" w:eastAsia="宋体" w:cs="宋体"/>
                <w:color w:val="auto"/>
                <w:sz w:val="24"/>
                <w:szCs w:val="24"/>
                <w:u w:val="none"/>
              </w:rPr>
              <w:t>日（日历日）</w:t>
            </w:r>
          </w:p>
        </w:tc>
      </w:tr>
      <w:tr w14:paraId="55BF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1D5E0A73">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4.1.1</w:t>
            </w:r>
          </w:p>
        </w:tc>
        <w:tc>
          <w:tcPr>
            <w:tcW w:w="2647" w:type="dxa"/>
            <w:vAlign w:val="center"/>
          </w:tcPr>
          <w:p w14:paraId="7770B045">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color w:val="auto"/>
                <w:sz w:val="28"/>
                <w:szCs w:val="28"/>
                <w:highlight w:val="none"/>
              </w:rPr>
              <w:t>★</w:t>
            </w:r>
            <w:r>
              <w:rPr>
                <w:rFonts w:hint="eastAsia" w:ascii="宋体" w:hAnsi="宋体" w:eastAsia="宋体" w:cs="宋体"/>
                <w:b/>
                <w:bCs/>
                <w:color w:val="auto"/>
                <w:sz w:val="24"/>
                <w:szCs w:val="24"/>
                <w:highlight w:val="none"/>
                <w:u w:val="none"/>
              </w:rPr>
              <w:t>响应文件递交截止时间</w:t>
            </w:r>
            <w:r>
              <w:rPr>
                <w:rFonts w:hint="eastAsia" w:ascii="宋体" w:hAnsi="宋体" w:eastAsia="宋体" w:cs="宋体"/>
                <w:b/>
                <w:bCs/>
                <w:color w:val="auto"/>
                <w:sz w:val="24"/>
                <w:szCs w:val="24"/>
                <w:highlight w:val="none"/>
                <w:u w:val="none"/>
                <w:lang w:eastAsia="zh-CN"/>
              </w:rPr>
              <w:t>及地点</w:t>
            </w:r>
          </w:p>
        </w:tc>
        <w:tc>
          <w:tcPr>
            <w:tcW w:w="6038" w:type="dxa"/>
            <w:vAlign w:val="center"/>
          </w:tcPr>
          <w:p w14:paraId="3BB9F1A9">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时间：2025年7月21日10:30                               </w:t>
            </w:r>
          </w:p>
          <w:p w14:paraId="3AEEB5DB">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地点：</w:t>
            </w:r>
            <w:r>
              <w:rPr>
                <w:rFonts w:hint="eastAsia" w:ascii="宋体" w:hAnsi="宋体" w:eastAsia="宋体" w:cs="宋体"/>
                <w:b w:val="0"/>
                <w:bCs/>
                <w:color w:val="auto"/>
                <w:sz w:val="24"/>
                <w:highlight w:val="none"/>
                <w:lang w:val="en-US" w:eastAsia="zh-CN"/>
              </w:rPr>
              <w:t>政采云平台</w:t>
            </w:r>
          </w:p>
          <w:p w14:paraId="092FF2D2">
            <w:pPr>
              <w:pStyle w:val="31"/>
              <w:spacing w:line="360" w:lineRule="auto"/>
              <w:ind w:left="0" w:leftChars="0" w:firstLine="0" w:firstLineChars="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注：供应商未在投标截止时间前将加密电子响应文件上传至政府采购云平台，</w:t>
            </w:r>
            <w:r>
              <w:rPr>
                <w:rFonts w:hint="eastAsia" w:ascii="宋体" w:hAnsi="宋体" w:eastAsia="宋体" w:cs="宋体"/>
                <w:color w:val="auto"/>
                <w:sz w:val="24"/>
                <w:lang w:val="en-US" w:eastAsia="zh-CN"/>
              </w:rPr>
              <w:t>由供应商自行承担后果。</w:t>
            </w:r>
          </w:p>
        </w:tc>
      </w:tr>
      <w:tr w14:paraId="4C25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5471919">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5.1</w:t>
            </w:r>
          </w:p>
        </w:tc>
        <w:tc>
          <w:tcPr>
            <w:tcW w:w="2647" w:type="dxa"/>
            <w:vAlign w:val="center"/>
          </w:tcPr>
          <w:p w14:paraId="671A2EDE">
            <w:pPr>
              <w:spacing w:before="120" w:line="360" w:lineRule="auto"/>
              <w:jc w:val="center"/>
              <w:rPr>
                <w:rFonts w:hint="eastAsia" w:ascii="宋体" w:hAnsi="宋体" w:eastAsia="宋体" w:cs="宋体"/>
                <w:b/>
                <w:bCs/>
                <w:color w:val="auto"/>
                <w:sz w:val="24"/>
                <w:szCs w:val="24"/>
                <w:highlight w:val="none"/>
                <w:u w:val="none"/>
              </w:rPr>
            </w:pPr>
            <w:r>
              <w:rPr>
                <w:rFonts w:hint="eastAsia" w:ascii="宋体" w:hAnsi="宋体" w:eastAsia="宋体" w:cs="宋体"/>
                <w:color w:val="auto"/>
                <w:sz w:val="28"/>
                <w:szCs w:val="28"/>
                <w:highlight w:val="none"/>
              </w:rPr>
              <w:t>★</w:t>
            </w:r>
            <w:r>
              <w:rPr>
                <w:rFonts w:hint="eastAsia" w:ascii="宋体" w:hAnsi="宋体" w:eastAsia="宋体" w:cs="宋体"/>
                <w:b/>
                <w:color w:val="auto"/>
                <w:kern w:val="0"/>
                <w:sz w:val="24"/>
                <w:highlight w:val="none"/>
                <w:lang w:val="en-US" w:eastAsia="zh-CN"/>
              </w:rPr>
              <w:t>不见面开标流程</w:t>
            </w:r>
          </w:p>
        </w:tc>
        <w:tc>
          <w:tcPr>
            <w:tcW w:w="6038" w:type="dxa"/>
            <w:vAlign w:val="center"/>
          </w:tcPr>
          <w:p w14:paraId="365E076F">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1、本项目为不见面开标项目。递交电子响应文件的供应商不足3家的，不得开标。</w:t>
            </w:r>
          </w:p>
          <w:p w14:paraId="219F75E9">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开标准备工作。供应商需在开标当日、投标截止时间前登录“政府采购云平台”，通过“开标大厅”参与不见面开标。登录政府采购云平台(www.zcygov.cn)→我的工作台→项目采购→开标评标→开标大厅（找到对应项目）。</w:t>
            </w:r>
          </w:p>
          <w:p w14:paraId="726A6363">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提示：供应商未按时登录不见面开标系统，错过开标解密时间的，由供应商自行承担后果。</w:t>
            </w:r>
          </w:p>
          <w:p w14:paraId="33E54F26">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解密响应文件。等待采购代理机构工作人员开启解密后，供应商进行线上响应文件解密。开启解密后，供应商应在30分钟内，使用加密该响应文件的CA数字证书在线完成响应文件的解密。除因交易中心断电、断网、系统故障或其他不可抗力等因素，导致系统无法使用外，供应商在规定的解密时间内，未成功解密的响应文件将视为</w:t>
            </w:r>
            <w:r>
              <w:rPr>
                <w:rFonts w:hint="eastAsia" w:ascii="宋体" w:hAnsi="宋体" w:eastAsia="宋体" w:cs="宋体"/>
                <w:b/>
                <w:bCs/>
                <w:i/>
                <w:iCs/>
                <w:color w:val="auto"/>
                <w:sz w:val="24"/>
                <w:lang w:val="en-US" w:eastAsia="zh-CN"/>
              </w:rPr>
              <w:t>无效响应文件</w:t>
            </w:r>
            <w:r>
              <w:rPr>
                <w:rFonts w:hint="eastAsia" w:ascii="宋体" w:hAnsi="宋体" w:eastAsia="宋体" w:cs="宋体"/>
                <w:color w:val="auto"/>
                <w:sz w:val="24"/>
                <w:lang w:val="en-US" w:eastAsia="zh-CN"/>
              </w:rPr>
              <w:t>，由供应商自行承担后果。</w:t>
            </w:r>
          </w:p>
          <w:p w14:paraId="0C18EC21">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确认开标记录。解密时间截止或者所有供应商响应文件均完成解密后（以发生在先的时间为准），由“政府采购云平台”系统展示供应商名称、响应文件解密情况、投标报价等唱标内容。如成功解密响应文件的供应商不足三家的，则只展示供应商名称、响应文件解密情况。</w:t>
            </w:r>
          </w:p>
          <w:p w14:paraId="2C8AF925">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供应商对开标过程和开标记录有疑义，以及认为采购人、采购代理机构相关工作人员有需要回避的情形的，及时向工作人员提出询问或者回避申请。采购人、采购代理机构对供应商提出的询问或者回避申请应当及时处理。</w:t>
            </w:r>
          </w:p>
          <w:p w14:paraId="5CB24FE2">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6、供应商电脑终端等硬件设备和软件系统配置：供应商电脑终端等硬件设备和软件系统配置应符合电子投标（含不见面开标大厅）供应商电脑终端配置要求并运行正常，供应商承担因未尽职责产生的不利后果。</w:t>
            </w:r>
          </w:p>
          <w:p w14:paraId="480F8A63">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7、政府采购云平台运行基本环境要求：电脑应安装并顺利运行64位win7以上操作系统，谷歌浏览器；正确的CA及签章驱动等；能流畅访问互联网。</w:t>
            </w:r>
          </w:p>
          <w:p w14:paraId="7A166481">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8、因交易中心断电、断网、系统故障或其他不可抗力等因素导致不见面开标系统无法正常运行的，开标活动中止或延迟，待系统恢复正常后继续进行开标活动。</w:t>
            </w:r>
          </w:p>
          <w:p w14:paraId="02949872">
            <w:pPr>
              <w:keepNext w:val="0"/>
              <w:keepLines w:val="0"/>
              <w:pageBreakBefore w:val="0"/>
              <w:numPr>
                <w:ilvl w:val="0"/>
                <w:numId w:val="0"/>
              </w:numPr>
              <w:kinsoku/>
              <w:overflowPunct/>
              <w:topLinePunct w:val="0"/>
              <w:autoSpaceDE/>
              <w:autoSpaceDN/>
              <w:bidi w:val="0"/>
              <w:spacing w:afterAutospacing="0" w:line="360" w:lineRule="auto"/>
              <w:ind w:left="0" w:leftChars="0" w:firstLine="0" w:firstLineChars="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lang w:val="en-US" w:eastAsia="zh-CN"/>
              </w:rPr>
              <w:t>9、不见面开标过程中，各方主体均应遵守互联网有关规定，不得发表与交易活动无关的言论。</w:t>
            </w:r>
          </w:p>
        </w:tc>
      </w:tr>
      <w:tr w14:paraId="0867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5A16DCD">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6.1.1</w:t>
            </w:r>
          </w:p>
        </w:tc>
        <w:tc>
          <w:tcPr>
            <w:tcW w:w="2647" w:type="dxa"/>
            <w:vAlign w:val="center"/>
          </w:tcPr>
          <w:p w14:paraId="7D38429D">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rPr>
              <w:t>磋商小组的组建及确定方式</w:t>
            </w:r>
          </w:p>
        </w:tc>
        <w:tc>
          <w:tcPr>
            <w:tcW w:w="6038" w:type="dxa"/>
            <w:vAlign w:val="center"/>
          </w:tcPr>
          <w:p w14:paraId="381D71CF">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招标采购单位依法组建磋商小组共 3人组成，其中采购人代表</w:t>
            </w:r>
            <w:r>
              <w:rPr>
                <w:rFonts w:hint="eastAsia" w:ascii="宋体" w:hAnsi="宋体" w:eastAsia="宋体" w:cs="宋体"/>
                <w:color w:val="auto"/>
                <w:kern w:val="0"/>
                <w:sz w:val="24"/>
                <w:highlight w:val="none"/>
                <w:u w:val="single"/>
                <w:lang w:val="en-US" w:eastAsia="zh-CN"/>
              </w:rPr>
              <w:t xml:space="preserve"> 0 </w:t>
            </w:r>
            <w:r>
              <w:rPr>
                <w:rFonts w:hint="eastAsia" w:ascii="宋体" w:hAnsi="宋体" w:eastAsia="宋体" w:cs="宋体"/>
                <w:color w:val="auto"/>
                <w:kern w:val="0"/>
                <w:sz w:val="24"/>
                <w:highlight w:val="none"/>
                <w:lang w:val="en-US" w:eastAsia="zh-CN"/>
              </w:rPr>
              <w:t>人和专家评委</w:t>
            </w:r>
            <w:r>
              <w:rPr>
                <w:rFonts w:hint="eastAsia" w:ascii="宋体" w:hAnsi="宋体" w:eastAsia="宋体" w:cs="宋体"/>
                <w:color w:val="auto"/>
                <w:kern w:val="0"/>
                <w:sz w:val="24"/>
                <w:highlight w:val="none"/>
                <w:u w:val="single"/>
                <w:lang w:val="en-US" w:eastAsia="zh-CN"/>
              </w:rPr>
              <w:t xml:space="preserve">3 </w:t>
            </w:r>
            <w:r>
              <w:rPr>
                <w:rFonts w:hint="eastAsia" w:ascii="宋体" w:hAnsi="宋体" w:eastAsia="宋体" w:cs="宋体"/>
                <w:color w:val="auto"/>
                <w:kern w:val="0"/>
                <w:sz w:val="24"/>
                <w:highlight w:val="none"/>
                <w:lang w:val="en-US" w:eastAsia="zh-CN"/>
              </w:rPr>
              <w:t>人。</w:t>
            </w:r>
          </w:p>
          <w:p w14:paraId="3DF8ADDE">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专家确定方式：</w:t>
            </w:r>
            <w:r>
              <w:rPr>
                <w:rFonts w:hint="eastAsia" w:ascii="宋体" w:hAnsi="宋体" w:eastAsia="宋体" w:cs="宋体"/>
                <w:color w:val="auto"/>
                <w:sz w:val="24"/>
                <w:lang w:val="en-US" w:eastAsia="zh-CN"/>
              </w:rPr>
              <w:t>政采云平台</w:t>
            </w:r>
            <w:r>
              <w:rPr>
                <w:rFonts w:hint="eastAsia" w:ascii="宋体" w:hAnsi="宋体" w:eastAsia="宋体" w:cs="宋体"/>
                <w:color w:val="auto"/>
                <w:sz w:val="24"/>
              </w:rPr>
              <w:t>专家库随机抽取</w:t>
            </w:r>
            <w:r>
              <w:rPr>
                <w:rFonts w:hint="eastAsia" w:ascii="宋体" w:hAnsi="宋体" w:eastAsia="宋体" w:cs="宋体"/>
                <w:color w:val="auto"/>
                <w:kern w:val="0"/>
                <w:sz w:val="24"/>
                <w:highlight w:val="none"/>
                <w:lang w:val="en-US" w:eastAsia="zh-CN"/>
              </w:rPr>
              <w:t xml:space="preserve">         </w:t>
            </w:r>
          </w:p>
        </w:tc>
      </w:tr>
      <w:tr w14:paraId="3A98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5A9EDAC">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7.1.3</w:t>
            </w:r>
          </w:p>
        </w:tc>
        <w:tc>
          <w:tcPr>
            <w:tcW w:w="2647" w:type="dxa"/>
            <w:vAlign w:val="center"/>
          </w:tcPr>
          <w:p w14:paraId="36632490">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成交结果公告媒介</w:t>
            </w:r>
          </w:p>
        </w:tc>
        <w:tc>
          <w:tcPr>
            <w:tcW w:w="6038" w:type="dxa"/>
            <w:vAlign w:val="center"/>
          </w:tcPr>
          <w:p w14:paraId="53A68C39">
            <w:pPr>
              <w:adjustRightInd w:val="0"/>
              <w:snapToGrid w:val="0"/>
              <w:spacing w:before="120" w:beforeLines="50" w:line="36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rPr>
              <w:t>新疆政府采购网</w:t>
            </w:r>
          </w:p>
        </w:tc>
      </w:tr>
      <w:tr w14:paraId="7077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2" w:type="dxa"/>
            <w:gridSpan w:val="3"/>
            <w:vAlign w:val="center"/>
          </w:tcPr>
          <w:p w14:paraId="11934AC1">
            <w:pPr>
              <w:adjustRightInd w:val="0"/>
              <w:snapToGrid w:val="0"/>
              <w:spacing w:before="120" w:beforeLines="50" w:line="36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12.</w:t>
            </w:r>
            <w:r>
              <w:rPr>
                <w:rFonts w:hint="eastAsia" w:ascii="宋体" w:hAnsi="宋体" w:eastAsia="宋体" w:cs="宋体"/>
                <w:b/>
                <w:bCs/>
                <w:color w:val="auto"/>
                <w:sz w:val="24"/>
                <w:szCs w:val="24"/>
                <w:u w:val="none"/>
              </w:rPr>
              <w:t>采购人认为</w:t>
            </w:r>
            <w:r>
              <w:rPr>
                <w:rFonts w:hint="eastAsia" w:ascii="宋体" w:hAnsi="宋体" w:eastAsia="宋体" w:cs="宋体"/>
                <w:b/>
                <w:bCs/>
                <w:color w:val="auto"/>
                <w:sz w:val="24"/>
                <w:szCs w:val="24"/>
                <w:u w:val="none"/>
                <w:lang w:eastAsia="zh-CN"/>
              </w:rPr>
              <w:t>需要</w:t>
            </w:r>
            <w:r>
              <w:rPr>
                <w:rFonts w:hint="eastAsia" w:ascii="宋体" w:hAnsi="宋体" w:eastAsia="宋体" w:cs="宋体"/>
                <w:b/>
                <w:bCs/>
                <w:color w:val="auto"/>
                <w:sz w:val="24"/>
                <w:szCs w:val="24"/>
                <w:u w:val="none"/>
              </w:rPr>
              <w:t>补充的其他内容</w:t>
            </w:r>
          </w:p>
        </w:tc>
      </w:tr>
      <w:tr w14:paraId="549B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92904E0">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w:t>
            </w:r>
          </w:p>
        </w:tc>
        <w:tc>
          <w:tcPr>
            <w:tcW w:w="2647" w:type="dxa"/>
            <w:vAlign w:val="center"/>
          </w:tcPr>
          <w:p w14:paraId="6ABCEF6D">
            <w:pPr>
              <w:spacing w:line="360" w:lineRule="auto"/>
              <w:jc w:val="center"/>
              <w:rPr>
                <w:rFonts w:hint="eastAsia" w:ascii="宋体" w:hAnsi="宋体" w:eastAsia="宋体" w:cs="宋体"/>
                <w:b/>
                <w:bCs/>
                <w:color w:val="auto"/>
                <w:kern w:val="0"/>
                <w:sz w:val="24"/>
                <w:szCs w:val="24"/>
                <w:highlight w:val="none"/>
                <w:u w:val="none"/>
                <w:lang w:val="en-US" w:eastAsia="zh-CN" w:bidi="ar-SA"/>
              </w:rPr>
            </w:pPr>
            <w:r>
              <w:rPr>
                <w:rFonts w:hint="eastAsia" w:ascii="宋体" w:hAnsi="宋体" w:eastAsia="宋体" w:cs="宋体"/>
                <w:b/>
                <w:bCs/>
                <w:kern w:val="0"/>
                <w:sz w:val="24"/>
                <w:szCs w:val="22"/>
                <w:lang w:val="en-US" w:eastAsia="zh-CN" w:bidi="ar-SA"/>
              </w:rPr>
              <w:t>偏离</w:t>
            </w:r>
          </w:p>
        </w:tc>
        <w:tc>
          <w:tcPr>
            <w:tcW w:w="6038" w:type="dxa"/>
            <w:vAlign w:val="center"/>
          </w:tcPr>
          <w:p w14:paraId="5FCF987F">
            <w:pPr>
              <w:pStyle w:val="31"/>
              <w:spacing w:line="360" w:lineRule="auto"/>
              <w:ind w:left="0" w:leftChars="0" w:firstLine="0" w:firstLineChars="0"/>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kern w:val="0"/>
                <w:sz w:val="24"/>
                <w:lang w:val="en-US" w:eastAsia="zh-CN"/>
              </w:rPr>
              <w:t>偏离是指响应文件不满足或者不响应磋商文件的要求。偏离分为偏离磋商文件的实质性要求和条件及偏离磋商文件的非实质性要求和条件。</w:t>
            </w:r>
          </w:p>
        </w:tc>
      </w:tr>
      <w:tr w14:paraId="41C8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31D1A65">
            <w:pPr>
              <w:spacing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kern w:val="0"/>
                <w:sz w:val="24"/>
                <w:highlight w:val="none"/>
                <w:lang w:val="en-US" w:eastAsia="zh-CN"/>
              </w:rPr>
              <w:t>2</w:t>
            </w:r>
          </w:p>
        </w:tc>
        <w:tc>
          <w:tcPr>
            <w:tcW w:w="2647" w:type="dxa"/>
            <w:vAlign w:val="center"/>
          </w:tcPr>
          <w:p w14:paraId="215F94E0">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b/>
                <w:bCs/>
                <w:kern w:val="0"/>
                <w:sz w:val="24"/>
                <w:szCs w:val="22"/>
                <w:highlight w:val="none"/>
                <w:lang w:val="en-US" w:eastAsia="zh-CN" w:bidi="ar-SA"/>
              </w:rPr>
              <w:t>信用记录查询</w:t>
            </w:r>
          </w:p>
        </w:tc>
        <w:tc>
          <w:tcPr>
            <w:tcW w:w="6038" w:type="dxa"/>
            <w:vAlign w:val="center"/>
          </w:tcPr>
          <w:p w14:paraId="475897CB">
            <w:pPr>
              <w:pStyle w:val="31"/>
              <w:spacing w:line="360" w:lineRule="auto"/>
              <w:ind w:left="0" w:leftChars="0"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采购人或采购代理机构将在资格审查环节在线查询供应商的信用记录。供应商存在不良信用记录的，其投标按</w:t>
            </w:r>
            <w:r>
              <w:rPr>
                <w:rFonts w:hint="eastAsia" w:ascii="宋体" w:hAnsi="宋体" w:eastAsia="宋体" w:cs="宋体"/>
                <w:b/>
                <w:bCs/>
                <w:i/>
                <w:iCs/>
                <w:kern w:val="0"/>
                <w:sz w:val="24"/>
                <w:lang w:val="en-US" w:eastAsia="zh-CN"/>
              </w:rPr>
              <w:t>无效投标</w:t>
            </w:r>
            <w:r>
              <w:rPr>
                <w:rFonts w:hint="eastAsia" w:ascii="宋体" w:hAnsi="宋体" w:eastAsia="宋体" w:cs="宋体"/>
                <w:kern w:val="0"/>
                <w:sz w:val="24"/>
                <w:lang w:val="en-US" w:eastAsia="zh-CN"/>
              </w:rPr>
              <w:t>处理。</w:t>
            </w:r>
          </w:p>
          <w:p w14:paraId="3DBD40A6">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不良信用记录指：供应商在中国政府采购网被列入政府采购严重违法失信行为记录名单，及在“信用中国”网站被列入失信被执行人、重大税收违法案件当事人名单。</w:t>
            </w:r>
          </w:p>
          <w:p w14:paraId="08D74941">
            <w:pPr>
              <w:pStyle w:val="31"/>
              <w:spacing w:line="360" w:lineRule="auto"/>
              <w:ind w:left="0" w:leftChars="0"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查询及记录方式：采购人或采购代理机构经办人将查询网页打印并存档备查。供应商不良信用记录以采购人或采购代理机构查询结果为准。在本磋商文件规定的查询时间之后，网站信息发生的任何变更均不再作为评标依据。供应商自行提供的与网站信息不一致的其他证明材料亦不作为资格审查依据。</w:t>
            </w:r>
          </w:p>
          <w:p w14:paraId="7070B7FF">
            <w:pPr>
              <w:pStyle w:val="31"/>
              <w:spacing w:line="360" w:lineRule="auto"/>
              <w:ind w:left="0" w:leftChars="0" w:firstLine="0" w:firstLineChars="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以联合体形式参加投标的，联合体任何成员存在以上不良信用记录的，联合体投标将被认定为</w:t>
            </w:r>
            <w:r>
              <w:rPr>
                <w:rFonts w:hint="eastAsia" w:ascii="宋体" w:hAnsi="宋体" w:eastAsia="宋体" w:cs="宋体"/>
                <w:b/>
                <w:bCs/>
                <w:i/>
                <w:iCs/>
                <w:kern w:val="0"/>
                <w:sz w:val="24"/>
                <w:lang w:val="en-US" w:eastAsia="zh-CN"/>
              </w:rPr>
              <w:t>无效投标</w:t>
            </w:r>
            <w:r>
              <w:rPr>
                <w:rFonts w:hint="eastAsia" w:ascii="宋体" w:hAnsi="宋体" w:eastAsia="宋体" w:cs="宋体"/>
                <w:kern w:val="0"/>
                <w:sz w:val="24"/>
                <w:lang w:val="en-US" w:eastAsia="zh-CN"/>
              </w:rPr>
              <w:t>。</w:t>
            </w:r>
          </w:p>
        </w:tc>
      </w:tr>
      <w:tr w14:paraId="0812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4F35107">
            <w:pPr>
              <w:spacing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kern w:val="0"/>
                <w:sz w:val="24"/>
                <w:lang w:val="en-US" w:eastAsia="zh-CN"/>
              </w:rPr>
              <w:t>3</w:t>
            </w:r>
          </w:p>
        </w:tc>
        <w:tc>
          <w:tcPr>
            <w:tcW w:w="2647" w:type="dxa"/>
            <w:vAlign w:val="center"/>
          </w:tcPr>
          <w:p w14:paraId="68D99E96">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lang w:val="en-US" w:eastAsia="zh-CN"/>
              </w:rPr>
              <w:t>多家代理商代理一家制造商的产品参加投标的解决办法</w:t>
            </w:r>
            <w:r>
              <w:rPr>
                <w:rFonts w:hint="eastAsia" w:ascii="宋体" w:hAnsi="宋体" w:cs="宋体"/>
                <w:b/>
                <w:bCs/>
                <w:color w:val="auto"/>
                <w:sz w:val="24"/>
                <w:szCs w:val="24"/>
                <w:lang w:val="en-US" w:eastAsia="zh-CN"/>
              </w:rPr>
              <w:t>（不适用）</w:t>
            </w:r>
          </w:p>
        </w:tc>
        <w:tc>
          <w:tcPr>
            <w:tcW w:w="6038" w:type="dxa"/>
            <w:vAlign w:val="center"/>
          </w:tcPr>
          <w:p w14:paraId="2A39954B">
            <w:pPr>
              <w:pStyle w:val="31"/>
              <w:spacing w:line="360" w:lineRule="auto"/>
              <w:ind w:left="0" w:leftChars="0" w:firstLine="480" w:firstLineChars="20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一个分包内只有一种产品，不同供应商所投产品为同一品牌的或一个分包内包含多种产品的，采购人将在磋商文件中载明核心产品，多家供应商提供的核心产品品牌相同的，按如下方式处理：提供相同品牌产品且通过资格审查、符合性审查的不同供应商参加同一合同项下投标的，按一家供应商计算，评审后得分最高的同品牌供应商获得中标人推荐资格；评审得分相同的，由评标委员会根据磋商文件规定的方式（磋商文件未规定的采取随机抽取的方式）确定一个中标候选人，其他同品牌供应商不作为中标候选人。</w:t>
            </w:r>
          </w:p>
        </w:tc>
      </w:tr>
      <w:tr w14:paraId="284B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71B9DF5">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4</w:t>
            </w:r>
          </w:p>
        </w:tc>
        <w:tc>
          <w:tcPr>
            <w:tcW w:w="2647" w:type="dxa"/>
            <w:vAlign w:val="center"/>
          </w:tcPr>
          <w:p w14:paraId="5B96BA25">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000000"/>
                <w:kern w:val="0"/>
                <w:sz w:val="24"/>
                <w:szCs w:val="24"/>
                <w:u w:val="none"/>
              </w:rPr>
              <w:t>重大违法记录</w:t>
            </w:r>
          </w:p>
        </w:tc>
        <w:tc>
          <w:tcPr>
            <w:tcW w:w="6038" w:type="dxa"/>
            <w:vAlign w:val="center"/>
          </w:tcPr>
          <w:p w14:paraId="5CC027D1">
            <w:pPr>
              <w:pStyle w:val="31"/>
              <w:spacing w:line="360" w:lineRule="auto"/>
              <w:ind w:left="0" w:leftChars="0" w:firstLine="480" w:firstLineChars="20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供应商因违法经营受到刑事处罚或者责令停产停业、吊销许可证或者执照、较大数额罚款等行政处罚。</w:t>
            </w:r>
          </w:p>
        </w:tc>
      </w:tr>
      <w:tr w14:paraId="066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77B96C3">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lang w:val="en-US" w:eastAsia="zh-CN" w:bidi="ar-SA"/>
              </w:rPr>
              <w:t>5</w:t>
            </w:r>
          </w:p>
        </w:tc>
        <w:tc>
          <w:tcPr>
            <w:tcW w:w="2647" w:type="dxa"/>
            <w:vAlign w:val="center"/>
          </w:tcPr>
          <w:p w14:paraId="51CBCD10">
            <w:pPr>
              <w:adjustRightInd w:val="0"/>
              <w:snapToGrid w:val="0"/>
              <w:spacing w:before="156" w:beforeLines="50"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sz w:val="24"/>
                <w:szCs w:val="24"/>
                <w:highlight w:val="none"/>
                <w:lang w:val="en-US" w:eastAsia="zh-CN"/>
              </w:rPr>
              <w:t>本项目是否专门面向中小企业</w:t>
            </w:r>
          </w:p>
        </w:tc>
        <w:tc>
          <w:tcPr>
            <w:tcW w:w="6038" w:type="dxa"/>
            <w:vAlign w:val="center"/>
          </w:tcPr>
          <w:p w14:paraId="6B7A89F6">
            <w:pPr>
              <w:pStyle w:val="70"/>
              <w:spacing w:line="360" w:lineRule="auto"/>
              <w:ind w:left="0" w:leftChars="0" w:firstLine="0" w:firstLineChars="0"/>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kern w:val="0"/>
                <w:sz w:val="24"/>
                <w:highlight w:val="none"/>
                <w:u w:val="none"/>
                <w:lang w:val="en-US" w:eastAsia="zh-CN"/>
              </w:rPr>
              <w:t>是</w:t>
            </w:r>
            <w:r>
              <w:rPr>
                <w:rFonts w:hint="eastAsia" w:ascii="宋体" w:hAnsi="宋体" w:cs="宋体"/>
                <w:kern w:val="0"/>
                <w:sz w:val="24"/>
                <w:highlight w:val="none"/>
                <w:u w:val="none"/>
                <w:lang w:val="en-US" w:eastAsia="zh-CN"/>
              </w:rPr>
              <w:t>、</w:t>
            </w:r>
            <w:r>
              <w:rPr>
                <w:rFonts w:hint="eastAsia" w:cs="宋体"/>
                <w:i w:val="0"/>
                <w:iCs w:val="0"/>
                <w:caps w:val="0"/>
                <w:color w:val="auto"/>
                <w:spacing w:val="0"/>
                <w:sz w:val="24"/>
                <w:szCs w:val="24"/>
                <w:highlight w:val="none"/>
                <w:lang w:val="en-US" w:eastAsia="zh-CN"/>
              </w:rPr>
              <w:t>本项目专门面向小微企业</w:t>
            </w:r>
            <w:r>
              <w:rPr>
                <w:rFonts w:hint="eastAsia" w:ascii="宋体" w:hAnsi="宋体" w:eastAsia="宋体" w:cs="宋体"/>
                <w:i w:val="0"/>
                <w:iCs w:val="0"/>
                <w:caps w:val="0"/>
                <w:color w:val="auto"/>
                <w:spacing w:val="0"/>
                <w:sz w:val="24"/>
                <w:szCs w:val="24"/>
                <w:highlight w:val="none"/>
              </w:rPr>
              <w:t>；</w:t>
            </w:r>
          </w:p>
        </w:tc>
      </w:tr>
      <w:tr w14:paraId="2E5E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7CD5BE2">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lang w:val="en-US" w:eastAsia="zh-CN" w:bidi="ar-SA"/>
              </w:rPr>
              <w:t>6</w:t>
            </w:r>
          </w:p>
        </w:tc>
        <w:tc>
          <w:tcPr>
            <w:tcW w:w="2647" w:type="dxa"/>
            <w:vAlign w:val="center"/>
          </w:tcPr>
          <w:p w14:paraId="2763B09A">
            <w:pPr>
              <w:spacing w:line="360" w:lineRule="auto"/>
              <w:jc w:val="center"/>
              <w:rPr>
                <w:rFonts w:hint="eastAsia" w:ascii="宋体" w:hAnsi="宋体" w:eastAsia="宋体" w:cs="宋体"/>
                <w:b/>
                <w:bCs/>
                <w:color w:val="auto"/>
                <w:kern w:val="0"/>
                <w:sz w:val="24"/>
                <w:szCs w:val="24"/>
                <w:u w:val="none"/>
              </w:rPr>
            </w:pPr>
            <w:r>
              <w:rPr>
                <w:rFonts w:hint="eastAsia" w:ascii="宋体" w:hAnsi="宋体" w:eastAsia="宋体" w:cs="宋体"/>
                <w:b/>
                <w:bCs/>
                <w:color w:val="000000"/>
                <w:kern w:val="0"/>
                <w:sz w:val="24"/>
                <w:szCs w:val="24"/>
                <w:u w:val="none"/>
              </w:rPr>
              <w:t>中小企业</w:t>
            </w:r>
            <w:r>
              <w:rPr>
                <w:rFonts w:hint="eastAsia" w:ascii="宋体" w:hAnsi="宋体" w:eastAsia="宋体" w:cs="宋体"/>
                <w:b/>
                <w:bCs/>
                <w:color w:val="000000"/>
                <w:kern w:val="0"/>
                <w:sz w:val="24"/>
                <w:szCs w:val="24"/>
                <w:u w:val="none"/>
                <w:lang w:eastAsia="zh-CN"/>
              </w:rPr>
              <w:t>扶持</w:t>
            </w:r>
            <w:r>
              <w:rPr>
                <w:rFonts w:hint="eastAsia" w:ascii="宋体" w:hAnsi="宋体" w:eastAsia="宋体" w:cs="宋体"/>
                <w:b/>
                <w:bCs/>
                <w:color w:val="000000"/>
                <w:kern w:val="0"/>
                <w:sz w:val="24"/>
                <w:szCs w:val="24"/>
                <w:u w:val="none"/>
              </w:rPr>
              <w:t>政策</w:t>
            </w:r>
          </w:p>
        </w:tc>
        <w:tc>
          <w:tcPr>
            <w:tcW w:w="6038" w:type="dxa"/>
            <w:vAlign w:val="center"/>
          </w:tcPr>
          <w:p w14:paraId="5ECC5EFD">
            <w:pPr>
              <w:pStyle w:val="70"/>
              <w:spacing w:line="360" w:lineRule="auto"/>
              <w:ind w:left="0" w:leftChars="0" w:firstLine="0" w:firstLineChars="0"/>
              <w:rPr>
                <w:rFonts w:hint="eastAsia" w:ascii="宋体" w:hAnsi="宋体" w:eastAsia="宋体" w:cs="宋体"/>
                <w:color w:val="auto"/>
                <w:kern w:val="0"/>
                <w:sz w:val="24"/>
                <w:szCs w:val="24"/>
                <w:u w:val="none"/>
              </w:rPr>
            </w:pPr>
            <w:r>
              <w:rPr>
                <w:rFonts w:hint="eastAsia" w:ascii="宋体" w:hAnsi="宋体" w:eastAsia="宋体" w:cs="宋体"/>
                <w:kern w:val="0"/>
                <w:sz w:val="24"/>
                <w:lang w:val="en-US" w:eastAsia="zh-CN"/>
              </w:rPr>
              <w:t>详见第四章评审办法</w:t>
            </w:r>
          </w:p>
        </w:tc>
      </w:tr>
      <w:tr w14:paraId="0914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6C56110">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7</w:t>
            </w:r>
          </w:p>
        </w:tc>
        <w:tc>
          <w:tcPr>
            <w:tcW w:w="2647" w:type="dxa"/>
            <w:vAlign w:val="center"/>
          </w:tcPr>
          <w:p w14:paraId="63CFBCAF">
            <w:pPr>
              <w:spacing w:line="360" w:lineRule="auto"/>
              <w:jc w:val="center"/>
              <w:rPr>
                <w:rFonts w:hint="eastAsia" w:ascii="宋体" w:hAnsi="宋体" w:eastAsia="宋体" w:cs="宋体"/>
                <w:b/>
                <w:bCs/>
                <w:color w:val="auto"/>
                <w:kern w:val="0"/>
                <w:sz w:val="24"/>
                <w:szCs w:val="22"/>
                <w:highlight w:val="none"/>
                <w:lang w:val="en-US" w:eastAsia="zh-CN" w:bidi="ar-SA"/>
              </w:rPr>
            </w:pPr>
            <w:r>
              <w:rPr>
                <w:rFonts w:hint="eastAsia" w:ascii="宋体" w:hAnsi="宋体" w:eastAsia="宋体" w:cs="宋体"/>
                <w:b/>
                <w:bCs/>
                <w:color w:val="000000"/>
                <w:kern w:val="0"/>
                <w:sz w:val="24"/>
                <w:szCs w:val="24"/>
                <w:highlight w:val="none"/>
                <w:u w:val="none"/>
                <w:lang w:eastAsia="zh-CN"/>
              </w:rPr>
              <w:t>本项目所属行业</w:t>
            </w:r>
          </w:p>
        </w:tc>
        <w:tc>
          <w:tcPr>
            <w:tcW w:w="6038" w:type="dxa"/>
            <w:vAlign w:val="center"/>
          </w:tcPr>
          <w:p w14:paraId="6DB3006F">
            <w:pPr>
              <w:pStyle w:val="70"/>
              <w:spacing w:line="360" w:lineRule="auto"/>
              <w:ind w:left="0" w:leftChars="0" w:firstLine="0" w:firstLineChars="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其他未列明行业</w:t>
            </w:r>
          </w:p>
        </w:tc>
      </w:tr>
      <w:tr w14:paraId="39D4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EBC1B70">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8</w:t>
            </w:r>
          </w:p>
        </w:tc>
        <w:tc>
          <w:tcPr>
            <w:tcW w:w="2647" w:type="dxa"/>
            <w:vAlign w:val="center"/>
          </w:tcPr>
          <w:p w14:paraId="5D342F95">
            <w:pPr>
              <w:adjustRightInd w:val="0"/>
              <w:snapToGrid w:val="0"/>
              <w:spacing w:before="156" w:beforeLines="50" w:line="360" w:lineRule="auto"/>
              <w:jc w:val="center"/>
              <w:rPr>
                <w:rFonts w:hint="eastAsia" w:ascii="宋体" w:hAnsi="宋体" w:eastAsia="宋体" w:cs="宋体"/>
                <w:b/>
                <w:bCs/>
                <w:color w:val="auto"/>
                <w:kern w:val="0"/>
                <w:sz w:val="24"/>
                <w:szCs w:val="24"/>
                <w:u w:val="none"/>
                <w:lang w:val="en-US" w:eastAsia="zh-CN" w:bidi="ar-SA"/>
              </w:rPr>
            </w:pPr>
            <w:r>
              <w:rPr>
                <w:rFonts w:hint="eastAsia" w:ascii="宋体" w:hAnsi="宋体" w:eastAsia="宋体" w:cs="宋体"/>
                <w:b/>
                <w:bCs/>
                <w:color w:val="auto"/>
                <w:sz w:val="24"/>
                <w:szCs w:val="24"/>
                <w:lang w:val="en-US" w:eastAsia="zh-CN"/>
              </w:rPr>
              <w:t>优先采购节能、环境标志产品</w:t>
            </w:r>
          </w:p>
        </w:tc>
        <w:tc>
          <w:tcPr>
            <w:tcW w:w="6038" w:type="dxa"/>
            <w:vAlign w:val="center"/>
          </w:tcPr>
          <w:p w14:paraId="18298591">
            <w:pPr>
              <w:pStyle w:val="70"/>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cs="宋体"/>
                <w:kern w:val="0"/>
                <w:sz w:val="24"/>
                <w:lang w:val="en-US" w:eastAsia="zh-CN"/>
              </w:rPr>
              <w:t>无</w:t>
            </w:r>
          </w:p>
        </w:tc>
      </w:tr>
      <w:tr w14:paraId="5D2C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76D6748">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9</w:t>
            </w:r>
          </w:p>
        </w:tc>
        <w:tc>
          <w:tcPr>
            <w:tcW w:w="2647" w:type="dxa"/>
            <w:vAlign w:val="center"/>
          </w:tcPr>
          <w:p w14:paraId="4A4B2B0C">
            <w:pPr>
              <w:adjustRightInd w:val="0"/>
              <w:snapToGrid w:val="0"/>
              <w:spacing w:before="156"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lang w:val="en-US" w:eastAsia="zh-CN"/>
              </w:rPr>
              <w:t>是否允许投报进口产品</w:t>
            </w:r>
          </w:p>
        </w:tc>
        <w:tc>
          <w:tcPr>
            <w:tcW w:w="6038" w:type="dxa"/>
            <w:vAlign w:val="center"/>
          </w:tcPr>
          <w:p w14:paraId="0DBB0ACD">
            <w:pPr>
              <w:pStyle w:val="70"/>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kern w:val="0"/>
                <w:sz w:val="24"/>
                <w:lang w:eastAsia="zh-CN"/>
              </w:rPr>
              <w:t>否</w:t>
            </w:r>
          </w:p>
        </w:tc>
      </w:tr>
      <w:tr w14:paraId="0FE7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2A346CA">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10</w:t>
            </w:r>
          </w:p>
        </w:tc>
        <w:tc>
          <w:tcPr>
            <w:tcW w:w="2647" w:type="dxa"/>
            <w:vAlign w:val="center"/>
          </w:tcPr>
          <w:p w14:paraId="2AD37B19">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kern w:val="0"/>
                <w:sz w:val="24"/>
                <w:szCs w:val="24"/>
                <w:u w:val="none"/>
                <w:lang w:eastAsia="zh-CN"/>
              </w:rPr>
              <w:t>招标代理服务费</w:t>
            </w:r>
          </w:p>
        </w:tc>
        <w:tc>
          <w:tcPr>
            <w:tcW w:w="6038" w:type="dxa"/>
            <w:vAlign w:val="center"/>
          </w:tcPr>
          <w:p w14:paraId="3F2BF1D2">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招标代理服务费用按照发改价格(2015)299号通知要求，参照发改价格(2011)534号文的差额定率累进法计算标准，(实际以中标价为基数计取)。招标工作完成后，中标人向招标代理机构一次性付清。</w:t>
            </w:r>
          </w:p>
        </w:tc>
      </w:tr>
      <w:tr w14:paraId="0BCD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BB8908D">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11</w:t>
            </w:r>
          </w:p>
        </w:tc>
        <w:tc>
          <w:tcPr>
            <w:tcW w:w="2647" w:type="dxa"/>
            <w:vAlign w:val="center"/>
          </w:tcPr>
          <w:p w14:paraId="37E03CBC">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kern w:val="0"/>
                <w:sz w:val="24"/>
                <w:szCs w:val="24"/>
                <w:u w:val="none"/>
                <w:lang w:eastAsia="zh-CN"/>
              </w:rPr>
              <w:t>场地服务费</w:t>
            </w:r>
          </w:p>
        </w:tc>
        <w:tc>
          <w:tcPr>
            <w:tcW w:w="6038" w:type="dxa"/>
            <w:vAlign w:val="center"/>
          </w:tcPr>
          <w:p w14:paraId="34C76B46">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lang w:val="en-US" w:eastAsia="zh-CN"/>
              </w:rPr>
              <w:t>无</w:t>
            </w:r>
          </w:p>
        </w:tc>
      </w:tr>
      <w:tr w14:paraId="284F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BA4EEE0">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12</w:t>
            </w:r>
          </w:p>
        </w:tc>
        <w:tc>
          <w:tcPr>
            <w:tcW w:w="2647" w:type="dxa"/>
            <w:vAlign w:val="center"/>
          </w:tcPr>
          <w:p w14:paraId="17534A24">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kern w:val="0"/>
                <w:sz w:val="24"/>
                <w:szCs w:val="24"/>
                <w:highlight w:val="none"/>
                <w:u w:val="none"/>
                <w:lang w:eastAsia="zh-CN"/>
              </w:rPr>
              <w:t>公证费</w:t>
            </w:r>
          </w:p>
        </w:tc>
        <w:tc>
          <w:tcPr>
            <w:tcW w:w="6038" w:type="dxa"/>
            <w:vAlign w:val="center"/>
          </w:tcPr>
          <w:p w14:paraId="5CC62E81">
            <w:pPr>
              <w:pStyle w:val="31"/>
              <w:spacing w:line="360" w:lineRule="auto"/>
              <w:ind w:left="0" w:leftChars="0" w:firstLine="0" w:firstLineChars="0"/>
              <w:rPr>
                <w:rFonts w:hint="default"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lang w:val="en-US" w:eastAsia="zh-CN"/>
              </w:rPr>
              <w:t>按公证处要求支付</w:t>
            </w:r>
          </w:p>
        </w:tc>
      </w:tr>
      <w:tr w14:paraId="45B2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761DEC8">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13</w:t>
            </w:r>
          </w:p>
        </w:tc>
        <w:tc>
          <w:tcPr>
            <w:tcW w:w="2647" w:type="dxa"/>
            <w:vAlign w:val="center"/>
          </w:tcPr>
          <w:p w14:paraId="2F42EC78">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电子交易活动的中止</w:t>
            </w:r>
          </w:p>
        </w:tc>
        <w:tc>
          <w:tcPr>
            <w:tcW w:w="6038" w:type="dxa"/>
            <w:vAlign w:val="center"/>
          </w:tcPr>
          <w:p w14:paraId="0B68B2D8">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采购过程中出现以下情形，导致电子交易平台无法正常运行，或者无法保证电子交易的公平、公正和安全时，采购代理机构可中止电子交易活动：</w:t>
            </w:r>
          </w:p>
          <w:p w14:paraId="117241B8">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1、电子交易平台发生故障而无法登录访问的； </w:t>
            </w:r>
          </w:p>
          <w:p w14:paraId="1E1FC861">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2、电子交易平台应用或数据库出现错误，不能进行正常操作的；</w:t>
            </w:r>
          </w:p>
          <w:p w14:paraId="1CF74552">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3、电子交易平台发现严重安全漏洞，有潜在泄密危险的；</w:t>
            </w:r>
          </w:p>
          <w:p w14:paraId="124EB9EC">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4、病毒发作导致不能进行正常操作的； </w:t>
            </w:r>
          </w:p>
          <w:p w14:paraId="0A4A97C0">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5、其他无法保证电子交易的公平、公正和安全的情况。</w:t>
            </w:r>
          </w:p>
          <w:p w14:paraId="400B0E19">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2"/>
                <w:highlight w:val="none"/>
                <w:lang w:val="en-US" w:eastAsia="zh-CN" w:bidi="ar-SA"/>
              </w:rPr>
              <w:t>出现以上情形，不影响采购公平、公正性的，采购组织机构可以待上述情形消除后继续组织电子交易活动，也可以决定某些环节以纸质形式进行；影响或可能影响采购公平、公正性的，应当重新采购。</w:t>
            </w:r>
          </w:p>
        </w:tc>
      </w:tr>
    </w:tbl>
    <w:p w14:paraId="59287EC6">
      <w:pPr>
        <w:spacing w:line="440" w:lineRule="exact"/>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rPr>
        <w:t>注：</w:t>
      </w: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、本表内容与</w:t>
      </w:r>
      <w:r>
        <w:rPr>
          <w:rFonts w:hint="eastAsia" w:ascii="宋体" w:hAnsi="宋体" w:eastAsia="宋体" w:cs="宋体"/>
          <w:color w:val="auto"/>
          <w:sz w:val="24"/>
          <w:szCs w:val="22"/>
          <w:lang w:eastAsia="zh-CN"/>
        </w:rPr>
        <w:t>磋商</w:t>
      </w:r>
      <w:r>
        <w:rPr>
          <w:rFonts w:hint="eastAsia" w:ascii="宋体" w:hAnsi="宋体" w:eastAsia="宋体" w:cs="宋体"/>
          <w:color w:val="auto"/>
          <w:sz w:val="24"/>
          <w:szCs w:val="22"/>
        </w:rPr>
        <w:t>文件其它内容不一致的，应当以本表内容为准</w:t>
      </w:r>
      <w:r>
        <w:rPr>
          <w:rFonts w:hint="eastAsia" w:ascii="宋体" w:hAnsi="宋体" w:eastAsia="宋体" w:cs="宋体"/>
          <w:color w:val="auto"/>
          <w:kern w:val="0"/>
          <w:sz w:val="24"/>
          <w:szCs w:val="22"/>
          <w:lang w:eastAsia="zh-CN"/>
        </w:rPr>
        <w:t>。</w:t>
      </w:r>
    </w:p>
    <w:bookmarkEnd w:id="1"/>
    <w:p w14:paraId="6288C952">
      <w:pPr>
        <w:pStyle w:val="3"/>
        <w:jc w:val="left"/>
        <w:rPr>
          <w:rFonts w:hint="eastAsia" w:ascii="宋体" w:hAnsi="宋体" w:eastAsia="宋体" w:cs="宋体"/>
          <w:color w:val="auto"/>
        </w:rPr>
      </w:pPr>
      <w:bookmarkStart w:id="15" w:name="_Toc20823274"/>
      <w:bookmarkEnd w:id="15"/>
      <w:bookmarkStart w:id="16" w:name="_Toc455227390"/>
      <w:bookmarkEnd w:id="16"/>
      <w:bookmarkStart w:id="17" w:name="_Toc16938518"/>
      <w:bookmarkEnd w:id="17"/>
      <w:bookmarkStart w:id="18" w:name="_Toc513029202"/>
      <w:bookmarkEnd w:id="18"/>
      <w:bookmarkStart w:id="19" w:name="_Toc120614213"/>
      <w:bookmarkEnd w:id="19"/>
      <w:bookmarkStart w:id="20" w:name="_Toc1621"/>
      <w:bookmarkStart w:id="21" w:name="_Toc20759"/>
      <w:r>
        <w:rPr>
          <w:rFonts w:hint="eastAsia" w:ascii="宋体" w:hAnsi="宋体" w:eastAsia="宋体" w:cs="宋体"/>
          <w:color w:val="auto"/>
        </w:rPr>
        <w:t>供应商须</w:t>
      </w:r>
      <w:r>
        <w:rPr>
          <w:rFonts w:hint="eastAsia" w:ascii="宋体" w:hAnsi="宋体" w:eastAsia="宋体" w:cs="宋体"/>
          <w:color w:val="auto"/>
          <w:lang w:val="en-US" w:eastAsia="zh-CN"/>
        </w:rPr>
        <w:t>正文</w:t>
      </w:r>
    </w:p>
    <w:p w14:paraId="384A1182">
      <w:pPr>
        <w:pStyle w:val="3"/>
        <w:pageBreakBefore w:val="0"/>
        <w:kinsoku/>
        <w:overflowPunct/>
        <w:autoSpaceDE/>
        <w:autoSpaceDN/>
        <w:bidi w:val="0"/>
        <w:spacing w:line="400" w:lineRule="exact"/>
        <w:rPr>
          <w:rFonts w:hint="eastAsia" w:ascii="宋体" w:hAnsi="宋体" w:eastAsia="宋体" w:cs="宋体"/>
          <w:color w:val="auto"/>
        </w:rPr>
      </w:pPr>
      <w:r>
        <w:rPr>
          <w:rFonts w:hint="eastAsia" w:ascii="宋体" w:hAnsi="宋体" w:eastAsia="宋体" w:cs="宋体"/>
          <w:color w:val="auto"/>
        </w:rPr>
        <w:t>一、说明</w:t>
      </w:r>
      <w:bookmarkEnd w:id="20"/>
      <w:bookmarkEnd w:id="21"/>
    </w:p>
    <w:p w14:paraId="5F0ED813">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1.1适用范围</w:t>
      </w:r>
    </w:p>
    <w:p w14:paraId="2B170F36">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1本磋商文件仅适用于本磋商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中所述项目的采购。</w:t>
      </w:r>
    </w:p>
    <w:p w14:paraId="2103D3C7">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1.2定义</w:t>
      </w:r>
    </w:p>
    <w:p w14:paraId="608EB22E">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1.2.1“采购人”名称见供应商须知前附表。</w:t>
      </w:r>
    </w:p>
    <w:p w14:paraId="3B70B9D9">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1.2.2“采购代理机构”名称见供应商须知前附表。</w:t>
      </w:r>
    </w:p>
    <w:p w14:paraId="0AA84D61">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1.2.3“监管部门”名称见供应商须知前附表。</w:t>
      </w:r>
    </w:p>
    <w:p w14:paraId="3E9E71D0">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1.2.4“供应商”系指是指响应招标、参加投标竞争的法人、其他组织或者自然人。</w:t>
      </w:r>
    </w:p>
    <w:p w14:paraId="68396BFD">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1.2.5“电子签名”系指数据电文中以电子形式所含、所附用于识别签名人身份并表明签名人认可其中内容的数据；“公章”系指与供应商标准公章一致的供应商电子签章。</w:t>
      </w:r>
    </w:p>
    <w:p w14:paraId="37AF2F19">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1.2.6电子交易平台系指本项目政府采购活动所依托的新疆政府采购云平台（https://www.zcygov.cn/）。</w:t>
      </w:r>
    </w:p>
    <w:p w14:paraId="674269D2">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1.2.7“电子</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文件”指利用新疆政府采购云平台投标客户端“电子</w:t>
      </w:r>
      <w:r>
        <w:rPr>
          <w:rFonts w:hint="eastAsia" w:hAnsi="宋体" w:cs="宋体"/>
          <w:color w:val="auto"/>
          <w:sz w:val="24"/>
          <w:szCs w:val="24"/>
          <w:lang w:eastAsia="zh-CN"/>
        </w:rPr>
        <w:t>响应文件</w:t>
      </w:r>
      <w:r>
        <w:rPr>
          <w:rFonts w:hint="eastAsia" w:ascii="宋体" w:hAnsi="宋体" w:eastAsia="宋体" w:cs="宋体"/>
          <w:color w:val="auto"/>
          <w:sz w:val="24"/>
          <w:szCs w:val="24"/>
        </w:rPr>
        <w:t>制作工具”编制加密和未加密的</w:t>
      </w:r>
      <w:r>
        <w:rPr>
          <w:rFonts w:hint="eastAsia" w:hAnsi="宋体" w:cs="宋体"/>
          <w:color w:val="auto"/>
          <w:sz w:val="24"/>
          <w:szCs w:val="24"/>
          <w:lang w:eastAsia="zh-CN"/>
        </w:rPr>
        <w:t>响应文件</w:t>
      </w:r>
      <w:r>
        <w:rPr>
          <w:rFonts w:hint="eastAsia" w:ascii="宋体" w:hAnsi="宋体" w:eastAsia="宋体" w:cs="宋体"/>
          <w:color w:val="auto"/>
          <w:sz w:val="24"/>
          <w:szCs w:val="24"/>
        </w:rPr>
        <w:t>。</w:t>
      </w:r>
    </w:p>
    <w:p w14:paraId="40E3698E">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1.2.8“不见面开标”系指依托新疆政府采购云平台组织开标活动，供应商在线参与开标的一种组织形式。</w:t>
      </w:r>
    </w:p>
    <w:p w14:paraId="4CE6AE91">
      <w:pPr>
        <w:pStyle w:val="18"/>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lang w:val="en-US" w:eastAsia="zh-CN"/>
        </w:rPr>
        <w:t>1.3</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供应商资格要求</w:t>
      </w:r>
    </w:p>
    <w:p w14:paraId="4192AF1B">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w:t>
      </w:r>
      <w:r>
        <w:rPr>
          <w:rFonts w:hint="eastAsia" w:ascii="宋体" w:hAnsi="宋体" w:eastAsia="宋体" w:cs="宋体"/>
          <w:color w:val="auto"/>
          <w:sz w:val="24"/>
          <w:szCs w:val="24"/>
        </w:rPr>
        <w:t>符合供应商须知前附表所规定的供应商资格要求，并满足本文件实质性要求和条件的规定。</w:t>
      </w:r>
    </w:p>
    <w:p w14:paraId="367FCF39">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1.3.2</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之间如果存在下列情形之一的，不得同时参加同一包（标段）或者不分包（标段）的同一项目投标：</w:t>
      </w:r>
    </w:p>
    <w:p w14:paraId="29D8D1C6">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（1）单位负责人为同一个人或者存在直接控股、管理关系的不同</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w:t>
      </w:r>
    </w:p>
    <w:p w14:paraId="134DBF5C">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（2）母公司、全资子公司及其控股公司；</w:t>
      </w:r>
    </w:p>
    <w:p w14:paraId="7C70DC59">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（3）为本次采购项目提供整体设计、规范编制或者项目管理、监理、检测等服务的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w:t>
      </w:r>
    </w:p>
    <w:p w14:paraId="48B56EA8">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（4）参加投标的其他组织之间存在特殊的利害关系的；</w:t>
      </w:r>
    </w:p>
    <w:p w14:paraId="36CFF114">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（5）法律法规规定的其他情形。</w:t>
      </w:r>
    </w:p>
    <w:p w14:paraId="7F007437">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不得存在下列情形之一：</w:t>
      </w:r>
    </w:p>
    <w:p w14:paraId="688C65C2">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（1）被依法暂停或者取消投标资格；</w:t>
      </w:r>
    </w:p>
    <w:p w14:paraId="45F77C0F">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（2）被责令停产停业，暂扣或者吊销许可证，暂扣或者吊销执照；</w:t>
      </w:r>
    </w:p>
    <w:p w14:paraId="76A80498">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（3）进入清算程序，或被宣告破产，或其他丧失履约能力的情形；</w:t>
      </w:r>
    </w:p>
    <w:p w14:paraId="43AAB6D4">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（4）在近三年内发生重大</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质量问题（以相关行业主管部门的行政处罚决定或司法机关出具的有关法律文书为准）；</w:t>
      </w:r>
    </w:p>
    <w:p w14:paraId="65D7FD14">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（5）在全国企业信用信息公示系统中列入严重违法失信企业名单；</w:t>
      </w:r>
    </w:p>
    <w:p w14:paraId="5A0D6418">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（6）在“信用中国”网站（www.creditchina.gov.cn）或各级信用信息共享平台中列入失信被执行人名单；</w:t>
      </w:r>
    </w:p>
    <w:p w14:paraId="1C50AED3">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（7）在“中国政府采购网”网站（http://www.ccgp.gov.cn/）中列入政府采购严重违法失信行为信息记录名单；</w:t>
      </w:r>
    </w:p>
    <w:p w14:paraId="42FF8442">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（8）法律法规规定的其他情形。</w:t>
      </w:r>
    </w:p>
    <w:p w14:paraId="02D60EFB">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1.3.4供应商应当按照采购代理机构规定的合法方式获得本项目磋商文件。</w:t>
      </w:r>
    </w:p>
    <w:p w14:paraId="760BB23A">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1.4联合体投标</w:t>
      </w:r>
    </w:p>
    <w:p w14:paraId="161FDA98">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供应商须知前附表规定接受联合体投标的，联合体除应符合上述资格要求外，还应遵守以下规定：</w:t>
      </w:r>
    </w:p>
    <w:p w14:paraId="7D65BAD4">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1.4.1</w:t>
      </w:r>
      <w:r>
        <w:rPr>
          <w:rFonts w:hint="eastAsia" w:ascii="宋体" w:hAnsi="宋体" w:eastAsia="宋体" w:cs="宋体"/>
          <w:color w:val="auto"/>
          <w:sz w:val="24"/>
          <w:szCs w:val="24"/>
        </w:rPr>
        <w:t>两个以上供应商可以组成一个联合体，以一个供应商的身份共同参与</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w:t>
      </w:r>
    </w:p>
    <w:p w14:paraId="54EE5994">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1.4.2</w:t>
      </w:r>
      <w:r>
        <w:rPr>
          <w:rFonts w:hint="eastAsia" w:ascii="宋体" w:hAnsi="宋体" w:eastAsia="宋体" w:cs="宋体"/>
          <w:color w:val="auto"/>
          <w:sz w:val="24"/>
          <w:szCs w:val="24"/>
        </w:rPr>
        <w:t>采取联合体形式</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的，联合体各方均应当符合政府采购法第二十二条规定的条件。采购人根据采购项目的特殊要求规定供应商特定条件的，联合体各方中至少有一方符合磋商文件规定的特定条件。</w:t>
      </w:r>
    </w:p>
    <w:p w14:paraId="008E313E">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联合体各方之间必须签订联合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协议，明确约定联合体主体及各方承担的工作和相应的责任，其响应文件中必须提供联合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协议。</w:t>
      </w:r>
    </w:p>
    <w:p w14:paraId="60AA1536">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1.4.4</w:t>
      </w:r>
      <w:r>
        <w:rPr>
          <w:rFonts w:hint="eastAsia" w:ascii="宋体" w:hAnsi="宋体" w:eastAsia="宋体" w:cs="宋体"/>
          <w:color w:val="auto"/>
          <w:sz w:val="24"/>
          <w:szCs w:val="24"/>
        </w:rPr>
        <w:t>以联合体形式参加政府采购活动的，联合体各方不得再单独参加或者与其他供应商另外组成联合体参加同一合同项下的政府采购活动。</w:t>
      </w:r>
    </w:p>
    <w:p w14:paraId="296ACFFD">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1.4.5</w:t>
      </w:r>
      <w:r>
        <w:rPr>
          <w:rFonts w:hint="eastAsia" w:ascii="宋体" w:hAnsi="宋体" w:eastAsia="宋体" w:cs="宋体"/>
          <w:color w:val="auto"/>
          <w:sz w:val="24"/>
          <w:szCs w:val="24"/>
        </w:rPr>
        <w:t>采取联合体形式投标的，其响应文件必须由联合体所有成员或其各自正式书面授权的代表签署（盖章），以便对所有成员作为整体及作为个体均具有法律约束力。</w:t>
      </w:r>
    </w:p>
    <w:p w14:paraId="657FD23A">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1.4.6</w:t>
      </w:r>
      <w:r>
        <w:rPr>
          <w:rFonts w:hint="eastAsia" w:ascii="宋体" w:hAnsi="宋体" w:eastAsia="宋体" w:cs="宋体"/>
          <w:color w:val="auto"/>
          <w:sz w:val="24"/>
          <w:szCs w:val="24"/>
        </w:rPr>
        <w:t>联合体成交的，联合体各方应当共同与采购人签订采购合同。</w:t>
      </w:r>
    </w:p>
    <w:p w14:paraId="6AE2B3B2">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1.4.7</w:t>
      </w:r>
      <w:r>
        <w:rPr>
          <w:rFonts w:hint="eastAsia" w:ascii="宋体" w:hAnsi="宋体" w:eastAsia="宋体" w:cs="宋体"/>
          <w:color w:val="auto"/>
          <w:sz w:val="24"/>
          <w:szCs w:val="24"/>
        </w:rPr>
        <w:t>联合体中有同类资质的供应商按照联合体分工承担相同工作的，应当按照资质等级较低的供应商确定资质等级。</w:t>
      </w:r>
    </w:p>
    <w:p w14:paraId="0F29391E">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磋商费用</w:t>
      </w:r>
    </w:p>
    <w:p w14:paraId="1227BDD3">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供应商应承担所有与准备和参加竞争性磋商有关的费用。不论磋商的结果如何，采购单位均无义务和责任承担这些费用。</w:t>
      </w:r>
    </w:p>
    <w:p w14:paraId="42A3A56D">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eastAsia="zh-CN"/>
        </w:rPr>
        <w:t>计量单位</w:t>
      </w:r>
    </w:p>
    <w:p w14:paraId="3D8A3389">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除技术要求中另有规定外，本文件所要求使用的计量单位均应采用国家法定计量单位。</w:t>
      </w:r>
    </w:p>
    <w:p w14:paraId="6C39C5AF">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1.7</w:t>
      </w:r>
      <w:r>
        <w:rPr>
          <w:rFonts w:hint="eastAsia" w:ascii="宋体" w:hAnsi="宋体" w:eastAsia="宋体" w:cs="宋体"/>
          <w:b/>
          <w:color w:val="auto"/>
          <w:sz w:val="24"/>
          <w:szCs w:val="24"/>
        </w:rPr>
        <w:t>竞争性</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文件的约束力</w:t>
      </w:r>
    </w:p>
    <w:p w14:paraId="6F3E9B15">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供应商一旦购买了本竞争性磋商文件并决定参加竞争性磋商，即被认为接受了本竞争性磋商文件的规定和约束。</w:t>
      </w:r>
    </w:p>
    <w:p w14:paraId="16C86B1F">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1.8现场考察</w:t>
      </w:r>
    </w:p>
    <w:p w14:paraId="117CF2CD">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1.8.1</w:t>
      </w:r>
      <w:r>
        <w:rPr>
          <w:rFonts w:hint="eastAsia" w:ascii="宋体" w:hAnsi="宋体" w:eastAsia="宋体" w:cs="宋体"/>
          <w:color w:val="auto"/>
          <w:sz w:val="24"/>
          <w:szCs w:val="24"/>
        </w:rPr>
        <w:t>本项目是否统一组织</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现场考察见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rPr>
        <w:t>中的规定。无论是否统一组织，</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应对供货现场和周围环境进行勘察，以获取编制</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文件所需的资料。</w:t>
      </w:r>
    </w:p>
    <w:p w14:paraId="1106391D">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1.8.2</w:t>
      </w:r>
      <w:r>
        <w:rPr>
          <w:rFonts w:hint="eastAsia" w:ascii="宋体" w:hAnsi="宋体" w:eastAsia="宋体" w:cs="宋体"/>
          <w:color w:val="auto"/>
          <w:sz w:val="24"/>
          <w:szCs w:val="24"/>
        </w:rPr>
        <w:t>现场考察所发生的费用由</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自行承担。采购人向</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提供的有关供货现场的资料和数据，是采购人现有的能使</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利用的资料。采购人对</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由此而做出的推论、理解和结论概不负责。</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未到供货现场实地踏勘的，中标后签订合同时和履约过程中，不得以不完全了解现场情况为由，提出任何形式的增加合同价款或索赔的要求。</w:t>
      </w:r>
    </w:p>
    <w:p w14:paraId="02D6B6BB">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1.8.3</w:t>
      </w:r>
      <w:r>
        <w:rPr>
          <w:rFonts w:hint="eastAsia" w:ascii="宋体" w:hAnsi="宋体" w:eastAsia="宋体" w:cs="宋体"/>
          <w:color w:val="auto"/>
          <w:sz w:val="24"/>
          <w:szCs w:val="24"/>
        </w:rPr>
        <w:t>除非有特殊要求，</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不单独提供供货使用地的自然环境、气候条件、公用设施等情况，</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被视为熟悉上述与履行合同有关的一切情况。</w:t>
      </w:r>
    </w:p>
    <w:p w14:paraId="4247A25A">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1.8.4</w:t>
      </w:r>
      <w:r>
        <w:rPr>
          <w:rFonts w:hint="eastAsia" w:ascii="宋体" w:hAnsi="宋体" w:eastAsia="宋体" w:cs="宋体"/>
          <w:color w:val="auto"/>
          <w:sz w:val="24"/>
          <w:szCs w:val="24"/>
        </w:rPr>
        <w:t>除采购人原因外，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自行负责在现场考察中所发生的人员伤亡和财产损失。</w:t>
      </w:r>
    </w:p>
    <w:p w14:paraId="4987FC63">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1.9分包</w:t>
      </w:r>
    </w:p>
    <w:p w14:paraId="03DA3A89">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1.9.1</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拟在中标后将中标项目的非主体设备进行分包的，应符合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须知前附表规定的分包内容、分包金额和资质要求等限制性条件，除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rPr>
        <w:t xml:space="preserve">规定的非主体设备外，其他工作不得分包。 </w:t>
      </w:r>
    </w:p>
    <w:p w14:paraId="31791EB5">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1.9.2</w:t>
      </w:r>
      <w:r>
        <w:rPr>
          <w:rFonts w:hint="eastAsia" w:ascii="宋体" w:hAnsi="宋体" w:eastAsia="宋体" w:cs="宋体"/>
          <w:color w:val="auto"/>
          <w:sz w:val="24"/>
          <w:szCs w:val="24"/>
        </w:rPr>
        <w:t>中标人不得向他人转让中标项目，接受分包的人不得再次分包。中标人应当就分包项目向采购人负责，接受分包的人就分包项目承担连带责任。</w:t>
      </w:r>
    </w:p>
    <w:p w14:paraId="0BAB8DDF">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1.10偏离</w:t>
      </w:r>
    </w:p>
    <w:p w14:paraId="193178B8">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1.10.1</w:t>
      </w:r>
      <w:r>
        <w:rPr>
          <w:rFonts w:hint="eastAsia" w:ascii="宋体" w:hAnsi="宋体" w:eastAsia="宋体" w:cs="宋体"/>
          <w:color w:val="auto"/>
          <w:sz w:val="24"/>
          <w:szCs w:val="24"/>
        </w:rPr>
        <w:t>除法律、法规和规章规定外，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文件中用文字规定或标注“★”符号的条款为实质性要求和条件；未用文字规定或“★”符号标注的条款为非实质性要求和条件。</w:t>
      </w:r>
    </w:p>
    <w:p w14:paraId="4C054F40">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1.10.2</w:t>
      </w:r>
      <w:r>
        <w:rPr>
          <w:rFonts w:hint="eastAsia" w:ascii="宋体" w:hAnsi="宋体" w:eastAsia="宋体" w:cs="宋体"/>
          <w:color w:val="auto"/>
          <w:sz w:val="24"/>
          <w:szCs w:val="24"/>
        </w:rPr>
        <w:t>偏离是指</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文件不满足或者不响应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文件的要求。偏离分为偏离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文件的实质性要求和条件及偏离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文件的非实质性要求和条件。</w:t>
      </w:r>
    </w:p>
    <w:p w14:paraId="6280D1B2">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1.10.3</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文件的实质性要求和条件，在评标时其投标将被否决。</w:t>
      </w:r>
    </w:p>
    <w:p w14:paraId="71ABA336">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1.10.4响应文件偏离磋商文件的非实质性要求和条件见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val="en-US" w:eastAsia="zh-CN"/>
        </w:rPr>
        <w:t>。</w:t>
      </w:r>
    </w:p>
    <w:p w14:paraId="18125E5D">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1.11知识产权</w:t>
      </w:r>
    </w:p>
    <w:p w14:paraId="6F2448C3">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应保证在本项目使用的任何服务（包括部分使用）时，不会产生因第三方提出侵犯其专利权、商标权或其它知识产权而引起的法律和经济纠纷，如因专利权、商标权或其它知识产权而引起法律和经济纠纷，由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承担所有相关责任。</w:t>
      </w:r>
    </w:p>
    <w:p w14:paraId="286AF813">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1.11.2招标人享有本项目实施过程中产生的知识成果及知识产权。</w:t>
      </w:r>
    </w:p>
    <w:p w14:paraId="2B44BC5F">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1.11.3</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如欲在项目实施过程中采用自有知识成果，需在响应文件中声明，并提供相关知识产权证明文件。使用该知识成果后，</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需提供开发接口和开发手册等技术文档，并承诺提供无限期技术支持，招标人享有永久使用权。</w:t>
      </w:r>
    </w:p>
    <w:p w14:paraId="220E2793">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1.11.4如采用</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所不拥有的知识产权，则在投标报价中必须包括合法获取该知识产权的相关费用。</w:t>
      </w:r>
    </w:p>
    <w:p w14:paraId="6E4023E3">
      <w:pPr>
        <w:pStyle w:val="3"/>
        <w:pageBreakBefore w:val="0"/>
        <w:kinsoku/>
        <w:overflowPunct/>
        <w:autoSpaceDE/>
        <w:autoSpaceDN/>
        <w:bidi w:val="0"/>
        <w:spacing w:line="400" w:lineRule="exact"/>
        <w:rPr>
          <w:rFonts w:hint="eastAsia" w:ascii="宋体" w:hAnsi="宋体" w:eastAsia="宋体" w:cs="宋体"/>
          <w:color w:val="auto"/>
        </w:rPr>
      </w:pPr>
      <w:bookmarkStart w:id="22" w:name="_Toc18317"/>
      <w:bookmarkStart w:id="23" w:name="_Toc293736054"/>
      <w:bookmarkStart w:id="24" w:name="_Toc446599311"/>
      <w:bookmarkStart w:id="25" w:name="_Toc3092"/>
      <w:bookmarkStart w:id="26" w:name="_Toc293738992"/>
      <w:bookmarkStart w:id="27" w:name="_Toc293736011"/>
      <w:r>
        <w:rPr>
          <w:rFonts w:hint="eastAsia" w:ascii="宋体" w:hAnsi="宋体" w:eastAsia="宋体" w:cs="宋体"/>
          <w:color w:val="auto"/>
        </w:rPr>
        <w:t>二、磋商文件</w:t>
      </w:r>
      <w:bookmarkEnd w:id="22"/>
      <w:bookmarkEnd w:id="23"/>
      <w:bookmarkEnd w:id="24"/>
      <w:bookmarkEnd w:id="25"/>
      <w:bookmarkEnd w:id="26"/>
      <w:bookmarkEnd w:id="27"/>
    </w:p>
    <w:p w14:paraId="0E5BD8D4">
      <w:pPr>
        <w:pStyle w:val="18"/>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rPr>
        <w:t>2.1磋商文件的构成</w:t>
      </w:r>
    </w:p>
    <w:p w14:paraId="2243FD1D">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2.1.1磋商文件由下列文件以及在采购过程中发出的修正和补充文件组成：</w:t>
      </w:r>
    </w:p>
    <w:p w14:paraId="26DE824E">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(1)磋商</w:t>
      </w:r>
      <w:r>
        <w:rPr>
          <w:rFonts w:hint="eastAsia" w:ascii="宋体" w:hAnsi="宋体" w:eastAsia="宋体" w:cs="宋体"/>
          <w:color w:val="auto"/>
          <w:sz w:val="24"/>
          <w:szCs w:val="24"/>
          <w:lang w:eastAsia="zh-CN"/>
        </w:rPr>
        <w:t>公告（邀请书）</w:t>
      </w:r>
      <w:r>
        <w:rPr>
          <w:rFonts w:hint="eastAsia" w:ascii="宋体" w:hAnsi="宋体" w:eastAsia="宋体" w:cs="宋体"/>
          <w:color w:val="auto"/>
          <w:sz w:val="24"/>
          <w:szCs w:val="24"/>
        </w:rPr>
        <w:t>；</w:t>
      </w:r>
    </w:p>
    <w:p w14:paraId="0A484A84">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(2)供应商须知；</w:t>
      </w:r>
    </w:p>
    <w:p w14:paraId="18676411">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(3)采购</w:t>
      </w:r>
      <w:r>
        <w:rPr>
          <w:rFonts w:hint="eastAsia" w:ascii="宋体" w:hAnsi="宋体" w:eastAsia="宋体" w:cs="宋体"/>
          <w:color w:val="auto"/>
          <w:sz w:val="24"/>
          <w:szCs w:val="24"/>
          <w:lang w:eastAsia="zh-CN"/>
        </w:rPr>
        <w:t>需求</w:t>
      </w:r>
      <w:r>
        <w:rPr>
          <w:rFonts w:hint="eastAsia" w:ascii="宋体" w:hAnsi="宋体" w:eastAsia="宋体" w:cs="宋体"/>
          <w:color w:val="auto"/>
          <w:sz w:val="24"/>
          <w:szCs w:val="24"/>
        </w:rPr>
        <w:t>；</w:t>
      </w:r>
    </w:p>
    <w:p w14:paraId="25EB9043">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(4)评审方法；</w:t>
      </w:r>
    </w:p>
    <w:p w14:paraId="6EDF967F">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(5)合同</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w:t>
      </w:r>
    </w:p>
    <w:p w14:paraId="4EDCC432">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(6)响应文件格式；</w:t>
      </w:r>
    </w:p>
    <w:p w14:paraId="1E4D4A01">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(7)在磋商过程中由采购单位发出的澄清和补充文件等。</w:t>
      </w:r>
    </w:p>
    <w:p w14:paraId="0D62599C">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4F6A8AC5">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2.2磋商文件的澄清</w:t>
      </w:r>
      <w:r>
        <w:rPr>
          <w:rFonts w:hint="eastAsia" w:hAnsi="宋体" w:cs="宋体"/>
          <w:b/>
          <w:color w:val="auto"/>
          <w:sz w:val="24"/>
          <w:szCs w:val="24"/>
          <w:lang w:val="en-US" w:eastAsia="zh-CN"/>
        </w:rPr>
        <w:t>和修改</w:t>
      </w:r>
    </w:p>
    <w:p w14:paraId="6E8B6A03">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2.2.1供应商应仔细阅读和检查磋商文件的全部内容。供应商若对磋商文件有任何疑问，均应在响应文件递交截止时间5日前提问。采购单位对供应商所要求澄清的内容均予以答复（答复中不包括问题的来源）。必要时，采购单位将组织相关专家召开答疑会，并向所有供应商公布澄清文件。澄清文件作为磋商文件的组成部分，对供应商具有同等约束作用。</w:t>
      </w:r>
    </w:p>
    <w:p w14:paraId="6FA4FCD9">
      <w:pPr>
        <w:pStyle w:val="11"/>
        <w:pageBreakBefore w:val="0"/>
        <w:kinsoku/>
        <w:overflowPunct/>
        <w:autoSpaceDE/>
        <w:autoSpaceDN/>
        <w:bidi w:val="0"/>
        <w:spacing w:line="400" w:lineRule="exact"/>
        <w:ind w:firstLine="460" w:firstLineChars="202"/>
        <w:jc w:val="left"/>
        <w:rPr>
          <w:rFonts w:hint="eastAsia" w:ascii="宋体" w:hAnsi="宋体" w:eastAsia="宋体" w:cs="宋体"/>
          <w:color w:val="auto"/>
          <w:sz w:val="24"/>
          <w:szCs w:val="24"/>
        </w:rPr>
      </w:pPr>
      <w:r>
        <w:rPr>
          <w:rFonts w:hint="eastAsia" w:ascii="宋体" w:hAnsi="宋体" w:eastAsia="宋体" w:cs="宋体"/>
          <w:color w:val="auto"/>
          <w:spacing w:val="-6"/>
          <w:sz w:val="24"/>
          <w:szCs w:val="24"/>
        </w:rPr>
        <w:t>2.2.2</w:t>
      </w:r>
      <w:r>
        <w:rPr>
          <w:rFonts w:hint="eastAsia" w:ascii="宋体" w:hAnsi="宋体" w:eastAsia="宋体" w:cs="宋体"/>
          <w:color w:val="auto"/>
          <w:sz w:val="24"/>
          <w:szCs w:val="24"/>
        </w:rPr>
        <w:t>供应商在本项目采购公告期限届满之日起</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个工作日内未对磋商文件提出异议的，采购单位将视其为同意。在规定的时间后就磋商文件内容提出的质疑将不予受理。</w:t>
      </w:r>
    </w:p>
    <w:p w14:paraId="00F4D7BE">
      <w:pPr>
        <w:pStyle w:val="11"/>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.2.3</w:t>
      </w:r>
      <w:r>
        <w:rPr>
          <w:rFonts w:hint="eastAsia" w:ascii="宋体" w:hAnsi="宋体" w:eastAsia="宋体" w:cs="宋体"/>
          <w:color w:val="auto"/>
          <w:spacing w:val="-6"/>
          <w:sz w:val="24"/>
          <w:szCs w:val="24"/>
        </w:rPr>
        <w:t>采购单位可以对已发出的磋商文件进行必要的澄清或者修改。</w:t>
      </w:r>
      <w:r>
        <w:rPr>
          <w:rFonts w:hint="eastAsia" w:ascii="宋体" w:hAnsi="宋体" w:eastAsia="宋体" w:cs="宋体"/>
          <w:color w:val="auto"/>
          <w:sz w:val="24"/>
          <w:szCs w:val="24"/>
        </w:rPr>
        <w:t>澄清或者修改</w:t>
      </w:r>
      <w:r>
        <w:rPr>
          <w:rFonts w:hint="eastAsia" w:ascii="宋体" w:hAnsi="宋体" w:eastAsia="宋体" w:cs="宋体"/>
          <w:color w:val="auto"/>
          <w:spacing w:val="-6"/>
          <w:sz w:val="24"/>
          <w:szCs w:val="24"/>
        </w:rPr>
        <w:t>的内容可能影响响应文件编制的，采购单位将在响应文件递交截止时间</w:t>
      </w:r>
      <w:r>
        <w:rPr>
          <w:rFonts w:hint="eastAsia" w:ascii="宋体" w:hAnsi="宋体" w:eastAsia="宋体" w:cs="宋体"/>
          <w:color w:val="auto"/>
          <w:spacing w:val="-6"/>
          <w:sz w:val="24"/>
          <w:szCs w:val="24"/>
          <w:lang w:val="en-US" w:eastAsia="zh-CN"/>
        </w:rPr>
        <w:t>5</w:t>
      </w:r>
      <w:r>
        <w:rPr>
          <w:rFonts w:hint="eastAsia" w:ascii="宋体" w:hAnsi="宋体" w:eastAsia="宋体" w:cs="宋体"/>
          <w:color w:val="auto"/>
          <w:spacing w:val="-6"/>
          <w:sz w:val="24"/>
          <w:szCs w:val="24"/>
        </w:rPr>
        <w:t>日</w:t>
      </w:r>
      <w:r>
        <w:rPr>
          <w:rFonts w:hint="eastAsia" w:ascii="宋体" w:hAnsi="宋体" w:cs="宋体"/>
          <w:color w:val="auto"/>
          <w:spacing w:val="-6"/>
          <w:sz w:val="24"/>
          <w:szCs w:val="24"/>
          <w:lang w:val="en-US" w:eastAsia="zh-CN"/>
        </w:rPr>
        <w:t>前</w:t>
      </w:r>
      <w:r>
        <w:rPr>
          <w:rFonts w:hint="eastAsia" w:ascii="宋体" w:hAnsi="宋体" w:eastAsia="宋体" w:cs="宋体"/>
          <w:color w:val="auto"/>
          <w:spacing w:val="-6"/>
          <w:sz w:val="24"/>
          <w:szCs w:val="24"/>
        </w:rPr>
        <w:t>通知所有</w:t>
      </w:r>
      <w:r>
        <w:rPr>
          <w:rFonts w:hint="eastAsia" w:ascii="宋体" w:hAnsi="宋体" w:eastAsia="宋体" w:cs="宋体"/>
          <w:color w:val="auto"/>
          <w:spacing w:val="-6"/>
          <w:sz w:val="24"/>
          <w:szCs w:val="24"/>
          <w:lang w:eastAsia="zh-CN"/>
        </w:rPr>
        <w:t>获取</w:t>
      </w:r>
      <w:r>
        <w:rPr>
          <w:rFonts w:hint="eastAsia" w:ascii="宋体" w:hAnsi="宋体" w:eastAsia="宋体" w:cs="宋体"/>
          <w:color w:val="auto"/>
          <w:spacing w:val="-6"/>
          <w:sz w:val="24"/>
          <w:szCs w:val="24"/>
        </w:rPr>
        <w:t xml:space="preserve">磋商文件的供应商。 </w:t>
      </w:r>
    </w:p>
    <w:p w14:paraId="15A0941F">
      <w:pPr>
        <w:pStyle w:val="11"/>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2.4</w:t>
      </w:r>
      <w:r>
        <w:rPr>
          <w:rFonts w:hint="eastAsia" w:ascii="宋体" w:hAnsi="宋体" w:eastAsia="宋体" w:cs="宋体"/>
          <w:color w:val="auto"/>
          <w:spacing w:val="-6"/>
          <w:sz w:val="24"/>
          <w:szCs w:val="24"/>
        </w:rPr>
        <w:t>澄清或者修改的内容是磋商文件的组成部分，将向所有供应商公布澄清或者修改文件，澄清或者修改文件对供应商具有约束力。</w:t>
      </w:r>
    </w:p>
    <w:p w14:paraId="3B408796">
      <w:pPr>
        <w:pStyle w:val="11"/>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2.5</w:t>
      </w:r>
      <w:r>
        <w:rPr>
          <w:rFonts w:hint="eastAsia" w:ascii="宋体" w:hAnsi="宋体" w:eastAsia="宋体" w:cs="宋体"/>
          <w:color w:val="auto"/>
          <w:spacing w:val="-6"/>
          <w:sz w:val="24"/>
          <w:szCs w:val="24"/>
        </w:rPr>
        <w:t>为使供应商有充足的时间对磋商文件的修改部分进行研究，采购单位可适当推迟响应文件截止期，并通知所有</w:t>
      </w:r>
      <w:r>
        <w:rPr>
          <w:rFonts w:hint="eastAsia" w:ascii="宋体" w:hAnsi="宋体" w:eastAsia="宋体" w:cs="宋体"/>
          <w:color w:val="auto"/>
          <w:spacing w:val="-6"/>
          <w:sz w:val="24"/>
          <w:szCs w:val="24"/>
          <w:lang w:eastAsia="zh-CN"/>
        </w:rPr>
        <w:t>获取</w:t>
      </w:r>
      <w:r>
        <w:rPr>
          <w:rFonts w:hint="eastAsia" w:ascii="宋体" w:hAnsi="宋体" w:eastAsia="宋体" w:cs="宋体"/>
          <w:color w:val="auto"/>
          <w:spacing w:val="-6"/>
          <w:sz w:val="24"/>
          <w:szCs w:val="24"/>
        </w:rPr>
        <w:t>磋商文件的供应商。</w:t>
      </w:r>
    </w:p>
    <w:p w14:paraId="3C36482D">
      <w:pPr>
        <w:pStyle w:val="11"/>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2.6</w:t>
      </w:r>
      <w:r>
        <w:rPr>
          <w:rFonts w:hint="eastAsia" w:ascii="宋体" w:hAnsi="宋体" w:eastAsia="宋体" w:cs="宋体"/>
          <w:color w:val="auto"/>
          <w:spacing w:val="-6"/>
          <w:sz w:val="24"/>
          <w:szCs w:val="24"/>
        </w:rPr>
        <w:t>供应商应注意及时</w:t>
      </w:r>
      <w:r>
        <w:rPr>
          <w:rFonts w:hint="eastAsia" w:ascii="宋体" w:hAnsi="宋体" w:eastAsia="宋体" w:cs="宋体"/>
          <w:color w:val="auto"/>
          <w:spacing w:val="-6"/>
          <w:sz w:val="24"/>
          <w:szCs w:val="24"/>
          <w:lang w:eastAsia="zh-CN"/>
        </w:rPr>
        <w:t>接收</w:t>
      </w:r>
      <w:r>
        <w:rPr>
          <w:rFonts w:hint="eastAsia" w:ascii="宋体" w:hAnsi="宋体" w:eastAsia="宋体" w:cs="宋体"/>
          <w:color w:val="auto"/>
          <w:spacing w:val="-6"/>
          <w:sz w:val="24"/>
          <w:szCs w:val="24"/>
        </w:rPr>
        <w:t>发布的澄清或修改通知，</w:t>
      </w:r>
      <w:r>
        <w:rPr>
          <w:rFonts w:hint="eastAsia" w:ascii="宋体" w:hAnsi="宋体" w:cs="宋体"/>
          <w:color w:val="auto"/>
          <w:spacing w:val="-6"/>
          <w:sz w:val="24"/>
          <w:szCs w:val="24"/>
          <w:lang w:val="en-US" w:eastAsia="zh-CN"/>
        </w:rPr>
        <w:t>具体</w:t>
      </w:r>
      <w:r>
        <w:rPr>
          <w:rFonts w:hint="eastAsia" w:ascii="宋体" w:hAnsi="宋体" w:eastAsia="宋体" w:cs="宋体"/>
          <w:color w:val="auto"/>
          <w:spacing w:val="-6"/>
          <w:sz w:val="24"/>
          <w:szCs w:val="24"/>
        </w:rPr>
        <w:t>形式</w:t>
      </w:r>
      <w:r>
        <w:rPr>
          <w:rFonts w:hint="eastAsia" w:ascii="宋体" w:hAnsi="宋体" w:eastAsia="宋体" w:cs="宋体"/>
          <w:color w:val="auto"/>
          <w:spacing w:val="-6"/>
          <w:sz w:val="24"/>
          <w:szCs w:val="24"/>
          <w:lang w:val="en-US" w:eastAsia="zh-CN"/>
        </w:rPr>
        <w:t>见</w:t>
      </w:r>
      <w:r>
        <w:rPr>
          <w:rFonts w:hint="eastAsia" w:ascii="宋体" w:hAnsi="宋体" w:eastAsia="宋体" w:cs="宋体"/>
          <w:color w:val="auto"/>
          <w:spacing w:val="-6"/>
          <w:sz w:val="24"/>
          <w:szCs w:val="24"/>
        </w:rPr>
        <w:t>供应商须知前附表规定</w:t>
      </w:r>
      <w:r>
        <w:rPr>
          <w:rFonts w:hint="eastAsia" w:ascii="宋体" w:hAnsi="宋体" w:cs="宋体"/>
          <w:color w:val="auto"/>
          <w:spacing w:val="-6"/>
          <w:sz w:val="24"/>
          <w:szCs w:val="24"/>
          <w:lang w:eastAsia="zh-CN"/>
        </w:rPr>
        <w:t>，</w:t>
      </w:r>
      <w:r>
        <w:rPr>
          <w:rFonts w:hint="eastAsia" w:ascii="宋体" w:hAnsi="宋体" w:eastAsia="宋体" w:cs="宋体"/>
          <w:color w:val="auto"/>
          <w:spacing w:val="-6"/>
          <w:sz w:val="24"/>
          <w:szCs w:val="24"/>
        </w:rPr>
        <w:t>因供应商原因未及时获知澄清、修改或补充内容而导致的任何后果将由供应商自行承担。</w:t>
      </w:r>
    </w:p>
    <w:p w14:paraId="3CCD6A8C">
      <w:pPr>
        <w:pStyle w:val="3"/>
        <w:pageBreakBefore w:val="0"/>
        <w:kinsoku/>
        <w:overflowPunct/>
        <w:autoSpaceDE/>
        <w:autoSpaceDN/>
        <w:bidi w:val="0"/>
        <w:spacing w:line="400" w:lineRule="exact"/>
        <w:rPr>
          <w:rFonts w:hint="eastAsia" w:ascii="宋体" w:hAnsi="宋体" w:eastAsia="宋体" w:cs="宋体"/>
          <w:color w:val="auto"/>
        </w:rPr>
      </w:pPr>
      <w:bookmarkStart w:id="28" w:name="_Toc293736055"/>
      <w:bookmarkStart w:id="29" w:name="_Toc446599312"/>
      <w:bookmarkStart w:id="30" w:name="_Toc293738993"/>
      <w:bookmarkStart w:id="31" w:name="_Toc293736012"/>
      <w:bookmarkStart w:id="32" w:name="_Toc13231"/>
      <w:bookmarkStart w:id="33" w:name="_Toc1735"/>
      <w:r>
        <w:rPr>
          <w:rFonts w:hint="eastAsia" w:ascii="宋体" w:hAnsi="宋体" w:eastAsia="宋体" w:cs="宋体"/>
          <w:color w:val="auto"/>
        </w:rPr>
        <w:t>三、响应文件的编制</w:t>
      </w:r>
      <w:bookmarkEnd w:id="28"/>
      <w:bookmarkEnd w:id="29"/>
      <w:bookmarkEnd w:id="30"/>
      <w:bookmarkEnd w:id="31"/>
      <w:bookmarkEnd w:id="32"/>
      <w:bookmarkEnd w:id="33"/>
    </w:p>
    <w:p w14:paraId="4A245E50">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3.1响应文件的语言</w:t>
      </w:r>
    </w:p>
    <w:p w14:paraId="2C610875">
      <w:pPr>
        <w:pStyle w:val="11"/>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3D1F74AF">
      <w:pPr>
        <w:pStyle w:val="18"/>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rPr>
        <w:t>3.2响应文件的构成</w:t>
      </w:r>
    </w:p>
    <w:p w14:paraId="664066C9">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供应商应按照</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文件的规定和要求编制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文件，具体内容详见第六章“</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文件格式”。供应商在</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和评审过程中做出的符合竞争性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文件要求的澄清、说明或补正，构成响应文件的组成部分。</w:t>
      </w:r>
    </w:p>
    <w:p w14:paraId="19127BA7">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3.3响应文件编制</w:t>
      </w:r>
    </w:p>
    <w:p w14:paraId="0E40B0C4">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3.3.1</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文件编制的具体要求见供应商须知前附表规定。</w:t>
      </w:r>
      <w:r>
        <w:rPr>
          <w:rFonts w:hint="eastAsia" w:ascii="宋体" w:hAnsi="宋体" w:eastAsia="宋体" w:cs="宋体"/>
          <w:color w:val="auto"/>
          <w:kern w:val="0"/>
          <w:sz w:val="24"/>
          <w:szCs w:val="24"/>
          <w:lang w:val="en-US" w:eastAsia="zh-CN"/>
        </w:rPr>
        <w:t>响应文件应按照磋商文件要求进行制作编制，并对其提交的响应文件的真实性、合法性承担法律责任。保证目录清晰、内容完整。响应文件各类证件须与磋商供应商注册登记资料相一致。</w:t>
      </w:r>
    </w:p>
    <w:p w14:paraId="1F7A9878">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3.3.2响应文件应当对磋商文件有关</w:t>
      </w:r>
      <w:r>
        <w:rPr>
          <w:rFonts w:hint="eastAsia" w:ascii="宋体" w:hAnsi="宋体" w:eastAsia="宋体" w:cs="宋体"/>
          <w:b/>
          <w:bCs/>
          <w:color w:val="auto"/>
          <w:kern w:val="0"/>
          <w:sz w:val="24"/>
          <w:szCs w:val="24"/>
          <w:highlight w:val="none"/>
          <w:lang w:val="en-US" w:eastAsia="zh-CN"/>
        </w:rPr>
        <w:t>服务要求、合同条件、投标有效期、响应保证金、投标报价、响应文件密封、响应文件签署盖章、响应文件格式等</w:t>
      </w:r>
      <w:r>
        <w:rPr>
          <w:rFonts w:hint="eastAsia" w:ascii="宋体" w:hAnsi="宋体" w:eastAsia="宋体" w:cs="宋体"/>
          <w:color w:val="auto"/>
          <w:kern w:val="0"/>
          <w:sz w:val="24"/>
          <w:szCs w:val="24"/>
          <w:lang w:val="en-US" w:eastAsia="zh-CN"/>
        </w:rPr>
        <w:t>实质性内容作出响应。响应文件满足磋商文件实质性要求的基础上，可以提出比磋商文件要求更有利于采购人的承诺。</w:t>
      </w:r>
    </w:p>
    <w:p w14:paraId="1FC0917F">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3.3.3</w:t>
      </w:r>
      <w:r>
        <w:rPr>
          <w:rFonts w:hint="eastAsia" w:ascii="宋体" w:hAnsi="宋体" w:eastAsia="宋体" w:cs="宋体"/>
          <w:color w:val="auto"/>
          <w:kern w:val="0"/>
          <w:sz w:val="24"/>
          <w:szCs w:val="24"/>
        </w:rPr>
        <w:t>供应商提交的响应文件以及供应商与采购代理机构和采购人就有关</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的所有来往函电均应使用中文。供应商提交的支持文件和印刷的文献可以使用别的语言，但其相应内容必须附有中文翻译文本，在解释响应文件时以翻译文本为主。</w:t>
      </w:r>
    </w:p>
    <w:p w14:paraId="0207E608">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3.3.4</w:t>
      </w:r>
      <w:r>
        <w:rPr>
          <w:rFonts w:hint="eastAsia" w:ascii="宋体" w:hAnsi="宋体" w:eastAsia="宋体" w:cs="宋体"/>
          <w:color w:val="auto"/>
          <w:kern w:val="0"/>
          <w:sz w:val="24"/>
          <w:szCs w:val="24"/>
        </w:rPr>
        <w:t>供应商应认真阅读、并充分理解本文件的全部内容（包括所有的澄清、修改等内容），承诺并履行</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文件中各项条款规定及要求。</w:t>
      </w:r>
    </w:p>
    <w:p w14:paraId="3ABD6552">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3.3.5</w:t>
      </w:r>
      <w:r>
        <w:rPr>
          <w:rFonts w:hint="eastAsia" w:ascii="宋体" w:hAnsi="宋体" w:eastAsia="宋体" w:cs="宋体"/>
          <w:color w:val="auto"/>
          <w:kern w:val="0"/>
          <w:sz w:val="24"/>
          <w:szCs w:val="24"/>
        </w:rPr>
        <w:t>响应文件必须按</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文件的全部内容，包括所有的澄清、修改等通知及附件进行编制。</w:t>
      </w:r>
    </w:p>
    <w:p w14:paraId="3EBE8823">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3.3.6</w:t>
      </w:r>
      <w:r>
        <w:rPr>
          <w:rFonts w:hint="eastAsia" w:ascii="宋体" w:hAnsi="宋体" w:eastAsia="宋体" w:cs="宋体"/>
          <w:color w:val="auto"/>
          <w:kern w:val="0"/>
          <w:sz w:val="24"/>
          <w:szCs w:val="24"/>
        </w:rPr>
        <w:t>如因供应商只填写和提供了</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文件要求的部分内容和附件，而给评审造成困难，其可能导致的结果和责任由供应商自行承担。</w:t>
      </w:r>
    </w:p>
    <w:p w14:paraId="7C8051DA">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供应商必须保证响应文件所提供的全部资料真实可靠，并接受采购单位对其中任何资料进一步核实的要求。</w:t>
      </w:r>
    </w:p>
    <w:p w14:paraId="3230849E">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rPr>
        <w:t>3.4</w:t>
      </w:r>
      <w:r>
        <w:rPr>
          <w:rFonts w:hint="eastAsia" w:ascii="宋体" w:hAnsi="宋体" w:eastAsia="宋体" w:cs="宋体"/>
          <w:b/>
          <w:color w:val="auto"/>
          <w:sz w:val="24"/>
          <w:szCs w:val="24"/>
          <w:lang w:eastAsia="zh-CN"/>
        </w:rPr>
        <w:t>投标报价</w:t>
      </w:r>
      <w:r>
        <w:rPr>
          <w:rFonts w:hint="eastAsia" w:ascii="宋体" w:hAnsi="宋体" w:eastAsia="宋体" w:cs="宋体"/>
          <w:b/>
          <w:color w:val="auto"/>
          <w:sz w:val="24"/>
          <w:szCs w:val="24"/>
        </w:rPr>
        <w:t>要求</w:t>
      </w:r>
    </w:p>
    <w:p w14:paraId="11F47B1D">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3.4.1供应商所提供的</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均以人民币报价。</w:t>
      </w:r>
    </w:p>
    <w:p w14:paraId="0AD63EDF">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3.4.2供商应按照“第三章 采购需求”规定的</w:t>
      </w:r>
      <w:r>
        <w:rPr>
          <w:rFonts w:hint="eastAsia" w:ascii="宋体" w:hAnsi="宋体" w:eastAsia="宋体" w:cs="宋体"/>
          <w:color w:val="auto"/>
          <w:kern w:val="0"/>
          <w:sz w:val="24"/>
          <w:szCs w:val="24"/>
          <w:highlight w:val="none"/>
        </w:rPr>
        <w:t>服务内容、责任范围以及合同条款进</w:t>
      </w:r>
      <w:r>
        <w:rPr>
          <w:rFonts w:hint="eastAsia" w:ascii="宋体" w:hAnsi="宋体" w:eastAsia="宋体" w:cs="宋体"/>
          <w:color w:val="auto"/>
          <w:kern w:val="0"/>
          <w:sz w:val="24"/>
          <w:szCs w:val="24"/>
        </w:rPr>
        <w:t>行报价。并按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报价一览表</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eastAsia="zh-CN"/>
        </w:rPr>
        <w:t>报价明细表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rPr>
        <w:t>确定的格式报出分项价格和总价。</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应为优惠后的报价，任何报价上的优惠应体现在各分项报价中，国家规定的各项税费不得优惠。</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中不得包含磋商文件要求以外的内容，否则，在评审时不予核减。</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中也不得缺漏磋商文件所要求的内容，否则，在评审时将被视为已包含在</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w:t>
      </w:r>
    </w:p>
    <w:p w14:paraId="4FA9CBC9">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3.4.3《</w:t>
      </w:r>
      <w:r>
        <w:rPr>
          <w:rFonts w:hint="eastAsia" w:ascii="宋体" w:hAnsi="宋体" w:eastAsia="宋体" w:cs="宋体"/>
          <w:color w:val="auto"/>
          <w:kern w:val="0"/>
          <w:sz w:val="24"/>
          <w:szCs w:val="24"/>
          <w:lang w:eastAsia="zh-CN"/>
        </w:rPr>
        <w:t>报价明细表</w:t>
      </w:r>
      <w:r>
        <w:rPr>
          <w:rFonts w:hint="eastAsia" w:ascii="宋体" w:hAnsi="宋体" w:eastAsia="宋体" w:cs="宋体"/>
          <w:color w:val="auto"/>
          <w:kern w:val="0"/>
          <w:sz w:val="24"/>
          <w:szCs w:val="24"/>
        </w:rPr>
        <w:t>》填写时应响应下列要求：</w:t>
      </w:r>
    </w:p>
    <w:p w14:paraId="11DA3D89">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（1）对于报价免费的项目应标明“免费”；</w:t>
      </w:r>
    </w:p>
    <w:p w14:paraId="69E57046">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（2）所有根据合同或其它原因应由供应商支付的税款和其它应交纳的费用都要包括在供应商提交的磋商总价中；</w:t>
      </w:r>
    </w:p>
    <w:p w14:paraId="7E23226B">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3.4.5每一种</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只允许有一个报价，否则将被视为无效投标。</w:t>
      </w:r>
    </w:p>
    <w:p w14:paraId="5B36CB54">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3.4.6供应商所报的总价在合同执行过程中是固定不变的，不得以任何理由予以变更。</w:t>
      </w:r>
    </w:p>
    <w:p w14:paraId="319447E5">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3.4.7供应商的最后</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超过项目采购预算的为无效报价。</w:t>
      </w:r>
    </w:p>
    <w:p w14:paraId="036411DA">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3.4.8本项目预算金额见供应商须知前附表。采购人设有最高限价的，供应商的报价不得超过最高限价，否则其投标无效，最高限价在供应商须知前附表中载明。</w:t>
      </w:r>
    </w:p>
    <w:p w14:paraId="32BA589A">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3.5备选方案</w:t>
      </w:r>
    </w:p>
    <w:p w14:paraId="3C38D538">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3.5.1供应商应按</w:t>
      </w:r>
      <w:r>
        <w:rPr>
          <w:rFonts w:hint="eastAsia" w:ascii="宋体" w:hAnsi="宋体" w:eastAsia="宋体" w:cs="宋体"/>
          <w:color w:val="auto"/>
          <w:kern w:val="0"/>
          <w:sz w:val="24"/>
          <w:szCs w:val="24"/>
          <w:highlight w:val="none"/>
        </w:rPr>
        <w:t>照供应商须知前附表要求编制磋商备选方案，否则将被视为无效响应文件。</w:t>
      </w:r>
    </w:p>
    <w:p w14:paraId="07BFEFF2">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eastAsia="zh-CN"/>
        </w:rPr>
        <w:t>响应保证金</w:t>
      </w:r>
    </w:p>
    <w:p w14:paraId="53CFE791">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eastAsia="zh-CN"/>
        </w:rPr>
        <w:t>响应保证金</w:t>
      </w:r>
      <w:r>
        <w:rPr>
          <w:rFonts w:hint="eastAsia" w:ascii="宋体" w:hAnsi="宋体" w:eastAsia="宋体" w:cs="宋体"/>
          <w:color w:val="auto"/>
          <w:kern w:val="0"/>
          <w:sz w:val="24"/>
          <w:szCs w:val="24"/>
          <w:highlight w:val="none"/>
        </w:rPr>
        <w:t>收取要求见供应商须知前附表，</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应在</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内有效。</w:t>
      </w:r>
    </w:p>
    <w:p w14:paraId="25C31A83">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.2对于未按规定提交</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的，即到响应文件递交截止时间前未提交</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，提交的</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形式、数量和有效期不满足</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文件要求的，其投标无效。</w:t>
      </w:r>
    </w:p>
    <w:p w14:paraId="71837450">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.3未成交的供应商，其</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在成交公告公布后5个工作日内退还；成交供应商的</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,在成交供应商与采购人签订合同后5个工作日内退还；如有质疑或投诉，采购代理机构将在质疑和投诉处理完毕后5个工作日内。</w:t>
      </w:r>
    </w:p>
    <w:p w14:paraId="60EB468F">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有下列情形之一的，保证金将被没收：</w:t>
      </w:r>
    </w:p>
    <w:p w14:paraId="3A5F111B">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供应商在</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内无正当理由撤回其</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响应文件或者在</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过程中无正当理由退出</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活动；</w:t>
      </w:r>
    </w:p>
    <w:p w14:paraId="3FC51F69">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（2）为谋取最终成交，</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供应商在整个</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过程中提供的相关文件被确认是虚假的、不真实的；</w:t>
      </w:r>
    </w:p>
    <w:p w14:paraId="2F780EAF">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（3）参加</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的供应商之间被证实有串通、欺诈行为或者恶意进行竞争，影响采购人合法权益的。</w:t>
      </w:r>
    </w:p>
    <w:p w14:paraId="04060FE7">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（4）整个采购活动中采取不正当手段诋毁、排挤其他供应商的；</w:t>
      </w:r>
    </w:p>
    <w:p w14:paraId="185DF6DD">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（5）与采购人相关工作人员恶意串通的；</w:t>
      </w:r>
    </w:p>
    <w:p w14:paraId="15FC97D3">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（6）向采购人相关工作人员行贿或者提供其他不正当利益的；</w:t>
      </w:r>
    </w:p>
    <w:p w14:paraId="5F89D288">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（7）成交供应商在规定期限内未能根据规定签订合同；</w:t>
      </w:r>
    </w:p>
    <w:p w14:paraId="62D6BE43">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（8）成交供应商在规定期限内未能根据规定交纳履约保证金。</w:t>
      </w:r>
    </w:p>
    <w:p w14:paraId="7BFD5185">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eastAsia="zh-CN"/>
        </w:rPr>
        <w:t>投标有效期</w:t>
      </w:r>
    </w:p>
    <w:p w14:paraId="1F785394">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详</w:t>
      </w:r>
      <w:r>
        <w:rPr>
          <w:rFonts w:hint="eastAsia" w:ascii="宋体" w:hAnsi="宋体" w:eastAsia="宋体" w:cs="宋体"/>
          <w:color w:val="auto"/>
          <w:kern w:val="0"/>
          <w:sz w:val="24"/>
          <w:szCs w:val="24"/>
          <w:highlight w:val="none"/>
        </w:rPr>
        <w:t>见供应商须知前附表</w:t>
      </w:r>
      <w:r>
        <w:rPr>
          <w:rFonts w:hint="eastAsia" w:ascii="宋体" w:hAnsi="宋体" w:eastAsia="宋体" w:cs="宋体"/>
          <w:color w:val="auto"/>
          <w:kern w:val="0"/>
          <w:sz w:val="24"/>
          <w:szCs w:val="24"/>
        </w:rPr>
        <w:t>。供应商响应文件中有效期不足的将被视为无效文件。</w:t>
      </w:r>
    </w:p>
    <w:p w14:paraId="40327400">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.2 有效期内供应商未经采购结果确认</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达成一致不得改变其磋商最后报价及承诺的全部义务。</w:t>
      </w:r>
    </w:p>
    <w:p w14:paraId="1D634E90">
      <w:pPr>
        <w:pStyle w:val="3"/>
        <w:pageBreakBefore w:val="0"/>
        <w:kinsoku/>
        <w:overflowPunct/>
        <w:autoSpaceDE/>
        <w:autoSpaceDN/>
        <w:bidi w:val="0"/>
        <w:spacing w:line="400" w:lineRule="exact"/>
        <w:rPr>
          <w:rFonts w:hint="eastAsia" w:ascii="宋体" w:hAnsi="宋体" w:eastAsia="宋体" w:cs="宋体"/>
          <w:color w:val="auto"/>
        </w:rPr>
      </w:pPr>
      <w:bookmarkStart w:id="34" w:name="_Toc293736013"/>
      <w:bookmarkStart w:id="35" w:name="_Toc293738994"/>
      <w:bookmarkStart w:id="36" w:name="_Toc446599313"/>
      <w:bookmarkStart w:id="37" w:name="_Toc293736056"/>
      <w:r>
        <w:rPr>
          <w:rFonts w:hint="eastAsia" w:ascii="宋体" w:hAnsi="宋体" w:eastAsia="宋体" w:cs="宋体"/>
          <w:color w:val="auto"/>
        </w:rPr>
        <w:t>四、响应文件的递交</w:t>
      </w:r>
      <w:bookmarkEnd w:id="34"/>
      <w:bookmarkEnd w:id="35"/>
      <w:bookmarkEnd w:id="36"/>
      <w:bookmarkEnd w:id="37"/>
    </w:p>
    <w:p w14:paraId="7F7DB68F">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响应文件的递交</w:t>
      </w:r>
    </w:p>
    <w:p w14:paraId="6A9EDA7C">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.1供应商应当在供应商须知前附表规定的</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截止时间前，将生成的已加密的响应文件成功提交至供应商须知前附表规定地点。</w:t>
      </w:r>
    </w:p>
    <w:p w14:paraId="42CEE13B">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.2因</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文件的修改推迟</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截止日期的，供应商以网站上发布的更正公告中修改的时间提交响应文件。</w:t>
      </w:r>
    </w:p>
    <w:p w14:paraId="15CAE07D">
      <w:pPr>
        <w:pStyle w:val="18"/>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.3供应商应充分考虑提交响应文件的不可预见因素，未在</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截止时间前完成提交的，在</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截止时间后将无法提交，未完成上传的响应文件视为逾期送达，将被拒绝。</w:t>
      </w:r>
    </w:p>
    <w:p w14:paraId="30050912">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color w:val="auto"/>
          <w:kern w:val="0"/>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响应文件的修改和撤回</w:t>
      </w:r>
    </w:p>
    <w:p w14:paraId="59A0AC6A">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1在递交截止时间之前，供应商可对已提交的响应文件进行补充、修改。补充或者修改响应文件的，应当先撤回已提交的响应文件，在“新疆政采云投标客户端”补充、修改响应文件并签章、加密后重新提交，以递交截止时间前最后一次上传的响应文件为有效响应文件。撤回响应文件进行补充、修改，在递交截止时间前未重新提交的，视为撤回响应文件。</w:t>
      </w:r>
    </w:p>
    <w:p w14:paraId="67476DCF">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.2在递交截止时间之后，供应商不得对其提交的响应文件做任何补充、修改。</w:t>
      </w:r>
    </w:p>
    <w:p w14:paraId="1479DF0D">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.3在递交截止时间之前，供应商可对已提交的响应文件进行撤回。在递交截止时间之后，供应商不得撤回响应文件。</w:t>
      </w:r>
    </w:p>
    <w:p w14:paraId="3E21E4EE">
      <w:pPr>
        <w:pStyle w:val="3"/>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val="en-US" w:eastAsia="zh-CN"/>
        </w:rPr>
        <w:t>五</w:t>
      </w:r>
      <w:r>
        <w:rPr>
          <w:rFonts w:hint="eastAsia" w:ascii="宋体" w:hAnsi="宋体" w:eastAsia="宋体" w:cs="宋体"/>
          <w:color w:val="auto"/>
        </w:rPr>
        <w:t>、</w:t>
      </w:r>
      <w:r>
        <w:rPr>
          <w:rFonts w:hint="eastAsia" w:ascii="宋体" w:hAnsi="宋体" w:eastAsia="宋体" w:cs="宋体"/>
          <w:color w:val="auto"/>
          <w:lang w:eastAsia="zh-CN"/>
        </w:rPr>
        <w:t>开启响应文件</w:t>
      </w:r>
    </w:p>
    <w:p w14:paraId="189981F6">
      <w:pPr>
        <w:pStyle w:val="18"/>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5.会议仪式</w:t>
      </w:r>
    </w:p>
    <w:p w14:paraId="04ABB024">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5.1</w:t>
      </w:r>
      <w:r>
        <w:rPr>
          <w:rFonts w:hint="eastAsia" w:ascii="宋体" w:hAnsi="宋体" w:eastAsia="宋体" w:cs="宋体"/>
          <w:b w:val="0"/>
          <w:bCs/>
          <w:color w:val="auto"/>
          <w:sz w:val="24"/>
          <w:szCs w:val="24"/>
          <w:lang w:val="en-US" w:eastAsia="zh-CN"/>
        </w:rPr>
        <w:t>本次项目采用不见面开标，具体流程见供应商须知前附表规定。</w:t>
      </w:r>
    </w:p>
    <w:p w14:paraId="18FD1165">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5.2会议异议</w:t>
      </w:r>
    </w:p>
    <w:p w14:paraId="33979C0F">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供应商代表对会议过程和会议记录有异议的，以及认为采购人、采购代理机构相关工作人员有需要回避的情形，应当场提出询问或者回避申请，采购人、采购代理机构对</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代表提出询问或者回避申请，当场作出答复，并制作记录。</w:t>
      </w:r>
    </w:p>
    <w:p w14:paraId="7E8CEB55">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5.3在政府采购活动中，采购人员及相关人员与</w:t>
      </w:r>
      <w:r>
        <w:rPr>
          <w:rFonts w:hint="eastAsia" w:ascii="宋体" w:hAnsi="宋体" w:cs="宋体"/>
          <w:b/>
          <w:bCs/>
          <w:color w:val="auto"/>
          <w:sz w:val="24"/>
          <w:szCs w:val="24"/>
          <w:lang w:val="en-US" w:eastAsia="zh-CN"/>
        </w:rPr>
        <w:t>供应商</w:t>
      </w:r>
      <w:r>
        <w:rPr>
          <w:rFonts w:hint="eastAsia" w:ascii="宋体" w:hAnsi="宋体" w:eastAsia="宋体" w:cs="宋体"/>
          <w:b/>
          <w:bCs/>
          <w:color w:val="auto"/>
          <w:sz w:val="24"/>
          <w:szCs w:val="24"/>
          <w:lang w:val="en-US" w:eastAsia="zh-CN"/>
        </w:rPr>
        <w:t>有下列利害关系之一的，应当回避：</w:t>
      </w:r>
    </w:p>
    <w:p w14:paraId="1987C742">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（一）参加采购活动前3年内与</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存在劳动关系；</w:t>
      </w:r>
    </w:p>
    <w:p w14:paraId="3AA70416">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（二）参加采购活动前3年内担任</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的董事、监事；</w:t>
      </w:r>
    </w:p>
    <w:p w14:paraId="1635EB6C">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（三）参加采购活动前3年内是</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的控股股东或者实际控制人；</w:t>
      </w:r>
    </w:p>
    <w:p w14:paraId="06BE6A31">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（四）与</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的法定代表人或者负责人有夫妻、直系血亲、三代以内旁系血亲或者近姻亲关系；</w:t>
      </w:r>
    </w:p>
    <w:p w14:paraId="40AA435A">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（五）与</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有其他可能影响政府采购活动公平、公正进行的关系。</w:t>
      </w:r>
    </w:p>
    <w:p w14:paraId="23619E13">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认为采购人员及相关人员与其他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有利害关系的，可以向采购人或者采购代理机构书面提出回避申请，并说明理由。采购人或者采购代理机构应当及时询问被申请回避人员，有利害关系的被申请回避人员应当回避。</w:t>
      </w:r>
    </w:p>
    <w:p w14:paraId="4E609E4D">
      <w:pPr>
        <w:pStyle w:val="3"/>
        <w:pageBreakBefore w:val="0"/>
        <w:kinsoku/>
        <w:overflowPunct/>
        <w:autoSpaceDE/>
        <w:autoSpaceDN/>
        <w:bidi w:val="0"/>
        <w:spacing w:line="40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六</w:t>
      </w:r>
      <w:r>
        <w:rPr>
          <w:rFonts w:hint="eastAsia" w:ascii="宋体" w:hAnsi="宋体" w:eastAsia="宋体" w:cs="宋体"/>
          <w:color w:val="auto"/>
        </w:rPr>
        <w:t>、</w:t>
      </w:r>
      <w:r>
        <w:rPr>
          <w:rFonts w:hint="eastAsia" w:ascii="宋体" w:hAnsi="宋体" w:eastAsia="宋体" w:cs="宋体"/>
          <w:color w:val="auto"/>
          <w:lang w:eastAsia="zh-CN"/>
        </w:rPr>
        <w:t>磋商和评审</w:t>
      </w:r>
    </w:p>
    <w:p w14:paraId="6F081D90">
      <w:pPr>
        <w:pageBreakBefore w:val="0"/>
        <w:widowControl/>
        <w:kinsoku/>
        <w:overflowPunct/>
        <w:autoSpaceDE/>
        <w:autoSpaceDN/>
        <w:bidi w:val="0"/>
        <w:spacing w:line="4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6.1</w:t>
      </w:r>
      <w:r>
        <w:rPr>
          <w:rFonts w:hint="eastAsia" w:ascii="宋体" w:hAnsi="宋体" w:eastAsia="宋体" w:cs="宋体"/>
          <w:b/>
          <w:color w:val="auto"/>
          <w:sz w:val="24"/>
          <w:szCs w:val="24"/>
        </w:rPr>
        <w:t>磋商小组的组成</w:t>
      </w:r>
    </w:p>
    <w:p w14:paraId="3B6C443C">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w:t>
      </w:r>
      <w:r>
        <w:rPr>
          <w:rFonts w:hint="eastAsia" w:ascii="宋体" w:hAnsi="宋体" w:eastAsia="宋体" w:cs="宋体"/>
          <w:color w:val="auto"/>
          <w:kern w:val="0"/>
          <w:sz w:val="24"/>
          <w:szCs w:val="24"/>
        </w:rPr>
        <w:t>.1除</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须知前附表规定外，</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小组由采购人代表和评审专家共3人以上单数组成，其中评审专家的人数不得少于</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小组成员总数的2/3。</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小组成员由采购人依法组建,采购人代表不得担任</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小组组长,不得以评审专家身份参加采购项目的评审。</w:t>
      </w:r>
    </w:p>
    <w:p w14:paraId="3047220F">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6.1.2</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小组应以科学、公正的态度参加评审工作并推荐成交候选人。评审专家在评审过程中不受任何干扰，独立、负责地提出评审意见，并对自己的评审意见承担责任。</w:t>
      </w:r>
    </w:p>
    <w:p w14:paraId="3B35B710">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6.1.3</w:t>
      </w:r>
      <w:r>
        <w:rPr>
          <w:rFonts w:hint="eastAsia" w:ascii="宋体" w:hAnsi="宋体" w:eastAsia="宋体" w:cs="宋体"/>
          <w:color w:val="auto"/>
          <w:kern w:val="0"/>
          <w:sz w:val="24"/>
          <w:szCs w:val="24"/>
        </w:rPr>
        <w:t>回避情形</w:t>
      </w:r>
    </w:p>
    <w:p w14:paraId="4433AD18">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小组成员有下列情形之一的，应当回避：</w:t>
      </w:r>
    </w:p>
    <w:p w14:paraId="1A4B2BBB">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（1）参加采购活动前三年内,与供应商存在劳动关系,或者担任过供应商的董事、监事,或者是供应商的控股股东或实际控制人；</w:t>
      </w:r>
    </w:p>
    <w:p w14:paraId="6744CC52">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（2）与供应商的法定代表人或者负责人有夫妻、直系血亲、三代以内旁系血亲或者近姻亲关系；</w:t>
      </w:r>
    </w:p>
    <w:p w14:paraId="7A69FB02">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（3）与供应商有其他可能影响政府采购活动公平、公正进行的关系。</w:t>
      </w:r>
    </w:p>
    <w:p w14:paraId="7F5A02A0">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小组发现本人与参加本项目的供应商有利害关系的,应当主动提出回避。采购人或者采购代理机构发现</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小组与参加采购活动的供应商有利害关系的,应当要求其回避。</w:t>
      </w:r>
    </w:p>
    <w:p w14:paraId="07A5E0BC">
      <w:pPr>
        <w:pStyle w:val="11"/>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6.2</w:t>
      </w:r>
      <w:r>
        <w:rPr>
          <w:rFonts w:hint="eastAsia" w:ascii="宋体" w:hAnsi="宋体" w:eastAsia="宋体" w:cs="宋体"/>
          <w:b/>
          <w:bCs/>
          <w:color w:val="auto"/>
          <w:kern w:val="0"/>
          <w:sz w:val="24"/>
          <w:szCs w:val="24"/>
        </w:rPr>
        <w:t>磋商方法</w:t>
      </w:r>
    </w:p>
    <w:p w14:paraId="50274B68">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bookmarkStart w:id="38" w:name="_Toc293738996"/>
      <w:bookmarkStart w:id="39" w:name="_Toc446599315"/>
      <w:bookmarkStart w:id="40" w:name="_Toc21441"/>
      <w:bookmarkStart w:id="41" w:name="_Toc10373"/>
      <w:bookmarkStart w:id="42" w:name="_Toc293736015"/>
      <w:bookmarkStart w:id="43" w:name="_Toc293736058"/>
      <w:r>
        <w:rPr>
          <w:rFonts w:hint="eastAsia" w:ascii="宋体" w:hAnsi="宋体" w:eastAsia="宋体" w:cs="宋体"/>
          <w:color w:val="auto"/>
          <w:sz w:val="24"/>
          <w:szCs w:val="24"/>
          <w:lang w:val="en-US" w:eastAsia="zh-CN"/>
        </w:rPr>
        <w:t>6.2.1初步评审</w:t>
      </w:r>
    </w:p>
    <w:p w14:paraId="7BF3E1FF">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磋商小组将按照磋商文件第四章“评审办法”确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磋商文件的要求，只有资格和符合性评审合格且实质性响应磋商文件要求的供应商才可通过初步评审。</w:t>
      </w:r>
    </w:p>
    <w:p w14:paraId="5889B9D8">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6.2.2磋商</w:t>
      </w:r>
    </w:p>
    <w:p w14:paraId="214659B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磋商小组按照第四章“评审办法”规定的评审程序和评审标准对供应商递交的响应文件进行评审和比较，第四章“评审办法”没有规定的内容，不作为评审依据。</w:t>
      </w:r>
    </w:p>
    <w:p w14:paraId="5252030C">
      <w:pPr>
        <w:pStyle w:val="3"/>
        <w:pageBreakBefore w:val="0"/>
        <w:kinsoku/>
        <w:overflowPunct/>
        <w:autoSpaceDE/>
        <w:autoSpaceDN/>
        <w:bidi w:val="0"/>
        <w:spacing w:line="400" w:lineRule="exact"/>
        <w:rPr>
          <w:rFonts w:hint="eastAsia" w:ascii="宋体" w:hAnsi="宋体" w:eastAsia="宋体" w:cs="宋体"/>
          <w:color w:val="auto"/>
          <w:lang w:eastAsia="zh-CN"/>
        </w:rPr>
      </w:pPr>
      <w:bookmarkStart w:id="44" w:name="_Toc456291348"/>
      <w:bookmarkStart w:id="45" w:name="_Toc456291254"/>
      <w:bookmarkStart w:id="46" w:name="_Toc456291274"/>
      <w:bookmarkStart w:id="47" w:name="_Toc29411"/>
      <w:bookmarkStart w:id="48" w:name="_Toc2"/>
      <w:bookmarkStart w:id="49" w:name="_Toc456291473"/>
      <w:bookmarkStart w:id="50" w:name="_Toc456291159"/>
      <w:bookmarkStart w:id="51" w:name="_Toc456291531"/>
      <w:r>
        <w:rPr>
          <w:rFonts w:hint="eastAsia" w:ascii="宋体" w:hAnsi="宋体" w:eastAsia="宋体" w:cs="宋体"/>
          <w:color w:val="auto"/>
          <w:lang w:eastAsia="zh-CN"/>
        </w:rPr>
        <w:t>七、推荐成交供应商</w:t>
      </w:r>
      <w:bookmarkEnd w:id="44"/>
      <w:bookmarkEnd w:id="45"/>
      <w:bookmarkEnd w:id="46"/>
      <w:bookmarkEnd w:id="47"/>
      <w:bookmarkEnd w:id="48"/>
      <w:bookmarkEnd w:id="49"/>
      <w:bookmarkEnd w:id="50"/>
      <w:bookmarkEnd w:id="51"/>
    </w:p>
    <w:p w14:paraId="10959002">
      <w:pPr>
        <w:pStyle w:val="11"/>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7.1推荐成交供应商</w:t>
      </w:r>
    </w:p>
    <w:p w14:paraId="56526152">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7.1.1磋商小组应当根据综合评分情况，按照评审得分由高到低的顺序推荐3名成交候选人，并编写评审报告。</w:t>
      </w:r>
    </w:p>
    <w:p w14:paraId="28F5148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050839A">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7.1.3成交供应商确定后，采购代理机构将在供应商须知前附表规定的媒介发布成交公告，公告期为1个工作日，同时向成交供应商发出《成交通知书》。《成交通知书》是合同的组成部分,对成交供应商和采购人具有同等法律效力。</w:t>
      </w:r>
    </w:p>
    <w:p w14:paraId="4942B7DE">
      <w:pPr>
        <w:pStyle w:val="3"/>
        <w:pageBreakBefore w:val="0"/>
        <w:kinsoku/>
        <w:overflowPunct/>
        <w:autoSpaceDE/>
        <w:autoSpaceDN/>
        <w:bidi w:val="0"/>
        <w:spacing w:line="400" w:lineRule="exact"/>
        <w:rPr>
          <w:rFonts w:hint="eastAsia" w:ascii="宋体" w:hAnsi="宋体" w:eastAsia="宋体" w:cs="宋体"/>
          <w:b/>
          <w:color w:val="auto"/>
          <w:sz w:val="28"/>
          <w:szCs w:val="28"/>
          <w:highlight w:val="green"/>
        </w:rPr>
      </w:pPr>
      <w:r>
        <w:rPr>
          <w:rFonts w:hint="eastAsia" w:ascii="宋体" w:hAnsi="宋体" w:eastAsia="宋体" w:cs="宋体"/>
          <w:color w:val="auto"/>
          <w:lang w:eastAsia="zh-CN"/>
        </w:rPr>
        <w:t>八</w:t>
      </w:r>
      <w:r>
        <w:rPr>
          <w:rFonts w:hint="eastAsia" w:ascii="宋体" w:hAnsi="宋体" w:eastAsia="宋体" w:cs="宋体"/>
          <w:color w:val="auto"/>
        </w:rPr>
        <w:t>、</w:t>
      </w:r>
      <w:r>
        <w:rPr>
          <w:rFonts w:hint="eastAsia" w:ascii="宋体" w:hAnsi="宋体" w:eastAsia="宋体" w:cs="宋体"/>
          <w:color w:val="auto"/>
          <w:lang w:eastAsia="zh-CN"/>
        </w:rPr>
        <w:t>签订</w:t>
      </w:r>
      <w:r>
        <w:rPr>
          <w:rFonts w:hint="eastAsia" w:ascii="宋体" w:hAnsi="宋体" w:eastAsia="宋体" w:cs="宋体"/>
          <w:color w:val="auto"/>
        </w:rPr>
        <w:t>合同</w:t>
      </w:r>
      <w:bookmarkEnd w:id="38"/>
      <w:bookmarkEnd w:id="39"/>
      <w:bookmarkEnd w:id="40"/>
      <w:bookmarkEnd w:id="41"/>
      <w:bookmarkEnd w:id="42"/>
      <w:bookmarkEnd w:id="43"/>
    </w:p>
    <w:p w14:paraId="3C3F9D02">
      <w:pPr>
        <w:pStyle w:val="11"/>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8.1 签订合同</w:t>
      </w:r>
    </w:p>
    <w:p w14:paraId="04B35E06">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8.1.1采购人应在成交通知书发出后30日内，根据成交结果和磋商文件、响应文件及有关补遗文件和确认磋商备忘录拟定的合同文本与成交供应商签订项目合同。</w:t>
      </w:r>
    </w:p>
    <w:p w14:paraId="3F4F8537">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8.1.2采购人应按磋商文件要求和中标人的响应文件承诺订立书面合同，不得超出磋商文件和中标人响应文件的范围，也不得再另行订立背离合同实质性内容的其他协议。</w:t>
      </w:r>
    </w:p>
    <w:p w14:paraId="1C90AA6A">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8.1.3采购人应在《中标通知书》发出之日起30天内与中标人签订政府采购合同。签订政府采购合同后7个工作日内，采购人应将政府采购合同副本报政府采购监管部门备案。</w:t>
      </w:r>
    </w:p>
    <w:p w14:paraId="21460DCF">
      <w:pPr>
        <w:pStyle w:val="11"/>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8.1.4采购人如需追加与合同标的相同的货物或服务，在不改变合同其他条款的前提下，提交追加合同的申请报经财政部门审核后，可与中标人签订补充合同，但所有补充合同的采购金额不得超过原合同金额的百分之十。</w:t>
      </w:r>
    </w:p>
    <w:p w14:paraId="076DFAD1">
      <w:pPr>
        <w:pStyle w:val="3"/>
        <w:pageBreakBefore w:val="0"/>
        <w:kinsoku/>
        <w:overflowPunct/>
        <w:autoSpaceDE/>
        <w:autoSpaceDN/>
        <w:bidi w:val="0"/>
        <w:spacing w:line="400" w:lineRule="exact"/>
        <w:rPr>
          <w:rFonts w:hint="eastAsia" w:ascii="宋体" w:hAnsi="宋体" w:eastAsia="宋体" w:cs="宋体"/>
          <w:color w:val="auto"/>
          <w:lang w:eastAsia="zh-CN"/>
        </w:rPr>
      </w:pPr>
      <w:bookmarkStart w:id="52" w:name="_Toc7269"/>
      <w:bookmarkStart w:id="53" w:name="_Toc456291350"/>
      <w:bookmarkStart w:id="54" w:name="_Toc456291161"/>
      <w:bookmarkStart w:id="55" w:name="_Toc456291533"/>
      <w:bookmarkStart w:id="56" w:name="_Toc5694"/>
      <w:bookmarkStart w:id="57" w:name="_Toc456291256"/>
      <w:bookmarkStart w:id="58" w:name="_Toc456291475"/>
      <w:bookmarkStart w:id="59" w:name="_Toc456291276"/>
      <w:r>
        <w:rPr>
          <w:rFonts w:hint="eastAsia" w:ascii="宋体" w:hAnsi="宋体" w:eastAsia="宋体" w:cs="宋体"/>
          <w:color w:val="auto"/>
          <w:lang w:eastAsia="zh-CN"/>
        </w:rPr>
        <w:t>九、</w:t>
      </w:r>
      <w:bookmarkEnd w:id="52"/>
      <w:bookmarkEnd w:id="53"/>
      <w:bookmarkEnd w:id="54"/>
      <w:bookmarkEnd w:id="55"/>
      <w:bookmarkEnd w:id="56"/>
      <w:bookmarkEnd w:id="57"/>
      <w:bookmarkEnd w:id="58"/>
      <w:bookmarkEnd w:id="59"/>
      <w:r>
        <w:rPr>
          <w:rFonts w:hint="eastAsia" w:ascii="宋体" w:hAnsi="宋体" w:eastAsia="宋体" w:cs="宋体"/>
          <w:color w:val="auto"/>
          <w:lang w:eastAsia="zh-CN"/>
        </w:rPr>
        <w:t>询问、质疑、投诉</w:t>
      </w:r>
    </w:p>
    <w:p w14:paraId="641623A8">
      <w:pPr>
        <w:pStyle w:val="11"/>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bookmarkStart w:id="60" w:name="_Toc25716"/>
      <w:bookmarkStart w:id="61" w:name="_Toc456291476"/>
      <w:bookmarkStart w:id="62" w:name="_Toc456291351"/>
      <w:bookmarkStart w:id="63" w:name="_Toc456291534"/>
      <w:bookmarkStart w:id="64" w:name="_Toc11180"/>
      <w:bookmarkStart w:id="65" w:name="_Toc456291277"/>
      <w:bookmarkStart w:id="66" w:name="_Toc456291257"/>
      <w:bookmarkStart w:id="67" w:name="_Toc456291162"/>
      <w:r>
        <w:rPr>
          <w:rFonts w:hint="eastAsia" w:ascii="宋体" w:hAnsi="宋体" w:eastAsia="宋体" w:cs="宋体"/>
          <w:b/>
          <w:bCs/>
          <w:color w:val="auto"/>
          <w:kern w:val="0"/>
          <w:sz w:val="24"/>
          <w:szCs w:val="24"/>
          <w:lang w:val="en-US" w:eastAsia="zh-CN"/>
        </w:rPr>
        <w:t>9.1</w:t>
      </w:r>
      <w:r>
        <w:rPr>
          <w:rFonts w:hint="eastAsia" w:ascii="宋体" w:hAnsi="宋体" w:eastAsia="宋体" w:cs="宋体"/>
          <w:b/>
          <w:bCs/>
          <w:color w:val="auto"/>
          <w:kern w:val="0"/>
          <w:sz w:val="24"/>
          <w:szCs w:val="24"/>
          <w:lang w:val="zh-CN" w:eastAsia="zh-CN"/>
        </w:rPr>
        <w:t>在线询问、质疑、投诉</w:t>
      </w:r>
    </w:p>
    <w:p w14:paraId="7CA4C0C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w:t>
      </w:r>
    </w:p>
    <w:p w14:paraId="782EBD39">
      <w:pPr>
        <w:pStyle w:val="11"/>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.2供应商询问</w:t>
      </w:r>
    </w:p>
    <w:p w14:paraId="34AAAC3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240DED">
      <w:pPr>
        <w:pStyle w:val="11"/>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.3供应商质疑</w:t>
      </w:r>
    </w:p>
    <w:p w14:paraId="3F896EC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.1提出质疑的供应商应当是参与所质疑项目采购活动的供应商。潜在供应商已依法获取其可质疑的</w:t>
      </w:r>
      <w:r>
        <w:rPr>
          <w:rFonts w:hint="eastAsia" w:ascii="宋体" w:hAnsi="宋体" w:cs="宋体"/>
          <w:color w:val="auto"/>
          <w:sz w:val="24"/>
          <w:lang w:val="en-US" w:eastAsia="zh-CN"/>
        </w:rPr>
        <w:t>磋商文件</w:t>
      </w:r>
      <w:r>
        <w:rPr>
          <w:rFonts w:hint="eastAsia" w:ascii="宋体" w:hAnsi="宋体" w:eastAsia="宋体" w:cs="宋体"/>
          <w:color w:val="auto"/>
          <w:sz w:val="24"/>
          <w:lang w:val="en-US" w:eastAsia="zh-CN"/>
        </w:rPr>
        <w:t>的，可以对该文件提出质疑。</w:t>
      </w:r>
    </w:p>
    <w:p w14:paraId="67DE084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.2供应商认为</w:t>
      </w:r>
      <w:r>
        <w:rPr>
          <w:rFonts w:hint="eastAsia" w:ascii="宋体" w:hAnsi="宋体" w:cs="宋体"/>
          <w:color w:val="auto"/>
          <w:sz w:val="24"/>
          <w:lang w:val="en-US" w:eastAsia="zh-CN"/>
        </w:rPr>
        <w:t>磋商文件</w:t>
      </w:r>
      <w:r>
        <w:rPr>
          <w:rFonts w:hint="eastAsia" w:ascii="宋体" w:hAnsi="宋体" w:eastAsia="宋体" w:cs="宋体"/>
          <w:color w:val="auto"/>
          <w:sz w:val="24"/>
          <w:lang w:val="en-US" w:eastAsia="zh-CN"/>
        </w:rPr>
        <w:t>、采购过程和中标结果使自己的权益受到损害的，可以在知道或者应知其权益受到损害之日起七个工作日内，以书面形式向采购人或者采购代理机构提出质疑，否则，采购人或者采购代理机构不予受理：</w:t>
      </w:r>
    </w:p>
    <w:p w14:paraId="4AAF132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（1）对</w:t>
      </w:r>
      <w:r>
        <w:rPr>
          <w:rFonts w:hint="eastAsia" w:ascii="宋体" w:hAnsi="宋体" w:cs="宋体"/>
          <w:color w:val="auto"/>
          <w:sz w:val="24"/>
          <w:lang w:val="en-US" w:eastAsia="zh-CN"/>
        </w:rPr>
        <w:t>磋商文件</w:t>
      </w:r>
      <w:r>
        <w:rPr>
          <w:rFonts w:hint="eastAsia" w:ascii="宋体" w:hAnsi="宋体" w:eastAsia="宋体" w:cs="宋体"/>
          <w:color w:val="auto"/>
          <w:sz w:val="24"/>
          <w:lang w:val="en-US" w:eastAsia="zh-CN"/>
        </w:rPr>
        <w:t>提出质疑的，质疑期限为供应商获得</w:t>
      </w:r>
      <w:r>
        <w:rPr>
          <w:rFonts w:hint="eastAsia" w:ascii="宋体" w:hAnsi="宋体" w:cs="宋体"/>
          <w:color w:val="auto"/>
          <w:sz w:val="24"/>
          <w:lang w:val="en-US" w:eastAsia="zh-CN"/>
        </w:rPr>
        <w:t>磋商文件</w:t>
      </w:r>
      <w:r>
        <w:rPr>
          <w:rFonts w:hint="eastAsia" w:ascii="宋体" w:hAnsi="宋体" w:eastAsia="宋体" w:cs="宋体"/>
          <w:color w:val="auto"/>
          <w:sz w:val="24"/>
          <w:lang w:val="en-US" w:eastAsia="zh-CN"/>
        </w:rPr>
        <w:t>之日或者</w:t>
      </w:r>
      <w:r>
        <w:rPr>
          <w:rFonts w:hint="eastAsia" w:ascii="宋体" w:hAnsi="宋体" w:cs="宋体"/>
          <w:color w:val="auto"/>
          <w:sz w:val="24"/>
          <w:lang w:val="en-US" w:eastAsia="zh-CN"/>
        </w:rPr>
        <w:t>磋商文件</w:t>
      </w:r>
      <w:r>
        <w:rPr>
          <w:rFonts w:hint="eastAsia" w:ascii="宋体" w:hAnsi="宋体" w:eastAsia="宋体" w:cs="宋体"/>
          <w:color w:val="auto"/>
          <w:sz w:val="24"/>
          <w:lang w:val="en-US" w:eastAsia="zh-CN"/>
        </w:rPr>
        <w:t>公告期限届满之日起计算。</w:t>
      </w:r>
    </w:p>
    <w:p w14:paraId="01837F7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（2）对采购过程提出质疑的，质疑期限为各采购程序环节结束之日起计算。</w:t>
      </w:r>
    </w:p>
    <w:p w14:paraId="3337279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（3）对采购结果提出质疑的，质疑期限自采购结果公告期限届满之日起计算。</w:t>
      </w:r>
    </w:p>
    <w:p w14:paraId="27E1BCA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.3.3</w:t>
      </w:r>
      <w:r>
        <w:rPr>
          <w:rFonts w:hint="eastAsia" w:ascii="宋体" w:hAnsi="宋体" w:eastAsia="宋体" w:cs="宋体"/>
          <w:color w:val="auto"/>
          <w:sz w:val="24"/>
          <w:lang w:val="en-US" w:eastAsia="zh-CN"/>
        </w:rPr>
        <w:t>供应商提出质疑应当提交质疑函和必要的证明材料。质疑函应当包括下列内容：</w:t>
      </w:r>
    </w:p>
    <w:p w14:paraId="5511685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eastAsia="zh-CN"/>
        </w:rPr>
        <w:t>）供应商的姓名或者名称、地址、邮编、联系人及联系电话；</w:t>
      </w:r>
    </w:p>
    <w:p w14:paraId="33C8693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eastAsia="zh-CN"/>
        </w:rPr>
        <w:t>）质疑项目的名称、编号；</w:t>
      </w:r>
    </w:p>
    <w:p w14:paraId="569CDDF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eastAsia="zh-CN"/>
        </w:rPr>
        <w:t>）具体、明确的质疑事项和与质疑事项相关的请求；</w:t>
      </w:r>
    </w:p>
    <w:p w14:paraId="12B59338">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eastAsia="zh-CN"/>
        </w:rPr>
        <w:t>）事实依据；</w:t>
      </w:r>
    </w:p>
    <w:p w14:paraId="575D08A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eastAsia="zh-CN"/>
        </w:rPr>
        <w:t>）必要的法律依据；</w:t>
      </w:r>
    </w:p>
    <w:p w14:paraId="30CA2ED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）提出质疑的日期。</w:t>
      </w:r>
    </w:p>
    <w:p w14:paraId="5DCAF7D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1A8EC03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质疑函范本及制作说明详见附件1。</w:t>
      </w:r>
    </w:p>
    <w:p w14:paraId="5745DF5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9.3.4对同一采购程序环节的质疑，供应商须在法定质疑期内一次性提出。</w:t>
      </w:r>
    </w:p>
    <w:p w14:paraId="2A08C7E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新疆政府采购网的“其他公告”栏目公开质疑答复，答复内容应当完整。质疑函作为附件上传。</w:t>
      </w:r>
    </w:p>
    <w:p w14:paraId="266A9EB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.6询问或者质疑事项可能影响采购结果的，采购人应当暂停签订合同，已经签订合同的，应当中止履行合同。</w:t>
      </w:r>
    </w:p>
    <w:p w14:paraId="46B168EE">
      <w:pPr>
        <w:pStyle w:val="11"/>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.4供应商投诉</w:t>
      </w:r>
    </w:p>
    <w:p w14:paraId="146AEAC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9.4.1质疑供应商对采购人、采购代理机构的答复不满意或者采购人、采购代理机构未在规定的时间内作出答复的，可以在答复期满后十五个工作日内向同级政府采购监督管理部门提出投诉。</w:t>
      </w:r>
    </w:p>
    <w:p w14:paraId="5EEB2F6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w:t>
      </w:r>
      <w:r>
        <w:rPr>
          <w:rFonts w:hint="eastAsia" w:ascii="宋体" w:hAnsi="宋体" w:eastAsia="宋体" w:cs="宋体"/>
          <w:color w:val="auto"/>
          <w:sz w:val="24"/>
          <w:lang w:val="zh-CN" w:eastAsia="zh-CN"/>
        </w:rPr>
        <w:t>2</w:t>
      </w:r>
      <w:r>
        <w:rPr>
          <w:rFonts w:hint="eastAsia" w:ascii="宋体" w:hAnsi="宋体" w:eastAsia="宋体" w:cs="宋体"/>
          <w:color w:val="auto"/>
          <w:sz w:val="24"/>
          <w:lang w:val="en-US" w:eastAsia="zh-CN"/>
        </w:rPr>
        <w:t>供应商投诉的事项不得超出已质疑事项的范围，基于质疑答复内容提出的投诉事项除外。</w:t>
      </w:r>
    </w:p>
    <w:p w14:paraId="53568AE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9.4.3供应商投诉应当有明确的请求和必要的证明材料。</w:t>
      </w:r>
    </w:p>
    <w:p w14:paraId="61B7F2E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9.4.4 以联合体形式参加政府采购活动的，其投诉应当由组成联合体的所有供应商共同提出。</w:t>
      </w:r>
    </w:p>
    <w:p w14:paraId="7EB7832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投诉书范本及制作说明详见附件2。</w:t>
      </w:r>
    </w:p>
    <w:p w14:paraId="645FC403">
      <w:pPr>
        <w:pStyle w:val="3"/>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eastAsia="zh-CN"/>
        </w:rPr>
        <w:t>十、</w:t>
      </w:r>
      <w:bookmarkEnd w:id="60"/>
      <w:bookmarkEnd w:id="61"/>
      <w:bookmarkEnd w:id="62"/>
      <w:bookmarkEnd w:id="63"/>
      <w:bookmarkEnd w:id="64"/>
      <w:bookmarkEnd w:id="65"/>
      <w:bookmarkEnd w:id="66"/>
      <w:bookmarkEnd w:id="67"/>
      <w:r>
        <w:rPr>
          <w:rFonts w:hint="eastAsia" w:ascii="宋体" w:hAnsi="宋体" w:eastAsia="宋体" w:cs="宋体"/>
          <w:color w:val="auto"/>
          <w:lang w:eastAsia="zh-CN"/>
        </w:rPr>
        <w:t>纪律要求</w:t>
      </w:r>
    </w:p>
    <w:p w14:paraId="17308882">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10.1对采购人的纪律要求</w:t>
      </w:r>
    </w:p>
    <w:p w14:paraId="3AB90425">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采购人不得泄露磋商采购活动中应当保密的情况和资料，不得与供应商串通损害国家利益、社会公共利益或者他人合法权益。</w:t>
      </w:r>
    </w:p>
    <w:p w14:paraId="4CB21B34">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10.2对供应商的纪律要求</w:t>
      </w:r>
    </w:p>
    <w:p w14:paraId="55A3664A">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供应商不得相互串通或者与采购人串通，不得向采购人或者磋商小组成员行贿谋取成交，不得以他人名义参加磋商采购活动或者以其他方式弄虚作假骗取成交；供应商不得以任何方式干扰、影响评审工作。</w:t>
      </w:r>
    </w:p>
    <w:p w14:paraId="58EEFF87">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10.3对磋商小组成员的纪律要求</w:t>
      </w:r>
    </w:p>
    <w:p w14:paraId="4A35BF6D">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小组成员不得收受他人的财务或者其他好处，不得向他人透露对响应文件的评审和比较、候选成交供应商的推荐情况以及评审有关的其他情况。在磋商活动中，磋商小组成员应当客观、公正地履行职责，遵守职业道德，不得擅离职守、影响磋商工作的正常进行，不得使用第四章“评审办法”没有规定的评审因素和标准进行评审。</w:t>
      </w:r>
    </w:p>
    <w:p w14:paraId="638D64E1">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10.4对与磋商活动有关的工作人员的纪律要求</w:t>
      </w:r>
    </w:p>
    <w:p w14:paraId="2216AA5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与磋商活动有关的工作人员不得收受他人的财务或者其他好处，不得向他人透露对响应文件的评审和比较、候选成交供应商的推荐情况以及评审有关的其他情况。在磋商活动中，与磋商活动有关的工作人员不得擅离职守、影响磋商工作的正常进行。</w:t>
      </w:r>
      <w:r>
        <w:rPr>
          <w:rFonts w:hint="eastAsia" w:ascii="宋体" w:hAnsi="宋体" w:eastAsia="宋体" w:cs="宋体"/>
          <w:color w:val="auto"/>
          <w:kern w:val="2"/>
          <w:sz w:val="24"/>
          <w:szCs w:val="24"/>
          <w:lang w:val="en-US" w:eastAsia="zh-CN" w:bidi="ar-SA"/>
        </w:rPr>
        <w:t xml:space="preserve">  </w:t>
      </w:r>
    </w:p>
    <w:p w14:paraId="13D57BB4">
      <w:pPr>
        <w:spacing w:line="500" w:lineRule="exact"/>
        <w:jc w:val="center"/>
        <w:outlineLvl w:val="1"/>
        <w:rPr>
          <w:rFonts w:hint="eastAsia" w:ascii="宋体" w:hAnsi="宋体" w:eastAsia="宋体" w:cs="宋体"/>
          <w:b/>
          <w:color w:val="auto"/>
          <w:kern w:val="2"/>
          <w:sz w:val="32"/>
          <w:szCs w:val="28"/>
          <w:lang w:val="en-US" w:eastAsia="zh-CN" w:bidi="ar-SA"/>
        </w:rPr>
      </w:pPr>
      <w:bookmarkStart w:id="68" w:name="_Toc31537"/>
      <w:r>
        <w:rPr>
          <w:rFonts w:hint="eastAsia" w:ascii="宋体" w:hAnsi="宋体" w:eastAsia="宋体" w:cs="宋体"/>
          <w:b/>
          <w:color w:val="auto"/>
          <w:kern w:val="2"/>
          <w:sz w:val="32"/>
          <w:szCs w:val="28"/>
          <w:lang w:val="en-US" w:eastAsia="zh-CN" w:bidi="ar-SA"/>
        </w:rPr>
        <w:t>十一、采购项目需要落实的政府采购政策</w:t>
      </w:r>
      <w:bookmarkEnd w:id="68"/>
    </w:p>
    <w:p w14:paraId="6D89A31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F86EFDF">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 支持绿色发展</w:t>
      </w:r>
    </w:p>
    <w:p w14:paraId="220E9A8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lang w:val="en-US" w:eastAsia="zh-CN"/>
        </w:rPr>
        <w:t>供应商</w:t>
      </w:r>
      <w:r>
        <w:rPr>
          <w:rFonts w:hint="eastAsia" w:ascii="宋体" w:hAnsi="宋体" w:eastAsia="宋体" w:cs="宋体"/>
          <w:color w:val="auto"/>
          <w:sz w:val="24"/>
          <w:lang w:val="en-US" w:eastAsia="zh-CN"/>
        </w:rPr>
        <w:t>须按</w:t>
      </w:r>
      <w:r>
        <w:rPr>
          <w:rFonts w:hint="eastAsia" w:ascii="宋体" w:hAnsi="宋体" w:cs="宋体"/>
          <w:color w:val="auto"/>
          <w:sz w:val="24"/>
          <w:lang w:val="en-US" w:eastAsia="zh-CN"/>
        </w:rPr>
        <w:t>磋商文件</w:t>
      </w:r>
      <w:r>
        <w:rPr>
          <w:rFonts w:hint="eastAsia" w:ascii="宋体" w:hAnsi="宋体" w:eastAsia="宋体" w:cs="宋体"/>
          <w:color w:val="auto"/>
          <w:sz w:val="24"/>
          <w:lang w:val="en-US" w:eastAsia="zh-CN"/>
        </w:rPr>
        <w:t>要求提供相关产品认证证书。采购人拟采购的产品属于政府强制采购的节能产品品目清单范围的，</w:t>
      </w:r>
      <w:r>
        <w:rPr>
          <w:rFonts w:hint="eastAsia" w:ascii="宋体" w:hAnsi="宋体" w:cs="宋体"/>
          <w:color w:val="auto"/>
          <w:sz w:val="24"/>
          <w:lang w:val="en-US" w:eastAsia="zh-CN"/>
        </w:rPr>
        <w:t>供应商</w:t>
      </w:r>
      <w:r>
        <w:rPr>
          <w:rFonts w:hint="eastAsia" w:ascii="宋体" w:hAnsi="宋体" w:eastAsia="宋体" w:cs="宋体"/>
          <w:color w:val="auto"/>
          <w:sz w:val="24"/>
          <w:lang w:val="en-US" w:eastAsia="zh-CN"/>
        </w:rPr>
        <w:t>相应的投标产品未获得国家确定的认证机构出具的、处于有效期之内的节能产品认证证书的，</w:t>
      </w:r>
      <w:r>
        <w:rPr>
          <w:rFonts w:hint="eastAsia" w:ascii="宋体" w:hAnsi="宋体" w:eastAsia="宋体" w:cs="宋体"/>
          <w:b/>
          <w:bCs/>
          <w:i/>
          <w:iCs/>
          <w:color w:val="auto"/>
          <w:sz w:val="24"/>
          <w:lang w:val="en-US" w:eastAsia="zh-CN"/>
        </w:rPr>
        <w:t>投标无效</w:t>
      </w:r>
      <w:r>
        <w:rPr>
          <w:rFonts w:hint="eastAsia" w:ascii="宋体" w:hAnsi="宋体" w:eastAsia="宋体" w:cs="宋体"/>
          <w:color w:val="auto"/>
          <w:sz w:val="24"/>
          <w:lang w:val="en-US" w:eastAsia="zh-CN"/>
        </w:rPr>
        <w:t>。</w:t>
      </w:r>
    </w:p>
    <w:p w14:paraId="5F894D1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11.2.2 纳入政府采购管理的修缮、装修类项目采购建材的，鼓励采购单位将绿色建材性能、指标等作为实质性条件纳入采购文件和合同，具体性能指标要求参考相关绿色建材政府采购需求标准。</w:t>
      </w:r>
    </w:p>
    <w:p w14:paraId="2462675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5500E8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8D4E69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11.3支持中小企业发展</w:t>
      </w:r>
    </w:p>
    <w:p w14:paraId="7F2AE8B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11.3.1中小企业，是指在中华人民共和国境内依法设立，依据国务院批准的中小企业划分标准确定的中型企业、小型企业和微型企业，但与大企业的负责人为同一人，或者与大企业存在直接控股、管理关系的除外。</w:t>
      </w:r>
    </w:p>
    <w:p w14:paraId="771D15B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符合中小企业划分标准的个体工商户，在政府采购活动中视同中小企业。</w:t>
      </w:r>
    </w:p>
    <w:p w14:paraId="7841C00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11.3.2在政府采购活动中，</w:t>
      </w:r>
      <w:r>
        <w:rPr>
          <w:rFonts w:hint="eastAsia" w:ascii="宋体" w:hAnsi="宋体" w:cs="宋体"/>
          <w:color w:val="auto"/>
          <w:sz w:val="24"/>
          <w:lang w:val="en-US" w:eastAsia="zh-CN"/>
        </w:rPr>
        <w:t>供应商</w:t>
      </w:r>
      <w:r>
        <w:rPr>
          <w:rFonts w:hint="eastAsia" w:ascii="宋体" w:hAnsi="宋体" w:eastAsia="宋体" w:cs="宋体"/>
          <w:color w:val="auto"/>
          <w:sz w:val="24"/>
          <w:lang w:val="en-US" w:eastAsia="zh-CN"/>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sz w:val="24"/>
          <w:lang w:val="en-US" w:eastAsia="zh-CN"/>
        </w:rPr>
        <w:t>供应商</w:t>
      </w:r>
      <w:r>
        <w:rPr>
          <w:rFonts w:hint="eastAsia" w:ascii="宋体" w:hAnsi="宋体" w:eastAsia="宋体" w:cs="宋体"/>
          <w:color w:val="auto"/>
          <w:sz w:val="24"/>
          <w:lang w:val="en-US" w:eastAsia="zh-CN"/>
        </w:rPr>
        <w:t>提供的货物既有中小企业制造货物，也有大型企业制造货物的，不享受中小企业扶持政策。</w:t>
      </w:r>
    </w:p>
    <w:p w14:paraId="12B2783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以联合体形式参加政府采购活动，联合体各方均为中小企业的，联合体视同中小企业。其中，联合体各方均为小微企业的，联合体视同小微企业。</w:t>
      </w:r>
    </w:p>
    <w:p w14:paraId="12FA686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11.3.3对于未预留份额专门面向中小企业的政府采购货物项目，以及预留份额政府采购货物项目中的非预留部分标项，对小型和微</w:t>
      </w:r>
      <w:r>
        <w:rPr>
          <w:rFonts w:hint="eastAsia" w:ascii="宋体" w:hAnsi="宋体" w:eastAsia="宋体" w:cs="宋体"/>
          <w:color w:val="auto"/>
          <w:sz w:val="24"/>
          <w:highlight w:val="none"/>
          <w:lang w:val="en-US" w:eastAsia="zh-CN"/>
        </w:rPr>
        <w:t>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C0BA13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11.3.4符合《关于促进残疾人就业政府采购政策的通知》（财库〔2017〕141号）规定的条件并提供《残疾人福利性单位声明函》的残疾人福利性单位视同小型、微型企业；</w:t>
      </w:r>
    </w:p>
    <w:p w14:paraId="5794F668">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11.3.5符合《关于政府采购支持监狱企业发展有关问题的通知》（财库[</w:t>
      </w:r>
      <w:r>
        <w:rPr>
          <w:rFonts w:hint="eastAsia" w:ascii="宋体" w:hAnsi="宋体" w:eastAsia="宋体" w:cs="宋体"/>
          <w:color w:val="auto"/>
          <w:sz w:val="24"/>
          <w:lang w:val="en-US" w:eastAsia="zh-CN"/>
        </w:rPr>
        <w:t>2014]68号）规定的监狱企业并提供由省级以上监狱管理局、戒毒管理局（含新疆生产建设兵团）出具的属于监狱企业证明文件的，视同为小型、微型企业。</w:t>
      </w:r>
    </w:p>
    <w:p w14:paraId="5E73B05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11.3.6可享受中小企业扶持政策的</w:t>
      </w:r>
      <w:r>
        <w:rPr>
          <w:rFonts w:hint="eastAsia" w:ascii="宋体" w:hAnsi="宋体" w:cs="宋体"/>
          <w:color w:val="auto"/>
          <w:sz w:val="24"/>
          <w:lang w:val="en-US" w:eastAsia="zh-CN"/>
        </w:rPr>
        <w:t>供应商</w:t>
      </w:r>
      <w:r>
        <w:rPr>
          <w:rFonts w:hint="eastAsia" w:ascii="宋体" w:hAnsi="宋体" w:eastAsia="宋体" w:cs="宋体"/>
          <w:color w:val="auto"/>
          <w:sz w:val="24"/>
          <w:lang w:val="en-US" w:eastAsia="zh-CN"/>
        </w:rPr>
        <w:t>应按照</w:t>
      </w:r>
      <w:r>
        <w:rPr>
          <w:rFonts w:hint="eastAsia" w:ascii="宋体" w:hAnsi="宋体" w:cs="宋体"/>
          <w:color w:val="auto"/>
          <w:sz w:val="24"/>
          <w:lang w:val="en-US" w:eastAsia="zh-CN"/>
        </w:rPr>
        <w:t>磋商文件</w:t>
      </w:r>
      <w:r>
        <w:rPr>
          <w:rFonts w:hint="eastAsia" w:ascii="宋体" w:hAnsi="宋体" w:eastAsia="宋体" w:cs="宋体"/>
          <w:color w:val="auto"/>
          <w:sz w:val="24"/>
          <w:lang w:val="en-US" w:eastAsia="zh-CN"/>
        </w:rPr>
        <w:t>格式要求提供《中小企业声明函》，</w:t>
      </w:r>
      <w:r>
        <w:rPr>
          <w:rFonts w:hint="eastAsia" w:ascii="宋体" w:hAnsi="宋体" w:cs="宋体"/>
          <w:color w:val="auto"/>
          <w:sz w:val="24"/>
          <w:lang w:val="en-US" w:eastAsia="zh-CN"/>
        </w:rPr>
        <w:t>供应商</w:t>
      </w:r>
      <w:r>
        <w:rPr>
          <w:rFonts w:hint="eastAsia" w:ascii="宋体" w:hAnsi="宋体" w:eastAsia="宋体" w:cs="宋体"/>
          <w:color w:val="auto"/>
          <w:sz w:val="24"/>
          <w:lang w:val="en-US" w:eastAsia="zh-CN"/>
        </w:rPr>
        <w:t>提供的《中小企业声明函》与实际情况不符的，不享受中小企业扶持政策。声明内容不实的，属于提供虚假材料谋取中标、成交的，依法承担法律责任。</w:t>
      </w:r>
    </w:p>
    <w:p w14:paraId="0958FCE8">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11.3.7中小企业享受扶持政策获得政府采购合同的，小微企业不得将合同分包给大中型企业，中型企业不得将合同分包给大型企业。</w:t>
      </w:r>
    </w:p>
    <w:p w14:paraId="0B391D9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11.4支持创新发展</w:t>
      </w:r>
    </w:p>
    <w:p w14:paraId="121560F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11.4.1采购人优先采购被认定为首台套产品和“制造精品”的自主创新产品。</w:t>
      </w:r>
    </w:p>
    <w:p w14:paraId="0814A2A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0AEA44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11.5平等对待内外资企业和符合条件的破产重整企业</w:t>
      </w:r>
    </w:p>
    <w:p w14:paraId="1B7EEA9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平等对待内外资企业和符合条件的破产重整企业，切实保障企业公平竞争，平等维护企业的合法利益。</w:t>
      </w:r>
    </w:p>
    <w:p w14:paraId="26E669A6">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14:paraId="436E6106">
      <w:pPr>
        <w:pStyle w:val="3"/>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eastAsia="zh-CN"/>
        </w:rPr>
        <w:t>十</w:t>
      </w:r>
      <w:r>
        <w:rPr>
          <w:rFonts w:hint="eastAsia" w:ascii="宋体" w:hAnsi="宋体" w:eastAsia="宋体" w:cs="宋体"/>
          <w:color w:val="auto"/>
          <w:lang w:val="en-US" w:eastAsia="zh-CN"/>
        </w:rPr>
        <w:t>二</w:t>
      </w:r>
      <w:r>
        <w:rPr>
          <w:rFonts w:hint="eastAsia" w:ascii="宋体" w:hAnsi="宋体" w:eastAsia="宋体" w:cs="宋体"/>
          <w:color w:val="auto"/>
          <w:lang w:eastAsia="zh-CN"/>
        </w:rPr>
        <w:t>、需要补充的其他内容</w:t>
      </w:r>
    </w:p>
    <w:p w14:paraId="34255D35">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需要补充的其他内容：详见供应商须知前附表。</w:t>
      </w:r>
    </w:p>
    <w:p w14:paraId="2906CEC9">
      <w:pPr>
        <w:pStyle w:val="31"/>
        <w:ind w:left="0" w:leftChars="0" w:firstLine="0" w:firstLineChars="0"/>
        <w:rPr>
          <w:rFonts w:hint="eastAsia" w:ascii="宋体" w:hAnsi="宋体" w:eastAsia="宋体" w:cs="宋体"/>
          <w:color w:val="auto"/>
          <w:sz w:val="28"/>
          <w:highlight w:val="cyan"/>
        </w:rPr>
      </w:pPr>
    </w:p>
    <w:p w14:paraId="1A82EDD9">
      <w:pPr>
        <w:pStyle w:val="14"/>
        <w:rPr>
          <w:rFonts w:hint="eastAsia"/>
        </w:rPr>
      </w:pPr>
    </w:p>
    <w:p w14:paraId="4C6D98BA">
      <w:pPr>
        <w:pStyle w:val="79"/>
        <w:rPr>
          <w:rFonts w:hint="eastAsia" w:ascii="宋体" w:hAnsi="宋体" w:eastAsia="宋体" w:cs="宋体"/>
          <w:color w:val="auto"/>
          <w:sz w:val="24"/>
          <w:lang w:eastAsia="zh-CN"/>
        </w:rPr>
      </w:pPr>
      <w:r>
        <w:rPr>
          <w:rFonts w:hint="eastAsia" w:ascii="宋体" w:hAnsi="宋体" w:eastAsia="宋体" w:cs="宋体"/>
          <w:color w:val="auto"/>
          <w:sz w:val="24"/>
          <w:lang w:eastAsia="zh-CN"/>
        </w:rPr>
        <w:t>附件</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p>
    <w:p w14:paraId="2E1D7306">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质疑函范本</w:t>
      </w:r>
    </w:p>
    <w:p w14:paraId="7E1F4645">
      <w:pPr>
        <w:adjustRightInd w:val="0"/>
        <w:snapToGrid w:val="0"/>
        <w:spacing w:before="312" w:beforeLines="100"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一、质疑</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基本信息</w:t>
      </w:r>
    </w:p>
    <w:p w14:paraId="132C50B1">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dotted"/>
        </w:rPr>
        <w:t xml:space="preserve">                                                              </w:t>
      </w:r>
    </w:p>
    <w:p w14:paraId="004FCBE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14:paraId="6B0C2200">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14:paraId="3EB84005">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dotted"/>
        </w:rPr>
        <w:t xml:space="preserve">                                                                 </w:t>
      </w:r>
    </w:p>
    <w:p w14:paraId="2ECC8714">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14:paraId="028A02F5">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14:paraId="7FEA4D83">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二、质疑项目基本情况</w:t>
      </w:r>
    </w:p>
    <w:p w14:paraId="5CA55DB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14:paraId="292B166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0327DF4D">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名称：</w:t>
      </w:r>
      <w:r>
        <w:rPr>
          <w:rFonts w:hint="eastAsia" w:ascii="宋体" w:hAnsi="宋体" w:eastAsia="宋体" w:cs="宋体"/>
          <w:color w:val="auto"/>
          <w:sz w:val="24"/>
          <w:szCs w:val="24"/>
          <w:u w:val="dotted"/>
        </w:rPr>
        <w:t xml:space="preserve">                                                              </w:t>
      </w:r>
    </w:p>
    <w:p w14:paraId="7CF35BF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采购文件获取日期：</w:t>
      </w:r>
      <w:r>
        <w:rPr>
          <w:rFonts w:hint="eastAsia" w:ascii="宋体" w:hAnsi="宋体" w:eastAsia="宋体" w:cs="宋体"/>
          <w:color w:val="auto"/>
          <w:sz w:val="24"/>
          <w:szCs w:val="24"/>
          <w:u w:val="dotted"/>
        </w:rPr>
        <w:t xml:space="preserve">                                                        </w:t>
      </w:r>
    </w:p>
    <w:p w14:paraId="316D0671">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三、质疑事项具体内容</w:t>
      </w:r>
    </w:p>
    <w:p w14:paraId="5AFE2FE3">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质疑事项1：</w:t>
      </w:r>
      <w:r>
        <w:rPr>
          <w:rFonts w:hint="eastAsia" w:ascii="宋体" w:hAnsi="宋体" w:eastAsia="宋体" w:cs="宋体"/>
          <w:color w:val="auto"/>
          <w:sz w:val="24"/>
          <w:szCs w:val="24"/>
          <w:u w:val="dotted"/>
        </w:rPr>
        <w:t xml:space="preserve">                                                              </w:t>
      </w:r>
    </w:p>
    <w:p w14:paraId="60F52481">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事实依据：</w:t>
      </w:r>
      <w:r>
        <w:rPr>
          <w:rFonts w:hint="eastAsia" w:ascii="宋体" w:hAnsi="宋体" w:eastAsia="宋体" w:cs="宋体"/>
          <w:color w:val="auto"/>
          <w:sz w:val="24"/>
          <w:szCs w:val="24"/>
          <w:u w:val="dotted"/>
        </w:rPr>
        <w:t xml:space="preserve">                                                                </w:t>
      </w:r>
    </w:p>
    <w:p w14:paraId="79F9337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dotted"/>
        </w:rPr>
        <w:t xml:space="preserve">                                                                           </w:t>
      </w:r>
    </w:p>
    <w:p w14:paraId="0C9EC9B3">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法律依据：</w:t>
      </w:r>
      <w:r>
        <w:rPr>
          <w:rFonts w:hint="eastAsia" w:ascii="宋体" w:hAnsi="宋体" w:eastAsia="宋体" w:cs="宋体"/>
          <w:color w:val="auto"/>
          <w:sz w:val="24"/>
          <w:szCs w:val="24"/>
          <w:u w:val="dotted"/>
        </w:rPr>
        <w:t xml:space="preserve">                                                                 </w:t>
      </w:r>
    </w:p>
    <w:p w14:paraId="6F378BF5">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u w:val="dotted"/>
        </w:rPr>
        <w:t xml:space="preserve">                                                                           </w:t>
      </w:r>
    </w:p>
    <w:p w14:paraId="2703B9CC">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质疑事项2</w:t>
      </w:r>
    </w:p>
    <w:p w14:paraId="77D93D2F">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41507DE">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四、与质疑事项相关的质疑请求</w:t>
      </w:r>
    </w:p>
    <w:p w14:paraId="69D1A555">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请求：</w:t>
      </w:r>
      <w:r>
        <w:rPr>
          <w:rFonts w:hint="eastAsia" w:ascii="宋体" w:hAnsi="宋体" w:eastAsia="宋体" w:cs="宋体"/>
          <w:color w:val="auto"/>
          <w:sz w:val="24"/>
          <w:szCs w:val="24"/>
          <w:u w:val="dotted"/>
        </w:rPr>
        <w:t xml:space="preserve">                                                                     </w:t>
      </w:r>
    </w:p>
    <w:p w14:paraId="719A2A08">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签字(签章)：                   公章：                      </w:t>
      </w:r>
    </w:p>
    <w:p w14:paraId="1D1B683A">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p>
    <w:p w14:paraId="07F7850E">
      <w:pPr>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质疑函制作说明：</w:t>
      </w:r>
    </w:p>
    <w:p w14:paraId="19CFDB4B">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提出质疑时，应提交质疑函和必要的证明材料。</w:t>
      </w:r>
    </w:p>
    <w:p w14:paraId="7D8973C4">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若委托代理人进行质疑的，质疑函应按要求列明“授权代表”的有关内容，并在附件中提交由质疑</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签署的授权委托书。授权委托书应载明代理人的姓名或者名称、代理事项、具体权限、期限和相关事项。</w:t>
      </w:r>
    </w:p>
    <w:p w14:paraId="0B72AEA8">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若对项目的某一分包进行质疑，质疑函中应列明具体分包号。</w:t>
      </w:r>
    </w:p>
    <w:p w14:paraId="7F52A80D">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4.质疑函的质疑事项应具体、明确，并有必要的事实依据和法律依据。</w:t>
      </w:r>
    </w:p>
    <w:p w14:paraId="0F828395">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5.质疑函的质疑请求应与质疑事项相关。</w:t>
      </w:r>
    </w:p>
    <w:p w14:paraId="01B4391F">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为自然人的，质疑函应由本人签字；质疑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为法人或者其他组织的，质疑函应由法定代表人、主要负责人，或者其授权代表签字或者盖章，并加盖公章。</w:t>
      </w:r>
    </w:p>
    <w:p w14:paraId="69984A2B">
      <w:pPr>
        <w:rPr>
          <w:rFonts w:hint="eastAsia" w:ascii="宋体" w:hAnsi="宋体" w:eastAsia="宋体" w:cs="宋体"/>
          <w:color w:val="auto"/>
        </w:rPr>
      </w:pPr>
    </w:p>
    <w:p w14:paraId="1D29A31E">
      <w:pPr>
        <w:rPr>
          <w:rFonts w:hint="eastAsia" w:ascii="宋体" w:hAnsi="宋体" w:eastAsia="宋体" w:cs="宋体"/>
          <w:color w:val="auto"/>
        </w:rPr>
      </w:pPr>
    </w:p>
    <w:p w14:paraId="2C2A6317">
      <w:pPr>
        <w:rPr>
          <w:rFonts w:hint="eastAsia" w:ascii="宋体" w:hAnsi="宋体" w:eastAsia="宋体" w:cs="宋体"/>
          <w:color w:val="auto"/>
        </w:rPr>
      </w:pPr>
    </w:p>
    <w:p w14:paraId="51F9D6BE">
      <w:pPr>
        <w:rPr>
          <w:rFonts w:hint="eastAsia" w:ascii="宋体" w:hAnsi="宋体" w:eastAsia="宋体" w:cs="宋体"/>
          <w:color w:val="auto"/>
        </w:rPr>
      </w:pPr>
    </w:p>
    <w:p w14:paraId="59E0C4CF">
      <w:pPr>
        <w:rPr>
          <w:rFonts w:hint="eastAsia" w:ascii="宋体" w:hAnsi="宋体" w:eastAsia="宋体" w:cs="宋体"/>
          <w:color w:val="auto"/>
        </w:rPr>
      </w:pPr>
    </w:p>
    <w:p w14:paraId="5FF85006">
      <w:pPr>
        <w:rPr>
          <w:rFonts w:hint="eastAsia" w:ascii="宋体" w:hAnsi="宋体" w:eastAsia="宋体" w:cs="宋体"/>
          <w:color w:val="auto"/>
        </w:rPr>
      </w:pPr>
    </w:p>
    <w:p w14:paraId="3C9932F9">
      <w:pPr>
        <w:rPr>
          <w:rFonts w:hint="eastAsia" w:ascii="宋体" w:hAnsi="宋体" w:eastAsia="宋体" w:cs="宋体"/>
          <w:color w:val="auto"/>
        </w:rPr>
      </w:pPr>
    </w:p>
    <w:p w14:paraId="74A19A5D">
      <w:pPr>
        <w:rPr>
          <w:rFonts w:hint="eastAsia" w:ascii="宋体" w:hAnsi="宋体" w:eastAsia="宋体" w:cs="宋体"/>
          <w:color w:val="auto"/>
        </w:rPr>
      </w:pPr>
    </w:p>
    <w:p w14:paraId="00F74494">
      <w:pPr>
        <w:rPr>
          <w:rFonts w:hint="eastAsia" w:ascii="宋体" w:hAnsi="宋体" w:eastAsia="宋体" w:cs="宋体"/>
          <w:color w:val="auto"/>
        </w:rPr>
      </w:pPr>
    </w:p>
    <w:p w14:paraId="3EAB7648">
      <w:pPr>
        <w:rPr>
          <w:rFonts w:hint="eastAsia" w:ascii="宋体" w:hAnsi="宋体" w:eastAsia="宋体" w:cs="宋体"/>
          <w:color w:val="auto"/>
        </w:rPr>
      </w:pPr>
    </w:p>
    <w:p w14:paraId="4A049422">
      <w:pPr>
        <w:rPr>
          <w:rFonts w:hint="eastAsia" w:ascii="宋体" w:hAnsi="宋体" w:eastAsia="宋体" w:cs="宋体"/>
          <w:color w:val="auto"/>
        </w:rPr>
      </w:pPr>
    </w:p>
    <w:p w14:paraId="0849B20E">
      <w:pPr>
        <w:rPr>
          <w:rFonts w:hint="eastAsia" w:ascii="宋体" w:hAnsi="宋体" w:eastAsia="宋体" w:cs="宋体"/>
          <w:color w:val="auto"/>
        </w:rPr>
      </w:pPr>
    </w:p>
    <w:p w14:paraId="19A25C15">
      <w:pPr>
        <w:rPr>
          <w:rFonts w:hint="eastAsia" w:ascii="宋体" w:hAnsi="宋体" w:eastAsia="宋体" w:cs="宋体"/>
          <w:color w:val="auto"/>
        </w:rPr>
      </w:pPr>
    </w:p>
    <w:p w14:paraId="3A69E43F">
      <w:pPr>
        <w:rPr>
          <w:rFonts w:hint="eastAsia" w:ascii="宋体" w:hAnsi="宋体" w:eastAsia="宋体" w:cs="宋体"/>
          <w:color w:val="auto"/>
        </w:rPr>
      </w:pPr>
    </w:p>
    <w:p w14:paraId="0310839F">
      <w:pPr>
        <w:rPr>
          <w:rFonts w:hint="eastAsia" w:ascii="宋体" w:hAnsi="宋体" w:eastAsia="宋体" w:cs="宋体"/>
          <w:color w:val="auto"/>
        </w:rPr>
      </w:pPr>
    </w:p>
    <w:p w14:paraId="11F30380">
      <w:pPr>
        <w:rPr>
          <w:rFonts w:hint="eastAsia" w:ascii="宋体" w:hAnsi="宋体" w:eastAsia="宋体" w:cs="宋体"/>
          <w:color w:val="auto"/>
        </w:rPr>
      </w:pPr>
    </w:p>
    <w:p w14:paraId="6DFC1C22">
      <w:pPr>
        <w:rPr>
          <w:rFonts w:hint="eastAsia" w:ascii="宋体" w:hAnsi="宋体" w:eastAsia="宋体" w:cs="宋体"/>
          <w:color w:val="auto"/>
        </w:rPr>
      </w:pPr>
    </w:p>
    <w:p w14:paraId="69F7F4DF">
      <w:pPr>
        <w:rPr>
          <w:rFonts w:hint="eastAsia" w:ascii="宋体" w:hAnsi="宋体" w:eastAsia="宋体" w:cs="宋体"/>
          <w:color w:val="auto"/>
        </w:rPr>
      </w:pPr>
    </w:p>
    <w:p w14:paraId="326EAECC">
      <w:pPr>
        <w:rPr>
          <w:rFonts w:hint="eastAsia" w:ascii="宋体" w:hAnsi="宋体" w:eastAsia="宋体" w:cs="宋体"/>
          <w:color w:val="auto"/>
          <w:lang w:eastAsia="zh-CN"/>
        </w:rPr>
      </w:pPr>
    </w:p>
    <w:p w14:paraId="4A416158">
      <w:pPr>
        <w:rPr>
          <w:rFonts w:hint="eastAsia" w:ascii="宋体" w:hAnsi="宋体" w:eastAsia="宋体" w:cs="宋体"/>
          <w:color w:val="auto"/>
          <w:lang w:eastAsia="zh-CN"/>
        </w:rPr>
      </w:pPr>
    </w:p>
    <w:p w14:paraId="40F853A1">
      <w:pPr>
        <w:pStyle w:val="7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附件2：</w:t>
      </w:r>
    </w:p>
    <w:p w14:paraId="1EBDE8AB">
      <w:pPr>
        <w:spacing w:line="360" w:lineRule="auto"/>
        <w:jc w:val="center"/>
        <w:rPr>
          <w:rFonts w:hint="eastAsia" w:ascii="宋体" w:hAnsi="宋体" w:eastAsia="宋体" w:cs="宋体"/>
          <w:b/>
          <w:color w:val="auto"/>
          <w:spacing w:val="6"/>
          <w:sz w:val="28"/>
          <w:szCs w:val="28"/>
        </w:rPr>
      </w:pPr>
      <w:r>
        <w:rPr>
          <w:rFonts w:hint="eastAsia" w:ascii="宋体" w:hAnsi="宋体" w:eastAsia="宋体" w:cs="宋体"/>
          <w:b/>
          <w:color w:val="auto"/>
          <w:spacing w:val="6"/>
          <w:sz w:val="28"/>
          <w:szCs w:val="28"/>
        </w:rPr>
        <w:t>投诉书范本</w:t>
      </w:r>
    </w:p>
    <w:p w14:paraId="5A5AF1D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69159C5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58CD782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3BB7F09">
      <w:pPr>
        <w:keepNext w:val="0"/>
        <w:keepLines w:val="0"/>
        <w:pageBreakBefore w:val="0"/>
        <w:tabs>
          <w:tab w:val="left" w:pos="651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CE72BD8">
      <w:pPr>
        <w:keepNext w:val="0"/>
        <w:keepLines w:val="0"/>
        <w:pageBreakBefore w:val="0"/>
        <w:tabs>
          <w:tab w:val="left" w:pos="651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6B4810B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6AF12CD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27973B6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52C1A8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076B18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614A4C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被投诉人2</w:t>
      </w:r>
    </w:p>
    <w:p w14:paraId="759A708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w:t>
      </w:r>
    </w:p>
    <w:p w14:paraId="58E0A44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076E3F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01EAF5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975E99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7284B97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00D4985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5C58912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748584E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6307A50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410BE8F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74ADF64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三、质疑基本情况</w:t>
      </w:r>
    </w:p>
    <w:p w14:paraId="14578B7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6DCD723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37480CBE">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510937E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2534A11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3B77D06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23599EA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4890246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103B18A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6B52688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投诉事项2</w:t>
      </w:r>
    </w:p>
    <w:p w14:paraId="65FE771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w:t>
      </w:r>
    </w:p>
    <w:p w14:paraId="163259F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15E1189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5769231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7656C47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474A4E3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37AC54E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rPr>
      </w:pPr>
    </w:p>
    <w:p w14:paraId="5A04CFF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47CA551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4D3D40B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53D47DC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27AFE5B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0FA335B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4EF82AF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44B8298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652D1479">
      <w:pPr>
        <w:rPr>
          <w:rFonts w:hint="eastAsia" w:ascii="宋体" w:hAnsi="宋体" w:eastAsia="宋体" w:cs="宋体"/>
          <w:color w:val="auto"/>
          <w:lang w:val="en-US" w:eastAsia="zh-CN"/>
        </w:rPr>
      </w:pPr>
    </w:p>
    <w:p w14:paraId="6FA2E8CD">
      <w:pPr>
        <w:rPr>
          <w:rFonts w:hint="eastAsia" w:ascii="宋体" w:hAnsi="宋体" w:eastAsia="宋体" w:cs="宋体"/>
          <w:color w:val="auto"/>
          <w:lang w:eastAsia="zh-CN"/>
        </w:rPr>
      </w:pPr>
    </w:p>
    <w:p w14:paraId="5EAFF5ED">
      <w:pPr>
        <w:rPr>
          <w:rFonts w:hint="eastAsia" w:ascii="宋体" w:hAnsi="宋体" w:eastAsia="宋体" w:cs="宋体"/>
          <w:color w:val="auto"/>
          <w:lang w:eastAsia="zh-CN"/>
        </w:rPr>
      </w:pPr>
    </w:p>
    <w:p w14:paraId="34BBBD48">
      <w:pPr>
        <w:pStyle w:val="14"/>
        <w:rPr>
          <w:rFonts w:hint="eastAsia" w:ascii="宋体" w:hAnsi="宋体" w:eastAsia="宋体" w:cs="宋体"/>
          <w:color w:val="auto"/>
          <w:lang w:eastAsia="zh-CN"/>
        </w:rPr>
      </w:pPr>
    </w:p>
    <w:p w14:paraId="6C7D5077">
      <w:pPr>
        <w:rPr>
          <w:rFonts w:hint="eastAsia" w:ascii="宋体" w:hAnsi="宋体" w:eastAsia="宋体" w:cs="宋体"/>
          <w:color w:val="auto"/>
          <w:lang w:eastAsia="zh-CN"/>
        </w:rPr>
      </w:pPr>
    </w:p>
    <w:p w14:paraId="5A6F6213">
      <w:pPr>
        <w:pStyle w:val="14"/>
        <w:rPr>
          <w:rFonts w:hint="eastAsia" w:ascii="宋体" w:hAnsi="宋体" w:eastAsia="宋体" w:cs="宋体"/>
          <w:color w:val="auto"/>
          <w:lang w:eastAsia="zh-CN"/>
        </w:rPr>
      </w:pPr>
    </w:p>
    <w:p w14:paraId="0E90259A">
      <w:pPr>
        <w:rPr>
          <w:rFonts w:hint="eastAsia" w:ascii="宋体" w:hAnsi="宋体" w:eastAsia="宋体" w:cs="宋体"/>
          <w:color w:val="auto"/>
          <w:lang w:eastAsia="zh-CN"/>
        </w:rPr>
      </w:pPr>
    </w:p>
    <w:p w14:paraId="5546F739">
      <w:pPr>
        <w:pStyle w:val="14"/>
        <w:rPr>
          <w:rFonts w:hint="eastAsia" w:ascii="宋体" w:hAnsi="宋体" w:eastAsia="宋体" w:cs="宋体"/>
          <w:color w:val="auto"/>
          <w:lang w:eastAsia="zh-CN"/>
        </w:rPr>
      </w:pPr>
    </w:p>
    <w:p w14:paraId="4737F6F7">
      <w:pPr>
        <w:rPr>
          <w:rFonts w:hint="eastAsia" w:ascii="宋体" w:hAnsi="宋体" w:eastAsia="宋体" w:cs="宋体"/>
          <w:color w:val="auto"/>
          <w:lang w:eastAsia="zh-CN"/>
        </w:rPr>
      </w:pPr>
    </w:p>
    <w:p w14:paraId="21DE8602">
      <w:pPr>
        <w:pStyle w:val="14"/>
        <w:rPr>
          <w:rFonts w:hint="eastAsia" w:ascii="宋体" w:hAnsi="宋体" w:eastAsia="宋体" w:cs="宋体"/>
          <w:color w:val="auto"/>
          <w:lang w:eastAsia="zh-CN"/>
        </w:rPr>
      </w:pPr>
    </w:p>
    <w:p w14:paraId="0A8EB09F">
      <w:pPr>
        <w:rPr>
          <w:rFonts w:hint="eastAsia" w:ascii="宋体" w:hAnsi="宋体" w:eastAsia="宋体" w:cs="宋体"/>
          <w:color w:val="auto"/>
          <w:lang w:eastAsia="zh-CN"/>
        </w:rPr>
      </w:pPr>
    </w:p>
    <w:p w14:paraId="16213868">
      <w:pPr>
        <w:pStyle w:val="14"/>
        <w:rPr>
          <w:rFonts w:hint="eastAsia" w:ascii="宋体" w:hAnsi="宋体" w:eastAsia="宋体" w:cs="宋体"/>
          <w:color w:val="auto"/>
          <w:lang w:eastAsia="zh-CN"/>
        </w:rPr>
      </w:pPr>
    </w:p>
    <w:p w14:paraId="1632F9F2">
      <w:pPr>
        <w:rPr>
          <w:rFonts w:hint="eastAsia"/>
          <w:lang w:eastAsia="zh-CN"/>
        </w:rPr>
      </w:pPr>
    </w:p>
    <w:p w14:paraId="78763945">
      <w:pPr>
        <w:rPr>
          <w:rFonts w:hint="eastAsia"/>
          <w:lang w:eastAsia="zh-CN"/>
        </w:rPr>
      </w:pPr>
    </w:p>
    <w:p w14:paraId="1AE3598F">
      <w:pPr>
        <w:rPr>
          <w:rFonts w:hint="eastAsia"/>
          <w:lang w:eastAsia="zh-CN"/>
        </w:rPr>
      </w:pPr>
    </w:p>
    <w:p w14:paraId="3F14FFE2">
      <w:pPr>
        <w:pStyle w:val="11"/>
        <w:spacing w:line="500" w:lineRule="exact"/>
        <w:ind w:left="0" w:leftChars="0" w:firstLine="0" w:firstLineChars="0"/>
        <w:jc w:val="left"/>
        <w:rPr>
          <w:rFonts w:hint="eastAsia" w:ascii="宋体" w:hAnsi="宋体" w:eastAsia="宋体" w:cs="宋体"/>
          <w:color w:val="auto"/>
          <w:sz w:val="28"/>
          <w:szCs w:val="28"/>
        </w:rPr>
      </w:pPr>
    </w:p>
    <w:p w14:paraId="1E9F82A9">
      <w:pPr>
        <w:pStyle w:val="2"/>
        <w:numPr>
          <w:ilvl w:val="0"/>
          <w:numId w:val="2"/>
        </w:numPr>
        <w:spacing w:before="0" w:after="0" w:line="240" w:lineRule="auto"/>
        <w:ind w:left="0" w:leftChars="0"/>
        <w:rPr>
          <w:rFonts w:hint="eastAsia" w:ascii="宋体" w:hAnsi="宋体" w:eastAsia="宋体" w:cs="宋体"/>
          <w:color w:val="auto"/>
        </w:rPr>
      </w:pPr>
      <w:bookmarkStart w:id="69" w:name="_Toc293736019"/>
      <w:bookmarkStart w:id="70" w:name="_Toc293736062"/>
      <w:bookmarkStart w:id="71" w:name="_Toc293739000"/>
      <w:bookmarkStart w:id="72" w:name="_Toc28752"/>
      <w:bookmarkStart w:id="73" w:name="_Toc28105"/>
      <w:bookmarkStart w:id="74" w:name="_Toc446599321"/>
      <w:bookmarkStart w:id="75" w:name="_Toc293739001"/>
      <w:bookmarkStart w:id="76" w:name="_Toc293736020"/>
      <w:bookmarkStart w:id="77" w:name="_Toc446599322"/>
      <w:bookmarkStart w:id="78" w:name="_Toc293736063"/>
      <w:r>
        <w:rPr>
          <w:rFonts w:hint="eastAsia" w:ascii="宋体" w:hAnsi="宋体" w:eastAsia="宋体" w:cs="宋体"/>
          <w:color w:val="auto"/>
          <w:lang w:val="en-US" w:eastAsia="zh-CN"/>
        </w:rPr>
        <w:t xml:space="preserve"> </w:t>
      </w:r>
      <w:bookmarkStart w:id="79" w:name="_Toc8546"/>
      <w:bookmarkStart w:id="80" w:name="_Toc21897"/>
      <w:bookmarkStart w:id="81" w:name="_Toc15716"/>
      <w:r>
        <w:rPr>
          <w:rFonts w:hint="eastAsia" w:ascii="宋体" w:hAnsi="宋体" w:eastAsia="宋体" w:cs="宋体"/>
          <w:color w:val="auto"/>
        </w:rPr>
        <w:t>采购</w:t>
      </w:r>
      <w:bookmarkEnd w:id="69"/>
      <w:bookmarkEnd w:id="70"/>
      <w:bookmarkEnd w:id="71"/>
      <w:bookmarkStart w:id="82" w:name="_Toc294515580"/>
      <w:r>
        <w:rPr>
          <w:rFonts w:hint="eastAsia" w:ascii="宋体" w:hAnsi="宋体" w:eastAsia="宋体" w:cs="宋体"/>
          <w:color w:val="auto"/>
        </w:rPr>
        <w:t>需求</w:t>
      </w:r>
      <w:bookmarkEnd w:id="72"/>
      <w:bookmarkEnd w:id="73"/>
      <w:bookmarkEnd w:id="74"/>
      <w:bookmarkEnd w:id="79"/>
      <w:bookmarkEnd w:id="80"/>
      <w:bookmarkEnd w:id="81"/>
    </w:p>
    <w:bookmarkEnd w:id="82"/>
    <w:p w14:paraId="7E5B6F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一、项目需求</w:t>
      </w:r>
    </w:p>
    <w:p w14:paraId="2DE10650">
      <w:pPr>
        <w:widowControl/>
        <w:kinsoku w:val="0"/>
        <w:autoSpaceDE w:val="0"/>
        <w:autoSpaceDN w:val="0"/>
        <w:adjustRightInd w:val="0"/>
        <w:snapToGrid w:val="0"/>
        <w:spacing w:before="78" w:line="219" w:lineRule="auto"/>
        <w:jc w:val="left"/>
        <w:textAlignment w:val="baseline"/>
        <w:rPr>
          <w:rFonts w:ascii="宋体" w:hAnsi="宋体" w:eastAsia="宋体" w:cs="宋体"/>
          <w:snapToGrid w:val="0"/>
          <w:color w:val="000000"/>
          <w:kern w:val="0"/>
          <w:sz w:val="24"/>
          <w:szCs w:val="24"/>
          <w:lang w:eastAsia="en-US"/>
        </w:rPr>
      </w:pPr>
    </w:p>
    <w:p w14:paraId="6F8986AC">
      <w:pPr>
        <w:widowControl/>
        <w:kinsoku w:val="0"/>
        <w:autoSpaceDE w:val="0"/>
        <w:autoSpaceDN w:val="0"/>
        <w:adjustRightInd w:val="0"/>
        <w:snapToGrid w:val="0"/>
        <w:spacing w:line="75" w:lineRule="auto"/>
        <w:jc w:val="left"/>
        <w:textAlignment w:val="baseline"/>
        <w:rPr>
          <w:rFonts w:ascii="Arial" w:hAnsi="Arial" w:eastAsia="Arial" w:cs="Arial"/>
          <w:snapToGrid w:val="0"/>
          <w:color w:val="000000"/>
          <w:kern w:val="0"/>
          <w:sz w:val="2"/>
          <w:szCs w:val="21"/>
          <w:lang w:eastAsia="en-US"/>
        </w:rPr>
      </w:pPr>
    </w:p>
    <w:tbl>
      <w:tblPr>
        <w:tblStyle w:val="9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60"/>
        <w:gridCol w:w="991"/>
        <w:gridCol w:w="6743"/>
        <w:gridCol w:w="1254"/>
      </w:tblGrid>
      <w:tr w14:paraId="60C19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90" w:type="pct"/>
            <w:noWrap w:val="0"/>
            <w:vAlign w:val="top"/>
          </w:tcPr>
          <w:p w14:paraId="6B0AB89D">
            <w:pPr>
              <w:kinsoku w:val="0"/>
              <w:autoSpaceDE w:val="0"/>
              <w:autoSpaceDN w:val="0"/>
              <w:adjustRightInd w:val="0"/>
              <w:snapToGrid w:val="0"/>
              <w:spacing w:before="252" w:line="231" w:lineRule="auto"/>
              <w:ind w:left="366"/>
              <w:jc w:val="both"/>
              <w:textAlignment w:val="baseline"/>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序号</w:t>
            </w:r>
          </w:p>
        </w:tc>
        <w:tc>
          <w:tcPr>
            <w:tcW w:w="508" w:type="pct"/>
            <w:noWrap w:val="0"/>
            <w:vAlign w:val="top"/>
          </w:tcPr>
          <w:p w14:paraId="69248D27">
            <w:pPr>
              <w:kinsoku w:val="0"/>
              <w:autoSpaceDE w:val="0"/>
              <w:autoSpaceDN w:val="0"/>
              <w:adjustRightInd w:val="0"/>
              <w:snapToGrid w:val="0"/>
              <w:spacing w:before="252" w:line="231" w:lineRule="auto"/>
              <w:ind w:left="366"/>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名称</w:t>
            </w:r>
          </w:p>
        </w:tc>
        <w:tc>
          <w:tcPr>
            <w:tcW w:w="3458" w:type="pct"/>
            <w:noWrap w:val="0"/>
            <w:vAlign w:val="top"/>
          </w:tcPr>
          <w:p w14:paraId="74A3DB00">
            <w:pPr>
              <w:kinsoku w:val="0"/>
              <w:autoSpaceDE w:val="0"/>
              <w:autoSpaceDN w:val="0"/>
              <w:adjustRightInd w:val="0"/>
              <w:snapToGrid w:val="0"/>
              <w:spacing w:before="252" w:line="228" w:lineRule="auto"/>
              <w:ind w:left="2241"/>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服务需求</w:t>
            </w:r>
          </w:p>
        </w:tc>
        <w:tc>
          <w:tcPr>
            <w:tcW w:w="642" w:type="pct"/>
            <w:noWrap w:val="0"/>
            <w:vAlign w:val="top"/>
          </w:tcPr>
          <w:p w14:paraId="7C274E11">
            <w:pPr>
              <w:kinsoku w:val="0"/>
              <w:autoSpaceDE w:val="0"/>
              <w:autoSpaceDN w:val="0"/>
              <w:adjustRightInd w:val="0"/>
              <w:snapToGrid w:val="0"/>
              <w:spacing w:before="252" w:line="228" w:lineRule="auto"/>
              <w:jc w:val="both"/>
              <w:textAlignment w:val="baseline"/>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报价（元）</w:t>
            </w:r>
          </w:p>
        </w:tc>
      </w:tr>
      <w:tr w14:paraId="7215F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3" w:hRule="atLeast"/>
        </w:trPr>
        <w:tc>
          <w:tcPr>
            <w:tcW w:w="390" w:type="pct"/>
            <w:noWrap w:val="0"/>
            <w:vAlign w:val="top"/>
          </w:tcPr>
          <w:p w14:paraId="5FFBBB62">
            <w:pPr>
              <w:kinsoku w:val="0"/>
              <w:autoSpaceDE w:val="0"/>
              <w:autoSpaceDN w:val="0"/>
              <w:adjustRightInd w:val="0"/>
              <w:snapToGrid w:val="0"/>
              <w:spacing w:before="65" w:line="289" w:lineRule="auto"/>
              <w:ind w:left="110" w:right="108" w:firstLine="4"/>
              <w:jc w:val="center"/>
              <w:textAlignment w:val="baseline"/>
              <w:rPr>
                <w:rFonts w:ascii="宋体" w:hAnsi="宋体" w:eastAsia="宋体" w:cs="宋体"/>
                <w:snapToGrid w:val="0"/>
                <w:color w:val="000000"/>
                <w:kern w:val="0"/>
                <w:sz w:val="24"/>
                <w:szCs w:val="24"/>
                <w:lang w:val="en-US" w:eastAsia="en-US" w:bidi="ar-SA"/>
              </w:rPr>
            </w:pPr>
          </w:p>
          <w:p w14:paraId="3ED7F9EA">
            <w:pPr>
              <w:kinsoku w:val="0"/>
              <w:autoSpaceDE w:val="0"/>
              <w:autoSpaceDN w:val="0"/>
              <w:adjustRightInd w:val="0"/>
              <w:snapToGrid w:val="0"/>
              <w:spacing w:before="65" w:line="289" w:lineRule="auto"/>
              <w:ind w:left="110" w:right="108" w:firstLine="4"/>
              <w:jc w:val="center"/>
              <w:textAlignment w:val="baseline"/>
              <w:rPr>
                <w:rFonts w:ascii="宋体" w:hAnsi="宋体" w:eastAsia="宋体" w:cs="宋体"/>
                <w:snapToGrid w:val="0"/>
                <w:color w:val="000000"/>
                <w:kern w:val="0"/>
                <w:sz w:val="24"/>
                <w:szCs w:val="24"/>
                <w:lang w:val="en-US" w:eastAsia="en-US" w:bidi="ar-SA"/>
              </w:rPr>
            </w:pPr>
          </w:p>
          <w:p w14:paraId="6ED049D7">
            <w:pPr>
              <w:kinsoku w:val="0"/>
              <w:autoSpaceDE w:val="0"/>
              <w:autoSpaceDN w:val="0"/>
              <w:adjustRightInd w:val="0"/>
              <w:snapToGrid w:val="0"/>
              <w:spacing w:before="65" w:line="289" w:lineRule="auto"/>
              <w:ind w:left="110" w:right="108" w:firstLine="4"/>
              <w:jc w:val="center"/>
              <w:textAlignment w:val="baseline"/>
              <w:rPr>
                <w:rFonts w:ascii="宋体" w:hAnsi="宋体" w:eastAsia="宋体" w:cs="宋体"/>
                <w:snapToGrid w:val="0"/>
                <w:color w:val="000000"/>
                <w:kern w:val="0"/>
                <w:sz w:val="24"/>
                <w:szCs w:val="24"/>
                <w:lang w:val="en-US" w:eastAsia="en-US" w:bidi="ar-SA"/>
              </w:rPr>
            </w:pPr>
          </w:p>
          <w:p w14:paraId="1FAC14A9">
            <w:pPr>
              <w:kinsoku w:val="0"/>
              <w:autoSpaceDE w:val="0"/>
              <w:autoSpaceDN w:val="0"/>
              <w:adjustRightInd w:val="0"/>
              <w:snapToGrid w:val="0"/>
              <w:spacing w:before="65" w:line="289" w:lineRule="auto"/>
              <w:ind w:left="110" w:right="108" w:firstLine="4"/>
              <w:jc w:val="center"/>
              <w:textAlignment w:val="baseline"/>
              <w:rPr>
                <w:rFonts w:ascii="宋体" w:hAnsi="宋体" w:eastAsia="宋体" w:cs="宋体"/>
                <w:snapToGrid w:val="0"/>
                <w:color w:val="000000"/>
                <w:kern w:val="0"/>
                <w:sz w:val="24"/>
                <w:szCs w:val="24"/>
                <w:lang w:val="en-US" w:eastAsia="en-US" w:bidi="ar-SA"/>
              </w:rPr>
            </w:pPr>
          </w:p>
          <w:p w14:paraId="3285C7F6">
            <w:pPr>
              <w:kinsoku w:val="0"/>
              <w:autoSpaceDE w:val="0"/>
              <w:autoSpaceDN w:val="0"/>
              <w:adjustRightInd w:val="0"/>
              <w:snapToGrid w:val="0"/>
              <w:spacing w:before="65" w:line="289" w:lineRule="auto"/>
              <w:ind w:left="110" w:right="108" w:firstLine="4"/>
              <w:jc w:val="center"/>
              <w:textAlignment w:val="baseline"/>
              <w:rPr>
                <w:rFonts w:ascii="宋体" w:hAnsi="宋体" w:eastAsia="宋体" w:cs="宋体"/>
                <w:snapToGrid w:val="0"/>
                <w:color w:val="000000"/>
                <w:kern w:val="0"/>
                <w:sz w:val="24"/>
                <w:szCs w:val="24"/>
                <w:lang w:val="en-US" w:eastAsia="en-US" w:bidi="ar-SA"/>
              </w:rPr>
            </w:pPr>
          </w:p>
          <w:p w14:paraId="067D967D">
            <w:pPr>
              <w:kinsoku w:val="0"/>
              <w:autoSpaceDE w:val="0"/>
              <w:autoSpaceDN w:val="0"/>
              <w:adjustRightInd w:val="0"/>
              <w:snapToGrid w:val="0"/>
              <w:spacing w:before="65" w:line="289" w:lineRule="auto"/>
              <w:ind w:right="108"/>
              <w:jc w:val="center"/>
              <w:textAlignment w:val="baseline"/>
              <w:rPr>
                <w:rFonts w:ascii="宋体" w:hAnsi="宋体" w:eastAsia="宋体" w:cs="宋体"/>
                <w:snapToGrid w:val="0"/>
                <w:color w:val="000000"/>
                <w:kern w:val="0"/>
                <w:sz w:val="24"/>
                <w:szCs w:val="24"/>
                <w:lang w:val="en-US" w:eastAsia="en-US" w:bidi="ar-SA"/>
              </w:rPr>
            </w:pPr>
          </w:p>
          <w:p w14:paraId="5700D4E3">
            <w:pPr>
              <w:kinsoku w:val="0"/>
              <w:autoSpaceDE w:val="0"/>
              <w:autoSpaceDN w:val="0"/>
              <w:adjustRightInd w:val="0"/>
              <w:snapToGrid w:val="0"/>
              <w:spacing w:before="65" w:line="289" w:lineRule="auto"/>
              <w:ind w:left="110" w:right="108" w:firstLine="4"/>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w:t>
            </w:r>
          </w:p>
        </w:tc>
        <w:tc>
          <w:tcPr>
            <w:tcW w:w="508" w:type="pct"/>
            <w:noWrap w:val="0"/>
            <w:vAlign w:val="top"/>
          </w:tcPr>
          <w:p w14:paraId="0FB9A0D7">
            <w:pPr>
              <w:widowControl/>
              <w:kinsoku w:val="0"/>
              <w:autoSpaceDE w:val="0"/>
              <w:autoSpaceDN w:val="0"/>
              <w:adjustRightInd w:val="0"/>
              <w:snapToGrid w:val="0"/>
              <w:spacing w:line="269" w:lineRule="auto"/>
              <w:jc w:val="center"/>
              <w:textAlignment w:val="baseline"/>
              <w:rPr>
                <w:rFonts w:ascii="Arial" w:hAnsi="Arial" w:eastAsia="Arial" w:cs="Arial"/>
                <w:snapToGrid w:val="0"/>
                <w:color w:val="000000"/>
                <w:kern w:val="0"/>
                <w:sz w:val="24"/>
                <w:szCs w:val="24"/>
                <w:lang w:eastAsia="en-US"/>
              </w:rPr>
            </w:pPr>
          </w:p>
          <w:p w14:paraId="190DCFCE">
            <w:pPr>
              <w:widowControl/>
              <w:kinsoku w:val="0"/>
              <w:autoSpaceDE w:val="0"/>
              <w:autoSpaceDN w:val="0"/>
              <w:adjustRightInd w:val="0"/>
              <w:snapToGrid w:val="0"/>
              <w:spacing w:line="269" w:lineRule="auto"/>
              <w:jc w:val="center"/>
              <w:textAlignment w:val="baseline"/>
              <w:rPr>
                <w:rFonts w:ascii="Arial" w:hAnsi="Arial" w:eastAsia="Arial" w:cs="Arial"/>
                <w:snapToGrid w:val="0"/>
                <w:color w:val="000000"/>
                <w:kern w:val="0"/>
                <w:sz w:val="24"/>
                <w:szCs w:val="24"/>
                <w:lang w:eastAsia="en-US"/>
              </w:rPr>
            </w:pPr>
          </w:p>
          <w:p w14:paraId="3996B6DA">
            <w:pPr>
              <w:widowControl/>
              <w:kinsoku w:val="0"/>
              <w:autoSpaceDE w:val="0"/>
              <w:autoSpaceDN w:val="0"/>
              <w:adjustRightInd w:val="0"/>
              <w:snapToGrid w:val="0"/>
              <w:spacing w:line="270" w:lineRule="auto"/>
              <w:jc w:val="center"/>
              <w:textAlignment w:val="baseline"/>
              <w:rPr>
                <w:rFonts w:ascii="Arial" w:hAnsi="Arial" w:eastAsia="Arial" w:cs="Arial"/>
                <w:snapToGrid w:val="0"/>
                <w:color w:val="000000"/>
                <w:kern w:val="0"/>
                <w:sz w:val="24"/>
                <w:szCs w:val="24"/>
                <w:lang w:eastAsia="en-US"/>
              </w:rPr>
            </w:pPr>
          </w:p>
          <w:p w14:paraId="30D7E496">
            <w:pPr>
              <w:widowControl/>
              <w:kinsoku w:val="0"/>
              <w:autoSpaceDE w:val="0"/>
              <w:autoSpaceDN w:val="0"/>
              <w:adjustRightInd w:val="0"/>
              <w:snapToGrid w:val="0"/>
              <w:spacing w:line="270" w:lineRule="auto"/>
              <w:jc w:val="center"/>
              <w:textAlignment w:val="baseline"/>
              <w:rPr>
                <w:rFonts w:ascii="Arial" w:hAnsi="Arial" w:eastAsia="Arial" w:cs="Arial"/>
                <w:snapToGrid w:val="0"/>
                <w:color w:val="000000"/>
                <w:kern w:val="0"/>
                <w:sz w:val="24"/>
                <w:szCs w:val="24"/>
                <w:lang w:eastAsia="en-US"/>
              </w:rPr>
            </w:pPr>
          </w:p>
          <w:p w14:paraId="3F0FCF4B">
            <w:pPr>
              <w:widowControl/>
              <w:kinsoku w:val="0"/>
              <w:autoSpaceDE w:val="0"/>
              <w:autoSpaceDN w:val="0"/>
              <w:adjustRightInd w:val="0"/>
              <w:snapToGrid w:val="0"/>
              <w:spacing w:line="270" w:lineRule="auto"/>
              <w:jc w:val="center"/>
              <w:textAlignment w:val="baseline"/>
              <w:rPr>
                <w:rFonts w:ascii="Arial" w:hAnsi="Arial" w:eastAsia="Arial" w:cs="Arial"/>
                <w:snapToGrid w:val="0"/>
                <w:color w:val="000000"/>
                <w:kern w:val="0"/>
                <w:sz w:val="24"/>
                <w:szCs w:val="24"/>
                <w:lang w:eastAsia="en-US"/>
              </w:rPr>
            </w:pPr>
          </w:p>
          <w:p w14:paraId="50A7DE36">
            <w:pPr>
              <w:widowControl/>
              <w:kinsoku w:val="0"/>
              <w:autoSpaceDE w:val="0"/>
              <w:autoSpaceDN w:val="0"/>
              <w:adjustRightInd w:val="0"/>
              <w:snapToGrid w:val="0"/>
              <w:spacing w:line="270" w:lineRule="auto"/>
              <w:jc w:val="center"/>
              <w:textAlignment w:val="baseline"/>
              <w:rPr>
                <w:rFonts w:ascii="Arial" w:hAnsi="Arial" w:eastAsia="Arial" w:cs="Arial"/>
                <w:snapToGrid w:val="0"/>
                <w:color w:val="000000"/>
                <w:kern w:val="0"/>
                <w:sz w:val="24"/>
                <w:szCs w:val="24"/>
                <w:lang w:eastAsia="en-US"/>
              </w:rPr>
            </w:pPr>
          </w:p>
          <w:p w14:paraId="60E04CD9">
            <w:pPr>
              <w:widowControl/>
              <w:kinsoku w:val="0"/>
              <w:autoSpaceDE w:val="0"/>
              <w:autoSpaceDN w:val="0"/>
              <w:adjustRightInd w:val="0"/>
              <w:snapToGrid w:val="0"/>
              <w:spacing w:line="270" w:lineRule="auto"/>
              <w:jc w:val="center"/>
              <w:textAlignment w:val="baseline"/>
              <w:rPr>
                <w:rFonts w:ascii="Arial" w:hAnsi="Arial" w:eastAsia="Arial" w:cs="Arial"/>
                <w:snapToGrid w:val="0"/>
                <w:color w:val="000000"/>
                <w:kern w:val="0"/>
                <w:sz w:val="24"/>
                <w:szCs w:val="24"/>
                <w:lang w:eastAsia="en-US"/>
              </w:rPr>
            </w:pPr>
          </w:p>
          <w:p w14:paraId="6EBDD5F6">
            <w:pPr>
              <w:keepNext w:val="0"/>
              <w:keepLines w:val="0"/>
              <w:widowControl/>
              <w:suppressLineNumbers w:val="0"/>
              <w:kinsoku w:val="0"/>
              <w:autoSpaceDE w:val="0"/>
              <w:autoSpaceDN w:val="0"/>
              <w:adjustRightInd w:val="0"/>
              <w:snapToGrid w:val="0"/>
              <w:spacing w:line="240" w:lineRule="auto"/>
              <w:jc w:val="center"/>
              <w:textAlignment w:val="baseline"/>
              <w:rPr>
                <w:rFonts w:ascii="宋体" w:hAnsi="宋体" w:eastAsia="宋体" w:cs="宋体"/>
                <w:snapToGrid w:val="0"/>
                <w:color w:val="000000"/>
                <w:spacing w:val="12"/>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2025年乌什县“我爱浙疆”系列文化品牌工程-2025首届“烂柯杯”中国-中亚围棋邀请赛</w:t>
            </w:r>
          </w:p>
          <w:p w14:paraId="244ECEBC">
            <w:pPr>
              <w:kinsoku w:val="0"/>
              <w:autoSpaceDE w:val="0"/>
              <w:autoSpaceDN w:val="0"/>
              <w:adjustRightInd w:val="0"/>
              <w:snapToGrid w:val="0"/>
              <w:spacing w:before="65" w:line="289" w:lineRule="auto"/>
              <w:ind w:left="110" w:right="108" w:firstLine="4"/>
              <w:jc w:val="center"/>
              <w:textAlignment w:val="baseline"/>
              <w:rPr>
                <w:rFonts w:ascii="宋体" w:hAnsi="宋体" w:eastAsia="宋体" w:cs="宋体"/>
                <w:snapToGrid w:val="0"/>
                <w:color w:val="000000"/>
                <w:kern w:val="0"/>
                <w:sz w:val="24"/>
                <w:szCs w:val="24"/>
                <w:lang w:val="en-US" w:eastAsia="en-US" w:bidi="ar-SA"/>
              </w:rPr>
            </w:pPr>
          </w:p>
        </w:tc>
        <w:tc>
          <w:tcPr>
            <w:tcW w:w="3458" w:type="pct"/>
            <w:noWrap w:val="0"/>
            <w:vAlign w:val="top"/>
          </w:tcPr>
          <w:p w14:paraId="3D453563">
            <w:pPr>
              <w:kinsoku w:val="0"/>
              <w:autoSpaceDE w:val="0"/>
              <w:autoSpaceDN w:val="0"/>
              <w:adjustRightInd w:val="0"/>
              <w:snapToGrid w:val="0"/>
              <w:spacing w:before="52" w:line="268" w:lineRule="auto"/>
              <w:ind w:left="111" w:right="35" w:firstLine="1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1.负责向国家有关部门、主管单位（国家棋牌管理中心、</w:t>
            </w:r>
            <w:r>
              <w:rPr>
                <w:rFonts w:ascii="宋体" w:hAnsi="宋体" w:eastAsia="宋体" w:cs="宋体"/>
                <w:snapToGrid w:val="0"/>
                <w:color w:val="000000"/>
                <w:spacing w:val="10"/>
                <w:kern w:val="0"/>
                <w:sz w:val="24"/>
                <w:szCs w:val="24"/>
                <w:lang w:val="en-US" w:eastAsia="en-US" w:bidi="ar-SA"/>
              </w:rPr>
              <w:t>中国围棋协会、</w:t>
            </w:r>
            <w:r>
              <w:rPr>
                <w:rFonts w:ascii="宋体" w:hAnsi="宋体" w:eastAsia="宋体" w:cs="宋体"/>
                <w:snapToGrid w:val="0"/>
                <w:color w:val="000000"/>
                <w:spacing w:val="-39"/>
                <w:kern w:val="0"/>
                <w:sz w:val="24"/>
                <w:szCs w:val="24"/>
                <w:lang w:val="en-US" w:eastAsia="en-US" w:bidi="ar-SA"/>
              </w:rPr>
              <w:t xml:space="preserve"> </w:t>
            </w:r>
            <w:r>
              <w:rPr>
                <w:rFonts w:ascii="宋体" w:hAnsi="宋体" w:eastAsia="宋体" w:cs="宋体"/>
                <w:snapToGrid w:val="0"/>
                <w:color w:val="000000"/>
                <w:spacing w:val="10"/>
                <w:kern w:val="0"/>
                <w:sz w:val="24"/>
                <w:szCs w:val="24"/>
                <w:lang w:val="en-US" w:eastAsia="en-US" w:bidi="ar-SA"/>
              </w:rPr>
              <w:t>自治区体育总会）进行赛事立项审批、</w:t>
            </w:r>
            <w:r>
              <w:rPr>
                <w:rFonts w:ascii="宋体" w:hAnsi="宋体" w:eastAsia="宋体" w:cs="宋体"/>
                <w:snapToGrid w:val="0"/>
                <w:color w:val="000000"/>
                <w:spacing w:val="3"/>
                <w:kern w:val="0"/>
                <w:sz w:val="24"/>
                <w:szCs w:val="24"/>
                <w:lang w:val="en-US" w:eastAsia="en-US" w:bidi="ar-SA"/>
              </w:rPr>
              <w:t>报批。</w:t>
            </w:r>
          </w:p>
          <w:p w14:paraId="2CC04748">
            <w:pPr>
              <w:kinsoku w:val="0"/>
              <w:autoSpaceDE w:val="0"/>
              <w:autoSpaceDN w:val="0"/>
              <w:adjustRightInd w:val="0"/>
              <w:snapToGrid w:val="0"/>
              <w:spacing w:before="65" w:line="260" w:lineRule="auto"/>
              <w:ind w:left="115" w:right="10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1"/>
                <w:kern w:val="0"/>
                <w:sz w:val="24"/>
                <w:szCs w:val="24"/>
                <w:lang w:val="en-US" w:eastAsia="en-US" w:bidi="ar-SA"/>
              </w:rPr>
              <w:t>2.负责组织本次赛事、负责制定比赛规则、流程和现场</w:t>
            </w:r>
            <w:r>
              <w:rPr>
                <w:rFonts w:ascii="宋体" w:hAnsi="宋体" w:eastAsia="宋体" w:cs="宋体"/>
                <w:snapToGrid w:val="0"/>
                <w:color w:val="000000"/>
                <w:spacing w:val="2"/>
                <w:kern w:val="0"/>
                <w:sz w:val="24"/>
                <w:szCs w:val="24"/>
                <w:lang w:val="en-US" w:eastAsia="en-US" w:bidi="ar-SA"/>
              </w:rPr>
              <w:t>组织。</w:t>
            </w:r>
          </w:p>
          <w:p w14:paraId="49346940">
            <w:pPr>
              <w:kinsoku w:val="0"/>
              <w:autoSpaceDE w:val="0"/>
              <w:autoSpaceDN w:val="0"/>
              <w:adjustRightInd w:val="0"/>
              <w:snapToGrid w:val="0"/>
              <w:spacing w:before="58" w:line="259" w:lineRule="auto"/>
              <w:ind w:left="120" w:right="106" w:hanging="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1"/>
                <w:kern w:val="0"/>
                <w:sz w:val="24"/>
                <w:szCs w:val="24"/>
                <w:lang w:val="en-US" w:eastAsia="en-US" w:bidi="ar-SA"/>
              </w:rPr>
              <w:t>3.为整个赛事工作提供参赛人员、裁判、仲裁和技术人</w:t>
            </w:r>
            <w:r>
              <w:rPr>
                <w:rFonts w:ascii="宋体" w:hAnsi="宋体" w:eastAsia="宋体" w:cs="宋体"/>
                <w:snapToGrid w:val="0"/>
                <w:color w:val="000000"/>
                <w:spacing w:val="6"/>
                <w:kern w:val="0"/>
                <w:sz w:val="24"/>
                <w:szCs w:val="24"/>
                <w:lang w:val="en-US" w:eastAsia="en-US" w:bidi="ar-SA"/>
              </w:rPr>
              <w:t>员及所需要的设备。</w:t>
            </w:r>
          </w:p>
          <w:p w14:paraId="116BE512">
            <w:pPr>
              <w:kinsoku w:val="0"/>
              <w:autoSpaceDE w:val="0"/>
              <w:autoSpaceDN w:val="0"/>
              <w:adjustRightInd w:val="0"/>
              <w:snapToGrid w:val="0"/>
              <w:spacing w:before="62" w:line="274" w:lineRule="auto"/>
              <w:ind w:left="113" w:right="103" w:hanging="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1"/>
                <w:kern w:val="0"/>
                <w:sz w:val="24"/>
                <w:szCs w:val="24"/>
                <w:lang w:val="en-US" w:eastAsia="en-US" w:bidi="ar-SA"/>
              </w:rPr>
              <w:t>4.负责邀请电视台等各家媒体，同时乙方需根据甲</w:t>
            </w:r>
            <w:r>
              <w:rPr>
                <w:rFonts w:ascii="宋体" w:hAnsi="宋体" w:eastAsia="宋体" w:cs="宋体"/>
                <w:snapToGrid w:val="0"/>
                <w:color w:val="000000"/>
                <w:spacing w:val="12"/>
                <w:kern w:val="0"/>
                <w:sz w:val="24"/>
                <w:szCs w:val="24"/>
                <w:lang w:val="en-US" w:eastAsia="en-US" w:bidi="ar-SA"/>
              </w:rPr>
              <w:t>方要求以及赛事宣传及推广需要，安排、组织实</w:t>
            </w:r>
            <w:r>
              <w:rPr>
                <w:rFonts w:ascii="宋体" w:hAnsi="宋体" w:eastAsia="宋体" w:cs="宋体"/>
                <w:snapToGrid w:val="0"/>
                <w:color w:val="000000"/>
                <w:spacing w:val="11"/>
                <w:kern w:val="0"/>
                <w:sz w:val="24"/>
                <w:szCs w:val="24"/>
                <w:lang w:val="en-US" w:eastAsia="en-US" w:bidi="ar-SA"/>
              </w:rPr>
              <w:t>时赛事</w:t>
            </w:r>
            <w:r>
              <w:rPr>
                <w:rFonts w:ascii="宋体" w:hAnsi="宋体" w:eastAsia="宋体" w:cs="宋体"/>
                <w:snapToGrid w:val="0"/>
                <w:color w:val="000000"/>
                <w:spacing w:val="12"/>
                <w:kern w:val="0"/>
                <w:sz w:val="24"/>
                <w:szCs w:val="24"/>
                <w:lang w:val="en-US" w:eastAsia="en-US" w:bidi="ar-SA"/>
              </w:rPr>
              <w:t>新闻发布会，及时提供、发布赛事新闻通稿以及</w:t>
            </w:r>
            <w:r>
              <w:rPr>
                <w:rFonts w:ascii="宋体" w:hAnsi="宋体" w:eastAsia="宋体" w:cs="宋体"/>
                <w:snapToGrid w:val="0"/>
                <w:color w:val="000000"/>
                <w:spacing w:val="11"/>
                <w:kern w:val="0"/>
                <w:sz w:val="24"/>
                <w:szCs w:val="24"/>
                <w:lang w:val="en-US" w:eastAsia="en-US" w:bidi="ar-SA"/>
              </w:rPr>
              <w:t>赛事软</w:t>
            </w:r>
            <w:r>
              <w:rPr>
                <w:rFonts w:ascii="宋体" w:hAnsi="宋体" w:eastAsia="宋体" w:cs="宋体"/>
                <w:snapToGrid w:val="0"/>
                <w:color w:val="000000"/>
                <w:kern w:val="0"/>
                <w:sz w:val="24"/>
                <w:szCs w:val="24"/>
                <w:lang w:val="en-US" w:eastAsia="en-US" w:bidi="ar-SA"/>
              </w:rPr>
              <w:t>文。</w:t>
            </w:r>
          </w:p>
          <w:p w14:paraId="33821B1D">
            <w:pPr>
              <w:kinsoku w:val="0"/>
              <w:autoSpaceDE w:val="0"/>
              <w:autoSpaceDN w:val="0"/>
              <w:adjustRightInd w:val="0"/>
              <w:snapToGrid w:val="0"/>
              <w:spacing w:before="65" w:line="273" w:lineRule="auto"/>
              <w:ind w:left="112" w:right="103" w:firstLine="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1"/>
                <w:kern w:val="0"/>
                <w:sz w:val="24"/>
                <w:szCs w:val="24"/>
                <w:lang w:val="en-US" w:eastAsia="en-US" w:bidi="ar-SA"/>
              </w:rPr>
              <w:t>5.负责参赛选手、领导、邀请嘉宾、裁判和技术人员等</w:t>
            </w:r>
            <w:r>
              <w:rPr>
                <w:rFonts w:ascii="宋体" w:hAnsi="宋体" w:eastAsia="宋体" w:cs="宋体"/>
                <w:snapToGrid w:val="0"/>
                <w:color w:val="000000"/>
                <w:spacing w:val="12"/>
                <w:kern w:val="0"/>
                <w:sz w:val="24"/>
                <w:szCs w:val="24"/>
                <w:lang w:val="en-US" w:eastAsia="en-US" w:bidi="ar-SA"/>
              </w:rPr>
              <w:t>的食宿安排、接待以及赛前相关的推广活动；负责</w:t>
            </w:r>
            <w:r>
              <w:rPr>
                <w:rFonts w:ascii="宋体" w:hAnsi="宋体" w:eastAsia="宋体" w:cs="宋体"/>
                <w:snapToGrid w:val="0"/>
                <w:color w:val="000000"/>
                <w:spacing w:val="11"/>
                <w:kern w:val="0"/>
                <w:sz w:val="24"/>
                <w:szCs w:val="24"/>
                <w:lang w:val="en-US" w:eastAsia="en-US" w:bidi="ar-SA"/>
              </w:rPr>
              <w:t>工程制作（灯光、音响、舞美安装制作</w:t>
            </w:r>
            <w:r>
              <w:rPr>
                <w:rFonts w:ascii="宋体" w:hAnsi="宋体" w:eastAsia="宋体" w:cs="宋体"/>
                <w:snapToGrid w:val="0"/>
                <w:color w:val="000000"/>
                <w:spacing w:val="22"/>
                <w:kern w:val="0"/>
                <w:sz w:val="24"/>
                <w:szCs w:val="24"/>
                <w:lang w:val="en-US" w:eastAsia="en-US" w:bidi="ar-SA"/>
              </w:rPr>
              <w:t>），</w:t>
            </w:r>
            <w:r>
              <w:rPr>
                <w:rFonts w:ascii="宋体" w:hAnsi="宋体" w:eastAsia="宋体" w:cs="宋体"/>
                <w:snapToGrid w:val="0"/>
                <w:color w:val="000000"/>
                <w:spacing w:val="11"/>
                <w:kern w:val="0"/>
                <w:sz w:val="24"/>
                <w:szCs w:val="24"/>
                <w:lang w:val="en-US" w:eastAsia="en-US" w:bidi="ar-SA"/>
              </w:rPr>
              <w:t>负责赛事现场医</w:t>
            </w:r>
            <w:r>
              <w:rPr>
                <w:rFonts w:ascii="宋体" w:hAnsi="宋体" w:eastAsia="宋体" w:cs="宋体"/>
                <w:snapToGrid w:val="0"/>
                <w:color w:val="000000"/>
                <w:spacing w:val="6"/>
                <w:kern w:val="0"/>
                <w:sz w:val="24"/>
                <w:szCs w:val="24"/>
                <w:lang w:val="en-US" w:eastAsia="en-US" w:bidi="ar-SA"/>
              </w:rPr>
              <w:t>疗保障工作。</w:t>
            </w:r>
          </w:p>
          <w:p w14:paraId="35D0118B">
            <w:pPr>
              <w:kinsoku w:val="0"/>
              <w:autoSpaceDE w:val="0"/>
              <w:autoSpaceDN w:val="0"/>
              <w:adjustRightInd w:val="0"/>
              <w:snapToGrid w:val="0"/>
              <w:spacing w:before="65" w:line="273" w:lineRule="auto"/>
              <w:ind w:left="121" w:right="103" w:hanging="3"/>
              <w:jc w:val="left"/>
              <w:textAlignment w:val="baseline"/>
              <w:rPr>
                <w:rFonts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zh-CN" w:bidi="ar-SA"/>
              </w:rPr>
              <w:t>6</w:t>
            </w:r>
            <w:r>
              <w:rPr>
                <w:rFonts w:ascii="宋体" w:hAnsi="宋体" w:eastAsia="宋体" w:cs="宋体"/>
                <w:snapToGrid w:val="0"/>
                <w:color w:val="000000"/>
                <w:spacing w:val="11"/>
                <w:kern w:val="0"/>
                <w:sz w:val="24"/>
                <w:szCs w:val="24"/>
                <w:lang w:val="en-US" w:eastAsia="en-US" w:bidi="ar-SA"/>
              </w:rPr>
              <w:t>.购置保险，为以下风险提供担保：在赛期（从报到之</w:t>
            </w:r>
            <w:r>
              <w:rPr>
                <w:rFonts w:ascii="宋体" w:hAnsi="宋体" w:eastAsia="宋体" w:cs="宋体"/>
                <w:snapToGrid w:val="0"/>
                <w:color w:val="000000"/>
                <w:spacing w:val="9"/>
                <w:kern w:val="0"/>
                <w:sz w:val="24"/>
                <w:szCs w:val="24"/>
                <w:lang w:val="en-US" w:eastAsia="en-US" w:bidi="ar-SA"/>
              </w:rPr>
              <w:t>日起至竞赛规程规定离开之日止）</w:t>
            </w:r>
            <w:r>
              <w:rPr>
                <w:rFonts w:ascii="宋体" w:hAnsi="宋体" w:eastAsia="宋体" w:cs="宋体"/>
                <w:snapToGrid w:val="0"/>
                <w:color w:val="000000"/>
                <w:spacing w:val="-39"/>
                <w:kern w:val="0"/>
                <w:sz w:val="24"/>
                <w:szCs w:val="24"/>
                <w:lang w:val="en-US" w:eastAsia="en-US" w:bidi="ar-SA"/>
              </w:rPr>
              <w:t xml:space="preserve"> </w:t>
            </w:r>
            <w:r>
              <w:rPr>
                <w:rFonts w:ascii="宋体" w:hAnsi="宋体" w:eastAsia="宋体" w:cs="宋体"/>
                <w:snapToGrid w:val="0"/>
                <w:color w:val="000000"/>
                <w:spacing w:val="9"/>
                <w:kern w:val="0"/>
                <w:sz w:val="24"/>
                <w:szCs w:val="24"/>
                <w:lang w:val="en-US" w:eastAsia="en-US" w:bidi="ar-SA"/>
              </w:rPr>
              <w:t>由本赛事组织和举办</w:t>
            </w:r>
            <w:r>
              <w:rPr>
                <w:rFonts w:ascii="宋体" w:hAnsi="宋体" w:eastAsia="宋体" w:cs="宋体"/>
                <w:snapToGrid w:val="0"/>
                <w:color w:val="000000"/>
                <w:spacing w:val="11"/>
                <w:kern w:val="0"/>
                <w:sz w:val="24"/>
                <w:szCs w:val="24"/>
                <w:lang w:val="en-US" w:eastAsia="en-US" w:bidi="ar-SA"/>
              </w:rPr>
              <w:t>引起的责任或损失、伤害，其中包括参赛选手、邀请嘉</w:t>
            </w:r>
            <w:r>
              <w:rPr>
                <w:rFonts w:ascii="宋体" w:hAnsi="宋体" w:eastAsia="宋体" w:cs="宋体"/>
                <w:snapToGrid w:val="0"/>
                <w:color w:val="000000"/>
                <w:spacing w:val="8"/>
                <w:kern w:val="0"/>
                <w:sz w:val="24"/>
                <w:szCs w:val="24"/>
                <w:lang w:val="en-US" w:eastAsia="en-US" w:bidi="ar-SA"/>
              </w:rPr>
              <w:t>宾、裁判员、工作人员和观众的人身意外伤害保险。</w:t>
            </w:r>
          </w:p>
        </w:tc>
        <w:tc>
          <w:tcPr>
            <w:tcW w:w="642" w:type="pct"/>
            <w:noWrap w:val="0"/>
            <w:vAlign w:val="top"/>
          </w:tcPr>
          <w:p w14:paraId="69AC8527">
            <w:pPr>
              <w:kinsoku w:val="0"/>
              <w:autoSpaceDE w:val="0"/>
              <w:autoSpaceDN w:val="0"/>
              <w:adjustRightInd w:val="0"/>
              <w:snapToGrid w:val="0"/>
              <w:spacing w:before="65" w:line="273" w:lineRule="auto"/>
              <w:ind w:left="121" w:right="103" w:hanging="3"/>
              <w:jc w:val="center"/>
              <w:textAlignment w:val="baseline"/>
              <w:rPr>
                <w:rFonts w:ascii="宋体" w:hAnsi="宋体" w:eastAsia="宋体" w:cs="宋体"/>
                <w:snapToGrid w:val="0"/>
                <w:color w:val="000000"/>
                <w:spacing w:val="11"/>
                <w:kern w:val="0"/>
                <w:sz w:val="24"/>
                <w:szCs w:val="24"/>
                <w:lang w:val="en-US" w:eastAsia="en-US" w:bidi="ar-SA"/>
              </w:rPr>
            </w:pPr>
          </w:p>
        </w:tc>
      </w:tr>
      <w:tr w14:paraId="1880B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98" w:type="pct"/>
            <w:gridSpan w:val="2"/>
            <w:noWrap w:val="0"/>
            <w:vAlign w:val="top"/>
          </w:tcPr>
          <w:p w14:paraId="7377DBCB">
            <w:pPr>
              <w:kinsoku w:val="0"/>
              <w:autoSpaceDE w:val="0"/>
              <w:autoSpaceDN w:val="0"/>
              <w:adjustRightInd w:val="0"/>
              <w:snapToGrid w:val="0"/>
              <w:spacing w:before="65" w:line="289" w:lineRule="auto"/>
              <w:ind w:left="110" w:right="108" w:firstLine="4"/>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合计</w:t>
            </w:r>
          </w:p>
        </w:tc>
        <w:tc>
          <w:tcPr>
            <w:tcW w:w="4101" w:type="pct"/>
            <w:gridSpan w:val="2"/>
            <w:noWrap w:val="0"/>
            <w:vAlign w:val="top"/>
          </w:tcPr>
          <w:p w14:paraId="4FD581ED">
            <w:pPr>
              <w:kinsoku w:val="0"/>
              <w:autoSpaceDE w:val="0"/>
              <w:autoSpaceDN w:val="0"/>
              <w:adjustRightInd w:val="0"/>
              <w:snapToGrid w:val="0"/>
              <w:spacing w:before="65" w:line="273" w:lineRule="auto"/>
              <w:ind w:left="121" w:right="103" w:hanging="3"/>
              <w:jc w:val="center"/>
              <w:textAlignment w:val="baseline"/>
              <w:rPr>
                <w:rFonts w:ascii="宋体" w:hAnsi="宋体" w:eastAsia="宋体" w:cs="宋体"/>
                <w:snapToGrid w:val="0"/>
                <w:color w:val="000000"/>
                <w:spacing w:val="11"/>
                <w:kern w:val="0"/>
                <w:sz w:val="24"/>
                <w:szCs w:val="24"/>
                <w:lang w:val="en-US" w:eastAsia="en-US" w:bidi="ar-SA"/>
              </w:rPr>
            </w:pPr>
          </w:p>
        </w:tc>
      </w:tr>
    </w:tbl>
    <w:p w14:paraId="1CCE159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5E985892">
      <w:pPr>
        <w:widowControl/>
        <w:kinsoku w:val="0"/>
        <w:autoSpaceDE w:val="0"/>
        <w:autoSpaceDN w:val="0"/>
        <w:adjustRightInd w:val="0"/>
        <w:snapToGrid w:val="0"/>
        <w:spacing w:before="78" w:line="220" w:lineRule="auto"/>
        <w:ind w:left="78"/>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2.商务条件</w:t>
      </w:r>
    </w:p>
    <w:p w14:paraId="410C7844">
      <w:pPr>
        <w:widowControl/>
        <w:kinsoku w:val="0"/>
        <w:autoSpaceDE w:val="0"/>
        <w:autoSpaceDN w:val="0"/>
        <w:adjustRightInd w:val="0"/>
        <w:snapToGrid w:val="0"/>
        <w:spacing w:before="153" w:line="220" w:lineRule="auto"/>
        <w:ind w:left="558"/>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w:t>
      </w:r>
      <w:r>
        <w:rPr>
          <w:rFonts w:ascii="宋体" w:hAnsi="宋体" w:eastAsia="宋体" w:cs="宋体"/>
          <w:snapToGrid w:val="0"/>
          <w:color w:val="000000"/>
          <w:spacing w:val="-4"/>
          <w:kern w:val="0"/>
          <w:sz w:val="24"/>
          <w:szCs w:val="24"/>
          <w:lang w:eastAsia="en-US"/>
        </w:rPr>
        <w:t xml:space="preserve">1 </w:t>
      </w:r>
      <w:r>
        <w:rPr>
          <w:rFonts w:hint="eastAsia" w:ascii="宋体" w:hAnsi="宋体" w:eastAsia="宋体" w:cs="宋体"/>
          <w:snapToGrid w:val="0"/>
          <w:color w:val="000000"/>
          <w:spacing w:val="-4"/>
          <w:kern w:val="0"/>
          <w:sz w:val="24"/>
          <w:szCs w:val="24"/>
          <w:lang w:eastAsia="en-US"/>
        </w:rPr>
        <w:t>合同履约期限</w:t>
      </w:r>
      <w:r>
        <w:rPr>
          <w:rFonts w:ascii="宋体" w:hAnsi="宋体" w:eastAsia="宋体" w:cs="宋体"/>
          <w:snapToGrid w:val="0"/>
          <w:color w:val="000000"/>
          <w:spacing w:val="-4"/>
          <w:kern w:val="0"/>
          <w:sz w:val="24"/>
          <w:szCs w:val="24"/>
          <w:lang w:eastAsia="en-US"/>
        </w:rPr>
        <w:t>：</w:t>
      </w:r>
      <w:r>
        <w:rPr>
          <w:rFonts w:hint="eastAsia" w:ascii="宋体" w:hAnsi="宋体" w:eastAsia="宋体" w:cs="宋体"/>
          <w:snapToGrid w:val="0"/>
          <w:color w:val="000000"/>
          <w:spacing w:val="-2"/>
          <w:kern w:val="0"/>
          <w:sz w:val="24"/>
          <w:szCs w:val="24"/>
          <w:lang w:val="en-US" w:eastAsia="zh-CN"/>
        </w:rPr>
        <w:t>30</w:t>
      </w:r>
      <w:r>
        <w:rPr>
          <w:rFonts w:ascii="宋体" w:hAnsi="宋体" w:eastAsia="宋体" w:cs="宋体"/>
          <w:snapToGrid w:val="0"/>
          <w:color w:val="000000"/>
          <w:spacing w:val="-46"/>
          <w:kern w:val="0"/>
          <w:sz w:val="24"/>
          <w:szCs w:val="24"/>
          <w:lang w:eastAsia="en-US"/>
        </w:rPr>
        <w:t xml:space="preserve"> </w:t>
      </w:r>
      <w:r>
        <w:rPr>
          <w:rFonts w:ascii="宋体" w:hAnsi="宋体" w:eastAsia="宋体" w:cs="宋体"/>
          <w:snapToGrid w:val="0"/>
          <w:color w:val="000000"/>
          <w:spacing w:val="-2"/>
          <w:kern w:val="0"/>
          <w:sz w:val="24"/>
          <w:szCs w:val="24"/>
          <w:lang w:eastAsia="en-US"/>
        </w:rPr>
        <w:t>天，具体服务期以签订的合同为准。</w:t>
      </w:r>
    </w:p>
    <w:p w14:paraId="3834E81E">
      <w:pPr>
        <w:widowControl/>
        <w:kinsoku w:val="0"/>
        <w:autoSpaceDE w:val="0"/>
        <w:autoSpaceDN w:val="0"/>
        <w:adjustRightInd w:val="0"/>
        <w:snapToGrid w:val="0"/>
        <w:spacing w:before="155" w:line="221" w:lineRule="auto"/>
        <w:ind w:left="558"/>
        <w:jc w:val="left"/>
        <w:textAlignment w:val="baseline"/>
        <w:rPr>
          <w:rFonts w:ascii="宋体" w:hAnsi="宋体" w:eastAsia="宋体" w:cs="宋体"/>
          <w:snapToGrid w:val="0"/>
          <w:color w:val="000000"/>
          <w:spacing w:val="-3"/>
          <w:kern w:val="0"/>
          <w:sz w:val="24"/>
          <w:szCs w:val="24"/>
          <w:lang w:eastAsia="en-US"/>
        </w:rPr>
      </w:pPr>
      <w:r>
        <w:rPr>
          <w:rFonts w:ascii="宋体" w:hAnsi="宋体" w:eastAsia="宋体" w:cs="宋体"/>
          <w:snapToGrid w:val="0"/>
          <w:color w:val="000000"/>
          <w:spacing w:val="-3"/>
          <w:kern w:val="0"/>
          <w:sz w:val="24"/>
          <w:szCs w:val="24"/>
          <w:lang w:eastAsia="en-US"/>
        </w:rPr>
        <w:t>2.2</w:t>
      </w:r>
      <w:r>
        <w:rPr>
          <w:rFonts w:ascii="宋体" w:hAnsi="宋体" w:eastAsia="宋体" w:cs="宋体"/>
          <w:snapToGrid w:val="0"/>
          <w:color w:val="000000"/>
          <w:spacing w:val="-41"/>
          <w:kern w:val="0"/>
          <w:sz w:val="24"/>
          <w:szCs w:val="24"/>
          <w:lang w:eastAsia="en-US"/>
        </w:rPr>
        <w:t xml:space="preserve"> </w:t>
      </w:r>
      <w:r>
        <w:rPr>
          <w:rFonts w:hint="eastAsia" w:ascii="宋体" w:hAnsi="宋体" w:eastAsia="宋体" w:cs="宋体"/>
          <w:snapToGrid w:val="0"/>
          <w:color w:val="000000"/>
          <w:spacing w:val="-3"/>
          <w:kern w:val="0"/>
          <w:sz w:val="24"/>
          <w:szCs w:val="24"/>
          <w:lang w:val="en-US" w:eastAsia="zh-CN"/>
        </w:rPr>
        <w:t>实施</w:t>
      </w:r>
      <w:r>
        <w:rPr>
          <w:rFonts w:ascii="宋体" w:hAnsi="宋体" w:eastAsia="宋体" w:cs="宋体"/>
          <w:snapToGrid w:val="0"/>
          <w:color w:val="000000"/>
          <w:spacing w:val="-3"/>
          <w:kern w:val="0"/>
          <w:sz w:val="24"/>
          <w:szCs w:val="24"/>
          <w:lang w:eastAsia="en-US"/>
        </w:rPr>
        <w:t>地点：</w:t>
      </w:r>
      <w:r>
        <w:rPr>
          <w:rFonts w:hint="eastAsia" w:ascii="宋体" w:hAnsi="宋体" w:eastAsia="宋体" w:cs="宋体"/>
          <w:snapToGrid w:val="0"/>
          <w:color w:val="000000"/>
          <w:spacing w:val="-3"/>
          <w:kern w:val="0"/>
          <w:sz w:val="24"/>
          <w:szCs w:val="24"/>
          <w:lang w:val="en-US" w:eastAsia="zh-CN"/>
        </w:rPr>
        <w:t>乌什</w:t>
      </w:r>
      <w:r>
        <w:rPr>
          <w:rFonts w:ascii="宋体" w:hAnsi="宋体" w:eastAsia="宋体" w:cs="宋体"/>
          <w:snapToGrid w:val="0"/>
          <w:color w:val="000000"/>
          <w:spacing w:val="-3"/>
          <w:kern w:val="0"/>
          <w:sz w:val="24"/>
          <w:szCs w:val="24"/>
          <w:lang w:eastAsia="en-US"/>
        </w:rPr>
        <w:t>县</w:t>
      </w:r>
    </w:p>
    <w:p w14:paraId="5A9DBA41">
      <w:pPr>
        <w:widowControl/>
        <w:kinsoku w:val="0"/>
        <w:autoSpaceDE w:val="0"/>
        <w:autoSpaceDN w:val="0"/>
        <w:adjustRightInd w:val="0"/>
        <w:snapToGrid w:val="0"/>
        <w:spacing w:before="155" w:line="221" w:lineRule="auto"/>
        <w:ind w:left="558"/>
        <w:jc w:val="left"/>
        <w:textAlignment w:val="baseline"/>
        <w:rPr>
          <w:rFonts w:hint="eastAsia" w:ascii="宋体" w:hAnsi="宋体" w:eastAsia="宋体" w:cs="宋体"/>
          <w:snapToGrid w:val="0"/>
          <w:color w:val="auto"/>
          <w:kern w:val="0"/>
          <w:sz w:val="24"/>
          <w:szCs w:val="24"/>
          <w:highlight w:val="none"/>
          <w:shd w:val="clear" w:color="auto" w:fill="auto"/>
          <w:lang w:eastAsia="zh-CN"/>
        </w:rPr>
      </w:pPr>
      <w:r>
        <w:rPr>
          <w:rFonts w:ascii="宋体" w:hAnsi="宋体" w:eastAsia="宋体" w:cs="宋体"/>
          <w:snapToGrid w:val="0"/>
          <w:color w:val="000000"/>
          <w:spacing w:val="-4"/>
          <w:kern w:val="0"/>
          <w:sz w:val="24"/>
          <w:szCs w:val="24"/>
          <w:lang w:eastAsia="en-US"/>
        </w:rPr>
        <w:t>2.3</w:t>
      </w:r>
      <w:r>
        <w:rPr>
          <w:rFonts w:ascii="宋体" w:hAnsi="宋体" w:eastAsia="宋体" w:cs="宋体"/>
          <w:snapToGrid w:val="0"/>
          <w:color w:val="000000"/>
          <w:spacing w:val="-46"/>
          <w:kern w:val="0"/>
          <w:sz w:val="24"/>
          <w:szCs w:val="24"/>
          <w:lang w:eastAsia="en-US"/>
        </w:rPr>
        <w:t xml:space="preserve"> </w:t>
      </w:r>
      <w:r>
        <w:rPr>
          <w:rFonts w:ascii="宋体" w:hAnsi="宋体" w:eastAsia="宋体" w:cs="宋体"/>
          <w:snapToGrid w:val="0"/>
          <w:color w:val="000000"/>
          <w:spacing w:val="-4"/>
          <w:kern w:val="0"/>
          <w:sz w:val="24"/>
          <w:szCs w:val="24"/>
          <w:lang w:eastAsia="en-US"/>
        </w:rPr>
        <w:t>付款方式</w:t>
      </w:r>
      <w:bookmarkStart w:id="83" w:name="bookmark4"/>
      <w:bookmarkEnd w:id="83"/>
      <w:r>
        <w:rPr>
          <w:rFonts w:hint="eastAsia" w:ascii="宋体" w:hAnsi="宋体" w:eastAsia="宋体" w:cs="宋体"/>
          <w:snapToGrid w:val="0"/>
          <w:color w:val="000000"/>
          <w:spacing w:val="-4"/>
          <w:kern w:val="0"/>
          <w:sz w:val="24"/>
          <w:szCs w:val="24"/>
          <w:lang w:eastAsia="zh-CN"/>
        </w:rPr>
        <w:t>：</w:t>
      </w:r>
      <w:r>
        <w:rPr>
          <w:rFonts w:hint="eastAsia" w:ascii="宋体" w:hAnsi="宋体" w:eastAsia="宋体" w:cs="宋体"/>
          <w:snapToGrid w:val="0"/>
          <w:color w:val="auto"/>
          <w:kern w:val="0"/>
          <w:sz w:val="24"/>
          <w:szCs w:val="24"/>
          <w:highlight w:val="none"/>
          <w:shd w:val="clear" w:color="auto" w:fill="auto"/>
          <w:lang w:eastAsia="en-US"/>
        </w:rPr>
        <w:t>具体付款方式以甲乙双方签订合同为准</w:t>
      </w:r>
      <w:r>
        <w:rPr>
          <w:rFonts w:hint="eastAsia" w:ascii="宋体" w:hAnsi="宋体" w:eastAsia="宋体" w:cs="宋体"/>
          <w:snapToGrid w:val="0"/>
          <w:color w:val="auto"/>
          <w:kern w:val="0"/>
          <w:sz w:val="24"/>
          <w:szCs w:val="24"/>
          <w:highlight w:val="none"/>
          <w:shd w:val="clear" w:color="auto" w:fill="auto"/>
          <w:lang w:eastAsia="zh-CN"/>
        </w:rPr>
        <w:t>。</w:t>
      </w:r>
    </w:p>
    <w:p w14:paraId="333B9C4E">
      <w:pPr>
        <w:widowControl/>
        <w:kinsoku w:val="0"/>
        <w:autoSpaceDE w:val="0"/>
        <w:autoSpaceDN w:val="0"/>
        <w:adjustRightInd w:val="0"/>
        <w:snapToGrid w:val="0"/>
        <w:spacing w:before="155" w:line="221" w:lineRule="auto"/>
        <w:ind w:left="558"/>
        <w:jc w:val="left"/>
        <w:textAlignment w:val="baseline"/>
        <w:rPr>
          <w:rFonts w:hint="default" w:ascii="Arial" w:hAnsi="Arial" w:eastAsia="Arial" w:cs="Arial"/>
          <w:snapToGrid w:val="0"/>
          <w:color w:val="000000"/>
          <w:kern w:val="0"/>
          <w:szCs w:val="21"/>
          <w:lang w:val="en-US" w:eastAsia="en-US"/>
        </w:rPr>
      </w:pPr>
      <w:r>
        <w:rPr>
          <w:rFonts w:hint="eastAsia" w:ascii="宋体" w:hAnsi="宋体" w:eastAsia="宋体" w:cs="宋体"/>
          <w:snapToGrid w:val="0"/>
          <w:color w:val="auto"/>
          <w:kern w:val="0"/>
          <w:sz w:val="24"/>
          <w:szCs w:val="24"/>
          <w:highlight w:val="none"/>
          <w:shd w:val="clear" w:color="auto" w:fill="auto"/>
          <w:lang w:val="en-US" w:eastAsia="zh-CN"/>
        </w:rPr>
        <w:t>2.4服务内容：举办2025首届“烂柯杯”中国-中亚围棋邀请赛赛事活动。</w:t>
      </w:r>
    </w:p>
    <w:p w14:paraId="13510ADB">
      <w:pPr>
        <w:widowControl/>
        <w:kinsoku w:val="0"/>
        <w:autoSpaceDE w:val="0"/>
        <w:autoSpaceDN w:val="0"/>
        <w:adjustRightInd w:val="0"/>
        <w:snapToGrid w:val="0"/>
        <w:spacing w:before="153" w:line="220" w:lineRule="auto"/>
        <w:ind w:left="558"/>
        <w:jc w:val="left"/>
        <w:textAlignment w:val="baseline"/>
        <w:rPr>
          <w:rFonts w:hint="eastAsia" w:ascii="宋体" w:hAnsi="宋体" w:eastAsia="宋体" w:cs="宋体"/>
          <w:snapToGrid w:val="0"/>
          <w:color w:val="000000"/>
          <w:spacing w:val="-2"/>
          <w:kern w:val="0"/>
          <w:sz w:val="24"/>
          <w:szCs w:val="24"/>
          <w:lang w:eastAsia="en-US"/>
        </w:rPr>
      </w:pPr>
      <w:r>
        <w:rPr>
          <w:rFonts w:hint="eastAsia" w:ascii="宋体" w:hAnsi="宋体" w:eastAsia="宋体" w:cs="宋体"/>
          <w:snapToGrid w:val="0"/>
          <w:color w:val="000000"/>
          <w:spacing w:val="-2"/>
          <w:kern w:val="0"/>
          <w:sz w:val="24"/>
          <w:szCs w:val="24"/>
          <w:lang w:val="en-US" w:eastAsia="zh-CN"/>
        </w:rPr>
        <w:t>2.5</w:t>
      </w:r>
      <w:r>
        <w:rPr>
          <w:rFonts w:hint="eastAsia" w:ascii="宋体" w:hAnsi="宋体" w:eastAsia="宋体" w:cs="宋体"/>
          <w:snapToGrid w:val="0"/>
          <w:color w:val="000000"/>
          <w:spacing w:val="-2"/>
          <w:kern w:val="0"/>
          <w:sz w:val="24"/>
          <w:szCs w:val="24"/>
          <w:lang w:eastAsia="en-US"/>
        </w:rPr>
        <w:t>服务追诉期：符合国家规范，国家主管部门或者行业标准对服务本身 有更高要求的，从其规定并在合同中约定，响应单位亦可提报更长的服务追诉期。</w:t>
      </w:r>
    </w:p>
    <w:p w14:paraId="3368F528">
      <w:pPr>
        <w:widowControl/>
        <w:kinsoku w:val="0"/>
        <w:autoSpaceDE w:val="0"/>
        <w:autoSpaceDN w:val="0"/>
        <w:adjustRightInd w:val="0"/>
        <w:snapToGrid w:val="0"/>
        <w:spacing w:before="153" w:line="220" w:lineRule="auto"/>
        <w:ind w:left="558"/>
        <w:jc w:val="left"/>
        <w:textAlignment w:val="baseline"/>
        <w:rPr>
          <w:rFonts w:hint="eastAsia" w:ascii="宋体" w:hAnsi="宋体" w:eastAsia="宋体" w:cs="宋体"/>
          <w:snapToGrid w:val="0"/>
          <w:color w:val="000000"/>
          <w:spacing w:val="-2"/>
          <w:kern w:val="0"/>
          <w:sz w:val="24"/>
          <w:szCs w:val="24"/>
          <w:lang w:eastAsia="en-US"/>
        </w:rPr>
      </w:pPr>
      <w:r>
        <w:rPr>
          <w:rFonts w:hint="eastAsia" w:ascii="宋体" w:hAnsi="宋体" w:eastAsia="宋体" w:cs="宋体"/>
          <w:snapToGrid w:val="0"/>
          <w:color w:val="000000"/>
          <w:spacing w:val="-2"/>
          <w:kern w:val="0"/>
          <w:sz w:val="24"/>
          <w:szCs w:val="24"/>
          <w:lang w:val="en-US" w:eastAsia="zh-CN"/>
        </w:rPr>
        <w:t>2.6</w:t>
      </w:r>
      <w:r>
        <w:rPr>
          <w:rFonts w:hint="eastAsia" w:ascii="宋体" w:hAnsi="宋体" w:eastAsia="宋体" w:cs="宋体"/>
          <w:snapToGrid w:val="0"/>
          <w:color w:val="000000"/>
          <w:spacing w:val="-2"/>
          <w:kern w:val="0"/>
          <w:sz w:val="24"/>
          <w:szCs w:val="24"/>
          <w:lang w:eastAsia="en-US"/>
        </w:rPr>
        <w:t>服务追诉期内，如果证实服务含有漏洞的，包括潜在的漏洞或者使用不符合有关部门的服务规定等，成交供应商应立即整改，保证达到合同规定的服务技术以及性能要求。如果成交供应商在收到通知后 5 天内没有弥补缺陷，采购人可自行采取必要的补救措施，但风险和费用由成交供应商承担，采购人同时保留通过法律途径进行索赔的权利。</w:t>
      </w:r>
    </w:p>
    <w:p w14:paraId="5A6D40F4">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4"/>
          <w:highlight w:val="yellow"/>
          <w:lang w:val="en-US" w:eastAsia="zh-CN"/>
        </w:rPr>
      </w:pPr>
    </w:p>
    <w:p w14:paraId="28F78922">
      <w:pPr>
        <w:pStyle w:val="2"/>
        <w:numPr>
          <w:ilvl w:val="0"/>
          <w:numId w:val="2"/>
        </w:numPr>
        <w:spacing w:before="0" w:after="0" w:line="240" w:lineRule="auto"/>
        <w:ind w:left="0" w:leftChars="0"/>
        <w:rPr>
          <w:rFonts w:hint="eastAsia" w:ascii="宋体" w:hAnsi="宋体" w:eastAsia="宋体" w:cs="宋体"/>
          <w:color w:val="auto"/>
        </w:rPr>
      </w:pPr>
      <w:bookmarkStart w:id="84" w:name="_Toc10724"/>
      <w:bookmarkStart w:id="85" w:name="_Toc20816"/>
      <w:r>
        <w:rPr>
          <w:rFonts w:hint="eastAsia" w:ascii="宋体" w:hAnsi="宋体" w:eastAsia="宋体" w:cs="宋体"/>
          <w:color w:val="auto"/>
          <w:lang w:val="en-US" w:eastAsia="zh-CN"/>
        </w:rPr>
        <w:t xml:space="preserve"> </w:t>
      </w:r>
      <w:bookmarkStart w:id="86" w:name="_Toc5472"/>
      <w:bookmarkStart w:id="87" w:name="_Toc23076"/>
      <w:bookmarkStart w:id="88" w:name="_Toc3330"/>
      <w:r>
        <w:rPr>
          <w:rFonts w:hint="eastAsia" w:ascii="宋体" w:hAnsi="宋体" w:eastAsia="宋体" w:cs="宋体"/>
          <w:color w:val="auto"/>
        </w:rPr>
        <w:t>评审方法</w:t>
      </w:r>
      <w:bookmarkEnd w:id="75"/>
      <w:bookmarkEnd w:id="76"/>
      <w:bookmarkEnd w:id="77"/>
      <w:bookmarkEnd w:id="78"/>
      <w:bookmarkEnd w:id="84"/>
      <w:bookmarkEnd w:id="85"/>
      <w:bookmarkEnd w:id="86"/>
      <w:bookmarkEnd w:id="87"/>
      <w:bookmarkEnd w:id="88"/>
    </w:p>
    <w:p w14:paraId="1E37313D">
      <w:pPr>
        <w:tabs>
          <w:tab w:val="left" w:pos="420"/>
          <w:tab w:val="left" w:pos="7560"/>
          <w:tab w:val="left" w:pos="7740"/>
          <w:tab w:val="left" w:pos="7920"/>
        </w:tabs>
        <w:adjustRightInd w:val="0"/>
        <w:snapToGrid w:val="0"/>
        <w:spacing w:line="360" w:lineRule="exact"/>
        <w:rPr>
          <w:rFonts w:hint="eastAsia" w:ascii="宋体" w:hAnsi="宋体" w:eastAsia="宋体" w:cs="宋体"/>
          <w:b/>
          <w:color w:val="auto"/>
          <w:sz w:val="28"/>
          <w:szCs w:val="24"/>
          <w:highlight w:val="white"/>
          <w:lang w:val="en-US" w:eastAsia="zh-CN"/>
        </w:rPr>
      </w:pPr>
      <w:bookmarkStart w:id="89" w:name="_Toc293736067"/>
      <w:bookmarkStart w:id="90" w:name="_Toc446599330"/>
      <w:bookmarkStart w:id="91" w:name="_Toc293739005"/>
      <w:bookmarkStart w:id="92" w:name="_Toc293736024"/>
    </w:p>
    <w:p w14:paraId="4B0940A4">
      <w:pPr>
        <w:spacing w:line="500" w:lineRule="exact"/>
        <w:outlineLvl w:val="1"/>
        <w:rPr>
          <w:rFonts w:hint="eastAsia" w:ascii="宋体" w:hAnsi="宋体" w:eastAsia="宋体" w:cs="宋体"/>
          <w:b/>
          <w:color w:val="auto"/>
          <w:sz w:val="28"/>
          <w:szCs w:val="24"/>
          <w:highlight w:val="white"/>
          <w:lang w:val="en-US" w:eastAsia="zh-CN"/>
        </w:rPr>
      </w:pPr>
      <w:bookmarkStart w:id="93" w:name="_Toc12926"/>
      <w:bookmarkStart w:id="94" w:name="_Toc16809"/>
      <w:r>
        <w:rPr>
          <w:rFonts w:hint="eastAsia" w:ascii="宋体" w:hAnsi="宋体" w:eastAsia="宋体" w:cs="宋体"/>
          <w:b/>
          <w:color w:val="auto"/>
          <w:sz w:val="28"/>
          <w:szCs w:val="28"/>
          <w:lang w:eastAsia="zh-CN"/>
        </w:rPr>
        <w:t>一、评审办法</w:t>
      </w:r>
      <w:r>
        <w:rPr>
          <w:rFonts w:hint="eastAsia" w:ascii="宋体" w:hAnsi="宋体" w:eastAsia="宋体" w:cs="宋体"/>
          <w:b/>
          <w:color w:val="auto"/>
          <w:sz w:val="28"/>
          <w:szCs w:val="28"/>
        </w:rPr>
        <w:t>前附表</w:t>
      </w:r>
      <w:bookmarkEnd w:id="93"/>
      <w:bookmarkEnd w:id="94"/>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72"/>
        <w:gridCol w:w="1668"/>
        <w:gridCol w:w="5705"/>
        <w:gridCol w:w="1207"/>
      </w:tblGrid>
      <w:tr w14:paraId="7974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1456" w:type="pct"/>
            <w:gridSpan w:val="2"/>
            <w:noWrap w:val="0"/>
            <w:vAlign w:val="center"/>
          </w:tcPr>
          <w:p w14:paraId="634A2929">
            <w:pPr>
              <w:spacing w:line="360" w:lineRule="auto"/>
              <w:ind w:firstLine="649" w:firstLineChars="294"/>
              <w:jc w:val="both"/>
              <w:rPr>
                <w:rFonts w:hint="eastAsia" w:ascii="宋体" w:hAnsi="宋体" w:eastAsia="宋体" w:cs="宋体"/>
                <w:b/>
                <w:color w:val="auto"/>
                <w:sz w:val="22"/>
                <w:szCs w:val="22"/>
              </w:rPr>
            </w:pPr>
            <w:r>
              <w:rPr>
                <w:rFonts w:hint="eastAsia" w:ascii="宋体" w:hAnsi="宋体" w:eastAsia="宋体" w:cs="宋体"/>
                <w:b/>
                <w:color w:val="auto"/>
                <w:sz w:val="22"/>
                <w:szCs w:val="22"/>
              </w:rPr>
              <w:t>评分因素</w:t>
            </w:r>
          </w:p>
        </w:tc>
        <w:tc>
          <w:tcPr>
            <w:tcW w:w="2925" w:type="pct"/>
            <w:noWrap w:val="0"/>
            <w:vAlign w:val="center"/>
          </w:tcPr>
          <w:p w14:paraId="52C9FDAB">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评分标准</w:t>
            </w:r>
          </w:p>
        </w:tc>
        <w:tc>
          <w:tcPr>
            <w:tcW w:w="617" w:type="pct"/>
            <w:noWrap w:val="0"/>
            <w:vAlign w:val="center"/>
          </w:tcPr>
          <w:p w14:paraId="74C38517">
            <w:pPr>
              <w:spacing w:line="360" w:lineRule="auto"/>
              <w:jc w:val="cente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rPr>
              <w:t>评审</w:t>
            </w:r>
            <w:r>
              <w:rPr>
                <w:rFonts w:hint="eastAsia" w:ascii="宋体" w:hAnsi="宋体" w:eastAsia="宋体" w:cs="宋体"/>
                <w:b/>
                <w:color w:val="auto"/>
                <w:sz w:val="22"/>
                <w:szCs w:val="22"/>
                <w:lang w:eastAsia="zh-CN"/>
              </w:rPr>
              <w:t>结论</w:t>
            </w:r>
          </w:p>
        </w:tc>
      </w:tr>
      <w:tr w14:paraId="5BB0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01" w:type="pct"/>
            <w:vMerge w:val="restart"/>
            <w:noWrap w:val="0"/>
            <w:vAlign w:val="center"/>
          </w:tcPr>
          <w:p w14:paraId="0FE00901">
            <w:pPr>
              <w:spacing w:line="360" w:lineRule="auto"/>
              <w:ind w:firstLine="110" w:firstLineChars="50"/>
              <w:jc w:val="both"/>
              <w:rPr>
                <w:rFonts w:hint="eastAsia" w:ascii="宋体" w:hAnsi="宋体" w:eastAsia="宋体" w:cs="宋体"/>
                <w:color w:val="auto"/>
                <w:sz w:val="22"/>
                <w:szCs w:val="22"/>
              </w:rPr>
            </w:pPr>
            <w:r>
              <w:rPr>
                <w:rFonts w:hint="eastAsia" w:ascii="宋体" w:hAnsi="宋体" w:eastAsia="宋体" w:cs="宋体"/>
                <w:color w:val="auto"/>
                <w:sz w:val="22"/>
                <w:szCs w:val="22"/>
              </w:rPr>
              <w:t>初步评审</w:t>
            </w:r>
          </w:p>
        </w:tc>
        <w:tc>
          <w:tcPr>
            <w:tcW w:w="855" w:type="pct"/>
            <w:noWrap w:val="0"/>
            <w:vAlign w:val="center"/>
          </w:tcPr>
          <w:p w14:paraId="6CB4E40D">
            <w:pPr>
              <w:spacing w:line="360" w:lineRule="auto"/>
              <w:jc w:val="center"/>
              <w:rPr>
                <w:rFonts w:hint="eastAsia" w:ascii="宋体" w:hAnsi="宋体" w:eastAsia="宋体" w:cs="宋体"/>
                <w:b/>
                <w:color w:val="auto"/>
                <w:sz w:val="22"/>
                <w:szCs w:val="22"/>
                <w:lang w:eastAsia="zh-CN"/>
              </w:rPr>
            </w:pPr>
            <w:r>
              <w:rPr>
                <w:rFonts w:hint="eastAsia" w:ascii="宋体" w:hAnsi="宋体" w:eastAsia="宋体" w:cs="宋体"/>
                <w:color w:val="auto"/>
                <w:sz w:val="22"/>
                <w:szCs w:val="22"/>
                <w:highlight w:val="none"/>
              </w:rPr>
              <w:t>资格</w:t>
            </w:r>
            <w:r>
              <w:rPr>
                <w:rFonts w:hint="eastAsia" w:ascii="宋体" w:hAnsi="宋体" w:eastAsia="宋体" w:cs="宋体"/>
                <w:color w:val="auto"/>
                <w:sz w:val="22"/>
                <w:szCs w:val="22"/>
                <w:highlight w:val="none"/>
                <w:lang w:eastAsia="zh-CN"/>
              </w:rPr>
              <w:t>审查</w:t>
            </w:r>
          </w:p>
        </w:tc>
        <w:tc>
          <w:tcPr>
            <w:tcW w:w="2925" w:type="pct"/>
            <w:vMerge w:val="restart"/>
            <w:noWrap w:val="0"/>
            <w:vAlign w:val="center"/>
          </w:tcPr>
          <w:p w14:paraId="68EAB75E">
            <w:pPr>
              <w:spacing w:line="360" w:lineRule="auto"/>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详见附表一</w:t>
            </w:r>
          </w:p>
        </w:tc>
        <w:tc>
          <w:tcPr>
            <w:tcW w:w="617" w:type="pct"/>
            <w:vMerge w:val="restart"/>
            <w:noWrap w:val="0"/>
            <w:vAlign w:val="top"/>
          </w:tcPr>
          <w:p w14:paraId="7F29E22A">
            <w:pPr>
              <w:spacing w:line="360" w:lineRule="auto"/>
              <w:jc w:val="center"/>
              <w:rPr>
                <w:rFonts w:hint="eastAsia" w:ascii="宋体" w:hAnsi="宋体" w:eastAsia="宋体" w:cs="宋体"/>
                <w:color w:val="auto"/>
                <w:sz w:val="22"/>
                <w:szCs w:val="22"/>
              </w:rPr>
            </w:pPr>
          </w:p>
        </w:tc>
      </w:tr>
      <w:tr w14:paraId="649A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01" w:type="pct"/>
            <w:vMerge w:val="continue"/>
            <w:noWrap w:val="0"/>
            <w:vAlign w:val="top"/>
          </w:tcPr>
          <w:p w14:paraId="4635BEA2">
            <w:pPr>
              <w:spacing w:line="360" w:lineRule="auto"/>
              <w:jc w:val="center"/>
              <w:rPr>
                <w:rFonts w:hint="eastAsia" w:ascii="宋体" w:hAnsi="宋体" w:eastAsia="宋体" w:cs="宋体"/>
                <w:color w:val="auto"/>
                <w:sz w:val="22"/>
                <w:szCs w:val="22"/>
              </w:rPr>
            </w:pPr>
          </w:p>
        </w:tc>
        <w:tc>
          <w:tcPr>
            <w:tcW w:w="855" w:type="pct"/>
            <w:noWrap w:val="0"/>
            <w:vAlign w:val="center"/>
          </w:tcPr>
          <w:p w14:paraId="1204D79D">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符合性</w:t>
            </w:r>
            <w:r>
              <w:rPr>
                <w:rFonts w:hint="eastAsia" w:ascii="宋体" w:hAnsi="宋体" w:eastAsia="宋体" w:cs="宋体"/>
                <w:color w:val="auto"/>
                <w:sz w:val="22"/>
                <w:szCs w:val="22"/>
                <w:lang w:eastAsia="zh-CN"/>
              </w:rPr>
              <w:t>审查</w:t>
            </w:r>
          </w:p>
        </w:tc>
        <w:tc>
          <w:tcPr>
            <w:tcW w:w="2925" w:type="pct"/>
            <w:vMerge w:val="continue"/>
            <w:noWrap w:val="0"/>
            <w:vAlign w:val="center"/>
          </w:tcPr>
          <w:p w14:paraId="0CE518A1">
            <w:pPr>
              <w:spacing w:line="440" w:lineRule="exact"/>
              <w:jc w:val="left"/>
              <w:rPr>
                <w:rFonts w:hint="eastAsia" w:ascii="宋体" w:hAnsi="宋体" w:eastAsia="宋体" w:cs="宋体"/>
                <w:color w:val="auto"/>
                <w:sz w:val="22"/>
                <w:szCs w:val="22"/>
              </w:rPr>
            </w:pPr>
          </w:p>
        </w:tc>
        <w:tc>
          <w:tcPr>
            <w:tcW w:w="617" w:type="pct"/>
            <w:vMerge w:val="continue"/>
            <w:noWrap w:val="0"/>
            <w:vAlign w:val="top"/>
          </w:tcPr>
          <w:p w14:paraId="6D9D8B8B">
            <w:pPr>
              <w:spacing w:line="360" w:lineRule="auto"/>
              <w:jc w:val="center"/>
              <w:rPr>
                <w:rFonts w:hint="eastAsia" w:ascii="宋体" w:hAnsi="宋体" w:eastAsia="宋体" w:cs="宋体"/>
                <w:color w:val="auto"/>
                <w:sz w:val="22"/>
                <w:szCs w:val="22"/>
              </w:rPr>
            </w:pPr>
          </w:p>
        </w:tc>
      </w:tr>
      <w:tr w14:paraId="058C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4"/>
            <w:noWrap w:val="0"/>
            <w:vAlign w:val="center"/>
          </w:tcPr>
          <w:p w14:paraId="4C56314A">
            <w:pPr>
              <w:spacing w:line="360" w:lineRule="auto"/>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说明：</w:t>
            </w:r>
            <w:r>
              <w:rPr>
                <w:rFonts w:hint="eastAsia" w:ascii="宋体" w:hAnsi="宋体" w:eastAsia="宋体" w:cs="宋体"/>
                <w:color w:val="auto"/>
                <w:sz w:val="22"/>
                <w:szCs w:val="22"/>
              </w:rPr>
              <w:t>初步评审</w:t>
            </w:r>
            <w:r>
              <w:rPr>
                <w:rFonts w:hint="eastAsia" w:ascii="宋体" w:hAnsi="宋体" w:eastAsia="宋体" w:cs="宋体"/>
                <w:color w:val="auto"/>
                <w:sz w:val="22"/>
                <w:szCs w:val="22"/>
                <w:lang w:eastAsia="zh-CN"/>
              </w:rPr>
              <w:t>不通过的</w:t>
            </w:r>
            <w:r>
              <w:rPr>
                <w:rFonts w:hint="eastAsia" w:ascii="宋体" w:hAnsi="宋体" w:eastAsia="宋体" w:cs="宋体"/>
                <w:color w:val="auto"/>
                <w:sz w:val="22"/>
                <w:szCs w:val="22"/>
                <w:lang w:val="en-US" w:eastAsia="zh-CN"/>
              </w:rPr>
              <w:t>不再进入详细评审</w:t>
            </w:r>
          </w:p>
        </w:tc>
      </w:tr>
      <w:tr w14:paraId="4FD1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1456" w:type="pct"/>
            <w:gridSpan w:val="2"/>
            <w:noWrap w:val="0"/>
            <w:vAlign w:val="top"/>
          </w:tcPr>
          <w:p w14:paraId="184FA215">
            <w:pPr>
              <w:spacing w:line="360" w:lineRule="auto"/>
              <w:ind w:firstLine="541" w:firstLineChars="245"/>
              <w:rPr>
                <w:rFonts w:hint="eastAsia" w:ascii="宋体" w:hAnsi="宋体" w:eastAsia="宋体" w:cs="宋体"/>
                <w:color w:val="auto"/>
                <w:sz w:val="22"/>
                <w:szCs w:val="22"/>
              </w:rPr>
            </w:pPr>
            <w:r>
              <w:rPr>
                <w:rFonts w:hint="eastAsia" w:ascii="宋体" w:hAnsi="宋体" w:eastAsia="宋体" w:cs="宋体"/>
                <w:b/>
                <w:color w:val="auto"/>
                <w:sz w:val="22"/>
                <w:szCs w:val="22"/>
              </w:rPr>
              <w:t>评分因素</w:t>
            </w:r>
          </w:p>
        </w:tc>
        <w:tc>
          <w:tcPr>
            <w:tcW w:w="2925" w:type="pct"/>
            <w:noWrap w:val="0"/>
            <w:vAlign w:val="center"/>
          </w:tcPr>
          <w:p w14:paraId="622327D9">
            <w:pPr>
              <w:spacing w:line="360" w:lineRule="auto"/>
              <w:jc w:val="center"/>
              <w:rPr>
                <w:rFonts w:hint="eastAsia" w:ascii="宋体" w:hAnsi="宋体" w:eastAsia="宋体" w:cs="宋体"/>
                <w:color w:val="auto"/>
                <w:sz w:val="22"/>
                <w:szCs w:val="22"/>
              </w:rPr>
            </w:pPr>
            <w:r>
              <w:rPr>
                <w:rFonts w:hint="eastAsia" w:ascii="宋体" w:hAnsi="宋体" w:eastAsia="宋体" w:cs="宋体"/>
                <w:b/>
                <w:color w:val="auto"/>
                <w:sz w:val="22"/>
                <w:szCs w:val="22"/>
              </w:rPr>
              <w:t>评分标准</w:t>
            </w:r>
          </w:p>
        </w:tc>
        <w:tc>
          <w:tcPr>
            <w:tcW w:w="617" w:type="pct"/>
            <w:noWrap w:val="0"/>
            <w:vAlign w:val="top"/>
          </w:tcPr>
          <w:p w14:paraId="7593963C">
            <w:pPr>
              <w:spacing w:line="360" w:lineRule="auto"/>
              <w:jc w:val="center"/>
              <w:rPr>
                <w:rFonts w:hint="eastAsia" w:ascii="宋体" w:hAnsi="宋体" w:eastAsia="宋体" w:cs="宋体"/>
                <w:color w:val="auto"/>
                <w:sz w:val="22"/>
                <w:szCs w:val="22"/>
              </w:rPr>
            </w:pPr>
            <w:r>
              <w:rPr>
                <w:rFonts w:hint="eastAsia" w:ascii="宋体" w:hAnsi="宋体" w:eastAsia="宋体" w:cs="宋体"/>
                <w:b/>
                <w:color w:val="auto"/>
                <w:sz w:val="22"/>
                <w:szCs w:val="22"/>
              </w:rPr>
              <w:t>权重分配</w:t>
            </w:r>
          </w:p>
        </w:tc>
      </w:tr>
      <w:tr w14:paraId="7E4E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20" w:hRule="atLeast"/>
          <w:jc w:val="center"/>
        </w:trPr>
        <w:tc>
          <w:tcPr>
            <w:tcW w:w="601" w:type="pct"/>
            <w:vMerge w:val="restart"/>
            <w:noWrap w:val="0"/>
            <w:vAlign w:val="center"/>
          </w:tcPr>
          <w:p w14:paraId="343D9310">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详细评审</w:t>
            </w:r>
          </w:p>
        </w:tc>
        <w:tc>
          <w:tcPr>
            <w:tcW w:w="855" w:type="pct"/>
            <w:noWrap w:val="0"/>
            <w:vAlign w:val="center"/>
          </w:tcPr>
          <w:p w14:paraId="0A21EC09">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投标报价评审</w:t>
            </w:r>
          </w:p>
          <w:p w14:paraId="7A67DE8B">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c>
          <w:tcPr>
            <w:tcW w:w="2925" w:type="pct"/>
            <w:noWrap w:val="0"/>
            <w:vAlign w:val="center"/>
          </w:tcPr>
          <w:p w14:paraId="0D2347C6">
            <w:pPr>
              <w:spacing w:line="360" w:lineRule="auto"/>
              <w:jc w:val="left"/>
              <w:rPr>
                <w:rFonts w:hint="eastAsia" w:ascii="宋体" w:hAnsi="宋体" w:eastAsia="宋体" w:cs="宋体"/>
                <w:color w:val="auto"/>
                <w:sz w:val="28"/>
                <w:szCs w:val="18"/>
                <w:lang w:eastAsia="zh-CN"/>
              </w:rPr>
            </w:pPr>
            <w:r>
              <w:rPr>
                <w:rFonts w:hint="eastAsia" w:ascii="宋体" w:hAnsi="宋体" w:eastAsia="宋体" w:cs="宋体"/>
                <w:color w:val="auto"/>
                <w:kern w:val="2"/>
                <w:sz w:val="22"/>
                <w:szCs w:val="22"/>
                <w:lang w:val="en-US" w:eastAsia="zh-CN" w:bidi="ar-SA"/>
              </w:rPr>
              <w:t>评标基准价=有效投标报价的最低值，有效投标报价等于基准值的得满分，投标报价得分=（评标基准价/投标报价）×价格权重×100。有效投标报价为通过初步审查的供应商报价。</w:t>
            </w:r>
          </w:p>
        </w:tc>
        <w:tc>
          <w:tcPr>
            <w:tcW w:w="617" w:type="pct"/>
            <w:noWrap w:val="0"/>
            <w:vAlign w:val="center"/>
          </w:tcPr>
          <w:p w14:paraId="0EC355F9">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w:t>
            </w:r>
          </w:p>
        </w:tc>
      </w:tr>
      <w:tr w14:paraId="4C69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01" w:type="pct"/>
            <w:vMerge w:val="continue"/>
            <w:noWrap w:val="0"/>
            <w:vAlign w:val="center"/>
          </w:tcPr>
          <w:p w14:paraId="0F32C744">
            <w:pPr>
              <w:spacing w:line="360" w:lineRule="auto"/>
              <w:jc w:val="center"/>
              <w:rPr>
                <w:rFonts w:hint="eastAsia" w:ascii="宋体" w:hAnsi="宋体" w:eastAsia="宋体" w:cs="宋体"/>
                <w:color w:val="auto"/>
                <w:sz w:val="22"/>
                <w:szCs w:val="22"/>
              </w:rPr>
            </w:pPr>
          </w:p>
        </w:tc>
        <w:tc>
          <w:tcPr>
            <w:tcW w:w="855" w:type="pct"/>
            <w:noWrap w:val="0"/>
            <w:vAlign w:val="center"/>
          </w:tcPr>
          <w:p w14:paraId="63D41CA8">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商务</w:t>
            </w:r>
            <w:r>
              <w:rPr>
                <w:rFonts w:hint="eastAsia" w:ascii="宋体" w:hAnsi="宋体" w:eastAsia="宋体" w:cs="宋体"/>
                <w:color w:val="auto"/>
                <w:sz w:val="22"/>
                <w:szCs w:val="22"/>
              </w:rPr>
              <w:t>技术标评审</w:t>
            </w:r>
          </w:p>
          <w:p w14:paraId="08FE6E10">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cs="宋体"/>
                <w:color w:val="auto"/>
                <w:sz w:val="22"/>
                <w:szCs w:val="22"/>
                <w:lang w:val="en-US" w:eastAsia="zh-CN"/>
              </w:rPr>
              <w:t>90</w:t>
            </w:r>
            <w:r>
              <w:rPr>
                <w:rFonts w:hint="eastAsia" w:ascii="宋体" w:hAnsi="宋体" w:eastAsia="宋体" w:cs="宋体"/>
                <w:color w:val="auto"/>
                <w:sz w:val="22"/>
                <w:szCs w:val="22"/>
              </w:rPr>
              <w:t>分）</w:t>
            </w:r>
          </w:p>
        </w:tc>
        <w:tc>
          <w:tcPr>
            <w:tcW w:w="2925" w:type="pct"/>
            <w:noWrap w:val="0"/>
            <w:vAlign w:val="center"/>
          </w:tcPr>
          <w:p w14:paraId="3555B624">
            <w:pPr>
              <w:spacing w:line="360" w:lineRule="auto"/>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详见附表二</w:t>
            </w:r>
          </w:p>
        </w:tc>
        <w:tc>
          <w:tcPr>
            <w:tcW w:w="617" w:type="pct"/>
            <w:noWrap w:val="0"/>
            <w:vAlign w:val="center"/>
          </w:tcPr>
          <w:p w14:paraId="70118F0C">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90</w:t>
            </w:r>
            <w:r>
              <w:rPr>
                <w:rFonts w:hint="eastAsia" w:ascii="宋体" w:hAnsi="宋体" w:eastAsia="宋体" w:cs="宋体"/>
                <w:color w:val="auto"/>
                <w:sz w:val="22"/>
                <w:szCs w:val="22"/>
                <w:highlight w:val="none"/>
                <w:lang w:val="en-US" w:eastAsia="zh-CN"/>
              </w:rPr>
              <w:t>%</w:t>
            </w:r>
          </w:p>
        </w:tc>
      </w:tr>
      <w:tr w14:paraId="604F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456" w:type="pct"/>
            <w:gridSpan w:val="2"/>
            <w:noWrap w:val="0"/>
            <w:vAlign w:val="center"/>
          </w:tcPr>
          <w:p w14:paraId="4CFEB5C0">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合计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100分</w:t>
            </w:r>
            <w:r>
              <w:rPr>
                <w:rFonts w:hint="eastAsia" w:ascii="宋体" w:hAnsi="宋体" w:eastAsia="宋体" w:cs="宋体"/>
                <w:color w:val="auto"/>
                <w:sz w:val="22"/>
                <w:szCs w:val="22"/>
                <w:lang w:eastAsia="zh-CN"/>
              </w:rPr>
              <w:t>）</w:t>
            </w:r>
          </w:p>
        </w:tc>
        <w:tc>
          <w:tcPr>
            <w:tcW w:w="2925" w:type="pct"/>
            <w:noWrap w:val="0"/>
            <w:vAlign w:val="center"/>
          </w:tcPr>
          <w:p w14:paraId="14F97408">
            <w:pPr>
              <w:spacing w:line="360" w:lineRule="auto"/>
              <w:jc w:val="center"/>
              <w:rPr>
                <w:rFonts w:hint="eastAsia" w:ascii="宋体" w:hAnsi="宋体" w:eastAsia="宋体" w:cs="宋体"/>
                <w:color w:val="auto"/>
                <w:sz w:val="22"/>
                <w:szCs w:val="22"/>
              </w:rPr>
            </w:pPr>
          </w:p>
        </w:tc>
        <w:tc>
          <w:tcPr>
            <w:tcW w:w="617" w:type="pct"/>
            <w:noWrap w:val="0"/>
            <w:vAlign w:val="center"/>
          </w:tcPr>
          <w:p w14:paraId="4358AA0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100%</w:t>
            </w:r>
          </w:p>
        </w:tc>
      </w:tr>
      <w:tr w14:paraId="75C7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4"/>
            <w:noWrap w:val="0"/>
            <w:vAlign w:val="center"/>
          </w:tcPr>
          <w:p w14:paraId="264A2E0A">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注：评分分值计算保留小数点后两位，小数点后第三位“四舍五入”</w:t>
            </w:r>
          </w:p>
        </w:tc>
      </w:tr>
    </w:tbl>
    <w:p w14:paraId="7E18DF72">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384C3BAF">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34E9C1DF">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089DC413">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0588C5AF">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2E011E57">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7103C9BC">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4309F413">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7CE1BC9F">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6D6E5C0B">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29E42EDC">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133E781B">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220ADB14">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03978F8C">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5CF48B63">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05D523F6">
      <w:pPr>
        <w:pStyle w:val="79"/>
        <w:rPr>
          <w:rFonts w:hint="eastAsia" w:ascii="宋体" w:hAnsi="宋体" w:eastAsia="宋体" w:cs="宋体"/>
          <w:color w:val="auto"/>
          <w:sz w:val="22"/>
          <w:szCs w:val="22"/>
          <w:highlight w:val="white"/>
          <w:lang w:val="en-US" w:eastAsia="zh-CN"/>
        </w:rPr>
      </w:pPr>
      <w:r>
        <w:rPr>
          <w:rFonts w:hint="eastAsia" w:ascii="宋体" w:hAnsi="宋体" w:eastAsia="宋体" w:cs="宋体"/>
          <w:color w:val="auto"/>
          <w:sz w:val="22"/>
          <w:szCs w:val="22"/>
          <w:highlight w:val="white"/>
          <w:lang w:eastAsia="zh-CN"/>
        </w:rPr>
        <w:t>附表一</w:t>
      </w:r>
      <w:r>
        <w:rPr>
          <w:rFonts w:hint="eastAsia" w:ascii="宋体" w:hAnsi="宋体" w:eastAsia="宋体" w:cs="宋体"/>
          <w:color w:val="auto"/>
          <w:sz w:val="22"/>
          <w:szCs w:val="22"/>
          <w:highlight w:val="white"/>
          <w:lang w:val="en-US" w:eastAsia="zh-CN"/>
        </w:rPr>
        <w:t>：</w:t>
      </w:r>
    </w:p>
    <w:p w14:paraId="0DDE9DBA">
      <w:pPr>
        <w:pStyle w:val="79"/>
        <w:jc w:val="center"/>
        <w:rPr>
          <w:rFonts w:hint="eastAsia" w:ascii="宋体" w:hAnsi="宋体" w:eastAsia="宋体" w:cs="宋体"/>
          <w:color w:val="auto"/>
          <w:sz w:val="28"/>
          <w:szCs w:val="28"/>
          <w:highlight w:val="white"/>
          <w:lang w:val="en-US" w:eastAsia="zh-CN"/>
        </w:rPr>
      </w:pPr>
      <w:r>
        <w:rPr>
          <w:rFonts w:hint="eastAsia" w:ascii="宋体" w:hAnsi="宋体" w:eastAsia="宋体" w:cs="宋体"/>
          <w:b/>
          <w:bCs/>
          <w:color w:val="auto"/>
          <w:sz w:val="28"/>
          <w:szCs w:val="32"/>
          <w:highlight w:val="white"/>
          <w:lang w:eastAsia="zh-CN"/>
        </w:rPr>
        <w:t>初步评审－资格、符合性审查表</w:t>
      </w:r>
    </w:p>
    <w:tbl>
      <w:tblPr>
        <w:tblStyle w:val="32"/>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8"/>
        <w:gridCol w:w="543"/>
        <w:gridCol w:w="3041"/>
        <w:gridCol w:w="4989"/>
        <w:gridCol w:w="633"/>
      </w:tblGrid>
      <w:tr w14:paraId="19AF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564" w:type="pct"/>
            <w:gridSpan w:val="2"/>
            <w:noWrap w:val="0"/>
            <w:vAlign w:val="center"/>
          </w:tcPr>
          <w:p w14:paraId="13C42F46">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w:t>
            </w:r>
            <w:r>
              <w:rPr>
                <w:rFonts w:hint="eastAsia" w:ascii="宋体" w:hAnsi="宋体" w:eastAsia="宋体" w:cs="宋体"/>
                <w:b/>
                <w:color w:val="auto"/>
                <w:sz w:val="21"/>
                <w:szCs w:val="21"/>
                <w:lang w:eastAsia="zh-CN"/>
              </w:rPr>
              <w:t>审</w:t>
            </w:r>
            <w:r>
              <w:rPr>
                <w:rFonts w:hint="eastAsia" w:ascii="宋体" w:hAnsi="宋体" w:eastAsia="宋体" w:cs="宋体"/>
                <w:b/>
                <w:color w:val="auto"/>
                <w:sz w:val="21"/>
                <w:szCs w:val="21"/>
              </w:rPr>
              <w:t>因素</w:t>
            </w:r>
          </w:p>
        </w:tc>
        <w:tc>
          <w:tcPr>
            <w:tcW w:w="1557" w:type="pct"/>
            <w:noWrap w:val="0"/>
            <w:vAlign w:val="center"/>
          </w:tcPr>
          <w:p w14:paraId="2C5660D0">
            <w:pPr>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评</w:t>
            </w:r>
            <w:r>
              <w:rPr>
                <w:rFonts w:hint="eastAsia" w:ascii="宋体" w:hAnsi="宋体" w:eastAsia="宋体" w:cs="宋体"/>
                <w:b/>
                <w:color w:val="auto"/>
                <w:sz w:val="21"/>
                <w:szCs w:val="21"/>
                <w:lang w:eastAsia="zh-CN"/>
              </w:rPr>
              <w:t>审内容</w:t>
            </w:r>
          </w:p>
        </w:tc>
        <w:tc>
          <w:tcPr>
            <w:tcW w:w="2555" w:type="pct"/>
            <w:noWrap w:val="0"/>
            <w:vAlign w:val="center"/>
          </w:tcPr>
          <w:p w14:paraId="474E43AB">
            <w:pPr>
              <w:spacing w:line="240" w:lineRule="auto"/>
              <w:jc w:val="center"/>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none"/>
              </w:rPr>
              <w:t>评</w:t>
            </w:r>
            <w:r>
              <w:rPr>
                <w:rFonts w:hint="eastAsia" w:ascii="宋体" w:hAnsi="宋体" w:eastAsia="宋体" w:cs="宋体"/>
                <w:b/>
                <w:color w:val="auto"/>
                <w:sz w:val="21"/>
                <w:szCs w:val="21"/>
                <w:highlight w:val="none"/>
                <w:lang w:eastAsia="zh-CN"/>
              </w:rPr>
              <w:t>审</w:t>
            </w:r>
            <w:r>
              <w:rPr>
                <w:rFonts w:hint="eastAsia" w:ascii="宋体" w:hAnsi="宋体" w:eastAsia="宋体" w:cs="宋体"/>
                <w:b/>
                <w:color w:val="auto"/>
                <w:sz w:val="21"/>
                <w:szCs w:val="21"/>
                <w:highlight w:val="none"/>
              </w:rPr>
              <w:t>标准</w:t>
            </w:r>
          </w:p>
        </w:tc>
        <w:tc>
          <w:tcPr>
            <w:tcW w:w="322" w:type="pct"/>
            <w:noWrap w:val="0"/>
            <w:vAlign w:val="top"/>
          </w:tcPr>
          <w:p w14:paraId="148729BF">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评审意见</w:t>
            </w:r>
          </w:p>
        </w:tc>
      </w:tr>
      <w:tr w14:paraId="31DE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restart"/>
            <w:noWrap w:val="0"/>
            <w:vAlign w:val="top"/>
          </w:tcPr>
          <w:p w14:paraId="7D29B3D0">
            <w:pPr>
              <w:spacing w:line="240" w:lineRule="auto"/>
              <w:rPr>
                <w:rFonts w:hint="eastAsia" w:ascii="宋体" w:hAnsi="宋体" w:eastAsia="宋体" w:cs="宋体"/>
                <w:color w:val="auto"/>
                <w:sz w:val="21"/>
                <w:szCs w:val="21"/>
              </w:rPr>
            </w:pPr>
          </w:p>
          <w:p w14:paraId="6D8E068A">
            <w:pPr>
              <w:spacing w:line="240" w:lineRule="auto"/>
              <w:rPr>
                <w:rFonts w:hint="eastAsia" w:ascii="宋体" w:hAnsi="宋体" w:eastAsia="宋体" w:cs="宋体"/>
                <w:color w:val="auto"/>
                <w:sz w:val="21"/>
                <w:szCs w:val="21"/>
              </w:rPr>
            </w:pPr>
          </w:p>
          <w:p w14:paraId="5C48D9B8">
            <w:pPr>
              <w:spacing w:line="240" w:lineRule="auto"/>
              <w:rPr>
                <w:rFonts w:hint="eastAsia" w:ascii="宋体" w:hAnsi="宋体" w:eastAsia="宋体" w:cs="宋体"/>
                <w:color w:val="auto"/>
                <w:sz w:val="21"/>
                <w:szCs w:val="21"/>
              </w:rPr>
            </w:pPr>
          </w:p>
          <w:p w14:paraId="415435EF">
            <w:pPr>
              <w:spacing w:line="240" w:lineRule="auto"/>
              <w:ind w:firstLine="105" w:firstLineChars="50"/>
              <w:jc w:val="center"/>
              <w:rPr>
                <w:rFonts w:hint="eastAsia" w:ascii="宋体" w:hAnsi="宋体" w:eastAsia="宋体" w:cs="宋体"/>
                <w:color w:val="auto"/>
                <w:sz w:val="21"/>
                <w:szCs w:val="21"/>
              </w:rPr>
            </w:pPr>
          </w:p>
          <w:p w14:paraId="16F9E9E4">
            <w:pPr>
              <w:spacing w:line="240" w:lineRule="auto"/>
              <w:ind w:firstLine="105" w:firstLineChars="50"/>
              <w:jc w:val="center"/>
              <w:rPr>
                <w:rFonts w:hint="eastAsia" w:ascii="宋体" w:hAnsi="宋体" w:eastAsia="宋体" w:cs="宋体"/>
                <w:color w:val="auto"/>
                <w:sz w:val="21"/>
                <w:szCs w:val="21"/>
              </w:rPr>
            </w:pPr>
          </w:p>
          <w:p w14:paraId="133FB43B">
            <w:pPr>
              <w:spacing w:line="240" w:lineRule="auto"/>
              <w:ind w:firstLine="105" w:firstLineChars="50"/>
              <w:jc w:val="center"/>
              <w:rPr>
                <w:rFonts w:hint="eastAsia" w:ascii="宋体" w:hAnsi="宋体" w:eastAsia="宋体" w:cs="宋体"/>
                <w:color w:val="auto"/>
                <w:sz w:val="21"/>
                <w:szCs w:val="21"/>
              </w:rPr>
            </w:pPr>
          </w:p>
          <w:p w14:paraId="22F28AAB">
            <w:pPr>
              <w:spacing w:line="240" w:lineRule="auto"/>
              <w:ind w:firstLine="105" w:firstLineChars="50"/>
              <w:jc w:val="center"/>
              <w:rPr>
                <w:rFonts w:hint="eastAsia" w:ascii="宋体" w:hAnsi="宋体" w:eastAsia="宋体" w:cs="宋体"/>
                <w:color w:val="auto"/>
                <w:sz w:val="21"/>
                <w:szCs w:val="21"/>
              </w:rPr>
            </w:pPr>
          </w:p>
          <w:p w14:paraId="25C1F1A6">
            <w:pPr>
              <w:spacing w:line="240" w:lineRule="auto"/>
              <w:ind w:firstLine="105" w:firstLineChars="50"/>
              <w:jc w:val="center"/>
              <w:rPr>
                <w:rFonts w:hint="eastAsia" w:ascii="宋体" w:hAnsi="宋体" w:eastAsia="宋体" w:cs="宋体"/>
                <w:color w:val="auto"/>
                <w:sz w:val="21"/>
                <w:szCs w:val="21"/>
              </w:rPr>
            </w:pPr>
          </w:p>
          <w:p w14:paraId="41D188F3">
            <w:pPr>
              <w:spacing w:line="240" w:lineRule="auto"/>
              <w:ind w:firstLine="105" w:firstLineChars="50"/>
              <w:jc w:val="center"/>
              <w:rPr>
                <w:rFonts w:hint="eastAsia" w:ascii="宋体" w:hAnsi="宋体" w:eastAsia="宋体" w:cs="宋体"/>
                <w:color w:val="auto"/>
                <w:sz w:val="21"/>
                <w:szCs w:val="21"/>
              </w:rPr>
            </w:pPr>
          </w:p>
          <w:p w14:paraId="72DAA022">
            <w:pPr>
              <w:spacing w:line="240" w:lineRule="auto"/>
              <w:ind w:firstLine="105" w:firstLineChars="50"/>
              <w:jc w:val="center"/>
              <w:rPr>
                <w:rFonts w:hint="eastAsia" w:ascii="宋体" w:hAnsi="宋体" w:eastAsia="宋体" w:cs="宋体"/>
                <w:color w:val="auto"/>
                <w:sz w:val="21"/>
                <w:szCs w:val="21"/>
              </w:rPr>
            </w:pPr>
          </w:p>
          <w:p w14:paraId="4047E89B">
            <w:pPr>
              <w:spacing w:line="240" w:lineRule="auto"/>
              <w:ind w:firstLine="105" w:firstLineChars="50"/>
              <w:jc w:val="center"/>
              <w:rPr>
                <w:rFonts w:hint="eastAsia" w:ascii="宋体" w:hAnsi="宋体" w:eastAsia="宋体" w:cs="宋体"/>
                <w:color w:val="auto"/>
                <w:sz w:val="21"/>
                <w:szCs w:val="21"/>
              </w:rPr>
            </w:pPr>
          </w:p>
          <w:p w14:paraId="32F48AFB">
            <w:pPr>
              <w:spacing w:line="240" w:lineRule="auto"/>
              <w:ind w:firstLine="105" w:firstLineChars="50"/>
              <w:jc w:val="center"/>
              <w:rPr>
                <w:rFonts w:hint="eastAsia" w:ascii="宋体" w:hAnsi="宋体" w:eastAsia="宋体" w:cs="宋体"/>
                <w:color w:val="auto"/>
                <w:sz w:val="21"/>
                <w:szCs w:val="21"/>
              </w:rPr>
            </w:pPr>
          </w:p>
          <w:p w14:paraId="620F9F6C">
            <w:pPr>
              <w:spacing w:line="240" w:lineRule="auto"/>
              <w:ind w:firstLine="105" w:firstLineChars="50"/>
              <w:jc w:val="center"/>
              <w:rPr>
                <w:rFonts w:hint="eastAsia" w:ascii="宋体" w:hAnsi="宋体" w:eastAsia="宋体" w:cs="宋体"/>
                <w:color w:val="auto"/>
                <w:sz w:val="21"/>
                <w:szCs w:val="21"/>
              </w:rPr>
            </w:pPr>
          </w:p>
          <w:p w14:paraId="23EAB546">
            <w:pPr>
              <w:spacing w:line="240" w:lineRule="auto"/>
              <w:ind w:firstLine="105" w:firstLineChars="50"/>
              <w:jc w:val="center"/>
              <w:rPr>
                <w:rFonts w:hint="eastAsia" w:ascii="宋体" w:hAnsi="宋体" w:eastAsia="宋体" w:cs="宋体"/>
                <w:color w:val="auto"/>
                <w:sz w:val="21"/>
                <w:szCs w:val="21"/>
              </w:rPr>
            </w:pPr>
          </w:p>
          <w:p w14:paraId="2AE4DCC1">
            <w:pPr>
              <w:spacing w:line="240" w:lineRule="auto"/>
              <w:ind w:firstLine="105" w:firstLineChars="50"/>
              <w:jc w:val="center"/>
              <w:rPr>
                <w:rFonts w:hint="eastAsia" w:ascii="宋体" w:hAnsi="宋体" w:eastAsia="宋体" w:cs="宋体"/>
                <w:color w:val="auto"/>
                <w:sz w:val="21"/>
                <w:szCs w:val="21"/>
              </w:rPr>
            </w:pPr>
          </w:p>
          <w:p w14:paraId="0BF7845F">
            <w:pPr>
              <w:spacing w:line="240" w:lineRule="auto"/>
              <w:ind w:firstLine="105" w:firstLineChars="50"/>
              <w:jc w:val="center"/>
              <w:rPr>
                <w:rFonts w:hint="eastAsia" w:ascii="宋体" w:hAnsi="宋体" w:eastAsia="宋体" w:cs="宋体"/>
                <w:color w:val="auto"/>
                <w:sz w:val="21"/>
                <w:szCs w:val="21"/>
              </w:rPr>
            </w:pPr>
          </w:p>
          <w:p w14:paraId="053F5741">
            <w:pPr>
              <w:spacing w:line="240" w:lineRule="auto"/>
              <w:ind w:firstLine="105" w:firstLineChars="50"/>
              <w:jc w:val="center"/>
              <w:rPr>
                <w:rFonts w:hint="eastAsia" w:ascii="宋体" w:hAnsi="宋体" w:eastAsia="宋体" w:cs="宋体"/>
                <w:color w:val="auto"/>
                <w:sz w:val="21"/>
                <w:szCs w:val="21"/>
              </w:rPr>
            </w:pPr>
          </w:p>
          <w:p w14:paraId="6C2EFF29">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初</w:t>
            </w:r>
          </w:p>
          <w:p w14:paraId="1D8B602F">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步</w:t>
            </w:r>
          </w:p>
          <w:p w14:paraId="5107177D">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评</w:t>
            </w:r>
          </w:p>
          <w:p w14:paraId="4CD4A41B">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审</w:t>
            </w:r>
          </w:p>
          <w:p w14:paraId="184CADF2">
            <w:pPr>
              <w:spacing w:line="240" w:lineRule="auto"/>
              <w:jc w:val="center"/>
              <w:rPr>
                <w:rFonts w:hint="eastAsia" w:ascii="宋体" w:hAnsi="宋体" w:eastAsia="宋体" w:cs="宋体"/>
                <w:color w:val="auto"/>
                <w:sz w:val="21"/>
                <w:szCs w:val="21"/>
              </w:rPr>
            </w:pPr>
          </w:p>
          <w:p w14:paraId="1FB1886A">
            <w:pPr>
              <w:pStyle w:val="31"/>
              <w:spacing w:line="240" w:lineRule="auto"/>
              <w:rPr>
                <w:rFonts w:hint="eastAsia" w:ascii="宋体" w:hAnsi="宋体" w:eastAsia="宋体" w:cs="宋体"/>
                <w:color w:val="auto"/>
                <w:sz w:val="21"/>
                <w:szCs w:val="21"/>
              </w:rPr>
            </w:pPr>
          </w:p>
        </w:tc>
        <w:tc>
          <w:tcPr>
            <w:tcW w:w="277" w:type="pct"/>
            <w:vMerge w:val="restart"/>
            <w:noWrap w:val="0"/>
            <w:vAlign w:val="center"/>
          </w:tcPr>
          <w:p w14:paraId="21030DEA">
            <w:pPr>
              <w:spacing w:line="240" w:lineRule="auto"/>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727391F0">
            <w:pPr>
              <w:spacing w:line="240" w:lineRule="auto"/>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40B29610">
            <w:pPr>
              <w:spacing w:line="240" w:lineRule="auto"/>
              <w:ind w:firstLine="105" w:firstLine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审</w:t>
            </w:r>
          </w:p>
          <w:p w14:paraId="1CEED8FC">
            <w:pPr>
              <w:spacing w:line="240" w:lineRule="auto"/>
              <w:ind w:firstLine="105" w:firstLineChars="50"/>
              <w:jc w:val="center"/>
              <w:rPr>
                <w:rFonts w:hint="eastAsia" w:ascii="宋体" w:hAnsi="宋体" w:eastAsia="宋体" w:cs="宋体"/>
                <w:b/>
                <w:color w:val="auto"/>
                <w:sz w:val="21"/>
                <w:szCs w:val="21"/>
                <w:highlight w:val="yellow"/>
              </w:rPr>
            </w:pPr>
            <w:r>
              <w:rPr>
                <w:rFonts w:hint="eastAsia" w:ascii="宋体" w:hAnsi="宋体" w:eastAsia="宋体" w:cs="宋体"/>
                <w:color w:val="auto"/>
                <w:sz w:val="21"/>
                <w:szCs w:val="21"/>
                <w:highlight w:val="none"/>
              </w:rPr>
              <w:t>查</w:t>
            </w:r>
          </w:p>
        </w:tc>
        <w:tc>
          <w:tcPr>
            <w:tcW w:w="1557" w:type="pct"/>
            <w:noWrap w:val="0"/>
            <w:vAlign w:val="center"/>
          </w:tcPr>
          <w:p w14:paraId="527818AE">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具有独立承担民事责任的能力</w:t>
            </w:r>
          </w:p>
        </w:tc>
        <w:tc>
          <w:tcPr>
            <w:tcW w:w="2555" w:type="pct"/>
            <w:noWrap w:val="0"/>
            <w:vAlign w:val="center"/>
          </w:tcPr>
          <w:p w14:paraId="3CC96CE6">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提供营业执照原件复印件</w:t>
            </w:r>
            <w:r>
              <w:rPr>
                <w:rFonts w:hint="eastAsia" w:ascii="宋体" w:hAnsi="宋体" w:eastAsia="宋体" w:cs="宋体"/>
                <w:color w:val="auto"/>
                <w:szCs w:val="21"/>
                <w:highlight w:val="none"/>
                <w:lang w:val="en-US" w:eastAsia="zh-CN"/>
              </w:rPr>
              <w:t>（扫描件）</w:t>
            </w:r>
            <w:r>
              <w:rPr>
                <w:rFonts w:hint="eastAsia" w:ascii="宋体" w:hAnsi="宋体" w:eastAsia="宋体" w:cs="宋体"/>
                <w:color w:val="auto"/>
                <w:sz w:val="21"/>
                <w:szCs w:val="21"/>
                <w:highlight w:val="none"/>
                <w:lang w:val="en-US" w:eastAsia="zh-CN"/>
              </w:rPr>
              <w:t>；</w:t>
            </w:r>
          </w:p>
        </w:tc>
        <w:tc>
          <w:tcPr>
            <w:tcW w:w="322" w:type="pct"/>
            <w:noWrap w:val="0"/>
            <w:vAlign w:val="top"/>
          </w:tcPr>
          <w:p w14:paraId="00D60FE3">
            <w:pPr>
              <w:spacing w:line="240" w:lineRule="auto"/>
              <w:jc w:val="center"/>
              <w:rPr>
                <w:rFonts w:hint="eastAsia" w:ascii="宋体" w:hAnsi="宋体" w:eastAsia="宋体" w:cs="宋体"/>
                <w:color w:val="auto"/>
                <w:sz w:val="21"/>
                <w:szCs w:val="21"/>
              </w:rPr>
            </w:pPr>
          </w:p>
        </w:tc>
      </w:tr>
      <w:tr w14:paraId="1AD3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4C7B6BF1">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0E8BB720">
            <w:pPr>
              <w:spacing w:line="240" w:lineRule="auto"/>
              <w:jc w:val="center"/>
              <w:rPr>
                <w:rFonts w:hint="eastAsia" w:ascii="宋体" w:hAnsi="宋体" w:eastAsia="宋体" w:cs="宋体"/>
                <w:color w:val="auto"/>
                <w:sz w:val="21"/>
                <w:szCs w:val="21"/>
              </w:rPr>
            </w:pPr>
          </w:p>
        </w:tc>
        <w:tc>
          <w:tcPr>
            <w:tcW w:w="1557" w:type="pct"/>
            <w:noWrap w:val="0"/>
            <w:vAlign w:val="center"/>
          </w:tcPr>
          <w:p w14:paraId="4E01546C">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具有良好的商业信誉和健全的财务会计制度</w:t>
            </w:r>
          </w:p>
        </w:tc>
        <w:tc>
          <w:tcPr>
            <w:tcW w:w="2555" w:type="pct"/>
            <w:noWrap w:val="0"/>
            <w:vAlign w:val="center"/>
          </w:tcPr>
          <w:p w14:paraId="07D1851B">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提供2024年度经审计财务报告或2025年财务报表（含资产负债表、利润表、现金流量表）或基本开户银行出具的资信证明原件复印件（扫描件）；供应商成立时间少于该规定时限的，提供成立至今的材料原件复印件（扫描件）</w:t>
            </w:r>
            <w:r>
              <w:rPr>
                <w:rFonts w:hint="eastAsia" w:ascii="宋体" w:hAnsi="宋体" w:cs="宋体"/>
                <w:color w:val="auto"/>
                <w:szCs w:val="21"/>
                <w:highlight w:val="none"/>
                <w:lang w:val="en-US" w:eastAsia="zh-CN"/>
              </w:rPr>
              <w:t>；</w:t>
            </w:r>
          </w:p>
        </w:tc>
        <w:tc>
          <w:tcPr>
            <w:tcW w:w="322" w:type="pct"/>
            <w:noWrap w:val="0"/>
            <w:vAlign w:val="top"/>
          </w:tcPr>
          <w:p w14:paraId="7DB5778C">
            <w:pPr>
              <w:spacing w:line="240" w:lineRule="auto"/>
              <w:jc w:val="center"/>
              <w:rPr>
                <w:rFonts w:hint="eastAsia" w:ascii="宋体" w:hAnsi="宋体" w:eastAsia="宋体" w:cs="宋体"/>
                <w:color w:val="auto"/>
                <w:sz w:val="21"/>
                <w:szCs w:val="21"/>
              </w:rPr>
            </w:pPr>
          </w:p>
        </w:tc>
      </w:tr>
      <w:tr w14:paraId="6A5E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09857C10">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301D0BB9">
            <w:pPr>
              <w:spacing w:line="240" w:lineRule="auto"/>
              <w:jc w:val="center"/>
              <w:rPr>
                <w:rFonts w:hint="eastAsia" w:ascii="宋体" w:hAnsi="宋体" w:eastAsia="宋体" w:cs="宋体"/>
                <w:color w:val="auto"/>
                <w:sz w:val="21"/>
                <w:szCs w:val="21"/>
              </w:rPr>
            </w:pPr>
          </w:p>
        </w:tc>
        <w:tc>
          <w:tcPr>
            <w:tcW w:w="1557" w:type="pct"/>
            <w:noWrap w:val="0"/>
            <w:vAlign w:val="center"/>
          </w:tcPr>
          <w:p w14:paraId="5B3E7E33">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具有履行合同所必需的设备和专业技术能力</w:t>
            </w:r>
          </w:p>
        </w:tc>
        <w:tc>
          <w:tcPr>
            <w:tcW w:w="2555" w:type="pct"/>
            <w:noWrap w:val="0"/>
            <w:vAlign w:val="center"/>
          </w:tcPr>
          <w:p w14:paraId="6F143613">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提供书面声明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tc>
        <w:tc>
          <w:tcPr>
            <w:tcW w:w="322" w:type="pct"/>
            <w:noWrap w:val="0"/>
            <w:vAlign w:val="top"/>
          </w:tcPr>
          <w:p w14:paraId="1B721979">
            <w:pPr>
              <w:spacing w:line="240" w:lineRule="auto"/>
              <w:jc w:val="center"/>
              <w:rPr>
                <w:rFonts w:hint="eastAsia" w:ascii="宋体" w:hAnsi="宋体" w:eastAsia="宋体" w:cs="宋体"/>
                <w:color w:val="auto"/>
                <w:sz w:val="21"/>
                <w:szCs w:val="21"/>
              </w:rPr>
            </w:pPr>
          </w:p>
        </w:tc>
      </w:tr>
      <w:tr w14:paraId="60E2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1EE1BB19">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3E02C03C">
            <w:pPr>
              <w:spacing w:line="240" w:lineRule="auto"/>
              <w:jc w:val="center"/>
              <w:rPr>
                <w:rFonts w:hint="eastAsia" w:ascii="宋体" w:hAnsi="宋体" w:eastAsia="宋体" w:cs="宋体"/>
                <w:color w:val="auto"/>
                <w:sz w:val="21"/>
                <w:szCs w:val="21"/>
              </w:rPr>
            </w:pPr>
          </w:p>
        </w:tc>
        <w:tc>
          <w:tcPr>
            <w:tcW w:w="1557" w:type="pct"/>
            <w:noWrap w:val="0"/>
            <w:vAlign w:val="center"/>
          </w:tcPr>
          <w:p w14:paraId="549D2DCA">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有依法缴纳税收和社会保障资金的良好记录</w:t>
            </w:r>
          </w:p>
        </w:tc>
        <w:tc>
          <w:tcPr>
            <w:tcW w:w="2555" w:type="pct"/>
            <w:noWrap w:val="0"/>
            <w:vAlign w:val="center"/>
          </w:tcPr>
          <w:p w14:paraId="45310126">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提供近半年缴纳税收的凭据以及缴纳社会保险的凭据（专用收据或社会保险缴纳清单）原件复印件（扫描件）；依法免税或不需要缴纳社会保障资金的供应商，提供相应文件证明原件复印件（扫描件）；</w:t>
            </w:r>
          </w:p>
          <w:p w14:paraId="0A16E76D">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供应商成立时间少于该规定时限的，提供成立至今的材料原件复印件（扫描件）；</w:t>
            </w:r>
          </w:p>
        </w:tc>
        <w:tc>
          <w:tcPr>
            <w:tcW w:w="322" w:type="pct"/>
            <w:noWrap w:val="0"/>
            <w:vAlign w:val="top"/>
          </w:tcPr>
          <w:p w14:paraId="0EBFC439">
            <w:pPr>
              <w:spacing w:line="240" w:lineRule="auto"/>
              <w:jc w:val="center"/>
              <w:rPr>
                <w:rFonts w:hint="eastAsia" w:ascii="宋体" w:hAnsi="宋体" w:eastAsia="宋体" w:cs="宋体"/>
                <w:color w:val="auto"/>
                <w:sz w:val="21"/>
                <w:szCs w:val="21"/>
              </w:rPr>
            </w:pPr>
          </w:p>
        </w:tc>
      </w:tr>
      <w:tr w14:paraId="4D4E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0C7C861A">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0CDF2FD0">
            <w:pPr>
              <w:spacing w:line="240" w:lineRule="auto"/>
              <w:jc w:val="center"/>
              <w:rPr>
                <w:rFonts w:hint="eastAsia" w:ascii="宋体" w:hAnsi="宋体" w:eastAsia="宋体" w:cs="宋体"/>
                <w:color w:val="auto"/>
                <w:sz w:val="21"/>
                <w:szCs w:val="21"/>
              </w:rPr>
            </w:pPr>
          </w:p>
        </w:tc>
        <w:tc>
          <w:tcPr>
            <w:tcW w:w="1557" w:type="pct"/>
            <w:noWrap w:val="0"/>
            <w:vAlign w:val="center"/>
          </w:tcPr>
          <w:p w14:paraId="15F31B17">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参加政府采购活动前三年内，在经营活动中没有重大违法记录</w:t>
            </w:r>
          </w:p>
        </w:tc>
        <w:tc>
          <w:tcPr>
            <w:tcW w:w="2555" w:type="pct"/>
            <w:noWrap w:val="0"/>
            <w:vAlign w:val="center"/>
          </w:tcPr>
          <w:p w14:paraId="4C943735">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提供书面声明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tc>
        <w:tc>
          <w:tcPr>
            <w:tcW w:w="322" w:type="pct"/>
            <w:noWrap w:val="0"/>
            <w:vAlign w:val="top"/>
          </w:tcPr>
          <w:p w14:paraId="67B097A7">
            <w:pPr>
              <w:spacing w:line="240" w:lineRule="auto"/>
              <w:jc w:val="center"/>
              <w:rPr>
                <w:rFonts w:hint="eastAsia" w:ascii="宋体" w:hAnsi="宋体" w:eastAsia="宋体" w:cs="宋体"/>
                <w:color w:val="auto"/>
                <w:sz w:val="21"/>
                <w:szCs w:val="21"/>
              </w:rPr>
            </w:pPr>
          </w:p>
        </w:tc>
      </w:tr>
      <w:tr w14:paraId="2985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2E0D451D">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34A765DC">
            <w:pPr>
              <w:spacing w:line="240" w:lineRule="auto"/>
              <w:jc w:val="center"/>
              <w:rPr>
                <w:rFonts w:hint="eastAsia" w:ascii="宋体" w:hAnsi="宋体" w:eastAsia="宋体" w:cs="宋体"/>
                <w:color w:val="auto"/>
                <w:sz w:val="21"/>
                <w:szCs w:val="21"/>
              </w:rPr>
            </w:pPr>
          </w:p>
        </w:tc>
        <w:tc>
          <w:tcPr>
            <w:tcW w:w="1557" w:type="pct"/>
            <w:noWrap w:val="0"/>
            <w:vAlign w:val="center"/>
          </w:tcPr>
          <w:p w14:paraId="6C121668">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落实政府采购政策需满足的资格要求</w:t>
            </w:r>
          </w:p>
        </w:tc>
        <w:tc>
          <w:tcPr>
            <w:tcW w:w="2555" w:type="pct"/>
            <w:noWrap w:val="0"/>
            <w:vAlign w:val="center"/>
          </w:tcPr>
          <w:p w14:paraId="689190F3">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提供《中小企业声明函》并加盖公章；</w:t>
            </w:r>
          </w:p>
        </w:tc>
        <w:tc>
          <w:tcPr>
            <w:tcW w:w="322" w:type="pct"/>
            <w:noWrap w:val="0"/>
            <w:vAlign w:val="top"/>
          </w:tcPr>
          <w:p w14:paraId="0A3652C9">
            <w:pPr>
              <w:spacing w:line="240" w:lineRule="auto"/>
              <w:jc w:val="center"/>
              <w:rPr>
                <w:rFonts w:hint="eastAsia" w:ascii="宋体" w:hAnsi="宋体" w:eastAsia="宋体" w:cs="宋体"/>
                <w:color w:val="auto"/>
                <w:sz w:val="21"/>
                <w:szCs w:val="21"/>
              </w:rPr>
            </w:pPr>
          </w:p>
        </w:tc>
      </w:tr>
      <w:tr w14:paraId="533A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6F0C1E49">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252A51F9">
            <w:pPr>
              <w:spacing w:line="240" w:lineRule="auto"/>
              <w:jc w:val="center"/>
              <w:rPr>
                <w:rFonts w:hint="eastAsia" w:ascii="宋体" w:hAnsi="宋体" w:eastAsia="宋体" w:cs="宋体"/>
                <w:color w:val="auto"/>
                <w:sz w:val="21"/>
                <w:szCs w:val="21"/>
              </w:rPr>
            </w:pPr>
          </w:p>
        </w:tc>
        <w:tc>
          <w:tcPr>
            <w:tcW w:w="1557" w:type="pct"/>
            <w:noWrap w:val="0"/>
            <w:vAlign w:val="center"/>
          </w:tcPr>
          <w:p w14:paraId="29B445B5">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其他要求</w:t>
            </w:r>
          </w:p>
        </w:tc>
        <w:tc>
          <w:tcPr>
            <w:tcW w:w="2555" w:type="pct"/>
            <w:noWrap w:val="0"/>
            <w:vAlign w:val="center"/>
          </w:tcPr>
          <w:p w14:paraId="76D1FC78">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提供说明自己与其他参与同一合同项下的供应商，不存在《政府采购法实施条例》第十八条规定的关联关系的书面声明，并加盖公章。</w:t>
            </w:r>
          </w:p>
        </w:tc>
        <w:tc>
          <w:tcPr>
            <w:tcW w:w="322" w:type="pct"/>
            <w:noWrap w:val="0"/>
            <w:vAlign w:val="top"/>
          </w:tcPr>
          <w:p w14:paraId="5E7AEAA5">
            <w:pPr>
              <w:spacing w:line="240" w:lineRule="auto"/>
              <w:jc w:val="center"/>
              <w:rPr>
                <w:rFonts w:hint="eastAsia" w:ascii="宋体" w:hAnsi="宋体" w:eastAsia="宋体" w:cs="宋体"/>
                <w:color w:val="auto"/>
                <w:sz w:val="21"/>
                <w:szCs w:val="21"/>
              </w:rPr>
            </w:pPr>
          </w:p>
        </w:tc>
      </w:tr>
      <w:tr w14:paraId="7F2D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52D8495F">
            <w:pPr>
              <w:pStyle w:val="31"/>
              <w:spacing w:line="240" w:lineRule="auto"/>
              <w:rPr>
                <w:rFonts w:hint="eastAsia" w:ascii="宋体" w:hAnsi="宋体" w:eastAsia="宋体" w:cs="宋体"/>
                <w:color w:val="auto"/>
                <w:sz w:val="21"/>
                <w:szCs w:val="21"/>
              </w:rPr>
            </w:pPr>
          </w:p>
        </w:tc>
        <w:tc>
          <w:tcPr>
            <w:tcW w:w="277" w:type="pct"/>
            <w:vMerge w:val="restart"/>
            <w:noWrap w:val="0"/>
            <w:vAlign w:val="center"/>
          </w:tcPr>
          <w:p w14:paraId="74CC510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w:t>
            </w:r>
          </w:p>
          <w:p w14:paraId="5DCD257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w:t>
            </w:r>
          </w:p>
          <w:p w14:paraId="7A7FF52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6ED3EED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审</w:t>
            </w:r>
          </w:p>
          <w:p w14:paraId="6EE3C751">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查</w:t>
            </w:r>
          </w:p>
        </w:tc>
        <w:tc>
          <w:tcPr>
            <w:tcW w:w="4112" w:type="pct"/>
            <w:gridSpan w:val="2"/>
            <w:noWrap w:val="0"/>
            <w:vAlign w:val="center"/>
          </w:tcPr>
          <w:p w14:paraId="2D04E595">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供应商名称与购买文件时一致且有有效变更证明的；</w:t>
            </w:r>
          </w:p>
        </w:tc>
        <w:tc>
          <w:tcPr>
            <w:tcW w:w="322" w:type="pct"/>
            <w:noWrap w:val="0"/>
            <w:vAlign w:val="top"/>
          </w:tcPr>
          <w:p w14:paraId="284796D0">
            <w:pPr>
              <w:spacing w:line="240" w:lineRule="auto"/>
              <w:jc w:val="center"/>
              <w:rPr>
                <w:rFonts w:hint="eastAsia" w:ascii="宋体" w:hAnsi="宋体" w:eastAsia="宋体" w:cs="宋体"/>
                <w:color w:val="auto"/>
                <w:sz w:val="21"/>
                <w:szCs w:val="21"/>
              </w:rPr>
            </w:pPr>
          </w:p>
        </w:tc>
      </w:tr>
      <w:tr w14:paraId="302A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5D413672">
            <w:pPr>
              <w:pStyle w:val="31"/>
              <w:spacing w:line="240" w:lineRule="auto"/>
              <w:rPr>
                <w:rFonts w:hint="eastAsia" w:ascii="宋体" w:hAnsi="宋体" w:eastAsia="宋体" w:cs="宋体"/>
                <w:color w:val="auto"/>
                <w:sz w:val="21"/>
                <w:szCs w:val="21"/>
              </w:rPr>
            </w:pPr>
          </w:p>
        </w:tc>
        <w:tc>
          <w:tcPr>
            <w:tcW w:w="277" w:type="pct"/>
            <w:vMerge w:val="continue"/>
            <w:noWrap w:val="0"/>
            <w:vAlign w:val="center"/>
          </w:tcPr>
          <w:p w14:paraId="2CBBA245">
            <w:pPr>
              <w:spacing w:line="240" w:lineRule="auto"/>
              <w:jc w:val="center"/>
              <w:rPr>
                <w:rFonts w:hint="eastAsia" w:ascii="宋体" w:hAnsi="宋体" w:eastAsia="宋体" w:cs="宋体"/>
                <w:color w:val="auto"/>
                <w:sz w:val="21"/>
                <w:szCs w:val="21"/>
              </w:rPr>
            </w:pPr>
          </w:p>
        </w:tc>
        <w:tc>
          <w:tcPr>
            <w:tcW w:w="4112" w:type="pct"/>
            <w:gridSpan w:val="2"/>
            <w:noWrap w:val="0"/>
            <w:vAlign w:val="center"/>
          </w:tcPr>
          <w:p w14:paraId="512D024E">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供应商代表</w:t>
            </w: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文件规定</w:t>
            </w:r>
            <w:r>
              <w:rPr>
                <w:rFonts w:hint="eastAsia" w:ascii="宋体" w:hAnsi="宋体" w:eastAsia="宋体" w:cs="宋体"/>
                <w:color w:val="auto"/>
                <w:sz w:val="21"/>
                <w:szCs w:val="21"/>
                <w:lang w:eastAsia="zh-CN"/>
              </w:rPr>
              <w:t>提供了法定代表人（单位负责人）身份证明或授权委托书；</w:t>
            </w:r>
          </w:p>
        </w:tc>
        <w:tc>
          <w:tcPr>
            <w:tcW w:w="322" w:type="pct"/>
            <w:noWrap w:val="0"/>
            <w:vAlign w:val="top"/>
          </w:tcPr>
          <w:p w14:paraId="2AFC4152">
            <w:pPr>
              <w:spacing w:line="240" w:lineRule="auto"/>
              <w:jc w:val="center"/>
              <w:rPr>
                <w:rFonts w:hint="eastAsia" w:ascii="宋体" w:hAnsi="宋体" w:eastAsia="宋体" w:cs="宋体"/>
                <w:color w:val="auto"/>
                <w:sz w:val="21"/>
                <w:szCs w:val="21"/>
              </w:rPr>
            </w:pPr>
          </w:p>
        </w:tc>
      </w:tr>
      <w:tr w14:paraId="769E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7F8239DE">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1CB6C819">
            <w:pPr>
              <w:spacing w:line="240" w:lineRule="auto"/>
              <w:jc w:val="center"/>
              <w:rPr>
                <w:rFonts w:hint="eastAsia" w:ascii="宋体" w:hAnsi="宋体" w:eastAsia="宋体" w:cs="宋体"/>
                <w:color w:val="auto"/>
                <w:sz w:val="21"/>
                <w:szCs w:val="21"/>
              </w:rPr>
            </w:pPr>
          </w:p>
        </w:tc>
        <w:tc>
          <w:tcPr>
            <w:tcW w:w="4112" w:type="pct"/>
            <w:gridSpan w:val="2"/>
            <w:noWrap w:val="0"/>
            <w:vAlign w:val="center"/>
          </w:tcPr>
          <w:p w14:paraId="3712D2AB">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文件规定要求签署、盖章的；</w:t>
            </w:r>
          </w:p>
        </w:tc>
        <w:tc>
          <w:tcPr>
            <w:tcW w:w="322" w:type="pct"/>
            <w:noWrap w:val="0"/>
            <w:vAlign w:val="top"/>
          </w:tcPr>
          <w:p w14:paraId="4553A3E4">
            <w:pPr>
              <w:spacing w:line="240" w:lineRule="auto"/>
              <w:jc w:val="center"/>
              <w:rPr>
                <w:rFonts w:hint="eastAsia" w:ascii="宋体" w:hAnsi="宋体" w:eastAsia="宋体" w:cs="宋体"/>
                <w:color w:val="auto"/>
                <w:sz w:val="21"/>
                <w:szCs w:val="21"/>
              </w:rPr>
            </w:pPr>
          </w:p>
        </w:tc>
      </w:tr>
      <w:tr w14:paraId="2F0E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467AF916">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681FA4BB">
            <w:pPr>
              <w:spacing w:line="240" w:lineRule="auto"/>
              <w:jc w:val="center"/>
              <w:rPr>
                <w:rFonts w:hint="eastAsia" w:ascii="宋体" w:hAnsi="宋体" w:eastAsia="宋体" w:cs="宋体"/>
                <w:color w:val="auto"/>
                <w:sz w:val="21"/>
                <w:szCs w:val="21"/>
              </w:rPr>
            </w:pPr>
          </w:p>
        </w:tc>
        <w:tc>
          <w:tcPr>
            <w:tcW w:w="4112" w:type="pct"/>
            <w:gridSpan w:val="2"/>
            <w:noWrap w:val="0"/>
            <w:vAlign w:val="center"/>
          </w:tcPr>
          <w:p w14:paraId="56FDED8C">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供应商报价小于磋商文件规定的项目预算（最高限价）；</w:t>
            </w:r>
          </w:p>
        </w:tc>
        <w:tc>
          <w:tcPr>
            <w:tcW w:w="322" w:type="pct"/>
            <w:noWrap w:val="0"/>
            <w:vAlign w:val="top"/>
          </w:tcPr>
          <w:p w14:paraId="0EED7BBC">
            <w:pPr>
              <w:spacing w:line="240" w:lineRule="auto"/>
              <w:jc w:val="center"/>
              <w:rPr>
                <w:rFonts w:hint="eastAsia" w:ascii="宋体" w:hAnsi="宋体" w:eastAsia="宋体" w:cs="宋体"/>
                <w:color w:val="auto"/>
                <w:sz w:val="21"/>
                <w:szCs w:val="21"/>
              </w:rPr>
            </w:pPr>
          </w:p>
        </w:tc>
      </w:tr>
      <w:tr w14:paraId="576F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52DC513D">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0C090EC3">
            <w:pPr>
              <w:spacing w:line="240" w:lineRule="auto"/>
              <w:jc w:val="center"/>
              <w:rPr>
                <w:rFonts w:hint="eastAsia" w:ascii="宋体" w:hAnsi="宋体" w:eastAsia="宋体" w:cs="宋体"/>
                <w:color w:val="auto"/>
                <w:sz w:val="21"/>
                <w:szCs w:val="21"/>
              </w:rPr>
            </w:pPr>
          </w:p>
        </w:tc>
        <w:tc>
          <w:tcPr>
            <w:tcW w:w="4112" w:type="pct"/>
            <w:gridSpan w:val="2"/>
            <w:noWrap w:val="0"/>
            <w:vAlign w:val="center"/>
          </w:tcPr>
          <w:p w14:paraId="58E2FDF9">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合同履约期限符合</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文件中规定；</w:t>
            </w:r>
          </w:p>
        </w:tc>
        <w:tc>
          <w:tcPr>
            <w:tcW w:w="322" w:type="pct"/>
            <w:noWrap w:val="0"/>
            <w:vAlign w:val="top"/>
          </w:tcPr>
          <w:p w14:paraId="7E8E25F7">
            <w:pPr>
              <w:spacing w:line="240" w:lineRule="auto"/>
              <w:jc w:val="center"/>
              <w:rPr>
                <w:rFonts w:hint="eastAsia" w:ascii="宋体" w:hAnsi="宋体" w:eastAsia="宋体" w:cs="宋体"/>
                <w:color w:val="auto"/>
                <w:sz w:val="21"/>
                <w:szCs w:val="21"/>
              </w:rPr>
            </w:pPr>
          </w:p>
        </w:tc>
      </w:tr>
      <w:tr w14:paraId="788E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7362558C">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02A286B8">
            <w:pPr>
              <w:spacing w:line="240" w:lineRule="auto"/>
              <w:jc w:val="center"/>
              <w:rPr>
                <w:rFonts w:hint="eastAsia" w:ascii="宋体" w:hAnsi="宋体" w:eastAsia="宋体" w:cs="宋体"/>
                <w:color w:val="auto"/>
                <w:sz w:val="21"/>
                <w:szCs w:val="21"/>
              </w:rPr>
            </w:pPr>
          </w:p>
        </w:tc>
        <w:tc>
          <w:tcPr>
            <w:tcW w:w="4112" w:type="pct"/>
            <w:gridSpan w:val="2"/>
            <w:noWrap w:val="0"/>
            <w:vAlign w:val="center"/>
          </w:tcPr>
          <w:p w14:paraId="0D11CD8D">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投标有效期</w:t>
            </w: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文件中规定</w:t>
            </w:r>
            <w:r>
              <w:rPr>
                <w:rFonts w:hint="eastAsia" w:ascii="宋体" w:hAnsi="宋体" w:eastAsia="宋体" w:cs="宋体"/>
                <w:color w:val="auto"/>
                <w:sz w:val="21"/>
                <w:szCs w:val="21"/>
                <w:lang w:eastAsia="zh-CN"/>
              </w:rPr>
              <w:t>；</w:t>
            </w:r>
          </w:p>
        </w:tc>
        <w:tc>
          <w:tcPr>
            <w:tcW w:w="322" w:type="pct"/>
            <w:noWrap w:val="0"/>
            <w:vAlign w:val="top"/>
          </w:tcPr>
          <w:p w14:paraId="7BC4B795">
            <w:pPr>
              <w:spacing w:line="240" w:lineRule="auto"/>
              <w:jc w:val="center"/>
              <w:rPr>
                <w:rFonts w:hint="eastAsia" w:ascii="宋体" w:hAnsi="宋体" w:eastAsia="宋体" w:cs="宋体"/>
                <w:color w:val="auto"/>
                <w:sz w:val="21"/>
                <w:szCs w:val="21"/>
              </w:rPr>
            </w:pPr>
          </w:p>
        </w:tc>
      </w:tr>
      <w:tr w14:paraId="141A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4873201B">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09C8BB9D">
            <w:pPr>
              <w:spacing w:line="240" w:lineRule="auto"/>
              <w:jc w:val="center"/>
              <w:rPr>
                <w:rFonts w:hint="eastAsia" w:ascii="宋体" w:hAnsi="宋体" w:eastAsia="宋体" w:cs="宋体"/>
                <w:color w:val="auto"/>
                <w:sz w:val="21"/>
                <w:szCs w:val="21"/>
              </w:rPr>
            </w:pPr>
          </w:p>
        </w:tc>
        <w:tc>
          <w:tcPr>
            <w:tcW w:w="4112" w:type="pct"/>
            <w:gridSpan w:val="2"/>
            <w:noWrap w:val="0"/>
            <w:vAlign w:val="center"/>
          </w:tcPr>
          <w:p w14:paraId="706C60D5">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文件中规定的实质性要求和条件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文件中标注“★”符号的所有条款）</w:t>
            </w:r>
            <w:r>
              <w:rPr>
                <w:rFonts w:hint="eastAsia" w:ascii="宋体" w:hAnsi="宋体" w:eastAsia="宋体" w:cs="宋体"/>
                <w:color w:val="auto"/>
                <w:sz w:val="21"/>
                <w:szCs w:val="21"/>
              </w:rPr>
              <w:t>；</w:t>
            </w:r>
          </w:p>
        </w:tc>
        <w:tc>
          <w:tcPr>
            <w:tcW w:w="322" w:type="pct"/>
            <w:noWrap w:val="0"/>
            <w:vAlign w:val="top"/>
          </w:tcPr>
          <w:p w14:paraId="70144976">
            <w:pPr>
              <w:spacing w:line="240" w:lineRule="auto"/>
              <w:jc w:val="center"/>
              <w:rPr>
                <w:rFonts w:hint="eastAsia" w:ascii="宋体" w:hAnsi="宋体" w:eastAsia="宋体" w:cs="宋体"/>
                <w:color w:val="auto"/>
                <w:sz w:val="21"/>
                <w:szCs w:val="21"/>
              </w:rPr>
            </w:pPr>
          </w:p>
        </w:tc>
      </w:tr>
      <w:tr w14:paraId="7940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35DB15D7">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157241B3">
            <w:pPr>
              <w:spacing w:line="240" w:lineRule="auto"/>
              <w:jc w:val="center"/>
              <w:rPr>
                <w:rFonts w:hint="eastAsia" w:ascii="宋体" w:hAnsi="宋体" w:eastAsia="宋体" w:cs="宋体"/>
                <w:color w:val="auto"/>
                <w:sz w:val="21"/>
                <w:szCs w:val="21"/>
              </w:rPr>
            </w:pPr>
          </w:p>
        </w:tc>
        <w:tc>
          <w:tcPr>
            <w:tcW w:w="4112" w:type="pct"/>
            <w:gridSpan w:val="2"/>
            <w:noWrap w:val="0"/>
            <w:vAlign w:val="center"/>
          </w:tcPr>
          <w:p w14:paraId="56A176C6">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w:t>
            </w:r>
            <w:r>
              <w:rPr>
                <w:rFonts w:hint="eastAsia" w:ascii="宋体" w:hAnsi="宋体" w:eastAsia="宋体" w:cs="宋体"/>
                <w:color w:val="auto"/>
                <w:sz w:val="21"/>
                <w:szCs w:val="21"/>
                <w:lang w:eastAsia="zh-CN"/>
              </w:rPr>
              <w:t>没</w:t>
            </w:r>
            <w:r>
              <w:rPr>
                <w:rFonts w:hint="eastAsia" w:ascii="宋体" w:hAnsi="宋体" w:eastAsia="宋体" w:cs="宋体"/>
                <w:color w:val="auto"/>
                <w:sz w:val="21"/>
                <w:szCs w:val="21"/>
              </w:rPr>
              <w:t>有采购人不能接受的附加条件的；</w:t>
            </w:r>
          </w:p>
        </w:tc>
        <w:tc>
          <w:tcPr>
            <w:tcW w:w="322" w:type="pct"/>
            <w:noWrap w:val="0"/>
            <w:vAlign w:val="top"/>
          </w:tcPr>
          <w:p w14:paraId="7016716B">
            <w:pPr>
              <w:spacing w:line="240" w:lineRule="auto"/>
              <w:jc w:val="center"/>
              <w:rPr>
                <w:rFonts w:hint="eastAsia" w:ascii="宋体" w:hAnsi="宋体" w:eastAsia="宋体" w:cs="宋体"/>
                <w:color w:val="auto"/>
                <w:sz w:val="21"/>
                <w:szCs w:val="21"/>
              </w:rPr>
            </w:pPr>
          </w:p>
        </w:tc>
      </w:tr>
      <w:tr w14:paraId="302C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6" w:type="pct"/>
            <w:vMerge w:val="continue"/>
            <w:noWrap w:val="0"/>
            <w:vAlign w:val="top"/>
          </w:tcPr>
          <w:p w14:paraId="38D534C0">
            <w:pPr>
              <w:spacing w:line="240" w:lineRule="auto"/>
              <w:jc w:val="center"/>
              <w:rPr>
                <w:rFonts w:hint="eastAsia" w:ascii="宋体" w:hAnsi="宋体" w:eastAsia="宋体" w:cs="宋体"/>
                <w:color w:val="auto"/>
                <w:sz w:val="21"/>
                <w:szCs w:val="21"/>
              </w:rPr>
            </w:pPr>
          </w:p>
        </w:tc>
        <w:tc>
          <w:tcPr>
            <w:tcW w:w="277" w:type="pct"/>
            <w:vMerge w:val="continue"/>
            <w:noWrap w:val="0"/>
            <w:vAlign w:val="center"/>
          </w:tcPr>
          <w:p w14:paraId="15AB0B06">
            <w:pPr>
              <w:spacing w:line="240" w:lineRule="auto"/>
              <w:jc w:val="center"/>
              <w:rPr>
                <w:rFonts w:hint="eastAsia" w:ascii="宋体" w:hAnsi="宋体" w:eastAsia="宋体" w:cs="宋体"/>
                <w:color w:val="auto"/>
                <w:sz w:val="21"/>
                <w:szCs w:val="21"/>
              </w:rPr>
            </w:pPr>
          </w:p>
        </w:tc>
        <w:tc>
          <w:tcPr>
            <w:tcW w:w="4112" w:type="pct"/>
            <w:gridSpan w:val="2"/>
            <w:noWrap w:val="0"/>
            <w:vAlign w:val="center"/>
          </w:tcPr>
          <w:p w14:paraId="75F1BC5F">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不存在不符合</w:t>
            </w:r>
            <w:r>
              <w:rPr>
                <w:rFonts w:hint="eastAsia" w:ascii="宋体" w:hAnsi="宋体" w:eastAsia="宋体" w:cs="宋体"/>
                <w:color w:val="auto"/>
                <w:sz w:val="21"/>
                <w:szCs w:val="21"/>
              </w:rPr>
              <w:t>法律、法规及本</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文件规定的其他情形</w:t>
            </w:r>
            <w:r>
              <w:rPr>
                <w:rFonts w:hint="eastAsia" w:ascii="宋体" w:hAnsi="宋体" w:eastAsia="宋体" w:cs="宋体"/>
                <w:color w:val="auto"/>
                <w:sz w:val="21"/>
                <w:szCs w:val="21"/>
                <w:lang w:eastAsia="zh-CN"/>
              </w:rPr>
              <w:t>。</w:t>
            </w:r>
          </w:p>
        </w:tc>
        <w:tc>
          <w:tcPr>
            <w:tcW w:w="322" w:type="pct"/>
            <w:noWrap w:val="0"/>
            <w:vAlign w:val="top"/>
          </w:tcPr>
          <w:p w14:paraId="48D11487">
            <w:pPr>
              <w:spacing w:line="240" w:lineRule="auto"/>
              <w:jc w:val="center"/>
              <w:rPr>
                <w:rFonts w:hint="eastAsia" w:ascii="宋体" w:hAnsi="宋体" w:eastAsia="宋体" w:cs="宋体"/>
                <w:color w:val="auto"/>
                <w:sz w:val="21"/>
                <w:szCs w:val="21"/>
              </w:rPr>
            </w:pPr>
          </w:p>
        </w:tc>
      </w:tr>
      <w:tr w14:paraId="32C6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5000" w:type="pct"/>
            <w:gridSpan w:val="5"/>
            <w:noWrap w:val="0"/>
            <w:vAlign w:val="center"/>
          </w:tcPr>
          <w:p w14:paraId="01EA155C">
            <w:pPr>
              <w:spacing w:line="240" w:lineRule="auto"/>
              <w:jc w:val="both"/>
              <w:rPr>
                <w:rFonts w:hint="eastAsia" w:ascii="宋体" w:hAnsi="宋体" w:eastAsia="宋体" w:cs="宋体"/>
                <w:b/>
                <w:color w:val="auto"/>
                <w:sz w:val="21"/>
                <w:szCs w:val="21"/>
              </w:rPr>
            </w:pPr>
            <w:r>
              <w:rPr>
                <w:rFonts w:hint="eastAsia" w:ascii="宋体" w:hAnsi="宋体" w:eastAsia="宋体" w:cs="宋体"/>
                <w:b/>
                <w:color w:val="auto"/>
                <w:sz w:val="21"/>
                <w:szCs w:val="21"/>
              </w:rPr>
              <w:t>注：以上检查内容必须全部</w:t>
            </w:r>
            <w:r>
              <w:rPr>
                <w:rFonts w:hint="eastAsia" w:ascii="宋体" w:hAnsi="宋体" w:eastAsia="宋体" w:cs="宋体"/>
                <w:b/>
                <w:color w:val="auto"/>
                <w:sz w:val="21"/>
                <w:szCs w:val="21"/>
                <w:lang w:eastAsia="zh-CN"/>
              </w:rPr>
              <w:t>满足</w:t>
            </w:r>
            <w:r>
              <w:rPr>
                <w:rFonts w:hint="eastAsia" w:ascii="宋体" w:hAnsi="宋体" w:eastAsia="宋体" w:cs="宋体"/>
                <w:b/>
                <w:color w:val="auto"/>
                <w:sz w:val="21"/>
                <w:szCs w:val="21"/>
              </w:rPr>
              <w:t>检查标准，否则</w:t>
            </w:r>
            <w:r>
              <w:rPr>
                <w:rFonts w:hint="eastAsia" w:ascii="宋体" w:hAnsi="宋体" w:eastAsia="宋体" w:cs="宋体"/>
                <w:b/>
                <w:color w:val="auto"/>
                <w:sz w:val="21"/>
                <w:szCs w:val="21"/>
                <w:lang w:eastAsia="zh-CN"/>
              </w:rPr>
              <w:t>视</w:t>
            </w:r>
            <w:r>
              <w:rPr>
                <w:rFonts w:hint="eastAsia" w:ascii="宋体" w:hAnsi="宋体" w:eastAsia="宋体" w:cs="宋体"/>
                <w:b/>
                <w:color w:val="auto"/>
                <w:sz w:val="21"/>
                <w:szCs w:val="21"/>
              </w:rPr>
              <w:t>为无效</w:t>
            </w:r>
            <w:r>
              <w:rPr>
                <w:rFonts w:hint="eastAsia" w:ascii="宋体" w:hAnsi="宋体" w:eastAsia="宋体" w:cs="宋体"/>
                <w:b/>
                <w:color w:val="auto"/>
                <w:sz w:val="21"/>
                <w:szCs w:val="21"/>
                <w:lang w:eastAsia="zh-CN"/>
              </w:rPr>
              <w:t>投</w:t>
            </w:r>
            <w:r>
              <w:rPr>
                <w:rFonts w:hint="eastAsia" w:ascii="宋体" w:hAnsi="宋体" w:eastAsia="宋体" w:cs="宋体"/>
                <w:b/>
                <w:color w:val="auto"/>
                <w:sz w:val="21"/>
                <w:szCs w:val="21"/>
              </w:rPr>
              <w:t>标。</w:t>
            </w:r>
          </w:p>
        </w:tc>
      </w:tr>
    </w:tbl>
    <w:p w14:paraId="59DF0A02">
      <w:pPr>
        <w:rPr>
          <w:rFonts w:hint="eastAsia" w:ascii="宋体" w:hAnsi="宋体" w:eastAsia="宋体" w:cs="宋体"/>
          <w:color w:val="auto"/>
          <w:lang w:val="en-US" w:eastAsia="zh-CN"/>
        </w:rPr>
      </w:pPr>
    </w:p>
    <w:p w14:paraId="533871C4">
      <w:pPr>
        <w:rPr>
          <w:rFonts w:hint="eastAsia" w:ascii="宋体" w:hAnsi="宋体" w:eastAsia="宋体" w:cs="宋体"/>
          <w:color w:val="auto"/>
          <w:lang w:val="en-US" w:eastAsia="zh-CN"/>
        </w:rPr>
      </w:pPr>
    </w:p>
    <w:p w14:paraId="4FFFF5E4">
      <w:pPr>
        <w:rPr>
          <w:rFonts w:hint="eastAsia" w:ascii="宋体" w:hAnsi="宋体" w:eastAsia="宋体" w:cs="宋体"/>
          <w:color w:val="auto"/>
          <w:lang w:val="en-US" w:eastAsia="zh-CN"/>
        </w:rPr>
      </w:pPr>
    </w:p>
    <w:p w14:paraId="679EFCFA">
      <w:pPr>
        <w:pStyle w:val="79"/>
        <w:rPr>
          <w:rFonts w:hint="eastAsia" w:ascii="宋体" w:hAnsi="宋体" w:eastAsia="宋体" w:cs="宋体"/>
          <w:color w:val="auto"/>
          <w:sz w:val="22"/>
          <w:szCs w:val="22"/>
          <w:highlight w:val="white"/>
          <w:lang w:eastAsia="zh-CN"/>
        </w:rPr>
      </w:pPr>
    </w:p>
    <w:p w14:paraId="4271ADF3">
      <w:pPr>
        <w:pStyle w:val="79"/>
        <w:rPr>
          <w:rFonts w:hint="eastAsia" w:ascii="宋体" w:hAnsi="宋体" w:eastAsia="宋体" w:cs="宋体"/>
          <w:color w:val="auto"/>
          <w:sz w:val="22"/>
          <w:szCs w:val="22"/>
          <w:highlight w:val="white"/>
          <w:lang w:val="en-US" w:eastAsia="zh-CN"/>
        </w:rPr>
      </w:pPr>
      <w:r>
        <w:rPr>
          <w:rFonts w:hint="eastAsia" w:ascii="宋体" w:hAnsi="宋体" w:eastAsia="宋体" w:cs="宋体"/>
          <w:color w:val="auto"/>
          <w:sz w:val="22"/>
          <w:szCs w:val="22"/>
          <w:highlight w:val="white"/>
          <w:lang w:eastAsia="zh-CN"/>
        </w:rPr>
        <w:t>附表二</w:t>
      </w:r>
      <w:r>
        <w:rPr>
          <w:rFonts w:hint="eastAsia" w:ascii="宋体" w:hAnsi="宋体" w:eastAsia="宋体" w:cs="宋体"/>
          <w:color w:val="auto"/>
          <w:sz w:val="22"/>
          <w:szCs w:val="22"/>
          <w:highlight w:val="white"/>
          <w:lang w:val="en-US" w:eastAsia="zh-CN"/>
        </w:rPr>
        <w:t>：</w:t>
      </w:r>
    </w:p>
    <w:p w14:paraId="5137CDAB">
      <w:pPr>
        <w:pStyle w:val="79"/>
        <w:jc w:val="center"/>
        <w:rPr>
          <w:rFonts w:hint="eastAsia" w:ascii="宋体" w:hAnsi="宋体" w:eastAsia="宋体" w:cs="宋体"/>
          <w:color w:val="auto"/>
          <w:lang w:val="en-US" w:eastAsia="zh-CN"/>
        </w:rPr>
      </w:pPr>
      <w:r>
        <w:rPr>
          <w:rFonts w:hint="eastAsia" w:ascii="宋体" w:hAnsi="宋体" w:eastAsia="宋体" w:cs="宋体"/>
          <w:b/>
          <w:bCs/>
          <w:color w:val="auto"/>
          <w:sz w:val="28"/>
          <w:szCs w:val="32"/>
          <w:highlight w:val="white"/>
          <w:lang w:eastAsia="zh-CN"/>
        </w:rPr>
        <w:t>商务技术标详细评审表</w:t>
      </w: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5"/>
        <w:gridCol w:w="1400"/>
        <w:gridCol w:w="1052"/>
        <w:gridCol w:w="6751"/>
      </w:tblGrid>
      <w:tr w14:paraId="78C1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71B3B36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14:paraId="085B02E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评审内容</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21CF4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highlight w:val="none"/>
                <w:u w:val="none"/>
                <w:lang w:val="en-US" w:eastAsia="zh-CN" w:bidi="ar"/>
              </w:rPr>
              <w:t>分值</w:t>
            </w:r>
          </w:p>
        </w:tc>
        <w:tc>
          <w:tcPr>
            <w:tcW w:w="3389" w:type="pct"/>
            <w:tcBorders>
              <w:top w:val="single" w:color="000000" w:sz="4" w:space="0"/>
              <w:left w:val="single" w:color="000000" w:sz="4" w:space="0"/>
              <w:bottom w:val="single" w:color="000000" w:sz="4" w:space="0"/>
              <w:right w:val="single" w:color="000000" w:sz="4" w:space="0"/>
            </w:tcBorders>
            <w:noWrap w:val="0"/>
            <w:vAlign w:val="center"/>
          </w:tcPr>
          <w:p w14:paraId="04A13A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评审标准</w:t>
            </w:r>
          </w:p>
        </w:tc>
      </w:tr>
      <w:tr w14:paraId="3D6A7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06A05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14:paraId="080BF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企业业绩</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0E86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389" w:type="pct"/>
            <w:tcBorders>
              <w:top w:val="single" w:color="000000" w:sz="4" w:space="0"/>
              <w:left w:val="single" w:color="000000" w:sz="4" w:space="0"/>
              <w:bottom w:val="single" w:color="000000" w:sz="4" w:space="0"/>
              <w:right w:val="single" w:color="000000" w:sz="4" w:space="0"/>
            </w:tcBorders>
            <w:noWrap w:val="0"/>
            <w:vAlign w:val="center"/>
          </w:tcPr>
          <w:p w14:paraId="1B1964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提供近三年供应商单独承担的类似围棋赛事业绩，每提供一个得 1 分，最多得 3 分。（须 提供中标通知书或合同原件扫描）</w:t>
            </w:r>
          </w:p>
        </w:tc>
      </w:tr>
      <w:tr w14:paraId="37A5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4E1C6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14:paraId="24D0E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项目团队</w:t>
            </w:r>
          </w:p>
          <w:p w14:paraId="7979F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7CD56F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389" w:type="pct"/>
            <w:tcBorders>
              <w:top w:val="single" w:color="000000" w:sz="4" w:space="0"/>
              <w:left w:val="single" w:color="000000" w:sz="4" w:space="0"/>
              <w:bottom w:val="single" w:color="000000" w:sz="4" w:space="0"/>
              <w:right w:val="single" w:color="000000" w:sz="4" w:space="0"/>
            </w:tcBorders>
            <w:noWrap w:val="0"/>
            <w:vAlign w:val="center"/>
          </w:tcPr>
          <w:p w14:paraId="61C3102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拟为本项目配备的服务人员配备情况、专业搭配、组织结构、分工 合理性情况。</w:t>
            </w:r>
          </w:p>
          <w:p w14:paraId="184F259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以上内容每缺一项内容的扣 2 分，每有一项内容不完整的扣 1 分， 满分8 分，扣完为止；未提供或明显套用其他项目内容的不得分。 注：不完整指前后内容无法连贯；套用其他项目方案或前后内容互 相矛盾或存在与本项目无关的内容。</w:t>
            </w:r>
          </w:p>
        </w:tc>
      </w:tr>
      <w:tr w14:paraId="65FA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506E6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14:paraId="114D2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服务承诺</w:t>
            </w:r>
          </w:p>
          <w:p w14:paraId="13A45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12E964B">
            <w:pPr>
              <w:widowControl w:val="0"/>
              <w:spacing w:before="78" w:line="220" w:lineRule="auto"/>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w:t>
            </w:r>
          </w:p>
        </w:tc>
        <w:tc>
          <w:tcPr>
            <w:tcW w:w="3389" w:type="pct"/>
            <w:tcBorders>
              <w:top w:val="single" w:color="000000" w:sz="4" w:space="0"/>
              <w:left w:val="single" w:color="000000" w:sz="4" w:space="0"/>
              <w:bottom w:val="single" w:color="000000" w:sz="4" w:space="0"/>
              <w:right w:val="single" w:color="000000" w:sz="4" w:space="0"/>
            </w:tcBorders>
            <w:noWrap w:val="0"/>
            <w:vAlign w:val="top"/>
          </w:tcPr>
          <w:p w14:paraId="6886E107">
            <w:pPr>
              <w:widowControl w:val="0"/>
              <w:spacing w:before="38"/>
              <w:ind w:right="194" w:rightChars="0"/>
              <w:jc w:val="both"/>
              <w:rPr>
                <w:rFonts w:hint="eastAsia" w:ascii="宋体" w:hAnsi="宋体" w:eastAsia="宋体" w:cs="宋体"/>
                <w:i w:val="0"/>
                <w:iCs w:val="0"/>
                <w:color w:val="000000"/>
                <w:kern w:val="2"/>
                <w:sz w:val="21"/>
                <w:szCs w:val="21"/>
                <w:u w:val="none"/>
                <w:lang w:val="en-US" w:eastAsia="en-US" w:bidi="ar-SA"/>
              </w:rPr>
            </w:pPr>
            <w:r>
              <w:rPr>
                <w:rFonts w:hint="eastAsia" w:ascii="宋体" w:hAnsi="宋体" w:eastAsia="宋体" w:cs="宋体"/>
                <w:i w:val="0"/>
                <w:iCs w:val="0"/>
                <w:color w:val="000000"/>
                <w:kern w:val="2"/>
                <w:sz w:val="21"/>
                <w:szCs w:val="21"/>
                <w:u w:val="none"/>
                <w:lang w:val="en-US" w:eastAsia="en-US" w:bidi="ar-SA"/>
              </w:rPr>
              <w:t>根据响应文件中关于本项目的服务方面的承诺进行打分，每有一条实质性的承诺且表述完整的得 1 分，满分 4 分，未提供或明显套用其他项目内容的不得分。</w:t>
            </w:r>
          </w:p>
        </w:tc>
      </w:tr>
      <w:tr w14:paraId="4E36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77DCDB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14:paraId="0FC63C75">
            <w:pPr>
              <w:keepNext w:val="0"/>
              <w:keepLines w:val="0"/>
              <w:widowControl/>
              <w:suppressLineNumbers w:val="0"/>
              <w:jc w:val="center"/>
              <w:rPr>
                <w:rFonts w:hint="eastAsia" w:ascii="宋体" w:hAnsi="宋体" w:eastAsia="宋体" w:cs="宋体"/>
                <w:spacing w:val="-3"/>
                <w:sz w:val="21"/>
                <w:szCs w:val="21"/>
              </w:rPr>
            </w:pPr>
            <w:r>
              <w:rPr>
                <w:rFonts w:hint="eastAsia" w:ascii="宋体" w:hAnsi="宋体" w:eastAsia="宋体" w:cs="宋体"/>
                <w:spacing w:val="-3"/>
                <w:sz w:val="21"/>
                <w:szCs w:val="21"/>
              </w:rPr>
              <w:t>供应商对本项目提出的建议</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7968022">
            <w:pPr>
              <w:widowControl w:val="0"/>
              <w:spacing w:before="78" w:line="220" w:lineRule="auto"/>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5</w:t>
            </w:r>
          </w:p>
        </w:tc>
        <w:tc>
          <w:tcPr>
            <w:tcW w:w="3389" w:type="pct"/>
            <w:tcBorders>
              <w:top w:val="single" w:color="000000" w:sz="4" w:space="0"/>
              <w:left w:val="single" w:color="000000" w:sz="4" w:space="0"/>
              <w:bottom w:val="single" w:color="000000" w:sz="4" w:space="0"/>
              <w:right w:val="single" w:color="000000" w:sz="4" w:space="0"/>
            </w:tcBorders>
            <w:noWrap w:val="0"/>
            <w:vAlign w:val="top"/>
          </w:tcPr>
          <w:p w14:paraId="6B8B4F63">
            <w:pPr>
              <w:widowControl w:val="0"/>
              <w:spacing w:before="38"/>
              <w:ind w:right="194" w:rightChars="0"/>
              <w:jc w:val="both"/>
              <w:rPr>
                <w:rFonts w:hint="eastAsia" w:ascii="宋体" w:hAnsi="宋体" w:eastAsia="宋体" w:cs="宋体"/>
                <w:spacing w:val="-1"/>
                <w:kern w:val="2"/>
                <w:sz w:val="21"/>
                <w:szCs w:val="21"/>
                <w:lang w:val="en-US" w:eastAsia="en-US" w:bidi="ar-SA"/>
              </w:rPr>
            </w:pPr>
            <w:r>
              <w:rPr>
                <w:rFonts w:hint="eastAsia" w:ascii="宋体" w:hAnsi="宋体" w:eastAsia="宋体" w:cs="宋体"/>
                <w:spacing w:val="-1"/>
                <w:kern w:val="2"/>
                <w:sz w:val="21"/>
                <w:szCs w:val="21"/>
                <w:lang w:val="en-US" w:eastAsia="en-US" w:bidi="ar-SA"/>
              </w:rPr>
              <w:t>供应商对本项目提出的建议包括但不限于针对需求内容的有效建议、保障投放信息的服务措施等。结合本项目的实际情况提出详细建议，每具有一条得 1 分，最高得 5 分，未提供或明显套用其他项目内容的不得分。</w:t>
            </w:r>
          </w:p>
        </w:tc>
      </w:tr>
      <w:tr w14:paraId="0C66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2E7132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14:paraId="01EB189D">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项目实施规划方案</w:t>
            </w:r>
          </w:p>
          <w:p w14:paraId="06D90870">
            <w:pPr>
              <w:keepNext w:val="0"/>
              <w:keepLines w:val="0"/>
              <w:widowControl/>
              <w:suppressLineNumbers w:val="0"/>
              <w:jc w:val="center"/>
              <w:textAlignment w:val="center"/>
              <w:rPr>
                <w:rFonts w:hint="eastAsia" w:ascii="宋体" w:hAnsi="宋体" w:eastAsia="宋体" w:cs="宋体"/>
                <w:spacing w:val="-3"/>
                <w:sz w:val="21"/>
                <w:szCs w:val="21"/>
                <w:lang w:val="en-US" w:eastAsia="zh-CN"/>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9685435">
            <w:pPr>
              <w:widowControl w:val="0"/>
              <w:spacing w:before="78" w:line="220" w:lineRule="auto"/>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35</w:t>
            </w:r>
          </w:p>
        </w:tc>
        <w:tc>
          <w:tcPr>
            <w:tcW w:w="3389" w:type="pct"/>
            <w:tcBorders>
              <w:top w:val="single" w:color="000000" w:sz="4" w:space="0"/>
              <w:left w:val="single" w:color="000000" w:sz="4" w:space="0"/>
              <w:bottom w:val="single" w:color="000000" w:sz="4" w:space="0"/>
              <w:right w:val="single" w:color="000000" w:sz="4" w:space="0"/>
            </w:tcBorders>
            <w:noWrap w:val="0"/>
            <w:vAlign w:val="center"/>
          </w:tcPr>
          <w:p w14:paraId="7B2D4AD3">
            <w:pPr>
              <w:widowControl w:val="0"/>
              <w:spacing w:before="38"/>
              <w:ind w:right="194" w:rightChars="0"/>
              <w:jc w:val="both"/>
              <w:rPr>
                <w:rFonts w:hint="eastAsia" w:ascii="宋体" w:hAnsi="宋体" w:eastAsia="宋体" w:cs="宋体"/>
                <w:spacing w:val="-1"/>
                <w:kern w:val="2"/>
                <w:sz w:val="21"/>
                <w:szCs w:val="21"/>
                <w:lang w:val="en-US" w:eastAsia="en-US" w:bidi="ar-SA"/>
              </w:rPr>
            </w:pPr>
            <w:r>
              <w:rPr>
                <w:rFonts w:hint="eastAsia" w:ascii="宋体" w:hAnsi="宋体" w:eastAsia="宋体" w:cs="宋体"/>
                <w:spacing w:val="-1"/>
                <w:kern w:val="2"/>
                <w:sz w:val="21"/>
                <w:szCs w:val="21"/>
                <w:lang w:val="en-US" w:eastAsia="en-US" w:bidi="ar-SA"/>
              </w:rPr>
              <w:t>根据本项目的整体情况，提供项目实施规划方案，其中包括相关工作的①</w:t>
            </w:r>
            <w:r>
              <w:rPr>
                <w:rFonts w:hint="eastAsia" w:ascii="宋体" w:hAnsi="宋体" w:eastAsia="宋体" w:cs="宋体"/>
                <w:spacing w:val="-1"/>
                <w:kern w:val="2"/>
                <w:sz w:val="21"/>
                <w:szCs w:val="21"/>
                <w:lang w:val="en-US" w:eastAsia="zh-CN" w:bidi="ar-SA"/>
              </w:rPr>
              <w:t>赛事执行</w:t>
            </w:r>
            <w:r>
              <w:rPr>
                <w:rFonts w:hint="eastAsia" w:ascii="宋体" w:hAnsi="宋体" w:eastAsia="宋体" w:cs="宋体"/>
                <w:spacing w:val="-1"/>
                <w:kern w:val="2"/>
                <w:sz w:val="21"/>
                <w:szCs w:val="21"/>
                <w:lang w:val="zh-CN" w:eastAsia="en-US" w:bidi="ar-SA"/>
              </w:rPr>
              <w:t>方案</w:t>
            </w:r>
            <w:r>
              <w:rPr>
                <w:rFonts w:hint="eastAsia" w:ascii="宋体" w:hAnsi="宋体" w:eastAsia="宋体" w:cs="宋体"/>
                <w:spacing w:val="-1"/>
                <w:kern w:val="2"/>
                <w:sz w:val="21"/>
                <w:szCs w:val="21"/>
                <w:lang w:val="en-US" w:eastAsia="en-US" w:bidi="ar-SA"/>
              </w:rPr>
              <w:t>、②</w:t>
            </w:r>
            <w:r>
              <w:rPr>
                <w:rFonts w:hint="eastAsia" w:ascii="宋体" w:hAnsi="宋体" w:eastAsia="宋体" w:cs="宋体"/>
                <w:spacing w:val="-1"/>
                <w:kern w:val="2"/>
                <w:sz w:val="21"/>
                <w:szCs w:val="21"/>
                <w:lang w:val="en-US" w:eastAsia="zh-CN" w:bidi="ar-SA"/>
              </w:rPr>
              <w:t>开闭幕式方案</w:t>
            </w:r>
            <w:r>
              <w:rPr>
                <w:rFonts w:hint="eastAsia" w:ascii="宋体" w:hAnsi="宋体" w:eastAsia="宋体" w:cs="宋体"/>
                <w:spacing w:val="-1"/>
                <w:kern w:val="2"/>
                <w:sz w:val="21"/>
                <w:szCs w:val="21"/>
                <w:lang w:val="en-US" w:eastAsia="en-US" w:bidi="ar-SA"/>
              </w:rPr>
              <w:t>、③媒体宣传推广方案、④后勤保障方案</w:t>
            </w:r>
            <w:r>
              <w:rPr>
                <w:rFonts w:hint="eastAsia" w:ascii="宋体" w:hAnsi="宋体" w:eastAsia="宋体" w:cs="宋体"/>
                <w:spacing w:val="-1"/>
                <w:kern w:val="2"/>
                <w:sz w:val="21"/>
                <w:szCs w:val="21"/>
                <w:lang w:val="en-US" w:eastAsia="zh-CN" w:bidi="ar-SA"/>
              </w:rPr>
              <w:t>⑤协调</w:t>
            </w:r>
            <w:r>
              <w:rPr>
                <w:rFonts w:hint="eastAsia" w:ascii="宋体" w:hAnsi="宋体" w:eastAsia="宋体" w:cs="宋体"/>
                <w:spacing w:val="-1"/>
                <w:kern w:val="2"/>
                <w:sz w:val="21"/>
                <w:szCs w:val="21"/>
                <w:lang w:val="en-US" w:eastAsia="en-US" w:bidi="ar-SA"/>
              </w:rPr>
              <w:t>方案等情况内容进行评审，逐项打分。</w:t>
            </w:r>
          </w:p>
          <w:p w14:paraId="3ECAFA8E">
            <w:pPr>
              <w:widowControl w:val="0"/>
              <w:spacing w:before="38"/>
              <w:ind w:right="194" w:rightChars="0"/>
              <w:jc w:val="both"/>
              <w:rPr>
                <w:rFonts w:hint="eastAsia" w:ascii="宋体" w:hAnsi="宋体" w:eastAsia="宋体" w:cs="宋体"/>
                <w:spacing w:val="-1"/>
                <w:kern w:val="2"/>
                <w:sz w:val="21"/>
                <w:szCs w:val="21"/>
                <w:lang w:val="en-US" w:eastAsia="en-US" w:bidi="ar-SA"/>
              </w:rPr>
            </w:pPr>
            <w:r>
              <w:rPr>
                <w:rFonts w:hint="eastAsia" w:ascii="宋体" w:hAnsi="宋体" w:eastAsia="宋体" w:cs="宋体"/>
                <w:spacing w:val="-1"/>
                <w:kern w:val="2"/>
                <w:sz w:val="21"/>
                <w:szCs w:val="21"/>
                <w:lang w:val="en-US" w:eastAsia="en-US" w:bidi="ar-SA"/>
              </w:rPr>
              <w:t>以上内容每缺一项内容的扣</w:t>
            </w:r>
            <w:r>
              <w:rPr>
                <w:rFonts w:hint="eastAsia" w:ascii="宋体" w:hAnsi="宋体" w:eastAsia="宋体" w:cs="宋体"/>
                <w:spacing w:val="-1"/>
                <w:kern w:val="2"/>
                <w:sz w:val="21"/>
                <w:szCs w:val="21"/>
                <w:lang w:val="en-US" w:eastAsia="zh-CN" w:bidi="ar-SA"/>
              </w:rPr>
              <w:t>7</w:t>
            </w:r>
            <w:r>
              <w:rPr>
                <w:rFonts w:hint="eastAsia" w:ascii="宋体" w:hAnsi="宋体" w:eastAsia="宋体" w:cs="宋体"/>
                <w:spacing w:val="-1"/>
                <w:kern w:val="2"/>
                <w:sz w:val="21"/>
                <w:szCs w:val="21"/>
                <w:lang w:val="en-US" w:eastAsia="en-US" w:bidi="ar-SA"/>
              </w:rPr>
              <w:t xml:space="preserve">分，每有一项内容不完整的扣 </w:t>
            </w:r>
            <w:r>
              <w:rPr>
                <w:rFonts w:hint="eastAsia" w:ascii="宋体" w:hAnsi="宋体" w:eastAsia="宋体" w:cs="宋体"/>
                <w:spacing w:val="-1"/>
                <w:kern w:val="2"/>
                <w:sz w:val="21"/>
                <w:szCs w:val="21"/>
                <w:lang w:val="en-US" w:eastAsia="zh-CN" w:bidi="ar-SA"/>
              </w:rPr>
              <w:t>3.5</w:t>
            </w:r>
            <w:r>
              <w:rPr>
                <w:rFonts w:hint="eastAsia" w:ascii="宋体" w:hAnsi="宋体" w:eastAsia="宋体" w:cs="宋体"/>
                <w:spacing w:val="-1"/>
                <w:kern w:val="2"/>
                <w:sz w:val="21"/>
                <w:szCs w:val="21"/>
                <w:lang w:val="en-US" w:eastAsia="en-US" w:bidi="ar-SA"/>
              </w:rPr>
              <w:t xml:space="preserve">分， 满分 </w:t>
            </w:r>
            <w:r>
              <w:rPr>
                <w:rFonts w:hint="eastAsia" w:ascii="宋体" w:hAnsi="宋体" w:eastAsia="宋体" w:cs="宋体"/>
                <w:spacing w:val="-1"/>
                <w:kern w:val="2"/>
                <w:sz w:val="21"/>
                <w:szCs w:val="21"/>
                <w:lang w:val="en-US" w:eastAsia="zh-CN" w:bidi="ar-SA"/>
              </w:rPr>
              <w:t>35</w:t>
            </w:r>
            <w:r>
              <w:rPr>
                <w:rFonts w:hint="eastAsia" w:ascii="宋体" w:hAnsi="宋体" w:eastAsia="宋体" w:cs="宋体"/>
                <w:spacing w:val="-1"/>
                <w:kern w:val="2"/>
                <w:sz w:val="21"/>
                <w:szCs w:val="21"/>
                <w:lang w:val="en-US" w:eastAsia="en-US" w:bidi="ar-SA"/>
              </w:rPr>
              <w:t>分，扣完为止；未提供或明显套用其他项目内容的不得分。 注：不完整指前后内容无法连贯；套用其他项目方案或前后内容互相矛盾或存在与本项目无关的内容。</w:t>
            </w:r>
          </w:p>
        </w:tc>
      </w:tr>
      <w:tr w14:paraId="1384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70048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14:paraId="2DBE5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技术方案</w:t>
            </w:r>
          </w:p>
          <w:p w14:paraId="6B3F6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6F643E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3389" w:type="pct"/>
            <w:tcBorders>
              <w:top w:val="single" w:color="000000" w:sz="4" w:space="0"/>
              <w:left w:val="single" w:color="000000" w:sz="4" w:space="0"/>
              <w:bottom w:val="single" w:color="000000" w:sz="4" w:space="0"/>
              <w:right w:val="single" w:color="000000" w:sz="4" w:space="0"/>
            </w:tcBorders>
            <w:noWrap w:val="0"/>
            <w:vAlign w:val="top"/>
          </w:tcPr>
          <w:p w14:paraId="0B7536CD">
            <w:pPr>
              <w:widowControl w:val="0"/>
              <w:spacing w:before="37" w:line="232" w:lineRule="auto"/>
              <w:ind w:right="103" w:rightChars="0"/>
              <w:jc w:val="both"/>
              <w:rPr>
                <w:rFonts w:hint="eastAsia" w:ascii="宋体" w:hAnsi="宋体" w:eastAsia="宋体" w:cs="宋体"/>
                <w:i w:val="0"/>
                <w:iCs w:val="0"/>
                <w:color w:val="000000"/>
                <w:kern w:val="2"/>
                <w:sz w:val="21"/>
                <w:szCs w:val="21"/>
                <w:u w:val="none"/>
                <w:lang w:val="en-US" w:eastAsia="en-US" w:bidi="ar-SA"/>
              </w:rPr>
            </w:pPr>
            <w:r>
              <w:rPr>
                <w:rFonts w:hint="eastAsia" w:ascii="宋体" w:hAnsi="宋体" w:eastAsia="宋体" w:cs="宋体"/>
                <w:i w:val="0"/>
                <w:iCs w:val="0"/>
                <w:color w:val="000000"/>
                <w:kern w:val="2"/>
                <w:sz w:val="21"/>
                <w:szCs w:val="21"/>
                <w:u w:val="none"/>
                <w:lang w:val="en-US" w:eastAsia="en-US" w:bidi="ar-SA"/>
              </w:rPr>
              <w:t>根据本项目的整体情况，提供的①</w:t>
            </w:r>
            <w:r>
              <w:rPr>
                <w:rFonts w:hint="eastAsia" w:ascii="宋体" w:hAnsi="宋体" w:eastAsia="宋体" w:cs="宋体"/>
                <w:i w:val="0"/>
                <w:iCs w:val="0"/>
                <w:color w:val="000000"/>
                <w:kern w:val="2"/>
                <w:sz w:val="21"/>
                <w:szCs w:val="21"/>
                <w:u w:val="none"/>
                <w:lang w:val="en-US" w:eastAsia="zh-CN" w:bidi="ar-SA"/>
              </w:rPr>
              <w:t>项目理解</w:t>
            </w:r>
            <w:r>
              <w:rPr>
                <w:rFonts w:hint="eastAsia" w:ascii="宋体" w:hAnsi="宋体" w:eastAsia="宋体" w:cs="宋体"/>
                <w:i w:val="0"/>
                <w:iCs w:val="0"/>
                <w:color w:val="000000"/>
                <w:kern w:val="2"/>
                <w:sz w:val="21"/>
                <w:szCs w:val="21"/>
                <w:u w:val="none"/>
                <w:lang w:val="en-US" w:eastAsia="en-US" w:bidi="ar-SA"/>
              </w:rPr>
              <w:t>、②</w:t>
            </w:r>
            <w:r>
              <w:rPr>
                <w:rFonts w:hint="eastAsia" w:ascii="宋体" w:hAnsi="宋体" w:eastAsia="宋体" w:cs="宋体"/>
                <w:i w:val="0"/>
                <w:iCs w:val="0"/>
                <w:color w:val="000000"/>
                <w:kern w:val="2"/>
                <w:sz w:val="21"/>
                <w:szCs w:val="21"/>
                <w:u w:val="none"/>
                <w:lang w:val="en-US" w:eastAsia="zh-CN" w:bidi="ar-SA"/>
              </w:rPr>
              <w:t>重难点和措施</w:t>
            </w:r>
            <w:r>
              <w:rPr>
                <w:rFonts w:hint="eastAsia" w:ascii="宋体" w:hAnsi="宋体" w:eastAsia="宋体" w:cs="宋体"/>
                <w:i w:val="0"/>
                <w:iCs w:val="0"/>
                <w:color w:val="000000"/>
                <w:kern w:val="2"/>
                <w:sz w:val="21"/>
                <w:szCs w:val="21"/>
                <w:u w:val="none"/>
                <w:lang w:val="en-US" w:eastAsia="en-US" w:bidi="ar-SA"/>
              </w:rPr>
              <w:t>、③进度计划、④质量保证及管理措施等情况内容进行评审，逐项打分。</w:t>
            </w:r>
          </w:p>
          <w:p w14:paraId="7AABE8D8">
            <w:pPr>
              <w:widowControl w:val="0"/>
              <w:spacing w:before="37" w:line="232" w:lineRule="auto"/>
              <w:ind w:right="103" w:rightChars="0"/>
              <w:jc w:val="both"/>
              <w:rPr>
                <w:rFonts w:hint="eastAsia" w:ascii="宋体" w:hAnsi="宋体" w:eastAsia="宋体" w:cs="宋体"/>
                <w:i w:val="0"/>
                <w:iCs w:val="0"/>
                <w:color w:val="000000"/>
                <w:kern w:val="2"/>
                <w:sz w:val="21"/>
                <w:szCs w:val="21"/>
                <w:u w:val="none"/>
                <w:lang w:val="en-US" w:eastAsia="en-US" w:bidi="ar-SA"/>
              </w:rPr>
            </w:pPr>
            <w:r>
              <w:rPr>
                <w:rFonts w:hint="eastAsia" w:ascii="宋体" w:hAnsi="宋体" w:eastAsia="宋体" w:cs="宋体"/>
                <w:i w:val="0"/>
                <w:iCs w:val="0"/>
                <w:color w:val="000000"/>
                <w:kern w:val="2"/>
                <w:sz w:val="21"/>
                <w:szCs w:val="21"/>
                <w:u w:val="none"/>
                <w:lang w:val="en-US" w:eastAsia="en-US" w:bidi="ar-SA"/>
              </w:rPr>
              <w:t>以上内容每缺一项内容的扣</w:t>
            </w:r>
            <w:r>
              <w:rPr>
                <w:rFonts w:hint="eastAsia" w:ascii="宋体" w:hAnsi="宋体" w:eastAsia="宋体" w:cs="宋体"/>
                <w:i w:val="0"/>
                <w:iCs w:val="0"/>
                <w:color w:val="000000"/>
                <w:kern w:val="2"/>
                <w:sz w:val="21"/>
                <w:szCs w:val="21"/>
                <w:u w:val="none"/>
                <w:lang w:val="en-US" w:eastAsia="zh-CN" w:bidi="ar-SA"/>
              </w:rPr>
              <w:t>5</w:t>
            </w:r>
            <w:r>
              <w:rPr>
                <w:rFonts w:hint="eastAsia" w:ascii="宋体" w:hAnsi="宋体" w:eastAsia="宋体" w:cs="宋体"/>
                <w:i w:val="0"/>
                <w:iCs w:val="0"/>
                <w:color w:val="000000"/>
                <w:kern w:val="2"/>
                <w:sz w:val="21"/>
                <w:szCs w:val="21"/>
                <w:u w:val="none"/>
                <w:lang w:val="en-US" w:eastAsia="en-US" w:bidi="ar-SA"/>
              </w:rPr>
              <w:t>分，每有一项内容不完整的扣</w:t>
            </w:r>
            <w:r>
              <w:rPr>
                <w:rFonts w:hint="eastAsia" w:ascii="宋体" w:hAnsi="宋体" w:eastAsia="宋体" w:cs="宋体"/>
                <w:i w:val="0"/>
                <w:iCs w:val="0"/>
                <w:color w:val="000000"/>
                <w:kern w:val="2"/>
                <w:sz w:val="21"/>
                <w:szCs w:val="21"/>
                <w:u w:val="none"/>
                <w:lang w:val="en-US" w:eastAsia="zh-CN" w:bidi="ar-SA"/>
              </w:rPr>
              <w:t>2</w:t>
            </w:r>
            <w:r>
              <w:rPr>
                <w:rFonts w:hint="eastAsia" w:ascii="宋体" w:hAnsi="宋体" w:eastAsia="宋体" w:cs="宋体"/>
                <w:i w:val="0"/>
                <w:iCs w:val="0"/>
                <w:color w:val="000000"/>
                <w:kern w:val="2"/>
                <w:sz w:val="21"/>
                <w:szCs w:val="21"/>
                <w:u w:val="none"/>
                <w:lang w:val="en-US" w:eastAsia="en-US" w:bidi="ar-SA"/>
              </w:rPr>
              <w:t xml:space="preserve">分， 满分 </w:t>
            </w:r>
            <w:r>
              <w:rPr>
                <w:rFonts w:hint="eastAsia" w:ascii="宋体" w:hAnsi="宋体" w:eastAsia="宋体" w:cs="宋体"/>
                <w:i w:val="0"/>
                <w:iCs w:val="0"/>
                <w:color w:val="000000"/>
                <w:kern w:val="2"/>
                <w:sz w:val="21"/>
                <w:szCs w:val="21"/>
                <w:u w:val="none"/>
                <w:lang w:val="en-US" w:eastAsia="zh-CN" w:bidi="ar-SA"/>
              </w:rPr>
              <w:t>20</w:t>
            </w:r>
            <w:r>
              <w:rPr>
                <w:rFonts w:hint="eastAsia" w:ascii="宋体" w:hAnsi="宋体" w:eastAsia="宋体" w:cs="宋体"/>
                <w:i w:val="0"/>
                <w:iCs w:val="0"/>
                <w:color w:val="000000"/>
                <w:kern w:val="2"/>
                <w:sz w:val="21"/>
                <w:szCs w:val="21"/>
                <w:u w:val="none"/>
                <w:lang w:val="en-US" w:eastAsia="en-US" w:bidi="ar-SA"/>
              </w:rPr>
              <w:t>分，扣完为止；未提供或明显套用其他项目内容的不得分。 注：不完整指前后内容无法连贯；套用其他项目方案或前后内容互 相矛盾或存在与本项目无关的内容。</w:t>
            </w:r>
          </w:p>
        </w:tc>
      </w:tr>
      <w:tr w14:paraId="088F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08FE26A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14:paraId="4E323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应急方案</w:t>
            </w:r>
          </w:p>
          <w:p w14:paraId="23CA4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87027B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3389" w:type="pct"/>
            <w:tcBorders>
              <w:top w:val="single" w:color="000000" w:sz="4" w:space="0"/>
              <w:left w:val="single" w:color="000000" w:sz="4" w:space="0"/>
              <w:bottom w:val="single" w:color="000000" w:sz="4" w:space="0"/>
              <w:right w:val="single" w:color="000000" w:sz="4" w:space="0"/>
            </w:tcBorders>
            <w:noWrap w:val="0"/>
            <w:vAlign w:val="top"/>
          </w:tcPr>
          <w:p w14:paraId="62C04347">
            <w:pPr>
              <w:widowControl w:val="0"/>
              <w:spacing w:before="37" w:line="232" w:lineRule="auto"/>
              <w:ind w:right="103" w:rightChars="0"/>
              <w:jc w:val="both"/>
              <w:rPr>
                <w:rFonts w:hint="eastAsia" w:ascii="宋体" w:hAnsi="宋体" w:eastAsia="宋体" w:cs="宋体"/>
                <w:i w:val="0"/>
                <w:iCs w:val="0"/>
                <w:color w:val="000000"/>
                <w:kern w:val="2"/>
                <w:sz w:val="21"/>
                <w:szCs w:val="21"/>
                <w:u w:val="none"/>
                <w:lang w:val="en-US" w:eastAsia="en-US" w:bidi="ar-SA"/>
              </w:rPr>
            </w:pPr>
            <w:r>
              <w:rPr>
                <w:rFonts w:hint="eastAsia" w:ascii="宋体" w:hAnsi="宋体" w:eastAsia="宋体" w:cs="宋体"/>
                <w:i w:val="0"/>
                <w:iCs w:val="0"/>
                <w:color w:val="000000"/>
                <w:kern w:val="2"/>
                <w:sz w:val="21"/>
                <w:szCs w:val="21"/>
                <w:u w:val="none"/>
                <w:lang w:val="en-US" w:eastAsia="en-US" w:bidi="ar-SA"/>
              </w:rPr>
              <w:t>应急方案包括但不限于突发情况的处理能力、人员的调配、业务操作、流程图、紧急联系人等方面。</w:t>
            </w:r>
          </w:p>
          <w:p w14:paraId="40E60149">
            <w:pPr>
              <w:widowControl w:val="0"/>
              <w:spacing w:before="37" w:line="232" w:lineRule="auto"/>
              <w:ind w:right="103" w:rightChars="0"/>
              <w:jc w:val="both"/>
              <w:rPr>
                <w:rFonts w:hint="eastAsia" w:ascii="宋体" w:hAnsi="宋体" w:eastAsia="宋体" w:cs="宋体"/>
                <w:i w:val="0"/>
                <w:iCs w:val="0"/>
                <w:color w:val="000000"/>
                <w:kern w:val="2"/>
                <w:sz w:val="21"/>
                <w:szCs w:val="21"/>
                <w:u w:val="none"/>
                <w:lang w:val="en-US" w:eastAsia="en-US" w:bidi="ar-SA"/>
              </w:rPr>
            </w:pPr>
            <w:r>
              <w:rPr>
                <w:rFonts w:hint="eastAsia" w:ascii="宋体" w:hAnsi="宋体" w:eastAsia="宋体" w:cs="宋体"/>
                <w:i w:val="0"/>
                <w:iCs w:val="0"/>
                <w:color w:val="000000"/>
                <w:kern w:val="2"/>
                <w:sz w:val="21"/>
                <w:szCs w:val="21"/>
                <w:u w:val="none"/>
                <w:lang w:val="en-US" w:eastAsia="en-US" w:bidi="ar-SA"/>
              </w:rPr>
              <w:t>以上内容每缺一项内容的扣 3 分，每有一项内容不完整的扣 1.5 分， 满分 15 分，扣完为止；未提供或明显套用其他项目内容的不得分。 注：不完整指前后内容无法连贯；套用其他项目方案或前后内容互 相矛盾或存在与本项目无关的内容。</w:t>
            </w:r>
          </w:p>
        </w:tc>
      </w:tr>
    </w:tbl>
    <w:p w14:paraId="59C619E2">
      <w:pPr>
        <w:pStyle w:val="31"/>
        <w:ind w:left="0" w:leftChars="0" w:firstLine="0" w:firstLineChars="0"/>
        <w:rPr>
          <w:rFonts w:hint="eastAsia" w:ascii="宋体" w:hAnsi="宋体" w:eastAsia="宋体" w:cs="宋体"/>
          <w:color w:val="auto"/>
          <w:lang w:val="en-US" w:eastAsia="zh-CN"/>
        </w:rPr>
      </w:pPr>
    </w:p>
    <w:p w14:paraId="24069539">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kern w:val="0"/>
          <w:sz w:val="24"/>
          <w:lang w:eastAsia="zh-CN"/>
        </w:rPr>
      </w:pPr>
      <w:bookmarkStart w:id="95" w:name="_Toc25362"/>
      <w:bookmarkStart w:id="96" w:name="_Toc14001"/>
      <w:r>
        <w:rPr>
          <w:rFonts w:hint="eastAsia" w:ascii="宋体" w:hAnsi="宋体" w:eastAsia="宋体" w:cs="宋体"/>
          <w:b/>
          <w:color w:val="auto"/>
          <w:sz w:val="28"/>
          <w:szCs w:val="28"/>
          <w:lang w:eastAsia="zh-CN"/>
        </w:rPr>
        <w:t>二、评审办法正文部分</w:t>
      </w:r>
      <w:bookmarkEnd w:id="95"/>
      <w:bookmarkEnd w:id="96"/>
    </w:p>
    <w:p w14:paraId="1AD21B43">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经磋商确定最终采购需求和提交最后报价的供应商后，由磋商小组采用综合评分法对提交最后报价的供应商的响应文件和最后报价进行综合评分。</w:t>
      </w:r>
    </w:p>
    <w:p w14:paraId="13A662D5">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综合评分法，是指响应文件满足磋商文件全部实质性要求且按评审因素的量化指标评审得分最高的供应商为成交候选供应商的评审方法。</w:t>
      </w:r>
    </w:p>
    <w:p w14:paraId="46099A71">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评审时，磋商小组各成员应当独立对每个有效响应的文件进行评价、打分，然后汇总每个供应商每项评分因素的得分。</w:t>
      </w:r>
    </w:p>
    <w:p w14:paraId="1E09EA89">
      <w:pPr>
        <w:pStyle w:val="11"/>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响应文件的初审</w:t>
      </w:r>
    </w:p>
    <w:p w14:paraId="234EAFF9">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初审分为资格审查和符合性审查。</w:t>
      </w:r>
    </w:p>
    <w:p w14:paraId="2A90F503">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2.1.1</w:t>
      </w:r>
      <w:r>
        <w:rPr>
          <w:rFonts w:hint="eastAsia" w:ascii="宋体" w:hAnsi="宋体" w:eastAsia="宋体" w:cs="宋体"/>
          <w:color w:val="auto"/>
          <w:sz w:val="24"/>
          <w:szCs w:val="24"/>
        </w:rPr>
        <w:t>资格审查</w:t>
      </w:r>
    </w:p>
    <w:p w14:paraId="685865F3">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（1）磋商小组根据评</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办法前附表规定的评审因素和评审标准，对供应商的响应文件进行资格评审。资格审查不合格的供应商的响应文件作</w:t>
      </w:r>
      <w:r>
        <w:rPr>
          <w:rFonts w:hint="eastAsia" w:ascii="宋体" w:hAnsi="宋体" w:eastAsia="宋体" w:cs="宋体"/>
          <w:b/>
          <w:bCs/>
          <w:color w:val="auto"/>
          <w:sz w:val="24"/>
          <w:szCs w:val="24"/>
        </w:rPr>
        <w:t>无效文件</w:t>
      </w:r>
      <w:r>
        <w:rPr>
          <w:rFonts w:hint="eastAsia" w:ascii="宋体" w:hAnsi="宋体" w:eastAsia="宋体" w:cs="宋体"/>
          <w:color w:val="auto"/>
          <w:sz w:val="24"/>
          <w:szCs w:val="24"/>
        </w:rPr>
        <w:t>处理。</w:t>
      </w:r>
    </w:p>
    <w:p w14:paraId="7404F5AC">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（2）磋商小组在进行资格检查时，不得改变磋商文件中已载明的资格条件、标准和办法。资格审查不合格的供应商的响应文件作无效文件处理。</w:t>
      </w:r>
    </w:p>
    <w:p w14:paraId="01E89CA8">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）磋商小组在评审中必要时可按供应商提供的联系方式就有关问题进行查询核实，或要求供应商做出书面澄清，查询及澄清结果将作为审查的依据。</w:t>
      </w:r>
    </w:p>
    <w:p w14:paraId="7B95011C">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）通过全部资格审查条件合格的供应商才能通过资格审查，其响应文件方可进入下一个检查阶段。</w:t>
      </w:r>
    </w:p>
    <w:p w14:paraId="42EA7598">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2.1.2</w:t>
      </w:r>
      <w:r>
        <w:rPr>
          <w:rFonts w:hint="eastAsia" w:ascii="宋体" w:hAnsi="宋体" w:eastAsia="宋体" w:cs="宋体"/>
          <w:color w:val="auto"/>
          <w:sz w:val="24"/>
          <w:szCs w:val="24"/>
        </w:rPr>
        <w:t>符合性审查</w:t>
      </w:r>
    </w:p>
    <w:p w14:paraId="5C6E7E3B">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磋商小组根据评</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办法前附表规定的评审因素和评审标准，对供应商的响应文件进行符合性审查。符合性审查不合格的供应商的响应文件作无效文件处理。</w:t>
      </w:r>
    </w:p>
    <w:p w14:paraId="31B446E0">
      <w:pPr>
        <w:pStyle w:val="11"/>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rPr>
        <w:t>磋商小组审查响应文件是否完整、有无计算上的错误等。</w:t>
      </w:r>
    </w:p>
    <w:p w14:paraId="69F6493C">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2.2.1</w:t>
      </w:r>
      <w:r>
        <w:rPr>
          <w:rFonts w:hint="eastAsia" w:ascii="宋体" w:hAnsi="宋体" w:eastAsia="宋体" w:cs="宋体"/>
          <w:color w:val="auto"/>
          <w:sz w:val="24"/>
          <w:szCs w:val="24"/>
        </w:rPr>
        <w:t>响应文件的修正及澄清</w:t>
      </w:r>
    </w:p>
    <w:p w14:paraId="38AC0E2D">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磋商小组对确定为实质上响应磋商文件要求的响应文件进行校核，看其是否有计算或表达上的错误，算术错误将按以下方法更正：</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内容与</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文件中相应内容不一致的，以</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为准；大写金额和小写金额不一致的，以大写金额为准；单价金额小数点或者百分比有明显错位的，以</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的总价为准，并修改单价；总价金额与按单价汇总金额不一致的，以单价金额计算结果为准。同时出现两种以上不一致的，按照前款规定的顺序修正。提交最终报价时，如果供应商不接受对其错误的更正，其响应文件将被视为无效文件。</w:t>
      </w:r>
    </w:p>
    <w:p w14:paraId="0BD11806">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2.2.2</w:t>
      </w:r>
      <w:r>
        <w:rPr>
          <w:rFonts w:hint="eastAsia" w:ascii="宋体" w:hAnsi="宋体" w:eastAsia="宋体" w:cs="宋体"/>
          <w:color w:val="auto"/>
          <w:sz w:val="24"/>
          <w:szCs w:val="24"/>
        </w:rPr>
        <w:t>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19EB95CD">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2.2.3</w:t>
      </w:r>
      <w:r>
        <w:rPr>
          <w:rFonts w:hint="eastAsia" w:ascii="宋体" w:hAnsi="宋体" w:eastAsia="宋体" w:cs="宋体"/>
          <w:color w:val="auto"/>
          <w:sz w:val="24"/>
          <w:szCs w:val="24"/>
        </w:rPr>
        <w:t>实质上没有响应磋商文件要求的响应文件将被视为无效文件。供应商不得通过修正或撤销不合要求的偏离从而使其成为实质上响应的文件。</w:t>
      </w:r>
    </w:p>
    <w:p w14:paraId="734C83AB">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0D344D2A">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2.2.5</w:t>
      </w:r>
      <w:r>
        <w:rPr>
          <w:rFonts w:hint="eastAsia" w:ascii="宋体" w:hAnsi="宋体" w:eastAsia="宋体" w:cs="宋体"/>
          <w:color w:val="auto"/>
          <w:sz w:val="24"/>
          <w:szCs w:val="24"/>
        </w:rPr>
        <w:t>供应商的澄清文件是其响应文件的组成部分。</w:t>
      </w:r>
    </w:p>
    <w:p w14:paraId="4830A7B1">
      <w:pPr>
        <w:pStyle w:val="11"/>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磋商</w:t>
      </w:r>
    </w:p>
    <w:p w14:paraId="15645E6E">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.1磋商小组所有成员应当集中与单一供应商分别进行磋商，并给予所有参加磋商的供应商平等的磋商机会。</w:t>
      </w:r>
    </w:p>
    <w:p w14:paraId="4432E590">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4B1AB9AD">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.3对磋商文件作出的实质性变动是磋商文件的有效组成部分，磋商小组应当及时以书面形式同时通知所有参加磋商的供应商。</w:t>
      </w:r>
    </w:p>
    <w:p w14:paraId="5F48EE5A">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B47E584">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.5磋商文件能够详细列明采购标的的技术、服务要求的，磋商结束后，磋商小组应当要求所有实质性响应的供应商在规定时间内提交最后报价，提交最后报价的供应商不得少于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家。</w:t>
      </w:r>
    </w:p>
    <w:p w14:paraId="74A4DBA5">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.6磋商文件不能详细列明采购标的的技术、服务要求，需经磋商由供应商提供最终设计方案或解决方案的，磋商结束后，磋商小组应当按照少数服从多数的原则投票推荐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家以上供应商的设计方案或者解决方案，并要求其在规定时间内提交最后报价。</w:t>
      </w:r>
    </w:p>
    <w:p w14:paraId="27967F0E">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.7已提交响应文件的供应商，在提交最后报价之前，可以根据磋商情况退出磋商。其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将予以退还。</w:t>
      </w:r>
    </w:p>
    <w:p w14:paraId="241D64B4">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.8最后报价是供应商响应文件的有效组成部分。</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《政府采购竞争性磋商采购方式管理暂行办法》</w:t>
      </w:r>
      <w:r>
        <w:rPr>
          <w:rFonts w:hint="eastAsia" w:ascii="宋体" w:hAnsi="宋体" w:eastAsia="宋体" w:cs="宋体"/>
          <w:color w:val="auto"/>
          <w:sz w:val="24"/>
          <w:szCs w:val="24"/>
          <w:highlight w:val="none"/>
        </w:rPr>
        <w:t>第三条第四项情形</w:t>
      </w:r>
      <w:r>
        <w:rPr>
          <w:rFonts w:hint="eastAsia" w:ascii="宋体" w:hAnsi="宋体" w:eastAsia="宋体" w:cs="宋体"/>
          <w:color w:val="auto"/>
          <w:sz w:val="24"/>
          <w:szCs w:val="24"/>
          <w:highlight w:val="none"/>
          <w:lang w:eastAsia="zh-CN"/>
        </w:rPr>
        <w:t>：市场竞争不充分的科研项目，以及需要扶持的科技成果转化项目</w:t>
      </w:r>
      <w:r>
        <w:rPr>
          <w:rFonts w:hint="eastAsia" w:ascii="宋体" w:hAnsi="宋体" w:eastAsia="宋体" w:cs="宋体"/>
          <w:color w:val="auto"/>
          <w:sz w:val="24"/>
          <w:szCs w:val="24"/>
          <w:highlight w:val="none"/>
        </w:rPr>
        <w:t>，提交最后报价的供应商可</w:t>
      </w:r>
      <w:r>
        <w:rPr>
          <w:rFonts w:hint="eastAsia" w:ascii="宋体" w:hAnsi="宋体" w:eastAsia="宋体" w:cs="宋体"/>
          <w:color w:val="auto"/>
          <w:sz w:val="24"/>
          <w:szCs w:val="24"/>
        </w:rPr>
        <w:t>以为2家。</w:t>
      </w:r>
    </w:p>
    <w:p w14:paraId="48322376">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.9经磋商确定最终采购需求和提交最后报价的供应商后，由磋商小组采用综合评分法对提交最后报价的供应商的响应文件和最后报价进行综合评分。</w:t>
      </w:r>
    </w:p>
    <w:p w14:paraId="1EA53957">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.10采购结果确认</w:t>
      </w:r>
    </w:p>
    <w:p w14:paraId="124BF647">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（1）磋商小组按照</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25EFF17E">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（2）合同可变细节包括项目公司注册地、资金到位时间及监管方式、收费年限到期后收费收入不足以补偿建设运营成本时甲方对乙方的补偿政策、建设期项目公司与施工项目部的关系以及工程款的支付方式等。</w:t>
      </w:r>
    </w:p>
    <w:p w14:paraId="3B3A826A">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（3）条款是指磋商过程中确定的最终采购需求及报价。</w:t>
      </w:r>
    </w:p>
    <w:p w14:paraId="26B2AFD1">
      <w:pPr>
        <w:pStyle w:val="11"/>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2.4推荐成交供应商</w:t>
      </w:r>
    </w:p>
    <w:p w14:paraId="6A547516">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6B0C6B5">
      <w:pPr>
        <w:pStyle w:val="11"/>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2.5确定成交供应商</w:t>
      </w:r>
    </w:p>
    <w:p w14:paraId="16C25F58">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2.5.1</w:t>
      </w:r>
      <w:r>
        <w:rPr>
          <w:rFonts w:hint="eastAsia" w:ascii="宋体" w:hAnsi="宋体" w:eastAsia="宋体" w:cs="宋体"/>
          <w:color w:val="auto"/>
          <w:sz w:val="24"/>
          <w:szCs w:val="24"/>
        </w:rPr>
        <w:t>采购代理机构应当在评审结束后2个工作日内将评审报告送采购人确认。</w:t>
      </w:r>
    </w:p>
    <w:p w14:paraId="029BB7A8">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2.5.2</w:t>
      </w:r>
      <w:r>
        <w:rPr>
          <w:rFonts w:hint="eastAsia" w:ascii="宋体" w:hAnsi="宋体" w:eastAsia="宋体" w:cs="宋体"/>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5BD21BD">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color w:val="auto"/>
          <w:sz w:val="28"/>
          <w:szCs w:val="28"/>
          <w:lang w:val="en-US" w:eastAsia="zh-CN"/>
        </w:rPr>
      </w:pPr>
      <w:bookmarkStart w:id="97" w:name="_Toc19418"/>
      <w:r>
        <w:rPr>
          <w:rFonts w:hint="eastAsia" w:ascii="宋体" w:hAnsi="宋体" w:eastAsia="宋体" w:cs="宋体"/>
          <w:b/>
          <w:color w:val="auto"/>
          <w:sz w:val="28"/>
          <w:szCs w:val="28"/>
          <w:lang w:val="en-US" w:eastAsia="zh-CN"/>
        </w:rPr>
        <w:t>三、串通投标的情况</w:t>
      </w:r>
      <w:bookmarkEnd w:id="97"/>
    </w:p>
    <w:p w14:paraId="225AE8E0">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有下列情形之一的，视为</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串通投标，其</w:t>
      </w:r>
      <w:r>
        <w:rPr>
          <w:rFonts w:hint="eastAsia" w:ascii="宋体" w:hAnsi="宋体" w:eastAsia="宋体" w:cs="宋体"/>
          <w:b/>
          <w:bCs/>
          <w:color w:val="auto"/>
          <w:sz w:val="24"/>
          <w:szCs w:val="24"/>
          <w:lang w:val="en-US" w:eastAsia="zh-CN"/>
        </w:rPr>
        <w:t>投标无效</w:t>
      </w:r>
      <w:r>
        <w:rPr>
          <w:rFonts w:hint="eastAsia" w:ascii="宋体" w:hAnsi="宋体" w:eastAsia="宋体" w:cs="宋体"/>
          <w:color w:val="auto"/>
          <w:sz w:val="24"/>
          <w:szCs w:val="24"/>
          <w:lang w:val="en-US" w:eastAsia="zh-CN"/>
        </w:rPr>
        <w:t>：</w:t>
      </w:r>
    </w:p>
    <w:p w14:paraId="34796884">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的响应文件由同一单位或者个人编制；</w:t>
      </w:r>
    </w:p>
    <w:p w14:paraId="606A35F7">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委托同一单位或者个人办理投标事宜；</w:t>
      </w:r>
    </w:p>
    <w:p w14:paraId="2DD7B0FB">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的响应文件载明的项目管理成员或者联系人员为同一人；</w:t>
      </w:r>
    </w:p>
    <w:p w14:paraId="07399151">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的响应文件异常一致或者投标报价呈规律性差异；</w:t>
      </w:r>
    </w:p>
    <w:p w14:paraId="71FB0604">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的响应文件相互混装；</w:t>
      </w:r>
    </w:p>
    <w:p w14:paraId="2971EC54">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8"/>
          <w:szCs w:val="28"/>
        </w:rPr>
      </w:pPr>
      <w:r>
        <w:rPr>
          <w:rFonts w:hint="eastAsia" w:ascii="宋体" w:hAnsi="宋体" w:eastAsia="宋体" w:cs="宋体"/>
          <w:color w:val="auto"/>
          <w:sz w:val="24"/>
          <w:szCs w:val="24"/>
          <w:lang w:val="en-US" w:eastAsia="zh-CN"/>
        </w:rPr>
        <w:t>6、不同</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的响应保证金从同一单位或者个人的账户转出。</w:t>
      </w:r>
    </w:p>
    <w:p w14:paraId="69BCBFD6">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四、无效投标条款和废标条款</w:t>
      </w:r>
    </w:p>
    <w:p w14:paraId="1D3491F0">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r>
        <w:rPr>
          <w:rFonts w:hint="eastAsia" w:ascii="宋体" w:hAnsi="宋体" w:eastAsia="宋体" w:cs="宋体"/>
          <w:b/>
          <w:bCs/>
          <w:color w:val="auto"/>
          <w:sz w:val="24"/>
          <w:szCs w:val="24"/>
          <w:lang w:val="en-US" w:eastAsia="zh-CN"/>
        </w:rPr>
        <w:t>无效投标条款</w:t>
      </w:r>
    </w:p>
    <w:p w14:paraId="3EA77944">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不遵循公平竞争的原则，恶意串通，妨碍其他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的竞争，损害采购人或者其他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的合法权益，评标委员会应当认定其投标无效。</w:t>
      </w:r>
    </w:p>
    <w:p w14:paraId="520C282A">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r>
        <w:rPr>
          <w:rFonts w:hint="eastAsia" w:ascii="宋体" w:hAnsi="宋体" w:eastAsia="宋体" w:cs="宋体"/>
          <w:b/>
          <w:bCs/>
          <w:color w:val="auto"/>
          <w:sz w:val="24"/>
          <w:szCs w:val="24"/>
          <w:lang w:val="en-US" w:eastAsia="zh-CN"/>
        </w:rPr>
        <w:t>废标条款</w:t>
      </w:r>
      <w:r>
        <w:rPr>
          <w:rFonts w:hint="eastAsia" w:ascii="宋体" w:hAnsi="宋体" w:eastAsia="宋体" w:cs="宋体"/>
          <w:color w:val="auto"/>
          <w:sz w:val="24"/>
          <w:szCs w:val="24"/>
          <w:lang w:val="en-US" w:eastAsia="zh-CN"/>
        </w:rPr>
        <w:t>：</w:t>
      </w:r>
    </w:p>
    <w:p w14:paraId="369A3312">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4.2.1符合专业条件的供应商或者对磋商文件作实质响应的供应商不足三家的；</w:t>
      </w:r>
    </w:p>
    <w:p w14:paraId="463821B7">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4.2.2出现影响采购公正的违法、违规行为的；</w:t>
      </w:r>
    </w:p>
    <w:p w14:paraId="6E0695DD">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4.2.3</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的报价均超过了采购预算，采购人不能支付的；</w:t>
      </w:r>
    </w:p>
    <w:p w14:paraId="1B953D73">
      <w:pPr>
        <w:pStyle w:val="11"/>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4.2.4因重大变故，采购任务取消的。</w:t>
      </w:r>
    </w:p>
    <w:p w14:paraId="60DB8BA6">
      <w:pPr>
        <w:pStyle w:val="11"/>
        <w:spacing w:line="500" w:lineRule="exact"/>
        <w:ind w:firstLine="565" w:firstLineChars="202"/>
        <w:jc w:val="left"/>
        <w:rPr>
          <w:rFonts w:hint="eastAsia" w:ascii="宋体" w:hAnsi="宋体" w:eastAsia="宋体" w:cs="宋体"/>
          <w:color w:val="auto"/>
          <w:sz w:val="28"/>
          <w:szCs w:val="28"/>
        </w:rPr>
      </w:pPr>
    </w:p>
    <w:p w14:paraId="03AACF4E">
      <w:pPr>
        <w:pStyle w:val="11"/>
        <w:spacing w:line="500" w:lineRule="exact"/>
        <w:ind w:firstLine="565" w:firstLineChars="202"/>
        <w:jc w:val="left"/>
        <w:rPr>
          <w:rFonts w:hint="eastAsia" w:ascii="宋体" w:hAnsi="宋体" w:eastAsia="宋体" w:cs="宋体"/>
          <w:color w:val="auto"/>
          <w:sz w:val="28"/>
          <w:szCs w:val="28"/>
        </w:rPr>
      </w:pPr>
    </w:p>
    <w:p w14:paraId="6A07F17A">
      <w:pPr>
        <w:pStyle w:val="11"/>
        <w:spacing w:line="500" w:lineRule="exact"/>
        <w:ind w:left="0" w:leftChars="0" w:firstLine="0" w:firstLineChars="0"/>
        <w:jc w:val="left"/>
        <w:rPr>
          <w:rFonts w:hint="eastAsia" w:ascii="宋体" w:hAnsi="宋体" w:eastAsia="宋体" w:cs="宋体"/>
          <w:color w:val="auto"/>
          <w:sz w:val="28"/>
          <w:szCs w:val="28"/>
        </w:rPr>
      </w:pPr>
    </w:p>
    <w:p w14:paraId="446C2AC8">
      <w:pPr>
        <w:rPr>
          <w:rFonts w:hint="eastAsia" w:ascii="宋体" w:hAnsi="宋体" w:eastAsia="宋体" w:cs="宋体"/>
          <w:color w:val="auto"/>
          <w:sz w:val="28"/>
          <w:highlight w:val="white"/>
        </w:rPr>
      </w:pPr>
    </w:p>
    <w:p w14:paraId="607B28DE">
      <w:pPr>
        <w:pStyle w:val="2"/>
        <w:numPr>
          <w:ilvl w:val="0"/>
          <w:numId w:val="2"/>
        </w:numPr>
        <w:spacing w:before="0" w:after="0" w:line="240" w:lineRule="auto"/>
        <w:ind w:left="0" w:leftChars="0"/>
        <w:rPr>
          <w:rFonts w:hint="eastAsia" w:ascii="宋体" w:hAnsi="宋体" w:eastAsia="宋体" w:cs="宋体"/>
          <w:color w:val="auto"/>
        </w:rPr>
      </w:pPr>
      <w:bookmarkStart w:id="98" w:name="_Toc22804"/>
      <w:bookmarkStart w:id="99" w:name="_Toc6170"/>
      <w:r>
        <w:rPr>
          <w:rFonts w:hint="eastAsia" w:ascii="宋体" w:hAnsi="宋体" w:eastAsia="宋体" w:cs="宋体"/>
          <w:color w:val="auto"/>
          <w:lang w:val="en-US" w:eastAsia="zh-CN"/>
        </w:rPr>
        <w:t xml:space="preserve"> </w:t>
      </w:r>
      <w:bookmarkStart w:id="100" w:name="_Toc15715"/>
      <w:bookmarkStart w:id="101" w:name="_Toc10028"/>
      <w:bookmarkStart w:id="102" w:name="_Toc14090"/>
      <w:r>
        <w:rPr>
          <w:rFonts w:hint="eastAsia" w:ascii="宋体" w:hAnsi="宋体" w:eastAsia="宋体" w:cs="宋体"/>
          <w:color w:val="auto"/>
        </w:rPr>
        <w:t>合同</w:t>
      </w:r>
      <w:bookmarkEnd w:id="89"/>
      <w:bookmarkEnd w:id="90"/>
      <w:bookmarkEnd w:id="91"/>
      <w:bookmarkEnd w:id="92"/>
      <w:bookmarkEnd w:id="98"/>
      <w:bookmarkEnd w:id="99"/>
      <w:bookmarkEnd w:id="100"/>
      <w:bookmarkEnd w:id="101"/>
      <w:r>
        <w:rPr>
          <w:rFonts w:hint="eastAsia" w:ascii="宋体" w:hAnsi="宋体" w:eastAsia="宋体" w:cs="宋体"/>
          <w:color w:val="auto"/>
          <w:lang w:eastAsia="zh-CN"/>
        </w:rPr>
        <w:t>文件</w:t>
      </w:r>
      <w:bookmarkEnd w:id="102"/>
    </w:p>
    <w:p w14:paraId="4C4F556D">
      <w:pPr>
        <w:rPr>
          <w:rFonts w:hint="eastAsia" w:ascii="Times New Roman" w:hAnsi="Times New Roman" w:eastAsia="仿宋_GB2312"/>
          <w:bCs/>
          <w:color w:val="000000"/>
          <w:sz w:val="30"/>
          <w:szCs w:val="30"/>
        </w:rPr>
      </w:pPr>
    </w:p>
    <w:p w14:paraId="6AFE3A2E">
      <w:pPr>
        <w:widowControl w:val="0"/>
        <w:jc w:val="center"/>
        <w:rPr>
          <w:rFonts w:hint="eastAsia" w:ascii="宋体" w:hAnsi="宋体" w:eastAsia="宋体" w:cs="宋体"/>
          <w:b/>
          <w:color w:val="auto"/>
          <w:kern w:val="2"/>
          <w:sz w:val="52"/>
          <w:szCs w:val="52"/>
          <w:lang w:val="en-US" w:eastAsia="zh-CN" w:bidi="ar-SA"/>
        </w:rPr>
      </w:pPr>
      <w:r>
        <w:rPr>
          <w:rFonts w:hint="eastAsia" w:ascii="宋体" w:hAnsi="宋体" w:eastAsia="宋体" w:cs="宋体"/>
          <w:b/>
          <w:color w:val="auto"/>
          <w:kern w:val="2"/>
          <w:sz w:val="52"/>
          <w:szCs w:val="52"/>
          <w:lang w:val="en-US" w:eastAsia="zh-CN" w:bidi="ar-SA"/>
        </w:rPr>
        <w:t>采购合同</w:t>
      </w:r>
    </w:p>
    <w:p w14:paraId="40FB0B1F">
      <w:pPr>
        <w:rPr>
          <w:rFonts w:hint="eastAsia" w:ascii="宋体" w:hAnsi="宋体" w:eastAsia="宋体" w:cs="宋体"/>
          <w:color w:val="auto"/>
        </w:rPr>
      </w:pPr>
    </w:p>
    <w:p w14:paraId="3F5A52D2">
      <w:pPr>
        <w:rPr>
          <w:rFonts w:hint="eastAsia" w:ascii="宋体" w:hAnsi="宋体" w:eastAsia="宋体" w:cs="宋体"/>
          <w:color w:val="auto"/>
        </w:rPr>
      </w:pPr>
    </w:p>
    <w:p w14:paraId="6D8D1C65">
      <w:pPr>
        <w:rPr>
          <w:rFonts w:hint="eastAsia" w:ascii="宋体" w:hAnsi="宋体" w:eastAsia="宋体" w:cs="宋体"/>
          <w:color w:val="auto"/>
        </w:rPr>
      </w:pPr>
    </w:p>
    <w:p w14:paraId="6ECA036A">
      <w:pPr>
        <w:widowControl w:val="0"/>
        <w:ind w:firstLine="1597" w:firstLineChars="497"/>
        <w:jc w:val="both"/>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项目名称:</w:t>
      </w:r>
      <w:r>
        <w:rPr>
          <w:rFonts w:hint="eastAsia" w:ascii="宋体" w:hAnsi="宋体" w:eastAsia="宋体" w:cs="宋体"/>
          <w:b/>
          <w:color w:val="auto"/>
          <w:kern w:val="2"/>
          <w:sz w:val="32"/>
          <w:szCs w:val="32"/>
          <w:u w:val="single"/>
          <w:lang w:val="en-US" w:eastAsia="zh-CN" w:bidi="ar-SA"/>
        </w:rPr>
        <w:t xml:space="preserve">                    </w:t>
      </w:r>
    </w:p>
    <w:p w14:paraId="1D777CCA">
      <w:pPr>
        <w:widowControl w:val="0"/>
        <w:spacing w:before="312" w:beforeLines="100"/>
        <w:ind w:firstLine="1597" w:firstLineChars="497"/>
        <w:jc w:val="both"/>
        <w:rPr>
          <w:rFonts w:hint="eastAsia" w:ascii="宋体" w:hAnsi="宋体" w:eastAsia="宋体" w:cs="宋体"/>
          <w:b/>
          <w:color w:val="auto"/>
          <w:kern w:val="2"/>
          <w:sz w:val="32"/>
          <w:szCs w:val="32"/>
          <w:u w:val="single"/>
          <w:lang w:val="en-US" w:eastAsia="zh-CN" w:bidi="ar-SA"/>
        </w:rPr>
      </w:pPr>
      <w:r>
        <w:rPr>
          <w:rFonts w:hint="eastAsia" w:ascii="宋体" w:hAnsi="宋体" w:eastAsia="宋体" w:cs="宋体"/>
          <w:b/>
          <w:color w:val="auto"/>
          <w:kern w:val="2"/>
          <w:sz w:val="32"/>
          <w:szCs w:val="32"/>
          <w:lang w:val="en-US" w:eastAsia="zh-CN" w:bidi="ar-SA"/>
        </w:rPr>
        <w:t>项目编号:</w:t>
      </w:r>
      <w:r>
        <w:rPr>
          <w:rFonts w:hint="eastAsia" w:ascii="宋体" w:hAnsi="宋体" w:eastAsia="宋体" w:cs="宋体"/>
          <w:b/>
          <w:color w:val="auto"/>
          <w:kern w:val="2"/>
          <w:sz w:val="32"/>
          <w:szCs w:val="32"/>
          <w:u w:val="single"/>
          <w:lang w:val="en-US" w:eastAsia="zh-CN" w:bidi="ar-SA"/>
        </w:rPr>
        <w:t xml:space="preserve">                    </w:t>
      </w:r>
    </w:p>
    <w:p w14:paraId="15BF849E">
      <w:pPr>
        <w:widowControl w:val="0"/>
        <w:spacing w:before="312" w:beforeLines="100"/>
        <w:ind w:firstLine="1597" w:firstLineChars="497"/>
        <w:jc w:val="both"/>
        <w:rPr>
          <w:rFonts w:hint="eastAsia" w:ascii="宋体" w:hAnsi="宋体" w:eastAsia="宋体" w:cs="宋体"/>
          <w:b/>
          <w:color w:val="auto"/>
          <w:kern w:val="2"/>
          <w:sz w:val="32"/>
          <w:szCs w:val="32"/>
          <w:u w:val="single"/>
          <w:lang w:val="en-US" w:eastAsia="zh-CN" w:bidi="ar-SA"/>
        </w:rPr>
      </w:pPr>
      <w:r>
        <w:rPr>
          <w:rFonts w:hint="eastAsia" w:ascii="宋体" w:hAnsi="宋体" w:eastAsia="宋体" w:cs="宋体"/>
          <w:b/>
          <w:bCs/>
          <w:color w:val="auto"/>
          <w:kern w:val="0"/>
          <w:sz w:val="32"/>
          <w:szCs w:val="32"/>
          <w:lang w:val="en-US" w:eastAsia="zh-CN" w:bidi="ar-SA"/>
        </w:rPr>
        <w:t>合同编号:</w:t>
      </w:r>
      <w:r>
        <w:rPr>
          <w:rFonts w:hint="eastAsia" w:ascii="宋体" w:hAnsi="宋体" w:eastAsia="宋体" w:cs="宋体"/>
          <w:b/>
          <w:color w:val="auto"/>
          <w:kern w:val="2"/>
          <w:sz w:val="32"/>
          <w:szCs w:val="32"/>
          <w:u w:val="single"/>
          <w:lang w:val="en-US" w:eastAsia="zh-CN" w:bidi="ar-SA"/>
        </w:rPr>
        <w:t xml:space="preserve">                    </w:t>
      </w:r>
    </w:p>
    <w:p w14:paraId="6228051E">
      <w:pPr>
        <w:widowControl w:val="0"/>
        <w:spacing w:before="312" w:beforeLines="100"/>
        <w:jc w:val="center"/>
        <w:rPr>
          <w:rFonts w:hint="eastAsia" w:ascii="宋体" w:hAnsi="宋体" w:eastAsia="宋体" w:cs="宋体"/>
          <w:b/>
          <w:color w:val="auto"/>
          <w:kern w:val="2"/>
          <w:sz w:val="32"/>
          <w:szCs w:val="32"/>
          <w:u w:val="single"/>
          <w:lang w:val="en-US" w:eastAsia="zh-CN" w:bidi="ar-SA"/>
        </w:rPr>
      </w:pPr>
    </w:p>
    <w:p w14:paraId="3C3CD50B">
      <w:pPr>
        <w:widowControl w:val="0"/>
        <w:spacing w:before="312" w:beforeLines="100"/>
        <w:jc w:val="center"/>
        <w:rPr>
          <w:rFonts w:hint="eastAsia" w:ascii="宋体" w:hAnsi="宋体" w:eastAsia="宋体" w:cs="宋体"/>
          <w:b/>
          <w:color w:val="auto"/>
          <w:kern w:val="2"/>
          <w:sz w:val="32"/>
          <w:szCs w:val="32"/>
          <w:u w:val="single"/>
          <w:lang w:val="en-US" w:eastAsia="zh-CN" w:bidi="ar-SA"/>
        </w:rPr>
      </w:pPr>
    </w:p>
    <w:p w14:paraId="39DC5631">
      <w:pPr>
        <w:widowControl w:val="0"/>
        <w:spacing w:before="312" w:beforeLines="100"/>
        <w:jc w:val="center"/>
        <w:rPr>
          <w:rFonts w:hint="eastAsia" w:ascii="宋体" w:hAnsi="宋体" w:eastAsia="宋体" w:cs="宋体"/>
          <w:b/>
          <w:color w:val="auto"/>
          <w:kern w:val="2"/>
          <w:sz w:val="32"/>
          <w:szCs w:val="32"/>
          <w:u w:val="single"/>
          <w:lang w:val="en-US" w:eastAsia="zh-CN" w:bidi="ar-SA"/>
        </w:rPr>
      </w:pPr>
    </w:p>
    <w:p w14:paraId="7CECDE4C">
      <w:pPr>
        <w:widowControl w:val="0"/>
        <w:spacing w:before="312" w:beforeLines="100"/>
        <w:jc w:val="center"/>
        <w:rPr>
          <w:rFonts w:hint="eastAsia" w:ascii="宋体" w:hAnsi="宋体" w:eastAsia="宋体" w:cs="宋体"/>
          <w:b/>
          <w:color w:val="auto"/>
          <w:kern w:val="2"/>
          <w:sz w:val="32"/>
          <w:szCs w:val="32"/>
          <w:u w:val="single"/>
          <w:lang w:val="en-US" w:eastAsia="zh-CN" w:bidi="ar-SA"/>
        </w:rPr>
      </w:pPr>
    </w:p>
    <w:p w14:paraId="132EB72F">
      <w:pPr>
        <w:widowControl w:val="0"/>
        <w:ind w:firstLine="1606" w:firstLineChars="500"/>
        <w:jc w:val="both"/>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甲    方:</w:t>
      </w:r>
      <w:r>
        <w:rPr>
          <w:rFonts w:hint="eastAsia" w:ascii="宋体" w:hAnsi="宋体" w:eastAsia="宋体" w:cs="宋体"/>
          <w:b/>
          <w:color w:val="auto"/>
          <w:kern w:val="2"/>
          <w:sz w:val="32"/>
          <w:szCs w:val="32"/>
          <w:u w:val="single"/>
          <w:lang w:val="en-US" w:eastAsia="zh-CN" w:bidi="ar-SA"/>
        </w:rPr>
        <w:t xml:space="preserve">                    </w:t>
      </w:r>
    </w:p>
    <w:p w14:paraId="6D7646BB">
      <w:pPr>
        <w:widowControl w:val="0"/>
        <w:spacing w:before="312" w:beforeLines="100"/>
        <w:ind w:firstLine="1606" w:firstLineChars="500"/>
        <w:jc w:val="both"/>
        <w:rPr>
          <w:rFonts w:hint="eastAsia" w:ascii="宋体" w:hAnsi="宋体" w:eastAsia="宋体" w:cs="宋体"/>
          <w:b/>
          <w:color w:val="auto"/>
          <w:kern w:val="2"/>
          <w:sz w:val="32"/>
          <w:szCs w:val="32"/>
          <w:u w:val="single"/>
          <w:lang w:val="en-US" w:eastAsia="zh-CN" w:bidi="ar-SA"/>
        </w:rPr>
      </w:pPr>
      <w:r>
        <w:rPr>
          <w:rFonts w:hint="eastAsia" w:ascii="宋体" w:hAnsi="宋体" w:eastAsia="宋体" w:cs="宋体"/>
          <w:b/>
          <w:color w:val="auto"/>
          <w:kern w:val="2"/>
          <w:sz w:val="32"/>
          <w:szCs w:val="32"/>
          <w:lang w:val="en-US" w:eastAsia="zh-CN" w:bidi="ar-SA"/>
        </w:rPr>
        <w:t>乙    方:</w:t>
      </w:r>
      <w:r>
        <w:rPr>
          <w:rFonts w:hint="eastAsia" w:ascii="宋体" w:hAnsi="宋体" w:eastAsia="宋体" w:cs="宋体"/>
          <w:b/>
          <w:color w:val="auto"/>
          <w:kern w:val="2"/>
          <w:sz w:val="32"/>
          <w:szCs w:val="32"/>
          <w:u w:val="single"/>
          <w:lang w:val="en-US" w:eastAsia="zh-CN" w:bidi="ar-SA"/>
        </w:rPr>
        <w:t xml:space="preserve">                    </w:t>
      </w:r>
    </w:p>
    <w:p w14:paraId="50FB5009">
      <w:pPr>
        <w:rPr>
          <w:rFonts w:hint="eastAsia" w:ascii="宋体" w:hAnsi="宋体" w:eastAsia="宋体" w:cs="宋体"/>
          <w:color w:val="auto"/>
          <w:sz w:val="24"/>
          <w:szCs w:val="24"/>
          <w:u w:val="single"/>
          <w:lang w:val="zh-CN"/>
        </w:rPr>
      </w:pPr>
    </w:p>
    <w:p w14:paraId="619C2587">
      <w:pPr>
        <w:rPr>
          <w:rFonts w:hint="eastAsia" w:ascii="宋体" w:hAnsi="宋体" w:eastAsia="宋体" w:cs="宋体"/>
          <w:color w:val="auto"/>
          <w:sz w:val="24"/>
          <w:szCs w:val="24"/>
          <w:u w:val="single"/>
          <w:lang w:val="zh-CN"/>
        </w:rPr>
      </w:pPr>
    </w:p>
    <w:p w14:paraId="6BDF37E2">
      <w:pPr>
        <w:rPr>
          <w:rFonts w:hint="eastAsia" w:ascii="宋体" w:hAnsi="宋体" w:eastAsia="宋体" w:cs="宋体"/>
          <w:color w:val="auto"/>
          <w:sz w:val="24"/>
          <w:szCs w:val="24"/>
          <w:u w:val="single"/>
          <w:lang w:val="zh-CN"/>
        </w:rPr>
      </w:pPr>
    </w:p>
    <w:p w14:paraId="1FC122D2">
      <w:pPr>
        <w:rPr>
          <w:rFonts w:hint="eastAsia" w:ascii="宋体" w:hAnsi="宋体" w:eastAsia="宋体" w:cs="宋体"/>
          <w:color w:val="auto"/>
          <w:sz w:val="24"/>
          <w:szCs w:val="24"/>
          <w:u w:val="single"/>
          <w:lang w:val="zh-CN"/>
        </w:rPr>
      </w:pPr>
    </w:p>
    <w:p w14:paraId="19E73B76">
      <w:pPr>
        <w:widowControl w:val="0"/>
        <w:spacing w:line="500" w:lineRule="exact"/>
        <w:ind w:left="0" w:leftChars="0" w:firstLine="0" w:firstLineChars="0"/>
        <w:jc w:val="both"/>
        <w:rPr>
          <w:rFonts w:hint="eastAsia" w:ascii="宋体" w:hAnsi="宋体" w:eastAsia="宋体" w:cs="宋体"/>
          <w:b/>
          <w:bCs/>
          <w:color w:val="auto"/>
          <w:kern w:val="2"/>
          <w:sz w:val="24"/>
          <w:szCs w:val="16"/>
          <w:lang w:val="en-US" w:eastAsia="zh-CN" w:bidi="ar-SA"/>
        </w:rPr>
      </w:pPr>
      <w:r>
        <w:rPr>
          <w:rFonts w:hint="eastAsia" w:ascii="宋体" w:hAnsi="宋体" w:eastAsia="宋体" w:cs="宋体"/>
          <w:b/>
          <w:bCs/>
          <w:color w:val="auto"/>
          <w:kern w:val="2"/>
          <w:sz w:val="24"/>
          <w:szCs w:val="16"/>
          <w:lang w:val="en-US" w:eastAsia="zh-CN" w:bidi="ar-SA"/>
        </w:rPr>
        <w:t>注：最终以甲乙双方实际签订合同为准，本合同只提供参考。</w:t>
      </w:r>
    </w:p>
    <w:p w14:paraId="5F8C3581">
      <w:pPr>
        <w:widowControl w:val="0"/>
        <w:spacing w:line="500" w:lineRule="exact"/>
        <w:ind w:left="0" w:leftChars="0" w:firstLine="0" w:firstLineChars="0"/>
        <w:jc w:val="both"/>
        <w:rPr>
          <w:rFonts w:hint="eastAsia" w:ascii="宋体" w:hAnsi="宋体" w:eastAsia="宋体" w:cs="宋体"/>
          <w:b/>
          <w:bCs/>
          <w:color w:val="auto"/>
          <w:kern w:val="2"/>
          <w:sz w:val="24"/>
          <w:szCs w:val="16"/>
          <w:lang w:val="en-US" w:eastAsia="zh-CN" w:bidi="ar-SA"/>
        </w:rPr>
      </w:pPr>
    </w:p>
    <w:p w14:paraId="3DA47865">
      <w:pPr>
        <w:widowControl w:val="0"/>
        <w:spacing w:line="500" w:lineRule="exact"/>
        <w:ind w:left="0" w:leftChars="0" w:firstLine="0" w:firstLineChars="0"/>
        <w:jc w:val="both"/>
        <w:rPr>
          <w:rFonts w:hint="eastAsia" w:ascii="宋体" w:hAnsi="宋体" w:eastAsia="宋体" w:cs="宋体"/>
          <w:b/>
          <w:bCs/>
          <w:color w:val="auto"/>
          <w:kern w:val="2"/>
          <w:sz w:val="24"/>
          <w:szCs w:val="16"/>
          <w:lang w:val="en-US" w:eastAsia="zh-CN" w:bidi="ar-SA"/>
        </w:rPr>
      </w:pPr>
    </w:p>
    <w:p w14:paraId="10847649">
      <w:pPr>
        <w:widowControl w:val="0"/>
        <w:spacing w:line="500" w:lineRule="exact"/>
        <w:ind w:left="0" w:leftChars="0" w:firstLine="0" w:firstLineChars="0"/>
        <w:jc w:val="both"/>
        <w:rPr>
          <w:rFonts w:hint="eastAsia" w:ascii="宋体" w:hAnsi="宋体" w:eastAsia="宋体" w:cs="宋体"/>
          <w:b/>
          <w:bCs/>
          <w:color w:val="auto"/>
          <w:kern w:val="2"/>
          <w:sz w:val="24"/>
          <w:szCs w:val="16"/>
          <w:lang w:val="zh-CN" w:eastAsia="zh-CN" w:bidi="ar-SA"/>
        </w:rPr>
      </w:pPr>
    </w:p>
    <w:p w14:paraId="533E5868">
      <w:pPr>
        <w:pageBreakBefore w:val="0"/>
        <w:widowControl w:val="0"/>
        <w:numPr>
          <w:ilvl w:val="0"/>
          <w:numId w:val="3"/>
        </w:numPr>
        <w:kinsoku/>
        <w:wordWrap/>
        <w:overflowPunct/>
        <w:topLinePunct w:val="0"/>
        <w:autoSpaceDE/>
        <w:autoSpaceDN/>
        <w:bidi w:val="0"/>
        <w:snapToGrid/>
        <w:spacing w:line="400" w:lineRule="exact"/>
        <w:jc w:val="center"/>
        <w:outlineLvl w:val="1"/>
        <w:rPr>
          <w:rFonts w:hint="eastAsia" w:ascii="宋体" w:hAnsi="宋体" w:eastAsia="宋体" w:cs="宋体"/>
          <w:b/>
          <w:sz w:val="28"/>
          <w:szCs w:val="28"/>
          <w:lang w:val="zh-CN" w:eastAsia="zh-CN"/>
        </w:rPr>
      </w:pPr>
      <w:bookmarkStart w:id="103" w:name="_Toc26387"/>
      <w:bookmarkStart w:id="104" w:name="_Toc8658"/>
      <w:r>
        <w:rPr>
          <w:rFonts w:hint="eastAsia" w:ascii="宋体" w:hAnsi="宋体" w:eastAsia="宋体" w:cs="宋体"/>
          <w:b/>
          <w:sz w:val="28"/>
          <w:szCs w:val="28"/>
          <w:lang w:val="zh-CN" w:eastAsia="zh-CN"/>
        </w:rPr>
        <w:t>合同书</w:t>
      </w:r>
      <w:bookmarkEnd w:id="103"/>
      <w:bookmarkEnd w:id="104"/>
    </w:p>
    <w:p w14:paraId="27187CE1">
      <w:pPr>
        <w:widowControl w:val="0"/>
        <w:numPr>
          <w:ilvl w:val="0"/>
          <w:numId w:val="0"/>
        </w:numPr>
        <w:spacing w:line="500" w:lineRule="exact"/>
        <w:ind w:left="412" w:leftChars="196" w:firstLine="470" w:firstLineChars="196"/>
        <w:jc w:val="both"/>
        <w:rPr>
          <w:rFonts w:hint="eastAsia" w:ascii="宋体" w:hAnsi="宋体" w:eastAsia="宋体" w:cs="宋体"/>
          <w:kern w:val="2"/>
          <w:sz w:val="24"/>
          <w:szCs w:val="20"/>
          <w:lang w:val="zh-CN" w:eastAsia="zh-CN" w:bidi="ar-SA"/>
        </w:rPr>
      </w:pPr>
    </w:p>
    <w:p w14:paraId="5DF6D0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w:t>
      </w:r>
      <w:r>
        <w:rPr>
          <w:rFonts w:hint="eastAsia" w:ascii="宋体" w:hAnsi="宋体" w:eastAsia="宋体" w:cs="宋体"/>
          <w:sz w:val="24"/>
          <w:szCs w:val="24"/>
        </w:rPr>
        <w:t>为该项目中标供应商。现于中标通知书发出之日起三十日内，按照采购文件确定的事项签订本合同。</w:t>
      </w:r>
    </w:p>
    <w:p w14:paraId="216D3A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552FF5E5">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rPr>
      </w:pPr>
      <w:bookmarkStart w:id="105" w:name="_Toc2232"/>
      <w:bookmarkStart w:id="106" w:name="_Toc3029"/>
      <w:bookmarkStart w:id="107" w:name="_Toc24059"/>
      <w:r>
        <w:rPr>
          <w:rFonts w:hint="eastAsia" w:ascii="宋体" w:hAnsi="宋体" w:eastAsia="宋体" w:cs="宋体"/>
          <w:b/>
          <w:bCs/>
          <w:sz w:val="24"/>
          <w:szCs w:val="24"/>
        </w:rPr>
        <w:t>1.1 合同组成部分</w:t>
      </w:r>
      <w:bookmarkEnd w:id="105"/>
      <w:bookmarkEnd w:id="106"/>
      <w:bookmarkEnd w:id="107"/>
    </w:p>
    <w:p w14:paraId="401064D9">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F8336D">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7424395A">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中标通知书；</w:t>
      </w:r>
    </w:p>
    <w:p w14:paraId="6D6EDF45">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20F50C37">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40327798">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其他相关采购文件。</w:t>
      </w:r>
    </w:p>
    <w:p w14:paraId="1686AFB0">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108" w:name="_Toc22185"/>
      <w:bookmarkStart w:id="109" w:name="_Toc6311"/>
      <w:bookmarkStart w:id="110" w:name="_Toc2918"/>
      <w:bookmarkStart w:id="111" w:name="_Toc6773"/>
      <w:bookmarkStart w:id="112" w:name="_Toc18585"/>
      <w:bookmarkStart w:id="113" w:name="_Toc27250"/>
      <w:bookmarkStart w:id="114" w:name="_Toc19554"/>
      <w:bookmarkStart w:id="115" w:name="_Toc21423"/>
      <w:r>
        <w:rPr>
          <w:rFonts w:hint="eastAsia" w:ascii="宋体" w:hAnsi="宋体" w:eastAsia="宋体" w:cs="宋体"/>
          <w:b/>
          <w:bCs/>
          <w:color w:val="auto"/>
          <w:sz w:val="24"/>
          <w:szCs w:val="24"/>
        </w:rPr>
        <w:t>1.2 标的</w:t>
      </w:r>
      <w:bookmarkEnd w:id="108"/>
      <w:bookmarkEnd w:id="109"/>
      <w:bookmarkEnd w:id="110"/>
      <w:bookmarkEnd w:id="111"/>
      <w:bookmarkEnd w:id="112"/>
    </w:p>
    <w:p w14:paraId="646659E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1.2.1 标的名称：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7DFA92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1.2.2 标的数量：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68141D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 标的质量：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86EFE71">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116" w:name="_Toc5635"/>
      <w:bookmarkStart w:id="117" w:name="_Toc21124"/>
      <w:bookmarkStart w:id="118" w:name="_Toc13918"/>
      <w:bookmarkStart w:id="119" w:name="_Toc4929"/>
      <w:bookmarkStart w:id="120" w:name="_Toc1386"/>
      <w:r>
        <w:rPr>
          <w:rFonts w:hint="eastAsia" w:ascii="宋体" w:hAnsi="宋体" w:eastAsia="宋体" w:cs="宋体"/>
          <w:b/>
          <w:bCs/>
          <w:color w:val="auto"/>
          <w:sz w:val="24"/>
          <w:szCs w:val="24"/>
        </w:rPr>
        <w:t>1.3 价款</w:t>
      </w:r>
      <w:bookmarkEnd w:id="116"/>
      <w:bookmarkEnd w:id="117"/>
      <w:bookmarkEnd w:id="118"/>
      <w:bookmarkEnd w:id="119"/>
      <w:bookmarkEnd w:id="120"/>
    </w:p>
    <w:p w14:paraId="590B6CE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元人民币）。</w:t>
      </w:r>
    </w:p>
    <w:p w14:paraId="23FEBC9B">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89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6EEBE82">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3402" w:type="dxa"/>
            <w:noWrap w:val="0"/>
            <w:vAlign w:val="center"/>
          </w:tcPr>
          <w:p w14:paraId="458C936F">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分项名称</w:t>
            </w:r>
          </w:p>
        </w:tc>
        <w:tc>
          <w:tcPr>
            <w:tcW w:w="2552" w:type="dxa"/>
            <w:noWrap w:val="0"/>
            <w:vAlign w:val="center"/>
          </w:tcPr>
          <w:p w14:paraId="4A354F2B">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分项价格</w:t>
            </w:r>
          </w:p>
        </w:tc>
      </w:tr>
      <w:tr w14:paraId="1312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64D3672">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c>
          <w:tcPr>
            <w:tcW w:w="3402" w:type="dxa"/>
            <w:noWrap w:val="0"/>
            <w:vAlign w:val="center"/>
          </w:tcPr>
          <w:p w14:paraId="67C26F04">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c>
          <w:tcPr>
            <w:tcW w:w="2552" w:type="dxa"/>
            <w:noWrap w:val="0"/>
            <w:vAlign w:val="center"/>
          </w:tcPr>
          <w:p w14:paraId="76EDF035">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r>
      <w:tr w14:paraId="0B84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A1AEC38">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c>
          <w:tcPr>
            <w:tcW w:w="3402" w:type="dxa"/>
            <w:noWrap w:val="0"/>
            <w:vAlign w:val="center"/>
          </w:tcPr>
          <w:p w14:paraId="3A9EEBF0">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c>
          <w:tcPr>
            <w:tcW w:w="2552" w:type="dxa"/>
            <w:noWrap w:val="0"/>
            <w:vAlign w:val="center"/>
          </w:tcPr>
          <w:p w14:paraId="29E8A158">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r>
      <w:tr w14:paraId="5DD3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F95991B">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c>
          <w:tcPr>
            <w:tcW w:w="3402" w:type="dxa"/>
            <w:noWrap w:val="0"/>
            <w:vAlign w:val="center"/>
          </w:tcPr>
          <w:p w14:paraId="461449E6">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c>
          <w:tcPr>
            <w:tcW w:w="2552" w:type="dxa"/>
            <w:noWrap w:val="0"/>
            <w:vAlign w:val="center"/>
          </w:tcPr>
          <w:p w14:paraId="5F79F13D">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r>
      <w:tr w14:paraId="44C2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68EF55F">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c>
          <w:tcPr>
            <w:tcW w:w="3402" w:type="dxa"/>
            <w:noWrap w:val="0"/>
            <w:vAlign w:val="center"/>
          </w:tcPr>
          <w:p w14:paraId="09319679">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c>
          <w:tcPr>
            <w:tcW w:w="2552" w:type="dxa"/>
            <w:noWrap w:val="0"/>
            <w:vAlign w:val="center"/>
          </w:tcPr>
          <w:p w14:paraId="785A90BB">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r>
      <w:tr w14:paraId="717E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82F7058">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总价</w:t>
            </w:r>
          </w:p>
        </w:tc>
        <w:tc>
          <w:tcPr>
            <w:tcW w:w="2552" w:type="dxa"/>
            <w:noWrap w:val="0"/>
            <w:vAlign w:val="center"/>
          </w:tcPr>
          <w:p w14:paraId="556BE686">
            <w:pPr>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color w:val="auto"/>
                <w:kern w:val="2"/>
                <w:sz w:val="24"/>
                <w:szCs w:val="24"/>
                <w:lang w:val="en-US" w:eastAsia="zh-CN" w:bidi="ar-SA"/>
              </w:rPr>
            </w:pPr>
          </w:p>
        </w:tc>
      </w:tr>
    </w:tbl>
    <w:p w14:paraId="439FDA0E">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121" w:name="_Toc26916"/>
      <w:bookmarkStart w:id="122" w:name="_Toc3654"/>
      <w:bookmarkStart w:id="123" w:name="_Toc30158"/>
      <w:bookmarkStart w:id="124" w:name="_Toc14993"/>
      <w:bookmarkStart w:id="125" w:name="_Toc30506"/>
      <w:r>
        <w:rPr>
          <w:rFonts w:hint="eastAsia" w:ascii="宋体" w:hAnsi="宋体" w:eastAsia="宋体" w:cs="宋体"/>
          <w:b/>
          <w:bCs/>
          <w:color w:val="auto"/>
          <w:sz w:val="24"/>
          <w:szCs w:val="24"/>
        </w:rPr>
        <w:t>1.4 付款方式和发票开具方式</w:t>
      </w:r>
      <w:bookmarkEnd w:id="121"/>
      <w:bookmarkEnd w:id="122"/>
      <w:bookmarkEnd w:id="123"/>
      <w:bookmarkEnd w:id="124"/>
      <w:bookmarkEnd w:id="125"/>
    </w:p>
    <w:p w14:paraId="72C0D00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1.4.1付款方式：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6312B5F">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 发票开具方式：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DFA35E1">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126" w:name="_Toc8772"/>
      <w:bookmarkStart w:id="127" w:name="_Toc31421"/>
      <w:bookmarkStart w:id="128" w:name="_Toc11108"/>
      <w:bookmarkStart w:id="129" w:name="_Toc4760"/>
      <w:bookmarkStart w:id="130" w:name="_Toc3625"/>
      <w:r>
        <w:rPr>
          <w:rFonts w:hint="eastAsia" w:ascii="宋体" w:hAnsi="宋体" w:eastAsia="宋体" w:cs="宋体"/>
          <w:b/>
          <w:bCs/>
          <w:color w:val="auto"/>
          <w:sz w:val="24"/>
          <w:szCs w:val="24"/>
        </w:rPr>
        <w:t>1.5 履行期限、地点和方式</w:t>
      </w:r>
      <w:bookmarkEnd w:id="126"/>
      <w:bookmarkEnd w:id="127"/>
      <w:bookmarkEnd w:id="128"/>
      <w:bookmarkEnd w:id="129"/>
      <w:bookmarkEnd w:id="130"/>
    </w:p>
    <w:p w14:paraId="5F2D375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1.5.1 履行期限：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FE408F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 履行地点：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4E2D91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 履行方式：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E48E5A0">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1.6 违约责任</w:t>
      </w:r>
      <w:bookmarkEnd w:id="113"/>
      <w:bookmarkEnd w:id="114"/>
      <w:bookmarkEnd w:id="115"/>
    </w:p>
    <w:p w14:paraId="4308088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%计算，最高限额为本合同总价的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%；迟延履行的违约金计算数额达到前述最高限额之日起，甲方有权在要求乙方支付违约金的同时，书面通知乙方解除本合同；</w:t>
      </w:r>
    </w:p>
    <w:p w14:paraId="7732CC7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%计算，最高限额为本合同总价的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%；迟延付款的违约金计算数额达到前述最高限额之日起，乙方有权在要求甲方支付违约金的同时，书面通知甲方解除本合同；</w:t>
      </w:r>
    </w:p>
    <w:p w14:paraId="490F0691">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D15645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87AE1D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8DBED0F">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1B18D514">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131" w:name="_Toc32454"/>
      <w:bookmarkStart w:id="132" w:name="_Toc9497"/>
      <w:bookmarkStart w:id="133" w:name="_Toc18683"/>
      <w:bookmarkStart w:id="134" w:name="_Toc26807"/>
      <w:bookmarkStart w:id="135" w:name="_Toc30329"/>
      <w:r>
        <w:rPr>
          <w:rFonts w:hint="eastAsia" w:ascii="宋体" w:hAnsi="宋体" w:eastAsia="宋体" w:cs="宋体"/>
          <w:b/>
          <w:bCs/>
          <w:color w:val="auto"/>
          <w:sz w:val="24"/>
          <w:szCs w:val="24"/>
        </w:rPr>
        <w:t>1.7 合同争议的解决</w:t>
      </w:r>
      <w:bookmarkEnd w:id="131"/>
      <w:bookmarkEnd w:id="132"/>
      <w:bookmarkEnd w:id="133"/>
      <w:bookmarkEnd w:id="134"/>
      <w:bookmarkEnd w:id="135"/>
    </w:p>
    <w:p w14:paraId="76AB062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种方式解决：</w:t>
      </w:r>
    </w:p>
    <w:p w14:paraId="30604D41">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 将争议提交</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仲裁委员会依申请仲裁时其现行有效的仲裁规则裁决；</w:t>
      </w:r>
    </w:p>
    <w:p w14:paraId="6D54FCA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 向</w:t>
      </w:r>
      <w:r>
        <w:rPr>
          <w:rFonts w:hint="eastAsia" w:ascii="宋体" w:hAnsi="宋体" w:eastAsia="宋体" w:cs="宋体"/>
          <w:color w:val="auto"/>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szCs w:val="24"/>
        </w:rPr>
        <w:t>人民法院起诉。</w:t>
      </w:r>
    </w:p>
    <w:p w14:paraId="029E1BDC">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136" w:name="_Toc23784"/>
      <w:bookmarkStart w:id="137" w:name="_Toc12273"/>
      <w:bookmarkStart w:id="138" w:name="_Toc26227"/>
      <w:bookmarkStart w:id="139" w:name="_Toc15827"/>
      <w:bookmarkStart w:id="140" w:name="_Toc16417"/>
      <w:r>
        <w:rPr>
          <w:rFonts w:hint="eastAsia" w:ascii="宋体" w:hAnsi="宋体" w:eastAsia="宋体" w:cs="宋体"/>
          <w:b/>
          <w:bCs/>
          <w:color w:val="auto"/>
          <w:sz w:val="24"/>
          <w:szCs w:val="24"/>
        </w:rPr>
        <w:t>1.8 合同生效</w:t>
      </w:r>
      <w:bookmarkEnd w:id="136"/>
      <w:bookmarkEnd w:id="137"/>
      <w:bookmarkEnd w:id="138"/>
      <w:bookmarkEnd w:id="139"/>
      <w:bookmarkEnd w:id="140"/>
    </w:p>
    <w:p w14:paraId="135FDCCF">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color w:val="auto"/>
          <w:sz w:val="24"/>
          <w:szCs w:val="24"/>
        </w:rPr>
        <w:t>本合同自双方当事人盖章或者签字时生效</w:t>
      </w:r>
      <w:r>
        <w:rPr>
          <w:rFonts w:hint="eastAsia" w:ascii="宋体" w:hAnsi="宋体" w:eastAsia="宋体" w:cs="宋体"/>
          <w:sz w:val="24"/>
          <w:szCs w:val="24"/>
        </w:rPr>
        <w:t>。</w:t>
      </w:r>
    </w:p>
    <w:p w14:paraId="6C2D5B4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p>
    <w:p w14:paraId="4A8B4517">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2B3A0E1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48616B5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p>
    <w:p w14:paraId="1389492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0217732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2145481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或授权代表（签字）: </w:t>
      </w:r>
    </w:p>
    <w:p w14:paraId="0FF4EE9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6DFA3EA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636C724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2890D05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46BAAF8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19DA4E3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0B923F8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47DEF1D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3CBB586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5962A140">
      <w:pPr>
        <w:widowControl/>
        <w:spacing w:line="560" w:lineRule="exact"/>
        <w:jc w:val="left"/>
        <w:rPr>
          <w:rFonts w:hint="eastAsia" w:ascii="宋体" w:hAnsi="宋体" w:eastAsia="宋体" w:cs="宋体"/>
          <w:b/>
        </w:rPr>
      </w:pPr>
    </w:p>
    <w:p w14:paraId="21D0919C">
      <w:pPr>
        <w:widowControl/>
        <w:spacing w:line="560" w:lineRule="exact"/>
        <w:jc w:val="left"/>
        <w:rPr>
          <w:rFonts w:hint="eastAsia" w:ascii="宋体" w:hAnsi="宋体" w:eastAsia="宋体" w:cs="宋体"/>
          <w:b/>
        </w:rPr>
      </w:pPr>
    </w:p>
    <w:p w14:paraId="706451F4">
      <w:pPr>
        <w:widowControl/>
        <w:spacing w:line="560" w:lineRule="exact"/>
        <w:jc w:val="left"/>
        <w:rPr>
          <w:rFonts w:hint="eastAsia" w:ascii="宋体" w:hAnsi="宋体" w:eastAsia="宋体" w:cs="宋体"/>
          <w:b/>
          <w:kern w:val="0"/>
          <w:sz w:val="24"/>
        </w:rPr>
      </w:pPr>
    </w:p>
    <w:p w14:paraId="293CE5A9">
      <w:pPr>
        <w:widowControl/>
        <w:spacing w:line="560" w:lineRule="exact"/>
        <w:jc w:val="left"/>
        <w:rPr>
          <w:rFonts w:hint="eastAsia" w:ascii="宋体" w:hAnsi="宋体" w:eastAsia="宋体" w:cs="宋体"/>
          <w:b/>
          <w:kern w:val="0"/>
          <w:sz w:val="24"/>
        </w:rPr>
      </w:pPr>
    </w:p>
    <w:p w14:paraId="410B1336">
      <w:pPr>
        <w:widowControl/>
        <w:spacing w:line="560" w:lineRule="exact"/>
        <w:jc w:val="left"/>
        <w:rPr>
          <w:rFonts w:hint="eastAsia" w:ascii="宋体" w:hAnsi="宋体" w:eastAsia="宋体" w:cs="宋体"/>
          <w:b/>
          <w:kern w:val="0"/>
          <w:sz w:val="24"/>
        </w:rPr>
      </w:pPr>
    </w:p>
    <w:p w14:paraId="450A466B">
      <w:pPr>
        <w:widowControl w:val="0"/>
        <w:spacing w:line="500" w:lineRule="exact"/>
        <w:ind w:left="0" w:leftChars="0" w:firstLine="472" w:firstLineChars="196"/>
        <w:jc w:val="both"/>
        <w:rPr>
          <w:rFonts w:hint="eastAsia" w:ascii="宋体" w:hAnsi="宋体" w:eastAsia="宋体" w:cs="宋体"/>
          <w:b/>
          <w:kern w:val="0"/>
          <w:sz w:val="24"/>
          <w:szCs w:val="20"/>
          <w:lang w:val="en-US" w:eastAsia="zh-CN" w:bidi="ar-SA"/>
        </w:rPr>
      </w:pPr>
    </w:p>
    <w:p w14:paraId="1AD07BBD">
      <w:pPr>
        <w:widowControl w:val="0"/>
        <w:spacing w:line="500" w:lineRule="exact"/>
        <w:ind w:left="0" w:leftChars="0" w:firstLine="472" w:firstLineChars="196"/>
        <w:jc w:val="both"/>
        <w:rPr>
          <w:rFonts w:hint="eastAsia" w:ascii="宋体" w:hAnsi="宋体" w:eastAsia="宋体" w:cs="宋体"/>
          <w:b/>
          <w:kern w:val="0"/>
          <w:sz w:val="24"/>
          <w:szCs w:val="20"/>
          <w:lang w:val="en-US" w:eastAsia="zh-CN" w:bidi="ar-SA"/>
        </w:rPr>
      </w:pPr>
    </w:p>
    <w:p w14:paraId="53DE4413">
      <w:pPr>
        <w:widowControl w:val="0"/>
        <w:spacing w:line="500" w:lineRule="exact"/>
        <w:ind w:left="0" w:leftChars="0" w:firstLine="472" w:firstLineChars="196"/>
        <w:jc w:val="both"/>
        <w:rPr>
          <w:rFonts w:hint="eastAsia" w:ascii="宋体" w:hAnsi="宋体" w:eastAsia="宋体" w:cs="宋体"/>
          <w:b/>
          <w:kern w:val="0"/>
          <w:sz w:val="24"/>
          <w:szCs w:val="20"/>
          <w:lang w:val="en-US" w:eastAsia="zh-CN" w:bidi="ar-SA"/>
        </w:rPr>
      </w:pPr>
    </w:p>
    <w:p w14:paraId="0AE35FA5">
      <w:pPr>
        <w:widowControl w:val="0"/>
        <w:spacing w:line="500" w:lineRule="exact"/>
        <w:ind w:left="0" w:leftChars="0" w:firstLine="472" w:firstLineChars="196"/>
        <w:jc w:val="both"/>
        <w:rPr>
          <w:rFonts w:hint="eastAsia" w:ascii="宋体" w:hAnsi="宋体" w:eastAsia="宋体" w:cs="宋体"/>
          <w:b/>
          <w:kern w:val="0"/>
          <w:sz w:val="24"/>
          <w:szCs w:val="20"/>
          <w:lang w:val="en-US" w:eastAsia="zh-CN" w:bidi="ar-SA"/>
        </w:rPr>
      </w:pPr>
    </w:p>
    <w:p w14:paraId="7AF1D8F9">
      <w:pPr>
        <w:widowControl w:val="0"/>
        <w:spacing w:line="500" w:lineRule="exact"/>
        <w:ind w:left="0" w:leftChars="0" w:firstLine="472" w:firstLineChars="196"/>
        <w:jc w:val="both"/>
        <w:rPr>
          <w:rFonts w:hint="eastAsia" w:ascii="宋体" w:hAnsi="宋体" w:eastAsia="宋体" w:cs="宋体"/>
          <w:b/>
          <w:kern w:val="0"/>
          <w:sz w:val="24"/>
          <w:szCs w:val="20"/>
          <w:lang w:val="en-US" w:eastAsia="zh-CN" w:bidi="ar-SA"/>
        </w:rPr>
      </w:pPr>
    </w:p>
    <w:p w14:paraId="036C01D0">
      <w:pPr>
        <w:widowControl w:val="0"/>
        <w:spacing w:line="500" w:lineRule="exact"/>
        <w:ind w:left="0" w:leftChars="0" w:firstLine="472" w:firstLineChars="196"/>
        <w:jc w:val="both"/>
        <w:rPr>
          <w:rFonts w:hint="eastAsia" w:ascii="宋体" w:hAnsi="宋体" w:eastAsia="宋体" w:cs="宋体"/>
          <w:b/>
          <w:kern w:val="0"/>
          <w:sz w:val="24"/>
          <w:szCs w:val="20"/>
          <w:lang w:val="en-US" w:eastAsia="zh-CN" w:bidi="ar-SA"/>
        </w:rPr>
      </w:pPr>
    </w:p>
    <w:p w14:paraId="0860D22B">
      <w:pPr>
        <w:pageBreakBefore w:val="0"/>
        <w:widowControl w:val="0"/>
        <w:numPr>
          <w:ilvl w:val="0"/>
          <w:numId w:val="3"/>
        </w:numPr>
        <w:kinsoku/>
        <w:wordWrap/>
        <w:overflowPunct/>
        <w:topLinePunct w:val="0"/>
        <w:autoSpaceDE/>
        <w:autoSpaceDN/>
        <w:bidi w:val="0"/>
        <w:snapToGrid/>
        <w:spacing w:line="400" w:lineRule="exact"/>
        <w:jc w:val="center"/>
        <w:outlineLvl w:val="1"/>
        <w:rPr>
          <w:rFonts w:hint="eastAsia" w:ascii="宋体" w:hAnsi="宋体" w:eastAsia="宋体" w:cs="宋体"/>
          <w:b/>
          <w:sz w:val="28"/>
          <w:szCs w:val="28"/>
          <w:lang w:val="zh-CN" w:eastAsia="zh-CN"/>
        </w:rPr>
      </w:pPr>
      <w:bookmarkStart w:id="141" w:name="_Toc32037"/>
      <w:bookmarkStart w:id="142" w:name="_Toc10426"/>
      <w:r>
        <w:rPr>
          <w:rFonts w:hint="eastAsia" w:ascii="宋体" w:hAnsi="宋体" w:eastAsia="宋体" w:cs="宋体"/>
          <w:b/>
          <w:sz w:val="28"/>
          <w:szCs w:val="28"/>
          <w:lang w:val="zh-CN" w:eastAsia="zh-CN"/>
        </w:rPr>
        <w:t>合同一般条款</w:t>
      </w:r>
      <w:bookmarkEnd w:id="141"/>
      <w:bookmarkEnd w:id="142"/>
    </w:p>
    <w:p w14:paraId="6C9E2957">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143" w:name="_Toc19680"/>
      <w:bookmarkStart w:id="144" w:name="_Ref467378499"/>
      <w:bookmarkStart w:id="145" w:name="_Toc5228"/>
      <w:bookmarkStart w:id="146" w:name="_Toc31297"/>
      <w:bookmarkStart w:id="147" w:name="_Toc487900349"/>
      <w:bookmarkStart w:id="148" w:name="_Toc14021"/>
      <w:bookmarkStart w:id="149" w:name="_Ref467379109"/>
      <w:bookmarkStart w:id="150" w:name="_Ref467379195"/>
      <w:bookmarkStart w:id="151" w:name="_Ref467379214"/>
      <w:bookmarkStart w:id="152" w:name="_Toc259093669"/>
      <w:bookmarkStart w:id="153" w:name="_Ref467378463"/>
      <w:bookmarkStart w:id="154" w:name="_Ref467379101"/>
      <w:bookmarkStart w:id="155" w:name="_Toc25079"/>
      <w:bookmarkStart w:id="156" w:name="_Ref467379205"/>
      <w:bookmarkStart w:id="157" w:name="_Toc279701240"/>
      <w:bookmarkStart w:id="158" w:name="_Ref467378404"/>
      <w:bookmarkStart w:id="159" w:name="_Ref467379094"/>
      <w:bookmarkStart w:id="160" w:name="_Ref467379225"/>
      <w:r>
        <w:rPr>
          <w:rFonts w:hint="eastAsia" w:ascii="宋体" w:hAnsi="宋体" w:eastAsia="宋体" w:cs="宋体"/>
          <w:b/>
          <w:bCs/>
          <w:color w:val="auto"/>
          <w:sz w:val="24"/>
          <w:szCs w:val="24"/>
        </w:rPr>
        <w:t>2.1 定义</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00E5F6B">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本合同中的下列词语应按以下内容进行解释：</w:t>
      </w:r>
    </w:p>
    <w:p w14:paraId="216D5B8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“合同”系指采购人和中标供应商签订的载明双方当事人所达成的协议，并包括所有的附件、附录和构成合同的其他文件。</w:t>
      </w:r>
    </w:p>
    <w:p w14:paraId="601C290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 “合同价”系指根据合同约定，中标供应商在完全履行合同义务后，采购人应支付给中标供应商的价格。</w:t>
      </w:r>
    </w:p>
    <w:p w14:paraId="5EFE586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 “服务”系指中标供应商根据合同约定应向采购人履行的除货物和工程以外的其他政府采购对象，包括采购人自身需要的服务和向社会公众提供的公共服务。</w:t>
      </w:r>
    </w:p>
    <w:p w14:paraId="43C46A6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bookmarkStart w:id="161" w:name="_Ref467378840"/>
      <w:r>
        <w:rPr>
          <w:rFonts w:hint="eastAsia" w:ascii="宋体" w:hAnsi="宋体" w:eastAsia="宋体" w:cs="宋体"/>
          <w:color w:val="auto"/>
          <w:sz w:val="24"/>
          <w:szCs w:val="24"/>
        </w:rPr>
        <w:t>2.1.4 “甲方”系指与中标供应商签署合同的采购人</w:t>
      </w:r>
      <w:bookmarkEnd w:id="161"/>
      <w:r>
        <w:rPr>
          <w:rFonts w:hint="eastAsia" w:ascii="宋体" w:hAnsi="宋体" w:eastAsia="宋体" w:cs="宋体"/>
          <w:color w:val="auto"/>
          <w:sz w:val="24"/>
          <w:szCs w:val="24"/>
        </w:rPr>
        <w:t>；采购人委托采购代理机构代表其与乙方签订合同的，采购人的授权委托书作为合同附件。</w:t>
      </w:r>
    </w:p>
    <w:p w14:paraId="5963DBB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bookmarkStart w:id="162" w:name="_Ref467379400"/>
      <w:r>
        <w:rPr>
          <w:rFonts w:hint="eastAsia" w:ascii="宋体" w:hAnsi="宋体" w:eastAsia="宋体" w:cs="宋体"/>
          <w:color w:val="auto"/>
          <w:sz w:val="24"/>
          <w:szCs w:val="24"/>
        </w:rPr>
        <w:t>2.1.5 “乙方”系指根据合同约定提供服务的中标供应商</w:t>
      </w:r>
      <w:bookmarkEnd w:id="162"/>
      <w:r>
        <w:rPr>
          <w:rFonts w:hint="eastAsia" w:ascii="宋体" w:hAnsi="宋体" w:eastAsia="宋体" w:cs="宋体"/>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506B281">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bookmarkStart w:id="163" w:name="_Ref467379436"/>
      <w:r>
        <w:rPr>
          <w:rFonts w:hint="eastAsia" w:ascii="宋体" w:hAnsi="宋体" w:eastAsia="宋体" w:cs="宋体"/>
          <w:color w:val="auto"/>
          <w:sz w:val="24"/>
          <w:szCs w:val="24"/>
        </w:rPr>
        <w:t>2.1.6 “现场”系指合同约定提供服务的地点。</w:t>
      </w:r>
      <w:bookmarkEnd w:id="163"/>
    </w:p>
    <w:p w14:paraId="04FA39DA">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164" w:name="_Toc259093670"/>
      <w:bookmarkStart w:id="165" w:name="_Toc31402"/>
      <w:bookmarkStart w:id="166" w:name="_Toc19539"/>
      <w:bookmarkStart w:id="167" w:name="_Toc23289"/>
      <w:bookmarkStart w:id="168" w:name="_Toc3769"/>
      <w:bookmarkStart w:id="169" w:name="_Toc279701241"/>
      <w:bookmarkStart w:id="170" w:name="_Toc487900350"/>
      <w:bookmarkStart w:id="171" w:name="_Toc16752"/>
      <w:r>
        <w:rPr>
          <w:rFonts w:hint="eastAsia" w:ascii="宋体" w:hAnsi="宋体" w:eastAsia="宋体" w:cs="宋体"/>
          <w:b/>
          <w:bCs/>
          <w:color w:val="auto"/>
          <w:sz w:val="24"/>
          <w:szCs w:val="24"/>
        </w:rPr>
        <w:t>2.2 技术规范</w:t>
      </w:r>
      <w:bookmarkEnd w:id="164"/>
      <w:bookmarkEnd w:id="165"/>
      <w:bookmarkEnd w:id="166"/>
      <w:bookmarkEnd w:id="167"/>
      <w:bookmarkEnd w:id="168"/>
      <w:bookmarkEnd w:id="169"/>
      <w:bookmarkEnd w:id="170"/>
      <w:bookmarkEnd w:id="171"/>
    </w:p>
    <w:p w14:paraId="6A7DB38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D8C455A">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172" w:name="_Toc27945"/>
      <w:bookmarkStart w:id="173" w:name="_Toc12412"/>
      <w:bookmarkStart w:id="174" w:name="_Toc487900351"/>
      <w:bookmarkStart w:id="175" w:name="_Toc9161"/>
      <w:bookmarkStart w:id="176" w:name="_Toc259093671"/>
      <w:bookmarkStart w:id="177" w:name="_Toc4133"/>
      <w:bookmarkStart w:id="178" w:name="_Toc279701242"/>
      <w:bookmarkStart w:id="179" w:name="_Toc13673"/>
      <w:r>
        <w:rPr>
          <w:rFonts w:hint="eastAsia" w:ascii="宋体" w:hAnsi="宋体" w:eastAsia="宋体" w:cs="宋体"/>
          <w:b/>
          <w:bCs/>
          <w:color w:val="auto"/>
          <w:sz w:val="24"/>
          <w:szCs w:val="24"/>
        </w:rPr>
        <w:t>2.3 知识产权</w:t>
      </w:r>
      <w:bookmarkEnd w:id="172"/>
      <w:bookmarkEnd w:id="173"/>
      <w:bookmarkEnd w:id="174"/>
      <w:bookmarkEnd w:id="175"/>
      <w:bookmarkEnd w:id="176"/>
      <w:bookmarkEnd w:id="177"/>
      <w:bookmarkEnd w:id="178"/>
      <w:bookmarkEnd w:id="179"/>
    </w:p>
    <w:p w14:paraId="18585ACB">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32AEA6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 合同涉及技术成果的归属和收益的分成办法的，详见</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14:paraId="778A5A6B">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2.4 履约检查和问题反馈</w:t>
      </w:r>
    </w:p>
    <w:p w14:paraId="0C4B1B21">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bookmarkStart w:id="180" w:name="_Ref467379657"/>
      <w:r>
        <w:rPr>
          <w:rFonts w:hint="eastAsia" w:ascii="宋体" w:hAnsi="宋体" w:eastAsia="宋体" w:cs="宋体"/>
          <w:color w:val="auto"/>
          <w:sz w:val="24"/>
          <w:szCs w:val="24"/>
        </w:rPr>
        <w:t>2.4.1</w:t>
      </w:r>
      <w:bookmarkEnd w:id="180"/>
      <w:bookmarkStart w:id="181" w:name="_Toc186431854"/>
      <w:bookmarkStart w:id="182" w:name="_Toc487900357"/>
      <w:bookmarkStart w:id="183" w:name="_Ref467379807"/>
      <w:bookmarkStart w:id="184" w:name="_Toc279701247"/>
      <w:bookmarkStart w:id="185" w:name="_Ref467379793"/>
      <w:bookmarkStart w:id="186" w:name="_Toc259093676"/>
      <w:r>
        <w:rPr>
          <w:rFonts w:hint="eastAsia" w:ascii="宋体" w:hAnsi="宋体" w:eastAsia="宋体" w:cs="宋体"/>
          <w:color w:val="auto"/>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0067C46A">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2.4.2 合同履行期间，甲方有权将履行过程中出现的问题反馈给乙方，双方当事人应以书面形式约定需要完善和改进的内容</w:t>
      </w:r>
      <w:bookmarkEnd w:id="181"/>
      <w:bookmarkStart w:id="187" w:name="_Toc186431855"/>
      <w:r>
        <w:rPr>
          <w:rFonts w:hint="eastAsia" w:ascii="宋体" w:hAnsi="宋体" w:eastAsia="宋体" w:cs="宋体"/>
          <w:color w:val="auto"/>
          <w:sz w:val="24"/>
          <w:szCs w:val="24"/>
        </w:rPr>
        <w:t>。</w:t>
      </w:r>
    </w:p>
    <w:bookmarkEnd w:id="187"/>
    <w:p w14:paraId="32BD737E">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188" w:name="_Toc31233"/>
      <w:bookmarkStart w:id="189" w:name="_Toc32670"/>
      <w:bookmarkStart w:id="190" w:name="_Toc22011"/>
      <w:bookmarkStart w:id="191" w:name="_Toc15447"/>
      <w:bookmarkStart w:id="192" w:name="_Toc26555"/>
      <w:r>
        <w:rPr>
          <w:rFonts w:hint="eastAsia" w:ascii="宋体" w:hAnsi="宋体" w:eastAsia="宋体" w:cs="宋体"/>
          <w:b/>
          <w:bCs/>
          <w:color w:val="auto"/>
          <w:sz w:val="24"/>
          <w:szCs w:val="24"/>
        </w:rPr>
        <w:t>2.5 结算方式和付款条件</w:t>
      </w:r>
      <w:bookmarkEnd w:id="182"/>
      <w:bookmarkEnd w:id="183"/>
      <w:bookmarkEnd w:id="184"/>
      <w:bookmarkEnd w:id="185"/>
      <w:bookmarkEnd w:id="186"/>
      <w:bookmarkEnd w:id="188"/>
      <w:bookmarkEnd w:id="189"/>
      <w:bookmarkEnd w:id="190"/>
      <w:bookmarkEnd w:id="191"/>
      <w:bookmarkEnd w:id="192"/>
    </w:p>
    <w:p w14:paraId="0C86DE9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14:paraId="45F4DF4A">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193" w:name="_Ref467379923"/>
      <w:bookmarkStart w:id="194" w:name="_Toc279701248"/>
      <w:bookmarkStart w:id="195" w:name="_Ref467379852"/>
      <w:bookmarkStart w:id="196" w:name="_Toc259093677"/>
      <w:bookmarkStart w:id="197" w:name="_Toc487900358"/>
      <w:bookmarkStart w:id="198" w:name="_Ref467379863"/>
      <w:bookmarkStart w:id="199" w:name="_Toc13154"/>
      <w:bookmarkStart w:id="200" w:name="_Toc18990"/>
      <w:bookmarkStart w:id="201" w:name="_Toc30507"/>
      <w:bookmarkStart w:id="202" w:name="_Toc13467"/>
      <w:bookmarkStart w:id="203" w:name="_Toc16163"/>
      <w:r>
        <w:rPr>
          <w:rFonts w:hint="eastAsia" w:ascii="宋体" w:hAnsi="宋体" w:eastAsia="宋体" w:cs="宋体"/>
          <w:b/>
          <w:bCs/>
          <w:color w:val="auto"/>
          <w:sz w:val="24"/>
          <w:szCs w:val="24"/>
        </w:rPr>
        <w:t>2.6 技术资料</w:t>
      </w:r>
      <w:bookmarkEnd w:id="193"/>
      <w:bookmarkEnd w:id="194"/>
      <w:bookmarkEnd w:id="195"/>
      <w:bookmarkEnd w:id="196"/>
      <w:bookmarkEnd w:id="197"/>
      <w:bookmarkEnd w:id="198"/>
      <w:r>
        <w:rPr>
          <w:rFonts w:hint="eastAsia" w:ascii="宋体" w:hAnsi="宋体" w:eastAsia="宋体" w:cs="宋体"/>
          <w:b/>
          <w:bCs/>
          <w:color w:val="auto"/>
          <w:sz w:val="24"/>
          <w:szCs w:val="24"/>
        </w:rPr>
        <w:t>和保密义务</w:t>
      </w:r>
      <w:bookmarkEnd w:id="199"/>
      <w:bookmarkEnd w:id="200"/>
      <w:bookmarkEnd w:id="201"/>
      <w:bookmarkEnd w:id="202"/>
      <w:bookmarkEnd w:id="203"/>
    </w:p>
    <w:p w14:paraId="7330D0A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2.6.1 乙方有权依据合同约定和项目需要，向甲方了解有关情况，调阅有关资料等，甲方应予积极配合；</w:t>
      </w:r>
    </w:p>
    <w:p w14:paraId="4D90C98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 乙方有义务妥善保管和保护由甲方提供的前款信息和资料等；</w:t>
      </w:r>
    </w:p>
    <w:p w14:paraId="0B24DAB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E399114">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04" w:name="_Toc19069"/>
      <w:bookmarkStart w:id="205" w:name="_Toc279701252"/>
      <w:bookmarkStart w:id="206" w:name="_Toc259093681"/>
      <w:bookmarkStart w:id="207" w:name="_Toc487900362"/>
      <w:r>
        <w:rPr>
          <w:rFonts w:hint="eastAsia" w:ascii="宋体" w:hAnsi="宋体" w:eastAsia="宋体" w:cs="宋体"/>
          <w:b/>
          <w:bCs/>
          <w:color w:val="auto"/>
          <w:sz w:val="24"/>
          <w:szCs w:val="24"/>
        </w:rPr>
        <w:t>2.7 质量保证</w:t>
      </w:r>
      <w:bookmarkEnd w:id="204"/>
    </w:p>
    <w:p w14:paraId="58400BCF">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2.7.1 乙方应建立和完善履行合同的内部质量保证体系，并提供相关内部规章制度给甲方，以便甲方进行监督检查；</w:t>
      </w:r>
    </w:p>
    <w:p w14:paraId="4EDC05B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2.7.2 乙方应保证履行合同的人员数量和素质、软件和硬件设备的配置、场地、环境和设施等满足全面履行合同的要求，并应接受甲方的监督检查。</w:t>
      </w:r>
    </w:p>
    <w:p w14:paraId="6ADBEF98">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08" w:name="_Toc22267"/>
      <w:r>
        <w:rPr>
          <w:rFonts w:hint="eastAsia" w:ascii="宋体" w:hAnsi="宋体" w:eastAsia="宋体" w:cs="宋体"/>
          <w:b/>
          <w:bCs/>
          <w:color w:val="auto"/>
          <w:sz w:val="24"/>
          <w:szCs w:val="24"/>
        </w:rPr>
        <w:t>2.8 延迟</w:t>
      </w:r>
      <w:bookmarkEnd w:id="205"/>
      <w:bookmarkEnd w:id="206"/>
      <w:bookmarkEnd w:id="207"/>
      <w:r>
        <w:rPr>
          <w:rFonts w:hint="eastAsia" w:ascii="宋体" w:hAnsi="宋体" w:eastAsia="宋体" w:cs="宋体"/>
          <w:b/>
          <w:bCs/>
          <w:color w:val="auto"/>
          <w:sz w:val="24"/>
          <w:szCs w:val="24"/>
        </w:rPr>
        <w:t>履行</w:t>
      </w:r>
      <w:bookmarkEnd w:id="208"/>
    </w:p>
    <w:p w14:paraId="4C579CF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225B078">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09" w:name="_Toc10611"/>
      <w:bookmarkStart w:id="210" w:name="_Toc259093683"/>
      <w:bookmarkStart w:id="211" w:name="_Ref467378121"/>
      <w:bookmarkStart w:id="212" w:name="_Toc279701254"/>
      <w:bookmarkStart w:id="213" w:name="_Toc487900364"/>
      <w:r>
        <w:rPr>
          <w:rFonts w:hint="eastAsia" w:ascii="宋体" w:hAnsi="宋体" w:eastAsia="宋体" w:cs="宋体"/>
          <w:b/>
          <w:bCs/>
          <w:color w:val="auto"/>
          <w:sz w:val="24"/>
          <w:szCs w:val="24"/>
        </w:rPr>
        <w:t>2.9 合同变更</w:t>
      </w:r>
      <w:bookmarkEnd w:id="209"/>
    </w:p>
    <w:p w14:paraId="11F57B3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CF26B1F">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2.9.2 合同继续履行将损害国家利益和社会公共利益的，双方当事人应当以书面形式变更合同。有过错的一方应当承担赔偿责任，双方当事人都有过错的，各自承担相应的责任。</w:t>
      </w:r>
      <w:bookmarkStart w:id="214" w:name="_Toc259093688"/>
      <w:bookmarkStart w:id="215" w:name="_Toc487900369"/>
      <w:bookmarkStart w:id="216" w:name="_Toc279701259"/>
    </w:p>
    <w:p w14:paraId="300A785C">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17" w:name="_Toc23368"/>
      <w:bookmarkStart w:id="218" w:name="_Toc42"/>
      <w:bookmarkStart w:id="219" w:name="_Toc26689"/>
      <w:bookmarkStart w:id="220" w:name="_Toc21830"/>
      <w:bookmarkStart w:id="221" w:name="_Toc10663"/>
      <w:r>
        <w:rPr>
          <w:rFonts w:hint="eastAsia" w:ascii="宋体" w:hAnsi="宋体" w:eastAsia="宋体" w:cs="宋体"/>
          <w:b/>
          <w:bCs/>
          <w:color w:val="auto"/>
          <w:sz w:val="24"/>
          <w:szCs w:val="24"/>
        </w:rPr>
        <w:t>2.10 合同转让</w:t>
      </w:r>
      <w:bookmarkEnd w:id="214"/>
      <w:bookmarkEnd w:id="215"/>
      <w:bookmarkEnd w:id="216"/>
      <w:r>
        <w:rPr>
          <w:rFonts w:hint="eastAsia" w:ascii="宋体" w:hAnsi="宋体" w:eastAsia="宋体" w:cs="宋体"/>
          <w:b/>
          <w:bCs/>
          <w:color w:val="auto"/>
          <w:sz w:val="24"/>
          <w:szCs w:val="24"/>
        </w:rPr>
        <w:t>和分包</w:t>
      </w:r>
      <w:bookmarkEnd w:id="217"/>
      <w:bookmarkEnd w:id="218"/>
      <w:bookmarkEnd w:id="219"/>
      <w:bookmarkEnd w:id="220"/>
      <w:bookmarkEnd w:id="221"/>
    </w:p>
    <w:p w14:paraId="6A33DE7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2420129">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22" w:name="_Toc4720"/>
      <w:bookmarkStart w:id="223" w:name="_Toc32494"/>
      <w:bookmarkStart w:id="224" w:name="_Toc25571"/>
      <w:bookmarkStart w:id="225" w:name="_Toc14371"/>
      <w:bookmarkStart w:id="226" w:name="_Toc26633"/>
      <w:r>
        <w:rPr>
          <w:rFonts w:hint="eastAsia" w:ascii="宋体" w:hAnsi="宋体" w:eastAsia="宋体" w:cs="宋体"/>
          <w:b/>
          <w:bCs/>
          <w:color w:val="auto"/>
          <w:sz w:val="24"/>
          <w:szCs w:val="24"/>
        </w:rPr>
        <w:t>2.11 不可抗力</w:t>
      </w:r>
      <w:bookmarkEnd w:id="222"/>
      <w:bookmarkEnd w:id="223"/>
      <w:bookmarkEnd w:id="224"/>
      <w:bookmarkEnd w:id="225"/>
      <w:bookmarkEnd w:id="226"/>
    </w:p>
    <w:p w14:paraId="67F431EB">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2.11.1如果任何一方遭遇法律规定的不可抗力，致使合同履行受阻时，履行合同的期限应予延长，延长的期限应相当于不可抗力所影响的时间；</w:t>
      </w:r>
    </w:p>
    <w:p w14:paraId="53E1A2A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 因不可抗力致使不能实现合同目的的，当事人可以解除合同；</w:t>
      </w:r>
    </w:p>
    <w:p w14:paraId="6847D21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2.11.3 因不可抗力致使合同有变更必要的，双方当事人应在</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约定时间内以书面形式变更合同；</w:t>
      </w:r>
    </w:p>
    <w:p w14:paraId="25CD796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2.11.4受不可抗力影响的一方在不可抗力发生后，应在</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约定时间内以书面形式通知对方当事人，并在</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约定时间内，将有关部门出具的证明文件送达对方当事人。</w:t>
      </w:r>
    </w:p>
    <w:p w14:paraId="3BFC2DD4">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27" w:name="_Toc14115"/>
      <w:bookmarkStart w:id="228" w:name="_Toc487900365"/>
      <w:bookmarkStart w:id="229" w:name="_Toc259093684"/>
      <w:bookmarkStart w:id="230" w:name="_Toc23854"/>
      <w:bookmarkStart w:id="231" w:name="_Toc24465"/>
      <w:bookmarkStart w:id="232" w:name="_Toc25783"/>
      <w:bookmarkStart w:id="233" w:name="_Toc279701255"/>
      <w:bookmarkStart w:id="234" w:name="_Toc3638"/>
      <w:r>
        <w:rPr>
          <w:rFonts w:hint="eastAsia" w:ascii="宋体" w:hAnsi="宋体" w:eastAsia="宋体" w:cs="宋体"/>
          <w:b/>
          <w:bCs/>
          <w:color w:val="auto"/>
          <w:sz w:val="24"/>
          <w:szCs w:val="24"/>
        </w:rPr>
        <w:t>2.12 税费</w:t>
      </w:r>
      <w:bookmarkEnd w:id="227"/>
      <w:bookmarkEnd w:id="228"/>
      <w:bookmarkEnd w:id="229"/>
      <w:bookmarkEnd w:id="230"/>
      <w:bookmarkEnd w:id="231"/>
      <w:bookmarkEnd w:id="232"/>
      <w:bookmarkEnd w:id="233"/>
      <w:bookmarkEnd w:id="234"/>
    </w:p>
    <w:p w14:paraId="784A06CF">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与合同有关的一切税费，均按照中华人民共和国法律的相关规定缴纳。</w:t>
      </w:r>
    </w:p>
    <w:p w14:paraId="332A1F73">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35" w:name="_Toc487900368"/>
      <w:bookmarkStart w:id="236" w:name="_Toc14814"/>
      <w:bookmarkStart w:id="237" w:name="_Toc26883"/>
      <w:bookmarkStart w:id="238" w:name="_Toc30105"/>
      <w:bookmarkStart w:id="239" w:name="_Toc259093687"/>
      <w:bookmarkStart w:id="240" w:name="_Toc7315"/>
      <w:bookmarkStart w:id="241" w:name="_Toc279701258"/>
      <w:bookmarkStart w:id="242" w:name="_Toc25525"/>
      <w:r>
        <w:rPr>
          <w:rFonts w:hint="eastAsia" w:ascii="宋体" w:hAnsi="宋体" w:eastAsia="宋体" w:cs="宋体"/>
          <w:b/>
          <w:bCs/>
          <w:color w:val="auto"/>
          <w:sz w:val="24"/>
          <w:szCs w:val="24"/>
        </w:rPr>
        <w:t>2.13 乙方破产</w:t>
      </w:r>
      <w:bookmarkEnd w:id="235"/>
      <w:bookmarkEnd w:id="236"/>
      <w:bookmarkEnd w:id="237"/>
      <w:bookmarkEnd w:id="238"/>
      <w:bookmarkEnd w:id="239"/>
      <w:bookmarkEnd w:id="240"/>
      <w:bookmarkEnd w:id="241"/>
      <w:bookmarkEnd w:id="242"/>
    </w:p>
    <w:p w14:paraId="2F62DBC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CEF84C">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43" w:name="_Toc1123"/>
      <w:bookmarkStart w:id="244" w:name="_Toc23323"/>
      <w:bookmarkStart w:id="245" w:name="_Toc2016"/>
      <w:r>
        <w:rPr>
          <w:rFonts w:hint="eastAsia" w:ascii="宋体" w:hAnsi="宋体" w:eastAsia="宋体" w:cs="宋体"/>
          <w:b/>
          <w:bCs/>
          <w:color w:val="auto"/>
          <w:sz w:val="24"/>
          <w:szCs w:val="24"/>
        </w:rPr>
        <w:t>2.14 合同中止、终止</w:t>
      </w:r>
      <w:bookmarkEnd w:id="243"/>
      <w:bookmarkEnd w:id="244"/>
      <w:bookmarkEnd w:id="245"/>
    </w:p>
    <w:p w14:paraId="7AC3DE8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 双方当事人不得擅自中止或者终止合同；</w:t>
      </w:r>
    </w:p>
    <w:p w14:paraId="6E68038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35357531">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46" w:name="_Toc17363"/>
      <w:bookmarkStart w:id="247" w:name="_Toc14525"/>
      <w:bookmarkStart w:id="248" w:name="_Toc1969"/>
      <w:r>
        <w:rPr>
          <w:rFonts w:hint="eastAsia" w:ascii="宋体" w:hAnsi="宋体" w:eastAsia="宋体" w:cs="宋体"/>
          <w:b/>
          <w:bCs/>
          <w:color w:val="auto"/>
          <w:sz w:val="24"/>
          <w:szCs w:val="24"/>
        </w:rPr>
        <w:t>2.15 检验和验收</w:t>
      </w:r>
      <w:bookmarkEnd w:id="246"/>
      <w:bookmarkEnd w:id="247"/>
      <w:bookmarkEnd w:id="248"/>
    </w:p>
    <w:p w14:paraId="7657D09C">
      <w:pPr>
        <w:keepNext w:val="0"/>
        <w:keepLines w:val="0"/>
        <w:pageBreakBefore w:val="0"/>
        <w:tabs>
          <w:tab w:val="left" w:pos="360"/>
          <w:tab w:val="left" w:pos="540"/>
          <w:tab w:val="left" w:pos="1080"/>
        </w:tabs>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2.15.1 乙方按照</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的约定，定期提交服务报告，甲方按照</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的约定进行定期验收；</w:t>
      </w:r>
    </w:p>
    <w:p w14:paraId="6896CB1A">
      <w:pPr>
        <w:keepNext w:val="0"/>
        <w:keepLines w:val="0"/>
        <w:pageBreakBefore w:val="0"/>
        <w:tabs>
          <w:tab w:val="left" w:pos="360"/>
          <w:tab w:val="left" w:pos="540"/>
          <w:tab w:val="left" w:pos="1080"/>
        </w:tabs>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A56586">
      <w:pPr>
        <w:keepNext w:val="0"/>
        <w:keepLines w:val="0"/>
        <w:pageBreakBefore w:val="0"/>
        <w:tabs>
          <w:tab w:val="left" w:pos="360"/>
          <w:tab w:val="left" w:pos="540"/>
          <w:tab w:val="left" w:pos="1080"/>
        </w:tabs>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2.15.3 检验和验收标准、程序等具体内容以及前述验收书的效力详见</w:t>
      </w:r>
      <w:r>
        <w:rPr>
          <w:rFonts w:hint="eastAsia" w:ascii="宋体" w:hAnsi="宋体" w:eastAsia="宋体" w:cs="宋体"/>
          <w:b/>
          <w:i/>
          <w:color w:val="auto"/>
          <w:sz w:val="24"/>
          <w:szCs w:val="24"/>
          <w:u w:val="single"/>
        </w:rPr>
        <w:t>合同专用条款</w:t>
      </w:r>
      <w:r>
        <w:rPr>
          <w:rFonts w:hint="eastAsia" w:ascii="宋体" w:hAnsi="宋体" w:eastAsia="宋体" w:cs="宋体"/>
          <w:i/>
          <w:color w:val="auto"/>
          <w:sz w:val="24"/>
          <w:szCs w:val="24"/>
        </w:rPr>
        <w:t>。</w:t>
      </w:r>
    </w:p>
    <w:bookmarkEnd w:id="210"/>
    <w:bookmarkEnd w:id="211"/>
    <w:bookmarkEnd w:id="212"/>
    <w:bookmarkEnd w:id="213"/>
    <w:p w14:paraId="144832C1">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49" w:name="_Toc279701261"/>
      <w:bookmarkStart w:id="250" w:name="_Toc487900371"/>
      <w:bookmarkStart w:id="251" w:name="_Toc259093690"/>
      <w:bookmarkStart w:id="252" w:name="_Toc25198"/>
      <w:bookmarkStart w:id="253" w:name="_Toc12666"/>
      <w:bookmarkStart w:id="254" w:name="_Toc2308"/>
      <w:bookmarkStart w:id="255" w:name="_Toc31892"/>
      <w:bookmarkStart w:id="256" w:name="_Toc9808"/>
      <w:r>
        <w:rPr>
          <w:rFonts w:hint="eastAsia" w:ascii="宋体" w:hAnsi="宋体" w:eastAsia="宋体" w:cs="宋体"/>
          <w:b/>
          <w:bCs/>
          <w:color w:val="auto"/>
          <w:sz w:val="24"/>
          <w:szCs w:val="24"/>
        </w:rPr>
        <w:t>2.16 通知</w:t>
      </w:r>
      <w:bookmarkEnd w:id="249"/>
      <w:bookmarkEnd w:id="250"/>
      <w:bookmarkEnd w:id="251"/>
      <w:r>
        <w:rPr>
          <w:rFonts w:hint="eastAsia" w:ascii="宋体" w:hAnsi="宋体" w:eastAsia="宋体" w:cs="宋体"/>
          <w:b/>
          <w:bCs/>
          <w:color w:val="auto"/>
          <w:sz w:val="24"/>
          <w:szCs w:val="24"/>
        </w:rPr>
        <w:t>和送达</w:t>
      </w:r>
      <w:bookmarkEnd w:id="252"/>
      <w:bookmarkEnd w:id="253"/>
      <w:bookmarkEnd w:id="254"/>
      <w:bookmarkEnd w:id="255"/>
      <w:bookmarkEnd w:id="256"/>
    </w:p>
    <w:p w14:paraId="4B802E9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bookmarkStart w:id="257" w:name="_Toc7073"/>
      <w:bookmarkStart w:id="258" w:name="_Toc29220"/>
      <w:bookmarkStart w:id="259" w:name="_Toc487900372"/>
      <w:bookmarkStart w:id="260" w:name="_Toc279701262"/>
      <w:bookmarkStart w:id="261" w:name="_Toc259093691"/>
      <w:r>
        <w:rPr>
          <w:rFonts w:hint="eastAsia" w:ascii="宋体" w:hAnsi="宋体" w:eastAsia="宋体" w:cs="宋体"/>
          <w:color w:val="auto"/>
          <w:sz w:val="24"/>
          <w:szCs w:val="24"/>
        </w:rPr>
        <w:t>2.16.1 任何一方因履行合同而以合同第一部分尾部所列明的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发出的所有通知、文件、材料，均视为已向对方当事人送达；任何一方变更上述送达方式或者地址的，应于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个工作日内书面通知对方当事人，在对方当事人收到有关变更通知之前，变更前的约定送达方式或者地址仍视为有效。</w:t>
      </w:r>
      <w:bookmarkEnd w:id="257"/>
      <w:bookmarkEnd w:id="258"/>
    </w:p>
    <w:p w14:paraId="3CEA81FB">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bookmarkStart w:id="262" w:name="_Toc27674"/>
      <w:bookmarkStart w:id="263" w:name="_Toc18401"/>
      <w:r>
        <w:rPr>
          <w:rFonts w:hint="eastAsia" w:ascii="宋体" w:hAnsi="宋体" w:eastAsia="宋体" w:cs="宋体"/>
          <w:color w:val="auto"/>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2"/>
      <w:bookmarkEnd w:id="263"/>
    </w:p>
    <w:bookmarkEnd w:id="259"/>
    <w:bookmarkEnd w:id="260"/>
    <w:bookmarkEnd w:id="261"/>
    <w:p w14:paraId="6D521FBB">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64" w:name="_Toc27644"/>
      <w:bookmarkStart w:id="265" w:name="_Toc259093692"/>
      <w:bookmarkStart w:id="266" w:name="_Toc487900373"/>
      <w:bookmarkStart w:id="267" w:name="_Toc12254"/>
      <w:bookmarkStart w:id="268" w:name="_Toc20808"/>
      <w:bookmarkStart w:id="269" w:name="_Toc279701263"/>
      <w:bookmarkStart w:id="270" w:name="_Toc28906"/>
      <w:bookmarkStart w:id="271" w:name="_Toc5063"/>
      <w:r>
        <w:rPr>
          <w:rFonts w:hint="eastAsia" w:ascii="宋体" w:hAnsi="宋体" w:eastAsia="宋体" w:cs="宋体"/>
          <w:b/>
          <w:bCs/>
          <w:color w:val="auto"/>
          <w:sz w:val="24"/>
          <w:szCs w:val="24"/>
        </w:rPr>
        <w:t>2.17 合同使用的文字和适用的法律</w:t>
      </w:r>
      <w:bookmarkEnd w:id="264"/>
      <w:bookmarkEnd w:id="265"/>
      <w:bookmarkEnd w:id="266"/>
      <w:bookmarkEnd w:id="267"/>
      <w:bookmarkEnd w:id="268"/>
      <w:bookmarkEnd w:id="269"/>
      <w:bookmarkEnd w:id="270"/>
      <w:bookmarkEnd w:id="271"/>
    </w:p>
    <w:p w14:paraId="554EB86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2.17.1 合同使用汉语书就、变更和解释；</w:t>
      </w:r>
    </w:p>
    <w:p w14:paraId="59FDCBCA">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2.17.2 合同适用中华人民共和国法律。</w:t>
      </w:r>
    </w:p>
    <w:p w14:paraId="16C3A8E6">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bookmarkStart w:id="272" w:name="_Toc259093693"/>
      <w:bookmarkStart w:id="273" w:name="_Toc30096"/>
      <w:bookmarkStart w:id="274" w:name="_Toc27403"/>
      <w:bookmarkStart w:id="275" w:name="_Toc27127"/>
      <w:bookmarkStart w:id="276" w:name="_Toc22266"/>
      <w:bookmarkStart w:id="277" w:name="_Toc279701264"/>
      <w:bookmarkStart w:id="278" w:name="_Toc1492"/>
      <w:bookmarkStart w:id="279" w:name="_Toc487900374"/>
      <w:r>
        <w:rPr>
          <w:rFonts w:hint="eastAsia" w:ascii="宋体" w:hAnsi="宋体" w:eastAsia="宋体" w:cs="宋体"/>
          <w:b/>
          <w:bCs/>
          <w:color w:val="auto"/>
          <w:sz w:val="24"/>
          <w:szCs w:val="24"/>
        </w:rPr>
        <w:t>2.18 履约保证金</w:t>
      </w:r>
      <w:bookmarkEnd w:id="272"/>
      <w:bookmarkEnd w:id="273"/>
      <w:bookmarkEnd w:id="274"/>
      <w:bookmarkEnd w:id="275"/>
      <w:bookmarkEnd w:id="276"/>
      <w:bookmarkEnd w:id="277"/>
      <w:bookmarkEnd w:id="278"/>
    </w:p>
    <w:p w14:paraId="2BB1C23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2.18.1 采购文件要求乙方提交履约保证金的，乙方应按</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约定的方式，以支票、汇票、本票或者金融机构、担保机构出具的保函等非现金形式，提交不超过合同价10%的履约保证金；</w:t>
      </w:r>
    </w:p>
    <w:p w14:paraId="6924D2EB">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2.18.2 履约保证金在</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约定期间内不予退还或者应完全有效，前述约定期间届满之日起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个工作日内，甲方应将履约保证金退还乙方；</w:t>
      </w:r>
    </w:p>
    <w:p w14:paraId="0EF8E65A">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79"/>
    <w:p w14:paraId="52781E7F">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2.19 合同份数</w:t>
      </w:r>
    </w:p>
    <w:p w14:paraId="5F1B59B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合同份数按</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规定，每份均具有同等法律效力。</w:t>
      </w:r>
    </w:p>
    <w:p w14:paraId="2CC9C2DA">
      <w:pPr>
        <w:pageBreakBefore w:val="0"/>
        <w:widowControl w:val="0"/>
        <w:numPr>
          <w:ilvl w:val="0"/>
          <w:numId w:val="3"/>
        </w:numPr>
        <w:kinsoku/>
        <w:wordWrap/>
        <w:overflowPunct/>
        <w:topLinePunct w:val="0"/>
        <w:autoSpaceDE/>
        <w:autoSpaceDN/>
        <w:bidi w:val="0"/>
        <w:snapToGrid/>
        <w:spacing w:line="400" w:lineRule="exact"/>
        <w:jc w:val="center"/>
        <w:outlineLvl w:val="1"/>
        <w:rPr>
          <w:rFonts w:hint="eastAsia" w:ascii="宋体" w:hAnsi="宋体" w:eastAsia="宋体" w:cs="宋体"/>
          <w:b/>
          <w:sz w:val="28"/>
          <w:szCs w:val="28"/>
          <w:lang w:val="zh-CN" w:eastAsia="zh-CN"/>
        </w:rPr>
      </w:pPr>
      <w:r>
        <w:rPr>
          <w:rFonts w:hint="eastAsia" w:ascii="宋体" w:hAnsi="宋体" w:eastAsia="宋体" w:cs="宋体"/>
          <w:szCs w:val="24"/>
        </w:rPr>
        <w:br w:type="page"/>
      </w:r>
      <w:bookmarkStart w:id="280" w:name="_Toc30216"/>
      <w:bookmarkStart w:id="281" w:name="_Toc21444"/>
      <w:bookmarkStart w:id="282" w:name="_Toc331685784"/>
      <w:r>
        <w:rPr>
          <w:rFonts w:hint="eastAsia" w:ascii="宋体" w:hAnsi="宋体" w:eastAsia="宋体" w:cs="宋体"/>
          <w:b/>
          <w:sz w:val="28"/>
          <w:szCs w:val="28"/>
          <w:lang w:val="zh-CN" w:eastAsia="zh-CN"/>
        </w:rPr>
        <w:t>专用合同条款</w:t>
      </w:r>
      <w:bookmarkEnd w:id="280"/>
      <w:bookmarkEnd w:id="281"/>
    </w:p>
    <w:p w14:paraId="26292CB2">
      <w:pPr>
        <w:rPr>
          <w:rFonts w:hint="eastAsia" w:ascii="宋体" w:hAnsi="宋体" w:eastAsia="宋体" w:cs="宋体"/>
          <w:szCs w:val="24"/>
        </w:rPr>
      </w:pPr>
    </w:p>
    <w:bookmarkEnd w:id="282"/>
    <w:p w14:paraId="1DDB5B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A1DAFD3">
      <w:pPr>
        <w:widowControl w:val="0"/>
        <w:spacing w:line="500" w:lineRule="exact"/>
        <w:ind w:left="0" w:leftChars="0" w:firstLine="470" w:firstLineChars="196"/>
        <w:jc w:val="both"/>
        <w:rPr>
          <w:rFonts w:hint="eastAsia" w:ascii="宋体" w:hAnsi="宋体" w:eastAsia="宋体" w:cs="宋体"/>
          <w:kern w:val="2"/>
          <w:sz w:val="24"/>
          <w:szCs w:val="20"/>
          <w:lang w:val="en-US" w:eastAsia="zh-CN" w:bidi="ar-SA"/>
        </w:rPr>
      </w:pPr>
    </w:p>
    <w:tbl>
      <w:tblPr>
        <w:tblStyle w:val="32"/>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7"/>
        <w:gridCol w:w="8871"/>
      </w:tblGrid>
      <w:tr w14:paraId="7A46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3" w:type="pct"/>
            <w:tcBorders>
              <w:left w:val="single" w:color="auto" w:sz="4" w:space="0"/>
            </w:tcBorders>
            <w:noWrap w:val="0"/>
            <w:vAlign w:val="center"/>
          </w:tcPr>
          <w:p w14:paraId="3DE426AB">
            <w:pPr>
              <w:spacing w:line="560" w:lineRule="exact"/>
              <w:jc w:val="center"/>
              <w:rPr>
                <w:rFonts w:hint="eastAsia" w:ascii="宋体" w:hAnsi="宋体" w:eastAsia="宋体" w:cs="宋体"/>
                <w:b w:val="0"/>
                <w:bCs/>
                <w:sz w:val="18"/>
                <w:szCs w:val="18"/>
              </w:rPr>
            </w:pPr>
            <w:r>
              <w:rPr>
                <w:rFonts w:hint="eastAsia" w:ascii="宋体" w:hAnsi="宋体" w:eastAsia="宋体" w:cs="宋体"/>
                <w:b w:val="0"/>
                <w:bCs/>
                <w:sz w:val="18"/>
                <w:szCs w:val="18"/>
              </w:rPr>
              <w:t>条款号</w:t>
            </w:r>
          </w:p>
        </w:tc>
        <w:tc>
          <w:tcPr>
            <w:tcW w:w="4526" w:type="pct"/>
            <w:noWrap w:val="0"/>
            <w:vAlign w:val="center"/>
          </w:tcPr>
          <w:p w14:paraId="5B31CF60">
            <w:pPr>
              <w:spacing w:line="560" w:lineRule="exact"/>
              <w:jc w:val="center"/>
              <w:rPr>
                <w:rFonts w:hint="eastAsia" w:ascii="宋体" w:hAnsi="宋体" w:eastAsia="宋体" w:cs="宋体"/>
                <w:b w:val="0"/>
                <w:bCs/>
                <w:sz w:val="18"/>
                <w:szCs w:val="18"/>
              </w:rPr>
            </w:pPr>
            <w:r>
              <w:rPr>
                <w:rFonts w:hint="eastAsia" w:ascii="宋体" w:hAnsi="宋体" w:eastAsia="宋体" w:cs="宋体"/>
                <w:b w:val="0"/>
                <w:bCs/>
                <w:sz w:val="18"/>
                <w:szCs w:val="18"/>
              </w:rPr>
              <w:t>约定内容</w:t>
            </w:r>
          </w:p>
        </w:tc>
      </w:tr>
      <w:tr w14:paraId="09067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3" w:type="pct"/>
            <w:tcBorders>
              <w:left w:val="single" w:color="auto" w:sz="4" w:space="0"/>
            </w:tcBorders>
            <w:noWrap w:val="0"/>
            <w:vAlign w:val="center"/>
          </w:tcPr>
          <w:p w14:paraId="4591F627">
            <w:pPr>
              <w:spacing w:line="560" w:lineRule="exact"/>
              <w:jc w:val="center"/>
              <w:rPr>
                <w:rFonts w:hint="eastAsia" w:ascii="宋体" w:hAnsi="宋体" w:eastAsia="宋体" w:cs="宋体"/>
                <w:sz w:val="18"/>
                <w:szCs w:val="18"/>
              </w:rPr>
            </w:pPr>
          </w:p>
        </w:tc>
        <w:tc>
          <w:tcPr>
            <w:tcW w:w="4526" w:type="pct"/>
            <w:noWrap w:val="0"/>
            <w:vAlign w:val="center"/>
          </w:tcPr>
          <w:p w14:paraId="7B678B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18"/>
                <w:szCs w:val="18"/>
              </w:rPr>
            </w:pPr>
          </w:p>
        </w:tc>
      </w:tr>
      <w:tr w14:paraId="7A62D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3" w:type="pct"/>
            <w:tcBorders>
              <w:left w:val="single" w:color="auto" w:sz="4" w:space="0"/>
            </w:tcBorders>
            <w:noWrap w:val="0"/>
            <w:vAlign w:val="center"/>
          </w:tcPr>
          <w:p w14:paraId="228D304C">
            <w:pPr>
              <w:spacing w:line="560" w:lineRule="exact"/>
              <w:jc w:val="center"/>
              <w:rPr>
                <w:rFonts w:hint="eastAsia" w:ascii="宋体" w:hAnsi="宋体" w:eastAsia="宋体" w:cs="宋体"/>
                <w:sz w:val="18"/>
                <w:szCs w:val="18"/>
              </w:rPr>
            </w:pPr>
          </w:p>
        </w:tc>
        <w:tc>
          <w:tcPr>
            <w:tcW w:w="4526" w:type="pct"/>
            <w:noWrap w:val="0"/>
            <w:vAlign w:val="center"/>
          </w:tcPr>
          <w:p w14:paraId="5E10FC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18"/>
                <w:szCs w:val="18"/>
                <w:lang w:eastAsia="zh-CN"/>
              </w:rPr>
            </w:pPr>
          </w:p>
        </w:tc>
      </w:tr>
      <w:tr w14:paraId="7B637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3" w:type="pct"/>
            <w:tcBorders>
              <w:left w:val="single" w:color="auto" w:sz="4" w:space="0"/>
            </w:tcBorders>
            <w:noWrap w:val="0"/>
            <w:vAlign w:val="center"/>
          </w:tcPr>
          <w:p w14:paraId="5564DE8C">
            <w:pPr>
              <w:spacing w:line="560" w:lineRule="exact"/>
              <w:jc w:val="center"/>
              <w:rPr>
                <w:rFonts w:hint="eastAsia" w:ascii="宋体" w:hAnsi="宋体" w:eastAsia="宋体" w:cs="宋体"/>
                <w:sz w:val="18"/>
                <w:szCs w:val="18"/>
              </w:rPr>
            </w:pPr>
          </w:p>
        </w:tc>
        <w:tc>
          <w:tcPr>
            <w:tcW w:w="4526" w:type="pct"/>
            <w:noWrap w:val="0"/>
            <w:vAlign w:val="center"/>
          </w:tcPr>
          <w:p w14:paraId="593E33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18"/>
                <w:szCs w:val="18"/>
                <w:lang w:eastAsia="zh-CN"/>
              </w:rPr>
            </w:pPr>
          </w:p>
        </w:tc>
      </w:tr>
      <w:tr w14:paraId="68720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3" w:type="pct"/>
            <w:tcBorders>
              <w:left w:val="single" w:color="auto" w:sz="4" w:space="0"/>
            </w:tcBorders>
            <w:noWrap w:val="0"/>
            <w:vAlign w:val="center"/>
          </w:tcPr>
          <w:p w14:paraId="754B920A">
            <w:pPr>
              <w:spacing w:line="560" w:lineRule="exact"/>
              <w:jc w:val="center"/>
              <w:rPr>
                <w:rFonts w:hint="eastAsia" w:ascii="宋体" w:hAnsi="宋体" w:eastAsia="宋体" w:cs="宋体"/>
                <w:sz w:val="18"/>
                <w:szCs w:val="18"/>
              </w:rPr>
            </w:pPr>
          </w:p>
        </w:tc>
        <w:tc>
          <w:tcPr>
            <w:tcW w:w="4526" w:type="pct"/>
            <w:noWrap w:val="0"/>
            <w:vAlign w:val="center"/>
          </w:tcPr>
          <w:p w14:paraId="1F684830">
            <w:pPr>
              <w:spacing w:line="560" w:lineRule="exact"/>
              <w:jc w:val="left"/>
              <w:rPr>
                <w:rFonts w:hint="eastAsia" w:ascii="宋体" w:hAnsi="宋体" w:eastAsia="宋体" w:cs="宋体"/>
                <w:sz w:val="18"/>
                <w:szCs w:val="18"/>
                <w:lang w:eastAsia="zh-CN"/>
              </w:rPr>
            </w:pPr>
          </w:p>
        </w:tc>
      </w:tr>
      <w:tr w14:paraId="58885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3" w:type="pct"/>
            <w:tcBorders>
              <w:left w:val="single" w:color="auto" w:sz="4" w:space="0"/>
            </w:tcBorders>
            <w:noWrap w:val="0"/>
            <w:vAlign w:val="center"/>
          </w:tcPr>
          <w:p w14:paraId="4BAA7413">
            <w:pPr>
              <w:spacing w:line="560" w:lineRule="exact"/>
              <w:jc w:val="center"/>
              <w:rPr>
                <w:rFonts w:hint="eastAsia" w:ascii="宋体" w:hAnsi="宋体" w:eastAsia="宋体" w:cs="宋体"/>
                <w:sz w:val="18"/>
                <w:szCs w:val="18"/>
                <w:lang w:val="en-US" w:eastAsia="zh-CN"/>
              </w:rPr>
            </w:pPr>
          </w:p>
        </w:tc>
        <w:tc>
          <w:tcPr>
            <w:tcW w:w="4526" w:type="pct"/>
            <w:noWrap w:val="0"/>
            <w:vAlign w:val="center"/>
          </w:tcPr>
          <w:p w14:paraId="154BB1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18"/>
                <w:szCs w:val="18"/>
                <w:u w:val="single"/>
                <w:lang w:eastAsia="zh-CN"/>
              </w:rPr>
            </w:pPr>
          </w:p>
        </w:tc>
      </w:tr>
      <w:tr w14:paraId="0DAC6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3" w:type="pct"/>
            <w:tcBorders>
              <w:left w:val="single" w:color="auto" w:sz="4" w:space="0"/>
            </w:tcBorders>
            <w:noWrap w:val="0"/>
            <w:vAlign w:val="center"/>
          </w:tcPr>
          <w:p w14:paraId="1F7C1622">
            <w:pPr>
              <w:spacing w:line="560" w:lineRule="exact"/>
              <w:jc w:val="center"/>
              <w:rPr>
                <w:rFonts w:hint="eastAsia" w:ascii="宋体" w:hAnsi="宋体" w:eastAsia="宋体" w:cs="宋体"/>
                <w:b w:val="0"/>
                <w:bCs/>
                <w:sz w:val="18"/>
                <w:szCs w:val="18"/>
              </w:rPr>
            </w:pPr>
          </w:p>
        </w:tc>
        <w:tc>
          <w:tcPr>
            <w:tcW w:w="4526" w:type="pct"/>
            <w:noWrap w:val="0"/>
            <w:vAlign w:val="center"/>
          </w:tcPr>
          <w:p w14:paraId="1E3F9B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18"/>
                <w:szCs w:val="18"/>
              </w:rPr>
            </w:pPr>
          </w:p>
        </w:tc>
      </w:tr>
      <w:tr w14:paraId="51DB0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3" w:type="pct"/>
            <w:tcBorders>
              <w:left w:val="single" w:color="auto" w:sz="4" w:space="0"/>
            </w:tcBorders>
            <w:noWrap w:val="0"/>
            <w:vAlign w:val="center"/>
          </w:tcPr>
          <w:p w14:paraId="4F3C1404">
            <w:pPr>
              <w:spacing w:line="560" w:lineRule="exact"/>
              <w:jc w:val="center"/>
              <w:rPr>
                <w:rFonts w:hint="eastAsia" w:ascii="宋体" w:hAnsi="宋体" w:eastAsia="宋体" w:cs="宋体"/>
                <w:b w:val="0"/>
                <w:bCs/>
                <w:sz w:val="18"/>
                <w:szCs w:val="18"/>
              </w:rPr>
            </w:pPr>
          </w:p>
        </w:tc>
        <w:tc>
          <w:tcPr>
            <w:tcW w:w="4526" w:type="pct"/>
            <w:noWrap w:val="0"/>
            <w:vAlign w:val="center"/>
          </w:tcPr>
          <w:p w14:paraId="0E22F5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18"/>
                <w:szCs w:val="18"/>
                <w:u w:val="single"/>
              </w:rPr>
            </w:pPr>
          </w:p>
        </w:tc>
      </w:tr>
      <w:tr w14:paraId="31766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3" w:type="pct"/>
            <w:tcBorders>
              <w:left w:val="single" w:color="auto" w:sz="4" w:space="0"/>
            </w:tcBorders>
            <w:noWrap w:val="0"/>
            <w:vAlign w:val="center"/>
          </w:tcPr>
          <w:p w14:paraId="73CAEF0B">
            <w:pPr>
              <w:spacing w:line="560" w:lineRule="exact"/>
              <w:jc w:val="center"/>
              <w:rPr>
                <w:rFonts w:hint="eastAsia" w:ascii="宋体" w:hAnsi="宋体" w:eastAsia="宋体" w:cs="宋体"/>
                <w:b w:val="0"/>
                <w:bCs/>
                <w:sz w:val="18"/>
                <w:szCs w:val="18"/>
              </w:rPr>
            </w:pPr>
          </w:p>
        </w:tc>
        <w:tc>
          <w:tcPr>
            <w:tcW w:w="4526" w:type="pct"/>
            <w:noWrap w:val="0"/>
            <w:vAlign w:val="center"/>
          </w:tcPr>
          <w:p w14:paraId="744EFF9C">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18"/>
                <w:szCs w:val="18"/>
              </w:rPr>
            </w:pPr>
          </w:p>
        </w:tc>
      </w:tr>
      <w:tr w14:paraId="1F3C0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3" w:type="pct"/>
            <w:tcBorders>
              <w:left w:val="single" w:color="auto" w:sz="4" w:space="0"/>
            </w:tcBorders>
            <w:noWrap w:val="0"/>
            <w:vAlign w:val="center"/>
          </w:tcPr>
          <w:p w14:paraId="3AD4E7B2">
            <w:pPr>
              <w:spacing w:line="560" w:lineRule="exact"/>
              <w:jc w:val="center"/>
              <w:rPr>
                <w:rFonts w:hint="eastAsia" w:ascii="宋体" w:hAnsi="宋体" w:eastAsia="宋体" w:cs="宋体"/>
                <w:b w:val="0"/>
                <w:bCs/>
                <w:sz w:val="18"/>
                <w:szCs w:val="18"/>
              </w:rPr>
            </w:pPr>
          </w:p>
        </w:tc>
        <w:tc>
          <w:tcPr>
            <w:tcW w:w="4526" w:type="pct"/>
            <w:noWrap w:val="0"/>
            <w:vAlign w:val="center"/>
          </w:tcPr>
          <w:p w14:paraId="24C9E984">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18"/>
                <w:szCs w:val="18"/>
                <w:lang w:eastAsia="zh-CN"/>
              </w:rPr>
            </w:pPr>
          </w:p>
        </w:tc>
      </w:tr>
      <w:tr w14:paraId="17C0C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3" w:type="pct"/>
            <w:tcBorders>
              <w:left w:val="single" w:color="auto" w:sz="4" w:space="0"/>
            </w:tcBorders>
            <w:noWrap w:val="0"/>
            <w:vAlign w:val="center"/>
          </w:tcPr>
          <w:p w14:paraId="42426417">
            <w:pPr>
              <w:spacing w:line="560" w:lineRule="exact"/>
              <w:jc w:val="center"/>
              <w:rPr>
                <w:rFonts w:hint="eastAsia" w:ascii="宋体" w:hAnsi="宋体" w:eastAsia="宋体" w:cs="宋体"/>
                <w:b w:val="0"/>
                <w:bCs/>
                <w:sz w:val="18"/>
                <w:szCs w:val="18"/>
              </w:rPr>
            </w:pPr>
          </w:p>
        </w:tc>
        <w:tc>
          <w:tcPr>
            <w:tcW w:w="4526" w:type="pct"/>
            <w:noWrap w:val="0"/>
            <w:vAlign w:val="center"/>
          </w:tcPr>
          <w:p w14:paraId="2F0FFC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18"/>
                <w:szCs w:val="18"/>
              </w:rPr>
            </w:pPr>
          </w:p>
        </w:tc>
      </w:tr>
      <w:tr w14:paraId="46964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3" w:type="pct"/>
            <w:tcBorders>
              <w:top w:val="single" w:color="auto" w:sz="6" w:space="0"/>
              <w:left w:val="single" w:color="auto" w:sz="4" w:space="0"/>
              <w:bottom w:val="single" w:color="auto" w:sz="6" w:space="0"/>
              <w:right w:val="single" w:color="auto" w:sz="6" w:space="0"/>
            </w:tcBorders>
            <w:noWrap w:val="0"/>
            <w:vAlign w:val="center"/>
          </w:tcPr>
          <w:p w14:paraId="6C9AAC8E">
            <w:pPr>
              <w:spacing w:line="560" w:lineRule="exact"/>
              <w:jc w:val="center"/>
              <w:rPr>
                <w:rFonts w:hint="eastAsia" w:ascii="宋体" w:hAnsi="宋体" w:eastAsia="宋体" w:cs="宋体"/>
                <w:b w:val="0"/>
                <w:bCs/>
                <w:sz w:val="18"/>
                <w:szCs w:val="18"/>
              </w:rPr>
            </w:pPr>
          </w:p>
        </w:tc>
        <w:tc>
          <w:tcPr>
            <w:tcW w:w="4526" w:type="pct"/>
            <w:tcBorders>
              <w:top w:val="single" w:color="auto" w:sz="6" w:space="0"/>
              <w:left w:val="single" w:color="auto" w:sz="6" w:space="0"/>
              <w:bottom w:val="single" w:color="auto" w:sz="6" w:space="0"/>
              <w:right w:val="single" w:color="auto" w:sz="6" w:space="0"/>
            </w:tcBorders>
            <w:noWrap w:val="0"/>
            <w:vAlign w:val="center"/>
          </w:tcPr>
          <w:p w14:paraId="14F8C6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18"/>
                <w:szCs w:val="18"/>
              </w:rPr>
            </w:pPr>
          </w:p>
        </w:tc>
      </w:tr>
      <w:tr w14:paraId="13D5F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3" w:type="pct"/>
            <w:tcBorders>
              <w:top w:val="single" w:color="auto" w:sz="6" w:space="0"/>
              <w:left w:val="single" w:color="auto" w:sz="4" w:space="0"/>
              <w:bottom w:val="single" w:color="auto" w:sz="6" w:space="0"/>
              <w:right w:val="single" w:color="auto" w:sz="6" w:space="0"/>
            </w:tcBorders>
            <w:noWrap w:val="0"/>
            <w:vAlign w:val="center"/>
          </w:tcPr>
          <w:p w14:paraId="49E07971">
            <w:pPr>
              <w:spacing w:line="560" w:lineRule="exact"/>
              <w:jc w:val="center"/>
              <w:rPr>
                <w:rFonts w:hint="eastAsia" w:ascii="宋体" w:hAnsi="宋体" w:eastAsia="宋体" w:cs="宋体"/>
                <w:b w:val="0"/>
                <w:bCs/>
                <w:sz w:val="18"/>
                <w:szCs w:val="18"/>
                <w:lang w:val="en-US" w:eastAsia="zh-CN"/>
              </w:rPr>
            </w:pPr>
          </w:p>
        </w:tc>
        <w:tc>
          <w:tcPr>
            <w:tcW w:w="4526" w:type="pct"/>
            <w:tcBorders>
              <w:top w:val="single" w:color="auto" w:sz="6" w:space="0"/>
              <w:left w:val="single" w:color="auto" w:sz="6" w:space="0"/>
              <w:bottom w:val="single" w:color="auto" w:sz="6" w:space="0"/>
              <w:right w:val="single" w:color="auto" w:sz="6" w:space="0"/>
            </w:tcBorders>
            <w:noWrap w:val="0"/>
            <w:vAlign w:val="center"/>
          </w:tcPr>
          <w:p w14:paraId="17419290">
            <w:pPr>
              <w:spacing w:line="560" w:lineRule="exact"/>
              <w:jc w:val="left"/>
              <w:rPr>
                <w:rFonts w:hint="eastAsia" w:ascii="宋体" w:hAnsi="宋体" w:eastAsia="宋体" w:cs="宋体"/>
                <w:b w:val="0"/>
                <w:bCs/>
                <w:sz w:val="18"/>
                <w:szCs w:val="18"/>
              </w:rPr>
            </w:pPr>
          </w:p>
        </w:tc>
      </w:tr>
    </w:tbl>
    <w:p w14:paraId="36FF3EF2">
      <w:pPr>
        <w:widowControl/>
        <w:spacing w:line="560" w:lineRule="exact"/>
        <w:jc w:val="left"/>
        <w:rPr>
          <w:rFonts w:hint="eastAsia" w:ascii="宋体" w:hAnsi="宋体" w:eastAsia="宋体" w:cs="宋体"/>
          <w:b/>
          <w:color w:val="auto"/>
        </w:rPr>
      </w:pPr>
    </w:p>
    <w:p w14:paraId="6532DED6">
      <w:pPr>
        <w:widowControl/>
        <w:spacing w:line="560" w:lineRule="exact"/>
        <w:jc w:val="left"/>
        <w:rPr>
          <w:rFonts w:hint="eastAsia" w:ascii="宋体" w:hAnsi="宋体" w:eastAsia="宋体" w:cs="宋体"/>
          <w:b/>
          <w:color w:val="auto"/>
          <w:kern w:val="0"/>
          <w:sz w:val="24"/>
        </w:rPr>
      </w:pPr>
    </w:p>
    <w:p w14:paraId="1C4CD601">
      <w:pPr>
        <w:widowControl/>
        <w:spacing w:line="560" w:lineRule="exact"/>
        <w:jc w:val="left"/>
        <w:rPr>
          <w:rFonts w:hint="eastAsia" w:ascii="宋体" w:hAnsi="宋体" w:eastAsia="宋体" w:cs="宋体"/>
          <w:b/>
          <w:color w:val="auto"/>
          <w:kern w:val="0"/>
          <w:sz w:val="24"/>
        </w:rPr>
      </w:pPr>
    </w:p>
    <w:p w14:paraId="34F31E55">
      <w:pPr>
        <w:rPr>
          <w:rFonts w:hint="eastAsia" w:ascii="Times New Roman" w:hAnsi="Times New Roman" w:eastAsia="仿宋_GB2312"/>
          <w:bCs/>
          <w:color w:val="000000"/>
          <w:sz w:val="30"/>
          <w:szCs w:val="30"/>
        </w:rPr>
      </w:pPr>
    </w:p>
    <w:p w14:paraId="262FDD38">
      <w:pPr>
        <w:rPr>
          <w:rFonts w:hint="eastAsia" w:eastAsia="宋体"/>
          <w:lang w:eastAsia="zh-CN"/>
        </w:rPr>
      </w:pPr>
    </w:p>
    <w:p w14:paraId="09A37B72">
      <w:pPr>
        <w:rPr>
          <w:rFonts w:hint="eastAsia" w:eastAsia="宋体"/>
          <w:lang w:eastAsia="zh-CN"/>
        </w:rPr>
      </w:pPr>
    </w:p>
    <w:p w14:paraId="1E342671">
      <w:r>
        <w:t>　　　　</w:t>
      </w:r>
    </w:p>
    <w:p w14:paraId="3FA7095C"/>
    <w:p w14:paraId="0B865AE1"/>
    <w:p w14:paraId="6C78B4B7"/>
    <w:p w14:paraId="249ED2C5">
      <w:pPr>
        <w:widowControl/>
        <w:jc w:val="left"/>
        <w:rPr>
          <w:rFonts w:hint="eastAsia" w:ascii="宋体" w:hAnsi="宋体" w:eastAsia="宋体" w:cs="宋体"/>
          <w:bCs/>
          <w:color w:val="auto"/>
          <w:sz w:val="28"/>
          <w:szCs w:val="28"/>
        </w:rPr>
      </w:pPr>
    </w:p>
    <w:p w14:paraId="7232A4CF">
      <w:pPr>
        <w:pStyle w:val="2"/>
        <w:numPr>
          <w:ilvl w:val="0"/>
          <w:numId w:val="2"/>
        </w:numPr>
        <w:spacing w:before="0" w:after="0" w:line="240" w:lineRule="auto"/>
        <w:ind w:left="0" w:leftChars="0"/>
        <w:rPr>
          <w:rFonts w:hint="eastAsia" w:ascii="宋体" w:hAnsi="宋体" w:eastAsia="宋体" w:cs="宋体"/>
          <w:color w:val="auto"/>
        </w:rPr>
      </w:pPr>
      <w:bookmarkStart w:id="283" w:name="_Toc18901"/>
      <w:bookmarkStart w:id="284" w:name="_Toc7411"/>
      <w:bookmarkStart w:id="285" w:name="_Toc257633148"/>
      <w:r>
        <w:rPr>
          <w:rFonts w:hint="eastAsia" w:ascii="宋体" w:hAnsi="宋体" w:eastAsia="宋体" w:cs="宋体"/>
          <w:color w:val="auto"/>
          <w:lang w:val="en-US" w:eastAsia="zh-CN"/>
        </w:rPr>
        <w:t xml:space="preserve"> </w:t>
      </w:r>
      <w:bookmarkStart w:id="286" w:name="_Toc4707"/>
      <w:bookmarkStart w:id="287" w:name="_Toc804"/>
      <w:bookmarkStart w:id="288" w:name="_Toc16000"/>
      <w:r>
        <w:rPr>
          <w:rFonts w:hint="eastAsia" w:ascii="宋体" w:hAnsi="宋体" w:eastAsia="宋体" w:cs="宋体"/>
          <w:color w:val="auto"/>
        </w:rPr>
        <w:t>响应文件格式</w:t>
      </w:r>
      <w:bookmarkEnd w:id="283"/>
      <w:bookmarkEnd w:id="284"/>
      <w:bookmarkEnd w:id="286"/>
      <w:bookmarkEnd w:id="287"/>
      <w:bookmarkEnd w:id="288"/>
    </w:p>
    <w:p w14:paraId="59D378E7">
      <w:pPr>
        <w:rPr>
          <w:rFonts w:hint="eastAsia" w:ascii="宋体" w:hAnsi="宋体" w:eastAsia="宋体" w:cs="宋体"/>
          <w:color w:val="auto"/>
          <w:sz w:val="24"/>
        </w:rPr>
      </w:pPr>
    </w:p>
    <w:p w14:paraId="52BF0E62">
      <w:pPr>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lang w:eastAsia="zh-CN"/>
        </w:rPr>
        <w:t>响应</w:t>
      </w:r>
      <w:r>
        <w:rPr>
          <w:rFonts w:hint="eastAsia" w:ascii="宋体" w:hAnsi="宋体" w:eastAsia="宋体" w:cs="宋体"/>
          <w:b/>
          <w:color w:val="auto"/>
          <w:sz w:val="28"/>
        </w:rPr>
        <w:t>文件封面</w:t>
      </w:r>
    </w:p>
    <w:p w14:paraId="7DDA6A3C">
      <w:pPr>
        <w:spacing w:line="360" w:lineRule="auto"/>
        <w:rPr>
          <w:rFonts w:hint="eastAsia" w:ascii="宋体" w:hAnsi="宋体" w:eastAsia="宋体" w:cs="宋体"/>
          <w:b/>
          <w:color w:val="auto"/>
          <w:sz w:val="28"/>
        </w:rPr>
      </w:pPr>
    </w:p>
    <w:p w14:paraId="17A169BC">
      <w:pPr>
        <w:spacing w:line="360" w:lineRule="auto"/>
        <w:jc w:val="center"/>
        <w:rPr>
          <w:rFonts w:hint="eastAsia" w:ascii="宋体" w:hAnsi="宋体" w:eastAsia="宋体" w:cs="宋体"/>
          <w:color w:val="auto"/>
          <w:sz w:val="28"/>
        </w:rPr>
      </w:pPr>
    </w:p>
    <w:p w14:paraId="1D6E3A53">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w:t>
      </w:r>
    </w:p>
    <w:p w14:paraId="5AA4B6D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（项目编号）</w:t>
      </w:r>
    </w:p>
    <w:p w14:paraId="5B478173">
      <w:pPr>
        <w:spacing w:line="360" w:lineRule="auto"/>
        <w:jc w:val="center"/>
        <w:rPr>
          <w:rFonts w:hint="eastAsia" w:ascii="宋体" w:hAnsi="宋体" w:eastAsia="宋体" w:cs="宋体"/>
          <w:color w:val="auto"/>
          <w:sz w:val="28"/>
          <w:szCs w:val="28"/>
        </w:rPr>
      </w:pPr>
    </w:p>
    <w:p w14:paraId="70645F0D">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049F3B51">
      <w:pPr>
        <w:spacing w:line="360" w:lineRule="auto"/>
        <w:jc w:val="center"/>
        <w:rPr>
          <w:rFonts w:hint="eastAsia" w:ascii="宋体" w:hAnsi="宋体" w:eastAsia="宋体" w:cs="宋体"/>
          <w:color w:val="auto"/>
          <w:sz w:val="28"/>
        </w:rPr>
      </w:pPr>
    </w:p>
    <w:p w14:paraId="1E65A72D">
      <w:pPr>
        <w:spacing w:line="360" w:lineRule="auto"/>
        <w:jc w:val="center"/>
        <w:rPr>
          <w:rFonts w:hint="eastAsia" w:ascii="宋体" w:hAnsi="宋体" w:eastAsia="宋体" w:cs="宋体"/>
          <w:color w:val="auto"/>
          <w:sz w:val="28"/>
        </w:rPr>
      </w:pPr>
    </w:p>
    <w:p w14:paraId="037F39E6">
      <w:pPr>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lang w:val="en-US" w:eastAsia="zh-CN"/>
        </w:rPr>
        <w:t>响应</w:t>
      </w:r>
      <w:r>
        <w:rPr>
          <w:rFonts w:hint="eastAsia" w:ascii="宋体" w:hAnsi="宋体" w:eastAsia="宋体" w:cs="宋体"/>
          <w:b/>
          <w:color w:val="auto"/>
          <w:sz w:val="72"/>
          <w:szCs w:val="72"/>
        </w:rPr>
        <w:t>文件</w:t>
      </w:r>
    </w:p>
    <w:p w14:paraId="797B1F57">
      <w:pPr>
        <w:spacing w:line="360" w:lineRule="auto"/>
        <w:jc w:val="center"/>
        <w:rPr>
          <w:rFonts w:hint="eastAsia" w:ascii="宋体" w:hAnsi="宋体" w:eastAsia="宋体" w:cs="宋体"/>
          <w:color w:val="auto"/>
          <w:sz w:val="28"/>
        </w:rPr>
      </w:pPr>
    </w:p>
    <w:p w14:paraId="4D0BDB99">
      <w:pPr>
        <w:spacing w:line="360" w:lineRule="auto"/>
        <w:jc w:val="both"/>
        <w:rPr>
          <w:rFonts w:hint="eastAsia" w:ascii="宋体" w:hAnsi="宋体" w:eastAsia="宋体" w:cs="宋体"/>
          <w:b/>
          <w:color w:val="auto"/>
          <w:sz w:val="28"/>
        </w:rPr>
      </w:pPr>
    </w:p>
    <w:p w14:paraId="6F08167F">
      <w:pPr>
        <w:spacing w:line="360" w:lineRule="auto"/>
        <w:jc w:val="center"/>
        <w:rPr>
          <w:rFonts w:hint="eastAsia" w:ascii="宋体" w:hAnsi="宋体" w:eastAsia="宋体" w:cs="宋体"/>
          <w:b/>
          <w:color w:val="auto"/>
          <w:sz w:val="28"/>
        </w:rPr>
      </w:pPr>
    </w:p>
    <w:p w14:paraId="0DE03F04">
      <w:pPr>
        <w:spacing w:line="360" w:lineRule="auto"/>
        <w:jc w:val="center"/>
        <w:rPr>
          <w:rFonts w:hint="eastAsia" w:ascii="宋体" w:hAnsi="宋体" w:eastAsia="宋体" w:cs="宋体"/>
          <w:b/>
          <w:color w:val="auto"/>
          <w:sz w:val="28"/>
        </w:rPr>
      </w:pPr>
    </w:p>
    <w:p w14:paraId="39A0B38C">
      <w:pPr>
        <w:spacing w:line="36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公</w:t>
      </w:r>
      <w:r>
        <w:rPr>
          <w:rFonts w:hint="eastAsia" w:ascii="宋体" w:hAnsi="宋体" w:eastAsia="宋体" w:cs="宋体"/>
          <w:color w:val="auto"/>
          <w:sz w:val="28"/>
          <w:szCs w:val="28"/>
        </w:rPr>
        <w:t>章）</w:t>
      </w:r>
    </w:p>
    <w:p w14:paraId="66ED5E96">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highlight w:val="none"/>
          <w:lang w:val="en-US" w:eastAsia="zh-CN"/>
        </w:rPr>
        <w:t>（单位负责人）</w:t>
      </w:r>
      <w:r>
        <w:rPr>
          <w:rFonts w:hint="eastAsia" w:ascii="宋体" w:hAnsi="宋体" w:eastAsia="宋体" w:cs="宋体"/>
          <w:color w:val="auto"/>
          <w:sz w:val="28"/>
          <w:szCs w:val="28"/>
          <w:lang w:eastAsia="zh-CN"/>
        </w:rPr>
        <w:t>或授权委托人：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签字或盖章</w:t>
      </w:r>
      <w:r>
        <w:rPr>
          <w:rFonts w:hint="eastAsia" w:ascii="宋体" w:hAnsi="宋体" w:eastAsia="宋体" w:cs="宋体"/>
          <w:color w:val="auto"/>
          <w:sz w:val="28"/>
          <w:szCs w:val="28"/>
        </w:rPr>
        <w:t>）</w:t>
      </w:r>
    </w:p>
    <w:p w14:paraId="25075081">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（年/月/日）</w:t>
      </w:r>
    </w:p>
    <w:p w14:paraId="141C4FE8">
      <w:pPr>
        <w:spacing w:line="360" w:lineRule="auto"/>
        <w:jc w:val="both"/>
        <w:rPr>
          <w:rFonts w:hint="eastAsia" w:ascii="宋体" w:hAnsi="宋体" w:eastAsia="宋体" w:cs="宋体"/>
          <w:color w:val="auto"/>
          <w:sz w:val="28"/>
          <w:szCs w:val="28"/>
        </w:rPr>
      </w:pPr>
    </w:p>
    <w:p w14:paraId="560DBAD8">
      <w:pPr>
        <w:spacing w:line="360" w:lineRule="auto"/>
        <w:jc w:val="both"/>
        <w:rPr>
          <w:rFonts w:hint="eastAsia" w:ascii="宋体" w:hAnsi="宋体" w:eastAsia="宋体" w:cs="宋体"/>
          <w:color w:val="auto"/>
          <w:sz w:val="28"/>
          <w:szCs w:val="28"/>
        </w:rPr>
      </w:pPr>
    </w:p>
    <w:p w14:paraId="107EF658">
      <w:pPr>
        <w:spacing w:line="360" w:lineRule="auto"/>
        <w:jc w:val="both"/>
        <w:rPr>
          <w:rFonts w:hint="eastAsia" w:ascii="宋体" w:hAnsi="宋体" w:eastAsia="宋体" w:cs="宋体"/>
          <w:color w:val="auto"/>
          <w:sz w:val="28"/>
          <w:szCs w:val="28"/>
        </w:rPr>
      </w:pPr>
    </w:p>
    <w:p w14:paraId="4E9D1389">
      <w:pPr>
        <w:pStyle w:val="31"/>
        <w:rPr>
          <w:rFonts w:hint="eastAsia" w:ascii="宋体" w:hAnsi="宋体" w:eastAsia="宋体" w:cs="宋体"/>
          <w:color w:val="auto"/>
        </w:rPr>
      </w:pPr>
    </w:p>
    <w:p w14:paraId="69044885">
      <w:pPr>
        <w:pStyle w:val="31"/>
        <w:rPr>
          <w:rFonts w:hint="eastAsia" w:ascii="宋体" w:hAnsi="宋体" w:eastAsia="宋体" w:cs="宋体"/>
          <w:color w:val="auto"/>
        </w:rPr>
      </w:pPr>
    </w:p>
    <w:bookmarkEnd w:id="285"/>
    <w:p w14:paraId="42B63572">
      <w:pPr>
        <w:rPr>
          <w:rFonts w:hint="eastAsia" w:ascii="宋体" w:hAnsi="宋体" w:eastAsia="宋体" w:cs="宋体"/>
          <w:color w:val="auto"/>
          <w:lang w:val="en-US" w:eastAsia="zh-CN"/>
        </w:rPr>
      </w:pPr>
      <w:bookmarkStart w:id="289" w:name="_Toc20276"/>
      <w:bookmarkStart w:id="290" w:name="_Toc5794"/>
      <w:bookmarkStart w:id="291" w:name="_Toc22775"/>
      <w:bookmarkStart w:id="292" w:name="_Toc6001"/>
      <w:bookmarkStart w:id="293" w:name="_Toc11979"/>
    </w:p>
    <w:p w14:paraId="4BDC88D9">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294" w:name="_Toc17241"/>
      <w:r>
        <w:rPr>
          <w:rFonts w:hint="eastAsia" w:ascii="宋体" w:hAnsi="宋体" w:eastAsia="宋体" w:cs="宋体"/>
          <w:b/>
          <w:color w:val="auto"/>
          <w:sz w:val="28"/>
          <w:szCs w:val="28"/>
          <w:lang w:val="en-US" w:eastAsia="zh-CN"/>
        </w:rPr>
        <w:t>资格文件部分</w:t>
      </w:r>
      <w:bookmarkEnd w:id="294"/>
    </w:p>
    <w:p w14:paraId="07C74769">
      <w:pPr>
        <w:jc w:val="center"/>
        <w:rPr>
          <w:rFonts w:hint="eastAsia" w:ascii="宋体" w:hAnsi="宋体" w:eastAsia="宋体" w:cs="宋体"/>
          <w:color w:val="auto"/>
          <w:kern w:val="2"/>
          <w:sz w:val="24"/>
          <w:szCs w:val="22"/>
          <w:u w:val="none"/>
          <w:lang w:val="en-US" w:eastAsia="zh-CN" w:bidi="ar-SA"/>
        </w:rPr>
      </w:pPr>
    </w:p>
    <w:p w14:paraId="1DD53826">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 录</w:t>
      </w:r>
    </w:p>
    <w:p w14:paraId="5769D29D">
      <w:pPr>
        <w:rPr>
          <w:rFonts w:hint="eastAsia" w:ascii="宋体" w:hAnsi="宋体" w:eastAsia="宋体" w:cs="宋体"/>
          <w:color w:val="auto"/>
        </w:rPr>
      </w:pPr>
    </w:p>
    <w:p w14:paraId="213C1FFB">
      <w:pPr>
        <w:snapToGrid w:val="0"/>
        <w:spacing w:line="360" w:lineRule="auto"/>
        <w:rPr>
          <w:rFonts w:hint="eastAsia" w:ascii="宋体" w:hAnsi="宋体" w:eastAsia="宋体" w:cs="宋体"/>
          <w:snapToGrid w:val="0"/>
          <w:color w:val="auto"/>
          <w:kern w:val="28"/>
          <w:sz w:val="24"/>
          <w:szCs w:val="20"/>
          <w:lang w:val="en-US" w:eastAsia="zh-CN"/>
        </w:rPr>
      </w:pPr>
      <w:r>
        <w:rPr>
          <w:rFonts w:hint="eastAsia" w:ascii="宋体" w:hAnsi="宋体" w:eastAsia="宋体" w:cs="宋体"/>
          <w:snapToGrid w:val="0"/>
          <w:color w:val="auto"/>
          <w:kern w:val="28"/>
          <w:sz w:val="24"/>
          <w:szCs w:val="20"/>
        </w:rPr>
        <w:t>（</w:t>
      </w:r>
      <w:r>
        <w:rPr>
          <w:rFonts w:hint="eastAsia" w:ascii="宋体" w:hAnsi="宋体" w:eastAsia="宋体" w:cs="宋体"/>
          <w:snapToGrid w:val="0"/>
          <w:color w:val="auto"/>
          <w:kern w:val="28"/>
          <w:sz w:val="24"/>
          <w:szCs w:val="20"/>
          <w:lang w:val="en-US" w:eastAsia="zh-CN"/>
        </w:rPr>
        <w:t>1</w:t>
      </w:r>
      <w:r>
        <w:rPr>
          <w:rFonts w:hint="eastAsia" w:ascii="宋体" w:hAnsi="宋体" w:eastAsia="宋体" w:cs="宋体"/>
          <w:snapToGrid w:val="0"/>
          <w:color w:val="auto"/>
          <w:kern w:val="28"/>
          <w:sz w:val="24"/>
          <w:szCs w:val="20"/>
        </w:rPr>
        <w:t>）</w:t>
      </w:r>
      <w:r>
        <w:rPr>
          <w:rFonts w:hint="eastAsia" w:ascii="宋体" w:hAnsi="宋体" w:eastAsia="宋体" w:cs="宋体"/>
          <w:color w:val="auto"/>
          <w:sz w:val="24"/>
        </w:rPr>
        <w:t>满足《中华人民共和国政府采购法》第二十二条规定的资格要求…………（页码）</w:t>
      </w:r>
    </w:p>
    <w:p w14:paraId="3ACDF6F4">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2</w:t>
      </w:r>
      <w:r>
        <w:rPr>
          <w:rFonts w:hint="eastAsia" w:ascii="宋体" w:hAnsi="宋体" w:eastAsia="宋体" w:cs="宋体"/>
          <w:snapToGrid w:val="0"/>
          <w:color w:val="auto"/>
          <w:kern w:val="28"/>
          <w:sz w:val="24"/>
          <w:szCs w:val="20"/>
          <w:lang w:eastAsia="zh-CN"/>
        </w:rPr>
        <w:t>）</w:t>
      </w:r>
      <w:r>
        <w:rPr>
          <w:rFonts w:hint="eastAsia" w:ascii="宋体" w:hAnsi="宋体" w:eastAsia="宋体" w:cs="宋体"/>
          <w:color w:val="auto"/>
          <w:sz w:val="24"/>
        </w:rPr>
        <w:t>落实政府采购政策需满足的资格要求…………………………………………（页码）</w:t>
      </w:r>
    </w:p>
    <w:p w14:paraId="5149452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）本项目的特定资格要求…………………………………………………………（页码）</w:t>
      </w:r>
    </w:p>
    <w:p w14:paraId="64D7D655">
      <w:pPr>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其他</w:t>
      </w:r>
      <w:r>
        <w:rPr>
          <w:rFonts w:hint="eastAsia" w:ascii="宋体" w:hAnsi="宋体" w:eastAsia="宋体" w:cs="宋体"/>
          <w:color w:val="auto"/>
          <w:sz w:val="24"/>
        </w:rPr>
        <w:t>资格要求……………………………………………………………………（页码）</w:t>
      </w:r>
    </w:p>
    <w:p w14:paraId="32A88220">
      <w:pPr>
        <w:snapToGrid w:val="0"/>
        <w:spacing w:line="360" w:lineRule="auto"/>
        <w:rPr>
          <w:rFonts w:hint="eastAsia" w:ascii="宋体" w:hAnsi="宋体" w:eastAsia="宋体" w:cs="宋体"/>
          <w:color w:val="auto"/>
          <w:sz w:val="24"/>
        </w:rPr>
      </w:pPr>
    </w:p>
    <w:p w14:paraId="77EADFFF">
      <w:pPr>
        <w:rPr>
          <w:rFonts w:hint="eastAsia" w:ascii="宋体" w:hAnsi="宋体" w:eastAsia="宋体" w:cs="宋体"/>
          <w:color w:val="auto"/>
          <w:lang w:val="en-US" w:eastAsia="zh-CN"/>
        </w:rPr>
      </w:pPr>
    </w:p>
    <w:p w14:paraId="662A5721">
      <w:pPr>
        <w:rPr>
          <w:rFonts w:hint="eastAsia" w:ascii="宋体" w:hAnsi="宋体" w:eastAsia="宋体" w:cs="宋体"/>
          <w:color w:val="auto"/>
          <w:lang w:val="en-US" w:eastAsia="zh-CN"/>
        </w:rPr>
      </w:pPr>
    </w:p>
    <w:p w14:paraId="74B4F3D0">
      <w:pPr>
        <w:rPr>
          <w:rFonts w:hint="eastAsia" w:ascii="宋体" w:hAnsi="宋体" w:eastAsia="宋体" w:cs="宋体"/>
          <w:color w:val="auto"/>
          <w:lang w:val="en-US" w:eastAsia="zh-CN"/>
        </w:rPr>
      </w:pPr>
    </w:p>
    <w:p w14:paraId="6BC015D4">
      <w:pPr>
        <w:rPr>
          <w:rFonts w:hint="eastAsia" w:ascii="宋体" w:hAnsi="宋体" w:eastAsia="宋体" w:cs="宋体"/>
          <w:color w:val="auto"/>
          <w:lang w:val="en-US" w:eastAsia="zh-CN"/>
        </w:rPr>
      </w:pPr>
    </w:p>
    <w:p w14:paraId="52A99A4D">
      <w:pPr>
        <w:rPr>
          <w:rFonts w:hint="eastAsia" w:ascii="宋体" w:hAnsi="宋体" w:eastAsia="宋体" w:cs="宋体"/>
          <w:color w:val="auto"/>
          <w:lang w:val="en-US" w:eastAsia="zh-CN"/>
        </w:rPr>
      </w:pPr>
    </w:p>
    <w:p w14:paraId="0B15BA48">
      <w:pPr>
        <w:rPr>
          <w:rFonts w:hint="eastAsia" w:ascii="宋体" w:hAnsi="宋体" w:eastAsia="宋体" w:cs="宋体"/>
          <w:color w:val="auto"/>
          <w:lang w:val="en-US" w:eastAsia="zh-CN"/>
        </w:rPr>
      </w:pPr>
    </w:p>
    <w:p w14:paraId="37F83334">
      <w:pPr>
        <w:rPr>
          <w:rFonts w:hint="eastAsia" w:ascii="宋体" w:hAnsi="宋体" w:eastAsia="宋体" w:cs="宋体"/>
          <w:color w:val="auto"/>
          <w:lang w:val="en-US" w:eastAsia="zh-CN"/>
        </w:rPr>
      </w:pPr>
    </w:p>
    <w:p w14:paraId="1CCBA3AE">
      <w:pPr>
        <w:rPr>
          <w:rFonts w:hint="eastAsia" w:ascii="宋体" w:hAnsi="宋体" w:eastAsia="宋体" w:cs="宋体"/>
          <w:color w:val="auto"/>
          <w:lang w:val="en-US" w:eastAsia="zh-CN"/>
        </w:rPr>
      </w:pPr>
    </w:p>
    <w:p w14:paraId="06E51979">
      <w:pPr>
        <w:rPr>
          <w:rFonts w:hint="eastAsia" w:ascii="宋体" w:hAnsi="宋体" w:eastAsia="宋体" w:cs="宋体"/>
          <w:color w:val="auto"/>
          <w:lang w:val="en-US" w:eastAsia="zh-CN"/>
        </w:rPr>
      </w:pPr>
    </w:p>
    <w:p w14:paraId="2825F514">
      <w:pPr>
        <w:rPr>
          <w:rFonts w:hint="eastAsia" w:ascii="宋体" w:hAnsi="宋体" w:eastAsia="宋体" w:cs="宋体"/>
          <w:color w:val="auto"/>
          <w:lang w:val="en-US" w:eastAsia="zh-CN"/>
        </w:rPr>
      </w:pPr>
    </w:p>
    <w:p w14:paraId="3EB7E3FC">
      <w:pPr>
        <w:rPr>
          <w:rFonts w:hint="eastAsia" w:ascii="宋体" w:hAnsi="宋体" w:eastAsia="宋体" w:cs="宋体"/>
          <w:color w:val="auto"/>
          <w:lang w:val="en-US" w:eastAsia="zh-CN"/>
        </w:rPr>
      </w:pPr>
    </w:p>
    <w:p w14:paraId="6CED5181">
      <w:pPr>
        <w:rPr>
          <w:rFonts w:hint="eastAsia" w:ascii="宋体" w:hAnsi="宋体" w:eastAsia="宋体" w:cs="宋体"/>
          <w:color w:val="auto"/>
          <w:lang w:val="en-US" w:eastAsia="zh-CN"/>
        </w:rPr>
      </w:pPr>
    </w:p>
    <w:p w14:paraId="1AFB8F5C">
      <w:pPr>
        <w:rPr>
          <w:rFonts w:hint="eastAsia" w:ascii="宋体" w:hAnsi="宋体" w:eastAsia="宋体" w:cs="宋体"/>
          <w:color w:val="auto"/>
          <w:lang w:val="en-US" w:eastAsia="zh-CN"/>
        </w:rPr>
      </w:pPr>
    </w:p>
    <w:p w14:paraId="7EA2B496">
      <w:pPr>
        <w:rPr>
          <w:rFonts w:hint="eastAsia" w:ascii="宋体" w:hAnsi="宋体" w:eastAsia="宋体" w:cs="宋体"/>
          <w:color w:val="auto"/>
          <w:lang w:val="en-US" w:eastAsia="zh-CN"/>
        </w:rPr>
      </w:pPr>
    </w:p>
    <w:p w14:paraId="47AC34F7">
      <w:pPr>
        <w:rPr>
          <w:rFonts w:hint="eastAsia" w:ascii="宋体" w:hAnsi="宋体" w:eastAsia="宋体" w:cs="宋体"/>
          <w:color w:val="auto"/>
          <w:lang w:val="en-US" w:eastAsia="zh-CN"/>
        </w:rPr>
      </w:pPr>
    </w:p>
    <w:p w14:paraId="22274AA9">
      <w:pPr>
        <w:rPr>
          <w:rFonts w:hint="eastAsia" w:ascii="宋体" w:hAnsi="宋体" w:eastAsia="宋体" w:cs="宋体"/>
          <w:color w:val="auto"/>
          <w:lang w:val="en-US" w:eastAsia="zh-CN"/>
        </w:rPr>
      </w:pPr>
    </w:p>
    <w:p w14:paraId="112FC2DF">
      <w:pPr>
        <w:rPr>
          <w:rFonts w:hint="eastAsia" w:ascii="宋体" w:hAnsi="宋体" w:eastAsia="宋体" w:cs="宋体"/>
          <w:color w:val="auto"/>
          <w:lang w:val="en-US" w:eastAsia="zh-CN"/>
        </w:rPr>
      </w:pPr>
    </w:p>
    <w:p w14:paraId="6977B988">
      <w:pPr>
        <w:rPr>
          <w:rFonts w:hint="eastAsia" w:ascii="宋体" w:hAnsi="宋体" w:eastAsia="宋体" w:cs="宋体"/>
          <w:color w:val="auto"/>
          <w:lang w:val="en-US" w:eastAsia="zh-CN"/>
        </w:rPr>
      </w:pPr>
    </w:p>
    <w:p w14:paraId="128BD63A">
      <w:pPr>
        <w:rPr>
          <w:rFonts w:hint="eastAsia" w:ascii="宋体" w:hAnsi="宋体" w:eastAsia="宋体" w:cs="宋体"/>
          <w:color w:val="auto"/>
          <w:lang w:val="en-US" w:eastAsia="zh-CN"/>
        </w:rPr>
      </w:pPr>
    </w:p>
    <w:p w14:paraId="431C95C4">
      <w:pPr>
        <w:rPr>
          <w:rFonts w:hint="eastAsia" w:ascii="宋体" w:hAnsi="宋体" w:eastAsia="宋体" w:cs="宋体"/>
          <w:color w:val="auto"/>
          <w:lang w:val="en-US" w:eastAsia="zh-CN"/>
        </w:rPr>
      </w:pPr>
    </w:p>
    <w:p w14:paraId="06C238E0">
      <w:pPr>
        <w:rPr>
          <w:rFonts w:hint="eastAsia" w:ascii="宋体" w:hAnsi="宋体" w:eastAsia="宋体" w:cs="宋体"/>
          <w:color w:val="auto"/>
          <w:lang w:val="en-US" w:eastAsia="zh-CN"/>
        </w:rPr>
      </w:pPr>
    </w:p>
    <w:p w14:paraId="60D6DB38">
      <w:pPr>
        <w:rPr>
          <w:rFonts w:hint="eastAsia" w:ascii="宋体" w:hAnsi="宋体" w:eastAsia="宋体" w:cs="宋体"/>
          <w:color w:val="auto"/>
          <w:lang w:val="en-US" w:eastAsia="zh-CN"/>
        </w:rPr>
      </w:pPr>
    </w:p>
    <w:p w14:paraId="4B67E27D">
      <w:pPr>
        <w:rPr>
          <w:rFonts w:hint="eastAsia" w:ascii="宋体" w:hAnsi="宋体" w:eastAsia="宋体" w:cs="宋体"/>
          <w:color w:val="auto"/>
          <w:lang w:val="en-US" w:eastAsia="zh-CN"/>
        </w:rPr>
      </w:pPr>
    </w:p>
    <w:p w14:paraId="5410A15C">
      <w:pPr>
        <w:rPr>
          <w:rFonts w:hint="eastAsia" w:ascii="宋体" w:hAnsi="宋体" w:eastAsia="宋体" w:cs="宋体"/>
          <w:color w:val="auto"/>
          <w:lang w:val="en-US" w:eastAsia="zh-CN"/>
        </w:rPr>
      </w:pPr>
    </w:p>
    <w:p w14:paraId="51026957">
      <w:pPr>
        <w:rPr>
          <w:rFonts w:hint="eastAsia" w:ascii="宋体" w:hAnsi="宋体" w:eastAsia="宋体" w:cs="宋体"/>
          <w:color w:val="auto"/>
          <w:lang w:val="en-US" w:eastAsia="zh-CN"/>
        </w:rPr>
      </w:pPr>
    </w:p>
    <w:p w14:paraId="4B94F530">
      <w:pPr>
        <w:rPr>
          <w:rFonts w:hint="eastAsia" w:ascii="宋体" w:hAnsi="宋体" w:eastAsia="宋体" w:cs="宋体"/>
          <w:color w:val="auto"/>
          <w:lang w:val="en-US" w:eastAsia="zh-CN"/>
        </w:rPr>
      </w:pPr>
    </w:p>
    <w:p w14:paraId="40D5C504">
      <w:pPr>
        <w:rPr>
          <w:rFonts w:hint="eastAsia" w:ascii="宋体" w:hAnsi="宋体" w:eastAsia="宋体" w:cs="宋体"/>
          <w:color w:val="auto"/>
          <w:lang w:val="en-US" w:eastAsia="zh-CN"/>
        </w:rPr>
      </w:pPr>
    </w:p>
    <w:p w14:paraId="01EB55B8">
      <w:pPr>
        <w:pStyle w:val="14"/>
        <w:rPr>
          <w:rFonts w:hint="eastAsia" w:ascii="宋体" w:hAnsi="宋体" w:eastAsia="宋体" w:cs="宋体"/>
          <w:color w:val="auto"/>
          <w:lang w:val="en-US" w:eastAsia="zh-CN"/>
        </w:rPr>
      </w:pPr>
    </w:p>
    <w:p w14:paraId="7B36EACC">
      <w:pPr>
        <w:rPr>
          <w:rFonts w:hint="eastAsia" w:ascii="宋体" w:hAnsi="宋体" w:eastAsia="宋体" w:cs="宋体"/>
          <w:color w:val="auto"/>
          <w:lang w:val="en-US" w:eastAsia="zh-CN"/>
        </w:rPr>
      </w:pPr>
    </w:p>
    <w:p w14:paraId="6BEEFC5E">
      <w:pPr>
        <w:pStyle w:val="14"/>
        <w:rPr>
          <w:rFonts w:hint="eastAsia" w:ascii="宋体" w:hAnsi="宋体" w:eastAsia="宋体" w:cs="宋体"/>
          <w:color w:val="auto"/>
          <w:lang w:val="en-US" w:eastAsia="zh-CN"/>
        </w:rPr>
      </w:pPr>
    </w:p>
    <w:p w14:paraId="6C8612BE">
      <w:pPr>
        <w:rPr>
          <w:rFonts w:hint="eastAsia" w:ascii="宋体" w:hAnsi="宋体" w:eastAsia="宋体" w:cs="宋体"/>
          <w:color w:val="auto"/>
          <w:lang w:val="en-US" w:eastAsia="zh-CN"/>
        </w:rPr>
      </w:pPr>
    </w:p>
    <w:p w14:paraId="5C051666">
      <w:pPr>
        <w:pStyle w:val="14"/>
        <w:rPr>
          <w:rFonts w:hint="eastAsia" w:ascii="宋体" w:hAnsi="宋体" w:eastAsia="宋体" w:cs="宋体"/>
          <w:color w:val="auto"/>
          <w:lang w:val="en-US" w:eastAsia="zh-CN"/>
        </w:rPr>
      </w:pPr>
    </w:p>
    <w:p w14:paraId="27AE5906">
      <w:pPr>
        <w:rPr>
          <w:rFonts w:hint="eastAsia"/>
          <w:lang w:val="en-US" w:eastAsia="zh-CN"/>
        </w:rPr>
      </w:pPr>
    </w:p>
    <w:p w14:paraId="484D5894">
      <w:pPr>
        <w:rPr>
          <w:rFonts w:hint="eastAsia" w:ascii="宋体" w:hAnsi="宋体" w:eastAsia="宋体" w:cs="宋体"/>
          <w:color w:val="auto"/>
          <w:lang w:val="en-US" w:eastAsia="zh-CN"/>
        </w:rPr>
      </w:pPr>
    </w:p>
    <w:p w14:paraId="607854F9">
      <w:pPr>
        <w:rPr>
          <w:rFonts w:hint="eastAsia" w:ascii="宋体" w:hAnsi="宋体" w:eastAsia="宋体" w:cs="宋体"/>
          <w:color w:val="auto"/>
          <w:lang w:val="en-US" w:eastAsia="zh-CN"/>
        </w:rPr>
      </w:pPr>
    </w:p>
    <w:p w14:paraId="57BB1AB8">
      <w:pPr>
        <w:rPr>
          <w:rFonts w:hint="eastAsia" w:ascii="宋体" w:hAnsi="宋体" w:eastAsia="宋体" w:cs="宋体"/>
          <w:color w:val="auto"/>
          <w:lang w:val="en-US" w:eastAsia="zh-CN"/>
        </w:rPr>
      </w:pPr>
    </w:p>
    <w:p w14:paraId="42B0DCD9">
      <w:pPr>
        <w:pStyle w:val="4"/>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一、满足《中华人民共和国政府采购法》第二十二条规定的</w:t>
      </w:r>
      <w:r>
        <w:rPr>
          <w:rFonts w:hint="eastAsia" w:ascii="宋体" w:hAnsi="宋体" w:eastAsia="宋体" w:cs="宋体"/>
          <w:b/>
          <w:bCs/>
          <w:color w:val="auto"/>
          <w:sz w:val="24"/>
          <w:szCs w:val="24"/>
          <w:lang w:val="en-US" w:eastAsia="zh-CN"/>
        </w:rPr>
        <w:t>资格要求</w:t>
      </w:r>
    </w:p>
    <w:bookmarkEnd w:id="289"/>
    <w:bookmarkEnd w:id="290"/>
    <w:bookmarkEnd w:id="291"/>
    <w:bookmarkEnd w:id="292"/>
    <w:bookmarkEnd w:id="293"/>
    <w:p w14:paraId="7517B51A">
      <w:pPr>
        <w:pStyle w:val="31"/>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bookmarkStart w:id="295" w:name="_Toc519111281"/>
      <w:bookmarkStart w:id="296" w:name="_Toc534816643"/>
      <w:bookmarkStart w:id="297" w:name="_Toc534725614"/>
      <w:r>
        <w:rPr>
          <w:rFonts w:hint="eastAsia" w:ascii="宋体" w:hAnsi="宋体" w:eastAsia="宋体" w:cs="宋体"/>
          <w:b/>
          <w:bCs/>
          <w:color w:val="auto"/>
          <w:kern w:val="2"/>
          <w:sz w:val="24"/>
          <w:szCs w:val="22"/>
          <w:highlight w:val="none"/>
          <w:u w:val="none"/>
          <w:lang w:val="en-US" w:eastAsia="zh-CN" w:bidi="ar-SA"/>
        </w:rPr>
        <w:t>具有独立承担民事责任的能力</w:t>
      </w:r>
    </w:p>
    <w:p w14:paraId="75D96C33">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提供营业执照原件复印件（扫描件）；</w:t>
      </w:r>
    </w:p>
    <w:p w14:paraId="75D6B89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39304EE0">
      <w:pPr>
        <w:pStyle w:val="31"/>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具有良好的商业信誉和健全的财务会计制度</w:t>
      </w:r>
    </w:p>
    <w:p w14:paraId="74780C29">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提供2024年度经审计财务报告或2025年财务报表（含资产负债表、利润表、现金流量表）或基本开户银行出具的资信证明原件复印件（扫描件）；供应商成立时间少于该规定时限的，提供成立至今的材料原件复印件（扫描件）；</w:t>
      </w:r>
    </w:p>
    <w:p w14:paraId="20C2E5C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1B1F667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3、有依法缴纳税收和社会保障资金的良好记录</w:t>
      </w:r>
    </w:p>
    <w:p w14:paraId="4B5F57A6">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提供近半年缴纳税收的凭据以及缴纳社会保险的凭据（专用收据或社会保险缴纳清单）原件复印件（扫描件）；依法免税或不需要缴纳社会保障资金的供应商，提供相应文件证明原件复印件（扫描件）；供应商成立时间少于该规定时限的，提供成立至今的材料原件复印件（扫描件）；</w:t>
      </w:r>
    </w:p>
    <w:p w14:paraId="7D4D7FA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5FE6DBFC">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4、具备履行合同所必需专业能力的书面声明（格式见附件一）</w:t>
      </w:r>
    </w:p>
    <w:p w14:paraId="2CD867B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5、参加政府采购活动前 3 年内在经营活动中没有重大违法记录的书面声明（格式见附件二）</w:t>
      </w:r>
    </w:p>
    <w:p w14:paraId="5A7E38E3">
      <w:pPr>
        <w:pStyle w:val="4"/>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二、落实政府采购政策需满足的资格要求</w:t>
      </w:r>
    </w:p>
    <w:p w14:paraId="1D353AAF">
      <w:pPr>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提供《中小企业声明函》</w:t>
      </w:r>
      <w:r>
        <w:rPr>
          <w:rFonts w:hint="eastAsia" w:ascii="宋体" w:hAnsi="宋体" w:eastAsia="宋体" w:cs="宋体"/>
          <w:b/>
          <w:bCs/>
          <w:color w:val="auto"/>
          <w:kern w:val="2"/>
          <w:sz w:val="24"/>
          <w:szCs w:val="22"/>
          <w:highlight w:val="none"/>
          <w:u w:val="none"/>
          <w:lang w:val="en-US" w:eastAsia="zh-CN" w:bidi="ar-SA"/>
        </w:rPr>
        <w:t>（格式见附件三）</w:t>
      </w:r>
    </w:p>
    <w:p w14:paraId="4C7B4F00">
      <w:pPr>
        <w:pStyle w:val="4"/>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三、本项目的特定资格要求</w:t>
      </w:r>
    </w:p>
    <w:p w14:paraId="4D022F82">
      <w:pPr>
        <w:pStyle w:val="4"/>
        <w:numPr>
          <w:ilvl w:val="2"/>
          <w:numId w:val="0"/>
        </w:numPr>
        <w:spacing w:before="145" w:beforeLines="50" w:after="145" w:afterLines="50" w:line="300" w:lineRule="auto"/>
        <w:ind w:leftChars="0"/>
        <w:jc w:val="both"/>
        <w:rPr>
          <w:rFonts w:hint="eastAsia" w:ascii="宋体" w:eastAsia="宋体" w:cs="宋体"/>
          <w:color w:val="auto"/>
          <w:kern w:val="0"/>
          <w:sz w:val="24"/>
          <w:szCs w:val="20"/>
          <w:highlight w:val="none"/>
          <w:lang w:val="en-US" w:eastAsia="zh-CN" w:bidi="ar-SA"/>
        </w:rPr>
      </w:pPr>
      <w:r>
        <w:rPr>
          <w:rFonts w:hint="eastAsia" w:ascii="宋体" w:eastAsia="宋体" w:cs="宋体"/>
          <w:color w:val="auto"/>
          <w:kern w:val="0"/>
          <w:sz w:val="24"/>
          <w:szCs w:val="20"/>
          <w:highlight w:val="none"/>
          <w:lang w:val="en-US" w:eastAsia="zh-CN" w:bidi="ar-SA"/>
        </w:rPr>
        <w:t>无</w:t>
      </w:r>
    </w:p>
    <w:p w14:paraId="0B5003F7">
      <w:pPr>
        <w:pStyle w:val="4"/>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四、其他资格要求</w:t>
      </w:r>
    </w:p>
    <w:p w14:paraId="0DAE3E8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2"/>
          <w:highlight w:val="none"/>
          <w:u w:val="none"/>
          <w:lang w:val="en-US" w:eastAsia="zh-CN" w:bidi="ar-SA"/>
        </w:rPr>
      </w:pPr>
      <w:r>
        <w:rPr>
          <w:rFonts w:hint="eastAsia" w:ascii="宋体" w:hAnsi="宋体" w:eastAsia="宋体" w:cs="宋体"/>
          <w:b w:val="0"/>
          <w:bCs w:val="0"/>
          <w:color w:val="auto"/>
          <w:kern w:val="2"/>
          <w:sz w:val="24"/>
          <w:szCs w:val="22"/>
          <w:highlight w:val="none"/>
          <w:u w:val="none"/>
          <w:lang w:val="en-US" w:eastAsia="zh-CN" w:bidi="ar-SA"/>
        </w:rPr>
        <w:t>1、联合体协议书（如果有，格式见附件四）</w:t>
      </w:r>
    </w:p>
    <w:p w14:paraId="1B1ECCC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b w:val="0"/>
          <w:bCs w:val="0"/>
          <w:color w:val="auto"/>
          <w:kern w:val="2"/>
          <w:sz w:val="24"/>
          <w:szCs w:val="22"/>
          <w:highlight w:val="none"/>
          <w:u w:val="none"/>
          <w:lang w:val="en-US" w:eastAsia="zh-CN" w:bidi="ar-SA"/>
        </w:rPr>
        <w:t>2、</w:t>
      </w:r>
      <w:r>
        <w:rPr>
          <w:rFonts w:hint="eastAsia" w:ascii="宋体" w:hAnsi="宋体" w:eastAsia="宋体" w:cs="宋体"/>
          <w:color w:val="auto"/>
          <w:kern w:val="2"/>
          <w:sz w:val="24"/>
          <w:szCs w:val="22"/>
          <w:highlight w:val="none"/>
          <w:u w:val="none"/>
          <w:lang w:val="en-US" w:eastAsia="zh-CN" w:bidi="ar-SA"/>
        </w:rPr>
        <w:t>书面声明（格式自拟）：表示自己与其他参与同一合同项下的供应商，不存在《政府采购法实施条例》第十八条规定的关联关系。</w:t>
      </w:r>
    </w:p>
    <w:p w14:paraId="2EC54405">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书面声明包括如下内容：供应商法定代表人（单位负责人）在其单位外的其他单位担任法定代表人（单位负责人）的信息；供应商直接控股、存在管理关系的其他单位信息。</w:t>
      </w:r>
    </w:p>
    <w:p w14:paraId="697E18D5">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3、供应商认为需要提供的其他材料。</w:t>
      </w:r>
    </w:p>
    <w:p w14:paraId="62C515AE">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p>
    <w:p w14:paraId="188E25A3">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p>
    <w:p w14:paraId="164425A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p>
    <w:p w14:paraId="66D7F2A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p>
    <w:p w14:paraId="43C85F4C">
      <w:pPr>
        <w:spacing w:before="145" w:beforeLines="50" w:after="145" w:afterLines="50" w:line="300" w:lineRule="auto"/>
        <w:rPr>
          <w:rFonts w:hint="eastAsia" w:ascii="宋体" w:hAnsi="宋体" w:eastAsia="宋体" w:cs="宋体"/>
          <w:b/>
          <w:bCs w:val="0"/>
          <w:color w:val="auto"/>
          <w:sz w:val="24"/>
          <w:lang w:eastAsia="zh-CN"/>
        </w:rPr>
      </w:pPr>
      <w:bookmarkStart w:id="298" w:name="_Toc5322"/>
      <w:r>
        <w:rPr>
          <w:rFonts w:hint="eastAsia" w:ascii="宋体" w:hAnsi="宋体" w:eastAsia="宋体" w:cs="宋体"/>
          <w:b/>
          <w:bCs w:val="0"/>
          <w:color w:val="auto"/>
          <w:sz w:val="24"/>
          <w:lang w:eastAsia="zh-CN"/>
        </w:rPr>
        <w:t>附件一</w:t>
      </w:r>
    </w:p>
    <w:p w14:paraId="71455364">
      <w:pPr>
        <w:spacing w:before="145" w:beforeLines="50" w:after="145" w:afterLines="50" w:line="300" w:lineRule="auto"/>
        <w:jc w:val="center"/>
        <w:rPr>
          <w:rFonts w:hint="eastAsia" w:ascii="宋体" w:hAnsi="宋体" w:eastAsia="宋体" w:cs="宋体"/>
          <w:b/>
          <w:bCs w:val="0"/>
          <w:color w:val="auto"/>
          <w:sz w:val="24"/>
        </w:rPr>
      </w:pPr>
      <w:r>
        <w:rPr>
          <w:rFonts w:hint="eastAsia" w:ascii="宋体" w:hAnsi="宋体" w:eastAsia="宋体" w:cs="宋体"/>
          <w:b/>
          <w:bCs w:val="0"/>
          <w:color w:val="auto"/>
          <w:sz w:val="24"/>
        </w:rPr>
        <w:t>具备履行合同所必需的设备和专业技术能力的书面声明</w:t>
      </w:r>
      <w:bookmarkEnd w:id="298"/>
    </w:p>
    <w:p w14:paraId="2C4D9972">
      <w:pPr>
        <w:rPr>
          <w:rFonts w:hint="eastAsia" w:ascii="宋体" w:hAnsi="宋体" w:eastAsia="宋体" w:cs="宋体"/>
          <w:color w:val="auto"/>
        </w:rPr>
      </w:pPr>
    </w:p>
    <w:p w14:paraId="7DD75585">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我单位郑重声明：我单位具备履行本项采购合同所必需的设备和专业技术能力，为履行本项采购合同我公司具备如下主要设备和主要专业技术能力：</w:t>
      </w:r>
    </w:p>
    <w:p w14:paraId="662022E2">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主要设备有：</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w:t>
      </w:r>
    </w:p>
    <w:p w14:paraId="38DCADF2">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主要专业技术能力有：</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w:t>
      </w:r>
    </w:p>
    <w:p w14:paraId="20C679C8">
      <w:pPr>
        <w:pStyle w:val="7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rPr>
      </w:pPr>
    </w:p>
    <w:p w14:paraId="69A204B9">
      <w:pPr>
        <w:keepNext w:val="0"/>
        <w:keepLines w:val="0"/>
        <w:pageBreakBefore w:val="0"/>
        <w:widowControl w:val="0"/>
        <w:kinsoku/>
        <w:wordWrap/>
        <w:overflowPunct/>
        <w:topLinePunct w:val="0"/>
        <w:autoSpaceDE/>
        <w:autoSpaceDN/>
        <w:bidi w:val="0"/>
        <w:adjustRightInd/>
        <w:snapToGrid/>
        <w:spacing w:line="440" w:lineRule="exact"/>
        <w:ind w:firstLine="3150" w:firstLineChars="1500"/>
        <w:textAlignment w:val="auto"/>
        <w:rPr>
          <w:rFonts w:hint="eastAsia" w:ascii="宋体" w:hAnsi="宋体" w:eastAsia="宋体" w:cs="宋体"/>
          <w:color w:val="auto"/>
          <w:sz w:val="24"/>
        </w:rPr>
      </w:pPr>
      <w:r>
        <w:rPr>
          <w:rFonts w:hint="eastAsia" w:ascii="宋体" w:hAnsi="宋体" w:eastAsia="宋体" w:cs="宋体"/>
          <w:bCs/>
          <w:color w:val="auto"/>
        </w:rPr>
        <w:t xml:space="preserve">                           </w:t>
      </w:r>
      <w:r>
        <w:rPr>
          <w:rFonts w:hint="eastAsia" w:ascii="宋体" w:hAnsi="宋体" w:cs="宋体"/>
          <w:color w:val="auto"/>
          <w:sz w:val="24"/>
          <w:lang w:eastAsia="zh-CN"/>
        </w:rPr>
        <w:t>供应商</w:t>
      </w:r>
      <w:r>
        <w:rPr>
          <w:rFonts w:hint="eastAsia" w:ascii="宋体" w:hAnsi="宋体" w:eastAsia="宋体" w:cs="宋体"/>
          <w:color w:val="auto"/>
          <w:sz w:val="24"/>
        </w:rPr>
        <w:t xml:space="preserve">名称（电子签名）： </w:t>
      </w:r>
    </w:p>
    <w:p w14:paraId="35D9A68C">
      <w:pPr>
        <w:keepNext w:val="0"/>
        <w:keepLines w:val="0"/>
        <w:pageBreakBefore w:val="0"/>
        <w:widowControl w:val="0"/>
        <w:kinsoku/>
        <w:wordWrap/>
        <w:overflowPunct/>
        <w:topLinePunct w:val="0"/>
        <w:autoSpaceDE/>
        <w:autoSpaceDN/>
        <w:bidi w:val="0"/>
        <w:adjustRightInd/>
        <w:snapToGrid/>
        <w:spacing w:line="440" w:lineRule="exact"/>
        <w:ind w:firstLine="3600" w:firstLineChars="1500"/>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61345A8D">
      <w:pPr>
        <w:pStyle w:val="81"/>
        <w:tabs>
          <w:tab w:val="left" w:pos="750"/>
        </w:tabs>
        <w:adjustRightInd w:val="0"/>
        <w:snapToGrid w:val="0"/>
        <w:spacing w:line="500" w:lineRule="exact"/>
        <w:ind w:firstLine="720" w:firstLineChars="300"/>
        <w:jc w:val="right"/>
        <w:rPr>
          <w:rFonts w:hint="eastAsia" w:ascii="宋体" w:hAnsi="宋体" w:eastAsia="宋体" w:cs="宋体"/>
          <w:color w:val="auto"/>
          <w:sz w:val="24"/>
          <w:szCs w:val="24"/>
        </w:rPr>
      </w:pPr>
    </w:p>
    <w:p w14:paraId="2A198D07">
      <w:pPr>
        <w:rPr>
          <w:rFonts w:hint="eastAsia" w:ascii="宋体" w:hAnsi="宋体" w:eastAsia="宋体" w:cs="宋体"/>
          <w:color w:val="auto"/>
        </w:rPr>
      </w:pPr>
    </w:p>
    <w:p w14:paraId="53C9C3C2">
      <w:pPr>
        <w:rPr>
          <w:rFonts w:hint="eastAsia" w:ascii="宋体" w:hAnsi="宋体" w:eastAsia="宋体" w:cs="宋体"/>
          <w:color w:val="auto"/>
        </w:rPr>
      </w:pPr>
    </w:p>
    <w:p w14:paraId="377230DD">
      <w:pPr>
        <w:rPr>
          <w:rFonts w:hint="eastAsia" w:ascii="宋体" w:hAnsi="宋体" w:eastAsia="宋体" w:cs="宋体"/>
          <w:color w:val="auto"/>
        </w:rPr>
      </w:pPr>
    </w:p>
    <w:p w14:paraId="24F486EA">
      <w:pPr>
        <w:rPr>
          <w:rFonts w:hint="eastAsia" w:ascii="宋体" w:hAnsi="宋体" w:eastAsia="宋体" w:cs="宋体"/>
          <w:color w:val="auto"/>
        </w:rPr>
      </w:pPr>
    </w:p>
    <w:p w14:paraId="6FF3D71C">
      <w:pPr>
        <w:rPr>
          <w:rFonts w:hint="eastAsia" w:ascii="宋体" w:hAnsi="宋体" w:eastAsia="宋体" w:cs="宋体"/>
          <w:color w:val="auto"/>
        </w:rPr>
      </w:pPr>
    </w:p>
    <w:p w14:paraId="2ABB2AAA">
      <w:pPr>
        <w:pStyle w:val="79"/>
        <w:rPr>
          <w:rFonts w:hint="eastAsia" w:ascii="宋体" w:hAnsi="宋体" w:eastAsia="宋体" w:cs="宋体"/>
          <w:color w:val="auto"/>
        </w:rPr>
      </w:pPr>
    </w:p>
    <w:p w14:paraId="5F9B8B34">
      <w:pPr>
        <w:pStyle w:val="79"/>
        <w:rPr>
          <w:rFonts w:hint="eastAsia" w:ascii="宋体" w:hAnsi="宋体" w:eastAsia="宋体" w:cs="宋体"/>
          <w:color w:val="auto"/>
        </w:rPr>
      </w:pPr>
    </w:p>
    <w:p w14:paraId="4529C681">
      <w:pPr>
        <w:pStyle w:val="79"/>
        <w:rPr>
          <w:rFonts w:hint="eastAsia" w:ascii="宋体" w:hAnsi="宋体" w:eastAsia="宋体" w:cs="宋体"/>
          <w:color w:val="auto"/>
        </w:rPr>
      </w:pPr>
    </w:p>
    <w:p w14:paraId="32043782">
      <w:pPr>
        <w:pStyle w:val="79"/>
        <w:rPr>
          <w:rFonts w:hint="eastAsia" w:ascii="宋体" w:hAnsi="宋体" w:eastAsia="宋体" w:cs="宋体"/>
          <w:color w:val="auto"/>
        </w:rPr>
      </w:pPr>
    </w:p>
    <w:p w14:paraId="0AAFABDB">
      <w:pPr>
        <w:pStyle w:val="79"/>
        <w:rPr>
          <w:rFonts w:hint="eastAsia" w:ascii="宋体" w:hAnsi="宋体" w:eastAsia="宋体" w:cs="宋体"/>
          <w:color w:val="auto"/>
        </w:rPr>
      </w:pPr>
    </w:p>
    <w:p w14:paraId="65DC0A7E">
      <w:pPr>
        <w:pStyle w:val="79"/>
        <w:rPr>
          <w:rFonts w:hint="eastAsia" w:ascii="宋体" w:hAnsi="宋体" w:eastAsia="宋体" w:cs="宋体"/>
          <w:color w:val="auto"/>
        </w:rPr>
      </w:pPr>
    </w:p>
    <w:p w14:paraId="02EA0892">
      <w:pPr>
        <w:pStyle w:val="79"/>
        <w:rPr>
          <w:rFonts w:hint="eastAsia" w:ascii="宋体" w:hAnsi="宋体" w:eastAsia="宋体" w:cs="宋体"/>
          <w:color w:val="auto"/>
        </w:rPr>
      </w:pPr>
    </w:p>
    <w:p w14:paraId="4FD21179">
      <w:pPr>
        <w:pStyle w:val="79"/>
        <w:rPr>
          <w:rFonts w:hint="eastAsia" w:ascii="宋体" w:hAnsi="宋体" w:eastAsia="宋体" w:cs="宋体"/>
          <w:color w:val="auto"/>
        </w:rPr>
      </w:pPr>
    </w:p>
    <w:p w14:paraId="19FE66E7">
      <w:pPr>
        <w:pStyle w:val="79"/>
        <w:rPr>
          <w:rFonts w:hint="eastAsia" w:ascii="宋体" w:hAnsi="宋体" w:eastAsia="宋体" w:cs="宋体"/>
          <w:color w:val="auto"/>
        </w:rPr>
      </w:pPr>
    </w:p>
    <w:p w14:paraId="11E085F1">
      <w:pPr>
        <w:pStyle w:val="79"/>
        <w:rPr>
          <w:rFonts w:hint="eastAsia" w:ascii="宋体" w:hAnsi="宋体" w:eastAsia="宋体" w:cs="宋体"/>
          <w:color w:val="auto"/>
        </w:rPr>
      </w:pPr>
    </w:p>
    <w:p w14:paraId="050DE1B4">
      <w:pPr>
        <w:pStyle w:val="79"/>
        <w:rPr>
          <w:rFonts w:hint="eastAsia" w:ascii="宋体" w:hAnsi="宋体" w:eastAsia="宋体" w:cs="宋体"/>
          <w:color w:val="auto"/>
        </w:rPr>
      </w:pPr>
    </w:p>
    <w:p w14:paraId="09A83E1F">
      <w:pPr>
        <w:pStyle w:val="79"/>
        <w:rPr>
          <w:rFonts w:hint="eastAsia" w:ascii="宋体" w:hAnsi="宋体" w:eastAsia="宋体" w:cs="宋体"/>
          <w:color w:val="auto"/>
        </w:rPr>
      </w:pPr>
    </w:p>
    <w:p w14:paraId="74FC11A4">
      <w:pPr>
        <w:pStyle w:val="79"/>
        <w:rPr>
          <w:rFonts w:hint="eastAsia" w:ascii="宋体" w:hAnsi="宋体" w:eastAsia="宋体" w:cs="宋体"/>
          <w:color w:val="auto"/>
        </w:rPr>
      </w:pPr>
    </w:p>
    <w:p w14:paraId="224BB638">
      <w:pPr>
        <w:pStyle w:val="79"/>
        <w:rPr>
          <w:rFonts w:hint="eastAsia" w:ascii="宋体" w:hAnsi="宋体" w:eastAsia="宋体" w:cs="宋体"/>
          <w:color w:val="auto"/>
        </w:rPr>
      </w:pPr>
    </w:p>
    <w:p w14:paraId="2F313108">
      <w:pPr>
        <w:pStyle w:val="79"/>
        <w:rPr>
          <w:rFonts w:hint="eastAsia" w:ascii="宋体" w:hAnsi="宋体" w:eastAsia="宋体" w:cs="宋体"/>
          <w:color w:val="auto"/>
        </w:rPr>
      </w:pPr>
    </w:p>
    <w:p w14:paraId="3FF7BCA6">
      <w:pPr>
        <w:pStyle w:val="79"/>
        <w:rPr>
          <w:rFonts w:hint="eastAsia" w:ascii="宋体" w:hAnsi="宋体" w:eastAsia="宋体" w:cs="宋体"/>
          <w:color w:val="auto"/>
        </w:rPr>
      </w:pPr>
    </w:p>
    <w:p w14:paraId="07206AB0">
      <w:pPr>
        <w:pStyle w:val="79"/>
        <w:rPr>
          <w:rFonts w:hint="eastAsia" w:ascii="宋体" w:hAnsi="宋体" w:eastAsia="宋体" w:cs="宋体"/>
          <w:color w:val="auto"/>
        </w:rPr>
      </w:pPr>
    </w:p>
    <w:p w14:paraId="70D03948">
      <w:pPr>
        <w:pStyle w:val="79"/>
        <w:rPr>
          <w:rFonts w:hint="eastAsia" w:ascii="宋体" w:hAnsi="宋体" w:eastAsia="宋体" w:cs="宋体"/>
          <w:color w:val="auto"/>
        </w:rPr>
      </w:pPr>
    </w:p>
    <w:p w14:paraId="74457E58">
      <w:pPr>
        <w:pStyle w:val="79"/>
        <w:rPr>
          <w:rFonts w:hint="eastAsia" w:ascii="宋体" w:hAnsi="宋体" w:eastAsia="宋体" w:cs="宋体"/>
          <w:color w:val="auto"/>
        </w:rPr>
      </w:pPr>
    </w:p>
    <w:p w14:paraId="3A634EA8">
      <w:pPr>
        <w:pStyle w:val="79"/>
        <w:rPr>
          <w:rFonts w:hint="eastAsia" w:ascii="宋体" w:hAnsi="宋体" w:eastAsia="宋体" w:cs="宋体"/>
          <w:color w:val="auto"/>
        </w:rPr>
      </w:pPr>
    </w:p>
    <w:p w14:paraId="26B70F65">
      <w:pPr>
        <w:pStyle w:val="79"/>
        <w:rPr>
          <w:rFonts w:hint="eastAsia" w:ascii="宋体" w:hAnsi="宋体" w:eastAsia="宋体" w:cs="宋体"/>
          <w:color w:val="auto"/>
        </w:rPr>
      </w:pPr>
    </w:p>
    <w:p w14:paraId="0C5D35CA">
      <w:pPr>
        <w:pStyle w:val="79"/>
        <w:rPr>
          <w:rFonts w:hint="eastAsia" w:ascii="宋体" w:hAnsi="宋体" w:eastAsia="宋体" w:cs="宋体"/>
          <w:color w:val="auto"/>
        </w:rPr>
      </w:pPr>
    </w:p>
    <w:p w14:paraId="57F8EA9B">
      <w:pPr>
        <w:pStyle w:val="79"/>
        <w:rPr>
          <w:rFonts w:hint="eastAsia" w:ascii="宋体" w:hAnsi="宋体" w:eastAsia="宋体" w:cs="宋体"/>
          <w:color w:val="auto"/>
        </w:rPr>
      </w:pPr>
    </w:p>
    <w:p w14:paraId="07527BCE">
      <w:pPr>
        <w:pStyle w:val="79"/>
        <w:rPr>
          <w:rFonts w:hint="eastAsia" w:ascii="宋体" w:hAnsi="宋体" w:eastAsia="宋体" w:cs="宋体"/>
          <w:color w:val="auto"/>
        </w:rPr>
      </w:pPr>
    </w:p>
    <w:p w14:paraId="3B1E287F">
      <w:pPr>
        <w:pStyle w:val="79"/>
        <w:rPr>
          <w:rFonts w:hint="eastAsia" w:ascii="宋体" w:hAnsi="宋体" w:eastAsia="宋体" w:cs="宋体"/>
          <w:color w:val="auto"/>
        </w:rPr>
      </w:pPr>
    </w:p>
    <w:p w14:paraId="7B1FBE41">
      <w:pPr>
        <w:pStyle w:val="79"/>
        <w:rPr>
          <w:rFonts w:hint="eastAsia" w:ascii="宋体" w:hAnsi="宋体" w:eastAsia="宋体" w:cs="宋体"/>
          <w:color w:val="auto"/>
        </w:rPr>
      </w:pPr>
    </w:p>
    <w:p w14:paraId="1C4A1B3F">
      <w:pPr>
        <w:spacing w:before="145" w:beforeLines="50" w:after="145" w:afterLines="50" w:line="300" w:lineRule="auto"/>
        <w:rPr>
          <w:rFonts w:hint="eastAsia" w:ascii="宋体" w:hAnsi="宋体" w:eastAsia="宋体" w:cs="宋体"/>
          <w:b/>
          <w:bCs w:val="0"/>
          <w:color w:val="auto"/>
          <w:sz w:val="24"/>
          <w:lang w:val="en-US" w:eastAsia="zh-CN"/>
        </w:rPr>
      </w:pPr>
      <w:bookmarkStart w:id="299" w:name="_Toc4105"/>
      <w:bookmarkStart w:id="300" w:name="_Toc534816644"/>
      <w:bookmarkStart w:id="301" w:name="_Toc534725615"/>
      <w:r>
        <w:rPr>
          <w:rFonts w:hint="eastAsia" w:ascii="宋体" w:hAnsi="宋体" w:eastAsia="宋体" w:cs="宋体"/>
          <w:b/>
          <w:bCs w:val="0"/>
          <w:color w:val="auto"/>
          <w:sz w:val="24"/>
          <w:lang w:val="en-US" w:eastAsia="zh-CN"/>
        </w:rPr>
        <w:t>附件二</w:t>
      </w:r>
    </w:p>
    <w:p w14:paraId="2FFFBF26">
      <w:pPr>
        <w:spacing w:before="145" w:beforeLines="50" w:after="145" w:afterLines="50" w:line="300" w:lineRule="auto"/>
        <w:jc w:val="center"/>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参加政府采购活动前 3 年内在经营活动中没有重大违法记录的书面声明</w:t>
      </w:r>
      <w:bookmarkEnd w:id="299"/>
      <w:bookmarkEnd w:id="300"/>
      <w:bookmarkEnd w:id="301"/>
    </w:p>
    <w:p w14:paraId="320BC4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val="en-US" w:eastAsia="zh-CN"/>
        </w:rPr>
      </w:pPr>
    </w:p>
    <w:p w14:paraId="2D3B84C0">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textAlignment w:val="auto"/>
        <w:rPr>
          <w:rFonts w:hint="eastAsia" w:ascii="宋体" w:hAnsi="宋体" w:eastAsia="宋体" w:cs="宋体"/>
          <w:bCs/>
          <w:color w:val="auto"/>
          <w:sz w:val="24"/>
        </w:rPr>
      </w:pPr>
      <w:r>
        <w:rPr>
          <w:rFonts w:hint="eastAsia" w:ascii="宋体" w:hAnsi="宋体" w:eastAsia="宋体" w:cs="宋体"/>
          <w:b/>
          <w:bCs/>
          <w:color w:val="auto"/>
          <w:sz w:val="24"/>
        </w:rPr>
        <w:t xml:space="preserve">    </w:t>
      </w:r>
      <w:r>
        <w:rPr>
          <w:rFonts w:hint="eastAsia" w:ascii="宋体" w:hAnsi="宋体" w:eastAsia="宋体" w:cs="宋体"/>
          <w:bCs/>
          <w:color w:val="auto"/>
          <w:sz w:val="24"/>
        </w:rPr>
        <w:t>我单位郑重声明：参加本次政府采购活动前 3 年内，我单位在经营活动中没有因违法经营受到刑事处罚或者责令停产停业、吊销许可证或者执照、较大数额罚款等行政处罚。</w:t>
      </w:r>
    </w:p>
    <w:p w14:paraId="4A9DD1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rPr>
      </w:pPr>
    </w:p>
    <w:p w14:paraId="1A490400">
      <w:pPr>
        <w:keepNext w:val="0"/>
        <w:keepLines w:val="0"/>
        <w:pageBreakBefore w:val="0"/>
        <w:widowControl w:val="0"/>
        <w:kinsoku/>
        <w:wordWrap/>
        <w:overflowPunct/>
        <w:topLinePunct w:val="0"/>
        <w:autoSpaceDE/>
        <w:autoSpaceDN/>
        <w:bidi w:val="0"/>
        <w:adjustRightInd/>
        <w:snapToGrid/>
        <w:spacing w:line="440" w:lineRule="exact"/>
        <w:ind w:firstLine="3150" w:firstLineChars="1500"/>
        <w:textAlignment w:val="auto"/>
        <w:rPr>
          <w:rFonts w:hint="eastAsia" w:ascii="宋体" w:hAnsi="宋体" w:eastAsia="宋体" w:cs="宋体"/>
          <w:color w:val="auto"/>
          <w:sz w:val="24"/>
        </w:rPr>
      </w:pPr>
      <w:r>
        <w:rPr>
          <w:rFonts w:hint="eastAsia" w:ascii="宋体" w:hAnsi="宋体" w:eastAsia="宋体" w:cs="宋体"/>
          <w:bCs/>
          <w:color w:val="auto"/>
        </w:rPr>
        <w:t xml:space="preserve">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w:t>
      </w:r>
      <w:r>
        <w:rPr>
          <w:rFonts w:hint="eastAsia" w:ascii="宋体" w:hAnsi="宋体" w:cs="宋体"/>
          <w:color w:val="auto"/>
          <w:sz w:val="24"/>
          <w:lang w:eastAsia="zh-CN"/>
        </w:rPr>
        <w:t>供应商</w:t>
      </w:r>
      <w:r>
        <w:rPr>
          <w:rFonts w:hint="eastAsia" w:ascii="宋体" w:hAnsi="宋体" w:eastAsia="宋体" w:cs="宋体"/>
          <w:color w:val="auto"/>
          <w:sz w:val="24"/>
        </w:rPr>
        <w:t xml:space="preserve">名称（电子签名）： </w:t>
      </w:r>
    </w:p>
    <w:p w14:paraId="2C282EA7">
      <w:pPr>
        <w:keepNext w:val="0"/>
        <w:keepLines w:val="0"/>
        <w:pageBreakBefore w:val="0"/>
        <w:widowControl w:val="0"/>
        <w:kinsoku/>
        <w:wordWrap/>
        <w:overflowPunct/>
        <w:topLinePunct w:val="0"/>
        <w:autoSpaceDE/>
        <w:autoSpaceDN/>
        <w:bidi w:val="0"/>
        <w:adjustRightInd/>
        <w:snapToGrid/>
        <w:spacing w:line="440" w:lineRule="exact"/>
        <w:ind w:firstLine="3600" w:firstLineChars="1500"/>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6640ACDE">
      <w:pPr>
        <w:pStyle w:val="3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CAEFBF1">
      <w:pPr>
        <w:pStyle w:val="3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83CEF8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C9BFC43">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99D2C1C">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50F8B2C">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02ECA5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230D12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6020654">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3F876676">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38DC695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056D79A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23F2C5E">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0E6830E4">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014D839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FC6081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D6B95B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CB34205">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12576F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EE296E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5A0A033">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00045F65">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0FEE8A9">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D403A59">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2"/>
          <w:u w:val="none"/>
          <w:lang w:val="en-US" w:eastAsia="zh-CN" w:bidi="ar-SA"/>
        </w:rPr>
      </w:pPr>
    </w:p>
    <w:p w14:paraId="199C105E">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26227E0">
      <w:pPr>
        <w:spacing w:before="145" w:beforeLines="50" w:after="145" w:afterLines="50" w:line="300" w:lineRule="auto"/>
        <w:rPr>
          <w:rFonts w:hint="eastAsia" w:ascii="宋体" w:hAnsi="宋体" w:eastAsia="宋体" w:cs="宋体"/>
          <w:b/>
          <w:bCs w:val="0"/>
          <w:color w:val="auto"/>
          <w:sz w:val="24"/>
          <w:highlight w:val="none"/>
          <w:lang w:val="en-US" w:eastAsia="zh-CN"/>
        </w:rPr>
      </w:pPr>
      <w:bookmarkStart w:id="302" w:name="_Toc18115"/>
      <w:r>
        <w:rPr>
          <w:rFonts w:hint="eastAsia" w:ascii="宋体" w:hAnsi="宋体" w:eastAsia="宋体" w:cs="宋体"/>
          <w:b/>
          <w:bCs w:val="0"/>
          <w:color w:val="auto"/>
          <w:sz w:val="24"/>
          <w:lang w:val="en-US" w:eastAsia="zh-CN"/>
        </w:rPr>
        <w:t>附件三：中小企业声明函</w:t>
      </w:r>
      <w:bookmarkEnd w:id="302"/>
    </w:p>
    <w:p w14:paraId="279A30AD">
      <w:pPr>
        <w:jc w:val="center"/>
        <w:rPr>
          <w:rFonts w:hint="eastAsia"/>
          <w:b/>
          <w:bCs/>
          <w:sz w:val="32"/>
          <w:szCs w:val="36"/>
          <w:highlight w:val="none"/>
          <w:lang w:val="en-US" w:eastAsia="zh-CN"/>
        </w:rPr>
      </w:pPr>
      <w:r>
        <w:rPr>
          <w:rFonts w:hint="eastAsia"/>
          <w:b/>
          <w:bCs/>
          <w:sz w:val="32"/>
          <w:szCs w:val="36"/>
          <w:highlight w:val="none"/>
          <w:lang w:val="en-US" w:eastAsia="zh-CN"/>
        </w:rPr>
        <w:t>中小企业声明函</w:t>
      </w:r>
    </w:p>
    <w:p w14:paraId="426270F7">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600" w:firstLineChars="250"/>
        <w:textAlignment w:val="auto"/>
        <w:rPr>
          <w:rFonts w:hint="eastAsia"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lang w:eastAsia="zh-CN"/>
        </w:rPr>
        <w:t>（联合体）</w:t>
      </w:r>
      <w:r>
        <w:rPr>
          <w:rFonts w:hint="eastAsia" w:ascii="宋体" w:hAnsi="宋体" w:eastAsia="宋体" w:cs="宋体"/>
          <w:sz w:val="24"/>
        </w:rPr>
        <w:t>郑重声明，根据《政府采购促进中小企业发展</w:t>
      </w:r>
      <w:r>
        <w:rPr>
          <w:rFonts w:hint="eastAsia" w:ascii="宋体" w:hAnsi="宋体" w:eastAsia="宋体" w:cs="宋体"/>
          <w:sz w:val="24"/>
          <w:lang w:eastAsia="zh-CN"/>
        </w:rPr>
        <w:t>管理</w:t>
      </w:r>
      <w:r>
        <w:rPr>
          <w:rFonts w:hint="eastAsia" w:ascii="宋体" w:hAnsi="宋体" w:eastAsia="宋体" w:cs="宋体"/>
          <w:sz w:val="24"/>
        </w:rPr>
        <w:t>办法》(财库[20</w:t>
      </w:r>
      <w:r>
        <w:rPr>
          <w:rFonts w:hint="eastAsia" w:ascii="宋体" w:hAnsi="宋体" w:eastAsia="宋体" w:cs="宋体"/>
          <w:sz w:val="24"/>
          <w:lang w:val="en-US" w:eastAsia="zh-CN"/>
        </w:rPr>
        <w:t>20</w:t>
      </w:r>
      <w:r>
        <w:rPr>
          <w:rFonts w:hint="eastAsia" w:ascii="宋体" w:hAnsi="宋体" w:eastAsia="宋体" w:cs="宋体"/>
          <w:sz w:val="24"/>
        </w:rPr>
        <w:t>]</w:t>
      </w:r>
      <w:r>
        <w:rPr>
          <w:rFonts w:hint="eastAsia" w:ascii="宋体" w:hAnsi="宋体" w:eastAsia="宋体" w:cs="宋体"/>
          <w:sz w:val="24"/>
          <w:lang w:val="en-US" w:eastAsia="zh-CN"/>
        </w:rPr>
        <w:t>46</w:t>
      </w:r>
      <w:r>
        <w:rPr>
          <w:rFonts w:hint="eastAsia" w:ascii="宋体" w:hAnsi="宋体" w:eastAsia="宋体" w:cs="宋体"/>
          <w:sz w:val="24"/>
        </w:rPr>
        <w:t>号)的规定，本公司</w:t>
      </w:r>
      <w:r>
        <w:rPr>
          <w:rFonts w:hint="eastAsia" w:ascii="宋体" w:hAnsi="宋体" w:eastAsia="宋体" w:cs="宋体"/>
          <w:sz w:val="24"/>
          <w:lang w:eastAsia="zh-CN"/>
        </w:rPr>
        <w:t>（联合体）参加</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（单位名称）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eastAsia="zh-CN"/>
        </w:rPr>
        <w:t>的</w:t>
      </w:r>
      <w:r>
        <w:rPr>
          <w:rFonts w:hint="eastAsia" w:ascii="宋体" w:hAnsi="宋体" w:eastAsia="宋体" w:cs="宋体"/>
          <w:sz w:val="24"/>
          <w:lang w:val="en-US" w:eastAsia="zh-CN"/>
        </w:rPr>
        <w:t xml:space="preserve"> </w:t>
      </w:r>
      <w:r>
        <w:rPr>
          <w:rFonts w:hint="eastAsia" w:ascii="宋体" w:hAnsi="宋体" w:eastAsia="宋体" w:cs="宋体"/>
          <w:sz w:val="24"/>
          <w:u w:val="single"/>
          <w:lang w:eastAsia="zh-CN"/>
        </w:rPr>
        <w:t>（项目名称）</w:t>
      </w:r>
      <w:r>
        <w:rPr>
          <w:rFonts w:hint="eastAsia" w:ascii="宋体" w:hAnsi="宋体" w:eastAsia="宋体" w:cs="宋体"/>
          <w:sz w:val="24"/>
          <w:u w:val="none"/>
          <w:lang w:val="en-US" w:eastAsia="zh-CN"/>
        </w:rPr>
        <w:t xml:space="preserve"> 采购活动，</w:t>
      </w:r>
      <w:r>
        <w:rPr>
          <w:rFonts w:hint="eastAsia" w:ascii="宋体" w:hAnsi="宋体" w:cs="宋体"/>
          <w:sz w:val="24"/>
          <w:u w:val="none"/>
          <w:lang w:val="en-US" w:eastAsia="zh-CN"/>
        </w:rPr>
        <w:t>服务全部由符合政策要求的中小企业承接</w:t>
      </w:r>
      <w:r>
        <w:rPr>
          <w:rFonts w:hint="eastAsia" w:ascii="宋体" w:hAnsi="宋体" w:eastAsia="宋体" w:cs="宋体"/>
          <w:sz w:val="24"/>
          <w:u w:val="none"/>
          <w:lang w:val="en-US" w:eastAsia="zh-CN"/>
        </w:rPr>
        <w:t>。相关企业（含联合体中的中小企业、签订分包意向协议的中小企业）</w:t>
      </w:r>
      <w:r>
        <w:rPr>
          <w:rFonts w:hint="eastAsia" w:ascii="宋体" w:hAnsi="宋体" w:eastAsia="宋体" w:cs="宋体"/>
          <w:sz w:val="24"/>
          <w:lang w:eastAsia="zh-CN"/>
        </w:rPr>
        <w:t>具体情况如下</w:t>
      </w:r>
      <w:r>
        <w:rPr>
          <w:rFonts w:hint="eastAsia" w:ascii="宋体" w:hAnsi="宋体" w:eastAsia="宋体" w:cs="宋体"/>
          <w:sz w:val="24"/>
        </w:rPr>
        <w:t>：</w:t>
      </w:r>
    </w:p>
    <w:p w14:paraId="530A1987">
      <w:pPr>
        <w:keepNext w:val="0"/>
        <w:keepLines w:val="0"/>
        <w:pageBreakBefore w:val="0"/>
        <w:widowControl w:val="0"/>
        <w:numPr>
          <w:ilvl w:val="0"/>
          <w:numId w:val="0"/>
        </w:numPr>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u w:val="none"/>
          <w:lang w:val="en-US" w:eastAsia="zh-CN"/>
        </w:rPr>
        <w:t>1.</w:t>
      </w:r>
      <w:r>
        <w:rPr>
          <w:rFonts w:hint="eastAsia" w:ascii="宋体" w:hAnsi="宋体" w:eastAsia="宋体" w:cs="宋体"/>
          <w:sz w:val="24"/>
          <w:u w:val="single"/>
          <w:lang w:val="en-US" w:eastAsia="zh-CN"/>
        </w:rPr>
        <w:t xml:space="preserve">  （标的名称）  </w:t>
      </w:r>
      <w:r>
        <w:rPr>
          <w:rFonts w:hint="eastAsia" w:ascii="宋体" w:hAnsi="宋体" w:eastAsia="宋体" w:cs="宋体"/>
          <w:sz w:val="24"/>
          <w:u w:val="none"/>
          <w:lang w:val="en-US" w:eastAsia="zh-CN"/>
        </w:rPr>
        <w:t xml:space="preserve">，属于 </w:t>
      </w:r>
      <w:r>
        <w:rPr>
          <w:rFonts w:hint="eastAsia" w:ascii="宋体" w:hAnsi="宋体" w:eastAsia="宋体" w:cs="宋体"/>
          <w:sz w:val="24"/>
          <w:u w:val="single"/>
          <w:lang w:val="en-US" w:eastAsia="zh-CN"/>
        </w:rPr>
        <w:t>（采购文件中明确的所属行业）</w:t>
      </w:r>
      <w:r>
        <w:rPr>
          <w:rFonts w:hint="eastAsia" w:ascii="宋体" w:hAnsi="宋体" w:eastAsia="宋体" w:cs="宋体"/>
          <w:sz w:val="24"/>
          <w:u w:val="none"/>
          <w:lang w:val="en-US" w:eastAsia="zh-CN"/>
        </w:rPr>
        <w:t xml:space="preserve"> ；</w:t>
      </w:r>
      <w:r>
        <w:rPr>
          <w:rFonts w:hint="eastAsia" w:ascii="宋体" w:hAnsi="宋体" w:cs="宋体"/>
          <w:sz w:val="24"/>
          <w:u w:val="none"/>
          <w:lang w:val="en-US" w:eastAsia="zh-CN"/>
        </w:rPr>
        <w:t>承接企业</w:t>
      </w:r>
      <w:r>
        <w:rPr>
          <w:rFonts w:hint="eastAsia" w:ascii="宋体" w:hAnsi="宋体" w:eastAsia="宋体" w:cs="宋体"/>
          <w:sz w:val="24"/>
          <w:u w:val="none"/>
          <w:lang w:val="en-US" w:eastAsia="zh-CN"/>
        </w:rPr>
        <w:t>为</w:t>
      </w:r>
      <w:r>
        <w:rPr>
          <w:rFonts w:hint="eastAsia" w:ascii="宋体" w:hAnsi="宋体" w:eastAsia="宋体" w:cs="宋体"/>
          <w:sz w:val="24"/>
          <w:u w:val="single"/>
          <w:lang w:val="en-US" w:eastAsia="zh-CN"/>
        </w:rPr>
        <w:t>（企业名称）</w:t>
      </w:r>
      <w:r>
        <w:rPr>
          <w:rFonts w:hint="eastAsia" w:ascii="宋体" w:hAnsi="宋体" w:eastAsia="宋体" w:cs="宋体"/>
          <w:sz w:val="24"/>
          <w:u w:val="none"/>
          <w:lang w:val="en-US" w:eastAsia="zh-CN"/>
        </w:rPr>
        <w:t>，从业人员</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w:t>
      </w:r>
      <w:r>
        <w:rPr>
          <w:rFonts w:hint="eastAsia" w:ascii="宋体" w:hAnsi="宋体" w:eastAsia="宋体" w:cs="宋体"/>
          <w:sz w:val="24"/>
          <w:u w:val="none"/>
          <w:vertAlign w:val="superscript"/>
          <w:lang w:val="en-US" w:eastAsia="zh-CN"/>
        </w:rPr>
        <w:t>1</w:t>
      </w:r>
      <w:r>
        <w:rPr>
          <w:rFonts w:hint="eastAsia" w:ascii="宋体" w:hAnsi="宋体" w:eastAsia="宋体" w:cs="宋体"/>
          <w:sz w:val="24"/>
          <w:u w:val="none"/>
          <w:lang w:val="en-US" w:eastAsia="zh-CN"/>
        </w:rPr>
        <w:t>，属于</w:t>
      </w:r>
      <w:r>
        <w:rPr>
          <w:rFonts w:hint="eastAsia" w:ascii="宋体" w:hAnsi="宋体" w:eastAsia="宋体" w:cs="宋体"/>
          <w:sz w:val="24"/>
          <w:u w:val="single"/>
          <w:lang w:val="en-US" w:eastAsia="zh-CN"/>
        </w:rPr>
        <w:t xml:space="preserve">   （中型企业、小型企业、微型企业）；</w:t>
      </w:r>
    </w:p>
    <w:p w14:paraId="041C5EAD">
      <w:pPr>
        <w:keepNext w:val="0"/>
        <w:keepLines w:val="0"/>
        <w:pageBreakBefore w:val="0"/>
        <w:widowControl w:val="0"/>
        <w:numPr>
          <w:ilvl w:val="0"/>
          <w:numId w:val="0"/>
        </w:numPr>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u w:val="none"/>
          <w:lang w:val="en-US" w:eastAsia="zh-CN"/>
        </w:rPr>
        <w:t>2.</w:t>
      </w:r>
      <w:r>
        <w:rPr>
          <w:rFonts w:hint="eastAsia" w:ascii="宋体" w:hAnsi="宋体" w:eastAsia="宋体" w:cs="宋体"/>
          <w:sz w:val="24"/>
          <w:u w:val="single"/>
          <w:lang w:val="en-US" w:eastAsia="zh-CN"/>
        </w:rPr>
        <w:t xml:space="preserve">  （标的名称）  </w:t>
      </w:r>
      <w:r>
        <w:rPr>
          <w:rFonts w:hint="eastAsia" w:ascii="宋体" w:hAnsi="宋体" w:eastAsia="宋体" w:cs="宋体"/>
          <w:sz w:val="24"/>
          <w:u w:val="none"/>
          <w:lang w:val="en-US" w:eastAsia="zh-CN"/>
        </w:rPr>
        <w:t xml:space="preserve">，属于 </w:t>
      </w:r>
      <w:r>
        <w:rPr>
          <w:rFonts w:hint="eastAsia" w:ascii="宋体" w:hAnsi="宋体" w:eastAsia="宋体" w:cs="宋体"/>
          <w:sz w:val="24"/>
          <w:u w:val="single"/>
          <w:lang w:val="en-US" w:eastAsia="zh-CN"/>
        </w:rPr>
        <w:t>（采购文件中明确的所属行业）</w:t>
      </w:r>
      <w:r>
        <w:rPr>
          <w:rFonts w:hint="eastAsia" w:ascii="宋体" w:hAnsi="宋体" w:eastAsia="宋体" w:cs="宋体"/>
          <w:sz w:val="24"/>
          <w:u w:val="none"/>
          <w:lang w:val="en-US" w:eastAsia="zh-CN"/>
        </w:rPr>
        <w:t xml:space="preserve"> ；</w:t>
      </w:r>
      <w:r>
        <w:rPr>
          <w:rFonts w:hint="eastAsia" w:ascii="宋体" w:hAnsi="宋体" w:cs="宋体"/>
          <w:sz w:val="24"/>
          <w:u w:val="none"/>
          <w:lang w:val="en-US" w:eastAsia="zh-CN"/>
        </w:rPr>
        <w:t>承接企业</w:t>
      </w:r>
      <w:r>
        <w:rPr>
          <w:rFonts w:hint="eastAsia" w:ascii="宋体" w:hAnsi="宋体" w:eastAsia="宋体" w:cs="宋体"/>
          <w:sz w:val="24"/>
          <w:u w:val="none"/>
          <w:lang w:val="en-US" w:eastAsia="zh-CN"/>
        </w:rPr>
        <w:t>为</w:t>
      </w:r>
      <w:r>
        <w:rPr>
          <w:rFonts w:hint="eastAsia" w:ascii="宋体" w:hAnsi="宋体" w:eastAsia="宋体" w:cs="宋体"/>
          <w:sz w:val="24"/>
          <w:u w:val="single"/>
          <w:lang w:val="en-US" w:eastAsia="zh-CN"/>
        </w:rPr>
        <w:t>（企业名称）</w:t>
      </w:r>
      <w:r>
        <w:rPr>
          <w:rFonts w:hint="eastAsia" w:ascii="宋体" w:hAnsi="宋体" w:eastAsia="宋体" w:cs="宋体"/>
          <w:sz w:val="24"/>
          <w:u w:val="none"/>
          <w:lang w:val="en-US" w:eastAsia="zh-CN"/>
        </w:rPr>
        <w:t>，从业人员</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w:t>
      </w:r>
      <w:r>
        <w:rPr>
          <w:rFonts w:hint="eastAsia" w:ascii="宋体" w:hAnsi="宋体" w:eastAsia="宋体" w:cs="宋体"/>
          <w:sz w:val="24"/>
          <w:u w:val="none"/>
          <w:vertAlign w:val="superscript"/>
          <w:lang w:val="en-US" w:eastAsia="zh-CN"/>
        </w:rPr>
        <w:t>1</w:t>
      </w:r>
      <w:r>
        <w:rPr>
          <w:rFonts w:hint="eastAsia" w:ascii="宋体" w:hAnsi="宋体" w:eastAsia="宋体" w:cs="宋体"/>
          <w:sz w:val="24"/>
          <w:u w:val="none"/>
          <w:lang w:val="en-US" w:eastAsia="zh-CN"/>
        </w:rPr>
        <w:t>，属于</w:t>
      </w:r>
      <w:r>
        <w:rPr>
          <w:rFonts w:hint="eastAsia" w:ascii="宋体" w:hAnsi="宋体" w:eastAsia="宋体" w:cs="宋体"/>
          <w:sz w:val="24"/>
          <w:u w:val="single"/>
          <w:lang w:val="en-US" w:eastAsia="zh-CN"/>
        </w:rPr>
        <w:t xml:space="preserve">   （中型企业、小型企业、微型企业）；</w:t>
      </w:r>
    </w:p>
    <w:p w14:paraId="324265A6">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u w:val="none"/>
          <w:lang w:val="en-US"/>
        </w:rPr>
      </w:pPr>
      <w:r>
        <w:rPr>
          <w:rFonts w:hint="eastAsia" w:ascii="宋体" w:hAnsi="宋体" w:eastAsia="宋体" w:cs="宋体"/>
          <w:sz w:val="24"/>
          <w:u w:val="none"/>
          <w:lang w:val="en-US" w:eastAsia="zh-CN"/>
        </w:rPr>
        <w:t>......</w:t>
      </w:r>
    </w:p>
    <w:p w14:paraId="4C8FED5E">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以上企业，不属于大企业的分支机构，不存在控股股东为大型企业的情形，也不存在与大企业的负责人为同一人的情形。</w:t>
      </w:r>
    </w:p>
    <w:p w14:paraId="3EA5581B">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本企业对上述声明内容的真实性负责</w:t>
      </w:r>
      <w:r>
        <w:rPr>
          <w:rFonts w:hint="eastAsia" w:ascii="宋体" w:hAnsi="宋体" w:eastAsia="宋体" w:cs="宋体"/>
          <w:sz w:val="24"/>
        </w:rPr>
        <w:t>。</w:t>
      </w:r>
      <w:r>
        <w:rPr>
          <w:rFonts w:hint="eastAsia" w:ascii="宋体" w:hAnsi="宋体" w:eastAsia="宋体" w:cs="宋体"/>
          <w:sz w:val="24"/>
          <w:lang w:eastAsia="zh-CN"/>
        </w:rPr>
        <w:t>如有虚假，将依法承担相应责任。</w:t>
      </w:r>
    </w:p>
    <w:p w14:paraId="3B668574">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360" w:firstLineChars="150"/>
        <w:jc w:val="center"/>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企业名称（</w:t>
      </w:r>
      <w:r>
        <w:rPr>
          <w:rFonts w:hint="eastAsia" w:ascii="宋体" w:hAnsi="宋体" w:eastAsia="宋体" w:cs="宋体"/>
          <w:sz w:val="24"/>
          <w:lang w:eastAsia="zh-CN"/>
        </w:rPr>
        <w:t>盖章</w:t>
      </w:r>
      <w:r>
        <w:rPr>
          <w:rFonts w:hint="eastAsia" w:ascii="宋体" w:hAnsi="宋体" w:eastAsia="宋体" w:cs="宋体"/>
          <w:sz w:val="24"/>
        </w:rPr>
        <w:t>）：</w:t>
      </w:r>
    </w:p>
    <w:p w14:paraId="57294672">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360" w:firstLineChars="150"/>
        <w:jc w:val="center"/>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日期：</w:t>
      </w:r>
    </w:p>
    <w:p w14:paraId="6E990EF5">
      <w:pPr>
        <w:spacing w:before="145" w:beforeLines="50" w:after="145" w:afterLines="50" w:line="300" w:lineRule="auto"/>
        <w:ind w:firstLine="240" w:firstLineChars="100"/>
        <w:rPr>
          <w:rFonts w:hint="eastAsia" w:ascii="宋体" w:hAnsi="宋体" w:eastAsia="宋体" w:cs="宋体"/>
          <w:sz w:val="24"/>
        </w:rPr>
      </w:pPr>
    </w:p>
    <w:p w14:paraId="4EEC44D5">
      <w:pPr>
        <w:pStyle w:val="31"/>
        <w:ind w:left="0" w:leftChars="0" w:firstLine="0" w:firstLineChars="0"/>
        <w:rPr>
          <w:rFonts w:hint="eastAsia" w:ascii="宋体" w:hAnsi="宋体" w:eastAsia="宋体" w:cs="宋体"/>
          <w:sz w:val="20"/>
          <w:szCs w:val="18"/>
          <w:lang w:eastAsia="zh-CN"/>
        </w:rPr>
      </w:pPr>
      <w:r>
        <w:rPr>
          <w:rFonts w:hint="eastAsia" w:ascii="宋体" w:hAnsi="宋体" w:eastAsia="宋体" w:cs="宋体"/>
          <w:sz w:val="24"/>
          <w:u w:val="none"/>
          <w:vertAlign w:val="superscript"/>
          <w:lang w:val="en-US" w:eastAsia="zh-CN"/>
        </w:rPr>
        <w:t>1</w:t>
      </w:r>
      <w:r>
        <w:rPr>
          <w:rFonts w:hint="eastAsia" w:ascii="宋体" w:hAnsi="宋体" w:eastAsia="宋体" w:cs="宋体"/>
          <w:sz w:val="20"/>
          <w:szCs w:val="18"/>
          <w:lang w:eastAsia="zh-CN"/>
        </w:rPr>
        <w:t>从业人员、营业收入、资产总额填报上一年度数据，无上一年度数据的新成立企业可不填报。</w:t>
      </w:r>
    </w:p>
    <w:p w14:paraId="1D211DCF">
      <w:pPr>
        <w:spacing w:before="145" w:beforeLines="50" w:after="145" w:afterLines="50" w:line="300" w:lineRule="auto"/>
        <w:rPr>
          <w:rFonts w:hint="eastAsia" w:ascii="宋体" w:hAnsi="宋体" w:eastAsia="宋体" w:cs="宋体"/>
          <w:bCs/>
          <w:sz w:val="24"/>
          <w:lang w:eastAsia="zh-CN"/>
        </w:rPr>
      </w:pPr>
      <w:r>
        <w:rPr>
          <w:rFonts w:hint="eastAsia" w:ascii="宋体" w:hAnsi="宋体" w:eastAsia="宋体" w:cs="宋体"/>
          <w:bCs/>
          <w:sz w:val="24"/>
          <w:lang w:eastAsia="zh-CN"/>
        </w:rPr>
        <w:t>注：符合中小企业划型标准的企业请提供本函，不符合的不提供本函。</w:t>
      </w:r>
    </w:p>
    <w:p w14:paraId="64EFAC36">
      <w:pPr>
        <w:pStyle w:val="31"/>
        <w:rPr>
          <w:rFonts w:hint="eastAsia" w:ascii="宋体" w:hAnsi="宋体" w:eastAsia="宋体" w:cs="宋体"/>
          <w:bCs/>
          <w:color w:val="000000"/>
          <w:sz w:val="24"/>
          <w:highlight w:val="none"/>
        </w:rPr>
      </w:pPr>
    </w:p>
    <w:p w14:paraId="1232F52E">
      <w:pPr>
        <w:pStyle w:val="31"/>
        <w:rPr>
          <w:rFonts w:hint="eastAsia" w:ascii="宋体" w:hAnsi="宋体" w:eastAsia="宋体" w:cs="宋体"/>
          <w:bCs/>
          <w:color w:val="000000"/>
          <w:sz w:val="24"/>
          <w:highlight w:val="none"/>
        </w:rPr>
      </w:pPr>
    </w:p>
    <w:p w14:paraId="415B1187">
      <w:pPr>
        <w:pStyle w:val="31"/>
        <w:rPr>
          <w:rFonts w:hint="eastAsia" w:ascii="宋体" w:hAnsi="宋体" w:eastAsia="宋体" w:cs="宋体"/>
          <w:bCs/>
          <w:color w:val="000000"/>
          <w:sz w:val="24"/>
          <w:highlight w:val="none"/>
        </w:rPr>
      </w:pPr>
    </w:p>
    <w:p w14:paraId="23BAA2C1">
      <w:pPr>
        <w:pStyle w:val="31"/>
        <w:rPr>
          <w:rFonts w:hint="eastAsia" w:ascii="宋体" w:hAnsi="宋体" w:eastAsia="宋体" w:cs="宋体"/>
          <w:bCs/>
          <w:color w:val="000000"/>
          <w:sz w:val="24"/>
          <w:highlight w:val="none"/>
        </w:rPr>
      </w:pPr>
    </w:p>
    <w:p w14:paraId="50F64AF8">
      <w:pPr>
        <w:pStyle w:val="31"/>
        <w:rPr>
          <w:rFonts w:hint="eastAsia" w:ascii="宋体" w:hAnsi="宋体" w:eastAsia="宋体" w:cs="宋体"/>
          <w:bCs/>
          <w:color w:val="000000"/>
          <w:sz w:val="24"/>
          <w:highlight w:val="none"/>
        </w:rPr>
      </w:pPr>
    </w:p>
    <w:p w14:paraId="55E75B2A">
      <w:pPr>
        <w:pStyle w:val="31"/>
        <w:rPr>
          <w:rFonts w:hint="eastAsia" w:ascii="宋体" w:hAnsi="宋体" w:eastAsia="宋体" w:cs="宋体"/>
          <w:bCs/>
          <w:color w:val="000000"/>
          <w:sz w:val="24"/>
          <w:highlight w:val="none"/>
        </w:rPr>
      </w:pPr>
    </w:p>
    <w:p w14:paraId="5297627C">
      <w:pPr>
        <w:pStyle w:val="31"/>
        <w:rPr>
          <w:rFonts w:hint="eastAsia" w:ascii="宋体" w:hAnsi="宋体" w:eastAsia="宋体" w:cs="宋体"/>
          <w:bCs/>
          <w:color w:val="000000"/>
          <w:sz w:val="24"/>
          <w:highlight w:val="none"/>
        </w:rPr>
      </w:pPr>
    </w:p>
    <w:p w14:paraId="5227D7F1">
      <w:pPr>
        <w:pStyle w:val="31"/>
        <w:rPr>
          <w:rFonts w:hint="eastAsia" w:ascii="宋体" w:hAnsi="宋体" w:eastAsia="宋体" w:cs="宋体"/>
          <w:bCs/>
          <w:color w:val="000000"/>
          <w:sz w:val="24"/>
          <w:highlight w:val="none"/>
        </w:rPr>
      </w:pPr>
    </w:p>
    <w:p w14:paraId="0D66E440">
      <w:pPr>
        <w:pStyle w:val="31"/>
        <w:rPr>
          <w:rFonts w:hint="eastAsia" w:ascii="宋体" w:hAnsi="宋体" w:eastAsia="宋体" w:cs="宋体"/>
          <w:bCs/>
          <w:color w:val="000000"/>
          <w:sz w:val="24"/>
          <w:highlight w:val="none"/>
        </w:rPr>
      </w:pPr>
    </w:p>
    <w:p w14:paraId="66E0D173">
      <w:pPr>
        <w:pStyle w:val="31"/>
        <w:rPr>
          <w:rFonts w:hint="eastAsia" w:ascii="宋体" w:hAnsi="宋体" w:eastAsia="宋体" w:cs="宋体"/>
          <w:bCs/>
          <w:color w:val="000000"/>
          <w:sz w:val="24"/>
          <w:highlight w:val="none"/>
        </w:rPr>
      </w:pPr>
    </w:p>
    <w:p w14:paraId="6B277F6A">
      <w:pPr>
        <w:pStyle w:val="31"/>
        <w:rPr>
          <w:rFonts w:hint="eastAsia" w:ascii="宋体" w:hAnsi="宋体" w:eastAsia="宋体" w:cs="宋体"/>
          <w:bCs/>
          <w:color w:val="000000"/>
          <w:sz w:val="24"/>
          <w:highlight w:val="none"/>
        </w:rPr>
      </w:pPr>
    </w:p>
    <w:p w14:paraId="4D33BAAC">
      <w:pPr>
        <w:pStyle w:val="31"/>
        <w:rPr>
          <w:rFonts w:hint="eastAsia" w:ascii="宋体" w:hAnsi="宋体" w:eastAsia="宋体" w:cs="宋体"/>
          <w:bCs/>
          <w:color w:val="000000"/>
          <w:sz w:val="24"/>
          <w:highlight w:val="none"/>
        </w:rPr>
      </w:pPr>
    </w:p>
    <w:p w14:paraId="744076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bookmarkStart w:id="303" w:name="_Toc26894"/>
      <w:r>
        <w:rPr>
          <w:rFonts w:hint="eastAsia" w:ascii="宋体" w:hAnsi="宋体" w:eastAsia="宋体" w:cs="宋体"/>
          <w:color w:val="auto"/>
          <w:kern w:val="2"/>
          <w:sz w:val="24"/>
          <w:szCs w:val="22"/>
          <w:u w:val="none"/>
          <w:lang w:val="en-US" w:eastAsia="zh-CN" w:bidi="ar-SA"/>
        </w:rPr>
        <w:t>（一）关于“中小企业声明函”的填写要求</w:t>
      </w:r>
    </w:p>
    <w:p w14:paraId="3280C6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1.“单位名称”应填写采购人名称。</w:t>
      </w:r>
    </w:p>
    <w:p w14:paraId="1CDF6F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12B86C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FA917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4.“采购文件中明确的所属行业”应填写采购文件中明确的采购标的所属行业，并应确保与采购标的涉及的货物制造商/服务承接商/工程承建商（根据项目属性确定）本身的所属行业保持一致。</w:t>
      </w:r>
    </w:p>
    <w:p w14:paraId="2C453A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5080C1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5F8B66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5.“企业名称”应填写投标（响应）的货物制造商/服务承接商/工程承建商（根据项目属性确定）。</w:t>
      </w:r>
    </w:p>
    <w:p w14:paraId="47509B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对于分包方式面向中小企业采购的项目，“企业名称”应填写分包部分采购标的对应的货物制造商/服务承接商/工程承建商（根据项目属性确定）。</w:t>
      </w:r>
    </w:p>
    <w:p w14:paraId="5C29CF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对于以联合体方式面向中小企业采购的项目，“企业名称”应填写联合体中中小企业承担采购标的对应的货物制造商/服务承接商/工程承建商（根据项目属性确定）。</w:t>
      </w:r>
    </w:p>
    <w:p w14:paraId="0D0F5F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6.从业人员、资产总额指标以上年度末数据为依据，营业收入指标以上年度累计数据为依据。无上年度数据的新成立企业可不填报。</w:t>
      </w:r>
    </w:p>
    <w:p w14:paraId="5DD30F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7.“中型企业/小型企业/微型企业”部分，供应商应依据企业上年度从业人员、营业收入、资产总额等指标，</w:t>
      </w:r>
      <w:r>
        <w:rPr>
          <w:rFonts w:hint="eastAsia" w:ascii="宋体" w:hAnsi="宋体" w:eastAsia="宋体" w:cs="宋体"/>
          <w:color w:val="auto"/>
          <w:kern w:val="2"/>
          <w:sz w:val="24"/>
          <w:szCs w:val="22"/>
          <w:highlight w:val="none"/>
          <w:u w:val="none"/>
          <w:lang w:val="en-US" w:eastAsia="zh-CN" w:bidi="ar-SA"/>
        </w:rPr>
        <w:t>按照《国民经济行业分类》（GB/T 4754—2017）、《统计上大中小微型企业划分办法（2017）》，判</w:t>
      </w:r>
      <w:r>
        <w:rPr>
          <w:rFonts w:hint="eastAsia" w:ascii="宋体" w:hAnsi="宋体" w:eastAsia="宋体" w:cs="宋体"/>
          <w:color w:val="auto"/>
          <w:kern w:val="2"/>
          <w:sz w:val="24"/>
          <w:szCs w:val="22"/>
          <w:u w:val="none"/>
          <w:lang w:val="en-US" w:eastAsia="zh-CN" w:bidi="ar-SA"/>
        </w:rPr>
        <w:t>断“中小企业声明函”载明的货物制造商/服务承接商/工程承建商（根据项目属性确定）是否属于采购文件所属行业的中型企业/小型企业/微型企业。</w:t>
      </w:r>
    </w:p>
    <w:p w14:paraId="5161DA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2F65B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（二）关于“中小企业声明函”的提交要求</w:t>
      </w:r>
    </w:p>
    <w:p w14:paraId="4CAFB9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1FFEE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2.鼓励供应商在投标（响应）时一并提供对货物制造商、服务承接商、工程承建商相关信息的核实核验情况以及其他佐证材料。</w:t>
      </w:r>
    </w:p>
    <w:p w14:paraId="689963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12967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FA292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8FE10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2194A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8BC18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3FD3C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2C8D34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C99EF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9C82D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97141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61E28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D784B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59F97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604C4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5E9FD0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665747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B92D3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5FCBB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E86BA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178DDE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A12DC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0FFE0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1A3EBAF">
      <w:pPr>
        <w:widowControl/>
        <w:spacing w:line="330" w:lineRule="atLeast"/>
        <w:jc w:val="center"/>
        <w:rPr>
          <w:rFonts w:hint="eastAsia" w:ascii="宋体" w:hAnsi="宋体" w:eastAsia="宋体" w:cs="宋体"/>
          <w:b/>
          <w:bCs/>
          <w:color w:val="000000"/>
          <w:kern w:val="0"/>
          <w:sz w:val="28"/>
          <w:szCs w:val="24"/>
        </w:rPr>
      </w:pPr>
      <w:r>
        <w:rPr>
          <w:rFonts w:hint="eastAsia" w:ascii="宋体" w:hAnsi="宋体" w:eastAsia="宋体" w:cs="宋体"/>
          <w:b/>
          <w:bCs/>
          <w:color w:val="000000"/>
          <w:kern w:val="0"/>
          <w:sz w:val="28"/>
          <w:szCs w:val="24"/>
        </w:rPr>
        <w:t>统计上大中小微型企业划分标准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84E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4C3F6CE">
            <w:pPr>
              <w:widowControl/>
              <w:spacing w:line="240" w:lineRule="exact"/>
              <w:jc w:val="center"/>
              <w:rPr>
                <w:rFonts w:ascii="宋体" w:hAnsi="宋体" w:eastAsia="宋体" w:cs="宋体"/>
                <w:b/>
                <w:bCs/>
                <w:color w:val="000000"/>
                <w:kern w:val="0"/>
                <w:sz w:val="18"/>
                <w:szCs w:val="21"/>
              </w:rPr>
            </w:pPr>
            <w:r>
              <w:rPr>
                <w:rFonts w:hint="eastAsia" w:ascii="宋体" w:hAnsi="宋体" w:eastAsia="宋体" w:cs="宋体"/>
                <w:b/>
                <w:bCs/>
                <w:color w:val="000000"/>
                <w:kern w:val="0"/>
                <w:sz w:val="18"/>
                <w:szCs w:val="21"/>
              </w:rPr>
              <w:t>行业名称</w:t>
            </w:r>
          </w:p>
        </w:tc>
        <w:tc>
          <w:tcPr>
            <w:tcW w:w="1369" w:type="dxa"/>
            <w:noWrap w:val="0"/>
            <w:vAlign w:val="center"/>
          </w:tcPr>
          <w:p w14:paraId="4BB3B9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指标名称</w:t>
            </w:r>
          </w:p>
        </w:tc>
        <w:tc>
          <w:tcPr>
            <w:tcW w:w="709" w:type="dxa"/>
            <w:noWrap w:val="0"/>
            <w:vAlign w:val="center"/>
          </w:tcPr>
          <w:p w14:paraId="379DEA8A">
            <w:pPr>
              <w:widowControl/>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rPr>
              <w:t>计量</w:t>
            </w:r>
          </w:p>
          <w:p w14:paraId="6C412F0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1125" w:type="dxa"/>
            <w:noWrap w:val="0"/>
            <w:vAlign w:val="center"/>
          </w:tcPr>
          <w:p w14:paraId="1D433E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大型</w:t>
            </w:r>
          </w:p>
        </w:tc>
        <w:tc>
          <w:tcPr>
            <w:tcW w:w="1701" w:type="dxa"/>
            <w:noWrap w:val="0"/>
            <w:vAlign w:val="center"/>
          </w:tcPr>
          <w:p w14:paraId="77D6DA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中型</w:t>
            </w:r>
          </w:p>
        </w:tc>
        <w:tc>
          <w:tcPr>
            <w:tcW w:w="1426" w:type="dxa"/>
            <w:noWrap w:val="0"/>
            <w:vAlign w:val="center"/>
          </w:tcPr>
          <w:p w14:paraId="26CD0CA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小型</w:t>
            </w:r>
          </w:p>
        </w:tc>
        <w:tc>
          <w:tcPr>
            <w:tcW w:w="992" w:type="dxa"/>
            <w:noWrap w:val="0"/>
            <w:vAlign w:val="center"/>
          </w:tcPr>
          <w:p w14:paraId="5CDC75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微型</w:t>
            </w:r>
          </w:p>
        </w:tc>
      </w:tr>
      <w:tr w14:paraId="76E4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7A1960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农、林、牧、渔业</w:t>
            </w:r>
          </w:p>
        </w:tc>
        <w:tc>
          <w:tcPr>
            <w:tcW w:w="1369" w:type="dxa"/>
            <w:noWrap w:val="0"/>
            <w:vAlign w:val="center"/>
          </w:tcPr>
          <w:p w14:paraId="484CDE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2F4DAA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41DA1E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noWrap w:val="0"/>
            <w:vAlign w:val="center"/>
          </w:tcPr>
          <w:p w14:paraId="4DE0FD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noWrap w:val="0"/>
            <w:vAlign w:val="center"/>
          </w:tcPr>
          <w:p w14:paraId="7A9B8E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50≤Y＜500</w:t>
            </w:r>
          </w:p>
        </w:tc>
        <w:tc>
          <w:tcPr>
            <w:tcW w:w="992" w:type="dxa"/>
            <w:noWrap w:val="0"/>
            <w:vAlign w:val="center"/>
          </w:tcPr>
          <w:p w14:paraId="73C907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42EF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60E9D5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 *</w:t>
            </w:r>
          </w:p>
        </w:tc>
        <w:tc>
          <w:tcPr>
            <w:tcW w:w="1369" w:type="dxa"/>
            <w:noWrap w:val="0"/>
            <w:vAlign w:val="center"/>
          </w:tcPr>
          <w:p w14:paraId="41527F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4F00D5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1D0707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3A751E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1EBF7A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539B37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299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BA1F644">
            <w:pPr>
              <w:widowControl/>
              <w:jc w:val="left"/>
              <w:rPr>
                <w:rFonts w:ascii="宋体" w:hAnsi="宋体" w:eastAsia="宋体" w:cs="宋体"/>
                <w:color w:val="000000"/>
                <w:kern w:val="0"/>
                <w:sz w:val="18"/>
                <w:szCs w:val="18"/>
              </w:rPr>
            </w:pPr>
          </w:p>
        </w:tc>
        <w:tc>
          <w:tcPr>
            <w:tcW w:w="1369" w:type="dxa"/>
            <w:noWrap w:val="0"/>
            <w:vAlign w:val="center"/>
          </w:tcPr>
          <w:p w14:paraId="04D39EA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8D3EF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9258D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noWrap w:val="0"/>
            <w:vAlign w:val="center"/>
          </w:tcPr>
          <w:p w14:paraId="0BEE65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2000≤Y＜40000</w:t>
            </w:r>
          </w:p>
        </w:tc>
        <w:tc>
          <w:tcPr>
            <w:tcW w:w="1426" w:type="dxa"/>
            <w:noWrap w:val="0"/>
            <w:vAlign w:val="center"/>
          </w:tcPr>
          <w:p w14:paraId="1FC930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300≤Y＜2000</w:t>
            </w:r>
          </w:p>
        </w:tc>
        <w:tc>
          <w:tcPr>
            <w:tcW w:w="992" w:type="dxa"/>
            <w:noWrap w:val="0"/>
            <w:vAlign w:val="center"/>
          </w:tcPr>
          <w:p w14:paraId="2A2575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5172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9289AD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建筑业</w:t>
            </w:r>
          </w:p>
        </w:tc>
        <w:tc>
          <w:tcPr>
            <w:tcW w:w="1369" w:type="dxa"/>
            <w:noWrap w:val="0"/>
            <w:vAlign w:val="center"/>
          </w:tcPr>
          <w:p w14:paraId="54AC6D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2A0D4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5E043F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Y≥80000</w:t>
            </w:r>
          </w:p>
        </w:tc>
        <w:tc>
          <w:tcPr>
            <w:tcW w:w="1701" w:type="dxa"/>
            <w:noWrap w:val="0"/>
            <w:vAlign w:val="center"/>
          </w:tcPr>
          <w:p w14:paraId="2092CF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6000≤Y＜80000</w:t>
            </w:r>
          </w:p>
        </w:tc>
        <w:tc>
          <w:tcPr>
            <w:tcW w:w="1426" w:type="dxa"/>
            <w:noWrap w:val="0"/>
            <w:vAlign w:val="center"/>
          </w:tcPr>
          <w:p w14:paraId="5D8655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300≤Y＜6000</w:t>
            </w:r>
          </w:p>
        </w:tc>
        <w:tc>
          <w:tcPr>
            <w:tcW w:w="992" w:type="dxa"/>
            <w:noWrap w:val="0"/>
            <w:vAlign w:val="center"/>
          </w:tcPr>
          <w:p w14:paraId="17EA66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2CD3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CB42CDF">
            <w:pPr>
              <w:widowControl/>
              <w:jc w:val="left"/>
              <w:rPr>
                <w:rFonts w:ascii="宋体" w:hAnsi="宋体" w:eastAsia="宋体" w:cs="宋体"/>
                <w:color w:val="000000"/>
                <w:kern w:val="0"/>
                <w:sz w:val="18"/>
                <w:szCs w:val="18"/>
              </w:rPr>
            </w:pPr>
          </w:p>
        </w:tc>
        <w:tc>
          <w:tcPr>
            <w:tcW w:w="1369" w:type="dxa"/>
            <w:noWrap w:val="0"/>
            <w:vAlign w:val="center"/>
          </w:tcPr>
          <w:p w14:paraId="786D808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327E68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2D669D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Z≥80000</w:t>
            </w:r>
          </w:p>
        </w:tc>
        <w:tc>
          <w:tcPr>
            <w:tcW w:w="1701" w:type="dxa"/>
            <w:noWrap w:val="0"/>
            <w:vAlign w:val="center"/>
          </w:tcPr>
          <w:p w14:paraId="4D7EAC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5000≤Z＜80000</w:t>
            </w:r>
          </w:p>
        </w:tc>
        <w:tc>
          <w:tcPr>
            <w:tcW w:w="1426" w:type="dxa"/>
            <w:noWrap w:val="0"/>
            <w:vAlign w:val="center"/>
          </w:tcPr>
          <w:p w14:paraId="1C848F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300≤Z＜5000</w:t>
            </w:r>
          </w:p>
        </w:tc>
        <w:tc>
          <w:tcPr>
            <w:tcW w:w="992" w:type="dxa"/>
            <w:noWrap w:val="0"/>
            <w:vAlign w:val="center"/>
          </w:tcPr>
          <w:p w14:paraId="530C4A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Z＜300</w:t>
            </w:r>
          </w:p>
        </w:tc>
      </w:tr>
      <w:tr w14:paraId="7E03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E4299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批发业</w:t>
            </w:r>
          </w:p>
        </w:tc>
        <w:tc>
          <w:tcPr>
            <w:tcW w:w="1369" w:type="dxa"/>
            <w:noWrap w:val="0"/>
            <w:vAlign w:val="center"/>
          </w:tcPr>
          <w:p w14:paraId="781310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41546F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12413E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noWrap w:val="0"/>
            <w:vAlign w:val="center"/>
          </w:tcPr>
          <w:p w14:paraId="70A1DC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20≤X＜200</w:t>
            </w:r>
          </w:p>
        </w:tc>
        <w:tc>
          <w:tcPr>
            <w:tcW w:w="1426" w:type="dxa"/>
            <w:noWrap w:val="0"/>
            <w:vAlign w:val="center"/>
          </w:tcPr>
          <w:p w14:paraId="518FDE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5≤X＜20</w:t>
            </w:r>
          </w:p>
        </w:tc>
        <w:tc>
          <w:tcPr>
            <w:tcW w:w="992" w:type="dxa"/>
            <w:noWrap w:val="0"/>
            <w:vAlign w:val="center"/>
          </w:tcPr>
          <w:p w14:paraId="1EAE9E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X＜5</w:t>
            </w:r>
          </w:p>
        </w:tc>
      </w:tr>
      <w:tr w14:paraId="0A01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DF0D9A4">
            <w:pPr>
              <w:widowControl/>
              <w:jc w:val="left"/>
              <w:rPr>
                <w:rFonts w:ascii="宋体" w:hAnsi="宋体" w:eastAsia="宋体" w:cs="宋体"/>
                <w:color w:val="000000"/>
                <w:kern w:val="0"/>
                <w:sz w:val="18"/>
                <w:szCs w:val="18"/>
              </w:rPr>
            </w:pPr>
          </w:p>
        </w:tc>
        <w:tc>
          <w:tcPr>
            <w:tcW w:w="1369" w:type="dxa"/>
            <w:noWrap w:val="0"/>
            <w:vAlign w:val="center"/>
          </w:tcPr>
          <w:p w14:paraId="25DEA27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1CF97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234886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noWrap w:val="0"/>
            <w:vAlign w:val="center"/>
          </w:tcPr>
          <w:p w14:paraId="502712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5000≤Y＜40000</w:t>
            </w:r>
          </w:p>
        </w:tc>
        <w:tc>
          <w:tcPr>
            <w:tcW w:w="1426" w:type="dxa"/>
            <w:noWrap w:val="0"/>
            <w:vAlign w:val="center"/>
          </w:tcPr>
          <w:p w14:paraId="0F9BED89">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1000≤Y＜5000</w:t>
            </w:r>
          </w:p>
        </w:tc>
        <w:tc>
          <w:tcPr>
            <w:tcW w:w="992" w:type="dxa"/>
            <w:noWrap w:val="0"/>
            <w:vAlign w:val="center"/>
          </w:tcPr>
          <w:p w14:paraId="38282C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w:t>
            </w:r>
          </w:p>
        </w:tc>
      </w:tr>
      <w:tr w14:paraId="561C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BDECE3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w:t>
            </w:r>
          </w:p>
        </w:tc>
        <w:tc>
          <w:tcPr>
            <w:tcW w:w="1369" w:type="dxa"/>
            <w:noWrap w:val="0"/>
            <w:vAlign w:val="center"/>
          </w:tcPr>
          <w:p w14:paraId="736528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1B9F8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CB5FC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5E3229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50≤X＜300</w:t>
            </w:r>
          </w:p>
        </w:tc>
        <w:tc>
          <w:tcPr>
            <w:tcW w:w="1426" w:type="dxa"/>
            <w:noWrap w:val="0"/>
            <w:vAlign w:val="center"/>
          </w:tcPr>
          <w:p w14:paraId="20647A19">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10≤X＜50 </w:t>
            </w:r>
          </w:p>
        </w:tc>
        <w:tc>
          <w:tcPr>
            <w:tcW w:w="992" w:type="dxa"/>
            <w:noWrap w:val="0"/>
            <w:vAlign w:val="center"/>
          </w:tcPr>
          <w:p w14:paraId="28E9CD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635F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D00E50C">
            <w:pPr>
              <w:widowControl/>
              <w:jc w:val="left"/>
              <w:rPr>
                <w:rFonts w:ascii="宋体" w:hAnsi="宋体" w:eastAsia="宋体" w:cs="宋体"/>
                <w:color w:val="000000"/>
                <w:kern w:val="0"/>
                <w:sz w:val="18"/>
                <w:szCs w:val="18"/>
              </w:rPr>
            </w:pPr>
          </w:p>
        </w:tc>
        <w:tc>
          <w:tcPr>
            <w:tcW w:w="1369" w:type="dxa"/>
            <w:noWrap w:val="0"/>
            <w:vAlign w:val="center"/>
          </w:tcPr>
          <w:p w14:paraId="61ED71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135738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217F8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noWrap w:val="0"/>
            <w:vAlign w:val="center"/>
          </w:tcPr>
          <w:p w14:paraId="3943CE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noWrap w:val="0"/>
            <w:vAlign w:val="center"/>
          </w:tcPr>
          <w:p w14:paraId="6BCF6036">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100≤Y＜500 </w:t>
            </w:r>
          </w:p>
        </w:tc>
        <w:tc>
          <w:tcPr>
            <w:tcW w:w="992" w:type="dxa"/>
            <w:noWrap w:val="0"/>
            <w:vAlign w:val="center"/>
          </w:tcPr>
          <w:p w14:paraId="72AFD0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6FB8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7DC36A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交通运输业 *</w:t>
            </w:r>
          </w:p>
        </w:tc>
        <w:tc>
          <w:tcPr>
            <w:tcW w:w="1369" w:type="dxa"/>
            <w:noWrap w:val="0"/>
            <w:vAlign w:val="center"/>
          </w:tcPr>
          <w:p w14:paraId="4F0ACB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B26E1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2E0875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6B9A03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004DB6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06B02B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3F33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D66C503">
            <w:pPr>
              <w:widowControl/>
              <w:jc w:val="left"/>
              <w:rPr>
                <w:rFonts w:ascii="宋体" w:hAnsi="宋体" w:eastAsia="宋体" w:cs="宋体"/>
                <w:color w:val="000000"/>
                <w:kern w:val="0"/>
                <w:sz w:val="18"/>
                <w:szCs w:val="18"/>
              </w:rPr>
            </w:pPr>
          </w:p>
        </w:tc>
        <w:tc>
          <w:tcPr>
            <w:tcW w:w="1369" w:type="dxa"/>
            <w:noWrap w:val="0"/>
            <w:vAlign w:val="center"/>
          </w:tcPr>
          <w:p w14:paraId="1AE9590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56F245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1D21B7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3CECCC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3000≤Y＜30000</w:t>
            </w:r>
          </w:p>
        </w:tc>
        <w:tc>
          <w:tcPr>
            <w:tcW w:w="1426" w:type="dxa"/>
            <w:noWrap w:val="0"/>
            <w:vAlign w:val="center"/>
          </w:tcPr>
          <w:p w14:paraId="2239E3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200≤Y＜3000</w:t>
            </w:r>
          </w:p>
        </w:tc>
        <w:tc>
          <w:tcPr>
            <w:tcW w:w="992" w:type="dxa"/>
            <w:noWrap w:val="0"/>
            <w:vAlign w:val="center"/>
          </w:tcPr>
          <w:p w14:paraId="1AD10C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w:t>
            </w:r>
          </w:p>
        </w:tc>
      </w:tr>
      <w:tr w14:paraId="45EC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0FE06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仓储业*</w:t>
            </w:r>
          </w:p>
        </w:tc>
        <w:tc>
          <w:tcPr>
            <w:tcW w:w="1369" w:type="dxa"/>
            <w:noWrap w:val="0"/>
            <w:vAlign w:val="center"/>
          </w:tcPr>
          <w:p w14:paraId="5F3DAD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0B513A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6A11F2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noWrap w:val="0"/>
            <w:vAlign w:val="center"/>
          </w:tcPr>
          <w:p w14:paraId="6152F91D">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100≤X＜200</w:t>
            </w:r>
          </w:p>
        </w:tc>
        <w:tc>
          <w:tcPr>
            <w:tcW w:w="1426" w:type="dxa"/>
            <w:noWrap w:val="0"/>
            <w:vAlign w:val="center"/>
          </w:tcPr>
          <w:p w14:paraId="71AC1F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20≤X＜100</w:t>
            </w:r>
          </w:p>
        </w:tc>
        <w:tc>
          <w:tcPr>
            <w:tcW w:w="992" w:type="dxa"/>
            <w:noWrap w:val="0"/>
            <w:vAlign w:val="center"/>
          </w:tcPr>
          <w:p w14:paraId="589FB5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12DB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B867326">
            <w:pPr>
              <w:widowControl/>
              <w:jc w:val="left"/>
              <w:rPr>
                <w:rFonts w:ascii="宋体" w:hAnsi="宋体" w:eastAsia="宋体" w:cs="宋体"/>
                <w:color w:val="000000"/>
                <w:kern w:val="0"/>
                <w:sz w:val="18"/>
                <w:szCs w:val="18"/>
              </w:rPr>
            </w:pPr>
          </w:p>
        </w:tc>
        <w:tc>
          <w:tcPr>
            <w:tcW w:w="1369" w:type="dxa"/>
            <w:noWrap w:val="0"/>
            <w:vAlign w:val="center"/>
          </w:tcPr>
          <w:p w14:paraId="3FB53EE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AFFBDC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90E4E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7A3FFE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1000≤Y＜30000</w:t>
            </w:r>
          </w:p>
        </w:tc>
        <w:tc>
          <w:tcPr>
            <w:tcW w:w="1426" w:type="dxa"/>
            <w:noWrap w:val="0"/>
            <w:vAlign w:val="center"/>
          </w:tcPr>
          <w:p w14:paraId="2544A0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385CD6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FFE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AA76E3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邮政业</w:t>
            </w:r>
          </w:p>
        </w:tc>
        <w:tc>
          <w:tcPr>
            <w:tcW w:w="1369" w:type="dxa"/>
            <w:noWrap w:val="0"/>
            <w:vAlign w:val="center"/>
          </w:tcPr>
          <w:p w14:paraId="451A02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19367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B27FE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070ADF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70597D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6D132E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075E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4E2F88E">
            <w:pPr>
              <w:widowControl/>
              <w:jc w:val="left"/>
              <w:rPr>
                <w:rFonts w:ascii="宋体" w:hAnsi="宋体" w:eastAsia="宋体" w:cs="宋体"/>
                <w:color w:val="000000"/>
                <w:kern w:val="0"/>
                <w:sz w:val="18"/>
                <w:szCs w:val="18"/>
              </w:rPr>
            </w:pPr>
          </w:p>
        </w:tc>
        <w:tc>
          <w:tcPr>
            <w:tcW w:w="1369" w:type="dxa"/>
            <w:noWrap w:val="0"/>
            <w:vAlign w:val="center"/>
          </w:tcPr>
          <w:p w14:paraId="0D0AA6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EC5DA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611A17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03E53A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2000≤Y＜30000</w:t>
            </w:r>
          </w:p>
        </w:tc>
        <w:tc>
          <w:tcPr>
            <w:tcW w:w="1426" w:type="dxa"/>
            <w:noWrap w:val="0"/>
            <w:vAlign w:val="center"/>
          </w:tcPr>
          <w:p w14:paraId="0E07C3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72B0FD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7DD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36007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住宿业</w:t>
            </w:r>
          </w:p>
        </w:tc>
        <w:tc>
          <w:tcPr>
            <w:tcW w:w="1369" w:type="dxa"/>
            <w:noWrap w:val="0"/>
            <w:vAlign w:val="center"/>
          </w:tcPr>
          <w:p w14:paraId="05EDC7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3ECD1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73AB6F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484CA589">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62821A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5B29D2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7370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8216D4">
            <w:pPr>
              <w:widowControl/>
              <w:jc w:val="left"/>
              <w:rPr>
                <w:rFonts w:ascii="宋体" w:hAnsi="宋体" w:eastAsia="宋体" w:cs="宋体"/>
                <w:color w:val="000000"/>
                <w:kern w:val="0"/>
                <w:sz w:val="18"/>
                <w:szCs w:val="18"/>
              </w:rPr>
            </w:pPr>
          </w:p>
        </w:tc>
        <w:tc>
          <w:tcPr>
            <w:tcW w:w="1369" w:type="dxa"/>
            <w:noWrap w:val="0"/>
            <w:vAlign w:val="center"/>
          </w:tcPr>
          <w:p w14:paraId="46A7CC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3F861B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50A687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0B22CD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noWrap w:val="0"/>
            <w:vAlign w:val="center"/>
          </w:tcPr>
          <w:p w14:paraId="436EEB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1577D8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4321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8778D1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餐饮业</w:t>
            </w:r>
          </w:p>
        </w:tc>
        <w:tc>
          <w:tcPr>
            <w:tcW w:w="1369" w:type="dxa"/>
            <w:noWrap w:val="0"/>
            <w:vAlign w:val="center"/>
          </w:tcPr>
          <w:p w14:paraId="24BB02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74BDF0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2AE420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55F038D8">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16D796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235396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1080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7AF6815">
            <w:pPr>
              <w:widowControl/>
              <w:jc w:val="left"/>
              <w:rPr>
                <w:rFonts w:ascii="宋体" w:hAnsi="宋体" w:eastAsia="宋体" w:cs="宋体"/>
                <w:color w:val="000000"/>
                <w:kern w:val="0"/>
                <w:sz w:val="18"/>
                <w:szCs w:val="18"/>
              </w:rPr>
            </w:pPr>
          </w:p>
        </w:tc>
        <w:tc>
          <w:tcPr>
            <w:tcW w:w="1369" w:type="dxa"/>
            <w:noWrap w:val="0"/>
            <w:vAlign w:val="center"/>
          </w:tcPr>
          <w:p w14:paraId="43DC775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4E4F18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27137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73E7E8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noWrap w:val="0"/>
            <w:vAlign w:val="center"/>
          </w:tcPr>
          <w:p w14:paraId="7EB983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3FAD45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6800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3E3BF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信息传输业 *</w:t>
            </w:r>
          </w:p>
        </w:tc>
        <w:tc>
          <w:tcPr>
            <w:tcW w:w="1369" w:type="dxa"/>
            <w:noWrap w:val="0"/>
            <w:vAlign w:val="center"/>
          </w:tcPr>
          <w:p w14:paraId="77060F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75FCC5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0C2F2C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X≥2000</w:t>
            </w:r>
          </w:p>
        </w:tc>
        <w:tc>
          <w:tcPr>
            <w:tcW w:w="1701" w:type="dxa"/>
            <w:noWrap w:val="0"/>
            <w:vAlign w:val="center"/>
          </w:tcPr>
          <w:p w14:paraId="2201B7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100≤X＜2000</w:t>
            </w:r>
          </w:p>
        </w:tc>
        <w:tc>
          <w:tcPr>
            <w:tcW w:w="1426" w:type="dxa"/>
            <w:noWrap w:val="0"/>
            <w:vAlign w:val="center"/>
          </w:tcPr>
          <w:p w14:paraId="66003A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4D2951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0F60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2DEB024">
            <w:pPr>
              <w:widowControl/>
              <w:jc w:val="left"/>
              <w:rPr>
                <w:rFonts w:ascii="宋体" w:hAnsi="宋体" w:eastAsia="宋体" w:cs="宋体"/>
                <w:color w:val="000000"/>
                <w:kern w:val="0"/>
                <w:sz w:val="18"/>
                <w:szCs w:val="18"/>
              </w:rPr>
            </w:pPr>
          </w:p>
        </w:tc>
        <w:tc>
          <w:tcPr>
            <w:tcW w:w="1369" w:type="dxa"/>
            <w:noWrap w:val="0"/>
            <w:vAlign w:val="center"/>
          </w:tcPr>
          <w:p w14:paraId="0297BD1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9B579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7B7341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Y≥100000</w:t>
            </w:r>
          </w:p>
        </w:tc>
        <w:tc>
          <w:tcPr>
            <w:tcW w:w="1701" w:type="dxa"/>
            <w:noWrap w:val="0"/>
            <w:vAlign w:val="center"/>
          </w:tcPr>
          <w:p w14:paraId="0B2592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1000≤Y＜100000</w:t>
            </w:r>
          </w:p>
        </w:tc>
        <w:tc>
          <w:tcPr>
            <w:tcW w:w="1426" w:type="dxa"/>
            <w:noWrap w:val="0"/>
            <w:vAlign w:val="center"/>
          </w:tcPr>
          <w:p w14:paraId="66EF03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517B4B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2C6F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92FAED0">
            <w:pPr>
              <w:widowControl/>
              <w:spacing w:line="240" w:lineRule="exact"/>
              <w:jc w:val="left"/>
              <w:rPr>
                <w:rFonts w:ascii="宋体" w:hAnsi="宋体" w:eastAsia="宋体" w:cs="宋体"/>
                <w:color w:val="000000"/>
                <w:spacing w:val="-12"/>
                <w:kern w:val="0"/>
                <w:sz w:val="18"/>
                <w:szCs w:val="18"/>
              </w:rPr>
            </w:pPr>
            <w:r>
              <w:rPr>
                <w:rFonts w:hint="eastAsia" w:ascii="宋体" w:hAnsi="宋体" w:eastAsia="宋体" w:cs="宋体"/>
                <w:color w:val="000000"/>
                <w:spacing w:val="-12"/>
                <w:kern w:val="0"/>
                <w:sz w:val="18"/>
                <w:szCs w:val="18"/>
              </w:rPr>
              <w:t>软件和信息技术服</w:t>
            </w:r>
            <w:r>
              <w:rPr>
                <w:rFonts w:hint="eastAsia" w:ascii="宋体" w:hAnsi="宋体" w:eastAsia="宋体" w:cs="宋体"/>
                <w:color w:val="000000"/>
                <w:kern w:val="0"/>
                <w:sz w:val="18"/>
                <w:szCs w:val="18"/>
              </w:rPr>
              <w:t>务业</w:t>
            </w:r>
          </w:p>
        </w:tc>
        <w:tc>
          <w:tcPr>
            <w:tcW w:w="1369" w:type="dxa"/>
            <w:noWrap w:val="0"/>
            <w:vAlign w:val="center"/>
          </w:tcPr>
          <w:p w14:paraId="321869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2E618C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6CAB3C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2AB33CCD">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465A1C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07C419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030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E41FD76">
            <w:pPr>
              <w:widowControl/>
              <w:jc w:val="left"/>
              <w:rPr>
                <w:rFonts w:ascii="宋体" w:hAnsi="宋体" w:eastAsia="宋体" w:cs="宋体"/>
                <w:color w:val="000000"/>
                <w:spacing w:val="-12"/>
                <w:kern w:val="0"/>
                <w:sz w:val="18"/>
                <w:szCs w:val="18"/>
              </w:rPr>
            </w:pPr>
          </w:p>
        </w:tc>
        <w:tc>
          <w:tcPr>
            <w:tcW w:w="1369" w:type="dxa"/>
            <w:noWrap w:val="0"/>
            <w:vAlign w:val="center"/>
          </w:tcPr>
          <w:p w14:paraId="525D22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CC30E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7C130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28022D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1000≤Y＜10000</w:t>
            </w:r>
          </w:p>
        </w:tc>
        <w:tc>
          <w:tcPr>
            <w:tcW w:w="1426" w:type="dxa"/>
            <w:noWrap w:val="0"/>
            <w:vAlign w:val="center"/>
          </w:tcPr>
          <w:p w14:paraId="776F39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50≤Y＜1000</w:t>
            </w:r>
          </w:p>
        </w:tc>
        <w:tc>
          <w:tcPr>
            <w:tcW w:w="992" w:type="dxa"/>
            <w:noWrap w:val="0"/>
            <w:vAlign w:val="center"/>
          </w:tcPr>
          <w:p w14:paraId="6B7B7B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7FB4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FAF049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房地产开发经营</w:t>
            </w:r>
          </w:p>
        </w:tc>
        <w:tc>
          <w:tcPr>
            <w:tcW w:w="1369" w:type="dxa"/>
            <w:noWrap w:val="0"/>
            <w:vAlign w:val="center"/>
          </w:tcPr>
          <w:p w14:paraId="79E9E8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45989F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6319D4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Y≥200000</w:t>
            </w:r>
          </w:p>
        </w:tc>
        <w:tc>
          <w:tcPr>
            <w:tcW w:w="1701" w:type="dxa"/>
            <w:noWrap w:val="0"/>
            <w:vAlign w:val="center"/>
          </w:tcPr>
          <w:p w14:paraId="054B85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1000≤Y＜200000</w:t>
            </w:r>
          </w:p>
        </w:tc>
        <w:tc>
          <w:tcPr>
            <w:tcW w:w="1426" w:type="dxa"/>
            <w:noWrap w:val="0"/>
            <w:vAlign w:val="center"/>
          </w:tcPr>
          <w:p w14:paraId="1F2EAA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444678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92F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5DA586">
            <w:pPr>
              <w:widowControl/>
              <w:jc w:val="left"/>
              <w:rPr>
                <w:rFonts w:ascii="宋体" w:hAnsi="宋体" w:eastAsia="宋体" w:cs="宋体"/>
                <w:color w:val="000000"/>
                <w:kern w:val="0"/>
                <w:sz w:val="18"/>
                <w:szCs w:val="18"/>
              </w:rPr>
            </w:pPr>
          </w:p>
        </w:tc>
        <w:tc>
          <w:tcPr>
            <w:tcW w:w="1369" w:type="dxa"/>
            <w:noWrap w:val="0"/>
            <w:vAlign w:val="center"/>
          </w:tcPr>
          <w:p w14:paraId="2DFC02C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2A4120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1250B9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Z≥10000</w:t>
            </w:r>
          </w:p>
        </w:tc>
        <w:tc>
          <w:tcPr>
            <w:tcW w:w="1701" w:type="dxa"/>
            <w:noWrap w:val="0"/>
            <w:vAlign w:val="center"/>
          </w:tcPr>
          <w:p w14:paraId="64D87A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5000≤Z＜10000</w:t>
            </w:r>
          </w:p>
        </w:tc>
        <w:tc>
          <w:tcPr>
            <w:tcW w:w="1426" w:type="dxa"/>
            <w:noWrap w:val="0"/>
            <w:vAlign w:val="center"/>
          </w:tcPr>
          <w:p w14:paraId="6119E8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2000≤Z＜5000   </w:t>
            </w:r>
          </w:p>
        </w:tc>
        <w:tc>
          <w:tcPr>
            <w:tcW w:w="992" w:type="dxa"/>
            <w:noWrap w:val="0"/>
            <w:vAlign w:val="center"/>
          </w:tcPr>
          <w:p w14:paraId="31DA98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Z＜2000</w:t>
            </w:r>
          </w:p>
        </w:tc>
      </w:tr>
      <w:tr w14:paraId="7F34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6E2D19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w:t>
            </w:r>
          </w:p>
        </w:tc>
        <w:tc>
          <w:tcPr>
            <w:tcW w:w="1369" w:type="dxa"/>
            <w:noWrap w:val="0"/>
            <w:vAlign w:val="center"/>
          </w:tcPr>
          <w:p w14:paraId="30699D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257328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36980B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7BF063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7806F3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992" w:type="dxa"/>
            <w:noWrap w:val="0"/>
            <w:vAlign w:val="center"/>
          </w:tcPr>
          <w:p w14:paraId="1A710D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w:t>
            </w:r>
          </w:p>
        </w:tc>
      </w:tr>
      <w:tr w14:paraId="72AC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AE63CBA">
            <w:pPr>
              <w:widowControl/>
              <w:jc w:val="left"/>
              <w:rPr>
                <w:rFonts w:ascii="宋体" w:hAnsi="宋体" w:eastAsia="宋体" w:cs="宋体"/>
                <w:color w:val="000000"/>
                <w:kern w:val="0"/>
                <w:sz w:val="18"/>
                <w:szCs w:val="18"/>
              </w:rPr>
            </w:pPr>
          </w:p>
        </w:tc>
        <w:tc>
          <w:tcPr>
            <w:tcW w:w="1369" w:type="dxa"/>
            <w:noWrap w:val="0"/>
            <w:vAlign w:val="center"/>
          </w:tcPr>
          <w:p w14:paraId="7692D02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A18BB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D0BC2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Y≥5000</w:t>
            </w:r>
          </w:p>
        </w:tc>
        <w:tc>
          <w:tcPr>
            <w:tcW w:w="1701" w:type="dxa"/>
            <w:noWrap w:val="0"/>
            <w:vAlign w:val="center"/>
          </w:tcPr>
          <w:p w14:paraId="2F59F659">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1000≤Y＜5000 </w:t>
            </w:r>
          </w:p>
        </w:tc>
        <w:tc>
          <w:tcPr>
            <w:tcW w:w="1426" w:type="dxa"/>
            <w:noWrap w:val="0"/>
            <w:vAlign w:val="center"/>
          </w:tcPr>
          <w:p w14:paraId="373020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500≤Y＜1000</w:t>
            </w:r>
          </w:p>
        </w:tc>
        <w:tc>
          <w:tcPr>
            <w:tcW w:w="992" w:type="dxa"/>
            <w:noWrap w:val="0"/>
            <w:vAlign w:val="center"/>
          </w:tcPr>
          <w:p w14:paraId="2D653B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Y＜500</w:t>
            </w:r>
          </w:p>
        </w:tc>
      </w:tr>
      <w:tr w14:paraId="3670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190F46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租赁和商务服务业</w:t>
            </w:r>
          </w:p>
        </w:tc>
        <w:tc>
          <w:tcPr>
            <w:tcW w:w="1369" w:type="dxa"/>
            <w:noWrap w:val="0"/>
            <w:vAlign w:val="center"/>
          </w:tcPr>
          <w:p w14:paraId="329D09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5F3A7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430654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0D5479A6">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74CBB6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7C983B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2E7E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C36FE0E">
            <w:pPr>
              <w:widowControl/>
              <w:jc w:val="left"/>
              <w:rPr>
                <w:rFonts w:ascii="宋体" w:hAnsi="宋体" w:eastAsia="宋体" w:cs="宋体"/>
                <w:color w:val="000000"/>
                <w:kern w:val="0"/>
                <w:sz w:val="18"/>
                <w:szCs w:val="18"/>
              </w:rPr>
            </w:pPr>
          </w:p>
        </w:tc>
        <w:tc>
          <w:tcPr>
            <w:tcW w:w="1369" w:type="dxa"/>
            <w:noWrap w:val="0"/>
            <w:vAlign w:val="center"/>
          </w:tcPr>
          <w:p w14:paraId="514F0A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406653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CCF6C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Z≥120000</w:t>
            </w:r>
          </w:p>
        </w:tc>
        <w:tc>
          <w:tcPr>
            <w:tcW w:w="1701" w:type="dxa"/>
            <w:noWrap w:val="0"/>
            <w:vAlign w:val="center"/>
          </w:tcPr>
          <w:p w14:paraId="2184A6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8000≤Z＜120000</w:t>
            </w:r>
          </w:p>
        </w:tc>
        <w:tc>
          <w:tcPr>
            <w:tcW w:w="1426" w:type="dxa"/>
            <w:noWrap w:val="0"/>
            <w:vAlign w:val="center"/>
          </w:tcPr>
          <w:p w14:paraId="44C34D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100≤Z＜8000</w:t>
            </w:r>
          </w:p>
        </w:tc>
        <w:tc>
          <w:tcPr>
            <w:tcW w:w="992" w:type="dxa"/>
            <w:noWrap w:val="0"/>
            <w:vAlign w:val="center"/>
          </w:tcPr>
          <w:p w14:paraId="7EF0C5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Z＜100</w:t>
            </w:r>
          </w:p>
        </w:tc>
      </w:tr>
      <w:tr w14:paraId="315C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E7C63C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其他未列明行业 *</w:t>
            </w:r>
          </w:p>
        </w:tc>
        <w:tc>
          <w:tcPr>
            <w:tcW w:w="1369" w:type="dxa"/>
            <w:noWrap w:val="0"/>
            <w:vAlign w:val="center"/>
          </w:tcPr>
          <w:p w14:paraId="192B1C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49B27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29F67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002A972B">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68B667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28262F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bl>
    <w:p w14:paraId="7EDD729F">
      <w:pPr>
        <w:widowControl/>
        <w:spacing w:line="540" w:lineRule="exact"/>
        <w:ind w:firstLine="226" w:firstLineChars="100"/>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说明：</w:t>
      </w:r>
    </w:p>
    <w:p w14:paraId="0E0E86DC">
      <w:pPr>
        <w:spacing w:line="540" w:lineRule="exact"/>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　　1.大型、中型和小型企业须同时满足所列指标的下限，否则下划一档；微型企业只须满足所列指标中的一项即可。</w:t>
      </w:r>
    </w:p>
    <w:p w14:paraId="53F2BF97">
      <w:pPr>
        <w:spacing w:line="540" w:lineRule="exact"/>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8502941">
      <w:pPr>
        <w:spacing w:line="540" w:lineRule="exact"/>
        <w:ind w:firstLine="452" w:firstLineChars="200"/>
        <w:rPr>
          <w:rFonts w:hint="eastAsia" w:ascii="宋体" w:hAnsi="宋体" w:eastAsia="宋体" w:cs="宋体"/>
          <w:color w:val="000000"/>
          <w:spacing w:val="8"/>
          <w:kern w:val="0"/>
          <w:sz w:val="21"/>
          <w:szCs w:val="21"/>
          <w:lang w:val="en-US" w:eastAsia="zh-CN"/>
        </w:rPr>
      </w:pPr>
      <w:r>
        <w:rPr>
          <w:rFonts w:hint="eastAsia" w:ascii="宋体" w:hAnsi="宋体" w:eastAsia="宋体" w:cs="宋体"/>
          <w:color w:val="000000"/>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3C083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615B6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FEF2C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BC437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296B1FCA">
      <w:pPr>
        <w:jc w:val="center"/>
        <w:rPr>
          <w:rFonts w:hint="eastAsia" w:eastAsia="宋体" w:cs="Times New Roman"/>
          <w:sz w:val="24"/>
          <w:szCs w:val="28"/>
          <w:lang w:val="en-US" w:eastAsia="zh-CN"/>
        </w:rPr>
      </w:pPr>
    </w:p>
    <w:p w14:paraId="4C755842">
      <w:pPr>
        <w:jc w:val="center"/>
        <w:rPr>
          <w:rFonts w:hint="eastAsia" w:eastAsia="宋体" w:cs="Times New Roman"/>
          <w:sz w:val="24"/>
          <w:szCs w:val="28"/>
          <w:lang w:val="en-US" w:eastAsia="zh-CN"/>
        </w:rPr>
      </w:pPr>
    </w:p>
    <w:p w14:paraId="1D112B1C">
      <w:pPr>
        <w:jc w:val="center"/>
        <w:rPr>
          <w:rFonts w:hint="eastAsia" w:eastAsia="宋体" w:cs="Times New Roman"/>
          <w:sz w:val="24"/>
          <w:szCs w:val="28"/>
          <w:lang w:val="en-US" w:eastAsia="zh-CN"/>
        </w:rPr>
      </w:pPr>
    </w:p>
    <w:p w14:paraId="400DBD6B">
      <w:pPr>
        <w:jc w:val="center"/>
        <w:rPr>
          <w:rFonts w:hint="eastAsia"/>
          <w:sz w:val="24"/>
          <w:szCs w:val="28"/>
          <w:lang w:val="en-US" w:eastAsia="zh-CN"/>
        </w:rPr>
      </w:pPr>
    </w:p>
    <w:p w14:paraId="50657B38">
      <w:pPr>
        <w:jc w:val="center"/>
        <w:rPr>
          <w:rFonts w:hint="eastAsia"/>
          <w:sz w:val="24"/>
          <w:szCs w:val="28"/>
          <w:lang w:val="en-US" w:eastAsia="zh-CN"/>
        </w:rPr>
      </w:pPr>
    </w:p>
    <w:p w14:paraId="579726D9">
      <w:pPr>
        <w:jc w:val="center"/>
        <w:rPr>
          <w:rFonts w:hint="eastAsia"/>
          <w:sz w:val="24"/>
          <w:szCs w:val="28"/>
          <w:lang w:val="en-US" w:eastAsia="zh-CN"/>
        </w:rPr>
      </w:pPr>
    </w:p>
    <w:p w14:paraId="6340FA3B">
      <w:pPr>
        <w:jc w:val="center"/>
        <w:rPr>
          <w:rFonts w:hint="eastAsia"/>
          <w:sz w:val="24"/>
          <w:szCs w:val="28"/>
          <w:lang w:val="en-US" w:eastAsia="zh-CN"/>
        </w:rPr>
      </w:pPr>
    </w:p>
    <w:p w14:paraId="26ED4189">
      <w:pPr>
        <w:jc w:val="center"/>
        <w:rPr>
          <w:rFonts w:hint="eastAsia"/>
          <w:sz w:val="24"/>
          <w:szCs w:val="28"/>
          <w:lang w:val="en-US" w:eastAsia="zh-CN"/>
        </w:rPr>
      </w:pPr>
    </w:p>
    <w:p w14:paraId="02CA87B3">
      <w:pPr>
        <w:jc w:val="center"/>
        <w:rPr>
          <w:rFonts w:hint="eastAsia"/>
          <w:sz w:val="24"/>
          <w:szCs w:val="28"/>
          <w:lang w:val="en-US" w:eastAsia="zh-CN"/>
        </w:rPr>
      </w:pPr>
    </w:p>
    <w:p w14:paraId="3F0BD0BB">
      <w:pPr>
        <w:jc w:val="center"/>
        <w:rPr>
          <w:rFonts w:hint="eastAsia"/>
          <w:sz w:val="24"/>
          <w:szCs w:val="28"/>
          <w:lang w:val="en-US" w:eastAsia="zh-CN"/>
        </w:rPr>
      </w:pPr>
    </w:p>
    <w:p w14:paraId="3FFEB839">
      <w:pPr>
        <w:jc w:val="center"/>
        <w:rPr>
          <w:rFonts w:hint="eastAsia"/>
          <w:sz w:val="24"/>
          <w:szCs w:val="28"/>
          <w:lang w:val="en-US" w:eastAsia="zh-CN"/>
        </w:rPr>
      </w:pPr>
    </w:p>
    <w:p w14:paraId="2DBD6970">
      <w:pPr>
        <w:jc w:val="center"/>
        <w:rPr>
          <w:rFonts w:hint="eastAsia"/>
          <w:sz w:val="24"/>
          <w:szCs w:val="28"/>
          <w:lang w:val="en-US" w:eastAsia="zh-CN"/>
        </w:rPr>
      </w:pPr>
    </w:p>
    <w:p w14:paraId="0671C682">
      <w:pPr>
        <w:jc w:val="center"/>
        <w:rPr>
          <w:rFonts w:hint="eastAsia"/>
          <w:sz w:val="24"/>
          <w:szCs w:val="28"/>
          <w:lang w:val="en-US" w:eastAsia="zh-CN"/>
        </w:rPr>
      </w:pPr>
    </w:p>
    <w:p w14:paraId="654CAC78">
      <w:pPr>
        <w:jc w:val="center"/>
        <w:rPr>
          <w:rFonts w:hint="eastAsia"/>
          <w:sz w:val="24"/>
          <w:szCs w:val="28"/>
          <w:lang w:val="en-US" w:eastAsia="zh-CN"/>
        </w:rPr>
      </w:pPr>
    </w:p>
    <w:p w14:paraId="0236F925">
      <w:pPr>
        <w:jc w:val="center"/>
        <w:rPr>
          <w:rFonts w:hint="eastAsia"/>
          <w:sz w:val="24"/>
          <w:szCs w:val="28"/>
          <w:lang w:val="en-US" w:eastAsia="zh-CN"/>
        </w:rPr>
      </w:pPr>
    </w:p>
    <w:p w14:paraId="38BFC078">
      <w:pPr>
        <w:jc w:val="center"/>
        <w:rPr>
          <w:rFonts w:hint="eastAsia"/>
          <w:sz w:val="24"/>
          <w:szCs w:val="28"/>
          <w:lang w:val="en-US" w:eastAsia="zh-CN"/>
        </w:rPr>
      </w:pPr>
      <w:r>
        <w:rPr>
          <w:rFonts w:hint="eastAsia"/>
          <w:sz w:val="24"/>
          <w:szCs w:val="28"/>
          <w:lang w:val="en-US" w:eastAsia="zh-CN"/>
        </w:rPr>
        <w:t>残疾人福利性单位声明函</w:t>
      </w:r>
      <w:bookmarkEnd w:id="303"/>
      <w:r>
        <w:rPr>
          <w:rFonts w:hint="eastAsia"/>
          <w:sz w:val="24"/>
          <w:szCs w:val="28"/>
          <w:lang w:val="en-US" w:eastAsia="zh-CN"/>
        </w:rPr>
        <w:t>（若有）</w:t>
      </w:r>
    </w:p>
    <w:p w14:paraId="793EA959">
      <w:pPr>
        <w:pStyle w:val="14"/>
        <w:rPr>
          <w:rFonts w:hint="eastAsia"/>
          <w:lang w:val="en-US" w:eastAsia="zh-CN"/>
        </w:rPr>
      </w:pPr>
    </w:p>
    <w:p w14:paraId="1C8C5F05">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14:paraId="73B95502">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本单位在本次政府采购活动中提供的残疾人福利单位产品报价合计为人民币（大写）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圆整（￥：     ）。</w:t>
      </w:r>
    </w:p>
    <w:p w14:paraId="00831EEC">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本单位对上述声明的真实性负责。如有虚假，将依法承担相应责任。</w:t>
      </w:r>
    </w:p>
    <w:p w14:paraId="72C3ADE1">
      <w:pPr>
        <w:spacing w:before="145" w:beforeLines="50" w:after="145" w:afterLines="50" w:line="300" w:lineRule="auto"/>
        <w:ind w:firstLine="480" w:firstLineChars="200"/>
        <w:rPr>
          <w:rFonts w:hint="eastAsia" w:ascii="宋体" w:hAnsi="宋体" w:eastAsia="宋体" w:cs="宋体"/>
          <w:color w:val="000000"/>
          <w:sz w:val="24"/>
          <w:highlight w:val="none"/>
        </w:rPr>
      </w:pPr>
    </w:p>
    <w:p w14:paraId="3110E6B8">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（备注：1、供应商如不提供此声明函，价格将不做相应扣除。2、中标供应商为残疾人福利单位的，此声明函将随中标结果同时公告，接受社会监督）</w:t>
      </w:r>
    </w:p>
    <w:p w14:paraId="047362FF">
      <w:pPr>
        <w:spacing w:before="145" w:beforeLines="50" w:after="145" w:afterLines="50" w:line="300" w:lineRule="auto"/>
        <w:ind w:firstLine="624" w:firstLineChars="200"/>
        <w:rPr>
          <w:rFonts w:hint="eastAsia" w:ascii="宋体" w:hAnsi="宋体" w:eastAsia="宋体" w:cs="宋体"/>
          <w:color w:val="000000"/>
          <w:spacing w:val="6"/>
          <w:sz w:val="30"/>
          <w:szCs w:val="30"/>
          <w:highlight w:val="none"/>
        </w:rPr>
      </w:pPr>
    </w:p>
    <w:p w14:paraId="6081E95C">
      <w:pPr>
        <w:spacing w:before="145" w:beforeLines="50" w:after="145" w:afterLines="50" w:line="300" w:lineRule="auto"/>
        <w:ind w:firstLine="468" w:firstLineChars="150"/>
        <w:jc w:val="right"/>
        <w:rPr>
          <w:rFonts w:hint="eastAsia" w:ascii="宋体" w:hAnsi="宋体" w:eastAsia="宋体" w:cs="宋体"/>
          <w:color w:val="000000"/>
          <w:sz w:val="24"/>
          <w:highlight w:val="none"/>
        </w:rPr>
      </w:pPr>
      <w:r>
        <w:rPr>
          <w:rFonts w:hint="eastAsia" w:ascii="宋体" w:hAnsi="宋体" w:eastAsia="宋体" w:cs="宋体"/>
          <w:color w:val="000000"/>
          <w:spacing w:val="6"/>
          <w:sz w:val="30"/>
          <w:szCs w:val="30"/>
          <w:highlight w:val="none"/>
        </w:rPr>
        <w:t xml:space="preserve">             </w:t>
      </w:r>
      <w:r>
        <w:rPr>
          <w:rFonts w:hint="eastAsia" w:ascii="宋体" w:hAnsi="宋体" w:eastAsia="宋体" w:cs="宋体"/>
          <w:color w:val="000000"/>
          <w:sz w:val="24"/>
          <w:highlight w:val="none"/>
        </w:rPr>
        <w:t xml:space="preserve">                  企业名称（</w:t>
      </w:r>
      <w:r>
        <w:rPr>
          <w:rFonts w:hint="eastAsia" w:ascii="宋体" w:hAnsi="宋体" w:eastAsia="宋体" w:cs="宋体"/>
          <w:color w:val="000000"/>
          <w:sz w:val="24"/>
          <w:highlight w:val="none"/>
          <w:lang w:eastAsia="zh-CN"/>
        </w:rPr>
        <w:t>公</w:t>
      </w:r>
      <w:r>
        <w:rPr>
          <w:rFonts w:hint="eastAsia" w:ascii="宋体" w:hAnsi="宋体" w:eastAsia="宋体" w:cs="宋体"/>
          <w:color w:val="000000"/>
          <w:sz w:val="24"/>
          <w:highlight w:val="none"/>
        </w:rPr>
        <w:t>章）：</w:t>
      </w:r>
    </w:p>
    <w:p w14:paraId="34A402D6">
      <w:pPr>
        <w:spacing w:before="145" w:beforeLines="50" w:after="145" w:afterLines="50" w:line="300" w:lineRule="auto"/>
        <w:ind w:right="480" w:firstLine="6960" w:firstLineChars="29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p w14:paraId="58C1794A">
      <w:pPr>
        <w:tabs>
          <w:tab w:val="left" w:pos="4860"/>
        </w:tabs>
        <w:spacing w:before="145" w:beforeLines="50" w:after="145" w:afterLines="50" w:line="300" w:lineRule="auto"/>
        <w:ind w:right="1560" w:firstLine="480" w:firstLineChars="200"/>
        <w:jc w:val="center"/>
        <w:rPr>
          <w:rFonts w:hint="eastAsia" w:ascii="宋体" w:hAnsi="宋体" w:eastAsia="宋体" w:cs="宋体"/>
          <w:color w:val="000000"/>
          <w:sz w:val="24"/>
          <w:highlight w:val="none"/>
        </w:rPr>
      </w:pPr>
    </w:p>
    <w:p w14:paraId="1BBAC9BC">
      <w:pPr>
        <w:spacing w:before="145" w:beforeLines="50" w:after="145" w:afterLines="50" w:line="300" w:lineRule="auto"/>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eastAsia="zh-CN"/>
        </w:rPr>
        <w:t>注：符合条件的残疾人福利性单位请提供本函，不符合的不提供本函。</w:t>
      </w:r>
    </w:p>
    <w:p w14:paraId="6CCC20C3">
      <w:pPr>
        <w:spacing w:before="145" w:beforeLines="50" w:after="145" w:afterLines="50" w:line="300" w:lineRule="auto"/>
        <w:rPr>
          <w:rFonts w:hint="eastAsia" w:ascii="宋体" w:hAnsi="宋体" w:eastAsia="宋体" w:cs="宋体"/>
          <w:bCs/>
          <w:color w:val="000000"/>
          <w:sz w:val="24"/>
          <w:highlight w:val="none"/>
          <w:lang w:eastAsia="zh-CN"/>
        </w:rPr>
      </w:pPr>
    </w:p>
    <w:p w14:paraId="0A66B72D">
      <w:pPr>
        <w:spacing w:before="145" w:beforeLines="50" w:after="145" w:afterLines="50" w:line="300" w:lineRule="auto"/>
        <w:rPr>
          <w:rFonts w:hint="eastAsia" w:ascii="宋体" w:hAnsi="宋体" w:eastAsia="宋体" w:cs="宋体"/>
          <w:bCs/>
          <w:color w:val="000000"/>
          <w:sz w:val="24"/>
          <w:highlight w:val="none"/>
          <w:lang w:eastAsia="zh-CN"/>
        </w:rPr>
      </w:pPr>
    </w:p>
    <w:p w14:paraId="1AE277EC">
      <w:pPr>
        <w:spacing w:before="145" w:beforeLines="50" w:after="145" w:afterLines="50" w:line="300" w:lineRule="auto"/>
        <w:rPr>
          <w:rFonts w:hint="eastAsia" w:ascii="宋体" w:hAnsi="宋体" w:eastAsia="宋体" w:cs="宋体"/>
          <w:bCs/>
          <w:color w:val="000000"/>
          <w:sz w:val="24"/>
          <w:highlight w:val="none"/>
          <w:lang w:eastAsia="zh-CN"/>
        </w:rPr>
      </w:pPr>
    </w:p>
    <w:p w14:paraId="3838B08C">
      <w:pPr>
        <w:spacing w:before="145" w:beforeLines="50" w:after="145" w:afterLines="50" w:line="300" w:lineRule="auto"/>
        <w:rPr>
          <w:rFonts w:hint="eastAsia" w:ascii="宋体" w:hAnsi="宋体" w:eastAsia="宋体" w:cs="宋体"/>
          <w:bCs/>
          <w:color w:val="000000"/>
          <w:sz w:val="24"/>
          <w:highlight w:val="none"/>
          <w:lang w:eastAsia="zh-CN"/>
        </w:rPr>
      </w:pPr>
    </w:p>
    <w:p w14:paraId="0E57D486">
      <w:pPr>
        <w:spacing w:before="145" w:beforeLines="50" w:after="145" w:afterLines="50" w:line="300" w:lineRule="auto"/>
        <w:rPr>
          <w:rFonts w:hint="eastAsia" w:ascii="宋体" w:hAnsi="宋体" w:eastAsia="宋体" w:cs="宋体"/>
          <w:bCs/>
          <w:color w:val="000000"/>
          <w:sz w:val="24"/>
          <w:highlight w:val="none"/>
          <w:lang w:eastAsia="zh-CN"/>
        </w:rPr>
      </w:pPr>
    </w:p>
    <w:p w14:paraId="58D5D565">
      <w:pPr>
        <w:spacing w:before="145" w:beforeLines="50" w:after="145" w:afterLines="50" w:line="300" w:lineRule="auto"/>
        <w:rPr>
          <w:rFonts w:hint="eastAsia" w:ascii="宋体" w:hAnsi="宋体" w:eastAsia="宋体" w:cs="宋体"/>
          <w:bCs/>
          <w:color w:val="000000"/>
          <w:sz w:val="24"/>
          <w:highlight w:val="none"/>
          <w:lang w:eastAsia="zh-CN"/>
        </w:rPr>
      </w:pPr>
    </w:p>
    <w:p w14:paraId="76E54E12">
      <w:pPr>
        <w:spacing w:before="145" w:beforeLines="50" w:after="145" w:afterLines="50" w:line="300" w:lineRule="auto"/>
        <w:rPr>
          <w:rFonts w:hint="eastAsia" w:ascii="宋体" w:hAnsi="宋体" w:eastAsia="宋体" w:cs="宋体"/>
          <w:bCs/>
          <w:color w:val="000000"/>
          <w:sz w:val="24"/>
          <w:highlight w:val="none"/>
          <w:lang w:eastAsia="zh-CN"/>
        </w:rPr>
      </w:pPr>
    </w:p>
    <w:p w14:paraId="75953A82">
      <w:pPr>
        <w:pStyle w:val="14"/>
        <w:rPr>
          <w:rFonts w:hint="eastAsia"/>
          <w:lang w:eastAsia="zh-CN"/>
        </w:rPr>
      </w:pPr>
    </w:p>
    <w:p w14:paraId="466BB6D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9C35E2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01C0AD07">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5100AE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3FA171FF">
      <w:pPr>
        <w:spacing w:before="145" w:beforeLines="50" w:after="145" w:afterLines="50" w:line="300" w:lineRule="auto"/>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附件四、联合体协议</w:t>
      </w:r>
    </w:p>
    <w:p w14:paraId="2D8232E9">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b/>
          <w:bCs/>
          <w:color w:val="auto"/>
          <w:kern w:val="0"/>
          <w:sz w:val="24"/>
          <w:u w:val="none"/>
        </w:rPr>
      </w:pPr>
      <w:r>
        <w:rPr>
          <w:rFonts w:hint="eastAsia" w:ascii="宋体" w:hAnsi="宋体" w:eastAsia="宋体" w:cs="宋体"/>
          <w:b/>
          <w:bCs/>
          <w:color w:val="auto"/>
          <w:kern w:val="0"/>
          <w:sz w:val="24"/>
          <w:u w:val="none"/>
        </w:rPr>
        <w:t>（以联合体形式投标的，提供联合协议；本项目不接受联合体投标或者</w:t>
      </w:r>
      <w:r>
        <w:rPr>
          <w:rFonts w:hint="eastAsia" w:ascii="宋体" w:hAnsi="宋体" w:cs="宋体"/>
          <w:b/>
          <w:bCs/>
          <w:color w:val="auto"/>
          <w:kern w:val="0"/>
          <w:sz w:val="24"/>
          <w:u w:val="none"/>
          <w:lang w:eastAsia="zh-CN"/>
        </w:rPr>
        <w:t>供应商</w:t>
      </w:r>
      <w:r>
        <w:rPr>
          <w:rFonts w:hint="eastAsia" w:ascii="宋体" w:hAnsi="宋体" w:eastAsia="宋体" w:cs="宋体"/>
          <w:b/>
          <w:bCs/>
          <w:color w:val="auto"/>
          <w:kern w:val="0"/>
          <w:sz w:val="24"/>
          <w:u w:val="none"/>
        </w:rPr>
        <w:t>不以联合体形式投标的，则不需要提供）</w:t>
      </w:r>
    </w:p>
    <w:p w14:paraId="625D85B6">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w:t>
      </w: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5B6DB6E5">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4C91A32">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w:t>
      </w:r>
      <w:r>
        <w:rPr>
          <w:rFonts w:hint="eastAsia" w:ascii="宋体" w:hAnsi="宋体" w:cs="宋体"/>
          <w:color w:val="auto"/>
          <w:kern w:val="0"/>
          <w:sz w:val="24"/>
          <w:lang w:val="zh-CN"/>
        </w:rPr>
        <w:t>磋商文件</w:t>
      </w:r>
      <w:r>
        <w:rPr>
          <w:rFonts w:hint="eastAsia" w:ascii="宋体" w:hAnsi="宋体" w:eastAsia="宋体" w:cs="宋体"/>
          <w:color w:val="auto"/>
          <w:kern w:val="0"/>
          <w:sz w:val="24"/>
          <w:lang w:val="zh-CN"/>
        </w:rPr>
        <w:t>规定及投标内容而对采购人、采购代理机构所作的任何合法承诺，包括书面澄清及相应等均对联合投标各方产生约束力。</w:t>
      </w:r>
    </w:p>
    <w:p w14:paraId="79D7D1CE">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4B91B1FA">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bookmarkStart w:id="304"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72E227AB">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71E2F2C1">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304"/>
    <w:p w14:paraId="213A51F0">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2D381CA4">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0DEDDF4F">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w:t>
      </w:r>
      <w:r>
        <w:rPr>
          <w:rFonts w:hint="eastAsia" w:ascii="宋体" w:hAnsi="宋体" w:cs="宋体"/>
          <w:b/>
          <w:bCs/>
          <w:color w:val="auto"/>
          <w:sz w:val="24"/>
          <w:lang w:eastAsia="zh-CN"/>
        </w:rPr>
        <w:t>磋商文件</w:t>
      </w:r>
      <w:r>
        <w:rPr>
          <w:rFonts w:hint="eastAsia" w:ascii="宋体" w:hAnsi="宋体" w:eastAsia="宋体" w:cs="宋体"/>
          <w:b/>
          <w:bCs/>
          <w:color w:val="auto"/>
          <w:sz w:val="24"/>
        </w:rPr>
        <w:t>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7CE34E89">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0DDB9E9E">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2C435A16">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73C021F3">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10CB1F1D">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6B7C5650">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F3A0C92">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0DAD856E">
      <w:pPr>
        <w:keepNext w:val="0"/>
        <w:keepLines w:val="0"/>
        <w:pageBreakBefore w:val="0"/>
        <w:widowControl w:val="0"/>
        <w:kinsoku/>
        <w:wordWrap/>
        <w:overflowPunct/>
        <w:topLinePunct w:val="0"/>
        <w:autoSpaceDE/>
        <w:autoSpaceDN/>
        <w:bidi w:val="0"/>
        <w:adjustRightInd/>
        <w:snapToGrid w:val="0"/>
        <w:spacing w:line="440" w:lineRule="exact"/>
        <w:ind w:right="960"/>
        <w:jc w:val="center"/>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C407DD0">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16D2D75C">
      <w:pPr>
        <w:keepNext w:val="0"/>
        <w:keepLines w:val="0"/>
        <w:pageBreakBefore w:val="0"/>
        <w:widowControl w:val="0"/>
        <w:kinsoku/>
        <w:wordWrap/>
        <w:overflowPunct/>
        <w:topLinePunct w:val="0"/>
        <w:autoSpaceDE/>
        <w:autoSpaceDN/>
        <w:bidi w:val="0"/>
        <w:adjustRightInd/>
        <w:spacing w:line="440" w:lineRule="exact"/>
        <w:ind w:right="42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2C817A27">
      <w:pPr>
        <w:rPr>
          <w:rFonts w:hint="eastAsia" w:ascii="宋体" w:hAnsi="宋体" w:eastAsia="宋体" w:cs="宋体"/>
          <w:color w:val="auto"/>
        </w:rPr>
      </w:pPr>
    </w:p>
    <w:p w14:paraId="4550CE0D">
      <w:pPr>
        <w:rPr>
          <w:rFonts w:hint="eastAsia" w:ascii="宋体" w:hAnsi="宋体" w:eastAsia="宋体" w:cs="宋体"/>
          <w:color w:val="auto"/>
        </w:rPr>
      </w:pPr>
    </w:p>
    <w:p w14:paraId="4607A30B">
      <w:pPr>
        <w:rPr>
          <w:rFonts w:hint="eastAsia" w:ascii="宋体" w:hAnsi="宋体" w:eastAsia="宋体" w:cs="宋体"/>
          <w:color w:val="auto"/>
        </w:rPr>
      </w:pPr>
    </w:p>
    <w:p w14:paraId="63A1270D">
      <w:pPr>
        <w:rPr>
          <w:rFonts w:hint="eastAsia" w:ascii="宋体" w:hAnsi="宋体" w:eastAsia="宋体" w:cs="宋体"/>
          <w:color w:val="auto"/>
        </w:rPr>
      </w:pPr>
    </w:p>
    <w:p w14:paraId="2BAD3F19">
      <w:pPr>
        <w:rPr>
          <w:rFonts w:hint="eastAsia" w:ascii="宋体" w:hAnsi="宋体" w:eastAsia="宋体" w:cs="宋体"/>
          <w:color w:val="auto"/>
        </w:rPr>
      </w:pPr>
    </w:p>
    <w:p w14:paraId="15F6991F">
      <w:pPr>
        <w:rPr>
          <w:rFonts w:hint="eastAsia" w:ascii="宋体" w:hAnsi="宋体" w:eastAsia="宋体" w:cs="宋体"/>
          <w:color w:val="auto"/>
        </w:rPr>
      </w:pPr>
    </w:p>
    <w:p w14:paraId="7D01BF08">
      <w:pPr>
        <w:rPr>
          <w:rFonts w:hint="eastAsia" w:ascii="宋体" w:hAnsi="宋体" w:eastAsia="宋体" w:cs="宋体"/>
          <w:color w:val="auto"/>
        </w:rPr>
      </w:pPr>
    </w:p>
    <w:p w14:paraId="2490F7E6">
      <w:pPr>
        <w:rPr>
          <w:rFonts w:hint="eastAsia" w:ascii="宋体" w:hAnsi="宋体" w:eastAsia="宋体" w:cs="宋体"/>
          <w:color w:val="auto"/>
        </w:rPr>
      </w:pPr>
    </w:p>
    <w:p w14:paraId="482F69D8">
      <w:pPr>
        <w:rPr>
          <w:rFonts w:hint="eastAsia" w:ascii="宋体" w:hAnsi="宋体" w:eastAsia="宋体" w:cs="宋体"/>
          <w:color w:val="auto"/>
        </w:rPr>
      </w:pPr>
    </w:p>
    <w:p w14:paraId="658E83B0">
      <w:pPr>
        <w:rPr>
          <w:rFonts w:hint="eastAsia" w:ascii="宋体" w:hAnsi="宋体" w:eastAsia="宋体" w:cs="宋体"/>
          <w:color w:val="auto"/>
        </w:rPr>
      </w:pPr>
    </w:p>
    <w:p w14:paraId="086BB657">
      <w:pPr>
        <w:rPr>
          <w:rFonts w:hint="eastAsia" w:ascii="宋体" w:hAnsi="宋体" w:eastAsia="宋体" w:cs="宋体"/>
          <w:color w:val="auto"/>
        </w:rPr>
      </w:pPr>
    </w:p>
    <w:p w14:paraId="53E29F36">
      <w:pPr>
        <w:rPr>
          <w:rFonts w:hint="eastAsia" w:ascii="宋体" w:hAnsi="宋体" w:eastAsia="宋体" w:cs="宋体"/>
          <w:color w:val="auto"/>
        </w:rPr>
      </w:pPr>
    </w:p>
    <w:p w14:paraId="39FB282C">
      <w:pPr>
        <w:rPr>
          <w:rFonts w:hint="eastAsia" w:ascii="宋体" w:hAnsi="宋体" w:eastAsia="宋体" w:cs="宋体"/>
          <w:color w:val="auto"/>
        </w:rPr>
      </w:pPr>
    </w:p>
    <w:p w14:paraId="2FD6F621">
      <w:pPr>
        <w:rPr>
          <w:rFonts w:hint="eastAsia" w:ascii="宋体" w:hAnsi="宋体" w:eastAsia="宋体" w:cs="宋体"/>
          <w:color w:val="auto"/>
        </w:rPr>
      </w:pPr>
    </w:p>
    <w:p w14:paraId="00BB3843">
      <w:pPr>
        <w:rPr>
          <w:rFonts w:hint="eastAsia" w:ascii="宋体" w:hAnsi="宋体" w:eastAsia="宋体" w:cs="宋体"/>
          <w:color w:val="auto"/>
        </w:rPr>
      </w:pPr>
    </w:p>
    <w:p w14:paraId="587F1E90">
      <w:pPr>
        <w:rPr>
          <w:rFonts w:hint="eastAsia" w:ascii="宋体" w:hAnsi="宋体" w:eastAsia="宋体" w:cs="宋体"/>
          <w:color w:val="auto"/>
        </w:rPr>
      </w:pPr>
    </w:p>
    <w:p w14:paraId="6E014EE5">
      <w:pPr>
        <w:rPr>
          <w:rFonts w:hint="eastAsia" w:ascii="宋体" w:hAnsi="宋体" w:eastAsia="宋体" w:cs="宋体"/>
          <w:color w:val="auto"/>
        </w:rPr>
      </w:pPr>
    </w:p>
    <w:p w14:paraId="19D4A590">
      <w:pPr>
        <w:rPr>
          <w:rFonts w:hint="eastAsia" w:ascii="宋体" w:hAnsi="宋体" w:eastAsia="宋体" w:cs="宋体"/>
          <w:color w:val="auto"/>
        </w:rPr>
      </w:pPr>
    </w:p>
    <w:p w14:paraId="2A0A8243">
      <w:pPr>
        <w:rPr>
          <w:rFonts w:hint="eastAsia" w:ascii="宋体" w:hAnsi="宋体" w:eastAsia="宋体" w:cs="宋体"/>
          <w:color w:val="auto"/>
        </w:rPr>
      </w:pPr>
    </w:p>
    <w:p w14:paraId="5C32DBDA">
      <w:pPr>
        <w:rPr>
          <w:rFonts w:hint="eastAsia" w:ascii="宋体" w:hAnsi="宋体" w:eastAsia="宋体" w:cs="宋体"/>
          <w:color w:val="auto"/>
        </w:rPr>
      </w:pPr>
    </w:p>
    <w:p w14:paraId="52A96C6D">
      <w:pPr>
        <w:rPr>
          <w:rFonts w:hint="eastAsia" w:ascii="宋体" w:hAnsi="宋体" w:eastAsia="宋体" w:cs="宋体"/>
          <w:color w:val="auto"/>
        </w:rPr>
      </w:pPr>
    </w:p>
    <w:p w14:paraId="76975648">
      <w:pPr>
        <w:rPr>
          <w:rFonts w:hint="eastAsia" w:ascii="宋体" w:hAnsi="宋体" w:eastAsia="宋体" w:cs="宋体"/>
          <w:color w:val="auto"/>
        </w:rPr>
      </w:pPr>
    </w:p>
    <w:p w14:paraId="13DE7A98">
      <w:pPr>
        <w:rPr>
          <w:rFonts w:hint="eastAsia" w:ascii="宋体" w:hAnsi="宋体" w:eastAsia="宋体" w:cs="宋体"/>
          <w:color w:val="auto"/>
        </w:rPr>
      </w:pPr>
    </w:p>
    <w:p w14:paraId="7BB37D49">
      <w:pPr>
        <w:rPr>
          <w:rFonts w:hint="eastAsia" w:ascii="宋体" w:hAnsi="宋体" w:eastAsia="宋体" w:cs="宋体"/>
          <w:color w:val="auto"/>
        </w:rPr>
      </w:pPr>
    </w:p>
    <w:p w14:paraId="775F946E">
      <w:pPr>
        <w:rPr>
          <w:rFonts w:hint="eastAsia" w:ascii="宋体" w:hAnsi="宋体" w:eastAsia="宋体" w:cs="宋体"/>
          <w:color w:val="auto"/>
        </w:rPr>
      </w:pPr>
    </w:p>
    <w:p w14:paraId="4EC4A0E1">
      <w:pPr>
        <w:rPr>
          <w:rFonts w:hint="eastAsia" w:ascii="宋体" w:hAnsi="宋体" w:eastAsia="宋体" w:cs="宋体"/>
          <w:color w:val="auto"/>
        </w:rPr>
      </w:pPr>
    </w:p>
    <w:p w14:paraId="7F5F4FD9">
      <w:pPr>
        <w:rPr>
          <w:rFonts w:hint="eastAsia" w:ascii="宋体" w:hAnsi="宋体" w:eastAsia="宋体" w:cs="宋体"/>
          <w:color w:val="auto"/>
        </w:rPr>
      </w:pPr>
    </w:p>
    <w:p w14:paraId="262EE7A9">
      <w:pPr>
        <w:rPr>
          <w:rFonts w:hint="eastAsia" w:ascii="宋体" w:hAnsi="宋体" w:eastAsia="宋体" w:cs="宋体"/>
          <w:color w:val="auto"/>
        </w:rPr>
      </w:pPr>
    </w:p>
    <w:p w14:paraId="59F7AA4E">
      <w:pPr>
        <w:rPr>
          <w:rFonts w:hint="eastAsia" w:ascii="宋体" w:hAnsi="宋体" w:eastAsia="宋体" w:cs="宋体"/>
          <w:color w:val="auto"/>
        </w:rPr>
      </w:pPr>
    </w:p>
    <w:p w14:paraId="5D95385D">
      <w:pPr>
        <w:rPr>
          <w:rFonts w:hint="eastAsia" w:ascii="宋体" w:hAnsi="宋体" w:eastAsia="宋体" w:cs="宋体"/>
          <w:color w:val="auto"/>
        </w:rPr>
      </w:pPr>
    </w:p>
    <w:p w14:paraId="767DB396">
      <w:pPr>
        <w:rPr>
          <w:rFonts w:hint="eastAsia" w:ascii="宋体" w:hAnsi="宋体" w:eastAsia="宋体" w:cs="宋体"/>
          <w:color w:val="auto"/>
        </w:rPr>
      </w:pPr>
    </w:p>
    <w:p w14:paraId="483BFFFE">
      <w:pPr>
        <w:rPr>
          <w:rFonts w:hint="eastAsia" w:ascii="宋体" w:hAnsi="宋体" w:eastAsia="宋体" w:cs="宋体"/>
          <w:color w:val="auto"/>
        </w:rPr>
      </w:pPr>
    </w:p>
    <w:p w14:paraId="32428FC5">
      <w:pPr>
        <w:pStyle w:val="14"/>
        <w:rPr>
          <w:rFonts w:hint="eastAsia" w:ascii="宋体" w:hAnsi="宋体" w:eastAsia="宋体" w:cs="宋体"/>
          <w:color w:val="auto"/>
        </w:rPr>
      </w:pPr>
    </w:p>
    <w:p w14:paraId="1370BAFF">
      <w:pPr>
        <w:rPr>
          <w:rFonts w:hint="eastAsia" w:ascii="宋体" w:hAnsi="宋体" w:eastAsia="宋体" w:cs="宋体"/>
          <w:color w:val="auto"/>
        </w:rPr>
      </w:pPr>
    </w:p>
    <w:p w14:paraId="286B4C9D">
      <w:pPr>
        <w:pStyle w:val="14"/>
        <w:rPr>
          <w:rFonts w:hint="eastAsia" w:ascii="宋体" w:hAnsi="宋体" w:eastAsia="宋体" w:cs="宋体"/>
          <w:color w:val="auto"/>
        </w:rPr>
      </w:pPr>
    </w:p>
    <w:p w14:paraId="5CC90CC9">
      <w:pPr>
        <w:rPr>
          <w:rFonts w:hint="eastAsia"/>
        </w:rPr>
      </w:pPr>
    </w:p>
    <w:p w14:paraId="34893D37">
      <w:pPr>
        <w:rPr>
          <w:rFonts w:hint="eastAsia" w:ascii="宋体" w:hAnsi="宋体" w:eastAsia="宋体" w:cs="宋体"/>
          <w:color w:val="auto"/>
        </w:rPr>
      </w:pPr>
    </w:p>
    <w:p w14:paraId="3BBAD188">
      <w:pPr>
        <w:rPr>
          <w:rFonts w:hint="eastAsia" w:ascii="宋体" w:hAnsi="宋体" w:eastAsia="宋体" w:cs="宋体"/>
          <w:color w:val="auto"/>
        </w:rPr>
      </w:pPr>
    </w:p>
    <w:p w14:paraId="7653D6C7">
      <w:pPr>
        <w:rPr>
          <w:rFonts w:hint="eastAsia" w:ascii="宋体" w:hAnsi="宋体" w:eastAsia="宋体" w:cs="宋体"/>
          <w:color w:val="auto"/>
        </w:rPr>
      </w:pPr>
    </w:p>
    <w:p w14:paraId="5C3AC7C7">
      <w:pPr>
        <w:rPr>
          <w:rFonts w:hint="eastAsia" w:ascii="宋体" w:hAnsi="宋体" w:eastAsia="宋体" w:cs="宋体"/>
          <w:color w:val="auto"/>
        </w:rPr>
      </w:pPr>
    </w:p>
    <w:p w14:paraId="3A0D827D">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305" w:name="_Toc12993"/>
      <w:r>
        <w:rPr>
          <w:rFonts w:hint="eastAsia" w:ascii="宋体" w:hAnsi="宋体" w:eastAsia="宋体" w:cs="宋体"/>
          <w:b/>
          <w:color w:val="auto"/>
          <w:sz w:val="28"/>
          <w:szCs w:val="28"/>
          <w:lang w:val="en-US" w:eastAsia="zh-CN"/>
        </w:rPr>
        <w:t>商务技术文件部分</w:t>
      </w:r>
      <w:bookmarkEnd w:id="305"/>
    </w:p>
    <w:p w14:paraId="5532FA66">
      <w:pPr>
        <w:rPr>
          <w:rFonts w:hint="eastAsia" w:ascii="宋体" w:hAnsi="宋体" w:eastAsia="宋体" w:cs="宋体"/>
          <w:color w:val="auto"/>
          <w:lang w:val="en-US" w:eastAsia="zh-CN"/>
        </w:rPr>
      </w:pPr>
    </w:p>
    <w:p w14:paraId="79B210B5">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 录</w:t>
      </w:r>
    </w:p>
    <w:p w14:paraId="26264B56">
      <w:pPr>
        <w:rPr>
          <w:rFonts w:hint="eastAsia" w:ascii="宋体" w:hAnsi="宋体" w:eastAsia="宋体" w:cs="宋体"/>
          <w:color w:val="auto"/>
          <w:lang w:val="en-US" w:eastAsia="zh-CN"/>
        </w:rPr>
      </w:pPr>
    </w:p>
    <w:p w14:paraId="6B1BBA02">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1</w:t>
      </w: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rPr>
        <w:t>投标函…………………………………………………………………………（页码）</w:t>
      </w:r>
    </w:p>
    <w:p w14:paraId="6507B636">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（2）授权委托书</w:t>
      </w:r>
      <w:r>
        <w:rPr>
          <w:rFonts w:hint="eastAsia" w:ascii="宋体" w:hAnsi="宋体" w:eastAsia="宋体" w:cs="宋体"/>
          <w:snapToGrid w:val="0"/>
          <w:color w:val="auto"/>
          <w:kern w:val="28"/>
          <w:sz w:val="24"/>
          <w:szCs w:val="20"/>
          <w:lang w:val="en-US" w:eastAsia="zh-CN"/>
        </w:rPr>
        <w:t>或</w:t>
      </w:r>
      <w:r>
        <w:rPr>
          <w:rFonts w:hint="eastAsia" w:ascii="宋体" w:hAnsi="宋体" w:eastAsia="宋体" w:cs="宋体"/>
          <w:snapToGrid w:val="0"/>
          <w:color w:val="auto"/>
          <w:kern w:val="28"/>
          <w:sz w:val="24"/>
          <w:szCs w:val="20"/>
        </w:rPr>
        <w:t>法定代表人（单位负责人、自然人本人）身份证明………（页码）</w:t>
      </w:r>
    </w:p>
    <w:p w14:paraId="0B2209A7">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w:t>
      </w:r>
      <w:r>
        <w:rPr>
          <w:rFonts w:hint="eastAsia" w:ascii="宋体" w:hAnsi="宋体" w:eastAsia="宋体" w:cs="宋体"/>
          <w:snapToGrid w:val="0"/>
          <w:color w:val="auto"/>
          <w:kern w:val="28"/>
          <w:sz w:val="24"/>
          <w:szCs w:val="20"/>
          <w:lang w:val="en-US" w:eastAsia="zh-CN"/>
        </w:rPr>
        <w:t>响应保证金</w:t>
      </w:r>
      <w:r>
        <w:rPr>
          <w:rFonts w:hint="eastAsia" w:ascii="宋体" w:hAnsi="宋体" w:eastAsia="宋体" w:cs="宋体"/>
          <w:snapToGrid w:val="0"/>
          <w:color w:val="auto"/>
          <w:kern w:val="28"/>
          <w:sz w:val="24"/>
          <w:szCs w:val="20"/>
        </w:rPr>
        <w:t>……………………………………………………………………（页码）</w:t>
      </w:r>
    </w:p>
    <w:p w14:paraId="402A172C">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（4）投标</w:t>
      </w:r>
      <w:r>
        <w:rPr>
          <w:rFonts w:hint="eastAsia" w:ascii="宋体" w:hAnsi="宋体" w:cs="宋体"/>
          <w:snapToGrid w:val="0"/>
          <w:color w:val="auto"/>
          <w:kern w:val="28"/>
          <w:sz w:val="24"/>
          <w:szCs w:val="20"/>
          <w:lang w:val="en-US" w:eastAsia="zh-CN"/>
        </w:rPr>
        <w:t>服务</w:t>
      </w:r>
      <w:r>
        <w:rPr>
          <w:rFonts w:hint="eastAsia" w:ascii="宋体" w:hAnsi="宋体" w:eastAsia="宋体" w:cs="宋体"/>
          <w:snapToGrid w:val="0"/>
          <w:color w:val="auto"/>
          <w:kern w:val="28"/>
          <w:sz w:val="24"/>
          <w:szCs w:val="20"/>
          <w:lang w:val="en-US" w:eastAsia="zh-CN"/>
        </w:rPr>
        <w:t>配置</w:t>
      </w:r>
      <w:r>
        <w:rPr>
          <w:rFonts w:hint="eastAsia" w:ascii="宋体" w:hAnsi="宋体" w:eastAsia="宋体" w:cs="宋体"/>
          <w:snapToGrid w:val="0"/>
          <w:color w:val="auto"/>
          <w:kern w:val="28"/>
          <w:sz w:val="24"/>
          <w:szCs w:val="20"/>
        </w:rPr>
        <w:t>清单……………………………………………………………（页码）</w:t>
      </w:r>
    </w:p>
    <w:p w14:paraId="3AFD024D">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w:t>
      </w:r>
      <w:r>
        <w:rPr>
          <w:rFonts w:hint="eastAsia" w:ascii="宋体" w:hAnsi="宋体" w:eastAsia="宋体" w:cs="宋体"/>
          <w:snapToGrid w:val="0"/>
          <w:color w:val="auto"/>
          <w:kern w:val="28"/>
          <w:sz w:val="24"/>
          <w:szCs w:val="20"/>
          <w:lang w:val="en-US" w:eastAsia="zh-CN"/>
        </w:rPr>
        <w:t>5</w:t>
      </w:r>
      <w:r>
        <w:rPr>
          <w:rFonts w:hint="eastAsia" w:ascii="宋体" w:hAnsi="宋体" w:eastAsia="宋体" w:cs="宋体"/>
          <w:snapToGrid w:val="0"/>
          <w:color w:val="auto"/>
          <w:kern w:val="28"/>
          <w:sz w:val="24"/>
          <w:szCs w:val="20"/>
        </w:rPr>
        <w:t>）商务技术偏离表………………………………………………………………（页码）</w:t>
      </w:r>
    </w:p>
    <w:p w14:paraId="75DEDF4F">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w:t>
      </w:r>
      <w:r>
        <w:rPr>
          <w:rFonts w:hint="eastAsia" w:ascii="宋体" w:hAnsi="宋体" w:eastAsia="宋体" w:cs="宋体"/>
          <w:snapToGrid w:val="0"/>
          <w:color w:val="auto"/>
          <w:kern w:val="28"/>
          <w:sz w:val="24"/>
          <w:szCs w:val="20"/>
          <w:lang w:val="en-US" w:eastAsia="zh-CN"/>
        </w:rPr>
        <w:t>6</w:t>
      </w:r>
      <w:r>
        <w:rPr>
          <w:rFonts w:hint="eastAsia" w:ascii="宋体" w:hAnsi="宋体" w:eastAsia="宋体" w:cs="宋体"/>
          <w:snapToGrid w:val="0"/>
          <w:color w:val="auto"/>
          <w:kern w:val="28"/>
          <w:sz w:val="24"/>
          <w:szCs w:val="20"/>
        </w:rPr>
        <w:t>）</w:t>
      </w:r>
      <w:r>
        <w:rPr>
          <w:rFonts w:hint="eastAsia" w:ascii="宋体" w:hAnsi="宋体" w:cs="宋体"/>
          <w:snapToGrid w:val="0"/>
          <w:color w:val="auto"/>
          <w:kern w:val="28"/>
          <w:sz w:val="24"/>
          <w:szCs w:val="20"/>
          <w:lang w:val="en-US" w:eastAsia="zh-CN"/>
        </w:rPr>
        <w:t>服务</w:t>
      </w:r>
      <w:r>
        <w:rPr>
          <w:rFonts w:hint="eastAsia" w:ascii="宋体" w:hAnsi="宋体" w:eastAsia="宋体" w:cs="宋体"/>
          <w:snapToGrid w:val="0"/>
          <w:color w:val="auto"/>
          <w:kern w:val="28"/>
          <w:sz w:val="24"/>
          <w:szCs w:val="20"/>
          <w:lang w:val="zh-CN"/>
        </w:rPr>
        <w:t>（</w:t>
      </w:r>
      <w:r>
        <w:rPr>
          <w:rFonts w:hint="eastAsia" w:ascii="宋体" w:hAnsi="宋体" w:eastAsia="宋体" w:cs="宋体"/>
          <w:snapToGrid w:val="0"/>
          <w:color w:val="auto"/>
          <w:kern w:val="28"/>
          <w:sz w:val="24"/>
          <w:szCs w:val="20"/>
          <w:lang w:val="en-US" w:eastAsia="zh-CN"/>
        </w:rPr>
        <w:t>响应</w:t>
      </w:r>
      <w:r>
        <w:rPr>
          <w:rFonts w:hint="eastAsia" w:ascii="宋体" w:hAnsi="宋体" w:eastAsia="宋体" w:cs="宋体"/>
          <w:snapToGrid w:val="0"/>
          <w:color w:val="auto"/>
          <w:kern w:val="28"/>
          <w:sz w:val="24"/>
          <w:szCs w:val="20"/>
          <w:lang w:val="zh-CN"/>
        </w:rPr>
        <w:t>）</w:t>
      </w:r>
      <w:r>
        <w:rPr>
          <w:rFonts w:hint="eastAsia" w:ascii="宋体" w:hAnsi="宋体" w:cs="宋体"/>
          <w:snapToGrid w:val="0"/>
          <w:color w:val="auto"/>
          <w:kern w:val="28"/>
          <w:sz w:val="24"/>
          <w:szCs w:val="20"/>
          <w:lang w:val="en-US" w:eastAsia="zh-CN"/>
        </w:rPr>
        <w:t>方案</w:t>
      </w:r>
      <w:r>
        <w:rPr>
          <w:rFonts w:hint="eastAsia" w:ascii="宋体" w:hAnsi="宋体" w:eastAsia="宋体" w:cs="宋体"/>
          <w:snapToGrid w:val="0"/>
          <w:color w:val="auto"/>
          <w:kern w:val="28"/>
          <w:sz w:val="24"/>
          <w:szCs w:val="20"/>
        </w:rPr>
        <w:t>……………………………………………………………（页码）</w:t>
      </w:r>
    </w:p>
    <w:p w14:paraId="0E0EBC85">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zh-CN"/>
        </w:rPr>
        <w:t>（</w:t>
      </w:r>
      <w:r>
        <w:rPr>
          <w:rFonts w:hint="eastAsia" w:ascii="宋体" w:hAnsi="宋体" w:eastAsia="宋体" w:cs="宋体"/>
          <w:snapToGrid w:val="0"/>
          <w:color w:val="auto"/>
          <w:kern w:val="28"/>
          <w:sz w:val="24"/>
          <w:szCs w:val="20"/>
          <w:lang w:val="en-US" w:eastAsia="zh-CN"/>
        </w:rPr>
        <w:t>7</w:t>
      </w:r>
      <w:r>
        <w:rPr>
          <w:rFonts w:hint="eastAsia" w:ascii="宋体" w:hAnsi="宋体" w:eastAsia="宋体" w:cs="宋体"/>
          <w:snapToGrid w:val="0"/>
          <w:color w:val="auto"/>
          <w:kern w:val="28"/>
          <w:sz w:val="24"/>
          <w:szCs w:val="20"/>
          <w:lang w:val="zh-CN"/>
        </w:rPr>
        <w:t>）</w:t>
      </w:r>
      <w:r>
        <w:rPr>
          <w:rFonts w:hint="eastAsia" w:ascii="宋体" w:hAnsi="宋体" w:eastAsia="宋体" w:cs="宋体"/>
          <w:snapToGrid w:val="0"/>
          <w:color w:val="auto"/>
          <w:kern w:val="28"/>
          <w:sz w:val="24"/>
          <w:szCs w:val="20"/>
          <w:lang w:val="en-US" w:eastAsia="zh-CN"/>
        </w:rPr>
        <w:t>其他资料</w:t>
      </w:r>
      <w:r>
        <w:rPr>
          <w:rFonts w:hint="eastAsia" w:ascii="宋体" w:hAnsi="宋体" w:eastAsia="宋体" w:cs="宋体"/>
          <w:snapToGrid w:val="0"/>
          <w:color w:val="auto"/>
          <w:kern w:val="28"/>
          <w:sz w:val="24"/>
          <w:szCs w:val="20"/>
        </w:rPr>
        <w:t>………………………………………………………………………（页码）</w:t>
      </w:r>
    </w:p>
    <w:p w14:paraId="5E2EC320">
      <w:pPr>
        <w:snapToGrid w:val="0"/>
        <w:spacing w:line="360" w:lineRule="auto"/>
        <w:rPr>
          <w:rFonts w:hint="eastAsia" w:ascii="宋体" w:hAnsi="宋体" w:eastAsia="宋体" w:cs="宋体"/>
          <w:snapToGrid w:val="0"/>
          <w:color w:val="auto"/>
          <w:kern w:val="28"/>
          <w:sz w:val="24"/>
          <w:szCs w:val="20"/>
        </w:rPr>
      </w:pPr>
    </w:p>
    <w:p w14:paraId="33A39405">
      <w:pPr>
        <w:rPr>
          <w:rFonts w:hint="eastAsia" w:ascii="宋体" w:hAnsi="宋体" w:eastAsia="宋体" w:cs="宋体"/>
          <w:color w:val="auto"/>
        </w:rPr>
      </w:pPr>
    </w:p>
    <w:p w14:paraId="1A8C80A3">
      <w:pPr>
        <w:rPr>
          <w:rFonts w:hint="eastAsia" w:ascii="宋体" w:hAnsi="宋体" w:eastAsia="宋体" w:cs="宋体"/>
          <w:color w:val="auto"/>
        </w:rPr>
      </w:pPr>
    </w:p>
    <w:p w14:paraId="1764B811">
      <w:pPr>
        <w:rPr>
          <w:rFonts w:hint="eastAsia" w:ascii="宋体" w:hAnsi="宋体" w:eastAsia="宋体" w:cs="宋体"/>
          <w:color w:val="auto"/>
        </w:rPr>
      </w:pPr>
    </w:p>
    <w:p w14:paraId="051597A0">
      <w:pPr>
        <w:rPr>
          <w:rFonts w:hint="eastAsia" w:ascii="宋体" w:hAnsi="宋体" w:eastAsia="宋体" w:cs="宋体"/>
          <w:color w:val="auto"/>
        </w:rPr>
      </w:pPr>
    </w:p>
    <w:p w14:paraId="479A40F5">
      <w:pPr>
        <w:rPr>
          <w:rFonts w:hint="eastAsia" w:ascii="宋体" w:hAnsi="宋体" w:eastAsia="宋体" w:cs="宋体"/>
          <w:color w:val="auto"/>
        </w:rPr>
      </w:pPr>
    </w:p>
    <w:p w14:paraId="523FF4E8">
      <w:pPr>
        <w:rPr>
          <w:rFonts w:hint="eastAsia" w:ascii="宋体" w:hAnsi="宋体" w:eastAsia="宋体" w:cs="宋体"/>
          <w:color w:val="auto"/>
        </w:rPr>
      </w:pPr>
    </w:p>
    <w:p w14:paraId="4BA2FF42">
      <w:pPr>
        <w:rPr>
          <w:rFonts w:hint="eastAsia" w:ascii="宋体" w:hAnsi="宋体" w:eastAsia="宋体" w:cs="宋体"/>
          <w:color w:val="auto"/>
        </w:rPr>
      </w:pPr>
    </w:p>
    <w:p w14:paraId="365AD46C">
      <w:pPr>
        <w:rPr>
          <w:rFonts w:hint="eastAsia" w:ascii="宋体" w:hAnsi="宋体" w:eastAsia="宋体" w:cs="宋体"/>
          <w:color w:val="auto"/>
        </w:rPr>
      </w:pPr>
    </w:p>
    <w:p w14:paraId="1D86833C">
      <w:pPr>
        <w:rPr>
          <w:rFonts w:hint="eastAsia" w:ascii="宋体" w:hAnsi="宋体" w:eastAsia="宋体" w:cs="宋体"/>
          <w:color w:val="auto"/>
        </w:rPr>
      </w:pPr>
    </w:p>
    <w:p w14:paraId="1329D648">
      <w:pPr>
        <w:rPr>
          <w:rFonts w:hint="eastAsia" w:ascii="宋体" w:hAnsi="宋体" w:eastAsia="宋体" w:cs="宋体"/>
          <w:color w:val="auto"/>
        </w:rPr>
      </w:pPr>
    </w:p>
    <w:p w14:paraId="6122566F">
      <w:pPr>
        <w:rPr>
          <w:rFonts w:hint="eastAsia" w:ascii="宋体" w:hAnsi="宋体" w:eastAsia="宋体" w:cs="宋体"/>
          <w:color w:val="auto"/>
        </w:rPr>
      </w:pPr>
    </w:p>
    <w:p w14:paraId="7F86747B">
      <w:pPr>
        <w:rPr>
          <w:rFonts w:hint="eastAsia" w:ascii="宋体" w:hAnsi="宋体" w:eastAsia="宋体" w:cs="宋体"/>
          <w:color w:val="auto"/>
        </w:rPr>
      </w:pPr>
    </w:p>
    <w:p w14:paraId="16EF25D3">
      <w:pPr>
        <w:rPr>
          <w:rFonts w:hint="eastAsia" w:ascii="宋体" w:hAnsi="宋体" w:eastAsia="宋体" w:cs="宋体"/>
          <w:color w:val="auto"/>
        </w:rPr>
      </w:pPr>
    </w:p>
    <w:p w14:paraId="5FCD300F">
      <w:pPr>
        <w:rPr>
          <w:rFonts w:hint="eastAsia" w:ascii="宋体" w:hAnsi="宋体" w:eastAsia="宋体" w:cs="宋体"/>
          <w:color w:val="auto"/>
        </w:rPr>
      </w:pPr>
    </w:p>
    <w:p w14:paraId="676387ED">
      <w:pPr>
        <w:rPr>
          <w:rFonts w:hint="eastAsia" w:ascii="宋体" w:hAnsi="宋体" w:eastAsia="宋体" w:cs="宋体"/>
          <w:color w:val="auto"/>
        </w:rPr>
      </w:pPr>
    </w:p>
    <w:p w14:paraId="05403FFC">
      <w:pPr>
        <w:rPr>
          <w:rFonts w:hint="eastAsia" w:ascii="宋体" w:hAnsi="宋体" w:eastAsia="宋体" w:cs="宋体"/>
          <w:color w:val="auto"/>
        </w:rPr>
      </w:pPr>
    </w:p>
    <w:p w14:paraId="07E8B903">
      <w:pPr>
        <w:rPr>
          <w:rFonts w:hint="eastAsia" w:ascii="宋体" w:hAnsi="宋体" w:eastAsia="宋体" w:cs="宋体"/>
          <w:color w:val="auto"/>
        </w:rPr>
      </w:pPr>
    </w:p>
    <w:p w14:paraId="3253FD57">
      <w:pPr>
        <w:rPr>
          <w:rFonts w:hint="eastAsia" w:ascii="宋体" w:hAnsi="宋体" w:eastAsia="宋体" w:cs="宋体"/>
          <w:color w:val="auto"/>
        </w:rPr>
      </w:pPr>
    </w:p>
    <w:p w14:paraId="32D37923">
      <w:pPr>
        <w:rPr>
          <w:rFonts w:hint="eastAsia" w:ascii="宋体" w:hAnsi="宋体" w:eastAsia="宋体" w:cs="宋体"/>
          <w:color w:val="auto"/>
        </w:rPr>
      </w:pPr>
    </w:p>
    <w:p w14:paraId="54F0798C">
      <w:pPr>
        <w:rPr>
          <w:rFonts w:hint="eastAsia" w:ascii="宋体" w:hAnsi="宋体" w:eastAsia="宋体" w:cs="宋体"/>
          <w:color w:val="auto"/>
        </w:rPr>
      </w:pPr>
    </w:p>
    <w:p w14:paraId="33F89106">
      <w:pPr>
        <w:rPr>
          <w:rFonts w:hint="eastAsia" w:ascii="宋体" w:hAnsi="宋体" w:eastAsia="宋体" w:cs="宋体"/>
          <w:color w:val="auto"/>
        </w:rPr>
      </w:pPr>
    </w:p>
    <w:p w14:paraId="482A91C9">
      <w:pPr>
        <w:rPr>
          <w:rFonts w:hint="eastAsia" w:ascii="宋体" w:hAnsi="宋体" w:eastAsia="宋体" w:cs="宋体"/>
          <w:color w:val="auto"/>
        </w:rPr>
      </w:pPr>
    </w:p>
    <w:p w14:paraId="6B4B1252">
      <w:pPr>
        <w:rPr>
          <w:rFonts w:hint="eastAsia" w:ascii="宋体" w:hAnsi="宋体" w:eastAsia="宋体" w:cs="宋体"/>
          <w:color w:val="auto"/>
        </w:rPr>
      </w:pPr>
    </w:p>
    <w:p w14:paraId="4FC175F5">
      <w:pPr>
        <w:pStyle w:val="14"/>
        <w:rPr>
          <w:rFonts w:hint="eastAsia" w:ascii="宋体" w:hAnsi="宋体" w:eastAsia="宋体" w:cs="宋体"/>
          <w:color w:val="auto"/>
        </w:rPr>
      </w:pPr>
    </w:p>
    <w:p w14:paraId="33CEB456">
      <w:pPr>
        <w:rPr>
          <w:rFonts w:hint="eastAsia" w:ascii="宋体" w:hAnsi="宋体" w:eastAsia="宋体" w:cs="宋体"/>
          <w:color w:val="auto"/>
        </w:rPr>
      </w:pPr>
    </w:p>
    <w:p w14:paraId="08E54A67">
      <w:pPr>
        <w:pStyle w:val="14"/>
        <w:rPr>
          <w:rFonts w:hint="eastAsia"/>
        </w:rPr>
      </w:pPr>
    </w:p>
    <w:p w14:paraId="7A4D5640">
      <w:pPr>
        <w:rPr>
          <w:rFonts w:hint="eastAsia" w:ascii="宋体" w:hAnsi="宋体" w:eastAsia="宋体" w:cs="宋体"/>
          <w:color w:val="auto"/>
        </w:rPr>
      </w:pPr>
    </w:p>
    <w:p w14:paraId="5A3FC08A">
      <w:pPr>
        <w:rPr>
          <w:rFonts w:hint="eastAsia" w:ascii="宋体" w:hAnsi="宋体" w:eastAsia="宋体" w:cs="宋体"/>
          <w:color w:val="auto"/>
        </w:rPr>
      </w:pPr>
    </w:p>
    <w:p w14:paraId="1B645E0B">
      <w:pPr>
        <w:rPr>
          <w:rFonts w:hint="eastAsia" w:ascii="宋体" w:hAnsi="宋体" w:eastAsia="宋体" w:cs="宋体"/>
          <w:color w:val="auto"/>
        </w:rPr>
      </w:pPr>
    </w:p>
    <w:p w14:paraId="4C0BE09E">
      <w:pPr>
        <w:rPr>
          <w:rFonts w:hint="eastAsia" w:ascii="宋体" w:hAnsi="宋体" w:eastAsia="宋体" w:cs="宋体"/>
          <w:color w:val="auto"/>
        </w:rPr>
      </w:pPr>
    </w:p>
    <w:p w14:paraId="7BC69343">
      <w:pPr>
        <w:rPr>
          <w:rFonts w:hint="eastAsia" w:ascii="宋体" w:hAnsi="宋体" w:eastAsia="宋体" w:cs="宋体"/>
          <w:color w:val="auto"/>
        </w:rPr>
      </w:pPr>
    </w:p>
    <w:p w14:paraId="2DE0083A">
      <w:pPr>
        <w:pStyle w:val="4"/>
        <w:numPr>
          <w:ilvl w:val="2"/>
          <w:numId w:val="0"/>
        </w:numPr>
        <w:spacing w:before="145" w:beforeLines="50" w:after="145" w:afterLines="50" w:line="300" w:lineRule="auto"/>
        <w:ind w:left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一、投标函</w:t>
      </w:r>
    </w:p>
    <w:p w14:paraId="5E29A28A">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u w:val="single"/>
        </w:rPr>
        <w:t>（采购人）、（采购代理机构）：</w:t>
      </w:r>
    </w:p>
    <w:p w14:paraId="35066BE8">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项目</w:t>
      </w:r>
      <w:r>
        <w:rPr>
          <w:rFonts w:hint="eastAsia" w:ascii="宋体" w:hAnsi="宋体" w:eastAsia="宋体" w:cs="宋体"/>
          <w:color w:val="auto"/>
          <w:sz w:val="24"/>
          <w:u w:val="single"/>
        </w:rPr>
        <w:t>编号）</w:t>
      </w:r>
      <w:r>
        <w:rPr>
          <w:rFonts w:hint="eastAsia" w:ascii="宋体" w:hAnsi="宋体" w:eastAsia="宋体" w:cs="宋体"/>
          <w:color w:val="auto"/>
          <w:sz w:val="24"/>
        </w:rPr>
        <w:t>招标的有关活动，并对此项目进行投标。为此：</w:t>
      </w:r>
    </w:p>
    <w:p w14:paraId="10A45E40">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1、我方承诺投标有效期从</w:t>
      </w:r>
      <w:r>
        <w:rPr>
          <w:rFonts w:hint="eastAsia" w:ascii="宋体" w:hAnsi="宋体" w:eastAsia="宋体" w:cs="宋体"/>
          <w:color w:val="auto"/>
          <w:sz w:val="24"/>
          <w:lang w:val="en-US" w:eastAsia="zh-CN"/>
        </w:rPr>
        <w:t>递交响应</w:t>
      </w:r>
      <w:r>
        <w:rPr>
          <w:rFonts w:hint="eastAsia" w:ascii="宋体" w:hAnsi="宋体" w:eastAsia="宋体" w:cs="宋体"/>
          <w:color w:val="auto"/>
          <w:sz w:val="24"/>
        </w:rPr>
        <w:t>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天，本</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文件在投标有效期满之前均具有约束力。</w:t>
      </w:r>
    </w:p>
    <w:p w14:paraId="09809A4F">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2、我方的</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文件包括以下内容：</w:t>
      </w:r>
    </w:p>
    <w:p w14:paraId="4A34E4D7">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2.1资格文件：</w:t>
      </w:r>
    </w:p>
    <w:p w14:paraId="136412E5">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2.1.1满足《中华人民共和国政府采购法》第二十二条规定的资格要求；</w:t>
      </w:r>
    </w:p>
    <w:p w14:paraId="783BA98C">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2</w:t>
      </w:r>
      <w:r>
        <w:rPr>
          <w:rFonts w:hint="eastAsia" w:ascii="宋体" w:hAnsi="宋体" w:eastAsia="宋体" w:cs="宋体"/>
          <w:color w:val="auto"/>
          <w:sz w:val="24"/>
        </w:rPr>
        <w:t>落实政府采购政策需满足的资格要求；</w:t>
      </w:r>
    </w:p>
    <w:p w14:paraId="45130E00">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snapToGrid w:val="0"/>
          <w:color w:val="auto"/>
          <w:kern w:val="28"/>
          <w:sz w:val="24"/>
          <w:szCs w:val="20"/>
          <w:lang w:eastAsia="zh-CN"/>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0"/>
          <w:lang w:eastAsia="zh-CN"/>
        </w:rPr>
        <w:t>；</w:t>
      </w:r>
    </w:p>
    <w:p w14:paraId="400C099E">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snapToGrid w:val="0"/>
          <w:color w:val="auto"/>
          <w:kern w:val="28"/>
          <w:sz w:val="24"/>
          <w:szCs w:val="20"/>
          <w:lang w:val="en-US" w:eastAsia="zh-CN"/>
        </w:rPr>
        <w:t>2.1.4其他资格要求</w:t>
      </w:r>
      <w:r>
        <w:rPr>
          <w:rFonts w:hint="eastAsia" w:ascii="宋体" w:hAnsi="宋体" w:eastAsia="宋体" w:cs="宋体"/>
          <w:color w:val="auto"/>
          <w:sz w:val="24"/>
        </w:rPr>
        <w:t>。</w:t>
      </w:r>
    </w:p>
    <w:p w14:paraId="2B3E09F4">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633E814C">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4A32BB2B">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082D0195">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2.2.3</w:t>
      </w:r>
      <w:r>
        <w:rPr>
          <w:rFonts w:hint="eastAsia" w:ascii="宋体" w:hAnsi="宋体" w:eastAsia="宋体" w:cs="宋体"/>
          <w:color w:val="auto"/>
          <w:sz w:val="24"/>
          <w:lang w:val="en-US" w:eastAsia="zh-CN"/>
        </w:rPr>
        <w:t>响应保证金</w:t>
      </w:r>
      <w:r>
        <w:rPr>
          <w:rFonts w:hint="eastAsia" w:ascii="宋体" w:hAnsi="宋体" w:eastAsia="宋体" w:cs="宋体"/>
          <w:color w:val="auto"/>
          <w:sz w:val="24"/>
        </w:rPr>
        <w:t>；</w:t>
      </w:r>
    </w:p>
    <w:p w14:paraId="63A74583">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2.2.4投标</w:t>
      </w:r>
      <w:r>
        <w:rPr>
          <w:rFonts w:hint="eastAsia" w:ascii="宋体" w:hAnsi="宋体" w:cs="宋体"/>
          <w:color w:val="auto"/>
          <w:sz w:val="24"/>
          <w:lang w:val="en-US" w:eastAsia="zh-CN"/>
        </w:rPr>
        <w:t>服务</w:t>
      </w:r>
      <w:r>
        <w:rPr>
          <w:rFonts w:hint="eastAsia" w:ascii="宋体" w:hAnsi="宋体" w:eastAsia="宋体" w:cs="宋体"/>
          <w:color w:val="auto"/>
          <w:sz w:val="24"/>
          <w:lang w:val="en-US" w:eastAsia="zh-CN"/>
        </w:rPr>
        <w:t>配置</w:t>
      </w:r>
      <w:r>
        <w:rPr>
          <w:rFonts w:hint="eastAsia" w:ascii="宋体" w:hAnsi="宋体" w:eastAsia="宋体" w:cs="宋体"/>
          <w:color w:val="auto"/>
          <w:sz w:val="24"/>
        </w:rPr>
        <w:t>清单；</w:t>
      </w:r>
    </w:p>
    <w:p w14:paraId="306C2E1C">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5</w:t>
      </w:r>
      <w:r>
        <w:rPr>
          <w:rFonts w:hint="eastAsia" w:ascii="宋体" w:hAnsi="宋体" w:eastAsia="宋体" w:cs="宋体"/>
          <w:color w:val="auto"/>
          <w:sz w:val="24"/>
        </w:rPr>
        <w:t>商务技术偏离表；</w:t>
      </w:r>
    </w:p>
    <w:p w14:paraId="57772EBE">
      <w:pPr>
        <w:keepNext w:val="0"/>
        <w:keepLines w:val="0"/>
        <w:pageBreakBefore w:val="0"/>
        <w:widowControl w:val="0"/>
        <w:kinsoku/>
        <w:wordWrap/>
        <w:overflowPunct/>
        <w:topLinePunct w:val="0"/>
        <w:autoSpaceDE/>
        <w:autoSpaceDN/>
        <w:bidi w:val="0"/>
        <w:adjustRightInd/>
        <w:snapToGrid w:val="0"/>
        <w:spacing w:line="380" w:lineRule="exact"/>
        <w:ind w:left="210" w:leftChars="100" w:firstLine="720" w:firstLineChars="300"/>
        <w:textAlignment w:val="auto"/>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6</w:t>
      </w:r>
      <w:r>
        <w:rPr>
          <w:rFonts w:hint="eastAsia" w:ascii="宋体" w:hAnsi="宋体" w:cs="宋体"/>
          <w:color w:val="auto"/>
          <w:sz w:val="24"/>
          <w:lang w:val="en-US" w:eastAsia="zh-CN"/>
        </w:rPr>
        <w:t>服务</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响应</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方案</w:t>
      </w:r>
      <w:r>
        <w:rPr>
          <w:rFonts w:hint="eastAsia" w:ascii="宋体" w:hAnsi="宋体" w:eastAsia="宋体" w:cs="宋体"/>
          <w:color w:val="auto"/>
          <w:sz w:val="24"/>
          <w:lang w:val="zh-CN"/>
        </w:rPr>
        <w:t>；</w:t>
      </w:r>
    </w:p>
    <w:p w14:paraId="086D63E4">
      <w:pPr>
        <w:keepNext w:val="0"/>
        <w:keepLines w:val="0"/>
        <w:pageBreakBefore w:val="0"/>
        <w:widowControl w:val="0"/>
        <w:kinsoku/>
        <w:wordWrap/>
        <w:overflowPunct/>
        <w:topLinePunct w:val="0"/>
        <w:autoSpaceDE/>
        <w:autoSpaceDN/>
        <w:bidi w:val="0"/>
        <w:adjustRightInd/>
        <w:snapToGrid w:val="0"/>
        <w:spacing w:line="380" w:lineRule="exact"/>
        <w:ind w:left="210" w:leftChars="100" w:firstLine="720" w:firstLineChars="3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2.2.7其他资料。</w:t>
      </w:r>
    </w:p>
    <w:p w14:paraId="10AC2313">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00FC2976">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2.3.1开标一览表；</w:t>
      </w:r>
    </w:p>
    <w:p w14:paraId="296CBDC1">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w:t>
      </w:r>
      <w:r>
        <w:rPr>
          <w:rFonts w:hint="eastAsia" w:ascii="宋体" w:hAnsi="宋体" w:eastAsia="宋体" w:cs="宋体"/>
          <w:color w:val="auto"/>
          <w:sz w:val="24"/>
          <w:lang w:val="en-US" w:eastAsia="zh-CN"/>
        </w:rPr>
        <w:t>2报价明细</w:t>
      </w:r>
      <w:r>
        <w:rPr>
          <w:rFonts w:hint="eastAsia" w:ascii="宋体" w:hAnsi="宋体" w:eastAsia="宋体" w:cs="宋体"/>
          <w:color w:val="auto"/>
          <w:sz w:val="24"/>
        </w:rPr>
        <w:t>表。</w:t>
      </w:r>
    </w:p>
    <w:p w14:paraId="192652C4">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文件的全部要求。</w:t>
      </w:r>
    </w:p>
    <w:p w14:paraId="6DC45D85">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575D696D">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17EA33BE">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7C22DBBD">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4.3按照</w:t>
      </w:r>
      <w:r>
        <w:rPr>
          <w:rFonts w:hint="eastAsia" w:ascii="宋体" w:hAnsi="宋体" w:eastAsia="宋体" w:cs="宋体"/>
          <w:color w:val="auto"/>
          <w:sz w:val="24"/>
          <w:lang w:val="en-US" w:eastAsia="zh-CN"/>
        </w:rPr>
        <w:t>磋商</w:t>
      </w:r>
      <w:r>
        <w:rPr>
          <w:rFonts w:hint="eastAsia" w:ascii="宋体" w:hAnsi="宋体" w:eastAsia="宋体" w:cs="宋体"/>
          <w:color w:val="auto"/>
          <w:sz w:val="24"/>
        </w:rPr>
        <w:t xml:space="preserve">文件要求提交履约保证金； </w:t>
      </w:r>
    </w:p>
    <w:p w14:paraId="6D67276B">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480F7D84">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183B42F">
      <w:pPr>
        <w:keepNext w:val="0"/>
        <w:keepLines w:val="0"/>
        <w:pageBreakBefore w:val="0"/>
        <w:widowControl w:val="0"/>
        <w:kinsoku/>
        <w:wordWrap/>
        <w:overflowPunct/>
        <w:topLinePunct w:val="0"/>
        <w:autoSpaceDE/>
        <w:autoSpaceDN/>
        <w:bidi w:val="0"/>
        <w:adjustRightInd/>
        <w:spacing w:line="380" w:lineRule="exact"/>
        <w:ind w:firstLine="3600" w:firstLineChars="1500"/>
        <w:textAlignment w:val="auto"/>
        <w:rPr>
          <w:rFonts w:hint="eastAsia" w:ascii="宋体" w:hAnsi="宋体" w:eastAsia="宋体" w:cs="宋体"/>
          <w:color w:val="auto"/>
          <w:sz w:val="24"/>
        </w:rPr>
      </w:pPr>
    </w:p>
    <w:p w14:paraId="543494B2">
      <w:pPr>
        <w:keepNext w:val="0"/>
        <w:keepLines w:val="0"/>
        <w:pageBreakBefore w:val="0"/>
        <w:widowControl w:val="0"/>
        <w:kinsoku/>
        <w:wordWrap/>
        <w:overflowPunct/>
        <w:topLinePunct w:val="0"/>
        <w:autoSpaceDE/>
        <w:autoSpaceDN/>
        <w:bidi w:val="0"/>
        <w:adjustRightInd/>
        <w:spacing w:line="380" w:lineRule="exact"/>
        <w:ind w:firstLine="5280" w:firstLineChars="2200"/>
        <w:textAlignment w:val="auto"/>
        <w:rPr>
          <w:rFonts w:hint="eastAsia"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 xml:space="preserve">名称（电子签名）：                          </w:t>
      </w:r>
    </w:p>
    <w:p w14:paraId="7A4EC2A1">
      <w:pPr>
        <w:keepNext w:val="0"/>
        <w:keepLines w:val="0"/>
        <w:pageBreakBefore w:val="0"/>
        <w:widowControl w:val="0"/>
        <w:kinsoku/>
        <w:wordWrap/>
        <w:overflowPunct/>
        <w:topLinePunct w:val="0"/>
        <w:autoSpaceDE/>
        <w:autoSpaceDN/>
        <w:bidi w:val="0"/>
        <w:adjustRightInd/>
        <w:spacing w:line="38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119211BD">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200" w:firstLineChars="1750"/>
        <w:textAlignment w:val="auto"/>
        <w:rPr>
          <w:rFonts w:hint="eastAsia" w:ascii="宋体" w:hAnsi="宋体" w:eastAsia="宋体" w:cs="宋体"/>
          <w:color w:val="auto"/>
          <w:kern w:val="0"/>
          <w:sz w:val="24"/>
          <w:u w:val="single"/>
        </w:rPr>
      </w:pPr>
    </w:p>
    <w:p w14:paraId="2D1826B3">
      <w:pPr>
        <w:keepNext w:val="0"/>
        <w:keepLines w:val="0"/>
        <w:pageBreakBefore w:val="0"/>
        <w:widowControl w:val="0"/>
        <w:kinsoku/>
        <w:wordWrap/>
        <w:overflowPunct/>
        <w:topLinePunct w:val="0"/>
        <w:autoSpaceDE/>
        <w:autoSpaceDN/>
        <w:bidi w:val="0"/>
        <w:adjustRightInd/>
        <w:spacing w:line="380" w:lineRule="exact"/>
        <w:ind w:right="42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A994215">
      <w:pPr>
        <w:pStyle w:val="31"/>
        <w:ind w:left="0" w:leftChars="0" w:firstLine="0" w:firstLineChars="0"/>
        <w:rPr>
          <w:rFonts w:hint="eastAsia" w:ascii="宋体" w:hAnsi="宋体" w:eastAsia="宋体" w:cs="宋体"/>
          <w:bCs/>
          <w:color w:val="auto"/>
          <w:sz w:val="24"/>
          <w:lang w:eastAsia="zh-CN"/>
        </w:rPr>
      </w:pPr>
    </w:p>
    <w:p w14:paraId="7359507D">
      <w:pPr>
        <w:pStyle w:val="4"/>
        <w:numPr>
          <w:ilvl w:val="2"/>
          <w:numId w:val="0"/>
        </w:numPr>
        <w:spacing w:before="145" w:beforeLines="50" w:after="145" w:afterLines="50" w:line="300" w:lineRule="auto"/>
        <w:ind w:leftChars="0"/>
        <w:jc w:val="center"/>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eastAsia="zh-CN"/>
        </w:rPr>
        <w:t>授权委托书或法定代表人（单位负责人、自然人本人）身份证明</w:t>
      </w:r>
    </w:p>
    <w:p w14:paraId="26AD2D22">
      <w:pPr>
        <w:spacing w:line="360" w:lineRule="auto"/>
        <w:ind w:right="420"/>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法定代表人（单位负责人）身份证明</w:t>
      </w:r>
    </w:p>
    <w:p w14:paraId="5BECB958">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（适用于法定代表人、单位负责人或者自然人本人代表</w:t>
      </w:r>
      <w:r>
        <w:rPr>
          <w:rFonts w:hint="eastAsia" w:ascii="宋体" w:hAnsi="宋体" w:cs="宋体"/>
          <w:color w:val="auto"/>
          <w:sz w:val="24"/>
          <w:lang w:val="en-US" w:eastAsia="zh-CN"/>
        </w:rPr>
        <w:t>供应商</w:t>
      </w:r>
      <w:r>
        <w:rPr>
          <w:rFonts w:hint="eastAsia" w:ascii="宋体" w:hAnsi="宋体" w:eastAsia="宋体" w:cs="宋体"/>
          <w:color w:val="auto"/>
          <w:sz w:val="24"/>
          <w:lang w:val="en-US" w:eastAsia="zh-CN"/>
        </w:rPr>
        <w:t>参加投标）</w:t>
      </w:r>
    </w:p>
    <w:p w14:paraId="3E2CF604">
      <w:pPr>
        <w:pStyle w:val="93"/>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57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C85EF6E">
            <w:pPr>
              <w:pStyle w:val="9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1555A879">
            <w:pPr>
              <w:pStyle w:val="93"/>
              <w:adjustRightInd w:val="0"/>
              <w:spacing w:line="360" w:lineRule="auto"/>
              <w:rPr>
                <w:rFonts w:hint="eastAsia" w:ascii="宋体" w:hAnsi="宋体" w:eastAsia="宋体" w:cs="宋体"/>
                <w:bCs/>
                <w:color w:val="auto"/>
                <w:sz w:val="24"/>
              </w:rPr>
            </w:pPr>
          </w:p>
        </w:tc>
      </w:tr>
    </w:tbl>
    <w:p w14:paraId="0B148B21">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3F8A0576">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 xml:space="preserve">名称(电子签名)：                              </w:t>
      </w:r>
    </w:p>
    <w:p w14:paraId="6AA6A012">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CF84A40">
      <w:pPr>
        <w:rPr>
          <w:rFonts w:hint="eastAsia" w:ascii="宋体" w:hAnsi="宋体" w:eastAsia="宋体" w:cs="宋体"/>
          <w:color w:val="auto"/>
          <w:lang w:val="en-US" w:eastAsia="zh-CN"/>
        </w:rPr>
      </w:pPr>
      <w:bookmarkStart w:id="306" w:name="_Toc1893"/>
    </w:p>
    <w:p w14:paraId="6AE370F9">
      <w:pPr>
        <w:rPr>
          <w:rFonts w:hint="eastAsia" w:ascii="宋体" w:hAnsi="宋体" w:eastAsia="宋体" w:cs="宋体"/>
          <w:b/>
          <w:bCs/>
          <w:color w:val="auto"/>
          <w:sz w:val="24"/>
          <w:szCs w:val="24"/>
          <w:lang w:val="en-US" w:eastAsia="zh-CN"/>
        </w:rPr>
      </w:pPr>
    </w:p>
    <w:p w14:paraId="62D1140F">
      <w:pPr>
        <w:pStyle w:val="30"/>
        <w:rPr>
          <w:rFonts w:hint="eastAsia" w:ascii="宋体" w:hAnsi="宋体" w:eastAsia="宋体" w:cs="宋体"/>
          <w:b/>
          <w:bCs/>
          <w:color w:val="auto"/>
          <w:sz w:val="24"/>
          <w:szCs w:val="24"/>
          <w:lang w:val="en-US" w:eastAsia="zh-CN"/>
        </w:rPr>
      </w:pPr>
    </w:p>
    <w:p w14:paraId="5E7AE838">
      <w:pPr>
        <w:pStyle w:val="14"/>
        <w:rPr>
          <w:rFonts w:hint="eastAsia" w:ascii="宋体" w:hAnsi="宋体" w:eastAsia="宋体" w:cs="宋体"/>
          <w:b/>
          <w:bCs/>
          <w:color w:val="auto"/>
          <w:sz w:val="24"/>
          <w:szCs w:val="24"/>
          <w:lang w:val="en-US" w:eastAsia="zh-CN"/>
        </w:rPr>
      </w:pPr>
    </w:p>
    <w:p w14:paraId="2DB743F1">
      <w:pPr>
        <w:pStyle w:val="14"/>
        <w:rPr>
          <w:rFonts w:hint="eastAsia" w:ascii="宋体" w:hAnsi="宋体" w:eastAsia="宋体" w:cs="宋体"/>
          <w:b/>
          <w:bCs/>
          <w:color w:val="auto"/>
          <w:sz w:val="24"/>
          <w:szCs w:val="24"/>
          <w:lang w:val="en-US" w:eastAsia="zh-CN"/>
        </w:rPr>
      </w:pPr>
    </w:p>
    <w:p w14:paraId="137604E5">
      <w:pPr>
        <w:pStyle w:val="14"/>
        <w:rPr>
          <w:rFonts w:hint="eastAsia" w:ascii="宋体" w:hAnsi="宋体" w:eastAsia="宋体" w:cs="宋体"/>
          <w:b/>
          <w:bCs/>
          <w:color w:val="auto"/>
          <w:sz w:val="24"/>
          <w:szCs w:val="24"/>
          <w:lang w:val="en-US" w:eastAsia="zh-CN"/>
        </w:rPr>
      </w:pPr>
    </w:p>
    <w:p w14:paraId="6187D347">
      <w:pPr>
        <w:pStyle w:val="14"/>
        <w:rPr>
          <w:rFonts w:hint="eastAsia" w:ascii="宋体" w:hAnsi="宋体" w:eastAsia="宋体" w:cs="宋体"/>
          <w:b/>
          <w:bCs/>
          <w:color w:val="auto"/>
          <w:sz w:val="24"/>
          <w:szCs w:val="24"/>
          <w:lang w:val="en-US" w:eastAsia="zh-CN"/>
        </w:rPr>
      </w:pPr>
    </w:p>
    <w:p w14:paraId="000D6278">
      <w:pPr>
        <w:pStyle w:val="14"/>
        <w:rPr>
          <w:rFonts w:hint="eastAsia" w:ascii="宋体" w:hAnsi="宋体" w:eastAsia="宋体" w:cs="宋体"/>
          <w:b/>
          <w:bCs/>
          <w:color w:val="auto"/>
          <w:sz w:val="24"/>
          <w:szCs w:val="24"/>
          <w:lang w:val="en-US" w:eastAsia="zh-CN"/>
        </w:rPr>
      </w:pPr>
    </w:p>
    <w:p w14:paraId="685B7860">
      <w:pPr>
        <w:pStyle w:val="14"/>
        <w:rPr>
          <w:rFonts w:hint="eastAsia" w:ascii="宋体" w:hAnsi="宋体" w:eastAsia="宋体" w:cs="宋体"/>
          <w:b/>
          <w:bCs/>
          <w:color w:val="auto"/>
          <w:sz w:val="24"/>
          <w:szCs w:val="24"/>
          <w:lang w:val="en-US" w:eastAsia="zh-CN"/>
        </w:rPr>
      </w:pPr>
    </w:p>
    <w:p w14:paraId="13C3C13E">
      <w:pPr>
        <w:pStyle w:val="14"/>
        <w:rPr>
          <w:rFonts w:hint="eastAsia" w:ascii="宋体" w:hAnsi="宋体" w:eastAsia="宋体" w:cs="宋体"/>
          <w:b/>
          <w:bCs/>
          <w:color w:val="auto"/>
          <w:sz w:val="24"/>
          <w:szCs w:val="24"/>
          <w:lang w:val="en-US" w:eastAsia="zh-CN"/>
        </w:rPr>
      </w:pPr>
    </w:p>
    <w:p w14:paraId="64FBB719">
      <w:pPr>
        <w:pStyle w:val="14"/>
        <w:rPr>
          <w:rFonts w:hint="eastAsia" w:ascii="宋体" w:hAnsi="宋体" w:eastAsia="宋体" w:cs="宋体"/>
          <w:b/>
          <w:bCs/>
          <w:color w:val="auto"/>
          <w:sz w:val="24"/>
          <w:szCs w:val="24"/>
          <w:lang w:val="en-US" w:eastAsia="zh-CN"/>
        </w:rPr>
      </w:pPr>
    </w:p>
    <w:p w14:paraId="64F3562E">
      <w:pPr>
        <w:pStyle w:val="14"/>
        <w:rPr>
          <w:rFonts w:hint="eastAsia" w:ascii="宋体" w:hAnsi="宋体" w:eastAsia="宋体" w:cs="宋体"/>
          <w:b/>
          <w:bCs/>
          <w:color w:val="auto"/>
          <w:sz w:val="24"/>
          <w:szCs w:val="24"/>
          <w:lang w:val="en-US" w:eastAsia="zh-CN"/>
        </w:rPr>
      </w:pPr>
    </w:p>
    <w:p w14:paraId="04AF04F4">
      <w:pPr>
        <w:snapToGrid w:val="0"/>
        <w:spacing w:line="360" w:lineRule="auto"/>
        <w:jc w:val="both"/>
        <w:rPr>
          <w:rFonts w:hint="eastAsia" w:ascii="宋体" w:hAnsi="宋体" w:eastAsia="宋体" w:cs="宋体"/>
          <w:b/>
          <w:bCs/>
          <w:color w:val="auto"/>
          <w:kern w:val="0"/>
          <w:sz w:val="24"/>
          <w:szCs w:val="24"/>
          <w:lang w:val="zh-CN" w:eastAsia="zh-CN" w:bidi="ar-SA"/>
        </w:rPr>
      </w:pPr>
    </w:p>
    <w:p w14:paraId="245CA2B1">
      <w:pPr>
        <w:snapToGrid w:val="0"/>
        <w:spacing w:line="360" w:lineRule="auto"/>
        <w:jc w:val="center"/>
        <w:rPr>
          <w:rFonts w:hint="eastAsia" w:ascii="宋体" w:hAnsi="宋体" w:eastAsia="宋体" w:cs="宋体"/>
          <w:b/>
          <w:bCs/>
          <w:color w:val="auto"/>
          <w:kern w:val="0"/>
          <w:sz w:val="24"/>
          <w:szCs w:val="24"/>
          <w:lang w:val="zh-CN" w:eastAsia="zh-CN" w:bidi="ar-SA"/>
        </w:rPr>
      </w:pPr>
      <w:r>
        <w:rPr>
          <w:rFonts w:hint="eastAsia" w:ascii="宋体" w:hAnsi="宋体" w:eastAsia="宋体" w:cs="宋体"/>
          <w:b/>
          <w:bCs/>
          <w:color w:val="auto"/>
          <w:kern w:val="0"/>
          <w:sz w:val="24"/>
          <w:szCs w:val="24"/>
          <w:lang w:val="zh-CN" w:eastAsia="zh-CN" w:bidi="ar-SA"/>
        </w:rPr>
        <w:t>授权委托书（适用于非联合体投标）</w:t>
      </w:r>
    </w:p>
    <w:p w14:paraId="4D4E6FF4">
      <w:pPr>
        <w:rPr>
          <w:rFonts w:hint="eastAsia" w:ascii="宋体" w:hAnsi="宋体" w:eastAsia="宋体" w:cs="宋体"/>
          <w:color w:val="auto"/>
        </w:rPr>
      </w:pPr>
    </w:p>
    <w:p w14:paraId="3B39763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7A3C6719">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2A2714A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3EBEC1BC">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特此告知。</w:t>
      </w:r>
    </w:p>
    <w:p w14:paraId="25E2D0FA">
      <w:pPr>
        <w:snapToGrid w:val="0"/>
        <w:spacing w:line="360" w:lineRule="auto"/>
        <w:ind w:firstLine="48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附：</w:t>
      </w:r>
      <w:r>
        <w:rPr>
          <w:rFonts w:hint="eastAsia" w:ascii="宋体" w:hAnsi="宋体" w:eastAsia="宋体" w:cs="宋体"/>
          <w:color w:val="auto"/>
          <w:kern w:val="0"/>
          <w:sz w:val="24"/>
          <w:lang w:val="zh-CN"/>
        </w:rPr>
        <w:t>代理人</w:t>
      </w:r>
      <w:r>
        <w:rPr>
          <w:rFonts w:hint="eastAsia" w:ascii="宋体" w:hAnsi="宋体" w:eastAsia="宋体" w:cs="宋体"/>
          <w:color w:val="auto"/>
          <w:kern w:val="0"/>
          <w:sz w:val="24"/>
          <w:lang w:val="en-US" w:eastAsia="zh-CN"/>
        </w:rPr>
        <w:t>身份证正反面扫描件。</w:t>
      </w:r>
    </w:p>
    <w:p w14:paraId="2F399F5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名称(电子签名)：</w:t>
      </w:r>
    </w:p>
    <w:p w14:paraId="50EEEA67">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1F857494">
      <w:pPr>
        <w:snapToGrid w:val="0"/>
        <w:spacing w:line="360" w:lineRule="auto"/>
        <w:rPr>
          <w:rFonts w:hint="eastAsia" w:ascii="宋体" w:hAnsi="宋体" w:eastAsia="宋体" w:cs="宋体"/>
          <w:color w:val="auto"/>
          <w:sz w:val="24"/>
        </w:rPr>
      </w:pPr>
    </w:p>
    <w:p w14:paraId="672935AE">
      <w:pPr>
        <w:snapToGrid w:val="0"/>
        <w:spacing w:line="360" w:lineRule="auto"/>
        <w:rPr>
          <w:rFonts w:hint="eastAsia" w:ascii="宋体" w:hAnsi="宋体" w:eastAsia="宋体" w:cs="宋体"/>
          <w:color w:val="auto"/>
          <w:sz w:val="24"/>
        </w:rPr>
      </w:pPr>
    </w:p>
    <w:p w14:paraId="26CA32CE">
      <w:pPr>
        <w:snapToGrid w:val="0"/>
        <w:spacing w:line="360" w:lineRule="auto"/>
        <w:rPr>
          <w:rFonts w:hint="eastAsia" w:ascii="宋体" w:hAnsi="宋体" w:eastAsia="宋体" w:cs="宋体"/>
          <w:color w:val="auto"/>
          <w:sz w:val="24"/>
        </w:rPr>
      </w:pPr>
    </w:p>
    <w:p w14:paraId="3F3ED4C4">
      <w:pPr>
        <w:jc w:val="center"/>
        <w:rPr>
          <w:rFonts w:hint="eastAsia" w:ascii="宋体" w:hAnsi="宋体" w:eastAsia="宋体" w:cs="宋体"/>
          <w:b/>
          <w:bCs/>
          <w:color w:val="auto"/>
          <w:kern w:val="0"/>
          <w:sz w:val="24"/>
          <w:szCs w:val="24"/>
          <w:lang w:val="zh-CN" w:eastAsia="zh-CN" w:bidi="ar-SA"/>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bCs/>
          <w:color w:val="auto"/>
          <w:kern w:val="0"/>
          <w:sz w:val="24"/>
          <w:szCs w:val="24"/>
          <w:lang w:val="zh-CN" w:eastAsia="zh-CN" w:bidi="ar-SA"/>
        </w:rPr>
        <w:t xml:space="preserve"> 授权委托书（适用于联合体投标）</w:t>
      </w:r>
    </w:p>
    <w:p w14:paraId="49319CFC">
      <w:pPr>
        <w:rPr>
          <w:rFonts w:hint="eastAsia" w:ascii="宋体" w:hAnsi="宋体" w:eastAsia="宋体" w:cs="宋体"/>
          <w:color w:val="auto"/>
          <w:lang w:val="zh-CN" w:eastAsia="zh-CN"/>
        </w:rPr>
      </w:pPr>
    </w:p>
    <w:p w14:paraId="7A50959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D50FC85">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56AC017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61D6BAA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50B4B85D">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附：</w:t>
      </w:r>
      <w:r>
        <w:rPr>
          <w:rFonts w:hint="eastAsia" w:ascii="宋体" w:hAnsi="宋体" w:eastAsia="宋体" w:cs="宋体"/>
          <w:color w:val="auto"/>
          <w:kern w:val="0"/>
          <w:sz w:val="24"/>
          <w:lang w:val="zh-CN"/>
        </w:rPr>
        <w:t>代理人</w:t>
      </w:r>
      <w:r>
        <w:rPr>
          <w:rFonts w:hint="eastAsia" w:ascii="宋体" w:hAnsi="宋体" w:eastAsia="宋体" w:cs="宋体"/>
          <w:color w:val="auto"/>
          <w:kern w:val="0"/>
          <w:sz w:val="24"/>
          <w:lang w:val="en-US" w:eastAsia="zh-CN"/>
        </w:rPr>
        <w:t>身份证正反面扫描件。</w:t>
      </w:r>
    </w:p>
    <w:p w14:paraId="540FD917">
      <w:pPr>
        <w:snapToGrid w:val="0"/>
        <w:spacing w:line="360" w:lineRule="auto"/>
        <w:ind w:firstLine="5040" w:firstLineChars="2100"/>
        <w:rPr>
          <w:rFonts w:hint="eastAsia" w:ascii="宋体" w:hAnsi="宋体" w:eastAsia="宋体" w:cs="宋体"/>
          <w:color w:val="auto"/>
          <w:kern w:val="0"/>
          <w:sz w:val="24"/>
          <w:lang w:val="zh-CN"/>
        </w:rPr>
      </w:pPr>
    </w:p>
    <w:p w14:paraId="2D193CB1">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6D9C0A1">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0A38E53F">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2269F23D">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6948C6AE">
      <w:pPr>
        <w:pStyle w:val="30"/>
        <w:rPr>
          <w:rFonts w:hint="eastAsia" w:ascii="宋体" w:hAnsi="宋体" w:eastAsia="宋体" w:cs="宋体"/>
          <w:color w:val="auto"/>
          <w:lang w:val="zh-CN"/>
        </w:rPr>
      </w:pPr>
    </w:p>
    <w:p w14:paraId="5284B675">
      <w:pPr>
        <w:pStyle w:val="14"/>
        <w:rPr>
          <w:rFonts w:hint="eastAsia"/>
          <w:lang w:val="zh-CN"/>
        </w:rPr>
      </w:pPr>
    </w:p>
    <w:bookmarkEnd w:id="306"/>
    <w:p w14:paraId="0360EFFB">
      <w:pPr>
        <w:pStyle w:val="4"/>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bookmarkStart w:id="307" w:name="_Toc5716"/>
      <w:r>
        <w:rPr>
          <w:rFonts w:hint="eastAsia" w:ascii="宋体" w:hAnsi="宋体" w:eastAsia="宋体" w:cs="宋体"/>
          <w:b/>
          <w:bCs/>
          <w:color w:val="auto"/>
          <w:sz w:val="30"/>
          <w:szCs w:val="30"/>
          <w:lang w:val="en-US" w:eastAsia="zh-CN"/>
        </w:rPr>
        <w:t>三、响应保证金</w:t>
      </w:r>
      <w:bookmarkEnd w:id="307"/>
    </w:p>
    <w:p w14:paraId="0A265B0C">
      <w:pPr>
        <w:pStyle w:val="31"/>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本项目不要求</w:t>
      </w:r>
    </w:p>
    <w:p w14:paraId="5145978A">
      <w:pPr>
        <w:pStyle w:val="31"/>
        <w:rPr>
          <w:rFonts w:hint="eastAsia" w:ascii="宋体" w:hAnsi="宋体" w:eastAsia="宋体" w:cs="宋体"/>
          <w:color w:val="auto"/>
          <w:sz w:val="24"/>
          <w:szCs w:val="24"/>
        </w:rPr>
      </w:pPr>
    </w:p>
    <w:p w14:paraId="701AF348">
      <w:pPr>
        <w:pStyle w:val="31"/>
        <w:rPr>
          <w:rFonts w:hint="eastAsia" w:ascii="宋体" w:hAnsi="宋体" w:eastAsia="宋体" w:cs="宋体"/>
          <w:color w:val="auto"/>
          <w:sz w:val="24"/>
          <w:szCs w:val="24"/>
        </w:rPr>
      </w:pPr>
    </w:p>
    <w:p w14:paraId="2806B831">
      <w:pPr>
        <w:pStyle w:val="31"/>
        <w:rPr>
          <w:rFonts w:hint="eastAsia" w:ascii="宋体" w:hAnsi="宋体" w:eastAsia="宋体" w:cs="宋体"/>
          <w:color w:val="auto"/>
          <w:sz w:val="24"/>
          <w:szCs w:val="24"/>
        </w:rPr>
      </w:pPr>
    </w:p>
    <w:p w14:paraId="66563CFE">
      <w:pPr>
        <w:pStyle w:val="31"/>
        <w:rPr>
          <w:rFonts w:hint="eastAsia" w:ascii="宋体" w:hAnsi="宋体" w:eastAsia="宋体" w:cs="宋体"/>
          <w:color w:val="auto"/>
          <w:sz w:val="24"/>
          <w:szCs w:val="24"/>
        </w:rPr>
      </w:pPr>
    </w:p>
    <w:p w14:paraId="5B83F0CD">
      <w:pPr>
        <w:pStyle w:val="31"/>
        <w:rPr>
          <w:rFonts w:hint="eastAsia" w:ascii="宋体" w:hAnsi="宋体" w:eastAsia="宋体" w:cs="宋体"/>
          <w:color w:val="auto"/>
          <w:sz w:val="24"/>
          <w:szCs w:val="24"/>
        </w:rPr>
      </w:pPr>
    </w:p>
    <w:p w14:paraId="695FE1BF">
      <w:pPr>
        <w:pStyle w:val="31"/>
        <w:rPr>
          <w:rFonts w:hint="eastAsia" w:ascii="宋体" w:hAnsi="宋体" w:eastAsia="宋体" w:cs="宋体"/>
          <w:color w:val="auto"/>
          <w:sz w:val="24"/>
          <w:szCs w:val="24"/>
        </w:rPr>
      </w:pPr>
    </w:p>
    <w:p w14:paraId="7A4A7DB4">
      <w:pPr>
        <w:pStyle w:val="31"/>
        <w:rPr>
          <w:rFonts w:hint="eastAsia" w:ascii="宋体" w:hAnsi="宋体" w:eastAsia="宋体" w:cs="宋体"/>
          <w:color w:val="auto"/>
          <w:sz w:val="24"/>
          <w:szCs w:val="24"/>
        </w:rPr>
      </w:pPr>
    </w:p>
    <w:p w14:paraId="0D0D2E5D">
      <w:pPr>
        <w:pStyle w:val="31"/>
        <w:rPr>
          <w:rFonts w:hint="eastAsia" w:ascii="宋体" w:hAnsi="宋体" w:eastAsia="宋体" w:cs="宋体"/>
          <w:color w:val="auto"/>
          <w:sz w:val="24"/>
          <w:szCs w:val="24"/>
        </w:rPr>
      </w:pPr>
    </w:p>
    <w:p w14:paraId="46D92F6B">
      <w:pPr>
        <w:pStyle w:val="31"/>
        <w:rPr>
          <w:rFonts w:hint="eastAsia" w:ascii="宋体" w:hAnsi="宋体" w:eastAsia="宋体" w:cs="宋体"/>
          <w:color w:val="auto"/>
          <w:sz w:val="24"/>
          <w:szCs w:val="24"/>
        </w:rPr>
      </w:pPr>
    </w:p>
    <w:p w14:paraId="4A6A9481">
      <w:pPr>
        <w:pStyle w:val="31"/>
        <w:rPr>
          <w:rFonts w:hint="eastAsia" w:ascii="宋体" w:hAnsi="宋体" w:eastAsia="宋体" w:cs="宋体"/>
          <w:color w:val="auto"/>
          <w:sz w:val="24"/>
          <w:szCs w:val="24"/>
        </w:rPr>
      </w:pPr>
    </w:p>
    <w:p w14:paraId="5C16369B">
      <w:pPr>
        <w:pStyle w:val="31"/>
        <w:rPr>
          <w:rFonts w:hint="eastAsia" w:ascii="宋体" w:hAnsi="宋体" w:eastAsia="宋体" w:cs="宋体"/>
          <w:color w:val="auto"/>
          <w:sz w:val="24"/>
          <w:szCs w:val="24"/>
        </w:rPr>
      </w:pPr>
    </w:p>
    <w:p w14:paraId="703D79FE">
      <w:pPr>
        <w:pStyle w:val="31"/>
        <w:rPr>
          <w:rFonts w:hint="eastAsia" w:ascii="宋体" w:hAnsi="宋体" w:eastAsia="宋体" w:cs="宋体"/>
          <w:color w:val="auto"/>
          <w:sz w:val="24"/>
          <w:szCs w:val="24"/>
        </w:rPr>
      </w:pPr>
    </w:p>
    <w:p w14:paraId="1FF8BD7D">
      <w:pPr>
        <w:pStyle w:val="31"/>
        <w:rPr>
          <w:rFonts w:hint="eastAsia" w:ascii="宋体" w:hAnsi="宋体" w:eastAsia="宋体" w:cs="宋体"/>
          <w:color w:val="auto"/>
          <w:sz w:val="24"/>
          <w:szCs w:val="24"/>
        </w:rPr>
      </w:pPr>
    </w:p>
    <w:p w14:paraId="2885A8D7">
      <w:pPr>
        <w:pStyle w:val="31"/>
        <w:rPr>
          <w:rFonts w:hint="eastAsia" w:ascii="宋体" w:hAnsi="宋体" w:eastAsia="宋体" w:cs="宋体"/>
          <w:color w:val="auto"/>
          <w:sz w:val="24"/>
          <w:szCs w:val="24"/>
        </w:rPr>
      </w:pPr>
    </w:p>
    <w:p w14:paraId="3BE3C053">
      <w:pPr>
        <w:pStyle w:val="31"/>
        <w:rPr>
          <w:rFonts w:hint="eastAsia" w:ascii="宋体" w:hAnsi="宋体" w:eastAsia="宋体" w:cs="宋体"/>
          <w:color w:val="auto"/>
          <w:sz w:val="24"/>
          <w:szCs w:val="24"/>
        </w:rPr>
      </w:pPr>
    </w:p>
    <w:p w14:paraId="0E83251C">
      <w:pPr>
        <w:pStyle w:val="31"/>
        <w:rPr>
          <w:rFonts w:hint="eastAsia" w:ascii="宋体" w:hAnsi="宋体" w:eastAsia="宋体" w:cs="宋体"/>
          <w:color w:val="auto"/>
          <w:sz w:val="24"/>
          <w:szCs w:val="24"/>
        </w:rPr>
      </w:pPr>
    </w:p>
    <w:p w14:paraId="7892DF0D">
      <w:pPr>
        <w:pStyle w:val="31"/>
        <w:rPr>
          <w:rFonts w:hint="eastAsia" w:ascii="宋体" w:hAnsi="宋体" w:eastAsia="宋体" w:cs="宋体"/>
          <w:color w:val="auto"/>
          <w:sz w:val="24"/>
          <w:szCs w:val="24"/>
        </w:rPr>
      </w:pPr>
    </w:p>
    <w:p w14:paraId="505151C2">
      <w:pPr>
        <w:pStyle w:val="31"/>
        <w:rPr>
          <w:rFonts w:hint="eastAsia" w:ascii="宋体" w:hAnsi="宋体" w:eastAsia="宋体" w:cs="宋体"/>
          <w:color w:val="auto"/>
          <w:sz w:val="24"/>
          <w:szCs w:val="24"/>
        </w:rPr>
      </w:pPr>
    </w:p>
    <w:p w14:paraId="37979959">
      <w:pPr>
        <w:pStyle w:val="31"/>
        <w:rPr>
          <w:rFonts w:hint="eastAsia" w:ascii="宋体" w:hAnsi="宋体" w:eastAsia="宋体" w:cs="宋体"/>
          <w:color w:val="auto"/>
          <w:sz w:val="24"/>
          <w:szCs w:val="24"/>
        </w:rPr>
      </w:pPr>
    </w:p>
    <w:p w14:paraId="79DA249A">
      <w:pPr>
        <w:pStyle w:val="31"/>
        <w:rPr>
          <w:rFonts w:hint="eastAsia" w:ascii="宋体" w:hAnsi="宋体" w:eastAsia="宋体" w:cs="宋体"/>
          <w:color w:val="auto"/>
          <w:sz w:val="24"/>
          <w:szCs w:val="24"/>
        </w:rPr>
      </w:pPr>
    </w:p>
    <w:p w14:paraId="1FED7D29">
      <w:pPr>
        <w:pStyle w:val="31"/>
        <w:rPr>
          <w:rFonts w:hint="eastAsia" w:ascii="宋体" w:hAnsi="宋体" w:eastAsia="宋体" w:cs="宋体"/>
          <w:color w:val="auto"/>
          <w:sz w:val="24"/>
          <w:szCs w:val="24"/>
        </w:rPr>
      </w:pPr>
    </w:p>
    <w:p w14:paraId="47FF8A2B">
      <w:pPr>
        <w:pStyle w:val="31"/>
        <w:rPr>
          <w:rFonts w:hint="eastAsia" w:ascii="宋体" w:hAnsi="宋体" w:eastAsia="宋体" w:cs="宋体"/>
          <w:color w:val="auto"/>
          <w:sz w:val="24"/>
          <w:szCs w:val="24"/>
        </w:rPr>
      </w:pPr>
    </w:p>
    <w:p w14:paraId="4243F377">
      <w:pPr>
        <w:pStyle w:val="31"/>
        <w:rPr>
          <w:rFonts w:hint="eastAsia" w:ascii="宋体" w:hAnsi="宋体" w:eastAsia="宋体" w:cs="宋体"/>
          <w:color w:val="auto"/>
          <w:sz w:val="24"/>
          <w:szCs w:val="24"/>
        </w:rPr>
      </w:pPr>
    </w:p>
    <w:p w14:paraId="17FB4DE2">
      <w:pPr>
        <w:pStyle w:val="31"/>
        <w:rPr>
          <w:rFonts w:hint="eastAsia" w:ascii="宋体" w:hAnsi="宋体" w:eastAsia="宋体" w:cs="宋体"/>
          <w:color w:val="auto"/>
          <w:sz w:val="24"/>
          <w:szCs w:val="24"/>
        </w:rPr>
      </w:pPr>
    </w:p>
    <w:p w14:paraId="0A1CB610">
      <w:pPr>
        <w:pStyle w:val="31"/>
        <w:rPr>
          <w:rFonts w:hint="eastAsia" w:ascii="宋体" w:hAnsi="宋体" w:eastAsia="宋体" w:cs="宋体"/>
          <w:color w:val="auto"/>
          <w:sz w:val="24"/>
          <w:szCs w:val="24"/>
        </w:rPr>
      </w:pPr>
    </w:p>
    <w:p w14:paraId="478A0183">
      <w:pPr>
        <w:pStyle w:val="31"/>
        <w:rPr>
          <w:rFonts w:hint="eastAsia" w:ascii="宋体" w:hAnsi="宋体" w:eastAsia="宋体" w:cs="宋体"/>
          <w:color w:val="auto"/>
          <w:sz w:val="24"/>
          <w:szCs w:val="24"/>
        </w:rPr>
      </w:pPr>
    </w:p>
    <w:p w14:paraId="0E78D62B">
      <w:pPr>
        <w:pStyle w:val="31"/>
        <w:rPr>
          <w:rFonts w:hint="eastAsia" w:ascii="宋体" w:hAnsi="宋体" w:eastAsia="宋体" w:cs="宋体"/>
          <w:color w:val="auto"/>
          <w:sz w:val="24"/>
          <w:szCs w:val="24"/>
        </w:rPr>
      </w:pPr>
    </w:p>
    <w:p w14:paraId="382EB9C7">
      <w:pPr>
        <w:pStyle w:val="31"/>
        <w:rPr>
          <w:rFonts w:hint="eastAsia" w:ascii="宋体" w:hAnsi="宋体" w:eastAsia="宋体" w:cs="宋体"/>
          <w:color w:val="auto"/>
          <w:sz w:val="24"/>
          <w:szCs w:val="24"/>
        </w:rPr>
      </w:pPr>
    </w:p>
    <w:p w14:paraId="2E748AC7">
      <w:pPr>
        <w:pStyle w:val="31"/>
        <w:rPr>
          <w:rFonts w:hint="eastAsia" w:ascii="宋体" w:hAnsi="宋体" w:eastAsia="宋体" w:cs="宋体"/>
          <w:color w:val="auto"/>
          <w:sz w:val="24"/>
          <w:szCs w:val="24"/>
        </w:rPr>
      </w:pPr>
    </w:p>
    <w:p w14:paraId="70CAACFB">
      <w:pPr>
        <w:pStyle w:val="31"/>
        <w:rPr>
          <w:rFonts w:hint="eastAsia" w:ascii="宋体" w:hAnsi="宋体" w:eastAsia="宋体" w:cs="宋体"/>
          <w:color w:val="auto"/>
          <w:sz w:val="24"/>
          <w:szCs w:val="24"/>
        </w:rPr>
      </w:pPr>
    </w:p>
    <w:p w14:paraId="18704D17">
      <w:pPr>
        <w:pStyle w:val="31"/>
        <w:rPr>
          <w:rFonts w:hint="eastAsia" w:ascii="宋体" w:hAnsi="宋体" w:eastAsia="宋体" w:cs="宋体"/>
          <w:color w:val="auto"/>
          <w:sz w:val="24"/>
          <w:szCs w:val="24"/>
        </w:rPr>
      </w:pPr>
    </w:p>
    <w:p w14:paraId="3C1779B7">
      <w:pPr>
        <w:pStyle w:val="31"/>
        <w:rPr>
          <w:rFonts w:hint="eastAsia" w:ascii="宋体" w:hAnsi="宋体" w:eastAsia="宋体" w:cs="宋体"/>
          <w:color w:val="auto"/>
          <w:sz w:val="24"/>
          <w:szCs w:val="24"/>
        </w:rPr>
      </w:pPr>
    </w:p>
    <w:p w14:paraId="1E84B0DB">
      <w:pPr>
        <w:pStyle w:val="31"/>
        <w:rPr>
          <w:rFonts w:hint="eastAsia" w:ascii="宋体" w:hAnsi="宋体" w:eastAsia="宋体" w:cs="宋体"/>
          <w:color w:val="auto"/>
          <w:sz w:val="24"/>
          <w:szCs w:val="24"/>
        </w:rPr>
      </w:pPr>
    </w:p>
    <w:p w14:paraId="77B8849D">
      <w:pPr>
        <w:pStyle w:val="31"/>
        <w:rPr>
          <w:rFonts w:hint="eastAsia" w:ascii="宋体" w:hAnsi="宋体" w:eastAsia="宋体" w:cs="宋体"/>
          <w:color w:val="auto"/>
          <w:sz w:val="24"/>
          <w:szCs w:val="24"/>
        </w:rPr>
      </w:pPr>
    </w:p>
    <w:p w14:paraId="4278B58C">
      <w:pPr>
        <w:pStyle w:val="31"/>
        <w:rPr>
          <w:rFonts w:hint="eastAsia" w:ascii="宋体" w:hAnsi="宋体" w:eastAsia="宋体" w:cs="宋体"/>
          <w:color w:val="auto"/>
          <w:sz w:val="24"/>
          <w:szCs w:val="24"/>
        </w:rPr>
      </w:pPr>
    </w:p>
    <w:p w14:paraId="796C4370">
      <w:pPr>
        <w:pStyle w:val="31"/>
        <w:rPr>
          <w:rFonts w:hint="eastAsia" w:ascii="宋体" w:hAnsi="宋体" w:eastAsia="宋体" w:cs="宋体"/>
          <w:color w:val="auto"/>
          <w:sz w:val="24"/>
          <w:szCs w:val="24"/>
        </w:rPr>
      </w:pPr>
    </w:p>
    <w:p w14:paraId="544DA887">
      <w:pPr>
        <w:pStyle w:val="31"/>
        <w:rPr>
          <w:rFonts w:hint="eastAsia" w:ascii="宋体" w:hAnsi="宋体" w:eastAsia="宋体" w:cs="宋体"/>
          <w:color w:val="auto"/>
          <w:sz w:val="24"/>
          <w:szCs w:val="24"/>
        </w:rPr>
      </w:pPr>
    </w:p>
    <w:p w14:paraId="3737ECC1">
      <w:pPr>
        <w:pStyle w:val="31"/>
        <w:rPr>
          <w:rFonts w:hint="eastAsia" w:ascii="宋体" w:hAnsi="宋体" w:eastAsia="宋体" w:cs="宋体"/>
          <w:color w:val="auto"/>
          <w:sz w:val="24"/>
          <w:szCs w:val="24"/>
        </w:rPr>
      </w:pPr>
    </w:p>
    <w:p w14:paraId="72D2AAFE">
      <w:pPr>
        <w:pStyle w:val="31"/>
        <w:rPr>
          <w:rFonts w:hint="eastAsia" w:ascii="宋体" w:hAnsi="宋体" w:eastAsia="宋体" w:cs="宋体"/>
          <w:color w:val="auto"/>
          <w:sz w:val="24"/>
          <w:szCs w:val="24"/>
        </w:rPr>
      </w:pPr>
    </w:p>
    <w:p w14:paraId="61F1FCD4">
      <w:pPr>
        <w:pStyle w:val="31"/>
        <w:rPr>
          <w:rFonts w:hint="eastAsia" w:ascii="宋体" w:hAnsi="宋体" w:eastAsia="宋体" w:cs="宋体"/>
          <w:color w:val="auto"/>
          <w:sz w:val="24"/>
          <w:szCs w:val="24"/>
        </w:rPr>
      </w:pPr>
    </w:p>
    <w:p w14:paraId="083BE97C">
      <w:pPr>
        <w:pStyle w:val="31"/>
        <w:rPr>
          <w:rFonts w:hint="eastAsia" w:ascii="宋体" w:hAnsi="宋体" w:eastAsia="宋体" w:cs="宋体"/>
          <w:color w:val="auto"/>
          <w:sz w:val="24"/>
          <w:szCs w:val="24"/>
        </w:rPr>
      </w:pPr>
    </w:p>
    <w:p w14:paraId="55E38040">
      <w:pPr>
        <w:pStyle w:val="31"/>
        <w:rPr>
          <w:rFonts w:hint="eastAsia" w:ascii="宋体" w:hAnsi="宋体" w:eastAsia="宋体" w:cs="宋体"/>
          <w:color w:val="auto"/>
          <w:sz w:val="24"/>
          <w:szCs w:val="24"/>
        </w:rPr>
      </w:pPr>
    </w:p>
    <w:p w14:paraId="2949D3CB">
      <w:pPr>
        <w:pStyle w:val="4"/>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四、投标</w:t>
      </w:r>
      <w:r>
        <w:rPr>
          <w:rFonts w:hint="eastAsia" w:ascii="宋体" w:eastAsia="宋体" w:cs="宋体"/>
          <w:b/>
          <w:bCs/>
          <w:color w:val="auto"/>
          <w:sz w:val="30"/>
          <w:szCs w:val="30"/>
          <w:lang w:val="en-US" w:eastAsia="zh-CN"/>
        </w:rPr>
        <w:t>服务</w:t>
      </w:r>
      <w:r>
        <w:rPr>
          <w:rFonts w:hint="eastAsia" w:ascii="宋体" w:hAnsi="宋体" w:eastAsia="宋体" w:cs="宋体"/>
          <w:b/>
          <w:bCs/>
          <w:color w:val="auto"/>
          <w:sz w:val="30"/>
          <w:szCs w:val="30"/>
          <w:lang w:val="en-US" w:eastAsia="zh-CN"/>
        </w:rPr>
        <w:t>配置清单</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993"/>
        <w:gridCol w:w="3774"/>
        <w:gridCol w:w="1805"/>
      </w:tblGrid>
      <w:tr w14:paraId="32A4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6A23FB8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02" w:type="pct"/>
            <w:tcBorders>
              <w:top w:val="single" w:color="auto" w:sz="4" w:space="0"/>
              <w:left w:val="single" w:color="auto" w:sz="4" w:space="0"/>
              <w:bottom w:val="single" w:color="auto" w:sz="4" w:space="0"/>
              <w:right w:val="single" w:color="auto" w:sz="4" w:space="0"/>
            </w:tcBorders>
            <w:noWrap w:val="0"/>
            <w:vAlign w:val="center"/>
          </w:tcPr>
          <w:p w14:paraId="5B2DB71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lang w:val="en-US" w:eastAsia="zh-CN"/>
              </w:rPr>
              <w:t>服务</w:t>
            </w:r>
            <w:r>
              <w:rPr>
                <w:rFonts w:hint="eastAsia" w:ascii="宋体" w:hAnsi="宋体" w:eastAsia="宋体" w:cs="宋体"/>
                <w:b/>
                <w:color w:val="auto"/>
                <w:sz w:val="24"/>
              </w:rPr>
              <w:t>名称</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1395DBC0">
            <w:pPr>
              <w:spacing w:line="360" w:lineRule="auto"/>
              <w:jc w:val="center"/>
              <w:rPr>
                <w:rFonts w:hint="eastAsia" w:ascii="宋体" w:hAnsi="宋体" w:eastAsia="宋体" w:cs="宋体"/>
                <w:b/>
                <w:color w:val="auto"/>
                <w:sz w:val="24"/>
                <w:lang w:eastAsia="zh-CN"/>
              </w:rPr>
            </w:pPr>
            <w:r>
              <w:rPr>
                <w:rFonts w:hint="eastAsia" w:ascii="宋体" w:hAnsi="宋体" w:eastAsia="宋体" w:cs="宋体"/>
                <w:b/>
                <w:color w:val="auto"/>
                <w:sz w:val="24"/>
                <w:lang w:val="en-US" w:eastAsia="zh-CN"/>
              </w:rPr>
              <w:t>服务内容</w:t>
            </w:r>
          </w:p>
        </w:tc>
        <w:tc>
          <w:tcPr>
            <w:tcW w:w="906" w:type="pct"/>
            <w:tcBorders>
              <w:top w:val="single" w:color="auto" w:sz="4" w:space="0"/>
              <w:left w:val="single" w:color="auto" w:sz="4" w:space="0"/>
              <w:bottom w:val="single" w:color="auto" w:sz="4" w:space="0"/>
              <w:right w:val="single" w:color="auto" w:sz="4" w:space="0"/>
            </w:tcBorders>
            <w:noWrap w:val="0"/>
            <w:vAlign w:val="center"/>
          </w:tcPr>
          <w:p w14:paraId="05D81DF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27DC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4BDA784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502" w:type="pct"/>
            <w:tcBorders>
              <w:top w:val="single" w:color="auto" w:sz="4" w:space="0"/>
              <w:left w:val="single" w:color="auto" w:sz="4" w:space="0"/>
              <w:bottom w:val="single" w:color="auto" w:sz="4" w:space="0"/>
              <w:right w:val="single" w:color="auto" w:sz="4" w:space="0"/>
            </w:tcBorders>
            <w:noWrap w:val="0"/>
            <w:vAlign w:val="center"/>
          </w:tcPr>
          <w:p w14:paraId="4D2C3E55">
            <w:pPr>
              <w:snapToGrid w:val="0"/>
              <w:spacing w:line="360" w:lineRule="auto"/>
              <w:jc w:val="center"/>
              <w:rPr>
                <w:rFonts w:hint="eastAsia" w:ascii="宋体" w:hAnsi="宋体" w:eastAsia="宋体" w:cs="宋体"/>
                <w:color w:val="auto"/>
                <w:sz w:val="24"/>
              </w:rPr>
            </w:pPr>
          </w:p>
        </w:tc>
        <w:tc>
          <w:tcPr>
            <w:tcW w:w="1894" w:type="pct"/>
            <w:tcBorders>
              <w:top w:val="single" w:color="auto" w:sz="4" w:space="0"/>
              <w:left w:val="single" w:color="auto" w:sz="4" w:space="0"/>
              <w:bottom w:val="single" w:color="auto" w:sz="4" w:space="0"/>
              <w:right w:val="single" w:color="auto" w:sz="4" w:space="0"/>
            </w:tcBorders>
            <w:noWrap w:val="0"/>
            <w:vAlign w:val="center"/>
          </w:tcPr>
          <w:p w14:paraId="29229996">
            <w:pPr>
              <w:snapToGrid w:val="0"/>
              <w:spacing w:line="360" w:lineRule="auto"/>
              <w:jc w:val="center"/>
              <w:rPr>
                <w:rFonts w:hint="eastAsia" w:ascii="宋体" w:hAnsi="宋体" w:eastAsia="宋体" w:cs="宋体"/>
                <w:color w:val="auto"/>
                <w:sz w:val="24"/>
              </w:rPr>
            </w:pPr>
          </w:p>
        </w:tc>
        <w:tc>
          <w:tcPr>
            <w:tcW w:w="906" w:type="pct"/>
            <w:tcBorders>
              <w:top w:val="single" w:color="auto" w:sz="4" w:space="0"/>
              <w:left w:val="single" w:color="auto" w:sz="4" w:space="0"/>
              <w:bottom w:val="single" w:color="auto" w:sz="4" w:space="0"/>
              <w:right w:val="single" w:color="auto" w:sz="4" w:space="0"/>
            </w:tcBorders>
            <w:noWrap w:val="0"/>
            <w:vAlign w:val="center"/>
          </w:tcPr>
          <w:p w14:paraId="2F994987">
            <w:pPr>
              <w:spacing w:line="360" w:lineRule="auto"/>
              <w:jc w:val="center"/>
              <w:rPr>
                <w:rFonts w:hint="eastAsia" w:ascii="宋体" w:hAnsi="宋体" w:eastAsia="宋体" w:cs="宋体"/>
                <w:color w:val="auto"/>
                <w:sz w:val="24"/>
              </w:rPr>
            </w:pPr>
          </w:p>
        </w:tc>
      </w:tr>
      <w:tr w14:paraId="15B6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4E88400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502" w:type="pct"/>
            <w:tcBorders>
              <w:top w:val="single" w:color="auto" w:sz="4" w:space="0"/>
              <w:left w:val="single" w:color="auto" w:sz="4" w:space="0"/>
              <w:bottom w:val="single" w:color="auto" w:sz="4" w:space="0"/>
              <w:right w:val="single" w:color="auto" w:sz="4" w:space="0"/>
            </w:tcBorders>
            <w:noWrap w:val="0"/>
            <w:vAlign w:val="center"/>
          </w:tcPr>
          <w:p w14:paraId="73DC95CF">
            <w:pPr>
              <w:snapToGrid w:val="0"/>
              <w:spacing w:line="360" w:lineRule="auto"/>
              <w:jc w:val="center"/>
              <w:rPr>
                <w:rFonts w:hint="eastAsia" w:ascii="宋体" w:hAnsi="宋体" w:eastAsia="宋体" w:cs="宋体"/>
                <w:color w:val="auto"/>
                <w:sz w:val="24"/>
              </w:rPr>
            </w:pPr>
          </w:p>
        </w:tc>
        <w:tc>
          <w:tcPr>
            <w:tcW w:w="1894" w:type="pct"/>
            <w:tcBorders>
              <w:top w:val="single" w:color="auto" w:sz="4" w:space="0"/>
              <w:left w:val="single" w:color="auto" w:sz="4" w:space="0"/>
              <w:bottom w:val="single" w:color="auto" w:sz="4" w:space="0"/>
              <w:right w:val="single" w:color="auto" w:sz="4" w:space="0"/>
            </w:tcBorders>
            <w:noWrap w:val="0"/>
            <w:vAlign w:val="center"/>
          </w:tcPr>
          <w:p w14:paraId="6BB365D7">
            <w:pPr>
              <w:snapToGrid w:val="0"/>
              <w:spacing w:line="360" w:lineRule="auto"/>
              <w:jc w:val="center"/>
              <w:rPr>
                <w:rFonts w:hint="eastAsia" w:ascii="宋体" w:hAnsi="宋体" w:eastAsia="宋体" w:cs="宋体"/>
                <w:color w:val="auto"/>
                <w:sz w:val="24"/>
              </w:rPr>
            </w:pPr>
          </w:p>
        </w:tc>
        <w:tc>
          <w:tcPr>
            <w:tcW w:w="906" w:type="pct"/>
            <w:tcBorders>
              <w:top w:val="single" w:color="auto" w:sz="4" w:space="0"/>
              <w:left w:val="single" w:color="auto" w:sz="4" w:space="0"/>
              <w:bottom w:val="single" w:color="auto" w:sz="4" w:space="0"/>
              <w:right w:val="single" w:color="auto" w:sz="4" w:space="0"/>
            </w:tcBorders>
            <w:noWrap w:val="0"/>
            <w:vAlign w:val="center"/>
          </w:tcPr>
          <w:p w14:paraId="2DDDF1FF">
            <w:pPr>
              <w:spacing w:line="360" w:lineRule="auto"/>
              <w:jc w:val="center"/>
              <w:rPr>
                <w:rFonts w:hint="eastAsia" w:ascii="宋体" w:hAnsi="宋体" w:eastAsia="宋体" w:cs="宋体"/>
                <w:color w:val="auto"/>
                <w:sz w:val="24"/>
              </w:rPr>
            </w:pPr>
          </w:p>
        </w:tc>
      </w:tr>
      <w:tr w14:paraId="24B1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0BC73FE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02" w:type="pct"/>
            <w:tcBorders>
              <w:top w:val="single" w:color="auto" w:sz="4" w:space="0"/>
              <w:left w:val="single" w:color="auto" w:sz="4" w:space="0"/>
              <w:bottom w:val="single" w:color="auto" w:sz="4" w:space="0"/>
              <w:right w:val="single" w:color="auto" w:sz="4" w:space="0"/>
            </w:tcBorders>
            <w:noWrap w:val="0"/>
            <w:vAlign w:val="center"/>
          </w:tcPr>
          <w:p w14:paraId="48574158">
            <w:pPr>
              <w:snapToGrid w:val="0"/>
              <w:spacing w:line="360" w:lineRule="auto"/>
              <w:jc w:val="center"/>
              <w:rPr>
                <w:rFonts w:hint="eastAsia" w:ascii="宋体" w:hAnsi="宋体" w:eastAsia="宋体" w:cs="宋体"/>
                <w:color w:val="auto"/>
                <w:sz w:val="24"/>
              </w:rPr>
            </w:pPr>
          </w:p>
        </w:tc>
        <w:tc>
          <w:tcPr>
            <w:tcW w:w="1894" w:type="pct"/>
            <w:tcBorders>
              <w:top w:val="single" w:color="auto" w:sz="4" w:space="0"/>
              <w:left w:val="single" w:color="auto" w:sz="4" w:space="0"/>
              <w:bottom w:val="single" w:color="auto" w:sz="4" w:space="0"/>
              <w:right w:val="single" w:color="auto" w:sz="4" w:space="0"/>
            </w:tcBorders>
            <w:noWrap w:val="0"/>
            <w:vAlign w:val="center"/>
          </w:tcPr>
          <w:p w14:paraId="10B7914B">
            <w:pPr>
              <w:snapToGrid w:val="0"/>
              <w:spacing w:line="360" w:lineRule="auto"/>
              <w:jc w:val="center"/>
              <w:rPr>
                <w:rFonts w:hint="eastAsia" w:ascii="宋体" w:hAnsi="宋体" w:eastAsia="宋体" w:cs="宋体"/>
                <w:color w:val="auto"/>
                <w:sz w:val="24"/>
              </w:rPr>
            </w:pPr>
          </w:p>
        </w:tc>
        <w:tc>
          <w:tcPr>
            <w:tcW w:w="906" w:type="pct"/>
            <w:tcBorders>
              <w:top w:val="single" w:color="auto" w:sz="4" w:space="0"/>
              <w:left w:val="single" w:color="auto" w:sz="4" w:space="0"/>
              <w:bottom w:val="single" w:color="auto" w:sz="4" w:space="0"/>
              <w:right w:val="single" w:color="auto" w:sz="4" w:space="0"/>
            </w:tcBorders>
            <w:noWrap w:val="0"/>
            <w:vAlign w:val="center"/>
          </w:tcPr>
          <w:p w14:paraId="6958307F">
            <w:pPr>
              <w:spacing w:line="360" w:lineRule="auto"/>
              <w:jc w:val="center"/>
              <w:rPr>
                <w:rFonts w:hint="eastAsia" w:ascii="宋体" w:hAnsi="宋体" w:eastAsia="宋体" w:cs="宋体"/>
                <w:color w:val="auto"/>
                <w:sz w:val="24"/>
              </w:rPr>
            </w:pPr>
          </w:p>
        </w:tc>
      </w:tr>
      <w:bookmarkEnd w:id="295"/>
      <w:bookmarkEnd w:id="296"/>
      <w:bookmarkEnd w:id="297"/>
    </w:tbl>
    <w:p w14:paraId="3DC80233">
      <w:pPr>
        <w:pStyle w:val="81"/>
        <w:tabs>
          <w:tab w:val="left" w:pos="750"/>
        </w:tabs>
        <w:adjustRightInd w:val="0"/>
        <w:snapToGrid w:val="0"/>
        <w:spacing w:line="500" w:lineRule="exact"/>
        <w:jc w:val="center"/>
        <w:rPr>
          <w:rFonts w:hint="eastAsia" w:ascii="宋体" w:hAnsi="宋体" w:cs="宋体"/>
          <w:color w:val="auto"/>
          <w:kern w:val="0"/>
          <w:sz w:val="24"/>
          <w:lang w:val="zh-CN"/>
        </w:rPr>
      </w:pPr>
    </w:p>
    <w:p w14:paraId="6BDDE28D">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D655E68">
      <w:pPr>
        <w:adjustRightInd w:val="0"/>
        <w:snapToGrid w:val="0"/>
        <w:spacing w:line="500" w:lineRule="exact"/>
        <w:ind w:left="-88" w:leftChars="-42"/>
        <w:jc w:val="right"/>
        <w:rPr>
          <w:rFonts w:hint="eastAsia" w:ascii="宋体" w:hAnsi="宋体" w:eastAsia="宋体" w:cs="宋体"/>
          <w:color w:val="auto"/>
          <w:sz w:val="28"/>
          <w:szCs w:val="28"/>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0350383">
      <w:pPr>
        <w:pStyle w:val="87"/>
        <w:spacing w:line="360" w:lineRule="auto"/>
        <w:ind w:right="480"/>
        <w:jc w:val="both"/>
        <w:rPr>
          <w:rFonts w:hint="eastAsia" w:ascii="宋体" w:hAnsi="宋体" w:eastAsia="宋体" w:cs="宋体"/>
          <w:color w:val="auto"/>
          <w:sz w:val="24"/>
        </w:rPr>
      </w:pPr>
    </w:p>
    <w:p w14:paraId="67FC8B27">
      <w:pPr>
        <w:pStyle w:val="87"/>
        <w:spacing w:line="360" w:lineRule="auto"/>
        <w:ind w:right="480"/>
        <w:jc w:val="both"/>
        <w:rPr>
          <w:rFonts w:hint="eastAsia" w:ascii="宋体" w:hAnsi="宋体" w:eastAsia="宋体" w:cs="宋体"/>
          <w:color w:val="auto"/>
          <w:sz w:val="24"/>
        </w:rPr>
      </w:pPr>
    </w:p>
    <w:p w14:paraId="4F553593">
      <w:pPr>
        <w:pStyle w:val="87"/>
        <w:spacing w:line="360" w:lineRule="auto"/>
        <w:ind w:right="480"/>
        <w:jc w:val="both"/>
        <w:rPr>
          <w:rFonts w:hint="eastAsia" w:ascii="宋体" w:hAnsi="宋体" w:eastAsia="宋体" w:cs="宋体"/>
          <w:color w:val="auto"/>
          <w:sz w:val="24"/>
        </w:rPr>
      </w:pPr>
    </w:p>
    <w:p w14:paraId="6F64C3E9">
      <w:pPr>
        <w:pStyle w:val="4"/>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bookmarkStart w:id="308" w:name="_Toc7397"/>
      <w:r>
        <w:rPr>
          <w:rFonts w:hint="eastAsia" w:ascii="宋体" w:hAnsi="宋体" w:eastAsia="宋体" w:cs="宋体"/>
          <w:b/>
          <w:bCs/>
          <w:color w:val="auto"/>
          <w:sz w:val="30"/>
          <w:szCs w:val="30"/>
          <w:lang w:val="en-US" w:eastAsia="zh-CN"/>
        </w:rPr>
        <w:t>五、商务和技术偏差表</w:t>
      </w:r>
      <w:bookmarkEnd w:id="308"/>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264"/>
        <w:gridCol w:w="3608"/>
        <w:gridCol w:w="1966"/>
      </w:tblGrid>
      <w:tr w14:paraId="2A85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0CE26DC">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序号</w:t>
            </w:r>
          </w:p>
        </w:tc>
        <w:tc>
          <w:tcPr>
            <w:tcW w:w="1638" w:type="pct"/>
            <w:noWrap w:val="0"/>
            <w:vAlign w:val="bottom"/>
          </w:tcPr>
          <w:p w14:paraId="0AA3A8B9">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磋商</w:t>
            </w:r>
            <w:r>
              <w:rPr>
                <w:rFonts w:hint="eastAsia" w:ascii="宋体" w:hAnsi="宋体" w:eastAsia="宋体" w:cs="宋体"/>
                <w:b w:val="0"/>
                <w:bCs/>
                <w:color w:val="auto"/>
                <w:kern w:val="0"/>
                <w:sz w:val="24"/>
                <w:szCs w:val="24"/>
              </w:rPr>
              <w:t>文件章节及条款号</w:t>
            </w:r>
          </w:p>
        </w:tc>
        <w:tc>
          <w:tcPr>
            <w:tcW w:w="1811" w:type="pct"/>
            <w:noWrap w:val="0"/>
            <w:vAlign w:val="bottom"/>
          </w:tcPr>
          <w:p w14:paraId="7C08B093">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响应</w:t>
            </w:r>
            <w:r>
              <w:rPr>
                <w:rFonts w:hint="eastAsia" w:ascii="宋体" w:hAnsi="宋体" w:eastAsia="宋体" w:cs="宋体"/>
                <w:b w:val="0"/>
                <w:bCs/>
                <w:color w:val="auto"/>
                <w:kern w:val="0"/>
                <w:sz w:val="24"/>
                <w:szCs w:val="24"/>
              </w:rPr>
              <w:t>文件章节及条款号</w:t>
            </w:r>
          </w:p>
        </w:tc>
        <w:tc>
          <w:tcPr>
            <w:tcW w:w="987" w:type="pct"/>
            <w:noWrap w:val="0"/>
            <w:vAlign w:val="bottom"/>
          </w:tcPr>
          <w:p w14:paraId="35770D0D">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偏差说明</w:t>
            </w:r>
          </w:p>
        </w:tc>
      </w:tr>
      <w:tr w14:paraId="22EE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6A5E978D">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w:t>
            </w:r>
          </w:p>
        </w:tc>
        <w:tc>
          <w:tcPr>
            <w:tcW w:w="1638" w:type="pct"/>
            <w:noWrap w:val="0"/>
            <w:vAlign w:val="bottom"/>
          </w:tcPr>
          <w:p w14:paraId="56DD2476">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525DA0E5">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1BD0BCFC">
            <w:pPr>
              <w:widowControl/>
              <w:snapToGrid w:val="0"/>
              <w:jc w:val="center"/>
              <w:rPr>
                <w:rFonts w:hint="eastAsia" w:ascii="宋体" w:hAnsi="宋体" w:eastAsia="宋体" w:cs="宋体"/>
                <w:b w:val="0"/>
                <w:bCs/>
                <w:color w:val="auto"/>
                <w:kern w:val="0"/>
                <w:sz w:val="24"/>
                <w:szCs w:val="24"/>
              </w:rPr>
            </w:pPr>
          </w:p>
        </w:tc>
      </w:tr>
      <w:tr w14:paraId="5CD4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11D0748B">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2</w:t>
            </w:r>
          </w:p>
        </w:tc>
        <w:tc>
          <w:tcPr>
            <w:tcW w:w="1638" w:type="pct"/>
            <w:noWrap w:val="0"/>
            <w:vAlign w:val="bottom"/>
          </w:tcPr>
          <w:p w14:paraId="5FAB4510">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08A59DCA">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552A5493">
            <w:pPr>
              <w:widowControl/>
              <w:snapToGrid w:val="0"/>
              <w:jc w:val="center"/>
              <w:rPr>
                <w:rFonts w:hint="eastAsia" w:ascii="宋体" w:hAnsi="宋体" w:eastAsia="宋体" w:cs="宋体"/>
                <w:b w:val="0"/>
                <w:bCs/>
                <w:color w:val="auto"/>
                <w:kern w:val="0"/>
                <w:sz w:val="24"/>
                <w:szCs w:val="24"/>
              </w:rPr>
            </w:pPr>
          </w:p>
        </w:tc>
      </w:tr>
      <w:tr w14:paraId="5CF1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26BE2C04">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3</w:t>
            </w:r>
          </w:p>
        </w:tc>
        <w:tc>
          <w:tcPr>
            <w:tcW w:w="1638" w:type="pct"/>
            <w:noWrap w:val="0"/>
            <w:vAlign w:val="bottom"/>
          </w:tcPr>
          <w:p w14:paraId="48909165">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76F9CFB7">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67EF057C">
            <w:pPr>
              <w:widowControl/>
              <w:snapToGrid w:val="0"/>
              <w:jc w:val="center"/>
              <w:rPr>
                <w:rFonts w:hint="eastAsia" w:ascii="宋体" w:hAnsi="宋体" w:eastAsia="宋体" w:cs="宋体"/>
                <w:b w:val="0"/>
                <w:bCs/>
                <w:color w:val="auto"/>
                <w:kern w:val="0"/>
                <w:sz w:val="24"/>
                <w:szCs w:val="24"/>
              </w:rPr>
            </w:pPr>
          </w:p>
        </w:tc>
      </w:tr>
      <w:tr w14:paraId="674B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791F200B">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4</w:t>
            </w:r>
          </w:p>
        </w:tc>
        <w:tc>
          <w:tcPr>
            <w:tcW w:w="1638" w:type="pct"/>
            <w:noWrap w:val="0"/>
            <w:vAlign w:val="bottom"/>
          </w:tcPr>
          <w:p w14:paraId="2404C6D5">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024D6B36">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6166A62F">
            <w:pPr>
              <w:widowControl/>
              <w:snapToGrid w:val="0"/>
              <w:jc w:val="center"/>
              <w:rPr>
                <w:rFonts w:hint="eastAsia" w:ascii="宋体" w:hAnsi="宋体" w:eastAsia="宋体" w:cs="宋体"/>
                <w:b w:val="0"/>
                <w:bCs/>
                <w:color w:val="auto"/>
                <w:kern w:val="0"/>
                <w:sz w:val="24"/>
                <w:szCs w:val="24"/>
              </w:rPr>
            </w:pPr>
          </w:p>
        </w:tc>
      </w:tr>
      <w:tr w14:paraId="1384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4E13C0C7">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5</w:t>
            </w:r>
          </w:p>
        </w:tc>
        <w:tc>
          <w:tcPr>
            <w:tcW w:w="1638" w:type="pct"/>
            <w:noWrap w:val="0"/>
            <w:vAlign w:val="bottom"/>
          </w:tcPr>
          <w:p w14:paraId="5139D66E">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290FFE2F">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025C72C8">
            <w:pPr>
              <w:widowControl/>
              <w:snapToGrid w:val="0"/>
              <w:jc w:val="center"/>
              <w:rPr>
                <w:rFonts w:hint="eastAsia" w:ascii="宋体" w:hAnsi="宋体" w:eastAsia="宋体" w:cs="宋体"/>
                <w:b w:val="0"/>
                <w:bCs/>
                <w:color w:val="auto"/>
                <w:kern w:val="0"/>
                <w:sz w:val="24"/>
                <w:szCs w:val="24"/>
              </w:rPr>
            </w:pPr>
          </w:p>
        </w:tc>
      </w:tr>
      <w:tr w14:paraId="279D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619ACB8">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w:t>
            </w:r>
          </w:p>
        </w:tc>
        <w:tc>
          <w:tcPr>
            <w:tcW w:w="1638" w:type="pct"/>
            <w:noWrap w:val="0"/>
            <w:vAlign w:val="bottom"/>
          </w:tcPr>
          <w:p w14:paraId="0BF28922">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158E77C2">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7EA45694">
            <w:pPr>
              <w:widowControl/>
              <w:snapToGrid w:val="0"/>
              <w:jc w:val="center"/>
              <w:rPr>
                <w:rFonts w:hint="eastAsia" w:ascii="宋体" w:hAnsi="宋体" w:eastAsia="宋体" w:cs="宋体"/>
                <w:b w:val="0"/>
                <w:bCs/>
                <w:color w:val="auto"/>
                <w:kern w:val="0"/>
                <w:sz w:val="24"/>
                <w:szCs w:val="24"/>
              </w:rPr>
            </w:pPr>
          </w:p>
        </w:tc>
      </w:tr>
    </w:tbl>
    <w:p w14:paraId="56E5269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保证：除</w:t>
      </w:r>
      <w:r>
        <w:rPr>
          <w:rFonts w:hint="eastAsia" w:ascii="宋体" w:hAnsi="宋体" w:eastAsia="宋体" w:cs="宋体"/>
          <w:color w:val="auto"/>
          <w:szCs w:val="21"/>
          <w:lang w:eastAsia="zh-CN"/>
        </w:rPr>
        <w:t>上商务和技术偏差表</w:t>
      </w:r>
      <w:r>
        <w:rPr>
          <w:rFonts w:hint="eastAsia" w:ascii="宋体" w:hAnsi="宋体" w:eastAsia="宋体" w:cs="宋体"/>
          <w:color w:val="auto"/>
          <w:szCs w:val="21"/>
        </w:rPr>
        <w:t>列出的偏差外，</w:t>
      </w:r>
      <w:r>
        <w:rPr>
          <w:rFonts w:hint="eastAsia" w:ascii="宋体" w:hAnsi="宋体" w:eastAsia="宋体" w:cs="宋体"/>
          <w:color w:val="auto"/>
          <w:szCs w:val="21"/>
          <w:lang w:eastAsia="zh-CN"/>
        </w:rPr>
        <w:t>供应商</w:t>
      </w:r>
      <w:r>
        <w:rPr>
          <w:rFonts w:hint="eastAsia" w:ascii="宋体" w:hAnsi="宋体" w:eastAsia="宋体" w:cs="宋体"/>
          <w:color w:val="auto"/>
          <w:szCs w:val="21"/>
        </w:rPr>
        <w:t>响应</w:t>
      </w:r>
      <w:r>
        <w:rPr>
          <w:rFonts w:hint="eastAsia" w:ascii="宋体" w:hAnsi="宋体" w:eastAsia="宋体" w:cs="宋体"/>
          <w:color w:val="auto"/>
          <w:szCs w:val="21"/>
          <w:lang w:val="en-US" w:eastAsia="zh-CN"/>
        </w:rPr>
        <w:t>磋商</w:t>
      </w:r>
      <w:r>
        <w:rPr>
          <w:rFonts w:hint="eastAsia" w:ascii="宋体" w:hAnsi="宋体" w:eastAsia="宋体" w:cs="宋体"/>
          <w:color w:val="auto"/>
          <w:szCs w:val="21"/>
        </w:rPr>
        <w:t>文件的全部要求。</w:t>
      </w:r>
    </w:p>
    <w:p w14:paraId="7F37E34F">
      <w:pPr>
        <w:pStyle w:val="31"/>
        <w:rPr>
          <w:rFonts w:hint="eastAsia" w:ascii="宋体" w:hAnsi="宋体" w:eastAsia="宋体" w:cs="宋体"/>
          <w:color w:val="auto"/>
          <w:sz w:val="24"/>
          <w:szCs w:val="24"/>
        </w:rPr>
      </w:pPr>
      <w:r>
        <w:rPr>
          <w:rFonts w:hint="eastAsia" w:ascii="宋体" w:hAnsi="宋体" w:eastAsia="宋体" w:cs="宋体"/>
          <w:color w:val="auto"/>
          <w:sz w:val="24"/>
          <w:szCs w:val="24"/>
        </w:rPr>
        <w:t>注：按本格式和要求提供。</w:t>
      </w:r>
    </w:p>
    <w:p w14:paraId="119AA19E">
      <w:pPr>
        <w:pStyle w:val="31"/>
        <w:rPr>
          <w:rFonts w:hint="eastAsia" w:ascii="宋体" w:hAnsi="宋体" w:eastAsia="宋体" w:cs="宋体"/>
          <w:color w:val="auto"/>
          <w:sz w:val="24"/>
          <w:szCs w:val="24"/>
        </w:rPr>
      </w:pPr>
    </w:p>
    <w:p w14:paraId="1F05FD42">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2F7B608">
      <w:pPr>
        <w:adjustRightInd w:val="0"/>
        <w:snapToGrid w:val="0"/>
        <w:spacing w:line="500" w:lineRule="exact"/>
        <w:ind w:left="-88" w:leftChars="-42"/>
        <w:jc w:val="right"/>
        <w:rPr>
          <w:rFonts w:hint="eastAsia" w:ascii="宋体" w:hAnsi="宋体" w:eastAsia="宋体" w:cs="宋体"/>
          <w:color w:val="auto"/>
          <w:sz w:val="28"/>
          <w:szCs w:val="28"/>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DDEAFCF">
      <w:pPr>
        <w:pStyle w:val="87"/>
        <w:spacing w:line="360" w:lineRule="auto"/>
        <w:ind w:right="480"/>
        <w:jc w:val="both"/>
        <w:rPr>
          <w:rFonts w:hint="eastAsia" w:ascii="宋体" w:hAnsi="宋体" w:eastAsia="宋体" w:cs="宋体"/>
          <w:color w:val="auto"/>
          <w:sz w:val="24"/>
        </w:rPr>
      </w:pPr>
    </w:p>
    <w:p w14:paraId="0E228825">
      <w:pPr>
        <w:pStyle w:val="87"/>
        <w:spacing w:line="360" w:lineRule="auto"/>
        <w:ind w:right="480"/>
        <w:jc w:val="both"/>
        <w:rPr>
          <w:rFonts w:hint="eastAsia" w:ascii="宋体" w:hAnsi="宋体" w:eastAsia="宋体" w:cs="宋体"/>
          <w:color w:val="auto"/>
          <w:sz w:val="24"/>
        </w:rPr>
      </w:pPr>
    </w:p>
    <w:p w14:paraId="41274941">
      <w:pPr>
        <w:pStyle w:val="87"/>
        <w:spacing w:line="360" w:lineRule="auto"/>
        <w:ind w:right="480"/>
        <w:jc w:val="both"/>
        <w:rPr>
          <w:rFonts w:hint="eastAsia" w:ascii="宋体" w:hAnsi="宋体" w:eastAsia="宋体" w:cs="宋体"/>
          <w:color w:val="auto"/>
          <w:sz w:val="24"/>
        </w:rPr>
      </w:pPr>
    </w:p>
    <w:p w14:paraId="2FD80827">
      <w:pPr>
        <w:pStyle w:val="4"/>
        <w:numPr>
          <w:ilvl w:val="2"/>
          <w:numId w:val="0"/>
        </w:numPr>
        <w:spacing w:before="145" w:beforeLines="50" w:after="145" w:afterLines="50" w:line="300" w:lineRule="auto"/>
        <w:ind w:left="288" w:leftChars="0"/>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六、</w:t>
      </w:r>
      <w:r>
        <w:rPr>
          <w:rFonts w:hint="eastAsia" w:ascii="宋体" w:eastAsia="宋体" w:cs="宋体"/>
          <w:b/>
          <w:bCs/>
          <w:color w:val="auto"/>
          <w:sz w:val="30"/>
          <w:szCs w:val="30"/>
          <w:highlight w:val="none"/>
          <w:lang w:val="en-US" w:eastAsia="zh-CN"/>
        </w:rPr>
        <w:t>服务</w:t>
      </w:r>
      <w:r>
        <w:rPr>
          <w:rFonts w:hint="eastAsia" w:ascii="宋体" w:hAnsi="宋体" w:eastAsia="宋体" w:cs="宋体"/>
          <w:b/>
          <w:bCs/>
          <w:color w:val="auto"/>
          <w:sz w:val="30"/>
          <w:szCs w:val="30"/>
          <w:highlight w:val="none"/>
          <w:lang w:val="en-US" w:eastAsia="zh-CN"/>
        </w:rPr>
        <w:t>（响应）方案</w:t>
      </w:r>
    </w:p>
    <w:p w14:paraId="55CFA2FB">
      <w:pPr>
        <w:pStyle w:val="87"/>
        <w:spacing w:line="360" w:lineRule="auto"/>
        <w:ind w:right="480" w:firstLine="480" w:firstLineChars="200"/>
        <w:jc w:val="both"/>
        <w:rPr>
          <w:rFonts w:hint="default" w:ascii="宋体" w:hAnsi="宋体" w:eastAsia="宋体" w:cs="宋体"/>
          <w:color w:val="auto"/>
          <w:sz w:val="24"/>
          <w:lang w:val="en-US" w:eastAsia="zh-CN"/>
        </w:rPr>
      </w:pPr>
      <w:r>
        <w:rPr>
          <w:rFonts w:hint="eastAsia" w:ascii="宋体" w:hAnsi="宋体" w:cs="宋体"/>
          <w:color w:val="auto"/>
          <w:sz w:val="24"/>
          <w:lang w:val="en-US" w:eastAsia="zh-CN"/>
        </w:rPr>
        <w:t>供应商根据项目情况、采购需求及商务技术评审内容编制。</w:t>
      </w:r>
    </w:p>
    <w:p w14:paraId="2CBAEAD3">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格式自拟。</w:t>
      </w:r>
    </w:p>
    <w:p w14:paraId="42BDD282">
      <w:pPr>
        <w:pStyle w:val="87"/>
        <w:spacing w:line="360" w:lineRule="auto"/>
        <w:ind w:right="480" w:firstLine="480" w:firstLineChars="200"/>
        <w:jc w:val="both"/>
        <w:rPr>
          <w:rFonts w:hint="eastAsia" w:ascii="宋体" w:hAnsi="宋体" w:eastAsia="宋体" w:cs="宋体"/>
          <w:color w:val="auto"/>
          <w:sz w:val="24"/>
          <w:lang w:val="en-US" w:eastAsia="zh-CN"/>
        </w:rPr>
      </w:pPr>
    </w:p>
    <w:p w14:paraId="4E3AEAAC">
      <w:pPr>
        <w:pStyle w:val="87"/>
        <w:spacing w:line="360" w:lineRule="auto"/>
        <w:ind w:right="480" w:firstLine="480" w:firstLineChars="200"/>
        <w:jc w:val="both"/>
        <w:rPr>
          <w:rFonts w:hint="eastAsia" w:ascii="宋体" w:hAnsi="宋体" w:eastAsia="宋体" w:cs="宋体"/>
          <w:color w:val="auto"/>
          <w:sz w:val="24"/>
          <w:lang w:val="en-US" w:eastAsia="zh-CN"/>
        </w:rPr>
      </w:pPr>
    </w:p>
    <w:p w14:paraId="5560C7AB">
      <w:pPr>
        <w:pStyle w:val="4"/>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bookmarkStart w:id="309" w:name="_Toc8165"/>
      <w:r>
        <w:rPr>
          <w:rFonts w:hint="eastAsia" w:ascii="宋体" w:hAnsi="宋体" w:eastAsia="宋体" w:cs="宋体"/>
          <w:b/>
          <w:bCs/>
          <w:color w:val="auto"/>
          <w:sz w:val="30"/>
          <w:szCs w:val="30"/>
          <w:lang w:val="en-US" w:eastAsia="zh-CN"/>
        </w:rPr>
        <w:t>七、其他资料</w:t>
      </w:r>
      <w:bookmarkEnd w:id="309"/>
    </w:p>
    <w:p w14:paraId="3DDE3121">
      <w:pPr>
        <w:pStyle w:val="87"/>
        <w:spacing w:line="360" w:lineRule="auto"/>
        <w:ind w:right="480"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供应商需提交的其他资料。</w:t>
      </w:r>
    </w:p>
    <w:p w14:paraId="472BE31E">
      <w:pPr>
        <w:pStyle w:val="87"/>
        <w:spacing w:line="360" w:lineRule="auto"/>
        <w:ind w:right="480"/>
        <w:rPr>
          <w:rFonts w:hint="eastAsia" w:ascii="宋体" w:hAnsi="宋体" w:eastAsia="宋体" w:cs="宋体"/>
          <w:color w:val="auto"/>
          <w:sz w:val="24"/>
          <w:lang w:eastAsia="zh-CN"/>
        </w:rPr>
      </w:pPr>
    </w:p>
    <w:p w14:paraId="482F1928">
      <w:pPr>
        <w:pStyle w:val="87"/>
        <w:spacing w:line="360" w:lineRule="auto"/>
        <w:ind w:right="480" w:firstLine="480" w:firstLineChars="200"/>
        <w:jc w:val="both"/>
        <w:rPr>
          <w:rFonts w:hint="eastAsia" w:ascii="宋体" w:hAnsi="宋体" w:eastAsia="宋体" w:cs="宋体"/>
          <w:color w:val="auto"/>
          <w:sz w:val="24"/>
          <w:lang w:eastAsia="zh-CN"/>
        </w:rPr>
      </w:pPr>
    </w:p>
    <w:p w14:paraId="41DF1CC7">
      <w:pPr>
        <w:pStyle w:val="87"/>
        <w:spacing w:line="360" w:lineRule="auto"/>
        <w:ind w:right="480" w:firstLine="480" w:firstLineChars="200"/>
        <w:jc w:val="both"/>
        <w:rPr>
          <w:rFonts w:hint="eastAsia" w:ascii="宋体" w:hAnsi="宋体" w:eastAsia="宋体" w:cs="宋体"/>
          <w:color w:val="auto"/>
          <w:sz w:val="24"/>
          <w:lang w:eastAsia="zh-CN"/>
        </w:rPr>
      </w:pPr>
    </w:p>
    <w:p w14:paraId="59BED830">
      <w:pPr>
        <w:pStyle w:val="87"/>
        <w:spacing w:line="360" w:lineRule="auto"/>
        <w:ind w:right="480" w:firstLine="480" w:firstLineChars="200"/>
        <w:jc w:val="both"/>
        <w:rPr>
          <w:rFonts w:hint="eastAsia" w:ascii="宋体" w:hAnsi="宋体" w:eastAsia="宋体" w:cs="宋体"/>
          <w:color w:val="auto"/>
          <w:sz w:val="24"/>
          <w:lang w:eastAsia="zh-CN"/>
        </w:rPr>
      </w:pPr>
    </w:p>
    <w:p w14:paraId="5F3A154D">
      <w:pPr>
        <w:pStyle w:val="87"/>
        <w:spacing w:line="360" w:lineRule="auto"/>
        <w:ind w:right="480" w:firstLine="480" w:firstLineChars="200"/>
        <w:jc w:val="both"/>
        <w:rPr>
          <w:rFonts w:hint="eastAsia" w:ascii="宋体" w:hAnsi="宋体" w:eastAsia="宋体" w:cs="宋体"/>
          <w:color w:val="auto"/>
          <w:sz w:val="24"/>
          <w:lang w:eastAsia="zh-CN"/>
        </w:rPr>
      </w:pPr>
    </w:p>
    <w:p w14:paraId="5CFF9AB8">
      <w:pPr>
        <w:pStyle w:val="87"/>
        <w:spacing w:line="360" w:lineRule="auto"/>
        <w:ind w:right="480" w:firstLine="480" w:firstLineChars="200"/>
        <w:jc w:val="both"/>
        <w:rPr>
          <w:rFonts w:hint="eastAsia" w:ascii="宋体" w:hAnsi="宋体" w:eastAsia="宋体" w:cs="宋体"/>
          <w:color w:val="auto"/>
          <w:sz w:val="24"/>
          <w:lang w:eastAsia="zh-CN"/>
        </w:rPr>
      </w:pPr>
    </w:p>
    <w:p w14:paraId="13E44391">
      <w:pPr>
        <w:pStyle w:val="87"/>
        <w:spacing w:line="360" w:lineRule="auto"/>
        <w:ind w:right="480" w:firstLine="480" w:firstLineChars="200"/>
        <w:jc w:val="both"/>
        <w:rPr>
          <w:rFonts w:hint="eastAsia" w:ascii="宋体" w:hAnsi="宋体" w:eastAsia="宋体" w:cs="宋体"/>
          <w:color w:val="auto"/>
          <w:sz w:val="24"/>
          <w:lang w:eastAsia="zh-CN"/>
        </w:rPr>
      </w:pPr>
    </w:p>
    <w:p w14:paraId="0E68308E">
      <w:pPr>
        <w:pStyle w:val="87"/>
        <w:spacing w:line="360" w:lineRule="auto"/>
        <w:ind w:right="480" w:firstLine="480" w:firstLineChars="200"/>
        <w:jc w:val="both"/>
        <w:rPr>
          <w:rFonts w:hint="eastAsia" w:ascii="宋体" w:hAnsi="宋体" w:eastAsia="宋体" w:cs="宋体"/>
          <w:color w:val="auto"/>
          <w:sz w:val="24"/>
          <w:lang w:eastAsia="zh-CN"/>
        </w:rPr>
      </w:pPr>
    </w:p>
    <w:p w14:paraId="3A314DD0">
      <w:pPr>
        <w:pStyle w:val="87"/>
        <w:spacing w:line="360" w:lineRule="auto"/>
        <w:ind w:right="480" w:firstLine="480" w:firstLineChars="200"/>
        <w:jc w:val="both"/>
        <w:rPr>
          <w:rFonts w:hint="eastAsia" w:ascii="宋体" w:hAnsi="宋体" w:eastAsia="宋体" w:cs="宋体"/>
          <w:color w:val="auto"/>
          <w:sz w:val="24"/>
          <w:lang w:eastAsia="zh-CN"/>
        </w:rPr>
      </w:pPr>
    </w:p>
    <w:p w14:paraId="1C3B38A6">
      <w:pPr>
        <w:pStyle w:val="87"/>
        <w:spacing w:line="360" w:lineRule="auto"/>
        <w:ind w:right="480" w:firstLine="480" w:firstLineChars="200"/>
        <w:jc w:val="both"/>
        <w:rPr>
          <w:rFonts w:hint="eastAsia" w:ascii="宋体" w:hAnsi="宋体" w:eastAsia="宋体" w:cs="宋体"/>
          <w:color w:val="auto"/>
          <w:sz w:val="24"/>
          <w:lang w:eastAsia="zh-CN"/>
        </w:rPr>
      </w:pPr>
    </w:p>
    <w:p w14:paraId="008CCCA0">
      <w:pPr>
        <w:pStyle w:val="87"/>
        <w:spacing w:line="360" w:lineRule="auto"/>
        <w:ind w:right="480" w:firstLine="480" w:firstLineChars="200"/>
        <w:jc w:val="both"/>
        <w:rPr>
          <w:rFonts w:hint="eastAsia" w:ascii="宋体" w:hAnsi="宋体" w:eastAsia="宋体" w:cs="宋体"/>
          <w:color w:val="auto"/>
          <w:sz w:val="24"/>
          <w:lang w:eastAsia="zh-CN"/>
        </w:rPr>
      </w:pPr>
    </w:p>
    <w:p w14:paraId="32EEF977">
      <w:pPr>
        <w:pStyle w:val="87"/>
        <w:spacing w:line="360" w:lineRule="auto"/>
        <w:ind w:right="480" w:firstLine="480" w:firstLineChars="200"/>
        <w:jc w:val="both"/>
        <w:rPr>
          <w:rFonts w:hint="eastAsia" w:ascii="宋体" w:hAnsi="宋体" w:eastAsia="宋体" w:cs="宋体"/>
          <w:color w:val="auto"/>
          <w:sz w:val="24"/>
          <w:lang w:eastAsia="zh-CN"/>
        </w:rPr>
      </w:pPr>
    </w:p>
    <w:p w14:paraId="05A9E480">
      <w:pPr>
        <w:pStyle w:val="87"/>
        <w:spacing w:line="360" w:lineRule="auto"/>
        <w:ind w:right="480" w:firstLine="480" w:firstLineChars="200"/>
        <w:jc w:val="both"/>
        <w:rPr>
          <w:rFonts w:hint="eastAsia" w:ascii="宋体" w:hAnsi="宋体" w:eastAsia="宋体" w:cs="宋体"/>
          <w:color w:val="auto"/>
          <w:sz w:val="24"/>
          <w:lang w:eastAsia="zh-CN"/>
        </w:rPr>
      </w:pPr>
    </w:p>
    <w:p w14:paraId="0D9B5EE0">
      <w:pPr>
        <w:pStyle w:val="87"/>
        <w:spacing w:line="360" w:lineRule="auto"/>
        <w:ind w:right="480" w:firstLine="480" w:firstLineChars="200"/>
        <w:jc w:val="both"/>
        <w:rPr>
          <w:rFonts w:hint="eastAsia" w:ascii="宋体" w:hAnsi="宋体" w:eastAsia="宋体" w:cs="宋体"/>
          <w:color w:val="auto"/>
          <w:sz w:val="24"/>
          <w:lang w:eastAsia="zh-CN"/>
        </w:rPr>
      </w:pPr>
    </w:p>
    <w:p w14:paraId="77647ECE">
      <w:pPr>
        <w:pStyle w:val="87"/>
        <w:spacing w:line="360" w:lineRule="auto"/>
        <w:ind w:right="480" w:firstLine="480" w:firstLineChars="200"/>
        <w:jc w:val="both"/>
        <w:rPr>
          <w:rFonts w:hint="eastAsia" w:ascii="宋体" w:hAnsi="宋体" w:eastAsia="宋体" w:cs="宋体"/>
          <w:color w:val="auto"/>
          <w:sz w:val="24"/>
          <w:lang w:eastAsia="zh-CN"/>
        </w:rPr>
      </w:pPr>
    </w:p>
    <w:p w14:paraId="1E57074E">
      <w:pPr>
        <w:pStyle w:val="87"/>
        <w:spacing w:line="360" w:lineRule="auto"/>
        <w:ind w:right="480" w:firstLine="480" w:firstLineChars="200"/>
        <w:jc w:val="both"/>
        <w:rPr>
          <w:rFonts w:hint="eastAsia" w:ascii="宋体" w:hAnsi="宋体" w:eastAsia="宋体" w:cs="宋体"/>
          <w:color w:val="auto"/>
          <w:sz w:val="24"/>
          <w:lang w:eastAsia="zh-CN"/>
        </w:rPr>
      </w:pPr>
    </w:p>
    <w:p w14:paraId="4DC3FACE">
      <w:pPr>
        <w:pStyle w:val="87"/>
        <w:spacing w:line="360" w:lineRule="auto"/>
        <w:ind w:right="480" w:firstLine="480" w:firstLineChars="200"/>
        <w:jc w:val="both"/>
        <w:rPr>
          <w:rFonts w:hint="eastAsia" w:ascii="宋体" w:hAnsi="宋体" w:eastAsia="宋体" w:cs="宋体"/>
          <w:color w:val="auto"/>
          <w:sz w:val="24"/>
          <w:lang w:eastAsia="zh-CN"/>
        </w:rPr>
      </w:pPr>
    </w:p>
    <w:p w14:paraId="320FBA54">
      <w:pPr>
        <w:pStyle w:val="87"/>
        <w:spacing w:line="360" w:lineRule="auto"/>
        <w:ind w:right="480" w:firstLine="480" w:firstLineChars="200"/>
        <w:jc w:val="both"/>
        <w:rPr>
          <w:rFonts w:hint="eastAsia" w:ascii="宋体" w:hAnsi="宋体" w:eastAsia="宋体" w:cs="宋体"/>
          <w:color w:val="auto"/>
          <w:sz w:val="24"/>
          <w:lang w:eastAsia="zh-CN"/>
        </w:rPr>
      </w:pPr>
    </w:p>
    <w:p w14:paraId="4B274B9A">
      <w:pPr>
        <w:pStyle w:val="87"/>
        <w:spacing w:line="360" w:lineRule="auto"/>
        <w:ind w:right="480" w:firstLine="480" w:firstLineChars="200"/>
        <w:jc w:val="both"/>
        <w:rPr>
          <w:rFonts w:hint="eastAsia" w:ascii="宋体" w:hAnsi="宋体" w:eastAsia="宋体" w:cs="宋体"/>
          <w:color w:val="auto"/>
          <w:sz w:val="24"/>
          <w:lang w:eastAsia="zh-CN"/>
        </w:rPr>
      </w:pPr>
    </w:p>
    <w:p w14:paraId="50320EDB">
      <w:pPr>
        <w:pStyle w:val="87"/>
        <w:spacing w:line="360" w:lineRule="auto"/>
        <w:ind w:right="480" w:firstLine="480" w:firstLineChars="200"/>
        <w:jc w:val="both"/>
        <w:rPr>
          <w:rFonts w:hint="eastAsia" w:ascii="宋体" w:hAnsi="宋体" w:eastAsia="宋体" w:cs="宋体"/>
          <w:color w:val="auto"/>
          <w:sz w:val="24"/>
          <w:lang w:eastAsia="zh-CN"/>
        </w:rPr>
      </w:pPr>
    </w:p>
    <w:p w14:paraId="54DBCF05">
      <w:pPr>
        <w:pStyle w:val="87"/>
        <w:spacing w:line="360" w:lineRule="auto"/>
        <w:ind w:right="480" w:firstLine="480" w:firstLineChars="200"/>
        <w:jc w:val="both"/>
        <w:rPr>
          <w:rFonts w:hint="eastAsia" w:ascii="宋体" w:hAnsi="宋体" w:eastAsia="宋体" w:cs="宋体"/>
          <w:color w:val="auto"/>
          <w:sz w:val="24"/>
          <w:lang w:eastAsia="zh-CN"/>
        </w:rPr>
      </w:pPr>
    </w:p>
    <w:p w14:paraId="05900249">
      <w:pPr>
        <w:pStyle w:val="87"/>
        <w:spacing w:line="360" w:lineRule="auto"/>
        <w:ind w:right="480" w:firstLine="480" w:firstLineChars="200"/>
        <w:jc w:val="both"/>
        <w:rPr>
          <w:rFonts w:hint="eastAsia" w:ascii="宋体" w:hAnsi="宋体" w:eastAsia="宋体" w:cs="宋体"/>
          <w:color w:val="auto"/>
          <w:sz w:val="24"/>
          <w:lang w:eastAsia="zh-CN"/>
        </w:rPr>
      </w:pPr>
    </w:p>
    <w:p w14:paraId="376EB68C">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310" w:name="_Toc19716"/>
      <w:r>
        <w:rPr>
          <w:rFonts w:hint="eastAsia" w:ascii="宋体" w:hAnsi="宋体" w:eastAsia="宋体" w:cs="宋体"/>
          <w:b/>
          <w:color w:val="auto"/>
          <w:sz w:val="28"/>
          <w:szCs w:val="28"/>
          <w:lang w:val="en-US" w:eastAsia="zh-CN"/>
        </w:rPr>
        <w:t>报价文件部分</w:t>
      </w:r>
      <w:bookmarkEnd w:id="310"/>
    </w:p>
    <w:p w14:paraId="390F7C27">
      <w:pPr>
        <w:jc w:val="center"/>
        <w:rPr>
          <w:rFonts w:hint="eastAsia" w:ascii="宋体" w:hAnsi="宋体" w:eastAsia="宋体" w:cs="宋体"/>
          <w:b/>
          <w:bCs/>
          <w:color w:val="auto"/>
          <w:kern w:val="2"/>
          <w:sz w:val="24"/>
          <w:szCs w:val="22"/>
          <w:u w:val="none"/>
          <w:lang w:val="en-US" w:eastAsia="zh-CN" w:bidi="ar-SA"/>
        </w:rPr>
      </w:pPr>
    </w:p>
    <w:p w14:paraId="3F1215C1">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目录</w:t>
      </w:r>
    </w:p>
    <w:p w14:paraId="024AC8B8">
      <w:pPr>
        <w:rPr>
          <w:rFonts w:hint="eastAsia" w:ascii="宋体" w:hAnsi="宋体" w:eastAsia="宋体" w:cs="宋体"/>
          <w:color w:val="auto"/>
        </w:rPr>
      </w:pPr>
    </w:p>
    <w:p w14:paraId="1D0377B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（1）开标一览表……………………………………………………………………（页码）</w:t>
      </w:r>
    </w:p>
    <w:p w14:paraId="5F0B21C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（2）报价</w:t>
      </w:r>
      <w:r>
        <w:rPr>
          <w:rFonts w:hint="eastAsia" w:ascii="宋体" w:hAnsi="宋体" w:eastAsia="宋体" w:cs="宋体"/>
          <w:color w:val="auto"/>
          <w:sz w:val="24"/>
          <w:lang w:val="en-US" w:eastAsia="zh-CN"/>
        </w:rPr>
        <w:t>明细</w:t>
      </w:r>
      <w:r>
        <w:rPr>
          <w:rFonts w:hint="eastAsia" w:ascii="宋体" w:hAnsi="宋体" w:eastAsia="宋体" w:cs="宋体"/>
          <w:color w:val="auto"/>
          <w:sz w:val="24"/>
        </w:rPr>
        <w:t>表……………………………………………………………………（页码）</w:t>
      </w:r>
    </w:p>
    <w:p w14:paraId="4A1125AE">
      <w:pPr>
        <w:pStyle w:val="87"/>
        <w:spacing w:line="360" w:lineRule="auto"/>
        <w:ind w:right="480" w:firstLine="480" w:firstLineChars="200"/>
        <w:jc w:val="both"/>
        <w:rPr>
          <w:rFonts w:hint="eastAsia" w:ascii="宋体" w:hAnsi="宋体" w:eastAsia="宋体" w:cs="宋体"/>
          <w:color w:val="auto"/>
          <w:sz w:val="24"/>
          <w:lang w:eastAsia="zh-CN"/>
        </w:rPr>
      </w:pPr>
    </w:p>
    <w:p w14:paraId="071DC8DF">
      <w:pPr>
        <w:pStyle w:val="87"/>
        <w:spacing w:line="360" w:lineRule="auto"/>
        <w:ind w:right="480" w:firstLine="480" w:firstLineChars="200"/>
        <w:jc w:val="both"/>
        <w:rPr>
          <w:rFonts w:hint="eastAsia" w:ascii="宋体" w:hAnsi="宋体" w:eastAsia="宋体" w:cs="宋体"/>
          <w:color w:val="auto"/>
          <w:sz w:val="24"/>
          <w:lang w:eastAsia="zh-CN"/>
        </w:rPr>
      </w:pPr>
    </w:p>
    <w:p w14:paraId="106FFB70">
      <w:pPr>
        <w:pStyle w:val="87"/>
        <w:spacing w:line="360" w:lineRule="auto"/>
        <w:ind w:right="480" w:firstLine="480" w:firstLineChars="200"/>
        <w:jc w:val="both"/>
        <w:rPr>
          <w:rFonts w:hint="eastAsia" w:ascii="宋体" w:hAnsi="宋体" w:eastAsia="宋体" w:cs="宋体"/>
          <w:color w:val="auto"/>
          <w:sz w:val="24"/>
          <w:lang w:eastAsia="zh-CN"/>
        </w:rPr>
      </w:pPr>
    </w:p>
    <w:p w14:paraId="199293ED">
      <w:pPr>
        <w:pStyle w:val="87"/>
        <w:spacing w:line="360" w:lineRule="auto"/>
        <w:ind w:right="480" w:firstLine="480" w:firstLineChars="200"/>
        <w:jc w:val="both"/>
        <w:rPr>
          <w:rFonts w:hint="eastAsia" w:ascii="宋体" w:hAnsi="宋体" w:eastAsia="宋体" w:cs="宋体"/>
          <w:color w:val="auto"/>
          <w:sz w:val="24"/>
          <w:lang w:eastAsia="zh-CN"/>
        </w:rPr>
      </w:pPr>
    </w:p>
    <w:p w14:paraId="2BDCF6E5">
      <w:pPr>
        <w:pStyle w:val="87"/>
        <w:spacing w:line="360" w:lineRule="auto"/>
        <w:ind w:right="480" w:firstLine="480" w:firstLineChars="200"/>
        <w:jc w:val="both"/>
        <w:rPr>
          <w:rFonts w:hint="eastAsia" w:ascii="宋体" w:hAnsi="宋体" w:eastAsia="宋体" w:cs="宋体"/>
          <w:color w:val="auto"/>
          <w:sz w:val="24"/>
          <w:lang w:eastAsia="zh-CN"/>
        </w:rPr>
      </w:pPr>
    </w:p>
    <w:p w14:paraId="706ED9A7">
      <w:pPr>
        <w:pStyle w:val="87"/>
        <w:spacing w:line="360" w:lineRule="auto"/>
        <w:ind w:right="480" w:firstLine="480" w:firstLineChars="200"/>
        <w:jc w:val="both"/>
        <w:rPr>
          <w:rFonts w:hint="eastAsia" w:ascii="宋体" w:hAnsi="宋体" w:eastAsia="宋体" w:cs="宋体"/>
          <w:color w:val="auto"/>
          <w:sz w:val="24"/>
          <w:lang w:eastAsia="zh-CN"/>
        </w:rPr>
      </w:pPr>
    </w:p>
    <w:p w14:paraId="2777D713">
      <w:pPr>
        <w:pStyle w:val="87"/>
        <w:spacing w:line="360" w:lineRule="auto"/>
        <w:ind w:right="480" w:firstLine="480" w:firstLineChars="200"/>
        <w:jc w:val="both"/>
        <w:rPr>
          <w:rFonts w:hint="eastAsia" w:ascii="宋体" w:hAnsi="宋体" w:eastAsia="宋体" w:cs="宋体"/>
          <w:color w:val="auto"/>
          <w:sz w:val="24"/>
          <w:lang w:eastAsia="zh-CN"/>
        </w:rPr>
      </w:pPr>
    </w:p>
    <w:p w14:paraId="5C0191D1">
      <w:pPr>
        <w:pStyle w:val="87"/>
        <w:spacing w:line="360" w:lineRule="auto"/>
        <w:ind w:right="480" w:firstLine="480" w:firstLineChars="200"/>
        <w:jc w:val="both"/>
        <w:rPr>
          <w:rFonts w:hint="eastAsia" w:ascii="宋体" w:hAnsi="宋体" w:eastAsia="宋体" w:cs="宋体"/>
          <w:color w:val="auto"/>
          <w:sz w:val="24"/>
          <w:lang w:eastAsia="zh-CN"/>
        </w:rPr>
      </w:pPr>
    </w:p>
    <w:p w14:paraId="65343DD0">
      <w:pPr>
        <w:pStyle w:val="87"/>
        <w:spacing w:line="360" w:lineRule="auto"/>
        <w:ind w:right="480" w:firstLine="480" w:firstLineChars="200"/>
        <w:jc w:val="both"/>
        <w:rPr>
          <w:rFonts w:hint="eastAsia" w:ascii="宋体" w:hAnsi="宋体" w:eastAsia="宋体" w:cs="宋体"/>
          <w:color w:val="auto"/>
          <w:sz w:val="24"/>
          <w:lang w:eastAsia="zh-CN"/>
        </w:rPr>
      </w:pPr>
    </w:p>
    <w:p w14:paraId="647CEA25">
      <w:pPr>
        <w:pStyle w:val="87"/>
        <w:spacing w:line="360" w:lineRule="auto"/>
        <w:ind w:right="480" w:firstLine="480" w:firstLineChars="200"/>
        <w:jc w:val="both"/>
        <w:rPr>
          <w:rFonts w:hint="eastAsia" w:ascii="宋体" w:hAnsi="宋体" w:eastAsia="宋体" w:cs="宋体"/>
          <w:color w:val="auto"/>
          <w:sz w:val="24"/>
          <w:lang w:eastAsia="zh-CN"/>
        </w:rPr>
      </w:pPr>
    </w:p>
    <w:p w14:paraId="4081072C">
      <w:pPr>
        <w:pStyle w:val="87"/>
        <w:spacing w:line="360" w:lineRule="auto"/>
        <w:ind w:right="480" w:firstLine="480" w:firstLineChars="200"/>
        <w:jc w:val="both"/>
        <w:rPr>
          <w:rFonts w:hint="eastAsia" w:ascii="宋体" w:hAnsi="宋体" w:eastAsia="宋体" w:cs="宋体"/>
          <w:color w:val="auto"/>
          <w:sz w:val="24"/>
          <w:lang w:eastAsia="zh-CN"/>
        </w:rPr>
      </w:pPr>
    </w:p>
    <w:p w14:paraId="0B5D4C30">
      <w:pPr>
        <w:pStyle w:val="87"/>
        <w:spacing w:line="360" w:lineRule="auto"/>
        <w:ind w:right="480" w:firstLine="480" w:firstLineChars="200"/>
        <w:jc w:val="both"/>
        <w:rPr>
          <w:rFonts w:hint="eastAsia" w:ascii="宋体" w:hAnsi="宋体" w:eastAsia="宋体" w:cs="宋体"/>
          <w:color w:val="auto"/>
          <w:sz w:val="24"/>
          <w:lang w:eastAsia="zh-CN"/>
        </w:rPr>
      </w:pPr>
    </w:p>
    <w:p w14:paraId="48926973">
      <w:pPr>
        <w:pStyle w:val="87"/>
        <w:spacing w:line="360" w:lineRule="auto"/>
        <w:ind w:right="480" w:firstLine="480" w:firstLineChars="200"/>
        <w:jc w:val="both"/>
        <w:rPr>
          <w:rFonts w:hint="eastAsia" w:ascii="宋体" w:hAnsi="宋体" w:eastAsia="宋体" w:cs="宋体"/>
          <w:color w:val="auto"/>
          <w:sz w:val="24"/>
          <w:lang w:eastAsia="zh-CN"/>
        </w:rPr>
      </w:pPr>
    </w:p>
    <w:p w14:paraId="4D155067">
      <w:pPr>
        <w:pStyle w:val="87"/>
        <w:spacing w:line="360" w:lineRule="auto"/>
        <w:ind w:right="480" w:firstLine="480" w:firstLineChars="200"/>
        <w:jc w:val="both"/>
        <w:rPr>
          <w:rFonts w:hint="eastAsia" w:ascii="宋体" w:hAnsi="宋体" w:eastAsia="宋体" w:cs="宋体"/>
          <w:color w:val="auto"/>
          <w:sz w:val="24"/>
          <w:lang w:eastAsia="zh-CN"/>
        </w:rPr>
      </w:pPr>
    </w:p>
    <w:p w14:paraId="30BEE586">
      <w:pPr>
        <w:pStyle w:val="87"/>
        <w:spacing w:line="360" w:lineRule="auto"/>
        <w:ind w:right="480" w:firstLine="480" w:firstLineChars="200"/>
        <w:jc w:val="both"/>
        <w:rPr>
          <w:rFonts w:hint="eastAsia" w:ascii="宋体" w:hAnsi="宋体" w:eastAsia="宋体" w:cs="宋体"/>
          <w:color w:val="auto"/>
          <w:sz w:val="24"/>
          <w:lang w:eastAsia="zh-CN"/>
        </w:rPr>
      </w:pPr>
    </w:p>
    <w:p w14:paraId="0AC04FE4">
      <w:pPr>
        <w:pStyle w:val="87"/>
        <w:spacing w:line="360" w:lineRule="auto"/>
        <w:ind w:right="480" w:firstLine="480" w:firstLineChars="200"/>
        <w:jc w:val="both"/>
        <w:rPr>
          <w:rFonts w:hint="eastAsia" w:ascii="宋体" w:hAnsi="宋体" w:eastAsia="宋体" w:cs="宋体"/>
          <w:color w:val="auto"/>
          <w:sz w:val="24"/>
          <w:lang w:eastAsia="zh-CN"/>
        </w:rPr>
      </w:pPr>
    </w:p>
    <w:p w14:paraId="10D64EEF">
      <w:pPr>
        <w:pStyle w:val="87"/>
        <w:spacing w:line="360" w:lineRule="auto"/>
        <w:ind w:right="480" w:firstLine="480" w:firstLineChars="200"/>
        <w:jc w:val="both"/>
        <w:rPr>
          <w:rFonts w:hint="eastAsia" w:ascii="宋体" w:hAnsi="宋体" w:eastAsia="宋体" w:cs="宋体"/>
          <w:color w:val="auto"/>
          <w:sz w:val="24"/>
          <w:lang w:eastAsia="zh-CN"/>
        </w:rPr>
      </w:pPr>
    </w:p>
    <w:p w14:paraId="655F99AD">
      <w:pPr>
        <w:pStyle w:val="87"/>
        <w:spacing w:line="360" w:lineRule="auto"/>
        <w:ind w:right="480" w:firstLine="480" w:firstLineChars="200"/>
        <w:jc w:val="both"/>
        <w:rPr>
          <w:rFonts w:hint="eastAsia" w:ascii="宋体" w:hAnsi="宋体" w:eastAsia="宋体" w:cs="宋体"/>
          <w:color w:val="auto"/>
          <w:sz w:val="24"/>
          <w:lang w:eastAsia="zh-CN"/>
        </w:rPr>
      </w:pPr>
    </w:p>
    <w:p w14:paraId="4CFF4FE3">
      <w:pPr>
        <w:pStyle w:val="87"/>
        <w:spacing w:line="360" w:lineRule="auto"/>
        <w:ind w:right="480" w:firstLine="480" w:firstLineChars="200"/>
        <w:jc w:val="both"/>
        <w:rPr>
          <w:rFonts w:hint="eastAsia" w:ascii="宋体" w:hAnsi="宋体" w:eastAsia="宋体" w:cs="宋体"/>
          <w:color w:val="auto"/>
          <w:sz w:val="24"/>
          <w:lang w:eastAsia="zh-CN"/>
        </w:rPr>
      </w:pPr>
    </w:p>
    <w:p w14:paraId="2561CD84">
      <w:pPr>
        <w:pStyle w:val="87"/>
        <w:spacing w:line="360" w:lineRule="auto"/>
        <w:ind w:right="480" w:firstLine="480" w:firstLineChars="200"/>
        <w:jc w:val="both"/>
        <w:rPr>
          <w:rFonts w:hint="eastAsia" w:ascii="宋体" w:hAnsi="宋体" w:eastAsia="宋体" w:cs="宋体"/>
          <w:color w:val="auto"/>
          <w:sz w:val="24"/>
          <w:lang w:eastAsia="zh-CN"/>
        </w:rPr>
      </w:pPr>
    </w:p>
    <w:p w14:paraId="1B57FF00">
      <w:pPr>
        <w:pStyle w:val="87"/>
        <w:spacing w:line="360" w:lineRule="auto"/>
        <w:ind w:right="480" w:firstLine="480" w:firstLineChars="200"/>
        <w:jc w:val="both"/>
        <w:rPr>
          <w:rFonts w:hint="eastAsia" w:ascii="宋体" w:hAnsi="宋体" w:eastAsia="宋体" w:cs="宋体"/>
          <w:color w:val="auto"/>
          <w:sz w:val="24"/>
          <w:lang w:eastAsia="zh-CN"/>
        </w:rPr>
      </w:pPr>
    </w:p>
    <w:p w14:paraId="7256BEA7">
      <w:pPr>
        <w:pStyle w:val="87"/>
        <w:spacing w:line="360" w:lineRule="auto"/>
        <w:ind w:right="480" w:firstLine="480" w:firstLineChars="200"/>
        <w:jc w:val="both"/>
        <w:rPr>
          <w:rFonts w:hint="eastAsia" w:ascii="宋体" w:hAnsi="宋体" w:eastAsia="宋体" w:cs="宋体"/>
          <w:color w:val="auto"/>
          <w:sz w:val="24"/>
          <w:lang w:eastAsia="zh-CN"/>
        </w:rPr>
      </w:pPr>
    </w:p>
    <w:p w14:paraId="6948C4DF">
      <w:pPr>
        <w:pStyle w:val="87"/>
        <w:spacing w:line="360" w:lineRule="auto"/>
        <w:ind w:right="480" w:firstLine="480" w:firstLineChars="200"/>
        <w:jc w:val="both"/>
        <w:rPr>
          <w:rFonts w:hint="eastAsia" w:ascii="宋体" w:hAnsi="宋体" w:eastAsia="宋体" w:cs="宋体"/>
          <w:color w:val="auto"/>
          <w:sz w:val="24"/>
          <w:lang w:eastAsia="zh-CN"/>
        </w:rPr>
      </w:pPr>
    </w:p>
    <w:p w14:paraId="0B0CD310">
      <w:pPr>
        <w:pStyle w:val="87"/>
        <w:spacing w:line="360" w:lineRule="auto"/>
        <w:ind w:right="480" w:firstLine="480" w:firstLineChars="200"/>
        <w:jc w:val="both"/>
        <w:rPr>
          <w:rFonts w:hint="eastAsia" w:ascii="宋体" w:hAnsi="宋体" w:eastAsia="宋体" w:cs="宋体"/>
          <w:color w:val="auto"/>
          <w:sz w:val="24"/>
          <w:lang w:eastAsia="zh-CN"/>
        </w:rPr>
      </w:pPr>
    </w:p>
    <w:p w14:paraId="6120C369">
      <w:pPr>
        <w:pStyle w:val="87"/>
        <w:spacing w:line="360" w:lineRule="auto"/>
        <w:ind w:right="480" w:firstLine="480" w:firstLineChars="200"/>
        <w:jc w:val="both"/>
        <w:rPr>
          <w:rFonts w:hint="eastAsia" w:ascii="宋体" w:hAnsi="宋体" w:eastAsia="宋体" w:cs="宋体"/>
          <w:color w:val="auto"/>
          <w:sz w:val="24"/>
          <w:lang w:eastAsia="zh-CN"/>
        </w:rPr>
      </w:pPr>
    </w:p>
    <w:p w14:paraId="74D7A617">
      <w:pPr>
        <w:pStyle w:val="4"/>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一、开标一览表</w:t>
      </w:r>
    </w:p>
    <w:p w14:paraId="2A24ACC6">
      <w:pPr>
        <w:pStyle w:val="84"/>
        <w:spacing w:line="360" w:lineRule="auto"/>
        <w:ind w:left="0" w:leftChars="0" w:firstLine="0" w:firstLineChars="0"/>
        <w:jc w:val="right"/>
        <w:rPr>
          <w:rFonts w:hint="eastAsia" w:ascii="宋体" w:hAnsi="宋体" w:eastAsia="宋体" w:cs="宋体"/>
          <w:color w:val="auto"/>
        </w:rPr>
      </w:pPr>
      <w:r>
        <w:rPr>
          <w:rFonts w:hint="eastAsia" w:ascii="宋体" w:hAnsi="宋体" w:eastAsia="宋体" w:cs="宋体"/>
          <w:color w:val="auto"/>
        </w:rPr>
        <w:t>价格单位：元</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7346"/>
      </w:tblGrid>
      <w:tr w14:paraId="58E1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tcBorders>
              <w:bottom w:val="single" w:color="auto" w:sz="4" w:space="0"/>
            </w:tcBorders>
            <w:noWrap w:val="0"/>
            <w:vAlign w:val="center"/>
          </w:tcPr>
          <w:p w14:paraId="41E7B475">
            <w:pPr>
              <w:pStyle w:val="85"/>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bCs/>
                <w:color w:val="auto"/>
                <w:sz w:val="24"/>
                <w:lang w:eastAsia="zh-CN"/>
              </w:rPr>
              <w:t>项目</w:t>
            </w:r>
            <w:r>
              <w:rPr>
                <w:rFonts w:hint="eastAsia" w:ascii="宋体" w:hAnsi="宋体" w:eastAsia="宋体" w:cs="宋体"/>
                <w:bCs/>
                <w:color w:val="auto"/>
                <w:sz w:val="24"/>
              </w:rPr>
              <w:t>名称</w:t>
            </w:r>
          </w:p>
        </w:tc>
        <w:tc>
          <w:tcPr>
            <w:tcW w:w="3687" w:type="pct"/>
            <w:tcBorders>
              <w:bottom w:val="single" w:color="auto" w:sz="4" w:space="0"/>
            </w:tcBorders>
            <w:noWrap w:val="0"/>
            <w:vAlign w:val="center"/>
          </w:tcPr>
          <w:p w14:paraId="4866B59B">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color w:val="auto"/>
                <w:u w:val="none"/>
              </w:rPr>
              <w:t xml:space="preserve">                                </w:t>
            </w:r>
          </w:p>
        </w:tc>
      </w:tr>
      <w:tr w14:paraId="2C83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tcBorders>
              <w:bottom w:val="single" w:color="auto" w:sz="4" w:space="0"/>
            </w:tcBorders>
            <w:noWrap w:val="0"/>
            <w:vAlign w:val="center"/>
          </w:tcPr>
          <w:p w14:paraId="279D6453">
            <w:pPr>
              <w:pStyle w:val="85"/>
              <w:tabs>
                <w:tab w:val="left" w:pos="1337"/>
              </w:tabs>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项目编号</w:t>
            </w:r>
          </w:p>
        </w:tc>
        <w:tc>
          <w:tcPr>
            <w:tcW w:w="3687" w:type="pct"/>
            <w:tcBorders>
              <w:bottom w:val="single" w:color="auto" w:sz="4" w:space="0"/>
            </w:tcBorders>
            <w:noWrap w:val="0"/>
            <w:vAlign w:val="center"/>
          </w:tcPr>
          <w:p w14:paraId="5D684119">
            <w:pPr>
              <w:pStyle w:val="85"/>
              <w:tabs>
                <w:tab w:val="left" w:pos="1337"/>
              </w:tabs>
              <w:spacing w:line="360" w:lineRule="auto"/>
              <w:rPr>
                <w:rFonts w:hint="eastAsia" w:ascii="宋体" w:hAnsi="宋体" w:eastAsia="宋体" w:cs="宋体"/>
                <w:color w:val="auto"/>
                <w:u w:val="single"/>
              </w:rPr>
            </w:pPr>
          </w:p>
        </w:tc>
      </w:tr>
      <w:tr w14:paraId="04AF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1312" w:type="pct"/>
            <w:noWrap w:val="0"/>
            <w:vAlign w:val="center"/>
          </w:tcPr>
          <w:p w14:paraId="0EE82D2B">
            <w:pPr>
              <w:pStyle w:val="85"/>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投 标 总 价</w:t>
            </w:r>
          </w:p>
        </w:tc>
        <w:tc>
          <w:tcPr>
            <w:tcW w:w="3687" w:type="pct"/>
            <w:noWrap w:val="0"/>
            <w:vAlign w:val="top"/>
          </w:tcPr>
          <w:p w14:paraId="258C7BA0">
            <w:pPr>
              <w:pStyle w:val="85"/>
              <w:tabs>
                <w:tab w:val="left" w:pos="1337"/>
              </w:tabs>
              <w:spacing w:line="360" w:lineRule="auto"/>
              <w:rPr>
                <w:rFonts w:hint="eastAsia" w:ascii="宋体" w:hAnsi="宋体" w:eastAsia="宋体" w:cs="宋体"/>
                <w:bCs/>
                <w:color w:val="auto"/>
                <w:sz w:val="24"/>
              </w:rPr>
            </w:pPr>
          </w:p>
          <w:p w14:paraId="0B7BD6C8">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bCs/>
                <w:color w:val="auto"/>
                <w:sz w:val="24"/>
              </w:rPr>
              <w:t>小写：</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w:t>
            </w:r>
          </w:p>
          <w:p w14:paraId="7CF63776">
            <w:pPr>
              <w:pStyle w:val="85"/>
              <w:tabs>
                <w:tab w:val="left" w:pos="1337"/>
              </w:tabs>
              <w:spacing w:line="360" w:lineRule="auto"/>
              <w:rPr>
                <w:rFonts w:hint="eastAsia" w:ascii="宋体" w:hAnsi="宋体" w:eastAsia="宋体" w:cs="宋体"/>
                <w:bCs/>
                <w:color w:val="auto"/>
                <w:sz w:val="24"/>
              </w:rPr>
            </w:pPr>
          </w:p>
          <w:p w14:paraId="2CB33E97">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bCs/>
                <w:color w:val="auto"/>
                <w:sz w:val="24"/>
              </w:rPr>
              <w:t>大写：</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w:t>
            </w:r>
          </w:p>
          <w:p w14:paraId="33445A45">
            <w:pPr>
              <w:pStyle w:val="85"/>
              <w:tabs>
                <w:tab w:val="left" w:pos="1337"/>
              </w:tabs>
              <w:spacing w:line="360" w:lineRule="auto"/>
              <w:rPr>
                <w:rFonts w:hint="eastAsia" w:ascii="宋体" w:hAnsi="宋体" w:eastAsia="宋体" w:cs="宋体"/>
                <w:color w:val="auto"/>
                <w:sz w:val="24"/>
              </w:rPr>
            </w:pPr>
          </w:p>
        </w:tc>
      </w:tr>
      <w:tr w14:paraId="7230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noWrap w:val="0"/>
            <w:vAlign w:val="top"/>
          </w:tcPr>
          <w:p w14:paraId="7BC22F5F">
            <w:pPr>
              <w:pStyle w:val="85"/>
              <w:tabs>
                <w:tab w:val="left" w:pos="1337"/>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i w:val="0"/>
                <w:iCs w:val="0"/>
                <w:caps w:val="0"/>
                <w:color w:val="auto"/>
                <w:spacing w:val="0"/>
                <w:sz w:val="24"/>
                <w:szCs w:val="24"/>
                <w:highlight w:val="none"/>
              </w:rPr>
              <w:t>合同履约期限</w:t>
            </w:r>
          </w:p>
        </w:tc>
        <w:tc>
          <w:tcPr>
            <w:tcW w:w="3687" w:type="pct"/>
            <w:noWrap w:val="0"/>
            <w:vAlign w:val="top"/>
          </w:tcPr>
          <w:p w14:paraId="102ACFBE">
            <w:pPr>
              <w:pStyle w:val="85"/>
              <w:tabs>
                <w:tab w:val="left" w:pos="1337"/>
              </w:tabs>
              <w:spacing w:line="360" w:lineRule="auto"/>
              <w:rPr>
                <w:rFonts w:hint="eastAsia" w:ascii="宋体" w:hAnsi="宋体" w:eastAsia="宋体" w:cs="宋体"/>
                <w:color w:val="auto"/>
                <w:sz w:val="24"/>
              </w:rPr>
            </w:pPr>
            <w:r>
              <w:rPr>
                <w:rFonts w:hint="eastAsia" w:ascii="宋体" w:hAnsi="宋体" w:eastAsia="宋体" w:cs="宋体"/>
                <w:color w:val="auto"/>
                <w:u w:val="none"/>
              </w:rPr>
              <w:t xml:space="preserve">                       </w:t>
            </w:r>
          </w:p>
        </w:tc>
      </w:tr>
      <w:tr w14:paraId="6DDE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000" w:type="pct"/>
            <w:gridSpan w:val="2"/>
            <w:noWrap w:val="0"/>
            <w:vAlign w:val="top"/>
          </w:tcPr>
          <w:p w14:paraId="6393B8F7">
            <w:pPr>
              <w:pStyle w:val="85"/>
              <w:tabs>
                <w:tab w:val="left" w:pos="1337"/>
              </w:tabs>
              <w:spacing w:line="360" w:lineRule="auto"/>
              <w:rPr>
                <w:rFonts w:hint="eastAsia" w:ascii="宋体" w:hAnsi="宋体" w:eastAsia="宋体" w:cs="宋体"/>
                <w:color w:val="auto"/>
                <w:sz w:val="24"/>
              </w:rPr>
            </w:pPr>
            <w:r>
              <w:rPr>
                <w:rFonts w:hint="eastAsia" w:ascii="宋体" w:hAnsi="宋体" w:eastAsia="宋体" w:cs="宋体"/>
                <w:bCs/>
                <w:color w:val="auto"/>
                <w:sz w:val="24"/>
              </w:rPr>
              <w:t>备注：</w:t>
            </w:r>
            <w:r>
              <w:rPr>
                <w:rFonts w:hint="eastAsia" w:ascii="宋体" w:hAnsi="宋体" w:eastAsia="宋体" w:cs="宋体"/>
                <w:color w:val="auto"/>
              </w:rPr>
              <w:t xml:space="preserve"> </w:t>
            </w:r>
          </w:p>
        </w:tc>
      </w:tr>
    </w:tbl>
    <w:p w14:paraId="42740ABC">
      <w:pPr>
        <w:spacing w:line="360" w:lineRule="auto"/>
        <w:ind w:firstLine="480" w:firstLineChars="200"/>
        <w:rPr>
          <w:rFonts w:hint="eastAsia" w:ascii="宋体" w:hAnsi="宋体" w:eastAsia="宋体" w:cs="宋体"/>
          <w:color w:val="auto"/>
          <w:kern w:val="0"/>
          <w:sz w:val="24"/>
          <w:lang w:val="zh-CN"/>
        </w:rPr>
      </w:pPr>
    </w:p>
    <w:p w14:paraId="6E4A2CBC">
      <w:pPr>
        <w:pStyle w:val="31"/>
        <w:rPr>
          <w:rFonts w:hint="eastAsia" w:ascii="宋体" w:hAnsi="宋体" w:eastAsia="宋体" w:cs="宋体"/>
          <w:color w:val="auto"/>
        </w:rPr>
      </w:pPr>
    </w:p>
    <w:p w14:paraId="78255F67">
      <w:pPr>
        <w:spacing w:line="360" w:lineRule="auto"/>
        <w:rPr>
          <w:rFonts w:hint="eastAsia" w:ascii="宋体" w:hAnsi="宋体" w:eastAsia="宋体" w:cs="宋体"/>
          <w:color w:val="auto"/>
          <w:sz w:val="28"/>
        </w:rPr>
      </w:pPr>
      <w:bookmarkStart w:id="311" w:name="_Toc485895993"/>
    </w:p>
    <w:p w14:paraId="73D2F3DC">
      <w:pPr>
        <w:spacing w:line="360" w:lineRule="auto"/>
        <w:rPr>
          <w:rFonts w:hint="eastAsia" w:ascii="宋体" w:hAnsi="宋体" w:eastAsia="宋体" w:cs="宋体"/>
          <w:color w:val="auto"/>
          <w:sz w:val="22"/>
          <w:szCs w:val="20"/>
        </w:rPr>
      </w:pPr>
      <w:r>
        <w:rPr>
          <w:rFonts w:hint="eastAsia" w:ascii="宋体" w:hAnsi="宋体" w:eastAsia="宋体" w:cs="宋体"/>
          <w:color w:val="auto"/>
          <w:sz w:val="22"/>
          <w:szCs w:val="20"/>
        </w:rPr>
        <w:t>说明：1、</w:t>
      </w:r>
      <w:r>
        <w:rPr>
          <w:rFonts w:hint="eastAsia" w:ascii="宋体" w:hAnsi="宋体" w:cs="宋体"/>
          <w:color w:val="auto"/>
          <w:sz w:val="22"/>
          <w:szCs w:val="20"/>
          <w:lang w:eastAsia="zh-CN"/>
        </w:rPr>
        <w:t>供应商</w:t>
      </w:r>
      <w:r>
        <w:rPr>
          <w:rFonts w:hint="eastAsia" w:ascii="宋体" w:hAnsi="宋体" w:eastAsia="宋体" w:cs="宋体"/>
          <w:color w:val="auto"/>
          <w:sz w:val="22"/>
          <w:szCs w:val="20"/>
        </w:rPr>
        <w:t>严格按照规定的格式填写。 2、任何有选择或有条件的投标报价或表中某一包填写多个报价，均将导致投标被拒绝。</w:t>
      </w:r>
    </w:p>
    <w:p w14:paraId="74BF72E3">
      <w:pPr>
        <w:spacing w:line="360" w:lineRule="auto"/>
        <w:ind w:firstLine="560" w:firstLineChars="200"/>
        <w:rPr>
          <w:rFonts w:hint="eastAsia" w:ascii="宋体" w:hAnsi="宋体" w:eastAsia="宋体" w:cs="宋体"/>
          <w:color w:val="auto"/>
          <w:sz w:val="28"/>
        </w:rPr>
      </w:pPr>
    </w:p>
    <w:p w14:paraId="4BB43AF1">
      <w:pPr>
        <w:spacing w:line="360" w:lineRule="auto"/>
        <w:ind w:firstLine="560" w:firstLineChars="200"/>
        <w:rPr>
          <w:rFonts w:hint="eastAsia" w:ascii="宋体" w:hAnsi="宋体" w:eastAsia="宋体" w:cs="宋体"/>
          <w:color w:val="auto"/>
          <w:sz w:val="28"/>
          <w:u w:val="single"/>
        </w:rPr>
      </w:pPr>
    </w:p>
    <w:p w14:paraId="2A7FECB8">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2BF3066">
      <w:pPr>
        <w:adjustRightInd w:val="0"/>
        <w:snapToGrid w:val="0"/>
        <w:spacing w:line="500" w:lineRule="exact"/>
        <w:ind w:left="-88" w:leftChars="-42"/>
        <w:jc w:val="right"/>
        <w:rPr>
          <w:rFonts w:hint="eastAsia" w:ascii="宋体" w:hAnsi="宋体" w:eastAsia="宋体" w:cs="宋体"/>
          <w:color w:val="auto"/>
          <w:sz w:val="28"/>
          <w:szCs w:val="28"/>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506923D">
      <w:pPr>
        <w:spacing w:line="360" w:lineRule="auto"/>
        <w:rPr>
          <w:rFonts w:hint="eastAsia" w:ascii="宋体" w:hAnsi="宋体" w:eastAsia="宋体" w:cs="宋体"/>
          <w:color w:val="auto"/>
          <w:sz w:val="28"/>
        </w:rPr>
      </w:pPr>
    </w:p>
    <w:p w14:paraId="4F7A7072">
      <w:pPr>
        <w:rPr>
          <w:rFonts w:hint="eastAsia" w:ascii="宋体" w:hAnsi="宋体" w:eastAsia="宋体" w:cs="宋体"/>
          <w:color w:val="auto"/>
        </w:rPr>
      </w:pPr>
    </w:p>
    <w:p w14:paraId="5E41C996">
      <w:pPr>
        <w:rPr>
          <w:rFonts w:hint="eastAsia" w:ascii="宋体" w:hAnsi="宋体" w:eastAsia="宋体" w:cs="宋体"/>
          <w:color w:val="auto"/>
        </w:rPr>
      </w:pPr>
    </w:p>
    <w:p w14:paraId="3DC9B186">
      <w:pPr>
        <w:rPr>
          <w:rFonts w:hint="eastAsia" w:ascii="宋体" w:hAnsi="宋体" w:eastAsia="宋体" w:cs="宋体"/>
          <w:color w:val="auto"/>
        </w:rPr>
      </w:pPr>
    </w:p>
    <w:p w14:paraId="1E5DFECE">
      <w:pPr>
        <w:rPr>
          <w:rFonts w:hint="eastAsia" w:ascii="宋体" w:hAnsi="宋体" w:eastAsia="宋体" w:cs="宋体"/>
          <w:color w:val="auto"/>
        </w:rPr>
      </w:pPr>
    </w:p>
    <w:p w14:paraId="60139BBB">
      <w:pPr>
        <w:pStyle w:val="14"/>
        <w:rPr>
          <w:rFonts w:hint="eastAsia" w:ascii="宋体" w:hAnsi="宋体" w:eastAsia="宋体" w:cs="宋体"/>
          <w:color w:val="auto"/>
        </w:rPr>
      </w:pPr>
    </w:p>
    <w:p w14:paraId="311B1096">
      <w:pPr>
        <w:rPr>
          <w:rFonts w:hint="eastAsia"/>
        </w:rPr>
      </w:pPr>
    </w:p>
    <w:p w14:paraId="0C0306D8">
      <w:pPr>
        <w:rPr>
          <w:rFonts w:hint="eastAsia" w:ascii="宋体" w:hAnsi="宋体" w:eastAsia="宋体" w:cs="宋体"/>
          <w:color w:val="auto"/>
        </w:rPr>
      </w:pPr>
    </w:p>
    <w:p w14:paraId="4E137F4E">
      <w:pPr>
        <w:pStyle w:val="14"/>
        <w:rPr>
          <w:rFonts w:hint="eastAsia"/>
        </w:rPr>
      </w:pPr>
    </w:p>
    <w:p w14:paraId="0F4AF025">
      <w:pPr>
        <w:rPr>
          <w:rFonts w:hint="eastAsia" w:ascii="宋体" w:hAnsi="宋体" w:eastAsia="宋体" w:cs="宋体"/>
          <w:color w:val="auto"/>
        </w:rPr>
      </w:pPr>
    </w:p>
    <w:p w14:paraId="532C9897">
      <w:pPr>
        <w:pStyle w:val="4"/>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二、报价明细表</w:t>
      </w:r>
      <w:r>
        <w:rPr>
          <w:rFonts w:hint="eastAsia" w:ascii="宋体" w:eastAsia="宋体" w:cs="宋体"/>
          <w:b/>
          <w:bCs/>
          <w:color w:val="auto"/>
          <w:sz w:val="30"/>
          <w:szCs w:val="30"/>
          <w:lang w:val="en-US" w:eastAsia="zh-CN"/>
        </w:rPr>
        <w:t>（如有）</w:t>
      </w:r>
    </w:p>
    <w:bookmarkEnd w:id="311"/>
    <w:p w14:paraId="72ECD318">
      <w:pPr>
        <w:pStyle w:val="8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u w:val="single"/>
          <w:lang w:val="en-US" w:eastAsia="zh-CN"/>
        </w:rPr>
      </w:pPr>
      <w:r>
        <w:rPr>
          <w:rFonts w:hint="eastAsia" w:ascii="宋体" w:hAnsi="宋体" w:eastAsia="宋体" w:cs="宋体"/>
          <w:color w:val="auto"/>
          <w:lang w:eastAsia="zh-CN"/>
        </w:rPr>
        <w:t>项目名称：</w:t>
      </w:r>
      <w:r>
        <w:rPr>
          <w:rFonts w:hint="eastAsia" w:ascii="宋体" w:hAnsi="宋体" w:eastAsia="宋体" w:cs="宋体"/>
          <w:color w:val="auto"/>
          <w:u w:val="single"/>
          <w:lang w:val="en-US" w:eastAsia="zh-CN"/>
        </w:rPr>
        <w:t xml:space="preserve">                     </w:t>
      </w:r>
    </w:p>
    <w:p w14:paraId="4B7E7F6F">
      <w:pPr>
        <w:pStyle w:val="8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价格单位：元</w:t>
      </w:r>
    </w:p>
    <w:tbl>
      <w:tblPr>
        <w:tblStyle w:val="3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427"/>
        <w:gridCol w:w="999"/>
        <w:gridCol w:w="1587"/>
        <w:gridCol w:w="2021"/>
        <w:gridCol w:w="3231"/>
      </w:tblGrid>
      <w:tr w14:paraId="6FE4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45" w:type="pct"/>
            <w:noWrap w:val="0"/>
            <w:vAlign w:val="center"/>
          </w:tcPr>
          <w:p w14:paraId="7BFE48D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717" w:type="pct"/>
            <w:noWrap w:val="0"/>
            <w:vAlign w:val="center"/>
          </w:tcPr>
          <w:p w14:paraId="7E01D4CC">
            <w:pPr>
              <w:spacing w:line="360" w:lineRule="auto"/>
              <w:jc w:val="center"/>
              <w:rPr>
                <w:rFonts w:hint="eastAsia" w:ascii="宋体" w:hAnsi="宋体" w:eastAsia="宋体" w:cs="宋体"/>
                <w:b/>
                <w:color w:val="auto"/>
                <w:sz w:val="24"/>
              </w:rPr>
            </w:pPr>
            <w:r>
              <w:rPr>
                <w:rFonts w:hint="eastAsia" w:ascii="宋体" w:hAnsi="宋体" w:cs="宋体"/>
                <w:b/>
                <w:color w:val="auto"/>
                <w:sz w:val="24"/>
                <w:lang w:val="en-US" w:eastAsia="zh-CN"/>
              </w:rPr>
              <w:t>服务</w:t>
            </w:r>
            <w:r>
              <w:rPr>
                <w:rFonts w:hint="eastAsia" w:ascii="宋体" w:hAnsi="宋体" w:eastAsia="宋体" w:cs="宋体"/>
                <w:b/>
                <w:color w:val="auto"/>
                <w:sz w:val="24"/>
              </w:rPr>
              <w:t>名称</w:t>
            </w:r>
          </w:p>
        </w:tc>
        <w:tc>
          <w:tcPr>
            <w:tcW w:w="502" w:type="pct"/>
            <w:noWrap w:val="0"/>
            <w:vAlign w:val="center"/>
          </w:tcPr>
          <w:p w14:paraId="4ADC25E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796" w:type="pct"/>
            <w:noWrap w:val="0"/>
            <w:vAlign w:val="center"/>
          </w:tcPr>
          <w:p w14:paraId="2C86E51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单价</w:t>
            </w:r>
          </w:p>
        </w:tc>
        <w:tc>
          <w:tcPr>
            <w:tcW w:w="1015" w:type="pct"/>
            <w:noWrap w:val="0"/>
            <w:vAlign w:val="center"/>
          </w:tcPr>
          <w:p w14:paraId="70978C4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合计</w:t>
            </w:r>
          </w:p>
        </w:tc>
        <w:tc>
          <w:tcPr>
            <w:tcW w:w="1623" w:type="pct"/>
            <w:noWrap w:val="0"/>
            <w:vAlign w:val="center"/>
          </w:tcPr>
          <w:p w14:paraId="69FB1DAE">
            <w:pPr>
              <w:spacing w:line="360" w:lineRule="auto"/>
              <w:jc w:val="center"/>
              <w:rPr>
                <w:rFonts w:hint="eastAsia" w:ascii="宋体" w:hAnsi="宋体" w:eastAsia="宋体" w:cs="宋体"/>
                <w:b/>
                <w:color w:val="auto"/>
                <w:sz w:val="24"/>
              </w:rPr>
            </w:pPr>
          </w:p>
          <w:p w14:paraId="6363DE6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w:t>
            </w:r>
          </w:p>
          <w:p w14:paraId="010C7BBE">
            <w:pPr>
              <w:spacing w:line="360" w:lineRule="auto"/>
              <w:jc w:val="center"/>
              <w:rPr>
                <w:rFonts w:hint="eastAsia" w:ascii="宋体" w:hAnsi="宋体" w:eastAsia="宋体" w:cs="宋体"/>
                <w:b/>
                <w:color w:val="auto"/>
                <w:sz w:val="24"/>
              </w:rPr>
            </w:pPr>
          </w:p>
        </w:tc>
      </w:tr>
      <w:tr w14:paraId="0472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45" w:type="pct"/>
            <w:noWrap w:val="0"/>
            <w:vAlign w:val="center"/>
          </w:tcPr>
          <w:p w14:paraId="2345F993">
            <w:pPr>
              <w:spacing w:line="360" w:lineRule="auto"/>
              <w:jc w:val="center"/>
              <w:rPr>
                <w:rFonts w:hint="eastAsia" w:ascii="宋体" w:hAnsi="宋体" w:eastAsia="宋体" w:cs="宋体"/>
                <w:color w:val="auto"/>
                <w:sz w:val="24"/>
              </w:rPr>
            </w:pPr>
          </w:p>
        </w:tc>
        <w:tc>
          <w:tcPr>
            <w:tcW w:w="717" w:type="pct"/>
            <w:noWrap w:val="0"/>
            <w:vAlign w:val="center"/>
          </w:tcPr>
          <w:p w14:paraId="24F59A02">
            <w:pPr>
              <w:snapToGrid w:val="0"/>
              <w:spacing w:line="360" w:lineRule="auto"/>
              <w:jc w:val="center"/>
              <w:rPr>
                <w:rFonts w:hint="eastAsia" w:ascii="宋体" w:hAnsi="宋体" w:eastAsia="宋体" w:cs="宋体"/>
                <w:color w:val="auto"/>
                <w:sz w:val="24"/>
              </w:rPr>
            </w:pPr>
          </w:p>
        </w:tc>
        <w:tc>
          <w:tcPr>
            <w:tcW w:w="502" w:type="pct"/>
            <w:noWrap w:val="0"/>
            <w:vAlign w:val="center"/>
          </w:tcPr>
          <w:p w14:paraId="54BA9595">
            <w:pPr>
              <w:snapToGrid w:val="0"/>
              <w:spacing w:line="360" w:lineRule="auto"/>
              <w:jc w:val="center"/>
              <w:rPr>
                <w:rFonts w:hint="eastAsia" w:ascii="宋体" w:hAnsi="宋体" w:eastAsia="宋体" w:cs="宋体"/>
                <w:color w:val="auto"/>
                <w:sz w:val="24"/>
              </w:rPr>
            </w:pPr>
          </w:p>
        </w:tc>
        <w:tc>
          <w:tcPr>
            <w:tcW w:w="796" w:type="pct"/>
            <w:noWrap w:val="0"/>
            <w:vAlign w:val="center"/>
          </w:tcPr>
          <w:p w14:paraId="25C4FF5E">
            <w:pPr>
              <w:spacing w:line="360" w:lineRule="auto"/>
              <w:jc w:val="center"/>
              <w:rPr>
                <w:rFonts w:hint="eastAsia" w:ascii="宋体" w:hAnsi="宋体" w:eastAsia="宋体" w:cs="宋体"/>
                <w:color w:val="auto"/>
                <w:sz w:val="24"/>
              </w:rPr>
            </w:pPr>
          </w:p>
        </w:tc>
        <w:tc>
          <w:tcPr>
            <w:tcW w:w="1015" w:type="pct"/>
            <w:noWrap w:val="0"/>
            <w:vAlign w:val="center"/>
          </w:tcPr>
          <w:p w14:paraId="21FDB908">
            <w:pPr>
              <w:spacing w:line="360" w:lineRule="auto"/>
              <w:jc w:val="center"/>
              <w:rPr>
                <w:rFonts w:hint="eastAsia" w:ascii="宋体" w:hAnsi="宋体" w:eastAsia="宋体" w:cs="宋体"/>
                <w:color w:val="auto"/>
                <w:sz w:val="24"/>
              </w:rPr>
            </w:pPr>
          </w:p>
        </w:tc>
        <w:tc>
          <w:tcPr>
            <w:tcW w:w="1623" w:type="pct"/>
            <w:noWrap w:val="0"/>
            <w:vAlign w:val="center"/>
          </w:tcPr>
          <w:p w14:paraId="3E6C04E4">
            <w:pPr>
              <w:spacing w:line="360" w:lineRule="auto"/>
              <w:jc w:val="center"/>
              <w:rPr>
                <w:rFonts w:hint="eastAsia" w:ascii="宋体" w:hAnsi="宋体" w:eastAsia="宋体" w:cs="宋体"/>
                <w:color w:val="auto"/>
                <w:sz w:val="24"/>
              </w:rPr>
            </w:pPr>
          </w:p>
        </w:tc>
      </w:tr>
      <w:tr w14:paraId="64B6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45" w:type="pct"/>
            <w:noWrap w:val="0"/>
            <w:vAlign w:val="center"/>
          </w:tcPr>
          <w:p w14:paraId="339FA1C4">
            <w:pPr>
              <w:spacing w:line="360" w:lineRule="auto"/>
              <w:jc w:val="center"/>
              <w:rPr>
                <w:rFonts w:hint="eastAsia" w:ascii="宋体" w:hAnsi="宋体" w:eastAsia="宋体" w:cs="宋体"/>
                <w:color w:val="auto"/>
                <w:sz w:val="24"/>
              </w:rPr>
            </w:pPr>
          </w:p>
        </w:tc>
        <w:tc>
          <w:tcPr>
            <w:tcW w:w="717" w:type="pct"/>
            <w:noWrap w:val="0"/>
            <w:vAlign w:val="center"/>
          </w:tcPr>
          <w:p w14:paraId="0CC85222">
            <w:pPr>
              <w:snapToGrid w:val="0"/>
              <w:spacing w:line="360" w:lineRule="auto"/>
              <w:jc w:val="center"/>
              <w:rPr>
                <w:rFonts w:hint="eastAsia" w:ascii="宋体" w:hAnsi="宋体" w:eastAsia="宋体" w:cs="宋体"/>
                <w:color w:val="auto"/>
                <w:sz w:val="24"/>
              </w:rPr>
            </w:pPr>
          </w:p>
        </w:tc>
        <w:tc>
          <w:tcPr>
            <w:tcW w:w="502" w:type="pct"/>
            <w:noWrap w:val="0"/>
            <w:vAlign w:val="center"/>
          </w:tcPr>
          <w:p w14:paraId="39BCD713">
            <w:pPr>
              <w:snapToGrid w:val="0"/>
              <w:spacing w:line="360" w:lineRule="auto"/>
              <w:jc w:val="center"/>
              <w:rPr>
                <w:rFonts w:hint="eastAsia" w:ascii="宋体" w:hAnsi="宋体" w:eastAsia="宋体" w:cs="宋体"/>
                <w:color w:val="auto"/>
                <w:sz w:val="24"/>
              </w:rPr>
            </w:pPr>
          </w:p>
        </w:tc>
        <w:tc>
          <w:tcPr>
            <w:tcW w:w="796" w:type="pct"/>
            <w:noWrap w:val="0"/>
            <w:vAlign w:val="center"/>
          </w:tcPr>
          <w:p w14:paraId="23E7BFA7">
            <w:pPr>
              <w:spacing w:line="360" w:lineRule="auto"/>
              <w:jc w:val="center"/>
              <w:rPr>
                <w:rFonts w:hint="eastAsia" w:ascii="宋体" w:hAnsi="宋体" w:eastAsia="宋体" w:cs="宋体"/>
                <w:color w:val="auto"/>
                <w:sz w:val="24"/>
              </w:rPr>
            </w:pPr>
          </w:p>
        </w:tc>
        <w:tc>
          <w:tcPr>
            <w:tcW w:w="1015" w:type="pct"/>
            <w:noWrap w:val="0"/>
            <w:vAlign w:val="center"/>
          </w:tcPr>
          <w:p w14:paraId="35F0E576">
            <w:pPr>
              <w:spacing w:line="360" w:lineRule="auto"/>
              <w:jc w:val="center"/>
              <w:rPr>
                <w:rFonts w:hint="eastAsia" w:ascii="宋体" w:hAnsi="宋体" w:eastAsia="宋体" w:cs="宋体"/>
                <w:color w:val="auto"/>
                <w:sz w:val="24"/>
              </w:rPr>
            </w:pPr>
          </w:p>
        </w:tc>
        <w:tc>
          <w:tcPr>
            <w:tcW w:w="1623" w:type="pct"/>
            <w:noWrap w:val="0"/>
            <w:vAlign w:val="center"/>
          </w:tcPr>
          <w:p w14:paraId="629AFC08">
            <w:pPr>
              <w:spacing w:line="360" w:lineRule="auto"/>
              <w:jc w:val="center"/>
              <w:rPr>
                <w:rFonts w:hint="eastAsia" w:ascii="宋体" w:hAnsi="宋体" w:eastAsia="宋体" w:cs="宋体"/>
                <w:color w:val="auto"/>
                <w:sz w:val="24"/>
              </w:rPr>
            </w:pPr>
          </w:p>
        </w:tc>
      </w:tr>
      <w:tr w14:paraId="08A5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45" w:type="pct"/>
            <w:noWrap w:val="0"/>
            <w:vAlign w:val="center"/>
          </w:tcPr>
          <w:p w14:paraId="7E511BE2">
            <w:pPr>
              <w:spacing w:line="360" w:lineRule="auto"/>
              <w:jc w:val="center"/>
              <w:rPr>
                <w:rFonts w:hint="eastAsia" w:ascii="宋体" w:hAnsi="宋体" w:eastAsia="宋体" w:cs="宋体"/>
                <w:color w:val="auto"/>
                <w:sz w:val="24"/>
              </w:rPr>
            </w:pPr>
          </w:p>
        </w:tc>
        <w:tc>
          <w:tcPr>
            <w:tcW w:w="717" w:type="pct"/>
            <w:noWrap w:val="0"/>
            <w:vAlign w:val="center"/>
          </w:tcPr>
          <w:p w14:paraId="5E545015">
            <w:pPr>
              <w:snapToGrid w:val="0"/>
              <w:spacing w:line="360" w:lineRule="auto"/>
              <w:jc w:val="center"/>
              <w:rPr>
                <w:rFonts w:hint="eastAsia" w:ascii="宋体" w:hAnsi="宋体" w:eastAsia="宋体" w:cs="宋体"/>
                <w:color w:val="auto"/>
                <w:sz w:val="24"/>
              </w:rPr>
            </w:pPr>
          </w:p>
        </w:tc>
        <w:tc>
          <w:tcPr>
            <w:tcW w:w="502" w:type="pct"/>
            <w:noWrap w:val="0"/>
            <w:vAlign w:val="center"/>
          </w:tcPr>
          <w:p w14:paraId="2D635124">
            <w:pPr>
              <w:snapToGrid w:val="0"/>
              <w:spacing w:line="360" w:lineRule="auto"/>
              <w:jc w:val="center"/>
              <w:rPr>
                <w:rFonts w:hint="eastAsia" w:ascii="宋体" w:hAnsi="宋体" w:eastAsia="宋体" w:cs="宋体"/>
                <w:color w:val="auto"/>
                <w:sz w:val="24"/>
              </w:rPr>
            </w:pPr>
          </w:p>
        </w:tc>
        <w:tc>
          <w:tcPr>
            <w:tcW w:w="796" w:type="pct"/>
            <w:noWrap w:val="0"/>
            <w:vAlign w:val="center"/>
          </w:tcPr>
          <w:p w14:paraId="3FCF4FEA">
            <w:pPr>
              <w:spacing w:line="360" w:lineRule="auto"/>
              <w:jc w:val="center"/>
              <w:rPr>
                <w:rFonts w:hint="eastAsia" w:ascii="宋体" w:hAnsi="宋体" w:eastAsia="宋体" w:cs="宋体"/>
                <w:color w:val="auto"/>
                <w:sz w:val="24"/>
              </w:rPr>
            </w:pPr>
          </w:p>
        </w:tc>
        <w:tc>
          <w:tcPr>
            <w:tcW w:w="1015" w:type="pct"/>
            <w:noWrap w:val="0"/>
            <w:vAlign w:val="center"/>
          </w:tcPr>
          <w:p w14:paraId="52ADBFB8">
            <w:pPr>
              <w:spacing w:line="360" w:lineRule="auto"/>
              <w:jc w:val="center"/>
              <w:rPr>
                <w:rFonts w:hint="eastAsia" w:ascii="宋体" w:hAnsi="宋体" w:eastAsia="宋体" w:cs="宋体"/>
                <w:color w:val="auto"/>
                <w:sz w:val="24"/>
              </w:rPr>
            </w:pPr>
          </w:p>
        </w:tc>
        <w:tc>
          <w:tcPr>
            <w:tcW w:w="1623" w:type="pct"/>
            <w:noWrap w:val="0"/>
            <w:vAlign w:val="center"/>
          </w:tcPr>
          <w:p w14:paraId="5CAA071F">
            <w:pPr>
              <w:spacing w:line="360" w:lineRule="auto"/>
              <w:jc w:val="center"/>
              <w:rPr>
                <w:rFonts w:hint="eastAsia" w:ascii="宋体" w:hAnsi="宋体" w:eastAsia="宋体" w:cs="宋体"/>
                <w:color w:val="auto"/>
                <w:sz w:val="24"/>
              </w:rPr>
            </w:pPr>
          </w:p>
        </w:tc>
      </w:tr>
      <w:tr w14:paraId="3888FC6B">
        <w:tblPrEx>
          <w:tblCellMar>
            <w:top w:w="0" w:type="dxa"/>
            <w:left w:w="108" w:type="dxa"/>
            <w:bottom w:w="0" w:type="dxa"/>
            <w:right w:w="108" w:type="dxa"/>
          </w:tblCellMar>
        </w:tblPrEx>
        <w:trPr>
          <w:trHeight w:val="453" w:hRule="atLeast"/>
        </w:trPr>
        <w:tc>
          <w:tcPr>
            <w:tcW w:w="345" w:type="pct"/>
            <w:noWrap w:val="0"/>
            <w:vAlign w:val="center"/>
          </w:tcPr>
          <w:p w14:paraId="0836F35A">
            <w:pPr>
              <w:spacing w:line="360" w:lineRule="auto"/>
              <w:jc w:val="center"/>
              <w:rPr>
                <w:rFonts w:hint="eastAsia" w:ascii="宋体" w:hAnsi="宋体" w:eastAsia="宋体" w:cs="宋体"/>
                <w:color w:val="auto"/>
                <w:sz w:val="24"/>
              </w:rPr>
            </w:pPr>
          </w:p>
        </w:tc>
        <w:tc>
          <w:tcPr>
            <w:tcW w:w="717" w:type="pct"/>
            <w:noWrap w:val="0"/>
            <w:vAlign w:val="center"/>
          </w:tcPr>
          <w:p w14:paraId="25F5C69D">
            <w:pPr>
              <w:snapToGrid w:val="0"/>
              <w:spacing w:line="360" w:lineRule="auto"/>
              <w:jc w:val="center"/>
              <w:rPr>
                <w:rFonts w:hint="eastAsia" w:ascii="宋体" w:hAnsi="宋体" w:eastAsia="宋体" w:cs="宋体"/>
                <w:color w:val="auto"/>
                <w:sz w:val="24"/>
              </w:rPr>
            </w:pPr>
          </w:p>
        </w:tc>
        <w:tc>
          <w:tcPr>
            <w:tcW w:w="502" w:type="pct"/>
            <w:noWrap w:val="0"/>
            <w:vAlign w:val="center"/>
          </w:tcPr>
          <w:p w14:paraId="17117940">
            <w:pPr>
              <w:snapToGrid w:val="0"/>
              <w:spacing w:line="360" w:lineRule="auto"/>
              <w:jc w:val="center"/>
              <w:rPr>
                <w:rFonts w:hint="eastAsia" w:ascii="宋体" w:hAnsi="宋体" w:eastAsia="宋体" w:cs="宋体"/>
                <w:color w:val="auto"/>
                <w:sz w:val="24"/>
              </w:rPr>
            </w:pPr>
          </w:p>
        </w:tc>
        <w:tc>
          <w:tcPr>
            <w:tcW w:w="796" w:type="pct"/>
            <w:noWrap w:val="0"/>
            <w:vAlign w:val="center"/>
          </w:tcPr>
          <w:p w14:paraId="2C1B08DB">
            <w:pPr>
              <w:spacing w:line="360" w:lineRule="auto"/>
              <w:jc w:val="center"/>
              <w:rPr>
                <w:rFonts w:hint="eastAsia" w:ascii="宋体" w:hAnsi="宋体" w:eastAsia="宋体" w:cs="宋体"/>
                <w:color w:val="auto"/>
                <w:sz w:val="24"/>
              </w:rPr>
            </w:pPr>
          </w:p>
        </w:tc>
        <w:tc>
          <w:tcPr>
            <w:tcW w:w="1015" w:type="pct"/>
            <w:noWrap w:val="0"/>
            <w:vAlign w:val="center"/>
          </w:tcPr>
          <w:p w14:paraId="1D38B25E">
            <w:pPr>
              <w:spacing w:line="360" w:lineRule="auto"/>
              <w:jc w:val="center"/>
              <w:rPr>
                <w:rFonts w:hint="eastAsia" w:ascii="宋体" w:hAnsi="宋体" w:eastAsia="宋体" w:cs="宋体"/>
                <w:color w:val="auto"/>
                <w:sz w:val="24"/>
              </w:rPr>
            </w:pPr>
          </w:p>
        </w:tc>
        <w:tc>
          <w:tcPr>
            <w:tcW w:w="1623" w:type="pct"/>
            <w:noWrap w:val="0"/>
            <w:vAlign w:val="center"/>
          </w:tcPr>
          <w:p w14:paraId="25966230">
            <w:pPr>
              <w:spacing w:line="360" w:lineRule="auto"/>
              <w:jc w:val="center"/>
              <w:rPr>
                <w:rFonts w:hint="eastAsia" w:ascii="宋体" w:hAnsi="宋体" w:eastAsia="宋体" w:cs="宋体"/>
                <w:color w:val="auto"/>
                <w:sz w:val="24"/>
              </w:rPr>
            </w:pPr>
          </w:p>
        </w:tc>
      </w:tr>
      <w:tr w14:paraId="636F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45" w:type="pct"/>
            <w:noWrap w:val="0"/>
            <w:vAlign w:val="center"/>
          </w:tcPr>
          <w:p w14:paraId="5AB15E48">
            <w:pPr>
              <w:spacing w:line="360" w:lineRule="auto"/>
              <w:jc w:val="center"/>
              <w:rPr>
                <w:rFonts w:hint="eastAsia" w:ascii="宋体" w:hAnsi="宋体" w:eastAsia="宋体" w:cs="宋体"/>
                <w:color w:val="auto"/>
                <w:sz w:val="24"/>
              </w:rPr>
            </w:pPr>
          </w:p>
        </w:tc>
        <w:tc>
          <w:tcPr>
            <w:tcW w:w="717" w:type="pct"/>
            <w:noWrap w:val="0"/>
            <w:vAlign w:val="center"/>
          </w:tcPr>
          <w:p w14:paraId="40A7EEAD">
            <w:pPr>
              <w:snapToGrid w:val="0"/>
              <w:spacing w:line="360" w:lineRule="auto"/>
              <w:jc w:val="center"/>
              <w:rPr>
                <w:rFonts w:hint="eastAsia" w:ascii="宋体" w:hAnsi="宋体" w:eastAsia="宋体" w:cs="宋体"/>
                <w:color w:val="auto"/>
                <w:sz w:val="24"/>
              </w:rPr>
            </w:pPr>
          </w:p>
        </w:tc>
        <w:tc>
          <w:tcPr>
            <w:tcW w:w="502" w:type="pct"/>
            <w:noWrap w:val="0"/>
            <w:vAlign w:val="center"/>
          </w:tcPr>
          <w:p w14:paraId="03B92868">
            <w:pPr>
              <w:snapToGrid w:val="0"/>
              <w:spacing w:line="360" w:lineRule="auto"/>
              <w:jc w:val="center"/>
              <w:rPr>
                <w:rFonts w:hint="eastAsia" w:ascii="宋体" w:hAnsi="宋体" w:eastAsia="宋体" w:cs="宋体"/>
                <w:color w:val="auto"/>
                <w:sz w:val="24"/>
              </w:rPr>
            </w:pPr>
          </w:p>
        </w:tc>
        <w:tc>
          <w:tcPr>
            <w:tcW w:w="796" w:type="pct"/>
            <w:noWrap w:val="0"/>
            <w:vAlign w:val="center"/>
          </w:tcPr>
          <w:p w14:paraId="4F53BC1F">
            <w:pPr>
              <w:spacing w:line="360" w:lineRule="auto"/>
              <w:jc w:val="center"/>
              <w:rPr>
                <w:rFonts w:hint="eastAsia" w:ascii="宋体" w:hAnsi="宋体" w:eastAsia="宋体" w:cs="宋体"/>
                <w:color w:val="auto"/>
                <w:sz w:val="24"/>
              </w:rPr>
            </w:pPr>
          </w:p>
        </w:tc>
        <w:tc>
          <w:tcPr>
            <w:tcW w:w="1015" w:type="pct"/>
            <w:noWrap w:val="0"/>
            <w:vAlign w:val="center"/>
          </w:tcPr>
          <w:p w14:paraId="787FA0F3">
            <w:pPr>
              <w:spacing w:line="360" w:lineRule="auto"/>
              <w:jc w:val="center"/>
              <w:rPr>
                <w:rFonts w:hint="eastAsia" w:ascii="宋体" w:hAnsi="宋体" w:eastAsia="宋体" w:cs="宋体"/>
                <w:color w:val="auto"/>
                <w:sz w:val="24"/>
              </w:rPr>
            </w:pPr>
          </w:p>
        </w:tc>
        <w:tc>
          <w:tcPr>
            <w:tcW w:w="1623" w:type="pct"/>
            <w:noWrap w:val="0"/>
            <w:vAlign w:val="center"/>
          </w:tcPr>
          <w:p w14:paraId="2CE3604A">
            <w:pPr>
              <w:spacing w:line="360" w:lineRule="auto"/>
              <w:jc w:val="center"/>
              <w:rPr>
                <w:rFonts w:hint="eastAsia" w:ascii="宋体" w:hAnsi="宋体" w:eastAsia="宋体" w:cs="宋体"/>
                <w:color w:val="auto"/>
                <w:sz w:val="24"/>
              </w:rPr>
            </w:pPr>
          </w:p>
        </w:tc>
      </w:tr>
      <w:tr w14:paraId="0FC2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61" w:type="pct"/>
            <w:gridSpan w:val="4"/>
            <w:noWrap w:val="0"/>
            <w:vAlign w:val="center"/>
          </w:tcPr>
          <w:p w14:paraId="0FB725E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2638" w:type="pct"/>
            <w:gridSpan w:val="2"/>
            <w:noWrap w:val="0"/>
            <w:vAlign w:val="center"/>
          </w:tcPr>
          <w:p w14:paraId="23FC67C6">
            <w:pPr>
              <w:spacing w:line="360" w:lineRule="auto"/>
              <w:jc w:val="center"/>
              <w:rPr>
                <w:rFonts w:hint="eastAsia" w:ascii="宋体" w:hAnsi="宋体" w:eastAsia="宋体" w:cs="宋体"/>
                <w:color w:val="auto"/>
                <w:sz w:val="24"/>
              </w:rPr>
            </w:pPr>
          </w:p>
        </w:tc>
      </w:tr>
      <w:tr w14:paraId="0E3D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61" w:type="pct"/>
            <w:gridSpan w:val="4"/>
            <w:noWrap w:val="0"/>
            <w:vAlign w:val="center"/>
          </w:tcPr>
          <w:p w14:paraId="684977F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2638" w:type="pct"/>
            <w:gridSpan w:val="2"/>
            <w:noWrap w:val="0"/>
            <w:vAlign w:val="center"/>
          </w:tcPr>
          <w:p w14:paraId="2346F015">
            <w:pPr>
              <w:spacing w:line="360" w:lineRule="auto"/>
              <w:jc w:val="center"/>
              <w:rPr>
                <w:rFonts w:hint="eastAsia" w:ascii="宋体" w:hAnsi="宋体" w:eastAsia="宋体" w:cs="宋体"/>
                <w:color w:val="auto"/>
                <w:sz w:val="24"/>
              </w:rPr>
            </w:pPr>
          </w:p>
        </w:tc>
      </w:tr>
    </w:tbl>
    <w:p w14:paraId="61F2D0B9">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说明：</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、有关本项目实施所涉及的一切费用均计入报价。采购人将以合同形式有偿取得货物或服务，不接受</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给予的赠品、回扣或者与采购无关的其他商品、服务，不得出现“0元”“免费赠送”等形式的无偿报价，否则视为</w:t>
      </w:r>
      <w:r>
        <w:rPr>
          <w:rFonts w:hint="eastAsia" w:ascii="宋体" w:hAnsi="宋体" w:cs="宋体"/>
          <w:color w:val="auto"/>
          <w:sz w:val="21"/>
          <w:szCs w:val="21"/>
          <w:lang w:eastAsia="zh-CN"/>
        </w:rPr>
        <w:t>响应文件</w:t>
      </w:r>
      <w:r>
        <w:rPr>
          <w:rFonts w:hint="eastAsia" w:ascii="宋体" w:hAnsi="宋体" w:eastAsia="宋体" w:cs="宋体"/>
          <w:color w:val="auto"/>
          <w:sz w:val="21"/>
          <w:szCs w:val="21"/>
        </w:rPr>
        <w:t>含有采购人不能接受的附加条件，投标无效；采购内容未包含在《报价</w:t>
      </w:r>
      <w:r>
        <w:rPr>
          <w:rFonts w:hint="eastAsia" w:ascii="宋体" w:hAnsi="宋体" w:eastAsia="宋体" w:cs="宋体"/>
          <w:color w:val="auto"/>
          <w:sz w:val="21"/>
          <w:szCs w:val="21"/>
          <w:lang w:val="en-US" w:eastAsia="zh-CN"/>
        </w:rPr>
        <w:t>明细</w:t>
      </w:r>
      <w:r>
        <w:rPr>
          <w:rFonts w:hint="eastAsia" w:ascii="宋体" w:hAnsi="宋体" w:eastAsia="宋体" w:cs="宋体"/>
          <w:color w:val="auto"/>
          <w:sz w:val="21"/>
          <w:szCs w:val="21"/>
        </w:rPr>
        <w:t>表》名称栏中，</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不能作出合理解释的，视为</w:t>
      </w:r>
      <w:r>
        <w:rPr>
          <w:rFonts w:hint="eastAsia" w:ascii="宋体" w:hAnsi="宋体" w:cs="宋体"/>
          <w:color w:val="auto"/>
          <w:sz w:val="21"/>
          <w:szCs w:val="21"/>
          <w:lang w:eastAsia="zh-CN"/>
        </w:rPr>
        <w:t>响应文件</w:t>
      </w:r>
      <w:r>
        <w:rPr>
          <w:rFonts w:hint="eastAsia" w:ascii="宋体" w:hAnsi="宋体" w:eastAsia="宋体" w:cs="宋体"/>
          <w:color w:val="auto"/>
          <w:sz w:val="21"/>
          <w:szCs w:val="21"/>
        </w:rPr>
        <w:t>含有采购人不能接受的附加条件的，投标无效。</w:t>
      </w:r>
    </w:p>
    <w:p w14:paraId="718C2698">
      <w:pPr>
        <w:pStyle w:val="8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特别提示：采购代理机构将对项目名称和项目编号，中标供应商名称、地址和中标金额，主要中标标的名称</w:t>
      </w:r>
      <w:r>
        <w:rPr>
          <w:rFonts w:hint="eastAsia" w:ascii="宋体" w:hAnsi="宋体" w:cs="宋体"/>
          <w:color w:val="auto"/>
          <w:sz w:val="21"/>
          <w:szCs w:val="21"/>
          <w:lang w:eastAsia="zh-CN"/>
        </w:rPr>
        <w:t>、</w:t>
      </w:r>
      <w:r>
        <w:rPr>
          <w:rFonts w:hint="eastAsia" w:ascii="宋体" w:hAnsi="宋体" w:eastAsia="宋体" w:cs="宋体"/>
          <w:color w:val="auto"/>
          <w:sz w:val="21"/>
          <w:szCs w:val="21"/>
        </w:rPr>
        <w:t>数量、单价等予以公示。</w:t>
      </w:r>
    </w:p>
    <w:p w14:paraId="76B850D6">
      <w:pPr>
        <w:pStyle w:val="8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报价明细表</w:t>
      </w:r>
      <w:r>
        <w:rPr>
          <w:rFonts w:hint="eastAsia" w:ascii="宋体" w:hAnsi="宋体" w:eastAsia="宋体" w:cs="宋体"/>
          <w:bCs/>
          <w:color w:val="auto"/>
          <w:sz w:val="21"/>
          <w:szCs w:val="21"/>
          <w:lang w:eastAsia="zh-CN"/>
        </w:rPr>
        <w:t>合</w:t>
      </w:r>
      <w:r>
        <w:rPr>
          <w:rFonts w:hint="eastAsia" w:ascii="宋体" w:hAnsi="宋体" w:eastAsia="宋体" w:cs="宋体"/>
          <w:bCs/>
          <w:color w:val="auto"/>
          <w:sz w:val="21"/>
          <w:szCs w:val="21"/>
        </w:rPr>
        <w:t>计价格必须与《</w:t>
      </w:r>
      <w:r>
        <w:rPr>
          <w:rFonts w:hint="eastAsia" w:ascii="宋体" w:hAnsi="宋体" w:eastAsia="宋体" w:cs="宋体"/>
          <w:bCs/>
          <w:color w:val="auto"/>
          <w:sz w:val="21"/>
          <w:szCs w:val="21"/>
          <w:lang w:val="en-US" w:eastAsia="zh-CN"/>
        </w:rPr>
        <w:t>开标</w:t>
      </w:r>
      <w:r>
        <w:rPr>
          <w:rFonts w:hint="eastAsia" w:ascii="宋体" w:hAnsi="宋体" w:eastAsia="宋体" w:cs="宋体"/>
          <w:bCs/>
          <w:color w:val="auto"/>
          <w:sz w:val="21"/>
          <w:szCs w:val="21"/>
          <w:lang w:eastAsia="zh-CN"/>
        </w:rPr>
        <w:t>一览表</w:t>
      </w:r>
      <w:r>
        <w:rPr>
          <w:rFonts w:hint="eastAsia" w:ascii="宋体" w:hAnsi="宋体" w:eastAsia="宋体" w:cs="宋体"/>
          <w:bCs/>
          <w:color w:val="auto"/>
          <w:sz w:val="21"/>
          <w:szCs w:val="21"/>
        </w:rPr>
        <w:t>》报价一致</w:t>
      </w:r>
      <w:r>
        <w:rPr>
          <w:rFonts w:hint="eastAsia" w:ascii="宋体" w:hAnsi="宋体" w:eastAsia="宋体" w:cs="宋体"/>
          <w:bCs/>
          <w:color w:val="auto"/>
          <w:sz w:val="21"/>
          <w:szCs w:val="21"/>
          <w:lang w:eastAsia="zh-CN"/>
        </w:rPr>
        <w:t>，以上表格形式只作为参考。</w:t>
      </w:r>
    </w:p>
    <w:p w14:paraId="652779A1">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lang w:eastAsia="zh-CN"/>
        </w:rPr>
      </w:pPr>
    </w:p>
    <w:p w14:paraId="59837BA3">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lang w:eastAsia="zh-CN"/>
        </w:rPr>
      </w:pPr>
    </w:p>
    <w:p w14:paraId="343BBEE5">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lang w:eastAsia="zh-CN"/>
        </w:rPr>
      </w:pPr>
    </w:p>
    <w:p w14:paraId="6CD1E8A6">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C273627">
      <w:pPr>
        <w:adjustRightInd w:val="0"/>
        <w:snapToGrid w:val="0"/>
        <w:spacing w:line="500" w:lineRule="exact"/>
        <w:ind w:left="-88" w:leftChars="-42"/>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E8DB53D">
      <w:pPr>
        <w:pStyle w:val="31"/>
        <w:ind w:left="0" w:leftChars="0" w:firstLine="0" w:firstLineChars="0"/>
        <w:rPr>
          <w:rFonts w:hint="eastAsia" w:ascii="宋体" w:hAnsi="宋体" w:eastAsia="宋体" w:cs="宋体"/>
          <w:color w:val="auto"/>
          <w:sz w:val="24"/>
          <w:szCs w:val="24"/>
        </w:rPr>
      </w:pPr>
    </w:p>
    <w:p w14:paraId="5B38CE96">
      <w:pPr>
        <w:pStyle w:val="87"/>
        <w:spacing w:line="360" w:lineRule="auto"/>
        <w:ind w:right="480"/>
        <w:jc w:val="both"/>
        <w:rPr>
          <w:rFonts w:hint="eastAsia" w:ascii="宋体" w:hAnsi="宋体" w:eastAsia="宋体" w:cs="宋体"/>
          <w:b/>
          <w:color w:val="auto"/>
          <w:sz w:val="24"/>
        </w:rPr>
      </w:pPr>
    </w:p>
    <w:p w14:paraId="09E970B2">
      <w:pPr>
        <w:pStyle w:val="87"/>
        <w:spacing w:line="360" w:lineRule="auto"/>
        <w:ind w:right="480"/>
        <w:jc w:val="both"/>
        <w:rPr>
          <w:rFonts w:hint="eastAsia" w:ascii="宋体" w:hAnsi="宋体" w:eastAsia="宋体" w:cs="宋体"/>
          <w:b/>
          <w:color w:val="auto"/>
          <w:sz w:val="24"/>
          <w:lang w:eastAsia="zh-CN"/>
        </w:rPr>
      </w:pPr>
    </w:p>
    <w:p w14:paraId="36A1FA6A">
      <w:pPr>
        <w:pStyle w:val="14"/>
        <w:rPr>
          <w:rFonts w:hint="eastAsia" w:ascii="宋体" w:hAnsi="宋体" w:eastAsia="宋体" w:cs="宋体"/>
          <w:color w:val="auto"/>
        </w:rPr>
      </w:pPr>
    </w:p>
    <w:sectPr>
      <w:headerReference r:id="rId3" w:type="default"/>
      <w:footerReference r:id="rId4" w:type="default"/>
      <w:pgSz w:w="11906" w:h="16838"/>
      <w:pgMar w:top="1440" w:right="1080" w:bottom="1440" w:left="108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3F3D">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a:noFill/>
                      </a:ln>
                    </wps:spPr>
                    <wps:txbx>
                      <w:txbxContent>
                        <w:p w14:paraId="31CEB0B2">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13.55pt;mso-position-horizontal:center;mso-position-horizontal-relative:margin;mso-wrap-style:none;z-index:251659264;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zVEaPRAAAAAwEAAA8AAAAAAAAAAQAgAAAAIgAAAGRycy9kb3du&#10;cmV2LnhtbFBLAQIUABQAAAAIAIdO4kBBKzhSzQEAAJcDAAAOAAAAAAAAAAEAIAAAACABAABkcnMv&#10;ZTJvRG9jLnhtbFBLBQYAAAAABgAGAFkBAABfBQAAAAA=&#10;">
              <v:fill on="f" focussize="0,0"/>
              <v:stroke on="f"/>
              <v:imagedata o:title=""/>
              <o:lock v:ext="edit" aspectratio="f"/>
              <v:textbox inset="0mm,0mm,0mm,0mm" style="mso-fit-shape-to-text:t;">
                <w:txbxContent>
                  <w:p w14:paraId="31CEB0B2">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225BB">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6C278"/>
    <w:multiLevelType w:val="singleLevel"/>
    <w:tmpl w:val="97F6C278"/>
    <w:lvl w:ilvl="0" w:tentative="0">
      <w:start w:val="1"/>
      <w:numFmt w:val="chineseCounting"/>
      <w:suff w:val="space"/>
      <w:lvlText w:val="第%1部分"/>
      <w:lvlJc w:val="left"/>
      <w:rPr>
        <w:rFonts w:hint="eastAsia"/>
      </w:rPr>
    </w:lvl>
  </w:abstractNum>
  <w:abstractNum w:abstractNumId="1">
    <w:nsid w:val="B321F74E"/>
    <w:multiLevelType w:val="singleLevel"/>
    <w:tmpl w:val="B321F74E"/>
    <w:lvl w:ilvl="0" w:tentative="0">
      <w:start w:val="1"/>
      <w:numFmt w:val="chineseCounting"/>
      <w:suff w:val="space"/>
      <w:lvlText w:val="第%1章"/>
      <w:lvlJc w:val="left"/>
      <w:rPr>
        <w:rFonts w:hint="eastAsia"/>
      </w:rPr>
    </w:lvl>
  </w:abstractNum>
  <w:abstractNum w:abstractNumId="2">
    <w:nsid w:val="BCE2D938"/>
    <w:multiLevelType w:val="singleLevel"/>
    <w:tmpl w:val="BCE2D938"/>
    <w:lvl w:ilvl="0" w:tentative="0">
      <w:start w:val="1"/>
      <w:numFmt w:val="decimal"/>
      <w:pStyle w:val="24"/>
      <w:lvlText w:val="%1."/>
      <w:lvlJc w:val="left"/>
      <w:pPr>
        <w:tabs>
          <w:tab w:val="left" w:pos="2040"/>
        </w:tabs>
        <w:ind w:left="2040" w:hanging="360"/>
      </w:pPr>
    </w:lvl>
  </w:abstractNum>
  <w:abstractNum w:abstractNumId="3">
    <w:nsid w:val="0B6779C6"/>
    <w:multiLevelType w:val="singleLevel"/>
    <w:tmpl w:val="0B6779C6"/>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ODllNDkzYjUxMzhhODk3ZGZhODRkZGY0YTU2M2M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9C6288"/>
    <w:rsid w:val="01B64983"/>
    <w:rsid w:val="027D5085"/>
    <w:rsid w:val="029017B5"/>
    <w:rsid w:val="03064AB8"/>
    <w:rsid w:val="03F93A73"/>
    <w:rsid w:val="040B01DF"/>
    <w:rsid w:val="042046F5"/>
    <w:rsid w:val="04B33C40"/>
    <w:rsid w:val="04C16888"/>
    <w:rsid w:val="05D06B8E"/>
    <w:rsid w:val="05FF746E"/>
    <w:rsid w:val="06087B94"/>
    <w:rsid w:val="06285188"/>
    <w:rsid w:val="063107EE"/>
    <w:rsid w:val="067D6671"/>
    <w:rsid w:val="068679BC"/>
    <w:rsid w:val="0698114A"/>
    <w:rsid w:val="06DB7629"/>
    <w:rsid w:val="07917CAC"/>
    <w:rsid w:val="07C5066D"/>
    <w:rsid w:val="07E147B8"/>
    <w:rsid w:val="08066F25"/>
    <w:rsid w:val="08712537"/>
    <w:rsid w:val="09045D6D"/>
    <w:rsid w:val="096961A1"/>
    <w:rsid w:val="096C7AFB"/>
    <w:rsid w:val="09D25006"/>
    <w:rsid w:val="09EB4E01"/>
    <w:rsid w:val="09F340E8"/>
    <w:rsid w:val="0A053D41"/>
    <w:rsid w:val="0A732D15"/>
    <w:rsid w:val="0A757553"/>
    <w:rsid w:val="0AA95014"/>
    <w:rsid w:val="0B1266AC"/>
    <w:rsid w:val="0B296418"/>
    <w:rsid w:val="0B9E6FCA"/>
    <w:rsid w:val="0C4C65F8"/>
    <w:rsid w:val="0C564236"/>
    <w:rsid w:val="0C6057CE"/>
    <w:rsid w:val="0D1C451A"/>
    <w:rsid w:val="0D817CDD"/>
    <w:rsid w:val="0D952E82"/>
    <w:rsid w:val="0DCB2EC9"/>
    <w:rsid w:val="0DDB5519"/>
    <w:rsid w:val="0E060087"/>
    <w:rsid w:val="0E230984"/>
    <w:rsid w:val="10CD3604"/>
    <w:rsid w:val="11001706"/>
    <w:rsid w:val="110342FF"/>
    <w:rsid w:val="113B48D5"/>
    <w:rsid w:val="119A4728"/>
    <w:rsid w:val="11B5429E"/>
    <w:rsid w:val="121D6EB6"/>
    <w:rsid w:val="12391C5B"/>
    <w:rsid w:val="123E541D"/>
    <w:rsid w:val="127D2F5A"/>
    <w:rsid w:val="12843C37"/>
    <w:rsid w:val="12BA7692"/>
    <w:rsid w:val="13183D3E"/>
    <w:rsid w:val="13257202"/>
    <w:rsid w:val="13336E3E"/>
    <w:rsid w:val="13BA3963"/>
    <w:rsid w:val="13E75FD4"/>
    <w:rsid w:val="146464BB"/>
    <w:rsid w:val="14A00775"/>
    <w:rsid w:val="15DB3B9D"/>
    <w:rsid w:val="165C6DCA"/>
    <w:rsid w:val="171F1E16"/>
    <w:rsid w:val="17362443"/>
    <w:rsid w:val="175A45E3"/>
    <w:rsid w:val="177E44BC"/>
    <w:rsid w:val="17C645E6"/>
    <w:rsid w:val="17FF0D10"/>
    <w:rsid w:val="18055854"/>
    <w:rsid w:val="18231FBE"/>
    <w:rsid w:val="18557492"/>
    <w:rsid w:val="196215F5"/>
    <w:rsid w:val="196B4C32"/>
    <w:rsid w:val="196C3B96"/>
    <w:rsid w:val="19B21BE0"/>
    <w:rsid w:val="19CD7761"/>
    <w:rsid w:val="19F66993"/>
    <w:rsid w:val="1AED293A"/>
    <w:rsid w:val="1B1A33C4"/>
    <w:rsid w:val="1B2B711A"/>
    <w:rsid w:val="1B352404"/>
    <w:rsid w:val="1B583A4F"/>
    <w:rsid w:val="1B610FF3"/>
    <w:rsid w:val="1BB66B0E"/>
    <w:rsid w:val="1C1134DD"/>
    <w:rsid w:val="1C5E26D8"/>
    <w:rsid w:val="1CAC07D4"/>
    <w:rsid w:val="1CB6536F"/>
    <w:rsid w:val="1CBF7BEB"/>
    <w:rsid w:val="1CFF6D7B"/>
    <w:rsid w:val="1D052C82"/>
    <w:rsid w:val="1D0D3CA0"/>
    <w:rsid w:val="1D3C38E1"/>
    <w:rsid w:val="1D4A5240"/>
    <w:rsid w:val="1E9E7BAF"/>
    <w:rsid w:val="1EA75CE7"/>
    <w:rsid w:val="1FAC6A90"/>
    <w:rsid w:val="1FE019D4"/>
    <w:rsid w:val="203931EC"/>
    <w:rsid w:val="20B117BA"/>
    <w:rsid w:val="20D11CD5"/>
    <w:rsid w:val="210F67FD"/>
    <w:rsid w:val="21FA7BC8"/>
    <w:rsid w:val="224F4AB9"/>
    <w:rsid w:val="22B90CC8"/>
    <w:rsid w:val="22BC3C5C"/>
    <w:rsid w:val="22E12559"/>
    <w:rsid w:val="22FA503B"/>
    <w:rsid w:val="231F1167"/>
    <w:rsid w:val="235C2BD4"/>
    <w:rsid w:val="23627251"/>
    <w:rsid w:val="23FF4341"/>
    <w:rsid w:val="24123B02"/>
    <w:rsid w:val="2428259D"/>
    <w:rsid w:val="247D6439"/>
    <w:rsid w:val="24F003DC"/>
    <w:rsid w:val="24F74EAA"/>
    <w:rsid w:val="252223C6"/>
    <w:rsid w:val="253446AE"/>
    <w:rsid w:val="2581038F"/>
    <w:rsid w:val="25B11518"/>
    <w:rsid w:val="25B86563"/>
    <w:rsid w:val="25D04265"/>
    <w:rsid w:val="264C3693"/>
    <w:rsid w:val="267C13D7"/>
    <w:rsid w:val="26EA4430"/>
    <w:rsid w:val="280E449E"/>
    <w:rsid w:val="28197C97"/>
    <w:rsid w:val="281A4A03"/>
    <w:rsid w:val="285D6A9E"/>
    <w:rsid w:val="28A91BE3"/>
    <w:rsid w:val="28AF6CCC"/>
    <w:rsid w:val="28C227F8"/>
    <w:rsid w:val="28F03549"/>
    <w:rsid w:val="2938027B"/>
    <w:rsid w:val="29F10FDB"/>
    <w:rsid w:val="29FF0A24"/>
    <w:rsid w:val="2A495030"/>
    <w:rsid w:val="2A676E5E"/>
    <w:rsid w:val="2B040345"/>
    <w:rsid w:val="2B997798"/>
    <w:rsid w:val="2BAD61DF"/>
    <w:rsid w:val="2C6A2E46"/>
    <w:rsid w:val="2CA049E5"/>
    <w:rsid w:val="2CA31F00"/>
    <w:rsid w:val="2CBB4605"/>
    <w:rsid w:val="2CC20FAE"/>
    <w:rsid w:val="2CF47464"/>
    <w:rsid w:val="2DCA2DA2"/>
    <w:rsid w:val="2DDD7711"/>
    <w:rsid w:val="2E6E409E"/>
    <w:rsid w:val="2F2C5253"/>
    <w:rsid w:val="2F6C11C1"/>
    <w:rsid w:val="2FBB4416"/>
    <w:rsid w:val="2FDB37C9"/>
    <w:rsid w:val="309A25C0"/>
    <w:rsid w:val="30BE3DCE"/>
    <w:rsid w:val="30C44045"/>
    <w:rsid w:val="313660E1"/>
    <w:rsid w:val="315C24E2"/>
    <w:rsid w:val="31822DF7"/>
    <w:rsid w:val="31A072B4"/>
    <w:rsid w:val="31E06CBE"/>
    <w:rsid w:val="32631D1A"/>
    <w:rsid w:val="32676E8E"/>
    <w:rsid w:val="32C040AE"/>
    <w:rsid w:val="32FB322A"/>
    <w:rsid w:val="33456856"/>
    <w:rsid w:val="33B86B04"/>
    <w:rsid w:val="344B01BC"/>
    <w:rsid w:val="34580F33"/>
    <w:rsid w:val="35315E89"/>
    <w:rsid w:val="353A77E0"/>
    <w:rsid w:val="359E1A84"/>
    <w:rsid w:val="36345EE6"/>
    <w:rsid w:val="369B1D40"/>
    <w:rsid w:val="36E91C86"/>
    <w:rsid w:val="37586120"/>
    <w:rsid w:val="37BC2078"/>
    <w:rsid w:val="37DD582B"/>
    <w:rsid w:val="38145FAC"/>
    <w:rsid w:val="386C58FB"/>
    <w:rsid w:val="386D15ED"/>
    <w:rsid w:val="386E74A0"/>
    <w:rsid w:val="389F7463"/>
    <w:rsid w:val="38F83A90"/>
    <w:rsid w:val="3A44120F"/>
    <w:rsid w:val="3A5B5BB7"/>
    <w:rsid w:val="3B6650C4"/>
    <w:rsid w:val="3B8D7EE5"/>
    <w:rsid w:val="3BA974E3"/>
    <w:rsid w:val="3BD66CA2"/>
    <w:rsid w:val="3C247E8C"/>
    <w:rsid w:val="3C737A5D"/>
    <w:rsid w:val="3C7A7D78"/>
    <w:rsid w:val="3C853690"/>
    <w:rsid w:val="3D811C0D"/>
    <w:rsid w:val="3DB833E8"/>
    <w:rsid w:val="3DC07279"/>
    <w:rsid w:val="3E5661DC"/>
    <w:rsid w:val="3EAC5E74"/>
    <w:rsid w:val="3EE071AB"/>
    <w:rsid w:val="3EFC193A"/>
    <w:rsid w:val="3EFF2568"/>
    <w:rsid w:val="3F5442E6"/>
    <w:rsid w:val="3F82769A"/>
    <w:rsid w:val="3FCC5A47"/>
    <w:rsid w:val="3FDF2308"/>
    <w:rsid w:val="40860979"/>
    <w:rsid w:val="40C304AF"/>
    <w:rsid w:val="423A5F76"/>
    <w:rsid w:val="434754A7"/>
    <w:rsid w:val="447C7807"/>
    <w:rsid w:val="44BC3620"/>
    <w:rsid w:val="453E2BF0"/>
    <w:rsid w:val="453E7647"/>
    <w:rsid w:val="45BA5D0E"/>
    <w:rsid w:val="45C41F63"/>
    <w:rsid w:val="45F14B9E"/>
    <w:rsid w:val="46526FBB"/>
    <w:rsid w:val="467F70E2"/>
    <w:rsid w:val="468D2996"/>
    <w:rsid w:val="46D14EF1"/>
    <w:rsid w:val="47EA62B9"/>
    <w:rsid w:val="47F765F5"/>
    <w:rsid w:val="48284861"/>
    <w:rsid w:val="496833C9"/>
    <w:rsid w:val="49F84FFA"/>
    <w:rsid w:val="4A012E2B"/>
    <w:rsid w:val="4A340100"/>
    <w:rsid w:val="4A915202"/>
    <w:rsid w:val="4BB3139E"/>
    <w:rsid w:val="4BF6036F"/>
    <w:rsid w:val="4D963478"/>
    <w:rsid w:val="4DEC6CD7"/>
    <w:rsid w:val="4E233D83"/>
    <w:rsid w:val="4F0222AA"/>
    <w:rsid w:val="4F26078E"/>
    <w:rsid w:val="4FDD44A2"/>
    <w:rsid w:val="50A85558"/>
    <w:rsid w:val="51082263"/>
    <w:rsid w:val="5198572E"/>
    <w:rsid w:val="51C90F05"/>
    <w:rsid w:val="5251613E"/>
    <w:rsid w:val="52916EB9"/>
    <w:rsid w:val="53574187"/>
    <w:rsid w:val="544E0F5E"/>
    <w:rsid w:val="54651927"/>
    <w:rsid w:val="54AF3253"/>
    <w:rsid w:val="54DB556A"/>
    <w:rsid w:val="54DF48AB"/>
    <w:rsid w:val="55307659"/>
    <w:rsid w:val="55383F64"/>
    <w:rsid w:val="554876B4"/>
    <w:rsid w:val="55BC6160"/>
    <w:rsid w:val="55C462D3"/>
    <w:rsid w:val="55E0339D"/>
    <w:rsid w:val="56701600"/>
    <w:rsid w:val="572405D5"/>
    <w:rsid w:val="57C2038C"/>
    <w:rsid w:val="58424AB5"/>
    <w:rsid w:val="58D05A14"/>
    <w:rsid w:val="595455B5"/>
    <w:rsid w:val="598B7205"/>
    <w:rsid w:val="59F22154"/>
    <w:rsid w:val="5A074490"/>
    <w:rsid w:val="5A5257D5"/>
    <w:rsid w:val="5A5F471A"/>
    <w:rsid w:val="5B0E4FB1"/>
    <w:rsid w:val="5B32486D"/>
    <w:rsid w:val="5B5E7E0F"/>
    <w:rsid w:val="5BBA517C"/>
    <w:rsid w:val="5BC02519"/>
    <w:rsid w:val="5C233BD0"/>
    <w:rsid w:val="5CC0147B"/>
    <w:rsid w:val="5CDF36D0"/>
    <w:rsid w:val="5D0C62CC"/>
    <w:rsid w:val="5DA87E7C"/>
    <w:rsid w:val="5DE15411"/>
    <w:rsid w:val="5DF14806"/>
    <w:rsid w:val="5DF85BBC"/>
    <w:rsid w:val="5E834211"/>
    <w:rsid w:val="5EFB35C8"/>
    <w:rsid w:val="5F2A7A3E"/>
    <w:rsid w:val="5F3D3DA3"/>
    <w:rsid w:val="5F3E0E69"/>
    <w:rsid w:val="5F9C1BC7"/>
    <w:rsid w:val="5F9F32CB"/>
    <w:rsid w:val="600F415A"/>
    <w:rsid w:val="61173289"/>
    <w:rsid w:val="612A5A76"/>
    <w:rsid w:val="612D7683"/>
    <w:rsid w:val="61477D3C"/>
    <w:rsid w:val="618172C6"/>
    <w:rsid w:val="6189157B"/>
    <w:rsid w:val="61F34A45"/>
    <w:rsid w:val="632E1A6C"/>
    <w:rsid w:val="632E6733"/>
    <w:rsid w:val="638D5D06"/>
    <w:rsid w:val="63A31AEE"/>
    <w:rsid w:val="63A43996"/>
    <w:rsid w:val="64055F8C"/>
    <w:rsid w:val="646265C8"/>
    <w:rsid w:val="647D4DF6"/>
    <w:rsid w:val="64B31FF1"/>
    <w:rsid w:val="64B545C9"/>
    <w:rsid w:val="64CE04C8"/>
    <w:rsid w:val="64E57C14"/>
    <w:rsid w:val="653E0CAA"/>
    <w:rsid w:val="658769B3"/>
    <w:rsid w:val="66077DEC"/>
    <w:rsid w:val="663A25AC"/>
    <w:rsid w:val="663A71E2"/>
    <w:rsid w:val="67441A6C"/>
    <w:rsid w:val="677F5DB7"/>
    <w:rsid w:val="685C3960"/>
    <w:rsid w:val="68E975ED"/>
    <w:rsid w:val="691C67FD"/>
    <w:rsid w:val="69602435"/>
    <w:rsid w:val="696F1F2A"/>
    <w:rsid w:val="69765CCC"/>
    <w:rsid w:val="69D038DA"/>
    <w:rsid w:val="6A5C18FD"/>
    <w:rsid w:val="6A6B167A"/>
    <w:rsid w:val="6A6F2F58"/>
    <w:rsid w:val="6A800F11"/>
    <w:rsid w:val="6A9F7173"/>
    <w:rsid w:val="6AD90BFC"/>
    <w:rsid w:val="6AF04982"/>
    <w:rsid w:val="6D2E6A4B"/>
    <w:rsid w:val="6D7E0B5E"/>
    <w:rsid w:val="6D800726"/>
    <w:rsid w:val="6D8E7684"/>
    <w:rsid w:val="6DD13669"/>
    <w:rsid w:val="6DE04C70"/>
    <w:rsid w:val="6DE873A9"/>
    <w:rsid w:val="6E111DBB"/>
    <w:rsid w:val="6E3E721D"/>
    <w:rsid w:val="6E77257D"/>
    <w:rsid w:val="6F3326BD"/>
    <w:rsid w:val="6F3829E8"/>
    <w:rsid w:val="6F4D6A39"/>
    <w:rsid w:val="70525A21"/>
    <w:rsid w:val="708F3534"/>
    <w:rsid w:val="722F7768"/>
    <w:rsid w:val="7235211D"/>
    <w:rsid w:val="72A551E2"/>
    <w:rsid w:val="72D75763"/>
    <w:rsid w:val="73040E95"/>
    <w:rsid w:val="73373EE4"/>
    <w:rsid w:val="735C324C"/>
    <w:rsid w:val="737F2F3A"/>
    <w:rsid w:val="742B1FE0"/>
    <w:rsid w:val="750744E5"/>
    <w:rsid w:val="753161AE"/>
    <w:rsid w:val="76217F91"/>
    <w:rsid w:val="763C5D0A"/>
    <w:rsid w:val="76866EE9"/>
    <w:rsid w:val="76BB5138"/>
    <w:rsid w:val="76C43D70"/>
    <w:rsid w:val="76D80CE3"/>
    <w:rsid w:val="76FD786C"/>
    <w:rsid w:val="77027A18"/>
    <w:rsid w:val="773D0465"/>
    <w:rsid w:val="786B2585"/>
    <w:rsid w:val="7885743D"/>
    <w:rsid w:val="78AB2210"/>
    <w:rsid w:val="78F2573D"/>
    <w:rsid w:val="791118EB"/>
    <w:rsid w:val="795C76D3"/>
    <w:rsid w:val="79671759"/>
    <w:rsid w:val="797075DA"/>
    <w:rsid w:val="79A44C6A"/>
    <w:rsid w:val="7A1B3C8B"/>
    <w:rsid w:val="7A2B3F13"/>
    <w:rsid w:val="7A5760C7"/>
    <w:rsid w:val="7BB41C3D"/>
    <w:rsid w:val="7BDC50A2"/>
    <w:rsid w:val="7BF13E9C"/>
    <w:rsid w:val="7C580A07"/>
    <w:rsid w:val="7D0B0461"/>
    <w:rsid w:val="7D282903"/>
    <w:rsid w:val="7D401A7F"/>
    <w:rsid w:val="7DD31879"/>
    <w:rsid w:val="7DE268AB"/>
    <w:rsid w:val="7E015867"/>
    <w:rsid w:val="7E4F4276"/>
    <w:rsid w:val="7E753116"/>
    <w:rsid w:val="7F0528DF"/>
    <w:rsid w:val="7F827326"/>
    <w:rsid w:val="7F8E48CA"/>
    <w:rsid w:val="7FAB18EF"/>
    <w:rsid w:val="7FDC4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qFormat="1"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44"/>
    <w:autoRedefine/>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1"/>
    <w:link w:val="47"/>
    <w:autoRedefine/>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4">
    <w:name w:val="heading 3"/>
    <w:basedOn w:val="1"/>
    <w:next w:val="1"/>
    <w:link w:val="45"/>
    <w:autoRedefine/>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5">
    <w:name w:val="heading 4"/>
    <w:basedOn w:val="1"/>
    <w:next w:val="1"/>
    <w:link w:val="4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autoRedefine/>
    <w:qFormat/>
    <w:uiPriority w:val="0"/>
    <w:pPr>
      <w:keepNext/>
      <w:keepLines/>
      <w:spacing w:before="280" w:after="290" w:line="376" w:lineRule="auto"/>
      <w:outlineLvl w:val="4"/>
    </w:pPr>
    <w:rPr>
      <w:b/>
      <w:bCs/>
      <w:sz w:val="28"/>
      <w:szCs w:val="28"/>
    </w:rPr>
  </w:style>
  <w:style w:type="paragraph" w:styleId="7">
    <w:name w:val="heading 6"/>
    <w:basedOn w:val="6"/>
    <w:next w:val="1"/>
    <w:link w:val="49"/>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50"/>
    <w:autoRedefine/>
    <w:qFormat/>
    <w:uiPriority w:val="0"/>
    <w:pPr>
      <w:tabs>
        <w:tab w:val="left" w:pos="1800"/>
        <w:tab w:val="clear" w:pos="1440"/>
      </w:tabs>
      <w:ind w:left="1276" w:hanging="1276"/>
      <w:outlineLvl w:val="6"/>
    </w:pPr>
  </w:style>
  <w:style w:type="paragraph" w:styleId="9">
    <w:name w:val="heading 8"/>
    <w:basedOn w:val="8"/>
    <w:next w:val="1"/>
    <w:link w:val="51"/>
    <w:autoRedefine/>
    <w:qFormat/>
    <w:uiPriority w:val="0"/>
    <w:pPr>
      <w:ind w:left="1418" w:hanging="1418"/>
      <w:outlineLvl w:val="7"/>
    </w:pPr>
  </w:style>
  <w:style w:type="paragraph" w:styleId="10">
    <w:name w:val="heading 9"/>
    <w:basedOn w:val="9"/>
    <w:next w:val="1"/>
    <w:link w:val="52"/>
    <w:autoRedefine/>
    <w:qFormat/>
    <w:uiPriority w:val="0"/>
    <w:pPr>
      <w:tabs>
        <w:tab w:val="left" w:pos="2160"/>
        <w:tab w:val="clear" w:pos="1800"/>
      </w:tabs>
      <w:ind w:left="1559" w:hanging="1559"/>
      <w:outlineLvl w:val="8"/>
    </w:pPr>
  </w:style>
  <w:style w:type="character" w:default="1" w:styleId="34">
    <w:name w:val="Default Paragraph Font"/>
    <w:link w:val="35"/>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59"/>
    <w:autoRedefine/>
    <w:unhideWhenUsed/>
    <w:qFormat/>
    <w:uiPriority w:val="0"/>
    <w:pPr>
      <w:ind w:firstLine="420" w:firstLineChars="200"/>
    </w:pPr>
  </w:style>
  <w:style w:type="paragraph" w:styleId="12">
    <w:name w:val="Document Map"/>
    <w:basedOn w:val="1"/>
    <w:link w:val="64"/>
    <w:autoRedefine/>
    <w:qFormat/>
    <w:uiPriority w:val="0"/>
    <w:rPr>
      <w:rFonts w:ascii="宋体"/>
      <w:sz w:val="18"/>
      <w:szCs w:val="18"/>
    </w:rPr>
  </w:style>
  <w:style w:type="paragraph" w:styleId="13">
    <w:name w:val="annotation text"/>
    <w:basedOn w:val="1"/>
    <w:link w:val="62"/>
    <w:autoRedefine/>
    <w:qFormat/>
    <w:uiPriority w:val="0"/>
    <w:pPr>
      <w:jc w:val="left"/>
    </w:pPr>
  </w:style>
  <w:style w:type="paragraph" w:styleId="14">
    <w:name w:val="Body Text"/>
    <w:basedOn w:val="1"/>
    <w:next w:val="1"/>
    <w:autoRedefine/>
    <w:semiHidden/>
    <w:unhideWhenUsed/>
    <w:qFormat/>
    <w:uiPriority w:val="0"/>
    <w:pPr>
      <w:spacing w:after="120"/>
    </w:pPr>
  </w:style>
  <w:style w:type="paragraph" w:styleId="15">
    <w:name w:val="Body Text Indent"/>
    <w:basedOn w:val="1"/>
    <w:autoRedefine/>
    <w:qFormat/>
    <w:uiPriority w:val="0"/>
    <w:pPr>
      <w:ind w:firstLine="830" w:firstLineChars="352"/>
    </w:pPr>
    <w:rPr>
      <w:rFonts w:ascii="仿宋_GB2312" w:eastAsia="仿宋_GB2312"/>
      <w:sz w:val="32"/>
      <w:szCs w:val="20"/>
    </w:rPr>
  </w:style>
  <w:style w:type="paragraph" w:styleId="16">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17">
    <w:name w:val="toc 3"/>
    <w:basedOn w:val="1"/>
    <w:next w:val="1"/>
    <w:autoRedefine/>
    <w:unhideWhenUsed/>
    <w:qFormat/>
    <w:uiPriority w:val="39"/>
    <w:pPr>
      <w:ind w:left="840" w:leftChars="400"/>
    </w:pPr>
  </w:style>
  <w:style w:type="paragraph" w:styleId="18">
    <w:name w:val="Plain Text"/>
    <w:basedOn w:val="1"/>
    <w:link w:val="56"/>
    <w:autoRedefine/>
    <w:qFormat/>
    <w:uiPriority w:val="0"/>
    <w:rPr>
      <w:rFonts w:ascii="宋体" w:hAnsi="Courier New"/>
      <w:szCs w:val="21"/>
    </w:rPr>
  </w:style>
  <w:style w:type="paragraph" w:styleId="19">
    <w:name w:val="Date"/>
    <w:basedOn w:val="1"/>
    <w:next w:val="1"/>
    <w:autoRedefine/>
    <w:qFormat/>
    <w:uiPriority w:val="0"/>
    <w:pPr>
      <w:ind w:left="100" w:leftChars="2500"/>
    </w:pPr>
    <w:rPr>
      <w:rFonts w:ascii="宋体" w:hAnsi="Courier New" w:cs="Courier New"/>
      <w:szCs w:val="21"/>
    </w:rPr>
  </w:style>
  <w:style w:type="paragraph" w:styleId="20">
    <w:name w:val="Balloon Text"/>
    <w:basedOn w:val="1"/>
    <w:autoRedefine/>
    <w:semiHidden/>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header"/>
    <w:basedOn w:val="1"/>
    <w:link w:val="55"/>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8222"/>
      </w:tabs>
      <w:spacing w:line="440" w:lineRule="exact"/>
      <w:ind w:right="231" w:rightChars="110"/>
    </w:pPr>
    <w:rPr>
      <w:sz w:val="28"/>
    </w:rPr>
  </w:style>
  <w:style w:type="paragraph" w:styleId="24">
    <w:name w:val="List Number 5"/>
    <w:basedOn w:val="1"/>
    <w:semiHidden/>
    <w:unhideWhenUsed/>
    <w:qFormat/>
    <w:uiPriority w:val="0"/>
    <w:pPr>
      <w:numPr>
        <w:ilvl w:val="0"/>
        <w:numId w:val="1"/>
      </w:numPr>
    </w:pPr>
  </w:style>
  <w:style w:type="paragraph" w:styleId="25">
    <w:name w:val="Body Text Indent 3"/>
    <w:basedOn w:val="1"/>
    <w:link w:val="72"/>
    <w:autoRedefine/>
    <w:semiHidden/>
    <w:unhideWhenUsed/>
    <w:qFormat/>
    <w:uiPriority w:val="0"/>
    <w:pPr>
      <w:spacing w:after="120"/>
      <w:ind w:left="420" w:leftChars="200"/>
    </w:pPr>
    <w:rPr>
      <w:sz w:val="16"/>
      <w:szCs w:val="16"/>
    </w:rPr>
  </w:style>
  <w:style w:type="paragraph" w:styleId="26">
    <w:name w:val="toc 2"/>
    <w:basedOn w:val="1"/>
    <w:next w:val="1"/>
    <w:autoRedefine/>
    <w:qFormat/>
    <w:uiPriority w:val="39"/>
    <w:pPr>
      <w:tabs>
        <w:tab w:val="right" w:leader="dot" w:pos="8222"/>
      </w:tabs>
      <w:ind w:left="420" w:leftChars="200"/>
      <w:jc w:val="left"/>
    </w:pPr>
    <w:rPr>
      <w:sz w:val="28"/>
    </w:rPr>
  </w:style>
  <w:style w:type="paragraph" w:styleId="2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8">
    <w:name w:val="Title"/>
    <w:basedOn w:val="3"/>
    <w:next w:val="1"/>
    <w:link w:val="43"/>
    <w:autoRedefine/>
    <w:qFormat/>
    <w:uiPriority w:val="0"/>
    <w:pPr>
      <w:jc w:val="both"/>
    </w:pPr>
    <w:rPr>
      <w:rFonts w:ascii="宋体"/>
      <w:sz w:val="44"/>
    </w:rPr>
  </w:style>
  <w:style w:type="paragraph" w:styleId="29">
    <w:name w:val="annotation subject"/>
    <w:basedOn w:val="13"/>
    <w:next w:val="13"/>
    <w:link w:val="61"/>
    <w:autoRedefine/>
    <w:qFormat/>
    <w:uiPriority w:val="99"/>
    <w:rPr>
      <w:rFonts w:ascii="Times New Roman" w:hAnsi="Times New Roman"/>
      <w:b/>
      <w:sz w:val="28"/>
      <w:szCs w:val="20"/>
    </w:rPr>
  </w:style>
  <w:style w:type="paragraph" w:styleId="30">
    <w:name w:val="Body Text First Indent"/>
    <w:basedOn w:val="14"/>
    <w:next w:val="14"/>
    <w:autoRedefine/>
    <w:qFormat/>
    <w:uiPriority w:val="0"/>
    <w:pPr>
      <w:spacing w:line="360" w:lineRule="auto"/>
      <w:ind w:firstLine="200" w:firstLineChars="200"/>
    </w:pPr>
    <w:rPr>
      <w:rFonts w:ascii="仿宋_GB2312" w:eastAsia="仿宋_GB2312"/>
      <w:sz w:val="30"/>
      <w:szCs w:val="30"/>
    </w:rPr>
  </w:style>
  <w:style w:type="paragraph" w:styleId="31">
    <w:name w:val="Body Text First Indent 2"/>
    <w:basedOn w:val="15"/>
    <w:autoRedefine/>
    <w:qFormat/>
    <w:uiPriority w:val="0"/>
    <w:pPr>
      <w:ind w:left="0" w:leftChars="0" w:firstLine="210"/>
    </w:pPr>
    <w:rPr>
      <w:szCs w:val="20"/>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 Char"/>
    <w:basedOn w:val="1"/>
    <w:link w:val="34"/>
    <w:autoRedefine/>
    <w:qFormat/>
    <w:uiPriority w:val="0"/>
    <w:pPr>
      <w:tabs>
        <w:tab w:val="left" w:pos="432"/>
      </w:tabs>
      <w:spacing w:before="156" w:beforeLines="50" w:after="156" w:afterLines="50"/>
      <w:ind w:left="432" w:hanging="432"/>
    </w:pPr>
  </w:style>
  <w:style w:type="character" w:styleId="36">
    <w:name w:val="Strong"/>
    <w:basedOn w:val="34"/>
    <w:autoRedefine/>
    <w:qFormat/>
    <w:uiPriority w:val="0"/>
    <w:rPr>
      <w:b/>
      <w:bCs/>
    </w:rPr>
  </w:style>
  <w:style w:type="character" w:styleId="37">
    <w:name w:val="page number"/>
    <w:basedOn w:val="34"/>
    <w:autoRedefine/>
    <w:qFormat/>
    <w:uiPriority w:val="0"/>
  </w:style>
  <w:style w:type="character" w:styleId="38">
    <w:name w:val="Hyperlink"/>
    <w:autoRedefine/>
    <w:qFormat/>
    <w:uiPriority w:val="99"/>
    <w:rPr>
      <w:color w:val="0000FF"/>
      <w:u w:val="single"/>
    </w:rPr>
  </w:style>
  <w:style w:type="character" w:styleId="39">
    <w:name w:val="annotation reference"/>
    <w:basedOn w:val="34"/>
    <w:autoRedefine/>
    <w:unhideWhenUsed/>
    <w:qFormat/>
    <w:uiPriority w:val="0"/>
    <w:rPr>
      <w:sz w:val="21"/>
      <w:szCs w:val="21"/>
    </w:rPr>
  </w:style>
  <w:style w:type="character" w:styleId="40">
    <w:name w:val="HTML Sample"/>
    <w:basedOn w:val="34"/>
    <w:autoRedefine/>
    <w:qFormat/>
    <w:uiPriority w:val="0"/>
    <w:rPr>
      <w:rFonts w:ascii="Courier New" w:hAnsi="Courier New"/>
    </w:rPr>
  </w:style>
  <w:style w:type="paragraph" w:customStyle="1" w:styleId="41">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42">
    <w:name w:val="case31"/>
    <w:autoRedefine/>
    <w:qFormat/>
    <w:uiPriority w:val="0"/>
    <w:rPr>
      <w:rFonts w:hint="default"/>
      <w:spacing w:val="390"/>
      <w:sz w:val="21"/>
      <w:szCs w:val="21"/>
    </w:rPr>
  </w:style>
  <w:style w:type="character" w:customStyle="1" w:styleId="43">
    <w:name w:val="标题 Char"/>
    <w:link w:val="28"/>
    <w:autoRedefine/>
    <w:qFormat/>
    <w:uiPriority w:val="0"/>
    <w:rPr>
      <w:rFonts w:ascii="宋体" w:hAnsiTheme="majorEastAsia" w:eastAsiaTheme="majorEastAsia"/>
      <w:b/>
      <w:kern w:val="2"/>
      <w:sz w:val="44"/>
      <w:szCs w:val="28"/>
    </w:rPr>
  </w:style>
  <w:style w:type="character" w:customStyle="1" w:styleId="44">
    <w:name w:val="标题 1 Char"/>
    <w:link w:val="2"/>
    <w:autoRedefine/>
    <w:qFormat/>
    <w:uiPriority w:val="9"/>
    <w:rPr>
      <w:rFonts w:ascii="Calibri" w:hAnsi="Calibri"/>
      <w:b/>
      <w:bCs/>
      <w:kern w:val="44"/>
      <w:sz w:val="44"/>
      <w:szCs w:val="44"/>
    </w:rPr>
  </w:style>
  <w:style w:type="character" w:customStyle="1" w:styleId="45">
    <w:name w:val="标题 3 Char"/>
    <w:link w:val="4"/>
    <w:autoRedefine/>
    <w:qFormat/>
    <w:uiPriority w:val="0"/>
    <w:rPr>
      <w:rFonts w:ascii="仿宋_GB2312" w:hAnsi="宋体" w:eastAsiaTheme="minorEastAsia"/>
      <w:b/>
      <w:kern w:val="2"/>
      <w:sz w:val="32"/>
      <w:szCs w:val="32"/>
    </w:rPr>
  </w:style>
  <w:style w:type="character" w:customStyle="1" w:styleId="46">
    <w:name w:val="标题 5 Char"/>
    <w:link w:val="6"/>
    <w:autoRedefine/>
    <w:qFormat/>
    <w:uiPriority w:val="0"/>
    <w:rPr>
      <w:rFonts w:ascii="Calibri" w:hAnsi="Calibri"/>
      <w:b/>
      <w:bCs/>
      <w:kern w:val="2"/>
      <w:sz w:val="28"/>
      <w:szCs w:val="28"/>
    </w:rPr>
  </w:style>
  <w:style w:type="character" w:customStyle="1" w:styleId="47">
    <w:name w:val="标题 2 Char"/>
    <w:link w:val="3"/>
    <w:autoRedefine/>
    <w:qFormat/>
    <w:uiPriority w:val="0"/>
    <w:rPr>
      <w:rFonts w:asciiTheme="majorEastAsia" w:hAnsiTheme="majorEastAsia" w:eastAsiaTheme="majorEastAsia"/>
      <w:b/>
      <w:kern w:val="2"/>
      <w:sz w:val="32"/>
      <w:szCs w:val="28"/>
    </w:rPr>
  </w:style>
  <w:style w:type="character" w:customStyle="1" w:styleId="48">
    <w:name w:val="标题 4 Char"/>
    <w:link w:val="5"/>
    <w:autoRedefine/>
    <w:qFormat/>
    <w:uiPriority w:val="0"/>
    <w:rPr>
      <w:rFonts w:ascii="Arial" w:hAnsi="Arial" w:eastAsia="黑体"/>
      <w:b/>
      <w:bCs/>
      <w:kern w:val="2"/>
      <w:sz w:val="28"/>
      <w:szCs w:val="28"/>
    </w:rPr>
  </w:style>
  <w:style w:type="character" w:customStyle="1" w:styleId="49">
    <w:name w:val="标题 6 Char"/>
    <w:link w:val="7"/>
    <w:autoRedefine/>
    <w:qFormat/>
    <w:uiPriority w:val="0"/>
    <w:rPr>
      <w:b/>
      <w:bCs/>
      <w:kern w:val="2"/>
      <w:sz w:val="30"/>
      <w:szCs w:val="18"/>
    </w:rPr>
  </w:style>
  <w:style w:type="character" w:customStyle="1" w:styleId="50">
    <w:name w:val="标题 7 Char"/>
    <w:link w:val="8"/>
    <w:autoRedefine/>
    <w:qFormat/>
    <w:uiPriority w:val="0"/>
    <w:rPr>
      <w:b/>
      <w:bCs/>
      <w:kern w:val="2"/>
      <w:sz w:val="30"/>
      <w:szCs w:val="18"/>
    </w:rPr>
  </w:style>
  <w:style w:type="character" w:customStyle="1" w:styleId="51">
    <w:name w:val="标题 8 Char"/>
    <w:link w:val="9"/>
    <w:autoRedefine/>
    <w:qFormat/>
    <w:uiPriority w:val="0"/>
    <w:rPr>
      <w:b/>
      <w:bCs/>
      <w:kern w:val="2"/>
      <w:sz w:val="30"/>
      <w:szCs w:val="18"/>
    </w:rPr>
  </w:style>
  <w:style w:type="character" w:customStyle="1" w:styleId="52">
    <w:name w:val="标题 9 Char"/>
    <w:link w:val="10"/>
    <w:autoRedefine/>
    <w:qFormat/>
    <w:uiPriority w:val="0"/>
    <w:rPr>
      <w:b/>
      <w:bCs/>
      <w:kern w:val="2"/>
      <w:sz w:val="30"/>
      <w:szCs w:val="18"/>
    </w:rPr>
  </w:style>
  <w:style w:type="paragraph" w:customStyle="1" w:styleId="53">
    <w:name w:val="列出段落1"/>
    <w:basedOn w:val="1"/>
    <w:autoRedefine/>
    <w:qFormat/>
    <w:uiPriority w:val="34"/>
    <w:pPr>
      <w:ind w:firstLine="420" w:firstLineChars="200"/>
    </w:pPr>
  </w:style>
  <w:style w:type="paragraph" w:customStyle="1" w:styleId="54">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5">
    <w:name w:val="页眉 Char"/>
    <w:link w:val="22"/>
    <w:autoRedefine/>
    <w:qFormat/>
    <w:uiPriority w:val="99"/>
    <w:rPr>
      <w:rFonts w:ascii="Calibri" w:hAnsi="Calibri" w:eastAsia="宋体" w:cs="Times New Roman"/>
      <w:kern w:val="2"/>
      <w:sz w:val="18"/>
      <w:szCs w:val="18"/>
    </w:rPr>
  </w:style>
  <w:style w:type="character" w:customStyle="1" w:styleId="56">
    <w:name w:val="纯文本 Char"/>
    <w:link w:val="18"/>
    <w:autoRedefine/>
    <w:qFormat/>
    <w:locked/>
    <w:uiPriority w:val="0"/>
    <w:rPr>
      <w:rFonts w:ascii="宋体" w:hAnsi="Courier New" w:eastAsia="宋体" w:cs="Courier New"/>
      <w:kern w:val="2"/>
      <w:sz w:val="21"/>
      <w:szCs w:val="21"/>
    </w:rPr>
  </w:style>
  <w:style w:type="paragraph" w:customStyle="1" w:styleId="57">
    <w:name w:val="需求样式"/>
    <w:basedOn w:val="2"/>
    <w:link w:val="58"/>
    <w:autoRedefine/>
    <w:qFormat/>
    <w:uiPriority w:val="0"/>
    <w:pPr>
      <w:spacing w:before="120" w:after="120" w:line="360" w:lineRule="auto"/>
      <w:ind w:left="425" w:hanging="425"/>
    </w:pPr>
    <w:rPr>
      <w:rFonts w:ascii="Times New Roman" w:hAnsi="Times New Roman"/>
      <w:sz w:val="32"/>
      <w:szCs w:val="28"/>
    </w:rPr>
  </w:style>
  <w:style w:type="character" w:customStyle="1" w:styleId="58">
    <w:name w:val="需求样式 Char"/>
    <w:link w:val="57"/>
    <w:autoRedefine/>
    <w:qFormat/>
    <w:uiPriority w:val="0"/>
    <w:rPr>
      <w:b/>
      <w:bCs/>
      <w:kern w:val="44"/>
      <w:sz w:val="32"/>
      <w:szCs w:val="28"/>
    </w:rPr>
  </w:style>
  <w:style w:type="character" w:customStyle="1" w:styleId="59">
    <w:name w:val="正文缩进 Char"/>
    <w:link w:val="11"/>
    <w:autoRedefine/>
    <w:qFormat/>
    <w:uiPriority w:val="0"/>
    <w:rPr>
      <w:rFonts w:ascii="Calibri" w:hAnsi="Calibri" w:eastAsia="宋体"/>
      <w:kern w:val="2"/>
      <w:sz w:val="21"/>
      <w:szCs w:val="22"/>
      <w:lang w:val="en-US" w:eastAsia="zh-CN" w:bidi="ar-SA"/>
    </w:rPr>
  </w:style>
  <w:style w:type="character" w:customStyle="1" w:styleId="60">
    <w:name w:val="普通文字 Char Char2"/>
    <w:autoRedefine/>
    <w:qFormat/>
    <w:uiPriority w:val="0"/>
    <w:rPr>
      <w:rFonts w:ascii="宋体" w:hAnsi="Courier New" w:cs="Courier New"/>
      <w:kern w:val="2"/>
      <w:sz w:val="21"/>
      <w:szCs w:val="21"/>
    </w:rPr>
  </w:style>
  <w:style w:type="character" w:customStyle="1" w:styleId="61">
    <w:name w:val="批注主题 Char"/>
    <w:link w:val="29"/>
    <w:autoRedefine/>
    <w:qFormat/>
    <w:uiPriority w:val="99"/>
    <w:rPr>
      <w:b/>
      <w:kern w:val="2"/>
      <w:sz w:val="28"/>
    </w:rPr>
  </w:style>
  <w:style w:type="character" w:customStyle="1" w:styleId="62">
    <w:name w:val="批注文字 Char"/>
    <w:basedOn w:val="34"/>
    <w:link w:val="13"/>
    <w:autoRedefine/>
    <w:qFormat/>
    <w:uiPriority w:val="0"/>
    <w:rPr>
      <w:rFonts w:ascii="Calibri" w:hAnsi="Calibri"/>
      <w:kern w:val="2"/>
      <w:sz w:val="21"/>
      <w:szCs w:val="22"/>
    </w:rPr>
  </w:style>
  <w:style w:type="character" w:customStyle="1" w:styleId="63">
    <w:name w:val="批注主题 Char1"/>
    <w:basedOn w:val="62"/>
    <w:autoRedefine/>
    <w:qFormat/>
    <w:uiPriority w:val="0"/>
    <w:rPr>
      <w:rFonts w:ascii="Calibri" w:hAnsi="Calibri"/>
      <w:b/>
      <w:bCs/>
      <w:kern w:val="2"/>
      <w:sz w:val="21"/>
      <w:szCs w:val="22"/>
    </w:rPr>
  </w:style>
  <w:style w:type="character" w:customStyle="1" w:styleId="64">
    <w:name w:val="文档结构图 Char"/>
    <w:basedOn w:val="34"/>
    <w:link w:val="12"/>
    <w:autoRedefine/>
    <w:qFormat/>
    <w:uiPriority w:val="0"/>
    <w:rPr>
      <w:rFonts w:ascii="宋体" w:hAnsi="Calibri"/>
      <w:kern w:val="2"/>
      <w:sz w:val="18"/>
      <w:szCs w:val="18"/>
    </w:rPr>
  </w:style>
  <w:style w:type="paragraph" w:customStyle="1" w:styleId="65">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66">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7">
    <w:name w:val="2册标题2 Char"/>
    <w:link w:val="68"/>
    <w:autoRedefine/>
    <w:qFormat/>
    <w:uiPriority w:val="0"/>
    <w:rPr>
      <w:rFonts w:ascii="Arial" w:hAnsi="Arial" w:eastAsia="黑体"/>
      <w:kern w:val="2"/>
      <w:sz w:val="30"/>
    </w:rPr>
  </w:style>
  <w:style w:type="paragraph" w:customStyle="1" w:styleId="68">
    <w:name w:val="2册标题2"/>
    <w:basedOn w:val="1"/>
    <w:next w:val="1"/>
    <w:link w:val="67"/>
    <w:autoRedefine/>
    <w:qFormat/>
    <w:uiPriority w:val="0"/>
    <w:pPr>
      <w:spacing w:beforeLines="50" w:afterLines="50" w:line="300" w:lineRule="auto"/>
      <w:outlineLvl w:val="1"/>
    </w:pPr>
    <w:rPr>
      <w:rFonts w:ascii="Arial" w:hAnsi="Arial" w:eastAsia="黑体"/>
      <w:sz w:val="30"/>
      <w:szCs w:val="20"/>
    </w:rPr>
  </w:style>
  <w:style w:type="paragraph" w:customStyle="1" w:styleId="6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0">
    <w:name w:val="List Paragraph"/>
    <w:basedOn w:val="1"/>
    <w:autoRedefine/>
    <w:unhideWhenUsed/>
    <w:qFormat/>
    <w:uiPriority w:val="99"/>
    <w:pPr>
      <w:ind w:firstLine="420" w:firstLineChars="200"/>
    </w:pPr>
  </w:style>
  <w:style w:type="paragraph" w:customStyle="1" w:styleId="71">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2">
    <w:name w:val="正文文本缩进 3 Char"/>
    <w:basedOn w:val="34"/>
    <w:link w:val="25"/>
    <w:autoRedefine/>
    <w:semiHidden/>
    <w:qFormat/>
    <w:uiPriority w:val="0"/>
    <w:rPr>
      <w:rFonts w:ascii="Calibri" w:hAnsi="Calibri"/>
      <w:kern w:val="2"/>
      <w:sz w:val="16"/>
      <w:szCs w:val="16"/>
    </w:rPr>
  </w:style>
  <w:style w:type="paragraph" w:customStyle="1" w:styleId="7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75">
    <w:name w:val="font21"/>
    <w:autoRedefine/>
    <w:qFormat/>
    <w:uiPriority w:val="0"/>
    <w:rPr>
      <w:rFonts w:ascii="Arial" w:hAnsi="Arial" w:cs="Arial"/>
      <w:color w:val="FF0000"/>
      <w:sz w:val="20"/>
      <w:szCs w:val="20"/>
      <w:u w:val="none"/>
    </w:rPr>
  </w:style>
  <w:style w:type="character" w:customStyle="1" w:styleId="76">
    <w:name w:val="font31"/>
    <w:autoRedefine/>
    <w:qFormat/>
    <w:uiPriority w:val="0"/>
    <w:rPr>
      <w:rFonts w:hint="eastAsia" w:ascii="宋体" w:hAnsi="宋体" w:eastAsia="宋体" w:cs="宋体"/>
      <w:color w:val="FF0000"/>
      <w:sz w:val="20"/>
      <w:szCs w:val="20"/>
      <w:u w:val="none"/>
    </w:rPr>
  </w:style>
  <w:style w:type="character" w:customStyle="1" w:styleId="77">
    <w:name w:val="font01"/>
    <w:autoRedefine/>
    <w:qFormat/>
    <w:uiPriority w:val="0"/>
    <w:rPr>
      <w:rFonts w:hint="eastAsia" w:ascii="宋体" w:hAnsi="宋体" w:eastAsia="宋体" w:cs="宋体"/>
      <w:color w:val="FF0000"/>
      <w:sz w:val="20"/>
      <w:szCs w:val="20"/>
      <w:u w:val="single"/>
    </w:rPr>
  </w:style>
  <w:style w:type="character" w:customStyle="1" w:styleId="78">
    <w:name w:val="font11"/>
    <w:autoRedefine/>
    <w:qFormat/>
    <w:uiPriority w:val="0"/>
    <w:rPr>
      <w:rFonts w:hint="default" w:ascii="Arial" w:hAnsi="Arial" w:cs="Arial"/>
      <w:color w:val="FF0000"/>
      <w:sz w:val="20"/>
      <w:szCs w:val="20"/>
      <w:u w:val="single"/>
    </w:rPr>
  </w:style>
  <w:style w:type="paragraph" w:styleId="79">
    <w:name w:val="No Spacing"/>
    <w:basedOn w:val="1"/>
    <w:autoRedefine/>
    <w:qFormat/>
    <w:uiPriority w:val="1"/>
    <w:pPr>
      <w:widowControl w:val="0"/>
      <w:jc w:val="both"/>
    </w:pPr>
    <w:rPr>
      <w:kern w:val="2"/>
      <w:sz w:val="21"/>
      <w:szCs w:val="24"/>
      <w:lang w:val="en-US" w:eastAsia="zh-CN" w:bidi="ar-SA"/>
    </w:rPr>
  </w:style>
  <w:style w:type="paragraph" w:customStyle="1" w:styleId="80">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customStyle="1" w:styleId="81">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82">
    <w:name w:val="标题 3_0_0"/>
    <w:basedOn w:val="83"/>
    <w:next w:val="81"/>
    <w:autoRedefine/>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3">
    <w:name w:val="正文_1_0"/>
    <w:autoRedefine/>
    <w:qFormat/>
    <w:uiPriority w:val="0"/>
    <w:pPr>
      <w:widowControl w:val="0"/>
      <w:jc w:val="both"/>
    </w:pPr>
    <w:rPr>
      <w:rFonts w:ascii="Calibri" w:hAnsi="Calibri" w:eastAsia="Calibri" w:cs="Times New Roman"/>
      <w:kern w:val="2"/>
      <w:sz w:val="28"/>
      <w:szCs w:val="22"/>
      <w:lang w:val="en-US" w:eastAsia="zh-CN" w:bidi="ar-SA"/>
    </w:rPr>
  </w:style>
  <w:style w:type="paragraph" w:customStyle="1" w:styleId="84">
    <w:name w:val="正文文本缩进_1"/>
    <w:basedOn w:val="85"/>
    <w:autoRedefine/>
    <w:qFormat/>
    <w:uiPriority w:val="0"/>
    <w:pPr>
      <w:spacing w:line="500" w:lineRule="exact"/>
      <w:ind w:left="1588" w:leftChars="832" w:firstLine="433" w:firstLineChars="196"/>
    </w:pPr>
    <w:rPr>
      <w:kern w:val="0"/>
      <w:sz w:val="24"/>
    </w:rPr>
  </w:style>
  <w:style w:type="paragraph" w:customStyle="1" w:styleId="85">
    <w:name w:val="正文_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正文文本缩进_2"/>
    <w:basedOn w:val="87"/>
    <w:autoRedefine/>
    <w:qFormat/>
    <w:uiPriority w:val="0"/>
    <w:pPr>
      <w:spacing w:line="500" w:lineRule="exact"/>
      <w:ind w:left="1588" w:leftChars="832" w:firstLine="433" w:firstLineChars="196"/>
    </w:pPr>
    <w:rPr>
      <w:kern w:val="0"/>
      <w:sz w:val="24"/>
    </w:rPr>
  </w:style>
  <w:style w:type="paragraph" w:customStyle="1" w:styleId="87">
    <w:name w:val="正文_8"/>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Normal_11"/>
    <w:autoRedefine/>
    <w:qFormat/>
    <w:uiPriority w:val="0"/>
    <w:rPr>
      <w:rFonts w:ascii="黑体" w:hAnsi="黑体" w:eastAsia="黑体" w:cs="Times New Roman"/>
      <w:b/>
      <w:sz w:val="32"/>
      <w:szCs w:val="24"/>
      <w:lang w:bidi="ar-SA"/>
    </w:rPr>
  </w:style>
  <w:style w:type="paragraph" w:customStyle="1" w:styleId="89">
    <w:name w:val="正文文本_1"/>
    <w:basedOn w:val="90"/>
    <w:autoRedefine/>
    <w:qFormat/>
    <w:uiPriority w:val="0"/>
    <w:pPr>
      <w:spacing w:after="120"/>
    </w:pPr>
    <w:rPr>
      <w:kern w:val="0"/>
      <w:sz w:val="20"/>
    </w:rPr>
  </w:style>
  <w:style w:type="paragraph" w:customStyle="1" w:styleId="9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1">
    <w:name w:val="纯文本1"/>
    <w:basedOn w:val="1"/>
    <w:autoRedefine/>
    <w:qFormat/>
    <w:uiPriority w:val="0"/>
    <w:rPr>
      <w:rFonts w:ascii="宋体" w:hAnsi="Courier New" w:eastAsia="宋体" w:cs="Times New Roman"/>
      <w:szCs w:val="22"/>
    </w:rPr>
  </w:style>
  <w:style w:type="character" w:customStyle="1" w:styleId="92">
    <w:name w:val="font61"/>
    <w:basedOn w:val="34"/>
    <w:autoRedefine/>
    <w:qFormat/>
    <w:uiPriority w:val="0"/>
    <w:rPr>
      <w:rFonts w:hint="eastAsia" w:ascii="仿宋" w:hAnsi="仿宋" w:eastAsia="仿宋" w:cs="仿宋"/>
      <w:color w:val="000000"/>
      <w:sz w:val="16"/>
      <w:szCs w:val="16"/>
      <w:u w:val="none"/>
    </w:rPr>
  </w:style>
  <w:style w:type="paragraph" w:customStyle="1" w:styleId="93">
    <w:name w:val="纯文本_0_0"/>
    <w:basedOn w:val="83"/>
    <w:autoRedefine/>
    <w:qFormat/>
    <w:uiPriority w:val="0"/>
    <w:rPr>
      <w:rFonts w:ascii="宋体" w:hAnsi="Courier New"/>
      <w:szCs w:val="21"/>
    </w:rPr>
  </w:style>
  <w:style w:type="paragraph" w:customStyle="1" w:styleId="94">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95">
    <w:name w:val="zhang"/>
    <w:basedOn w:val="1"/>
    <w:autoRedefine/>
    <w:qFormat/>
    <w:uiPriority w:val="0"/>
    <w:pPr>
      <w:spacing w:before="100" w:beforeLines="0" w:beforeAutospacing="1" w:after="100" w:afterLines="0" w:afterAutospacing="1"/>
    </w:pPr>
    <w:rPr>
      <w:b/>
      <w:bCs/>
      <w:smallCaps/>
      <w:color w:val="000000"/>
      <w:sz w:val="20"/>
      <w:szCs w:val="20"/>
    </w:rPr>
  </w:style>
  <w:style w:type="paragraph" w:customStyle="1" w:styleId="96">
    <w:name w:val="p0"/>
    <w:basedOn w:val="1"/>
    <w:autoRedefine/>
    <w:qFormat/>
    <w:uiPriority w:val="0"/>
    <w:pPr>
      <w:jc w:val="both"/>
    </w:pPr>
    <w:rPr>
      <w:rFonts w:ascii="Times New Roman" w:hAnsi="Times New Roman" w:cs="Times New Roman"/>
      <w:sz w:val="21"/>
      <w:szCs w:val="21"/>
    </w:rPr>
  </w:style>
  <w:style w:type="character" w:customStyle="1" w:styleId="97">
    <w:name w:val="15"/>
    <w:autoRedefine/>
    <w:qFormat/>
    <w:uiPriority w:val="0"/>
    <w:rPr>
      <w:rFonts w:hint="default" w:ascii="Times New Roman" w:hAnsi="Times New Roman" w:cs="Times New Roman"/>
      <w:color w:val="464445"/>
      <w:u w:val="none"/>
    </w:rPr>
  </w:style>
  <w:style w:type="paragraph" w:customStyle="1" w:styleId="98">
    <w:name w:val="Table Text"/>
    <w:basedOn w:val="1"/>
    <w:semiHidden/>
    <w:qFormat/>
    <w:uiPriority w:val="0"/>
    <w:rPr>
      <w:rFonts w:ascii="仿宋" w:hAnsi="仿宋" w:eastAsia="仿宋" w:cs="仿宋"/>
      <w:sz w:val="24"/>
      <w:szCs w:val="24"/>
      <w:lang w:val="en-US" w:eastAsia="en-US" w:bidi="ar-SA"/>
    </w:rPr>
  </w:style>
  <w:style w:type="table" w:customStyle="1" w:styleId="9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18222</Words>
  <Characters>19406</Characters>
  <Lines>189</Lines>
  <Paragraphs>53</Paragraphs>
  <TotalTime>33</TotalTime>
  <ScaleCrop>false</ScaleCrop>
  <LinksUpToDate>false</LinksUpToDate>
  <CharactersWithSpaces>22097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珍贞</cp:lastModifiedBy>
  <cp:lastPrinted>2024-05-21T03:46:00Z</cp:lastPrinted>
  <dcterms:modified xsi:type="dcterms:W3CDTF">2025-07-10T04:46:42Z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D220093CC74347E2A6C2ED949C0630C5_13</vt:lpwstr>
  </property>
  <property fmtid="{D5CDD505-2E9C-101B-9397-08002B2CF9AE}" pid="4" name="KSOTemplateDocerSaveRecord">
    <vt:lpwstr>eyJoZGlkIjoiNWExNGRjYmZmZjVmMDIxODc1ZTI3YTBkNWE2M2E3NTAiLCJ1c2VySWQiOiI0NjI1MDI5MzMifQ==</vt:lpwstr>
  </property>
</Properties>
</file>