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335EA">
      <w:pPr>
        <w:adjustRightInd w:val="0"/>
        <w:snapToGrid w:val="0"/>
        <w:jc w:val="center"/>
        <w:rPr>
          <w:rFonts w:hint="eastAsia" w:ascii="宋体" w:hAnsi="宋体" w:eastAsia="宋体" w:cs="宋体"/>
          <w:b/>
          <w:bCs/>
          <w:sz w:val="44"/>
          <w:szCs w:val="44"/>
          <w:lang w:val="en-US" w:eastAsia="zh-CN"/>
        </w:rPr>
      </w:pPr>
    </w:p>
    <w:p w14:paraId="576AE563">
      <w:pPr>
        <w:pStyle w:val="14"/>
        <w:jc w:val="center"/>
        <w:rPr>
          <w:rFonts w:hint="default"/>
          <w:sz w:val="48"/>
          <w:szCs w:val="48"/>
          <w:lang w:val="en-US" w:eastAsia="zh-CN"/>
        </w:rPr>
      </w:pPr>
      <w:r>
        <w:rPr>
          <w:rFonts w:hint="default"/>
          <w:b/>
          <w:bCs/>
          <w:sz w:val="48"/>
          <w:szCs w:val="48"/>
          <w:lang w:val="en-US" w:eastAsia="zh-CN"/>
        </w:rPr>
        <w:t>柯坪县2025年中央对地方成品油税费改革转移支付用于农村公路养护项目</w:t>
      </w:r>
    </w:p>
    <w:p w14:paraId="6C3EBCD4">
      <w:pPr>
        <w:pStyle w:val="2"/>
        <w:rPr>
          <w:rFonts w:hint="eastAsia" w:ascii="宋体" w:hAnsi="宋体" w:cs="宋体"/>
          <w:color w:val="333333"/>
          <w:sz w:val="48"/>
          <w:szCs w:val="48"/>
          <w:shd w:val="clear" w:color="auto" w:fill="FFFFFF"/>
          <w:lang w:val="en-US" w:eastAsia="zh-CN"/>
        </w:rPr>
      </w:pPr>
    </w:p>
    <w:p w14:paraId="550DDDB7">
      <w:pPr>
        <w:rPr>
          <w:rFonts w:hint="eastAsia" w:ascii="宋体" w:hAnsi="宋体" w:cs="宋体"/>
          <w:color w:val="333333"/>
          <w:sz w:val="48"/>
          <w:szCs w:val="48"/>
          <w:shd w:val="clear" w:color="auto" w:fill="FFFFFF"/>
          <w:lang w:val="en-US" w:eastAsia="zh-CN"/>
        </w:rPr>
      </w:pPr>
    </w:p>
    <w:p w14:paraId="1B052F25">
      <w:pPr>
        <w:pStyle w:val="2"/>
        <w:rPr>
          <w:rFonts w:hint="default"/>
          <w:sz w:val="48"/>
          <w:szCs w:val="48"/>
          <w:lang w:val="en-US"/>
        </w:rPr>
      </w:pPr>
    </w:p>
    <w:p w14:paraId="6CCCE741">
      <w:pPr>
        <w:jc w:val="center"/>
        <w:outlineLvl w:val="0"/>
        <w:rPr>
          <w:rFonts w:hint="eastAsia" w:ascii="宋体" w:hAnsi="宋体"/>
          <w:b/>
          <w:color w:val="auto"/>
          <w:sz w:val="48"/>
          <w:szCs w:val="48"/>
          <w:lang w:eastAsia="zh-CN"/>
        </w:rPr>
      </w:pPr>
      <w:bookmarkStart w:id="0" w:name="_Toc3204"/>
    </w:p>
    <w:p w14:paraId="544F47AE">
      <w:pPr>
        <w:jc w:val="center"/>
        <w:outlineLvl w:val="0"/>
        <w:rPr>
          <w:rFonts w:hint="eastAsia" w:ascii="宋体" w:hAnsi="宋体"/>
          <w:b/>
          <w:color w:val="auto"/>
          <w:sz w:val="48"/>
          <w:szCs w:val="48"/>
        </w:rPr>
      </w:pPr>
      <w:r>
        <w:rPr>
          <w:rFonts w:hint="eastAsia" w:ascii="宋体" w:hAnsi="宋体"/>
          <w:b/>
          <w:color w:val="auto"/>
          <w:sz w:val="48"/>
          <w:szCs w:val="48"/>
          <w:lang w:eastAsia="zh-CN"/>
        </w:rPr>
        <w:t>竞争性磋商</w:t>
      </w:r>
      <w:r>
        <w:rPr>
          <w:rFonts w:hint="eastAsia" w:ascii="宋体" w:hAnsi="宋体"/>
          <w:b/>
          <w:color w:val="auto"/>
          <w:sz w:val="48"/>
          <w:szCs w:val="48"/>
        </w:rPr>
        <w:t>文</w:t>
      </w:r>
      <w:bookmarkEnd w:id="0"/>
      <w:bookmarkStart w:id="1" w:name="_Toc30171"/>
      <w:bookmarkStart w:id="2" w:name="_Toc30123"/>
      <w:r>
        <w:rPr>
          <w:rFonts w:hint="eastAsia" w:ascii="宋体" w:hAnsi="宋体"/>
          <w:b/>
          <w:color w:val="auto"/>
          <w:sz w:val="48"/>
          <w:szCs w:val="48"/>
        </w:rPr>
        <w:t>件</w:t>
      </w:r>
      <w:bookmarkEnd w:id="1"/>
      <w:bookmarkEnd w:id="2"/>
    </w:p>
    <w:p w14:paraId="28B579B7">
      <w:pPr>
        <w:rPr>
          <w:rFonts w:hint="eastAsia" w:ascii="宋体" w:hAnsi="宋体"/>
          <w:b/>
          <w:color w:val="auto"/>
          <w:sz w:val="48"/>
          <w:szCs w:val="48"/>
        </w:rPr>
      </w:pPr>
    </w:p>
    <w:p w14:paraId="332AEB8D">
      <w:pPr>
        <w:pStyle w:val="18"/>
      </w:pPr>
    </w:p>
    <w:p w14:paraId="718D72C4">
      <w:pPr>
        <w:spacing w:line="500" w:lineRule="exact"/>
        <w:contextualSpacing/>
        <w:rPr>
          <w:rFonts w:ascii="宋体" w:hAnsi="宋体" w:cs="宋体"/>
          <w:b/>
          <w:color w:val="000000" w:themeColor="text1"/>
          <w:sz w:val="24"/>
          <w:szCs w:val="24"/>
          <w14:textFill>
            <w14:solidFill>
              <w14:schemeClr w14:val="tx1"/>
            </w14:solidFill>
          </w14:textFill>
        </w:rPr>
      </w:pPr>
    </w:p>
    <w:p w14:paraId="774A4972">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0"/>
        <w:rPr>
          <w:rFonts w:hint="eastAsia" w:ascii="宋体" w:hAnsi="宋体" w:eastAsia="宋体" w:cs="宋体"/>
          <w:b/>
          <w:sz w:val="32"/>
          <w:szCs w:val="32"/>
          <w:lang w:eastAsia="zh-CN"/>
        </w:rPr>
      </w:pPr>
      <w:bookmarkStart w:id="3" w:name="_Toc20145"/>
    </w:p>
    <w:p w14:paraId="240F0DD9">
      <w:pPr>
        <w:pStyle w:val="14"/>
        <w:rPr>
          <w:rFonts w:hint="eastAsia"/>
          <w:lang w:eastAsia="zh-CN"/>
        </w:rPr>
      </w:pPr>
    </w:p>
    <w:p w14:paraId="490F9FFE">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0"/>
        <w:rPr>
          <w:rFonts w:hint="eastAsia" w:ascii="宋体" w:hAnsi="宋体" w:eastAsia="宋体" w:cs="宋体"/>
          <w:b/>
          <w:sz w:val="36"/>
          <w:szCs w:val="36"/>
          <w:lang w:val="en-US" w:eastAsia="zh-CN"/>
        </w:rPr>
      </w:pPr>
      <w:r>
        <w:rPr>
          <w:rFonts w:hint="eastAsia" w:ascii="宋体" w:hAnsi="宋体" w:eastAsia="宋体" w:cs="宋体"/>
          <w:b/>
          <w:sz w:val="36"/>
          <w:szCs w:val="36"/>
          <w:lang w:eastAsia="zh-CN"/>
        </w:rPr>
        <w:t>采购</w:t>
      </w:r>
      <w:r>
        <w:rPr>
          <w:rFonts w:hint="eastAsia" w:ascii="宋体" w:hAnsi="宋体" w:eastAsia="宋体" w:cs="宋体"/>
          <w:b/>
          <w:sz w:val="36"/>
          <w:szCs w:val="36"/>
        </w:rPr>
        <w:t>人</w:t>
      </w:r>
      <w:r>
        <w:rPr>
          <w:rFonts w:hint="eastAsia" w:ascii="宋体" w:hAnsi="宋体" w:eastAsia="宋体" w:cs="宋体"/>
          <w:b/>
          <w:sz w:val="36"/>
          <w:szCs w:val="36"/>
          <w:lang w:eastAsia="zh-CN"/>
        </w:rPr>
        <w:t>：</w:t>
      </w:r>
      <w:r>
        <w:rPr>
          <w:rFonts w:hint="eastAsia" w:ascii="宋体" w:hAnsi="宋体" w:eastAsia="宋体" w:cs="宋体"/>
          <w:b/>
          <w:sz w:val="36"/>
          <w:szCs w:val="36"/>
          <w:lang w:val="en-US" w:eastAsia="zh-CN"/>
        </w:rPr>
        <w:t>柯坪县住建交通运输局</w:t>
      </w:r>
      <w:bookmarkEnd w:id="3"/>
    </w:p>
    <w:p w14:paraId="1DA39EEE">
      <w:pPr>
        <w:spacing w:line="240" w:lineRule="auto"/>
        <w:ind w:firstLine="0" w:firstLineChars="0"/>
        <w:jc w:val="left"/>
        <w:outlineLvl w:val="0"/>
        <w:rPr>
          <w:rFonts w:hint="default" w:ascii="宋体" w:hAnsi="宋体" w:eastAsia="宋体" w:cs="宋体"/>
          <w:b/>
          <w:color w:val="auto"/>
          <w:sz w:val="36"/>
          <w:szCs w:val="36"/>
          <w:lang w:val="en-US" w:eastAsia="zh-CN"/>
        </w:rPr>
      </w:pPr>
      <w:bookmarkStart w:id="4" w:name="_Toc8714"/>
      <w:r>
        <w:rPr>
          <w:rFonts w:hint="eastAsia" w:ascii="宋体" w:hAnsi="宋体" w:eastAsia="宋体" w:cs="宋体"/>
          <w:b/>
          <w:color w:val="auto"/>
          <w:sz w:val="36"/>
          <w:szCs w:val="36"/>
          <w:lang w:eastAsia="zh-CN"/>
        </w:rPr>
        <w:t>项目编号：</w:t>
      </w:r>
      <w:bookmarkEnd w:id="4"/>
      <w:r>
        <w:rPr>
          <w:rFonts w:hint="eastAsia" w:ascii="宋体" w:hAnsi="宋体" w:cs="宋体"/>
          <w:b/>
          <w:bCs w:val="0"/>
          <w:color w:val="auto"/>
          <w:sz w:val="36"/>
          <w:szCs w:val="36"/>
          <w:lang w:eastAsia="zh-CN"/>
        </w:rPr>
        <w:t>分</w:t>
      </w:r>
      <w:r>
        <w:rPr>
          <w:rFonts w:hint="eastAsia" w:ascii="宋体" w:hAnsi="宋体" w:cs="宋体"/>
          <w:b/>
          <w:bCs w:val="0"/>
          <w:color w:val="auto"/>
          <w:sz w:val="36"/>
          <w:szCs w:val="36"/>
          <w:lang w:val="en-US" w:eastAsia="zh-CN"/>
        </w:rPr>
        <w:t>KPXZCY</w:t>
      </w:r>
      <w:r>
        <w:rPr>
          <w:rFonts w:hint="eastAsia" w:ascii="宋体" w:hAnsi="宋体" w:cs="宋体"/>
          <w:b/>
          <w:bCs w:val="0"/>
          <w:color w:val="auto"/>
          <w:sz w:val="36"/>
          <w:szCs w:val="36"/>
          <w:lang w:eastAsia="zh-CN"/>
        </w:rPr>
        <w:t>202</w:t>
      </w:r>
      <w:r>
        <w:rPr>
          <w:rFonts w:hint="eastAsia" w:ascii="宋体" w:hAnsi="宋体" w:cs="宋体"/>
          <w:b/>
          <w:bCs w:val="0"/>
          <w:color w:val="auto"/>
          <w:sz w:val="36"/>
          <w:szCs w:val="36"/>
          <w:lang w:val="en-US" w:eastAsia="zh-CN"/>
        </w:rPr>
        <w:t>5</w:t>
      </w:r>
      <w:r>
        <w:rPr>
          <w:rFonts w:hint="eastAsia" w:ascii="宋体" w:hAnsi="宋体" w:cs="宋体"/>
          <w:b/>
          <w:bCs w:val="0"/>
          <w:color w:val="auto"/>
          <w:sz w:val="36"/>
          <w:szCs w:val="36"/>
          <w:lang w:eastAsia="zh-CN"/>
        </w:rPr>
        <w:t>-00</w:t>
      </w:r>
      <w:r>
        <w:rPr>
          <w:rFonts w:hint="eastAsia" w:ascii="宋体" w:hAnsi="宋体" w:cs="宋体"/>
          <w:b/>
          <w:bCs w:val="0"/>
          <w:color w:val="auto"/>
          <w:sz w:val="36"/>
          <w:szCs w:val="36"/>
          <w:lang w:val="en-US" w:eastAsia="zh-CN"/>
        </w:rPr>
        <w:t>49</w:t>
      </w:r>
    </w:p>
    <w:p w14:paraId="65C96032">
      <w:pPr>
        <w:spacing w:line="240" w:lineRule="auto"/>
        <w:ind w:firstLine="0" w:firstLineChars="0"/>
        <w:jc w:val="left"/>
        <w:outlineLvl w:val="0"/>
        <w:rPr>
          <w:rFonts w:hint="eastAsia" w:ascii="宋体" w:hAnsi="宋体" w:eastAsia="宋体" w:cs="宋体"/>
          <w:sz w:val="36"/>
          <w:szCs w:val="36"/>
        </w:rPr>
      </w:pPr>
      <w:bookmarkStart w:id="5" w:name="_Toc31007"/>
      <w:r>
        <w:rPr>
          <w:rFonts w:hint="eastAsia" w:ascii="宋体" w:hAnsi="宋体" w:eastAsia="宋体" w:cs="宋体"/>
          <w:b/>
          <w:sz w:val="36"/>
          <w:szCs w:val="36"/>
          <w:lang w:eastAsia="zh-CN"/>
        </w:rPr>
        <w:t>采购代理机构：新疆佰隆工程项目管理有限公司</w:t>
      </w:r>
      <w:bookmarkEnd w:id="5"/>
    </w:p>
    <w:p w14:paraId="23ECC6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sz w:val="36"/>
          <w:szCs w:val="36"/>
        </w:rPr>
      </w:pPr>
    </w:p>
    <w:p w14:paraId="46E20541">
      <w:pPr>
        <w:ind w:firstLine="361" w:firstLineChars="100"/>
        <w:jc w:val="center"/>
        <w:rPr>
          <w:rFonts w:hint="eastAsia" w:ascii="宋体" w:hAnsi="宋体" w:eastAsia="宋体" w:cs="宋体"/>
          <w:sz w:val="36"/>
          <w:szCs w:val="36"/>
        </w:rPr>
      </w:pPr>
      <w:r>
        <w:rPr>
          <w:rFonts w:hint="eastAsia" w:ascii="宋体" w:hAnsi="宋体" w:eastAsia="宋体" w:cs="宋体"/>
          <w:b/>
          <w:sz w:val="36"/>
          <w:szCs w:val="36"/>
        </w:rPr>
        <w:t>二Ｏ</w:t>
      </w:r>
      <w:r>
        <w:rPr>
          <w:rFonts w:hint="eastAsia" w:ascii="宋体" w:hAnsi="宋体" w:eastAsia="宋体" w:cs="宋体"/>
          <w:b/>
          <w:sz w:val="36"/>
          <w:szCs w:val="36"/>
          <w:lang w:eastAsia="zh-CN"/>
        </w:rPr>
        <w:t>二</w:t>
      </w:r>
      <w:r>
        <w:rPr>
          <w:rFonts w:hint="eastAsia" w:ascii="宋体" w:hAnsi="宋体" w:cs="宋体"/>
          <w:b/>
          <w:sz w:val="36"/>
          <w:szCs w:val="36"/>
          <w:lang w:eastAsia="zh-CN"/>
        </w:rPr>
        <w:t>五</w:t>
      </w:r>
      <w:r>
        <w:rPr>
          <w:rFonts w:hint="eastAsia" w:ascii="宋体" w:hAnsi="宋体" w:eastAsia="宋体" w:cs="宋体"/>
          <w:b/>
          <w:sz w:val="36"/>
          <w:szCs w:val="36"/>
        </w:rPr>
        <w:t>年</w:t>
      </w:r>
      <w:r>
        <w:rPr>
          <w:rFonts w:hint="eastAsia" w:ascii="宋体" w:hAnsi="宋体" w:cs="宋体"/>
          <w:b/>
          <w:sz w:val="36"/>
          <w:szCs w:val="36"/>
          <w:lang w:val="en-US" w:eastAsia="zh-CN"/>
        </w:rPr>
        <w:t>六</w:t>
      </w:r>
      <w:r>
        <w:rPr>
          <w:rFonts w:hint="eastAsia" w:ascii="宋体" w:hAnsi="宋体" w:eastAsia="宋体" w:cs="宋体"/>
          <w:b/>
          <w:sz w:val="36"/>
          <w:szCs w:val="36"/>
          <w:lang w:val="en-US" w:eastAsia="zh-CN"/>
        </w:rPr>
        <w:t>月</w:t>
      </w:r>
    </w:p>
    <w:p w14:paraId="6E4357C3">
      <w:pPr>
        <w:pStyle w:val="2"/>
      </w:pPr>
    </w:p>
    <w:p w14:paraId="50333CAC">
      <w:pPr>
        <w:jc w:val="center"/>
        <w:rPr>
          <w:rFonts w:hint="eastAsia" w:ascii="宋体" w:hAnsi="宋体" w:eastAsia="宋体" w:cs="宋体"/>
          <w:b/>
          <w:bCs/>
          <w:color w:val="000000"/>
          <w:kern w:val="0"/>
          <w:sz w:val="28"/>
          <w:szCs w:val="28"/>
          <w:lang w:val="en-US" w:eastAsia="zh-CN"/>
        </w:rPr>
        <w:sectPr>
          <w:pgSz w:w="11906" w:h="16838"/>
          <w:pgMar w:top="1440" w:right="1800" w:bottom="1440" w:left="1800" w:header="851" w:footer="992" w:gutter="0"/>
          <w:cols w:space="425" w:num="1"/>
          <w:docGrid w:type="lines" w:linePitch="312" w:charSpace="0"/>
        </w:sectPr>
      </w:pPr>
    </w:p>
    <w:p w14:paraId="32644B2D">
      <w:pPr>
        <w:jc w:val="center"/>
        <w:outlineLvl w:val="0"/>
        <w:rPr>
          <w:rFonts w:hint="eastAsia" w:ascii="宋体" w:hAnsi="宋体" w:eastAsia="宋体" w:cs="宋体"/>
          <w:b/>
          <w:bCs/>
          <w:color w:val="000000"/>
          <w:kern w:val="0"/>
          <w:sz w:val="28"/>
          <w:szCs w:val="28"/>
        </w:rPr>
      </w:pPr>
      <w:bookmarkStart w:id="6" w:name="_Toc5239"/>
      <w:r>
        <w:rPr>
          <w:rFonts w:hint="eastAsia" w:ascii="宋体" w:hAnsi="宋体" w:eastAsia="宋体" w:cs="宋体"/>
          <w:b/>
          <w:bCs/>
          <w:color w:val="000000"/>
          <w:kern w:val="0"/>
          <w:sz w:val="28"/>
          <w:szCs w:val="28"/>
          <w:lang w:val="en-US" w:eastAsia="zh-CN"/>
        </w:rPr>
        <w:t>竞争性磋商</w:t>
      </w:r>
      <w:r>
        <w:rPr>
          <w:rFonts w:hint="eastAsia" w:ascii="宋体" w:hAnsi="宋体" w:eastAsia="宋体" w:cs="宋体"/>
          <w:b/>
          <w:bCs/>
          <w:color w:val="000000"/>
          <w:kern w:val="0"/>
          <w:sz w:val="28"/>
          <w:szCs w:val="28"/>
        </w:rPr>
        <w:t>文件</w:t>
      </w:r>
      <w:bookmarkEnd w:id="6"/>
    </w:p>
    <w:p w14:paraId="2C604E19">
      <w:pPr>
        <w:spacing w:line="600" w:lineRule="exact"/>
        <w:jc w:val="left"/>
        <w:rPr>
          <w:rFonts w:hint="eastAsia" w:ascii="宋体" w:hAnsi="宋体" w:eastAsia="宋体" w:cs="宋体"/>
          <w:b/>
          <w:color w:val="auto"/>
          <w:sz w:val="28"/>
          <w:szCs w:val="28"/>
        </w:rPr>
      </w:pPr>
    </w:p>
    <w:p w14:paraId="338E8511">
      <w:pPr>
        <w:spacing w:line="600" w:lineRule="exact"/>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项目名称：柯坪县</w:t>
      </w:r>
      <w:r>
        <w:rPr>
          <w:rFonts w:hint="eastAsia" w:ascii="宋体" w:hAnsi="宋体" w:eastAsia="宋体" w:cs="宋体"/>
          <w:color w:val="auto"/>
          <w:sz w:val="32"/>
          <w:szCs w:val="32"/>
          <w:highlight w:val="none"/>
          <w:lang w:val="en-US" w:eastAsia="zh-CN"/>
        </w:rPr>
        <w:t>2025年中央对地方成品油税费改革转移支付用于农村公路养护项目</w:t>
      </w:r>
    </w:p>
    <w:p w14:paraId="1D2B6A0A">
      <w:pPr>
        <w:spacing w:line="6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采购人（公章）：</w:t>
      </w:r>
      <w:r>
        <w:rPr>
          <w:rFonts w:hint="eastAsia" w:ascii="宋体" w:hAnsi="宋体" w:eastAsia="宋体" w:cs="宋体"/>
          <w:color w:val="auto"/>
          <w:sz w:val="32"/>
          <w:szCs w:val="32"/>
          <w:highlight w:val="none"/>
          <w:lang w:val="en-US" w:eastAsia="zh-CN"/>
        </w:rPr>
        <w:t>柯坪县住建交通运输局</w:t>
      </w:r>
    </w:p>
    <w:p w14:paraId="12675C1D">
      <w:pPr>
        <w:spacing w:line="600" w:lineRule="exact"/>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法定代表人（签字或盖章）：</w:t>
      </w:r>
    </w:p>
    <w:p w14:paraId="449D73B2">
      <w:pPr>
        <w:spacing w:line="600" w:lineRule="exact"/>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联系人：</w:t>
      </w:r>
      <w:r>
        <w:rPr>
          <w:rFonts w:hint="eastAsia" w:ascii="宋体" w:hAnsi="宋体" w:cs="宋体"/>
          <w:color w:val="auto"/>
          <w:sz w:val="32"/>
          <w:szCs w:val="32"/>
          <w:highlight w:val="none"/>
          <w:lang w:eastAsia="zh-CN"/>
        </w:rPr>
        <w:t>巴吐尔</w:t>
      </w: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阿布都热合曼</w:t>
      </w:r>
      <w:r>
        <w:rPr>
          <w:rFonts w:hint="eastAsia" w:ascii="宋体" w:hAnsi="宋体" w:eastAsia="宋体" w:cs="宋体"/>
          <w:color w:val="auto"/>
          <w:sz w:val="32"/>
          <w:szCs w:val="32"/>
          <w:highlight w:val="none"/>
          <w:lang w:eastAsia="zh-CN"/>
        </w:rPr>
        <w:t xml:space="preserve">   </w:t>
      </w:r>
    </w:p>
    <w:p w14:paraId="1C01A201">
      <w:pPr>
        <w:spacing w:line="600" w:lineRule="exact"/>
        <w:jc w:val="left"/>
        <w:rPr>
          <w:rFonts w:hint="eastAsia" w:ascii="宋体" w:hAnsi="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联系方式：</w:t>
      </w:r>
      <w:r>
        <w:rPr>
          <w:rFonts w:hint="eastAsia" w:ascii="宋体" w:hAnsi="宋体" w:cs="宋体"/>
          <w:color w:val="auto"/>
          <w:sz w:val="32"/>
          <w:szCs w:val="32"/>
          <w:highlight w:val="none"/>
          <w:lang w:val="en-US" w:eastAsia="zh-CN"/>
        </w:rPr>
        <w:t>19390572197</w:t>
      </w:r>
    </w:p>
    <w:p w14:paraId="1FB4C36A">
      <w:pPr>
        <w:spacing w:line="600" w:lineRule="exact"/>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地    址：</w:t>
      </w:r>
      <w:r>
        <w:rPr>
          <w:rFonts w:hint="eastAsia" w:ascii="宋体" w:hAnsi="宋体" w:eastAsia="宋体" w:cs="宋体"/>
          <w:i w:val="0"/>
          <w:iCs w:val="0"/>
          <w:caps w:val="0"/>
          <w:color w:val="000000"/>
          <w:spacing w:val="0"/>
          <w:sz w:val="32"/>
          <w:szCs w:val="32"/>
          <w:u w:val="none"/>
          <w:shd w:val="clear" w:fill="FFFFFF"/>
        </w:rPr>
        <w:t>柯坪县解放路16号</w:t>
      </w:r>
    </w:p>
    <w:p w14:paraId="4F6559E4">
      <w:pPr>
        <w:spacing w:line="600" w:lineRule="exact"/>
        <w:ind w:left="2656" w:leftChars="337" w:hanging="1948" w:hangingChars="609"/>
        <w:jc w:val="left"/>
        <w:rPr>
          <w:rFonts w:hint="default" w:ascii="宋体" w:hAnsi="宋体" w:eastAsia="宋体" w:cs="宋体"/>
          <w:color w:val="auto"/>
          <w:sz w:val="32"/>
          <w:szCs w:val="32"/>
          <w:highlight w:val="none"/>
          <w:lang w:val="en-US" w:eastAsia="zh-CN"/>
        </w:rPr>
      </w:pPr>
    </w:p>
    <w:p w14:paraId="63E76485">
      <w:pPr>
        <w:rPr>
          <w:rFonts w:hint="eastAsia"/>
          <w:sz w:val="32"/>
          <w:szCs w:val="32"/>
        </w:rPr>
      </w:pPr>
    </w:p>
    <w:p w14:paraId="5F31DFB8">
      <w:pPr>
        <w:pStyle w:val="18"/>
        <w:rPr>
          <w:rFonts w:hint="eastAsia"/>
          <w:sz w:val="32"/>
          <w:szCs w:val="32"/>
        </w:rPr>
      </w:pPr>
    </w:p>
    <w:p w14:paraId="321099B2">
      <w:pPr>
        <w:pStyle w:val="18"/>
        <w:rPr>
          <w:rFonts w:hint="eastAsia"/>
          <w:sz w:val="32"/>
          <w:szCs w:val="32"/>
        </w:rPr>
      </w:pPr>
    </w:p>
    <w:p w14:paraId="13D36EEF">
      <w:pPr>
        <w:pStyle w:val="18"/>
        <w:rPr>
          <w:rFonts w:hint="eastAsia"/>
          <w:sz w:val="32"/>
          <w:szCs w:val="32"/>
        </w:rPr>
      </w:pPr>
    </w:p>
    <w:p w14:paraId="744E5A88">
      <w:pPr>
        <w:spacing w:line="6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采购代理机构（公章）：</w:t>
      </w:r>
      <w:r>
        <w:rPr>
          <w:rFonts w:hint="eastAsia" w:ascii="宋体" w:hAnsi="宋体" w:cs="宋体"/>
          <w:color w:val="auto"/>
          <w:sz w:val="32"/>
          <w:szCs w:val="32"/>
          <w:highlight w:val="none"/>
          <w:lang w:val="en-US" w:eastAsia="zh-CN"/>
        </w:rPr>
        <w:t>新疆佰隆工程项目管理有限公司</w:t>
      </w:r>
    </w:p>
    <w:p w14:paraId="42F67264">
      <w:pPr>
        <w:spacing w:line="6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法定代表人（签字或盖章）：</w:t>
      </w:r>
    </w:p>
    <w:p w14:paraId="321AB443">
      <w:pPr>
        <w:spacing w:line="6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联系人：</w:t>
      </w:r>
      <w:r>
        <w:rPr>
          <w:rFonts w:hint="eastAsia" w:ascii="宋体" w:hAnsi="宋体" w:cs="宋体"/>
          <w:color w:val="auto"/>
          <w:sz w:val="32"/>
          <w:szCs w:val="32"/>
          <w:highlight w:val="none"/>
          <w:lang w:val="en-US" w:eastAsia="zh-CN"/>
        </w:rPr>
        <w:t>辛艳</w:t>
      </w:r>
    </w:p>
    <w:p w14:paraId="6F4D5093">
      <w:pPr>
        <w:spacing w:line="600" w:lineRule="exact"/>
        <w:jc w:val="lef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联系电话：</w:t>
      </w:r>
      <w:r>
        <w:rPr>
          <w:rFonts w:hint="eastAsia" w:ascii="宋体" w:hAnsi="宋体" w:cs="宋体"/>
          <w:color w:val="auto"/>
          <w:sz w:val="32"/>
          <w:szCs w:val="32"/>
          <w:highlight w:val="none"/>
          <w:lang w:val="en-US" w:eastAsia="zh-CN"/>
        </w:rPr>
        <w:t>17699752110</w:t>
      </w:r>
    </w:p>
    <w:p w14:paraId="66564AAB">
      <w:pPr>
        <w:spacing w:line="600" w:lineRule="exact"/>
        <w:jc w:val="lef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联系地址：新疆阿克苏地区柯坪县柯坪镇幸福路11号双创大厦1号楼5层503室</w:t>
      </w:r>
    </w:p>
    <w:p w14:paraId="50470B99">
      <w:pPr>
        <w:jc w:val="left"/>
        <w:rPr>
          <w:rFonts w:hint="eastAsia" w:ascii="宋体" w:hAnsi="宋体" w:eastAsia="宋体" w:cs="宋体"/>
          <w:color w:val="auto"/>
          <w:sz w:val="32"/>
          <w:szCs w:val="32"/>
          <w:highlight w:val="none"/>
        </w:rPr>
      </w:pPr>
    </w:p>
    <w:p w14:paraId="02AB278A">
      <w:pPr>
        <w:jc w:val="center"/>
        <w:rPr>
          <w:rFonts w:hint="eastAsia" w:ascii="宋体" w:hAnsi="宋体" w:cs="宋体"/>
          <w:b w:val="0"/>
          <w:bCs/>
          <w:color w:val="auto"/>
          <w:sz w:val="32"/>
          <w:szCs w:val="32"/>
          <w:highlight w:val="none"/>
          <w:lang w:val="en-US" w:eastAsia="zh-CN"/>
        </w:rPr>
      </w:pPr>
    </w:p>
    <w:p w14:paraId="1357AACE">
      <w:pPr>
        <w:jc w:val="center"/>
        <w:rPr>
          <w:rFonts w:hint="eastAsia" w:ascii="宋体" w:hAnsi="宋体" w:eastAsia="宋体" w:cs="宋体"/>
          <w:sz w:val="28"/>
          <w:szCs w:val="28"/>
        </w:rPr>
      </w:pPr>
      <w:r>
        <w:rPr>
          <w:rFonts w:hint="eastAsia" w:ascii="宋体" w:hAnsi="宋体" w:cs="宋体"/>
          <w:b w:val="0"/>
          <w:bCs/>
          <w:color w:val="auto"/>
          <w:sz w:val="32"/>
          <w:szCs w:val="32"/>
          <w:highlight w:val="none"/>
          <w:lang w:val="en-US" w:eastAsia="zh-CN"/>
        </w:rPr>
        <w:t>2025</w:t>
      </w:r>
      <w:r>
        <w:rPr>
          <w:rFonts w:hint="eastAsia" w:ascii="宋体" w:hAnsi="宋体" w:eastAsia="宋体" w:cs="宋体"/>
          <w:b w:val="0"/>
          <w:bCs/>
          <w:color w:val="auto"/>
          <w:sz w:val="32"/>
          <w:szCs w:val="32"/>
          <w:highlight w:val="none"/>
        </w:rPr>
        <w:t>年</w:t>
      </w:r>
      <w:r>
        <w:rPr>
          <w:rFonts w:hint="eastAsia" w:ascii="宋体" w:hAnsi="宋体" w:cs="宋体"/>
          <w:b w:val="0"/>
          <w:bCs/>
          <w:color w:val="auto"/>
          <w:sz w:val="32"/>
          <w:szCs w:val="32"/>
          <w:highlight w:val="none"/>
          <w:lang w:val="en-US" w:eastAsia="zh-CN"/>
        </w:rPr>
        <w:t>06</w:t>
      </w:r>
      <w:r>
        <w:rPr>
          <w:rFonts w:hint="eastAsia" w:ascii="宋体" w:hAnsi="宋体" w:eastAsia="宋体" w:cs="宋体"/>
          <w:b w:val="0"/>
          <w:bCs/>
          <w:color w:val="auto"/>
          <w:sz w:val="32"/>
          <w:szCs w:val="32"/>
          <w:highlight w:val="none"/>
        </w:rPr>
        <w:t>月</w:t>
      </w:r>
    </w:p>
    <w:p w14:paraId="0C13922F">
      <w:pPr>
        <w:rPr>
          <w:rFonts w:hint="eastAsia" w:ascii="宋体" w:hAnsi="宋体" w:eastAsia="宋体" w:cs="宋体"/>
          <w:sz w:val="28"/>
          <w:szCs w:val="28"/>
        </w:rPr>
      </w:pPr>
    </w:p>
    <w:sdt>
      <w:sdtPr>
        <w:rPr>
          <w:rFonts w:ascii="宋体" w:hAnsi="宋体" w:eastAsia="宋体" w:cs="Times New Roman"/>
          <w:kern w:val="2"/>
          <w:sz w:val="21"/>
          <w:szCs w:val="24"/>
          <w:lang w:val="en-US" w:eastAsia="zh-CN" w:bidi="ar-SA"/>
        </w:rPr>
        <w:id w:val="147467918"/>
        <w15:color w:val="DBDBDB"/>
        <w:docPartObj>
          <w:docPartGallery w:val="Table of Contents"/>
          <w:docPartUnique/>
        </w:docPartObj>
      </w:sdtPr>
      <w:sdtEndPr>
        <w:rPr>
          <w:rFonts w:hint="eastAsia" w:ascii="宋体" w:hAnsi="宋体" w:eastAsia="宋体" w:cs="宋体"/>
          <w:spacing w:val="160"/>
          <w:kern w:val="2"/>
          <w:sz w:val="21"/>
          <w:szCs w:val="32"/>
          <w:highlight w:val="none"/>
          <w:lang w:val="en-US" w:eastAsia="zh-CN" w:bidi="ar-SA"/>
        </w:rPr>
      </w:sdtEndPr>
      <w:sdtContent>
        <w:p w14:paraId="5E957C77">
          <w:pPr>
            <w:spacing w:before="0" w:beforeLines="0" w:after="0" w:afterLines="0" w:line="360" w:lineRule="auto"/>
            <w:ind w:left="0" w:leftChars="0" w:right="0" w:rightChars="0" w:firstLine="0" w:firstLineChars="0"/>
            <w:jc w:val="center"/>
            <w:rPr>
              <w:rFonts w:hint="eastAsia" w:ascii="宋体" w:hAnsi="宋体" w:eastAsia="宋体" w:cs="宋体"/>
              <w:sz w:val="44"/>
              <w:szCs w:val="44"/>
            </w:rPr>
          </w:pPr>
          <w:r>
            <w:rPr>
              <w:rFonts w:hint="eastAsia" w:ascii="宋体" w:hAnsi="宋体" w:eastAsia="宋体" w:cs="宋体"/>
              <w:sz w:val="44"/>
              <w:szCs w:val="44"/>
            </w:rPr>
            <w:t>目</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录</w:t>
          </w:r>
        </w:p>
        <w:p w14:paraId="77372973">
          <w:pPr>
            <w:pStyle w:val="20"/>
            <w:tabs>
              <w:tab w:val="right" w:leader="dot" w:pos="8306"/>
            </w:tabs>
            <w:spacing w:line="360" w:lineRule="auto"/>
            <w:jc w:val="both"/>
            <w:rPr>
              <w:rFonts w:hint="eastAsia" w:ascii="宋体" w:hAnsi="宋体" w:eastAsia="宋体" w:cs="宋体"/>
              <w:sz w:val="32"/>
              <w:szCs w:val="32"/>
            </w:rPr>
          </w:pPr>
          <w:r>
            <w:rPr>
              <w:rFonts w:hint="eastAsia" w:ascii="宋体" w:hAnsi="宋体" w:eastAsia="宋体" w:cs="宋体"/>
              <w:b/>
              <w:spacing w:val="160"/>
              <w:sz w:val="32"/>
              <w:szCs w:val="32"/>
              <w:highlight w:val="none"/>
            </w:rPr>
            <w:fldChar w:fldCharType="begin"/>
          </w:r>
          <w:r>
            <w:rPr>
              <w:rFonts w:hint="eastAsia" w:ascii="宋体" w:hAnsi="宋体" w:eastAsia="宋体" w:cs="宋体"/>
              <w:b/>
              <w:spacing w:val="160"/>
              <w:sz w:val="32"/>
              <w:szCs w:val="32"/>
              <w:highlight w:val="none"/>
            </w:rPr>
            <w:instrText xml:space="preserve">TOC \o "1-1" \h \u </w:instrText>
          </w:r>
          <w:r>
            <w:rPr>
              <w:rFonts w:hint="eastAsia" w:ascii="宋体" w:hAnsi="宋体" w:eastAsia="宋体" w:cs="宋体"/>
              <w:b/>
              <w:spacing w:val="160"/>
              <w:sz w:val="32"/>
              <w:szCs w:val="32"/>
              <w:highlight w:val="none"/>
            </w:rPr>
            <w:fldChar w:fldCharType="separate"/>
          </w:r>
        </w:p>
        <w:p w14:paraId="34F60769">
          <w:pPr>
            <w:pStyle w:val="20"/>
            <w:tabs>
              <w:tab w:val="right" w:leader="dot" w:pos="8306"/>
            </w:tabs>
            <w:spacing w:line="360" w:lineRule="auto"/>
            <w:jc w:val="both"/>
            <w:rPr>
              <w:rFonts w:hint="eastAsia" w:ascii="宋体" w:hAnsi="宋体" w:eastAsia="宋体" w:cs="宋体"/>
              <w:spacing w:val="160"/>
              <w:sz w:val="32"/>
              <w:szCs w:val="32"/>
              <w:highlight w:val="none"/>
            </w:rPr>
          </w:pPr>
          <w:r>
            <w:rPr>
              <w:rFonts w:hint="eastAsia" w:ascii="宋体" w:hAnsi="宋体" w:eastAsia="宋体" w:cs="宋体"/>
              <w:spacing w:val="160"/>
              <w:sz w:val="32"/>
              <w:szCs w:val="32"/>
              <w:highlight w:val="none"/>
            </w:rPr>
            <w:fldChar w:fldCharType="begin"/>
          </w:r>
          <w:r>
            <w:rPr>
              <w:rFonts w:hint="eastAsia" w:ascii="宋体" w:hAnsi="宋体" w:eastAsia="宋体" w:cs="宋体"/>
              <w:spacing w:val="160"/>
              <w:sz w:val="32"/>
              <w:szCs w:val="32"/>
              <w:highlight w:val="none"/>
            </w:rPr>
            <w:instrText xml:space="preserve"> HYPERLINK \l _Toc8282 </w:instrText>
          </w:r>
          <w:r>
            <w:rPr>
              <w:rFonts w:hint="eastAsia" w:ascii="宋体" w:hAnsi="宋体" w:eastAsia="宋体" w:cs="宋体"/>
              <w:spacing w:val="160"/>
              <w:sz w:val="32"/>
              <w:szCs w:val="32"/>
              <w:highlight w:val="none"/>
            </w:rPr>
            <w:fldChar w:fldCharType="separate"/>
          </w:r>
          <w:r>
            <w:rPr>
              <w:rFonts w:hint="eastAsia" w:ascii="宋体" w:hAnsi="宋体" w:eastAsia="宋体" w:cs="宋体"/>
              <w:bCs/>
              <w:sz w:val="32"/>
              <w:szCs w:val="32"/>
              <w:highlight w:val="none"/>
            </w:rPr>
            <w:t xml:space="preserve">第一章 </w:t>
          </w:r>
          <w:r>
            <w:rPr>
              <w:rFonts w:hint="eastAsia" w:ascii="宋体" w:hAnsi="宋体" w:cs="宋体"/>
              <w:bCs/>
              <w:sz w:val="32"/>
              <w:szCs w:val="32"/>
              <w:highlight w:val="none"/>
              <w:lang w:val="en-US" w:eastAsia="zh-CN"/>
            </w:rPr>
            <w:t xml:space="preserve"> </w:t>
          </w:r>
          <w:r>
            <w:rPr>
              <w:rFonts w:hint="eastAsia" w:ascii="宋体" w:hAnsi="宋体" w:eastAsia="宋体" w:cs="宋体"/>
              <w:bCs/>
              <w:sz w:val="32"/>
              <w:szCs w:val="32"/>
              <w:highlight w:val="none"/>
              <w:lang w:val="en-US" w:eastAsia="zh-CN"/>
            </w:rPr>
            <w:t>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_Toc8282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pacing w:val="160"/>
              <w:sz w:val="32"/>
              <w:szCs w:val="32"/>
              <w:highlight w:val="none"/>
            </w:rPr>
            <w:fldChar w:fldCharType="end"/>
          </w:r>
        </w:p>
        <w:p w14:paraId="4D7AB0DA">
          <w:pPr>
            <w:pStyle w:val="20"/>
            <w:tabs>
              <w:tab w:val="right" w:leader="dot" w:pos="8306"/>
            </w:tabs>
            <w:spacing w:line="360" w:lineRule="auto"/>
            <w:jc w:val="both"/>
            <w:rPr>
              <w:rFonts w:hint="eastAsia" w:ascii="宋体" w:hAnsi="宋体" w:eastAsia="宋体" w:cs="宋体"/>
              <w:spacing w:val="160"/>
              <w:sz w:val="32"/>
              <w:szCs w:val="32"/>
              <w:highlight w:val="none"/>
              <w:lang w:val="en-US" w:eastAsia="zh-CN"/>
            </w:rPr>
          </w:pP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eastAsia="zh-CN"/>
            </w:rPr>
            <w:t>二</w:t>
          </w:r>
          <w:r>
            <w:rPr>
              <w:rFonts w:hint="eastAsia" w:ascii="宋体" w:hAnsi="宋体" w:eastAsia="宋体" w:cs="宋体"/>
              <w:bCs/>
              <w:sz w:val="32"/>
              <w:szCs w:val="32"/>
              <w:highlight w:val="none"/>
            </w:rPr>
            <w:t>章</w:t>
          </w:r>
          <w:r>
            <w:rPr>
              <w:rFonts w:hint="eastAsia" w:ascii="宋体" w:hAnsi="宋体" w:eastAsia="宋体" w:cs="宋体"/>
              <w:bCs/>
              <w:sz w:val="32"/>
              <w:szCs w:val="32"/>
              <w:highlight w:val="none"/>
              <w:lang w:val="en-US" w:eastAsia="zh-CN"/>
            </w:rPr>
            <w:t xml:space="preserve"> </w:t>
          </w:r>
          <w:r>
            <w:rPr>
              <w:rFonts w:hint="eastAsia" w:ascii="宋体" w:hAnsi="宋体" w:cs="宋体"/>
              <w:bCs/>
              <w:sz w:val="32"/>
              <w:szCs w:val="32"/>
              <w:highlight w:val="none"/>
              <w:lang w:val="en-US" w:eastAsia="zh-CN"/>
            </w:rPr>
            <w:t xml:space="preserve"> </w:t>
          </w:r>
          <w:r>
            <w:rPr>
              <w:rFonts w:hint="eastAsia" w:ascii="宋体" w:hAnsi="宋体" w:eastAsia="宋体" w:cs="宋体"/>
              <w:bCs/>
              <w:sz w:val="32"/>
              <w:szCs w:val="32"/>
              <w:highlight w:val="none"/>
              <w:lang w:val="en-US" w:eastAsia="zh-CN"/>
            </w:rPr>
            <w:t>磋商须知</w:t>
          </w:r>
          <w:r>
            <w:rPr>
              <w:rFonts w:hint="eastAsia" w:ascii="宋体" w:hAnsi="宋体" w:cs="宋体"/>
              <w:sz w:val="32"/>
              <w:szCs w:val="32"/>
              <w:lang w:val="en-US" w:eastAsia="zh-CN"/>
            </w:rPr>
            <w:t>.................................. 7</w:t>
          </w:r>
        </w:p>
        <w:p w14:paraId="7001AFB7">
          <w:pPr>
            <w:pStyle w:val="20"/>
            <w:tabs>
              <w:tab w:val="right" w:leader="dot" w:pos="8306"/>
            </w:tabs>
            <w:spacing w:line="360" w:lineRule="auto"/>
            <w:jc w:val="both"/>
            <w:rPr>
              <w:rFonts w:hint="eastAsia" w:ascii="宋体" w:hAnsi="宋体" w:eastAsia="宋体" w:cs="宋体"/>
              <w:sz w:val="32"/>
              <w:szCs w:val="32"/>
            </w:rPr>
          </w:pPr>
          <w:r>
            <w:rPr>
              <w:rFonts w:hint="eastAsia" w:ascii="宋体" w:hAnsi="宋体" w:eastAsia="宋体" w:cs="宋体"/>
              <w:spacing w:val="160"/>
              <w:sz w:val="32"/>
              <w:szCs w:val="32"/>
              <w:highlight w:val="none"/>
            </w:rPr>
            <w:fldChar w:fldCharType="begin"/>
          </w:r>
          <w:r>
            <w:rPr>
              <w:rFonts w:hint="eastAsia" w:ascii="宋体" w:hAnsi="宋体" w:eastAsia="宋体" w:cs="宋体"/>
              <w:spacing w:val="160"/>
              <w:sz w:val="32"/>
              <w:szCs w:val="32"/>
              <w:highlight w:val="none"/>
            </w:rPr>
            <w:instrText xml:space="preserve"> HYPERLINK \l _Toc18020 </w:instrText>
          </w:r>
          <w:r>
            <w:rPr>
              <w:rFonts w:hint="eastAsia" w:ascii="宋体" w:hAnsi="宋体" w:eastAsia="宋体" w:cs="宋体"/>
              <w:spacing w:val="160"/>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eastAsia="zh-CN"/>
            </w:rPr>
            <w:t>三</w:t>
          </w:r>
          <w:r>
            <w:rPr>
              <w:rFonts w:hint="eastAsia" w:ascii="宋体" w:hAnsi="宋体" w:eastAsia="宋体" w:cs="宋体"/>
              <w:bCs/>
              <w:sz w:val="32"/>
              <w:szCs w:val="32"/>
              <w:highlight w:val="none"/>
            </w:rPr>
            <w:t xml:space="preserve">章  </w:t>
          </w:r>
          <w:r>
            <w:rPr>
              <w:rFonts w:hint="eastAsia" w:ascii="宋体" w:hAnsi="宋体" w:eastAsia="宋体" w:cs="宋体"/>
              <w:bCs/>
              <w:sz w:val="32"/>
              <w:szCs w:val="32"/>
              <w:highlight w:val="none"/>
              <w:lang w:eastAsia="zh-CN"/>
            </w:rPr>
            <w:t>评审办法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_Toc18020 \h </w:instrText>
          </w:r>
          <w:r>
            <w:rPr>
              <w:rFonts w:hint="eastAsia" w:ascii="宋体" w:hAnsi="宋体" w:eastAsia="宋体" w:cs="宋体"/>
              <w:sz w:val="32"/>
              <w:szCs w:val="32"/>
            </w:rPr>
            <w:fldChar w:fldCharType="separate"/>
          </w:r>
          <w:r>
            <w:rPr>
              <w:rFonts w:hint="eastAsia" w:ascii="宋体" w:hAnsi="宋体" w:eastAsia="宋体" w:cs="宋体"/>
              <w:sz w:val="32"/>
              <w:szCs w:val="32"/>
            </w:rPr>
            <w:t>47</w:t>
          </w:r>
          <w:r>
            <w:rPr>
              <w:rFonts w:hint="eastAsia" w:ascii="宋体" w:hAnsi="宋体" w:eastAsia="宋体" w:cs="宋体"/>
              <w:sz w:val="32"/>
              <w:szCs w:val="32"/>
            </w:rPr>
            <w:fldChar w:fldCharType="end"/>
          </w:r>
          <w:r>
            <w:rPr>
              <w:rFonts w:hint="eastAsia" w:ascii="宋体" w:hAnsi="宋体" w:eastAsia="宋体" w:cs="宋体"/>
              <w:spacing w:val="160"/>
              <w:sz w:val="32"/>
              <w:szCs w:val="32"/>
              <w:highlight w:val="none"/>
            </w:rPr>
            <w:fldChar w:fldCharType="end"/>
          </w:r>
        </w:p>
        <w:p w14:paraId="191952D6">
          <w:pPr>
            <w:pStyle w:val="20"/>
            <w:tabs>
              <w:tab w:val="right" w:leader="dot" w:pos="8306"/>
            </w:tabs>
            <w:spacing w:line="360" w:lineRule="auto"/>
            <w:jc w:val="both"/>
            <w:rPr>
              <w:rFonts w:hint="eastAsia" w:ascii="宋体" w:hAnsi="宋体" w:eastAsia="宋体" w:cs="宋体"/>
              <w:sz w:val="32"/>
              <w:szCs w:val="32"/>
            </w:rPr>
          </w:pPr>
          <w:r>
            <w:rPr>
              <w:rFonts w:hint="eastAsia" w:ascii="宋体" w:hAnsi="宋体" w:eastAsia="宋体" w:cs="宋体"/>
              <w:spacing w:val="160"/>
              <w:sz w:val="32"/>
              <w:szCs w:val="32"/>
              <w:highlight w:val="none"/>
            </w:rPr>
            <w:fldChar w:fldCharType="begin"/>
          </w:r>
          <w:r>
            <w:rPr>
              <w:rFonts w:hint="eastAsia" w:ascii="宋体" w:hAnsi="宋体" w:eastAsia="宋体" w:cs="宋体"/>
              <w:spacing w:val="160"/>
              <w:sz w:val="32"/>
              <w:szCs w:val="32"/>
              <w:highlight w:val="none"/>
            </w:rPr>
            <w:instrText xml:space="preserve"> HYPERLINK \l _Toc6550 </w:instrText>
          </w:r>
          <w:r>
            <w:rPr>
              <w:rFonts w:hint="eastAsia" w:ascii="宋体" w:hAnsi="宋体" w:eastAsia="宋体" w:cs="宋体"/>
              <w:spacing w:val="160"/>
              <w:sz w:val="32"/>
              <w:szCs w:val="32"/>
              <w:highlight w:val="none"/>
            </w:rPr>
            <w:fldChar w:fldCharType="separate"/>
          </w:r>
          <w:r>
            <w:rPr>
              <w:rFonts w:hint="eastAsia" w:ascii="宋体" w:hAnsi="宋体" w:eastAsia="宋体" w:cs="宋体"/>
              <w:bCs/>
              <w:kern w:val="0"/>
              <w:sz w:val="32"/>
              <w:szCs w:val="32"/>
              <w:lang w:val="en-US" w:eastAsia="zh-CN" w:bidi="ar"/>
            </w:rPr>
            <w:t>第四章  合同格式（仅供参考）</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_Toc6550 \h </w:instrText>
          </w:r>
          <w:r>
            <w:rPr>
              <w:rFonts w:hint="eastAsia" w:ascii="宋体" w:hAnsi="宋体" w:eastAsia="宋体" w:cs="宋体"/>
              <w:sz w:val="32"/>
              <w:szCs w:val="32"/>
            </w:rPr>
            <w:fldChar w:fldCharType="separate"/>
          </w:r>
          <w:r>
            <w:rPr>
              <w:rFonts w:hint="eastAsia" w:ascii="宋体" w:hAnsi="宋体" w:eastAsia="宋体" w:cs="宋体"/>
              <w:sz w:val="32"/>
              <w:szCs w:val="32"/>
            </w:rPr>
            <w:t>56</w:t>
          </w:r>
          <w:r>
            <w:rPr>
              <w:rFonts w:hint="eastAsia" w:ascii="宋体" w:hAnsi="宋体" w:eastAsia="宋体" w:cs="宋体"/>
              <w:sz w:val="32"/>
              <w:szCs w:val="32"/>
            </w:rPr>
            <w:fldChar w:fldCharType="end"/>
          </w:r>
          <w:r>
            <w:rPr>
              <w:rFonts w:hint="eastAsia" w:ascii="宋体" w:hAnsi="宋体" w:eastAsia="宋体" w:cs="宋体"/>
              <w:spacing w:val="160"/>
              <w:sz w:val="32"/>
              <w:szCs w:val="32"/>
              <w:highlight w:val="none"/>
            </w:rPr>
            <w:fldChar w:fldCharType="end"/>
          </w:r>
        </w:p>
        <w:p w14:paraId="6CCFB92F">
          <w:pPr>
            <w:pStyle w:val="20"/>
            <w:tabs>
              <w:tab w:val="right" w:leader="dot" w:pos="8306"/>
            </w:tabs>
            <w:spacing w:line="360" w:lineRule="auto"/>
            <w:jc w:val="both"/>
            <w:rPr>
              <w:rFonts w:hint="eastAsia" w:ascii="宋体" w:hAnsi="宋体" w:eastAsia="宋体" w:cs="宋体"/>
              <w:sz w:val="32"/>
              <w:szCs w:val="32"/>
            </w:rPr>
          </w:pPr>
          <w:r>
            <w:rPr>
              <w:rFonts w:hint="eastAsia" w:ascii="宋体" w:hAnsi="宋体" w:eastAsia="宋体" w:cs="宋体"/>
              <w:spacing w:val="160"/>
              <w:sz w:val="32"/>
              <w:szCs w:val="32"/>
              <w:highlight w:val="none"/>
            </w:rPr>
            <w:fldChar w:fldCharType="begin"/>
          </w:r>
          <w:r>
            <w:rPr>
              <w:rFonts w:hint="eastAsia" w:ascii="宋体" w:hAnsi="宋体" w:eastAsia="宋体" w:cs="宋体"/>
              <w:spacing w:val="160"/>
              <w:sz w:val="32"/>
              <w:szCs w:val="32"/>
              <w:highlight w:val="none"/>
            </w:rPr>
            <w:instrText xml:space="preserve"> HYPERLINK \l _Toc27073 </w:instrText>
          </w:r>
          <w:r>
            <w:rPr>
              <w:rFonts w:hint="eastAsia" w:ascii="宋体" w:hAnsi="宋体" w:eastAsia="宋体" w:cs="宋体"/>
              <w:spacing w:val="160"/>
              <w:sz w:val="32"/>
              <w:szCs w:val="32"/>
              <w:highlight w:val="none"/>
            </w:rPr>
            <w:fldChar w:fldCharType="separate"/>
          </w:r>
          <w:r>
            <w:rPr>
              <w:rFonts w:hint="eastAsia" w:ascii="宋体" w:hAnsi="宋体" w:eastAsia="宋体" w:cs="宋体"/>
              <w:bCs/>
              <w:sz w:val="32"/>
              <w:szCs w:val="32"/>
              <w:highlight w:val="none"/>
            </w:rPr>
            <w:t xml:space="preserve">第五章 </w:t>
          </w:r>
          <w:r>
            <w:rPr>
              <w:rFonts w:hint="eastAsia" w:ascii="宋体" w:hAnsi="宋体" w:cs="宋体"/>
              <w:bCs/>
              <w:sz w:val="32"/>
              <w:szCs w:val="32"/>
              <w:highlight w:val="none"/>
              <w:lang w:val="en-US" w:eastAsia="zh-CN"/>
            </w:rPr>
            <w:t xml:space="preserve"> </w:t>
          </w:r>
          <w:r>
            <w:rPr>
              <w:rFonts w:hint="eastAsia" w:ascii="宋体" w:hAnsi="宋体" w:eastAsia="宋体" w:cs="宋体"/>
              <w:bCs/>
              <w:sz w:val="32"/>
              <w:szCs w:val="32"/>
              <w:highlight w:val="none"/>
              <w:lang w:eastAsia="zh-CN"/>
            </w:rPr>
            <w:t>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_Toc27073 \h </w:instrText>
          </w:r>
          <w:r>
            <w:rPr>
              <w:rFonts w:hint="eastAsia" w:ascii="宋体" w:hAnsi="宋体" w:eastAsia="宋体" w:cs="宋体"/>
              <w:sz w:val="32"/>
              <w:szCs w:val="32"/>
            </w:rPr>
            <w:fldChar w:fldCharType="separate"/>
          </w:r>
          <w:r>
            <w:rPr>
              <w:rFonts w:hint="eastAsia" w:ascii="宋体" w:hAnsi="宋体" w:eastAsia="宋体" w:cs="宋体"/>
              <w:sz w:val="32"/>
              <w:szCs w:val="32"/>
            </w:rPr>
            <w:t>63</w:t>
          </w:r>
          <w:r>
            <w:rPr>
              <w:rFonts w:hint="eastAsia" w:ascii="宋体" w:hAnsi="宋体" w:eastAsia="宋体" w:cs="宋体"/>
              <w:sz w:val="32"/>
              <w:szCs w:val="32"/>
            </w:rPr>
            <w:fldChar w:fldCharType="end"/>
          </w:r>
          <w:r>
            <w:rPr>
              <w:rFonts w:hint="eastAsia" w:ascii="宋体" w:hAnsi="宋体" w:eastAsia="宋体" w:cs="宋体"/>
              <w:spacing w:val="160"/>
              <w:sz w:val="32"/>
              <w:szCs w:val="32"/>
              <w:highlight w:val="none"/>
            </w:rPr>
            <w:fldChar w:fldCharType="end"/>
          </w:r>
        </w:p>
        <w:p w14:paraId="0BC54854">
          <w:pPr>
            <w:pStyle w:val="20"/>
            <w:tabs>
              <w:tab w:val="right" w:leader="dot" w:pos="8306"/>
            </w:tabs>
            <w:spacing w:line="360" w:lineRule="auto"/>
            <w:jc w:val="both"/>
            <w:rPr>
              <w:rFonts w:hint="eastAsia" w:ascii="宋体" w:hAnsi="宋体" w:eastAsia="宋体" w:cs="宋体"/>
              <w:sz w:val="32"/>
              <w:szCs w:val="32"/>
            </w:rPr>
          </w:pPr>
          <w:r>
            <w:rPr>
              <w:rFonts w:hint="eastAsia" w:ascii="宋体" w:hAnsi="宋体" w:eastAsia="宋体" w:cs="宋体"/>
              <w:spacing w:val="160"/>
              <w:sz w:val="32"/>
              <w:szCs w:val="32"/>
              <w:highlight w:val="none"/>
            </w:rPr>
            <w:fldChar w:fldCharType="begin"/>
          </w:r>
          <w:r>
            <w:rPr>
              <w:rFonts w:hint="eastAsia" w:ascii="宋体" w:hAnsi="宋体" w:eastAsia="宋体" w:cs="宋体"/>
              <w:spacing w:val="160"/>
              <w:sz w:val="32"/>
              <w:szCs w:val="32"/>
              <w:highlight w:val="none"/>
            </w:rPr>
            <w:instrText xml:space="preserve"> HYPERLINK \l _Toc3879 </w:instrText>
          </w:r>
          <w:r>
            <w:rPr>
              <w:rFonts w:hint="eastAsia" w:ascii="宋体" w:hAnsi="宋体" w:eastAsia="宋体" w:cs="宋体"/>
              <w:spacing w:val="160"/>
              <w:sz w:val="32"/>
              <w:szCs w:val="32"/>
              <w:highlight w:val="none"/>
            </w:rPr>
            <w:fldChar w:fldCharType="separate"/>
          </w:r>
          <w:r>
            <w:rPr>
              <w:rFonts w:hint="eastAsia" w:ascii="宋体" w:hAnsi="宋体" w:eastAsia="宋体" w:cs="宋体"/>
              <w:bCs/>
              <w:sz w:val="32"/>
              <w:szCs w:val="32"/>
              <w:highlight w:val="none"/>
              <w:lang w:val="en-US" w:eastAsia="zh-CN"/>
            </w:rPr>
            <w:t>第六章  响应文件格式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_Toc3879 \h </w:instrText>
          </w:r>
          <w:r>
            <w:rPr>
              <w:rFonts w:hint="eastAsia" w:ascii="宋体" w:hAnsi="宋体" w:eastAsia="宋体" w:cs="宋体"/>
              <w:sz w:val="32"/>
              <w:szCs w:val="32"/>
            </w:rPr>
            <w:fldChar w:fldCharType="separate"/>
          </w:r>
          <w:r>
            <w:rPr>
              <w:rFonts w:hint="eastAsia" w:ascii="宋体" w:hAnsi="宋体" w:eastAsia="宋体" w:cs="宋体"/>
              <w:sz w:val="32"/>
              <w:szCs w:val="32"/>
            </w:rPr>
            <w:t>64</w:t>
          </w:r>
          <w:r>
            <w:rPr>
              <w:rFonts w:hint="eastAsia" w:ascii="宋体" w:hAnsi="宋体" w:eastAsia="宋体" w:cs="宋体"/>
              <w:sz w:val="32"/>
              <w:szCs w:val="32"/>
            </w:rPr>
            <w:fldChar w:fldCharType="end"/>
          </w:r>
          <w:r>
            <w:rPr>
              <w:rFonts w:hint="eastAsia" w:ascii="宋体" w:hAnsi="宋体" w:eastAsia="宋体" w:cs="宋体"/>
              <w:spacing w:val="160"/>
              <w:sz w:val="32"/>
              <w:szCs w:val="32"/>
              <w:highlight w:val="none"/>
            </w:rPr>
            <w:fldChar w:fldCharType="end"/>
          </w:r>
        </w:p>
        <w:p w14:paraId="134010DA">
          <w:pPr>
            <w:pStyle w:val="10"/>
            <w:adjustRightInd w:val="0"/>
            <w:snapToGrid w:val="0"/>
            <w:spacing w:line="360" w:lineRule="auto"/>
            <w:jc w:val="both"/>
            <w:rPr>
              <w:rFonts w:hint="eastAsia" w:ascii="宋体" w:hAnsi="宋体" w:eastAsia="宋体" w:cs="宋体"/>
              <w:spacing w:val="160"/>
              <w:kern w:val="2"/>
              <w:sz w:val="21"/>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160"/>
              <w:sz w:val="32"/>
              <w:szCs w:val="32"/>
              <w:highlight w:val="none"/>
            </w:rPr>
            <w:fldChar w:fldCharType="end"/>
          </w:r>
        </w:p>
      </w:sdtContent>
    </w:sdt>
    <w:p w14:paraId="0E094633">
      <w:pPr>
        <w:jc w:val="center"/>
        <w:outlineLvl w:val="0"/>
        <w:rPr>
          <w:rFonts w:hint="eastAsia" w:ascii="宋体" w:hAnsi="宋体" w:eastAsia="宋体" w:cs="宋体"/>
          <w:b/>
          <w:bCs/>
          <w:sz w:val="30"/>
          <w:szCs w:val="30"/>
          <w:highlight w:val="none"/>
        </w:rPr>
      </w:pPr>
      <w:bookmarkStart w:id="7" w:name="_Toc8282"/>
      <w:r>
        <w:rPr>
          <w:rFonts w:hint="eastAsia" w:ascii="宋体" w:hAnsi="宋体" w:eastAsia="宋体" w:cs="宋体"/>
          <w:b/>
          <w:bCs/>
          <w:sz w:val="30"/>
          <w:szCs w:val="30"/>
          <w:highlight w:val="none"/>
        </w:rPr>
        <w:t xml:space="preserve">第一章 </w:t>
      </w:r>
      <w:r>
        <w:rPr>
          <w:rFonts w:hint="eastAsia" w:ascii="宋体" w:hAnsi="宋体" w:eastAsia="宋体" w:cs="宋体"/>
          <w:b/>
          <w:bCs/>
          <w:sz w:val="30"/>
          <w:szCs w:val="30"/>
          <w:highlight w:val="none"/>
          <w:lang w:val="en-US" w:eastAsia="zh-CN"/>
        </w:rPr>
        <w:t>竞争性磋商公告</w:t>
      </w:r>
      <w:bookmarkEnd w:id="7"/>
    </w:p>
    <w:p w14:paraId="7B1EA88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柯坪县</w:t>
      </w:r>
      <w:r>
        <w:rPr>
          <w:rFonts w:hint="eastAsia" w:ascii="宋体" w:hAnsi="宋体" w:eastAsia="宋体" w:cs="宋体"/>
          <w:b/>
          <w:bCs/>
          <w:sz w:val="32"/>
          <w:szCs w:val="32"/>
          <w:lang w:val="en-US" w:eastAsia="zh-CN"/>
        </w:rPr>
        <w:t>2025年中央对地方成品油税费改革转移支付用于农村公路养护项目竞争性磋商公告</w:t>
      </w:r>
    </w:p>
    <w:p w14:paraId="734E5DE2">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14:paraId="69CF6E48">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u w:val="single"/>
          <w:lang w:eastAsia="zh-CN"/>
        </w:rPr>
        <w:t>柯坪县</w:t>
      </w:r>
      <w:r>
        <w:rPr>
          <w:rFonts w:hint="eastAsia" w:ascii="宋体" w:hAnsi="宋体" w:eastAsia="宋体" w:cs="宋体"/>
          <w:sz w:val="28"/>
          <w:szCs w:val="28"/>
          <w:u w:val="single"/>
          <w:lang w:val="en-US" w:eastAsia="zh-CN"/>
        </w:rPr>
        <w:t>2025年中央对地方成品油税费改革转移支付用于农村公路养护项目</w:t>
      </w:r>
      <w:r>
        <w:rPr>
          <w:rFonts w:hint="eastAsia" w:ascii="宋体" w:hAnsi="宋体" w:eastAsia="宋体" w:cs="宋体"/>
          <w:sz w:val="28"/>
          <w:szCs w:val="28"/>
        </w:rPr>
        <w:t>的潜在供应商应在</w:t>
      </w:r>
      <w:r>
        <w:rPr>
          <w:rFonts w:hint="eastAsia" w:ascii="宋体" w:hAnsi="宋体" w:eastAsia="宋体" w:cs="宋体"/>
          <w:color w:val="auto"/>
          <w:kern w:val="2"/>
          <w:sz w:val="28"/>
          <w:szCs w:val="28"/>
          <w:highlight w:val="none"/>
          <w:shd w:val="clear" w:color="auto" w:fill="FFFFFF"/>
          <w:lang w:val="en-US" w:eastAsia="zh-CN" w:bidi="ar-SA"/>
        </w:rPr>
        <w:t>新疆政府采购网（http://www.ccgp-xinjiang.gov.cn）获取招标文件</w:t>
      </w:r>
      <w:r>
        <w:rPr>
          <w:rFonts w:hint="eastAsia" w:ascii="宋体" w:hAnsi="宋体" w:eastAsia="宋体" w:cs="宋体"/>
          <w:sz w:val="28"/>
          <w:szCs w:val="28"/>
        </w:rPr>
        <w:t>，并于</w:t>
      </w:r>
      <w:r>
        <w:rPr>
          <w:rFonts w:hint="eastAsia" w:ascii="宋体" w:hAnsi="宋体" w:eastAsia="宋体" w:cs="宋体"/>
          <w:color w:val="0000FF"/>
          <w:sz w:val="28"/>
          <w:szCs w:val="28"/>
          <w:u w:val="single"/>
          <w:lang w:val="en-US" w:eastAsia="zh-CN"/>
        </w:rPr>
        <w:t>2025</w:t>
      </w:r>
      <w:r>
        <w:rPr>
          <w:rFonts w:hint="eastAsia" w:ascii="宋体" w:hAnsi="宋体" w:eastAsia="宋体" w:cs="宋体"/>
          <w:bCs/>
          <w:color w:val="0000FF"/>
          <w:sz w:val="28"/>
          <w:szCs w:val="28"/>
          <w:u w:val="single"/>
        </w:rPr>
        <w:t xml:space="preserve">年 </w:t>
      </w:r>
      <w:r>
        <w:rPr>
          <w:rFonts w:hint="eastAsia" w:ascii="宋体" w:hAnsi="宋体" w:cs="宋体"/>
          <w:bCs/>
          <w:color w:val="0000FF"/>
          <w:sz w:val="28"/>
          <w:szCs w:val="28"/>
          <w:u w:val="single"/>
          <w:lang w:val="en-US" w:eastAsia="zh-CN"/>
        </w:rPr>
        <w:t>06</w:t>
      </w:r>
      <w:r>
        <w:rPr>
          <w:rFonts w:hint="eastAsia" w:ascii="宋体" w:hAnsi="宋体" w:eastAsia="宋体" w:cs="宋体"/>
          <w:bCs/>
          <w:color w:val="0000FF"/>
          <w:sz w:val="28"/>
          <w:szCs w:val="28"/>
          <w:u w:val="single"/>
        </w:rPr>
        <w:t>月</w:t>
      </w:r>
      <w:r>
        <w:rPr>
          <w:rFonts w:hint="eastAsia" w:ascii="宋体" w:hAnsi="宋体" w:cs="宋体"/>
          <w:bCs/>
          <w:color w:val="0000FF"/>
          <w:sz w:val="28"/>
          <w:szCs w:val="28"/>
          <w:u w:val="single"/>
          <w:lang w:val="en-US" w:eastAsia="zh-CN"/>
        </w:rPr>
        <w:t>30</w:t>
      </w:r>
      <w:r>
        <w:rPr>
          <w:rFonts w:hint="eastAsia" w:ascii="宋体" w:hAnsi="宋体" w:eastAsia="宋体" w:cs="宋体"/>
          <w:bCs/>
          <w:color w:val="0000FF"/>
          <w:sz w:val="28"/>
          <w:szCs w:val="28"/>
          <w:u w:val="single"/>
        </w:rPr>
        <w:t xml:space="preserve">日 </w:t>
      </w:r>
      <w:r>
        <w:rPr>
          <w:rFonts w:hint="eastAsia" w:ascii="宋体" w:hAnsi="宋体" w:eastAsia="宋体" w:cs="宋体"/>
          <w:bCs/>
          <w:color w:val="0000FF"/>
          <w:sz w:val="28"/>
          <w:szCs w:val="28"/>
          <w:u w:val="single"/>
          <w:lang w:val="en-US" w:eastAsia="zh-CN"/>
        </w:rPr>
        <w:t>11</w:t>
      </w:r>
      <w:r>
        <w:rPr>
          <w:rFonts w:hint="eastAsia" w:ascii="宋体" w:hAnsi="宋体" w:eastAsia="宋体" w:cs="宋体"/>
          <w:bCs/>
          <w:color w:val="0000FF"/>
          <w:sz w:val="28"/>
          <w:szCs w:val="28"/>
          <w:u w:val="single"/>
        </w:rPr>
        <w:t xml:space="preserve">点 </w:t>
      </w:r>
      <w:r>
        <w:rPr>
          <w:rFonts w:hint="eastAsia" w:ascii="宋体" w:hAnsi="宋体" w:eastAsia="宋体" w:cs="宋体"/>
          <w:bCs/>
          <w:color w:val="0000FF"/>
          <w:sz w:val="28"/>
          <w:szCs w:val="28"/>
          <w:u w:val="single"/>
          <w:lang w:val="en-US" w:eastAsia="zh-CN"/>
        </w:rPr>
        <w:t>30</w:t>
      </w:r>
      <w:r>
        <w:rPr>
          <w:rFonts w:hint="eastAsia" w:ascii="宋体" w:hAnsi="宋体" w:eastAsia="宋体" w:cs="宋体"/>
          <w:bCs/>
          <w:color w:val="0000FF"/>
          <w:sz w:val="28"/>
          <w:szCs w:val="28"/>
          <w:u w:val="single"/>
        </w:rPr>
        <w:t>分</w:t>
      </w:r>
      <w:r>
        <w:rPr>
          <w:rFonts w:hint="eastAsia" w:ascii="宋体" w:hAnsi="宋体" w:eastAsia="宋体" w:cs="宋体"/>
          <w:bCs/>
          <w:sz w:val="28"/>
          <w:szCs w:val="28"/>
        </w:rPr>
        <w:t>（北京时间）前提交响应文件</w:t>
      </w:r>
      <w:r>
        <w:rPr>
          <w:rFonts w:hint="eastAsia" w:ascii="宋体" w:hAnsi="宋体" w:eastAsia="宋体" w:cs="宋体"/>
          <w:sz w:val="28"/>
          <w:szCs w:val="28"/>
        </w:rPr>
        <w:t>。</w:t>
      </w:r>
    </w:p>
    <w:p w14:paraId="75FD042D">
      <w:pPr>
        <w:keepNext/>
        <w:keepLines/>
        <w:widowControl w:val="0"/>
        <w:spacing w:before="260" w:after="260" w:line="360" w:lineRule="auto"/>
        <w:jc w:val="both"/>
        <w:outlineLvl w:val="1"/>
        <w:rPr>
          <w:rFonts w:hint="eastAsia" w:ascii="宋体" w:hAnsi="宋体" w:eastAsia="宋体" w:cs="宋体"/>
          <w:b w:val="0"/>
          <w:bCs/>
          <w:kern w:val="2"/>
          <w:sz w:val="28"/>
          <w:szCs w:val="28"/>
          <w:lang w:val="en-US" w:eastAsia="zh-CN" w:bidi="ar-SA"/>
        </w:rPr>
      </w:pPr>
      <w:bookmarkStart w:id="8" w:name="_Toc35393629"/>
      <w:bookmarkStart w:id="9" w:name="_Toc35393798"/>
      <w:bookmarkStart w:id="10" w:name="_Toc28359012"/>
      <w:bookmarkStart w:id="11" w:name="_Toc28359089"/>
      <w:r>
        <w:rPr>
          <w:rFonts w:hint="eastAsia" w:ascii="宋体" w:hAnsi="宋体" w:eastAsia="宋体" w:cs="宋体"/>
          <w:b w:val="0"/>
          <w:bCs/>
          <w:kern w:val="2"/>
          <w:sz w:val="28"/>
          <w:szCs w:val="28"/>
          <w:lang w:val="en-US" w:eastAsia="zh-CN" w:bidi="ar-SA"/>
        </w:rPr>
        <w:t>一、项目基本情况</w:t>
      </w:r>
      <w:bookmarkEnd w:id="8"/>
      <w:bookmarkEnd w:id="9"/>
      <w:bookmarkEnd w:id="10"/>
      <w:bookmarkEnd w:id="11"/>
    </w:p>
    <w:p w14:paraId="5907CCE0">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分</w:t>
      </w:r>
      <w:r>
        <w:rPr>
          <w:rFonts w:hint="eastAsia" w:ascii="宋体" w:hAnsi="宋体" w:eastAsia="宋体" w:cs="宋体"/>
          <w:sz w:val="28"/>
          <w:szCs w:val="28"/>
          <w:lang w:val="en-US" w:eastAsia="zh-CN"/>
        </w:rPr>
        <w:t>KPXZCY2025-0049</w:t>
      </w:r>
    </w:p>
    <w:p w14:paraId="320515EB">
      <w:pPr>
        <w:ind w:firstLine="560" w:firstLineChars="200"/>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柯坪县</w:t>
      </w:r>
      <w:r>
        <w:rPr>
          <w:rFonts w:hint="eastAsia" w:ascii="宋体" w:hAnsi="宋体" w:eastAsia="宋体" w:cs="宋体"/>
          <w:sz w:val="28"/>
          <w:szCs w:val="28"/>
          <w:lang w:val="en-US" w:eastAsia="zh-CN"/>
        </w:rPr>
        <w:t>2025年中央对地方成品油税费改革转移支付用于农村公路养护项目</w:t>
      </w:r>
    </w:p>
    <w:p w14:paraId="4C1DA000">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采购方式：竞争性磋商 </w:t>
      </w:r>
    </w:p>
    <w:p w14:paraId="675E63FF">
      <w:pPr>
        <w:ind w:firstLine="560" w:firstLineChars="200"/>
        <w:rPr>
          <w:rFonts w:hint="eastAsia" w:ascii="宋体" w:hAnsi="宋体" w:eastAsia="宋体" w:cs="宋体"/>
          <w:sz w:val="28"/>
          <w:szCs w:val="28"/>
        </w:rPr>
      </w:pPr>
      <w:r>
        <w:rPr>
          <w:rFonts w:hint="eastAsia" w:ascii="宋体" w:hAnsi="宋体" w:eastAsia="宋体" w:cs="宋体"/>
          <w:sz w:val="28"/>
          <w:szCs w:val="28"/>
        </w:rPr>
        <w:t>预算金额：</w:t>
      </w:r>
      <w:r>
        <w:rPr>
          <w:rFonts w:hint="eastAsia" w:ascii="宋体" w:hAnsi="宋体" w:cs="宋体"/>
          <w:sz w:val="28"/>
          <w:szCs w:val="28"/>
          <w:lang w:val="en-US" w:eastAsia="zh-CN"/>
        </w:rPr>
        <w:t>790000.00</w:t>
      </w:r>
      <w:r>
        <w:rPr>
          <w:rFonts w:hint="eastAsia" w:ascii="宋体" w:hAnsi="宋体" w:eastAsia="宋体" w:cs="宋体"/>
          <w:sz w:val="28"/>
          <w:szCs w:val="28"/>
          <w:lang w:val="en-US" w:eastAsia="zh-CN"/>
        </w:rPr>
        <w:t>元</w:t>
      </w:r>
    </w:p>
    <w:p w14:paraId="1FF54FE4">
      <w:pPr>
        <w:ind w:firstLine="560" w:firstLineChars="200"/>
        <w:rPr>
          <w:rFonts w:hint="eastAsia" w:ascii="宋体" w:hAnsi="宋体" w:eastAsia="宋体" w:cs="宋体"/>
          <w:sz w:val="28"/>
          <w:szCs w:val="28"/>
        </w:rPr>
      </w:pPr>
      <w:r>
        <w:rPr>
          <w:rFonts w:hint="eastAsia" w:ascii="宋体" w:hAnsi="宋体" w:eastAsia="宋体" w:cs="宋体"/>
          <w:sz w:val="28"/>
          <w:szCs w:val="28"/>
        </w:rPr>
        <w:t>最高限价：</w:t>
      </w:r>
      <w:r>
        <w:rPr>
          <w:rFonts w:hint="eastAsia" w:ascii="宋体" w:hAnsi="宋体" w:eastAsia="宋体" w:cs="宋体"/>
          <w:sz w:val="28"/>
          <w:szCs w:val="28"/>
          <w:lang w:val="en-US" w:eastAsia="zh-CN"/>
        </w:rPr>
        <w:t>7</w:t>
      </w:r>
      <w:r>
        <w:rPr>
          <w:rFonts w:hint="eastAsia" w:ascii="宋体" w:hAnsi="宋体" w:cs="宋体"/>
          <w:sz w:val="28"/>
          <w:szCs w:val="28"/>
          <w:lang w:val="en-US" w:eastAsia="zh-CN"/>
        </w:rPr>
        <w:t>85421.09</w:t>
      </w:r>
      <w:r>
        <w:rPr>
          <w:rFonts w:hint="eastAsia" w:ascii="宋体" w:hAnsi="宋体" w:eastAsia="宋体" w:cs="宋体"/>
          <w:sz w:val="28"/>
          <w:szCs w:val="28"/>
          <w:lang w:val="en-US" w:eastAsia="zh-CN"/>
        </w:rPr>
        <w:t>元</w:t>
      </w:r>
    </w:p>
    <w:p w14:paraId="55EF23EC">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采购需求：修建路肩、整修边坡、处理沥青裂缝、修补沥青路面、维修沥青路面啃边、清理排水设施、完善标线、安装标志牌、警示桩、爆闪灯等</w:t>
      </w:r>
      <w:r>
        <w:rPr>
          <w:rFonts w:hint="eastAsia" w:ascii="宋体" w:hAnsi="宋体" w:eastAsia="宋体" w:cs="宋体"/>
          <w:sz w:val="28"/>
          <w:szCs w:val="28"/>
          <w:lang w:eastAsia="zh-CN"/>
        </w:rPr>
        <w:t>。</w:t>
      </w:r>
    </w:p>
    <w:p w14:paraId="2567C1C6">
      <w:pPr>
        <w:ind w:firstLine="560" w:firstLineChars="200"/>
        <w:rPr>
          <w:rFonts w:hint="default" w:ascii="宋体" w:hAnsi="宋体" w:eastAsia="宋体" w:cs="宋体"/>
          <w:color w:val="0000FF"/>
          <w:sz w:val="28"/>
          <w:szCs w:val="28"/>
          <w:u w:val="single"/>
          <w:lang w:val="en-US" w:eastAsia="zh-CN"/>
        </w:rPr>
      </w:pPr>
      <w:r>
        <w:rPr>
          <w:rFonts w:hint="eastAsia" w:ascii="宋体" w:hAnsi="宋体" w:eastAsia="宋体" w:cs="宋体"/>
          <w:sz w:val="28"/>
          <w:szCs w:val="28"/>
        </w:rPr>
        <w:t>合同履行期限：</w:t>
      </w:r>
      <w:r>
        <w:rPr>
          <w:rFonts w:hint="eastAsia" w:ascii="宋体" w:hAnsi="宋体" w:cs="宋体"/>
          <w:color w:val="FF0000"/>
          <w:sz w:val="28"/>
          <w:szCs w:val="28"/>
          <w:lang w:val="en-US" w:eastAsia="zh-CN"/>
        </w:rPr>
        <w:t>90</w:t>
      </w:r>
      <w:r>
        <w:rPr>
          <w:rFonts w:hint="eastAsia" w:ascii="宋体" w:hAnsi="宋体" w:eastAsia="宋体" w:cs="宋体"/>
          <w:color w:val="FF0000"/>
          <w:sz w:val="28"/>
          <w:szCs w:val="28"/>
          <w:lang w:val="en-US" w:eastAsia="zh-CN"/>
        </w:rPr>
        <w:t>日历日</w:t>
      </w:r>
    </w:p>
    <w:p w14:paraId="5E131E0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i/>
          <w:sz w:val="28"/>
          <w:szCs w:val="28"/>
        </w:rPr>
        <w:t>否</w:t>
      </w:r>
      <w:r>
        <w:rPr>
          <w:rFonts w:hint="eastAsia" w:ascii="宋体" w:hAnsi="宋体" w:eastAsia="宋体" w:cs="宋体"/>
          <w:sz w:val="28"/>
          <w:szCs w:val="28"/>
        </w:rPr>
        <w:t>）接受联合体。</w:t>
      </w:r>
    </w:p>
    <w:p w14:paraId="26C6CF06">
      <w:pPr>
        <w:keepNext/>
        <w:keepLines/>
        <w:widowControl w:val="0"/>
        <w:spacing w:before="260" w:after="260" w:line="360" w:lineRule="auto"/>
        <w:jc w:val="both"/>
        <w:outlineLvl w:val="1"/>
        <w:rPr>
          <w:rFonts w:hint="eastAsia" w:ascii="宋体" w:hAnsi="宋体" w:eastAsia="宋体" w:cs="宋体"/>
          <w:b w:val="0"/>
          <w:bCs/>
          <w:kern w:val="2"/>
          <w:sz w:val="28"/>
          <w:szCs w:val="28"/>
          <w:lang w:val="en-US" w:eastAsia="zh-CN" w:bidi="ar-SA"/>
        </w:rPr>
      </w:pPr>
      <w:bookmarkStart w:id="12" w:name="_Toc35393630"/>
      <w:bookmarkStart w:id="13" w:name="_Toc28359090"/>
      <w:bookmarkStart w:id="14" w:name="_Toc28359013"/>
      <w:bookmarkStart w:id="15" w:name="_Toc35393799"/>
      <w:r>
        <w:rPr>
          <w:rFonts w:hint="eastAsia" w:ascii="宋体" w:hAnsi="宋体" w:eastAsia="宋体" w:cs="宋体"/>
          <w:b w:val="0"/>
          <w:bCs/>
          <w:kern w:val="2"/>
          <w:sz w:val="28"/>
          <w:szCs w:val="28"/>
          <w:lang w:val="en-US" w:eastAsia="zh-CN" w:bidi="ar-SA"/>
        </w:rPr>
        <w:t>二、申请人的资格要求：</w:t>
      </w:r>
      <w:bookmarkEnd w:id="12"/>
      <w:bookmarkEnd w:id="13"/>
      <w:bookmarkEnd w:id="14"/>
      <w:bookmarkEnd w:id="15"/>
    </w:p>
    <w:p w14:paraId="18FF1649">
      <w:pPr>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19687D9F">
      <w:pPr>
        <w:ind w:firstLine="560" w:firstLineChars="200"/>
        <w:rPr>
          <w:rFonts w:hint="eastAsia" w:ascii="宋体" w:hAnsi="宋体" w:eastAsia="宋体" w:cs="宋体"/>
          <w:sz w:val="28"/>
          <w:szCs w:val="28"/>
        </w:rPr>
      </w:pPr>
      <w:bookmarkStart w:id="16" w:name="_Toc28359014"/>
      <w:bookmarkStart w:id="17" w:name="_Toc28359091"/>
      <w:r>
        <w:rPr>
          <w:rFonts w:hint="eastAsia" w:ascii="宋体" w:hAnsi="宋体" w:eastAsia="宋体" w:cs="宋体"/>
          <w:sz w:val="28"/>
          <w:szCs w:val="28"/>
        </w:rPr>
        <w:t>2.落实政府采购政策需满足的资格要求：</w:t>
      </w:r>
    </w:p>
    <w:p w14:paraId="01E359C1">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（1）财政部、国家发展改革委、生态环境部、市场监管总局《关于调整优化节能产品、环境标志产品政府采购执行机制的通知》（财库[2019]9号文）；</w:t>
      </w:r>
    </w:p>
    <w:p w14:paraId="0737DA38">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（2）财政部、生态环境部《关于印发环境标志产品政府采购品目清单的通知》（财库[2019]18号文）；</w:t>
      </w:r>
    </w:p>
    <w:p w14:paraId="4DA4E313">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（3）财政部、发展改革委《关于印发节能产品政府采购品目清单的通知》（财库[2019]19号文）；</w:t>
      </w:r>
    </w:p>
    <w:p w14:paraId="478C679F">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（4）市场监管总局《市场监管总局关于发布参与实施政府采购节能产品、环境标志产品认证机构名录的公告》（2019年第16号）；</w:t>
      </w:r>
    </w:p>
    <w:p w14:paraId="0E4A27E2">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（5）财政部、工业和信息化部《关于印发《政府采购促进中小企业发展管理办法》的通知》（财库[2020]46号文）；</w:t>
      </w:r>
    </w:p>
    <w:p w14:paraId="0650FEEF">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（6）财政部、民政部、中国残疾人联合会《关于促进残疾人就业政府采购政策的通知》（财库[2017]141号）；</w:t>
      </w:r>
    </w:p>
    <w:p w14:paraId="11910659">
      <w:pPr>
        <w:ind w:firstLine="560" w:firstLineChars="200"/>
        <w:rPr>
          <w:rFonts w:hint="eastAsia" w:ascii="Times New Roman" w:hAnsi="Times New Roman" w:eastAsia="宋体" w:cs="Times New Roman"/>
          <w:szCs w:val="21"/>
        </w:rPr>
      </w:pPr>
      <w:r>
        <w:rPr>
          <w:rFonts w:hint="eastAsia" w:ascii="宋体" w:hAnsi="宋体" w:eastAsia="宋体" w:cs="宋体"/>
          <w:sz w:val="28"/>
          <w:szCs w:val="28"/>
        </w:rPr>
        <w:t>（7）财政部、司法部《关于政府采购支持监狱企业发展有关问题的通知》（财库[2014]68号文）。 </w:t>
      </w:r>
    </w:p>
    <w:p w14:paraId="5AFACDC3">
      <w:pPr>
        <w:ind w:firstLine="560" w:firstLineChars="200"/>
        <w:rPr>
          <w:rFonts w:hint="eastAsia" w:ascii="宋体" w:hAnsi="宋体" w:eastAsia="宋体" w:cs="宋体"/>
          <w:sz w:val="28"/>
          <w:szCs w:val="28"/>
        </w:rPr>
      </w:pPr>
      <w:r>
        <w:rPr>
          <w:rFonts w:hint="eastAsia" w:ascii="宋体" w:hAnsi="宋体" w:eastAsia="宋体" w:cs="宋体"/>
          <w:sz w:val="28"/>
          <w:szCs w:val="28"/>
        </w:rPr>
        <w:t>3.本项目的特定资格要求：</w:t>
      </w:r>
    </w:p>
    <w:p w14:paraId="0B5589EF">
      <w:pPr>
        <w:spacing w:line="500" w:lineRule="exact"/>
        <w:contextualSpacing/>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（1）具备有效的营业执照</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spacing w:val="-2"/>
          <w:sz w:val="28"/>
          <w:szCs w:val="28"/>
          <w:lang w:val="en-US" w:eastAsia="zh-CN"/>
        </w:rPr>
        <w:t>法人代表或其委托代理人应提交本人身份证，委托代理人还应提交《法人代表授权委托书》；</w:t>
      </w:r>
    </w:p>
    <w:p w14:paraId="0FF34D9C">
      <w:pPr>
        <w:widowControl w:val="0"/>
        <w:spacing w:after="120" w:afterLines="0"/>
        <w:jc w:val="both"/>
        <w:rPr>
          <w:rFonts w:hint="eastAsia" w:ascii="宋体" w:hAnsi="宋体" w:eastAsia="宋体" w:cs="宋体"/>
          <w:i w:val="0"/>
          <w:iCs w:val="0"/>
          <w:caps w:val="0"/>
          <w:color w:val="000000"/>
          <w:spacing w:val="0"/>
          <w:kern w:val="2"/>
          <w:sz w:val="28"/>
          <w:szCs w:val="28"/>
          <w:lang w:val="en-US" w:eastAsia="zh-CN" w:bidi="ar-SA"/>
        </w:rPr>
      </w:pPr>
      <w:r>
        <w:rPr>
          <w:rFonts w:hint="eastAsia" w:ascii="宋体" w:hAnsi="宋体" w:eastAsia="宋体" w:cs="宋体"/>
          <w:i w:val="0"/>
          <w:iCs w:val="0"/>
          <w:caps w:val="0"/>
          <w:color w:val="000000"/>
          <w:spacing w:val="0"/>
          <w:kern w:val="2"/>
          <w:sz w:val="28"/>
          <w:szCs w:val="28"/>
          <w:lang w:val="en-US" w:eastAsia="zh-CN" w:bidi="ar-SA"/>
        </w:rPr>
        <w:t>（2）投标人须具备公路工程施工总承包三级(含)以上资质及有效的安全生产许可证；</w:t>
      </w:r>
    </w:p>
    <w:p w14:paraId="6CC906C5">
      <w:pPr>
        <w:widowControl w:val="0"/>
        <w:spacing w:after="120" w:afterLines="0"/>
        <w:jc w:val="both"/>
        <w:rPr>
          <w:rFonts w:hint="eastAsia" w:ascii="宋体" w:hAnsi="宋体" w:eastAsia="宋体" w:cs="宋体"/>
          <w:i w:val="0"/>
          <w:iCs w:val="0"/>
          <w:caps w:val="0"/>
          <w:color w:val="000000"/>
          <w:spacing w:val="0"/>
          <w:kern w:val="2"/>
          <w:sz w:val="28"/>
          <w:szCs w:val="28"/>
          <w:lang w:val="en-US" w:eastAsia="zh-CN" w:bidi="ar-SA"/>
        </w:rPr>
      </w:pPr>
      <w:r>
        <w:rPr>
          <w:rFonts w:hint="eastAsia" w:ascii="宋体" w:hAnsi="宋体" w:eastAsia="宋体" w:cs="宋体"/>
          <w:i w:val="0"/>
          <w:iCs w:val="0"/>
          <w:caps w:val="0"/>
          <w:color w:val="000000"/>
          <w:spacing w:val="0"/>
          <w:kern w:val="2"/>
          <w:sz w:val="28"/>
          <w:szCs w:val="28"/>
          <w:lang w:val="en-US" w:eastAsia="zh-CN" w:bidi="ar-SA"/>
        </w:rPr>
        <w:t>（3）项目负责人需具备公路工程二级建造师资格(含)以上注册建造师资格，且未担任其他在施建设工程项目的项目经理，具备有效的安全生产考核合格证书；</w:t>
      </w:r>
    </w:p>
    <w:p w14:paraId="5BF6F4D9">
      <w:pPr>
        <w:rPr>
          <w:rFonts w:hint="eastAsia" w:ascii="宋体" w:hAnsi="宋体" w:eastAsia="宋体" w:cs="宋体"/>
          <w:b w:val="0"/>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）单位负责人为同一人或者存在直接控股、管理关系的不同供应商，不得参加同一合同项下的政府采购活动。</w:t>
      </w:r>
      <w:bookmarkStart w:id="18" w:name="_Toc35393631"/>
      <w:bookmarkStart w:id="19" w:name="_Toc35393800"/>
    </w:p>
    <w:p w14:paraId="2BD0E292">
      <w:pPr>
        <w:keepNext/>
        <w:keepLines/>
        <w:widowControl w:val="0"/>
        <w:spacing w:before="260" w:after="260" w:line="360" w:lineRule="auto"/>
        <w:jc w:val="both"/>
        <w:outlineLvl w:val="1"/>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三、获取采购文件</w:t>
      </w:r>
      <w:bookmarkEnd w:id="16"/>
      <w:bookmarkEnd w:id="17"/>
      <w:bookmarkEnd w:id="18"/>
      <w:bookmarkEnd w:id="19"/>
    </w:p>
    <w:p w14:paraId="7DF81E7B">
      <w:pPr>
        <w:spacing w:line="360" w:lineRule="auto"/>
        <w:ind w:firstLine="54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color w:val="0000FF"/>
          <w:sz w:val="28"/>
          <w:szCs w:val="28"/>
          <w:u w:val="single"/>
          <w:lang w:val="en-US" w:eastAsia="zh-CN"/>
        </w:rPr>
        <w:t>2025</w:t>
      </w:r>
      <w:r>
        <w:rPr>
          <w:rFonts w:hint="eastAsia" w:ascii="宋体" w:hAnsi="宋体" w:eastAsia="宋体" w:cs="宋体"/>
          <w:color w:val="0000FF"/>
          <w:sz w:val="28"/>
          <w:szCs w:val="28"/>
          <w:u w:val="single"/>
        </w:rPr>
        <w:t xml:space="preserve"> 年</w:t>
      </w:r>
      <w:r>
        <w:rPr>
          <w:rFonts w:hint="eastAsia" w:ascii="宋体" w:hAnsi="宋体" w:cs="宋体"/>
          <w:color w:val="0000FF"/>
          <w:sz w:val="28"/>
          <w:szCs w:val="28"/>
          <w:u w:val="single"/>
          <w:lang w:val="en-US" w:eastAsia="zh-CN"/>
        </w:rPr>
        <w:t>06</w:t>
      </w:r>
      <w:r>
        <w:rPr>
          <w:rFonts w:hint="eastAsia" w:ascii="宋体" w:hAnsi="宋体" w:eastAsia="宋体" w:cs="宋体"/>
          <w:color w:val="0000FF"/>
          <w:sz w:val="28"/>
          <w:szCs w:val="28"/>
          <w:u w:val="single"/>
        </w:rPr>
        <w:t>月</w:t>
      </w:r>
      <w:r>
        <w:rPr>
          <w:rFonts w:hint="eastAsia" w:ascii="宋体" w:hAnsi="宋体" w:cs="宋体"/>
          <w:color w:val="0000FF"/>
          <w:sz w:val="28"/>
          <w:szCs w:val="28"/>
          <w:u w:val="single"/>
          <w:lang w:val="en-US" w:eastAsia="zh-CN"/>
        </w:rPr>
        <w:t>18</w:t>
      </w:r>
      <w:r>
        <w:rPr>
          <w:rFonts w:hint="eastAsia" w:ascii="宋体" w:hAnsi="宋体" w:eastAsia="宋体" w:cs="宋体"/>
          <w:color w:val="0000FF"/>
          <w:sz w:val="28"/>
          <w:szCs w:val="28"/>
          <w:u w:val="single"/>
        </w:rPr>
        <w:t xml:space="preserve"> 日</w:t>
      </w:r>
      <w:r>
        <w:rPr>
          <w:rFonts w:hint="eastAsia" w:ascii="宋体" w:hAnsi="宋体" w:eastAsia="宋体" w:cs="宋体"/>
          <w:color w:val="0000FF"/>
          <w:sz w:val="28"/>
          <w:szCs w:val="28"/>
        </w:rPr>
        <w:t>至</w:t>
      </w:r>
      <w:r>
        <w:rPr>
          <w:rFonts w:hint="eastAsia" w:ascii="宋体" w:hAnsi="宋体" w:eastAsia="宋体" w:cs="宋体"/>
          <w:color w:val="0000FF"/>
          <w:sz w:val="28"/>
          <w:szCs w:val="28"/>
          <w:u w:val="single"/>
          <w:lang w:val="en-US" w:eastAsia="zh-CN"/>
        </w:rPr>
        <w:t>2025</w:t>
      </w:r>
      <w:r>
        <w:rPr>
          <w:rFonts w:hint="eastAsia" w:ascii="宋体" w:hAnsi="宋体" w:eastAsia="宋体" w:cs="宋体"/>
          <w:color w:val="0000FF"/>
          <w:sz w:val="28"/>
          <w:szCs w:val="28"/>
          <w:u w:val="single"/>
        </w:rPr>
        <w:t>年</w:t>
      </w:r>
      <w:r>
        <w:rPr>
          <w:rFonts w:hint="eastAsia" w:ascii="宋体" w:hAnsi="宋体" w:cs="宋体"/>
          <w:color w:val="0000FF"/>
          <w:sz w:val="28"/>
          <w:szCs w:val="28"/>
          <w:u w:val="single"/>
          <w:lang w:val="en-US" w:eastAsia="zh-CN"/>
        </w:rPr>
        <w:t>06</w:t>
      </w:r>
      <w:r>
        <w:rPr>
          <w:rFonts w:hint="eastAsia" w:ascii="宋体" w:hAnsi="宋体" w:eastAsia="宋体" w:cs="宋体"/>
          <w:color w:val="0000FF"/>
          <w:sz w:val="28"/>
          <w:szCs w:val="28"/>
          <w:u w:val="single"/>
        </w:rPr>
        <w:t>月</w:t>
      </w:r>
      <w:r>
        <w:rPr>
          <w:rFonts w:hint="eastAsia" w:ascii="宋体" w:hAnsi="宋体" w:cs="宋体"/>
          <w:color w:val="0000FF"/>
          <w:sz w:val="28"/>
          <w:szCs w:val="28"/>
          <w:u w:val="single"/>
          <w:lang w:val="en-US" w:eastAsia="zh-CN"/>
        </w:rPr>
        <w:t>25</w:t>
      </w:r>
      <w:r>
        <w:rPr>
          <w:rFonts w:hint="eastAsia" w:ascii="宋体" w:hAnsi="宋体" w:eastAsia="宋体" w:cs="宋体"/>
          <w:color w:val="0000FF"/>
          <w:sz w:val="28"/>
          <w:szCs w:val="28"/>
          <w:u w:val="single"/>
        </w:rPr>
        <w:t>日</w:t>
      </w:r>
      <w:r>
        <w:rPr>
          <w:rFonts w:hint="eastAsia" w:ascii="宋体" w:hAnsi="宋体" w:eastAsia="宋体" w:cs="宋体"/>
          <w:sz w:val="28"/>
          <w:szCs w:val="28"/>
        </w:rPr>
        <w:t>，每天上午</w:t>
      </w:r>
      <w:r>
        <w:rPr>
          <w:rFonts w:hint="eastAsia" w:ascii="宋体" w:hAnsi="宋体" w:eastAsia="宋体" w:cs="宋体"/>
          <w:sz w:val="28"/>
          <w:szCs w:val="28"/>
          <w:u w:val="single"/>
          <w:lang w:val="en-US" w:eastAsia="zh-CN"/>
        </w:rPr>
        <w:t>10：00</w:t>
      </w:r>
      <w:r>
        <w:rPr>
          <w:rFonts w:hint="eastAsia" w:ascii="宋体" w:hAnsi="宋体" w:eastAsia="宋体" w:cs="宋体"/>
          <w:sz w:val="28"/>
          <w:szCs w:val="28"/>
          <w:u w:val="single"/>
        </w:rPr>
        <w:t>　</w:t>
      </w:r>
      <w:r>
        <w:rPr>
          <w:rFonts w:hint="eastAsia" w:ascii="宋体" w:hAnsi="宋体" w:eastAsia="宋体" w:cs="宋体"/>
          <w:sz w:val="28"/>
          <w:szCs w:val="28"/>
        </w:rPr>
        <w:t>至</w:t>
      </w:r>
      <w:r>
        <w:rPr>
          <w:rFonts w:hint="eastAsia" w:ascii="宋体" w:hAnsi="宋体" w:eastAsia="宋体" w:cs="宋体"/>
          <w:sz w:val="28"/>
          <w:szCs w:val="28"/>
          <w:u w:val="single"/>
          <w:lang w:val="en-US" w:eastAsia="zh-CN"/>
        </w:rPr>
        <w:t>14:00</w:t>
      </w:r>
      <w:r>
        <w:rPr>
          <w:rFonts w:hint="eastAsia" w:ascii="宋体" w:hAnsi="宋体" w:eastAsia="宋体" w:cs="宋体"/>
          <w:sz w:val="28"/>
          <w:szCs w:val="28"/>
        </w:rPr>
        <w:t>，下午</w:t>
      </w:r>
      <w:r>
        <w:rPr>
          <w:rFonts w:hint="eastAsia" w:ascii="宋体" w:hAnsi="宋体" w:cs="宋体"/>
          <w:sz w:val="28"/>
          <w:szCs w:val="28"/>
          <w:u w:val="single"/>
          <w:lang w:val="en-US" w:eastAsia="zh-CN"/>
        </w:rPr>
        <w:t>16</w:t>
      </w:r>
      <w:r>
        <w:rPr>
          <w:rFonts w:hint="eastAsia" w:ascii="宋体" w:hAnsi="宋体" w:eastAsia="宋体" w:cs="宋体"/>
          <w:sz w:val="28"/>
          <w:szCs w:val="28"/>
          <w:u w:val="single"/>
          <w:lang w:val="en-US" w:eastAsia="zh-CN"/>
        </w:rPr>
        <w:t>:</w:t>
      </w:r>
      <w:r>
        <w:rPr>
          <w:rFonts w:hint="eastAsia" w:ascii="宋体" w:hAnsi="宋体" w:cs="宋体"/>
          <w:sz w:val="28"/>
          <w:szCs w:val="28"/>
          <w:u w:val="single"/>
          <w:lang w:val="en-US" w:eastAsia="zh-CN"/>
        </w:rPr>
        <w:t>0</w:t>
      </w:r>
      <w:r>
        <w:rPr>
          <w:rFonts w:hint="eastAsia" w:ascii="宋体" w:hAnsi="宋体" w:eastAsia="宋体" w:cs="宋体"/>
          <w:sz w:val="28"/>
          <w:szCs w:val="28"/>
          <w:u w:val="single"/>
          <w:lang w:val="en-US" w:eastAsia="zh-CN"/>
        </w:rPr>
        <w:t>0</w:t>
      </w:r>
      <w:r>
        <w:rPr>
          <w:rFonts w:hint="eastAsia" w:ascii="宋体" w:hAnsi="宋体" w:eastAsia="宋体" w:cs="宋体"/>
          <w:sz w:val="28"/>
          <w:szCs w:val="28"/>
        </w:rPr>
        <w:t>至</w:t>
      </w:r>
      <w:r>
        <w:rPr>
          <w:rFonts w:hint="eastAsia" w:ascii="宋体" w:hAnsi="宋体" w:cs="宋体"/>
          <w:sz w:val="28"/>
          <w:szCs w:val="28"/>
          <w:u w:val="single"/>
          <w:lang w:val="en-US" w:eastAsia="zh-CN"/>
        </w:rPr>
        <w:t>20</w:t>
      </w:r>
      <w:r>
        <w:rPr>
          <w:rFonts w:hint="eastAsia" w:ascii="宋体" w:hAnsi="宋体" w:eastAsia="宋体" w:cs="宋体"/>
          <w:sz w:val="28"/>
          <w:szCs w:val="28"/>
          <w:u w:val="single"/>
          <w:lang w:val="en-US" w:eastAsia="zh-CN"/>
        </w:rPr>
        <w:t>:</w:t>
      </w:r>
      <w:r>
        <w:rPr>
          <w:rFonts w:hint="eastAsia" w:ascii="宋体" w:hAnsi="宋体" w:cs="宋体"/>
          <w:sz w:val="28"/>
          <w:szCs w:val="28"/>
          <w:u w:val="single"/>
          <w:lang w:val="en-US" w:eastAsia="zh-CN"/>
        </w:rPr>
        <w:t>0</w:t>
      </w:r>
      <w:r>
        <w:rPr>
          <w:rFonts w:hint="eastAsia" w:ascii="宋体" w:hAnsi="宋体" w:eastAsia="宋体" w:cs="宋体"/>
          <w:sz w:val="28"/>
          <w:szCs w:val="28"/>
          <w:u w:val="single"/>
          <w:lang w:val="en-US" w:eastAsia="zh-CN"/>
        </w:rPr>
        <w:t>0</w:t>
      </w:r>
      <w:r>
        <w:rPr>
          <w:rFonts w:hint="eastAsia" w:ascii="宋体" w:hAnsi="宋体" w:eastAsia="宋体" w:cs="宋体"/>
          <w:sz w:val="28"/>
          <w:szCs w:val="28"/>
        </w:rPr>
        <w:t>（北京时间，法定节假日除外 ）</w:t>
      </w:r>
    </w:p>
    <w:p w14:paraId="0D46CE0E">
      <w:pPr>
        <w:spacing w:line="360" w:lineRule="auto"/>
        <w:ind w:firstLine="540"/>
        <w:rPr>
          <w:rFonts w:hint="eastAsia" w:ascii="宋体" w:hAnsi="宋体" w:eastAsia="宋体" w:cs="宋体"/>
          <w:sz w:val="28"/>
          <w:szCs w:val="28"/>
          <w:u w:val="single"/>
          <w:lang w:eastAsia="zh-CN"/>
        </w:rPr>
      </w:pPr>
      <w:r>
        <w:rPr>
          <w:rFonts w:hint="eastAsia" w:ascii="宋体" w:hAnsi="宋体" w:eastAsia="宋体" w:cs="宋体"/>
          <w:sz w:val="28"/>
          <w:szCs w:val="28"/>
        </w:rPr>
        <w:t>地点：供应商登录政采云平台</w:t>
      </w:r>
    </w:p>
    <w:p w14:paraId="12BFABD6">
      <w:pPr>
        <w:spacing w:line="240" w:lineRule="auto"/>
        <w:ind w:firstLine="0" w:firstLineChars="0"/>
        <w:rPr>
          <w:rFonts w:hint="eastAsia" w:ascii="宋体" w:hAnsi="宋体" w:eastAsia="宋体" w:cs="宋体"/>
          <w:sz w:val="28"/>
          <w:szCs w:val="28"/>
          <w:u w:val="single"/>
        </w:rPr>
      </w:pPr>
      <w:r>
        <w:rPr>
          <w:rFonts w:hint="eastAsia" w:ascii="宋体" w:hAnsi="宋体" w:eastAsia="宋体" w:cs="宋体"/>
          <w:sz w:val="28"/>
          <w:szCs w:val="28"/>
        </w:rPr>
        <w:t>方式：供应商登录政采云平台https://www.zcygov.cn/在线申请获取采购文件（进入“项目采购”应用，在获取采购文件菜单中选择项目，申请获取采购文件）</w:t>
      </w:r>
    </w:p>
    <w:p w14:paraId="324CBCE5">
      <w:p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售价：</w:t>
      </w:r>
      <w:r>
        <w:rPr>
          <w:rFonts w:hint="eastAsia" w:ascii="宋体" w:hAnsi="宋体" w:eastAsia="宋体" w:cs="宋体"/>
          <w:sz w:val="28"/>
          <w:szCs w:val="28"/>
          <w:lang w:val="en-US" w:eastAsia="zh-CN"/>
        </w:rPr>
        <w:t>0元</w:t>
      </w:r>
    </w:p>
    <w:p w14:paraId="53BF5BE3">
      <w:pPr>
        <w:keepNext/>
        <w:keepLines/>
        <w:widowControl w:val="0"/>
        <w:spacing w:line="240" w:lineRule="auto"/>
        <w:ind w:firstLine="0" w:firstLineChars="0"/>
        <w:jc w:val="both"/>
        <w:outlineLvl w:val="1"/>
        <w:rPr>
          <w:rFonts w:hint="eastAsia" w:ascii="宋体" w:hAnsi="宋体" w:eastAsia="宋体" w:cs="宋体"/>
          <w:b w:val="0"/>
          <w:bCs/>
          <w:kern w:val="2"/>
          <w:sz w:val="28"/>
          <w:szCs w:val="28"/>
          <w:lang w:val="en-US" w:eastAsia="zh-CN" w:bidi="ar-SA"/>
        </w:rPr>
      </w:pPr>
      <w:bookmarkStart w:id="20" w:name="_Toc35393632"/>
      <w:bookmarkStart w:id="21" w:name="_Toc28359092"/>
      <w:bookmarkStart w:id="22" w:name="_Toc28359015"/>
      <w:bookmarkStart w:id="23" w:name="_Toc35393801"/>
      <w:r>
        <w:rPr>
          <w:rFonts w:hint="eastAsia" w:ascii="宋体" w:hAnsi="宋体" w:eastAsia="宋体" w:cs="宋体"/>
          <w:b w:val="0"/>
          <w:bCs/>
          <w:kern w:val="2"/>
          <w:sz w:val="28"/>
          <w:szCs w:val="28"/>
          <w:lang w:val="en-US" w:eastAsia="zh-CN" w:bidi="ar-SA"/>
        </w:rPr>
        <w:t>四、响应文件提交</w:t>
      </w:r>
      <w:bookmarkEnd w:id="20"/>
      <w:bookmarkEnd w:id="21"/>
      <w:bookmarkEnd w:id="22"/>
      <w:bookmarkEnd w:id="23"/>
    </w:p>
    <w:p w14:paraId="310DA9BD">
      <w:pPr>
        <w:spacing w:line="240" w:lineRule="auto"/>
        <w:ind w:firstLine="560" w:firstLineChars="200"/>
        <w:rPr>
          <w:rFonts w:hint="eastAsia" w:ascii="宋体" w:hAnsi="宋体" w:eastAsia="宋体" w:cs="宋体"/>
          <w:bCs/>
          <w:i w:val="0"/>
          <w:iCs/>
          <w:sz w:val="28"/>
          <w:szCs w:val="28"/>
          <w:u w:val="single"/>
        </w:rPr>
      </w:pPr>
      <w:r>
        <w:rPr>
          <w:rFonts w:hint="eastAsia" w:ascii="宋体" w:hAnsi="宋体" w:eastAsia="宋体" w:cs="宋体"/>
          <w:sz w:val="28"/>
          <w:szCs w:val="28"/>
        </w:rPr>
        <w:t>截止时间：</w:t>
      </w:r>
      <w:r>
        <w:rPr>
          <w:rFonts w:hint="eastAsia" w:ascii="宋体" w:hAnsi="宋体" w:eastAsia="宋体" w:cs="宋体"/>
          <w:color w:val="0000FF"/>
          <w:sz w:val="28"/>
          <w:szCs w:val="28"/>
          <w:u w:val="single"/>
          <w:lang w:val="en-US" w:eastAsia="zh-CN"/>
        </w:rPr>
        <w:t>2025</w:t>
      </w:r>
      <w:r>
        <w:rPr>
          <w:rFonts w:hint="eastAsia" w:ascii="宋体" w:hAnsi="宋体" w:eastAsia="宋体" w:cs="宋体"/>
          <w:color w:val="0000FF"/>
          <w:sz w:val="28"/>
          <w:szCs w:val="28"/>
          <w:u w:val="single"/>
        </w:rPr>
        <w:t xml:space="preserve"> </w:t>
      </w:r>
      <w:r>
        <w:rPr>
          <w:rFonts w:hint="eastAsia" w:ascii="宋体" w:hAnsi="宋体" w:eastAsia="宋体" w:cs="宋体"/>
          <w:bCs/>
          <w:color w:val="0000FF"/>
          <w:sz w:val="28"/>
          <w:szCs w:val="28"/>
          <w:u w:val="single"/>
        </w:rPr>
        <w:t>年</w:t>
      </w:r>
      <w:r>
        <w:rPr>
          <w:rFonts w:hint="eastAsia" w:ascii="宋体" w:hAnsi="宋体" w:cs="宋体"/>
          <w:bCs/>
          <w:color w:val="0000FF"/>
          <w:sz w:val="28"/>
          <w:szCs w:val="28"/>
          <w:u w:val="single"/>
          <w:lang w:val="en-US" w:eastAsia="zh-CN"/>
        </w:rPr>
        <w:t>06</w:t>
      </w:r>
      <w:r>
        <w:rPr>
          <w:rFonts w:hint="eastAsia" w:ascii="宋体" w:hAnsi="宋体" w:eastAsia="宋体" w:cs="宋体"/>
          <w:bCs/>
          <w:color w:val="0000FF"/>
          <w:sz w:val="28"/>
          <w:szCs w:val="28"/>
          <w:u w:val="single"/>
        </w:rPr>
        <w:t>月</w:t>
      </w:r>
      <w:r>
        <w:rPr>
          <w:rFonts w:hint="eastAsia" w:ascii="宋体" w:hAnsi="宋体" w:cs="宋体"/>
          <w:bCs/>
          <w:color w:val="0000FF"/>
          <w:sz w:val="28"/>
          <w:szCs w:val="28"/>
          <w:u w:val="single"/>
          <w:lang w:val="en-US" w:eastAsia="zh-CN"/>
        </w:rPr>
        <w:t>30</w:t>
      </w:r>
      <w:r>
        <w:rPr>
          <w:rFonts w:hint="eastAsia" w:ascii="宋体" w:hAnsi="宋体" w:eastAsia="宋体" w:cs="宋体"/>
          <w:bCs/>
          <w:color w:val="0000FF"/>
          <w:sz w:val="28"/>
          <w:szCs w:val="28"/>
          <w:u w:val="single"/>
        </w:rPr>
        <w:t xml:space="preserve">日  </w:t>
      </w:r>
      <w:r>
        <w:rPr>
          <w:rFonts w:hint="eastAsia" w:ascii="宋体" w:hAnsi="宋体" w:eastAsia="宋体" w:cs="宋体"/>
          <w:bCs/>
          <w:color w:val="0000FF"/>
          <w:sz w:val="28"/>
          <w:szCs w:val="28"/>
          <w:u w:val="single"/>
          <w:lang w:val="en-US" w:eastAsia="zh-CN"/>
        </w:rPr>
        <w:t>11</w:t>
      </w:r>
      <w:r>
        <w:rPr>
          <w:rFonts w:hint="eastAsia" w:ascii="宋体" w:hAnsi="宋体" w:eastAsia="宋体" w:cs="宋体"/>
          <w:bCs/>
          <w:color w:val="0000FF"/>
          <w:sz w:val="28"/>
          <w:szCs w:val="28"/>
          <w:u w:val="single"/>
        </w:rPr>
        <w:t xml:space="preserve">  点  </w:t>
      </w:r>
      <w:r>
        <w:rPr>
          <w:rFonts w:hint="eastAsia" w:ascii="宋体" w:hAnsi="宋体" w:eastAsia="宋体" w:cs="宋体"/>
          <w:bCs/>
          <w:color w:val="0000FF"/>
          <w:sz w:val="28"/>
          <w:szCs w:val="28"/>
          <w:u w:val="single"/>
          <w:lang w:val="en-US" w:eastAsia="zh-CN"/>
        </w:rPr>
        <w:t>30</w:t>
      </w:r>
      <w:r>
        <w:rPr>
          <w:rFonts w:hint="eastAsia" w:ascii="宋体" w:hAnsi="宋体" w:eastAsia="宋体" w:cs="宋体"/>
          <w:bCs/>
          <w:color w:val="0000FF"/>
          <w:sz w:val="28"/>
          <w:szCs w:val="28"/>
          <w:u w:val="single"/>
        </w:rPr>
        <w:t xml:space="preserve">  分</w:t>
      </w:r>
      <w:r>
        <w:rPr>
          <w:rFonts w:hint="eastAsia" w:ascii="宋体" w:hAnsi="宋体" w:eastAsia="宋体" w:cs="宋体"/>
          <w:bCs/>
          <w:color w:val="auto"/>
          <w:sz w:val="28"/>
          <w:szCs w:val="28"/>
        </w:rPr>
        <w:t>（</w:t>
      </w:r>
      <w:r>
        <w:rPr>
          <w:rFonts w:hint="eastAsia" w:ascii="宋体" w:hAnsi="宋体" w:eastAsia="宋体" w:cs="宋体"/>
          <w:bCs/>
          <w:sz w:val="28"/>
          <w:szCs w:val="28"/>
        </w:rPr>
        <w:t>北京时间）</w:t>
      </w:r>
    </w:p>
    <w:p w14:paraId="655440D9">
      <w:pPr>
        <w:spacing w:line="240" w:lineRule="auto"/>
        <w:ind w:firstLine="560" w:firstLineChars="200"/>
        <w:rPr>
          <w:rFonts w:hint="eastAsia" w:ascii="宋体" w:hAnsi="宋体" w:eastAsia="宋体" w:cs="宋体"/>
          <w:bCs/>
          <w:sz w:val="28"/>
          <w:szCs w:val="28"/>
          <w:u w:val="single"/>
        </w:rPr>
      </w:pPr>
      <w:r>
        <w:rPr>
          <w:rFonts w:hint="eastAsia" w:ascii="宋体" w:hAnsi="宋体" w:eastAsia="宋体" w:cs="宋体"/>
          <w:sz w:val="28"/>
          <w:szCs w:val="28"/>
        </w:rPr>
        <w:t>地点：</w:t>
      </w:r>
      <w:r>
        <w:rPr>
          <w:rFonts w:hint="eastAsia" w:ascii="宋体" w:hAnsi="宋体" w:eastAsia="宋体" w:cs="宋体"/>
          <w:color w:val="auto"/>
          <w:kern w:val="2"/>
          <w:sz w:val="28"/>
          <w:szCs w:val="28"/>
          <w:highlight w:val="none"/>
          <w:shd w:val="clear" w:color="auto" w:fill="FFFFFF"/>
          <w:lang w:val="en-US" w:eastAsia="zh-CN" w:bidi="ar-SA"/>
        </w:rPr>
        <w:t>新疆政府采购网（http://www.ccgp-xinjiang.gov.cn）</w:t>
      </w:r>
    </w:p>
    <w:p w14:paraId="376EB1A2">
      <w:pPr>
        <w:keepNext/>
        <w:keepLines/>
        <w:widowControl w:val="0"/>
        <w:spacing w:line="240" w:lineRule="auto"/>
        <w:ind w:firstLine="0" w:firstLineChars="0"/>
        <w:jc w:val="both"/>
        <w:outlineLvl w:val="1"/>
        <w:rPr>
          <w:rFonts w:hint="eastAsia" w:ascii="宋体" w:hAnsi="宋体" w:eastAsia="宋体" w:cs="宋体"/>
          <w:b w:val="0"/>
          <w:bCs/>
          <w:kern w:val="2"/>
          <w:sz w:val="28"/>
          <w:szCs w:val="28"/>
          <w:lang w:val="en-US" w:eastAsia="zh-CN" w:bidi="ar-SA"/>
        </w:rPr>
      </w:pPr>
      <w:bookmarkStart w:id="24" w:name="_Toc28359016"/>
      <w:bookmarkStart w:id="25" w:name="_Toc35393802"/>
      <w:bookmarkStart w:id="26" w:name="_Toc28359093"/>
      <w:bookmarkStart w:id="27" w:name="_Toc35393633"/>
      <w:r>
        <w:rPr>
          <w:rFonts w:hint="eastAsia" w:ascii="宋体" w:hAnsi="宋体" w:eastAsia="宋体" w:cs="宋体"/>
          <w:b w:val="0"/>
          <w:bCs/>
          <w:kern w:val="2"/>
          <w:sz w:val="28"/>
          <w:szCs w:val="28"/>
          <w:lang w:val="en-US" w:eastAsia="zh-CN" w:bidi="ar-SA"/>
        </w:rPr>
        <w:t>五、开启</w:t>
      </w:r>
      <w:bookmarkEnd w:id="24"/>
      <w:bookmarkEnd w:id="25"/>
      <w:bookmarkEnd w:id="26"/>
      <w:bookmarkEnd w:id="27"/>
    </w:p>
    <w:p w14:paraId="067F3F7F">
      <w:pPr>
        <w:spacing w:line="240" w:lineRule="auto"/>
        <w:ind w:firstLine="560" w:firstLineChars="200"/>
        <w:rPr>
          <w:rFonts w:hint="eastAsia" w:ascii="宋体" w:hAnsi="宋体" w:eastAsia="宋体" w:cs="宋体"/>
          <w:bCs/>
          <w:sz w:val="28"/>
          <w:szCs w:val="28"/>
          <w:u w:val="single"/>
        </w:rPr>
      </w:pPr>
      <w:r>
        <w:rPr>
          <w:rFonts w:hint="eastAsia" w:ascii="宋体" w:hAnsi="宋体" w:eastAsia="宋体" w:cs="宋体"/>
          <w:sz w:val="28"/>
          <w:szCs w:val="28"/>
        </w:rPr>
        <w:t>时间：</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u w:val="single"/>
          <w:lang w:val="en-US" w:eastAsia="zh-CN"/>
        </w:rPr>
        <w:t>2025</w:t>
      </w:r>
      <w:r>
        <w:rPr>
          <w:rFonts w:hint="eastAsia" w:ascii="宋体" w:hAnsi="宋体" w:eastAsia="宋体" w:cs="宋体"/>
          <w:bCs/>
          <w:color w:val="0000FF"/>
          <w:sz w:val="28"/>
          <w:szCs w:val="28"/>
          <w:u w:val="single"/>
        </w:rPr>
        <w:t>年</w:t>
      </w:r>
      <w:r>
        <w:rPr>
          <w:rFonts w:hint="eastAsia" w:ascii="宋体" w:hAnsi="宋体" w:cs="宋体"/>
          <w:bCs/>
          <w:color w:val="0000FF"/>
          <w:sz w:val="28"/>
          <w:szCs w:val="28"/>
          <w:u w:val="single"/>
          <w:lang w:val="en-US" w:eastAsia="zh-CN"/>
        </w:rPr>
        <w:t>06</w:t>
      </w:r>
      <w:r>
        <w:rPr>
          <w:rFonts w:hint="eastAsia" w:ascii="宋体" w:hAnsi="宋体" w:eastAsia="宋体" w:cs="宋体"/>
          <w:bCs/>
          <w:color w:val="0000FF"/>
          <w:sz w:val="28"/>
          <w:szCs w:val="28"/>
          <w:u w:val="single"/>
        </w:rPr>
        <w:t xml:space="preserve">月 </w:t>
      </w:r>
      <w:r>
        <w:rPr>
          <w:rFonts w:hint="eastAsia" w:ascii="宋体" w:hAnsi="宋体" w:cs="宋体"/>
          <w:bCs/>
          <w:color w:val="0000FF"/>
          <w:sz w:val="28"/>
          <w:szCs w:val="28"/>
          <w:u w:val="single"/>
          <w:lang w:val="en-US" w:eastAsia="zh-CN"/>
        </w:rPr>
        <w:t>30</w:t>
      </w:r>
      <w:r>
        <w:rPr>
          <w:rFonts w:hint="eastAsia" w:ascii="宋体" w:hAnsi="宋体" w:eastAsia="宋体" w:cs="宋体"/>
          <w:bCs/>
          <w:color w:val="0000FF"/>
          <w:sz w:val="28"/>
          <w:szCs w:val="28"/>
          <w:u w:val="single"/>
        </w:rPr>
        <w:t xml:space="preserve"> 日  </w:t>
      </w:r>
      <w:r>
        <w:rPr>
          <w:rFonts w:hint="eastAsia" w:ascii="宋体" w:hAnsi="宋体" w:eastAsia="宋体" w:cs="宋体"/>
          <w:bCs/>
          <w:color w:val="0000FF"/>
          <w:sz w:val="28"/>
          <w:szCs w:val="28"/>
          <w:u w:val="single"/>
          <w:lang w:val="en-US" w:eastAsia="zh-CN"/>
        </w:rPr>
        <w:t>11</w:t>
      </w:r>
      <w:r>
        <w:rPr>
          <w:rFonts w:hint="eastAsia" w:ascii="宋体" w:hAnsi="宋体" w:eastAsia="宋体" w:cs="宋体"/>
          <w:bCs/>
          <w:color w:val="0000FF"/>
          <w:sz w:val="28"/>
          <w:szCs w:val="28"/>
          <w:u w:val="single"/>
        </w:rPr>
        <w:t xml:space="preserve">  点  </w:t>
      </w:r>
      <w:r>
        <w:rPr>
          <w:rFonts w:hint="eastAsia" w:ascii="宋体" w:hAnsi="宋体" w:eastAsia="宋体" w:cs="宋体"/>
          <w:bCs/>
          <w:color w:val="0000FF"/>
          <w:sz w:val="28"/>
          <w:szCs w:val="28"/>
          <w:u w:val="single"/>
          <w:lang w:val="en-US" w:eastAsia="zh-CN"/>
        </w:rPr>
        <w:t>30</w:t>
      </w:r>
      <w:r>
        <w:rPr>
          <w:rFonts w:hint="eastAsia" w:ascii="宋体" w:hAnsi="宋体" w:eastAsia="宋体" w:cs="宋体"/>
          <w:bCs/>
          <w:color w:val="0000FF"/>
          <w:sz w:val="28"/>
          <w:szCs w:val="28"/>
          <w:u w:val="single"/>
        </w:rPr>
        <w:t xml:space="preserve">  分</w:t>
      </w:r>
      <w:r>
        <w:rPr>
          <w:rFonts w:hint="eastAsia" w:ascii="宋体" w:hAnsi="宋体" w:eastAsia="宋体" w:cs="宋体"/>
          <w:bCs/>
          <w:color w:val="auto"/>
          <w:sz w:val="28"/>
          <w:szCs w:val="28"/>
        </w:rPr>
        <w:t>（</w:t>
      </w:r>
      <w:r>
        <w:rPr>
          <w:rFonts w:hint="eastAsia" w:ascii="宋体" w:hAnsi="宋体" w:eastAsia="宋体" w:cs="宋体"/>
          <w:bCs/>
          <w:sz w:val="28"/>
          <w:szCs w:val="28"/>
        </w:rPr>
        <w:t>北京时间）</w:t>
      </w:r>
    </w:p>
    <w:p w14:paraId="24E91FBD">
      <w:pPr>
        <w:ind w:firstLine="560" w:firstLineChars="200"/>
        <w:rPr>
          <w:rFonts w:hint="default" w:ascii="宋体" w:hAnsi="宋体" w:eastAsia="宋体" w:cs="宋体"/>
          <w:bCs/>
          <w:sz w:val="28"/>
          <w:szCs w:val="28"/>
          <w:u w:val="single"/>
          <w:lang w:val="en-US" w:eastAsia="zh-CN"/>
        </w:rPr>
      </w:pPr>
      <w:r>
        <w:rPr>
          <w:rFonts w:hint="eastAsia" w:ascii="宋体" w:hAnsi="宋体" w:eastAsia="宋体" w:cs="宋体"/>
          <w:sz w:val="28"/>
          <w:szCs w:val="28"/>
        </w:rPr>
        <w:t>地点：</w:t>
      </w:r>
      <w:r>
        <w:rPr>
          <w:rFonts w:hint="eastAsia" w:ascii="宋体" w:hAnsi="宋体" w:eastAsia="宋体" w:cs="宋体"/>
          <w:color w:val="auto"/>
          <w:kern w:val="2"/>
          <w:sz w:val="28"/>
          <w:szCs w:val="28"/>
          <w:highlight w:val="none"/>
          <w:shd w:val="clear" w:color="auto" w:fill="FFFFFF"/>
          <w:lang w:val="en-US" w:eastAsia="zh-CN" w:bidi="ar-SA"/>
        </w:rPr>
        <w:t>新疆政府采购网（http://www.ccgp-xinjiang.gov.cn）</w:t>
      </w:r>
    </w:p>
    <w:p w14:paraId="3C6B0D58">
      <w:pPr>
        <w:keepNext/>
        <w:keepLines/>
        <w:widowControl w:val="0"/>
        <w:spacing w:line="240" w:lineRule="auto"/>
        <w:ind w:firstLine="0" w:firstLineChars="0"/>
        <w:jc w:val="both"/>
        <w:outlineLvl w:val="1"/>
        <w:rPr>
          <w:rFonts w:hint="eastAsia" w:ascii="宋体" w:hAnsi="宋体" w:eastAsia="宋体" w:cs="宋体"/>
          <w:b w:val="0"/>
          <w:bCs/>
          <w:kern w:val="2"/>
          <w:sz w:val="28"/>
          <w:szCs w:val="28"/>
          <w:lang w:val="en-US" w:eastAsia="zh-CN" w:bidi="ar-SA"/>
        </w:rPr>
      </w:pPr>
      <w:bookmarkStart w:id="28" w:name="_Toc35393634"/>
      <w:bookmarkStart w:id="29" w:name="_Toc35393803"/>
      <w:bookmarkStart w:id="30" w:name="_Toc28359017"/>
      <w:bookmarkStart w:id="31" w:name="_Toc28359094"/>
      <w:r>
        <w:rPr>
          <w:rFonts w:hint="eastAsia" w:ascii="宋体" w:hAnsi="宋体" w:eastAsia="宋体" w:cs="宋体"/>
          <w:b w:val="0"/>
          <w:bCs/>
          <w:kern w:val="2"/>
          <w:sz w:val="28"/>
          <w:szCs w:val="28"/>
          <w:lang w:val="en-US" w:eastAsia="zh-CN" w:bidi="ar-SA"/>
        </w:rPr>
        <w:t>六、公告期限</w:t>
      </w:r>
      <w:bookmarkEnd w:id="28"/>
      <w:bookmarkEnd w:id="29"/>
      <w:bookmarkEnd w:id="30"/>
      <w:bookmarkEnd w:id="31"/>
    </w:p>
    <w:p w14:paraId="3AE5CA43">
      <w:pPr>
        <w:spacing w:line="24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自本公告发布之日起3个工作日。</w:t>
      </w:r>
    </w:p>
    <w:p w14:paraId="009F310F">
      <w:pPr>
        <w:keepNext/>
        <w:keepLines/>
        <w:widowControl w:val="0"/>
        <w:numPr>
          <w:ilvl w:val="0"/>
          <w:numId w:val="1"/>
        </w:numPr>
        <w:spacing w:line="240" w:lineRule="auto"/>
        <w:ind w:firstLine="0" w:firstLineChars="0"/>
        <w:jc w:val="both"/>
        <w:outlineLvl w:val="1"/>
        <w:rPr>
          <w:rFonts w:hint="eastAsia" w:ascii="宋体" w:hAnsi="宋体" w:eastAsia="宋体" w:cs="宋体"/>
          <w:b w:val="0"/>
          <w:bCs/>
          <w:kern w:val="2"/>
          <w:sz w:val="28"/>
          <w:szCs w:val="28"/>
          <w:lang w:val="en-US" w:eastAsia="zh-CN" w:bidi="ar-SA"/>
        </w:rPr>
      </w:pPr>
      <w:bookmarkStart w:id="32" w:name="_Toc35393635"/>
      <w:bookmarkStart w:id="33" w:name="_Toc35393804"/>
      <w:r>
        <w:rPr>
          <w:rFonts w:hint="eastAsia" w:ascii="宋体" w:hAnsi="宋体" w:eastAsia="宋体" w:cs="宋体"/>
          <w:b w:val="0"/>
          <w:bCs/>
          <w:kern w:val="2"/>
          <w:sz w:val="28"/>
          <w:szCs w:val="28"/>
          <w:lang w:val="en-US" w:eastAsia="zh-CN" w:bidi="ar-SA"/>
        </w:rPr>
        <w:t>其他补充事宜</w:t>
      </w:r>
      <w:bookmarkEnd w:id="32"/>
      <w:bookmarkEnd w:id="33"/>
    </w:p>
    <w:p w14:paraId="69197E59">
      <w:pPr>
        <w:spacing w:line="24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1、本公告同时在新疆政府采购网、阿克苏地区行政公署网、柯坪县人民政府网发布； </w:t>
      </w:r>
    </w:p>
    <w:p w14:paraId="7261F4C0">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2、请投标单位随时关注本项目的澄清、答疑、变更事项。 </w:t>
      </w:r>
    </w:p>
    <w:p w14:paraId="2E441374">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3、本项目实行电子招投标，供应商须登录政采云平台申请获取采购文件，并需要使用CA锁，登录政采云电子投标客户端制作投标文件，若供应商参与投标,自行承担与投标有关的一切费用。</w:t>
      </w:r>
    </w:p>
    <w:p w14:paraId="3F939DA1">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4、各供应商应在开标前确保是新疆维吾尔自治区政府采购网正式注册入库的供应商，并完成CA数字证书申领。因未注册入库、未办理CA数字证书等原因造成无法投标或投标失败等后果的由供应商自行承担。 </w:t>
      </w:r>
    </w:p>
    <w:p w14:paraId="3338AC12">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14:paraId="25091ED1">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 6.供应商在开标时须携带制作加密电子投标文件所使用的CA锁，电脑须提前配置好浏览器（建议使用360浏览器或谷歌浏览器），以便开标时在线解密。</w:t>
      </w:r>
    </w:p>
    <w:p w14:paraId="2763265D">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7.投标供应商应当在投标截止时间前，将生成的“电子加密投标文件”上传递交至“政府采购云平台”，投标截止时间以后上传递交的投标文件将被“政府采购云平台”拒收。  </w:t>
      </w:r>
    </w:p>
    <w:p w14:paraId="257F5505">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特别提示：</w:t>
      </w:r>
    </w:p>
    <w:p w14:paraId="1217788E">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1、采购限额标准以上，200万元以下的货物和服务采购项目、400万元以下的工程采购项目，适宜由中小企业提供的，采购人应当专门面向中小企业采购。</w:t>
      </w:r>
    </w:p>
    <w:p w14:paraId="4C0F66A0">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2、超过200万元的货物和服务采购项目，预留该部分采购项目预算总额的30%以上专门面向中小企业采购，其中预留给小微企业的比例不低于60%。</w:t>
      </w:r>
    </w:p>
    <w:p w14:paraId="42D11B4F">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3、超过400万元的工程采购项目中适宜由中小企业提供的，预留该部分采购项目预算总额的40%以上专门面向中小企业采购，其中预留给小微企业的比例不低于60%。</w:t>
      </w:r>
    </w:p>
    <w:p w14:paraId="22CE4440">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46AAA7">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39678F3">
      <w:pPr>
        <w:keepNext/>
        <w:keepLines/>
        <w:widowControl w:val="0"/>
        <w:spacing w:before="260" w:after="260" w:line="360" w:lineRule="auto"/>
        <w:jc w:val="both"/>
        <w:outlineLvl w:val="1"/>
        <w:rPr>
          <w:rFonts w:hint="eastAsia" w:ascii="宋体" w:hAnsi="宋体" w:eastAsia="宋体" w:cs="宋体"/>
          <w:b w:val="0"/>
          <w:bCs/>
          <w:kern w:val="2"/>
          <w:sz w:val="28"/>
          <w:szCs w:val="28"/>
          <w:lang w:val="en-US" w:eastAsia="zh-CN" w:bidi="ar-SA"/>
        </w:rPr>
      </w:pPr>
      <w:bookmarkStart w:id="34" w:name="_Toc28359018"/>
      <w:bookmarkStart w:id="35" w:name="_Toc28359095"/>
      <w:bookmarkStart w:id="36" w:name="_Toc35393636"/>
      <w:bookmarkStart w:id="37" w:name="_Toc35393805"/>
      <w:r>
        <w:rPr>
          <w:rFonts w:hint="eastAsia" w:ascii="宋体" w:hAnsi="宋体" w:eastAsia="宋体" w:cs="宋体"/>
          <w:b w:val="0"/>
          <w:bCs/>
          <w:kern w:val="2"/>
          <w:sz w:val="28"/>
          <w:szCs w:val="28"/>
          <w:lang w:val="en-US" w:eastAsia="zh-CN" w:bidi="ar-SA"/>
        </w:rPr>
        <w:t>八、凡对本次采购提出询问，请按以下方式联系。</w:t>
      </w:r>
      <w:bookmarkEnd w:id="34"/>
      <w:bookmarkEnd w:id="35"/>
      <w:bookmarkEnd w:id="36"/>
      <w:bookmarkEnd w:id="37"/>
    </w:p>
    <w:p w14:paraId="1FC5563A">
      <w:pPr>
        <w:keepNext/>
        <w:keepLines/>
        <w:widowControl w:val="0"/>
        <w:spacing w:before="260" w:after="260" w:line="360" w:lineRule="auto"/>
        <w:jc w:val="both"/>
        <w:outlineLvl w:val="1"/>
        <w:rPr>
          <w:rFonts w:hint="eastAsia" w:ascii="宋体" w:hAnsi="宋体" w:eastAsia="宋体" w:cs="宋体"/>
          <w:b w:val="0"/>
          <w:bCs/>
          <w:kern w:val="2"/>
          <w:sz w:val="28"/>
          <w:szCs w:val="28"/>
          <w:lang w:val="en-US" w:eastAsia="zh-CN" w:bidi="ar-SA"/>
        </w:rPr>
      </w:pPr>
      <w:bookmarkStart w:id="38" w:name="_Toc28359019"/>
      <w:bookmarkStart w:id="39" w:name="_Toc35393637"/>
      <w:bookmarkStart w:id="40" w:name="_Toc35393806"/>
      <w:bookmarkStart w:id="41" w:name="_Toc28359096"/>
      <w:r>
        <w:rPr>
          <w:rFonts w:hint="eastAsia" w:ascii="宋体" w:hAnsi="宋体" w:eastAsia="宋体" w:cs="宋体"/>
          <w:b w:val="0"/>
          <w:bCs/>
          <w:kern w:val="2"/>
          <w:sz w:val="28"/>
          <w:szCs w:val="28"/>
          <w:lang w:val="en-US" w:eastAsia="zh-CN" w:bidi="ar-SA"/>
        </w:rPr>
        <w:t>1.采购人信息</w:t>
      </w:r>
      <w:bookmarkEnd w:id="38"/>
      <w:bookmarkEnd w:id="39"/>
      <w:bookmarkEnd w:id="40"/>
      <w:bookmarkEnd w:id="41"/>
    </w:p>
    <w:p w14:paraId="72CB9CFF">
      <w:pPr>
        <w:spacing w:line="360" w:lineRule="auto"/>
        <w:jc w:val="left"/>
        <w:rPr>
          <w:rFonts w:hint="eastAsia" w:ascii="宋体" w:hAnsi="宋体" w:eastAsia="宋体" w:cs="宋体"/>
          <w:sz w:val="28"/>
          <w:szCs w:val="28"/>
          <w:u w:val="single"/>
          <w:lang w:eastAsia="zh-CN"/>
        </w:rPr>
      </w:pPr>
      <w:r>
        <w:rPr>
          <w:rFonts w:hint="eastAsia" w:ascii="宋体" w:hAnsi="宋体" w:eastAsia="宋体" w:cs="宋体"/>
          <w:sz w:val="28"/>
          <w:szCs w:val="28"/>
        </w:rPr>
        <w:t>名    称：</w:t>
      </w:r>
      <w:r>
        <w:rPr>
          <w:rFonts w:hint="eastAsia" w:ascii="宋体" w:hAnsi="宋体" w:eastAsia="宋体" w:cs="宋体"/>
          <w:sz w:val="28"/>
          <w:szCs w:val="28"/>
          <w:u w:val="single"/>
          <w:lang w:eastAsia="zh-CN"/>
        </w:rPr>
        <w:t>柯坪县住建交通运输局</w:t>
      </w:r>
    </w:p>
    <w:p w14:paraId="780BBFFE">
      <w:pPr>
        <w:spacing w:line="360" w:lineRule="auto"/>
        <w:jc w:val="left"/>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i w:val="0"/>
          <w:iCs w:val="0"/>
          <w:caps w:val="0"/>
          <w:color w:val="000000"/>
          <w:spacing w:val="0"/>
          <w:sz w:val="28"/>
          <w:szCs w:val="28"/>
          <w:u w:val="single"/>
          <w:shd w:val="clear" w:fill="FFFFFF"/>
        </w:rPr>
        <w:t>柯坪县解放路16号</w:t>
      </w:r>
      <w:r>
        <w:rPr>
          <w:rFonts w:hint="eastAsia" w:ascii="宋体" w:hAnsi="宋体" w:eastAsia="宋体" w:cs="宋体"/>
          <w:sz w:val="28"/>
          <w:szCs w:val="28"/>
          <w:u w:val="single"/>
        </w:rPr>
        <w:t>　</w:t>
      </w:r>
    </w:p>
    <w:p w14:paraId="5C544F9C">
      <w:pPr>
        <w:spacing w:line="360" w:lineRule="auto"/>
        <w:jc w:val="left"/>
        <w:rPr>
          <w:rFonts w:hint="eastAsia" w:ascii="宋体" w:hAnsi="宋体" w:eastAsia="宋体" w:cs="宋体"/>
          <w:sz w:val="28"/>
          <w:szCs w:val="28"/>
          <w:u w:val="none"/>
        </w:rPr>
      </w:pPr>
      <w:r>
        <w:rPr>
          <w:rFonts w:hint="eastAsia" w:ascii="宋体" w:hAnsi="宋体" w:eastAsia="宋体" w:cs="宋体"/>
          <w:sz w:val="28"/>
          <w:szCs w:val="28"/>
        </w:rPr>
        <w:t>联系方式：</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19390572197</w:t>
      </w:r>
      <w:r>
        <w:rPr>
          <w:rFonts w:hint="eastAsia" w:ascii="宋体" w:hAnsi="宋体" w:eastAsia="宋体" w:cs="宋体"/>
          <w:sz w:val="28"/>
          <w:szCs w:val="28"/>
          <w:u w:val="single"/>
        </w:rPr>
        <w:t>　　</w:t>
      </w:r>
      <w:r>
        <w:rPr>
          <w:rFonts w:hint="eastAsia" w:ascii="宋体" w:hAnsi="宋体" w:eastAsia="宋体" w:cs="宋体"/>
          <w:sz w:val="28"/>
          <w:szCs w:val="28"/>
          <w:u w:val="none"/>
        </w:rPr>
        <w:t xml:space="preserve">　　　　　 　　　 </w:t>
      </w:r>
    </w:p>
    <w:p w14:paraId="62900359">
      <w:pPr>
        <w:keepNext/>
        <w:keepLines/>
        <w:widowControl w:val="0"/>
        <w:spacing w:before="260" w:after="260" w:line="360" w:lineRule="auto"/>
        <w:jc w:val="both"/>
        <w:outlineLvl w:val="1"/>
        <w:rPr>
          <w:rFonts w:hint="eastAsia" w:ascii="宋体" w:hAnsi="宋体" w:eastAsia="宋体" w:cs="宋体"/>
          <w:b w:val="0"/>
          <w:bCs/>
          <w:kern w:val="2"/>
          <w:sz w:val="28"/>
          <w:szCs w:val="28"/>
          <w:u w:val="none"/>
          <w:lang w:val="en-US" w:eastAsia="zh-CN" w:bidi="ar-SA"/>
        </w:rPr>
      </w:pPr>
      <w:bookmarkStart w:id="42" w:name="_Toc28359020"/>
      <w:bookmarkStart w:id="43" w:name="_Toc35393807"/>
      <w:bookmarkStart w:id="44" w:name="_Toc35393638"/>
      <w:bookmarkStart w:id="45" w:name="_Toc28359097"/>
      <w:r>
        <w:rPr>
          <w:rFonts w:hint="eastAsia" w:ascii="宋体" w:hAnsi="宋体" w:eastAsia="宋体" w:cs="宋体"/>
          <w:b w:val="0"/>
          <w:bCs/>
          <w:kern w:val="2"/>
          <w:sz w:val="28"/>
          <w:szCs w:val="28"/>
          <w:u w:val="none"/>
          <w:lang w:val="en-US" w:eastAsia="zh-CN" w:bidi="ar-SA"/>
        </w:rPr>
        <w:t>2.采购代理机构信息</w:t>
      </w:r>
      <w:bookmarkEnd w:id="42"/>
      <w:bookmarkEnd w:id="43"/>
      <w:bookmarkEnd w:id="44"/>
      <w:bookmarkEnd w:id="45"/>
    </w:p>
    <w:p w14:paraId="5873EED4">
      <w:pPr>
        <w:spacing w:line="360" w:lineRule="auto"/>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lang w:val="en-US" w:eastAsia="zh-CN"/>
        </w:rPr>
        <w:t>新疆佰隆工程项目管理有限公司</w:t>
      </w:r>
      <w:r>
        <w:rPr>
          <w:rFonts w:hint="eastAsia" w:ascii="宋体" w:hAnsi="宋体" w:eastAsia="宋体" w:cs="宋体"/>
          <w:sz w:val="28"/>
          <w:szCs w:val="28"/>
          <w:u w:val="single"/>
        </w:rPr>
        <w:t>　</w:t>
      </w:r>
    </w:p>
    <w:p w14:paraId="674FEAC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地　　址：</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新疆阿克苏地区柯坪县民主路幸福一期小区10栋2单元201室</w:t>
      </w:r>
      <w:r>
        <w:rPr>
          <w:rFonts w:hint="eastAsia" w:ascii="宋体" w:hAnsi="宋体" w:eastAsia="宋体" w:cs="宋体"/>
          <w:sz w:val="28"/>
          <w:szCs w:val="28"/>
          <w:u w:val="single"/>
        </w:rPr>
        <w:t>　　　　　　</w:t>
      </w:r>
    </w:p>
    <w:p w14:paraId="04DAE704">
      <w:pPr>
        <w:spacing w:line="360" w:lineRule="auto"/>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17699752110</w:t>
      </w:r>
      <w:r>
        <w:rPr>
          <w:rFonts w:hint="eastAsia" w:ascii="宋体" w:hAnsi="宋体" w:eastAsia="宋体" w:cs="宋体"/>
          <w:sz w:val="28"/>
          <w:szCs w:val="28"/>
          <w:u w:val="single"/>
        </w:rPr>
        <w:t>　　　</w:t>
      </w:r>
    </w:p>
    <w:p w14:paraId="03595682">
      <w:pPr>
        <w:keepNext/>
        <w:keepLines/>
        <w:widowControl w:val="0"/>
        <w:spacing w:before="260" w:after="260" w:line="360" w:lineRule="auto"/>
        <w:jc w:val="both"/>
        <w:outlineLvl w:val="1"/>
        <w:rPr>
          <w:rFonts w:hint="eastAsia" w:ascii="宋体" w:hAnsi="宋体" w:eastAsia="宋体" w:cs="宋体"/>
          <w:b w:val="0"/>
          <w:bCs/>
          <w:kern w:val="2"/>
          <w:sz w:val="28"/>
          <w:szCs w:val="28"/>
          <w:lang w:val="en-US" w:eastAsia="zh-CN" w:bidi="ar-SA"/>
        </w:rPr>
      </w:pPr>
      <w:bookmarkStart w:id="46" w:name="_Toc35393808"/>
      <w:bookmarkStart w:id="47" w:name="_Toc35393639"/>
      <w:bookmarkStart w:id="48" w:name="_Toc28359021"/>
      <w:bookmarkStart w:id="49" w:name="_Toc28359098"/>
      <w:r>
        <w:rPr>
          <w:rFonts w:hint="eastAsia" w:ascii="宋体" w:hAnsi="宋体" w:eastAsia="宋体" w:cs="宋体"/>
          <w:b w:val="0"/>
          <w:bCs/>
          <w:kern w:val="2"/>
          <w:sz w:val="28"/>
          <w:szCs w:val="28"/>
          <w:lang w:val="en-US" w:eastAsia="zh-CN" w:bidi="ar-SA"/>
        </w:rPr>
        <w:t>3.项目联系方式</w:t>
      </w:r>
      <w:bookmarkEnd w:id="46"/>
      <w:bookmarkEnd w:id="47"/>
      <w:bookmarkEnd w:id="48"/>
      <w:bookmarkEnd w:id="49"/>
    </w:p>
    <w:p w14:paraId="525B5995">
      <w:pPr>
        <w:widowControl w:val="0"/>
        <w:spacing w:line="360" w:lineRule="auto"/>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项目联系人：</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i/>
          <w:kern w:val="2"/>
          <w:sz w:val="28"/>
          <w:szCs w:val="28"/>
          <w:u w:val="single"/>
          <w:lang w:val="en-US" w:eastAsia="zh-CN" w:bidi="ar-SA"/>
        </w:rPr>
        <w:t xml:space="preserve">辛艳           </w:t>
      </w:r>
    </w:p>
    <w:p w14:paraId="7A68AD7C">
      <w:r>
        <w:rPr>
          <w:rFonts w:hint="eastAsia" w:ascii="宋体" w:hAnsi="宋体" w:eastAsia="宋体" w:cs="宋体"/>
          <w:sz w:val="28"/>
          <w:szCs w:val="28"/>
        </w:rPr>
        <w:t>电　　 话：</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17699752110</w:t>
      </w:r>
      <w:r>
        <w:rPr>
          <w:rFonts w:hint="eastAsia" w:ascii="宋体" w:hAnsi="宋体" w:eastAsia="宋体" w:cs="宋体"/>
          <w:sz w:val="28"/>
          <w:szCs w:val="28"/>
          <w:u w:val="single"/>
        </w:rPr>
        <w:t>　　　</w:t>
      </w:r>
    </w:p>
    <w:p w14:paraId="6D3E1687">
      <w:pPr>
        <w:pStyle w:val="2"/>
      </w:pPr>
    </w:p>
    <w:p w14:paraId="7EE893A0">
      <w:pPr>
        <w:numPr>
          <w:ilvl w:val="0"/>
          <w:numId w:val="0"/>
        </w:numPr>
        <w:jc w:val="center"/>
        <w:outlineLvl w:val="0"/>
        <w:rPr>
          <w:rFonts w:hint="eastAsia" w:ascii="宋体" w:hAnsi="宋体" w:eastAsia="宋体" w:cs="宋体"/>
          <w:b/>
          <w:bCs w:val="0"/>
          <w:sz w:val="24"/>
          <w:szCs w:val="24"/>
          <w:highlight w:val="none"/>
        </w:rPr>
      </w:pPr>
      <w:r>
        <w:rPr>
          <w:rFonts w:hint="eastAsia"/>
          <w:b/>
          <w:bCs/>
          <w:sz w:val="30"/>
          <w:szCs w:val="30"/>
          <w:lang w:eastAsia="zh-CN"/>
        </w:rPr>
        <w:t>第二章</w:t>
      </w:r>
      <w:r>
        <w:rPr>
          <w:rFonts w:hint="eastAsia"/>
          <w:b/>
          <w:bCs/>
          <w:sz w:val="30"/>
          <w:szCs w:val="30"/>
          <w:lang w:val="en-US" w:eastAsia="zh-CN"/>
        </w:rPr>
        <w:t xml:space="preserve"> </w:t>
      </w:r>
      <w:r>
        <w:rPr>
          <w:rFonts w:hint="eastAsia"/>
          <w:b/>
          <w:bCs/>
          <w:sz w:val="30"/>
          <w:szCs w:val="30"/>
        </w:rPr>
        <w:t>磋商须知</w:t>
      </w:r>
    </w:p>
    <w:p w14:paraId="3AE7DEA3">
      <w:pPr>
        <w:pStyle w:val="2"/>
        <w:numPr>
          <w:ilvl w:val="0"/>
          <w:numId w:val="0"/>
        </w:numPr>
        <w:jc w:val="both"/>
        <w:rPr>
          <w:sz w:val="24"/>
          <w:szCs w:val="24"/>
        </w:rPr>
      </w:pPr>
      <w:r>
        <w:rPr>
          <w:rFonts w:hint="eastAsia" w:ascii="宋体" w:hAnsi="宋体" w:eastAsia="宋体" w:cs="宋体"/>
          <w:b/>
          <w:bCs w:val="0"/>
          <w:sz w:val="24"/>
          <w:szCs w:val="24"/>
          <w:highlight w:val="none"/>
          <w:lang w:eastAsia="zh-CN"/>
        </w:rPr>
        <w:t>一、</w:t>
      </w:r>
      <w:r>
        <w:rPr>
          <w:rFonts w:hint="eastAsia" w:ascii="宋体" w:hAnsi="宋体" w:eastAsia="宋体" w:cs="宋体"/>
          <w:b/>
          <w:bCs w:val="0"/>
          <w:sz w:val="24"/>
          <w:szCs w:val="24"/>
          <w:highlight w:val="none"/>
        </w:rPr>
        <w:t>磋商须知前附表</w:t>
      </w:r>
    </w:p>
    <w:tbl>
      <w:tblPr>
        <w:tblStyle w:val="16"/>
        <w:tblpPr w:leftFromText="180" w:rightFromText="180" w:vertAnchor="text" w:horzAnchor="page" w:tblpX="1825" w:tblpY="574"/>
        <w:tblOverlap w:val="never"/>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175"/>
        <w:gridCol w:w="5946"/>
      </w:tblGrid>
      <w:tr w14:paraId="3BEA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76B4B9A7">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bookmarkStart w:id="50" w:name="_Toc17069"/>
            <w:r>
              <w:rPr>
                <w:rFonts w:hint="eastAsia" w:ascii="宋体" w:hAnsi="宋体" w:eastAsia="宋体" w:cs="宋体"/>
                <w:b/>
                <w:bCs/>
                <w:color w:val="000000"/>
                <w:kern w:val="0"/>
                <w:sz w:val="24"/>
                <w:szCs w:val="24"/>
                <w:lang w:val="en-US" w:eastAsia="zh-CN" w:bidi="ar"/>
              </w:rPr>
              <w:t>项号</w:t>
            </w:r>
          </w:p>
        </w:tc>
        <w:tc>
          <w:tcPr>
            <w:tcW w:w="2175" w:type="dxa"/>
          </w:tcPr>
          <w:p w14:paraId="58538257">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内 容</w:t>
            </w:r>
          </w:p>
        </w:tc>
        <w:tc>
          <w:tcPr>
            <w:tcW w:w="5946" w:type="dxa"/>
          </w:tcPr>
          <w:p w14:paraId="7E1E8B6C">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说明及要求</w:t>
            </w:r>
          </w:p>
        </w:tc>
      </w:tr>
      <w:tr w14:paraId="6DF9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restart"/>
          </w:tcPr>
          <w:p w14:paraId="1AD0102B">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4311811A">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2358819C">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4EBDB88C">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w:t>
            </w:r>
          </w:p>
          <w:p w14:paraId="12E3273A">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2D26A23B">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项目名称</w:t>
            </w:r>
          </w:p>
        </w:tc>
        <w:tc>
          <w:tcPr>
            <w:tcW w:w="5946" w:type="dxa"/>
          </w:tcPr>
          <w:p w14:paraId="15CB9E5F">
            <w:pPr>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sz w:val="24"/>
                <w:szCs w:val="24"/>
                <w:lang w:eastAsia="zh-CN"/>
              </w:rPr>
              <w:t>柯坪县</w:t>
            </w:r>
            <w:r>
              <w:rPr>
                <w:rFonts w:hint="eastAsia" w:ascii="宋体" w:hAnsi="宋体" w:eastAsia="宋体" w:cs="宋体"/>
                <w:b/>
                <w:bCs/>
                <w:sz w:val="24"/>
                <w:szCs w:val="24"/>
                <w:lang w:val="en-US" w:eastAsia="zh-CN"/>
              </w:rPr>
              <w:t>2025年中央对地方成品油税费改革转移支付用于农村公路养护项目</w:t>
            </w:r>
          </w:p>
        </w:tc>
      </w:tr>
      <w:tr w14:paraId="2EBE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43A66875">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702C0282">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项目编号</w:t>
            </w:r>
          </w:p>
        </w:tc>
        <w:tc>
          <w:tcPr>
            <w:tcW w:w="5946" w:type="dxa"/>
          </w:tcPr>
          <w:p w14:paraId="3B7E5586">
            <w:pPr>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分KPXZCY2025-0049</w:t>
            </w:r>
          </w:p>
        </w:tc>
      </w:tr>
      <w:tr w14:paraId="48D6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3B23E24C">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11CF1DF6">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交付（实施）地点</w:t>
            </w:r>
          </w:p>
        </w:tc>
        <w:tc>
          <w:tcPr>
            <w:tcW w:w="5946" w:type="dxa"/>
          </w:tcPr>
          <w:p w14:paraId="553D6CEC">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柯坪县</w:t>
            </w:r>
          </w:p>
        </w:tc>
      </w:tr>
      <w:tr w14:paraId="23DE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649AFB26">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372E2CD9">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采购方式</w:t>
            </w:r>
          </w:p>
        </w:tc>
        <w:tc>
          <w:tcPr>
            <w:tcW w:w="5946" w:type="dxa"/>
          </w:tcPr>
          <w:p w14:paraId="29585D84">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竞争性磋商</w:t>
            </w:r>
          </w:p>
        </w:tc>
      </w:tr>
      <w:tr w14:paraId="45F8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2C5FCB26">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38ECD5AC">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AB072B4">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项目标的所属行业、项目属性</w:t>
            </w:r>
          </w:p>
        </w:tc>
        <w:tc>
          <w:tcPr>
            <w:tcW w:w="5946" w:type="dxa"/>
          </w:tcPr>
          <w:p w14:paraId="476A70DC">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依据工信部联企业〔2011〕300 号，工业和信息化部、统计局、发展改革委、财政部关于印发中小企业划型标准规定的通知</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本项目标的所属行业：“</w:t>
            </w:r>
            <w:r>
              <w:rPr>
                <w:rFonts w:hint="eastAsia" w:ascii="宋体" w:hAnsi="宋体" w:cs="宋体"/>
                <w:b/>
                <w:bCs/>
                <w:color w:val="000000"/>
                <w:kern w:val="0"/>
                <w:sz w:val="24"/>
                <w:szCs w:val="24"/>
                <w:lang w:val="en-US" w:eastAsia="zh-CN" w:bidi="ar"/>
              </w:rPr>
              <w:t>工程类：</w:t>
            </w:r>
            <w:r>
              <w:rPr>
                <w:rFonts w:hint="eastAsia" w:ascii="宋体" w:hAnsi="宋体" w:cs="宋体"/>
                <w:b/>
                <w:bCs/>
                <w:color w:val="0000FF"/>
                <w:kern w:val="0"/>
                <w:sz w:val="24"/>
                <w:szCs w:val="24"/>
                <w:u w:val="single"/>
                <w:lang w:val="en-US" w:eastAsia="zh-CN" w:bidi="ar"/>
              </w:rPr>
              <w:t xml:space="preserve"> </w:t>
            </w:r>
            <w:r>
              <w:rPr>
                <w:rFonts w:hint="eastAsia" w:ascii="宋体" w:hAnsi="宋体" w:cs="宋体"/>
                <w:b/>
                <w:bCs/>
                <w:color w:val="auto"/>
                <w:kern w:val="0"/>
                <w:sz w:val="24"/>
                <w:szCs w:val="24"/>
                <w:u w:val="single"/>
                <w:lang w:val="en-US" w:eastAsia="zh-CN" w:bidi="ar"/>
              </w:rPr>
              <w:t xml:space="preserve"> 建筑业 </w:t>
            </w:r>
            <w:r>
              <w:rPr>
                <w:rFonts w:hint="eastAsia" w:ascii="宋体" w:hAnsi="宋体" w:eastAsia="宋体" w:cs="宋体"/>
                <w:b w:val="0"/>
                <w:bCs w:val="0"/>
                <w:color w:val="000000"/>
                <w:kern w:val="0"/>
                <w:sz w:val="24"/>
                <w:szCs w:val="24"/>
                <w:lang w:val="en-US" w:eastAsia="zh-CN" w:bidi="ar"/>
              </w:rPr>
              <w:t>”。</w:t>
            </w:r>
          </w:p>
        </w:tc>
      </w:tr>
      <w:tr w14:paraId="5A57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439E4B4F">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5B3F1108">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资格审查方式</w:t>
            </w:r>
          </w:p>
        </w:tc>
        <w:tc>
          <w:tcPr>
            <w:tcW w:w="5946" w:type="dxa"/>
          </w:tcPr>
          <w:p w14:paraId="49529DFD">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lang w:val="en-US" w:eastAsia="zh-CN" w:bidi="ar"/>
              </w:rPr>
              <w:t>资格后审</w:t>
            </w:r>
          </w:p>
        </w:tc>
      </w:tr>
      <w:tr w14:paraId="1D02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5C870100">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16222FD6">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资金来源</w:t>
            </w:r>
          </w:p>
        </w:tc>
        <w:tc>
          <w:tcPr>
            <w:tcW w:w="5946" w:type="dxa"/>
          </w:tcPr>
          <w:p w14:paraId="262B3892">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cs="宋体"/>
                <w:b w:val="0"/>
                <w:bCs w:val="0"/>
                <w:color w:val="000000"/>
                <w:kern w:val="0"/>
                <w:sz w:val="24"/>
                <w:szCs w:val="24"/>
                <w:vertAlign w:val="baseline"/>
                <w:lang w:val="en-US" w:eastAsia="zh-CN" w:bidi="ar"/>
              </w:rPr>
              <w:t>财政拨款</w:t>
            </w:r>
          </w:p>
        </w:tc>
      </w:tr>
      <w:tr w14:paraId="2206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7746612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7B91A3AE">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采购单位</w:t>
            </w:r>
          </w:p>
        </w:tc>
        <w:tc>
          <w:tcPr>
            <w:tcW w:w="5946" w:type="dxa"/>
          </w:tcPr>
          <w:p w14:paraId="18702ADC">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柯坪县住建交通运输局</w:t>
            </w:r>
          </w:p>
        </w:tc>
      </w:tr>
      <w:tr w14:paraId="3C7E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21A7E36B">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3F50EC3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采购代理机构</w:t>
            </w:r>
          </w:p>
        </w:tc>
        <w:tc>
          <w:tcPr>
            <w:tcW w:w="5946" w:type="dxa"/>
          </w:tcPr>
          <w:p w14:paraId="37732545">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cs="宋体"/>
                <w:b/>
                <w:bCs/>
                <w:color w:val="000000"/>
                <w:kern w:val="0"/>
                <w:sz w:val="24"/>
                <w:szCs w:val="24"/>
                <w:vertAlign w:val="baseline"/>
                <w:lang w:val="en-US" w:eastAsia="zh-CN" w:bidi="ar"/>
              </w:rPr>
              <w:t>新疆佰隆工程项目管理有限公司</w:t>
            </w:r>
          </w:p>
        </w:tc>
      </w:tr>
      <w:tr w14:paraId="7E4E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vMerge w:val="continue"/>
          </w:tcPr>
          <w:p w14:paraId="155F7021">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7DEDA8C0">
            <w:pPr>
              <w:keepNext w:val="0"/>
              <w:keepLines w:val="0"/>
              <w:widowControl/>
              <w:suppressLineNumbers w:val="0"/>
              <w:spacing w:line="360" w:lineRule="auto"/>
              <w:jc w:val="left"/>
              <w:rPr>
                <w:rFonts w:hint="eastAsia" w:ascii="宋体" w:hAnsi="宋体" w:cs="宋体"/>
                <w:b/>
                <w:bCs/>
                <w:color w:val="000000"/>
                <w:kern w:val="0"/>
                <w:sz w:val="24"/>
                <w:szCs w:val="24"/>
                <w:lang w:val="en-US" w:eastAsia="zh-CN" w:bidi="ar"/>
              </w:rPr>
            </w:pPr>
          </w:p>
          <w:p w14:paraId="18479E12">
            <w:pPr>
              <w:keepNext w:val="0"/>
              <w:keepLines w:val="0"/>
              <w:widowControl/>
              <w:suppressLineNumbers w:val="0"/>
              <w:spacing w:line="360" w:lineRule="auto"/>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招标代理服务费</w:t>
            </w:r>
          </w:p>
        </w:tc>
        <w:tc>
          <w:tcPr>
            <w:tcW w:w="5946" w:type="dxa"/>
          </w:tcPr>
          <w:p w14:paraId="400E4282">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按照发改价格〔2015〕299号通知要求，参照国家计委计价格〔2002〕1980号文及发改价格〔2011〕534号文的标准执行。招标代理服务费由</w:t>
            </w:r>
            <w:r>
              <w:rPr>
                <w:rFonts w:hint="eastAsia" w:ascii="宋体" w:hAnsi="宋体" w:cs="宋体"/>
                <w:b w:val="0"/>
                <w:bCs w:val="0"/>
                <w:color w:val="000000"/>
                <w:kern w:val="0"/>
                <w:sz w:val="24"/>
                <w:szCs w:val="24"/>
                <w:vertAlign w:val="baseline"/>
                <w:lang w:val="en-US" w:eastAsia="zh-CN" w:bidi="ar"/>
              </w:rPr>
              <w:t>三方协议</w:t>
            </w:r>
            <w:r>
              <w:rPr>
                <w:rFonts w:hint="eastAsia" w:ascii="宋体" w:hAnsi="宋体" w:eastAsia="宋体" w:cs="宋体"/>
                <w:b w:val="0"/>
                <w:bCs w:val="0"/>
                <w:color w:val="000000"/>
                <w:kern w:val="0"/>
                <w:sz w:val="24"/>
                <w:szCs w:val="24"/>
                <w:vertAlign w:val="baseline"/>
                <w:lang w:val="en-US" w:eastAsia="zh-CN" w:bidi="ar"/>
              </w:rPr>
              <w:t>支付。</w:t>
            </w:r>
          </w:p>
        </w:tc>
      </w:tr>
      <w:tr w14:paraId="5A5D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31" w:type="dxa"/>
            <w:vMerge w:val="continue"/>
          </w:tcPr>
          <w:p w14:paraId="0EDBBA46">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tc>
        <w:tc>
          <w:tcPr>
            <w:tcW w:w="2175" w:type="dxa"/>
          </w:tcPr>
          <w:p w14:paraId="03E35C5B">
            <w:pPr>
              <w:keepNext w:val="0"/>
              <w:keepLines w:val="0"/>
              <w:widowControl/>
              <w:suppressLineNumbers w:val="0"/>
              <w:spacing w:line="360" w:lineRule="auto"/>
              <w:jc w:val="left"/>
              <w:rPr>
                <w:rFonts w:hint="eastAsia" w:ascii="宋体" w:hAnsi="宋体" w:cs="宋体"/>
                <w:b/>
                <w:bCs/>
                <w:color w:val="000000"/>
                <w:kern w:val="0"/>
                <w:sz w:val="24"/>
                <w:szCs w:val="24"/>
                <w:lang w:val="en-US" w:eastAsia="zh-CN" w:bidi="ar"/>
              </w:rPr>
            </w:pPr>
          </w:p>
          <w:p w14:paraId="20E9810F">
            <w:pPr>
              <w:keepNext w:val="0"/>
              <w:keepLines w:val="0"/>
              <w:widowControl/>
              <w:suppressLineNumbers w:val="0"/>
              <w:spacing w:line="360" w:lineRule="auto"/>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公证费</w:t>
            </w:r>
          </w:p>
        </w:tc>
        <w:tc>
          <w:tcPr>
            <w:tcW w:w="5946" w:type="dxa"/>
          </w:tcPr>
          <w:p w14:paraId="217269BA">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auto"/>
                <w:sz w:val="24"/>
                <w:szCs w:val="24"/>
                <w:highlight w:val="none"/>
                <w:lang w:eastAsia="zh-CN"/>
              </w:rPr>
              <w:t>公证由</w:t>
            </w:r>
            <w:r>
              <w:rPr>
                <w:rFonts w:hint="eastAsia" w:ascii="宋体" w:hAnsi="宋体" w:cs="宋体"/>
                <w:color w:val="auto"/>
                <w:sz w:val="24"/>
                <w:szCs w:val="24"/>
                <w:highlight w:val="none"/>
                <w:lang w:eastAsia="zh-CN"/>
              </w:rPr>
              <w:t>业主单位</w:t>
            </w:r>
            <w:r>
              <w:rPr>
                <w:rFonts w:hint="eastAsia" w:ascii="宋体" w:hAnsi="宋体" w:eastAsia="宋体" w:cs="宋体"/>
                <w:color w:val="auto"/>
                <w:sz w:val="24"/>
                <w:szCs w:val="24"/>
                <w:highlight w:val="none"/>
                <w:lang w:eastAsia="zh-CN"/>
              </w:rPr>
              <w:t>委托，并由</w:t>
            </w:r>
            <w:r>
              <w:rPr>
                <w:rFonts w:hint="eastAsia" w:ascii="宋体" w:hAnsi="宋体" w:cs="宋体"/>
                <w:color w:val="auto"/>
                <w:sz w:val="24"/>
                <w:szCs w:val="24"/>
                <w:highlight w:val="none"/>
                <w:lang w:eastAsia="zh-CN"/>
              </w:rPr>
              <w:t>业主单位与招标代理公司协商，并</w:t>
            </w:r>
            <w:r>
              <w:rPr>
                <w:rFonts w:hint="eastAsia" w:ascii="宋体" w:hAnsi="宋体" w:eastAsia="宋体" w:cs="宋体"/>
                <w:color w:val="auto"/>
                <w:sz w:val="24"/>
                <w:szCs w:val="24"/>
                <w:highlight w:val="none"/>
                <w:lang w:eastAsia="zh-CN"/>
              </w:rPr>
              <w:t>按规定支付公证费用。</w:t>
            </w:r>
          </w:p>
        </w:tc>
      </w:tr>
      <w:tr w14:paraId="5384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31" w:type="dxa"/>
          </w:tcPr>
          <w:p w14:paraId="590CE7F6">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w:t>
            </w:r>
          </w:p>
        </w:tc>
        <w:tc>
          <w:tcPr>
            <w:tcW w:w="2175" w:type="dxa"/>
          </w:tcPr>
          <w:p w14:paraId="4CE445A0">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采购内容</w:t>
            </w:r>
          </w:p>
        </w:tc>
        <w:tc>
          <w:tcPr>
            <w:tcW w:w="5946" w:type="dxa"/>
          </w:tcPr>
          <w:p w14:paraId="79B3D70F">
            <w:pPr>
              <w:keepNext w:val="0"/>
              <w:keepLines w:val="0"/>
              <w:widowControl/>
              <w:suppressLineNumbers w:val="0"/>
              <w:spacing w:line="360" w:lineRule="auto"/>
              <w:ind w:firstLine="560" w:firstLineChars="200"/>
              <w:jc w:val="left"/>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sz w:val="28"/>
                <w:szCs w:val="28"/>
              </w:rPr>
              <w:t>修建路肩、整修边坡、处理沥青裂缝、修补沥青路面、维修沥青路面啃边、清理排水设施、完善标线、安装标志牌、警示桩、爆闪灯等</w:t>
            </w:r>
            <w:r>
              <w:rPr>
                <w:rFonts w:hint="eastAsia" w:ascii="宋体" w:hAnsi="宋体" w:cs="宋体"/>
                <w:b w:val="0"/>
                <w:bCs w:val="0"/>
                <w:color w:val="000000"/>
                <w:kern w:val="0"/>
                <w:sz w:val="24"/>
                <w:szCs w:val="24"/>
                <w:vertAlign w:val="baseline"/>
                <w:lang w:val="en-US" w:eastAsia="zh-CN" w:bidi="ar"/>
              </w:rPr>
              <w:t>。</w:t>
            </w:r>
          </w:p>
        </w:tc>
      </w:tr>
      <w:tr w14:paraId="77AB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tcPr>
          <w:p w14:paraId="52EA9708">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3</w:t>
            </w:r>
          </w:p>
        </w:tc>
        <w:tc>
          <w:tcPr>
            <w:tcW w:w="2175" w:type="dxa"/>
          </w:tcPr>
          <w:p w14:paraId="59B95F34">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质量要求</w:t>
            </w:r>
          </w:p>
        </w:tc>
        <w:tc>
          <w:tcPr>
            <w:tcW w:w="5946" w:type="dxa"/>
          </w:tcPr>
          <w:p w14:paraId="516B659A">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合格</w:t>
            </w:r>
          </w:p>
        </w:tc>
      </w:tr>
      <w:tr w14:paraId="5A23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1" w:type="dxa"/>
          </w:tcPr>
          <w:p w14:paraId="52090AB5">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4</w:t>
            </w:r>
          </w:p>
        </w:tc>
        <w:tc>
          <w:tcPr>
            <w:tcW w:w="2175" w:type="dxa"/>
          </w:tcPr>
          <w:p w14:paraId="6B821AA9">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合同履约期限</w:t>
            </w:r>
          </w:p>
        </w:tc>
        <w:tc>
          <w:tcPr>
            <w:tcW w:w="5946" w:type="dxa"/>
          </w:tcPr>
          <w:p w14:paraId="39B30928">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 xml:space="preserve"> </w:t>
            </w:r>
            <w:r>
              <w:rPr>
                <w:rFonts w:hint="eastAsia" w:ascii="宋体" w:hAnsi="宋体" w:eastAsia="宋体" w:cs="宋体"/>
                <w:b/>
                <w:bCs/>
                <w:color w:val="auto"/>
                <w:kern w:val="0"/>
                <w:sz w:val="24"/>
                <w:szCs w:val="24"/>
                <w:vertAlign w:val="baseline"/>
                <w:lang w:val="en-US" w:eastAsia="zh-CN" w:bidi="ar"/>
              </w:rPr>
              <w:t xml:space="preserve"> </w:t>
            </w:r>
            <w:r>
              <w:rPr>
                <w:rFonts w:hint="eastAsia" w:ascii="宋体" w:hAnsi="宋体" w:cs="宋体"/>
                <w:b/>
                <w:bCs/>
                <w:color w:val="auto"/>
                <w:kern w:val="0"/>
                <w:sz w:val="24"/>
                <w:szCs w:val="24"/>
                <w:vertAlign w:val="baseline"/>
                <w:lang w:val="en-US" w:eastAsia="zh-CN" w:bidi="ar"/>
              </w:rPr>
              <w:t>90</w:t>
            </w:r>
            <w:r>
              <w:rPr>
                <w:rFonts w:hint="eastAsia" w:ascii="宋体" w:hAnsi="宋体" w:eastAsia="宋体" w:cs="宋体"/>
                <w:b/>
                <w:bCs/>
                <w:color w:val="auto"/>
                <w:kern w:val="0"/>
                <w:sz w:val="24"/>
                <w:szCs w:val="24"/>
                <w:vertAlign w:val="baseline"/>
                <w:lang w:val="en-US" w:eastAsia="zh-CN" w:bidi="ar"/>
              </w:rPr>
              <w:t>日历日</w:t>
            </w:r>
          </w:p>
        </w:tc>
      </w:tr>
      <w:tr w14:paraId="2275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31" w:type="dxa"/>
          </w:tcPr>
          <w:p w14:paraId="275FB1F0">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5</w:t>
            </w:r>
          </w:p>
        </w:tc>
        <w:tc>
          <w:tcPr>
            <w:tcW w:w="2175" w:type="dxa"/>
          </w:tcPr>
          <w:p w14:paraId="42C1210E">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项目概况</w:t>
            </w:r>
          </w:p>
        </w:tc>
        <w:tc>
          <w:tcPr>
            <w:tcW w:w="5946" w:type="dxa"/>
          </w:tcPr>
          <w:p w14:paraId="6C76533B">
            <w:pPr>
              <w:keepNext w:val="0"/>
              <w:keepLines w:val="0"/>
              <w:widowControl/>
              <w:suppressLineNumbers w:val="0"/>
              <w:spacing w:line="360" w:lineRule="auto"/>
              <w:ind w:firstLine="480" w:firstLineChars="20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详见磋商文件“采购需求”</w:t>
            </w:r>
          </w:p>
        </w:tc>
      </w:tr>
      <w:tr w14:paraId="3DF0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31" w:type="dxa"/>
          </w:tcPr>
          <w:p w14:paraId="278F3E7A">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32068D8A">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025DA986">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6</w:t>
            </w:r>
          </w:p>
        </w:tc>
        <w:tc>
          <w:tcPr>
            <w:tcW w:w="2175" w:type="dxa"/>
          </w:tcPr>
          <w:p w14:paraId="043916A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27BBC4C0">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4B5D1539">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报价说明</w:t>
            </w:r>
          </w:p>
        </w:tc>
        <w:tc>
          <w:tcPr>
            <w:tcW w:w="5946" w:type="dxa"/>
          </w:tcPr>
          <w:p w14:paraId="214BD9C0">
            <w:pPr>
              <w:keepNext w:val="0"/>
              <w:keepLines w:val="0"/>
              <w:widowControl/>
              <w:suppressLineNumbers w:val="0"/>
              <w:spacing w:line="360" w:lineRule="auto"/>
              <w:jc w:val="left"/>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（响应报价）包含：包括服务价款、税金、人工工资及社保、招标代理服务费等为完成采购需求工作的全部含税费用。（详见磋商文件“磋商须知”“采购需求”）</w:t>
            </w:r>
          </w:p>
        </w:tc>
      </w:tr>
      <w:tr w14:paraId="1788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1851FF7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3D1B2D2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0A90B2C4">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37AC73E7">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654A8379">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03A851A9">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1348DC2B">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7</w:t>
            </w:r>
          </w:p>
        </w:tc>
        <w:tc>
          <w:tcPr>
            <w:tcW w:w="2175" w:type="dxa"/>
          </w:tcPr>
          <w:p w14:paraId="0A1DDA40">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7EE2BAE">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28EE5199">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2D046108">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6825AA5">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0E80A799">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0DE865FA">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供应商资质条件</w:t>
            </w:r>
          </w:p>
        </w:tc>
        <w:tc>
          <w:tcPr>
            <w:tcW w:w="5946" w:type="dxa"/>
          </w:tcPr>
          <w:p w14:paraId="0CDD66A3">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（1）具备有效的营业执照，法人代表或其委托代理人应提交本人身份证，委托代理人还应提交《法人代表授权委托书》；</w:t>
            </w:r>
          </w:p>
          <w:p w14:paraId="27549232">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（2）投标人须具备公路工程施工总承包三级(含)以上资质及有效的安全生产许可证；</w:t>
            </w:r>
          </w:p>
          <w:p w14:paraId="373D2339">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（3）项目负责人需具备公路工程二级建造师资格(含)以上注册建造师资格，且未担任其他在施建设工程项目的项目经理，具备有效的安全生产考核合格证书；</w:t>
            </w:r>
          </w:p>
          <w:p w14:paraId="79F9473D">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（4）单位负责人为同一人或者存在直接控股、管理关系的不同供应商，不得参加同一合同项下的政府采购活动。</w:t>
            </w:r>
          </w:p>
        </w:tc>
      </w:tr>
      <w:tr w14:paraId="22A3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tcPr>
          <w:p w14:paraId="5042A3BC">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51AC91A5">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4D09B4D1">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4B51C0F0">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8</w:t>
            </w:r>
          </w:p>
        </w:tc>
        <w:tc>
          <w:tcPr>
            <w:tcW w:w="2175" w:type="dxa"/>
          </w:tcPr>
          <w:p w14:paraId="3063E4EB">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2ACB6C4D">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25C6307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3CBA9D56">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磋商文件获取</w:t>
            </w:r>
          </w:p>
        </w:tc>
        <w:tc>
          <w:tcPr>
            <w:tcW w:w="5946" w:type="dxa"/>
          </w:tcPr>
          <w:p w14:paraId="60743DC7">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供应商登陆政采云平 http://www.zcygov.cn/在线申请获取（登录政府采购云平台→项目采购→获取竞争性磋商文件→申请，审核通过后可下载竞争性磋商文件，如有操作性问题，可与政采云在线客服进行咨询，咨询电话：</w:t>
            </w:r>
            <w:r>
              <w:rPr>
                <w:rFonts w:hint="eastAsia" w:ascii="宋体" w:hAnsi="宋体" w:eastAsia="宋体" w:cs="宋体"/>
                <w:color w:val="000000"/>
                <w:kern w:val="0"/>
                <w:sz w:val="24"/>
                <w:szCs w:val="24"/>
                <w:lang w:val="en-US" w:eastAsia="zh-CN" w:bidi="ar"/>
              </w:rPr>
              <w:t>95763 和 400-881-7190</w:t>
            </w:r>
            <w:r>
              <w:rPr>
                <w:rFonts w:hint="eastAsia" w:ascii="宋体" w:hAnsi="宋体" w:eastAsia="宋体" w:cs="宋体"/>
                <w:b/>
                <w:bCs/>
                <w:color w:val="000000"/>
                <w:kern w:val="0"/>
                <w:sz w:val="24"/>
                <w:szCs w:val="24"/>
                <w:lang w:val="en-US" w:eastAsia="zh-CN" w:bidi="ar"/>
              </w:rPr>
              <w:t>）。 本次采购项目磋商评审会议，供应商不需提供纸质版响应文件。</w:t>
            </w:r>
          </w:p>
        </w:tc>
      </w:tr>
      <w:tr w14:paraId="5E7C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6674E1B2">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9</w:t>
            </w:r>
          </w:p>
        </w:tc>
        <w:tc>
          <w:tcPr>
            <w:tcW w:w="2175" w:type="dxa"/>
          </w:tcPr>
          <w:p w14:paraId="2DC20B93">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磋商文件售价</w:t>
            </w:r>
          </w:p>
        </w:tc>
        <w:tc>
          <w:tcPr>
            <w:tcW w:w="5946" w:type="dxa"/>
          </w:tcPr>
          <w:p w14:paraId="12B470F2">
            <w:pPr>
              <w:keepNext w:val="0"/>
              <w:keepLines w:val="0"/>
              <w:widowControl/>
              <w:suppressLineNumbers w:val="0"/>
              <w:spacing w:line="360" w:lineRule="auto"/>
              <w:ind w:firstLine="482" w:firstLineChars="200"/>
              <w:jc w:val="left"/>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0元</w:t>
            </w:r>
          </w:p>
        </w:tc>
      </w:tr>
      <w:tr w14:paraId="7D06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4ACD8029">
            <w:pPr>
              <w:keepNext w:val="0"/>
              <w:keepLines w:val="0"/>
              <w:widowControl/>
              <w:suppressLineNumbers w:val="0"/>
              <w:spacing w:line="360" w:lineRule="auto"/>
              <w:jc w:val="both"/>
              <w:rPr>
                <w:rFonts w:hint="eastAsia" w:ascii="宋体" w:hAnsi="宋体" w:eastAsia="宋体" w:cs="宋体"/>
                <w:b/>
                <w:bCs/>
                <w:color w:val="000000"/>
                <w:kern w:val="0"/>
                <w:sz w:val="24"/>
                <w:szCs w:val="24"/>
                <w:vertAlign w:val="baseline"/>
                <w:lang w:val="en-US" w:eastAsia="zh-CN" w:bidi="ar"/>
              </w:rPr>
            </w:pPr>
          </w:p>
          <w:p w14:paraId="61BF406A">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10</w:t>
            </w:r>
          </w:p>
        </w:tc>
        <w:tc>
          <w:tcPr>
            <w:tcW w:w="2175" w:type="dxa"/>
          </w:tcPr>
          <w:p w14:paraId="0648B7F6">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p>
          <w:p w14:paraId="27E8B0BC">
            <w:pPr>
              <w:keepNext w:val="0"/>
              <w:keepLines w:val="0"/>
              <w:widowControl/>
              <w:suppressLineNumbers w:val="0"/>
              <w:spacing w:line="360" w:lineRule="auto"/>
              <w:jc w:val="both"/>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签字和（或）盖章要求</w:t>
            </w:r>
          </w:p>
        </w:tc>
        <w:tc>
          <w:tcPr>
            <w:tcW w:w="5946" w:type="dxa"/>
          </w:tcPr>
          <w:p w14:paraId="5011CEB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企业公章、法人章</w:t>
            </w:r>
          </w:p>
          <w:p w14:paraId="66CF07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(1)磋商申请、供应商资格声明、法定代表人身份证明或授权书应由法定代表人或其授权代表签字（或盖章），并加盖单位章；</w:t>
            </w:r>
          </w:p>
          <w:p w14:paraId="4D657C0F">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sz w:val="24"/>
                <w:szCs w:val="24"/>
                <w:highlight w:val="none"/>
              </w:rPr>
              <w:t>(2)其他证明供应商资格的文件或证明材料应为加盖出具单位章的有效文件</w:t>
            </w:r>
            <w:r>
              <w:rPr>
                <w:rFonts w:hint="eastAsia" w:ascii="宋体" w:hAnsi="宋体" w:eastAsia="宋体" w:cs="宋体"/>
                <w:sz w:val="24"/>
                <w:szCs w:val="24"/>
                <w:highlight w:val="none"/>
                <w:lang w:eastAsia="zh-CN"/>
              </w:rPr>
              <w:t>。</w:t>
            </w:r>
          </w:p>
        </w:tc>
      </w:tr>
      <w:tr w14:paraId="0F7A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31" w:type="dxa"/>
          </w:tcPr>
          <w:p w14:paraId="29ACC331">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11</w:t>
            </w:r>
          </w:p>
        </w:tc>
        <w:tc>
          <w:tcPr>
            <w:tcW w:w="2175" w:type="dxa"/>
          </w:tcPr>
          <w:p w14:paraId="1BFDA0E0">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响应报价</w:t>
            </w:r>
          </w:p>
        </w:tc>
        <w:tc>
          <w:tcPr>
            <w:tcW w:w="5946" w:type="dxa"/>
          </w:tcPr>
          <w:p w14:paraId="151D5C93">
            <w:pPr>
              <w:keepNext w:val="0"/>
              <w:keepLines w:val="0"/>
              <w:widowControl/>
              <w:suppressLineNumbers w:val="0"/>
              <w:spacing w:line="360" w:lineRule="auto"/>
              <w:ind w:firstLine="480" w:firstLineChars="20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响应报价方式：</w:t>
            </w:r>
            <w:r>
              <w:rPr>
                <w:rFonts w:hint="eastAsia" w:ascii="宋体" w:hAnsi="宋体" w:eastAsia="宋体" w:cs="宋体"/>
                <w:b/>
                <w:bCs/>
                <w:color w:val="000000"/>
                <w:kern w:val="0"/>
                <w:sz w:val="24"/>
                <w:szCs w:val="24"/>
                <w:lang w:val="en-US" w:eastAsia="zh-CN" w:bidi="ar"/>
              </w:rPr>
              <w:t>直接报价</w:t>
            </w:r>
            <w:r>
              <w:rPr>
                <w:rFonts w:hint="eastAsia" w:ascii="宋体" w:hAnsi="宋体" w:eastAsia="宋体" w:cs="宋体"/>
                <w:color w:val="000000"/>
                <w:kern w:val="0"/>
                <w:sz w:val="24"/>
                <w:szCs w:val="24"/>
                <w:lang w:val="en-US" w:eastAsia="zh-CN" w:bidi="ar"/>
              </w:rPr>
              <w:t>（响应报价应包含税金及本项目所产生的全部费用）</w:t>
            </w:r>
          </w:p>
        </w:tc>
      </w:tr>
      <w:tr w14:paraId="0A09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31" w:type="dxa"/>
          </w:tcPr>
          <w:p w14:paraId="26A2C258">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12</w:t>
            </w:r>
          </w:p>
        </w:tc>
        <w:tc>
          <w:tcPr>
            <w:tcW w:w="2175" w:type="dxa"/>
          </w:tcPr>
          <w:p w14:paraId="4B08EE52">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磋商轮次</w:t>
            </w:r>
          </w:p>
        </w:tc>
        <w:tc>
          <w:tcPr>
            <w:tcW w:w="5946" w:type="dxa"/>
          </w:tcPr>
          <w:p w14:paraId="0739E971">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一轮磋商二次报价（第二次报价为最终报价） </w:t>
            </w:r>
          </w:p>
          <w:p w14:paraId="3106E55F">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（供应商提交首次响应文件中的报价为首次报价）</w:t>
            </w:r>
          </w:p>
        </w:tc>
      </w:tr>
      <w:tr w14:paraId="747C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537297B5">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13</w:t>
            </w:r>
          </w:p>
        </w:tc>
        <w:tc>
          <w:tcPr>
            <w:tcW w:w="2175" w:type="dxa"/>
          </w:tcPr>
          <w:p w14:paraId="54AE3F11">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磋商保证金</w:t>
            </w:r>
          </w:p>
        </w:tc>
        <w:tc>
          <w:tcPr>
            <w:tcW w:w="5946" w:type="dxa"/>
          </w:tcPr>
          <w:p w14:paraId="0B7AD2D7">
            <w:pPr>
              <w:keepNext w:val="0"/>
              <w:keepLines w:val="0"/>
              <w:widowControl/>
              <w:suppressLineNumbers w:val="0"/>
              <w:spacing w:line="360" w:lineRule="auto"/>
              <w:ind w:firstLine="241" w:firstLineChars="10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无</w:t>
            </w:r>
          </w:p>
        </w:tc>
      </w:tr>
      <w:tr w14:paraId="4ACA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31" w:type="dxa"/>
          </w:tcPr>
          <w:p w14:paraId="5C91A719">
            <w:pPr>
              <w:keepNext w:val="0"/>
              <w:keepLines w:val="0"/>
              <w:widowControl/>
              <w:suppressLineNumbers w:val="0"/>
              <w:spacing w:line="360" w:lineRule="auto"/>
              <w:jc w:val="both"/>
              <w:rPr>
                <w:rFonts w:hint="eastAsia" w:ascii="宋体" w:hAnsi="宋体" w:eastAsia="宋体" w:cs="宋体"/>
                <w:b/>
                <w:bCs/>
                <w:color w:val="000000"/>
                <w:kern w:val="0"/>
                <w:sz w:val="24"/>
                <w:szCs w:val="24"/>
                <w:vertAlign w:val="baseline"/>
                <w:lang w:val="en-US" w:eastAsia="zh-CN" w:bidi="ar"/>
              </w:rPr>
            </w:pPr>
          </w:p>
          <w:p w14:paraId="420E63A0">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14</w:t>
            </w:r>
          </w:p>
        </w:tc>
        <w:tc>
          <w:tcPr>
            <w:tcW w:w="2175" w:type="dxa"/>
          </w:tcPr>
          <w:p w14:paraId="4BE63425">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响应文件（电子加密文件）递交</w:t>
            </w:r>
          </w:p>
        </w:tc>
        <w:tc>
          <w:tcPr>
            <w:tcW w:w="5946" w:type="dxa"/>
          </w:tcPr>
          <w:p w14:paraId="6DD885EE">
            <w:pPr>
              <w:keepNext w:val="0"/>
              <w:keepLines w:val="0"/>
              <w:widowControl/>
              <w:suppressLineNumbers w:val="0"/>
              <w:spacing w:line="360" w:lineRule="auto"/>
              <w:ind w:firstLine="241" w:firstLineChars="100"/>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截止时间：</w:t>
            </w:r>
            <w:r>
              <w:rPr>
                <w:rFonts w:hint="eastAsia" w:ascii="宋体" w:hAnsi="宋体" w:eastAsia="宋体" w:cs="宋体"/>
                <w:b/>
                <w:bCs/>
                <w:color w:val="0000FF"/>
                <w:kern w:val="0"/>
                <w:sz w:val="24"/>
                <w:szCs w:val="24"/>
                <w:lang w:val="en-US" w:eastAsia="zh-CN" w:bidi="ar"/>
              </w:rPr>
              <w:t>202</w:t>
            </w:r>
            <w:r>
              <w:rPr>
                <w:rFonts w:hint="eastAsia" w:ascii="宋体" w:hAnsi="宋体" w:cs="宋体"/>
                <w:b/>
                <w:bCs/>
                <w:color w:val="0000FF"/>
                <w:kern w:val="0"/>
                <w:sz w:val="24"/>
                <w:szCs w:val="24"/>
                <w:lang w:val="en-US" w:eastAsia="zh-CN" w:bidi="ar"/>
              </w:rPr>
              <w:t>5</w:t>
            </w:r>
            <w:r>
              <w:rPr>
                <w:rFonts w:hint="eastAsia" w:ascii="宋体" w:hAnsi="宋体" w:eastAsia="宋体" w:cs="宋体"/>
                <w:b/>
                <w:bCs/>
                <w:color w:val="0000FF"/>
                <w:kern w:val="0"/>
                <w:sz w:val="24"/>
                <w:szCs w:val="24"/>
                <w:lang w:val="en-US" w:eastAsia="zh-CN" w:bidi="ar"/>
              </w:rPr>
              <w:t>年</w:t>
            </w:r>
            <w:r>
              <w:rPr>
                <w:rFonts w:hint="eastAsia" w:ascii="宋体" w:hAnsi="宋体" w:cs="宋体"/>
                <w:b/>
                <w:bCs/>
                <w:color w:val="0000FF"/>
                <w:kern w:val="0"/>
                <w:sz w:val="24"/>
                <w:szCs w:val="24"/>
                <w:lang w:val="en-US" w:eastAsia="zh-CN" w:bidi="ar"/>
              </w:rPr>
              <w:t>06</w:t>
            </w:r>
            <w:r>
              <w:rPr>
                <w:rFonts w:hint="eastAsia" w:ascii="宋体" w:hAnsi="宋体" w:eastAsia="宋体" w:cs="宋体"/>
                <w:b/>
                <w:bCs/>
                <w:color w:val="0000FF"/>
                <w:kern w:val="0"/>
                <w:sz w:val="24"/>
                <w:szCs w:val="24"/>
                <w:lang w:val="en-US" w:eastAsia="zh-CN" w:bidi="ar"/>
              </w:rPr>
              <w:t>月</w:t>
            </w:r>
            <w:r>
              <w:rPr>
                <w:rFonts w:hint="eastAsia" w:ascii="宋体" w:hAnsi="宋体" w:cs="宋体"/>
                <w:b/>
                <w:bCs/>
                <w:color w:val="0000FF"/>
                <w:kern w:val="0"/>
                <w:sz w:val="24"/>
                <w:szCs w:val="24"/>
                <w:lang w:val="en-US" w:eastAsia="zh-CN" w:bidi="ar"/>
              </w:rPr>
              <w:t>30</w:t>
            </w:r>
            <w:r>
              <w:rPr>
                <w:rFonts w:hint="eastAsia" w:ascii="宋体" w:hAnsi="宋体" w:eastAsia="宋体" w:cs="宋体"/>
                <w:b/>
                <w:bCs/>
                <w:color w:val="0000FF"/>
                <w:kern w:val="0"/>
                <w:sz w:val="24"/>
                <w:szCs w:val="24"/>
                <w:lang w:val="en-US" w:eastAsia="zh-CN" w:bidi="ar"/>
              </w:rPr>
              <w:t xml:space="preserve">日 11 时 </w:t>
            </w:r>
            <w:r>
              <w:rPr>
                <w:rFonts w:hint="eastAsia" w:ascii="宋体" w:hAnsi="宋体" w:cs="宋体"/>
                <w:b/>
                <w:bCs/>
                <w:color w:val="0000FF"/>
                <w:kern w:val="0"/>
                <w:sz w:val="24"/>
                <w:szCs w:val="24"/>
                <w:lang w:val="en-US" w:eastAsia="zh-CN" w:bidi="ar"/>
              </w:rPr>
              <w:t>30</w:t>
            </w:r>
            <w:r>
              <w:rPr>
                <w:rFonts w:hint="eastAsia" w:ascii="宋体" w:hAnsi="宋体" w:eastAsia="宋体" w:cs="宋体"/>
                <w:b/>
                <w:bCs/>
                <w:color w:val="0000FF"/>
                <w:kern w:val="0"/>
                <w:sz w:val="24"/>
                <w:szCs w:val="24"/>
                <w:lang w:val="en-US" w:eastAsia="zh-CN" w:bidi="ar"/>
              </w:rPr>
              <w:t xml:space="preserve"> 分</w:t>
            </w:r>
            <w:r>
              <w:rPr>
                <w:rFonts w:hint="eastAsia" w:ascii="宋体" w:hAnsi="宋体" w:eastAsia="宋体" w:cs="宋体"/>
                <w:b/>
                <w:bCs/>
                <w:color w:val="000000"/>
                <w:kern w:val="0"/>
                <w:sz w:val="24"/>
                <w:szCs w:val="24"/>
                <w:lang w:val="en-US" w:eastAsia="zh-CN" w:bidi="ar"/>
              </w:rPr>
              <w:t xml:space="preserve">（北京时间） </w:t>
            </w:r>
          </w:p>
          <w:p w14:paraId="5122EBD1">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地点：新疆政府采购网政采云平台（www.zcygov.cn）</w:t>
            </w:r>
          </w:p>
        </w:tc>
      </w:tr>
      <w:tr w14:paraId="4139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31" w:type="dxa"/>
          </w:tcPr>
          <w:p w14:paraId="64546D8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1D0A5016">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15</w:t>
            </w:r>
          </w:p>
        </w:tc>
        <w:tc>
          <w:tcPr>
            <w:tcW w:w="2175" w:type="dxa"/>
          </w:tcPr>
          <w:p w14:paraId="0164ED7C">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D36E76E">
            <w:pPr>
              <w:keepNext w:val="0"/>
              <w:keepLines w:val="0"/>
              <w:widowControl/>
              <w:suppressLineNumbers w:val="0"/>
              <w:spacing w:line="360" w:lineRule="auto"/>
              <w:jc w:val="left"/>
              <w:rPr>
                <w:rFonts w:hint="eastAsia"/>
                <w:lang w:val="en-US" w:eastAsia="zh-CN"/>
              </w:rPr>
            </w:pPr>
            <w:r>
              <w:rPr>
                <w:rFonts w:hint="eastAsia" w:ascii="宋体" w:hAnsi="宋体" w:cs="宋体"/>
                <w:b/>
                <w:bCs/>
                <w:color w:val="000000"/>
                <w:kern w:val="0"/>
                <w:sz w:val="24"/>
                <w:szCs w:val="24"/>
                <w:lang w:val="en-US" w:eastAsia="zh-CN" w:bidi="ar"/>
              </w:rPr>
              <w:t>标后提交</w:t>
            </w:r>
            <w:r>
              <w:rPr>
                <w:rFonts w:hint="eastAsia" w:ascii="宋体" w:hAnsi="宋体" w:eastAsia="宋体" w:cs="宋体"/>
                <w:b/>
                <w:bCs/>
                <w:color w:val="000000"/>
                <w:kern w:val="0"/>
                <w:sz w:val="24"/>
                <w:szCs w:val="24"/>
                <w:lang w:val="en-US" w:eastAsia="zh-CN" w:bidi="ar"/>
              </w:rPr>
              <w:t>响应文件份数</w:t>
            </w:r>
          </w:p>
        </w:tc>
        <w:tc>
          <w:tcPr>
            <w:tcW w:w="5946" w:type="dxa"/>
          </w:tcPr>
          <w:p w14:paraId="1B1136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投标文件包括：本项目为不见面电子评</w:t>
            </w:r>
            <w:r>
              <w:rPr>
                <w:rFonts w:hint="eastAsia" w:ascii="宋体" w:hAnsi="宋体" w:eastAsia="宋体" w:cs="宋体"/>
                <w:b/>
                <w:sz w:val="28"/>
                <w:szCs w:val="28"/>
                <w:highlight w:val="none"/>
                <w:lang w:eastAsia="zh-CN"/>
              </w:rPr>
              <w:t>标</w:t>
            </w:r>
          </w:p>
          <w:p w14:paraId="1CC5645B">
            <w:pPr>
              <w:keepNext w:val="0"/>
              <w:keepLines w:val="0"/>
              <w:widowControl/>
              <w:suppressLineNumbers w:val="0"/>
              <w:spacing w:line="360" w:lineRule="auto"/>
              <w:jc w:val="left"/>
              <w:rPr>
                <w:rFonts w:hint="eastAsia" w:ascii="宋体" w:hAnsi="宋体" w:cs="宋体"/>
                <w:b/>
                <w:sz w:val="28"/>
                <w:szCs w:val="28"/>
                <w:highlight w:val="none"/>
                <w:lang w:eastAsia="zh-CN"/>
              </w:rPr>
            </w:pPr>
            <w:r>
              <w:rPr>
                <w:rFonts w:hint="eastAsia" w:ascii="宋体" w:hAnsi="宋体" w:cs="宋体"/>
                <w:b/>
                <w:sz w:val="28"/>
                <w:szCs w:val="28"/>
                <w:highlight w:val="none"/>
                <w:lang w:eastAsia="zh-CN"/>
              </w:rPr>
              <w:t>纸质标书</w:t>
            </w:r>
            <w:r>
              <w:rPr>
                <w:rFonts w:hint="eastAsia" w:ascii="宋体" w:hAnsi="宋体" w:cs="宋体"/>
                <w:b/>
                <w:sz w:val="28"/>
                <w:szCs w:val="28"/>
                <w:highlight w:val="none"/>
                <w:lang w:val="en-US" w:eastAsia="zh-CN"/>
              </w:rPr>
              <w:t>1</w:t>
            </w:r>
            <w:r>
              <w:rPr>
                <w:rFonts w:hint="eastAsia" w:ascii="宋体" w:hAnsi="宋体" w:cs="宋体"/>
                <w:b/>
                <w:sz w:val="28"/>
                <w:szCs w:val="28"/>
                <w:highlight w:val="none"/>
                <w:lang w:eastAsia="zh-CN"/>
              </w:rPr>
              <w:t>正</w:t>
            </w:r>
            <w:r>
              <w:rPr>
                <w:rFonts w:hint="eastAsia" w:ascii="宋体" w:hAnsi="宋体" w:cs="宋体"/>
                <w:b/>
                <w:sz w:val="28"/>
                <w:szCs w:val="28"/>
                <w:highlight w:val="none"/>
                <w:lang w:val="en-US" w:eastAsia="zh-CN"/>
              </w:rPr>
              <w:t>3副、</w:t>
            </w:r>
            <w:r>
              <w:rPr>
                <w:rFonts w:hint="eastAsia" w:ascii="宋体" w:hAnsi="宋体" w:eastAsia="宋体" w:cs="宋体"/>
                <w:b/>
                <w:sz w:val="28"/>
                <w:szCs w:val="28"/>
                <w:highlight w:val="none"/>
              </w:rPr>
              <w:t>电子标肆份（U盘1份，光盘</w:t>
            </w: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t>份</w:t>
            </w:r>
            <w:r>
              <w:rPr>
                <w:rFonts w:hint="eastAsia" w:ascii="宋体" w:hAnsi="宋体" w:cs="宋体"/>
                <w:b/>
                <w:sz w:val="28"/>
                <w:szCs w:val="28"/>
                <w:highlight w:val="none"/>
                <w:lang w:eastAsia="zh-CN"/>
              </w:rPr>
              <w:t>）</w:t>
            </w:r>
          </w:p>
          <w:p w14:paraId="7A098AFC">
            <w:pPr>
              <w:pStyle w:val="2"/>
              <w:spacing w:line="360" w:lineRule="auto"/>
              <w:rPr>
                <w:rFonts w:hint="default"/>
                <w:lang w:val="en-US" w:eastAsia="zh-CN"/>
              </w:rPr>
            </w:pPr>
            <w:r>
              <w:rPr>
                <w:rFonts w:hint="eastAsia" w:ascii="宋体" w:hAnsi="宋体" w:cs="宋体"/>
                <w:b/>
                <w:sz w:val="28"/>
                <w:szCs w:val="28"/>
                <w:highlight w:val="none"/>
                <w:lang w:eastAsia="zh-CN"/>
              </w:rPr>
              <w:t>备注：招标结果公布后请各投标单位将电子版投标文件邮寄至我司，</w:t>
            </w:r>
            <w:r>
              <w:rPr>
                <w:rFonts w:hint="eastAsia" w:ascii="宋体" w:hAnsi="宋体" w:cs="宋体"/>
                <w:b/>
                <w:sz w:val="28"/>
                <w:szCs w:val="28"/>
                <w:highlight w:val="none"/>
                <w:lang w:val="en-US" w:eastAsia="zh-CN"/>
              </w:rPr>
              <w:t>其中“中标单位及另外2家中标候选人，还需提供1正3副纸质版（需胶装好，不得活页胶装）投标文件邮寄”</w:t>
            </w:r>
            <w:r>
              <w:rPr>
                <w:rFonts w:hint="eastAsia" w:ascii="宋体" w:hAnsi="宋体" w:cs="宋体"/>
                <w:b/>
                <w:sz w:val="28"/>
                <w:szCs w:val="28"/>
                <w:highlight w:val="none"/>
                <w:lang w:eastAsia="zh-CN"/>
              </w:rPr>
              <w:t>，详细</w:t>
            </w:r>
            <w:r>
              <w:rPr>
                <w:rFonts w:hint="eastAsia" w:ascii="宋体" w:hAnsi="宋体" w:cs="宋体"/>
                <w:b/>
                <w:sz w:val="28"/>
                <w:szCs w:val="28"/>
                <w:highlight w:val="none"/>
                <w:lang w:val="en-US" w:eastAsia="zh-CN"/>
              </w:rPr>
              <w:t>邮寄</w:t>
            </w:r>
            <w:r>
              <w:rPr>
                <w:rFonts w:hint="eastAsia" w:ascii="宋体" w:hAnsi="宋体" w:cs="宋体"/>
                <w:b/>
                <w:sz w:val="28"/>
                <w:szCs w:val="28"/>
                <w:highlight w:val="none"/>
                <w:lang w:eastAsia="zh-CN"/>
              </w:rPr>
              <w:t>地址请拨打电话：</w:t>
            </w:r>
            <w:r>
              <w:rPr>
                <w:rFonts w:hint="eastAsia" w:ascii="宋体" w:hAnsi="宋体" w:cs="宋体"/>
                <w:b/>
                <w:sz w:val="28"/>
                <w:szCs w:val="28"/>
                <w:highlight w:val="none"/>
                <w:lang w:val="en-US" w:eastAsia="zh-CN"/>
              </w:rPr>
              <w:t>17699752110</w:t>
            </w:r>
          </w:p>
        </w:tc>
      </w:tr>
      <w:tr w14:paraId="57B3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1" w:type="dxa"/>
          </w:tcPr>
          <w:p w14:paraId="1C813DC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16</w:t>
            </w:r>
          </w:p>
        </w:tc>
        <w:tc>
          <w:tcPr>
            <w:tcW w:w="2175" w:type="dxa"/>
          </w:tcPr>
          <w:p w14:paraId="715521B3">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磋商有效期限</w:t>
            </w:r>
          </w:p>
        </w:tc>
        <w:tc>
          <w:tcPr>
            <w:tcW w:w="5946" w:type="dxa"/>
          </w:tcPr>
          <w:p w14:paraId="3FA99226">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 xml:space="preserve">提交首次响应文件截止时间后60天（日历日） </w:t>
            </w:r>
          </w:p>
        </w:tc>
      </w:tr>
      <w:tr w14:paraId="2A74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tcPr>
          <w:p w14:paraId="4AF8726E">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6FF4AF90">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164C5ED7">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17</w:t>
            </w:r>
          </w:p>
        </w:tc>
        <w:tc>
          <w:tcPr>
            <w:tcW w:w="2175" w:type="dxa"/>
          </w:tcPr>
          <w:p w14:paraId="76C80A97">
            <w:pPr>
              <w:keepNext w:val="0"/>
              <w:keepLines w:val="0"/>
              <w:widowControl/>
              <w:suppressLineNumbers w:val="0"/>
              <w:spacing w:line="360" w:lineRule="auto"/>
              <w:jc w:val="left"/>
              <w:rPr>
                <w:rFonts w:hint="eastAsia" w:ascii="宋体" w:hAnsi="宋体" w:eastAsia="宋体" w:cs="宋体"/>
                <w:b/>
                <w:bCs/>
                <w:color w:val="0000FF"/>
                <w:kern w:val="0"/>
                <w:sz w:val="24"/>
                <w:szCs w:val="24"/>
                <w:lang w:val="en-US" w:eastAsia="zh-CN" w:bidi="ar"/>
              </w:rPr>
            </w:pPr>
          </w:p>
          <w:p w14:paraId="616DEE23">
            <w:pPr>
              <w:keepNext w:val="0"/>
              <w:keepLines w:val="0"/>
              <w:widowControl/>
              <w:suppressLineNumbers w:val="0"/>
              <w:spacing w:line="360" w:lineRule="auto"/>
              <w:jc w:val="left"/>
              <w:rPr>
                <w:rFonts w:hint="eastAsia" w:ascii="宋体" w:hAnsi="宋体" w:eastAsia="宋体" w:cs="宋体"/>
                <w:b/>
                <w:bCs/>
                <w:color w:val="0000FF"/>
                <w:kern w:val="0"/>
                <w:sz w:val="24"/>
                <w:szCs w:val="24"/>
                <w:vertAlign w:val="baseline"/>
                <w:lang w:val="en-US" w:eastAsia="zh-CN" w:bidi="ar"/>
              </w:rPr>
            </w:pPr>
            <w:r>
              <w:rPr>
                <w:rFonts w:hint="eastAsia" w:ascii="宋体" w:hAnsi="宋体" w:eastAsia="宋体" w:cs="宋体"/>
                <w:b/>
                <w:bCs/>
                <w:color w:val="0000FF"/>
                <w:kern w:val="0"/>
                <w:sz w:val="24"/>
                <w:szCs w:val="24"/>
                <w:lang w:val="en-US" w:eastAsia="zh-CN" w:bidi="ar"/>
              </w:rPr>
              <w:t>预算（最高限价）</w:t>
            </w:r>
          </w:p>
        </w:tc>
        <w:tc>
          <w:tcPr>
            <w:tcW w:w="5946" w:type="dxa"/>
          </w:tcPr>
          <w:p w14:paraId="0D080B69">
            <w:pPr>
              <w:keepNext w:val="0"/>
              <w:keepLines w:val="0"/>
              <w:widowControl/>
              <w:suppressLineNumbers w:val="0"/>
              <w:spacing w:line="360" w:lineRule="auto"/>
              <w:jc w:val="left"/>
              <w:rPr>
                <w:rFonts w:hint="eastAsia" w:ascii="宋体" w:hAnsi="宋体" w:eastAsia="宋体" w:cs="宋体"/>
                <w:b/>
                <w:bCs/>
                <w:color w:val="0000FF"/>
                <w:kern w:val="0"/>
                <w:sz w:val="24"/>
                <w:szCs w:val="24"/>
                <w:vertAlign w:val="baseline"/>
                <w:lang w:val="en-US" w:eastAsia="zh-CN" w:bidi="ar"/>
              </w:rPr>
            </w:pPr>
            <w:r>
              <w:rPr>
                <w:rFonts w:hint="eastAsia" w:ascii="宋体" w:hAnsi="宋体" w:eastAsia="宋体" w:cs="宋体"/>
                <w:b/>
                <w:bCs/>
                <w:color w:val="0000FF"/>
                <w:kern w:val="0"/>
                <w:sz w:val="24"/>
                <w:szCs w:val="24"/>
                <w:vertAlign w:val="baseline"/>
                <w:lang w:val="en-US" w:eastAsia="zh-CN" w:bidi="ar"/>
              </w:rPr>
              <w:t>小写：</w:t>
            </w:r>
            <w:r>
              <w:rPr>
                <w:rFonts w:hint="eastAsia" w:ascii="宋体" w:hAnsi="宋体" w:cs="宋体"/>
                <w:b/>
                <w:bCs/>
                <w:color w:val="0000FF"/>
                <w:kern w:val="0"/>
                <w:sz w:val="24"/>
                <w:szCs w:val="24"/>
                <w:vertAlign w:val="baseline"/>
                <w:lang w:val="en-US" w:eastAsia="zh-CN" w:bidi="ar"/>
              </w:rPr>
              <w:t>785421.09</w:t>
            </w:r>
            <w:r>
              <w:rPr>
                <w:rFonts w:hint="eastAsia" w:ascii="宋体" w:hAnsi="宋体" w:eastAsia="宋体" w:cs="宋体"/>
                <w:b/>
                <w:bCs/>
                <w:color w:val="0000FF"/>
                <w:kern w:val="0"/>
                <w:sz w:val="24"/>
                <w:szCs w:val="24"/>
                <w:vertAlign w:val="baseline"/>
                <w:lang w:val="en-US" w:eastAsia="zh-CN" w:bidi="ar"/>
              </w:rPr>
              <w:t>元（大写：</w:t>
            </w:r>
            <w:r>
              <w:rPr>
                <w:rFonts w:hint="eastAsia" w:ascii="宋体" w:hAnsi="宋体" w:cs="宋体"/>
                <w:b/>
                <w:bCs/>
                <w:color w:val="0000FF"/>
                <w:kern w:val="0"/>
                <w:sz w:val="24"/>
                <w:szCs w:val="24"/>
                <w:vertAlign w:val="baseline"/>
                <w:lang w:val="en-US" w:eastAsia="zh-CN" w:bidi="ar"/>
              </w:rPr>
              <w:t>柒拾捌万伍仟肆佰贰拾壹元零玖分</w:t>
            </w:r>
            <w:r>
              <w:rPr>
                <w:rFonts w:hint="eastAsia" w:ascii="宋体" w:hAnsi="宋体" w:eastAsia="宋体" w:cs="宋体"/>
                <w:b/>
                <w:bCs/>
                <w:color w:val="0000FF"/>
                <w:kern w:val="0"/>
                <w:sz w:val="24"/>
                <w:szCs w:val="24"/>
                <w:vertAlign w:val="baseline"/>
                <w:lang w:val="en-US" w:eastAsia="zh-CN" w:bidi="ar"/>
              </w:rPr>
              <w:t>）</w:t>
            </w:r>
          </w:p>
          <w:p w14:paraId="29FAEA0D">
            <w:pPr>
              <w:keepNext w:val="0"/>
              <w:keepLines w:val="0"/>
              <w:widowControl/>
              <w:suppressLineNumbers w:val="0"/>
              <w:spacing w:line="360" w:lineRule="auto"/>
              <w:jc w:val="left"/>
              <w:rPr>
                <w:rFonts w:hint="default" w:ascii="宋体" w:hAnsi="宋体" w:eastAsia="宋体" w:cs="宋体"/>
                <w:b/>
                <w:bCs/>
                <w:color w:val="0000FF"/>
                <w:kern w:val="0"/>
                <w:sz w:val="24"/>
                <w:szCs w:val="24"/>
                <w:vertAlign w:val="baseline"/>
                <w:lang w:val="en-US" w:eastAsia="zh-CN" w:bidi="ar"/>
              </w:rPr>
            </w:pPr>
            <w:r>
              <w:rPr>
                <w:rFonts w:hint="eastAsia" w:ascii="宋体" w:hAnsi="宋体" w:eastAsia="宋体" w:cs="宋体"/>
                <w:color w:val="0000FF"/>
                <w:kern w:val="0"/>
                <w:sz w:val="24"/>
                <w:szCs w:val="24"/>
                <w:lang w:val="en-US" w:eastAsia="zh-CN" w:bidi="ar"/>
              </w:rPr>
              <w:t>(响应报价不得高于磋商文件限价金额，否则将按无效响应处理)</w:t>
            </w:r>
          </w:p>
        </w:tc>
      </w:tr>
      <w:tr w14:paraId="32D8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631" w:type="dxa"/>
          </w:tcPr>
          <w:p w14:paraId="36F83ED3">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099DE319">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334F01F0">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18</w:t>
            </w:r>
          </w:p>
        </w:tc>
        <w:tc>
          <w:tcPr>
            <w:tcW w:w="2175" w:type="dxa"/>
          </w:tcPr>
          <w:p w14:paraId="18B574FF">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745FC4DB">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7DFE9D0D">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磋商会议</w:t>
            </w:r>
          </w:p>
        </w:tc>
        <w:tc>
          <w:tcPr>
            <w:tcW w:w="5946" w:type="dxa"/>
          </w:tcPr>
          <w:p w14:paraId="0AEFF305">
            <w:pPr>
              <w:keepNext w:val="0"/>
              <w:keepLines w:val="0"/>
              <w:widowControl/>
              <w:suppressLineNumbers w:val="0"/>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开启时间：</w:t>
            </w:r>
            <w:r>
              <w:rPr>
                <w:rFonts w:hint="eastAsia" w:ascii="宋体" w:hAnsi="宋体" w:cs="宋体"/>
                <w:b/>
                <w:bCs/>
                <w:color w:val="0000FF"/>
                <w:kern w:val="0"/>
                <w:sz w:val="24"/>
                <w:szCs w:val="24"/>
                <w:lang w:val="en-US" w:eastAsia="zh-CN" w:bidi="ar"/>
              </w:rPr>
              <w:t>2025</w:t>
            </w:r>
            <w:r>
              <w:rPr>
                <w:rFonts w:hint="eastAsia" w:ascii="宋体" w:hAnsi="宋体" w:eastAsia="宋体" w:cs="宋体"/>
                <w:b/>
                <w:bCs/>
                <w:color w:val="0000FF"/>
                <w:kern w:val="0"/>
                <w:sz w:val="24"/>
                <w:szCs w:val="24"/>
                <w:lang w:val="en-US" w:eastAsia="zh-CN" w:bidi="ar"/>
              </w:rPr>
              <w:t xml:space="preserve"> 年</w:t>
            </w:r>
            <w:r>
              <w:rPr>
                <w:rFonts w:hint="eastAsia" w:ascii="宋体" w:hAnsi="宋体" w:cs="宋体"/>
                <w:b/>
                <w:bCs/>
                <w:color w:val="0000FF"/>
                <w:kern w:val="0"/>
                <w:sz w:val="24"/>
                <w:szCs w:val="24"/>
                <w:lang w:val="en-US" w:eastAsia="zh-CN" w:bidi="ar"/>
              </w:rPr>
              <w:t>06</w:t>
            </w:r>
            <w:r>
              <w:rPr>
                <w:rFonts w:hint="eastAsia" w:ascii="宋体" w:hAnsi="宋体" w:eastAsia="宋体" w:cs="宋体"/>
                <w:b/>
                <w:bCs/>
                <w:color w:val="0000FF"/>
                <w:kern w:val="0"/>
                <w:sz w:val="24"/>
                <w:szCs w:val="24"/>
                <w:lang w:val="en-US" w:eastAsia="zh-CN" w:bidi="ar"/>
              </w:rPr>
              <w:t>月</w:t>
            </w:r>
            <w:r>
              <w:rPr>
                <w:rFonts w:hint="eastAsia" w:ascii="宋体" w:hAnsi="宋体" w:cs="宋体"/>
                <w:b/>
                <w:bCs/>
                <w:color w:val="0000FF"/>
                <w:kern w:val="0"/>
                <w:sz w:val="24"/>
                <w:szCs w:val="24"/>
                <w:lang w:val="en-US" w:eastAsia="zh-CN" w:bidi="ar"/>
              </w:rPr>
              <w:t>30</w:t>
            </w:r>
            <w:r>
              <w:rPr>
                <w:rFonts w:hint="eastAsia" w:ascii="宋体" w:hAnsi="宋体" w:eastAsia="宋体" w:cs="宋体"/>
                <w:b/>
                <w:bCs/>
                <w:color w:val="0000FF"/>
                <w:kern w:val="0"/>
                <w:sz w:val="24"/>
                <w:szCs w:val="24"/>
                <w:lang w:val="en-US" w:eastAsia="zh-CN" w:bidi="ar"/>
              </w:rPr>
              <w:t xml:space="preserve">日 11 时 </w:t>
            </w:r>
            <w:r>
              <w:rPr>
                <w:rFonts w:hint="eastAsia" w:ascii="宋体" w:hAnsi="宋体" w:cs="宋体"/>
                <w:b/>
                <w:bCs/>
                <w:color w:val="0000FF"/>
                <w:kern w:val="0"/>
                <w:sz w:val="24"/>
                <w:szCs w:val="24"/>
                <w:lang w:val="en-US" w:eastAsia="zh-CN" w:bidi="ar"/>
              </w:rPr>
              <w:t>30</w:t>
            </w:r>
            <w:r>
              <w:rPr>
                <w:rFonts w:hint="eastAsia" w:ascii="宋体" w:hAnsi="宋体" w:eastAsia="宋体" w:cs="宋体"/>
                <w:b/>
                <w:bCs/>
                <w:color w:val="0000FF"/>
                <w:kern w:val="0"/>
                <w:sz w:val="24"/>
                <w:szCs w:val="24"/>
                <w:lang w:val="en-US" w:eastAsia="zh-CN" w:bidi="ar"/>
              </w:rPr>
              <w:t xml:space="preserve"> 分</w:t>
            </w:r>
            <w:r>
              <w:rPr>
                <w:rFonts w:hint="eastAsia" w:ascii="宋体" w:hAnsi="宋体" w:eastAsia="宋体" w:cs="宋体"/>
                <w:b/>
                <w:bCs/>
                <w:color w:val="000000"/>
                <w:kern w:val="0"/>
                <w:sz w:val="24"/>
                <w:szCs w:val="24"/>
                <w:lang w:val="en-US" w:eastAsia="zh-CN" w:bidi="ar"/>
              </w:rPr>
              <w:t xml:space="preserve">（北京时间） </w:t>
            </w:r>
          </w:p>
          <w:p w14:paraId="5D77030E">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地点：新疆政府采购网政采云平台（www.zcygov.cn）</w:t>
            </w:r>
          </w:p>
        </w:tc>
      </w:tr>
      <w:tr w14:paraId="5694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31" w:type="dxa"/>
          </w:tcPr>
          <w:p w14:paraId="47B3C1F6">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19</w:t>
            </w:r>
          </w:p>
        </w:tc>
        <w:tc>
          <w:tcPr>
            <w:tcW w:w="2175" w:type="dxa"/>
          </w:tcPr>
          <w:p w14:paraId="64891BCB">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评分办法</w:t>
            </w:r>
          </w:p>
        </w:tc>
        <w:tc>
          <w:tcPr>
            <w:tcW w:w="5946" w:type="dxa"/>
          </w:tcPr>
          <w:p w14:paraId="6E363848">
            <w:pPr>
              <w:keepNext w:val="0"/>
              <w:keepLines w:val="0"/>
              <w:widowControl/>
              <w:suppressLineNumbers w:val="0"/>
              <w:spacing w:line="360" w:lineRule="auto"/>
              <w:jc w:val="left"/>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 xml:space="preserve">  综合评分法</w:t>
            </w:r>
          </w:p>
        </w:tc>
      </w:tr>
      <w:tr w14:paraId="5441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31" w:type="dxa"/>
          </w:tcPr>
          <w:p w14:paraId="2DAAB884">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20</w:t>
            </w:r>
          </w:p>
        </w:tc>
        <w:tc>
          <w:tcPr>
            <w:tcW w:w="2175" w:type="dxa"/>
          </w:tcPr>
          <w:p w14:paraId="150CF947">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履约保证金</w:t>
            </w:r>
          </w:p>
        </w:tc>
        <w:tc>
          <w:tcPr>
            <w:tcW w:w="5946" w:type="dxa"/>
          </w:tcPr>
          <w:p w14:paraId="0D6D1503">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 xml:space="preserve">  甲乙双方自行拟定</w:t>
            </w:r>
          </w:p>
        </w:tc>
      </w:tr>
      <w:tr w14:paraId="6A7D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31" w:type="dxa"/>
          </w:tcPr>
          <w:p w14:paraId="024D2DE6">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21</w:t>
            </w:r>
          </w:p>
        </w:tc>
        <w:tc>
          <w:tcPr>
            <w:tcW w:w="2175" w:type="dxa"/>
          </w:tcPr>
          <w:p w14:paraId="5C214C4E">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付款方式</w:t>
            </w:r>
          </w:p>
        </w:tc>
        <w:tc>
          <w:tcPr>
            <w:tcW w:w="5946" w:type="dxa"/>
          </w:tcPr>
          <w:p w14:paraId="643BB248">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 xml:space="preserve">  </w:t>
            </w:r>
            <w:r>
              <w:rPr>
                <w:rFonts w:hint="eastAsia" w:ascii="宋体" w:hAnsi="宋体" w:eastAsia="宋体" w:cs="宋体"/>
                <w:color w:val="000000"/>
                <w:kern w:val="0"/>
                <w:sz w:val="24"/>
                <w:szCs w:val="24"/>
                <w:lang w:val="en-US" w:eastAsia="zh-CN" w:bidi="ar"/>
              </w:rPr>
              <w:t>具体以签署合同约定为准</w:t>
            </w:r>
          </w:p>
        </w:tc>
      </w:tr>
      <w:tr w14:paraId="20D7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14490B89">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22</w:t>
            </w:r>
          </w:p>
        </w:tc>
        <w:tc>
          <w:tcPr>
            <w:tcW w:w="2175" w:type="dxa"/>
          </w:tcPr>
          <w:p w14:paraId="251B8AF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是否专门面向中小企业采购</w:t>
            </w:r>
          </w:p>
        </w:tc>
        <w:tc>
          <w:tcPr>
            <w:tcW w:w="5946" w:type="dxa"/>
          </w:tcPr>
          <w:p w14:paraId="267B2398">
            <w:pPr>
              <w:keepNext w:val="0"/>
              <w:keepLines w:val="0"/>
              <w:widowControl/>
              <w:suppressLineNumbers w:val="0"/>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☑是</w:t>
            </w:r>
            <w:r>
              <w:rPr>
                <w:rFonts w:hint="eastAsia" w:ascii="宋体" w:hAnsi="宋体" w:cs="宋体"/>
                <w:b/>
                <w:bCs/>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本项目专门面向中小企业采购</w:t>
            </w:r>
          </w:p>
          <w:p w14:paraId="3F201ED2">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p>
        </w:tc>
      </w:tr>
      <w:tr w14:paraId="310D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48A7D2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w:t>
            </w:r>
            <w:r>
              <w:rPr>
                <w:rFonts w:hint="eastAsia" w:ascii="宋体" w:hAnsi="宋体" w:cs="宋体"/>
                <w:b/>
                <w:bCs/>
                <w:color w:val="000000"/>
                <w:kern w:val="0"/>
                <w:sz w:val="24"/>
                <w:szCs w:val="24"/>
                <w:vertAlign w:val="baseline"/>
                <w:lang w:val="en-US" w:eastAsia="zh-CN" w:bidi="ar"/>
              </w:rPr>
              <w:t>3</w:t>
            </w:r>
          </w:p>
        </w:tc>
        <w:tc>
          <w:tcPr>
            <w:tcW w:w="2175" w:type="dxa"/>
          </w:tcPr>
          <w:p w14:paraId="5CD42C9A">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联合体</w:t>
            </w:r>
          </w:p>
        </w:tc>
        <w:tc>
          <w:tcPr>
            <w:tcW w:w="5946" w:type="dxa"/>
          </w:tcPr>
          <w:p w14:paraId="7B89EC8E">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不接受</w:t>
            </w:r>
          </w:p>
        </w:tc>
      </w:tr>
      <w:tr w14:paraId="7517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1" w:type="dxa"/>
          </w:tcPr>
          <w:p w14:paraId="3AE72CB2">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w:t>
            </w:r>
            <w:r>
              <w:rPr>
                <w:rFonts w:hint="eastAsia" w:ascii="宋体" w:hAnsi="宋体" w:cs="宋体"/>
                <w:b/>
                <w:bCs/>
                <w:color w:val="000000"/>
                <w:kern w:val="0"/>
                <w:sz w:val="24"/>
                <w:szCs w:val="24"/>
                <w:vertAlign w:val="baseline"/>
                <w:lang w:val="en-US" w:eastAsia="zh-CN" w:bidi="ar"/>
              </w:rPr>
              <w:t>4</w:t>
            </w:r>
          </w:p>
        </w:tc>
        <w:tc>
          <w:tcPr>
            <w:tcW w:w="2175" w:type="dxa"/>
          </w:tcPr>
          <w:p w14:paraId="3AE1555F">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分包</w:t>
            </w:r>
          </w:p>
        </w:tc>
        <w:tc>
          <w:tcPr>
            <w:tcW w:w="5946" w:type="dxa"/>
          </w:tcPr>
          <w:p w14:paraId="36C75AA2">
            <w:pPr>
              <w:keepNext w:val="0"/>
              <w:keepLines w:val="0"/>
              <w:widowControl/>
              <w:suppressLineNumbers w:val="0"/>
              <w:spacing w:line="360" w:lineRule="auto"/>
              <w:jc w:val="left"/>
              <w:rPr>
                <w:rFonts w:hint="eastAsia"/>
                <w:lang w:val="en-US" w:eastAsia="zh-CN"/>
              </w:rPr>
            </w:pPr>
            <w:r>
              <w:rPr>
                <w:rFonts w:hint="eastAsia" w:ascii="宋体" w:hAnsi="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不允许分包</w:t>
            </w:r>
          </w:p>
        </w:tc>
      </w:tr>
      <w:tr w14:paraId="2E7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175BD29">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w:t>
            </w:r>
            <w:r>
              <w:rPr>
                <w:rFonts w:hint="eastAsia" w:ascii="宋体" w:hAnsi="宋体" w:cs="宋体"/>
                <w:b/>
                <w:bCs/>
                <w:color w:val="000000"/>
                <w:kern w:val="0"/>
                <w:sz w:val="24"/>
                <w:szCs w:val="24"/>
                <w:vertAlign w:val="baseline"/>
                <w:lang w:val="en-US" w:eastAsia="zh-CN" w:bidi="ar"/>
              </w:rPr>
              <w:t>5</w:t>
            </w:r>
          </w:p>
        </w:tc>
        <w:tc>
          <w:tcPr>
            <w:tcW w:w="2175" w:type="dxa"/>
          </w:tcPr>
          <w:p w14:paraId="28489236">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组织集中踏勘或召磋商前答疑会</w:t>
            </w:r>
          </w:p>
        </w:tc>
        <w:tc>
          <w:tcPr>
            <w:tcW w:w="5946" w:type="dxa"/>
          </w:tcPr>
          <w:p w14:paraId="1AEEE01E">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不组织</w:t>
            </w:r>
          </w:p>
        </w:tc>
      </w:tr>
      <w:tr w14:paraId="74E9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1" w:type="dxa"/>
          </w:tcPr>
          <w:p w14:paraId="4CDF80A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w:t>
            </w:r>
            <w:r>
              <w:rPr>
                <w:rFonts w:hint="eastAsia" w:ascii="宋体" w:hAnsi="宋体" w:cs="宋体"/>
                <w:b/>
                <w:bCs/>
                <w:color w:val="000000"/>
                <w:kern w:val="0"/>
                <w:sz w:val="24"/>
                <w:szCs w:val="24"/>
                <w:vertAlign w:val="baseline"/>
                <w:lang w:val="en-US" w:eastAsia="zh-CN" w:bidi="ar"/>
              </w:rPr>
              <w:t>6</w:t>
            </w:r>
          </w:p>
        </w:tc>
        <w:tc>
          <w:tcPr>
            <w:tcW w:w="2175" w:type="dxa"/>
          </w:tcPr>
          <w:p w14:paraId="2CFD242D">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采购进口产品</w:t>
            </w:r>
          </w:p>
        </w:tc>
        <w:tc>
          <w:tcPr>
            <w:tcW w:w="5946" w:type="dxa"/>
          </w:tcPr>
          <w:p w14:paraId="7DAE30DE">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无</w:t>
            </w:r>
          </w:p>
        </w:tc>
      </w:tr>
      <w:tr w14:paraId="2211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31" w:type="dxa"/>
          </w:tcPr>
          <w:p w14:paraId="3B45B705">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w:t>
            </w:r>
            <w:r>
              <w:rPr>
                <w:rFonts w:hint="eastAsia" w:ascii="宋体" w:hAnsi="宋体" w:cs="宋体"/>
                <w:b/>
                <w:bCs/>
                <w:color w:val="000000"/>
                <w:kern w:val="0"/>
                <w:sz w:val="24"/>
                <w:szCs w:val="24"/>
                <w:vertAlign w:val="baseline"/>
                <w:lang w:val="en-US" w:eastAsia="zh-CN" w:bidi="ar"/>
              </w:rPr>
              <w:t>7</w:t>
            </w:r>
          </w:p>
        </w:tc>
        <w:tc>
          <w:tcPr>
            <w:tcW w:w="2175" w:type="dxa"/>
          </w:tcPr>
          <w:p w14:paraId="2B1B4B8D">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样品提供的规定</w:t>
            </w:r>
          </w:p>
        </w:tc>
        <w:tc>
          <w:tcPr>
            <w:tcW w:w="5946" w:type="dxa"/>
          </w:tcPr>
          <w:p w14:paraId="114AB268">
            <w:pPr>
              <w:keepNext w:val="0"/>
              <w:keepLines w:val="0"/>
              <w:widowControl/>
              <w:suppressLineNumbers w:val="0"/>
              <w:spacing w:line="360" w:lineRule="auto"/>
              <w:ind w:firstLine="482" w:firstLineChars="200"/>
              <w:jc w:val="left"/>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无</w:t>
            </w:r>
          </w:p>
        </w:tc>
      </w:tr>
      <w:tr w14:paraId="3157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tcPr>
          <w:p w14:paraId="273CE4C3">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3BD34B7B">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4FD32B69">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74BE4A4B">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w:t>
            </w:r>
            <w:r>
              <w:rPr>
                <w:rFonts w:hint="eastAsia" w:ascii="宋体" w:hAnsi="宋体" w:cs="宋体"/>
                <w:b/>
                <w:bCs/>
                <w:color w:val="000000"/>
                <w:kern w:val="0"/>
                <w:sz w:val="24"/>
                <w:szCs w:val="24"/>
                <w:vertAlign w:val="baseline"/>
                <w:lang w:val="en-US" w:eastAsia="zh-CN" w:bidi="ar"/>
              </w:rPr>
              <w:t>8</w:t>
            </w:r>
          </w:p>
        </w:tc>
        <w:tc>
          <w:tcPr>
            <w:tcW w:w="2175" w:type="dxa"/>
          </w:tcPr>
          <w:p w14:paraId="40E75A1C">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18D0448F">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722B4575">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59F6836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提出质疑的时间</w:t>
            </w:r>
          </w:p>
        </w:tc>
        <w:tc>
          <w:tcPr>
            <w:tcW w:w="5946" w:type="dxa"/>
          </w:tcPr>
          <w:p w14:paraId="2CB78D3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1、对竞争性磋商文件提出质疑的，应当在获取竞争性磋商文件或者竞争性磋商公告期限届满之日起7个工作日内提出。 </w:t>
            </w:r>
          </w:p>
          <w:p w14:paraId="4C342375">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2、供应商认为竞争性磋商文件、采购过程、中标或者成交结果使自己的权益受到损害的，可以在知道或者应知其权益受到损害之日起 7个工作日内，以书面形式向采购人、采购代理机构提出质疑。 </w:t>
            </w:r>
          </w:p>
        </w:tc>
      </w:tr>
      <w:tr w14:paraId="4815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631" w:type="dxa"/>
          </w:tcPr>
          <w:p w14:paraId="2E1A7488">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5A6A0B06">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09F2B535">
            <w:pPr>
              <w:keepNext w:val="0"/>
              <w:keepLines w:val="0"/>
              <w:widowControl/>
              <w:suppressLineNumbers w:val="0"/>
              <w:spacing w:line="360" w:lineRule="auto"/>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cs="宋体"/>
                <w:b/>
                <w:bCs/>
                <w:color w:val="000000"/>
                <w:kern w:val="0"/>
                <w:sz w:val="24"/>
                <w:szCs w:val="24"/>
                <w:vertAlign w:val="baseline"/>
                <w:lang w:val="en-US" w:eastAsia="zh-CN" w:bidi="ar"/>
              </w:rPr>
              <w:t>29</w:t>
            </w:r>
          </w:p>
        </w:tc>
        <w:tc>
          <w:tcPr>
            <w:tcW w:w="2175" w:type="dxa"/>
          </w:tcPr>
          <w:p w14:paraId="5A0555F9">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363CD0C2">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39EA5254">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w:t>
            </w:r>
          </w:p>
        </w:tc>
        <w:tc>
          <w:tcPr>
            <w:tcW w:w="5946" w:type="dxa"/>
          </w:tcPr>
          <w:p w14:paraId="40BAF86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竞争性磋商文件中所有偏离表，若有偏离,请将具体偏离条款在“商务偏离”、“技术偏离”一栏中详细说明；若无偏离，请在“商务偏离”、“技术偏离”一栏中标注“无”字样。如不填写将视为不响应竞争性磋商文件要求；</w:t>
            </w:r>
          </w:p>
          <w:p w14:paraId="43425356">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2、本次磋商各供应商磋商响应时以</w:t>
            </w:r>
            <w:r>
              <w:rPr>
                <w:rFonts w:hint="eastAsia" w:ascii="宋体" w:hAnsi="宋体" w:eastAsia="宋体" w:cs="宋体"/>
                <w:b/>
                <w:bCs/>
                <w:color w:val="000000"/>
                <w:kern w:val="0"/>
                <w:sz w:val="24"/>
                <w:szCs w:val="24"/>
                <w:lang w:val="en-US" w:eastAsia="zh-CN" w:bidi="ar"/>
              </w:rPr>
              <w:t>人民币</w:t>
            </w:r>
            <w:r>
              <w:rPr>
                <w:rFonts w:hint="eastAsia" w:ascii="宋体" w:hAnsi="宋体" w:eastAsia="宋体" w:cs="宋体"/>
                <w:color w:val="000000"/>
                <w:kern w:val="0"/>
                <w:sz w:val="24"/>
                <w:szCs w:val="24"/>
                <w:lang w:val="en-US" w:eastAsia="zh-CN" w:bidi="ar"/>
              </w:rPr>
              <w:t>报价。</w:t>
            </w:r>
          </w:p>
        </w:tc>
      </w:tr>
      <w:tr w14:paraId="675E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631" w:type="dxa"/>
          </w:tcPr>
          <w:p w14:paraId="7D9F36BF">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17B3E0A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6671EF38">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1B4F0233">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62FA1C33">
            <w:pPr>
              <w:keepNext w:val="0"/>
              <w:keepLines w:val="0"/>
              <w:widowControl/>
              <w:suppressLineNumbers w:val="0"/>
              <w:spacing w:line="360" w:lineRule="auto"/>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cs="宋体"/>
                <w:b/>
                <w:bCs/>
                <w:color w:val="000000"/>
                <w:kern w:val="0"/>
                <w:sz w:val="24"/>
                <w:szCs w:val="24"/>
                <w:vertAlign w:val="baseline"/>
                <w:lang w:val="en-US" w:eastAsia="zh-CN" w:bidi="ar"/>
              </w:rPr>
              <w:t>30</w:t>
            </w:r>
          </w:p>
        </w:tc>
        <w:tc>
          <w:tcPr>
            <w:tcW w:w="2175" w:type="dxa"/>
          </w:tcPr>
          <w:p w14:paraId="607B2C53">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ADAB6E8">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63A168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FF2B4CA">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4D51A35A">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解释权</w:t>
            </w:r>
          </w:p>
        </w:tc>
        <w:tc>
          <w:tcPr>
            <w:tcW w:w="5946" w:type="dxa"/>
          </w:tcPr>
          <w:p w14:paraId="0AF8BAA2">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构成本竞争性磋商文件的各个组成文件应互为解释，互为说明；如有不明确或不一致，构成合同文件组成内容，以合同文件约定内容为准，且以专用合同条款约定的合同文件优先顺序解释；除竞争性磋商文件中有特别规定外，仅适用于采购阶段的规定，按竞争性磋商公告、供应商须知、技术参数及要求、响应文件格式的先后顺序解释；同一组成文件中就同一事项的规定或约定不一致的，以编排顺序在后者为准；同一组成文件不同版本之间有不一致的，以形成时间在后者为准。按本款前述规定仍不形成结论的，由采购人负责解释。</w:t>
            </w:r>
          </w:p>
        </w:tc>
      </w:tr>
      <w:tr w14:paraId="05D0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trPr>
        <w:tc>
          <w:tcPr>
            <w:tcW w:w="631" w:type="dxa"/>
          </w:tcPr>
          <w:p w14:paraId="7C671C51">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1957F06E">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691C208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149A6A68">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69ECB2E7">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55297693">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4DECD2CC">
            <w:pPr>
              <w:keepNext w:val="0"/>
              <w:keepLines w:val="0"/>
              <w:widowControl/>
              <w:suppressLineNumbers w:val="0"/>
              <w:spacing w:line="360" w:lineRule="auto"/>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cs="宋体"/>
                <w:b/>
                <w:bCs/>
                <w:color w:val="000000"/>
                <w:kern w:val="0"/>
                <w:sz w:val="24"/>
                <w:szCs w:val="24"/>
                <w:vertAlign w:val="baseline"/>
                <w:lang w:val="en-US" w:eastAsia="zh-CN" w:bidi="ar"/>
              </w:rPr>
              <w:t>31</w:t>
            </w:r>
          </w:p>
        </w:tc>
        <w:tc>
          <w:tcPr>
            <w:tcW w:w="2175" w:type="dxa"/>
          </w:tcPr>
          <w:p w14:paraId="4B84D3CA">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520F66B9">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0EE18375">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55DB0B6D">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138E5A96">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75B1EB3D">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76A7E9FB">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知识产权</w:t>
            </w:r>
          </w:p>
        </w:tc>
        <w:tc>
          <w:tcPr>
            <w:tcW w:w="5946" w:type="dxa"/>
          </w:tcPr>
          <w:p w14:paraId="3E4701E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响应报价中必须包括合法获取该知识产权的一切相关费用。如因此导致采购人损失的，供应商须承担全部赔偿责任。 </w:t>
            </w:r>
          </w:p>
          <w:p w14:paraId="19AB7D42">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2.供应商如欲在项目实施过程中采用自有知识成果，须在响应文件中声明，并提供相关知识产权证明文件。使用该知识成果后，供应商须提供开发接口和开发手册等技术文档。</w:t>
            </w:r>
          </w:p>
        </w:tc>
      </w:tr>
      <w:tr w14:paraId="7F01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3D95E4C">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63312A03">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374917F7">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020D303A">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09A2F163">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2BF340B9">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216AD08A">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6BF81D6A">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598E59D8">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51EEE96D">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54B39F3A">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p>
          <w:p w14:paraId="35FE9B6B">
            <w:pPr>
              <w:keepNext w:val="0"/>
              <w:keepLines w:val="0"/>
              <w:widowControl/>
              <w:suppressLineNumbers w:val="0"/>
              <w:spacing w:line="360" w:lineRule="auto"/>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cs="宋体"/>
                <w:b/>
                <w:bCs/>
                <w:color w:val="000000"/>
                <w:kern w:val="0"/>
                <w:sz w:val="24"/>
                <w:szCs w:val="24"/>
                <w:vertAlign w:val="baseline"/>
                <w:lang w:val="en-US" w:eastAsia="zh-CN" w:bidi="ar"/>
              </w:rPr>
              <w:t>32</w:t>
            </w:r>
          </w:p>
        </w:tc>
        <w:tc>
          <w:tcPr>
            <w:tcW w:w="2175" w:type="dxa"/>
          </w:tcPr>
          <w:p w14:paraId="2354AAA8">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79F1DB5">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43E858F0">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17B420A3">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02B4FED2">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5BC214AC">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00BEF1C3">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7385B03">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5867A8FF">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1D60A310">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0D1CA5E">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1C8B44AF">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其他说明</w:t>
            </w:r>
          </w:p>
        </w:tc>
        <w:tc>
          <w:tcPr>
            <w:tcW w:w="5946" w:type="dxa"/>
          </w:tcPr>
          <w:p w14:paraId="544F098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1.请供应商提前自学线上开标流程；提交首次响应文件截止时间当天，线上磋商会议开启环节，响应文件解密时长 30 分钟（自提交首次响应文件截止时间起算 30 分钟），请各供应商请自带笔记本电脑及 CA 锁网上进行文件解密以及操作投标事项，请供应商提前调试好在线参标电脑各项配置。 </w:t>
            </w:r>
          </w:p>
          <w:p w14:paraId="4695229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2.竞争性磋商文件中采购技术参数及要求、技术需求等如有偏差，如有疑义请澄清中及时提出；否则视为充分理解竞争性磋商文件各项要求。 </w:t>
            </w:r>
          </w:p>
          <w:p w14:paraId="640BE5D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3.本次采用政府采购云平台线上采购，请各潜在供应商及时办理 CA 锁和学习政府采购云平台线上投标相关知识。请在政府采购云平台登录后，进行下载竞争性磋商文件。请各供应商获取竞争性磋商文件后及时关注云平台答疑文件获取栏目。具体相关事宜见政府采购云平台。本项目采用资格后审，请供应商仔细阅读竞争性磋商文件和各项要求，制作投标（响应）文件及相关资料过程中，若因供应商资格条件不符、提供资料不全等原因导致响应文件予以退还，责任自负。 </w:t>
            </w:r>
          </w:p>
          <w:p w14:paraId="33166DD6">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[竞争性磋商文件中如有内容冲突的地方，以磋商须知要求为准。]</w:t>
            </w:r>
          </w:p>
        </w:tc>
      </w:tr>
      <w:tr w14:paraId="547D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31" w:type="dxa"/>
          </w:tcPr>
          <w:p w14:paraId="648912BA">
            <w:pPr>
              <w:keepNext w:val="0"/>
              <w:keepLines w:val="0"/>
              <w:widowControl/>
              <w:suppressLineNumbers w:val="0"/>
              <w:spacing w:line="360" w:lineRule="auto"/>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cs="宋体"/>
                <w:b/>
                <w:bCs/>
                <w:color w:val="000000"/>
                <w:kern w:val="0"/>
                <w:sz w:val="24"/>
                <w:szCs w:val="24"/>
                <w:vertAlign w:val="baseline"/>
                <w:lang w:val="en-US" w:eastAsia="zh-CN" w:bidi="ar"/>
              </w:rPr>
              <w:t>33</w:t>
            </w:r>
          </w:p>
        </w:tc>
        <w:tc>
          <w:tcPr>
            <w:tcW w:w="2175" w:type="dxa"/>
          </w:tcPr>
          <w:p w14:paraId="05E88C5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资格审查</w:t>
            </w:r>
          </w:p>
        </w:tc>
        <w:tc>
          <w:tcPr>
            <w:tcW w:w="5946" w:type="dxa"/>
          </w:tcPr>
          <w:p w14:paraId="6A9C2C9C">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资格审查：按磋商文件磋商须知中的评审办法和标准 “</w:t>
            </w:r>
            <w:r>
              <w:rPr>
                <w:rFonts w:hint="eastAsia" w:ascii="宋体" w:hAnsi="宋体" w:eastAsia="宋体" w:cs="宋体"/>
                <w:b/>
                <w:bCs/>
                <w:color w:val="000000"/>
                <w:kern w:val="0"/>
                <w:sz w:val="24"/>
                <w:szCs w:val="24"/>
                <w:lang w:val="en-US" w:eastAsia="zh-CN" w:bidi="ar"/>
              </w:rPr>
              <w:t>资格审查表</w:t>
            </w:r>
            <w:r>
              <w:rPr>
                <w:rFonts w:hint="eastAsia" w:ascii="宋体" w:hAnsi="宋体" w:eastAsia="宋体" w:cs="宋体"/>
                <w:color w:val="000000"/>
                <w:kern w:val="0"/>
                <w:sz w:val="24"/>
                <w:szCs w:val="24"/>
                <w:lang w:val="en-US" w:eastAsia="zh-CN" w:bidi="ar"/>
              </w:rPr>
              <w:t>”进行</w:t>
            </w:r>
          </w:p>
        </w:tc>
      </w:tr>
      <w:tr w14:paraId="4BDB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631" w:type="dxa"/>
          </w:tcPr>
          <w:p w14:paraId="3B04AAA3">
            <w:pPr>
              <w:keepNext w:val="0"/>
              <w:keepLines w:val="0"/>
              <w:widowControl/>
              <w:suppressLineNumbers w:val="0"/>
              <w:spacing w:line="360" w:lineRule="auto"/>
              <w:jc w:val="center"/>
              <w:rPr>
                <w:rFonts w:hint="eastAsia" w:ascii="宋体" w:hAnsi="宋体" w:cs="宋体"/>
                <w:b/>
                <w:bCs/>
                <w:color w:val="000000"/>
                <w:kern w:val="0"/>
                <w:sz w:val="24"/>
                <w:szCs w:val="24"/>
                <w:vertAlign w:val="baseline"/>
                <w:lang w:val="en-US" w:eastAsia="zh-CN" w:bidi="ar"/>
              </w:rPr>
            </w:pPr>
          </w:p>
          <w:p w14:paraId="24676BC9">
            <w:pPr>
              <w:keepNext w:val="0"/>
              <w:keepLines w:val="0"/>
              <w:widowControl/>
              <w:suppressLineNumbers w:val="0"/>
              <w:spacing w:line="360" w:lineRule="auto"/>
              <w:jc w:val="center"/>
              <w:rPr>
                <w:rFonts w:hint="eastAsia" w:ascii="宋体" w:hAnsi="宋体" w:cs="宋体"/>
                <w:b/>
                <w:bCs/>
                <w:color w:val="000000"/>
                <w:kern w:val="0"/>
                <w:sz w:val="24"/>
                <w:szCs w:val="24"/>
                <w:vertAlign w:val="baseline"/>
                <w:lang w:val="en-US" w:eastAsia="zh-CN" w:bidi="ar"/>
              </w:rPr>
            </w:pPr>
          </w:p>
          <w:p w14:paraId="5AEB00AE">
            <w:pPr>
              <w:keepNext w:val="0"/>
              <w:keepLines w:val="0"/>
              <w:widowControl/>
              <w:suppressLineNumbers w:val="0"/>
              <w:spacing w:line="360" w:lineRule="auto"/>
              <w:jc w:val="center"/>
              <w:rPr>
                <w:rFonts w:hint="eastAsia" w:ascii="宋体" w:hAnsi="宋体" w:cs="宋体"/>
                <w:b/>
                <w:bCs/>
                <w:color w:val="000000"/>
                <w:kern w:val="0"/>
                <w:sz w:val="24"/>
                <w:szCs w:val="24"/>
                <w:vertAlign w:val="baseline"/>
                <w:lang w:val="en-US" w:eastAsia="zh-CN" w:bidi="ar"/>
              </w:rPr>
            </w:pPr>
          </w:p>
          <w:p w14:paraId="0897B112">
            <w:pPr>
              <w:keepNext w:val="0"/>
              <w:keepLines w:val="0"/>
              <w:widowControl/>
              <w:suppressLineNumbers w:val="0"/>
              <w:spacing w:line="360" w:lineRule="auto"/>
              <w:jc w:val="center"/>
              <w:rPr>
                <w:rFonts w:hint="eastAsia" w:ascii="宋体" w:hAnsi="宋体" w:cs="宋体"/>
                <w:b/>
                <w:bCs/>
                <w:color w:val="000000"/>
                <w:kern w:val="0"/>
                <w:sz w:val="24"/>
                <w:szCs w:val="24"/>
                <w:vertAlign w:val="baseline"/>
                <w:lang w:val="en-US" w:eastAsia="zh-CN" w:bidi="ar"/>
              </w:rPr>
            </w:pPr>
          </w:p>
          <w:p w14:paraId="69B67B74">
            <w:pPr>
              <w:keepNext w:val="0"/>
              <w:keepLines w:val="0"/>
              <w:widowControl/>
              <w:suppressLineNumbers w:val="0"/>
              <w:spacing w:line="360" w:lineRule="auto"/>
              <w:jc w:val="center"/>
              <w:rPr>
                <w:rFonts w:hint="eastAsia" w:ascii="宋体" w:hAnsi="宋体" w:cs="宋体"/>
                <w:b/>
                <w:bCs/>
                <w:color w:val="000000"/>
                <w:kern w:val="0"/>
                <w:sz w:val="24"/>
                <w:szCs w:val="24"/>
                <w:vertAlign w:val="baseline"/>
                <w:lang w:val="en-US" w:eastAsia="zh-CN" w:bidi="ar"/>
              </w:rPr>
            </w:pPr>
          </w:p>
          <w:p w14:paraId="33592C0A">
            <w:pPr>
              <w:keepNext w:val="0"/>
              <w:keepLines w:val="0"/>
              <w:widowControl/>
              <w:suppressLineNumbers w:val="0"/>
              <w:spacing w:line="360" w:lineRule="auto"/>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cs="宋体"/>
                <w:b/>
                <w:bCs/>
                <w:color w:val="000000"/>
                <w:kern w:val="0"/>
                <w:sz w:val="24"/>
                <w:szCs w:val="24"/>
                <w:vertAlign w:val="baseline"/>
                <w:lang w:val="en-US" w:eastAsia="zh-CN" w:bidi="ar"/>
              </w:rPr>
              <w:t>34</w:t>
            </w:r>
          </w:p>
        </w:tc>
        <w:tc>
          <w:tcPr>
            <w:tcW w:w="2175" w:type="dxa"/>
          </w:tcPr>
          <w:p w14:paraId="16A5264E">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7D9E84B6">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2C3B3E7B">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343E66E8">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2A7C1A4E">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552CAFCC">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特殊说明</w:t>
            </w:r>
          </w:p>
        </w:tc>
        <w:tc>
          <w:tcPr>
            <w:tcW w:w="5946" w:type="dxa"/>
          </w:tcPr>
          <w:p w14:paraId="21CF0A64">
            <w:pPr>
              <w:keepNext w:val="0"/>
              <w:keepLines w:val="0"/>
              <w:widowControl/>
              <w:suppressLineNumbers w:val="0"/>
              <w:spacing w:line="360" w:lineRule="auto"/>
              <w:jc w:val="left"/>
              <w:rPr>
                <w:rFonts w:hint="eastAsia"/>
                <w:lang w:val="en-US" w:eastAsia="zh-CN"/>
              </w:rPr>
            </w:pPr>
            <w:r>
              <w:rPr>
                <w:rFonts w:hint="eastAsia" w:ascii="宋体" w:hAnsi="宋体" w:eastAsia="宋体" w:cs="宋体"/>
                <w:color w:val="000000"/>
                <w:kern w:val="0"/>
                <w:sz w:val="24"/>
                <w:szCs w:val="24"/>
                <w:lang w:val="en-US" w:eastAsia="zh-CN" w:bidi="ar"/>
              </w:rPr>
              <w:t>供应商应充分考虑所有可能影响到报价的价格及政策等风险因素，一旦成交，报价将包定，一律不予调整。供应商报价除包含采购文件中列明的项目外还应包括保障该服务正常运行应当具有的相关费用，对服务正常运行应当具有的相关费用理解不一致的以采购人解释为准。供应商的任何错漏、优惠、竞争性报价不得作为减轻责任、减少服务、增加收费、降低质量的理由。</w:t>
            </w:r>
          </w:p>
        </w:tc>
      </w:tr>
      <w:tr w14:paraId="55A0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gridSpan w:val="3"/>
          </w:tcPr>
          <w:p w14:paraId="4A19DF5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注：1）供应商应仔细阅读磋商文件，任何对磋商文件的忽略或误解不能作为响应文件存在缺陷或瑕疵的理由，其风险由供应商承担。</w:t>
            </w:r>
          </w:p>
          <w:p w14:paraId="7E9FA09D">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2）本项目设有最高限价，供应商报价均不得高于限价，否则做无效响应处理。</w:t>
            </w:r>
          </w:p>
        </w:tc>
      </w:tr>
      <w:bookmarkEnd w:id="50"/>
    </w:tbl>
    <w:p w14:paraId="3D8C5176">
      <w:pPr>
        <w:numPr>
          <w:ilvl w:val="0"/>
          <w:numId w:val="0"/>
        </w:numPr>
        <w:jc w:val="both"/>
        <w:rPr>
          <w:rFonts w:hint="eastAsia"/>
          <w:b/>
          <w:bCs/>
          <w:sz w:val="28"/>
          <w:szCs w:val="28"/>
          <w:lang w:eastAsia="zh-CN"/>
        </w:rPr>
      </w:pPr>
    </w:p>
    <w:p w14:paraId="0D957FC7">
      <w:pPr>
        <w:pStyle w:val="2"/>
        <w:rPr>
          <w:rFonts w:hint="eastAsia"/>
          <w:b/>
          <w:bCs/>
          <w:sz w:val="28"/>
          <w:szCs w:val="28"/>
          <w:lang w:eastAsia="zh-CN"/>
        </w:rPr>
      </w:pPr>
    </w:p>
    <w:p w14:paraId="58C92A11">
      <w:pPr>
        <w:rPr>
          <w:rFonts w:hint="eastAsia"/>
          <w:lang w:eastAsia="zh-CN"/>
        </w:rPr>
      </w:pPr>
    </w:p>
    <w:p w14:paraId="2096FE73">
      <w:pPr>
        <w:numPr>
          <w:ilvl w:val="0"/>
          <w:numId w:val="0"/>
        </w:numPr>
        <w:jc w:val="both"/>
        <w:rPr>
          <w:rFonts w:hint="eastAsia"/>
          <w:b/>
          <w:bCs/>
          <w:sz w:val="28"/>
          <w:szCs w:val="28"/>
          <w:lang w:eastAsia="zh-CN"/>
        </w:rPr>
      </w:pPr>
      <w:r>
        <w:rPr>
          <w:rFonts w:hint="eastAsia"/>
          <w:b/>
          <w:bCs/>
          <w:sz w:val="28"/>
          <w:szCs w:val="28"/>
          <w:lang w:eastAsia="zh-CN"/>
        </w:rPr>
        <w:t>二、磋商须知</w:t>
      </w:r>
    </w:p>
    <w:p w14:paraId="43BF7649">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（一）总则</w:t>
      </w:r>
    </w:p>
    <w:p w14:paraId="3342D65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1.项目说明 </w:t>
      </w:r>
    </w:p>
    <w:p w14:paraId="23D071F9">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1.1 本项目的说明详见磋商须知前附表（以下简称“前附表”）所述。 </w:t>
      </w:r>
    </w:p>
    <w:p w14:paraId="38F0E98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1.2 本采购项目已经批准，采购单位为</w:t>
      </w:r>
      <w:r>
        <w:rPr>
          <w:rFonts w:hint="eastAsia" w:ascii="宋体" w:hAnsi="宋体" w:cs="宋体"/>
          <w:sz w:val="28"/>
          <w:szCs w:val="28"/>
          <w:u w:val="single"/>
          <w:lang w:eastAsia="zh-CN"/>
        </w:rPr>
        <w:t>柯坪县住建交通运输局</w:t>
      </w:r>
      <w:r>
        <w:rPr>
          <w:rFonts w:hint="eastAsia" w:ascii="宋体" w:hAnsi="宋体" w:eastAsia="宋体" w:cs="宋体"/>
          <w:color w:val="0000FF"/>
          <w:kern w:val="0"/>
          <w:sz w:val="28"/>
          <w:szCs w:val="28"/>
          <w:lang w:val="en-US" w:eastAsia="zh-CN" w:bidi="ar"/>
        </w:rPr>
        <w:t>，</w:t>
      </w:r>
      <w:r>
        <w:rPr>
          <w:rFonts w:hint="eastAsia" w:ascii="宋体" w:hAnsi="宋体" w:eastAsia="宋体" w:cs="宋体"/>
          <w:color w:val="000000"/>
          <w:kern w:val="0"/>
          <w:sz w:val="28"/>
          <w:szCs w:val="28"/>
          <w:lang w:val="en-US" w:eastAsia="zh-CN" w:bidi="ar"/>
        </w:rPr>
        <w:t>该项目已具备实施条件，现对该项目进行竞争性磋商。依据工信部联企业〔2011〕300 号，工业和信息化部、统计局、发展改革委、财政部关于印发中小企业划型标准规定的通知：本项目标的所属行业：</w:t>
      </w:r>
      <w:r>
        <w:rPr>
          <w:rFonts w:hint="eastAsia" w:ascii="宋体" w:hAnsi="宋体" w:eastAsia="宋体" w:cs="宋体"/>
          <w:b/>
          <w:bCs/>
          <w:color w:val="000000"/>
          <w:kern w:val="0"/>
          <w:sz w:val="28"/>
          <w:szCs w:val="28"/>
          <w:lang w:val="en-US" w:eastAsia="zh-CN" w:bidi="ar"/>
        </w:rPr>
        <w:t>“</w:t>
      </w:r>
      <w:r>
        <w:rPr>
          <w:rFonts w:hint="eastAsia" w:ascii="宋体" w:hAnsi="宋体" w:cs="宋体"/>
          <w:b/>
          <w:bCs/>
          <w:color w:val="000000"/>
          <w:kern w:val="0"/>
          <w:sz w:val="28"/>
          <w:szCs w:val="28"/>
          <w:lang w:val="en-US" w:eastAsia="zh-CN" w:bidi="ar"/>
        </w:rPr>
        <w:t xml:space="preserve">工程类：建筑业 </w:t>
      </w:r>
      <w:r>
        <w:rPr>
          <w:rFonts w:hint="eastAsia" w:ascii="宋体" w:hAnsi="宋体" w:eastAsia="宋体" w:cs="宋体"/>
          <w:b/>
          <w:bCs/>
          <w:color w:val="000000"/>
          <w:kern w:val="0"/>
          <w:sz w:val="28"/>
          <w:szCs w:val="28"/>
          <w:lang w:val="en-US" w:eastAsia="zh-CN" w:bidi="ar"/>
        </w:rPr>
        <w:t xml:space="preserve">”。 </w:t>
      </w:r>
    </w:p>
    <w:p w14:paraId="0D2ACBC3">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1.3 本采购项目供应商的资格审查采取</w:t>
      </w:r>
      <w:r>
        <w:rPr>
          <w:rFonts w:hint="eastAsia" w:ascii="宋体" w:hAnsi="宋体" w:eastAsia="宋体" w:cs="宋体"/>
          <w:b/>
          <w:bCs/>
          <w:color w:val="000000"/>
          <w:kern w:val="0"/>
          <w:sz w:val="28"/>
          <w:szCs w:val="28"/>
          <w:lang w:val="en-US" w:eastAsia="zh-CN" w:bidi="ar"/>
        </w:rPr>
        <w:t>资格后审</w:t>
      </w:r>
      <w:r>
        <w:rPr>
          <w:rFonts w:hint="eastAsia" w:ascii="宋体" w:hAnsi="宋体" w:eastAsia="宋体" w:cs="宋体"/>
          <w:color w:val="000000"/>
          <w:kern w:val="0"/>
          <w:sz w:val="28"/>
          <w:szCs w:val="28"/>
          <w:lang w:val="en-US" w:eastAsia="zh-CN" w:bidi="ar"/>
        </w:rPr>
        <w:t>方式。本项目</w:t>
      </w:r>
      <w:r>
        <w:rPr>
          <w:rFonts w:hint="eastAsia" w:ascii="宋体" w:hAnsi="宋体" w:eastAsia="宋体" w:cs="宋体"/>
          <w:b/>
          <w:bCs/>
          <w:color w:val="000000"/>
          <w:kern w:val="0"/>
          <w:sz w:val="28"/>
          <w:szCs w:val="28"/>
          <w:lang w:val="en-US" w:eastAsia="zh-CN" w:bidi="ar"/>
        </w:rPr>
        <w:t>不接受</w:t>
      </w:r>
      <w:r>
        <w:rPr>
          <w:rFonts w:hint="eastAsia" w:ascii="宋体" w:hAnsi="宋体" w:eastAsia="宋体" w:cs="宋体"/>
          <w:color w:val="000000"/>
          <w:kern w:val="0"/>
          <w:sz w:val="28"/>
          <w:szCs w:val="28"/>
          <w:lang w:val="en-US" w:eastAsia="zh-CN" w:bidi="ar"/>
        </w:rPr>
        <w:t>联合体，</w:t>
      </w:r>
      <w:r>
        <w:rPr>
          <w:rFonts w:hint="eastAsia" w:ascii="宋体" w:hAnsi="宋体" w:eastAsia="宋体" w:cs="宋体"/>
          <w:b/>
          <w:bCs/>
          <w:color w:val="000000"/>
          <w:kern w:val="0"/>
          <w:sz w:val="28"/>
          <w:szCs w:val="28"/>
          <w:lang w:val="en-US" w:eastAsia="zh-CN" w:bidi="ar"/>
        </w:rPr>
        <w:t>不允许</w:t>
      </w:r>
      <w:r>
        <w:rPr>
          <w:rFonts w:hint="eastAsia" w:ascii="宋体" w:hAnsi="宋体" w:eastAsia="宋体" w:cs="宋体"/>
          <w:color w:val="000000"/>
          <w:kern w:val="0"/>
          <w:sz w:val="28"/>
          <w:szCs w:val="28"/>
          <w:lang w:val="en-US" w:eastAsia="zh-CN" w:bidi="ar"/>
        </w:rPr>
        <w:t>分包，</w:t>
      </w:r>
      <w:r>
        <w:rPr>
          <w:rFonts w:hint="eastAsia" w:ascii="宋体" w:hAnsi="宋体" w:eastAsia="宋体" w:cs="宋体"/>
          <w:b/>
          <w:bCs/>
          <w:color w:val="000000"/>
          <w:kern w:val="0"/>
          <w:sz w:val="28"/>
          <w:szCs w:val="28"/>
          <w:lang w:val="en-US" w:eastAsia="zh-CN" w:bidi="ar"/>
        </w:rPr>
        <w:t>不允许</w:t>
      </w:r>
      <w:r>
        <w:rPr>
          <w:rFonts w:hint="eastAsia" w:ascii="宋体" w:hAnsi="宋体" w:eastAsia="宋体" w:cs="宋体"/>
          <w:color w:val="000000"/>
          <w:kern w:val="0"/>
          <w:sz w:val="28"/>
          <w:szCs w:val="28"/>
          <w:lang w:val="en-US" w:eastAsia="zh-CN" w:bidi="ar"/>
        </w:rPr>
        <w:t xml:space="preserve">转包。 </w:t>
      </w:r>
    </w:p>
    <w:p w14:paraId="323244E6">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供应商必须符合供应商须知前附表说明，通过资格后审的供应商为合格的供应商。合格的供应商必须符合磋商文件中对供应商的规定，且具备完成本项目的能力。 </w:t>
      </w:r>
    </w:p>
    <w:p w14:paraId="2B11556E">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 资格后审包括下列的内容 </w:t>
      </w:r>
    </w:p>
    <w:p w14:paraId="6246639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1.4.1 供应商资质、资格条件是否符合磋商文件要求；信用查询是否符合磋商文件要求； </w:t>
      </w:r>
    </w:p>
    <w:p w14:paraId="647C1E2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1.4.2 响应文件编制是否符合磋商文件要求； </w:t>
      </w:r>
    </w:p>
    <w:p w14:paraId="620E172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1.4.3 响应文件的响应范围和履约期是否符合磋商文件要求； </w:t>
      </w:r>
    </w:p>
    <w:p w14:paraId="7717509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1.4.4 交付（实施）地点是否符合磋商文件规定； </w:t>
      </w:r>
    </w:p>
    <w:p w14:paraId="03FDFCC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1.4.5 响应内容、数量、质量、服务等是否符合磋商文件要求； </w:t>
      </w:r>
    </w:p>
    <w:p w14:paraId="69BA0C6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1.4.6 响应文件中所提条件是否符合采购人要求； </w:t>
      </w:r>
    </w:p>
    <w:p w14:paraId="75621FB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1.4.7 是否符合磋商文件中规定的其他实质性要求； </w:t>
      </w:r>
    </w:p>
    <w:p w14:paraId="4F7CBA6D">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1.4.8 无法律、法规和规章禁止的其他情况。 </w:t>
      </w:r>
    </w:p>
    <w:p w14:paraId="55C4BB69">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 采购范围 </w:t>
      </w:r>
    </w:p>
    <w:p w14:paraId="69089770">
      <w:pPr>
        <w:keepNext w:val="0"/>
        <w:keepLines w:val="0"/>
        <w:widowControl/>
        <w:suppressLineNumbers w:val="0"/>
        <w:ind w:firstLine="280" w:firstLineChars="1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本采购项目磋商范围已通过“前附表”所述，指本项目磋商文件中范围内所要求的所有工作内容。 </w:t>
      </w:r>
    </w:p>
    <w:p w14:paraId="05E9004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 适用法律及约束力 </w:t>
      </w:r>
    </w:p>
    <w:p w14:paraId="4AEA48F6">
      <w:pPr>
        <w:keepNext w:val="0"/>
        <w:keepLines w:val="0"/>
        <w:widowControl/>
        <w:suppressLineNumbers w:val="0"/>
        <w:ind w:firstLine="280" w:firstLineChars="1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本次采购及由本次采购产生的合同受中华人民共和国的相关法律、法规制约和保护。供应商一旦购买了磋商文件并参加本项目磋商，即被认为接受了磋商文件中的所有条款和规定。</w:t>
      </w:r>
    </w:p>
    <w:p w14:paraId="77D68F2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4. 采购项目实施要求 </w:t>
      </w:r>
    </w:p>
    <w:p w14:paraId="5EE1E353">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质量标准已通过“前附表”所述；供应方与采购人签订合同后，按照磋商文件及合同相关的要求组织实施。 </w:t>
      </w:r>
    </w:p>
    <w:p w14:paraId="3F02F5C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5. 工期（履约期）及交付（实施）地点 </w:t>
      </w:r>
    </w:p>
    <w:p w14:paraId="4E2C109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5.1 “合同履约期限”已通过磋商须知“前附表”所述。 </w:t>
      </w:r>
    </w:p>
    <w:p w14:paraId="6ADB477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5.2 交付（实施）地点已通过磋商须知“前附表”所述。 </w:t>
      </w:r>
    </w:p>
    <w:p w14:paraId="5DD5556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6. 资金来源 </w:t>
      </w:r>
    </w:p>
    <w:p w14:paraId="2A17A9B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6.1 采购单位的资金通过磋商须知“前附表”所述的方式获得，并将部分资金用于本项目合同下的合格支付。 </w:t>
      </w:r>
    </w:p>
    <w:p w14:paraId="3869C6E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7. 供应商资格要求 </w:t>
      </w:r>
    </w:p>
    <w:p w14:paraId="68406355">
      <w:pPr>
        <w:keepNext w:val="0"/>
        <w:keepLines w:val="0"/>
        <w:widowControl/>
        <w:suppressLineNumbers w:val="0"/>
        <w:ind w:firstLine="281" w:firstLineChars="10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7.1、满足《中华人民共和国政府采购法》第二十二条规定；</w:t>
      </w:r>
      <w:r>
        <w:rPr>
          <w:rFonts w:hint="eastAsia" w:ascii="宋体" w:hAnsi="宋体" w:eastAsia="宋体" w:cs="宋体"/>
          <w:color w:val="000000"/>
          <w:kern w:val="0"/>
          <w:sz w:val="28"/>
          <w:szCs w:val="28"/>
          <w:lang w:val="en-US" w:eastAsia="zh-CN" w:bidi="ar"/>
        </w:rPr>
        <w:t xml:space="preserve"> </w:t>
      </w:r>
    </w:p>
    <w:p w14:paraId="488C742A">
      <w:pPr>
        <w:ind w:firstLine="280" w:firstLineChars="100"/>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7.1、1.</w:t>
      </w:r>
      <w:r>
        <w:rPr>
          <w:rFonts w:hint="eastAsia" w:ascii="宋体" w:hAnsi="宋体" w:eastAsia="宋体" w:cs="宋体"/>
          <w:sz w:val="28"/>
          <w:szCs w:val="28"/>
        </w:rPr>
        <w:t>满足《中华人民共和国政府采购法》第二十二条规定；</w:t>
      </w:r>
    </w:p>
    <w:p w14:paraId="38ACC87A">
      <w:pPr>
        <w:rPr>
          <w:rFonts w:hint="eastAsia" w:ascii="宋体" w:hAnsi="宋体" w:eastAsia="宋体" w:cs="宋体"/>
          <w:sz w:val="28"/>
          <w:szCs w:val="28"/>
        </w:rPr>
      </w:pPr>
      <w:r>
        <w:rPr>
          <w:rFonts w:hint="eastAsia" w:ascii="宋体" w:hAnsi="宋体" w:eastAsia="宋体" w:cs="宋体"/>
          <w:sz w:val="28"/>
          <w:szCs w:val="28"/>
        </w:rPr>
        <w:t>落实政府采购政策需满足的资格要求：</w:t>
      </w:r>
    </w:p>
    <w:p w14:paraId="494DB7C2">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（1）财政部、国家发展改革委、生态环境部、市场监管总局《关于调整优化节能产品、环境标志产品政府采购执行机制的通知》（财库[2019]9号文）；</w:t>
      </w:r>
    </w:p>
    <w:p w14:paraId="0F520B19">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（2）财政部、生态环境部《关于印发环境标志产品政府采购品目清单的通知》（财库[2019]18号文）；</w:t>
      </w:r>
    </w:p>
    <w:p w14:paraId="38D8B483">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（3）财政部、发展改革委《关于印发节能产品政府采购品目清单的通知》（财库[2019]19号文）；</w:t>
      </w:r>
    </w:p>
    <w:p w14:paraId="6F8C36BD">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（4）市场监管总局《市场监管总局关于发布参与实施政府采购节能产品、环境标志产品认证机构名录的公告》（2019年第16号）；</w:t>
      </w:r>
    </w:p>
    <w:p w14:paraId="4C98297D">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（5）财政部、工业和信息化部《关于印发《政府采购促进中小企业发展管理办法》的通知》（财库[2020]46号文）；</w:t>
      </w:r>
    </w:p>
    <w:p w14:paraId="309DDA7B">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（6）财政部、民政部、中国残疾人联合会《关于促进残疾人就业政府采购政策的通知》（财库[2017]141号）；</w:t>
      </w:r>
    </w:p>
    <w:p w14:paraId="7859B290">
      <w:pPr>
        <w:ind w:firstLine="560" w:firstLineChars="200"/>
        <w:rPr>
          <w:rFonts w:hint="eastAsia" w:ascii="宋体" w:hAnsi="宋体" w:eastAsia="宋体" w:cs="宋体"/>
          <w:sz w:val="28"/>
          <w:szCs w:val="28"/>
        </w:rPr>
      </w:pPr>
      <w:r>
        <w:rPr>
          <w:rFonts w:hint="eastAsia" w:ascii="宋体" w:hAnsi="宋体" w:eastAsia="宋体" w:cs="宋体"/>
          <w:sz w:val="28"/>
          <w:szCs w:val="28"/>
        </w:rPr>
        <w:t>（7）财政部、司法部《关于政府采购支持监狱企业发展有关问题的通知》（财库[2014]68号文）。 </w:t>
      </w:r>
    </w:p>
    <w:p w14:paraId="62D847EC">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7.1、2.</w:t>
      </w:r>
      <w:r>
        <w:rPr>
          <w:rFonts w:hint="eastAsia" w:ascii="宋体" w:hAnsi="宋体" w:eastAsia="宋体" w:cs="宋体"/>
          <w:sz w:val="28"/>
          <w:szCs w:val="28"/>
        </w:rPr>
        <w:t>本项目的特定资格要求：</w:t>
      </w:r>
    </w:p>
    <w:p w14:paraId="4F998A41">
      <w:pPr>
        <w:spacing w:line="500" w:lineRule="exact"/>
        <w:contextualSpacing/>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（1）具备有效的营业执照</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spacing w:val="-2"/>
          <w:sz w:val="28"/>
          <w:szCs w:val="28"/>
          <w:lang w:val="en-US" w:eastAsia="zh-CN"/>
        </w:rPr>
        <w:t>法人代表或其委托代理人应提交本人身份证，委托代理人还应提交《法人代表授权委托书》；</w:t>
      </w:r>
    </w:p>
    <w:p w14:paraId="127F24A6">
      <w:pPr>
        <w:widowControl w:val="0"/>
        <w:spacing w:after="120" w:afterLines="0"/>
        <w:jc w:val="both"/>
        <w:rPr>
          <w:rFonts w:hint="eastAsia" w:ascii="宋体" w:hAnsi="宋体" w:eastAsia="宋体" w:cs="宋体"/>
          <w:i w:val="0"/>
          <w:iCs w:val="0"/>
          <w:caps w:val="0"/>
          <w:color w:val="000000"/>
          <w:spacing w:val="0"/>
          <w:kern w:val="2"/>
          <w:sz w:val="28"/>
          <w:szCs w:val="28"/>
          <w:lang w:val="en-US" w:eastAsia="zh-CN" w:bidi="ar-SA"/>
        </w:rPr>
      </w:pPr>
      <w:r>
        <w:rPr>
          <w:rFonts w:hint="eastAsia" w:ascii="宋体" w:hAnsi="宋体" w:eastAsia="宋体" w:cs="宋体"/>
          <w:i w:val="0"/>
          <w:iCs w:val="0"/>
          <w:caps w:val="0"/>
          <w:color w:val="000000"/>
          <w:spacing w:val="0"/>
          <w:kern w:val="2"/>
          <w:sz w:val="28"/>
          <w:szCs w:val="28"/>
          <w:lang w:val="en-US" w:eastAsia="zh-CN" w:bidi="ar-SA"/>
        </w:rPr>
        <w:t>（2）投标人须具备公路工程施工总承包三级(含)以上资质及有效的安全生产许可证；</w:t>
      </w:r>
    </w:p>
    <w:p w14:paraId="47479CDE">
      <w:pPr>
        <w:widowControl w:val="0"/>
        <w:spacing w:after="120" w:afterLines="0"/>
        <w:jc w:val="both"/>
        <w:rPr>
          <w:rFonts w:hint="eastAsia" w:ascii="宋体" w:hAnsi="宋体" w:eastAsia="宋体" w:cs="宋体"/>
          <w:i w:val="0"/>
          <w:iCs w:val="0"/>
          <w:caps w:val="0"/>
          <w:color w:val="000000"/>
          <w:spacing w:val="0"/>
          <w:kern w:val="2"/>
          <w:sz w:val="28"/>
          <w:szCs w:val="28"/>
          <w:lang w:val="en-US" w:eastAsia="zh-CN" w:bidi="ar-SA"/>
        </w:rPr>
      </w:pPr>
      <w:r>
        <w:rPr>
          <w:rFonts w:hint="eastAsia" w:ascii="宋体" w:hAnsi="宋体" w:eastAsia="宋体" w:cs="宋体"/>
          <w:i w:val="0"/>
          <w:iCs w:val="0"/>
          <w:caps w:val="0"/>
          <w:color w:val="000000"/>
          <w:spacing w:val="0"/>
          <w:kern w:val="2"/>
          <w:sz w:val="28"/>
          <w:szCs w:val="28"/>
          <w:lang w:val="en-US" w:eastAsia="zh-CN" w:bidi="ar-SA"/>
        </w:rPr>
        <w:t>（3）项目负责人需具备公路工程二级建造师资格(含)以上注册建造师资格，且未担任其他在施建设工程项目的项目经理，具备有效的安全生产考核合格证书；</w:t>
      </w:r>
    </w:p>
    <w:p w14:paraId="76B99156">
      <w:pPr>
        <w:rPr>
          <w:rFonts w:hint="eastAsia"/>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）单位负责人为同一人或者存在直接控股、管理关系的不同供应商，不得参加同一合同项下的政府采购活动。</w:t>
      </w:r>
    </w:p>
    <w:p w14:paraId="1737151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7.1、3.本项目不接受联合体磋商； </w:t>
      </w:r>
    </w:p>
    <w:p w14:paraId="393690A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7.2 政府采购政策： </w:t>
      </w:r>
    </w:p>
    <w:p w14:paraId="682D4E81">
      <w:pPr>
        <w:ind w:firstLine="280" w:firstLineChars="100"/>
        <w:rPr>
          <w:rFonts w:hint="eastAsia" w:ascii="宋体" w:hAnsi="宋体" w:eastAsia="宋体" w:cs="宋体"/>
          <w:kern w:val="0"/>
          <w:sz w:val="28"/>
          <w:szCs w:val="28"/>
        </w:rPr>
      </w:pPr>
      <w:r>
        <w:rPr>
          <w:rFonts w:hint="eastAsia" w:ascii="宋体" w:hAnsi="宋体" w:eastAsia="宋体" w:cs="宋体"/>
          <w:sz w:val="28"/>
          <w:szCs w:val="28"/>
          <w:lang w:val="en-US" w:eastAsia="zh-CN"/>
        </w:rPr>
        <w:t>7.2、1.</w:t>
      </w:r>
      <w:r>
        <w:rPr>
          <w:rFonts w:hint="eastAsia" w:ascii="宋体" w:hAnsi="宋体" w:eastAsia="宋体" w:cs="宋体"/>
          <w:kern w:val="0"/>
          <w:sz w:val="28"/>
          <w:szCs w:val="28"/>
        </w:rPr>
        <w:t xml:space="preserve">本公告同时在新疆政府采购网、阿克苏地区行政公署网、柯坪县人民政府网发布； </w:t>
      </w:r>
    </w:p>
    <w:p w14:paraId="51FC9813">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7.2、2.</w:t>
      </w:r>
      <w:r>
        <w:rPr>
          <w:rFonts w:hint="eastAsia" w:ascii="宋体" w:hAnsi="宋体" w:eastAsia="宋体" w:cs="宋体"/>
          <w:kern w:val="0"/>
          <w:sz w:val="28"/>
          <w:szCs w:val="28"/>
        </w:rPr>
        <w:t xml:space="preserve">请投标单位随时关注本项目的澄清、答疑、变更事项。 </w:t>
      </w:r>
    </w:p>
    <w:p w14:paraId="7CDDC651">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7.2、3.</w:t>
      </w:r>
      <w:r>
        <w:rPr>
          <w:rFonts w:hint="eastAsia" w:ascii="宋体" w:hAnsi="宋体" w:eastAsia="宋体" w:cs="宋体"/>
          <w:kern w:val="0"/>
          <w:sz w:val="28"/>
          <w:szCs w:val="28"/>
        </w:rPr>
        <w:t>本项目实行电子招投标，供应商须登录政采云平台申请获取采购文件，并需要使用CA锁，登录政采云电子投标客户端制作投标文件，若供应商参与投标,自行承担与投标有关的一切费用。</w:t>
      </w:r>
    </w:p>
    <w:p w14:paraId="2F808F7A">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7.2、4.</w:t>
      </w:r>
      <w:r>
        <w:rPr>
          <w:rFonts w:hint="eastAsia" w:ascii="宋体" w:hAnsi="宋体" w:eastAsia="宋体" w:cs="宋体"/>
          <w:kern w:val="0"/>
          <w:sz w:val="28"/>
          <w:szCs w:val="28"/>
        </w:rPr>
        <w:t xml:space="preserve">各供应商应在开标前确保是新疆维吾尔自治区政府采购网正式注册入库的供应商，并完成CA数字证书申领。因未注册入库、未办理CA数字证书等原因造成无法投标或投标失败等后果的由供应商自行承担。 </w:t>
      </w:r>
    </w:p>
    <w:p w14:paraId="02F642B6">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7.2、5.</w:t>
      </w:r>
      <w:r>
        <w:rPr>
          <w:rFonts w:hint="eastAsia" w:ascii="宋体" w:hAnsi="宋体" w:eastAsia="宋体" w:cs="宋体"/>
          <w:kern w:val="0"/>
          <w:sz w:val="28"/>
          <w:szCs w:val="28"/>
        </w:rPr>
        <w:t>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14:paraId="0E45D3F8">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7.2、6.</w:t>
      </w:r>
      <w:r>
        <w:rPr>
          <w:rFonts w:hint="eastAsia" w:ascii="宋体" w:hAnsi="宋体" w:eastAsia="宋体" w:cs="宋体"/>
          <w:kern w:val="0"/>
          <w:sz w:val="28"/>
          <w:szCs w:val="28"/>
        </w:rPr>
        <w:t>供应商在开标时须携带制作加密电子投标文件所使用的CA锁，电脑须提前配置好浏览器（建议使用360浏览器或谷歌浏览器），以便开标时在线解密。</w:t>
      </w:r>
    </w:p>
    <w:p w14:paraId="64D70AEC">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7.2、7.</w:t>
      </w:r>
      <w:r>
        <w:rPr>
          <w:rFonts w:hint="eastAsia" w:ascii="宋体" w:hAnsi="宋体" w:eastAsia="宋体" w:cs="宋体"/>
          <w:kern w:val="0"/>
          <w:sz w:val="28"/>
          <w:szCs w:val="28"/>
        </w:rPr>
        <w:t>投标供应商应当在投标截止时间前，将生成的“电子加密投标文件”上传递交至“政府采购云平台”，投标截止时间以后上传递交的投标文件将被“政府采购云平台”拒收。  </w:t>
      </w:r>
    </w:p>
    <w:p w14:paraId="3ECBA20C">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特别提示：</w:t>
      </w:r>
    </w:p>
    <w:p w14:paraId="080EE271">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1、采购限额标准以上，200万元以下的货物和服务采购项目、400万元以下的工程采购项目，适宜由中小企业提供的，采购人应当专门面向中小企业采购。</w:t>
      </w:r>
    </w:p>
    <w:p w14:paraId="3B949693">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2、超过200万元的货物和服务采购项目，预留该部分采购项目预算总额的30%以上专门面向中小企业采购，其中预留给小微企业的比例不低于60%。</w:t>
      </w:r>
    </w:p>
    <w:p w14:paraId="590503D9">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3、超过400万元的工程采购项目中适宜由中小企业提供的，预留该部分采购项目预算总额的40%以上专门面向中小企业采购，其中预留给小微企业的比例不低于60%。</w:t>
      </w:r>
    </w:p>
    <w:p w14:paraId="39E1A3AC">
      <w:pPr>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714B257">
      <w:pPr>
        <w:ind w:firstLine="280" w:firstLineChars="100"/>
        <w:rPr>
          <w:rFonts w:hint="eastAsia" w:ascii="宋体" w:hAnsi="宋体" w:eastAsia="宋体" w:cs="宋体"/>
          <w:sz w:val="28"/>
          <w:szCs w:val="28"/>
        </w:rPr>
      </w:pPr>
      <w:r>
        <w:rPr>
          <w:rFonts w:hint="eastAsia" w:ascii="宋体" w:hAnsi="宋体" w:eastAsia="宋体" w:cs="宋体"/>
          <w:kern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B9DBF3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8. 磋商响应费用和知识产权 </w:t>
      </w:r>
    </w:p>
    <w:p w14:paraId="4672576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应承担其编制响应文件与递交响应文件所涉及的一切费用，不论磋商结果如何，采购人或采购代理机构均无义务和责任承担这些费用。供应商应保证，在中华人民共和国境内使用响应成果、服务或其任何一部分时，不会产生因第三方提出侵犯其专利权或其它知识产权而引起的法律和经济纠纷。 </w:t>
      </w:r>
    </w:p>
    <w:p w14:paraId="1F5C9E4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9. 授权委托 </w:t>
      </w:r>
    </w:p>
    <w:p w14:paraId="280E3CC5">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供应商代表为法定代表人的，应持有法定代表人身份证明书和法定代表人身份证；供应商代表不是供应商的法定代表人的，应持有法定代表人授权委托书和委托代理人的身份证。 </w:t>
      </w:r>
    </w:p>
    <w:p w14:paraId="6E5EBA4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10. 联合体磋商 </w:t>
      </w:r>
    </w:p>
    <w:p w14:paraId="4EBA99B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本项目</w:t>
      </w:r>
      <w:r>
        <w:rPr>
          <w:rFonts w:hint="eastAsia" w:ascii="宋体" w:hAnsi="宋体" w:eastAsia="宋体" w:cs="宋体"/>
          <w:b/>
          <w:bCs/>
          <w:color w:val="000000"/>
          <w:kern w:val="0"/>
          <w:sz w:val="28"/>
          <w:szCs w:val="28"/>
          <w:lang w:val="en-US" w:eastAsia="zh-CN" w:bidi="ar"/>
        </w:rPr>
        <w:t>不接受</w:t>
      </w:r>
      <w:r>
        <w:rPr>
          <w:rFonts w:hint="eastAsia" w:ascii="宋体" w:hAnsi="宋体" w:eastAsia="宋体" w:cs="宋体"/>
          <w:color w:val="000000"/>
          <w:kern w:val="0"/>
          <w:sz w:val="28"/>
          <w:szCs w:val="28"/>
          <w:lang w:val="en-US" w:eastAsia="zh-CN" w:bidi="ar"/>
        </w:rPr>
        <w:t>联合体进行磋商。</w:t>
      </w:r>
    </w:p>
    <w:p w14:paraId="72E46C61">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5B8FEF64">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3114FF9E">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（二）磋商文件</w:t>
      </w:r>
    </w:p>
    <w:p w14:paraId="16014FB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11. 磋商文件的组成 </w:t>
      </w:r>
    </w:p>
    <w:p w14:paraId="0DC640B1">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11.1 磋商文件包括下列内容 </w:t>
      </w:r>
    </w:p>
    <w:p w14:paraId="031C31E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第一部分 磋商公告 </w:t>
      </w:r>
    </w:p>
    <w:p w14:paraId="1C4F180E">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第二部分 磋商须知</w:t>
      </w:r>
    </w:p>
    <w:p w14:paraId="63CA19EA">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第三部分 评审方法 </w:t>
      </w:r>
    </w:p>
    <w:p w14:paraId="542DBF72">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第四部分 合同格式（仅供参考）</w:t>
      </w:r>
    </w:p>
    <w:p w14:paraId="59F28F4E">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第五部分 采购需求</w:t>
      </w:r>
    </w:p>
    <w:p w14:paraId="489C0B56">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第六部分 响应文件格式 </w:t>
      </w:r>
    </w:p>
    <w:p w14:paraId="4CEFC0A7">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11.2 采购的最小单位是标项。磋商文件未分标项的，供应商须对全部采购内容磋商响应，不得部分响应；磋商文件分标项的，供应商应当以标项为单位磋商响应。磋商文件未给定附件格式的，供应商可自行编制。 </w:t>
      </w:r>
    </w:p>
    <w:p w14:paraId="4F3EC67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11.3 磋商文件如果要求供应商提交备选方案的，供应商可以提交备选方案；否则，备选方案将被拒绝。 </w:t>
      </w:r>
    </w:p>
    <w:p w14:paraId="075944D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11.4 磋商文件由本文件及由采购人按磋商文件有关规定发出的补充文件构成。 </w:t>
      </w:r>
    </w:p>
    <w:p w14:paraId="0F205BE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11.5 磋商文件的澄清、修改、采购答疑会议纪要等书面材料在本采购项目中均称为补充文件。 </w:t>
      </w:r>
    </w:p>
    <w:p w14:paraId="3DDDD04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11.6 磋商文件补充作为磋商文件的组成部分，对供应商起同等约束作用。如果磋商文件补充内容与在此磋商文件补充发出之前的磋商文件等书面材料中相关内容相冲突，请供应商执行磋商文件补充的相关内容，先前发出的磋商文件等书面材料中相关内容自动废止。 </w:t>
      </w:r>
    </w:p>
    <w:p w14:paraId="1C65EA00">
      <w:pPr>
        <w:keepNext w:val="0"/>
        <w:keepLines w:val="0"/>
        <w:widowControl/>
        <w:suppressLineNumbers w:val="0"/>
        <w:ind w:firstLine="280" w:firstLineChars="1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11.7 供应商应认真审阅和理解磋商文件所有内容，尤其注意可能引起“否决”、“拒绝评审”、“无效”、“评审不予通过”等的条款，按照磋商文件要求编制响应文件。任何对磋商文件的忽略或误解不能作为响应文件存在缺陷或瑕疵的理由，其风险由供应商承担。 </w:t>
      </w:r>
    </w:p>
    <w:p w14:paraId="1348729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12. 磋商文件的获取 </w:t>
      </w:r>
    </w:p>
    <w:p w14:paraId="075B879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12.1 磋商文件的提供期限自开始发出之日起不少于五个工作日。具体提供期限见《磋商公告》。 </w:t>
      </w:r>
    </w:p>
    <w:p w14:paraId="5CDA2DA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12.2</w:t>
      </w:r>
      <w:r>
        <w:rPr>
          <w:rFonts w:hint="eastAsia" w:ascii="宋体" w:hAnsi="宋体" w:eastAsia="宋体" w:cs="宋体"/>
          <w:b/>
          <w:bCs/>
          <w:color w:val="000000"/>
          <w:kern w:val="0"/>
          <w:sz w:val="28"/>
          <w:szCs w:val="28"/>
          <w:lang w:val="en-US" w:eastAsia="zh-CN" w:bidi="ar"/>
        </w:rPr>
        <w:t xml:space="preserve">凡符合资格要求并有意参加竞标的供应商,供应商登陆政采云平 http://www.zcygov.cn/在线申请获取（登录政府采购云平台→项目采购→获取竞争性磋商文件→申请，审核通过后可下载竞争 </w:t>
      </w:r>
    </w:p>
    <w:p w14:paraId="58A0363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性磋商文件，如有操作性问题，可与政采云在线客服进行咨询，咨询电话：95763 和 400-881-7190）。 </w:t>
      </w:r>
    </w:p>
    <w:p w14:paraId="3174FA07">
      <w:pPr>
        <w:keepNext w:val="0"/>
        <w:keepLines w:val="0"/>
        <w:widowControl/>
        <w:suppressLineNumbers w:val="0"/>
        <w:ind w:firstLine="280" w:firstLineChars="100"/>
        <w:jc w:val="left"/>
        <w:rPr>
          <w:rFonts w:hint="eastAsia" w:ascii="宋体" w:hAnsi="宋体" w:eastAsia="宋体" w:cs="宋体"/>
          <w:b/>
          <w:bCs/>
          <w:sz w:val="28"/>
          <w:szCs w:val="28"/>
        </w:rPr>
      </w:pPr>
      <w:r>
        <w:rPr>
          <w:rFonts w:hint="eastAsia" w:ascii="宋体" w:hAnsi="宋体" w:eastAsia="宋体" w:cs="宋体"/>
          <w:color w:val="000000"/>
          <w:kern w:val="0"/>
          <w:sz w:val="28"/>
          <w:szCs w:val="28"/>
          <w:lang w:val="en-US" w:eastAsia="zh-CN" w:bidi="ar"/>
        </w:rPr>
        <w:t>本次采购项目，采用新疆政府采购云系统线上电子评审，</w:t>
      </w:r>
      <w:r>
        <w:rPr>
          <w:rFonts w:hint="eastAsia" w:ascii="宋体" w:hAnsi="宋体" w:eastAsia="宋体" w:cs="宋体"/>
          <w:b/>
          <w:bCs/>
          <w:color w:val="000000"/>
          <w:kern w:val="0"/>
          <w:sz w:val="28"/>
          <w:szCs w:val="28"/>
          <w:lang w:val="en-US" w:eastAsia="zh-CN" w:bidi="ar"/>
        </w:rPr>
        <w:t xml:space="preserve">磋商时供应商须按采购文件要求提交加密后上传的电子版响应文件。 </w:t>
      </w:r>
    </w:p>
    <w:p w14:paraId="56786C5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13. 磋商文件的澄清或修改 </w:t>
      </w:r>
    </w:p>
    <w:p w14:paraId="42DA0D17">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13.1 采购人或者采购代理机构可以对已发出的竞争性磋商文件（资格预审文件、磋商邀请书）进行必要的澄清或者修改，但不得改变采购标的和资格条件。澄清或者修改应当在原公告发布媒体上发 </w:t>
      </w:r>
    </w:p>
    <w:p w14:paraId="48EBBDA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布澄清公告。澄清或者修改的内容为竞争性磋商文件（资格预审文件、投标邀请书）的组成部分。 </w:t>
      </w:r>
    </w:p>
    <w:p w14:paraId="6660990D">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13.2 澄清或者修改的内容可能影响响应文件编制的，采购人或者采购代理机构应当在提交首次响应文件截止时间至少 5 日前，以书面形式通知所有获取竞争性磋商文件的潜在供应商；不足 5 日的， </w:t>
      </w:r>
    </w:p>
    <w:p w14:paraId="5594AB3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采购人或者采购代理机构可顺延提交响应文件的截止时间。 </w:t>
      </w:r>
    </w:p>
    <w:p w14:paraId="283E4CC6">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13.3 采购人可以视采购具体情况，延长提交首次响应文件截止时间和磋商开启时间，但至少应当在竞争性磋商文件要求提交响应文件的截止时间 5 日前，将变更时间书面通知所有竞争性磋商文件收受人，并在财政部门指定的政府采购信息发布媒体上发布变更公告。 </w:t>
      </w:r>
    </w:p>
    <w:p w14:paraId="731841E7">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13.4 竞争性磋商文件的修改将以书面通知所有竞争性磋商文件收受人，并对供应商具有约束力。供应商收到澄清或修改文件后，须于 1 日内回复采购人</w:t>
      </w:r>
      <w:r>
        <w:rPr>
          <w:rFonts w:hint="eastAsia" w:ascii="宋体" w:hAnsi="宋体" w:cs="宋体"/>
          <w:color w:val="000000"/>
          <w:kern w:val="0"/>
          <w:sz w:val="28"/>
          <w:szCs w:val="28"/>
          <w:lang w:val="en-US" w:eastAsia="zh-CN" w:bidi="ar"/>
        </w:rPr>
        <w:t>或</w:t>
      </w:r>
      <w:r>
        <w:rPr>
          <w:rFonts w:hint="eastAsia" w:ascii="宋体" w:hAnsi="宋体" w:eastAsia="宋体" w:cs="宋体"/>
          <w:color w:val="000000"/>
          <w:kern w:val="0"/>
          <w:sz w:val="28"/>
          <w:szCs w:val="28"/>
          <w:lang w:val="en-US" w:eastAsia="zh-CN" w:bidi="ar"/>
        </w:rPr>
        <w:t xml:space="preserve">采购代理机构，逾期未回复的视同已收。 </w:t>
      </w:r>
    </w:p>
    <w:p w14:paraId="4719F9F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14. 磋商报价 </w:t>
      </w:r>
    </w:p>
    <w:p w14:paraId="1F0B62A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14.1 本采购项目使用的货币为</w:t>
      </w:r>
      <w:r>
        <w:rPr>
          <w:rFonts w:hint="eastAsia" w:ascii="宋体" w:hAnsi="宋体" w:eastAsia="宋体" w:cs="宋体"/>
          <w:b/>
          <w:bCs/>
          <w:color w:val="000000"/>
          <w:kern w:val="0"/>
          <w:sz w:val="28"/>
          <w:szCs w:val="28"/>
          <w:lang w:val="en-US" w:eastAsia="zh-CN" w:bidi="ar"/>
        </w:rPr>
        <w:t>人民币</w:t>
      </w:r>
      <w:r>
        <w:rPr>
          <w:rFonts w:hint="eastAsia" w:ascii="宋体" w:hAnsi="宋体" w:eastAsia="宋体" w:cs="宋体"/>
          <w:color w:val="000000"/>
          <w:kern w:val="0"/>
          <w:sz w:val="28"/>
          <w:szCs w:val="28"/>
          <w:lang w:val="en-US" w:eastAsia="zh-CN" w:bidi="ar"/>
        </w:rPr>
        <w:t xml:space="preserve"> ，实施时亦以</w:t>
      </w:r>
      <w:r>
        <w:rPr>
          <w:rFonts w:hint="eastAsia" w:ascii="宋体" w:hAnsi="宋体" w:eastAsia="宋体" w:cs="宋体"/>
          <w:b/>
          <w:bCs/>
          <w:color w:val="000000"/>
          <w:kern w:val="0"/>
          <w:sz w:val="28"/>
          <w:szCs w:val="28"/>
          <w:lang w:val="en-US" w:eastAsia="zh-CN" w:bidi="ar"/>
        </w:rPr>
        <w:t>人民币</w:t>
      </w:r>
      <w:r>
        <w:rPr>
          <w:rFonts w:hint="eastAsia" w:ascii="宋体" w:hAnsi="宋体" w:eastAsia="宋体" w:cs="宋体"/>
          <w:color w:val="000000"/>
          <w:kern w:val="0"/>
          <w:sz w:val="28"/>
          <w:szCs w:val="28"/>
          <w:lang w:val="en-US" w:eastAsia="zh-CN" w:bidi="ar"/>
        </w:rPr>
        <w:t xml:space="preserve"> 支付。 </w:t>
      </w:r>
    </w:p>
    <w:p w14:paraId="41AA71E5">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14.2 磋商报价为本磋商文件所确定的采购范围内的全部工作内容的价格体现。任何有选择的报价将不予接受（除非采购人另有约定），否则，在评审时将其视为无效响应。 </w:t>
      </w:r>
    </w:p>
    <w:p w14:paraId="5BFA66E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14.3 供应商（响应报价）包含：包括服务价款、税金、人工工资及社保、招标代理服务费等为完成采购需求工作的全部含税费用。 价格部分是对所投项目全部含税价格构成的说明，磋商文件如没有特别说明的话，对每一项内容仅接受一个价格。 </w:t>
      </w:r>
    </w:p>
    <w:p w14:paraId="0FF1D1E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14.4 响应文件报价出现前后不一致的，除磋商文件另有规定外，按照下列规定修正： </w:t>
      </w:r>
    </w:p>
    <w:p w14:paraId="32E2612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（一）响应文件中报价一览表（磋商报价表）内容与响应文件中相应内容不一致的，以报价一览表（磋商报价表）为准； </w:t>
      </w:r>
    </w:p>
    <w:p w14:paraId="131A25A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（二）大写金额和小写金额不一致的，以大写金额为准； </w:t>
      </w:r>
    </w:p>
    <w:p w14:paraId="2DA8A01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（三）单价金额小数点或者百分比有明显错位的，以响应文件一览表的总价为准，并修改单价； </w:t>
      </w:r>
    </w:p>
    <w:p w14:paraId="67E3DE9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四）总价金额与按单价汇总金额不一致的，以单价金额计算结果为准。同时出现两种以上不一致的，按照前款规定的顺序修正。修正后的报价遵照如下规定处理：“供应商的澄清、说明或者补正应当采用书面形式，并加盖公章，或者由法定代表人或其授权的代表签字。供应商的澄清、说明或者补正不得超出响应文件的范围或者改变响应文件的实质性内容”。修正后的报价经供应商确认后产生约束力，供应商不确认的，其响应无效。 </w:t>
      </w:r>
    </w:p>
    <w:p w14:paraId="21F07E5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15.磋商保证金 </w:t>
      </w:r>
      <w:r>
        <w:rPr>
          <w:rFonts w:hint="eastAsia" w:ascii="宋体" w:hAnsi="宋体" w:cs="宋体"/>
          <w:b/>
          <w:bCs/>
          <w:color w:val="000000"/>
          <w:kern w:val="0"/>
          <w:sz w:val="28"/>
          <w:szCs w:val="28"/>
          <w:lang w:val="en-US" w:eastAsia="zh-CN" w:bidi="ar"/>
        </w:rPr>
        <w:t>（本项目不收取）</w:t>
      </w:r>
    </w:p>
    <w:p w14:paraId="648E7603">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15.1 磋商保证金是为了保护采购人和采购机构免遭因供应商的违规、违约行为而引起的风险，采购人/采购机构在受到损害时可根据本须知的有关规定没收供应商的磋商保证金。成交单位如未能按磋商文件要求与采购人签署项目合同，视为供应商违约，则采购人有权提取成交单位磋商保证金。 </w:t>
      </w:r>
    </w:p>
    <w:p w14:paraId="11819432">
      <w:pPr>
        <w:keepNext w:val="0"/>
        <w:keepLines w:val="0"/>
        <w:widowControl/>
        <w:suppressLineNumbers w:val="0"/>
        <w:ind w:firstLine="280" w:firstLineChars="1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15.2 </w:t>
      </w:r>
      <w:r>
        <w:rPr>
          <w:rFonts w:hint="eastAsia" w:ascii="宋体" w:hAnsi="宋体" w:eastAsia="宋体" w:cs="宋体"/>
          <w:b/>
          <w:bCs/>
          <w:color w:val="000000"/>
          <w:kern w:val="0"/>
          <w:sz w:val="28"/>
          <w:szCs w:val="28"/>
          <w:lang w:val="en-US" w:eastAsia="zh-CN" w:bidi="ar"/>
        </w:rPr>
        <w:t>供应商</w:t>
      </w:r>
      <w:r>
        <w:rPr>
          <w:rFonts w:hint="eastAsia" w:ascii="宋体" w:hAnsi="宋体" w:cs="宋体"/>
          <w:b/>
          <w:bCs/>
          <w:color w:val="000000"/>
          <w:kern w:val="0"/>
          <w:sz w:val="28"/>
          <w:szCs w:val="28"/>
          <w:lang w:val="en-US" w:eastAsia="zh-CN" w:bidi="ar"/>
        </w:rPr>
        <w:t>不</w:t>
      </w:r>
      <w:r>
        <w:rPr>
          <w:rFonts w:hint="eastAsia" w:ascii="宋体" w:hAnsi="宋体" w:eastAsia="宋体" w:cs="宋体"/>
          <w:b/>
          <w:bCs/>
          <w:color w:val="000000"/>
          <w:kern w:val="0"/>
          <w:sz w:val="28"/>
          <w:szCs w:val="28"/>
          <w:lang w:val="en-US" w:eastAsia="zh-CN" w:bidi="ar"/>
        </w:rPr>
        <w:t>提交磋商保证金</w:t>
      </w:r>
      <w:r>
        <w:rPr>
          <w:rFonts w:hint="eastAsia" w:ascii="宋体" w:hAnsi="宋体" w:eastAsia="宋体" w:cs="宋体"/>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磋商文件前附表规定</w:t>
      </w:r>
      <w:r>
        <w:rPr>
          <w:rFonts w:hint="eastAsia" w:ascii="宋体" w:hAnsi="宋体" w:cs="宋体"/>
          <w:b w:val="0"/>
          <w:bCs w:val="0"/>
          <w:color w:val="000000"/>
          <w:kern w:val="0"/>
          <w:sz w:val="28"/>
          <w:szCs w:val="28"/>
          <w:lang w:val="en-US" w:eastAsia="zh-CN" w:bidi="ar"/>
        </w:rPr>
        <w:t>不</w:t>
      </w:r>
      <w:r>
        <w:rPr>
          <w:rFonts w:hint="eastAsia" w:ascii="宋体" w:hAnsi="宋体" w:eastAsia="宋体" w:cs="宋体"/>
          <w:b w:val="0"/>
          <w:bCs w:val="0"/>
          <w:color w:val="000000"/>
          <w:kern w:val="0"/>
          <w:sz w:val="28"/>
          <w:szCs w:val="28"/>
          <w:lang w:val="en-US" w:eastAsia="zh-CN" w:bidi="ar"/>
        </w:rPr>
        <w:t>交纳磋商保证金，供应商</w:t>
      </w:r>
      <w:r>
        <w:rPr>
          <w:rFonts w:hint="eastAsia" w:ascii="宋体" w:hAnsi="宋体" w:cs="宋体"/>
          <w:b w:val="0"/>
          <w:bCs w:val="0"/>
          <w:color w:val="000000"/>
          <w:kern w:val="0"/>
          <w:sz w:val="28"/>
          <w:szCs w:val="28"/>
          <w:lang w:val="en-US" w:eastAsia="zh-CN" w:bidi="ar"/>
        </w:rPr>
        <w:t>不用</w:t>
      </w:r>
      <w:r>
        <w:rPr>
          <w:rFonts w:hint="eastAsia" w:ascii="宋体" w:hAnsi="宋体" w:eastAsia="宋体" w:cs="宋体"/>
          <w:b w:val="0"/>
          <w:bCs w:val="0"/>
          <w:color w:val="000000"/>
          <w:kern w:val="0"/>
          <w:sz w:val="28"/>
          <w:szCs w:val="28"/>
          <w:lang w:val="en-US" w:eastAsia="zh-CN" w:bidi="ar"/>
        </w:rPr>
        <w:t>提交磋商保证金</w:t>
      </w:r>
      <w:r>
        <w:rPr>
          <w:rFonts w:hint="eastAsia" w:ascii="宋体" w:hAnsi="宋体" w:eastAsia="宋体" w:cs="宋体"/>
          <w:color w:val="000000"/>
          <w:kern w:val="0"/>
          <w:sz w:val="28"/>
          <w:szCs w:val="28"/>
          <w:lang w:val="en-US" w:eastAsia="zh-CN" w:bidi="ar"/>
        </w:rPr>
        <w:t>，磋商保证金有效期应与磋商文件规定的磋商有效期一致。</w:t>
      </w:r>
    </w:p>
    <w:p w14:paraId="4C044C5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15.3 本项目磋商保证金提交要求，详见磋商须知前附表</w:t>
      </w:r>
      <w:r>
        <w:rPr>
          <w:rFonts w:hint="eastAsia" w:ascii="宋体" w:hAnsi="宋体" w:cs="宋体"/>
          <w:color w:val="000000"/>
          <w:kern w:val="0"/>
          <w:sz w:val="28"/>
          <w:szCs w:val="28"/>
          <w:lang w:val="en-US" w:eastAsia="zh-CN" w:bidi="ar"/>
        </w:rPr>
        <w:t>“</w:t>
      </w:r>
      <w:r>
        <w:rPr>
          <w:rFonts w:hint="eastAsia" w:ascii="宋体" w:hAnsi="宋体" w:cs="宋体"/>
          <w:b/>
          <w:bCs/>
          <w:color w:val="000000"/>
          <w:kern w:val="0"/>
          <w:sz w:val="28"/>
          <w:szCs w:val="28"/>
          <w:lang w:val="en-US" w:eastAsia="zh-CN" w:bidi="ar"/>
        </w:rPr>
        <w:t>无需缴纳磋商保证金</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 </w:t>
      </w:r>
    </w:p>
    <w:p w14:paraId="6FE0E01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15.4 </w:t>
      </w:r>
      <w:r>
        <w:rPr>
          <w:rFonts w:hint="eastAsia" w:ascii="宋体" w:hAnsi="宋体" w:cs="宋体"/>
          <w:b/>
          <w:bCs/>
          <w:color w:val="000000"/>
          <w:kern w:val="0"/>
          <w:sz w:val="28"/>
          <w:szCs w:val="28"/>
          <w:lang w:val="en-US" w:eastAsia="zh-CN" w:bidi="ar"/>
        </w:rPr>
        <w:t>不</w:t>
      </w:r>
      <w:r>
        <w:rPr>
          <w:rFonts w:hint="eastAsia" w:ascii="宋体" w:hAnsi="宋体" w:eastAsia="宋体" w:cs="宋体"/>
          <w:b/>
          <w:bCs/>
          <w:color w:val="000000"/>
          <w:kern w:val="0"/>
          <w:sz w:val="28"/>
          <w:szCs w:val="28"/>
          <w:lang w:val="en-US" w:eastAsia="zh-CN" w:bidi="ar"/>
        </w:rPr>
        <w:t>接受联合体磋商</w:t>
      </w:r>
      <w:r>
        <w:rPr>
          <w:rFonts w:hint="eastAsia" w:ascii="宋体" w:hAnsi="宋体" w:cs="宋体"/>
          <w:b/>
          <w:bCs/>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 </w:t>
      </w:r>
    </w:p>
    <w:p w14:paraId="47323727">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16.磋商答疑会和集中踏勘 </w:t>
      </w:r>
    </w:p>
    <w:p w14:paraId="7458A33F">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16.1.1 磋商答疑会：详见磋商须知前附表。 </w:t>
      </w:r>
    </w:p>
    <w:p w14:paraId="7397C76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16.1.2 集中踏勘：详见磋商须知前附表。 </w:t>
      </w:r>
    </w:p>
    <w:p w14:paraId="5048CAE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17. 磋商有效期 </w:t>
      </w:r>
    </w:p>
    <w:p w14:paraId="61A70A5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17.1 磋商有效期见本须知前附表所规定的期限，在此期限内，凡符合本磋商文件要求的响应文件均保持有效。磋商有效期不足的，在评审时将其视为无效。 </w:t>
      </w:r>
    </w:p>
    <w:p w14:paraId="13C88793">
      <w:pPr>
        <w:keepNext w:val="0"/>
        <w:keepLines w:val="0"/>
        <w:widowControl/>
        <w:suppressLineNumbers w:val="0"/>
        <w:ind w:firstLine="280" w:firstLineChars="1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17.2 在特殊情况下，采购人在原定的磋商有效期内，可以根据需要以书面形式向供应商提出延长磋商有效期的要求，对此要求供应商须以书面形式予以答复。供应商拒绝延长的，其磋商响应在原磋商有效期届满后将不再有效，但有权收回其磋商保证金；同意延长磋商有效期的供应商既不能要求也不允许修改或撤回其响应文件。 </w:t>
      </w:r>
    </w:p>
    <w:p w14:paraId="4C21BB6C">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（三） 响应文件的编制</w:t>
      </w:r>
    </w:p>
    <w:p w14:paraId="342A2BE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18. 响应文件编制 </w:t>
      </w:r>
    </w:p>
    <w:p w14:paraId="786DD35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18.1 供应商提交的响应文件及供应商与采购代理机构就有关磋商的所有来往函电均使用中文。 </w:t>
      </w:r>
    </w:p>
    <w:p w14:paraId="5C04F8FF">
      <w:pPr>
        <w:keepNext w:val="0"/>
        <w:keepLines w:val="0"/>
        <w:widowControl/>
        <w:suppressLineNumbers w:val="0"/>
        <w:ind w:firstLine="280" w:firstLineChars="100"/>
        <w:jc w:val="left"/>
        <w:rPr>
          <w:rFonts w:hint="eastAsia" w:ascii="宋体" w:hAnsi="宋体" w:eastAsia="宋体" w:cs="宋体"/>
          <w:b/>
          <w:bCs/>
          <w:sz w:val="28"/>
          <w:szCs w:val="28"/>
        </w:rPr>
      </w:pPr>
      <w:r>
        <w:rPr>
          <w:rFonts w:hint="eastAsia" w:ascii="宋体" w:hAnsi="宋体" w:eastAsia="宋体" w:cs="宋体"/>
          <w:color w:val="000000"/>
          <w:kern w:val="0"/>
          <w:sz w:val="28"/>
          <w:szCs w:val="28"/>
          <w:lang w:val="en-US" w:eastAsia="zh-CN" w:bidi="ar"/>
        </w:rPr>
        <w:t>18.2 供应商应仔细阅读磋商文件的所有内容，按磋商文件的要求编制响应文件，并保证所提供的全部资料的真实性，以使其响应文件对磋商文件做出实质性响应。为方便评委查看，</w:t>
      </w:r>
      <w:r>
        <w:rPr>
          <w:rFonts w:hint="eastAsia" w:ascii="宋体" w:hAnsi="宋体" w:eastAsia="宋体" w:cs="宋体"/>
          <w:b/>
          <w:bCs/>
          <w:color w:val="000000"/>
          <w:kern w:val="0"/>
          <w:sz w:val="28"/>
          <w:szCs w:val="28"/>
          <w:lang w:val="en-US" w:eastAsia="zh-CN" w:bidi="ar"/>
        </w:rPr>
        <w:t xml:space="preserve">供应商的响应文件须编制目录、页码。 </w:t>
      </w:r>
    </w:p>
    <w:p w14:paraId="0E1F8EB9">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18.3 供应商应仔细阅读竞争性磋商文件,了解竞争性磋商文件的要求。在充分理解竞争性磋商文件、技术规范及标准、项目采购需求、合同文本（主要内容）后编制响应文件。 </w:t>
      </w:r>
    </w:p>
    <w:p w14:paraId="109F10B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18.4 供应商编制电子响应文件可参考《政府采购项目电子交易管理操作指南-供应商》，在政采云《帮助文档》下载。 </w:t>
      </w:r>
    </w:p>
    <w:p w14:paraId="62F96AA6">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18.5 响应文件中需要分别对初步评审要求、商务技术评审要求、磋商一览表、响应文件逐一关联响应。 </w:t>
      </w:r>
    </w:p>
    <w:p w14:paraId="6296A78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19. 响应文件编制的依据 </w:t>
      </w:r>
    </w:p>
    <w:p w14:paraId="4154233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19.1 采购人提供的有关资料； </w:t>
      </w:r>
    </w:p>
    <w:p w14:paraId="6968747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19.2 本磋商文件及磋商文件的修改或者澄清；</w:t>
      </w:r>
    </w:p>
    <w:p w14:paraId="2C2C4E3D">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19.3 相关的法律、法规和规定。 </w:t>
      </w:r>
    </w:p>
    <w:p w14:paraId="47C23022">
      <w:pPr>
        <w:keepNext w:val="0"/>
        <w:keepLines w:val="0"/>
        <w:widowControl/>
        <w:suppressLineNumbers w:val="0"/>
        <w:jc w:val="left"/>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 xml:space="preserve">20. 响应文件的组成 </w:t>
      </w:r>
    </w:p>
    <w:p w14:paraId="707CC57F">
      <w:pPr>
        <w:keepNext w:val="0"/>
        <w:keepLines w:val="0"/>
        <w:widowControl/>
        <w:suppressLineNumbers w:val="0"/>
        <w:jc w:val="left"/>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 xml:space="preserve">20.1 响应文件主要包括但不限于以下内容： </w:t>
      </w:r>
    </w:p>
    <w:p w14:paraId="1EE16F71">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 xml:space="preserve">商务、技术部分主要包括但不限于以下内容： </w:t>
      </w:r>
    </w:p>
    <w:p w14:paraId="6E7D786C">
      <w:pPr>
        <w:keepNext w:val="0"/>
        <w:keepLines w:val="0"/>
        <w:widowControl/>
        <w:numPr>
          <w:ilvl w:val="0"/>
          <w:numId w:val="2"/>
        </w:numPr>
        <w:suppressLineNumbers w:val="0"/>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磋商承诺书</w:t>
      </w:r>
    </w:p>
    <w:p w14:paraId="73EFD00D">
      <w:pPr>
        <w:keepNext w:val="0"/>
        <w:keepLines w:val="0"/>
        <w:widowControl/>
        <w:suppressLineNumbers w:val="0"/>
        <w:jc w:val="left"/>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（2）</w:t>
      </w:r>
      <w:r>
        <w:rPr>
          <w:rFonts w:hint="eastAsia" w:ascii="宋体" w:hAnsi="宋体" w:eastAsia="宋体" w:cs="宋体"/>
          <w:b w:val="0"/>
          <w:bCs w:val="0"/>
          <w:color w:val="000000"/>
          <w:kern w:val="0"/>
          <w:sz w:val="28"/>
          <w:szCs w:val="28"/>
          <w:lang w:val="en-US" w:eastAsia="zh-CN" w:bidi="ar"/>
        </w:rPr>
        <w:t xml:space="preserve">磋商一览表（响应报价表）；  </w:t>
      </w:r>
    </w:p>
    <w:p w14:paraId="36DB65A9">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 xml:space="preserve">（2）法定代表人身份证明书； </w:t>
      </w:r>
    </w:p>
    <w:p w14:paraId="4D832B8F">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（3）法定代表人授权委托书；</w:t>
      </w:r>
    </w:p>
    <w:p w14:paraId="63B72DBB">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 xml:space="preserve">（4）供应商概况（附供应商具有独立承担民事责任的能力证明资料）； </w:t>
      </w:r>
    </w:p>
    <w:p w14:paraId="53DE557C">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（5）供应商资质证明等有关资料；磋商保证金缴纳凭证复印件</w:t>
      </w:r>
      <w:r>
        <w:rPr>
          <w:rFonts w:hint="eastAsia" w:ascii="宋体" w:hAnsi="宋体" w:cs="宋体"/>
          <w:b w:val="0"/>
          <w:bCs w:val="0"/>
          <w:color w:val="000000"/>
          <w:kern w:val="0"/>
          <w:sz w:val="28"/>
          <w:szCs w:val="28"/>
          <w:lang w:val="en-US" w:eastAsia="zh-CN" w:bidi="ar"/>
        </w:rPr>
        <w:t>（本项目无保证金）</w:t>
      </w:r>
      <w:r>
        <w:rPr>
          <w:rFonts w:hint="eastAsia" w:ascii="宋体" w:hAnsi="宋体" w:eastAsia="宋体" w:cs="宋体"/>
          <w:b w:val="0"/>
          <w:bCs w:val="0"/>
          <w:color w:val="000000"/>
          <w:kern w:val="0"/>
          <w:sz w:val="28"/>
          <w:szCs w:val="28"/>
          <w:lang w:val="en-US" w:eastAsia="zh-CN" w:bidi="ar"/>
        </w:rPr>
        <w:t xml:space="preserve">；供应商资格声明；中小企业声明函； </w:t>
      </w:r>
    </w:p>
    <w:p w14:paraId="56B93E27">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 xml:space="preserve">（6）供应商拟派项目负责人简历和有关资格证明资料[附：项目成员的身份证、职称证（如有）、学历证书（如有）、资格证书或注册证书（如有）等有关证明材料复印件]； </w:t>
      </w:r>
    </w:p>
    <w:p w14:paraId="14E8C21E">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w:t>
      </w:r>
      <w:r>
        <w:rPr>
          <w:rFonts w:hint="eastAsia" w:ascii="宋体" w:hAnsi="宋体" w:cs="宋体"/>
          <w:b w:val="0"/>
          <w:bCs w:val="0"/>
          <w:color w:val="000000"/>
          <w:kern w:val="0"/>
          <w:sz w:val="28"/>
          <w:szCs w:val="28"/>
          <w:lang w:val="en-US" w:eastAsia="zh-CN" w:bidi="ar"/>
        </w:rPr>
        <w:t>7</w:t>
      </w:r>
      <w:r>
        <w:rPr>
          <w:rFonts w:hint="eastAsia" w:ascii="宋体" w:hAnsi="宋体" w:eastAsia="宋体" w:cs="宋体"/>
          <w:b w:val="0"/>
          <w:bCs w:val="0"/>
          <w:color w:val="000000"/>
          <w:kern w:val="0"/>
          <w:sz w:val="28"/>
          <w:szCs w:val="28"/>
          <w:lang w:val="en-US" w:eastAsia="zh-CN" w:bidi="ar"/>
        </w:rPr>
        <w:t>）2021 年以来相关业绩证明（列表并附合同复印件</w:t>
      </w:r>
      <w:r>
        <w:rPr>
          <w:rFonts w:hint="eastAsia" w:ascii="宋体" w:hAnsi="宋体" w:cs="宋体"/>
          <w:b w:val="0"/>
          <w:bCs w:val="0"/>
          <w:color w:val="000000"/>
          <w:kern w:val="0"/>
          <w:sz w:val="28"/>
          <w:szCs w:val="28"/>
          <w:lang w:val="en-US" w:eastAsia="zh-CN" w:bidi="ar"/>
        </w:rPr>
        <w:t>加盖公章</w:t>
      </w:r>
      <w:r>
        <w:rPr>
          <w:rFonts w:hint="eastAsia" w:ascii="宋体" w:hAnsi="宋体" w:eastAsia="宋体" w:cs="宋体"/>
          <w:b w:val="0"/>
          <w:bCs w:val="0"/>
          <w:color w:val="000000"/>
          <w:kern w:val="0"/>
          <w:sz w:val="28"/>
          <w:szCs w:val="28"/>
          <w:lang w:val="en-US" w:eastAsia="zh-CN" w:bidi="ar"/>
        </w:rPr>
        <w:t xml:space="preserve">或中标通知书复印件）； </w:t>
      </w:r>
    </w:p>
    <w:p w14:paraId="10F507B3">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w:t>
      </w:r>
      <w:r>
        <w:rPr>
          <w:rFonts w:hint="eastAsia" w:ascii="宋体" w:hAnsi="宋体" w:cs="宋体"/>
          <w:b w:val="0"/>
          <w:bCs w:val="0"/>
          <w:color w:val="000000"/>
          <w:kern w:val="0"/>
          <w:sz w:val="28"/>
          <w:szCs w:val="28"/>
          <w:lang w:val="en-US" w:eastAsia="zh-CN" w:bidi="ar"/>
        </w:rPr>
        <w:t>8</w:t>
      </w:r>
      <w:r>
        <w:rPr>
          <w:rFonts w:hint="eastAsia" w:ascii="宋体" w:hAnsi="宋体" w:eastAsia="宋体" w:cs="宋体"/>
          <w:b w:val="0"/>
          <w:bCs w:val="0"/>
          <w:color w:val="000000"/>
          <w:kern w:val="0"/>
          <w:sz w:val="28"/>
          <w:szCs w:val="28"/>
          <w:lang w:val="en-US" w:eastAsia="zh-CN" w:bidi="ar"/>
        </w:rPr>
        <w:t>）质量承诺；进度（工期）承诺；</w:t>
      </w:r>
    </w:p>
    <w:p w14:paraId="25B85114">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w:t>
      </w:r>
      <w:r>
        <w:rPr>
          <w:rFonts w:hint="eastAsia" w:ascii="宋体" w:hAnsi="宋体" w:cs="宋体"/>
          <w:b w:val="0"/>
          <w:bCs w:val="0"/>
          <w:color w:val="000000"/>
          <w:kern w:val="0"/>
          <w:sz w:val="28"/>
          <w:szCs w:val="28"/>
          <w:lang w:val="en-US" w:eastAsia="zh-CN" w:bidi="ar"/>
        </w:rPr>
        <w:t>9</w:t>
      </w:r>
      <w:r>
        <w:rPr>
          <w:rFonts w:hint="eastAsia" w:ascii="宋体" w:hAnsi="宋体" w:eastAsia="宋体" w:cs="宋体"/>
          <w:b w:val="0"/>
          <w:bCs w:val="0"/>
          <w:color w:val="000000"/>
          <w:kern w:val="0"/>
          <w:sz w:val="28"/>
          <w:szCs w:val="28"/>
          <w:lang w:val="en-US" w:eastAsia="zh-CN" w:bidi="ar"/>
        </w:rPr>
        <w:t>） 商务偏离表；技术偏离表；</w:t>
      </w:r>
    </w:p>
    <w:p w14:paraId="20394805">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w:t>
      </w:r>
      <w:r>
        <w:rPr>
          <w:rFonts w:hint="eastAsia" w:ascii="宋体" w:hAnsi="宋体" w:cs="宋体"/>
          <w:b w:val="0"/>
          <w:bCs w:val="0"/>
          <w:color w:val="000000"/>
          <w:kern w:val="0"/>
          <w:sz w:val="28"/>
          <w:szCs w:val="28"/>
          <w:lang w:val="en-US" w:eastAsia="zh-CN" w:bidi="ar"/>
        </w:rPr>
        <w:t>10</w:t>
      </w:r>
      <w:r>
        <w:rPr>
          <w:rFonts w:hint="eastAsia" w:ascii="宋体" w:hAnsi="宋体" w:eastAsia="宋体" w:cs="宋体"/>
          <w:b w:val="0"/>
          <w:bCs w:val="0"/>
          <w:color w:val="000000"/>
          <w:kern w:val="0"/>
          <w:sz w:val="28"/>
          <w:szCs w:val="28"/>
          <w:lang w:val="en-US" w:eastAsia="zh-CN" w:bidi="ar"/>
        </w:rPr>
        <w:t>）磋商文件要求的有关证明材料；</w:t>
      </w:r>
    </w:p>
    <w:p w14:paraId="78B2DF76">
      <w:pPr>
        <w:keepNext w:val="0"/>
        <w:keepLines w:val="0"/>
        <w:widowControl/>
        <w:suppressLineNumbers w:val="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w:t>
      </w:r>
      <w:r>
        <w:rPr>
          <w:rFonts w:hint="eastAsia" w:ascii="宋体" w:hAnsi="宋体" w:cs="宋体"/>
          <w:b w:val="0"/>
          <w:bCs w:val="0"/>
          <w:color w:val="000000"/>
          <w:kern w:val="0"/>
          <w:sz w:val="28"/>
          <w:szCs w:val="28"/>
          <w:lang w:val="en-US" w:eastAsia="zh-CN" w:bidi="ar"/>
        </w:rPr>
        <w:t>11</w:t>
      </w:r>
      <w:r>
        <w:rPr>
          <w:rFonts w:hint="eastAsia" w:ascii="宋体" w:hAnsi="宋体" w:eastAsia="宋体" w:cs="宋体"/>
          <w:b w:val="0"/>
          <w:bCs w:val="0"/>
          <w:color w:val="000000"/>
          <w:kern w:val="0"/>
          <w:sz w:val="28"/>
          <w:szCs w:val="28"/>
          <w:lang w:val="en-US" w:eastAsia="zh-CN" w:bidi="ar"/>
        </w:rPr>
        <w:t xml:space="preserve">）供应商认为需提供的其它材料。  </w:t>
      </w:r>
    </w:p>
    <w:p w14:paraId="7976C097">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（注：供应商提供的响应文件应当使用磋商文件所提供响应文件格式（表格可按照同样格式扩展）。未提供格式的，需要时由供应商用文字或者表格、图片等其它形式提供。</w:t>
      </w:r>
      <w:r>
        <w:rPr>
          <w:rFonts w:hint="eastAsia" w:ascii="宋体" w:hAnsi="宋体" w:cs="宋体"/>
          <w:b/>
          <w:bCs/>
          <w:color w:val="000000"/>
          <w:kern w:val="0"/>
          <w:sz w:val="28"/>
          <w:szCs w:val="28"/>
          <w:lang w:val="en-US" w:eastAsia="zh-CN" w:bidi="ar"/>
        </w:rPr>
        <w:t>除提供格式以外，其他请供应商自拟</w:t>
      </w:r>
      <w:r>
        <w:rPr>
          <w:rFonts w:hint="eastAsia" w:ascii="宋体" w:hAnsi="宋体" w:eastAsia="宋体" w:cs="宋体"/>
          <w:b/>
          <w:bCs/>
          <w:color w:val="000000"/>
          <w:kern w:val="0"/>
          <w:sz w:val="28"/>
          <w:szCs w:val="28"/>
          <w:lang w:val="en-US" w:eastAsia="zh-CN" w:bidi="ar"/>
        </w:rPr>
        <w:t xml:space="preserve">） </w:t>
      </w:r>
    </w:p>
    <w:p w14:paraId="31DC853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21. 响应文件的编制及格式 </w:t>
      </w:r>
    </w:p>
    <w:p w14:paraId="65BAEDA7">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21.1 本项目采用</w:t>
      </w:r>
      <w:r>
        <w:rPr>
          <w:rFonts w:hint="eastAsia" w:ascii="宋体" w:hAnsi="宋体" w:eastAsia="宋体" w:cs="宋体"/>
          <w:b/>
          <w:bCs/>
          <w:color w:val="000000"/>
          <w:kern w:val="0"/>
          <w:sz w:val="28"/>
          <w:szCs w:val="28"/>
          <w:lang w:val="en-US" w:eastAsia="zh-CN" w:bidi="ar"/>
        </w:rPr>
        <w:t>新疆政府采购网（政府采购云系统）电子招投标形式</w:t>
      </w:r>
      <w:r>
        <w:rPr>
          <w:rFonts w:hint="eastAsia" w:ascii="宋体" w:hAnsi="宋体" w:eastAsia="宋体" w:cs="宋体"/>
          <w:color w:val="000000"/>
          <w:kern w:val="0"/>
          <w:sz w:val="28"/>
          <w:szCs w:val="28"/>
          <w:lang w:val="en-US" w:eastAsia="zh-CN" w:bidi="ar"/>
        </w:rPr>
        <w:t xml:space="preserve">，响应文件包括本磋商文件第 20 条规定的内容，供应商提供的响应文件应当使用磋商文件所提供响应文件格式（表格可按照同样格式扩展），并保证所提供的资料的真实性。未提供格式的，供应商可自行编制。供应商须于提交首次响应文件截止时间前递交（上传）加密后的电子版响应文件。 </w:t>
      </w:r>
    </w:p>
    <w:p w14:paraId="33F9EAD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b w:val="0"/>
          <w:bCs w:val="0"/>
          <w:color w:val="000000"/>
          <w:kern w:val="0"/>
          <w:sz w:val="28"/>
          <w:szCs w:val="28"/>
          <w:lang w:val="en-US" w:eastAsia="zh-CN" w:bidi="ar"/>
        </w:rPr>
        <w:t xml:space="preserve">21.2 </w:t>
      </w:r>
      <w:r>
        <w:rPr>
          <w:rFonts w:hint="eastAsia" w:ascii="宋体" w:hAnsi="宋体" w:eastAsia="宋体" w:cs="宋体"/>
          <w:color w:val="000000"/>
          <w:kern w:val="0"/>
          <w:sz w:val="28"/>
          <w:szCs w:val="28"/>
          <w:lang w:val="en-US" w:eastAsia="zh-CN" w:bidi="ar"/>
        </w:rPr>
        <w:t>磋商文件要求提供的所有证书、合同、获奖表彰文件等采购要求的证明资料，</w:t>
      </w:r>
      <w:r>
        <w:rPr>
          <w:rFonts w:hint="eastAsia" w:ascii="宋体" w:hAnsi="宋体" w:eastAsia="宋体" w:cs="宋体"/>
          <w:b/>
          <w:bCs/>
          <w:color w:val="000000"/>
          <w:kern w:val="0"/>
          <w:sz w:val="28"/>
          <w:szCs w:val="28"/>
          <w:lang w:val="en-US" w:eastAsia="zh-CN" w:bidi="ar"/>
        </w:rPr>
        <w:t>均使用复印件</w:t>
      </w:r>
      <w:r>
        <w:rPr>
          <w:rFonts w:hint="eastAsia" w:ascii="宋体" w:hAnsi="宋体" w:eastAsia="宋体" w:cs="宋体"/>
          <w:color w:val="000000"/>
          <w:kern w:val="0"/>
          <w:sz w:val="28"/>
          <w:szCs w:val="28"/>
          <w:lang w:val="en-US" w:eastAsia="zh-CN" w:bidi="ar"/>
        </w:rPr>
        <w:t>，特别说明为原件的除外。本磋商文件规定的响应文件编制中所需提交的证明材料</w:t>
      </w:r>
      <w:r>
        <w:rPr>
          <w:rFonts w:hint="eastAsia" w:ascii="宋体" w:hAnsi="宋体" w:eastAsia="宋体" w:cs="宋体"/>
          <w:b/>
          <w:bCs/>
          <w:color w:val="000000"/>
          <w:kern w:val="0"/>
          <w:sz w:val="28"/>
          <w:szCs w:val="28"/>
          <w:lang w:val="en-US" w:eastAsia="zh-CN" w:bidi="ar"/>
        </w:rPr>
        <w:t>复印件须加盖供应商公章, 否则视为非实质性响应。</w:t>
      </w:r>
      <w:r>
        <w:rPr>
          <w:rFonts w:hint="eastAsia" w:ascii="宋体" w:hAnsi="宋体" w:eastAsia="宋体" w:cs="宋体"/>
          <w:color w:val="000000"/>
          <w:kern w:val="0"/>
          <w:sz w:val="28"/>
          <w:szCs w:val="28"/>
          <w:lang w:val="en-US" w:eastAsia="zh-CN" w:bidi="ar"/>
        </w:rPr>
        <w:t xml:space="preserve"> </w:t>
      </w:r>
    </w:p>
    <w:p w14:paraId="11EE5B2F">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21.3 响应文件严禁涂改或行间插字和增删。除非这些修改是根据采购人的指示进行的，或者是供应商造成的必须修改的错误，必要的修改处必须有供应商法人代表或其委托代理人签字或盖章。 </w:t>
      </w:r>
    </w:p>
    <w:p w14:paraId="5DF8E3A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21.4 磋商文件中分磋商标项的，供应商须针对本单位所响应磋商标项分别编制响应文件并单独提交。供应商应当按照磋商文件的要求编制响应文件。响应文件应当对磋商文件提出的要求和条件作出明确响应。 </w:t>
      </w:r>
    </w:p>
    <w:p w14:paraId="070F447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22.证明供应商合格的资格证明文件 </w:t>
      </w:r>
    </w:p>
    <w:p w14:paraId="54EB0DD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按照磋商须知前附表规定，供应商应提交符合竞争性磋商文件所要求的资质证明文件。 </w:t>
      </w:r>
    </w:p>
    <w:p w14:paraId="78E16AA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23.证明符合竞争性磋商文件规定的文件 </w:t>
      </w:r>
    </w:p>
    <w:p w14:paraId="6A31F242">
      <w:pPr>
        <w:keepNext w:val="0"/>
        <w:keepLines w:val="0"/>
        <w:widowControl/>
        <w:suppressLineNumbers w:val="0"/>
        <w:ind w:firstLine="281" w:firstLineChars="100"/>
        <w:jc w:val="left"/>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 xml:space="preserve">供应商应逐条对竞争性磋商文件要求的内容做出实质性响应，认真填写竞争性磋商文件所附的“商务条款偏离表”、“技术规格偏离表”。若有偏离,请将具体偏离条款在“偏离”一栏中详细说明；若无偏离，请在“偏离”一栏中标注“无”字样。 如不填写将视为不响应竞争性磋商文件要求。 </w:t>
      </w:r>
    </w:p>
    <w:p w14:paraId="6F96CE59">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24. 响应文件的份数和签署 </w:t>
      </w:r>
    </w:p>
    <w:p w14:paraId="7E18C51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24.1 供应商应当按照本须知前附表规定提交响应文件，否则视为非实质响应。</w:t>
      </w:r>
    </w:p>
    <w:p w14:paraId="57598B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sz w:val="28"/>
          <w:szCs w:val="28"/>
          <w:highlight w:val="none"/>
          <w:lang w:eastAsia="zh-CN"/>
        </w:rPr>
      </w:pPr>
      <w:r>
        <w:rPr>
          <w:rFonts w:hint="eastAsia" w:ascii="宋体" w:hAnsi="宋体" w:eastAsia="宋体" w:cs="宋体"/>
          <w:color w:val="000000"/>
          <w:kern w:val="0"/>
          <w:sz w:val="28"/>
          <w:szCs w:val="28"/>
          <w:lang w:val="en-US" w:eastAsia="zh-CN" w:bidi="ar"/>
        </w:rPr>
        <w:t xml:space="preserve">24.2 </w:t>
      </w:r>
      <w:r>
        <w:rPr>
          <w:rFonts w:hint="eastAsia" w:ascii="宋体" w:hAnsi="宋体" w:eastAsia="宋体" w:cs="宋体"/>
          <w:b/>
          <w:bCs/>
          <w:color w:val="000000"/>
          <w:kern w:val="0"/>
          <w:sz w:val="28"/>
          <w:szCs w:val="28"/>
          <w:lang w:val="en-US" w:eastAsia="zh-CN" w:bidi="ar"/>
        </w:rPr>
        <w:t>成交供应商于成交结果公告发布后领取中标通知书前递交至</w:t>
      </w:r>
      <w:r>
        <w:rPr>
          <w:rFonts w:hint="eastAsia" w:ascii="宋体" w:hAnsi="宋体" w:eastAsia="宋体" w:cs="宋体"/>
          <w:b/>
          <w:bCs/>
          <w:sz w:val="28"/>
          <w:szCs w:val="28"/>
          <w:u w:val="single"/>
          <w:lang w:val="en-US" w:eastAsia="zh-CN"/>
        </w:rPr>
        <w:t>新疆佰隆工程项目管理有限公司</w:t>
      </w:r>
      <w:r>
        <w:rPr>
          <w:rFonts w:hint="eastAsia" w:ascii="宋体" w:hAnsi="宋体" w:eastAsia="宋体" w:cs="宋体"/>
          <w:b/>
          <w:bCs/>
          <w:color w:val="000000"/>
          <w:kern w:val="0"/>
          <w:sz w:val="28"/>
          <w:szCs w:val="28"/>
          <w:lang w:val="en-US" w:eastAsia="zh-CN" w:bidi="ar"/>
        </w:rPr>
        <w:t>：</w:t>
      </w:r>
      <w:r>
        <w:rPr>
          <w:rFonts w:hint="eastAsia" w:ascii="宋体" w:hAnsi="宋体" w:eastAsia="宋体" w:cs="宋体"/>
          <w:b/>
          <w:sz w:val="28"/>
          <w:szCs w:val="28"/>
          <w:highlight w:val="none"/>
        </w:rPr>
        <w:t>投标文件包括：本项目为不见面电子评</w:t>
      </w:r>
      <w:r>
        <w:rPr>
          <w:rFonts w:hint="eastAsia" w:ascii="宋体" w:hAnsi="宋体" w:eastAsia="宋体" w:cs="宋体"/>
          <w:b/>
          <w:sz w:val="28"/>
          <w:szCs w:val="28"/>
          <w:highlight w:val="none"/>
          <w:lang w:eastAsia="zh-CN"/>
        </w:rPr>
        <w:t>标</w:t>
      </w:r>
      <w:r>
        <w:rPr>
          <w:rFonts w:hint="eastAsia" w:ascii="宋体" w:hAnsi="宋体" w:cs="宋体"/>
          <w:b/>
          <w:sz w:val="28"/>
          <w:szCs w:val="28"/>
          <w:highlight w:val="none"/>
          <w:lang w:eastAsia="zh-CN"/>
        </w:rPr>
        <w:t>。纸质版标书</w:t>
      </w:r>
      <w:r>
        <w:rPr>
          <w:rFonts w:hint="eastAsia" w:ascii="宋体" w:hAnsi="宋体" w:cs="宋体"/>
          <w:b/>
          <w:sz w:val="28"/>
          <w:szCs w:val="28"/>
          <w:highlight w:val="none"/>
          <w:lang w:val="en-US" w:eastAsia="zh-CN"/>
        </w:rPr>
        <w:t>1</w:t>
      </w:r>
      <w:r>
        <w:rPr>
          <w:rFonts w:hint="eastAsia" w:ascii="宋体" w:hAnsi="宋体" w:cs="宋体"/>
          <w:b/>
          <w:sz w:val="28"/>
          <w:szCs w:val="28"/>
          <w:highlight w:val="none"/>
          <w:lang w:eastAsia="zh-CN"/>
        </w:rPr>
        <w:t>正</w:t>
      </w:r>
      <w:r>
        <w:rPr>
          <w:rFonts w:hint="eastAsia" w:ascii="宋体" w:hAnsi="宋体" w:cs="宋体"/>
          <w:b/>
          <w:sz w:val="28"/>
          <w:szCs w:val="28"/>
          <w:highlight w:val="none"/>
          <w:lang w:val="en-US" w:eastAsia="zh-CN"/>
        </w:rPr>
        <w:t>3副、</w:t>
      </w:r>
      <w:r>
        <w:rPr>
          <w:rFonts w:hint="eastAsia" w:ascii="宋体" w:hAnsi="宋体" w:eastAsia="宋体" w:cs="宋体"/>
          <w:b/>
          <w:sz w:val="28"/>
          <w:szCs w:val="28"/>
          <w:highlight w:val="none"/>
        </w:rPr>
        <w:t>电子标肆份（U盘1份，光盘</w:t>
      </w: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t>份</w:t>
      </w:r>
      <w:r>
        <w:rPr>
          <w:rFonts w:hint="eastAsia" w:ascii="宋体" w:hAnsi="宋体" w:cs="宋体"/>
          <w:b/>
          <w:sz w:val="28"/>
          <w:szCs w:val="28"/>
          <w:highlight w:val="none"/>
          <w:lang w:eastAsia="zh-CN"/>
        </w:rPr>
        <w:t>）</w:t>
      </w:r>
    </w:p>
    <w:p w14:paraId="540103C7">
      <w:pPr>
        <w:keepNext w:val="0"/>
        <w:keepLines w:val="0"/>
        <w:widowControl/>
        <w:suppressLineNumbers w:val="0"/>
        <w:ind w:firstLine="562" w:firstLineChars="200"/>
        <w:jc w:val="left"/>
        <w:rPr>
          <w:rFonts w:hint="eastAsia" w:ascii="宋体" w:hAnsi="宋体" w:eastAsia="宋体" w:cs="宋体"/>
          <w:b/>
          <w:bCs/>
          <w:sz w:val="28"/>
          <w:szCs w:val="28"/>
        </w:rPr>
      </w:pPr>
      <w:r>
        <w:rPr>
          <w:rFonts w:hint="eastAsia" w:ascii="宋体" w:hAnsi="宋体" w:cs="宋体"/>
          <w:b/>
          <w:sz w:val="28"/>
          <w:szCs w:val="28"/>
          <w:highlight w:val="none"/>
          <w:lang w:eastAsia="zh-CN"/>
        </w:rPr>
        <w:t>备注：招标结果公布后请各投标单位将电子版投标文件邮寄至我司，</w:t>
      </w:r>
      <w:r>
        <w:rPr>
          <w:rFonts w:hint="eastAsia" w:ascii="宋体" w:hAnsi="宋体" w:cs="宋体"/>
          <w:b/>
          <w:sz w:val="28"/>
          <w:szCs w:val="28"/>
          <w:highlight w:val="none"/>
          <w:lang w:val="en-US" w:eastAsia="zh-CN"/>
        </w:rPr>
        <w:t>其中“中标单位及另外2家中标候选人，还需提供1正3副纸质版（需胶装好，不得活页胶装）投标文件邮寄”</w:t>
      </w:r>
      <w:r>
        <w:rPr>
          <w:rFonts w:hint="eastAsia" w:ascii="宋体" w:hAnsi="宋体" w:cs="宋体"/>
          <w:b/>
          <w:sz w:val="28"/>
          <w:szCs w:val="28"/>
          <w:highlight w:val="none"/>
          <w:lang w:eastAsia="zh-CN"/>
        </w:rPr>
        <w:t>，详细</w:t>
      </w:r>
      <w:r>
        <w:rPr>
          <w:rFonts w:hint="eastAsia" w:ascii="宋体" w:hAnsi="宋体" w:cs="宋体"/>
          <w:b/>
          <w:sz w:val="28"/>
          <w:szCs w:val="28"/>
          <w:highlight w:val="none"/>
          <w:lang w:val="en-US" w:eastAsia="zh-CN"/>
        </w:rPr>
        <w:t>邮寄</w:t>
      </w:r>
      <w:r>
        <w:rPr>
          <w:rFonts w:hint="eastAsia" w:ascii="宋体" w:hAnsi="宋体" w:cs="宋体"/>
          <w:b/>
          <w:sz w:val="28"/>
          <w:szCs w:val="28"/>
          <w:highlight w:val="none"/>
          <w:lang w:eastAsia="zh-CN"/>
        </w:rPr>
        <w:t>地址请拨打电话：</w:t>
      </w:r>
      <w:r>
        <w:rPr>
          <w:rFonts w:hint="eastAsia" w:ascii="宋体" w:hAnsi="宋体" w:cs="宋体"/>
          <w:b/>
          <w:sz w:val="28"/>
          <w:szCs w:val="28"/>
          <w:highlight w:val="none"/>
          <w:lang w:val="en-US" w:eastAsia="zh-CN"/>
        </w:rPr>
        <w:t>17699752110</w:t>
      </w:r>
    </w:p>
    <w:p w14:paraId="5797C77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24.3 响应文件签署要求均应符合采购要求。响应文件未按照上述规定编制，初步评审将不予已通过。 </w:t>
      </w:r>
    </w:p>
    <w:p w14:paraId="1503807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24.4 </w:t>
      </w:r>
      <w:r>
        <w:rPr>
          <w:rFonts w:hint="eastAsia" w:ascii="宋体" w:hAnsi="宋体" w:eastAsia="宋体" w:cs="宋体"/>
          <w:b/>
          <w:bCs/>
          <w:color w:val="000000"/>
          <w:kern w:val="0"/>
          <w:sz w:val="28"/>
          <w:szCs w:val="28"/>
          <w:lang w:val="en-US" w:eastAsia="zh-CN" w:bidi="ar"/>
        </w:rPr>
        <w:t xml:space="preserve">发生下列情况之一者，应在资格性、符合性检查时按照无效响应处理： </w:t>
      </w:r>
    </w:p>
    <w:p w14:paraId="477A7399">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（1）未按照磋商文件规定要求密封、签署、盖章的； </w:t>
      </w:r>
    </w:p>
    <w:p w14:paraId="20772CC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b/>
          <w:bCs/>
          <w:color w:val="000000"/>
          <w:kern w:val="0"/>
          <w:sz w:val="28"/>
          <w:szCs w:val="28"/>
          <w:lang w:val="en-US" w:eastAsia="zh-CN" w:bidi="ar"/>
        </w:rPr>
        <w:t>如</w:t>
      </w:r>
      <w:r>
        <w:rPr>
          <w:rFonts w:hint="eastAsia" w:ascii="宋体" w:hAnsi="宋体" w:eastAsia="宋体" w:cs="宋体"/>
          <w:color w:val="000000"/>
          <w:kern w:val="0"/>
          <w:sz w:val="28"/>
          <w:szCs w:val="28"/>
          <w:lang w:val="en-US" w:eastAsia="zh-CN" w:bidi="ar"/>
        </w:rPr>
        <w:t xml:space="preserve">磋商文件接受联合体的，而联合体未提交联合体协议书，或未提交联合体各方资格证明文件，或联合体不符合本磋商文件规定的供应商资格条件的； </w:t>
      </w:r>
    </w:p>
    <w:p w14:paraId="6B3DF51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（3）参加政府采购活动前三年内，在经营活动中有重大违法记录的； </w:t>
      </w:r>
    </w:p>
    <w:p w14:paraId="5EC820E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（4）不具备磋商文件规定资格要求的； </w:t>
      </w:r>
    </w:p>
    <w:p w14:paraId="0C3287B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b/>
          <w:bCs/>
          <w:color w:val="000000"/>
          <w:kern w:val="0"/>
          <w:sz w:val="28"/>
          <w:szCs w:val="28"/>
          <w:lang w:val="en-US" w:eastAsia="zh-CN" w:bidi="ar"/>
        </w:rPr>
        <w:t>不满足“磋商须知”规定的实质性要求的</w:t>
      </w:r>
      <w:r>
        <w:rPr>
          <w:rFonts w:hint="eastAsia" w:ascii="宋体" w:hAnsi="宋体" w:eastAsia="宋体" w:cs="宋体"/>
          <w:color w:val="000000"/>
          <w:kern w:val="0"/>
          <w:sz w:val="28"/>
          <w:szCs w:val="28"/>
          <w:lang w:val="en-US" w:eastAsia="zh-CN" w:bidi="ar"/>
        </w:rPr>
        <w:t xml:space="preserve">； </w:t>
      </w:r>
    </w:p>
    <w:p w14:paraId="7B411CD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（6）磋商报价超过采购项目预算或最高限价的； </w:t>
      </w:r>
    </w:p>
    <w:p w14:paraId="0442D5B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（7）同一供应商</w:t>
      </w:r>
      <w:r>
        <w:rPr>
          <w:rFonts w:hint="eastAsia" w:ascii="宋体" w:hAnsi="宋体" w:eastAsia="宋体" w:cs="宋体"/>
          <w:b/>
          <w:bCs/>
          <w:color w:val="000000"/>
          <w:kern w:val="0"/>
          <w:sz w:val="28"/>
          <w:szCs w:val="28"/>
          <w:lang w:val="en-US" w:eastAsia="zh-CN" w:bidi="ar"/>
        </w:rPr>
        <w:t>提交两个以上不同的响应文件或者磋商报价</w:t>
      </w:r>
      <w:r>
        <w:rPr>
          <w:rFonts w:hint="eastAsia" w:ascii="宋体" w:hAnsi="宋体" w:eastAsia="宋体" w:cs="宋体"/>
          <w:color w:val="000000"/>
          <w:kern w:val="0"/>
          <w:sz w:val="28"/>
          <w:szCs w:val="28"/>
          <w:lang w:val="en-US" w:eastAsia="zh-CN" w:bidi="ar"/>
        </w:rPr>
        <w:t xml:space="preserve">的； </w:t>
      </w:r>
    </w:p>
    <w:p w14:paraId="534AB7B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（8）响应文件载明的磋商响应范围小于磋商文件规定的采购范围的(缺漏磋商文件所要求的内容)； </w:t>
      </w:r>
    </w:p>
    <w:p w14:paraId="7993D667">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（9）</w:t>
      </w:r>
      <w:r>
        <w:rPr>
          <w:rFonts w:hint="eastAsia" w:ascii="宋体" w:hAnsi="宋体" w:eastAsia="宋体" w:cs="宋体"/>
          <w:b/>
          <w:bCs/>
          <w:color w:val="000000"/>
          <w:kern w:val="0"/>
          <w:sz w:val="28"/>
          <w:szCs w:val="28"/>
          <w:lang w:val="en-US" w:eastAsia="zh-CN" w:bidi="ar"/>
        </w:rPr>
        <w:t>磋商有效期不足的</w:t>
      </w:r>
      <w:r>
        <w:rPr>
          <w:rFonts w:hint="eastAsia" w:ascii="宋体" w:hAnsi="宋体" w:eastAsia="宋体" w:cs="宋体"/>
          <w:color w:val="000000"/>
          <w:kern w:val="0"/>
          <w:sz w:val="28"/>
          <w:szCs w:val="28"/>
          <w:lang w:val="en-US" w:eastAsia="zh-CN" w:bidi="ar"/>
        </w:rPr>
        <w:t xml:space="preserve">； </w:t>
      </w:r>
    </w:p>
    <w:p w14:paraId="112FF16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（10）响应文件含有采购人不能接受的附加条件的； </w:t>
      </w:r>
    </w:p>
    <w:p w14:paraId="62DE043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（11）不符合法律、法规和磋商文件规定的其他无效情形。 </w:t>
      </w:r>
    </w:p>
    <w:p w14:paraId="6F099C4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（四） 响应文件的递交和解密 </w:t>
      </w:r>
    </w:p>
    <w:p w14:paraId="4C1F8846">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供应商须于首次提交响应文件截止时间前提交加密后的电子版响应文件。磋商截止时间当天，线上磋商会议开启环节，响应文件解密时长 </w:t>
      </w:r>
      <w:r>
        <w:rPr>
          <w:rFonts w:hint="eastAsia" w:ascii="宋体" w:hAnsi="宋体" w:eastAsia="宋体" w:cs="宋体"/>
          <w:b/>
          <w:bCs/>
          <w:color w:val="000000"/>
          <w:kern w:val="0"/>
          <w:sz w:val="28"/>
          <w:szCs w:val="28"/>
          <w:lang w:val="en-US" w:eastAsia="zh-CN" w:bidi="ar"/>
        </w:rPr>
        <w:t>30 分钟</w:t>
      </w:r>
      <w:r>
        <w:rPr>
          <w:rFonts w:hint="eastAsia" w:ascii="宋体" w:hAnsi="宋体" w:eastAsia="宋体" w:cs="宋体"/>
          <w:color w:val="000000"/>
          <w:kern w:val="0"/>
          <w:sz w:val="28"/>
          <w:szCs w:val="28"/>
          <w:lang w:val="en-US" w:eastAsia="zh-CN" w:bidi="ar"/>
        </w:rPr>
        <w:t xml:space="preserve">（具体以采购云系统线上开启响应文件解密流程为准），请各供应商请自带笔记本电脑及 CA 锁网上进行文件解密以及操作投标事项，请供应商提前调试好在线参标电脑各项配置。（详见磋商公告和磋商文件须知前附表） </w:t>
      </w:r>
    </w:p>
    <w:p w14:paraId="337B5BC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25. 响应文件提交的截止时间 </w:t>
      </w:r>
    </w:p>
    <w:p w14:paraId="6A5F7E1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25.1 提交首次响应文件截止时间详见本磋商须知前附表规定</w:t>
      </w:r>
    </w:p>
    <w:p w14:paraId="6CD7900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25.2 采购人可按本磋商文件第 13 条规定以修改补充通知的方式，酌情延长提交首次响应文件截止时间。在上述情况下，采购人与供应商在原提交首次响应文件截止时间前的全部权力和义务，将适用于延长后新的提交首次响应文件截止时间。 </w:t>
      </w:r>
    </w:p>
    <w:p w14:paraId="48E4780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25.3 至提交首次响应文件截止时间，采购人收到的响应文件少于 3 个的，采购人将依法重新组织采购。评审过程中有效供应商少于 3 个的，参照执行。 </w:t>
      </w:r>
    </w:p>
    <w:p w14:paraId="173992B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26. 迟交的响应文件 </w:t>
      </w:r>
    </w:p>
    <w:p w14:paraId="60194A6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供应商在本磋商须知前附表规定的提交首次响应文件截止时间以后提交的加密电子响应文件将被拒绝并退回供应商。 </w:t>
      </w:r>
    </w:p>
    <w:p w14:paraId="40E07C7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27. 响应文件的补充、修改与撤回 </w:t>
      </w:r>
    </w:p>
    <w:p w14:paraId="6194086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27.1 供应商可以在磋商须知前附表规定的提交首次响应文件截止时间前，可以以书面形式补充、修改或撤回已提交的响应文件。补充、修改的内容应当按竞争性磋商文件要求签署、盖章，并作为响应文件的组成部分。供应商对其响应文件进行的修改或撤回应在提交首次响应文件截止时间前送达。 </w:t>
      </w:r>
    </w:p>
    <w:p w14:paraId="3B9DB735">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27.2 供应商对响应文件的补充、修改或撤回，应按本磋商文件的规定编制、和提交补充文件，并标明“补充”、“修改”或“撤回”字样。 </w:t>
      </w:r>
    </w:p>
    <w:p w14:paraId="4035ABE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27.3 在提交首次响应文件截止时间之后，供应商不得补充、修改响应文件。 </w:t>
      </w:r>
    </w:p>
    <w:p w14:paraId="0E8D3A3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27.4 供应商不得在磋商有效期内撤销响应文件，否则采购人将不予退还其磋商保证金。 </w:t>
      </w:r>
    </w:p>
    <w:p w14:paraId="073E7918">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（五） 磋商</w:t>
      </w:r>
    </w:p>
    <w:p w14:paraId="7880088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28. 磋商 </w:t>
      </w:r>
    </w:p>
    <w:p w14:paraId="5F881D0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28.1 磋商会议 </w:t>
      </w:r>
    </w:p>
    <w:p w14:paraId="7629B8C1">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磋商会议将于磋商须知前附表规定的时间和地点召开，邀请供应商参会。供应商授权代表参加磋商会议。 </w:t>
      </w:r>
    </w:p>
    <w:p w14:paraId="26F5D78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磋商开启时间为：竞争性磋商文件中提交首次响应文件的截止时间；磋商地点为：竞争性磋商文件中预先确定的地点。 </w:t>
      </w:r>
    </w:p>
    <w:p w14:paraId="4CECD6F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采购代理机构主持，采购人、供应商和有关方面代表参加。供应商不足 3 家的，不得开启。 </w:t>
      </w:r>
    </w:p>
    <w:p w14:paraId="4B2952A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会议方式：</w:t>
      </w:r>
      <w:r>
        <w:rPr>
          <w:rFonts w:hint="eastAsia" w:ascii="宋体" w:hAnsi="宋体" w:eastAsia="宋体" w:cs="宋体"/>
          <w:b/>
          <w:bCs/>
          <w:color w:val="000000"/>
          <w:kern w:val="0"/>
          <w:sz w:val="28"/>
          <w:szCs w:val="28"/>
          <w:lang w:val="en-US" w:eastAsia="zh-CN" w:bidi="ar"/>
        </w:rPr>
        <w:t xml:space="preserve">电子开评标 </w:t>
      </w:r>
      <w:r>
        <w:rPr>
          <w:rFonts w:hint="eastAsia" w:ascii="宋体" w:hAnsi="宋体" w:eastAsia="宋体" w:cs="宋体"/>
          <w:color w:val="000000"/>
          <w:kern w:val="0"/>
          <w:sz w:val="28"/>
          <w:szCs w:val="28"/>
          <w:lang w:val="en-US" w:eastAsia="zh-CN" w:bidi="ar"/>
        </w:rPr>
        <w:t xml:space="preserve">。 </w:t>
      </w:r>
    </w:p>
    <w:p w14:paraId="647328E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磋商开启时间（提交首次响应文件的截止时间）到达后，主持人开启解密标书后，</w:t>
      </w:r>
      <w:r>
        <w:rPr>
          <w:rFonts w:hint="eastAsia" w:ascii="宋体" w:hAnsi="宋体" w:eastAsia="宋体" w:cs="宋体"/>
          <w:b/>
          <w:bCs/>
          <w:color w:val="000000"/>
          <w:kern w:val="0"/>
          <w:sz w:val="28"/>
          <w:szCs w:val="28"/>
          <w:lang w:val="en-US" w:eastAsia="zh-CN" w:bidi="ar"/>
        </w:rPr>
        <w:t>供应商点击【CA解密】进行解密</w:t>
      </w:r>
      <w:r>
        <w:rPr>
          <w:rFonts w:hint="eastAsia" w:ascii="宋体" w:hAnsi="宋体" w:eastAsia="宋体" w:cs="宋体"/>
          <w:color w:val="000000"/>
          <w:kern w:val="0"/>
          <w:sz w:val="28"/>
          <w:szCs w:val="28"/>
          <w:lang w:val="en-US" w:eastAsia="zh-CN" w:bidi="ar"/>
        </w:rPr>
        <w:t>，</w:t>
      </w:r>
      <w:r>
        <w:rPr>
          <w:rFonts w:hint="eastAsia" w:ascii="宋体" w:hAnsi="宋体" w:eastAsia="宋体" w:cs="宋体"/>
          <w:b/>
          <w:bCs/>
          <w:color w:val="000000"/>
          <w:kern w:val="0"/>
          <w:sz w:val="28"/>
          <w:szCs w:val="28"/>
          <w:lang w:val="en-US" w:eastAsia="zh-CN" w:bidi="ar"/>
        </w:rPr>
        <w:t>超过解密时限，默认供应商自动放弃。解密成功的响应文件的可继续进行开标</w:t>
      </w:r>
      <w:r>
        <w:rPr>
          <w:rFonts w:hint="eastAsia" w:ascii="宋体" w:hAnsi="宋体" w:eastAsia="宋体" w:cs="宋体"/>
          <w:color w:val="000000"/>
          <w:kern w:val="0"/>
          <w:sz w:val="28"/>
          <w:szCs w:val="28"/>
          <w:lang w:val="en-US" w:eastAsia="zh-CN" w:bidi="ar"/>
        </w:rPr>
        <w:t xml:space="preserve">。 供 </w:t>
      </w:r>
    </w:p>
    <w:p w14:paraId="0B52EA7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应商已递交了可接受的撤回通知的响应文件或无效响应文件将不予开启。若提交响应文件家数少于三家或者磋商开启后成功解密的家数少于三家的，将终止该项目（标项）的开标。供应商之间不得相互串通响应报价，不得妨碍其他供应商的公平竞争，不得损害采购人或者其他供应商的合法权益。供应商不得向采购人、磋商小组成员行贿或者采取其他不正当手段谋取中标（或成交）。供应商代表对磋商文件开启过程和会议记录有疑义，以及认为采购人、采购代理机构相关工作人员有需要回避的情形的，应当场提出询问或者回避申请。供应商未参加磋商会议的，视同认可评审结果。 </w:t>
      </w:r>
    </w:p>
    <w:p w14:paraId="014FBEC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28.2 磋商组织 </w:t>
      </w:r>
    </w:p>
    <w:p w14:paraId="14470233">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在递交首次响应文件时间截止后，采购代理机构在规定的时间和地点组织磋商小组分别与供应商进行磋商。 </w:t>
      </w:r>
    </w:p>
    <w:p w14:paraId="40E8B57B">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磋商工作由采购代理机构负责组织，具体磋商事务由依法组建的磋商小组负责。 </w:t>
      </w:r>
    </w:p>
    <w:p w14:paraId="7977E68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采购代理机构按照规定组织开展磋商采购活动，并采取必要措施，保证评审在严格保密的情况下进行。任何单位和个人不得非法干预、影响评审过程和结果。磋商小组成员按照客观、公正、审慎的原则，根据磋商文件规定的评审程序、评审方法和评审标准进行独立评审。 </w:t>
      </w:r>
    </w:p>
    <w:p w14:paraId="694C7646">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磋商文件能够详细列明采购标的的技术、服务要求的，磋商结束后，磋商小组应当要求所有实质性响应的供应商在规定时间内递交最后报价，递交最后报价的供应商不得少于3家。[注：符合《政府采购竞争性磋商采购方式管理暂行办法》第三条第四项情形的，递交最后报价的供应商可以为2家。] </w:t>
      </w:r>
    </w:p>
    <w:p w14:paraId="2FDE6E7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磋商文件不能详细列明采购标的的技术、服务要求，需经磋商由供应商提供最终设计方案或解决方案的，磋商结束后，磋商小组应当按照少数服从多数的原则投票推荐3家以上供应商的设计方案或 </w:t>
      </w:r>
    </w:p>
    <w:p w14:paraId="1C5E6A8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者解决方案，并要求其在规定时间内递交最后报价。最后报价是供应商响应文件的有效组成部分。 </w:t>
      </w:r>
    </w:p>
    <w:p w14:paraId="5A052FA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响应文件递交截止时间，递交响应文件的供应商不满 3 家或有效供应商不足 3 家的，应重新组织磋商。 </w:t>
      </w:r>
    </w:p>
    <w:p w14:paraId="4AFAACA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29. 资质审查 </w:t>
      </w:r>
    </w:p>
    <w:p w14:paraId="7BBD3C5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按磋商须知前附表对供应商资格条件进行审查</w:t>
      </w:r>
      <w:r>
        <w:rPr>
          <w:rFonts w:hint="eastAsia" w:ascii="宋体" w:hAnsi="宋体" w:eastAsia="宋体" w:cs="宋体"/>
          <w:color w:val="000000"/>
          <w:kern w:val="0"/>
          <w:sz w:val="28"/>
          <w:szCs w:val="28"/>
          <w:lang w:val="en-US" w:eastAsia="zh-CN" w:bidi="ar"/>
        </w:rPr>
        <w:t>。</w:t>
      </w:r>
    </w:p>
    <w:p w14:paraId="5C8E57CA">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（六） 评审</w:t>
      </w:r>
    </w:p>
    <w:p w14:paraId="4451792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30.磋商小组与评审 </w:t>
      </w:r>
    </w:p>
    <w:p w14:paraId="158D277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30.1 评审工作由采购人依法组建的磋商小组负责。磋商小组的名单在评审结果公告前应当保密。 </w:t>
      </w:r>
    </w:p>
    <w:p w14:paraId="7CE00F62">
      <w:pPr>
        <w:spacing w:line="360" w:lineRule="auto"/>
        <w:rPr>
          <w:rFonts w:hint="eastAsia" w:ascii="宋体" w:hAnsi="宋体" w:eastAsia="宋体" w:cs="宋体"/>
          <w:b/>
          <w:bCs/>
          <w:sz w:val="28"/>
          <w:szCs w:val="28"/>
        </w:rPr>
      </w:pPr>
      <w:r>
        <w:rPr>
          <w:rFonts w:hint="eastAsia" w:ascii="宋体" w:hAnsi="宋体" w:eastAsia="宋体" w:cs="宋体"/>
          <w:color w:val="000000"/>
          <w:kern w:val="0"/>
          <w:sz w:val="28"/>
          <w:szCs w:val="28"/>
          <w:lang w:val="en-US" w:eastAsia="zh-CN" w:bidi="ar"/>
        </w:rPr>
        <w:t>30.2 本项目</w:t>
      </w:r>
      <w:r>
        <w:rPr>
          <w:rFonts w:hint="eastAsia" w:ascii="宋体" w:hAnsi="宋体" w:eastAsia="宋体" w:cs="宋体"/>
          <w:b/>
          <w:bCs/>
          <w:sz w:val="28"/>
          <w:szCs w:val="28"/>
          <w:highlight w:val="none"/>
        </w:rPr>
        <w:t xml:space="preserve">评标委员会构成： </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人，其中招标人代表</w:t>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t>人，专家</w:t>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t>人；评标专家确定方式：开标前在监督机构的监督下，在政采云专家库中随机抽取。评标专家名单在中标结果公布前必须保密。</w:t>
      </w:r>
    </w:p>
    <w:p w14:paraId="5829ACE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30.3 磋商开启结束后，开始评审，评审采用保密方式进行。 </w:t>
      </w:r>
    </w:p>
    <w:p w14:paraId="3618C71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30.4 磋商小组组长由磋商小组成员推举产生，并与磋商小组其他成员有同等的权利和义务。采购人代表不得担任磋商小组组长。 </w:t>
      </w:r>
    </w:p>
    <w:p w14:paraId="56A91C0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30.5 磋商小组成员应当客观、公正地履行职责，遵守职业道德，对所提出的评审意见承担个人责任。 </w:t>
      </w:r>
    </w:p>
    <w:p w14:paraId="322579BE">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30.6 磋商小组根据磋商文件确定的评比标准和方法，对响应文件进行系统地评审和比较。磋商文件中没有规定的标准和方法不得作为评审的依据。 </w:t>
      </w:r>
    </w:p>
    <w:p w14:paraId="039C1025">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30.7 在评审过程中，磋商小组发现供应商以他人的名义响应、串通响应、以行贿手段谋取成交或者以其他弄虚作假方式响应的，该供应商的磋商响应作无效处理。 </w:t>
      </w:r>
    </w:p>
    <w:p w14:paraId="5399582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30.8 磋商小组应当严格遵守评审工作纪律，按照客观、公正、审慎的原则，根据磋商文件规定的评审程序、评审方法和评审标准进行独立评审。未实质性响应磋商文件的响应文件按无效响应处理，评审专家应当告知提交响应文件的供应商。磋商文件内容违反国家有关强制性规定的，磋商小组应当停止评审并向采购人或者采购代理机构说明情况。 </w:t>
      </w:r>
    </w:p>
    <w:p w14:paraId="1CC4D2CC">
      <w:pPr>
        <w:keepNext w:val="0"/>
        <w:keepLines w:val="0"/>
        <w:widowControl/>
        <w:suppressLineNumbers w:val="0"/>
        <w:ind w:firstLine="280" w:firstLineChars="1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磋商小组应当在评审报告上签字,对自己的评审意见承担法律责任。对需要共同认定的事项存在争议的,按照少数服从多数的原则做出结论。对评审报告有异议的,应当在评审报告上签署不同意见并说明理由,否则视为同意评审报告。 </w:t>
      </w:r>
    </w:p>
    <w:p w14:paraId="2899DB8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31. 响应文件的澄清 </w:t>
      </w:r>
    </w:p>
    <w:p w14:paraId="35E0526F">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31.1 为有助于对响应文件进行审查、评估和比较，供应商对评审中磋商小组书面提出的响应文件中含义不明确、同类问题表述不一致或者有明显文字和计算错误的内容，供应商以采用书面形式的澄清、说明或者补正，并加盖公章，或者由法定代表人或其授权的代表签字或盖章。供应商的澄清、说明或者补正不得超出响应文件的范围或者改变响应文件的实质性内容。 </w:t>
      </w:r>
    </w:p>
    <w:p w14:paraId="53FD6D63">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31.2 供应商未按照要求对响应文件进行澄清、说明或者补正的，磋商小组可以否决其响应。</w:t>
      </w:r>
    </w:p>
    <w:p w14:paraId="4582211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32. 响应文件的详细评审 </w:t>
      </w:r>
    </w:p>
    <w:p w14:paraId="207AD30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32.1 初步审查 </w:t>
      </w:r>
    </w:p>
    <w:p w14:paraId="705735E9">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磋商小组应当对符合资格的供应商的响应文件进行初步审查，以确定其是否满足磋商文件的实质性要求。通过初步审查的供应商的响应文件进入详细评审。磋商会议由磋商小组组长主持。磋商小组首先对各磋商响应文件进行初步审查，未通过审查的为无效响应。 </w:t>
      </w:r>
    </w:p>
    <w:p w14:paraId="305B7B4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⑴磋商小组将根据法律法规和竞争性磋商文件的规定，对磋商响应文件的资格证明文件、磋商保证金等进行审查，以确定供应商是否具备竞争性磋商资格；本项目无磋商保证金。 </w:t>
      </w:r>
    </w:p>
    <w:p w14:paraId="52768EE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⑵依据竞争性磋商文件的规定，从响应文件的有效性、完整性和对竞争性磋商文件的响应程度进行审查，以确定是否对竞争性磋商文件的要求做出了实质性的响应，存在重大偏离的磋商响应文件为无效响应。所谓重大偏离是指供应商响应文件中所述质量、技术、规格、数量、服务期/工期等明显不能满足竞争性磋商文件要求。 </w:t>
      </w:r>
    </w:p>
    <w:p w14:paraId="74108C1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32.2 响应文件的详细评审 </w:t>
      </w:r>
    </w:p>
    <w:p w14:paraId="6BAAB75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本项目采用</w:t>
      </w:r>
      <w:r>
        <w:rPr>
          <w:rFonts w:hint="eastAsia" w:ascii="宋体" w:hAnsi="宋体" w:eastAsia="宋体" w:cs="宋体"/>
          <w:b/>
          <w:bCs/>
          <w:color w:val="000000"/>
          <w:kern w:val="0"/>
          <w:sz w:val="28"/>
          <w:szCs w:val="28"/>
          <w:lang w:val="en-US" w:eastAsia="zh-CN" w:bidi="ar"/>
        </w:rPr>
        <w:t>综合评分法</w:t>
      </w:r>
      <w:r>
        <w:rPr>
          <w:rFonts w:hint="eastAsia" w:ascii="宋体" w:hAnsi="宋体" w:eastAsia="宋体" w:cs="宋体"/>
          <w:color w:val="000000"/>
          <w:kern w:val="0"/>
          <w:sz w:val="28"/>
          <w:szCs w:val="28"/>
          <w:lang w:val="en-US" w:eastAsia="zh-CN" w:bidi="ar"/>
        </w:rPr>
        <w:t xml:space="preserve">。综合评分法是指响应文件满足磋商文件全部实质性要求，且按照评审因素的量化指标评审得分最高的供应商为成交候选人的评审方法。采用综合评分法的，评审结果按评审后得分由高到低顺序排列。得分相同的，按磋商报价由低到高顺序排列。得分且磋商报价相同的按技术指标优劣排序； </w:t>
      </w:r>
    </w:p>
    <w:p w14:paraId="3FBBEEA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评审中，磋商小组可对响应文件中含义不明确、同类问题表述不一致或者有明显文字和计算错误的内容，磋商小组应当以书面形式要求供应商作出必要的澄清、说明或者补正； </w:t>
      </w:r>
    </w:p>
    <w:p w14:paraId="0CA80EA3">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供应商的澄清、说明或者补正应当采用书面形式，并加盖公章，或者由法定代表人或其授权的代表签字。供应商的澄清、说明或者补正不得超出响应文件的范围或者改变响应文件的实质性内容； </w:t>
      </w:r>
    </w:p>
    <w:p w14:paraId="2F56BD35">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32.3 磋商小组</w:t>
      </w:r>
      <w:r>
        <w:rPr>
          <w:rFonts w:hint="eastAsia" w:ascii="宋体" w:hAnsi="宋体" w:eastAsia="宋体" w:cs="宋体"/>
          <w:b w:val="0"/>
          <w:bCs w:val="0"/>
          <w:color w:val="000000"/>
          <w:kern w:val="0"/>
          <w:sz w:val="28"/>
          <w:szCs w:val="28"/>
          <w:lang w:val="en-US" w:eastAsia="zh-CN" w:bidi="ar"/>
        </w:rPr>
        <w:t>认为供应商的报价明显低于其他通过符合性审查供应商的报价，有可能影响产品（成果）质量、服务质量或者不能诚信履约的，应当要求其在评审现场合理的时间内提供书面说明，必要时提交相关证明材料；供应商不能证明其报价合理性的，磋商小组应当将其作为无效响应处理；</w:t>
      </w:r>
      <w:r>
        <w:rPr>
          <w:rFonts w:hint="eastAsia" w:ascii="宋体" w:hAnsi="宋体" w:eastAsia="宋体" w:cs="宋体"/>
          <w:b/>
          <w:bCs/>
          <w:color w:val="000000"/>
          <w:kern w:val="0"/>
          <w:sz w:val="28"/>
          <w:szCs w:val="28"/>
          <w:lang w:val="en-US" w:eastAsia="zh-CN" w:bidi="ar"/>
        </w:rPr>
        <w:t xml:space="preserve"> </w:t>
      </w:r>
    </w:p>
    <w:p w14:paraId="0081992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32.4 磋商程序 </w:t>
      </w:r>
    </w:p>
    <w:p w14:paraId="4D08777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磋商小组所有成员应当集中与单一供应商分别进行磋商，并给予所有参加磋商的供应商平等的磋商机会。在磋商过程中，磋商小组可以根据竞争性磋商文件和磋商情况实质性变动采购要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供应商；磋商小组判断“响应文件”的响应性，仅基于“响应文件”本身而不靠外部证据。对非实质性响 </w:t>
      </w:r>
    </w:p>
    <w:p w14:paraId="2F4B8C7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应的响应文件，供应商不能通过修正或撤销不符之处，而使其成为实质性响应；磋商小组与每个供应商分别进行磋商，本次磋商采用一轮磋商，两次报价形式进行。围绕磋商要点，磋商小组全体成员集中与单一供应商分别进行磋商。磋商结束后，磋商小组将要求所有有效供应商在规定时间内提交最终报价及服务承诺。供应商未及时参与磋商或多次报价的，视为自动放弃参与磋商的资格。 </w:t>
      </w:r>
    </w:p>
    <w:p w14:paraId="766ADFB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32.5 磋商文件发生实质性变动的： </w:t>
      </w:r>
    </w:p>
    <w:p w14:paraId="4A8CA32A">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（1）书面通知变更内容 </w:t>
      </w:r>
    </w:p>
    <w:p w14:paraId="498408F1">
      <w:pPr>
        <w:keepNext w:val="0"/>
        <w:keepLines w:val="0"/>
        <w:widowControl/>
        <w:suppressLineNumbers w:val="0"/>
        <w:ind w:firstLine="280" w:firstLineChars="1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在磋商过程中，磋商小组可以根据磋商文件和磋商情况实质性变动采购需求中的技术、服务要求以及合同草案条款，但不得变动磋商文件中的其他内容。实质性变动的内容，须经采购人代表确认。实质性变动的内容，经采购人代表确认后，由磋商小组在</w:t>
      </w:r>
      <w:r>
        <w:rPr>
          <w:rFonts w:hint="eastAsia" w:ascii="宋体" w:hAnsi="宋体" w:eastAsia="宋体" w:cs="宋体"/>
          <w:b/>
          <w:bCs/>
          <w:color w:val="000000"/>
          <w:kern w:val="0"/>
          <w:sz w:val="28"/>
          <w:szCs w:val="28"/>
          <w:lang w:val="en-US" w:eastAsia="zh-CN" w:bidi="ar"/>
        </w:rPr>
        <w:t xml:space="preserve">政采云平台在线询标（磋商）--新增询标函 </w:t>
      </w:r>
      <w:r>
        <w:rPr>
          <w:rFonts w:hint="eastAsia" w:ascii="宋体" w:hAnsi="宋体" w:eastAsia="宋体" w:cs="宋体"/>
          <w:color w:val="000000"/>
          <w:kern w:val="0"/>
          <w:sz w:val="28"/>
          <w:szCs w:val="28"/>
          <w:lang w:val="en-US" w:eastAsia="zh-CN" w:bidi="ar"/>
        </w:rPr>
        <w:t xml:space="preserve">方式通知所有供应商。对磋商文件作出的实质性变动是磋商文件的有效组成部分。 </w:t>
      </w:r>
    </w:p>
    <w:p w14:paraId="7D5ACDF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（2）磋商 </w:t>
      </w:r>
    </w:p>
    <w:p w14:paraId="305428D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磋商小组集中与接受磋商文件变更的每个供应商分别进行询标。磋商的内容主要是对响应文件的澄清、修正、补充、确认等。不接受磋商文件变更的供应商，视为自动退出磋商，其响应文件作无效处理。 </w:t>
      </w:r>
    </w:p>
    <w:p w14:paraId="1F07797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（3）重新提交响应文件（含报价） </w:t>
      </w:r>
    </w:p>
    <w:p w14:paraId="08F57B76">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应当按照磋商文件的变动情况和磋商小组的要求重新提交响应文件（指磋商结束后，在规定时间内填写《询标函》，在该文件上注明最后报价及有关承诺，并提交）。最终报价时间视磋商进程由磋商小组决定。《询标函》是响应文件的有效组成部分，须由供应商签章。磋商开启后，供应商未参加后续磋商的，视为自动放弃。若供应商未按《询标函》的要求对相关问题进行响应的，视为非实质性响应磋商文件。除非在磋商中磋商小组调整或修改采购需求内容，否则采购人不接受高于前面轮次磋商报价的最终报价。 </w:t>
      </w:r>
    </w:p>
    <w:p w14:paraId="4E14DD4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32.6 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4AF16315">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32.7 评审报告由磋商小组全体成员签字。磋商小组成员对需要共同认定的事项存在争议的，应当按照少数服从多数的原则作出结论。持不同意见的磋商小组成员应当在评审报告上签署不同意见及理由，否则视为同意评审报告； </w:t>
      </w:r>
    </w:p>
    <w:p w14:paraId="22006B6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32.8 评审结果汇总完成后，除下列情形外，任何人不得修改评审结果： </w:t>
      </w:r>
    </w:p>
    <w:p w14:paraId="7C4D9A7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（一）分值汇总计算错误的； </w:t>
      </w:r>
    </w:p>
    <w:p w14:paraId="697D312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（二）分项评分超出评分标准范围的； </w:t>
      </w:r>
    </w:p>
    <w:p w14:paraId="146BFF0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（三）磋商小组成员对客观评审因素评分不一致的； </w:t>
      </w:r>
    </w:p>
    <w:p w14:paraId="212140D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（四）经磋商小组认定评分畸高、畸低的。 </w:t>
      </w:r>
    </w:p>
    <w:p w14:paraId="3BC04685">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 </w:t>
      </w:r>
    </w:p>
    <w:p w14:paraId="72AC753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32.9 磋商小组依据磋商须知前附表规定的评审方法，对供应商的响应文件进行评审和比较，供应商最终得分等于商务标、技术标、经济标最终报价得分之和。磋商小组确定供应商最终得分向采购人提出书面报告，并推荐合格的成交候选人。响应文件满足磋商文件全部实质性要求，且按照评审因素的量化指标评审得分最高的供应商为排名第一的成交候选人。 </w:t>
      </w:r>
    </w:p>
    <w:p w14:paraId="25D03B9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33. 评审的办法和标准 </w:t>
      </w:r>
    </w:p>
    <w:p w14:paraId="08688257">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33.1 本采购项目评审方法为磋商须知前附表规定的方法；磋商小组以评分方式对响应文件提出的商务标、技术标等，能否最大限度满足磋商文件中规定的各项要求和评价标准进行评估。 </w:t>
      </w:r>
    </w:p>
    <w:p w14:paraId="3B2DAF1D">
      <w:pPr>
        <w:spacing w:line="340" w:lineRule="exact"/>
        <w:ind w:firstLine="495"/>
        <w:jc w:val="center"/>
        <w:rPr>
          <w:rFonts w:hint="eastAsia" w:ascii="宋体" w:hAnsi="宋体" w:cs="宋体"/>
          <w:b/>
          <w:sz w:val="28"/>
          <w:szCs w:val="28"/>
          <w:highlight w:val="none"/>
          <w:lang w:val="en-US" w:eastAsia="zh-CN"/>
        </w:rPr>
      </w:pPr>
    </w:p>
    <w:p w14:paraId="34C07870">
      <w:pPr>
        <w:spacing w:line="340" w:lineRule="exact"/>
        <w:ind w:firstLine="495"/>
        <w:jc w:val="center"/>
        <w:rPr>
          <w:rFonts w:hint="eastAsia" w:ascii="宋体" w:hAnsi="宋体" w:cs="宋体"/>
          <w:b/>
          <w:sz w:val="28"/>
          <w:szCs w:val="28"/>
          <w:highlight w:val="none"/>
          <w:lang w:val="en-US" w:eastAsia="zh-CN"/>
        </w:rPr>
      </w:pPr>
    </w:p>
    <w:p w14:paraId="3FDF7170">
      <w:pPr>
        <w:spacing w:line="340" w:lineRule="exact"/>
        <w:ind w:firstLine="495"/>
        <w:jc w:val="center"/>
        <w:rPr>
          <w:rFonts w:hint="eastAsia" w:ascii="宋体" w:hAnsi="宋体" w:cs="宋体"/>
          <w:b/>
          <w:sz w:val="28"/>
          <w:szCs w:val="28"/>
          <w:highlight w:val="none"/>
          <w:lang w:val="en-US" w:eastAsia="zh-CN"/>
        </w:rPr>
      </w:pPr>
    </w:p>
    <w:p w14:paraId="5E41C36C">
      <w:pPr>
        <w:spacing w:line="340" w:lineRule="exact"/>
        <w:ind w:firstLine="495"/>
        <w:jc w:val="center"/>
        <w:rPr>
          <w:rFonts w:hint="eastAsia" w:ascii="宋体" w:hAnsi="宋体" w:cs="宋体"/>
          <w:b/>
          <w:sz w:val="28"/>
          <w:szCs w:val="28"/>
          <w:highlight w:val="none"/>
          <w:lang w:val="en-US" w:eastAsia="zh-CN"/>
        </w:rPr>
      </w:pPr>
    </w:p>
    <w:p w14:paraId="1D4D3579">
      <w:pPr>
        <w:spacing w:line="340" w:lineRule="exact"/>
        <w:ind w:firstLine="495"/>
        <w:jc w:val="center"/>
        <w:rPr>
          <w:rFonts w:hint="eastAsia" w:ascii="宋体" w:hAnsi="宋体" w:cs="宋体"/>
          <w:b/>
          <w:sz w:val="28"/>
          <w:szCs w:val="28"/>
          <w:highlight w:val="none"/>
          <w:lang w:val="en-US" w:eastAsia="zh-CN"/>
        </w:rPr>
      </w:pPr>
    </w:p>
    <w:p w14:paraId="41C2D48E">
      <w:pPr>
        <w:spacing w:line="340" w:lineRule="exact"/>
        <w:ind w:firstLine="495"/>
        <w:jc w:val="center"/>
        <w:rPr>
          <w:rFonts w:hint="eastAsia" w:ascii="宋体" w:hAnsi="宋体" w:cs="宋体"/>
          <w:b/>
          <w:sz w:val="28"/>
          <w:szCs w:val="28"/>
          <w:highlight w:val="none"/>
          <w:lang w:val="en-US" w:eastAsia="zh-CN"/>
        </w:rPr>
      </w:pPr>
    </w:p>
    <w:p w14:paraId="5A627488">
      <w:pPr>
        <w:spacing w:line="340" w:lineRule="exact"/>
        <w:ind w:firstLine="495"/>
        <w:jc w:val="center"/>
        <w:rPr>
          <w:rFonts w:hint="eastAsia" w:ascii="宋体" w:hAnsi="宋体" w:cs="宋体"/>
          <w:b/>
          <w:sz w:val="28"/>
          <w:szCs w:val="28"/>
          <w:highlight w:val="none"/>
          <w:lang w:val="en-US" w:eastAsia="zh-CN"/>
        </w:rPr>
      </w:pPr>
    </w:p>
    <w:p w14:paraId="5BF9FFE8">
      <w:pPr>
        <w:spacing w:line="340" w:lineRule="exact"/>
        <w:ind w:firstLine="495"/>
        <w:jc w:val="center"/>
        <w:rPr>
          <w:rFonts w:hint="eastAsia" w:ascii="宋体" w:hAnsi="宋体" w:cs="宋体"/>
          <w:b/>
          <w:sz w:val="28"/>
          <w:szCs w:val="28"/>
          <w:highlight w:val="none"/>
          <w:lang w:val="en-US" w:eastAsia="zh-CN"/>
        </w:rPr>
      </w:pPr>
    </w:p>
    <w:p w14:paraId="03DAFE7F">
      <w:pPr>
        <w:spacing w:line="340" w:lineRule="exact"/>
        <w:ind w:firstLine="495"/>
        <w:jc w:val="center"/>
        <w:rPr>
          <w:rFonts w:hint="eastAsia" w:ascii="宋体" w:hAnsi="宋体" w:cs="宋体"/>
          <w:b/>
          <w:sz w:val="28"/>
          <w:szCs w:val="28"/>
          <w:highlight w:val="none"/>
          <w:lang w:val="en-US" w:eastAsia="zh-CN"/>
        </w:rPr>
      </w:pPr>
    </w:p>
    <w:p w14:paraId="5EC2C360">
      <w:pPr>
        <w:spacing w:line="340" w:lineRule="exact"/>
        <w:ind w:firstLine="495"/>
        <w:jc w:val="center"/>
        <w:rPr>
          <w:rFonts w:hint="eastAsia" w:ascii="宋体" w:hAnsi="宋体" w:cs="宋体"/>
          <w:b/>
          <w:sz w:val="28"/>
          <w:szCs w:val="28"/>
          <w:highlight w:val="none"/>
          <w:lang w:val="en-US" w:eastAsia="zh-CN"/>
        </w:rPr>
      </w:pPr>
    </w:p>
    <w:p w14:paraId="6B081536">
      <w:pPr>
        <w:spacing w:line="340" w:lineRule="exact"/>
        <w:ind w:firstLine="495"/>
        <w:jc w:val="center"/>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33.2</w:t>
      </w:r>
      <w:r>
        <w:rPr>
          <w:rFonts w:hint="eastAsia" w:ascii="宋体" w:hAnsi="宋体" w:eastAsia="宋体" w:cs="宋体"/>
          <w:b/>
          <w:sz w:val="28"/>
          <w:szCs w:val="28"/>
          <w:highlight w:val="none"/>
        </w:rPr>
        <w:t>资格性检查表</w:t>
      </w:r>
    </w:p>
    <w:tbl>
      <w:tblPr>
        <w:tblStyle w:val="15"/>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7"/>
        <w:gridCol w:w="6163"/>
        <w:gridCol w:w="870"/>
        <w:gridCol w:w="690"/>
        <w:gridCol w:w="750"/>
        <w:gridCol w:w="704"/>
      </w:tblGrid>
      <w:tr w14:paraId="31F73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40" w:type="dxa"/>
            <w:gridSpan w:val="2"/>
            <w:vMerge w:val="restart"/>
            <w:tcBorders>
              <w:top w:val="single" w:color="auto" w:sz="12" w:space="0"/>
              <w:left w:val="single" w:color="auto" w:sz="12" w:space="0"/>
              <w:bottom w:val="single" w:color="auto" w:sz="6" w:space="0"/>
              <w:right w:val="single" w:color="auto" w:sz="4" w:space="0"/>
            </w:tcBorders>
            <w:noWrap w:val="0"/>
            <w:vAlign w:val="center"/>
          </w:tcPr>
          <w:p w14:paraId="1EA87E14">
            <w:pPr>
              <w:spacing w:line="500" w:lineRule="exact"/>
              <w:ind w:firstLine="3118" w:firstLineChars="1130"/>
              <w:contextualSpacing/>
              <w:rPr>
                <w:rFonts w:hint="eastAsia" w:ascii="宋体" w:hAnsi="宋体" w:eastAsia="宋体" w:cs="宋体"/>
                <w:spacing w:val="-2"/>
                <w:sz w:val="28"/>
                <w:szCs w:val="28"/>
              </w:rPr>
            </w:pPr>
            <w:r>
              <w:rPr>
                <w:rFonts w:hint="eastAsia" w:ascii="宋体" w:hAnsi="宋体" w:eastAsia="宋体" w:cs="宋体"/>
                <w:spacing w:val="-2"/>
                <w:sz w:val="28"/>
                <w:szCs w:val="28"/>
              </w:rPr>
              <w:t>评审内容</w:t>
            </w:r>
          </w:p>
        </w:tc>
        <w:tc>
          <w:tcPr>
            <w:tcW w:w="3014" w:type="dxa"/>
            <w:gridSpan w:val="4"/>
            <w:tcBorders>
              <w:top w:val="single" w:color="auto" w:sz="12" w:space="0"/>
              <w:left w:val="single" w:color="auto" w:sz="4" w:space="0"/>
              <w:bottom w:val="single" w:color="auto" w:sz="4" w:space="0"/>
              <w:right w:val="single" w:color="auto" w:sz="12" w:space="0"/>
            </w:tcBorders>
            <w:noWrap w:val="0"/>
            <w:vAlign w:val="center"/>
          </w:tcPr>
          <w:p w14:paraId="40FC3502">
            <w:pPr>
              <w:spacing w:line="500" w:lineRule="exact"/>
              <w:ind w:firstLine="496" w:firstLineChars="180"/>
              <w:contextualSpacing/>
              <w:jc w:val="center"/>
              <w:rPr>
                <w:rFonts w:hint="eastAsia" w:ascii="宋体" w:hAnsi="宋体" w:eastAsia="宋体" w:cs="宋体"/>
                <w:color w:val="000000"/>
                <w:spacing w:val="-2"/>
                <w:sz w:val="28"/>
                <w:szCs w:val="28"/>
              </w:rPr>
            </w:pPr>
            <w:r>
              <w:rPr>
                <w:rFonts w:hint="eastAsia" w:ascii="宋体" w:hAnsi="宋体" w:eastAsia="宋体" w:cs="宋体"/>
                <w:color w:val="000000"/>
                <w:spacing w:val="-2"/>
                <w:sz w:val="28"/>
                <w:szCs w:val="28"/>
              </w:rPr>
              <w:t>投标企业名称</w:t>
            </w:r>
          </w:p>
        </w:tc>
      </w:tr>
      <w:tr w14:paraId="7474D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40" w:type="dxa"/>
            <w:gridSpan w:val="2"/>
            <w:vMerge w:val="continue"/>
            <w:tcBorders>
              <w:top w:val="single" w:color="auto" w:sz="12" w:space="0"/>
              <w:left w:val="single" w:color="auto" w:sz="12" w:space="0"/>
              <w:bottom w:val="single" w:color="auto" w:sz="6" w:space="0"/>
              <w:right w:val="single" w:color="auto" w:sz="4" w:space="0"/>
            </w:tcBorders>
            <w:noWrap w:val="0"/>
            <w:vAlign w:val="center"/>
          </w:tcPr>
          <w:p w14:paraId="60E23FD6">
            <w:pPr>
              <w:widowControl/>
              <w:spacing w:line="500" w:lineRule="exact"/>
              <w:contextualSpacing/>
              <w:jc w:val="left"/>
              <w:rPr>
                <w:rFonts w:hint="eastAsia" w:ascii="宋体" w:hAnsi="宋体" w:eastAsia="宋体" w:cs="宋体"/>
                <w:color w:val="FF0000"/>
                <w:spacing w:val="-2"/>
                <w:sz w:val="28"/>
                <w:szCs w:val="28"/>
              </w:rPr>
            </w:pPr>
          </w:p>
        </w:tc>
        <w:tc>
          <w:tcPr>
            <w:tcW w:w="870" w:type="dxa"/>
            <w:tcBorders>
              <w:top w:val="single" w:color="auto" w:sz="4" w:space="0"/>
              <w:left w:val="single" w:color="auto" w:sz="4" w:space="0"/>
              <w:bottom w:val="single" w:color="auto" w:sz="6" w:space="0"/>
              <w:right w:val="single" w:color="auto" w:sz="4" w:space="0"/>
            </w:tcBorders>
            <w:noWrap w:val="0"/>
            <w:vAlign w:val="top"/>
          </w:tcPr>
          <w:p w14:paraId="7331ED96">
            <w:pPr>
              <w:spacing w:line="500" w:lineRule="exact"/>
              <w:contextualSpacing/>
              <w:jc w:val="center"/>
              <w:rPr>
                <w:rFonts w:hint="eastAsia" w:ascii="宋体" w:hAnsi="宋体" w:eastAsia="宋体" w:cs="宋体"/>
                <w:color w:val="000000"/>
                <w:spacing w:val="-2"/>
                <w:sz w:val="28"/>
                <w:szCs w:val="28"/>
              </w:rPr>
            </w:pPr>
            <w:r>
              <w:rPr>
                <w:rFonts w:hint="eastAsia" w:ascii="宋体" w:hAnsi="宋体" w:eastAsia="宋体" w:cs="宋体"/>
                <w:color w:val="000000"/>
                <w:spacing w:val="-2"/>
                <w:sz w:val="28"/>
                <w:szCs w:val="28"/>
              </w:rPr>
              <w:t>1</w:t>
            </w:r>
          </w:p>
        </w:tc>
        <w:tc>
          <w:tcPr>
            <w:tcW w:w="690" w:type="dxa"/>
            <w:tcBorders>
              <w:top w:val="single" w:color="auto" w:sz="4" w:space="0"/>
              <w:left w:val="single" w:color="auto" w:sz="4" w:space="0"/>
              <w:bottom w:val="single" w:color="auto" w:sz="6" w:space="0"/>
              <w:right w:val="single" w:color="auto" w:sz="6" w:space="0"/>
            </w:tcBorders>
            <w:noWrap w:val="0"/>
            <w:vAlign w:val="top"/>
          </w:tcPr>
          <w:p w14:paraId="3E91C425">
            <w:pPr>
              <w:spacing w:line="500" w:lineRule="exact"/>
              <w:ind w:right="-38" w:rightChars="-18"/>
              <w:contextualSpacing/>
              <w:jc w:val="center"/>
              <w:rPr>
                <w:rFonts w:hint="eastAsia" w:ascii="宋体" w:hAnsi="宋体" w:eastAsia="宋体" w:cs="宋体"/>
                <w:color w:val="000000"/>
                <w:spacing w:val="-2"/>
                <w:sz w:val="28"/>
                <w:szCs w:val="28"/>
              </w:rPr>
            </w:pPr>
            <w:r>
              <w:rPr>
                <w:rFonts w:hint="eastAsia" w:ascii="宋体" w:hAnsi="宋体" w:eastAsia="宋体" w:cs="宋体"/>
                <w:color w:val="000000"/>
                <w:spacing w:val="-2"/>
                <w:sz w:val="28"/>
                <w:szCs w:val="28"/>
              </w:rPr>
              <w:t>2</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074B6B3F">
            <w:pPr>
              <w:spacing w:line="500" w:lineRule="exact"/>
              <w:ind w:right="-38" w:rightChars="-18"/>
              <w:contextualSpacing/>
              <w:jc w:val="center"/>
              <w:rPr>
                <w:rFonts w:hint="eastAsia" w:ascii="宋体" w:hAnsi="宋体" w:eastAsia="宋体" w:cs="宋体"/>
                <w:color w:val="000000"/>
                <w:spacing w:val="-2"/>
                <w:sz w:val="28"/>
                <w:szCs w:val="28"/>
              </w:rPr>
            </w:pPr>
            <w:r>
              <w:rPr>
                <w:rFonts w:hint="eastAsia" w:ascii="宋体" w:hAnsi="宋体" w:eastAsia="宋体" w:cs="宋体"/>
                <w:color w:val="000000"/>
                <w:spacing w:val="-2"/>
                <w:sz w:val="28"/>
                <w:szCs w:val="28"/>
              </w:rPr>
              <w:t>3</w:t>
            </w:r>
          </w:p>
        </w:tc>
        <w:tc>
          <w:tcPr>
            <w:tcW w:w="704" w:type="dxa"/>
            <w:tcBorders>
              <w:top w:val="single" w:color="auto" w:sz="6" w:space="0"/>
              <w:left w:val="single" w:color="auto" w:sz="6" w:space="0"/>
              <w:bottom w:val="single" w:color="auto" w:sz="6" w:space="0"/>
              <w:right w:val="single" w:color="auto" w:sz="12" w:space="0"/>
            </w:tcBorders>
            <w:noWrap w:val="0"/>
            <w:vAlign w:val="center"/>
          </w:tcPr>
          <w:p w14:paraId="0E5A8C79">
            <w:pPr>
              <w:spacing w:line="500" w:lineRule="exact"/>
              <w:ind w:right="-38" w:rightChars="-18"/>
              <w:contextualSpacing/>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w:t>
            </w:r>
          </w:p>
        </w:tc>
      </w:tr>
      <w:tr w14:paraId="5D93F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677" w:type="dxa"/>
            <w:tcBorders>
              <w:top w:val="single" w:color="auto" w:sz="6" w:space="0"/>
              <w:left w:val="single" w:color="auto" w:sz="12" w:space="0"/>
              <w:bottom w:val="single" w:color="auto" w:sz="6" w:space="0"/>
              <w:right w:val="single" w:color="auto" w:sz="6" w:space="0"/>
            </w:tcBorders>
            <w:noWrap w:val="0"/>
            <w:vAlign w:val="center"/>
          </w:tcPr>
          <w:p w14:paraId="0FDBCF28">
            <w:pPr>
              <w:spacing w:line="500" w:lineRule="exact"/>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63" w:type="dxa"/>
            <w:tcBorders>
              <w:top w:val="single" w:color="auto" w:sz="6" w:space="0"/>
              <w:left w:val="single" w:color="auto" w:sz="6" w:space="0"/>
              <w:bottom w:val="single" w:color="auto" w:sz="6" w:space="0"/>
              <w:right w:val="single" w:color="auto" w:sz="4" w:space="0"/>
            </w:tcBorders>
            <w:noWrap w:val="0"/>
            <w:vAlign w:val="center"/>
          </w:tcPr>
          <w:p w14:paraId="410CD407">
            <w:pPr>
              <w:spacing w:line="500" w:lineRule="exact"/>
              <w:contextualSpacing/>
              <w:rPr>
                <w:rFonts w:hint="eastAsia" w:ascii="宋体" w:hAnsi="宋体" w:eastAsia="宋体" w:cs="宋体"/>
                <w:spacing w:val="-2"/>
                <w:sz w:val="28"/>
                <w:szCs w:val="28"/>
                <w:lang w:val="en-US" w:eastAsia="zh-CN"/>
              </w:rPr>
            </w:pPr>
            <w:r>
              <w:rPr>
                <w:rFonts w:hint="eastAsia" w:ascii="宋体" w:hAnsi="宋体" w:eastAsia="宋体" w:cs="宋体"/>
                <w:i w:val="0"/>
                <w:iCs w:val="0"/>
                <w:caps w:val="0"/>
                <w:color w:val="000000"/>
                <w:spacing w:val="0"/>
                <w:sz w:val="28"/>
                <w:szCs w:val="28"/>
              </w:rPr>
              <w:t>具备有效的营业执照</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spacing w:val="-2"/>
                <w:sz w:val="28"/>
                <w:szCs w:val="28"/>
                <w:lang w:val="en-US" w:eastAsia="zh-CN"/>
              </w:rPr>
              <w:t>法人代表或其委托代理人应提交本人身份证，委托代理人还应提交《法人代表授权委托书》；</w:t>
            </w:r>
          </w:p>
        </w:tc>
        <w:tc>
          <w:tcPr>
            <w:tcW w:w="870" w:type="dxa"/>
            <w:tcBorders>
              <w:top w:val="single" w:color="auto" w:sz="6" w:space="0"/>
              <w:left w:val="single" w:color="auto" w:sz="4" w:space="0"/>
              <w:bottom w:val="single" w:color="auto" w:sz="6" w:space="0"/>
              <w:right w:val="single" w:color="auto" w:sz="4" w:space="0"/>
            </w:tcBorders>
            <w:noWrap w:val="0"/>
            <w:vAlign w:val="center"/>
          </w:tcPr>
          <w:p w14:paraId="72296F22">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690" w:type="dxa"/>
            <w:tcBorders>
              <w:top w:val="single" w:color="auto" w:sz="6" w:space="0"/>
              <w:left w:val="single" w:color="auto" w:sz="4" w:space="0"/>
              <w:bottom w:val="single" w:color="auto" w:sz="6" w:space="0"/>
              <w:right w:val="single" w:color="auto" w:sz="6" w:space="0"/>
            </w:tcBorders>
            <w:noWrap w:val="0"/>
            <w:vAlign w:val="center"/>
          </w:tcPr>
          <w:p w14:paraId="1FDBA5BE">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50" w:type="dxa"/>
            <w:tcBorders>
              <w:top w:val="single" w:color="auto" w:sz="6" w:space="0"/>
              <w:left w:val="single" w:color="auto" w:sz="6" w:space="0"/>
              <w:bottom w:val="single" w:color="auto" w:sz="6" w:space="0"/>
              <w:right w:val="single" w:color="auto" w:sz="4" w:space="0"/>
            </w:tcBorders>
            <w:noWrap w:val="0"/>
            <w:vAlign w:val="top"/>
          </w:tcPr>
          <w:p w14:paraId="287130D3">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04" w:type="dxa"/>
            <w:tcBorders>
              <w:top w:val="single" w:color="auto" w:sz="6" w:space="0"/>
              <w:left w:val="single" w:color="auto" w:sz="4" w:space="0"/>
              <w:bottom w:val="single" w:color="auto" w:sz="6" w:space="0"/>
              <w:right w:val="single" w:color="auto" w:sz="12" w:space="0"/>
            </w:tcBorders>
            <w:noWrap w:val="0"/>
            <w:vAlign w:val="top"/>
          </w:tcPr>
          <w:p w14:paraId="5010AB09">
            <w:pPr>
              <w:spacing w:line="500" w:lineRule="exact"/>
              <w:contextualSpacing/>
              <w:jc w:val="center"/>
              <w:rPr>
                <w:rFonts w:hint="eastAsia" w:ascii="宋体" w:hAnsi="宋体" w:eastAsia="宋体" w:cs="宋体"/>
                <w:color w:val="000000"/>
                <w:sz w:val="28"/>
                <w:szCs w:val="28"/>
              </w:rPr>
            </w:pPr>
          </w:p>
        </w:tc>
      </w:tr>
      <w:tr w14:paraId="7832C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tcBorders>
              <w:top w:val="single" w:color="auto" w:sz="6" w:space="0"/>
              <w:left w:val="single" w:color="auto" w:sz="12" w:space="0"/>
              <w:bottom w:val="single" w:color="auto" w:sz="6" w:space="0"/>
              <w:right w:val="single" w:color="auto" w:sz="6" w:space="0"/>
            </w:tcBorders>
            <w:noWrap w:val="0"/>
            <w:vAlign w:val="center"/>
          </w:tcPr>
          <w:p w14:paraId="3E5AB31A">
            <w:pPr>
              <w:spacing w:line="500" w:lineRule="exact"/>
              <w:contextualSpacing/>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w:t>
            </w:r>
          </w:p>
        </w:tc>
        <w:tc>
          <w:tcPr>
            <w:tcW w:w="6163" w:type="dxa"/>
            <w:tcBorders>
              <w:top w:val="single" w:color="auto" w:sz="6" w:space="0"/>
              <w:left w:val="single" w:color="auto" w:sz="6" w:space="0"/>
              <w:bottom w:val="single" w:color="auto" w:sz="6" w:space="0"/>
              <w:right w:val="single" w:color="auto" w:sz="4" w:space="0"/>
            </w:tcBorders>
            <w:noWrap w:val="0"/>
            <w:vAlign w:val="center"/>
          </w:tcPr>
          <w:p w14:paraId="1BB20203">
            <w:pPr>
              <w:widowControl w:val="0"/>
              <w:spacing w:after="120" w:afterLines="0"/>
              <w:jc w:val="both"/>
              <w:rPr>
                <w:rFonts w:hint="eastAsia" w:ascii="宋体" w:hAnsi="宋体" w:eastAsia="宋体" w:cs="宋体"/>
                <w:sz w:val="28"/>
                <w:szCs w:val="28"/>
                <w:lang w:eastAsia="zh-CN"/>
              </w:rPr>
            </w:pPr>
            <w:r>
              <w:rPr>
                <w:rFonts w:hint="eastAsia" w:ascii="宋体" w:hAnsi="宋体" w:eastAsia="宋体" w:cs="宋体"/>
                <w:i w:val="0"/>
                <w:iCs w:val="0"/>
                <w:caps w:val="0"/>
                <w:color w:val="000000"/>
                <w:spacing w:val="0"/>
                <w:kern w:val="2"/>
                <w:sz w:val="28"/>
                <w:szCs w:val="28"/>
                <w:lang w:val="en-US" w:eastAsia="zh-CN" w:bidi="ar-SA"/>
              </w:rPr>
              <w:t>投标人须具备公路工程施工总承包三级(含)以上资质及有效的安全生产许可证；</w:t>
            </w:r>
          </w:p>
        </w:tc>
        <w:tc>
          <w:tcPr>
            <w:tcW w:w="870" w:type="dxa"/>
            <w:tcBorders>
              <w:top w:val="single" w:color="auto" w:sz="6" w:space="0"/>
              <w:left w:val="single" w:color="auto" w:sz="4" w:space="0"/>
              <w:bottom w:val="single" w:color="auto" w:sz="6" w:space="0"/>
              <w:right w:val="single" w:color="auto" w:sz="4" w:space="0"/>
            </w:tcBorders>
            <w:noWrap w:val="0"/>
            <w:vAlign w:val="center"/>
          </w:tcPr>
          <w:p w14:paraId="1D3A9558">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690" w:type="dxa"/>
            <w:tcBorders>
              <w:top w:val="single" w:color="auto" w:sz="6" w:space="0"/>
              <w:left w:val="single" w:color="auto" w:sz="4" w:space="0"/>
              <w:bottom w:val="single" w:color="auto" w:sz="6" w:space="0"/>
              <w:right w:val="single" w:color="auto" w:sz="6" w:space="0"/>
            </w:tcBorders>
            <w:noWrap w:val="0"/>
            <w:vAlign w:val="center"/>
          </w:tcPr>
          <w:p w14:paraId="11B6B9AA">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50" w:type="dxa"/>
            <w:tcBorders>
              <w:top w:val="single" w:color="auto" w:sz="6" w:space="0"/>
              <w:left w:val="single" w:color="auto" w:sz="6" w:space="0"/>
              <w:bottom w:val="single" w:color="auto" w:sz="6" w:space="0"/>
              <w:right w:val="single" w:color="auto" w:sz="4" w:space="0"/>
            </w:tcBorders>
            <w:noWrap w:val="0"/>
            <w:vAlign w:val="top"/>
          </w:tcPr>
          <w:p w14:paraId="072EFC00">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04" w:type="dxa"/>
            <w:tcBorders>
              <w:top w:val="single" w:color="auto" w:sz="6" w:space="0"/>
              <w:left w:val="single" w:color="auto" w:sz="4" w:space="0"/>
              <w:bottom w:val="single" w:color="auto" w:sz="6" w:space="0"/>
              <w:right w:val="single" w:color="auto" w:sz="12" w:space="0"/>
            </w:tcBorders>
            <w:noWrap w:val="0"/>
            <w:vAlign w:val="top"/>
          </w:tcPr>
          <w:p w14:paraId="4E09FC0A">
            <w:pPr>
              <w:spacing w:line="500" w:lineRule="exact"/>
              <w:contextualSpacing/>
              <w:jc w:val="center"/>
              <w:rPr>
                <w:rFonts w:hint="eastAsia" w:ascii="宋体" w:hAnsi="宋体" w:eastAsia="宋体" w:cs="宋体"/>
                <w:color w:val="000000"/>
                <w:sz w:val="28"/>
                <w:szCs w:val="28"/>
              </w:rPr>
            </w:pPr>
          </w:p>
        </w:tc>
      </w:tr>
      <w:tr w14:paraId="3375B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tcBorders>
              <w:top w:val="single" w:color="auto" w:sz="6" w:space="0"/>
              <w:left w:val="single" w:color="auto" w:sz="12" w:space="0"/>
              <w:bottom w:val="single" w:color="auto" w:sz="6" w:space="0"/>
              <w:right w:val="single" w:color="auto" w:sz="6" w:space="0"/>
            </w:tcBorders>
            <w:noWrap w:val="0"/>
            <w:vAlign w:val="center"/>
          </w:tcPr>
          <w:p w14:paraId="028E285D">
            <w:pPr>
              <w:spacing w:line="500" w:lineRule="exact"/>
              <w:contextualSpacing/>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6163" w:type="dxa"/>
            <w:tcBorders>
              <w:top w:val="single" w:color="auto" w:sz="6" w:space="0"/>
              <w:left w:val="single" w:color="auto" w:sz="6" w:space="0"/>
              <w:bottom w:val="single" w:color="auto" w:sz="6" w:space="0"/>
              <w:right w:val="single" w:color="auto" w:sz="4" w:space="0"/>
            </w:tcBorders>
            <w:noWrap w:val="0"/>
            <w:vAlign w:val="center"/>
          </w:tcPr>
          <w:p w14:paraId="6A35C4A3">
            <w:pPr>
              <w:spacing w:line="500" w:lineRule="exact"/>
              <w:contextualSpacing/>
              <w:rPr>
                <w:rFonts w:hint="eastAsia" w:ascii="宋体" w:hAnsi="宋体" w:eastAsia="宋体" w:cs="宋体"/>
                <w:spacing w:val="-2"/>
                <w:sz w:val="28"/>
                <w:szCs w:val="28"/>
                <w:lang w:val="en-US" w:eastAsia="zh-CN"/>
              </w:rPr>
            </w:pPr>
            <w:r>
              <w:rPr>
                <w:rFonts w:hint="eastAsia" w:ascii="宋体" w:hAnsi="宋体" w:eastAsia="宋体" w:cs="宋体"/>
                <w:i w:val="0"/>
                <w:iCs w:val="0"/>
                <w:caps w:val="0"/>
                <w:color w:val="000000"/>
                <w:spacing w:val="0"/>
                <w:sz w:val="28"/>
                <w:szCs w:val="28"/>
              </w:rPr>
              <w:t>项目负责人需具备公路工程二级建造师资格(含)以上注册建造师资格，且未担任其他在施建设工程项目的项目经理，具备有效的安全生产考核合格证书；</w:t>
            </w:r>
          </w:p>
        </w:tc>
        <w:tc>
          <w:tcPr>
            <w:tcW w:w="870" w:type="dxa"/>
            <w:tcBorders>
              <w:top w:val="single" w:color="auto" w:sz="6" w:space="0"/>
              <w:left w:val="single" w:color="auto" w:sz="4" w:space="0"/>
              <w:bottom w:val="single" w:color="auto" w:sz="6" w:space="0"/>
              <w:right w:val="single" w:color="auto" w:sz="4" w:space="0"/>
            </w:tcBorders>
            <w:noWrap w:val="0"/>
            <w:vAlign w:val="center"/>
          </w:tcPr>
          <w:p w14:paraId="27CF83AB">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690" w:type="dxa"/>
            <w:tcBorders>
              <w:top w:val="single" w:color="auto" w:sz="6" w:space="0"/>
              <w:left w:val="single" w:color="auto" w:sz="4" w:space="0"/>
              <w:bottom w:val="single" w:color="auto" w:sz="6" w:space="0"/>
              <w:right w:val="single" w:color="auto" w:sz="6" w:space="0"/>
            </w:tcBorders>
            <w:noWrap w:val="0"/>
            <w:vAlign w:val="center"/>
          </w:tcPr>
          <w:p w14:paraId="78214948">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50" w:type="dxa"/>
            <w:tcBorders>
              <w:top w:val="single" w:color="auto" w:sz="6" w:space="0"/>
              <w:left w:val="single" w:color="auto" w:sz="6" w:space="0"/>
              <w:bottom w:val="single" w:color="auto" w:sz="6" w:space="0"/>
              <w:right w:val="single" w:color="auto" w:sz="4" w:space="0"/>
            </w:tcBorders>
            <w:noWrap w:val="0"/>
            <w:vAlign w:val="top"/>
          </w:tcPr>
          <w:p w14:paraId="48581C84">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04" w:type="dxa"/>
            <w:tcBorders>
              <w:top w:val="single" w:color="auto" w:sz="6" w:space="0"/>
              <w:left w:val="single" w:color="auto" w:sz="4" w:space="0"/>
              <w:bottom w:val="single" w:color="auto" w:sz="6" w:space="0"/>
              <w:right w:val="single" w:color="auto" w:sz="12" w:space="0"/>
            </w:tcBorders>
            <w:noWrap w:val="0"/>
            <w:vAlign w:val="top"/>
          </w:tcPr>
          <w:p w14:paraId="78BEF158">
            <w:pPr>
              <w:spacing w:line="500" w:lineRule="exact"/>
              <w:contextualSpacing/>
              <w:jc w:val="center"/>
              <w:rPr>
                <w:rFonts w:hint="eastAsia" w:ascii="宋体" w:hAnsi="宋体" w:eastAsia="宋体" w:cs="宋体"/>
                <w:color w:val="000000"/>
                <w:sz w:val="28"/>
                <w:szCs w:val="28"/>
              </w:rPr>
            </w:pPr>
          </w:p>
        </w:tc>
      </w:tr>
      <w:tr w14:paraId="3F956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5" w:hRule="atLeast"/>
          <w:jc w:val="center"/>
        </w:trPr>
        <w:tc>
          <w:tcPr>
            <w:tcW w:w="677" w:type="dxa"/>
            <w:tcBorders>
              <w:top w:val="single" w:color="auto" w:sz="6" w:space="0"/>
              <w:left w:val="single" w:color="auto" w:sz="12" w:space="0"/>
              <w:bottom w:val="single" w:color="auto" w:sz="6" w:space="0"/>
              <w:right w:val="single" w:color="auto" w:sz="6" w:space="0"/>
            </w:tcBorders>
            <w:noWrap w:val="0"/>
            <w:vAlign w:val="center"/>
          </w:tcPr>
          <w:p w14:paraId="1AF95D14">
            <w:pPr>
              <w:spacing w:line="500" w:lineRule="exact"/>
              <w:contextualSpacing/>
              <w:jc w:val="center"/>
              <w:rPr>
                <w:rFonts w:hint="default" w:ascii="宋体" w:hAnsi="宋体" w:cs="宋体"/>
                <w:sz w:val="28"/>
                <w:szCs w:val="28"/>
                <w:lang w:val="en-US" w:eastAsia="zh-CN"/>
              </w:rPr>
            </w:pPr>
            <w:r>
              <w:rPr>
                <w:rFonts w:hint="eastAsia" w:ascii="宋体" w:hAnsi="宋体" w:cs="宋体"/>
                <w:sz w:val="28"/>
                <w:szCs w:val="28"/>
                <w:lang w:val="en-US" w:eastAsia="zh-CN"/>
              </w:rPr>
              <w:t>4</w:t>
            </w:r>
          </w:p>
        </w:tc>
        <w:tc>
          <w:tcPr>
            <w:tcW w:w="6163" w:type="dxa"/>
            <w:tcBorders>
              <w:top w:val="single" w:color="auto" w:sz="6" w:space="0"/>
              <w:left w:val="single" w:color="auto" w:sz="6" w:space="0"/>
              <w:bottom w:val="single" w:color="auto" w:sz="6" w:space="0"/>
              <w:right w:val="single" w:color="auto" w:sz="4" w:space="0"/>
            </w:tcBorders>
            <w:noWrap w:val="0"/>
            <w:vAlign w:val="center"/>
          </w:tcPr>
          <w:p w14:paraId="40FD5942">
            <w:pPr>
              <w:rPr>
                <w:rFonts w:hint="eastAsia" w:ascii="宋体" w:hAnsi="宋体" w:eastAsia="宋体" w:cs="宋体"/>
                <w:sz w:val="28"/>
                <w:szCs w:val="28"/>
                <w:lang w:eastAsia="zh-CN"/>
              </w:rPr>
            </w:pPr>
            <w:r>
              <w:rPr>
                <w:rFonts w:hint="eastAsia" w:ascii="宋体" w:hAnsi="宋体" w:eastAsia="宋体" w:cs="宋体"/>
                <w:sz w:val="28"/>
                <w:szCs w:val="28"/>
                <w:lang w:eastAsia="zh-CN"/>
              </w:rPr>
              <w:t>单位负责人为同一人或者存在直接控股、管理关系的不同供应商，不得参加同一合同项下的政府采购活动。</w:t>
            </w:r>
          </w:p>
        </w:tc>
        <w:tc>
          <w:tcPr>
            <w:tcW w:w="870" w:type="dxa"/>
            <w:tcBorders>
              <w:top w:val="single" w:color="auto" w:sz="6" w:space="0"/>
              <w:left w:val="single" w:color="auto" w:sz="4" w:space="0"/>
              <w:bottom w:val="single" w:color="auto" w:sz="6" w:space="0"/>
              <w:right w:val="single" w:color="auto" w:sz="4" w:space="0"/>
            </w:tcBorders>
            <w:noWrap w:val="0"/>
            <w:vAlign w:val="center"/>
          </w:tcPr>
          <w:p w14:paraId="7F67B5A2">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690" w:type="dxa"/>
            <w:tcBorders>
              <w:top w:val="single" w:color="auto" w:sz="6" w:space="0"/>
              <w:left w:val="single" w:color="auto" w:sz="4" w:space="0"/>
              <w:bottom w:val="single" w:color="auto" w:sz="6" w:space="0"/>
              <w:right w:val="single" w:color="auto" w:sz="6" w:space="0"/>
            </w:tcBorders>
            <w:noWrap w:val="0"/>
            <w:vAlign w:val="center"/>
          </w:tcPr>
          <w:p w14:paraId="35E080E7">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50" w:type="dxa"/>
            <w:tcBorders>
              <w:top w:val="single" w:color="auto" w:sz="6" w:space="0"/>
              <w:left w:val="single" w:color="auto" w:sz="6" w:space="0"/>
              <w:bottom w:val="single" w:color="auto" w:sz="6" w:space="0"/>
              <w:right w:val="single" w:color="auto" w:sz="4" w:space="0"/>
            </w:tcBorders>
            <w:noWrap w:val="0"/>
            <w:vAlign w:val="top"/>
          </w:tcPr>
          <w:p w14:paraId="00146098">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04" w:type="dxa"/>
            <w:tcBorders>
              <w:top w:val="single" w:color="auto" w:sz="6" w:space="0"/>
              <w:left w:val="single" w:color="auto" w:sz="4" w:space="0"/>
              <w:bottom w:val="single" w:color="auto" w:sz="6" w:space="0"/>
              <w:right w:val="single" w:color="auto" w:sz="12" w:space="0"/>
            </w:tcBorders>
            <w:noWrap w:val="0"/>
            <w:vAlign w:val="top"/>
          </w:tcPr>
          <w:p w14:paraId="7502A9C4">
            <w:pPr>
              <w:spacing w:line="500" w:lineRule="exact"/>
              <w:contextualSpacing/>
              <w:jc w:val="center"/>
              <w:rPr>
                <w:rFonts w:hint="eastAsia" w:ascii="宋体" w:hAnsi="宋体" w:eastAsia="宋体" w:cs="宋体"/>
                <w:color w:val="000000"/>
                <w:sz w:val="28"/>
                <w:szCs w:val="28"/>
              </w:rPr>
            </w:pPr>
          </w:p>
        </w:tc>
      </w:tr>
      <w:tr w14:paraId="0375D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40" w:type="dxa"/>
            <w:gridSpan w:val="2"/>
            <w:tcBorders>
              <w:top w:val="single" w:color="auto" w:sz="6" w:space="0"/>
              <w:left w:val="single" w:color="auto" w:sz="12" w:space="0"/>
              <w:bottom w:val="single" w:color="auto" w:sz="12" w:space="0"/>
              <w:right w:val="single" w:color="auto" w:sz="4" w:space="0"/>
            </w:tcBorders>
            <w:noWrap w:val="0"/>
            <w:vAlign w:val="top"/>
          </w:tcPr>
          <w:p w14:paraId="19138E46">
            <w:pPr>
              <w:spacing w:line="500" w:lineRule="exact"/>
              <w:ind w:firstLine="496" w:firstLineChars="180"/>
              <w:contextualSpacing/>
              <w:rPr>
                <w:rFonts w:hint="eastAsia" w:ascii="宋体" w:hAnsi="宋体" w:eastAsia="宋体" w:cs="宋体"/>
                <w:spacing w:val="-2"/>
                <w:sz w:val="28"/>
                <w:szCs w:val="28"/>
              </w:rPr>
            </w:pPr>
            <w:r>
              <w:rPr>
                <w:rFonts w:hint="eastAsia" w:ascii="宋体" w:hAnsi="宋体" w:eastAsia="宋体" w:cs="宋体"/>
                <w:spacing w:val="-2"/>
                <w:sz w:val="28"/>
                <w:szCs w:val="28"/>
              </w:rPr>
              <w:t>结论：通过评审打√     未通过评审打×</w:t>
            </w:r>
          </w:p>
        </w:tc>
        <w:tc>
          <w:tcPr>
            <w:tcW w:w="870" w:type="dxa"/>
            <w:tcBorders>
              <w:top w:val="single" w:color="auto" w:sz="6" w:space="0"/>
              <w:left w:val="single" w:color="auto" w:sz="4" w:space="0"/>
              <w:bottom w:val="single" w:color="auto" w:sz="12" w:space="0"/>
              <w:right w:val="single" w:color="auto" w:sz="4" w:space="0"/>
            </w:tcBorders>
            <w:noWrap w:val="0"/>
            <w:vAlign w:val="top"/>
          </w:tcPr>
          <w:p w14:paraId="103A9F6D">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690" w:type="dxa"/>
            <w:tcBorders>
              <w:top w:val="single" w:color="auto" w:sz="6" w:space="0"/>
              <w:left w:val="single" w:color="auto" w:sz="4" w:space="0"/>
              <w:bottom w:val="single" w:color="auto" w:sz="12" w:space="0"/>
              <w:right w:val="single" w:color="auto" w:sz="6" w:space="0"/>
            </w:tcBorders>
            <w:noWrap w:val="0"/>
            <w:vAlign w:val="top"/>
          </w:tcPr>
          <w:p w14:paraId="295F2B3D">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50" w:type="dxa"/>
            <w:tcBorders>
              <w:top w:val="single" w:color="auto" w:sz="6" w:space="0"/>
              <w:left w:val="single" w:color="auto" w:sz="6" w:space="0"/>
              <w:bottom w:val="single" w:color="auto" w:sz="12" w:space="0"/>
              <w:right w:val="single" w:color="auto" w:sz="6" w:space="0"/>
            </w:tcBorders>
            <w:noWrap w:val="0"/>
            <w:vAlign w:val="top"/>
          </w:tcPr>
          <w:p w14:paraId="341BB344">
            <w:pPr>
              <w:spacing w:line="500" w:lineRule="exact"/>
              <w:ind w:firstLine="496" w:firstLineChars="180"/>
              <w:contextualSpacing/>
              <w:jc w:val="center"/>
              <w:rPr>
                <w:rFonts w:hint="eastAsia" w:ascii="宋体" w:hAnsi="宋体" w:eastAsia="宋体" w:cs="宋体"/>
                <w:color w:val="000000"/>
                <w:spacing w:val="-2"/>
                <w:sz w:val="28"/>
                <w:szCs w:val="28"/>
              </w:rPr>
            </w:pPr>
          </w:p>
        </w:tc>
        <w:tc>
          <w:tcPr>
            <w:tcW w:w="704" w:type="dxa"/>
            <w:tcBorders>
              <w:top w:val="single" w:color="auto" w:sz="6" w:space="0"/>
              <w:left w:val="single" w:color="auto" w:sz="6" w:space="0"/>
              <w:bottom w:val="single" w:color="auto" w:sz="12" w:space="0"/>
              <w:right w:val="single" w:color="auto" w:sz="12" w:space="0"/>
            </w:tcBorders>
            <w:noWrap w:val="0"/>
            <w:vAlign w:val="top"/>
          </w:tcPr>
          <w:p w14:paraId="757262AA">
            <w:pPr>
              <w:spacing w:line="500" w:lineRule="exact"/>
              <w:contextualSpacing/>
              <w:jc w:val="center"/>
              <w:rPr>
                <w:rFonts w:hint="eastAsia" w:ascii="宋体" w:hAnsi="宋体" w:eastAsia="宋体" w:cs="宋体"/>
                <w:color w:val="000000"/>
                <w:sz w:val="28"/>
                <w:szCs w:val="28"/>
              </w:rPr>
            </w:pPr>
          </w:p>
        </w:tc>
      </w:tr>
    </w:tbl>
    <w:p w14:paraId="2A79A7D1">
      <w:pPr>
        <w:spacing w:line="400" w:lineRule="exact"/>
        <w:jc w:val="both"/>
        <w:rPr>
          <w:rFonts w:hint="eastAsia" w:ascii="宋体" w:hAnsi="宋体" w:eastAsia="宋体" w:cs="宋体"/>
          <w:b/>
          <w:bCs/>
          <w:kern w:val="28"/>
          <w:sz w:val="28"/>
          <w:szCs w:val="28"/>
          <w:highlight w:val="none"/>
        </w:rPr>
      </w:pPr>
    </w:p>
    <w:p w14:paraId="5FDA209C">
      <w:pPr>
        <w:spacing w:line="400" w:lineRule="exact"/>
        <w:jc w:val="center"/>
        <w:rPr>
          <w:rFonts w:hint="eastAsia" w:ascii="宋体" w:hAnsi="宋体" w:eastAsia="宋体" w:cs="宋体"/>
          <w:b/>
          <w:bCs/>
          <w:kern w:val="28"/>
          <w:sz w:val="28"/>
          <w:szCs w:val="28"/>
          <w:highlight w:val="none"/>
        </w:rPr>
      </w:pPr>
    </w:p>
    <w:p w14:paraId="7A7B5021">
      <w:pPr>
        <w:spacing w:line="400" w:lineRule="exact"/>
        <w:jc w:val="center"/>
        <w:rPr>
          <w:rFonts w:hint="eastAsia" w:ascii="宋体" w:hAnsi="宋体" w:eastAsia="宋体" w:cs="宋体"/>
          <w:b/>
          <w:bCs/>
          <w:kern w:val="28"/>
          <w:sz w:val="28"/>
          <w:szCs w:val="28"/>
          <w:highlight w:val="none"/>
        </w:rPr>
      </w:pPr>
    </w:p>
    <w:p w14:paraId="4A50A863">
      <w:pPr>
        <w:spacing w:line="400" w:lineRule="exact"/>
        <w:jc w:val="center"/>
        <w:rPr>
          <w:rFonts w:hint="eastAsia" w:ascii="宋体" w:hAnsi="宋体" w:eastAsia="宋体" w:cs="宋体"/>
          <w:b/>
          <w:bCs/>
          <w:kern w:val="28"/>
          <w:sz w:val="28"/>
          <w:szCs w:val="28"/>
          <w:highlight w:val="none"/>
        </w:rPr>
      </w:pPr>
    </w:p>
    <w:p w14:paraId="0AD15F21">
      <w:pPr>
        <w:spacing w:line="400" w:lineRule="exact"/>
        <w:jc w:val="center"/>
        <w:rPr>
          <w:rFonts w:hint="eastAsia" w:ascii="宋体" w:hAnsi="宋体" w:cs="宋体"/>
          <w:b/>
          <w:bCs/>
          <w:kern w:val="28"/>
          <w:sz w:val="28"/>
          <w:szCs w:val="28"/>
          <w:highlight w:val="none"/>
          <w:lang w:val="en-US" w:eastAsia="zh-CN"/>
        </w:rPr>
      </w:pPr>
    </w:p>
    <w:p w14:paraId="271A1811">
      <w:pPr>
        <w:spacing w:line="400" w:lineRule="exact"/>
        <w:jc w:val="center"/>
        <w:rPr>
          <w:rFonts w:hint="eastAsia" w:ascii="宋体" w:hAnsi="宋体" w:cs="宋体"/>
          <w:b/>
          <w:bCs/>
          <w:kern w:val="28"/>
          <w:sz w:val="28"/>
          <w:szCs w:val="28"/>
          <w:highlight w:val="none"/>
          <w:lang w:val="en-US" w:eastAsia="zh-CN"/>
        </w:rPr>
      </w:pPr>
    </w:p>
    <w:p w14:paraId="701D4A38">
      <w:pPr>
        <w:pStyle w:val="13"/>
        <w:rPr>
          <w:rFonts w:hint="eastAsia"/>
          <w:lang w:val="en-US" w:eastAsia="zh-CN"/>
        </w:rPr>
      </w:pPr>
    </w:p>
    <w:p w14:paraId="10583E27">
      <w:pPr>
        <w:spacing w:line="400" w:lineRule="exact"/>
        <w:jc w:val="center"/>
        <w:rPr>
          <w:rFonts w:hint="eastAsia" w:ascii="宋体" w:hAnsi="宋体" w:cs="宋体"/>
          <w:b/>
          <w:bCs/>
          <w:kern w:val="28"/>
          <w:sz w:val="28"/>
          <w:szCs w:val="28"/>
          <w:highlight w:val="none"/>
          <w:lang w:val="en-US" w:eastAsia="zh-CN"/>
        </w:rPr>
      </w:pPr>
    </w:p>
    <w:p w14:paraId="583367DE">
      <w:pPr>
        <w:spacing w:line="400" w:lineRule="exact"/>
        <w:jc w:val="center"/>
        <w:rPr>
          <w:rFonts w:hint="eastAsia" w:ascii="宋体" w:hAnsi="宋体" w:cs="宋体"/>
          <w:b/>
          <w:bCs/>
          <w:kern w:val="28"/>
          <w:sz w:val="28"/>
          <w:szCs w:val="28"/>
          <w:highlight w:val="none"/>
          <w:lang w:val="en-US" w:eastAsia="zh-CN"/>
        </w:rPr>
      </w:pPr>
    </w:p>
    <w:p w14:paraId="15C6C1AB">
      <w:pPr>
        <w:spacing w:line="400" w:lineRule="exact"/>
        <w:jc w:val="both"/>
        <w:rPr>
          <w:rFonts w:hint="eastAsia" w:ascii="宋体" w:hAnsi="宋体" w:cs="宋体"/>
          <w:b/>
          <w:bCs/>
          <w:kern w:val="28"/>
          <w:sz w:val="28"/>
          <w:szCs w:val="28"/>
          <w:highlight w:val="none"/>
          <w:lang w:val="en-US" w:eastAsia="zh-CN"/>
        </w:rPr>
      </w:pPr>
    </w:p>
    <w:p w14:paraId="092BAB47">
      <w:pPr>
        <w:spacing w:line="400" w:lineRule="exact"/>
        <w:jc w:val="center"/>
        <w:rPr>
          <w:rFonts w:hint="eastAsia" w:ascii="宋体" w:hAnsi="宋体" w:eastAsia="宋体" w:cs="宋体"/>
          <w:b/>
          <w:bCs/>
          <w:kern w:val="28"/>
          <w:sz w:val="28"/>
          <w:szCs w:val="28"/>
          <w:highlight w:val="none"/>
        </w:rPr>
      </w:pPr>
      <w:r>
        <w:rPr>
          <w:rFonts w:hint="eastAsia" w:ascii="宋体" w:hAnsi="宋体" w:cs="宋体"/>
          <w:b/>
          <w:bCs/>
          <w:kern w:val="28"/>
          <w:sz w:val="28"/>
          <w:szCs w:val="28"/>
          <w:highlight w:val="none"/>
          <w:lang w:val="en-US" w:eastAsia="zh-CN"/>
        </w:rPr>
        <w:t>33.3</w:t>
      </w:r>
      <w:r>
        <w:rPr>
          <w:rFonts w:hint="eastAsia" w:ascii="宋体" w:hAnsi="宋体" w:eastAsia="宋体" w:cs="宋体"/>
          <w:b/>
          <w:bCs/>
          <w:kern w:val="28"/>
          <w:sz w:val="28"/>
          <w:szCs w:val="28"/>
          <w:highlight w:val="none"/>
        </w:rPr>
        <w:t>符合性检查表</w:t>
      </w:r>
    </w:p>
    <w:p w14:paraId="4D4C8FAE">
      <w:pPr>
        <w:spacing w:after="156" w:afterLines="50" w:line="360" w:lineRule="auto"/>
        <w:ind w:firstLine="420"/>
        <w:jc w:val="center"/>
        <w:outlineLvl w:val="0"/>
        <w:rPr>
          <w:rFonts w:hint="eastAsia" w:ascii="宋体" w:hAnsi="宋体" w:eastAsia="宋体" w:cs="宋体"/>
          <w:bCs/>
          <w:kern w:val="28"/>
          <w:sz w:val="28"/>
          <w:szCs w:val="28"/>
          <w:highlight w:val="none"/>
        </w:rPr>
      </w:pPr>
      <w:bookmarkStart w:id="51" w:name="_Toc31343"/>
      <w:r>
        <w:rPr>
          <w:rFonts w:hint="eastAsia" w:ascii="宋体" w:hAnsi="宋体" w:eastAsia="宋体" w:cs="宋体"/>
          <w:bCs/>
          <w:kern w:val="28"/>
          <w:sz w:val="28"/>
          <w:szCs w:val="28"/>
          <w:highlight w:val="none"/>
        </w:rPr>
        <w:t>（审查响应文件的有效性、完整性和对磋商文件的响应程度）</w:t>
      </w:r>
      <w:bookmarkEnd w:id="51"/>
    </w:p>
    <w:tbl>
      <w:tblPr>
        <w:tblStyle w:val="15"/>
        <w:tblpPr w:leftFromText="180" w:rightFromText="180" w:vertAnchor="text" w:horzAnchor="page" w:tblpX="1200" w:tblpY="316"/>
        <w:tblOverlap w:val="never"/>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8"/>
        <w:gridCol w:w="6479"/>
        <w:gridCol w:w="616"/>
        <w:gridCol w:w="709"/>
        <w:gridCol w:w="708"/>
        <w:gridCol w:w="709"/>
      </w:tblGrid>
      <w:tr w14:paraId="538E6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7" w:type="dxa"/>
            <w:gridSpan w:val="2"/>
            <w:vMerge w:val="restart"/>
            <w:tcBorders>
              <w:top w:val="single" w:color="auto" w:sz="12" w:space="0"/>
              <w:left w:val="single" w:color="auto" w:sz="12" w:space="0"/>
              <w:bottom w:val="single" w:color="auto" w:sz="6" w:space="0"/>
              <w:right w:val="single" w:color="auto" w:sz="4" w:space="0"/>
            </w:tcBorders>
            <w:noWrap w:val="0"/>
            <w:vAlign w:val="center"/>
          </w:tcPr>
          <w:p w14:paraId="1108E3C4">
            <w:pPr>
              <w:spacing w:line="500" w:lineRule="exact"/>
              <w:ind w:firstLine="3118" w:firstLineChars="1130"/>
              <w:contextualSpacing/>
              <w:rPr>
                <w:rFonts w:hint="eastAsia" w:ascii="宋体" w:hAnsi="宋体" w:eastAsia="宋体" w:cs="宋体"/>
                <w:spacing w:val="-2"/>
                <w:sz w:val="28"/>
                <w:szCs w:val="28"/>
              </w:rPr>
            </w:pPr>
            <w:r>
              <w:rPr>
                <w:rFonts w:hint="eastAsia" w:ascii="宋体" w:hAnsi="宋体" w:eastAsia="宋体" w:cs="宋体"/>
                <w:spacing w:val="-2"/>
                <w:sz w:val="28"/>
                <w:szCs w:val="28"/>
              </w:rPr>
              <w:t>评审内容</w:t>
            </w:r>
          </w:p>
        </w:tc>
        <w:tc>
          <w:tcPr>
            <w:tcW w:w="2742" w:type="dxa"/>
            <w:gridSpan w:val="4"/>
            <w:tcBorders>
              <w:top w:val="single" w:color="auto" w:sz="12" w:space="0"/>
              <w:left w:val="single" w:color="auto" w:sz="4" w:space="0"/>
              <w:bottom w:val="single" w:color="auto" w:sz="4" w:space="0"/>
              <w:right w:val="single" w:color="auto" w:sz="12" w:space="0"/>
            </w:tcBorders>
            <w:noWrap w:val="0"/>
            <w:vAlign w:val="center"/>
          </w:tcPr>
          <w:p w14:paraId="01C19F87">
            <w:pPr>
              <w:spacing w:line="500" w:lineRule="exact"/>
              <w:ind w:firstLine="496" w:firstLineChars="180"/>
              <w:contextualSpacing/>
              <w:rPr>
                <w:rFonts w:hint="eastAsia" w:ascii="宋体" w:hAnsi="宋体" w:eastAsia="宋体" w:cs="宋体"/>
                <w:spacing w:val="-2"/>
                <w:sz w:val="28"/>
                <w:szCs w:val="28"/>
              </w:rPr>
            </w:pPr>
            <w:r>
              <w:rPr>
                <w:rFonts w:hint="eastAsia" w:ascii="宋体" w:hAnsi="宋体" w:eastAsia="宋体" w:cs="宋体"/>
                <w:spacing w:val="-2"/>
                <w:sz w:val="28"/>
                <w:szCs w:val="28"/>
              </w:rPr>
              <w:t>投标企业名称</w:t>
            </w:r>
          </w:p>
        </w:tc>
      </w:tr>
      <w:tr w14:paraId="4E811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147" w:type="dxa"/>
            <w:gridSpan w:val="2"/>
            <w:vMerge w:val="continue"/>
            <w:tcBorders>
              <w:top w:val="single" w:color="auto" w:sz="12" w:space="0"/>
              <w:left w:val="single" w:color="auto" w:sz="12" w:space="0"/>
              <w:bottom w:val="single" w:color="auto" w:sz="6" w:space="0"/>
              <w:right w:val="single" w:color="auto" w:sz="4" w:space="0"/>
            </w:tcBorders>
            <w:noWrap w:val="0"/>
            <w:vAlign w:val="center"/>
          </w:tcPr>
          <w:p w14:paraId="7417C147">
            <w:pPr>
              <w:widowControl/>
              <w:spacing w:line="500" w:lineRule="exact"/>
              <w:contextualSpacing/>
              <w:jc w:val="left"/>
              <w:rPr>
                <w:rFonts w:hint="eastAsia" w:ascii="宋体" w:hAnsi="宋体" w:eastAsia="宋体" w:cs="宋体"/>
                <w:spacing w:val="-2"/>
                <w:sz w:val="28"/>
                <w:szCs w:val="28"/>
              </w:rPr>
            </w:pPr>
          </w:p>
        </w:tc>
        <w:tc>
          <w:tcPr>
            <w:tcW w:w="616" w:type="dxa"/>
            <w:tcBorders>
              <w:top w:val="single" w:color="auto" w:sz="4" w:space="0"/>
              <w:left w:val="single" w:color="auto" w:sz="4" w:space="0"/>
              <w:bottom w:val="single" w:color="auto" w:sz="6" w:space="0"/>
              <w:right w:val="single" w:color="auto" w:sz="4" w:space="0"/>
            </w:tcBorders>
            <w:noWrap w:val="0"/>
            <w:vAlign w:val="top"/>
          </w:tcPr>
          <w:p w14:paraId="647894FE">
            <w:pPr>
              <w:spacing w:line="500" w:lineRule="exact"/>
              <w:ind w:firstLine="44" w:firstLineChars="16"/>
              <w:contextualSpacing/>
              <w:jc w:val="center"/>
              <w:rPr>
                <w:rFonts w:hint="eastAsia" w:ascii="宋体" w:hAnsi="宋体" w:eastAsia="宋体" w:cs="宋体"/>
                <w:spacing w:val="-2"/>
                <w:sz w:val="28"/>
                <w:szCs w:val="28"/>
              </w:rPr>
            </w:pPr>
            <w:r>
              <w:rPr>
                <w:rFonts w:hint="eastAsia" w:ascii="宋体" w:hAnsi="宋体" w:eastAsia="宋体" w:cs="宋体"/>
                <w:spacing w:val="-2"/>
                <w:sz w:val="28"/>
                <w:szCs w:val="28"/>
              </w:rPr>
              <w:t>1</w:t>
            </w:r>
          </w:p>
        </w:tc>
        <w:tc>
          <w:tcPr>
            <w:tcW w:w="709" w:type="dxa"/>
            <w:tcBorders>
              <w:top w:val="single" w:color="auto" w:sz="4" w:space="0"/>
              <w:left w:val="single" w:color="auto" w:sz="4" w:space="0"/>
              <w:bottom w:val="single" w:color="auto" w:sz="6" w:space="0"/>
              <w:right w:val="single" w:color="auto" w:sz="6" w:space="0"/>
            </w:tcBorders>
            <w:noWrap w:val="0"/>
            <w:vAlign w:val="top"/>
          </w:tcPr>
          <w:p w14:paraId="673BF606">
            <w:pPr>
              <w:spacing w:line="500" w:lineRule="exact"/>
              <w:ind w:firstLine="44" w:firstLineChars="16"/>
              <w:contextualSpacing/>
              <w:jc w:val="center"/>
              <w:rPr>
                <w:rFonts w:hint="eastAsia" w:ascii="宋体" w:hAnsi="宋体" w:eastAsia="宋体" w:cs="宋体"/>
                <w:spacing w:val="-2"/>
                <w:sz w:val="28"/>
                <w:szCs w:val="28"/>
              </w:rPr>
            </w:pPr>
            <w:r>
              <w:rPr>
                <w:rFonts w:hint="eastAsia" w:ascii="宋体" w:hAnsi="宋体" w:eastAsia="宋体" w:cs="宋体"/>
                <w:spacing w:val="-2"/>
                <w:sz w:val="28"/>
                <w:szCs w:val="28"/>
              </w:rPr>
              <w:t>2</w:t>
            </w:r>
          </w:p>
        </w:tc>
        <w:tc>
          <w:tcPr>
            <w:tcW w:w="708" w:type="dxa"/>
            <w:tcBorders>
              <w:top w:val="single" w:color="auto" w:sz="6" w:space="0"/>
              <w:left w:val="single" w:color="auto" w:sz="6" w:space="0"/>
              <w:bottom w:val="single" w:color="auto" w:sz="6" w:space="0"/>
              <w:right w:val="single" w:color="auto" w:sz="6" w:space="0"/>
            </w:tcBorders>
            <w:noWrap w:val="0"/>
            <w:vAlign w:val="center"/>
          </w:tcPr>
          <w:p w14:paraId="159FEDDC">
            <w:pPr>
              <w:spacing w:line="500" w:lineRule="exact"/>
              <w:ind w:firstLine="44" w:firstLineChars="16"/>
              <w:contextualSpacing/>
              <w:jc w:val="center"/>
              <w:rPr>
                <w:rFonts w:hint="eastAsia" w:ascii="宋体" w:hAnsi="宋体" w:eastAsia="宋体" w:cs="宋体"/>
                <w:spacing w:val="-2"/>
                <w:sz w:val="28"/>
                <w:szCs w:val="28"/>
              </w:rPr>
            </w:pPr>
            <w:r>
              <w:rPr>
                <w:rFonts w:hint="eastAsia" w:ascii="宋体" w:hAnsi="宋体" w:eastAsia="宋体" w:cs="宋体"/>
                <w:spacing w:val="-2"/>
                <w:sz w:val="28"/>
                <w:szCs w:val="28"/>
              </w:rPr>
              <w:t>3</w:t>
            </w:r>
          </w:p>
        </w:tc>
        <w:tc>
          <w:tcPr>
            <w:tcW w:w="709" w:type="dxa"/>
            <w:tcBorders>
              <w:top w:val="single" w:color="auto" w:sz="6" w:space="0"/>
              <w:left w:val="single" w:color="auto" w:sz="6" w:space="0"/>
              <w:bottom w:val="single" w:color="auto" w:sz="6" w:space="0"/>
              <w:right w:val="single" w:color="auto" w:sz="12" w:space="0"/>
            </w:tcBorders>
            <w:noWrap w:val="0"/>
            <w:vAlign w:val="center"/>
          </w:tcPr>
          <w:p w14:paraId="46B8FCA3">
            <w:pPr>
              <w:spacing w:line="500" w:lineRule="exact"/>
              <w:ind w:firstLine="45" w:firstLineChars="16"/>
              <w:contextualSpacing/>
              <w:jc w:val="center"/>
              <w:rPr>
                <w:rFonts w:hint="eastAsia" w:ascii="宋体" w:hAnsi="宋体" w:eastAsia="宋体" w:cs="宋体"/>
                <w:b/>
                <w:sz w:val="28"/>
                <w:szCs w:val="28"/>
              </w:rPr>
            </w:pPr>
            <w:r>
              <w:rPr>
                <w:rFonts w:hint="eastAsia" w:ascii="宋体" w:hAnsi="宋体" w:eastAsia="宋体" w:cs="宋体"/>
                <w:b/>
                <w:sz w:val="28"/>
                <w:szCs w:val="28"/>
              </w:rPr>
              <w:t>…</w:t>
            </w:r>
          </w:p>
        </w:tc>
      </w:tr>
      <w:tr w14:paraId="064DA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668" w:type="dxa"/>
            <w:tcBorders>
              <w:top w:val="single" w:color="auto" w:sz="6" w:space="0"/>
              <w:left w:val="single" w:color="auto" w:sz="12" w:space="0"/>
              <w:bottom w:val="single" w:color="auto" w:sz="6" w:space="0"/>
              <w:right w:val="single" w:color="auto" w:sz="6" w:space="0"/>
            </w:tcBorders>
            <w:noWrap w:val="0"/>
            <w:vAlign w:val="center"/>
          </w:tcPr>
          <w:p w14:paraId="4095FB9C">
            <w:pPr>
              <w:spacing w:line="500" w:lineRule="exact"/>
              <w:contextualSpacing/>
              <w:jc w:val="center"/>
              <w:rPr>
                <w:rFonts w:hint="eastAsia" w:ascii="宋体" w:hAnsi="宋体" w:eastAsia="宋体" w:cs="宋体"/>
                <w:sz w:val="28"/>
                <w:szCs w:val="28"/>
              </w:rPr>
            </w:pPr>
            <w:r>
              <w:rPr>
                <w:rFonts w:hint="eastAsia" w:ascii="宋体" w:hAnsi="宋体" w:eastAsia="宋体" w:cs="宋体"/>
                <w:sz w:val="28"/>
                <w:szCs w:val="28"/>
              </w:rPr>
              <w:t>1</w:t>
            </w:r>
          </w:p>
        </w:tc>
        <w:tc>
          <w:tcPr>
            <w:tcW w:w="6479" w:type="dxa"/>
            <w:tcBorders>
              <w:top w:val="single" w:color="auto" w:sz="6" w:space="0"/>
              <w:left w:val="single" w:color="auto" w:sz="6" w:space="0"/>
              <w:bottom w:val="single" w:color="auto" w:sz="6" w:space="0"/>
              <w:right w:val="single" w:color="auto" w:sz="4" w:space="0"/>
            </w:tcBorders>
            <w:noWrap w:val="0"/>
            <w:vAlign w:val="center"/>
          </w:tcPr>
          <w:p w14:paraId="2D0E8382">
            <w:pPr>
              <w:spacing w:line="500" w:lineRule="exact"/>
              <w:contextualSpacing/>
              <w:rPr>
                <w:rFonts w:hint="eastAsia" w:ascii="宋体" w:hAnsi="宋体" w:eastAsia="宋体" w:cs="宋体"/>
                <w:spacing w:val="-2"/>
                <w:sz w:val="28"/>
                <w:szCs w:val="28"/>
                <w:highlight w:val="yellow"/>
                <w:lang w:val="en-US" w:eastAsia="zh-CN"/>
              </w:rPr>
            </w:pPr>
            <w:r>
              <w:rPr>
                <w:rFonts w:hint="eastAsia" w:ascii="宋体" w:hAnsi="宋体" w:eastAsia="宋体" w:cs="宋体"/>
                <w:b w:val="0"/>
                <w:bCs w:val="0"/>
                <w:spacing w:val="-2"/>
                <w:sz w:val="28"/>
                <w:szCs w:val="28"/>
              </w:rPr>
              <w:t>投标书未按规定的要求编制，字迹模糊，辨认不清；</w:t>
            </w:r>
          </w:p>
        </w:tc>
        <w:tc>
          <w:tcPr>
            <w:tcW w:w="616" w:type="dxa"/>
            <w:tcBorders>
              <w:top w:val="single" w:color="auto" w:sz="6" w:space="0"/>
              <w:left w:val="single" w:color="auto" w:sz="4" w:space="0"/>
              <w:bottom w:val="single" w:color="auto" w:sz="6" w:space="0"/>
              <w:right w:val="single" w:color="auto" w:sz="4" w:space="0"/>
            </w:tcBorders>
            <w:noWrap w:val="0"/>
            <w:vAlign w:val="center"/>
          </w:tcPr>
          <w:p w14:paraId="543413AF">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053B503B">
            <w:pPr>
              <w:spacing w:line="500" w:lineRule="exact"/>
              <w:ind w:firstLine="496" w:firstLineChars="180"/>
              <w:contextualSpacing/>
              <w:rPr>
                <w:rFonts w:hint="eastAsia" w:ascii="宋体" w:hAnsi="宋体" w:eastAsia="宋体" w:cs="宋体"/>
                <w:spacing w:val="-2"/>
                <w:sz w:val="28"/>
                <w:szCs w:val="28"/>
              </w:rPr>
            </w:pPr>
          </w:p>
        </w:tc>
        <w:tc>
          <w:tcPr>
            <w:tcW w:w="708" w:type="dxa"/>
            <w:tcBorders>
              <w:top w:val="single" w:color="auto" w:sz="6" w:space="0"/>
              <w:left w:val="single" w:color="auto" w:sz="6" w:space="0"/>
              <w:bottom w:val="single" w:color="auto" w:sz="6" w:space="0"/>
              <w:right w:val="single" w:color="auto" w:sz="4" w:space="0"/>
            </w:tcBorders>
            <w:noWrap w:val="0"/>
            <w:vAlign w:val="top"/>
          </w:tcPr>
          <w:p w14:paraId="77F380E7">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12" w:space="0"/>
            </w:tcBorders>
            <w:noWrap w:val="0"/>
            <w:vAlign w:val="top"/>
          </w:tcPr>
          <w:p w14:paraId="2D26CC3F">
            <w:pPr>
              <w:spacing w:line="500" w:lineRule="exact"/>
              <w:contextualSpacing/>
              <w:rPr>
                <w:rFonts w:hint="eastAsia" w:ascii="宋体" w:hAnsi="宋体" w:eastAsia="宋体" w:cs="宋体"/>
                <w:sz w:val="28"/>
                <w:szCs w:val="28"/>
              </w:rPr>
            </w:pPr>
          </w:p>
        </w:tc>
      </w:tr>
      <w:tr w14:paraId="3FD6A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68" w:type="dxa"/>
            <w:tcBorders>
              <w:top w:val="single" w:color="auto" w:sz="6" w:space="0"/>
              <w:left w:val="single" w:color="auto" w:sz="12" w:space="0"/>
              <w:bottom w:val="single" w:color="auto" w:sz="6" w:space="0"/>
              <w:right w:val="single" w:color="auto" w:sz="6" w:space="0"/>
            </w:tcBorders>
            <w:noWrap w:val="0"/>
            <w:vAlign w:val="center"/>
          </w:tcPr>
          <w:p w14:paraId="2536378B">
            <w:pPr>
              <w:spacing w:line="500" w:lineRule="exact"/>
              <w:contextualSpacing/>
              <w:jc w:val="center"/>
              <w:rPr>
                <w:rFonts w:hint="eastAsia" w:ascii="宋体" w:hAnsi="宋体" w:eastAsia="宋体" w:cs="宋体"/>
                <w:sz w:val="28"/>
                <w:szCs w:val="28"/>
              </w:rPr>
            </w:pPr>
            <w:r>
              <w:rPr>
                <w:rFonts w:hint="eastAsia" w:ascii="宋体" w:hAnsi="宋体" w:eastAsia="宋体" w:cs="宋体"/>
                <w:sz w:val="28"/>
                <w:szCs w:val="28"/>
              </w:rPr>
              <w:t>2</w:t>
            </w:r>
          </w:p>
        </w:tc>
        <w:tc>
          <w:tcPr>
            <w:tcW w:w="6479" w:type="dxa"/>
            <w:tcBorders>
              <w:top w:val="single" w:color="auto" w:sz="6" w:space="0"/>
              <w:left w:val="single" w:color="auto" w:sz="6" w:space="0"/>
              <w:bottom w:val="single" w:color="auto" w:sz="6" w:space="0"/>
              <w:right w:val="single" w:color="auto" w:sz="4" w:space="0"/>
            </w:tcBorders>
            <w:noWrap w:val="0"/>
            <w:vAlign w:val="center"/>
          </w:tcPr>
          <w:p w14:paraId="0BCF9C27">
            <w:pPr>
              <w:spacing w:line="500" w:lineRule="exact"/>
              <w:contextualSpacing/>
              <w:rPr>
                <w:rFonts w:hint="eastAsia" w:ascii="宋体" w:hAnsi="宋体" w:eastAsia="宋体" w:cs="宋体"/>
                <w:spacing w:val="-2"/>
                <w:sz w:val="28"/>
                <w:szCs w:val="28"/>
                <w:highlight w:val="yellow"/>
                <w:lang w:val="en-US" w:eastAsia="zh-CN"/>
              </w:rPr>
            </w:pPr>
            <w:r>
              <w:rPr>
                <w:rFonts w:hint="eastAsia" w:ascii="宋体" w:hAnsi="宋体" w:eastAsia="宋体" w:cs="宋体"/>
                <w:b w:val="0"/>
                <w:bCs w:val="0"/>
                <w:spacing w:val="-2"/>
                <w:sz w:val="28"/>
                <w:szCs w:val="28"/>
              </w:rPr>
              <w:t>法定代表人或授权委托人未签章和未加盖单位公章；</w:t>
            </w:r>
          </w:p>
        </w:tc>
        <w:tc>
          <w:tcPr>
            <w:tcW w:w="616" w:type="dxa"/>
            <w:tcBorders>
              <w:top w:val="single" w:color="auto" w:sz="6" w:space="0"/>
              <w:left w:val="single" w:color="auto" w:sz="4" w:space="0"/>
              <w:bottom w:val="single" w:color="auto" w:sz="6" w:space="0"/>
              <w:right w:val="single" w:color="auto" w:sz="4" w:space="0"/>
            </w:tcBorders>
            <w:noWrap w:val="0"/>
            <w:vAlign w:val="center"/>
          </w:tcPr>
          <w:p w14:paraId="42E28B75">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3DD39D06">
            <w:pPr>
              <w:spacing w:line="500" w:lineRule="exact"/>
              <w:ind w:firstLine="496" w:firstLineChars="180"/>
              <w:contextualSpacing/>
              <w:rPr>
                <w:rFonts w:hint="eastAsia" w:ascii="宋体" w:hAnsi="宋体" w:eastAsia="宋体" w:cs="宋体"/>
                <w:spacing w:val="-2"/>
                <w:sz w:val="28"/>
                <w:szCs w:val="28"/>
              </w:rPr>
            </w:pPr>
          </w:p>
        </w:tc>
        <w:tc>
          <w:tcPr>
            <w:tcW w:w="708" w:type="dxa"/>
            <w:tcBorders>
              <w:top w:val="single" w:color="auto" w:sz="6" w:space="0"/>
              <w:left w:val="single" w:color="auto" w:sz="6" w:space="0"/>
              <w:bottom w:val="single" w:color="auto" w:sz="6" w:space="0"/>
              <w:right w:val="single" w:color="auto" w:sz="4" w:space="0"/>
            </w:tcBorders>
            <w:noWrap w:val="0"/>
            <w:vAlign w:val="top"/>
          </w:tcPr>
          <w:p w14:paraId="33CDFE8D">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12" w:space="0"/>
            </w:tcBorders>
            <w:noWrap w:val="0"/>
            <w:vAlign w:val="top"/>
          </w:tcPr>
          <w:p w14:paraId="51D3060B">
            <w:pPr>
              <w:spacing w:line="500" w:lineRule="exact"/>
              <w:contextualSpacing/>
              <w:rPr>
                <w:rFonts w:hint="eastAsia" w:ascii="宋体" w:hAnsi="宋体" w:eastAsia="宋体" w:cs="宋体"/>
                <w:sz w:val="28"/>
                <w:szCs w:val="28"/>
              </w:rPr>
            </w:pPr>
          </w:p>
        </w:tc>
      </w:tr>
      <w:tr w14:paraId="16C8A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668" w:type="dxa"/>
            <w:tcBorders>
              <w:top w:val="single" w:color="auto" w:sz="6" w:space="0"/>
              <w:left w:val="single" w:color="auto" w:sz="12" w:space="0"/>
              <w:bottom w:val="single" w:color="auto" w:sz="6" w:space="0"/>
              <w:right w:val="single" w:color="auto" w:sz="6" w:space="0"/>
            </w:tcBorders>
            <w:noWrap w:val="0"/>
            <w:vAlign w:val="center"/>
          </w:tcPr>
          <w:p w14:paraId="510B8EAD">
            <w:pPr>
              <w:spacing w:line="500" w:lineRule="exact"/>
              <w:contextualSpacing/>
              <w:jc w:val="center"/>
              <w:rPr>
                <w:rFonts w:hint="eastAsia" w:ascii="宋体" w:hAnsi="宋体" w:eastAsia="宋体" w:cs="宋体"/>
                <w:sz w:val="28"/>
                <w:szCs w:val="28"/>
              </w:rPr>
            </w:pPr>
            <w:r>
              <w:rPr>
                <w:rFonts w:hint="eastAsia" w:ascii="宋体" w:hAnsi="宋体" w:eastAsia="宋体" w:cs="宋体"/>
                <w:sz w:val="28"/>
                <w:szCs w:val="28"/>
              </w:rPr>
              <w:t>3</w:t>
            </w:r>
          </w:p>
        </w:tc>
        <w:tc>
          <w:tcPr>
            <w:tcW w:w="6479" w:type="dxa"/>
            <w:tcBorders>
              <w:top w:val="single" w:color="auto" w:sz="6" w:space="0"/>
              <w:left w:val="single" w:color="auto" w:sz="6" w:space="0"/>
              <w:bottom w:val="single" w:color="auto" w:sz="6" w:space="0"/>
              <w:right w:val="single" w:color="auto" w:sz="4" w:space="0"/>
            </w:tcBorders>
            <w:noWrap w:val="0"/>
            <w:vAlign w:val="center"/>
          </w:tcPr>
          <w:p w14:paraId="4E59A3CB">
            <w:pPr>
              <w:spacing w:line="500" w:lineRule="exact"/>
              <w:contextualSpacing/>
              <w:rPr>
                <w:rFonts w:hint="eastAsia" w:ascii="宋体" w:hAnsi="宋体" w:eastAsia="宋体" w:cs="宋体"/>
                <w:spacing w:val="-2"/>
                <w:sz w:val="28"/>
                <w:szCs w:val="28"/>
                <w:highlight w:val="yellow"/>
                <w:lang w:val="en-US" w:eastAsia="zh-CN"/>
              </w:rPr>
            </w:pPr>
            <w:r>
              <w:rPr>
                <w:rFonts w:hint="eastAsia" w:ascii="宋体" w:hAnsi="宋体" w:eastAsia="宋体" w:cs="宋体"/>
                <w:b w:val="0"/>
                <w:bCs w:val="0"/>
                <w:spacing w:val="-2"/>
                <w:sz w:val="28"/>
                <w:szCs w:val="28"/>
              </w:rPr>
              <w:t>投标人递交两份或两份以上内容不同的投标书，未声明哪一份有效</w:t>
            </w:r>
            <w:r>
              <w:rPr>
                <w:rFonts w:hint="eastAsia" w:ascii="宋体" w:hAnsi="宋体" w:eastAsia="宋体" w:cs="宋体"/>
                <w:b w:val="0"/>
                <w:bCs w:val="0"/>
                <w:spacing w:val="-2"/>
                <w:sz w:val="28"/>
                <w:szCs w:val="28"/>
                <w:lang w:eastAsia="zh-CN"/>
              </w:rPr>
              <w:t>；</w:t>
            </w:r>
          </w:p>
        </w:tc>
        <w:tc>
          <w:tcPr>
            <w:tcW w:w="616" w:type="dxa"/>
            <w:tcBorders>
              <w:top w:val="single" w:color="auto" w:sz="6" w:space="0"/>
              <w:left w:val="single" w:color="auto" w:sz="4" w:space="0"/>
              <w:bottom w:val="single" w:color="auto" w:sz="6" w:space="0"/>
              <w:right w:val="single" w:color="auto" w:sz="4" w:space="0"/>
            </w:tcBorders>
            <w:noWrap w:val="0"/>
            <w:vAlign w:val="center"/>
          </w:tcPr>
          <w:p w14:paraId="5F0EB554">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6ED00A19">
            <w:pPr>
              <w:spacing w:line="500" w:lineRule="exact"/>
              <w:ind w:firstLine="496" w:firstLineChars="180"/>
              <w:contextualSpacing/>
              <w:rPr>
                <w:rFonts w:hint="eastAsia" w:ascii="宋体" w:hAnsi="宋体" w:eastAsia="宋体" w:cs="宋体"/>
                <w:spacing w:val="-2"/>
                <w:sz w:val="28"/>
                <w:szCs w:val="28"/>
              </w:rPr>
            </w:pPr>
          </w:p>
        </w:tc>
        <w:tc>
          <w:tcPr>
            <w:tcW w:w="708" w:type="dxa"/>
            <w:tcBorders>
              <w:top w:val="single" w:color="auto" w:sz="6" w:space="0"/>
              <w:left w:val="single" w:color="auto" w:sz="6" w:space="0"/>
              <w:bottom w:val="single" w:color="auto" w:sz="6" w:space="0"/>
              <w:right w:val="single" w:color="auto" w:sz="4" w:space="0"/>
            </w:tcBorders>
            <w:noWrap w:val="0"/>
            <w:vAlign w:val="top"/>
          </w:tcPr>
          <w:p w14:paraId="6CBBBE26">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12" w:space="0"/>
            </w:tcBorders>
            <w:noWrap w:val="0"/>
            <w:vAlign w:val="top"/>
          </w:tcPr>
          <w:p w14:paraId="4657A070">
            <w:pPr>
              <w:spacing w:line="500" w:lineRule="exact"/>
              <w:contextualSpacing/>
              <w:rPr>
                <w:rFonts w:hint="eastAsia" w:ascii="宋体" w:hAnsi="宋体" w:eastAsia="宋体" w:cs="宋体"/>
                <w:sz w:val="28"/>
                <w:szCs w:val="28"/>
              </w:rPr>
            </w:pPr>
          </w:p>
        </w:tc>
      </w:tr>
      <w:tr w14:paraId="5C5B5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668" w:type="dxa"/>
            <w:tcBorders>
              <w:top w:val="single" w:color="auto" w:sz="6" w:space="0"/>
              <w:left w:val="single" w:color="auto" w:sz="12" w:space="0"/>
              <w:bottom w:val="single" w:color="auto" w:sz="6" w:space="0"/>
              <w:right w:val="single" w:color="auto" w:sz="6" w:space="0"/>
            </w:tcBorders>
            <w:noWrap w:val="0"/>
            <w:vAlign w:val="center"/>
          </w:tcPr>
          <w:p w14:paraId="3F703F7F">
            <w:pPr>
              <w:spacing w:line="500" w:lineRule="exact"/>
              <w:contextualSpacing/>
              <w:jc w:val="center"/>
              <w:rPr>
                <w:rFonts w:hint="eastAsia" w:ascii="宋体" w:hAnsi="宋体" w:eastAsia="宋体" w:cs="宋体"/>
                <w:sz w:val="28"/>
                <w:szCs w:val="28"/>
              </w:rPr>
            </w:pPr>
            <w:r>
              <w:rPr>
                <w:rFonts w:hint="eastAsia" w:ascii="宋体" w:hAnsi="宋体" w:eastAsia="宋体" w:cs="宋体"/>
                <w:sz w:val="28"/>
                <w:szCs w:val="28"/>
              </w:rPr>
              <w:t>4</w:t>
            </w:r>
          </w:p>
        </w:tc>
        <w:tc>
          <w:tcPr>
            <w:tcW w:w="6479" w:type="dxa"/>
            <w:tcBorders>
              <w:top w:val="single" w:color="auto" w:sz="6" w:space="0"/>
              <w:left w:val="single" w:color="auto" w:sz="6" w:space="0"/>
              <w:bottom w:val="single" w:color="auto" w:sz="6" w:space="0"/>
              <w:right w:val="single" w:color="auto" w:sz="4" w:space="0"/>
            </w:tcBorders>
            <w:noWrap w:val="0"/>
            <w:vAlign w:val="center"/>
          </w:tcPr>
          <w:p w14:paraId="0531A5C7">
            <w:pPr>
              <w:spacing w:line="500" w:lineRule="exact"/>
              <w:contextualSpacing/>
              <w:rPr>
                <w:rFonts w:hint="eastAsia" w:ascii="宋体" w:hAnsi="宋体" w:eastAsia="宋体" w:cs="宋体"/>
                <w:spacing w:val="-2"/>
                <w:sz w:val="28"/>
                <w:szCs w:val="28"/>
                <w:highlight w:val="yellow"/>
                <w:lang w:val="en-US" w:eastAsia="zh-CN"/>
              </w:rPr>
            </w:pPr>
            <w:r>
              <w:rPr>
                <w:rFonts w:hint="eastAsia" w:ascii="宋体" w:hAnsi="宋体" w:eastAsia="宋体" w:cs="宋体"/>
                <w:b w:val="0"/>
                <w:bCs w:val="0"/>
                <w:spacing w:val="-2"/>
                <w:sz w:val="28"/>
                <w:szCs w:val="28"/>
              </w:rPr>
              <w:t>投标人的投标资格不满足招标文件的要求；</w:t>
            </w:r>
          </w:p>
        </w:tc>
        <w:tc>
          <w:tcPr>
            <w:tcW w:w="616" w:type="dxa"/>
            <w:tcBorders>
              <w:top w:val="single" w:color="auto" w:sz="6" w:space="0"/>
              <w:left w:val="single" w:color="auto" w:sz="4" w:space="0"/>
              <w:bottom w:val="single" w:color="auto" w:sz="6" w:space="0"/>
              <w:right w:val="single" w:color="auto" w:sz="4" w:space="0"/>
            </w:tcBorders>
            <w:noWrap w:val="0"/>
            <w:vAlign w:val="center"/>
          </w:tcPr>
          <w:p w14:paraId="06D00C28">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65911F0A">
            <w:pPr>
              <w:spacing w:line="500" w:lineRule="exact"/>
              <w:ind w:firstLine="496" w:firstLineChars="180"/>
              <w:contextualSpacing/>
              <w:rPr>
                <w:rFonts w:hint="eastAsia" w:ascii="宋体" w:hAnsi="宋体" w:eastAsia="宋体" w:cs="宋体"/>
                <w:spacing w:val="-2"/>
                <w:sz w:val="28"/>
                <w:szCs w:val="28"/>
              </w:rPr>
            </w:pPr>
          </w:p>
        </w:tc>
        <w:tc>
          <w:tcPr>
            <w:tcW w:w="708" w:type="dxa"/>
            <w:tcBorders>
              <w:top w:val="single" w:color="auto" w:sz="6" w:space="0"/>
              <w:left w:val="single" w:color="auto" w:sz="6" w:space="0"/>
              <w:bottom w:val="single" w:color="auto" w:sz="6" w:space="0"/>
              <w:right w:val="single" w:color="auto" w:sz="4" w:space="0"/>
            </w:tcBorders>
            <w:noWrap w:val="0"/>
            <w:vAlign w:val="top"/>
          </w:tcPr>
          <w:p w14:paraId="29FEDAEF">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12" w:space="0"/>
            </w:tcBorders>
            <w:noWrap w:val="0"/>
            <w:vAlign w:val="top"/>
          </w:tcPr>
          <w:p w14:paraId="189E88BE">
            <w:pPr>
              <w:spacing w:line="500" w:lineRule="exact"/>
              <w:contextualSpacing/>
              <w:rPr>
                <w:rFonts w:hint="eastAsia" w:ascii="宋体" w:hAnsi="宋体" w:eastAsia="宋体" w:cs="宋体"/>
                <w:sz w:val="28"/>
                <w:szCs w:val="28"/>
              </w:rPr>
            </w:pPr>
          </w:p>
        </w:tc>
      </w:tr>
      <w:tr w14:paraId="3A663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668" w:type="dxa"/>
            <w:tcBorders>
              <w:top w:val="single" w:color="auto" w:sz="6" w:space="0"/>
              <w:left w:val="single" w:color="auto" w:sz="12" w:space="0"/>
              <w:bottom w:val="single" w:color="auto" w:sz="6" w:space="0"/>
              <w:right w:val="single" w:color="auto" w:sz="6" w:space="0"/>
            </w:tcBorders>
            <w:noWrap w:val="0"/>
            <w:vAlign w:val="center"/>
          </w:tcPr>
          <w:p w14:paraId="3191988B">
            <w:pPr>
              <w:spacing w:line="500" w:lineRule="exact"/>
              <w:contextualSpacing/>
              <w:jc w:val="center"/>
              <w:rPr>
                <w:rFonts w:hint="eastAsia" w:ascii="宋体" w:hAnsi="宋体" w:eastAsia="宋体" w:cs="宋体"/>
                <w:sz w:val="28"/>
                <w:szCs w:val="28"/>
              </w:rPr>
            </w:pPr>
            <w:r>
              <w:rPr>
                <w:rFonts w:hint="eastAsia" w:ascii="宋体" w:hAnsi="宋体" w:eastAsia="宋体" w:cs="宋体"/>
                <w:sz w:val="28"/>
                <w:szCs w:val="28"/>
              </w:rPr>
              <w:t>5</w:t>
            </w:r>
          </w:p>
        </w:tc>
        <w:tc>
          <w:tcPr>
            <w:tcW w:w="6479" w:type="dxa"/>
            <w:tcBorders>
              <w:top w:val="single" w:color="auto" w:sz="6" w:space="0"/>
              <w:left w:val="single" w:color="auto" w:sz="6" w:space="0"/>
              <w:bottom w:val="single" w:color="auto" w:sz="6" w:space="0"/>
              <w:right w:val="single" w:color="auto" w:sz="4" w:space="0"/>
            </w:tcBorders>
            <w:noWrap w:val="0"/>
            <w:vAlign w:val="center"/>
          </w:tcPr>
          <w:p w14:paraId="564F562A">
            <w:pPr>
              <w:spacing w:line="500" w:lineRule="exact"/>
              <w:contextualSpacing/>
              <w:rPr>
                <w:rFonts w:hint="eastAsia" w:ascii="宋体" w:hAnsi="宋体" w:eastAsia="宋体" w:cs="宋体"/>
                <w:spacing w:val="-2"/>
                <w:kern w:val="2"/>
                <w:sz w:val="28"/>
                <w:szCs w:val="28"/>
                <w:highlight w:val="yellow"/>
                <w:lang w:val="en-US" w:eastAsia="zh-CN" w:bidi="ar-SA"/>
              </w:rPr>
            </w:pPr>
            <w:r>
              <w:rPr>
                <w:rFonts w:hint="eastAsia" w:ascii="宋体" w:hAnsi="宋体" w:eastAsia="宋体" w:cs="宋体"/>
                <w:b w:val="0"/>
                <w:bCs w:val="0"/>
                <w:spacing w:val="-2"/>
                <w:sz w:val="28"/>
                <w:szCs w:val="28"/>
              </w:rPr>
              <w:t>投标文件附有招标人不能接受的条款；</w:t>
            </w:r>
          </w:p>
        </w:tc>
        <w:tc>
          <w:tcPr>
            <w:tcW w:w="616" w:type="dxa"/>
            <w:tcBorders>
              <w:top w:val="single" w:color="auto" w:sz="6" w:space="0"/>
              <w:left w:val="single" w:color="auto" w:sz="4" w:space="0"/>
              <w:bottom w:val="single" w:color="auto" w:sz="6" w:space="0"/>
              <w:right w:val="single" w:color="auto" w:sz="4" w:space="0"/>
            </w:tcBorders>
            <w:noWrap w:val="0"/>
            <w:vAlign w:val="center"/>
          </w:tcPr>
          <w:p w14:paraId="33531FAA">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4AAD9600">
            <w:pPr>
              <w:spacing w:line="500" w:lineRule="exact"/>
              <w:ind w:firstLine="496" w:firstLineChars="180"/>
              <w:contextualSpacing/>
              <w:rPr>
                <w:rFonts w:hint="eastAsia" w:ascii="宋体" w:hAnsi="宋体" w:eastAsia="宋体" w:cs="宋体"/>
                <w:spacing w:val="-2"/>
                <w:sz w:val="28"/>
                <w:szCs w:val="28"/>
              </w:rPr>
            </w:pPr>
          </w:p>
        </w:tc>
        <w:tc>
          <w:tcPr>
            <w:tcW w:w="708" w:type="dxa"/>
            <w:tcBorders>
              <w:top w:val="single" w:color="auto" w:sz="6" w:space="0"/>
              <w:left w:val="single" w:color="auto" w:sz="6" w:space="0"/>
              <w:bottom w:val="single" w:color="auto" w:sz="6" w:space="0"/>
              <w:right w:val="single" w:color="auto" w:sz="4" w:space="0"/>
            </w:tcBorders>
            <w:noWrap w:val="0"/>
            <w:vAlign w:val="top"/>
          </w:tcPr>
          <w:p w14:paraId="2291E9C0">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12" w:space="0"/>
            </w:tcBorders>
            <w:noWrap w:val="0"/>
            <w:vAlign w:val="top"/>
          </w:tcPr>
          <w:p w14:paraId="5EDA32B0">
            <w:pPr>
              <w:spacing w:line="500" w:lineRule="exact"/>
              <w:contextualSpacing/>
              <w:rPr>
                <w:rFonts w:hint="eastAsia" w:ascii="宋体" w:hAnsi="宋体" w:eastAsia="宋体" w:cs="宋体"/>
                <w:sz w:val="28"/>
                <w:szCs w:val="28"/>
              </w:rPr>
            </w:pPr>
          </w:p>
        </w:tc>
      </w:tr>
      <w:tr w14:paraId="1263F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668" w:type="dxa"/>
            <w:tcBorders>
              <w:top w:val="single" w:color="auto" w:sz="6" w:space="0"/>
              <w:left w:val="single" w:color="auto" w:sz="12" w:space="0"/>
              <w:bottom w:val="single" w:color="auto" w:sz="6" w:space="0"/>
              <w:right w:val="single" w:color="auto" w:sz="6" w:space="0"/>
            </w:tcBorders>
            <w:noWrap w:val="0"/>
            <w:vAlign w:val="center"/>
          </w:tcPr>
          <w:p w14:paraId="4AD82BC5">
            <w:pPr>
              <w:spacing w:line="500" w:lineRule="exact"/>
              <w:contextualSpacing/>
              <w:jc w:val="center"/>
              <w:rPr>
                <w:rFonts w:hint="eastAsia" w:ascii="宋体" w:hAnsi="宋体" w:eastAsia="宋体" w:cs="宋体"/>
                <w:sz w:val="28"/>
                <w:szCs w:val="28"/>
              </w:rPr>
            </w:pPr>
            <w:r>
              <w:rPr>
                <w:rFonts w:hint="eastAsia" w:ascii="宋体" w:hAnsi="宋体" w:eastAsia="宋体" w:cs="宋体"/>
                <w:sz w:val="28"/>
                <w:szCs w:val="28"/>
              </w:rPr>
              <w:t>6</w:t>
            </w:r>
          </w:p>
        </w:tc>
        <w:tc>
          <w:tcPr>
            <w:tcW w:w="6479" w:type="dxa"/>
            <w:tcBorders>
              <w:top w:val="single" w:color="auto" w:sz="6" w:space="0"/>
              <w:left w:val="single" w:color="auto" w:sz="6" w:space="0"/>
              <w:bottom w:val="single" w:color="auto" w:sz="6" w:space="0"/>
              <w:right w:val="single" w:color="auto" w:sz="4" w:space="0"/>
            </w:tcBorders>
            <w:noWrap w:val="0"/>
            <w:vAlign w:val="center"/>
          </w:tcPr>
          <w:p w14:paraId="60F5D7F6">
            <w:pPr>
              <w:spacing w:line="500" w:lineRule="exact"/>
              <w:contextualSpacing/>
              <w:rPr>
                <w:rFonts w:hint="eastAsia" w:ascii="宋体" w:hAnsi="宋体" w:eastAsia="宋体" w:cs="宋体"/>
                <w:kern w:val="2"/>
                <w:sz w:val="28"/>
                <w:szCs w:val="28"/>
                <w:highlight w:val="yellow"/>
                <w:lang w:val="en-US" w:eastAsia="zh-CN" w:bidi="ar-SA"/>
              </w:rPr>
            </w:pPr>
            <w:r>
              <w:rPr>
                <w:rFonts w:hint="eastAsia" w:ascii="宋体" w:hAnsi="宋体" w:eastAsia="宋体" w:cs="宋体"/>
                <w:b w:val="0"/>
                <w:bCs w:val="0"/>
                <w:spacing w:val="-2"/>
                <w:sz w:val="28"/>
                <w:szCs w:val="28"/>
              </w:rPr>
              <w:t>与招标文件有重大偏离的投标文件；</w:t>
            </w:r>
          </w:p>
        </w:tc>
        <w:tc>
          <w:tcPr>
            <w:tcW w:w="616" w:type="dxa"/>
            <w:tcBorders>
              <w:top w:val="single" w:color="auto" w:sz="6" w:space="0"/>
              <w:left w:val="single" w:color="auto" w:sz="4" w:space="0"/>
              <w:bottom w:val="single" w:color="auto" w:sz="6" w:space="0"/>
              <w:right w:val="single" w:color="auto" w:sz="4" w:space="0"/>
            </w:tcBorders>
            <w:noWrap w:val="0"/>
            <w:vAlign w:val="center"/>
          </w:tcPr>
          <w:p w14:paraId="3C9FCE16">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4872CE8F">
            <w:pPr>
              <w:spacing w:line="500" w:lineRule="exact"/>
              <w:ind w:firstLine="496" w:firstLineChars="180"/>
              <w:contextualSpacing/>
              <w:rPr>
                <w:rFonts w:hint="eastAsia" w:ascii="宋体" w:hAnsi="宋体" w:eastAsia="宋体" w:cs="宋体"/>
                <w:spacing w:val="-2"/>
                <w:sz w:val="28"/>
                <w:szCs w:val="28"/>
              </w:rPr>
            </w:pPr>
          </w:p>
        </w:tc>
        <w:tc>
          <w:tcPr>
            <w:tcW w:w="708" w:type="dxa"/>
            <w:tcBorders>
              <w:top w:val="single" w:color="auto" w:sz="6" w:space="0"/>
              <w:left w:val="single" w:color="auto" w:sz="6" w:space="0"/>
              <w:bottom w:val="single" w:color="auto" w:sz="6" w:space="0"/>
              <w:right w:val="single" w:color="auto" w:sz="4" w:space="0"/>
            </w:tcBorders>
            <w:noWrap w:val="0"/>
            <w:vAlign w:val="top"/>
          </w:tcPr>
          <w:p w14:paraId="7AF0A3AB">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12" w:space="0"/>
            </w:tcBorders>
            <w:noWrap w:val="0"/>
            <w:vAlign w:val="top"/>
          </w:tcPr>
          <w:p w14:paraId="60B64FEE">
            <w:pPr>
              <w:spacing w:line="500" w:lineRule="exact"/>
              <w:contextualSpacing/>
              <w:rPr>
                <w:rFonts w:hint="eastAsia" w:ascii="宋体" w:hAnsi="宋体" w:eastAsia="宋体" w:cs="宋体"/>
                <w:sz w:val="28"/>
                <w:szCs w:val="28"/>
              </w:rPr>
            </w:pPr>
          </w:p>
        </w:tc>
      </w:tr>
      <w:tr w14:paraId="65619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68" w:type="dxa"/>
            <w:tcBorders>
              <w:top w:val="single" w:color="auto" w:sz="6" w:space="0"/>
              <w:left w:val="single" w:color="auto" w:sz="12" w:space="0"/>
              <w:bottom w:val="single" w:color="auto" w:sz="6" w:space="0"/>
              <w:right w:val="single" w:color="auto" w:sz="6" w:space="0"/>
            </w:tcBorders>
            <w:noWrap w:val="0"/>
            <w:vAlign w:val="center"/>
          </w:tcPr>
          <w:p w14:paraId="1463C8F3">
            <w:pPr>
              <w:spacing w:line="500" w:lineRule="exact"/>
              <w:contextualSpacing/>
              <w:jc w:val="center"/>
              <w:rPr>
                <w:rFonts w:hint="eastAsia" w:ascii="宋体" w:hAnsi="宋体" w:eastAsia="宋体" w:cs="宋体"/>
                <w:sz w:val="28"/>
                <w:szCs w:val="28"/>
              </w:rPr>
            </w:pPr>
            <w:r>
              <w:rPr>
                <w:rFonts w:hint="eastAsia" w:ascii="宋体" w:hAnsi="宋体" w:eastAsia="宋体" w:cs="宋体"/>
                <w:sz w:val="28"/>
                <w:szCs w:val="28"/>
              </w:rPr>
              <w:t>7</w:t>
            </w:r>
          </w:p>
        </w:tc>
        <w:tc>
          <w:tcPr>
            <w:tcW w:w="6479" w:type="dxa"/>
            <w:tcBorders>
              <w:top w:val="single" w:color="auto" w:sz="6" w:space="0"/>
              <w:left w:val="single" w:color="auto" w:sz="6" w:space="0"/>
              <w:bottom w:val="single" w:color="auto" w:sz="6" w:space="0"/>
              <w:right w:val="single" w:color="auto" w:sz="4" w:space="0"/>
            </w:tcBorders>
            <w:noWrap w:val="0"/>
            <w:vAlign w:val="center"/>
          </w:tcPr>
          <w:p w14:paraId="65271FC9">
            <w:pPr>
              <w:spacing w:line="500" w:lineRule="exact"/>
              <w:contextualSpacing/>
              <w:rPr>
                <w:rFonts w:hint="eastAsia" w:ascii="宋体" w:hAnsi="宋体" w:eastAsia="宋体" w:cs="宋体"/>
                <w:spacing w:val="-2"/>
                <w:kern w:val="2"/>
                <w:sz w:val="28"/>
                <w:szCs w:val="28"/>
                <w:highlight w:val="yellow"/>
                <w:lang w:val="en-US" w:eastAsia="zh-CN" w:bidi="ar-SA"/>
              </w:rPr>
            </w:pPr>
            <w:r>
              <w:rPr>
                <w:rFonts w:hint="eastAsia" w:ascii="宋体" w:hAnsi="宋体" w:eastAsia="宋体" w:cs="宋体"/>
                <w:b w:val="0"/>
                <w:bCs w:val="0"/>
                <w:spacing w:val="-2"/>
                <w:sz w:val="28"/>
                <w:szCs w:val="28"/>
              </w:rPr>
              <w:t>不满足招标文件规定的其他实质性要求</w:t>
            </w:r>
          </w:p>
        </w:tc>
        <w:tc>
          <w:tcPr>
            <w:tcW w:w="616" w:type="dxa"/>
            <w:tcBorders>
              <w:top w:val="single" w:color="auto" w:sz="6" w:space="0"/>
              <w:left w:val="single" w:color="auto" w:sz="4" w:space="0"/>
              <w:bottom w:val="single" w:color="auto" w:sz="6" w:space="0"/>
              <w:right w:val="single" w:color="auto" w:sz="4" w:space="0"/>
            </w:tcBorders>
            <w:noWrap w:val="0"/>
            <w:vAlign w:val="center"/>
          </w:tcPr>
          <w:p w14:paraId="566A5E07">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6" w:space="0"/>
            </w:tcBorders>
            <w:noWrap w:val="0"/>
            <w:vAlign w:val="center"/>
          </w:tcPr>
          <w:p w14:paraId="7848CFE5">
            <w:pPr>
              <w:spacing w:line="500" w:lineRule="exact"/>
              <w:ind w:firstLine="496" w:firstLineChars="180"/>
              <w:contextualSpacing/>
              <w:rPr>
                <w:rFonts w:hint="eastAsia" w:ascii="宋体" w:hAnsi="宋体" w:eastAsia="宋体" w:cs="宋体"/>
                <w:spacing w:val="-2"/>
                <w:sz w:val="28"/>
                <w:szCs w:val="28"/>
              </w:rPr>
            </w:pPr>
          </w:p>
        </w:tc>
        <w:tc>
          <w:tcPr>
            <w:tcW w:w="708" w:type="dxa"/>
            <w:tcBorders>
              <w:top w:val="single" w:color="auto" w:sz="6" w:space="0"/>
              <w:left w:val="single" w:color="auto" w:sz="6" w:space="0"/>
              <w:bottom w:val="single" w:color="auto" w:sz="6" w:space="0"/>
              <w:right w:val="single" w:color="auto" w:sz="4" w:space="0"/>
            </w:tcBorders>
            <w:noWrap w:val="0"/>
            <w:vAlign w:val="top"/>
          </w:tcPr>
          <w:p w14:paraId="69988478">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12" w:space="0"/>
            </w:tcBorders>
            <w:noWrap w:val="0"/>
            <w:vAlign w:val="top"/>
          </w:tcPr>
          <w:p w14:paraId="7C9E4715">
            <w:pPr>
              <w:spacing w:line="500" w:lineRule="exact"/>
              <w:contextualSpacing/>
              <w:rPr>
                <w:rFonts w:hint="eastAsia" w:ascii="宋体" w:hAnsi="宋体" w:eastAsia="宋体" w:cs="宋体"/>
                <w:sz w:val="28"/>
                <w:szCs w:val="28"/>
              </w:rPr>
            </w:pPr>
          </w:p>
        </w:tc>
      </w:tr>
      <w:tr w14:paraId="31F21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147" w:type="dxa"/>
            <w:gridSpan w:val="2"/>
            <w:tcBorders>
              <w:top w:val="single" w:color="auto" w:sz="6" w:space="0"/>
              <w:left w:val="single" w:color="auto" w:sz="12" w:space="0"/>
              <w:bottom w:val="single" w:color="auto" w:sz="6" w:space="0"/>
              <w:right w:val="single" w:color="auto" w:sz="4" w:space="0"/>
            </w:tcBorders>
            <w:noWrap w:val="0"/>
            <w:vAlign w:val="top"/>
          </w:tcPr>
          <w:p w14:paraId="33205394">
            <w:pPr>
              <w:spacing w:line="500" w:lineRule="exact"/>
              <w:ind w:firstLine="496" w:firstLineChars="180"/>
              <w:contextualSpacing/>
              <w:rPr>
                <w:rFonts w:hint="eastAsia" w:ascii="宋体" w:hAnsi="宋体" w:eastAsia="宋体" w:cs="宋体"/>
                <w:spacing w:val="-2"/>
                <w:sz w:val="28"/>
                <w:szCs w:val="28"/>
              </w:rPr>
            </w:pPr>
            <w:r>
              <w:rPr>
                <w:rFonts w:hint="eastAsia" w:ascii="宋体" w:hAnsi="宋体" w:eastAsia="宋体" w:cs="宋体"/>
                <w:spacing w:val="-2"/>
                <w:sz w:val="28"/>
                <w:szCs w:val="28"/>
              </w:rPr>
              <w:t>结论：通过评审打√     未通过评审打×</w:t>
            </w:r>
          </w:p>
        </w:tc>
        <w:tc>
          <w:tcPr>
            <w:tcW w:w="616" w:type="dxa"/>
            <w:tcBorders>
              <w:top w:val="single" w:color="auto" w:sz="6" w:space="0"/>
              <w:left w:val="single" w:color="auto" w:sz="4" w:space="0"/>
              <w:bottom w:val="single" w:color="auto" w:sz="6" w:space="0"/>
              <w:right w:val="single" w:color="auto" w:sz="4" w:space="0"/>
            </w:tcBorders>
            <w:noWrap w:val="0"/>
            <w:vAlign w:val="top"/>
          </w:tcPr>
          <w:p w14:paraId="0346F9E9">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4" w:space="0"/>
              <w:bottom w:val="single" w:color="auto" w:sz="6" w:space="0"/>
              <w:right w:val="single" w:color="auto" w:sz="6" w:space="0"/>
            </w:tcBorders>
            <w:noWrap w:val="0"/>
            <w:vAlign w:val="top"/>
          </w:tcPr>
          <w:p w14:paraId="1D5AF907">
            <w:pPr>
              <w:spacing w:line="500" w:lineRule="exact"/>
              <w:ind w:firstLine="496" w:firstLineChars="180"/>
              <w:contextualSpacing/>
              <w:rPr>
                <w:rFonts w:hint="eastAsia" w:ascii="宋体" w:hAnsi="宋体" w:eastAsia="宋体" w:cs="宋体"/>
                <w:spacing w:val="-2"/>
                <w:sz w:val="28"/>
                <w:szCs w:val="28"/>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3E3EEA48">
            <w:pPr>
              <w:spacing w:line="500" w:lineRule="exact"/>
              <w:ind w:firstLine="496" w:firstLineChars="180"/>
              <w:contextualSpacing/>
              <w:rPr>
                <w:rFonts w:hint="eastAsia" w:ascii="宋体" w:hAnsi="宋体" w:eastAsia="宋体" w:cs="宋体"/>
                <w:spacing w:val="-2"/>
                <w:sz w:val="28"/>
                <w:szCs w:val="28"/>
              </w:rPr>
            </w:pPr>
          </w:p>
        </w:tc>
        <w:tc>
          <w:tcPr>
            <w:tcW w:w="709" w:type="dxa"/>
            <w:tcBorders>
              <w:top w:val="single" w:color="auto" w:sz="6" w:space="0"/>
              <w:left w:val="single" w:color="auto" w:sz="6" w:space="0"/>
              <w:bottom w:val="single" w:color="auto" w:sz="6" w:space="0"/>
              <w:right w:val="single" w:color="auto" w:sz="12" w:space="0"/>
            </w:tcBorders>
            <w:noWrap w:val="0"/>
            <w:vAlign w:val="top"/>
          </w:tcPr>
          <w:p w14:paraId="2E97D887">
            <w:pPr>
              <w:spacing w:line="500" w:lineRule="exact"/>
              <w:contextualSpacing/>
              <w:rPr>
                <w:rFonts w:hint="eastAsia" w:ascii="宋体" w:hAnsi="宋体" w:eastAsia="宋体" w:cs="宋体"/>
                <w:sz w:val="28"/>
                <w:szCs w:val="28"/>
              </w:rPr>
            </w:pPr>
          </w:p>
        </w:tc>
      </w:tr>
    </w:tbl>
    <w:p w14:paraId="1B5339EE">
      <w:pPr>
        <w:spacing w:before="156" w:beforeLines="50" w:line="360" w:lineRule="auto"/>
        <w:ind w:firstLine="562" w:firstLineChars="200"/>
        <w:rPr>
          <w:rFonts w:hint="eastAsia" w:ascii="宋体" w:hAnsi="宋体" w:eastAsia="宋体" w:cs="宋体"/>
          <w:sz w:val="28"/>
          <w:szCs w:val="28"/>
          <w:highlight w:val="none"/>
          <w:lang w:val="zh-CN"/>
        </w:rPr>
      </w:pPr>
      <w:r>
        <w:rPr>
          <w:rFonts w:hint="eastAsia" w:ascii="宋体" w:hAnsi="宋体" w:eastAsia="宋体" w:cs="宋体"/>
          <w:b/>
          <w:bCs/>
          <w:sz w:val="28"/>
          <w:szCs w:val="28"/>
          <w:highlight w:val="none"/>
        </w:rPr>
        <w:t>注：响应性文件响应程度初步审查通过的投标企业，进入下一步详细评审阶段，未通过响应性文件响应程度初步审查的企业，其投标作为无效标，不进入后期评审阶段</w:t>
      </w:r>
      <w:r>
        <w:rPr>
          <w:rFonts w:hint="eastAsia" w:ascii="宋体" w:hAnsi="宋体" w:eastAsia="宋体" w:cs="宋体"/>
          <w:b/>
          <w:bCs/>
          <w:sz w:val="28"/>
          <w:szCs w:val="28"/>
          <w:highlight w:val="none"/>
          <w:lang w:val="zh-CN"/>
        </w:rPr>
        <w:t>。</w:t>
      </w:r>
    </w:p>
    <w:p w14:paraId="162C6C6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供应商信用查询： </w:t>
      </w:r>
    </w:p>
    <w:p w14:paraId="33E0C61C">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① 查询时间：评审小组将在评审环节查询供应商的信用记录，供应商存在不良信用记录的，其报价将被认定为报价无效。 </w:t>
      </w:r>
    </w:p>
    <w:p w14:paraId="28B16BEF">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② 不良信用记录指：按照《财政部关于在政府采购活动中查询及使用信用记录有关问题的通知》（财库〔2016〕125 号）要求，在“信用中国（www.creditchina.gov.cn）被列入失信执行人、重大税收违法案件当事人名单、政府采购严重违法失信行为记录名单，在“中国政府采购网”网站 （www.ccgp.gov.cn）被列入政府采购严重违法失信行为记录名单。 </w:t>
      </w:r>
    </w:p>
    <w:p w14:paraId="595A4398">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③ 查询及记录方式：评审小组将查询网页打印、签字并存档备查。供应商不良信用记录以评审小组现场实时查询结果为准。</w:t>
      </w:r>
    </w:p>
    <w:p w14:paraId="66E378EC">
      <w:pPr>
        <w:pStyle w:val="2"/>
      </w:pPr>
    </w:p>
    <w:p w14:paraId="1126B63E">
      <w:pPr>
        <w:pStyle w:val="3"/>
        <w:pageBreakBefore/>
        <w:spacing w:line="400" w:lineRule="exact"/>
        <w:rPr>
          <w:rFonts w:hint="eastAsia" w:ascii="宋体" w:hAnsi="宋体" w:eastAsia="宋体" w:cs="宋体"/>
          <w:b/>
          <w:bCs/>
          <w:sz w:val="32"/>
          <w:szCs w:val="32"/>
          <w:highlight w:val="none"/>
          <w:lang w:eastAsia="zh-CN"/>
        </w:rPr>
      </w:pPr>
      <w:bookmarkStart w:id="52" w:name="_Toc18020"/>
      <w:bookmarkStart w:id="53" w:name="_Toc30698"/>
      <w:bookmarkStart w:id="54" w:name="_Toc17176"/>
      <w:r>
        <w:rPr>
          <w:rFonts w:hint="eastAsia" w:ascii="宋体" w:hAnsi="宋体" w:eastAsia="宋体" w:cs="宋体"/>
          <w:b/>
          <w:bCs/>
          <w:sz w:val="32"/>
          <w:szCs w:val="32"/>
          <w:highlight w:val="none"/>
        </w:rPr>
        <w:t>第</w:t>
      </w:r>
      <w:r>
        <w:rPr>
          <w:rFonts w:hint="eastAsia" w:ascii="宋体" w:hAnsi="宋体" w:eastAsia="宋体" w:cs="宋体"/>
          <w:b/>
          <w:bCs/>
          <w:sz w:val="32"/>
          <w:szCs w:val="32"/>
          <w:highlight w:val="none"/>
          <w:lang w:eastAsia="zh-CN"/>
        </w:rPr>
        <w:t>三</w:t>
      </w:r>
      <w:r>
        <w:rPr>
          <w:rFonts w:hint="eastAsia" w:ascii="宋体" w:hAnsi="宋体" w:eastAsia="宋体" w:cs="宋体"/>
          <w:b/>
          <w:bCs/>
          <w:sz w:val="32"/>
          <w:szCs w:val="32"/>
          <w:highlight w:val="none"/>
        </w:rPr>
        <w:t xml:space="preserve">章  </w:t>
      </w:r>
      <w:r>
        <w:rPr>
          <w:rFonts w:hint="eastAsia" w:ascii="宋体" w:hAnsi="宋体" w:eastAsia="宋体" w:cs="宋体"/>
          <w:b/>
          <w:bCs/>
          <w:sz w:val="32"/>
          <w:szCs w:val="32"/>
          <w:highlight w:val="none"/>
          <w:lang w:eastAsia="zh-CN"/>
        </w:rPr>
        <w:t>评审办法</w:t>
      </w:r>
      <w:bookmarkEnd w:id="52"/>
      <w:bookmarkEnd w:id="53"/>
      <w:bookmarkEnd w:id="54"/>
    </w:p>
    <w:p w14:paraId="529B692F">
      <w:pPr>
        <w:tabs>
          <w:tab w:val="left" w:pos="420"/>
          <w:tab w:val="left" w:pos="7560"/>
          <w:tab w:val="left" w:pos="7740"/>
          <w:tab w:val="left" w:pos="7920"/>
        </w:tabs>
        <w:adjustRightInd w:val="0"/>
        <w:snapToGrid w:val="0"/>
        <w:spacing w:line="360" w:lineRule="auto"/>
        <w:rPr>
          <w:rFonts w:hint="eastAsia" w:ascii="宋体" w:hAnsi="宋体" w:eastAsia="宋体" w:cs="宋体"/>
          <w:b/>
          <w:sz w:val="28"/>
          <w:szCs w:val="28"/>
          <w:highlight w:val="none"/>
        </w:rPr>
      </w:pPr>
    </w:p>
    <w:p w14:paraId="325891A0">
      <w:pPr>
        <w:tabs>
          <w:tab w:val="left" w:pos="420"/>
          <w:tab w:val="left" w:pos="7560"/>
          <w:tab w:val="left" w:pos="7740"/>
          <w:tab w:val="left" w:pos="7920"/>
        </w:tabs>
        <w:adjustRightInd w:val="0"/>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一、综合评分</w:t>
      </w:r>
    </w:p>
    <w:p w14:paraId="14D25D47">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1.经磋商确定最终采购需求和提交最后报价的供应商后，由磋商小组采用综合评分法对提交最后报价的供应商的响应文件和最后报价进行综合评分。</w:t>
      </w:r>
    </w:p>
    <w:p w14:paraId="0A2B2D61">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综合评分法，是指响应文件满足磋商文件全部实质性要求且按评审因素的量化指标评审得分最高的供应商为成交候选供应商的评审方法。</w:t>
      </w:r>
    </w:p>
    <w:p w14:paraId="60F22110">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2.评审时，磋商小组各成员应当独立对每个有效响应的文件进行评价、打分，然后汇总每个供应商每项评分因素的得分。</w:t>
      </w:r>
    </w:p>
    <w:p w14:paraId="7DB77368">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53D2AF66">
      <w:pPr>
        <w:keepNext w:val="0"/>
        <w:keepLines w:val="0"/>
        <w:widowControl/>
        <w:suppressLineNumbers w:val="0"/>
        <w:jc w:val="left"/>
      </w:pPr>
    </w:p>
    <w:p w14:paraId="2CEDB36D">
      <w:pPr>
        <w:pStyle w:val="2"/>
      </w:pPr>
    </w:p>
    <w:p w14:paraId="4966668B"/>
    <w:p w14:paraId="68C9008D">
      <w:pPr>
        <w:pStyle w:val="2"/>
      </w:pPr>
    </w:p>
    <w:p w14:paraId="52F7C167"/>
    <w:p w14:paraId="17906D41">
      <w:pPr>
        <w:pStyle w:val="2"/>
      </w:pPr>
    </w:p>
    <w:p w14:paraId="049C3B0A"/>
    <w:p w14:paraId="3A847D0D">
      <w:pPr>
        <w:pStyle w:val="2"/>
      </w:pPr>
    </w:p>
    <w:p w14:paraId="11F579ED"/>
    <w:p w14:paraId="519E7087">
      <w:pPr>
        <w:pStyle w:val="2"/>
      </w:pPr>
    </w:p>
    <w:p w14:paraId="63FFFDE4"/>
    <w:p w14:paraId="233106F5">
      <w:pPr>
        <w:pStyle w:val="2"/>
      </w:pPr>
    </w:p>
    <w:p w14:paraId="22B7E996"/>
    <w:p w14:paraId="7CF44BDB">
      <w:pPr>
        <w:spacing w:line="400" w:lineRule="exact"/>
        <w:rPr>
          <w:rFonts w:hint="eastAsia" w:ascii="宋体" w:hAnsi="宋体" w:eastAsia="宋体" w:cs="宋体"/>
          <w:sz w:val="28"/>
          <w:szCs w:val="28"/>
          <w:highlight w:val="none"/>
        </w:rPr>
      </w:pPr>
      <w:r>
        <w:rPr>
          <w:rFonts w:hint="eastAsia" w:ascii="宋体" w:hAnsi="宋体" w:eastAsia="宋体" w:cs="宋体"/>
          <w:b/>
          <w:bCs/>
          <w:sz w:val="28"/>
          <w:szCs w:val="28"/>
          <w:highlight w:val="none"/>
        </w:rPr>
        <w:t>二.综合评分细则表</w:t>
      </w:r>
    </w:p>
    <w:tbl>
      <w:tblPr>
        <w:tblStyle w:val="15"/>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478"/>
        <w:gridCol w:w="1431"/>
        <w:gridCol w:w="4367"/>
        <w:gridCol w:w="826"/>
        <w:gridCol w:w="686"/>
      </w:tblGrid>
      <w:tr w14:paraId="35AE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2680" w:type="dxa"/>
            <w:gridSpan w:val="2"/>
            <w:vMerge w:val="restart"/>
            <w:noWrap w:val="0"/>
            <w:vAlign w:val="top"/>
          </w:tcPr>
          <w:p w14:paraId="759E9267">
            <w:pPr>
              <w:spacing w:line="400" w:lineRule="exact"/>
              <w:ind w:firstLine="826" w:firstLineChars="294"/>
              <w:rPr>
                <w:rFonts w:hint="eastAsia" w:ascii="宋体" w:hAnsi="宋体" w:eastAsia="宋体" w:cs="宋体"/>
                <w:b/>
                <w:sz w:val="28"/>
                <w:szCs w:val="28"/>
                <w:highlight w:val="none"/>
              </w:rPr>
            </w:pPr>
            <w:bookmarkStart w:id="55" w:name="EBf97f626d7f2349dc98726a51f37130cf"/>
          </w:p>
          <w:p w14:paraId="6DCA7566">
            <w:pPr>
              <w:spacing w:line="400" w:lineRule="exact"/>
              <w:ind w:firstLine="826" w:firstLineChars="294"/>
              <w:rPr>
                <w:rFonts w:hint="eastAsia" w:ascii="宋体" w:hAnsi="宋体" w:eastAsia="宋体" w:cs="宋体"/>
                <w:b/>
                <w:sz w:val="28"/>
                <w:szCs w:val="28"/>
                <w:highlight w:val="none"/>
              </w:rPr>
            </w:pPr>
            <w:r>
              <w:rPr>
                <w:rFonts w:hint="eastAsia" w:ascii="宋体" w:hAnsi="宋体" w:eastAsia="宋体" w:cs="宋体"/>
                <w:b/>
                <w:sz w:val="28"/>
                <w:szCs w:val="28"/>
                <w:highlight w:val="none"/>
              </w:rPr>
              <w:t>评分因素</w:t>
            </w:r>
          </w:p>
        </w:tc>
        <w:tc>
          <w:tcPr>
            <w:tcW w:w="1431" w:type="dxa"/>
            <w:vMerge w:val="restart"/>
            <w:noWrap w:val="0"/>
            <w:vAlign w:val="center"/>
          </w:tcPr>
          <w:p w14:paraId="0C22DC08">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评分点</w:t>
            </w:r>
          </w:p>
        </w:tc>
        <w:tc>
          <w:tcPr>
            <w:tcW w:w="4367" w:type="dxa"/>
            <w:vMerge w:val="restart"/>
            <w:noWrap w:val="0"/>
            <w:vAlign w:val="center"/>
          </w:tcPr>
          <w:p w14:paraId="1EC28D28">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评分标准</w:t>
            </w:r>
          </w:p>
        </w:tc>
        <w:tc>
          <w:tcPr>
            <w:tcW w:w="1512" w:type="dxa"/>
            <w:gridSpan w:val="2"/>
            <w:noWrap w:val="0"/>
            <w:vAlign w:val="top"/>
          </w:tcPr>
          <w:p w14:paraId="74AA6C20">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评审意见</w:t>
            </w:r>
          </w:p>
        </w:tc>
      </w:tr>
      <w:tr w14:paraId="03FD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jc w:val="center"/>
        </w:trPr>
        <w:tc>
          <w:tcPr>
            <w:tcW w:w="2680" w:type="dxa"/>
            <w:gridSpan w:val="2"/>
            <w:vMerge w:val="continue"/>
            <w:noWrap w:val="0"/>
            <w:vAlign w:val="top"/>
          </w:tcPr>
          <w:p w14:paraId="2D27ABC9">
            <w:pPr>
              <w:spacing w:line="400" w:lineRule="exact"/>
              <w:jc w:val="center"/>
              <w:rPr>
                <w:rFonts w:hint="eastAsia" w:ascii="宋体" w:hAnsi="宋体" w:eastAsia="宋体" w:cs="宋体"/>
                <w:b/>
                <w:sz w:val="28"/>
                <w:szCs w:val="28"/>
                <w:highlight w:val="none"/>
              </w:rPr>
            </w:pPr>
          </w:p>
        </w:tc>
        <w:tc>
          <w:tcPr>
            <w:tcW w:w="1431" w:type="dxa"/>
            <w:vMerge w:val="continue"/>
            <w:noWrap w:val="0"/>
            <w:vAlign w:val="center"/>
          </w:tcPr>
          <w:p w14:paraId="7D17111E">
            <w:pPr>
              <w:spacing w:line="400" w:lineRule="exact"/>
              <w:jc w:val="center"/>
              <w:rPr>
                <w:rFonts w:hint="eastAsia" w:ascii="宋体" w:hAnsi="宋体" w:eastAsia="宋体" w:cs="宋体"/>
                <w:b/>
                <w:sz w:val="28"/>
                <w:szCs w:val="28"/>
                <w:highlight w:val="none"/>
              </w:rPr>
            </w:pPr>
          </w:p>
        </w:tc>
        <w:tc>
          <w:tcPr>
            <w:tcW w:w="4367" w:type="dxa"/>
            <w:vMerge w:val="continue"/>
            <w:noWrap w:val="0"/>
            <w:vAlign w:val="center"/>
          </w:tcPr>
          <w:p w14:paraId="3BAD9DE8">
            <w:pPr>
              <w:spacing w:line="400" w:lineRule="exact"/>
              <w:jc w:val="center"/>
              <w:rPr>
                <w:rFonts w:hint="eastAsia" w:ascii="宋体" w:hAnsi="宋体" w:eastAsia="宋体" w:cs="宋体"/>
                <w:b/>
                <w:sz w:val="28"/>
                <w:szCs w:val="28"/>
                <w:highlight w:val="none"/>
              </w:rPr>
            </w:pPr>
          </w:p>
        </w:tc>
        <w:tc>
          <w:tcPr>
            <w:tcW w:w="826" w:type="dxa"/>
            <w:noWrap w:val="0"/>
            <w:vAlign w:val="top"/>
          </w:tcPr>
          <w:p w14:paraId="287A1C1C">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是</w:t>
            </w:r>
          </w:p>
        </w:tc>
        <w:tc>
          <w:tcPr>
            <w:tcW w:w="686" w:type="dxa"/>
            <w:noWrap w:val="0"/>
            <w:vAlign w:val="top"/>
          </w:tcPr>
          <w:p w14:paraId="2669A68E">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否</w:t>
            </w:r>
          </w:p>
        </w:tc>
      </w:tr>
      <w:tr w14:paraId="3ACE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2" w:hRule="atLeast"/>
          <w:jc w:val="center"/>
        </w:trPr>
        <w:tc>
          <w:tcPr>
            <w:tcW w:w="1202" w:type="dxa"/>
            <w:vMerge w:val="restart"/>
            <w:noWrap w:val="0"/>
            <w:vAlign w:val="top"/>
          </w:tcPr>
          <w:p w14:paraId="0DF5D6E9">
            <w:pPr>
              <w:spacing w:line="400" w:lineRule="exact"/>
              <w:ind w:firstLine="140" w:firstLineChars="50"/>
              <w:rPr>
                <w:rFonts w:hint="eastAsia" w:ascii="宋体" w:hAnsi="宋体" w:eastAsia="宋体" w:cs="宋体"/>
                <w:sz w:val="28"/>
                <w:szCs w:val="28"/>
                <w:highlight w:val="none"/>
              </w:rPr>
            </w:pPr>
          </w:p>
          <w:p w14:paraId="5C9F3572">
            <w:pPr>
              <w:spacing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初步评审</w:t>
            </w:r>
          </w:p>
        </w:tc>
        <w:tc>
          <w:tcPr>
            <w:tcW w:w="1478" w:type="dxa"/>
            <w:noWrap w:val="0"/>
            <w:vAlign w:val="center"/>
          </w:tcPr>
          <w:p w14:paraId="3D248266">
            <w:pPr>
              <w:spacing w:line="400" w:lineRule="exact"/>
              <w:ind w:firstLine="140" w:firstLineChars="50"/>
              <w:jc w:val="center"/>
              <w:rPr>
                <w:rFonts w:hint="eastAsia" w:ascii="宋体" w:hAnsi="宋体" w:eastAsia="宋体" w:cs="宋体"/>
                <w:b/>
                <w:sz w:val="28"/>
                <w:szCs w:val="28"/>
                <w:highlight w:val="none"/>
              </w:rPr>
            </w:pPr>
            <w:r>
              <w:rPr>
                <w:rFonts w:hint="eastAsia" w:ascii="宋体" w:hAnsi="宋体" w:eastAsia="宋体" w:cs="宋体"/>
                <w:sz w:val="28"/>
                <w:szCs w:val="28"/>
                <w:highlight w:val="none"/>
              </w:rPr>
              <w:t>资格检查</w:t>
            </w:r>
          </w:p>
        </w:tc>
        <w:tc>
          <w:tcPr>
            <w:tcW w:w="7310" w:type="dxa"/>
            <w:gridSpan w:val="4"/>
            <w:vMerge w:val="restart"/>
            <w:noWrap w:val="0"/>
            <w:vAlign w:val="center"/>
          </w:tcPr>
          <w:p w14:paraId="73709E96">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具体内容详见磋商须知前附表2</w:t>
            </w:r>
          </w:p>
        </w:tc>
      </w:tr>
      <w:tr w14:paraId="1BCF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continue"/>
            <w:noWrap w:val="0"/>
            <w:vAlign w:val="top"/>
          </w:tcPr>
          <w:p w14:paraId="61AEAA20">
            <w:pPr>
              <w:spacing w:line="400" w:lineRule="exact"/>
              <w:jc w:val="center"/>
              <w:rPr>
                <w:rFonts w:hint="eastAsia" w:ascii="宋体" w:hAnsi="宋体" w:eastAsia="宋体" w:cs="宋体"/>
                <w:sz w:val="28"/>
                <w:szCs w:val="28"/>
                <w:highlight w:val="none"/>
              </w:rPr>
            </w:pPr>
          </w:p>
        </w:tc>
        <w:tc>
          <w:tcPr>
            <w:tcW w:w="1478" w:type="dxa"/>
            <w:noWrap w:val="0"/>
            <w:vAlign w:val="center"/>
          </w:tcPr>
          <w:p w14:paraId="5D918AA7">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符合性检查</w:t>
            </w:r>
          </w:p>
        </w:tc>
        <w:tc>
          <w:tcPr>
            <w:tcW w:w="7310" w:type="dxa"/>
            <w:gridSpan w:val="4"/>
            <w:vMerge w:val="continue"/>
            <w:noWrap w:val="0"/>
            <w:vAlign w:val="center"/>
          </w:tcPr>
          <w:p w14:paraId="364C87A4">
            <w:pPr>
              <w:spacing w:line="400" w:lineRule="exact"/>
              <w:jc w:val="left"/>
              <w:rPr>
                <w:rFonts w:hint="eastAsia" w:ascii="宋体" w:hAnsi="宋体" w:eastAsia="宋体" w:cs="宋体"/>
                <w:sz w:val="28"/>
                <w:szCs w:val="28"/>
                <w:highlight w:val="none"/>
              </w:rPr>
            </w:pPr>
          </w:p>
        </w:tc>
      </w:tr>
      <w:tr w14:paraId="7A82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2680" w:type="dxa"/>
            <w:gridSpan w:val="2"/>
            <w:noWrap w:val="0"/>
            <w:vAlign w:val="top"/>
          </w:tcPr>
          <w:p w14:paraId="4DE0FF6B">
            <w:pPr>
              <w:spacing w:line="400" w:lineRule="exact"/>
              <w:ind w:firstLine="689" w:firstLineChars="245"/>
              <w:rPr>
                <w:rFonts w:hint="eastAsia" w:ascii="宋体" w:hAnsi="宋体" w:eastAsia="宋体" w:cs="宋体"/>
                <w:sz w:val="28"/>
                <w:szCs w:val="28"/>
                <w:highlight w:val="none"/>
              </w:rPr>
            </w:pPr>
            <w:r>
              <w:rPr>
                <w:rFonts w:hint="eastAsia" w:ascii="宋体" w:hAnsi="宋体" w:eastAsia="宋体" w:cs="宋体"/>
                <w:b/>
                <w:sz w:val="28"/>
                <w:szCs w:val="28"/>
                <w:highlight w:val="none"/>
              </w:rPr>
              <w:t>评分因素</w:t>
            </w:r>
          </w:p>
        </w:tc>
        <w:tc>
          <w:tcPr>
            <w:tcW w:w="1431" w:type="dxa"/>
            <w:noWrap w:val="0"/>
            <w:vAlign w:val="center"/>
          </w:tcPr>
          <w:p w14:paraId="32ABB6C8">
            <w:pPr>
              <w:spacing w:line="400" w:lineRule="exact"/>
              <w:jc w:val="center"/>
              <w:rPr>
                <w:rFonts w:hint="eastAsia" w:ascii="宋体" w:hAnsi="宋体" w:eastAsia="宋体" w:cs="宋体"/>
                <w:sz w:val="28"/>
                <w:szCs w:val="28"/>
                <w:highlight w:val="none"/>
              </w:rPr>
            </w:pPr>
            <w:r>
              <w:rPr>
                <w:rFonts w:hint="eastAsia" w:ascii="宋体" w:hAnsi="宋体" w:eastAsia="宋体" w:cs="宋体"/>
                <w:b/>
                <w:sz w:val="28"/>
                <w:szCs w:val="28"/>
                <w:highlight w:val="none"/>
              </w:rPr>
              <w:t>评分点</w:t>
            </w:r>
          </w:p>
        </w:tc>
        <w:tc>
          <w:tcPr>
            <w:tcW w:w="4367" w:type="dxa"/>
            <w:noWrap w:val="0"/>
            <w:vAlign w:val="center"/>
          </w:tcPr>
          <w:p w14:paraId="71DB87C2">
            <w:pPr>
              <w:spacing w:line="400" w:lineRule="exact"/>
              <w:jc w:val="center"/>
              <w:rPr>
                <w:rFonts w:hint="eastAsia" w:ascii="宋体" w:hAnsi="宋体" w:eastAsia="宋体" w:cs="宋体"/>
                <w:sz w:val="28"/>
                <w:szCs w:val="28"/>
                <w:highlight w:val="none"/>
              </w:rPr>
            </w:pPr>
            <w:r>
              <w:rPr>
                <w:rFonts w:hint="eastAsia" w:ascii="宋体" w:hAnsi="宋体" w:eastAsia="宋体" w:cs="宋体"/>
                <w:b/>
                <w:sz w:val="28"/>
                <w:szCs w:val="28"/>
                <w:highlight w:val="none"/>
              </w:rPr>
              <w:t>评分标准</w:t>
            </w:r>
          </w:p>
        </w:tc>
        <w:tc>
          <w:tcPr>
            <w:tcW w:w="1512" w:type="dxa"/>
            <w:gridSpan w:val="2"/>
            <w:noWrap w:val="0"/>
            <w:vAlign w:val="top"/>
          </w:tcPr>
          <w:p w14:paraId="7A19D139">
            <w:pPr>
              <w:spacing w:line="400" w:lineRule="exact"/>
              <w:rPr>
                <w:rFonts w:hint="eastAsia" w:ascii="宋体" w:hAnsi="宋体" w:eastAsia="宋体" w:cs="宋体"/>
                <w:sz w:val="28"/>
                <w:szCs w:val="28"/>
                <w:highlight w:val="none"/>
              </w:rPr>
            </w:pPr>
            <w:r>
              <w:rPr>
                <w:rFonts w:hint="eastAsia" w:ascii="宋体" w:hAnsi="宋体" w:eastAsia="宋体" w:cs="宋体"/>
                <w:b/>
                <w:sz w:val="28"/>
                <w:szCs w:val="28"/>
                <w:highlight w:val="none"/>
              </w:rPr>
              <w:t>权重分配</w:t>
            </w:r>
          </w:p>
        </w:tc>
      </w:tr>
      <w:tr w14:paraId="7E28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40" w:hRule="atLeast"/>
          <w:jc w:val="center"/>
        </w:trPr>
        <w:tc>
          <w:tcPr>
            <w:tcW w:w="1202" w:type="dxa"/>
            <w:vMerge w:val="restart"/>
            <w:noWrap w:val="0"/>
            <w:vAlign w:val="center"/>
          </w:tcPr>
          <w:p w14:paraId="2C70C426">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详细评审</w:t>
            </w:r>
          </w:p>
        </w:tc>
        <w:tc>
          <w:tcPr>
            <w:tcW w:w="1478" w:type="dxa"/>
            <w:noWrap w:val="0"/>
            <w:vAlign w:val="center"/>
          </w:tcPr>
          <w:p w14:paraId="075F223E">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报价评审</w:t>
            </w:r>
          </w:p>
          <w:p w14:paraId="4272B5A7">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30</w:t>
            </w:r>
            <w:r>
              <w:rPr>
                <w:rFonts w:hint="eastAsia" w:ascii="宋体" w:hAnsi="宋体" w:eastAsia="宋体" w:cs="宋体"/>
                <w:sz w:val="28"/>
                <w:szCs w:val="28"/>
                <w:highlight w:val="none"/>
              </w:rPr>
              <w:t>分）</w:t>
            </w:r>
          </w:p>
        </w:tc>
        <w:tc>
          <w:tcPr>
            <w:tcW w:w="1431" w:type="dxa"/>
            <w:noWrap w:val="0"/>
            <w:vAlign w:val="center"/>
          </w:tcPr>
          <w:p w14:paraId="6BB86AC2">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投标报价</w:t>
            </w:r>
          </w:p>
        </w:tc>
        <w:tc>
          <w:tcPr>
            <w:tcW w:w="4367" w:type="dxa"/>
            <w:noWrap w:val="0"/>
            <w:vAlign w:val="center"/>
          </w:tcPr>
          <w:p w14:paraId="33FE3B3D">
            <w:pPr>
              <w:spacing w:line="400" w:lineRule="exact"/>
              <w:rPr>
                <w:rFonts w:hint="eastAsia" w:ascii="宋体" w:hAnsi="宋体" w:eastAsia="宋体" w:cs="宋体"/>
                <w:sz w:val="28"/>
                <w:szCs w:val="28"/>
                <w:highlight w:val="none"/>
              </w:rPr>
            </w:pPr>
            <w:r>
              <w:rPr>
                <w:rFonts w:hint="eastAsia" w:ascii="宋体" w:hAnsi="宋体" w:eastAsia="宋体" w:cs="宋体"/>
                <w:bCs/>
                <w:sz w:val="28"/>
                <w:szCs w:val="28"/>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磋商基准价／最后磋商报价)×价格权值×100。</w:t>
            </w:r>
          </w:p>
        </w:tc>
        <w:tc>
          <w:tcPr>
            <w:tcW w:w="1512" w:type="dxa"/>
            <w:gridSpan w:val="2"/>
            <w:noWrap w:val="0"/>
            <w:vAlign w:val="top"/>
          </w:tcPr>
          <w:p w14:paraId="6E0A5DA5">
            <w:pPr>
              <w:spacing w:line="400" w:lineRule="exact"/>
              <w:jc w:val="center"/>
              <w:rPr>
                <w:rFonts w:hint="eastAsia" w:ascii="宋体" w:hAnsi="宋体" w:eastAsia="宋体" w:cs="宋体"/>
                <w:sz w:val="28"/>
                <w:szCs w:val="28"/>
                <w:highlight w:val="none"/>
              </w:rPr>
            </w:pPr>
          </w:p>
          <w:p w14:paraId="5582F357">
            <w:pPr>
              <w:pStyle w:val="14"/>
              <w:spacing w:line="400" w:lineRule="exact"/>
              <w:rPr>
                <w:rFonts w:hint="eastAsia" w:ascii="宋体" w:hAnsi="宋体" w:eastAsia="宋体" w:cs="宋体"/>
                <w:sz w:val="28"/>
                <w:szCs w:val="28"/>
                <w:highlight w:val="none"/>
              </w:rPr>
            </w:pPr>
          </w:p>
          <w:p w14:paraId="79DD1625">
            <w:pPr>
              <w:pStyle w:val="14"/>
              <w:spacing w:line="400" w:lineRule="exact"/>
              <w:ind w:left="0" w:leftChars="0" w:firstLine="0" w:firstLineChars="0"/>
              <w:jc w:val="center"/>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30</w:t>
            </w:r>
            <w:r>
              <w:rPr>
                <w:rFonts w:hint="eastAsia" w:ascii="宋体" w:hAnsi="宋体" w:eastAsia="宋体" w:cs="宋体"/>
                <w:sz w:val="28"/>
                <w:szCs w:val="28"/>
                <w:highlight w:val="none"/>
              </w:rPr>
              <w:t>%</w:t>
            </w:r>
          </w:p>
        </w:tc>
      </w:tr>
      <w:tr w14:paraId="139C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2" w:hRule="atLeast"/>
          <w:jc w:val="center"/>
        </w:trPr>
        <w:tc>
          <w:tcPr>
            <w:tcW w:w="1202" w:type="dxa"/>
            <w:vMerge w:val="continue"/>
            <w:noWrap w:val="0"/>
            <w:vAlign w:val="top"/>
          </w:tcPr>
          <w:p w14:paraId="7A1FA2A5">
            <w:pPr>
              <w:spacing w:line="400" w:lineRule="exact"/>
              <w:jc w:val="center"/>
              <w:rPr>
                <w:rFonts w:hint="eastAsia" w:ascii="宋体" w:hAnsi="宋体" w:eastAsia="宋体" w:cs="宋体"/>
                <w:sz w:val="28"/>
                <w:szCs w:val="28"/>
                <w:highlight w:val="none"/>
              </w:rPr>
            </w:pPr>
          </w:p>
        </w:tc>
        <w:tc>
          <w:tcPr>
            <w:tcW w:w="1478" w:type="dxa"/>
            <w:noWrap w:val="0"/>
            <w:vAlign w:val="center"/>
          </w:tcPr>
          <w:p w14:paraId="4DEEFF3D">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技术</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商务</w:t>
            </w:r>
            <w:r>
              <w:rPr>
                <w:rFonts w:hint="eastAsia" w:ascii="宋体" w:hAnsi="宋体" w:eastAsia="宋体" w:cs="宋体"/>
                <w:sz w:val="28"/>
                <w:szCs w:val="28"/>
                <w:highlight w:val="none"/>
                <w:lang w:eastAsia="zh-CN"/>
              </w:rPr>
              <w:t>部分</w:t>
            </w:r>
            <w:r>
              <w:rPr>
                <w:rFonts w:hint="eastAsia" w:ascii="宋体" w:hAnsi="宋体" w:eastAsia="宋体" w:cs="宋体"/>
                <w:sz w:val="28"/>
                <w:szCs w:val="28"/>
                <w:highlight w:val="none"/>
              </w:rPr>
              <w:t>评审</w:t>
            </w:r>
          </w:p>
          <w:p w14:paraId="5AA981CA">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70</w:t>
            </w:r>
            <w:r>
              <w:rPr>
                <w:rFonts w:hint="eastAsia" w:ascii="宋体" w:hAnsi="宋体" w:eastAsia="宋体" w:cs="宋体"/>
                <w:sz w:val="28"/>
                <w:szCs w:val="28"/>
                <w:highlight w:val="none"/>
              </w:rPr>
              <w:t>）分</w:t>
            </w:r>
          </w:p>
        </w:tc>
        <w:tc>
          <w:tcPr>
            <w:tcW w:w="1431" w:type="dxa"/>
            <w:noWrap w:val="0"/>
            <w:vAlign w:val="center"/>
          </w:tcPr>
          <w:p w14:paraId="124DCD84">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技术标</w:t>
            </w:r>
          </w:p>
        </w:tc>
        <w:tc>
          <w:tcPr>
            <w:tcW w:w="4367" w:type="dxa"/>
            <w:noWrap w:val="0"/>
            <w:vAlign w:val="center"/>
          </w:tcPr>
          <w:p w14:paraId="6EFB0D3C">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详见技术标评审标准</w:t>
            </w:r>
          </w:p>
        </w:tc>
        <w:tc>
          <w:tcPr>
            <w:tcW w:w="1512" w:type="dxa"/>
            <w:gridSpan w:val="2"/>
            <w:noWrap w:val="0"/>
            <w:vAlign w:val="center"/>
          </w:tcPr>
          <w:p w14:paraId="48D4885F">
            <w:pPr>
              <w:spacing w:line="400" w:lineRule="exact"/>
              <w:jc w:val="center"/>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70</w:t>
            </w:r>
            <w:r>
              <w:rPr>
                <w:rFonts w:hint="eastAsia" w:ascii="宋体" w:hAnsi="宋体" w:eastAsia="宋体" w:cs="宋体"/>
                <w:sz w:val="28"/>
                <w:szCs w:val="28"/>
                <w:highlight w:val="none"/>
              </w:rPr>
              <w:t>%</w:t>
            </w:r>
          </w:p>
        </w:tc>
      </w:tr>
      <w:tr w14:paraId="36F7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680" w:type="dxa"/>
            <w:gridSpan w:val="2"/>
            <w:noWrap w:val="0"/>
            <w:vAlign w:val="top"/>
          </w:tcPr>
          <w:p w14:paraId="483157D2">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合计</w:t>
            </w:r>
          </w:p>
        </w:tc>
        <w:tc>
          <w:tcPr>
            <w:tcW w:w="5798" w:type="dxa"/>
            <w:gridSpan w:val="2"/>
            <w:noWrap w:val="0"/>
            <w:vAlign w:val="center"/>
          </w:tcPr>
          <w:p w14:paraId="4D97722D">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100分</w:t>
            </w:r>
          </w:p>
        </w:tc>
        <w:tc>
          <w:tcPr>
            <w:tcW w:w="1512" w:type="dxa"/>
            <w:gridSpan w:val="2"/>
            <w:noWrap w:val="0"/>
            <w:vAlign w:val="top"/>
          </w:tcPr>
          <w:p w14:paraId="6E89E06C">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100%</w:t>
            </w:r>
          </w:p>
        </w:tc>
      </w:tr>
      <w:tr w14:paraId="643E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6"/>
            <w:noWrap w:val="0"/>
            <w:vAlign w:val="top"/>
          </w:tcPr>
          <w:p w14:paraId="47690456">
            <w:pPr>
              <w:spacing w:line="400" w:lineRule="exact"/>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注</w:t>
            </w:r>
            <w:r>
              <w:rPr>
                <w:rFonts w:hint="eastAsia" w:ascii="宋体" w:hAnsi="宋体" w:eastAsia="宋体" w:cs="宋体"/>
                <w:sz w:val="28"/>
                <w:szCs w:val="28"/>
                <w:highlight w:val="none"/>
              </w:rPr>
              <w:t>： 1、计算过程中，算术平均值保留2位小数（百分比亦取2位小数），第三位小数四舍五入。</w:t>
            </w:r>
          </w:p>
          <w:p w14:paraId="11E18501">
            <w:pPr>
              <w:spacing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的最终得分为：所有评委对其评分的算术平均值。</w:t>
            </w:r>
          </w:p>
        </w:tc>
      </w:tr>
      <w:bookmarkEnd w:id="55"/>
    </w:tbl>
    <w:p w14:paraId="68BA39B1">
      <w:pPr>
        <w:widowControl/>
        <w:adjustRightInd w:val="0"/>
        <w:snapToGrid w:val="0"/>
        <w:spacing w:line="360" w:lineRule="auto"/>
        <w:rPr>
          <w:rFonts w:hint="eastAsia" w:ascii="宋体" w:hAnsi="宋体" w:eastAsia="宋体" w:cs="宋体"/>
          <w:b/>
          <w:bCs/>
          <w:sz w:val="28"/>
          <w:szCs w:val="28"/>
          <w:highlight w:val="none"/>
        </w:rPr>
      </w:pPr>
    </w:p>
    <w:p w14:paraId="56C513C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政府采购政策功能落实： </w:t>
      </w:r>
    </w:p>
    <w:p w14:paraId="199FA4A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1、小微型企业价格扣除 </w:t>
      </w:r>
    </w:p>
    <w:p w14:paraId="597CDB8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（1）本项目对小型和微型企业给予/%的扣除价格，用扣除后的价格参与评审。</w:t>
      </w:r>
    </w:p>
    <w:p w14:paraId="079E099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（2）供应商需按照《政府采购促进中小企业发展管理办法》（财库﹝2020﹞46 号）的规定提供相应的《中小企业声明函》。 </w:t>
      </w:r>
    </w:p>
    <w:p w14:paraId="3F8E844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（3）企业标准请参照《关于印发中小企业划型标准规定的通知》（工信部联企业[2011]300 号）文件规定自行填写。 </w:t>
      </w:r>
    </w:p>
    <w:p w14:paraId="2FEB3E6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2、残疾人福利单位价格扣除 </w:t>
      </w:r>
    </w:p>
    <w:p w14:paraId="220C6AD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（1）本项目对残疾人福利性单位，给予/%的价格扣除，用扣除后的价格参与评审。</w:t>
      </w:r>
    </w:p>
    <w:p w14:paraId="0B7DD94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（2）残疾人福利单位需按照采购文件的要求提供《残疾人福利性单位声明函》。 </w:t>
      </w:r>
    </w:p>
    <w:p w14:paraId="6FDE7D5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（3）残疾人福利单位标准请参照《关于促进残疾人就业政府采购政策的通知》（财库〔2017〕141 号）。 </w:t>
      </w:r>
    </w:p>
    <w:p w14:paraId="6111A34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3、监狱和戒毒企业价格扣除 </w:t>
      </w:r>
    </w:p>
    <w:p w14:paraId="7587BF2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（1）本项目对监狱和戒毒企业（简称监狱企业）给予/%的价格扣除，用扣除后的价格参与评审。 </w:t>
      </w:r>
    </w:p>
    <w:p w14:paraId="47B1879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（2）监狱企业参加政府采购活动时，需提供由省级以上监狱管理局、戒毒管理局(含新疆生产建设兵团)出具的属于监狱企业的证明文件。供应商如不提供上述证明文件，价格将不做相应扣除。 </w:t>
      </w:r>
    </w:p>
    <w:p w14:paraId="2034662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（3）监狱企业标准请参照《关于政府采购支持监狱企业发展有关问题的通知》（财库[2014]68号）。 </w:t>
      </w:r>
    </w:p>
    <w:p w14:paraId="6AC5249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4、残疾人福利单位、监狱企业属于小型、微型企业的，不重复享受政策。 </w:t>
      </w:r>
    </w:p>
    <w:p w14:paraId="7DD9419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5、接受大中型企业与小微企业（残疾人福利单位、监狱企业）组成联合体或者允许大中型企业向一家或者多家小微企业（残疾人福利单位、监狱企业）分包的采购项目，对于联合协议或者分包意向协议约定小微企业的合同份额占到合同总金额 30%以上的，采购人、采购代理机构应当对联合体或者大中型企业的报价给予 4%~6%（工程项目为 1%~2%）的扣除，用扣除后的价格参加评审。</w:t>
      </w:r>
    </w:p>
    <w:p w14:paraId="7E9E157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6、联合体各方均为小型、微型企业（残疾人福利单位、监狱企业）的，联合体享受上述同类价格扣除，用扣除后的价格参与评审。 </w:t>
      </w:r>
    </w:p>
    <w:p w14:paraId="7E60A25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 xml:space="preserve">专门面向中小企业采购的项目或者采购包，不再执行价格评审优惠的扶持政策。 </w:t>
      </w:r>
    </w:p>
    <w:p w14:paraId="5AF523F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34.磋商成交原则 </w:t>
      </w:r>
    </w:p>
    <w:p w14:paraId="4DD94985">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34.1 磋商小组依据磋商须知前附表规定的评审方法和标准，按照排序确定出前三名作为成交候选人推荐给采购人。 </w:t>
      </w:r>
    </w:p>
    <w:p w14:paraId="6499096F">
      <w:pPr>
        <w:keepNext w:val="0"/>
        <w:keepLines w:val="0"/>
        <w:widowControl/>
        <w:suppressLineNumbers w:val="0"/>
        <w:ind w:firstLine="280" w:firstLineChars="1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34.2 采购代理机构应当在评审结束后 2 个工作日内将评审报告送采购人。采购人应当自收到评审报告之日起</w:t>
      </w:r>
      <w:r>
        <w:rPr>
          <w:rFonts w:hint="eastAsia" w:ascii="宋体" w:hAnsi="宋体" w:cs="宋体"/>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 xml:space="preserve">个工作日内，在评审报告确定的成交候选人名单中按顺序确定成交单位。 </w:t>
      </w:r>
    </w:p>
    <w:p w14:paraId="0883386E">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35. 评审过程的纪律和保密事项 </w:t>
      </w:r>
    </w:p>
    <w:p w14:paraId="0F9B054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35.1 凡属于对响应文件的审查、澄清、评价和比较有关的资料、成交候选人的推荐情况以及与评审有关的其他任何情况，磋商小组成员和与评审活动有关的工作人员不得对任何单位和个人透露。 </w:t>
      </w:r>
    </w:p>
    <w:p w14:paraId="66668007">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35.2 在响应文件的评审和比较、成交候选人推荐以及授予合同的过程中，供应商向采购人或者磋商小组施加影响的任何行为，都将会导致其响应被拒绝。 </w:t>
      </w:r>
    </w:p>
    <w:p w14:paraId="37C286C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35.3 成交单位确定后，采购人不对未成交单位就评审过程以及未能成交原因做出任何解释。未成交单位不得向磋商小组组成人员或者其他有关人员索问评审过程的情况和材料。 </w:t>
      </w:r>
    </w:p>
    <w:p w14:paraId="4680A09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35.4 供应商不得与采购人、采购采购代理机构、其他供应商恶意串通；不得向采购人、采购采购代理机构或者磋商小组成员行贿或者提供其他不正当利益；不得提供虚假材料谋取成交；不得以任何方式干扰、影响采购工作。 </w:t>
      </w:r>
    </w:p>
    <w:p w14:paraId="2B953893">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35.5 有下列情形之一的，属于恶意串通，成交无效，并依照《政府采购法》第七十七条的规定追究法律责任： </w:t>
      </w:r>
    </w:p>
    <w:p w14:paraId="168C774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（1）供应商直接或者间接从采购人、采购采购代理机构获得其他供应商的磋商情况，并修改其响应文件的； </w:t>
      </w:r>
    </w:p>
    <w:p w14:paraId="180919E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（2）采购人、采购采购代理机构授意供应商撤换、修改响应文件的； </w:t>
      </w:r>
    </w:p>
    <w:p w14:paraId="7BF365C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（3）供应商之间协商技术方案、合同条款以及报价等响应文件实质性内容的； </w:t>
      </w:r>
    </w:p>
    <w:p w14:paraId="401000D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（4）属于同一集团、协会、商会等组织成员的供应商按照该组织要求协同参加政府采购活动的； </w:t>
      </w:r>
    </w:p>
    <w:p w14:paraId="7737B68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（5）供应商之间事先约定由某一特定供应商成交的； </w:t>
      </w:r>
    </w:p>
    <w:p w14:paraId="6E1463A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（6）供应商之间商定部分供应商放弃提交响应文件或者退出采购或者放弃成交的； </w:t>
      </w:r>
    </w:p>
    <w:p w14:paraId="6F14D32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（7）供应商与采购人、采购采购代理机构以及磋商小组成员之间、供应商相互之间，为谋求特定供应商成交或者排斥其他供应商的其他串通行为的；</w:t>
      </w:r>
    </w:p>
    <w:p w14:paraId="47E60F2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（8）法律、行政法规或规章规定的其他串通行为。 </w:t>
      </w:r>
    </w:p>
    <w:p w14:paraId="50623303">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（七） 授予合同</w:t>
      </w:r>
    </w:p>
    <w:p w14:paraId="326580E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36. 确定成交单位 </w:t>
      </w:r>
    </w:p>
    <w:p w14:paraId="0D00064D">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36.1 成交的标准 </w:t>
      </w:r>
    </w:p>
    <w:p w14:paraId="35BF1037">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36.1.1 响应文件对磋商文件做出了实质性响应； </w:t>
      </w:r>
    </w:p>
    <w:p w14:paraId="20B38D4D">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36.1.2 具有良好的履行合同的能力和条件； </w:t>
      </w:r>
    </w:p>
    <w:p w14:paraId="7E72E819">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36.1.3 能够最大限度满足磋商文件的各项要求； </w:t>
      </w:r>
    </w:p>
    <w:p w14:paraId="2DA2D7ED">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36.2 采购人将确定资格合格的成交候选人为成交单位。 </w:t>
      </w:r>
    </w:p>
    <w:p w14:paraId="2570501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37. 授予合同的准则 </w:t>
      </w:r>
    </w:p>
    <w:p w14:paraId="6FE6A5B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37.1 采购人将把合同授予经采购人确认的成交单位。 </w:t>
      </w:r>
    </w:p>
    <w:p w14:paraId="4EE8000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38. 成交通知书 </w:t>
      </w:r>
    </w:p>
    <w:p w14:paraId="063A6201">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38.1 采购人依据磋商小组推荐的成交候选人确定成交单位后，将在原采购公告媒体发布《中标结果公告》，公示期 1 个工作日，同时向成交单位发出《中标通知书》。 </w:t>
      </w:r>
    </w:p>
    <w:p w14:paraId="3CCCCDE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38.2 中标通知书对中标单位具有法律约束力。中标通知书发出后，采购人不得违法改变成交结果，中标单位无正当理由不得放弃成交。 </w:t>
      </w:r>
    </w:p>
    <w:p w14:paraId="37D8ECD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39. 合同的签订 </w:t>
      </w:r>
    </w:p>
    <w:p w14:paraId="3B85AFC4">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39.1 采购人应当自成交通知书发出之日起 30 日内，按照磋商文件和成交单位响应文件的规定，与中标单位签订书面合同。所签订的合同不得对磋商文件确定的事项和成交单位响应文件作实质性修改。 </w:t>
      </w:r>
    </w:p>
    <w:p w14:paraId="565C1259">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39.2 磋商文件要求成交单位提交履约保证金或者其他形式履约担保的，成交单位应当提交履约担保；拒绝提交的履约担保的，视为放弃成交。 </w:t>
      </w:r>
    </w:p>
    <w:p w14:paraId="0DD2C40D">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39.3 磋商文件和成交单位的响应文件均是该书面合同的附件。 </w:t>
      </w:r>
    </w:p>
    <w:p w14:paraId="77039A4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39.4 成交单位因不可抗力或自身原因不能履行采购合同的，采购人可以与排位在成交单位之后第一位的成交候选人签订采购合同，以此类推；或采购人重新组织采购。 </w:t>
      </w:r>
    </w:p>
    <w:p w14:paraId="22F5BF9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39.5 政府采购项目的采购合同自签订之日起七个工作日内，采购人应当将合同副本报同级政府监督管理部门和有关部门备案。 </w:t>
      </w:r>
    </w:p>
    <w:p w14:paraId="34966DAC">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39.6 成交单位有下列情形之一的，责令限期改正，情节严重的，列入不良行为记录名单，在 1 至 3 年内禁止参加政府采购活动，并予以通报： </w:t>
      </w:r>
    </w:p>
    <w:p w14:paraId="55A598B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（一）成交后无正当理由不与采购人签订合同的； </w:t>
      </w:r>
    </w:p>
    <w:p w14:paraId="75C10BB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（二）未按照磋商文件确定的事项签订政府采购合同，或者与采购人另行订立背离合同实质性内容的协议的； </w:t>
      </w:r>
    </w:p>
    <w:p w14:paraId="38B695F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（三）拒绝履行合同义务的；</w:t>
      </w:r>
    </w:p>
    <w:p w14:paraId="5A637653">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（四）违反法律、规章、规范性文件规定的。 </w:t>
      </w:r>
    </w:p>
    <w:p w14:paraId="0F197DF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40.质疑与投诉 </w:t>
      </w:r>
    </w:p>
    <w:p w14:paraId="63A295C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40.1 质疑与投诉 </w:t>
      </w:r>
    </w:p>
    <w:p w14:paraId="6E44121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1、供应商认为磋商文件、采购过程、成交结果使自己的权益受到损害的，可以在知道或者应知其权益受到损害之日起 7 个工作日内，向采购人、采购代理机构提出质疑。供应商须在法定质疑期内一次性提出针对同一采购程序环节的质疑。 </w:t>
      </w:r>
    </w:p>
    <w:p w14:paraId="08DCEEFA">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2、质疑函的必备内容 </w:t>
      </w:r>
    </w:p>
    <w:p w14:paraId="6B4D1CA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（1）供应商提交的质疑函必须注明单位名称、地址、邮编、可供查询的单位和法定代表人的电话号码、联系人电话； </w:t>
      </w:r>
    </w:p>
    <w:p w14:paraId="76CAF9A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（2）质疑项目的名称、编号； </w:t>
      </w:r>
    </w:p>
    <w:p w14:paraId="13F7762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（3）具体质疑事项和与质疑事项相关的请求； </w:t>
      </w:r>
    </w:p>
    <w:p w14:paraId="40BE5DCA">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（4）事实依据； </w:t>
      </w:r>
    </w:p>
    <w:p w14:paraId="49964AE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（5）提起质疑的日期； </w:t>
      </w:r>
    </w:p>
    <w:p w14:paraId="7245062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（6）质疑函须加盖单位公章，由法定代表人签章； </w:t>
      </w:r>
    </w:p>
    <w:p w14:paraId="3E3CD30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7）委托代理人递交质疑函的，还须提交委托质疑事项的授权委托书（附法定代表人和被授权人的身份证正反面），加盖单位公章和法定代表人印章、法定代表人签字和被授权人签字并预留法定代表人联系电话和被授权人电话，同时出示被授权人身份证。 </w:t>
      </w:r>
    </w:p>
    <w:p w14:paraId="5EE6365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3、质疑应符合下列条件： </w:t>
      </w:r>
    </w:p>
    <w:p w14:paraId="6CBF841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⑴质疑人是参与所质疑项目的采购活动的供应商； </w:t>
      </w:r>
    </w:p>
    <w:p w14:paraId="598D2C77">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⑵质疑函内容符合相关的规定； </w:t>
      </w:r>
    </w:p>
    <w:p w14:paraId="52D09EA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⑶在规定的有效期限内提起质疑； </w:t>
      </w:r>
    </w:p>
    <w:p w14:paraId="0C9D7C0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⑷采购监管部门规定的其他条件。 </w:t>
      </w:r>
    </w:p>
    <w:p w14:paraId="4860FDD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4、采购人在收到供应商的书面质疑后七个工作日内作出答复，并以书面形式通知质疑供应商和其他有关供应商，但答复的内容不涉及商业秘密。 </w:t>
      </w:r>
    </w:p>
    <w:p w14:paraId="6F1D055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提出质疑的供应商对答复不满意的，可以在答复期满后十五个工作日内向同级政府监督管理部门投诉。政府采购监督管理部门应当在收到投诉三十个工作日内，对投诉事项作出处理决定，并以书面形式通知投诉人和与投诉事项相关的当事人。 </w:t>
      </w:r>
    </w:p>
    <w:p w14:paraId="14E9FD6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41. 履约担保 </w:t>
      </w:r>
    </w:p>
    <w:p w14:paraId="2872D7E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41.1 成交单位须在与采购人签署合同前按磋商文件有关要求提交履约担保。履约担保有关要求：详见前附表</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 </w:t>
      </w:r>
    </w:p>
    <w:p w14:paraId="5F99BCC9">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41.2 如成交单位不能按照磋商须知第 39 条的规定执行，采购人将视为成交单位放弃成交项目；已经订立合同的，采购人有充分理由解除合同，给采购人造成损失的，放弃成交项目的成交单位应当赔偿。 </w:t>
      </w:r>
    </w:p>
    <w:p w14:paraId="5F2EE3D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42.招标代理服务费 </w:t>
      </w:r>
    </w:p>
    <w:p w14:paraId="0494187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42.1 本项目招标代理服务费，按计价格[2002]1980 号文和发改价格[2011]534 号文计取，此费用约定由成交供应商于领取成交通知书时一次性向代理机构缴纳。 </w:t>
      </w:r>
    </w:p>
    <w:p w14:paraId="151905A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43. 其他 </w:t>
      </w:r>
    </w:p>
    <w:p w14:paraId="527337C7">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未尽事宜将依照《中华人民共和国政府采购法》及相关法规执行。</w:t>
      </w:r>
    </w:p>
    <w:p w14:paraId="6315E533">
      <w:pPr>
        <w:keepNext w:val="0"/>
        <w:keepLines w:val="0"/>
        <w:widowControl/>
        <w:suppressLineNumbers w:val="0"/>
        <w:jc w:val="center"/>
        <w:rPr>
          <w:rFonts w:ascii="楷体" w:hAnsi="楷体" w:eastAsia="楷体" w:cs="楷体"/>
          <w:b/>
          <w:bCs/>
          <w:color w:val="000000"/>
          <w:kern w:val="0"/>
          <w:sz w:val="20"/>
          <w:szCs w:val="20"/>
          <w:lang w:val="en-US" w:eastAsia="zh-CN" w:bidi="ar"/>
        </w:rPr>
      </w:pPr>
    </w:p>
    <w:p w14:paraId="482408A1">
      <w:pPr>
        <w:keepNext w:val="0"/>
        <w:keepLines w:val="0"/>
        <w:widowControl/>
        <w:suppressLineNumbers w:val="0"/>
        <w:jc w:val="center"/>
        <w:rPr>
          <w:rFonts w:ascii="楷体" w:hAnsi="楷体" w:eastAsia="楷体" w:cs="楷体"/>
          <w:b/>
          <w:bCs/>
          <w:color w:val="000000"/>
          <w:kern w:val="0"/>
          <w:sz w:val="20"/>
          <w:szCs w:val="20"/>
          <w:lang w:val="en-US" w:eastAsia="zh-CN" w:bidi="ar"/>
        </w:rPr>
      </w:pPr>
    </w:p>
    <w:p w14:paraId="42463B55">
      <w:pPr>
        <w:pStyle w:val="2"/>
        <w:rPr>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570A05C6">
      <w:pPr>
        <w:keepNext w:val="0"/>
        <w:keepLines w:val="0"/>
        <w:pageBreakBefore w:val="0"/>
        <w:tabs>
          <w:tab w:val="left" w:pos="900"/>
        </w:tabs>
        <w:kinsoku/>
        <w:wordWrap/>
        <w:overflowPunct/>
        <w:topLinePunct w:val="0"/>
        <w:autoSpaceDE/>
        <w:autoSpaceDN/>
        <w:bidi w:val="0"/>
        <w:adjustRightInd/>
        <w:snapToGrid/>
        <w:spacing w:before="240" w:beforeLines="0" w:after="240" w:afterLines="0" w:line="300" w:lineRule="exact"/>
        <w:jc w:val="center"/>
        <w:textAlignment w:val="auto"/>
        <w:rPr>
          <w:rFonts w:hint="eastAsia" w:ascii="宋体" w:hAnsi="宋体" w:eastAsia="宋体" w:cs="宋体"/>
          <w:b/>
          <w:sz w:val="28"/>
          <w:szCs w:val="28"/>
          <w:highlight w:val="none"/>
        </w:rPr>
      </w:pPr>
      <w:r>
        <w:rPr>
          <w:rFonts w:hint="eastAsia" w:ascii="宋体" w:hAnsi="宋体" w:eastAsia="宋体" w:cs="宋体"/>
          <w:sz w:val="28"/>
          <w:szCs w:val="28"/>
          <w:highlight w:val="none"/>
        </w:rPr>
        <w:softHyphen/>
      </w:r>
      <w:r>
        <w:rPr>
          <w:rFonts w:hint="eastAsia" w:ascii="宋体" w:hAnsi="宋体" w:eastAsia="宋体" w:cs="宋体"/>
          <w:b/>
          <w:sz w:val="28"/>
          <w:szCs w:val="28"/>
          <w:highlight w:val="none"/>
        </w:rPr>
        <w:t>技术</w:t>
      </w:r>
      <w:r>
        <w:rPr>
          <w:rFonts w:hint="eastAsia" w:ascii="宋体" w:hAnsi="宋体" w:cs="宋体"/>
          <w:b/>
          <w:sz w:val="28"/>
          <w:szCs w:val="28"/>
          <w:highlight w:val="none"/>
          <w:lang w:eastAsia="zh-CN"/>
        </w:rPr>
        <w:t>商务</w:t>
      </w:r>
      <w:r>
        <w:rPr>
          <w:rFonts w:hint="eastAsia" w:ascii="宋体" w:hAnsi="宋体" w:eastAsia="宋体" w:cs="宋体"/>
          <w:b/>
          <w:sz w:val="28"/>
          <w:szCs w:val="28"/>
          <w:highlight w:val="none"/>
        </w:rPr>
        <w:t>标评审标准</w:t>
      </w:r>
    </w:p>
    <w:tbl>
      <w:tblPr>
        <w:tblStyle w:val="21"/>
        <w:tblpPr w:leftFromText="180" w:rightFromText="180" w:vertAnchor="text" w:horzAnchor="page" w:tblpX="839" w:tblpY="113"/>
        <w:tblOverlap w:val="never"/>
        <w:tblW w:w="99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5"/>
        <w:gridCol w:w="1156"/>
        <w:gridCol w:w="7219"/>
        <w:gridCol w:w="647"/>
      </w:tblGrid>
      <w:tr w14:paraId="08A5B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45" w:type="dxa"/>
            <w:vAlign w:val="top"/>
          </w:tcPr>
          <w:p w14:paraId="354A031B">
            <w:pPr>
              <w:widowControl/>
              <w:kinsoku w:val="0"/>
              <w:autoSpaceDE w:val="0"/>
              <w:autoSpaceDN w:val="0"/>
              <w:adjustRightInd w:val="0"/>
              <w:snapToGrid w:val="0"/>
              <w:spacing w:before="245" w:line="203" w:lineRule="auto"/>
              <w:ind w:left="6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
                <w:kern w:val="0"/>
                <w:sz w:val="22"/>
                <w:szCs w:val="22"/>
                <w:lang w:eastAsia="en-US"/>
              </w:rPr>
              <w:t>评分项目</w:t>
            </w:r>
          </w:p>
        </w:tc>
        <w:tc>
          <w:tcPr>
            <w:tcW w:w="1156" w:type="dxa"/>
            <w:vAlign w:val="top"/>
          </w:tcPr>
          <w:p w14:paraId="09026E61">
            <w:pPr>
              <w:widowControl/>
              <w:kinsoku w:val="0"/>
              <w:autoSpaceDE w:val="0"/>
              <w:autoSpaceDN w:val="0"/>
              <w:adjustRightInd w:val="0"/>
              <w:snapToGrid w:val="0"/>
              <w:spacing w:before="243" w:line="206" w:lineRule="auto"/>
              <w:ind w:left="223"/>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
                <w:kern w:val="0"/>
                <w:sz w:val="22"/>
                <w:szCs w:val="22"/>
                <w:lang w:eastAsia="en-US"/>
              </w:rPr>
              <w:t>评分因素</w:t>
            </w:r>
          </w:p>
        </w:tc>
        <w:tc>
          <w:tcPr>
            <w:tcW w:w="7219" w:type="dxa"/>
            <w:vAlign w:val="top"/>
          </w:tcPr>
          <w:p w14:paraId="2845284D">
            <w:pPr>
              <w:widowControl/>
              <w:kinsoku w:val="0"/>
              <w:autoSpaceDE w:val="0"/>
              <w:autoSpaceDN w:val="0"/>
              <w:adjustRightInd w:val="0"/>
              <w:snapToGrid w:val="0"/>
              <w:spacing w:before="245" w:line="204" w:lineRule="auto"/>
              <w:ind w:left="313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
                <w:kern w:val="0"/>
                <w:sz w:val="22"/>
                <w:szCs w:val="22"/>
                <w:lang w:eastAsia="en-US"/>
              </w:rPr>
              <w:t>评审内容</w:t>
            </w:r>
          </w:p>
        </w:tc>
        <w:tc>
          <w:tcPr>
            <w:tcW w:w="647" w:type="dxa"/>
            <w:vAlign w:val="top"/>
          </w:tcPr>
          <w:p w14:paraId="1B015744">
            <w:pPr>
              <w:widowControl/>
              <w:kinsoku w:val="0"/>
              <w:autoSpaceDE w:val="0"/>
              <w:autoSpaceDN w:val="0"/>
              <w:adjustRightInd w:val="0"/>
              <w:snapToGrid w:val="0"/>
              <w:spacing w:before="246" w:line="205" w:lineRule="auto"/>
              <w:ind w:left="10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
                <w:kern w:val="0"/>
                <w:sz w:val="22"/>
                <w:szCs w:val="22"/>
                <w:lang w:eastAsia="en-US"/>
              </w:rPr>
              <w:t>分值</w:t>
            </w:r>
          </w:p>
        </w:tc>
      </w:tr>
      <w:tr w14:paraId="78F9C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1" w:hRule="atLeast"/>
        </w:trPr>
        <w:tc>
          <w:tcPr>
            <w:tcW w:w="945" w:type="dxa"/>
            <w:tcBorders>
              <w:bottom w:val="single" w:color="auto" w:sz="4" w:space="0"/>
            </w:tcBorders>
            <w:vAlign w:val="top"/>
          </w:tcPr>
          <w:p w14:paraId="7D9C0E78">
            <w:pPr>
              <w:kinsoku w:val="0"/>
              <w:autoSpaceDE w:val="0"/>
              <w:autoSpaceDN w:val="0"/>
              <w:adjustRightInd w:val="0"/>
              <w:snapToGrid w:val="0"/>
              <w:spacing w:line="334" w:lineRule="auto"/>
              <w:jc w:val="center"/>
              <w:textAlignment w:val="baseline"/>
              <w:rPr>
                <w:rFonts w:ascii="Arial" w:hAnsi="Arial" w:eastAsia="Arial" w:cs="Arial"/>
                <w:snapToGrid w:val="0"/>
                <w:color w:val="000000"/>
                <w:kern w:val="0"/>
                <w:sz w:val="21"/>
                <w:szCs w:val="21"/>
                <w:lang w:val="en-US" w:eastAsia="en-US" w:bidi="ar-SA"/>
              </w:rPr>
            </w:pPr>
          </w:p>
          <w:p w14:paraId="724DFE4A">
            <w:pPr>
              <w:kinsoku w:val="0"/>
              <w:autoSpaceDE w:val="0"/>
              <w:autoSpaceDN w:val="0"/>
              <w:adjustRightInd w:val="0"/>
              <w:snapToGrid w:val="0"/>
              <w:spacing w:line="335" w:lineRule="auto"/>
              <w:jc w:val="center"/>
              <w:textAlignment w:val="baseline"/>
              <w:rPr>
                <w:rFonts w:ascii="Arial" w:hAnsi="Arial" w:eastAsia="Arial" w:cs="Arial"/>
                <w:snapToGrid w:val="0"/>
                <w:color w:val="000000"/>
                <w:kern w:val="0"/>
                <w:sz w:val="21"/>
                <w:szCs w:val="21"/>
                <w:lang w:val="en-US" w:eastAsia="en-US" w:bidi="ar-SA"/>
              </w:rPr>
            </w:pPr>
          </w:p>
          <w:p w14:paraId="27105A09">
            <w:pPr>
              <w:widowControl/>
              <w:kinsoku w:val="0"/>
              <w:autoSpaceDE w:val="0"/>
              <w:autoSpaceDN w:val="0"/>
              <w:adjustRightInd w:val="0"/>
              <w:snapToGrid w:val="0"/>
              <w:spacing w:before="71" w:line="230" w:lineRule="auto"/>
              <w:ind w:left="70" w:right="53" w:hanging="5"/>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价格部分</w:t>
            </w:r>
            <w:r>
              <w:rPr>
                <w:rFonts w:ascii="宋体" w:hAnsi="宋体" w:eastAsia="宋体" w:cs="宋体"/>
                <w:snapToGrid w:val="0"/>
                <w:color w:val="000000"/>
                <w:kern w:val="0"/>
                <w:sz w:val="22"/>
                <w:szCs w:val="22"/>
                <w:lang w:eastAsia="en-US"/>
              </w:rPr>
              <w:t xml:space="preserve"> </w:t>
            </w:r>
            <w:r>
              <w:rPr>
                <w:rFonts w:ascii="宋体" w:hAnsi="宋体" w:eastAsia="宋体" w:cs="宋体"/>
                <w:snapToGrid w:val="0"/>
                <w:color w:val="000000"/>
                <w:spacing w:val="-5"/>
                <w:kern w:val="0"/>
                <w:sz w:val="22"/>
                <w:szCs w:val="22"/>
                <w:lang w:eastAsia="en-US"/>
              </w:rPr>
              <w:t>（30分）</w:t>
            </w:r>
          </w:p>
        </w:tc>
        <w:tc>
          <w:tcPr>
            <w:tcW w:w="1156" w:type="dxa"/>
            <w:tcBorders>
              <w:bottom w:val="single" w:color="auto" w:sz="4" w:space="0"/>
            </w:tcBorders>
            <w:vAlign w:val="top"/>
          </w:tcPr>
          <w:p w14:paraId="65043D01">
            <w:pPr>
              <w:kinsoku w:val="0"/>
              <w:autoSpaceDE w:val="0"/>
              <w:autoSpaceDN w:val="0"/>
              <w:adjustRightInd w:val="0"/>
              <w:snapToGrid w:val="0"/>
              <w:spacing w:line="269" w:lineRule="auto"/>
              <w:jc w:val="center"/>
              <w:textAlignment w:val="baseline"/>
              <w:rPr>
                <w:rFonts w:ascii="Arial" w:hAnsi="Arial" w:eastAsia="Arial" w:cs="Arial"/>
                <w:snapToGrid w:val="0"/>
                <w:color w:val="000000"/>
                <w:kern w:val="0"/>
                <w:sz w:val="21"/>
                <w:szCs w:val="21"/>
                <w:lang w:val="en-US" w:eastAsia="en-US" w:bidi="ar-SA"/>
              </w:rPr>
            </w:pPr>
          </w:p>
          <w:p w14:paraId="0656C4AB">
            <w:pPr>
              <w:kinsoku w:val="0"/>
              <w:autoSpaceDE w:val="0"/>
              <w:autoSpaceDN w:val="0"/>
              <w:adjustRightInd w:val="0"/>
              <w:snapToGrid w:val="0"/>
              <w:spacing w:line="270" w:lineRule="auto"/>
              <w:jc w:val="center"/>
              <w:textAlignment w:val="baseline"/>
              <w:rPr>
                <w:rFonts w:ascii="Arial" w:hAnsi="Arial" w:eastAsia="Arial" w:cs="Arial"/>
                <w:snapToGrid w:val="0"/>
                <w:color w:val="000000"/>
                <w:kern w:val="0"/>
                <w:sz w:val="21"/>
                <w:szCs w:val="21"/>
                <w:lang w:val="en-US" w:eastAsia="en-US" w:bidi="ar-SA"/>
              </w:rPr>
            </w:pPr>
          </w:p>
          <w:p w14:paraId="46EE15C1">
            <w:pPr>
              <w:kinsoku w:val="0"/>
              <w:autoSpaceDE w:val="0"/>
              <w:autoSpaceDN w:val="0"/>
              <w:adjustRightInd w:val="0"/>
              <w:snapToGrid w:val="0"/>
              <w:spacing w:line="270" w:lineRule="auto"/>
              <w:jc w:val="center"/>
              <w:textAlignment w:val="baseline"/>
              <w:rPr>
                <w:rFonts w:ascii="Arial" w:hAnsi="Arial" w:eastAsia="Arial" w:cs="Arial"/>
                <w:snapToGrid w:val="0"/>
                <w:color w:val="000000"/>
                <w:kern w:val="0"/>
                <w:sz w:val="21"/>
                <w:szCs w:val="21"/>
                <w:lang w:val="en-US" w:eastAsia="en-US" w:bidi="ar-SA"/>
              </w:rPr>
            </w:pPr>
          </w:p>
          <w:p w14:paraId="3F38DC2A">
            <w:pPr>
              <w:widowControl/>
              <w:kinsoku w:val="0"/>
              <w:autoSpaceDE w:val="0"/>
              <w:autoSpaceDN w:val="0"/>
              <w:adjustRightInd w:val="0"/>
              <w:snapToGrid w:val="0"/>
              <w:spacing w:before="71" w:line="219" w:lineRule="auto"/>
              <w:ind w:left="22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报价</w:t>
            </w:r>
          </w:p>
        </w:tc>
        <w:tc>
          <w:tcPr>
            <w:tcW w:w="7219" w:type="dxa"/>
            <w:tcBorders>
              <w:bottom w:val="single" w:color="auto" w:sz="4" w:space="0"/>
            </w:tcBorders>
            <w:vAlign w:val="top"/>
          </w:tcPr>
          <w:p w14:paraId="17FC42BF">
            <w:pPr>
              <w:widowControl/>
              <w:kinsoku w:val="0"/>
              <w:autoSpaceDE w:val="0"/>
              <w:autoSpaceDN w:val="0"/>
              <w:adjustRightInd w:val="0"/>
              <w:snapToGrid w:val="0"/>
              <w:spacing w:before="31" w:line="219" w:lineRule="auto"/>
              <w:ind w:left="1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综合评分法中的价格分统一采用低价优先法计算，即满足</w:t>
            </w:r>
            <w:r>
              <w:rPr>
                <w:rFonts w:ascii="宋体" w:hAnsi="宋体" w:eastAsia="宋体" w:cs="宋体"/>
                <w:snapToGrid w:val="0"/>
                <w:color w:val="000000"/>
                <w:spacing w:val="-1"/>
                <w:kern w:val="0"/>
                <w:sz w:val="22"/>
                <w:szCs w:val="22"/>
                <w:lang w:eastAsia="en-US"/>
              </w:rPr>
              <w:t>文件要求</w:t>
            </w:r>
          </w:p>
          <w:p w14:paraId="42A1247A">
            <w:pPr>
              <w:widowControl/>
              <w:kinsoku w:val="0"/>
              <w:autoSpaceDE w:val="0"/>
              <w:autoSpaceDN w:val="0"/>
              <w:adjustRightInd w:val="0"/>
              <w:snapToGrid w:val="0"/>
              <w:spacing w:before="26" w:line="232" w:lineRule="auto"/>
              <w:ind w:left="10" w:right="87" w:firstLine="5"/>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（通过资格、符合性审查）的供应商</w:t>
            </w:r>
            <w:r>
              <w:rPr>
                <w:rFonts w:ascii="宋体" w:hAnsi="宋体" w:eastAsia="宋体" w:cs="宋体"/>
                <w:snapToGrid w:val="0"/>
                <w:color w:val="000000"/>
                <w:spacing w:val="-1"/>
                <w:kern w:val="0"/>
                <w:sz w:val="22"/>
                <w:szCs w:val="22"/>
                <w:lang w:eastAsia="en-US"/>
              </w:rPr>
              <w:t>的价格（指价格核准</w:t>
            </w:r>
            <w:r>
              <w:rPr>
                <w:rFonts w:ascii="宋体" w:hAnsi="宋体" w:eastAsia="宋体" w:cs="宋体"/>
                <w:snapToGrid w:val="0"/>
                <w:color w:val="000000"/>
                <w:kern w:val="0"/>
                <w:sz w:val="22"/>
                <w:szCs w:val="22"/>
                <w:lang w:eastAsia="en-US"/>
              </w:rPr>
              <w:t>后的价格，下同）为基准价，其价格得分为满分。其他供应商</w:t>
            </w:r>
            <w:r>
              <w:rPr>
                <w:rFonts w:ascii="宋体" w:hAnsi="宋体" w:eastAsia="宋体" w:cs="宋体"/>
                <w:snapToGrid w:val="0"/>
                <w:color w:val="000000"/>
                <w:spacing w:val="-1"/>
                <w:kern w:val="0"/>
                <w:sz w:val="22"/>
                <w:szCs w:val="22"/>
                <w:lang w:eastAsia="en-US"/>
              </w:rPr>
              <w:t>的价格</w:t>
            </w:r>
            <w:r>
              <w:rPr>
                <w:rFonts w:ascii="宋体" w:hAnsi="宋体" w:eastAsia="宋体" w:cs="宋体"/>
                <w:snapToGrid w:val="0"/>
                <w:color w:val="000000"/>
                <w:kern w:val="0"/>
                <w:sz w:val="22"/>
                <w:szCs w:val="22"/>
                <w:lang w:eastAsia="en-US"/>
              </w:rPr>
              <w:t xml:space="preserve"> </w:t>
            </w:r>
            <w:r>
              <w:rPr>
                <w:rFonts w:ascii="宋体" w:hAnsi="宋体" w:eastAsia="宋体" w:cs="宋体"/>
                <w:snapToGrid w:val="0"/>
                <w:color w:val="000000"/>
                <w:spacing w:val="-3"/>
                <w:kern w:val="0"/>
                <w:sz w:val="22"/>
                <w:szCs w:val="22"/>
                <w:lang w:eastAsia="en-US"/>
              </w:rPr>
              <w:t>得分统一按照下列公式计算：</w:t>
            </w:r>
          </w:p>
          <w:p w14:paraId="5052AF6B">
            <w:pPr>
              <w:widowControl/>
              <w:kinsoku w:val="0"/>
              <w:autoSpaceDE w:val="0"/>
              <w:autoSpaceDN w:val="0"/>
              <w:adjustRightInd w:val="0"/>
              <w:snapToGrid w:val="0"/>
              <w:spacing w:before="26" w:line="228" w:lineRule="auto"/>
              <w:ind w:left="8" w:right="198"/>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基准价=满足文件要求（通过资格、符合性审查）且最后</w:t>
            </w:r>
            <w:r>
              <w:rPr>
                <w:rFonts w:ascii="宋体" w:hAnsi="宋体" w:eastAsia="宋体" w:cs="宋体"/>
                <w:snapToGrid w:val="0"/>
                <w:color w:val="000000"/>
                <w:spacing w:val="-1"/>
                <w:kern w:val="0"/>
                <w:sz w:val="22"/>
                <w:szCs w:val="22"/>
                <w:lang w:eastAsia="en-US"/>
              </w:rPr>
              <w:t>报价最</w:t>
            </w:r>
            <w:r>
              <w:rPr>
                <w:rFonts w:ascii="宋体" w:hAnsi="宋体" w:eastAsia="宋体" w:cs="宋体"/>
                <w:snapToGrid w:val="0"/>
                <w:color w:val="000000"/>
                <w:kern w:val="0"/>
                <w:sz w:val="22"/>
                <w:szCs w:val="22"/>
                <w:lang w:eastAsia="en-US"/>
              </w:rPr>
              <w:t xml:space="preserve"> </w:t>
            </w:r>
            <w:r>
              <w:rPr>
                <w:rFonts w:ascii="宋体" w:hAnsi="宋体" w:eastAsia="宋体" w:cs="宋体"/>
                <w:snapToGrid w:val="0"/>
                <w:color w:val="000000"/>
                <w:spacing w:val="-1"/>
                <w:kern w:val="0"/>
                <w:sz w:val="22"/>
                <w:szCs w:val="22"/>
                <w:lang w:eastAsia="en-US"/>
              </w:rPr>
              <w:t>低的供应商的价格（指价格核准后的价格，下同）</w:t>
            </w:r>
          </w:p>
          <w:p w14:paraId="4873A0DC">
            <w:pPr>
              <w:widowControl/>
              <w:kinsoku w:val="0"/>
              <w:autoSpaceDE w:val="0"/>
              <w:autoSpaceDN w:val="0"/>
              <w:adjustRightInd w:val="0"/>
              <w:snapToGrid w:val="0"/>
              <w:spacing w:before="25" w:line="208" w:lineRule="auto"/>
              <w:ind w:left="8"/>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报价得分=(基准价/报价)</w:t>
            </w:r>
            <w:r>
              <w:rPr>
                <w:rFonts w:ascii="宋体" w:hAnsi="宋体" w:eastAsia="宋体" w:cs="宋体"/>
                <w:snapToGrid w:val="0"/>
                <w:color w:val="000000"/>
                <w:spacing w:val="-1"/>
                <w:kern w:val="0"/>
                <w:sz w:val="22"/>
                <w:szCs w:val="22"/>
                <w:lang w:eastAsia="en-US"/>
              </w:rPr>
              <w:t>×价格权重×100</w:t>
            </w:r>
          </w:p>
        </w:tc>
        <w:tc>
          <w:tcPr>
            <w:tcW w:w="647" w:type="dxa"/>
            <w:tcBorders>
              <w:bottom w:val="single" w:color="auto" w:sz="4" w:space="0"/>
            </w:tcBorders>
            <w:vAlign w:val="top"/>
          </w:tcPr>
          <w:p w14:paraId="759891B2">
            <w:pPr>
              <w:kinsoku w:val="0"/>
              <w:autoSpaceDE w:val="0"/>
              <w:autoSpaceDN w:val="0"/>
              <w:adjustRightInd w:val="0"/>
              <w:snapToGrid w:val="0"/>
              <w:spacing w:line="281" w:lineRule="auto"/>
              <w:jc w:val="center"/>
              <w:textAlignment w:val="baseline"/>
              <w:rPr>
                <w:rFonts w:ascii="Arial" w:hAnsi="Arial" w:eastAsia="Arial" w:cs="Arial"/>
                <w:snapToGrid w:val="0"/>
                <w:color w:val="000000"/>
                <w:kern w:val="0"/>
                <w:sz w:val="21"/>
                <w:szCs w:val="21"/>
                <w:lang w:val="en-US" w:eastAsia="en-US" w:bidi="ar-SA"/>
              </w:rPr>
            </w:pPr>
          </w:p>
          <w:p w14:paraId="478475EB">
            <w:pPr>
              <w:kinsoku w:val="0"/>
              <w:autoSpaceDE w:val="0"/>
              <w:autoSpaceDN w:val="0"/>
              <w:adjustRightInd w:val="0"/>
              <w:snapToGrid w:val="0"/>
              <w:spacing w:line="281" w:lineRule="auto"/>
              <w:jc w:val="center"/>
              <w:textAlignment w:val="baseline"/>
              <w:rPr>
                <w:rFonts w:ascii="Arial" w:hAnsi="Arial" w:eastAsia="Arial" w:cs="Arial"/>
                <w:snapToGrid w:val="0"/>
                <w:color w:val="000000"/>
                <w:kern w:val="0"/>
                <w:sz w:val="21"/>
                <w:szCs w:val="21"/>
                <w:lang w:val="en-US" w:eastAsia="en-US" w:bidi="ar-SA"/>
              </w:rPr>
            </w:pPr>
          </w:p>
          <w:p w14:paraId="36D24246">
            <w:pPr>
              <w:kinsoku w:val="0"/>
              <w:autoSpaceDE w:val="0"/>
              <w:autoSpaceDN w:val="0"/>
              <w:adjustRightInd w:val="0"/>
              <w:snapToGrid w:val="0"/>
              <w:spacing w:line="281" w:lineRule="auto"/>
              <w:jc w:val="center"/>
              <w:textAlignment w:val="baseline"/>
              <w:rPr>
                <w:rFonts w:ascii="Arial" w:hAnsi="Arial" w:eastAsia="Arial" w:cs="Arial"/>
                <w:snapToGrid w:val="0"/>
                <w:color w:val="000000"/>
                <w:kern w:val="0"/>
                <w:sz w:val="21"/>
                <w:szCs w:val="21"/>
                <w:lang w:val="en-US" w:eastAsia="en-US" w:bidi="ar-SA"/>
              </w:rPr>
            </w:pPr>
          </w:p>
          <w:p w14:paraId="0644822A">
            <w:pPr>
              <w:widowControl/>
              <w:kinsoku w:val="0"/>
              <w:autoSpaceDE w:val="0"/>
              <w:autoSpaceDN w:val="0"/>
              <w:adjustRightInd w:val="0"/>
              <w:snapToGrid w:val="0"/>
              <w:spacing w:before="72" w:line="184" w:lineRule="auto"/>
              <w:ind w:left="221"/>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7"/>
                <w:kern w:val="0"/>
                <w:sz w:val="22"/>
                <w:szCs w:val="22"/>
                <w:lang w:eastAsia="en-US"/>
              </w:rPr>
              <w:t>30</w:t>
            </w:r>
          </w:p>
        </w:tc>
      </w:tr>
      <w:tr w14:paraId="17C49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945" w:type="dxa"/>
            <w:vMerge w:val="restart"/>
            <w:tcBorders>
              <w:top w:val="single" w:color="auto" w:sz="4" w:space="0"/>
              <w:left w:val="single" w:color="auto" w:sz="4" w:space="0"/>
            </w:tcBorders>
            <w:vAlign w:val="top"/>
          </w:tcPr>
          <w:p w14:paraId="23F3C022">
            <w:pPr>
              <w:kinsoku w:val="0"/>
              <w:autoSpaceDE w:val="0"/>
              <w:autoSpaceDN w:val="0"/>
              <w:adjustRightInd w:val="0"/>
              <w:snapToGrid w:val="0"/>
              <w:spacing w:line="242" w:lineRule="auto"/>
              <w:jc w:val="center"/>
              <w:textAlignment w:val="baseline"/>
              <w:rPr>
                <w:rFonts w:ascii="Arial" w:hAnsi="Arial" w:eastAsia="Arial" w:cs="Arial"/>
                <w:snapToGrid w:val="0"/>
                <w:color w:val="000000"/>
                <w:kern w:val="0"/>
                <w:sz w:val="21"/>
                <w:szCs w:val="21"/>
                <w:lang w:val="en-US" w:eastAsia="en-US" w:bidi="ar-SA"/>
              </w:rPr>
            </w:pPr>
          </w:p>
          <w:p w14:paraId="562ED752">
            <w:pPr>
              <w:widowControl/>
              <w:kinsoku w:val="0"/>
              <w:autoSpaceDE w:val="0"/>
              <w:autoSpaceDN w:val="0"/>
              <w:adjustRightInd w:val="0"/>
              <w:snapToGrid w:val="0"/>
              <w:spacing w:before="71" w:line="229" w:lineRule="auto"/>
              <w:ind w:left="71" w:right="53" w:hanging="2"/>
              <w:jc w:val="center"/>
              <w:textAlignment w:val="baseline"/>
              <w:rPr>
                <w:rFonts w:ascii="宋体" w:hAnsi="宋体" w:eastAsia="宋体" w:cs="宋体"/>
                <w:snapToGrid w:val="0"/>
                <w:color w:val="000000"/>
                <w:kern w:val="0"/>
                <w:sz w:val="22"/>
                <w:szCs w:val="22"/>
                <w:lang w:eastAsia="en-US"/>
              </w:rPr>
            </w:pPr>
          </w:p>
          <w:p w14:paraId="11DC559C">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1D3D96A5">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3A4EAE41">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10748885">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558E30BD">
            <w:pPr>
              <w:widowControl/>
              <w:kinsoku w:val="0"/>
              <w:autoSpaceDE w:val="0"/>
              <w:autoSpaceDN w:val="0"/>
              <w:adjustRightInd w:val="0"/>
              <w:snapToGrid w:val="0"/>
              <w:spacing w:before="31" w:line="230" w:lineRule="auto"/>
              <w:ind w:left="9" w:right="92"/>
              <w:jc w:val="center"/>
              <w:textAlignment w:val="baseline"/>
              <w:rPr>
                <w:rFonts w:hint="eastAsia" w:ascii="宋体" w:hAnsi="宋体" w:eastAsia="宋体" w:cs="宋体"/>
                <w:snapToGrid w:val="0"/>
                <w:color w:val="000000"/>
                <w:kern w:val="0"/>
                <w:sz w:val="22"/>
                <w:szCs w:val="22"/>
                <w:lang w:eastAsia="en-US"/>
              </w:rPr>
            </w:pPr>
            <w:r>
              <w:rPr>
                <w:rFonts w:hint="eastAsia" w:ascii="宋体" w:hAnsi="宋体" w:eastAsia="宋体" w:cs="宋体"/>
                <w:snapToGrid w:val="0"/>
                <w:color w:val="000000"/>
                <w:kern w:val="0"/>
                <w:sz w:val="22"/>
                <w:szCs w:val="22"/>
                <w:lang w:eastAsia="en-US"/>
              </w:rPr>
              <w:t>技术、商务部分评审</w:t>
            </w:r>
          </w:p>
          <w:p w14:paraId="5552DD23">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hint="eastAsia" w:ascii="宋体" w:hAnsi="宋体" w:eastAsia="宋体" w:cs="宋体"/>
                <w:snapToGrid w:val="0"/>
                <w:color w:val="000000"/>
                <w:kern w:val="0"/>
                <w:sz w:val="22"/>
                <w:szCs w:val="22"/>
                <w:lang w:eastAsia="en-US"/>
              </w:rPr>
              <w:t>（</w:t>
            </w:r>
            <w:r>
              <w:rPr>
                <w:rFonts w:hint="eastAsia" w:ascii="宋体" w:hAnsi="宋体" w:eastAsia="宋体" w:cs="宋体"/>
                <w:snapToGrid w:val="0"/>
                <w:color w:val="000000"/>
                <w:kern w:val="0"/>
                <w:sz w:val="22"/>
                <w:szCs w:val="22"/>
                <w:lang w:val="en-US" w:eastAsia="en-US"/>
              </w:rPr>
              <w:t>70</w:t>
            </w:r>
            <w:r>
              <w:rPr>
                <w:rFonts w:hint="eastAsia" w:ascii="宋体" w:hAnsi="宋体" w:eastAsia="宋体" w:cs="宋体"/>
                <w:snapToGrid w:val="0"/>
                <w:color w:val="000000"/>
                <w:kern w:val="0"/>
                <w:sz w:val="22"/>
                <w:szCs w:val="22"/>
                <w:lang w:eastAsia="en-US"/>
              </w:rPr>
              <w:t>）分</w:t>
            </w:r>
          </w:p>
        </w:tc>
        <w:tc>
          <w:tcPr>
            <w:tcW w:w="1156" w:type="dxa"/>
            <w:tcBorders>
              <w:top w:val="single" w:color="auto" w:sz="4" w:space="0"/>
              <w:bottom w:val="single" w:color="auto" w:sz="4" w:space="0"/>
            </w:tcBorders>
            <w:vAlign w:val="top"/>
          </w:tcPr>
          <w:p w14:paraId="3FF32CDC">
            <w:pPr>
              <w:widowControl/>
              <w:kinsoku w:val="0"/>
              <w:autoSpaceDE w:val="0"/>
              <w:autoSpaceDN w:val="0"/>
              <w:adjustRightInd w:val="0"/>
              <w:snapToGrid w:val="0"/>
              <w:spacing w:before="176" w:line="229" w:lineRule="auto"/>
              <w:ind w:right="51"/>
              <w:jc w:val="center"/>
              <w:textAlignment w:val="baseline"/>
              <w:rPr>
                <w:rFonts w:ascii="宋体" w:hAnsi="宋体" w:eastAsia="宋体" w:cs="宋体"/>
                <w:snapToGrid w:val="0"/>
                <w:color w:val="000000"/>
                <w:spacing w:val="-3"/>
                <w:kern w:val="0"/>
                <w:sz w:val="22"/>
                <w:szCs w:val="22"/>
                <w:lang w:eastAsia="en-US"/>
              </w:rPr>
            </w:pPr>
            <w:r>
              <w:rPr>
                <w:rFonts w:ascii="宋体" w:hAnsi="宋体" w:eastAsia="宋体" w:cs="宋体"/>
                <w:snapToGrid w:val="0"/>
                <w:color w:val="000000"/>
                <w:spacing w:val="-3"/>
                <w:kern w:val="0"/>
                <w:sz w:val="22"/>
                <w:szCs w:val="22"/>
                <w:lang w:eastAsia="en-US"/>
              </w:rPr>
              <w:t>企业业绩</w:t>
            </w:r>
          </w:p>
          <w:p w14:paraId="307DA52E">
            <w:pPr>
              <w:widowControl/>
              <w:kinsoku w:val="0"/>
              <w:autoSpaceDE w:val="0"/>
              <w:autoSpaceDN w:val="0"/>
              <w:adjustRightInd w:val="0"/>
              <w:snapToGrid w:val="0"/>
              <w:spacing w:before="176" w:line="229" w:lineRule="auto"/>
              <w:ind w:left="443" w:right="51" w:hanging="383"/>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w:t>
            </w:r>
            <w:r>
              <w:rPr>
                <w:rFonts w:hint="eastAsia" w:ascii="宋体" w:hAnsi="宋体" w:cs="宋体"/>
                <w:snapToGrid w:val="0"/>
                <w:color w:val="000000"/>
                <w:spacing w:val="-3"/>
                <w:kern w:val="0"/>
                <w:sz w:val="22"/>
                <w:szCs w:val="22"/>
                <w:lang w:val="en-US" w:eastAsia="zh-CN"/>
              </w:rPr>
              <w:t>6</w:t>
            </w:r>
            <w:r>
              <w:rPr>
                <w:rFonts w:ascii="宋体" w:hAnsi="宋体" w:eastAsia="宋体" w:cs="宋体"/>
                <w:snapToGrid w:val="0"/>
                <w:color w:val="000000"/>
                <w:spacing w:val="-7"/>
                <w:kern w:val="0"/>
                <w:sz w:val="22"/>
                <w:szCs w:val="22"/>
                <w:lang w:eastAsia="en-US"/>
              </w:rPr>
              <w:t>分）</w:t>
            </w:r>
          </w:p>
        </w:tc>
        <w:tc>
          <w:tcPr>
            <w:tcW w:w="7219" w:type="dxa"/>
            <w:tcBorders>
              <w:top w:val="single" w:color="auto" w:sz="4" w:space="0"/>
              <w:bottom w:val="single" w:color="auto" w:sz="4" w:space="0"/>
            </w:tcBorders>
            <w:vAlign w:val="top"/>
          </w:tcPr>
          <w:p w14:paraId="36244923">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根据投标人（2021年至今)具有的类似项目业绩进行评审</w:t>
            </w:r>
            <w:r>
              <w:rPr>
                <w:rFonts w:ascii="宋体" w:hAnsi="宋体" w:eastAsia="宋体" w:cs="宋体"/>
                <w:snapToGrid w:val="0"/>
                <w:color w:val="000000"/>
                <w:spacing w:val="-1"/>
                <w:kern w:val="0"/>
                <w:sz w:val="22"/>
                <w:szCs w:val="22"/>
                <w:lang w:eastAsia="en-US"/>
              </w:rPr>
              <w:t>，每提供</w:t>
            </w:r>
            <w:r>
              <w:rPr>
                <w:rFonts w:hint="eastAsia" w:ascii="宋体" w:hAnsi="宋体" w:cs="宋体"/>
                <w:snapToGrid w:val="0"/>
                <w:color w:val="000000"/>
                <w:spacing w:val="-1"/>
                <w:kern w:val="0"/>
                <w:sz w:val="22"/>
                <w:szCs w:val="22"/>
                <w:lang w:val="en-US" w:eastAsia="zh-CN"/>
              </w:rPr>
              <w:t>1</w:t>
            </w:r>
            <w:r>
              <w:rPr>
                <w:rFonts w:ascii="宋体" w:hAnsi="宋体" w:eastAsia="宋体" w:cs="宋体"/>
                <w:snapToGrid w:val="0"/>
                <w:color w:val="000000"/>
                <w:spacing w:val="-1"/>
                <w:kern w:val="0"/>
                <w:sz w:val="22"/>
                <w:szCs w:val="22"/>
                <w:lang w:eastAsia="en-US"/>
              </w:rPr>
              <w:t>个业绩</w:t>
            </w:r>
            <w:r>
              <w:rPr>
                <w:rFonts w:ascii="宋体" w:hAnsi="宋体" w:eastAsia="宋体" w:cs="宋体"/>
                <w:snapToGrid w:val="0"/>
                <w:color w:val="000000"/>
                <w:kern w:val="0"/>
                <w:sz w:val="22"/>
                <w:szCs w:val="22"/>
                <w:lang w:eastAsia="en-US"/>
              </w:rPr>
              <w:t xml:space="preserve"> </w:t>
            </w:r>
            <w:r>
              <w:rPr>
                <w:rFonts w:ascii="宋体" w:hAnsi="宋体" w:eastAsia="宋体" w:cs="宋体"/>
                <w:snapToGrid w:val="0"/>
                <w:color w:val="000000"/>
                <w:spacing w:val="-3"/>
                <w:kern w:val="0"/>
                <w:sz w:val="22"/>
                <w:szCs w:val="22"/>
                <w:lang w:eastAsia="en-US"/>
              </w:rPr>
              <w:t>得</w:t>
            </w:r>
            <w:r>
              <w:rPr>
                <w:rFonts w:hint="eastAsia" w:ascii="宋体" w:hAnsi="宋体" w:cs="宋体"/>
                <w:snapToGrid w:val="0"/>
                <w:color w:val="000000"/>
                <w:spacing w:val="-3"/>
                <w:kern w:val="0"/>
                <w:sz w:val="22"/>
                <w:szCs w:val="22"/>
                <w:lang w:val="en-US" w:eastAsia="zh-CN"/>
              </w:rPr>
              <w:t>2</w:t>
            </w:r>
            <w:r>
              <w:rPr>
                <w:rFonts w:ascii="宋体" w:hAnsi="宋体" w:eastAsia="宋体" w:cs="宋体"/>
                <w:snapToGrid w:val="0"/>
                <w:color w:val="000000"/>
                <w:spacing w:val="-3"/>
                <w:kern w:val="0"/>
                <w:sz w:val="22"/>
                <w:szCs w:val="22"/>
                <w:lang w:eastAsia="en-US"/>
              </w:rPr>
              <w:t>分，最高得</w:t>
            </w:r>
            <w:r>
              <w:rPr>
                <w:rFonts w:hint="eastAsia" w:ascii="宋体" w:hAnsi="宋体" w:cs="宋体"/>
                <w:snapToGrid w:val="0"/>
                <w:color w:val="000000"/>
                <w:spacing w:val="-3"/>
                <w:kern w:val="0"/>
                <w:sz w:val="22"/>
                <w:szCs w:val="22"/>
                <w:lang w:val="en-US" w:eastAsia="zh-CN"/>
              </w:rPr>
              <w:t>6</w:t>
            </w:r>
            <w:r>
              <w:rPr>
                <w:rFonts w:ascii="宋体" w:hAnsi="宋体" w:eastAsia="宋体" w:cs="宋体"/>
                <w:snapToGrid w:val="0"/>
                <w:color w:val="000000"/>
                <w:spacing w:val="-3"/>
                <w:kern w:val="0"/>
                <w:sz w:val="22"/>
                <w:szCs w:val="22"/>
                <w:lang w:eastAsia="en-US"/>
              </w:rPr>
              <w:t>分。</w:t>
            </w:r>
          </w:p>
          <w:p w14:paraId="55938E0B">
            <w:pPr>
              <w:widowControl/>
              <w:kinsoku w:val="0"/>
              <w:autoSpaceDE w:val="0"/>
              <w:autoSpaceDN w:val="0"/>
              <w:adjustRightInd w:val="0"/>
              <w:snapToGrid w:val="0"/>
              <w:spacing w:before="23" w:line="208" w:lineRule="auto"/>
              <w:ind w:left="9"/>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1"/>
                <w:kern w:val="0"/>
                <w:sz w:val="22"/>
                <w:szCs w:val="22"/>
                <w:lang w:eastAsia="en-US"/>
              </w:rPr>
              <w:t>注：须提供项目中标通知书或施工合同，复印件加盖供应商公章。</w:t>
            </w:r>
          </w:p>
        </w:tc>
        <w:tc>
          <w:tcPr>
            <w:tcW w:w="647" w:type="dxa"/>
            <w:tcBorders>
              <w:top w:val="single" w:color="auto" w:sz="4" w:space="0"/>
              <w:bottom w:val="single" w:color="auto" w:sz="4" w:space="0"/>
              <w:right w:val="single" w:color="auto" w:sz="4" w:space="0"/>
            </w:tcBorders>
            <w:vAlign w:val="top"/>
          </w:tcPr>
          <w:p w14:paraId="09762D4C">
            <w:pPr>
              <w:kinsoku w:val="0"/>
              <w:autoSpaceDE w:val="0"/>
              <w:autoSpaceDN w:val="0"/>
              <w:adjustRightInd w:val="0"/>
              <w:snapToGrid w:val="0"/>
              <w:spacing w:line="278" w:lineRule="auto"/>
              <w:jc w:val="center"/>
              <w:textAlignment w:val="baseline"/>
              <w:rPr>
                <w:rFonts w:ascii="Arial" w:hAnsi="Arial" w:eastAsia="Arial" w:cs="Arial"/>
                <w:snapToGrid w:val="0"/>
                <w:color w:val="000000"/>
                <w:kern w:val="0"/>
                <w:sz w:val="21"/>
                <w:szCs w:val="21"/>
                <w:lang w:val="en-US" w:eastAsia="en-US" w:bidi="ar-SA"/>
              </w:rPr>
            </w:pPr>
          </w:p>
          <w:p w14:paraId="18037166">
            <w:pPr>
              <w:widowControl/>
              <w:kinsoku w:val="0"/>
              <w:autoSpaceDE w:val="0"/>
              <w:autoSpaceDN w:val="0"/>
              <w:adjustRightInd w:val="0"/>
              <w:snapToGrid w:val="0"/>
              <w:spacing w:before="72" w:line="184" w:lineRule="auto"/>
              <w:ind w:left="270"/>
              <w:jc w:val="both"/>
              <w:textAlignment w:val="baseline"/>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6</w:t>
            </w:r>
          </w:p>
        </w:tc>
      </w:tr>
      <w:tr w14:paraId="520C6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9" w:hRule="atLeast"/>
        </w:trPr>
        <w:tc>
          <w:tcPr>
            <w:tcW w:w="945" w:type="dxa"/>
            <w:vMerge w:val="continue"/>
            <w:tcBorders>
              <w:left w:val="single" w:color="auto" w:sz="4" w:space="0"/>
            </w:tcBorders>
            <w:vAlign w:val="top"/>
          </w:tcPr>
          <w:p w14:paraId="43024453">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p>
        </w:tc>
        <w:tc>
          <w:tcPr>
            <w:tcW w:w="1156" w:type="dxa"/>
            <w:vAlign w:val="top"/>
          </w:tcPr>
          <w:p w14:paraId="5BECFAFD">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3BCE631A">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4BFE8D4B">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0DF1243E">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01EECA25">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施工方案</w:t>
            </w:r>
          </w:p>
          <w:p w14:paraId="037B8927">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（10分）</w:t>
            </w:r>
          </w:p>
        </w:tc>
        <w:tc>
          <w:tcPr>
            <w:tcW w:w="7219" w:type="dxa"/>
            <w:vAlign w:val="top"/>
          </w:tcPr>
          <w:p w14:paraId="1299349C">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根据各投标人提供的施工方案进行评审，方案内容包括但不限于：</w:t>
            </w:r>
          </w:p>
          <w:p w14:paraId="02BE49AF">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(1) 施工准备：现场准备、技术准备;</w:t>
            </w:r>
          </w:p>
          <w:p w14:paraId="332041B3">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(2) 施工现场管理：施工设备配置及管理、材料、构配件管理、 降低成本措施、文明施工实施措施;</w:t>
            </w:r>
          </w:p>
          <w:p w14:paraId="77E2FA63">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(3) 施工进度计划：进度控制图、综合说明;</w:t>
            </w:r>
          </w:p>
          <w:p w14:paraId="6A759FB3">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(4) 施工进度保证措施：分段目标控制、管理措施、实施方案;</w:t>
            </w:r>
          </w:p>
          <w:p w14:paraId="74139875">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(5) 分部工程施工方案:施工要点、分项工程施工方案。</w:t>
            </w:r>
          </w:p>
          <w:p w14:paraId="3BAAD690">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方案完整、详细、合理可行、符合项目实际需求的得10分；每缺一项内容减2分，每有一项内容存在缺陷（缺陷指内容阐述错误、不清晰、存在偏差或过于简略）的减1分，减完为止。未提供方案得0分。</w:t>
            </w:r>
          </w:p>
        </w:tc>
        <w:tc>
          <w:tcPr>
            <w:tcW w:w="647" w:type="dxa"/>
            <w:vAlign w:val="top"/>
          </w:tcPr>
          <w:p w14:paraId="5B262C71">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3473CB3D">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552E8EC0">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5A40DECD">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724E86CF">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4693B0F0">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10</w:t>
            </w:r>
          </w:p>
        </w:tc>
      </w:tr>
      <w:tr w14:paraId="35972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9" w:hRule="atLeast"/>
        </w:trPr>
        <w:tc>
          <w:tcPr>
            <w:tcW w:w="945" w:type="dxa"/>
            <w:vMerge w:val="continue"/>
            <w:tcBorders>
              <w:left w:val="single" w:color="auto" w:sz="4" w:space="0"/>
            </w:tcBorders>
            <w:vAlign w:val="top"/>
          </w:tcPr>
          <w:p w14:paraId="26A511B7">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p>
        </w:tc>
        <w:tc>
          <w:tcPr>
            <w:tcW w:w="1156" w:type="dxa"/>
            <w:vAlign w:val="top"/>
          </w:tcPr>
          <w:p w14:paraId="5D5B3F57">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61886C3C">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60B9B782">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施工工期</w:t>
            </w:r>
          </w:p>
          <w:p w14:paraId="403C426A">
            <w:pPr>
              <w:widowControl/>
              <w:kinsoku w:val="0"/>
              <w:autoSpaceDE w:val="0"/>
              <w:autoSpaceDN w:val="0"/>
              <w:adjustRightInd w:val="0"/>
              <w:snapToGrid w:val="0"/>
              <w:spacing w:before="31" w:line="230" w:lineRule="auto"/>
              <w:ind w:left="9" w:leftChars="0" w:right="92" w:rightChars="0"/>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保证措施</w:t>
            </w:r>
          </w:p>
          <w:p w14:paraId="1A4068C5">
            <w:pPr>
              <w:widowControl/>
              <w:kinsoku w:val="0"/>
              <w:autoSpaceDE w:val="0"/>
              <w:autoSpaceDN w:val="0"/>
              <w:adjustRightInd w:val="0"/>
              <w:snapToGrid w:val="0"/>
              <w:spacing w:before="31" w:line="230" w:lineRule="auto"/>
              <w:ind w:left="9" w:leftChars="0" w:right="92" w:rightChars="0"/>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w:t>
            </w:r>
            <w:r>
              <w:rPr>
                <w:rFonts w:hint="eastAsia" w:ascii="宋体" w:hAnsi="宋体" w:eastAsia="宋体" w:cs="宋体"/>
                <w:snapToGrid w:val="0"/>
                <w:color w:val="000000"/>
                <w:kern w:val="0"/>
                <w:sz w:val="22"/>
                <w:szCs w:val="22"/>
                <w:lang w:val="en-US" w:eastAsia="zh-CN"/>
              </w:rPr>
              <w:t>12</w:t>
            </w:r>
            <w:r>
              <w:rPr>
                <w:rFonts w:ascii="宋体" w:hAnsi="宋体" w:eastAsia="宋体" w:cs="宋体"/>
                <w:snapToGrid w:val="0"/>
                <w:color w:val="000000"/>
                <w:kern w:val="0"/>
                <w:sz w:val="22"/>
                <w:szCs w:val="22"/>
                <w:lang w:eastAsia="en-US"/>
              </w:rPr>
              <w:t xml:space="preserve"> 分）</w:t>
            </w:r>
          </w:p>
        </w:tc>
        <w:tc>
          <w:tcPr>
            <w:tcW w:w="7219" w:type="dxa"/>
            <w:vAlign w:val="top"/>
          </w:tcPr>
          <w:p w14:paraId="2F2C672E">
            <w:pPr>
              <w:widowControl/>
              <w:kinsoku w:val="0"/>
              <w:autoSpaceDE w:val="0"/>
              <w:autoSpaceDN w:val="0"/>
              <w:adjustRightInd w:val="0"/>
              <w:snapToGrid w:val="0"/>
              <w:spacing w:before="31" w:line="230" w:lineRule="auto"/>
              <w:ind w:left="9" w:right="92"/>
              <w:jc w:val="both"/>
              <w:textAlignment w:val="baseline"/>
              <w:rPr>
                <w:rFonts w:hint="eastAsia" w:ascii="宋体" w:hAnsi="宋体" w:eastAsia="宋体" w:cs="宋体"/>
                <w:snapToGrid w:val="0"/>
                <w:color w:val="000000"/>
                <w:kern w:val="0"/>
                <w:sz w:val="22"/>
                <w:szCs w:val="22"/>
                <w:lang w:eastAsia="zh-CN"/>
              </w:rPr>
            </w:pPr>
            <w:r>
              <w:rPr>
                <w:rFonts w:ascii="宋体" w:hAnsi="宋体" w:eastAsia="宋体" w:cs="宋体"/>
                <w:snapToGrid w:val="0"/>
                <w:color w:val="000000"/>
                <w:kern w:val="0"/>
                <w:sz w:val="22"/>
                <w:szCs w:val="22"/>
                <w:lang w:eastAsia="en-US"/>
              </w:rPr>
              <w:t>根据各投标人提供的施工管理保证措施进行评审，方案内容包括但不限于</w:t>
            </w:r>
          </w:p>
          <w:p w14:paraId="611659B6">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①施工整体进度控制；</w:t>
            </w:r>
          </w:p>
          <w:p w14:paraId="686C54ED">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②进度保证措施；</w:t>
            </w:r>
          </w:p>
          <w:p w14:paraId="3F2975E4">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③环境保护管理体系健全、明确；</w:t>
            </w:r>
          </w:p>
          <w:p w14:paraId="04AB25B3">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④工期保证措施；</w:t>
            </w:r>
          </w:p>
          <w:p w14:paraId="054D9121">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针对上述四个要点提供的方案或制度，措施方案完整详细、符合项目实际具有操作性，得</w:t>
            </w:r>
            <w:r>
              <w:rPr>
                <w:rFonts w:hint="eastAsia" w:ascii="宋体" w:hAnsi="宋体" w:eastAsia="宋体" w:cs="宋体"/>
                <w:snapToGrid w:val="0"/>
                <w:color w:val="000000"/>
                <w:kern w:val="0"/>
                <w:sz w:val="22"/>
                <w:szCs w:val="22"/>
                <w:lang w:val="en-US" w:eastAsia="zh-CN"/>
              </w:rPr>
              <w:t>12</w:t>
            </w:r>
            <w:r>
              <w:rPr>
                <w:rFonts w:ascii="宋体" w:hAnsi="宋体" w:eastAsia="宋体" w:cs="宋体"/>
                <w:snapToGrid w:val="0"/>
                <w:color w:val="000000"/>
                <w:kern w:val="0"/>
                <w:sz w:val="22"/>
                <w:szCs w:val="22"/>
                <w:lang w:eastAsia="en-US"/>
              </w:rPr>
              <w:t>分；每缺一项内容减</w:t>
            </w:r>
            <w:r>
              <w:rPr>
                <w:rFonts w:hint="eastAsia" w:ascii="宋体" w:hAnsi="宋体" w:eastAsia="宋体" w:cs="宋体"/>
                <w:snapToGrid w:val="0"/>
                <w:color w:val="000000"/>
                <w:kern w:val="0"/>
                <w:sz w:val="22"/>
                <w:szCs w:val="22"/>
                <w:lang w:val="en-US" w:eastAsia="zh-CN"/>
              </w:rPr>
              <w:t>3</w:t>
            </w:r>
            <w:r>
              <w:rPr>
                <w:rFonts w:ascii="宋体" w:hAnsi="宋体" w:eastAsia="宋体" w:cs="宋体"/>
                <w:snapToGrid w:val="0"/>
                <w:color w:val="000000"/>
                <w:kern w:val="0"/>
                <w:sz w:val="22"/>
                <w:szCs w:val="22"/>
                <w:lang w:eastAsia="en-US"/>
              </w:rPr>
              <w:t>分，每有一项内容存在缺陷（缺陷指内容阐述错误、不清晰、存在偏差或过于简略）的减1分，减完为止。未提供方案得0分。</w:t>
            </w:r>
          </w:p>
        </w:tc>
        <w:tc>
          <w:tcPr>
            <w:tcW w:w="647" w:type="dxa"/>
            <w:vAlign w:val="top"/>
          </w:tcPr>
          <w:p w14:paraId="307A1E8A">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2330497A">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58735E7D">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60ABEADF">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4E874B1B">
            <w:pPr>
              <w:widowControl/>
              <w:kinsoku w:val="0"/>
              <w:autoSpaceDE w:val="0"/>
              <w:autoSpaceDN w:val="0"/>
              <w:adjustRightInd w:val="0"/>
              <w:snapToGrid w:val="0"/>
              <w:spacing w:before="31" w:line="230" w:lineRule="auto"/>
              <w:ind w:left="9" w:leftChars="0" w:right="92" w:rightChars="0"/>
              <w:jc w:val="center"/>
              <w:textAlignment w:val="baseline"/>
              <w:rPr>
                <w:rFonts w:ascii="宋体" w:hAnsi="宋体" w:eastAsia="宋体" w:cs="宋体"/>
                <w:snapToGrid w:val="0"/>
                <w:color w:val="000000"/>
                <w:kern w:val="0"/>
                <w:sz w:val="22"/>
                <w:szCs w:val="22"/>
                <w:lang w:eastAsia="en-US"/>
              </w:rPr>
            </w:pPr>
            <w:r>
              <w:rPr>
                <w:rFonts w:hint="eastAsia" w:ascii="宋体" w:hAnsi="宋体" w:eastAsia="宋体" w:cs="宋体"/>
                <w:snapToGrid w:val="0"/>
                <w:color w:val="000000"/>
                <w:kern w:val="0"/>
                <w:sz w:val="22"/>
                <w:szCs w:val="22"/>
                <w:lang w:val="en-US" w:eastAsia="zh-CN"/>
              </w:rPr>
              <w:t>12</w:t>
            </w:r>
          </w:p>
        </w:tc>
      </w:tr>
    </w:tbl>
    <w:tbl>
      <w:tblPr>
        <w:tblStyle w:val="21"/>
        <w:tblpPr w:leftFromText="180" w:rightFromText="180" w:vertAnchor="text" w:horzAnchor="page" w:tblpX="798" w:tblpY="2898"/>
        <w:tblOverlap w:val="never"/>
        <w:tblW w:w="100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7141"/>
        <w:gridCol w:w="640"/>
      </w:tblGrid>
      <w:tr w14:paraId="5DC52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7" w:hRule="atLeast"/>
        </w:trPr>
        <w:tc>
          <w:tcPr>
            <w:tcW w:w="996" w:type="dxa"/>
            <w:vMerge w:val="restart"/>
            <w:tcBorders>
              <w:top w:val="nil"/>
            </w:tcBorders>
            <w:vAlign w:val="top"/>
          </w:tcPr>
          <w:p w14:paraId="582A017C">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tc>
        <w:tc>
          <w:tcPr>
            <w:tcW w:w="1315" w:type="dxa"/>
            <w:vAlign w:val="top"/>
          </w:tcPr>
          <w:p w14:paraId="4E2834F4">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468E4967">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17524986">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6CF76908">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质量管理及 质量保证措 施（</w:t>
            </w:r>
            <w:r>
              <w:rPr>
                <w:rFonts w:hint="eastAsia" w:ascii="宋体" w:hAnsi="宋体" w:eastAsia="宋体" w:cs="宋体"/>
                <w:snapToGrid w:val="0"/>
                <w:color w:val="000000"/>
                <w:kern w:val="0"/>
                <w:sz w:val="22"/>
                <w:szCs w:val="22"/>
                <w:lang w:val="en-US" w:eastAsia="zh-CN"/>
              </w:rPr>
              <w:t>12</w:t>
            </w:r>
            <w:r>
              <w:rPr>
                <w:rFonts w:ascii="宋体" w:hAnsi="宋体" w:eastAsia="宋体" w:cs="宋体"/>
                <w:snapToGrid w:val="0"/>
                <w:color w:val="000000"/>
                <w:kern w:val="0"/>
                <w:sz w:val="22"/>
                <w:szCs w:val="22"/>
                <w:lang w:eastAsia="en-US"/>
              </w:rPr>
              <w:t>分）</w:t>
            </w:r>
          </w:p>
        </w:tc>
        <w:tc>
          <w:tcPr>
            <w:tcW w:w="7141" w:type="dxa"/>
            <w:vAlign w:val="top"/>
          </w:tcPr>
          <w:p w14:paraId="5ED5E0F3">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根据各投标人提供的施工管理保证措施进行评审，方案内容包括但不限 于：</w:t>
            </w:r>
          </w:p>
          <w:p w14:paraId="4247D8F3">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①保证质量的施工要素控制措施方案；</w:t>
            </w:r>
          </w:p>
          <w:p w14:paraId="187CCF45">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②质量控制的管理制度；</w:t>
            </w:r>
          </w:p>
          <w:p w14:paraId="21D0ED1B">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③质量管理的组织措施；</w:t>
            </w:r>
          </w:p>
          <w:p w14:paraId="2D975AE6">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④对主要工序、施工工艺、材料验收等的质量控制方案。</w:t>
            </w:r>
          </w:p>
          <w:p w14:paraId="4E21C044">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针对上述四个要点提供的方案或制度，措施方案完整详细、符合项目实 际具有操作性，得</w:t>
            </w:r>
            <w:r>
              <w:rPr>
                <w:rFonts w:hint="eastAsia" w:ascii="宋体" w:hAnsi="宋体" w:eastAsia="宋体" w:cs="宋体"/>
                <w:snapToGrid w:val="0"/>
                <w:color w:val="000000"/>
                <w:kern w:val="0"/>
                <w:sz w:val="22"/>
                <w:szCs w:val="22"/>
                <w:lang w:val="en-US" w:eastAsia="zh-CN"/>
              </w:rPr>
              <w:t>12</w:t>
            </w:r>
            <w:r>
              <w:rPr>
                <w:rFonts w:ascii="宋体" w:hAnsi="宋体" w:eastAsia="宋体" w:cs="宋体"/>
                <w:snapToGrid w:val="0"/>
                <w:color w:val="000000"/>
                <w:kern w:val="0"/>
                <w:sz w:val="22"/>
                <w:szCs w:val="22"/>
                <w:lang w:eastAsia="en-US"/>
              </w:rPr>
              <w:t>分；每缺一项内容减</w:t>
            </w:r>
            <w:r>
              <w:rPr>
                <w:rFonts w:hint="eastAsia" w:ascii="宋体" w:hAnsi="宋体" w:eastAsia="宋体" w:cs="宋体"/>
                <w:snapToGrid w:val="0"/>
                <w:color w:val="000000"/>
                <w:kern w:val="0"/>
                <w:sz w:val="22"/>
                <w:szCs w:val="22"/>
                <w:lang w:val="en-US" w:eastAsia="zh-CN"/>
              </w:rPr>
              <w:t>3</w:t>
            </w:r>
            <w:r>
              <w:rPr>
                <w:rFonts w:ascii="宋体" w:hAnsi="宋体" w:eastAsia="宋体" w:cs="宋体"/>
                <w:snapToGrid w:val="0"/>
                <w:color w:val="000000"/>
                <w:kern w:val="0"/>
                <w:sz w:val="22"/>
                <w:szCs w:val="22"/>
                <w:lang w:eastAsia="en-US"/>
              </w:rPr>
              <w:t>分，每有一项内容存在缺陷（缺陷指内容阐述错误、不清晰、存在偏差或过于简略）的减1分，减完为止。未提供方案得0分。</w:t>
            </w:r>
          </w:p>
        </w:tc>
        <w:tc>
          <w:tcPr>
            <w:tcW w:w="640" w:type="dxa"/>
            <w:vAlign w:val="top"/>
          </w:tcPr>
          <w:p w14:paraId="6C1B4C12">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46FFCEEF">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2A70223A">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3DC86FB2">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41ED32A8">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0BE06869">
            <w:pPr>
              <w:widowControl/>
              <w:kinsoku w:val="0"/>
              <w:autoSpaceDE w:val="0"/>
              <w:autoSpaceDN w:val="0"/>
              <w:adjustRightInd w:val="0"/>
              <w:snapToGrid w:val="0"/>
              <w:spacing w:before="31" w:line="230" w:lineRule="auto"/>
              <w:ind w:left="9" w:right="92"/>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12</w:t>
            </w:r>
          </w:p>
        </w:tc>
      </w:tr>
      <w:tr w14:paraId="6849C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996" w:type="dxa"/>
            <w:vMerge w:val="continue"/>
            <w:tcBorders>
              <w:top w:val="nil"/>
              <w:bottom w:val="nil"/>
            </w:tcBorders>
            <w:vAlign w:val="top"/>
          </w:tcPr>
          <w:p w14:paraId="0CA8B474">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tc>
        <w:tc>
          <w:tcPr>
            <w:tcW w:w="1315" w:type="dxa"/>
            <w:vAlign w:val="top"/>
          </w:tcPr>
          <w:p w14:paraId="429694B1">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7DC560A2">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组织协调</w:t>
            </w:r>
          </w:p>
          <w:p w14:paraId="76447482">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（9分）</w:t>
            </w:r>
          </w:p>
        </w:tc>
        <w:tc>
          <w:tcPr>
            <w:tcW w:w="7141" w:type="dxa"/>
            <w:vAlign w:val="top"/>
          </w:tcPr>
          <w:p w14:paraId="518B3179">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根据本项目的特点和要求，制定项目的组织协调工作，至少包括</w:t>
            </w:r>
          </w:p>
          <w:p w14:paraId="3C62D71C">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①组织协调目标、②组织协调内容、③组织协调主要措施，</w:t>
            </w:r>
          </w:p>
          <w:p w14:paraId="796BC83F">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完全满足得9分，每项内容阐述不清或者不贴合本项目或每缺少一项内容 扣3分，每有一处缺陷扣 1 分，扣完为止。（缺陷指内容阐述错误、不清晰、存在偏差或过于简略）。</w:t>
            </w:r>
          </w:p>
        </w:tc>
        <w:tc>
          <w:tcPr>
            <w:tcW w:w="640" w:type="dxa"/>
            <w:vAlign w:val="top"/>
          </w:tcPr>
          <w:p w14:paraId="18114596">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03965BEB">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73622597">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9</w:t>
            </w:r>
          </w:p>
        </w:tc>
      </w:tr>
      <w:tr w14:paraId="20B08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9" w:hRule="atLeast"/>
        </w:trPr>
        <w:tc>
          <w:tcPr>
            <w:tcW w:w="996" w:type="dxa"/>
            <w:vMerge w:val="continue"/>
            <w:tcBorders>
              <w:top w:val="nil"/>
              <w:bottom w:val="nil"/>
            </w:tcBorders>
            <w:vAlign w:val="top"/>
          </w:tcPr>
          <w:p w14:paraId="2B1F0473">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tc>
        <w:tc>
          <w:tcPr>
            <w:tcW w:w="1315" w:type="dxa"/>
            <w:vAlign w:val="top"/>
          </w:tcPr>
          <w:p w14:paraId="566F0ABE">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70B8368A">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0B8997A7">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34DEE6AC">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786A5573">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文明施工措 施</w:t>
            </w:r>
          </w:p>
          <w:p w14:paraId="41DF4AB1">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w:t>
            </w:r>
            <w:r>
              <w:rPr>
                <w:rFonts w:hint="eastAsia" w:ascii="宋体" w:hAnsi="宋体" w:eastAsia="宋体" w:cs="宋体"/>
                <w:snapToGrid w:val="0"/>
                <w:color w:val="000000"/>
                <w:kern w:val="0"/>
                <w:sz w:val="22"/>
                <w:szCs w:val="22"/>
                <w:lang w:val="en-US" w:eastAsia="zh-CN"/>
              </w:rPr>
              <w:t>1</w:t>
            </w:r>
            <w:r>
              <w:rPr>
                <w:rFonts w:hint="eastAsia" w:ascii="宋体" w:hAnsi="宋体" w:cs="宋体"/>
                <w:snapToGrid w:val="0"/>
                <w:color w:val="000000"/>
                <w:kern w:val="0"/>
                <w:sz w:val="22"/>
                <w:szCs w:val="22"/>
                <w:lang w:val="en-US" w:eastAsia="zh-CN"/>
              </w:rPr>
              <w:t>6</w:t>
            </w:r>
            <w:r>
              <w:rPr>
                <w:rFonts w:ascii="宋体" w:hAnsi="宋体" w:eastAsia="宋体" w:cs="宋体"/>
                <w:snapToGrid w:val="0"/>
                <w:color w:val="000000"/>
                <w:kern w:val="0"/>
                <w:sz w:val="22"/>
                <w:szCs w:val="22"/>
                <w:lang w:eastAsia="en-US"/>
              </w:rPr>
              <w:t>分）</w:t>
            </w:r>
          </w:p>
        </w:tc>
        <w:tc>
          <w:tcPr>
            <w:tcW w:w="7141" w:type="dxa"/>
            <w:vAlign w:val="top"/>
          </w:tcPr>
          <w:p w14:paraId="45A22BB5">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根据各投标人提供的文明施工措施方案及制度进行综合评分，方案内容包括但不限于：</w:t>
            </w:r>
          </w:p>
          <w:p w14:paraId="738925F2">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1. 健全的环境保护管理体系措施；</w:t>
            </w:r>
          </w:p>
          <w:p w14:paraId="68DD17B3">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2. 污物处理与排放管理制度；</w:t>
            </w:r>
          </w:p>
          <w:p w14:paraId="79436FCD">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3. 人员安全管理教育制度措施；</w:t>
            </w:r>
          </w:p>
          <w:p w14:paraId="550516CE">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4. 施工现场安全的技术管理及防护措施。</w:t>
            </w:r>
          </w:p>
          <w:p w14:paraId="400719D2">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内容详细完整、科学合理、贴合项目的实际要求、针对性强、可操作性强 得</w:t>
            </w:r>
            <w:r>
              <w:rPr>
                <w:rFonts w:hint="eastAsia" w:ascii="宋体" w:hAnsi="宋体" w:eastAsia="宋体" w:cs="宋体"/>
                <w:snapToGrid w:val="0"/>
                <w:color w:val="000000"/>
                <w:kern w:val="0"/>
                <w:sz w:val="22"/>
                <w:szCs w:val="22"/>
                <w:lang w:val="en-US" w:eastAsia="zh-CN"/>
              </w:rPr>
              <w:t>1</w:t>
            </w:r>
            <w:r>
              <w:rPr>
                <w:rFonts w:hint="eastAsia" w:ascii="宋体" w:hAnsi="宋体" w:cs="宋体"/>
                <w:snapToGrid w:val="0"/>
                <w:color w:val="000000"/>
                <w:kern w:val="0"/>
                <w:sz w:val="22"/>
                <w:szCs w:val="22"/>
                <w:lang w:val="en-US" w:eastAsia="zh-CN"/>
              </w:rPr>
              <w:t>6</w:t>
            </w:r>
            <w:r>
              <w:rPr>
                <w:rFonts w:ascii="宋体" w:hAnsi="宋体" w:eastAsia="宋体" w:cs="宋体"/>
                <w:snapToGrid w:val="0"/>
                <w:color w:val="000000"/>
                <w:kern w:val="0"/>
                <w:sz w:val="22"/>
                <w:szCs w:val="22"/>
                <w:lang w:eastAsia="en-US"/>
              </w:rPr>
              <w:t>分；每缺一项内容减</w:t>
            </w:r>
            <w:r>
              <w:rPr>
                <w:rFonts w:hint="eastAsia" w:ascii="宋体" w:hAnsi="宋体" w:cs="宋体"/>
                <w:snapToGrid w:val="0"/>
                <w:color w:val="000000"/>
                <w:kern w:val="0"/>
                <w:sz w:val="22"/>
                <w:szCs w:val="22"/>
                <w:lang w:val="en-US" w:eastAsia="zh-CN"/>
              </w:rPr>
              <w:t>4</w:t>
            </w:r>
            <w:r>
              <w:rPr>
                <w:rFonts w:ascii="宋体" w:hAnsi="宋体" w:eastAsia="宋体" w:cs="宋体"/>
                <w:snapToGrid w:val="0"/>
                <w:color w:val="000000"/>
                <w:kern w:val="0"/>
                <w:sz w:val="22"/>
                <w:szCs w:val="22"/>
                <w:lang w:eastAsia="en-US"/>
              </w:rPr>
              <w:t>分，每有一项内容存在缺陷（缺陷指内容阐述错误、不清晰、存在偏差或过于简略）的减</w:t>
            </w:r>
            <w:r>
              <w:rPr>
                <w:rFonts w:hint="eastAsia" w:ascii="宋体" w:hAnsi="宋体" w:cs="宋体"/>
                <w:snapToGrid w:val="0"/>
                <w:color w:val="000000"/>
                <w:kern w:val="0"/>
                <w:sz w:val="22"/>
                <w:szCs w:val="22"/>
                <w:lang w:val="en-US" w:eastAsia="zh-CN"/>
              </w:rPr>
              <w:t>2</w:t>
            </w:r>
            <w:r>
              <w:rPr>
                <w:rFonts w:ascii="宋体" w:hAnsi="宋体" w:eastAsia="宋体" w:cs="宋体"/>
                <w:snapToGrid w:val="0"/>
                <w:color w:val="000000"/>
                <w:kern w:val="0"/>
                <w:sz w:val="22"/>
                <w:szCs w:val="22"/>
                <w:lang w:eastAsia="en-US"/>
              </w:rPr>
              <w:t>分，减完为止。未提供方案得0 分。</w:t>
            </w:r>
          </w:p>
        </w:tc>
        <w:tc>
          <w:tcPr>
            <w:tcW w:w="640" w:type="dxa"/>
            <w:vAlign w:val="top"/>
          </w:tcPr>
          <w:p w14:paraId="56F96795">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4D8E9032">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45A3BD69">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455176DE">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0FB1F0DF">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1CDBFA1E">
            <w:pPr>
              <w:widowControl/>
              <w:kinsoku w:val="0"/>
              <w:autoSpaceDE w:val="0"/>
              <w:autoSpaceDN w:val="0"/>
              <w:adjustRightInd w:val="0"/>
              <w:snapToGrid w:val="0"/>
              <w:spacing w:before="31" w:line="230" w:lineRule="auto"/>
              <w:ind w:left="9" w:right="92"/>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16</w:t>
            </w:r>
          </w:p>
        </w:tc>
      </w:tr>
      <w:tr w14:paraId="07FD4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996" w:type="dxa"/>
            <w:vMerge w:val="continue"/>
            <w:tcBorders>
              <w:top w:val="nil"/>
            </w:tcBorders>
            <w:vAlign w:val="top"/>
          </w:tcPr>
          <w:p w14:paraId="2F50F6E6">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tc>
        <w:tc>
          <w:tcPr>
            <w:tcW w:w="1315" w:type="dxa"/>
            <w:vAlign w:val="top"/>
          </w:tcPr>
          <w:p w14:paraId="36B062B8">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5FF1F206">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703439D2">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售后服务  方案</w:t>
            </w:r>
          </w:p>
          <w:p w14:paraId="1713A955">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w:t>
            </w:r>
            <w:r>
              <w:rPr>
                <w:rFonts w:hint="eastAsia" w:ascii="宋体" w:hAnsi="宋体" w:eastAsia="宋体" w:cs="宋体"/>
                <w:snapToGrid w:val="0"/>
                <w:color w:val="000000"/>
                <w:kern w:val="0"/>
                <w:sz w:val="22"/>
                <w:szCs w:val="22"/>
                <w:lang w:val="en-US" w:eastAsia="zh-CN"/>
              </w:rPr>
              <w:t>5</w:t>
            </w:r>
            <w:r>
              <w:rPr>
                <w:rFonts w:ascii="宋体" w:hAnsi="宋体" w:eastAsia="宋体" w:cs="宋体"/>
                <w:snapToGrid w:val="0"/>
                <w:color w:val="000000"/>
                <w:kern w:val="0"/>
                <w:sz w:val="22"/>
                <w:szCs w:val="22"/>
                <w:lang w:eastAsia="en-US"/>
              </w:rPr>
              <w:t>分）</w:t>
            </w:r>
          </w:p>
        </w:tc>
        <w:tc>
          <w:tcPr>
            <w:tcW w:w="7141" w:type="dxa"/>
            <w:vAlign w:val="top"/>
          </w:tcPr>
          <w:p w14:paraId="0BF7441A">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val="en-US" w:eastAsia="en-US"/>
              </w:rPr>
            </w:pPr>
          </w:p>
          <w:p w14:paraId="6E0C41AB">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 xml:space="preserve">1.有完善的售后服务体系和售后服务承诺得 </w:t>
            </w:r>
            <w:r>
              <w:rPr>
                <w:rFonts w:hint="eastAsia" w:ascii="宋体" w:hAnsi="宋体" w:eastAsia="宋体" w:cs="宋体"/>
                <w:snapToGrid w:val="0"/>
                <w:color w:val="000000"/>
                <w:kern w:val="0"/>
                <w:sz w:val="22"/>
                <w:szCs w:val="22"/>
                <w:lang w:val="en-US" w:eastAsia="zh-CN"/>
              </w:rPr>
              <w:t>5</w:t>
            </w:r>
            <w:r>
              <w:rPr>
                <w:rFonts w:ascii="宋体" w:hAnsi="宋体" w:eastAsia="宋体" w:cs="宋体"/>
                <w:snapToGrid w:val="0"/>
                <w:color w:val="000000"/>
                <w:kern w:val="0"/>
                <w:sz w:val="22"/>
                <w:szCs w:val="22"/>
                <w:lang w:eastAsia="en-US"/>
              </w:rPr>
              <w:t>分；</w:t>
            </w:r>
          </w:p>
          <w:p w14:paraId="3345F43C">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2.有相对完善的售后服务体系和售后服务承诺得 3 分；</w:t>
            </w:r>
          </w:p>
          <w:p w14:paraId="1730074B">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3.售后服务体系和售后服务承诺不够完善得 1 分。</w:t>
            </w:r>
          </w:p>
          <w:p w14:paraId="00D055A4">
            <w:pPr>
              <w:widowControl/>
              <w:kinsoku w:val="0"/>
              <w:autoSpaceDE w:val="0"/>
              <w:autoSpaceDN w:val="0"/>
              <w:adjustRightInd w:val="0"/>
              <w:snapToGrid w:val="0"/>
              <w:spacing w:before="31" w:line="230" w:lineRule="auto"/>
              <w:ind w:left="9" w:right="92"/>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4.未提供不得分。</w:t>
            </w:r>
          </w:p>
        </w:tc>
        <w:tc>
          <w:tcPr>
            <w:tcW w:w="640" w:type="dxa"/>
            <w:vAlign w:val="top"/>
          </w:tcPr>
          <w:p w14:paraId="75681D22">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27C6004F">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637A4491">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val="en-US" w:eastAsia="en-US"/>
              </w:rPr>
            </w:pPr>
          </w:p>
          <w:p w14:paraId="5212BFE5">
            <w:pPr>
              <w:widowControl/>
              <w:kinsoku w:val="0"/>
              <w:autoSpaceDE w:val="0"/>
              <w:autoSpaceDN w:val="0"/>
              <w:adjustRightInd w:val="0"/>
              <w:snapToGrid w:val="0"/>
              <w:spacing w:before="31" w:line="230" w:lineRule="auto"/>
              <w:ind w:left="9" w:right="92"/>
              <w:jc w:val="center"/>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zh-CN"/>
              </w:rPr>
              <w:t>5</w:t>
            </w:r>
          </w:p>
        </w:tc>
      </w:tr>
      <w:tr w14:paraId="20869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452" w:type="dxa"/>
            <w:gridSpan w:val="3"/>
            <w:vAlign w:val="top"/>
          </w:tcPr>
          <w:p w14:paraId="3A1F79C7">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合计</w:t>
            </w:r>
          </w:p>
        </w:tc>
        <w:tc>
          <w:tcPr>
            <w:tcW w:w="640" w:type="dxa"/>
            <w:vAlign w:val="top"/>
          </w:tcPr>
          <w:p w14:paraId="5DA31DCF">
            <w:pPr>
              <w:widowControl/>
              <w:kinsoku w:val="0"/>
              <w:autoSpaceDE w:val="0"/>
              <w:autoSpaceDN w:val="0"/>
              <w:adjustRightInd w:val="0"/>
              <w:snapToGrid w:val="0"/>
              <w:spacing w:before="31" w:line="230" w:lineRule="auto"/>
              <w:ind w:left="9" w:right="92"/>
              <w:jc w:val="center"/>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kern w:val="0"/>
                <w:sz w:val="22"/>
                <w:szCs w:val="22"/>
                <w:lang w:eastAsia="en-US"/>
              </w:rPr>
              <w:t>100</w:t>
            </w:r>
          </w:p>
        </w:tc>
      </w:tr>
    </w:tbl>
    <w:p w14:paraId="65407DC8">
      <w:pPr>
        <w:widowControl/>
        <w:kinsoku w:val="0"/>
        <w:autoSpaceDE w:val="0"/>
        <w:autoSpaceDN w:val="0"/>
        <w:adjustRightInd w:val="0"/>
        <w:snapToGrid w:val="0"/>
        <w:spacing w:before="35" w:line="240" w:lineRule="auto"/>
        <w:jc w:val="left"/>
        <w:textAlignment w:val="baseline"/>
        <w:rPr>
          <w:rFonts w:ascii="Arial" w:hAnsi="Arial" w:eastAsia="Arial" w:cs="Arial"/>
          <w:snapToGrid w:val="0"/>
          <w:color w:val="000000"/>
          <w:kern w:val="0"/>
          <w:szCs w:val="21"/>
          <w:lang w:eastAsia="en-US"/>
        </w:rPr>
      </w:pPr>
    </w:p>
    <w:p w14:paraId="2ED0137F">
      <w:pPr>
        <w:keepNext w:val="0"/>
        <w:keepLines w:val="0"/>
        <w:widowControl/>
        <w:suppressLineNumbers w:val="0"/>
        <w:jc w:val="center"/>
        <w:outlineLvl w:val="0"/>
        <w:rPr>
          <w:rFonts w:hint="eastAsia" w:ascii="宋体" w:hAnsi="宋体" w:eastAsia="宋体" w:cs="宋体"/>
          <w:b/>
          <w:bCs/>
          <w:color w:val="000000"/>
          <w:kern w:val="0"/>
          <w:sz w:val="28"/>
          <w:szCs w:val="28"/>
          <w:lang w:val="en-US" w:eastAsia="zh-CN" w:bidi="ar"/>
        </w:rPr>
      </w:pPr>
      <w:bookmarkStart w:id="56" w:name="_Toc6550"/>
    </w:p>
    <w:p w14:paraId="45F7E9F0">
      <w:pPr>
        <w:keepNext w:val="0"/>
        <w:keepLines w:val="0"/>
        <w:widowControl/>
        <w:suppressLineNumbers w:val="0"/>
        <w:jc w:val="center"/>
        <w:outlineLvl w:val="0"/>
        <w:rPr>
          <w:rFonts w:hint="eastAsia" w:ascii="宋体" w:hAnsi="宋体" w:eastAsia="宋体" w:cs="宋体"/>
          <w:b/>
          <w:bCs/>
          <w:color w:val="000000"/>
          <w:kern w:val="0"/>
          <w:sz w:val="28"/>
          <w:szCs w:val="28"/>
          <w:lang w:val="en-US" w:eastAsia="zh-CN" w:bidi="ar"/>
        </w:rPr>
      </w:pPr>
    </w:p>
    <w:p w14:paraId="4C4426D3">
      <w:pPr>
        <w:keepNext w:val="0"/>
        <w:keepLines w:val="0"/>
        <w:widowControl/>
        <w:suppressLineNumbers w:val="0"/>
        <w:jc w:val="center"/>
        <w:outlineLvl w:val="0"/>
        <w:rPr>
          <w:rFonts w:hint="eastAsia" w:ascii="宋体" w:hAnsi="宋体" w:eastAsia="宋体" w:cs="宋体"/>
          <w:b/>
          <w:bCs/>
          <w:color w:val="000000"/>
          <w:kern w:val="0"/>
          <w:sz w:val="28"/>
          <w:szCs w:val="28"/>
          <w:lang w:val="en-US" w:eastAsia="zh-CN" w:bidi="ar"/>
        </w:rPr>
      </w:pPr>
    </w:p>
    <w:p w14:paraId="09F18153">
      <w:pPr>
        <w:keepNext w:val="0"/>
        <w:keepLines w:val="0"/>
        <w:widowControl/>
        <w:suppressLineNumbers w:val="0"/>
        <w:jc w:val="center"/>
        <w:outlineLvl w:val="0"/>
        <w:rPr>
          <w:rFonts w:hint="eastAsia" w:ascii="宋体" w:hAnsi="宋体" w:eastAsia="宋体" w:cs="宋体"/>
          <w:b/>
          <w:bCs/>
          <w:color w:val="000000"/>
          <w:kern w:val="0"/>
          <w:sz w:val="28"/>
          <w:szCs w:val="28"/>
          <w:lang w:val="en-US" w:eastAsia="zh-CN" w:bidi="ar"/>
        </w:rPr>
      </w:pPr>
    </w:p>
    <w:p w14:paraId="3580F526">
      <w:pPr>
        <w:pStyle w:val="2"/>
        <w:rPr>
          <w:rFonts w:hint="eastAsia" w:ascii="宋体" w:hAnsi="宋体" w:eastAsia="宋体" w:cs="宋体"/>
          <w:b/>
          <w:bCs/>
          <w:color w:val="000000"/>
          <w:kern w:val="0"/>
          <w:sz w:val="28"/>
          <w:szCs w:val="28"/>
          <w:lang w:val="en-US" w:eastAsia="zh-CN" w:bidi="ar"/>
        </w:rPr>
      </w:pPr>
    </w:p>
    <w:p w14:paraId="7BDCC4B4">
      <w:pPr>
        <w:rPr>
          <w:rFonts w:hint="eastAsia" w:ascii="宋体" w:hAnsi="宋体" w:eastAsia="宋体" w:cs="宋体"/>
          <w:b/>
          <w:bCs/>
          <w:color w:val="000000"/>
          <w:kern w:val="0"/>
          <w:sz w:val="28"/>
          <w:szCs w:val="28"/>
          <w:lang w:val="en-US" w:eastAsia="zh-CN" w:bidi="ar"/>
        </w:rPr>
      </w:pPr>
    </w:p>
    <w:p w14:paraId="48DB954A">
      <w:pPr>
        <w:pStyle w:val="2"/>
        <w:rPr>
          <w:rFonts w:hint="eastAsia" w:ascii="宋体" w:hAnsi="宋体" w:eastAsia="宋体" w:cs="宋体"/>
          <w:b/>
          <w:bCs/>
          <w:color w:val="000000"/>
          <w:kern w:val="0"/>
          <w:sz w:val="28"/>
          <w:szCs w:val="28"/>
          <w:lang w:val="en-US" w:eastAsia="zh-CN" w:bidi="ar"/>
        </w:rPr>
      </w:pPr>
    </w:p>
    <w:p w14:paraId="16C86AE5">
      <w:pPr>
        <w:rPr>
          <w:rFonts w:hint="eastAsia" w:ascii="宋体" w:hAnsi="宋体" w:eastAsia="宋体" w:cs="宋体"/>
          <w:b/>
          <w:bCs/>
          <w:color w:val="000000"/>
          <w:kern w:val="0"/>
          <w:sz w:val="28"/>
          <w:szCs w:val="28"/>
          <w:lang w:val="en-US" w:eastAsia="zh-CN" w:bidi="ar"/>
        </w:rPr>
      </w:pPr>
    </w:p>
    <w:p w14:paraId="35362D41">
      <w:pPr>
        <w:pStyle w:val="2"/>
        <w:rPr>
          <w:rFonts w:hint="eastAsia"/>
          <w:lang w:val="en-US" w:eastAsia="zh-CN"/>
        </w:rPr>
      </w:pPr>
    </w:p>
    <w:p w14:paraId="5D6F0970">
      <w:pPr>
        <w:keepNext w:val="0"/>
        <w:keepLines w:val="0"/>
        <w:widowControl/>
        <w:suppressLineNumbers w:val="0"/>
        <w:jc w:val="center"/>
        <w:outlineLvl w:val="0"/>
        <w:rPr>
          <w:rFonts w:hint="eastAsia" w:ascii="宋体" w:hAnsi="宋体" w:eastAsia="宋体" w:cs="宋体"/>
          <w:b/>
          <w:bCs/>
          <w:color w:val="000000"/>
          <w:kern w:val="0"/>
          <w:sz w:val="28"/>
          <w:szCs w:val="28"/>
          <w:lang w:val="en-US" w:eastAsia="zh-CN" w:bidi="ar"/>
        </w:rPr>
      </w:pPr>
    </w:p>
    <w:p w14:paraId="2459F768">
      <w:pPr>
        <w:keepNext w:val="0"/>
        <w:keepLines w:val="0"/>
        <w:widowControl/>
        <w:suppressLineNumbers w:val="0"/>
        <w:jc w:val="center"/>
        <w:outlineLvl w:val="0"/>
        <w:rPr>
          <w:rFonts w:hint="eastAsia" w:ascii="宋体" w:hAnsi="宋体" w:eastAsia="宋体" w:cs="宋体"/>
          <w:b/>
          <w:bCs/>
          <w:color w:val="000000"/>
          <w:kern w:val="0"/>
          <w:sz w:val="28"/>
          <w:szCs w:val="28"/>
          <w:lang w:val="en-US" w:eastAsia="zh-CN" w:bidi="ar"/>
        </w:rPr>
      </w:pPr>
    </w:p>
    <w:p w14:paraId="5815E133">
      <w:pPr>
        <w:keepNext w:val="0"/>
        <w:keepLines w:val="0"/>
        <w:widowControl/>
        <w:suppressLineNumbers w:val="0"/>
        <w:jc w:val="center"/>
        <w:outlineLvl w:val="0"/>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第四章  合同格式（仅供参考）</w:t>
      </w:r>
      <w:bookmarkEnd w:id="56"/>
    </w:p>
    <w:p w14:paraId="4B7BD7AD">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[实际合同以采购人和成交供应商签署的合同为准]</w:t>
      </w:r>
    </w:p>
    <w:p w14:paraId="756BCD7C">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4FDC4CE8">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第一部分 合同书</w:t>
      </w:r>
    </w:p>
    <w:p w14:paraId="1447B9D9">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一、适用条件</w:t>
      </w:r>
    </w:p>
    <w:p w14:paraId="6D6890B2">
      <w:pPr>
        <w:keepNext w:val="0"/>
        <w:keepLines w:val="0"/>
        <w:widowControl/>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合同适用条件</w:t>
      </w:r>
    </w:p>
    <w:p w14:paraId="6BB3EA33">
      <w:pPr>
        <w:keepNext w:val="0"/>
        <w:keepLines w:val="0"/>
        <w:widowControl/>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 本合同适用于新疆维吾尔自治区农村公路建设项目。</w:t>
      </w:r>
    </w:p>
    <w:p w14:paraId="70321344">
      <w:pPr>
        <w:keepNext w:val="0"/>
        <w:keepLines w:val="0"/>
        <w:widowControl/>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 施工图设计文件经过审查批准，列入建设计划，资金落实到位，征地拆迁工作已经完成。</w:t>
      </w:r>
    </w:p>
    <w:p w14:paraId="149F2CB0">
      <w:pPr>
        <w:keepNext w:val="0"/>
        <w:keepLines w:val="0"/>
        <w:widowControl/>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合同文件及优先顺序</w:t>
      </w:r>
    </w:p>
    <w:p w14:paraId="7B2D33D9">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组成合同的各项文件应互相解释，互为说明。除项目专用合同条款另有约定外， 解释合同文件的优先顺序如下：</w:t>
      </w:r>
    </w:p>
    <w:p w14:paraId="3C28F8EC">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（1）合同协议书及各种合同附件（含评标期间和合同谈判过程中的澄清文件 和补充资料）；</w:t>
      </w:r>
    </w:p>
    <w:p w14:paraId="1E9AA13B">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（2）中标通知书；</w:t>
      </w:r>
    </w:p>
    <w:p w14:paraId="07DCAC3F">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（3）投标函及投标函附录；</w:t>
      </w:r>
    </w:p>
    <w:p w14:paraId="15A3016F">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（4）专用合同条款；</w:t>
      </w:r>
    </w:p>
    <w:p w14:paraId="7930FDE4">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（5）通用合同条款；</w:t>
      </w:r>
    </w:p>
    <w:p w14:paraId="0B4939AB">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（6）工程量清单计量规则；</w:t>
      </w:r>
    </w:p>
    <w:p w14:paraId="2FC61AB4">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（7）技术规范；</w:t>
      </w:r>
    </w:p>
    <w:p w14:paraId="1AEB8674">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（8）图纸；</w:t>
      </w:r>
    </w:p>
    <w:p w14:paraId="3CE77080">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（9）已标价工程量清单；</w:t>
      </w:r>
    </w:p>
    <w:p w14:paraId="7F02D2EC">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（10）承包人有关人员、设备投入的承诺及磋商响应文件中的施工组织设计；</w:t>
      </w:r>
    </w:p>
    <w:p w14:paraId="2E3E85A0">
      <w:pPr>
        <w:keepNext w:val="0"/>
        <w:keepLines w:val="0"/>
        <w:widowControl/>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（11）其他合同文件。</w:t>
      </w:r>
    </w:p>
    <w:p w14:paraId="34A13481">
      <w:pPr>
        <w:keepNext w:val="0"/>
        <w:keepLines w:val="0"/>
        <w:widowControl/>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适用法律及规范</w:t>
      </w:r>
    </w:p>
    <w:p w14:paraId="21AA3B6A">
      <w:pPr>
        <w:keepNext w:val="0"/>
        <w:keepLines w:val="0"/>
        <w:widowControl/>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3.1 适用法律和法规</w:t>
      </w:r>
    </w:p>
    <w:p w14:paraId="6041FEEB">
      <w:pPr>
        <w:keepNext w:val="0"/>
        <w:keepLines w:val="0"/>
        <w:widowControl/>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本合同服从国家法律和行政法规、部门规章以及新疆维吾尔自治区地方法规、自治条例、单行条例和地方政府规章。</w:t>
      </w:r>
    </w:p>
    <w:p w14:paraId="012738FA">
      <w:pPr>
        <w:keepNext w:val="0"/>
        <w:keepLines w:val="0"/>
        <w:widowControl/>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3.2 适用标准、规范</w:t>
      </w:r>
    </w:p>
    <w:p w14:paraId="6EB1717B">
      <w:pPr>
        <w:keepNext w:val="0"/>
        <w:keepLines w:val="0"/>
        <w:widowControl/>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现行国家标准、规范；交通运输部行业标准、规范；地方标准、规范适用本合同。发包人及承包人应注意标准、规范及规程的变更，在招投标及项目实施期内出 现应采用有效版本的标准、规范及规程，不发生由此引起的费用变更。</w:t>
      </w:r>
    </w:p>
    <w:p w14:paraId="108E2738">
      <w:pPr>
        <w:keepNext w:val="0"/>
        <w:keepLines w:val="0"/>
        <w:widowControl/>
        <w:numPr>
          <w:ilvl w:val="0"/>
          <w:numId w:val="3"/>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图纸和技术资料</w:t>
      </w:r>
    </w:p>
    <w:p w14:paraId="519C6AA5">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4.1 合同协议书签定之后，发包人免费向承包人提供施工图纸（相关技术资料） 两份，向承包人进行技术交底。</w:t>
      </w:r>
    </w:p>
    <w:p w14:paraId="5B6A0E0E">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4.2 发包人有权通过监理人向承包人发出为满足本合同工程的正确实施和完成及其缺陷修复所需的补充图纸和有关指示，承包人应予执行。</w:t>
      </w:r>
    </w:p>
    <w:p w14:paraId="4346AE39">
      <w:pPr>
        <w:keepNext w:val="0"/>
        <w:keepLines w:val="0"/>
        <w:widowControl/>
        <w:numPr>
          <w:ilvl w:val="0"/>
          <w:numId w:val="0"/>
        </w:numPr>
        <w:suppressLineNumbers w:val="0"/>
        <w:jc w:val="center"/>
        <w:rPr>
          <w:rFonts w:hint="eastAsia" w:ascii="宋体" w:hAnsi="宋体" w:eastAsia="宋体" w:cs="宋体"/>
          <w:b/>
          <w:bCs/>
          <w:color w:val="000000"/>
          <w:kern w:val="0"/>
          <w:sz w:val="28"/>
          <w:szCs w:val="28"/>
          <w:lang w:val="en-US" w:eastAsia="zh-CN" w:bidi="ar"/>
        </w:rPr>
      </w:pPr>
    </w:p>
    <w:p w14:paraId="0ADCC30E">
      <w:pPr>
        <w:keepNext w:val="0"/>
        <w:keepLines w:val="0"/>
        <w:widowControl/>
        <w:numPr>
          <w:ilvl w:val="0"/>
          <w:numId w:val="0"/>
        </w:numPr>
        <w:suppressLineNumbers w:val="0"/>
        <w:jc w:val="center"/>
        <w:rPr>
          <w:rFonts w:hint="eastAsia" w:ascii="宋体" w:hAnsi="宋体" w:eastAsia="宋体" w:cs="宋体"/>
          <w:b/>
          <w:bCs/>
          <w:color w:val="000000"/>
          <w:kern w:val="0"/>
          <w:sz w:val="28"/>
          <w:szCs w:val="28"/>
          <w:lang w:val="en-US" w:eastAsia="zh-CN" w:bidi="ar"/>
        </w:rPr>
      </w:pPr>
    </w:p>
    <w:p w14:paraId="3DE5F332">
      <w:pPr>
        <w:keepNext w:val="0"/>
        <w:keepLines w:val="0"/>
        <w:widowControl/>
        <w:numPr>
          <w:ilvl w:val="0"/>
          <w:numId w:val="0"/>
        </w:numPr>
        <w:suppressLineNumbers w:val="0"/>
        <w:jc w:val="center"/>
        <w:rPr>
          <w:rFonts w:hint="eastAsia" w:ascii="宋体" w:hAnsi="宋体" w:eastAsia="宋体" w:cs="宋体"/>
          <w:b/>
          <w:bCs/>
          <w:color w:val="000000"/>
          <w:kern w:val="0"/>
          <w:sz w:val="28"/>
          <w:szCs w:val="28"/>
          <w:lang w:val="en-US" w:eastAsia="zh-CN" w:bidi="ar"/>
        </w:rPr>
      </w:pPr>
    </w:p>
    <w:p w14:paraId="441DD47A">
      <w:pPr>
        <w:keepNext w:val="0"/>
        <w:keepLines w:val="0"/>
        <w:widowControl/>
        <w:numPr>
          <w:ilvl w:val="0"/>
          <w:numId w:val="0"/>
        </w:numPr>
        <w:suppressLineNumbers w:val="0"/>
        <w:jc w:val="center"/>
        <w:rPr>
          <w:rFonts w:hint="eastAsia" w:ascii="宋体" w:hAnsi="宋体" w:eastAsia="宋体" w:cs="宋体"/>
          <w:b/>
          <w:bCs/>
          <w:color w:val="000000"/>
          <w:kern w:val="0"/>
          <w:sz w:val="28"/>
          <w:szCs w:val="28"/>
          <w:lang w:val="en-US" w:eastAsia="zh-CN" w:bidi="ar"/>
        </w:rPr>
      </w:pPr>
    </w:p>
    <w:p w14:paraId="215E36E2">
      <w:pPr>
        <w:keepNext w:val="0"/>
        <w:keepLines w:val="0"/>
        <w:widowControl/>
        <w:numPr>
          <w:ilvl w:val="0"/>
          <w:numId w:val="0"/>
        </w:numPr>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二、双方一般义务和责任</w:t>
      </w:r>
    </w:p>
    <w:p w14:paraId="726B4ED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 发包人一般义务和责任</w:t>
      </w:r>
    </w:p>
    <w:p w14:paraId="7BD4A191">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5.1发包人应在其组织实施本合同的全部工作中遵守与本合同有关的法律、法 规和规章，同时应承担合同条款中规定的一般义务和责任，并应承担由于自身违反上述法律、法规和规章的责任。</w:t>
      </w:r>
    </w:p>
    <w:p w14:paraId="27B54137">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5.2 发包人应负责工程用地范围内的征地拆迁工作，并承担相关费用。发包人 应协助承包人办理法律规定的有关本项目的施工手续。</w:t>
      </w:r>
    </w:p>
    <w:p w14:paraId="37DCFA0C">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按时向承包人提供施工用地，保证按时开工。由于发包人未能按照本项规定办 妥永久占地征用手续及施工用地，影响承包人及时使用永久占地及施工用地造成的费用增加和(或)工期延误应由发包人承担。</w:t>
      </w:r>
    </w:p>
    <w:p w14:paraId="675E3A41">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5.3工程实行社会监理的，发包人将委托的监理人、监理内容及监理权限以书面形式通知承包人。</w:t>
      </w:r>
    </w:p>
    <w:p w14:paraId="31E2AF65">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5.4 监理人按合同规定向承包人发出开工通知（应征得发包人同意）。</w:t>
      </w:r>
    </w:p>
    <w:p w14:paraId="1A93B716">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5.5 发包人应及时提供设计图纸及资料（包括变更设计），因发包人的原因造 成的停工、窝工，除应允许承包人延长相应工期外，还应补偿由此对承包人造成的损失。补偿额由监理人在现场核查后计算其数额，报发包人批准后支付。</w:t>
      </w:r>
    </w:p>
    <w:p w14:paraId="31B122DB">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5.6 发包人向承包人支付的预付款金额见合同条款数据表。承包人提交的履约保证金对预付款的正常使用承担保证责任，承包人无再须向发包人提交预付款保函。</w:t>
      </w:r>
    </w:p>
    <w:p w14:paraId="1118C92F">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5.7发包人在接到监理人审定的中期支付报告后14天内拨付工程进度款。在中期支付中应扣除预付款，预付款的扣回按合同条款 17.3 款执行。监理人签发中期支付证书的时限为 14 天。</w:t>
      </w:r>
    </w:p>
    <w:p w14:paraId="45DD03EA">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5.8 发包人在接到监理人交工验收报告后在符合交工验收条件的情况下14天内组织交工验收，发包人应在收到承包人缴纳的质量保证金后28天内将履约保证金 退还给承包人。</w:t>
      </w:r>
    </w:p>
    <w:p w14:paraId="14DA49DE">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交工后进入缺陷责任期，缺陷责任期见合同条款数据表。发包人应按合同约定及时组织竣工验收，签发缺陷责任终止证书，退返质量保证金。</w:t>
      </w:r>
    </w:p>
    <w:p w14:paraId="286B7FB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 承包人一般义务和责任</w:t>
      </w:r>
    </w:p>
    <w:p w14:paraId="7E992A66">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 1承包人在执行本工程合同全过程中应遵守与本合同有关的法律、法规和规章，并保证发包人免于承担因承包人违反法律而引起的任何责任。同时应承担合同 条款中规定的义务和责任，并承担由于自身违反上述法律、法规和规章的任何责任。</w:t>
      </w:r>
    </w:p>
    <w:p w14:paraId="5CD25E9D">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6.2承包人应按合同约定以及监理人根据合同文件作出的指示，实施、完成全 部工程，并修补工程中的任何缺陷。除专用合同条款另有约定外，承包人应提供为完成合同工作所需的劳务、材料、施工设备、工程设备和其他物品，并按合同约定负责临时设施的设计、建造、运行、维护、管理和拆除。</w:t>
      </w:r>
    </w:p>
    <w:p w14:paraId="5F242032">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6.3 承包人应仔细核查发包人提供的设计文件，对于存在的错误或疏忽，应及时通知监理人。</w:t>
      </w:r>
    </w:p>
    <w:p w14:paraId="07A53D3A">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6.4承包人应保证其履约保证金在发包人签发交工验收证书且承包人按照合 同约定缴纳质量保证金前一直有效。</w:t>
      </w:r>
    </w:p>
    <w:p w14:paraId="13FF068A">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6.5承包人应设立针对该项目的独立银行账户，所有要求用于该项目的资金不得挪作他用，否则发包人有权终止合同，没收履约保证金。</w:t>
      </w:r>
    </w:p>
    <w:p w14:paraId="5FE9AEE5">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6.6承包人应按有关法律规定纳税，其费用包括在合同价格内。</w:t>
      </w:r>
    </w:p>
    <w:p w14:paraId="2B5E6DF8">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6.7承包人应认真执行监理人发出的与合同有关的任何指令，及时进场施工</w:t>
      </w:r>
      <w:r>
        <w:rPr>
          <w:rFonts w:hint="eastAsia" w:ascii="宋体" w:hAnsi="宋体" w:cs="宋体"/>
          <w:b w:val="0"/>
          <w:bCs w:val="0"/>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按时完成合同规定的全部承包内容。</w:t>
      </w:r>
    </w:p>
    <w:p w14:paraId="035A767D">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6.8承包人应按合同约定指派项目经理、项目总工，并在约定的期限内到职。承包人更换项目经理、项目总工应事先征得发包人同意。进入现场的职工，应能胜任其本职工作。发包人和承包人在合同谈判阶段确定的其他管理和技术人员必须及时进场。承包人应按发包人和承包人在合同谈判阶段确定的主要机械设备和试验检测设备按时到达施工现场。人员、机械、试验仪器设备不得拖延、短缺或任意更换。 否则将视为承包人违约。承包人应按有关规定，确保工程及其人员、材料、设备和设施的安全，防止因工程施工造成的人员伤害和财产损失。</w:t>
      </w:r>
    </w:p>
    <w:p w14:paraId="3D991E03">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6.9承包人应按设计图纸及相关资料和规范要求，精心组织施工，并对现场文 明施工、环境保护及作业和施工方法的完备性和可靠性负全部责任。不合格的材料及机械设备不得运入现场。</w:t>
      </w:r>
    </w:p>
    <w:p w14:paraId="4EB763C5">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 10 承包人不得从为发包人、监理人服务的人员中招聘雇员或工人。雇用员 工应订立劳务合同，执行国家有关劳动保障规定，不得无故克扣或拖欠劳务人员的工资。</w:t>
      </w:r>
    </w:p>
    <w:p w14:paraId="64522AA2">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6.11 承包人应为本合同的施工建立强有力的质量保证体系和质检体系，建立质量责任制、加强质量监控，完备检验手段，对现场施工的可靠性、安全性承担全部责任。</w:t>
      </w:r>
    </w:p>
    <w:p w14:paraId="102AEC3D">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6.12  批准的设计文件中要求的所有事项应视为合同条款所要求的，若有争议，以监理人发出的指令为准。</w:t>
      </w:r>
    </w:p>
    <w:p w14:paraId="7A11A10D">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 13 承包人应负责工程移交前的照管和维护工作，确保工程正式移交时不受到损坏。</w:t>
      </w:r>
    </w:p>
    <w:p w14:paraId="1B07B581">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6.14承包人应在工程交工验收合格证书签发后 14 天内完成工地清理并撤离人 员、设备和剩余材料。未完成缺陷责任而留置的人员、设备、材料除外。</w:t>
      </w:r>
    </w:p>
    <w:p w14:paraId="3A8742A1">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6.15 承包人应按国家有关劳动保护的规定，保障其雇佣人员的合法权益。</w:t>
      </w:r>
    </w:p>
    <w:p w14:paraId="577AA8D9">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承包人应严格遵守国家及地方政府有关解决拖欠工程款和农民工工资的法律、法规、规章及规范性文件，及时支付工程中的材料、设备货款及农民工工资等费用。对恶意拖欠和拒不按计划支付的，作为不良记录纳入公路建设市场信用信息管理系统；</w:t>
      </w:r>
    </w:p>
    <w:p w14:paraId="05803336">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（2）承包人应当依法与每一名农民工或具有劳务资质的劳务公司签订合同，合同中应当明确约定工作内容、工作要求、工作条件、工作地点、安全生产要求、 劳动报酬（包括工日单价或计量单价）、支付时间和支付方式等内容，在签订劳务或劳动合同后，农民工方可进场。承包人临时或短期聘用农民工的，应当签订短期临时合同。</w:t>
      </w:r>
    </w:p>
    <w:p w14:paraId="25ED991B">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承包人项目部应当配备劳资专管员，对农民工实行实名制管理，记录施工人员进出场情况和施工现场作业农民工的身份信息、劳动考勤，建立工资结算与支付等管理台账，审核分包人编制的农民工工资支付表，实时掌握施工现场用工及其工资支付情况，不得以包代管。</w:t>
      </w:r>
    </w:p>
    <w:p w14:paraId="73B51A6B">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（4）农民工工资的发放，应严格按照国家及地方政府有关法律、法规、规章及规范性文件的规定执行。</w:t>
      </w:r>
    </w:p>
    <w:p w14:paraId="5007F20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承包人应分解工程价款中的人工费用，在工程项目所在地银行开设农民工工资（劳务费）专用账户，专项用于支付农民工工资。发包人应按照本合同约定的比例或承包人提供的人工费用数额，足额支付人工费用，将应付工程款中的人工费单独拨付到承包人开设的农民工工资（劳务费）专用账户。农民工工资（劳务费）专用账户应向人力资源社会保障部门和交通运输主管部门备案，并委托开户银行负责日 常监管，确保专款专用。开户银行发现账户资金不足、被挪用等情况，应及时向人力资源社会保障部门和交通运输主管部门报告。</w:t>
      </w:r>
    </w:p>
    <w:p w14:paraId="4B375EC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分包人应按月考核农民工工作量并编制工资支付表，经农民工本人签字确认后，交承包人汇总核定并报发包人。发包人支付工程款中的人工费用后，承包人将核定的分包人工资支付表提交银行，由银行通过专用账户将工资代付到农民工个人银行账户，并向分包人提供代发工资凭证。</w:t>
      </w:r>
    </w:p>
    <w:p w14:paraId="2FCBE468">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（5）为确保施工过程中农民工工资实时、足额发放到位，承包人应按照项目合同条款约定的时间、金额、形式缴存农民工工资保证金。</w:t>
      </w:r>
    </w:p>
    <w:p w14:paraId="59A9AB03">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农民工工资保证金的缴存时间：承包项目开工前；农民工工资保证金的缴存金额：按《新疆维吾尔自治区农民工工资保证金管理暂行办法》（新政办发[2007]114 号）的有关规定缴纳；</w:t>
      </w:r>
    </w:p>
    <w:p w14:paraId="35D8E0B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农民工工资保证金的缴存形式：可采用银行保函或现金、支票形式。采用银行保函时，出具保函的银行须具有相应担保能力，且按照发包人批准的格式出具，所需费用由承包人承担。</w:t>
      </w:r>
    </w:p>
    <w:p w14:paraId="7294E5B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若发生拖欠农民工工资的情况，发包人有权动用此保证金支付被拖欠的农民工工资。此保证金不足以支付拖欠的农民工工资，不足金额在履约保证金金及质量保留金中支付。农民工工资保证金的扣留条件、返还时间按照项目合同条款的约定执行：</w:t>
      </w:r>
    </w:p>
    <w:p w14:paraId="529B2E1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农民工工资保证金的扣留条件：承包人拖欠工资被责令限期支付逾期未支付时；农民工工资保证金的返还时间：交工证书签发后两个月内无农民工工资纠纷发生，发包人将保证金全额退还给承包人。</w:t>
      </w:r>
    </w:p>
    <w:p w14:paraId="67FF2082">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（6）承包人应当在施工现场醒目位置设立维权信息告示牌，按照行政监督部门和发包人的要求进行维权信息公示明示。工程通过交工验收后，承包人对无拖欠 农民工工资情况进行不少于30日的公示，公示期间无举报投诉的，持发包人审核确认意见到开户银行办理农民工工资专用账户撤销手续，账户内余额归承包人所有。</w:t>
      </w:r>
    </w:p>
    <w:p w14:paraId="64796F5B">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为认真贯彻落实自治区党委、人民政府关于使用农民工解决我区农村劳动力过剩、增加农民收入有关问题的指示精神，承包人应严格按《关于印发自治区固定资产投资项目促进农村劳动力培训就业工作实施方案的通知》（新政办发〔2017〕62 号）、《关于在公路基础设施建设中使用农民工有关意见的通知》（新交综[2003]42 号</w:t>
      </w:r>
    </w:p>
    <w:p w14:paraId="37D870CE">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文）、《新疆维吾尔自治区交通厅关于交通建设项目防止拖欠工程款和农民工工资管理暂行办法（试行）》、《新疆维吾尔自治区公路工程建设农民工用工管理办法（试行）》（新交工程〔2017〕16 号）等相关规定，在施工中选用除技术工以外的普工时要使用项目沿线或附近的农民工，且数量不得低于普工总数的 90％；要制定相应的计划和措施。</w:t>
      </w:r>
    </w:p>
    <w:p w14:paraId="253681B6">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6.16承包人应负责处理其雇佣人员因工伤亡事故的善后事宜。</w:t>
      </w:r>
    </w:p>
    <w:p w14:paraId="7A033244">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6.17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1905155">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 18 承包人应为其雇佣人员提供必要的食宿条件，以及符合环境保护和卫生要求的生活环境，在远离城镇的施工场地，还应配备必要的伤病防治和急救的医务人员与医疗设施。</w:t>
      </w:r>
    </w:p>
    <w:p w14:paraId="4B8351F6">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6.19承包人应履行的其他义务</w:t>
      </w:r>
    </w:p>
    <w:p w14:paraId="58A44315">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（1）凡是与已建铁路、公路、堤防、通讯及电力缆线、供水、输油、输气管道、 居民住宅区等有交叉、干扰的地段，承包人应在不干扰铁路、公路正常营运以及注意保护地下管线、不干扰附近居民的正常生活的前提下合理安排施工组织计划，采取有效措施保证施工安全，在现场设置施工和安全标志，并在必要时疏导现有交通流；凡是标段内与其他在建工程有互扰的地段，承包人应做好与其他施工单位的协调工作；凡是标段内地形复杂、存在软土路基、场地狭窄的地段，承包人应按照施工要求制定完善的施工组织计划。承包人应对上述所有工作负责，发包人将根据承包人的要求给予适当协助。承包人应将其采取上述措施而可能发生的全部费用视为已包括在或计入在本合同工程已标价的工程量清单的各相关工程细目的单价或总额价中，发包人将不另行支付。</w:t>
      </w:r>
    </w:p>
    <w:p w14:paraId="5B8560E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如因承包人采取的措施不利，影响铁路、公路、通讯及电力缆线、供水、输油、输气管道等正常安全营运、居民的正常生活而给其它部门或个人造成的一切损失，或由于上述原因造成本工程工期的拖延或施工费用的增加，均由承包人自行负责，发包人不承担任何责任。</w:t>
      </w:r>
    </w:p>
    <w:p w14:paraId="2B486022">
      <w:pPr>
        <w:keepNext w:val="0"/>
        <w:keepLines w:val="0"/>
        <w:widowControl/>
        <w:numPr>
          <w:ilvl w:val="0"/>
          <w:numId w:val="2"/>
        </w:numPr>
        <w:suppressLineNumbers w:val="0"/>
        <w:ind w:left="0" w:leftChars="0" w:firstLine="0" w:firstLine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承包人在进场前及进场施工后，应充分了解工程所在地的民族习惯、宗教 信仰、饮食禁忌等情况，并尊重当地居民的各种习俗，在施工队伍中做好宣传教育工作，否则，因承包人的员工破坏当地风俗习惯造成的恶劣影响及给发包人带来的损失由承包人承担。</w:t>
      </w:r>
    </w:p>
    <w:p w14:paraId="1BDC3BA9">
      <w:pPr>
        <w:keepNext w:val="0"/>
        <w:keepLines w:val="0"/>
        <w:widowControl/>
        <w:numPr>
          <w:ilvl w:val="0"/>
          <w:numId w:val="0"/>
        </w:numPr>
        <w:suppressLineNumbers w:val="0"/>
        <w:ind w:left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三、施工组织计划和工期</w:t>
      </w:r>
    </w:p>
    <w:p w14:paraId="2D929E25">
      <w:pPr>
        <w:keepNext w:val="0"/>
        <w:keepLines w:val="0"/>
        <w:widowControl/>
        <w:numPr>
          <w:ilvl w:val="0"/>
          <w:numId w:val="0"/>
        </w:numPr>
        <w:suppressLineNumbers w:val="0"/>
        <w:ind w:leftChars="0"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 进度计划</w:t>
      </w:r>
    </w:p>
    <w:p w14:paraId="4BE30395">
      <w:pPr>
        <w:keepNext w:val="0"/>
        <w:keepLines w:val="0"/>
        <w:widowControl/>
        <w:numPr>
          <w:ilvl w:val="0"/>
          <w:numId w:val="0"/>
        </w:numPr>
        <w:suppressLineNumbers w:val="0"/>
        <w:ind w:leftChars="0"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7.1承包人应在签订合同协议书后 14 天内，向监理人提交两份其格式和内容符合规定的施工计划，以及为完成该计划而建议采用的实施性施工安排和施工方案的说明。监理人应在 14 天内对承包人施工进度计划和施工方案说明予以批复或提出修改意见；经监理人审查后报发包人批准。经批准的施工进度计划是控制合同工程进度的依据。</w:t>
      </w:r>
    </w:p>
    <w:p w14:paraId="7F8E80D4">
      <w:pPr>
        <w:keepNext w:val="0"/>
        <w:keepLines w:val="0"/>
        <w:widowControl/>
        <w:numPr>
          <w:ilvl w:val="0"/>
          <w:numId w:val="0"/>
        </w:numPr>
        <w:suppressLineNumbers w:val="0"/>
        <w:ind w:leftChars="0"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7.2 承包人应在确保合同工期的前提下，每月对进度计划修订一次，并应在每月的 25 日前提交给监理人审查；监理人批复修订合同进度计划的期限：收到修订合同进度计划后 3 天内。</w:t>
      </w:r>
    </w:p>
    <w:p w14:paraId="3D37CEFC">
      <w:pPr>
        <w:keepNext w:val="0"/>
        <w:keepLines w:val="0"/>
        <w:widowControl/>
        <w:numPr>
          <w:ilvl w:val="0"/>
          <w:numId w:val="0"/>
        </w:numPr>
        <w:suppressLineNumbers w:val="0"/>
        <w:ind w:leftChars="0"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7.3承包人编制施工方案中要有确保工程顺利实施的保证措施。</w:t>
      </w:r>
    </w:p>
    <w:p w14:paraId="452E1097">
      <w:pPr>
        <w:keepNext w:val="0"/>
        <w:keepLines w:val="0"/>
        <w:widowControl/>
        <w:numPr>
          <w:ilvl w:val="0"/>
          <w:numId w:val="0"/>
        </w:numPr>
        <w:suppressLineNumbers w:val="0"/>
        <w:ind w:leftChars="0"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8. 开工和延误</w:t>
      </w:r>
    </w:p>
    <w:p w14:paraId="5AC81D70">
      <w:pPr>
        <w:keepNext w:val="0"/>
        <w:keepLines w:val="0"/>
        <w:widowControl/>
        <w:numPr>
          <w:ilvl w:val="0"/>
          <w:numId w:val="0"/>
        </w:numPr>
        <w:suppressLineNumbers w:val="0"/>
        <w:ind w:leftChars="0"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8.1工程开工分项目开工和分部工程开工两种：</w:t>
      </w:r>
    </w:p>
    <w:p w14:paraId="58885E1F">
      <w:pPr>
        <w:keepNext w:val="0"/>
        <w:keepLines w:val="0"/>
        <w:widowControl/>
        <w:numPr>
          <w:ilvl w:val="0"/>
          <w:numId w:val="4"/>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项目开工：承包人应在签订合同协议后 14 天内向监理人提交开工报告，主要内容应包括：施工管理机构的建立，劳务、机械设备、材料的进场情况，临时设施的修建及总体施工组织计划等；</w:t>
      </w:r>
    </w:p>
    <w:p w14:paraId="358DFE90">
      <w:pPr>
        <w:keepNext w:val="0"/>
        <w:keepLines w:val="0"/>
        <w:widowControl/>
        <w:numPr>
          <w:ilvl w:val="0"/>
          <w:numId w:val="4"/>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分部工程开工：承包人应在分部工程开工前 7 天向监理人提交分部工程开工报告，若承包人的开工准备、工作计划和质量控制方法是可接受的，经监理人书面同意，分部工程才能开工。</w:t>
      </w:r>
    </w:p>
    <w:p w14:paraId="436D02FE">
      <w:pPr>
        <w:keepNext w:val="0"/>
        <w:keepLines w:val="0"/>
        <w:widowControl/>
        <w:numPr>
          <w:ilvl w:val="0"/>
          <w:numId w:val="0"/>
        </w:numPr>
        <w:suppressLineNumbers w:val="0"/>
        <w:ind w:leftChars="0"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8.2 由于下述原因之一而影响施工进度，承包人有权要求延长工期和（或）增加费用。</w:t>
      </w:r>
    </w:p>
    <w:p w14:paraId="1326D0BD">
      <w:pPr>
        <w:keepNext w:val="0"/>
        <w:keepLines w:val="0"/>
        <w:widowControl/>
        <w:numPr>
          <w:ilvl w:val="0"/>
          <w:numId w:val="0"/>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增加合同工作内容；</w:t>
      </w:r>
    </w:p>
    <w:p w14:paraId="01BA0A69">
      <w:pPr>
        <w:keepNext w:val="0"/>
        <w:keepLines w:val="0"/>
        <w:widowControl/>
        <w:numPr>
          <w:ilvl w:val="0"/>
          <w:numId w:val="0"/>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改变合同中任何一项工作的质量要求或其他特性；</w:t>
      </w:r>
    </w:p>
    <w:p w14:paraId="7C5AE341">
      <w:pPr>
        <w:keepNext w:val="0"/>
        <w:keepLines w:val="0"/>
        <w:widowControl/>
        <w:numPr>
          <w:ilvl w:val="0"/>
          <w:numId w:val="0"/>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连续降大雨 3 天以上或特大洪水；连续 7 天 8 级以上的大风；或出现其他异常恶劣的气候条件(是指项目所在地 30 年以上一遇的罕见气候现象，包括温度、降水、降雪、风等)；</w:t>
      </w:r>
    </w:p>
    <w:p w14:paraId="77EA967A">
      <w:pPr>
        <w:keepNext w:val="0"/>
        <w:keepLines w:val="0"/>
        <w:widowControl/>
        <w:numPr>
          <w:ilvl w:val="0"/>
          <w:numId w:val="0"/>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提供图纸延误；</w:t>
      </w:r>
    </w:p>
    <w:p w14:paraId="5EAE2041">
      <w:pPr>
        <w:keepNext w:val="0"/>
        <w:keepLines w:val="0"/>
        <w:widowControl/>
        <w:numPr>
          <w:ilvl w:val="0"/>
          <w:numId w:val="0"/>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 未按合同约定及时支付预付款、进度款；</w:t>
      </w:r>
    </w:p>
    <w:p w14:paraId="02D3639C">
      <w:pPr>
        <w:keepNext w:val="0"/>
        <w:keepLines w:val="0"/>
        <w:widowControl/>
        <w:numPr>
          <w:ilvl w:val="0"/>
          <w:numId w:val="0"/>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 由于发包人原因导致的暂停施工；</w:t>
      </w:r>
    </w:p>
    <w:p w14:paraId="01CC7287">
      <w:pPr>
        <w:keepNext w:val="0"/>
        <w:keepLines w:val="0"/>
        <w:widowControl/>
        <w:numPr>
          <w:ilvl w:val="0"/>
          <w:numId w:val="0"/>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 不是由于承包人的失误或违约而发生的其他特殊情况。</w:t>
      </w:r>
    </w:p>
    <w:p w14:paraId="34CC05EA">
      <w:pPr>
        <w:keepNext w:val="0"/>
        <w:keepLines w:val="0"/>
        <w:widowControl/>
        <w:numPr>
          <w:ilvl w:val="0"/>
          <w:numId w:val="0"/>
        </w:numPr>
        <w:suppressLineNumbers w:val="0"/>
        <w:ind w:leftChars="0"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8.3 承包人应在上述情况发生后 7 天内向监理人发出要求延期的申请，并提交延期的详细情况与缘由，监理人在收到最后详细资料后 7天内调查核实并经发包人批准后予以答复，逾期不答复也不提出修改意见，则应视为承包人延期请求已获得发包人批准。</w:t>
      </w:r>
    </w:p>
    <w:p w14:paraId="5C03958F">
      <w:pPr>
        <w:keepNext w:val="0"/>
        <w:keepLines w:val="0"/>
        <w:widowControl/>
        <w:numPr>
          <w:ilvl w:val="0"/>
          <w:numId w:val="0"/>
        </w:numPr>
        <w:suppressLineNumbers w:val="0"/>
        <w:ind w:leftChars="0"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8.4 由于承包人原因，未能按合同进度计划完成工作，或监理人认为承包人施工进度不能满足合同工期要求的，承包人应采取措施加快进度，并承担加快进度所增加的费用。由于承包人原因造成工期延误，承包人应支付逾期违约金。逾期交工违约金的计算方法在合同条款数据表中约定，时间自预定的交工日期起到交工验收证书中写明的实际交工日期止（扣除已批准的延长工期），按天计算。逾期交工违约金累计金额最高不超过合同条款数据表中写明的限额。但不免除承包人完成工程及修补缺陷的义务。</w:t>
      </w:r>
    </w:p>
    <w:p w14:paraId="227F9D91">
      <w:pPr>
        <w:keepNext w:val="0"/>
        <w:keepLines w:val="0"/>
        <w:widowControl/>
        <w:numPr>
          <w:ilvl w:val="0"/>
          <w:numId w:val="0"/>
        </w:numPr>
        <w:suppressLineNumbers w:val="0"/>
        <w:ind w:leftChars="0"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9. 工期提前</w:t>
      </w:r>
    </w:p>
    <w:p w14:paraId="0C2A4668">
      <w:pPr>
        <w:keepNext w:val="0"/>
        <w:keepLines w:val="0"/>
        <w:widowControl/>
        <w:numPr>
          <w:ilvl w:val="0"/>
          <w:numId w:val="0"/>
        </w:numPr>
        <w:suppressLineNumbers w:val="0"/>
        <w:ind w:leftChars="0"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发包人不得随意要求承包人提前交工，承包人也不得随意提出提前交工的建议。如遇特殊情况，发包人确需将工期提前的，发生的费用由发包人承担，发包人和承包人必须采取有效措施，确保工程质量。</w:t>
      </w:r>
    </w:p>
    <w:p w14:paraId="706B504F">
      <w:pPr>
        <w:keepNext w:val="0"/>
        <w:keepLines w:val="0"/>
        <w:widowControl/>
        <w:numPr>
          <w:ilvl w:val="0"/>
          <w:numId w:val="0"/>
        </w:numPr>
        <w:suppressLineNumbers w:val="0"/>
        <w:ind w:leftChars="0"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 暂停施工及复工</w:t>
      </w:r>
    </w:p>
    <w:p w14:paraId="097646C3">
      <w:pPr>
        <w:keepNext w:val="0"/>
        <w:keepLines w:val="0"/>
        <w:widowControl/>
        <w:numPr>
          <w:ilvl w:val="0"/>
          <w:numId w:val="0"/>
        </w:numPr>
        <w:suppressLineNumbers w:val="0"/>
        <w:ind w:leftChars="0"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10.1 承包人暂停施工增加的费用和（或）工期延误由承包人承担，包括：</w:t>
      </w:r>
    </w:p>
    <w:p w14:paraId="5D0D5B99">
      <w:pPr>
        <w:keepNext w:val="0"/>
        <w:keepLines w:val="0"/>
        <w:widowControl/>
        <w:numPr>
          <w:ilvl w:val="0"/>
          <w:numId w:val="0"/>
        </w:numPr>
        <w:suppressLineNumbers w:val="0"/>
        <w:ind w:leftChars="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（1）承包人违约引起的暂停施工；</w:t>
      </w:r>
    </w:p>
    <w:p w14:paraId="60CB349E">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p>
    <w:p w14:paraId="731E9040">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由于承包人原因为工程合理施工和安全保障所必需的暂停施工；</w:t>
      </w:r>
    </w:p>
    <w:p w14:paraId="13605BE3">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承包人擅自暂停施工；</w:t>
      </w:r>
    </w:p>
    <w:p w14:paraId="3E1C1546">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承包人其他原因引起的暂停施工；</w:t>
      </w:r>
    </w:p>
    <w:p w14:paraId="24650562">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 现场气候条件导致的必要停工（异常恶劣气候条件除外）。</w:t>
      </w:r>
    </w:p>
    <w:p w14:paraId="6E4F7F01">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10.2  监理人认为有必要时，可向承包人作出暂停施工的指示，承包人应按监理人指示暂停施工。不论由于何种原因引起的暂停施工，暂停施工期间承包人应负责妥善保护工程并提供安全保障。因发包人或监理人的行为或失误引起的停工，由发包人承担相应的费用补偿，相应工期顺延；由承包人原因造成的停工由承包人承担发生的费用，工期不予顺延。</w:t>
      </w:r>
    </w:p>
    <w:p w14:paraId="17467A3B">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10.3  由于发包人原因引起的暂停施工造成工期延误的，承包人有权要求发包人延长工期和(或)增加费用，并支付合理利润。在自暂时停工之日起 28 天内，监理人仍未发出复工通知，承包人可向监理人提交书面通知，要求自收到该通知后 14 天 内准许已经暂停的工程（或其部分工程）继续施工。如果监理人逾期不予批准，则承包人可以（但并非必须）作如下选择：</w:t>
      </w:r>
    </w:p>
    <w:p w14:paraId="6C1D679E">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如果暂停施工仅涉及本工程的一部分时，则可将该部分工程从本合同中取消，同时将此事通知监理人；</w:t>
      </w:r>
    </w:p>
    <w:p w14:paraId="79D49CDF">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如果暂停施工影响到整个合同工程时，可视为发包人违约，并由发包人承担违约责任。</w:t>
      </w:r>
    </w:p>
    <w:p w14:paraId="0EDF18F5">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10.4 复工</w:t>
      </w:r>
    </w:p>
    <w:p w14:paraId="5FB7281A">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暂停施工后，发包人、监理人和承包人应积极协商，采取有效措施积极消除暂停施工的影响。当工程具备复工条件时，监理人应立即向承包人发出复工通知。承包人收到复工通知后，应在监理人指定的期限内复工；</w:t>
      </w:r>
    </w:p>
    <w:p w14:paraId="14890820">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承包人无故拖延和拒绝复工的，由此增加的费用和工期延误由承包人承担；因发包人原因无法按时复工的，承包人有权要求发包人延长工期和(或)增加费用，并支付合理利润。</w:t>
      </w:r>
    </w:p>
    <w:p w14:paraId="38CA523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 工程竣（交）工</w:t>
      </w:r>
    </w:p>
    <w:p w14:paraId="79FCF306">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11.1工程完工，通过交工验收质量达到合格，并已按《新疆维吾尔自治区重要农村公路竣（交）工验收办法（试行）》的规定和地方交通主管部门的规定编制了竣工图表和竣工资料后，承包人可就此向监理人申请交工验收，同时抄送发包人。</w:t>
      </w:r>
    </w:p>
    <w:p w14:paraId="2400847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监理人在收到该申请后，应在 7 天内审核并报发包人，发包人在收到申请后 14 天内应组织交工验收，并写出交工验收报告报上级主管部门备案，同时发包人在交工验 收合格后 14 天内，向承包人签发交工证书，各合同段交工验收工作所需费用由承包人承担。并办理合同工程移交管养工作。工程进入缺陷责任期。</w:t>
      </w:r>
    </w:p>
    <w:p w14:paraId="7AB678C3">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11.2 全部工程完工后，在全部工程交工证书签发之前，承包人须向发包人提交 3 套完整、合格的竣工文件与施工文件。在缺陷责任期内应补充的竣工资料应在签发缺陷责任证书之前提交。在承包人实施和完成本合同工程及其缺陷修复的义务后，应由监理人根据合同规定核查缺陷责任修复完成后填写缺陷责任终止证书，报发包人同意后，由发包人在缺陷责任期终止后 21 天之内发出。</w:t>
      </w:r>
    </w:p>
    <w:p w14:paraId="6AF43812">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11.3 工程全部完工并通过交工验收后，发包人应向上级主管部门申请进行竣工验收。组织办理竣工验收的费用，由发包人承担。</w:t>
      </w:r>
    </w:p>
    <w:p w14:paraId="2EAAE0D6">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11.4工程接收证书颁发后，承包人应按要求对施工场地进行清理，直至监理人检验合格为止。竣工清场费用由承包人承担。</w:t>
      </w:r>
    </w:p>
    <w:p w14:paraId="2912469D">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11.5 施工期运行</w:t>
      </w:r>
    </w:p>
    <w:p w14:paraId="5DB381B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w:t>
      </w:r>
      <w:r>
        <w:rPr>
          <w:rFonts w:hint="eastAsia" w:ascii="宋体" w:hAnsi="宋体" w:cs="宋体"/>
          <w:b w:val="0"/>
          <w:bCs w:val="0"/>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5</w:t>
      </w:r>
      <w:r>
        <w:rPr>
          <w:rFonts w:hint="eastAsia" w:ascii="宋体" w:hAnsi="宋体" w:cs="宋体"/>
          <w:b w:val="0"/>
          <w:bCs w:val="0"/>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1 施工期运行是指合同工程尚未全部竣工，其中某项或某几项单位工程或工程设备安装已竣工，根据专用合同条款约定，需要投入施工期运行的，经发包人 按第 11. 1 款的约定验收合格，证明能确保安全后，才能在施工期投入运行。</w:t>
      </w:r>
    </w:p>
    <w:p w14:paraId="7859E31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11.5.2</w:t>
      </w:r>
      <w:r>
        <w:rPr>
          <w:rFonts w:hint="eastAsia" w:ascii="宋体" w:hAnsi="宋体" w:eastAsia="宋体" w:cs="宋体"/>
          <w:b w:val="0"/>
          <w:bCs w:val="0"/>
          <w:color w:val="000000"/>
          <w:kern w:val="0"/>
          <w:sz w:val="28"/>
          <w:szCs w:val="28"/>
          <w:lang w:val="en-US" w:eastAsia="zh-CN" w:bidi="ar"/>
        </w:rPr>
        <w:t>在施工期运行中发现工程或工程设备损坏或存在缺陷的，由承包人按第21.2 款约定进行修复。</w:t>
      </w:r>
    </w:p>
    <w:p w14:paraId="5B24B967">
      <w:pPr>
        <w:keepNext w:val="0"/>
        <w:keepLines w:val="0"/>
        <w:widowControl/>
        <w:numPr>
          <w:ilvl w:val="0"/>
          <w:numId w:val="0"/>
        </w:numPr>
        <w:suppressLineNumbers w:val="0"/>
        <w:ind w:firstLine="280" w:firstLineChars="1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11.6 试运行</w:t>
      </w:r>
    </w:p>
    <w:p w14:paraId="108B5C6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11.6.1 除专用合同条款另有约定外，承包人应按专用合同条款约定进行工程及工程设备试运行，负责提供试运行所需的人员、器材和必要的条件，并承担全部试运行费用。</w:t>
      </w:r>
    </w:p>
    <w:p w14:paraId="1B3B451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05F4ACE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p>
    <w:p w14:paraId="5BDE34B6">
      <w:pPr>
        <w:keepNext w:val="0"/>
        <w:keepLines w:val="0"/>
        <w:widowControl/>
        <w:numPr>
          <w:ilvl w:val="0"/>
          <w:numId w:val="0"/>
        </w:numPr>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四、质量与检验</w:t>
      </w:r>
    </w:p>
    <w:p w14:paraId="48E1B41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 工程质量与检验</w:t>
      </w:r>
    </w:p>
    <w:p w14:paraId="7BC36E3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12.1承包人应保证其实施的工程质量达到约定的质量标准，质量标准的评定 以交通运输部及新疆交通运输厅有关质量检验评定标准规定为依据。因承包人原因，工程质量达不到合同约定验收标准的，监理人有权要求承包人返工直至符合合同要求为止，承包人承担由此造成的费用增加和（或）工期延误。</w:t>
      </w:r>
    </w:p>
    <w:p w14:paraId="4655E9C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因发包人原因造成工程质量达不到合同约定验收标准的，发包人应承担由于承包人返工造成的费用增加和（或）工期延误，并支付承包人合理利润。</w:t>
      </w:r>
    </w:p>
    <w:p w14:paraId="1882F19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12.2 承包人的质量管理</w:t>
      </w:r>
    </w:p>
    <w:p w14:paraId="20BDEB9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3F598A6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发包人和承包人应严格遵守交通运输部和新疆交通运输厅有关公路工程质量责任制和质量问题责任追究的相关规定，施行质量责任终身制，制定相关质量保证措施；</w:t>
      </w:r>
    </w:p>
    <w:p w14:paraId="581EBB2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用于本工程的材料和设备进场以前，承包人必须向监理人提交生产厂商出具的质量合格证书和承包人检验合格证书，证明材料、设备质量符合技术规范的规定；</w:t>
      </w:r>
    </w:p>
    <w:p w14:paraId="23F5B22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承包人应随时按监理人的指令在制造、加工或施工现场对材料和设备进行检验；</w:t>
      </w:r>
    </w:p>
    <w:p w14:paraId="36F0C1F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 承包人应为监理人对材料或设备的检验提供一切必要的协助，在材料用于工程之前，应按监理人的要求提供材料样品以供检验；</w:t>
      </w:r>
    </w:p>
    <w:p w14:paraId="74C74D4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 承包人应加强质量监控，确保规范规定的检验、抽检频率，现场质检的原始资料必须真实、准确、可靠，不得追记，接受质量检查时必须出示原始资料；</w:t>
      </w:r>
    </w:p>
    <w:p w14:paraId="47B723B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 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14:paraId="549F5B6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（8） 所有施工操作工艺应符合本合同的规定以及监理人的指令；</w:t>
      </w:r>
    </w:p>
    <w:p w14:paraId="1A0D922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（9） 对工程质量有争议，监理人可委托独立的工程质量检测机构鉴定，所需费用及因此造成的损失，由责任方承担。双方均有责任的，由双方根据其责任大小分别承担；</w:t>
      </w:r>
    </w:p>
    <w:p w14:paraId="2AC2D08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 承包人应合理安排施工计划，合理安排工期，尽量避免工程越冬施工。 如必须越冬，要采取必要的措施，保证工程质量；所发生的费用，承包人在报价中要充分考虑，发包人不单独支付。</w:t>
      </w:r>
    </w:p>
    <w:p w14:paraId="6538DC2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12.3    监理人根据检查或检验结果可以拒收有缺陷或不符合合同要求的材料或设备，并通知承包人说明拒收的理由；承包人应立即修复所述缺陷或替换被拒收材料或设备使其符合合同规定；如果监理人要求在相同条件下进行被拒收材料或设备的检验，其检验所发生的费用由承包人承担。</w:t>
      </w:r>
    </w:p>
    <w:p w14:paraId="1F76993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12.4 监理人有权随时就下述事项发出指令：</w:t>
      </w:r>
    </w:p>
    <w:p w14:paraId="0C52E72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责成承包人在规定的时间内，一次或分次将不符合合同规定的材料或设备从现场运走，并用合格适用的材料或设备取代；</w:t>
      </w:r>
    </w:p>
    <w:p w14:paraId="298E64F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不管先前是否已经检验或中期付款，如果监理人认为工程的任何部分由于材料、设备或操作工艺或承包人设计的局部工程不符合合同规定时，由承包人将这些工程拆除并彻底重做；</w:t>
      </w:r>
    </w:p>
    <w:p w14:paraId="7D32BB4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5A09324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如果承包人未在规定时间内执行监理人的指示，发包人有权雇用他人执行，由此增加的费用和(或)工期延误由承包人承担。</w:t>
      </w:r>
    </w:p>
    <w:p w14:paraId="6E793F5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12.5  工程隐蔽部位覆盖前的检查</w:t>
      </w:r>
    </w:p>
    <w:p w14:paraId="5D8DCA4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没有监理人的批准，任何隐蔽工程均不得覆盖或掩蔽。当任何一部分工程或基础已经或即将为检查做好准备时，承包人应事先通知监理人，并约定检查的时间，监理人则应按时派员参加上述工程或基础的检查和量测；如果监理人认为没有必要参与检查，应就此通知承包人；如果上述约定时间后的 6 小时内，监理人或其代表未能到场对上述工程或基础进行检查和量测，承包人即可自行检查，并如实作出自检报告后覆盖或掩蔽，监理人事后应予以认可；</w:t>
      </w:r>
    </w:p>
    <w:p w14:paraId="30B69D1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重新检验</w:t>
      </w:r>
    </w:p>
    <w:p w14:paraId="3045A5D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承包人应按监理人发出的指示，剥开工程的任何一部分或开孔，并负责使该部分恢复原状。检验符合合同规定，监理人在同发包人和承包人适当协商后，应确定剥开或开孔及恢复原状的费用，由发包人承担由此增加的费用和(或)工期延误，并支付承包人合理利润。如检验不符合合同规定，所发生的相关费用由承包人承担；</w:t>
      </w:r>
    </w:p>
    <w:p w14:paraId="32F7FA1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承包人未通知监理人到场检查，私自将工程隐蔽部位覆盖的，监理人有权指示承包人钻孔探测或揭开检查，由此增加的费用和(或)工期延误由承包人承担。</w:t>
      </w:r>
    </w:p>
    <w:p w14:paraId="1485817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五、施工安全、治安保卫与环境保护</w:t>
      </w:r>
    </w:p>
    <w:p w14:paraId="5E50C39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 施工安全、治安保卫</w:t>
      </w:r>
    </w:p>
    <w:p w14:paraId="0D05EBB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 1  发包人的施工安全责任</w:t>
      </w:r>
    </w:p>
    <w:p w14:paraId="759EB08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发包人应按合同约定履行安全职责，授权监理人按合同约定的安全工作内容监督、检查承包人安全工作的实施，组织承包人和有关单位进行安全检查；</w:t>
      </w:r>
    </w:p>
    <w:p w14:paraId="100E0B3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发包人应对其现场机构雇佣的全部人员的工伤事故承担责任，但由于承包人原因造成发包人人员工伤的，应由承包人承担责任；</w:t>
      </w:r>
    </w:p>
    <w:p w14:paraId="4BD57C9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发包人应负责赔偿以下各种情况造成的第三者人身伤亡和财产损失：工程或工程的任何部分对土地的占用所造成的第三者财产损失；</w:t>
      </w:r>
    </w:p>
    <w:p w14:paraId="108ED84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由于发包人原因在施工场地及其毗邻地带造成的第三者人身伤亡和财产损失。</w:t>
      </w:r>
    </w:p>
    <w:p w14:paraId="4549B85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13.2 承包人应遵守工程建设安全生产有关规定，采取有效的安全防护措施，消除事故隐患，确保所有在现场工作人员及机械设备的安全。由于承包人安全措施不力造成事故的责任和由此发生的费用，由承包人承担。承包人还应该：</w:t>
      </w:r>
    </w:p>
    <w:p w14:paraId="189EB2F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专职安全员的配备按《公路水运工程安全生产监督管理办法》（交通运输部令 2017 年第 25 号）的规定执行；</w:t>
      </w:r>
    </w:p>
    <w:p w14:paraId="7F1CEB3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特殊工种(电工、电梯工、起重工、电焊工、车船驾驶员、爆破工等)要经专业培训，并持有专业主管部门签发的合格证上岗；</w:t>
      </w:r>
    </w:p>
    <w:p w14:paraId="6D2AD19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对于易燃易爆材料的运输、保管必须符合当地安全部门的有关规定，除应专门妥善保管外，并应配有足够的消防设备，所有施工人员都应熟悉消防设备的性能和使用方法；</w:t>
      </w:r>
    </w:p>
    <w:p w14:paraId="547C6D6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承包人应严格按照国家安全标准关于公路工程施工安全技术规范制定的施工安全操作规程，配备必要的安全生产和劳动保护设施，加强对承包人人员的安全教育，并发放安全工作手册和劳动保护用具。由于承包人原因在施工场地内及其毗邻地带造成的第三者人员伤亡和财产损失，由承包人负责赔偿；</w:t>
      </w:r>
    </w:p>
    <w:p w14:paraId="02C6BD5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 所有施工机具设备和高空作业的设备均应定期检查，并有安全员的签字记录。</w:t>
      </w:r>
    </w:p>
    <w:p w14:paraId="60B763E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 除项目专用合同条款另有约定外，安全生产费用应为投标价（不含安全生产费）的 1.5%（若发包人公布了最高投标限价时，按最高投标限价的 1.5%计）。</w:t>
      </w:r>
    </w:p>
    <w:p w14:paraId="01CF3F9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安全生产费用应用于施工安全防护用具及设施的采购和更新、安全施工措施的落实、 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商定或确定。</w:t>
      </w:r>
    </w:p>
    <w:p w14:paraId="28EA169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13.3 为了保护本合同工程免遭破坏或为了现场附近过往人群的安全、方便，在确有必要的时间和地方，当监理人或有关主管部门要求时，应自费提供照明、警卫、护栅、警告标志等安全防护措施。发包人或监理人不得以任何理由要求承包人违反安全管理的规定进行施工，由此导致的安全事故，由发包人承担相应责任及发生的费用。</w:t>
      </w:r>
    </w:p>
    <w:p w14:paraId="31C0EE5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13.4  承包人应按监理人的指示制定应对灾害的紧急预案，报送监理人审批。承包人还应按预案做好安全检查，配置必要的救助物资和器材，切实保护好有关人员的人身和财产安全。</w:t>
      </w:r>
    </w:p>
    <w:p w14:paraId="658ED85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13.5 合同约定的安全作业环境及安全施工措施所需费用应遵守有关规定，并包括在相关工作的合同价格中。</w:t>
      </w:r>
    </w:p>
    <w:p w14:paraId="3CD70A7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13.6 承包人应充分关注和保障所有在现场工作的人员安全，采取有效措施，使现场和本合同工程的实施保持有条不紊，以免使上述人员的安全受到威胁。</w:t>
      </w:r>
    </w:p>
    <w:p w14:paraId="43E5B57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13.7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 用及其他一切责任应由承包人负责。</w:t>
      </w:r>
    </w:p>
    <w:p w14:paraId="05F676A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13.8  治安保卫</w:t>
      </w:r>
    </w:p>
    <w:p w14:paraId="00C5F30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发包人应与当地公安部门协商，在现场建立治安管理机构或联防组织，统一管理施工场地的治安保卫事项，履行合同工程的治安保卫职责；</w:t>
      </w:r>
    </w:p>
    <w:p w14:paraId="40D6604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发包人和承包人除应协助现场治安管理机构或联防组织维护施工场地的社会治安外，还应做好包括生活区在内的各自管辖区的治安保卫工作；</w:t>
      </w:r>
    </w:p>
    <w:p w14:paraId="2D208A7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发包人和承包人应在工程开工后，共同编制施工场地治安管理计划，并制定应对突发治安事件的紧急预案。在工程施工过程中，发生暴乱、爆炸等恐怖事件，</w:t>
      </w:r>
    </w:p>
    <w:p w14:paraId="0153E98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以及群殴、械斗等群体性突发治安事件的，发包人和承包人应立即向当地政府报告。发包人和承包人应积极协助当地有关部门采取措施平息事态，防止事态扩大，尽量减 少财产损失和避免人员伤亡。</w:t>
      </w:r>
    </w:p>
    <w:p w14:paraId="2BCE638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14. 环境保护</w:t>
      </w:r>
    </w:p>
    <w:p w14:paraId="285E5EE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14. 1 承包人在施工过程中，应遵守有关环境保护的法律，并切实执行环境保 护方面的要求和规定，并对违反法律和合同约定的义务所造成的环境破坏、人为伤害和财产损失负责。</w:t>
      </w:r>
    </w:p>
    <w:p w14:paraId="1BDADD3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对于来自施工机械和运输车辆的施工噪声，应遵守《中华人民共和国环境噪声污染防治法》并依据《工业企业噪声卫生标准》合理安排工作人员轮流操作筑 路机械，减少接触高噪声的时间或穿插安排高噪声的工作。对距噪声源较近的施工人员，除取得防护罩或头盔等有效措施外并应当缩短其劳动时间保护施工人员的健康。为保护施工现场附近的居民的夜间休息，对居民区 150m 以内的施工现场、施工时间应加以控制。同时，要注意对机械的经常性保养，尽量使其噪声降低到最低水平；</w:t>
      </w:r>
    </w:p>
    <w:p w14:paraId="1C8FDB8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应采取有效措施减轻施工现场的灰土拌合、施工车辆和筑路机械运转和运输产生的扬尘污染，保护人民健康，如：</w:t>
      </w:r>
    </w:p>
    <w:p w14:paraId="20B50E1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—拌合设备应有较好密封或有防尘设备。</w:t>
      </w:r>
    </w:p>
    <w:p w14:paraId="4BD66E0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—施工道路、沥青混凝土拌合站及稳定灰土拌合站应经常进行洒水处理。—路面施工应注意保持水分，以免扬尘。</w:t>
      </w:r>
    </w:p>
    <w:p w14:paraId="4D7B993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—桥梁钻孔灌注桩施工时排除的泥浆要作妥善处理，严禁向河流或农田排放；</w:t>
      </w:r>
    </w:p>
    <w:p w14:paraId="2DD9AC3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采取可靠措施保证原有交通的正常通行和维护沿线村镇的居民饮水、农田灌溉、生产生活用电及通讯等管线的正常使用。</w:t>
      </w:r>
    </w:p>
    <w:p w14:paraId="6D626F7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14.2 承包人应按合同约定的环保工作内容，编制施工环保措施计划，报送监理人审批。</w:t>
      </w:r>
    </w:p>
    <w:p w14:paraId="6B03E37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14.3 在施工期间，承包人应合理设置取土场和弃土场，做好施工防护措施，防止水土流失。施工过程中要采取有效措施防止污染农田，项目完工后承包人应将临时占地自费恢复到临时占地使用前的状况。</w:t>
      </w:r>
    </w:p>
    <w:p w14:paraId="2BB69A8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14.4 承包人应严格按照国家有关法规要求，做好施工过程中的生态保护和水土保持工作。施工中要尽可能减少对原地面的扰动，减少对地面草木的破坏，需要 爆破作业的，应按规定进行控爆设计。加强施工便道的管理，严禁在指定的取（弃）土场以外的地方乱挖乱弃。</w:t>
      </w:r>
    </w:p>
    <w:p w14:paraId="29763C8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14.5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854BC2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15. 事故处理</w:t>
      </w:r>
    </w:p>
    <w:p w14:paraId="4904212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如果工程施工过程中，发生重大安全事故、质量事故，承包人必须在 2 小时内口头报告，24小时内将事故详细情况书面报监理人和发包人。如果现场发生一般安全事故，或质量事故，承包人必须在 3  天内将事故详细情况书面报告监理人和发包人。如果现场(包括临时道路)发生重大交通事故，承包人应尽快报告监理人，同时 应迅速报告当地交通安全管理部门。质量事故等级划分遵照交通运输部公路工程质 量管理办法的规定。</w:t>
      </w:r>
    </w:p>
    <w:p w14:paraId="7F8E0F62">
      <w:pPr>
        <w:keepNext w:val="0"/>
        <w:keepLines w:val="0"/>
        <w:widowControl/>
        <w:numPr>
          <w:ilvl w:val="0"/>
          <w:numId w:val="0"/>
        </w:numPr>
        <w:suppressLineNumbers w:val="0"/>
        <w:ind w:firstLine="562" w:firstLineChars="200"/>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六、合同价款支付</w:t>
      </w:r>
    </w:p>
    <w:p w14:paraId="31C11EA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16. 合同价款支付</w:t>
      </w:r>
    </w:p>
    <w:p w14:paraId="6F8BF2E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16.1发包人与承包人依据中标价在合同协议书内约定合同价款。</w:t>
      </w:r>
    </w:p>
    <w:p w14:paraId="557BD8B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16.2 承包人应在每月的 25  日前，按监理人审定的《工程进度中期支付报表》 的工程数量及相关的支付额报发包人，发包人据以支付工程进度款。除不可抗拒的 自然灾害、特殊社会风险及发包人批准的设计变更外，工程总支付金额不应超过合同价（不包括暂列金额）。</w:t>
      </w:r>
    </w:p>
    <w:p w14:paraId="1EB3EA1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17. 预付款</w:t>
      </w:r>
    </w:p>
    <w:p w14:paraId="7FB8C7E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17.1承包人在合同文件载明的人员、主要设备进场后，可得到预付款支付，预付款必须专用于合同工程。</w:t>
      </w:r>
    </w:p>
    <w:p w14:paraId="30B9140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17.2 预付款在进度付款中扣回，在颁发工程接收证书前，由于不可抗力或其他原因解除合同时，预付款尚未扣清的，尚未扣清的预付款余额应作为承包人的到期应付款。</w:t>
      </w:r>
    </w:p>
    <w:p w14:paraId="710090F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17.3 开工预付款在进度付款证书的累计金额未达到签约合同价的 30%之前不予扣回，在达到签约合同价30%之后，开始按工程进度以固定比例(即每完成签约合同价的 1%，扣回开工预付款的 2%)分期从各月的进度付款证书中扣回，全部金额在进度付款证书的累计金额达到签约合同价的 80%时扣完。</w:t>
      </w:r>
    </w:p>
    <w:p w14:paraId="26E98EF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17.4 材料预付款按合同条款数据表中所列主要材料单据费用（进口的材料、设备为到岸价，国内采购的为出厂价或销售价，地方材料为堆场价① ) 的百分比支付， 预付款比例按照项目专用合同条款数据表的规定计算。其余附加条件为：</w:t>
      </w:r>
    </w:p>
    <w:p w14:paraId="0AD2927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材料符合规范要求并经监理人认可；</w:t>
      </w:r>
    </w:p>
    <w:p w14:paraId="5610658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承包人已出具材料费用凭证或支付单据；</w:t>
      </w:r>
    </w:p>
    <w:p w14:paraId="1327319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材料已在现场交货，且存储良好，监理人认为材料的存储方法符合要求。则监理人应将此项金额作为材料预付款计入下一次的进度付款证书中，在预计交工前 3 个月，将不再支付材料预付款。</w:t>
      </w:r>
    </w:p>
    <w:p w14:paraId="05932DC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 计量与支付</w:t>
      </w:r>
    </w:p>
    <w:p w14:paraId="194A051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18.1 承包人应在每月 25日前，经监理人现场核实已完成的合格工程数量，确定其价款，监理人签字后作为工程价款支付的依据。</w:t>
      </w:r>
    </w:p>
    <w:p w14:paraId="4699403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本项目工程量清单中总额价子目的支付原则和支付进度按实际完成工程量及时限计量支付，并执行以下原则：</w:t>
      </w:r>
    </w:p>
    <w:p w14:paraId="7CE6159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18.2</w:t>
      </w:r>
      <w:r>
        <w:rPr>
          <w:rFonts w:hint="eastAsia" w:ascii="宋体" w:hAnsi="宋体" w:eastAsia="宋体" w:cs="宋体"/>
          <w:b w:val="0"/>
          <w:bCs w:val="0"/>
          <w:color w:val="000000"/>
          <w:kern w:val="0"/>
          <w:sz w:val="28"/>
          <w:szCs w:val="28"/>
          <w:lang w:val="en-US" w:eastAsia="zh-CN" w:bidi="ar"/>
        </w:rPr>
        <w:t>竣工文件：按交通运输部及新疆交通运输厅规定的竣工文件和施工文件编制的有关规定，编制出 3 套完整合格的竣工文件；装订尺寸及方法符合档案管理的有关规定。竣工验收后支付此项费用的 90% ，剩余部分在缺陷责任期满、应补齐的资料补齐后支付。</w:t>
      </w:r>
    </w:p>
    <w:p w14:paraId="5566CEE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18.3</w:t>
      </w:r>
      <w:r>
        <w:rPr>
          <w:rFonts w:hint="eastAsia" w:ascii="宋体" w:hAnsi="宋体" w:eastAsia="宋体" w:cs="宋体"/>
          <w:b w:val="0"/>
          <w:bCs w:val="0"/>
          <w:color w:val="000000"/>
          <w:kern w:val="0"/>
          <w:sz w:val="28"/>
          <w:szCs w:val="28"/>
          <w:lang w:val="en-US" w:eastAsia="zh-CN" w:bidi="ar"/>
        </w:rPr>
        <w:t xml:space="preserve"> 施工环保费：施工过程中注意保护工程范围以外的土地植被、当地水源、灌溉渠道，污水排放达到国家规定标准；沥青混合料拌合场必须设置在离居民区、学校、医院 300m  以外的下风处；将扬尘、噪音控制在最低水平。工程开工后，监理人对承包人实施环保措施满意，支付此项费用的 30% ，工程交工验收时没有被投诉，支付剩余的70% 。如被罚款费用自负。</w:t>
      </w:r>
    </w:p>
    <w:p w14:paraId="7C2217D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18.4</w:t>
      </w:r>
      <w:r>
        <w:rPr>
          <w:rFonts w:hint="eastAsia" w:ascii="宋体" w:hAnsi="宋体" w:eastAsia="宋体" w:cs="宋体"/>
          <w:b w:val="0"/>
          <w:bCs w:val="0"/>
          <w:color w:val="000000"/>
          <w:kern w:val="0"/>
          <w:sz w:val="28"/>
          <w:szCs w:val="28"/>
          <w:lang w:val="en-US" w:eastAsia="zh-CN" w:bidi="ar"/>
        </w:rPr>
        <w:t xml:space="preserve"> 临时道路修建、养护与拆除（包括原道路的养护）：承包人根据需求和需要修建的社会交通便道和施工现场的临时道路，并设置必要的交通标志，临时道路（包括原有道路）应加强养护、降低扬尘。临时道路修建后经监理人签认后支付此项费用的 80% ，交工后拆除恢复原地貌，工程交工验收后支付剩余的 20%。</w:t>
      </w:r>
    </w:p>
    <w:p w14:paraId="078F18E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18.5</w:t>
      </w:r>
      <w:r>
        <w:rPr>
          <w:rFonts w:hint="eastAsia" w:ascii="宋体" w:hAnsi="宋体" w:eastAsia="宋体" w:cs="宋体"/>
          <w:b w:val="0"/>
          <w:bCs w:val="0"/>
          <w:color w:val="000000"/>
          <w:kern w:val="0"/>
          <w:sz w:val="28"/>
          <w:szCs w:val="28"/>
          <w:lang w:val="en-US" w:eastAsia="zh-CN" w:bidi="ar"/>
        </w:rPr>
        <w:t xml:space="preserve"> 临时工程用地：承包人根据现场考察和施工组织计划确定临时工程用地及费用。该项费用包含承包人生产、生活用地，施工中取土场、料场用地，临时工程及附属工作临时用地。经监理人签认后支付此项费用的 80% ，交工后拆除恢复原地 貌后，工程交工验收后支付剩余的20%。</w:t>
      </w:r>
    </w:p>
    <w:p w14:paraId="5F82C21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18.6</w:t>
      </w:r>
      <w:r>
        <w:rPr>
          <w:rFonts w:hint="eastAsia" w:ascii="宋体" w:hAnsi="宋体" w:eastAsia="宋体" w:cs="宋体"/>
          <w:b w:val="0"/>
          <w:bCs w:val="0"/>
          <w:color w:val="000000"/>
          <w:kern w:val="0"/>
          <w:sz w:val="28"/>
          <w:szCs w:val="28"/>
          <w:lang w:val="en-US" w:eastAsia="zh-CN" w:bidi="ar"/>
        </w:rPr>
        <w:t xml:space="preserve"> 临时供电设施架设、维护与拆除：开工报告批准的临时供电设施安装后支付此项费用的 80% ，交工后拆除所安装设备及系统恢复到工程实施前的状态，工程交工验收后支付剩余的 20%。</w:t>
      </w:r>
    </w:p>
    <w:p w14:paraId="17FE354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18.7</w:t>
      </w:r>
      <w:r>
        <w:rPr>
          <w:rFonts w:hint="eastAsia" w:ascii="宋体" w:hAnsi="宋体" w:eastAsia="宋体" w:cs="宋体"/>
          <w:b w:val="0"/>
          <w:bCs w:val="0"/>
          <w:color w:val="000000"/>
          <w:kern w:val="0"/>
          <w:sz w:val="28"/>
          <w:szCs w:val="28"/>
          <w:lang w:val="en-US" w:eastAsia="zh-CN" w:bidi="ar"/>
        </w:rPr>
        <w:t>电信设施的提供、维护与拆除：开工报告批准的临时电信设施安装后支付此项费用的 80% ，交工后拆除所安装设备及系统恢复到工程实施前的状态，工程交工验收后支付剩余的 20%。</w:t>
      </w:r>
    </w:p>
    <w:p w14:paraId="7EDD609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18.8</w:t>
      </w:r>
      <w:r>
        <w:rPr>
          <w:rFonts w:hint="eastAsia" w:ascii="宋体" w:hAnsi="宋体" w:eastAsia="宋体" w:cs="宋体"/>
          <w:b w:val="0"/>
          <w:bCs w:val="0"/>
          <w:color w:val="000000"/>
          <w:kern w:val="0"/>
          <w:sz w:val="28"/>
          <w:szCs w:val="28"/>
          <w:lang w:val="en-US" w:eastAsia="zh-CN" w:bidi="ar"/>
        </w:rPr>
        <w:t xml:space="preserve"> 临时供水与排污设施：供水与排污设施实施经监理人签认后支付此项费用的90% ，交工后拆除其全部临时排污设施恢复到工程实施前的状态，工程交工验收后支付剩余的 10%。</w:t>
      </w:r>
    </w:p>
    <w:p w14:paraId="0386422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18.9</w:t>
      </w:r>
      <w:r>
        <w:rPr>
          <w:rFonts w:hint="eastAsia" w:ascii="宋体" w:hAnsi="宋体" w:eastAsia="宋体" w:cs="宋体"/>
          <w:b w:val="0"/>
          <w:bCs w:val="0"/>
          <w:color w:val="000000"/>
          <w:kern w:val="0"/>
          <w:sz w:val="28"/>
          <w:szCs w:val="28"/>
          <w:lang w:val="en-US" w:eastAsia="zh-CN" w:bidi="ar"/>
        </w:rPr>
        <w:t xml:space="preserve"> 承包人驻地建设：驻地建设完成、开工报告批准、工地试验室制备齐全后支付此项费用的 90% ，按照合同或协议将驻地移走、清除、恢复原貌后，工程交工验收后支付剩余的 10%。</w:t>
      </w:r>
    </w:p>
    <w:p w14:paraId="34264F7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18.10</w:t>
      </w:r>
      <w:r>
        <w:rPr>
          <w:rFonts w:hint="eastAsia" w:ascii="宋体" w:hAnsi="宋体" w:eastAsia="宋体" w:cs="宋体"/>
          <w:b w:val="0"/>
          <w:bCs w:val="0"/>
          <w:color w:val="000000"/>
          <w:kern w:val="0"/>
          <w:sz w:val="28"/>
          <w:szCs w:val="28"/>
          <w:lang w:val="en-US" w:eastAsia="zh-CN" w:bidi="ar"/>
        </w:rPr>
        <w:t xml:space="preserve"> 安全生产费：施工安全设施费用及与此有关的一切作业经监理人对工程安全生产情况检查达到安全合格标准后，以总额的 90%按月（合同工期）平均分次支付。 交工验收后经监理人同意后支付剩余的 10% 。如承包人在此基础上增加安全生产费用以满足项目施工需要，则承包人应在本项目工程量清单其他相关子目的单价或总  额价中予以考虑，发包人不再另行支付。</w:t>
      </w:r>
    </w:p>
    <w:p w14:paraId="7871C4C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w:t>
      </w:r>
      <w:r>
        <w:rPr>
          <w:rFonts w:hint="eastAsia" w:ascii="宋体" w:hAnsi="宋体" w:cs="宋体"/>
          <w:b w:val="0"/>
          <w:bCs w:val="0"/>
          <w:color w:val="000000"/>
          <w:kern w:val="0"/>
          <w:sz w:val="28"/>
          <w:szCs w:val="28"/>
          <w:lang w:val="en-US" w:eastAsia="zh-CN" w:bidi="ar"/>
        </w:rPr>
        <w:t>11</w:t>
      </w:r>
      <w:r>
        <w:rPr>
          <w:rFonts w:hint="eastAsia" w:ascii="宋体" w:hAnsi="宋体" w:eastAsia="宋体" w:cs="宋体"/>
          <w:b w:val="0"/>
          <w:bCs w:val="0"/>
          <w:color w:val="000000"/>
          <w:kern w:val="0"/>
          <w:sz w:val="28"/>
          <w:szCs w:val="28"/>
          <w:lang w:val="en-US" w:eastAsia="zh-CN" w:bidi="ar"/>
        </w:rPr>
        <w:t>对承包人超出设计图纸范围和因承包人原因造成返工的工程量，不予计量。</w:t>
      </w:r>
    </w:p>
    <w:p w14:paraId="62F8A78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w:t>
      </w:r>
      <w:r>
        <w:rPr>
          <w:rFonts w:hint="eastAsia" w:ascii="宋体" w:hAnsi="宋体" w:cs="宋体"/>
          <w:b w:val="0"/>
          <w:bCs w:val="0"/>
          <w:color w:val="000000"/>
          <w:kern w:val="0"/>
          <w:sz w:val="28"/>
          <w:szCs w:val="28"/>
          <w:lang w:val="en-US" w:eastAsia="zh-CN" w:bidi="ar"/>
        </w:rPr>
        <w:t>12</w:t>
      </w:r>
      <w:r>
        <w:rPr>
          <w:rFonts w:hint="eastAsia" w:ascii="宋体" w:hAnsi="宋体" w:eastAsia="宋体" w:cs="宋体"/>
          <w:b w:val="0"/>
          <w:bCs w:val="0"/>
          <w:color w:val="000000"/>
          <w:kern w:val="0"/>
          <w:sz w:val="28"/>
          <w:szCs w:val="28"/>
          <w:lang w:val="en-US" w:eastAsia="zh-CN" w:bidi="ar"/>
        </w:rPr>
        <w:t>月支付：</w:t>
      </w:r>
    </w:p>
    <w:p w14:paraId="74CD7E4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（1）承包人应在每月 25日前向监理人提交由其项目经理签署的按《工程进度 计量报表》格式填写月结账单一式 6 份；</w:t>
      </w:r>
    </w:p>
    <w:p w14:paraId="5DD01AB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（2）监理人在收到月结账单后 7 天内签发中期支付证书，签发时应写明其认为应该到期结算的价款及需要扣留和扣回的款额并报发包人审批；</w:t>
      </w:r>
    </w:p>
    <w:p w14:paraId="01BCCDE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（3）发包人应在收到该中期支付证书后 14 天内支付给承包人。如果发包人在上述期限内未能付款，发包人应按全国银行间同业拆借中心公布的 1 年期贷款市场报价利率向承包人支付未付款额的利息，付息时间从应付而未付该款额之日算起。</w:t>
      </w:r>
    </w:p>
    <w:p w14:paraId="49242CF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w:t>
      </w:r>
      <w:r>
        <w:rPr>
          <w:rFonts w:hint="eastAsia" w:ascii="宋体" w:hAnsi="宋体" w:cs="宋体"/>
          <w:b w:val="0"/>
          <w:bCs w:val="0"/>
          <w:color w:val="000000"/>
          <w:kern w:val="0"/>
          <w:sz w:val="28"/>
          <w:szCs w:val="28"/>
          <w:lang w:val="en-US" w:eastAsia="zh-CN" w:bidi="ar"/>
        </w:rPr>
        <w:t>13</w:t>
      </w:r>
      <w:r>
        <w:rPr>
          <w:rFonts w:hint="eastAsia" w:ascii="宋体" w:hAnsi="宋体" w:eastAsia="宋体" w:cs="宋体"/>
          <w:b w:val="0"/>
          <w:bCs w:val="0"/>
          <w:color w:val="000000"/>
          <w:kern w:val="0"/>
          <w:sz w:val="28"/>
          <w:szCs w:val="28"/>
          <w:lang w:val="en-US" w:eastAsia="zh-CN" w:bidi="ar"/>
        </w:rPr>
        <w:t>在合同工程交工证书签发后 42 天之内，承包人应向监理人提交一份交工结算单，并附上详细文件，表明：</w:t>
      </w:r>
    </w:p>
    <w:p w14:paraId="5D9DDA5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（1）按交工证书中写明的交工日期，完成的合同全部工程的最终价值；</w:t>
      </w:r>
    </w:p>
    <w:p w14:paraId="51F661E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（2）承包人认为应支付的其他款项。</w:t>
      </w:r>
    </w:p>
    <w:p w14:paraId="5108ECC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w:t>
      </w:r>
      <w:r>
        <w:rPr>
          <w:rFonts w:hint="eastAsia" w:ascii="宋体" w:hAnsi="宋体" w:cs="宋体"/>
          <w:b w:val="0"/>
          <w:bCs w:val="0"/>
          <w:color w:val="000000"/>
          <w:kern w:val="0"/>
          <w:sz w:val="28"/>
          <w:szCs w:val="28"/>
          <w:lang w:val="en-US" w:eastAsia="zh-CN" w:bidi="ar"/>
        </w:rPr>
        <w:t>14</w:t>
      </w:r>
      <w:r>
        <w:rPr>
          <w:rFonts w:hint="eastAsia" w:ascii="宋体" w:hAnsi="宋体" w:eastAsia="宋体" w:cs="宋体"/>
          <w:b w:val="0"/>
          <w:bCs w:val="0"/>
          <w:color w:val="000000"/>
          <w:kern w:val="0"/>
          <w:sz w:val="28"/>
          <w:szCs w:val="28"/>
          <w:lang w:val="en-US" w:eastAsia="zh-CN" w:bidi="ar"/>
        </w:rPr>
        <w:t>在缺陷责任期满的 14天内，承包人应向监理人提交一份最后结账单草案，并附上详细的证明文件，供监理人考虑，表明：</w:t>
      </w:r>
    </w:p>
    <w:p w14:paraId="2B60231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根据合同规定已经完成的全部工程价值；</w:t>
      </w:r>
    </w:p>
    <w:p w14:paraId="571BA19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承包人根据合同规定认为应该支付的任何其他的款项。</w:t>
      </w:r>
    </w:p>
    <w:p w14:paraId="5D1BAB3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w:t>
      </w:r>
      <w:r>
        <w:rPr>
          <w:rFonts w:hint="eastAsia" w:ascii="宋体" w:hAnsi="宋体" w:cs="宋体"/>
          <w:b w:val="0"/>
          <w:bCs w:val="0"/>
          <w:color w:val="000000"/>
          <w:kern w:val="0"/>
          <w:sz w:val="28"/>
          <w:szCs w:val="28"/>
          <w:lang w:val="en-US" w:eastAsia="zh-CN" w:bidi="ar"/>
        </w:rPr>
        <w:t>15</w:t>
      </w:r>
      <w:r>
        <w:rPr>
          <w:rFonts w:hint="eastAsia" w:ascii="宋体" w:hAnsi="宋体" w:eastAsia="宋体" w:cs="宋体"/>
          <w:b w:val="0"/>
          <w:bCs w:val="0"/>
          <w:color w:val="000000"/>
          <w:kern w:val="0"/>
          <w:sz w:val="28"/>
          <w:szCs w:val="28"/>
          <w:lang w:val="en-US" w:eastAsia="zh-CN" w:bidi="ar"/>
        </w:rPr>
        <w:t>在提交最后结账单的同时，承包人应给发包人一份书面清账书并抄送监理人，确认最后结账单中的总额作为应付给承包人的全部款项的最后结算。</w:t>
      </w:r>
    </w:p>
    <w:p w14:paraId="6E01B8D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在最后结账单收到 7天内，监理人应该签发一份最后支付证书报发包人批准，并抄送承包人，说明：</w:t>
      </w:r>
    </w:p>
    <w:p w14:paraId="72B9704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（1）根据合同规定的最后应付的款额；</w:t>
      </w:r>
    </w:p>
    <w:p w14:paraId="07EC17E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（2）在对发包人以前所付的全部款额和发包人根据合同规定应得的全部款项予以确认后，发包人欠承包人或承包人欠发包人的差额；</w:t>
      </w:r>
    </w:p>
    <w:p w14:paraId="47A0E81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工程进度付款的修正，在对以往历次已签发的进度付款证书进行汇总和审核中发现错、漏或重复的，监理人有权修正，承包人也有权提出修正申请。经双方复核同意的修正，应在本次进度付款中支付或扣除。</w:t>
      </w:r>
    </w:p>
    <w:p w14:paraId="3B77F8A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w:t>
      </w:r>
      <w:r>
        <w:rPr>
          <w:rFonts w:hint="eastAsia" w:ascii="宋体" w:hAnsi="宋体" w:cs="宋体"/>
          <w:b w:val="0"/>
          <w:bCs w:val="0"/>
          <w:color w:val="000000"/>
          <w:kern w:val="0"/>
          <w:sz w:val="28"/>
          <w:szCs w:val="28"/>
          <w:lang w:val="en-US" w:eastAsia="zh-CN" w:bidi="ar"/>
        </w:rPr>
        <w:t>16</w:t>
      </w:r>
      <w:r>
        <w:rPr>
          <w:rFonts w:hint="eastAsia" w:ascii="宋体" w:hAnsi="宋体" w:eastAsia="宋体" w:cs="宋体"/>
          <w:b w:val="0"/>
          <w:bCs w:val="0"/>
          <w:color w:val="000000"/>
          <w:kern w:val="0"/>
          <w:sz w:val="28"/>
          <w:szCs w:val="28"/>
          <w:lang w:val="en-US" w:eastAsia="zh-CN" w:bidi="ar"/>
        </w:rPr>
        <w:t>质量保证金</w:t>
      </w:r>
    </w:p>
    <w:p w14:paraId="098A17C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 的格式出具，所需费用由承包人承担。</w:t>
      </w:r>
    </w:p>
    <w:p w14:paraId="6513F2B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质量保证金采用现金、支票形式提交的，发包人应在项目专用合同条款数据表 中明确是否计付利息以及利息的计算方式。</w:t>
      </w:r>
    </w:p>
    <w:p w14:paraId="3B619A0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（2）在缺陷责任期满，且质量监督机构已按规定对工程质量检测鉴定合格， 承包人向发包人申请到期应返还承包人剩余的质量保证金金额，发包人应在 14 天内会同承包人按照合同约定的内容核实承包人是否完成缺陷责任。如无异议，发包人应当在核实后将剩余的质量保证金返还承包人。</w:t>
      </w:r>
    </w:p>
    <w:p w14:paraId="1E0522A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在缺陷责任期满时，承包人没有完成缺陷责任的，发包人有权扣留与未履行责任剩余工作所需金额相应的质量保证金余额，并有权根据第 21.4 款约定要求延长缺陷责任期，直至完成剩余工作为止。</w:t>
      </w:r>
    </w:p>
    <w:p w14:paraId="15D94616">
      <w:pPr>
        <w:keepNext w:val="0"/>
        <w:keepLines w:val="0"/>
        <w:widowControl/>
        <w:numPr>
          <w:ilvl w:val="0"/>
          <w:numId w:val="0"/>
        </w:numPr>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七、试验和检验</w:t>
      </w:r>
    </w:p>
    <w:p w14:paraId="18E2108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19. 试验和检验</w:t>
      </w:r>
    </w:p>
    <w:p w14:paraId="6FE20B7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19.1 材料、工程设备和工程的试验和检验</w:t>
      </w:r>
    </w:p>
    <w:p w14:paraId="767DB39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C2CE5B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监理人未按合同约定派员参加试验和检验的，除监理人另有指示外，承包人可自行试验和检验，并应立即将试验和检验结果报送监理人，监理人应签字确认；</w:t>
      </w:r>
    </w:p>
    <w:p w14:paraId="2DE4286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0272E5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19.2 现场材料试验</w:t>
      </w:r>
    </w:p>
    <w:p w14:paraId="47C2937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承包人根据合同约定或监理人指示进行的现场材料试验，应由承包人提供试验场所、试验人员、试验设备器材以及其他必要的试验条件；</w:t>
      </w:r>
    </w:p>
    <w:p w14:paraId="195CF84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监理人在必要时可以使用承包人的试验场所、试验设备器材以及其他试验条件，进行以工程质量检查为目的的复核性材料试验，承包人应予以协助。</w:t>
      </w:r>
    </w:p>
    <w:p w14:paraId="1BBDD41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19.3 承包人采购材料设备</w:t>
      </w:r>
    </w:p>
    <w:p w14:paraId="76EDF8C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除合同另有规定外，为完成本合同各项工作所需的材料和工程设备，均由承包人负责采购、验收、运输和保管；</w:t>
      </w:r>
    </w:p>
    <w:p w14:paraId="252B793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承包人与供货厂家的供货协议一经签订，应将一份副本提交监理人。</w:t>
      </w:r>
    </w:p>
    <w:p w14:paraId="7E9B3D4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19.4  进场材料、设备必须符合合同规定，并经监理人认可。不合格的材料、</w:t>
      </w:r>
    </w:p>
    <w:p w14:paraId="55E744D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设备应立即搬运出施工场地，不得用于本合同工程。 </w:t>
      </w:r>
    </w:p>
    <w:p w14:paraId="11FCEFD0">
      <w:pPr>
        <w:keepNext w:val="0"/>
        <w:keepLines w:val="0"/>
        <w:widowControl/>
        <w:numPr>
          <w:ilvl w:val="0"/>
          <w:numId w:val="0"/>
        </w:numPr>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八、工程变更</w:t>
      </w:r>
    </w:p>
    <w:p w14:paraId="44A86F2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 工程数量及价格的变更</w:t>
      </w:r>
    </w:p>
    <w:p w14:paraId="6D35517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20.1 发包人或监理人如认为有必要时，可根据规定对本合同工程中任何部分的结构形式、质量、等级或数量作出变更，包括：</w:t>
      </w:r>
    </w:p>
    <w:p w14:paraId="5288DDB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增加或减少本合同中的任何工程的数量；</w:t>
      </w:r>
    </w:p>
    <w:p w14:paraId="5238A1B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取消合同中的任何单项工程，但被取消的工程不能转由发包人或其他人实施，由于承包人违约造成的情况除外；</w:t>
      </w:r>
    </w:p>
    <w:p w14:paraId="7423AAE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改变合同中的任何一项工作的质量或其他特性；</w:t>
      </w:r>
    </w:p>
    <w:p w14:paraId="365D89E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改变本工程任何部分的标高、基线、位置或尺寸；</w:t>
      </w:r>
    </w:p>
    <w:p w14:paraId="50F54D7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 改变合同中任何一项工作的施工时间或改变已批准的施工工艺或顺序；</w:t>
      </w:r>
    </w:p>
    <w:p w14:paraId="1AE7453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（6）完成本工程需要追加的额外工作。</w:t>
      </w:r>
    </w:p>
    <w:p w14:paraId="36E2F06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20.2 价格调整</w:t>
      </w:r>
    </w:p>
    <w:p w14:paraId="20FD411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在合同实施期间，投标人填写的单价、合价和总额价不会由于物价波动进行价格调整；由于法律变化引起的价格调整，监理人应根据法律、国家或自治区有关部门的规定，商定确定需调整的合同价款。</w:t>
      </w:r>
    </w:p>
    <w:p w14:paraId="1684AE0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20.3 如果发出本工程的变更指令是因承包人过错，承包人违反合同或因承包人责任造成的，则这种违约引起的任何额外费用应由承包人承担。</w:t>
      </w:r>
    </w:p>
    <w:p w14:paraId="2A6E8D9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20.4 没有监理人指令，承包人不得擅自变更。变更指令应说明变更的目的、范围、变更内容以及变更的工程量及其进度和技术要求，并附有关图纸和文件。承包人收到变更指令后，应按变更指令进行变更工作。</w:t>
      </w:r>
    </w:p>
    <w:p w14:paraId="54307C3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20.5 变更工程的价格增加或减少额，应以已标价工程量清单中的单价或合计为依据。除专用合同条款另有约定外，因变更引起的价格调整按照以下约定处理。</w:t>
      </w:r>
    </w:p>
    <w:p w14:paraId="78331E9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已标价工程量清单中有适用于变更工作的子目的，采用该子目的单价。</w:t>
      </w:r>
    </w:p>
    <w:p w14:paraId="109D399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已标价工程量清单中无适用于变更工作的子目，但有类似子目的，可在合理范围内参照类似子目的单价，由监理人按商定或确定原则变更工作的单价。</w:t>
      </w:r>
    </w:p>
    <w:p w14:paraId="03A0088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已标价工程量清单中无适用或类似子目的单价，可按照成本加利润的原则，由监理人依据交通运输部或新疆交通运输厅的相关概算预算编制办法及定额编制编制单价，按商定或确定原则变更工作的单价。</w:t>
      </w:r>
    </w:p>
    <w:p w14:paraId="2FE3962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20.6 暂列金额只能按监理人的批示使用，并对合同价款进行相应调整。</w:t>
      </w:r>
    </w:p>
    <w:p w14:paraId="18374C1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20.7未经批准的设计变更，其费用不得进入决算。</w:t>
      </w:r>
    </w:p>
    <w:p w14:paraId="0EAE87B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20.8  变更类型及程序依照《新疆维吾尔自治区农村公路工程设计变更管理办法（试行）》的规定施行。</w:t>
      </w:r>
    </w:p>
    <w:p w14:paraId="6AF9F11B">
      <w:pPr>
        <w:keepNext w:val="0"/>
        <w:keepLines w:val="0"/>
        <w:widowControl/>
        <w:numPr>
          <w:ilvl w:val="0"/>
          <w:numId w:val="0"/>
        </w:numPr>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九、缺陷责任</w:t>
      </w:r>
    </w:p>
    <w:p w14:paraId="4612A37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21.缺陷责任及修复</w:t>
      </w:r>
    </w:p>
    <w:p w14:paraId="063A365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 1 缺陷责任期从本合同工程交工证书签发之日起计算。承包人应在缺陷责任期内对已交付使用的工程承担缺陷责任。</w:t>
      </w:r>
    </w:p>
    <w:p w14:paraId="7A7A75D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21.2 在缺陷责任期满前，由发包人会同监理人在有关部门参加下，对工程进行一次全面核查，使本工程按合同所要求的条件，达到发包人和监理人认为合格的程度。要求承包人：</w:t>
      </w:r>
    </w:p>
    <w:p w14:paraId="41A8C41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在缺陷责任期内，尽快完成在交工证书中写明的未完工作，并完成对本工程缺陷的修复或监理人指令的修补工作；</w:t>
      </w:r>
    </w:p>
    <w:p w14:paraId="01DAA33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在缺陷责任期满后的 14  天内，按照发包人和监理人在缺陷责任期满前检查结果而发出的指令，对存在的缺陷或其他不合格之处进行修补、重建及修复。承包人不能在合理时间内修复缺陷的，发包人可自行修复或委托其他人修复，所需费用和利润由承包人承担。</w:t>
      </w:r>
    </w:p>
    <w:p w14:paraId="756BA99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21.3 在缺陷责任期内，因承包人原因造成的缺陷修复费用和复验费用应由承包人自行负责；不属于承包人原因造成的缺陷修复费用由监理人同承包人协商并报发包人批准。</w:t>
      </w:r>
    </w:p>
    <w:p w14:paraId="2C3D971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21.4 由于承包人原因造成某项缺陷或损坏使某项工程不能按原定目标使用而需要再次检查、检验和修复的，发包人有权要求承包人相应延长缺陷责任期，但缺陷责任期最长不超过 2 年，自该项工程或设备修复之日算起。</w:t>
      </w:r>
    </w:p>
    <w:p w14:paraId="416AD19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21.5 保修期自实际交工日期起计算，具体期限在合同条款数据表中约定。在保修期内承包人应对由于施工质量原因造成的损坏自费进行修复。</w:t>
      </w:r>
    </w:p>
    <w:p w14:paraId="7EAC330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21.6 工程保修期终止后 28 天内，监理人签发保修期终止证书。</w:t>
      </w:r>
    </w:p>
    <w:p w14:paraId="55D8027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21.7 若承包人不履行保修义务和责任，则承包人应承担由于违约造成的法律后果，并由发包人将其违约行为上报交通运输主管部门，并作为不良记录纳入公路建设市场信用信息管理系统。</w:t>
      </w:r>
    </w:p>
    <w:p w14:paraId="200D7BA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21.8 缺陷责任期满后 14 天内, 由监理人向承包人出具经发包人签认的缺陷责任终止证书，并退还剩余的质量保证金。</w:t>
      </w:r>
    </w:p>
    <w:p w14:paraId="1724D4B0">
      <w:pPr>
        <w:keepNext w:val="0"/>
        <w:keepLines w:val="0"/>
        <w:widowControl/>
        <w:numPr>
          <w:ilvl w:val="0"/>
          <w:numId w:val="0"/>
        </w:numPr>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十、违约、索赔和争议</w:t>
      </w:r>
    </w:p>
    <w:p w14:paraId="432722B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 违约</w:t>
      </w:r>
    </w:p>
    <w:p w14:paraId="1C92C17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22.1 发包人违约</w:t>
      </w:r>
    </w:p>
    <w:p w14:paraId="7D0CD99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22.1.1 下列情况属发包人违约：</w:t>
      </w:r>
    </w:p>
    <w:p w14:paraId="3B57F69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（1）按合同约定，未向承包人支付根据监理人签发的支付证书项下的应付款额，或拖延、拒绝批准付款申请和支付凭证，导致付款延误的；</w:t>
      </w:r>
    </w:p>
    <w:p w14:paraId="07BEC58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（2）发包人原因造成停工的；</w:t>
      </w:r>
    </w:p>
    <w:p w14:paraId="5798CDF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（3）监理人无正当理由没有在约定期限内，发出复工指示，导致承包人无法复工的；</w:t>
      </w:r>
    </w:p>
    <w:p w14:paraId="7680673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22.1.2 未根据本合同任何条款而无理阻碍或拒绝对任何上述证书颁发的所需批准，则承包人有权终止对本合同项下的承包，并通知发包人，抄送监理人，该终止在发出通知 14 天后生效，发包人应承担违约责任，赔偿因其违约给承包人造成的损失，顺延延误的工期。</w:t>
      </w:r>
    </w:p>
    <w:p w14:paraId="7108D19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22.1.3发包人发生违约情况时，承包人可向发包人发出通知，要求发包人采取有效措施纠正违约行为。发包人收到承包人通知后的 28 天内仍不履行合同义务，承包人有权暂停施工，并通知监理人，发包人应承担由此增加的费用和(或)工期延误， 并支付承包人合理利润。</w:t>
      </w:r>
    </w:p>
    <w:p w14:paraId="6FF33FC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22.2承包人违约</w:t>
      </w:r>
    </w:p>
    <w:p w14:paraId="1740D6A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22.2.1 下列情况属承包人违约：</w:t>
      </w:r>
    </w:p>
    <w:p w14:paraId="1BA228E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（1）无视监理人事先的书面警告，不履行其合同规定的义务；</w:t>
      </w:r>
    </w:p>
    <w:p w14:paraId="0D50A3E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违反合同规定，私自将合同的全部或部分权利转让给其他人，或私自将合同的全部或部分义务转让给其他人；</w:t>
      </w:r>
    </w:p>
    <w:p w14:paraId="47F2867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未按在合同谈判阶段确定的内容配备其他管理和技术人员、主要机械设备和试验检测设备、未按期提交施工组织计划；私自将已按合同约定进入场地的施 工设备、临时设备或材料撤离施工场地；</w:t>
      </w:r>
    </w:p>
    <w:p w14:paraId="493FE3C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在监理人通知或指令发出 28 天内不遵守该通知或指令修复或运走、替换不合格材料、设备的；</w:t>
      </w:r>
    </w:p>
    <w:p w14:paraId="059C01D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 无正当理由延期开工或因进度滞后，在接到监理人加快进度通知 28 天内无正当理由、未能采取措施加快进行本工程或其关键部分的施工；</w:t>
      </w:r>
    </w:p>
    <w:p w14:paraId="775F04B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 未达到规定质量目标的；</w:t>
      </w:r>
    </w:p>
    <w:p w14:paraId="7051C04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 出现三级一般质量事故以上的；</w:t>
      </w:r>
    </w:p>
    <w:p w14:paraId="46CC5FA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（8） 发生野蛮施工，造成环保事件或损坏原有建筑物的；</w:t>
      </w:r>
    </w:p>
    <w:p w14:paraId="684980A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（9） 因通行便道维护不力，造成社会恶劣影响的；</w:t>
      </w:r>
    </w:p>
    <w:p w14:paraId="6369F6C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 拖欠劳务工资、设备、材料款，造成恶劣影响的；</w:t>
      </w:r>
    </w:p>
    <w:p w14:paraId="0467C4A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（11） 违反分包、转包规定的；</w:t>
      </w:r>
    </w:p>
    <w:p w14:paraId="1167CA8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 承包人在缺陷责任期内，未能对工程接收证书所列的缺陷清单的内容或缺陷责任期内发生的缺陷进行修复，而又拒绝按监理人指示再进行修补的；</w:t>
      </w:r>
    </w:p>
    <w:p w14:paraId="186F105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 违反其他合同规定履约义务的。</w:t>
      </w:r>
    </w:p>
    <w:p w14:paraId="3688F2D6">
      <w:pPr>
        <w:keepNext w:val="0"/>
        <w:keepLines w:val="0"/>
        <w:widowControl/>
        <w:numPr>
          <w:ilvl w:val="0"/>
          <w:numId w:val="0"/>
        </w:numPr>
        <w:suppressLineNumbers w:val="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 承包人承担违约责任，赔偿因其违约给发包人造成的损失。</w:t>
      </w:r>
    </w:p>
    <w:p w14:paraId="5EFB37C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22.2.2 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24F2E45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22.3 在履行合同过程中，一方当事人因第三人的原因造成违约的，应当向对方当事人承担违约责任。一方当事人和第三人之间的纠纷，依照法律规定或者按照约定解决。</w:t>
      </w:r>
    </w:p>
    <w:p w14:paraId="0E77F04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22.4 合同解除后的估价、付款和结清</w:t>
      </w:r>
    </w:p>
    <w:p w14:paraId="4F8E4B8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合同解除后，监理人商定或确定承包人实际完成工作的价值，以及承包人已提供的材料、施工设备、工程设备和临时工程等的价值；</w:t>
      </w:r>
    </w:p>
    <w:p w14:paraId="1D11422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合同解除后，发包人应暂停对承包人的一切付款，查清各项付款和已扣款金额，包括承包人应支付的违约金；</w:t>
      </w:r>
    </w:p>
    <w:p w14:paraId="041A34D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合同解除后，发包人应约定向承包人索赔由于解除合同给发包人造成的损失；</w:t>
      </w:r>
    </w:p>
    <w:p w14:paraId="1CDC1E0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合同双方确认上述往来款项后，出具最终结清付款证书，结清全部合同款项；</w:t>
      </w:r>
    </w:p>
    <w:p w14:paraId="7703329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 发包人和承包人未能就解除合同后的结清达成一致而形成争议的，按约定办理。</w:t>
      </w:r>
    </w:p>
    <w:p w14:paraId="5A0D4D3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23. 索赔</w:t>
      </w:r>
    </w:p>
    <w:p w14:paraId="34D3590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23. 1 当一方向另一方提出索赔时，要有正当索赔理由，并向监理人提交索赔事件发生时的有效证据。</w:t>
      </w:r>
    </w:p>
    <w:p w14:paraId="6FBBA77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23.2 发包人未能按合同约定履行自己的各项义务或发生错误，造成工期延误和承包人经济损失，承包人可按下列程序以书面形式申请索赔：</w:t>
      </w:r>
    </w:p>
    <w:p w14:paraId="70547B9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索赔事件首次发生的 21 天之内，向监理人提出索赔意向书，并抄送发包人；</w:t>
      </w:r>
    </w:p>
    <w:p w14:paraId="5F5005C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发出索赔意向通知后 21 天内或监理人同意的另一期限内，承包人应送交监理人一份拟索赔款额的详细账目，并说明索赔所依据的理由；</w:t>
      </w:r>
    </w:p>
    <w:p w14:paraId="2533A8F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在索赔事件影响结束后的 28 天内，承包人应向监理人递交最终索赔通知书，说明最终要求索赔的追加付款金额和延长的工期，并附必要的记录和证明材料；</w:t>
      </w:r>
    </w:p>
    <w:p w14:paraId="5C3F4DB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监理人应对承包人按规定提供的索赔证据和详细账目进行审查核实，查验承包人的记录和证明材料，必要时监理人可要求承包人提交全部原始记录副本； 在与承包人协商并报发包人批准后，确定承包人有权得到的全部的索赔款额，并按规定列入中期支付证书或最后支付证书内予以支付。监理人将此决定通知承包人， 并抄送发包人。</w:t>
      </w:r>
    </w:p>
    <w:p w14:paraId="24D498E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23.3 承包人提出索赔的期限</w:t>
      </w:r>
    </w:p>
    <w:p w14:paraId="472922D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承包人按约定接受了竣工付款证书后，应被认为已无权再提出在合同工程接收证书颁发前所发生的任何索赔；</w:t>
      </w:r>
    </w:p>
    <w:p w14:paraId="131E9DA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承包人按约定提交的最终结清申请单中，只限于提出工程接收证书颁发后发生的索赔。提出索赔的期限自接受最终结清证书时终止。</w:t>
      </w:r>
    </w:p>
    <w:p w14:paraId="028AFEB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23.4 发包人的索赔</w:t>
      </w:r>
    </w:p>
    <w:p w14:paraId="1A7641B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发生索赔事件后，监理人应及时书面通知承包人，详细说明发包人有权得到的索赔金额和(或)延长缺陷责任期的细节和依据。发包人提出索赔的期限和要求与承包人提出索赔期限和要求约定相同，延长缺陷责任期的通知应在缺陷责任期届满前发出；</w:t>
      </w:r>
    </w:p>
    <w:p w14:paraId="13A53CC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监理人按商定或确定发包人从承包人处得到赔付的金额和(或)缺陷责任期的延长期。承包人应付给发包人的金额可从拟支付给承包人的合同价款中扣除，或由承包人以其他方式支付给发包人。</w:t>
      </w:r>
    </w:p>
    <w:p w14:paraId="3D9887C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24.争议</w:t>
      </w:r>
    </w:p>
    <w:p w14:paraId="3373145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24. 1 无论在施工过程中或在工程竣工之后，无论在本合同的失效或终止之前或之后，如果发包人和承包人之间就本合同文件的条款、规定、规范、图纸、质量 与进度要求，支付与扣除，延期与索赔发生任何法律上、经济上或技术上的纠纷， 包括对监理人作出指示、指令、决定、评定、认证和价格发生的纠纷，纠纷中的问题，首先应根据本条款规定书面提交给监理人解决，并抄送另一方。监理人在收到此提交文件后 42 天之内应将自己的裁定通知发包人和承包人。</w:t>
      </w:r>
    </w:p>
    <w:p w14:paraId="278E047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24.2 如果发包人或承包人有一方对监理人的裁定有异议，或如果监理人在收到提交文件后 42 天内，没有发出自己裁定通知，则双方可采取下列程序解决争议：</w:t>
      </w:r>
    </w:p>
    <w:p w14:paraId="360AA9D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双方就纠纷事项进行友好协商解决或通过双方上级主管部门进行调解或争议评审解决；</w:t>
      </w:r>
    </w:p>
    <w:p w14:paraId="5B809F3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（2）发包人和承包人接受评审意见的，由监理人根据评审意见拟定执行协议，经争议双方签字后作为合同的补充文件，并遵照执行；</w:t>
      </w:r>
    </w:p>
    <w:p w14:paraId="10FC317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发包人或承包人不接受评审意见，并要求提交仲裁或提起诉讼的，应在收到评审意见后的 14 天内将仲裁或起诉意向书面通知另一方，并抄送监理人，但在仲裁或诉讼结束前应暂按监理人的确定执行。</w:t>
      </w:r>
    </w:p>
    <w:p w14:paraId="6D1CAEA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24.3 除非本合同已被终止，承包人无论在什么情况下都应尽一切努力继续完成本工程，承包人和发包人应使监理人的裁定付诸实施，除非监理人对裁定作出新的更改。</w:t>
      </w:r>
    </w:p>
    <w:p w14:paraId="2C9A72BD">
      <w:pPr>
        <w:keepNext w:val="0"/>
        <w:keepLines w:val="0"/>
        <w:widowControl/>
        <w:numPr>
          <w:ilvl w:val="0"/>
          <w:numId w:val="0"/>
        </w:numPr>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十一、其他</w:t>
      </w:r>
    </w:p>
    <w:p w14:paraId="1C7F235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25. 转让与分包</w:t>
      </w:r>
    </w:p>
    <w:p w14:paraId="4F2B100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25.1 除合同另有约定外，未经对方当事人同意，一方当事人不得将合同权利全部或部分转让给第三人，也不得全部或部分转移合同义务。</w:t>
      </w:r>
    </w:p>
    <w:p w14:paraId="7F11CCD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25.2 承包人不得将其承包的全部工程转包给第三人，或将其承包的全部工程肢解后以分包的名义转包给第三人。本工程严禁转包和违规分包，且不得再次分包。</w:t>
      </w:r>
    </w:p>
    <w:p w14:paraId="0202932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25.3 承包人不得将工程主体、关键性工作分包给第三人。未经发包人同意， 承包人不得将工程的其他部分或工作分包给第三人。</w:t>
      </w:r>
    </w:p>
    <w:p w14:paraId="2F25527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25.4 分包人的资格能力应与其分包工程的标准和规模相适应。</w:t>
      </w:r>
    </w:p>
    <w:p w14:paraId="756990E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25.5 承包人应与分包人就分包工程向发包人承担连带责任。</w:t>
      </w:r>
    </w:p>
    <w:p w14:paraId="0D6B831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25.6 发包人对承包人与分包人之间的法律与经济纠纷不承担任何责任和义务。</w:t>
      </w:r>
    </w:p>
    <w:p w14:paraId="26C51D1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25.7各项分包工作均应遵守《公路工程施工分包管理办法》的有关规定。</w:t>
      </w:r>
    </w:p>
    <w:p w14:paraId="0158972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26. 保险</w:t>
      </w:r>
    </w:p>
    <w:p w14:paraId="1A46E3B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26.1 承包人应为承包工程投保建筑工程一切险、安装工程一切险等工程保险及第三者责任险，保险期限为开工日起直至本合同工程签发缺陷责任期终止证书止。相关费用均包含在工程量清单的单价及总额价中，发包人不单独支付。</w:t>
      </w:r>
    </w:p>
    <w:p w14:paraId="7B14265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26.2 承包人应依照有关法律规定参加工伤保险，为其履行合同所雇用的全部人员缴纳工伤保险费，并要求其分包人也进行此项保险。保险的一切费用应由承包人承担并支付。</w:t>
      </w:r>
    </w:p>
    <w:p w14:paraId="4916B38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26.3 承包人应在整个施工期间为其现场机构雇用的全部人员，投保人身意外伤害险，缴纳保险费，并要求其分包人也进行此项保险。保险的一切费用应由承包人承担并支付。</w:t>
      </w:r>
    </w:p>
    <w:p w14:paraId="1A1E864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26.4 承包人应为其施工设备等办理保险，其投保金额应足以现场重置。办理本款保险的一切费用均由承包人承担，并包括在工程量清单的单价及总额价中，发包人不单独支付。</w:t>
      </w:r>
    </w:p>
    <w:p w14:paraId="15389D9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26.5 承包人应在办理有关保险后，尽快向发包人提供按合同要求所报各种保险的生效证明，并在开工后 56 天内提交保险单，同时向监理人提交副本。</w:t>
      </w:r>
    </w:p>
    <w:p w14:paraId="0FB4DF8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26.6 保险事故发生时，承包人有责任尽力采取必要措施，防止或者减少损失。</w:t>
      </w:r>
    </w:p>
    <w:p w14:paraId="555817F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27. 不利物质条件</w:t>
      </w:r>
    </w:p>
    <w:p w14:paraId="188DC99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27.1不利物质条件，是指承包人在施工场地遇到的不可预见的自然物质条件、 非自然的物质障碍和污染物，包括地下和水文条件，但不包括气候条件。</w:t>
      </w:r>
    </w:p>
    <w:p w14:paraId="7BF8045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27.2 承包人遇到不利物质条件时，应采取适应不利物质条件的合理措施继续施工，并及时通知监理人。监理人应当及时发出指示，指示构成变更的，按约定办理。监理人没有发出指示的，承包人因采取合理措施而增加的费用和(或)工期延误</w:t>
      </w:r>
      <w:r>
        <w:rPr>
          <w:rFonts w:hint="eastAsia" w:ascii="宋体" w:hAnsi="宋体" w:cs="宋体"/>
          <w:b w:val="0"/>
          <w:bCs w:val="0"/>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由发包人承担。</w:t>
      </w:r>
    </w:p>
    <w:p w14:paraId="1D75695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28. 不可抗力后果及其处理</w:t>
      </w:r>
    </w:p>
    <w:p w14:paraId="2AAF32D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28.1 不可抗力是指承包人和发包人在订立合同时不可预见，在工程施工过程中不可避免发生并不能克服的自然灾害和社会性突发事件。包括但不限于：</w:t>
      </w:r>
    </w:p>
    <w:p w14:paraId="4CE39AA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（1）地震、海啸、火山爆发、泥石流、暴雨(雪) 、台风、龙卷风、水灾等自然 灾害；</w:t>
      </w:r>
    </w:p>
    <w:p w14:paraId="426AAB2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（2）战争、骚乱、暴动，但纯属承包人或其分包人派遣与雇用的人员由于本合同工程施工原因引起者除外；</w:t>
      </w:r>
    </w:p>
    <w:p w14:paraId="74A528E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（3）核反应、辐射或放射性污染；</w:t>
      </w:r>
    </w:p>
    <w:p w14:paraId="48A21B9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（4）空中飞行物体坠落或非发包人或承包人责任造成的爆炸、火灾；</w:t>
      </w:r>
    </w:p>
    <w:p w14:paraId="23550CD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（5）瘟疫；</w:t>
      </w:r>
    </w:p>
    <w:p w14:paraId="44E8FF2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（6）合同条款约定的其他情形。</w:t>
      </w:r>
    </w:p>
    <w:p w14:paraId="75962CF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28.2 不可抗力造成损害的责任</w:t>
      </w:r>
    </w:p>
    <w:p w14:paraId="7AB2817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不可抗力导致的人员伤亡、财产损失、费用增加和(或)工期延误等后果，由合同双方按以下原则承担：</w:t>
      </w:r>
    </w:p>
    <w:p w14:paraId="5BCAE4EE">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永久工程，包括已运至施工场地的材料和工程设备的损害，以及因工程损害造成的第三者人员伤亡和财产损失由发包人承担；</w:t>
      </w:r>
    </w:p>
    <w:p w14:paraId="7854900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承包人设备的损坏由承包人承担；</w:t>
      </w:r>
    </w:p>
    <w:p w14:paraId="480EB6F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 发包人和承包人各自承担其人员伤亡和其他财产损失及其相关费用；</w:t>
      </w:r>
    </w:p>
    <w:p w14:paraId="1362471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 承包人的停工损失由承包人承担，但停工期间应监理人要求照管工程和清理、修复工程的金额由发包人承担；</w:t>
      </w:r>
    </w:p>
    <w:p w14:paraId="33ED869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（5）不能按期竣工的，应合理延长工期，承包人不需支付逾期竣工违约金。发包人要求赶工的，承包人应采取赶工措施，赶工费用由发包人承担。</w:t>
      </w:r>
    </w:p>
    <w:p w14:paraId="6D21D3C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28.3 延迟履行期间发生的不可抗力</w:t>
      </w:r>
    </w:p>
    <w:p w14:paraId="5C83F69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合同一方当事人延迟履行，在延迟履行期间发生不可抗力的，不免除其责任。</w:t>
      </w:r>
    </w:p>
    <w:p w14:paraId="35B8EBC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28.4 避免和减少不可抗力损失</w:t>
      </w:r>
    </w:p>
    <w:p w14:paraId="01619BF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不可抗力发生后，发包人和承包人均应采取措施尽量避免和减少损失的扩大，任何一方没有采取有效措施导致损失扩大的，应对扩大的损失承担责任。</w:t>
      </w:r>
    </w:p>
    <w:p w14:paraId="1743E22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28.5  因不可抗力解除合同</w:t>
      </w:r>
    </w:p>
    <w:p w14:paraId="5F2C361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合同一方当事人因不可抗力不能履行合同的，应当及时通知对方解除合同。合同解除后，承包人应按照约定撤离施工场地。已经订货的材料、设备由订货方负责退货或解除订货合同，不能退还的货款和因退货、解除订货合同发生的费用，由发包人承担，因未及时退货造成的损失由责任方承担。合同解除后的付款参照约定，由监理人按商定确定。</w:t>
      </w:r>
    </w:p>
    <w:p w14:paraId="5A1D9FE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29. 文物</w:t>
      </w:r>
    </w:p>
    <w:p w14:paraId="41F4677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在施工场地发掘出的所有文物、古迹以及具有地质研究或考古价值的其他遗迹、化石、钱币或物品属于国家财产。承包人一旦发现上述文物时，应采取一切必要的 措施保护现场，防止任何人员移动或损坏任何该类物品，并立即将此发现通知监理人，并执行监理人关于此事的指令。如果由于这样的指令使承包人工期受到拖延和（或）增加了费用，则监理人在与承包人和发包人协商后应确定延长工期和（或） 增加费用，通知承包人并抄送发包人。承包人发现文物不及时报告或隐瞒不报致使文物丢失或损坏的，应赔偿损失并承担相应的法律责任。</w:t>
      </w:r>
    </w:p>
    <w:p w14:paraId="612F772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30. 违约赔偿</w:t>
      </w:r>
    </w:p>
    <w:p w14:paraId="54597F6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30.1 施工过程中发包人或监理人、质监机构抽检连续 2 个分项工程不合格者，按合同条款的有关要求，承包人对不合格分项工程补做或返工，使其达到合格标准，并赔偿每个分项工程 10000 元的违约金。</w:t>
      </w:r>
    </w:p>
    <w:p w14:paraId="14D8004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30.2 承包人未按规定工期完成本合同工程，拖期损失赔偿见合同条款数据表。工程进度严重滞后，承包人即使采取措施也不能保证工程按期完工，发包人有权指 定分包并没收履约保证金。</w:t>
      </w:r>
    </w:p>
    <w:p w14:paraId="62669CB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30.3 承包人主要管理人员、机械设备未按磋商响应文件约定时间进场，人员按200 元/人·天，机械设备每天按《公路工程机械台班费用定额》台班基价两倍支付违约 赔偿。</w:t>
      </w:r>
    </w:p>
    <w:p w14:paraId="54B84E8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30.4发生克扣、拖欠劳务工资、设备材料款，造成恶劣影响的，承包人在限期内不予支付时，发包人将从其履约保证金中支付。</w:t>
      </w:r>
    </w:p>
    <w:p w14:paraId="32B0D76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30.5 便道未按合同管养，影响社会车辆通行，造成恶劣影响的，承包人在限期内不予整改的，发包人可另行实施，其发生的费用从承包人工程款中扣回。</w:t>
      </w:r>
    </w:p>
    <w:p w14:paraId="50D3B39A">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30.6 承包人违约转让或变相转让合同，发包人将没收履约保证金，并将其清除出场。</w:t>
      </w:r>
    </w:p>
    <w:p w14:paraId="30CCBE6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30.7 在工程施工过程中，如监理人或发包人认为承包人主要管理人员及技术人员不能胜任工作，提出更换人员要求，承包人必须执行，且更换人员资格不低于所换人员资格，无论是否征得发包人同意，均按下述规定扣除其违约金：项目经理每人次扣除 6 万元，项目总工每人次扣除 5 万元，路基工程师、路面工程师、结构 工程师、计量计划负责人、试验检测工程师每人次扣除 3 万元。即使交纳了违约金，承包人仍有义务按合同规定纠正其违约行为；更换率达到 50%的按照《新疆维吾尔自治区农村公路建设从业单位信用评价实施细则》的规定评价。</w:t>
      </w:r>
    </w:p>
    <w:p w14:paraId="26C23AB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31. 承包人需遵循的其他规定和要求</w:t>
      </w:r>
    </w:p>
    <w:p w14:paraId="78678BD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31.1 新疆公路工程现行通知、办法详见附件。</w:t>
      </w:r>
    </w:p>
    <w:p w14:paraId="791F710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31.2 临时排水设施承包人在施工中，道路的临时排水设施要与路基的施工同步，所需费用报价中要充分考虑。如因承包人排水设施不当，造成的工程损失由承包人承担。</w:t>
      </w:r>
    </w:p>
    <w:p w14:paraId="1837A7F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31.3 突发公共卫生事件</w:t>
      </w:r>
    </w:p>
    <w:p w14:paraId="54F09ED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为了有效预防、及时控制和消除公共卫生事件的危害，保障全体施工人员（包括雇用劳务人员）及周围群众身体健康和生命安全，维持正常社会秩序，承包人应全面贯彻国务院第 376 号令《突发公共卫生事件应急条例》，其涉及内容均不单独计量与支付，投标人报价时综合考虑其费用，所涉及的费用均包括在与之相关的工程细目的单价之中，发包人不单独支付。</w:t>
      </w:r>
    </w:p>
    <w:p w14:paraId="6F617DE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31.4  反商业贿赂</w:t>
      </w:r>
    </w:p>
    <w:p w14:paraId="1CBD04B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严格执行国家、自治区、交通运输厅关于反商业贿赂的有关规定。承包人应严格按照廉政建设责任制度执行，并将廉政合同落到实处，制定相应的计划和措施。</w:t>
      </w:r>
    </w:p>
    <w:p w14:paraId="4BE3C74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附件：</w:t>
      </w:r>
    </w:p>
    <w:p w14:paraId="57C3A31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 《新疆维吾尔自治区农村公路建设管理办法》</w:t>
      </w:r>
    </w:p>
    <w:p w14:paraId="2C9B639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 《新疆维吾尔自治区农村公路建设工程质量监督机构和人员考核办法》</w:t>
      </w:r>
    </w:p>
    <w:p w14:paraId="0A65B59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(3)《新疆维吾尔自治区农村公路工程质量监督管理细则》</w:t>
      </w:r>
    </w:p>
    <w:p w14:paraId="20A890C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(4)《新疆维吾尔自治区农村公路工程设计变更管理办法（试行）》</w:t>
      </w:r>
    </w:p>
    <w:p w14:paraId="57652A2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(5)《新疆维吾尔自治区农村公路工程施工监理工作规定》</w:t>
      </w:r>
    </w:p>
    <w:p w14:paraId="571B48C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(6)《新疆维吾尔自治区农村公路工程试验检测工作规定》</w:t>
      </w:r>
    </w:p>
    <w:p w14:paraId="282E659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(7)《新疆小交通量农村公路工程技术指南》</w:t>
      </w:r>
    </w:p>
    <w:p w14:paraId="4C97B0A5">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(8) 《新疆农村公路施工图设计外业勘察验收指南》</w:t>
      </w:r>
    </w:p>
    <w:p w14:paraId="64B686F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(9) 《关于在公路改建改造工程中加强便道管理保障通行的通知》（新交监察 〔2001〕5 号文）；</w:t>
      </w:r>
    </w:p>
    <w:p w14:paraId="3F8DF15D">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 《新疆公路工程台背回填管理办法》； ( 11) 《新疆公路工程建设项目便道管理办法》；</w:t>
      </w:r>
    </w:p>
    <w:p w14:paraId="7FF7BE5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 《新疆维吾尔自治区公路工程路基下沉、路面破损、桥涵处跳车等质量问 题责任追究》（新交政法〔2001〕20 号）；</w:t>
      </w:r>
    </w:p>
    <w:p w14:paraId="11CF927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(13) 《关于提高新疆公路工程路基、路面压实度指标的通知》（新交质监〔2002 〕2 号）；</w:t>
      </w:r>
    </w:p>
    <w:p w14:paraId="1EE6E39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(14) 《新疆维吾尔自治区公路路面透层油和下封层质量控制施工机械配套指导 意见》（新交质监〔2008〕22 号）；</w:t>
      </w:r>
    </w:p>
    <w:p w14:paraId="0CC714F9">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(15) 《新疆维吾尔自治区农村公路建设廉政工作实施办法（试行）》（新交办 〔2008〕80 号）；</w:t>
      </w:r>
    </w:p>
    <w:p w14:paraId="3BC5989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(16) 关于印发《新疆维吾尔自治区公路工程施工质量责任和责任追究制度》的 通知（新交工程〔2016〕28 号）；</w:t>
      </w:r>
    </w:p>
    <w:p w14:paraId="0189D707">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(17) 《关于在公路基础设施建设中使用农民工有关意见的通知》（新交综〔2003 〕42 号）；</w:t>
      </w:r>
    </w:p>
    <w:p w14:paraId="751E365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 关于印发《新疆维吾尔自治区交通厅关于交通建设项目防止拖欠工程款和农民工工资管理暂行办法（试行）》（新交综〔2005〕42 号）；</w:t>
      </w:r>
    </w:p>
    <w:p w14:paraId="4F9CF96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(19) 《关于在公路基础设施建设中使用农民工有关事宜的通知》（新交综〔2006 〕139 号）；</w:t>
      </w:r>
    </w:p>
    <w:p w14:paraId="0E17A8F3">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 《新疆维吾尔自治区农民工工资保证金管理暂行办法》（新政办发[2007]114 号）</w:t>
      </w:r>
    </w:p>
    <w:p w14:paraId="0CB22422">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(21) 《关于做好农村公路建设项目农民工使用有关事宜的通知》（新交农路 〔2016〕16 号）；</w:t>
      </w:r>
    </w:p>
    <w:p w14:paraId="096B7F41">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(22) 新疆维吾尔自治区人社、住建、交通、水利四部门联合印发的《关于在工 程建设领域实行农民工工资专用账户管理和银行代发工资制度的通知》（新人社发〔2018〕4 号）</w:t>
      </w:r>
    </w:p>
    <w:p w14:paraId="3B547C98">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承包人在施工中应严格执行国家、交通运输部、新疆维吾尔自治区、新疆交通运输厅现行通知、办法的相关规定，涉及报价因素的应在投标报价中充分予以考虑，发包人将不另行支付。</w:t>
      </w:r>
    </w:p>
    <w:p w14:paraId="5E5E0474">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p>
    <w:p w14:paraId="2017D3C0">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p>
    <w:p w14:paraId="4DB6958C">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p>
    <w:p w14:paraId="041EC3DB">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p>
    <w:p w14:paraId="718CA80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p>
    <w:p w14:paraId="286F5476">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p>
    <w:p w14:paraId="2CC44C1F">
      <w:pPr>
        <w:keepNext w:val="0"/>
        <w:keepLines w:val="0"/>
        <w:widowControl/>
        <w:numPr>
          <w:ilvl w:val="0"/>
          <w:numId w:val="0"/>
        </w:numPr>
        <w:suppressLineNumbers w:val="0"/>
        <w:ind w:firstLine="560" w:firstLineChars="200"/>
        <w:jc w:val="both"/>
        <w:rPr>
          <w:rFonts w:hint="eastAsia" w:ascii="宋体" w:hAnsi="宋体" w:eastAsia="宋体" w:cs="宋体"/>
          <w:b w:val="0"/>
          <w:bCs w:val="0"/>
          <w:color w:val="000000"/>
          <w:kern w:val="0"/>
          <w:sz w:val="28"/>
          <w:szCs w:val="28"/>
          <w:lang w:val="en-US" w:eastAsia="zh-CN" w:bidi="ar"/>
        </w:rPr>
      </w:pPr>
    </w:p>
    <w:p w14:paraId="2487D9F8">
      <w:pPr>
        <w:keepNext w:val="0"/>
        <w:keepLines w:val="0"/>
        <w:widowControl/>
        <w:suppressLineNumbers w:val="0"/>
        <w:jc w:val="center"/>
        <w:rPr>
          <w:rFonts w:hint="eastAsia" w:ascii="宋体" w:hAnsi="宋体" w:eastAsia="宋体" w:cs="宋体"/>
          <w:b/>
          <w:bCs/>
          <w:color w:val="000000"/>
          <w:kern w:val="0"/>
          <w:sz w:val="28"/>
          <w:szCs w:val="28"/>
          <w:lang w:val="en-US" w:eastAsia="zh-CN" w:bidi="ar"/>
        </w:rPr>
        <w:sectPr>
          <w:pgSz w:w="11906" w:h="16838"/>
          <w:pgMar w:top="1440" w:right="1800" w:bottom="1440" w:left="1800" w:header="851" w:footer="992" w:gutter="0"/>
          <w:pgNumType w:fmt="decimal"/>
          <w:cols w:space="425" w:num="1"/>
          <w:docGrid w:type="lines" w:linePitch="312" w:charSpace="0"/>
        </w:sectPr>
      </w:pPr>
    </w:p>
    <w:p w14:paraId="0661E812">
      <w:pPr>
        <w:keepNext w:val="0"/>
        <w:keepLines w:val="0"/>
        <w:widowControl/>
        <w:suppressLineNumbers w:val="0"/>
        <w:jc w:val="center"/>
        <w:rPr>
          <w:rFonts w:hint="eastAsia" w:ascii="宋体" w:hAnsi="宋体" w:eastAsia="宋体" w:cs="宋体"/>
          <w:sz w:val="28"/>
          <w:szCs w:val="28"/>
        </w:rPr>
      </w:pPr>
      <w:bookmarkStart w:id="57" w:name="_Toc17996"/>
      <w:r>
        <w:rPr>
          <w:rFonts w:hint="eastAsia" w:ascii="宋体" w:hAnsi="宋体" w:eastAsia="宋体" w:cs="宋体"/>
          <w:b/>
          <w:bCs/>
          <w:color w:val="000000"/>
          <w:kern w:val="0"/>
          <w:sz w:val="28"/>
          <w:szCs w:val="28"/>
          <w:lang w:val="en-US" w:eastAsia="zh-CN" w:bidi="ar"/>
        </w:rPr>
        <w:t>第二部分 合同一般条款</w:t>
      </w:r>
    </w:p>
    <w:p w14:paraId="7D8C3BE9">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 定义 </w:t>
      </w:r>
    </w:p>
    <w:p w14:paraId="7E1A355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本合同中的下列词语应按以下内容进行解释： </w:t>
      </w:r>
    </w:p>
    <w:p w14:paraId="4E4C3CD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2.1.1 “合同”系指采购人和成交供应商签订的载明双方当事人所达成的协议，并包括所有的附件、附录和构成合同的其他文件。 </w:t>
      </w:r>
    </w:p>
    <w:p w14:paraId="60138F2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2.1.2 “合同价”系指根据合同约定，成交供应商在完全履行合同义务后，采购人应支付给成交供应商的价格。 </w:t>
      </w:r>
    </w:p>
    <w:p w14:paraId="1EBFB83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2.1.</w:t>
      </w:r>
      <w:r>
        <w:rPr>
          <w:rFonts w:hint="eastAsia" w:ascii="宋体" w:hAnsi="宋体" w:cs="宋体"/>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 “甲方”系指与成交供应商签署合同的采购人；采购人委托采购代理机构代表其与乙方签订合同的，采购人的授权委托书作为合同附件。 </w:t>
      </w:r>
    </w:p>
    <w:p w14:paraId="3D7ABD17">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2.1.</w:t>
      </w:r>
      <w:r>
        <w:rPr>
          <w:rFonts w:hint="eastAsia" w:ascii="宋体" w:hAnsi="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4A10736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2.1.</w:t>
      </w:r>
      <w:r>
        <w:rPr>
          <w:rFonts w:hint="eastAsia" w:ascii="宋体" w:hAnsi="宋体" w:cs="宋体"/>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 xml:space="preserve"> “现场”系指合同约定提供服务的地点。 </w:t>
      </w:r>
    </w:p>
    <w:p w14:paraId="3263B0A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2.2 技术规范 </w:t>
      </w:r>
    </w:p>
    <w:p w14:paraId="78E966E7">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 </w:t>
      </w:r>
    </w:p>
    <w:p w14:paraId="6DBB14D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2.3 知识产权 </w:t>
      </w:r>
    </w:p>
    <w:p w14:paraId="43C05CA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2.3.1 乙方应保证其提供的服务不受任何第三方提出的侵犯其著作权、商标权、专利权等知识产权方面的起诉；如果任何第三方提出侵权指控，那么乙方须与该第三方交涉并承担由此发生的一切责任、费用和赔偿； </w:t>
      </w:r>
    </w:p>
    <w:p w14:paraId="4640B43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2.3.2 合同涉及技术成果的归属和收益的分成办法的，详见合同专用条款。 </w:t>
      </w:r>
    </w:p>
    <w:p w14:paraId="7DD95FE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2.4 履约检查和问题反馈 </w:t>
      </w:r>
    </w:p>
    <w:p w14:paraId="786FE77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2.4.1 甲方有权在其认为必要时，对乙方是否能够按照合同约定提供服务进行履约检查，以确保乙方所提供的服务能够依约满足甲方之项目需求，但不得因履约检查妨碍乙方的正常工作，乙方应予积极配合； </w:t>
      </w:r>
    </w:p>
    <w:p w14:paraId="4B6B03F7">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2.4.2 合同履行期间，甲方有权将履行过程中出现的问题反馈给乙方，双方当事人应以书面形式约定需要完善和改进的内容。 </w:t>
      </w:r>
    </w:p>
    <w:p w14:paraId="7A64FF6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2.5 结算方式和付款条件 </w:t>
      </w:r>
    </w:p>
    <w:p w14:paraId="607BE02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详见合同专用条款。 </w:t>
      </w:r>
    </w:p>
    <w:p w14:paraId="17EE5E0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2.6 技术资料和保密义务 </w:t>
      </w:r>
    </w:p>
    <w:p w14:paraId="7B0AAC5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2.6.1 乙方有权依据合同约定和项目需要，向甲方了解有关情况，调阅有关资料等，甲方应予积极配合； </w:t>
      </w:r>
    </w:p>
    <w:p w14:paraId="64E58C2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2.6.2 乙方有义务妥善保管和保护由甲方提供的前款信息和资料等； </w:t>
      </w:r>
    </w:p>
    <w:p w14:paraId="6352638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3A70A21E">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2.7 质量保证 </w:t>
      </w:r>
    </w:p>
    <w:p w14:paraId="60BEE80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2.7.1 乙方应建立和完善履行合同的内部质量保证体系，并提供相关内部规章制度给甲方，以便甲方进行监督检查； </w:t>
      </w:r>
    </w:p>
    <w:p w14:paraId="5CAEE0F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2.7.2 乙方应保证履行合同的人员数量和素质、软件和硬件设备的配置、场地、环境和设施等满足全面履行合同的要求，并应接受甲方的监督检查。 </w:t>
      </w:r>
    </w:p>
    <w:p w14:paraId="71DD8B79">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2.8 延迟履行 </w:t>
      </w:r>
    </w:p>
    <w:p w14:paraId="672F0046">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 </w:t>
      </w:r>
    </w:p>
    <w:p w14:paraId="2D17248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2.9 合同变更 </w:t>
      </w:r>
    </w:p>
    <w:p w14:paraId="23FC878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2.9.1 双方当事人协商一致，可以签订书面补充合同的形式变更合同，但不得违背采购文件确定的事项，且如果系追加与合同标的相同的服务的，那么所有补充合同的采购金额不得超过原合同价的10%； </w:t>
      </w:r>
    </w:p>
    <w:p w14:paraId="3909932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2.9.2 合同继续履行将损害国家利益和社会公共利益的，双方当事人应当以书面形式变更合同。有过错的一方应当承担赔偿责任，双方当事人都有过错的，各自承担相应的责任。 </w:t>
      </w:r>
    </w:p>
    <w:p w14:paraId="37D383B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2.10 合同转让和分包 </w:t>
      </w:r>
    </w:p>
    <w:p w14:paraId="1B6730B1">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1639488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2.11 不可抗力 </w:t>
      </w:r>
    </w:p>
    <w:p w14:paraId="1353988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2.11.1 如果任何一方遭遇法律规定的不可抗力，致使合同履行受阻时，履行合同的期限应予延长，延长的期限应相当于不可抗力所影响的时间； </w:t>
      </w:r>
    </w:p>
    <w:p w14:paraId="09D365C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2.11.2 因不可抗力致使不能实现合同目的的，当事人可以解除合同； </w:t>
      </w:r>
    </w:p>
    <w:p w14:paraId="7B37BC8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2.11.3 因不可抗力致使合同有变更必要的，双方当事人应在合同专用条款约定时间内以书面形式变更合同； </w:t>
      </w:r>
    </w:p>
    <w:p w14:paraId="457E4C4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2.11.4 受不可抗力影响的一方在不可抗力发生后，应在合同专用条款约定时间内以书面形式通知对方当事人，并在合同专用条款约定时间内，将有关部门出具的证明文件送达对方当事人。</w:t>
      </w:r>
    </w:p>
    <w:p w14:paraId="6E6088D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2.12 税费 </w:t>
      </w:r>
    </w:p>
    <w:p w14:paraId="6A1EF71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与合同有关的一切税费，均按照中华人民共和国法律的相关规定缴纳。 </w:t>
      </w:r>
    </w:p>
    <w:p w14:paraId="0363977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2.13 乙方破产 </w:t>
      </w:r>
    </w:p>
    <w:p w14:paraId="7CEBC433">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1C59A65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2.14 合同中止、终止 </w:t>
      </w:r>
    </w:p>
    <w:p w14:paraId="27FD2C6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2.14.1 双方当事人不得擅自中止或者终止合同； </w:t>
      </w:r>
    </w:p>
    <w:p w14:paraId="57C917F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2.14.2 合同继续履行将损害国家利益和社会公共利益的，双方当事人应当中止或者终止合同。有过错的一方应当承担赔偿责任，双方当事人都有过错的，各自承担相应的责任。 </w:t>
      </w:r>
    </w:p>
    <w:p w14:paraId="5BE500D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2.15 检验和验收 </w:t>
      </w:r>
    </w:p>
    <w:p w14:paraId="6F4ABE4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2.15.1 乙方按照合同专用条款的约定，定期提交服务报告，甲方按照合同专用条款的约定进行定期验收； </w:t>
      </w:r>
    </w:p>
    <w:p w14:paraId="4AB1E4C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 </w:t>
      </w:r>
    </w:p>
    <w:p w14:paraId="4729BCF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2.15.3 检验和验收标准、程序等具体内容以及前述验收书的效力详见合同专用条款。 </w:t>
      </w:r>
    </w:p>
    <w:p w14:paraId="0BF694D7">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2.16 通知和送达 </w:t>
      </w:r>
    </w:p>
    <w:p w14:paraId="66A743B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2.16.1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 </w:t>
      </w:r>
    </w:p>
    <w:p w14:paraId="1B5842C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2.16.2 以当面交付方式送达的，交付之时视为送达；以电子邮件方式送达的，发出电子邮件之时视为送达；以传真方式送达的，发出传真之时视为送达；以邮寄方式送达的，邮件挂号寄出或者交邮之日之次日视为送达。 </w:t>
      </w:r>
    </w:p>
    <w:p w14:paraId="21DA7A6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2.17 合同使用的文字和适用的法律 </w:t>
      </w:r>
    </w:p>
    <w:p w14:paraId="095A1804">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2.17.1 合同使用汉语书就、变更和解释； </w:t>
      </w:r>
    </w:p>
    <w:p w14:paraId="2606ADF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2.17.2 合同适用中华人民共和国法律。 </w:t>
      </w:r>
    </w:p>
    <w:p w14:paraId="13C2922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2.18 履约保证金 </w:t>
      </w:r>
    </w:p>
    <w:p w14:paraId="581953F2">
      <w:pPr>
        <w:keepNext w:val="0"/>
        <w:keepLines w:val="0"/>
        <w:widowControl/>
        <w:suppressLineNumbers w:val="0"/>
        <w:jc w:val="left"/>
        <w:rPr>
          <w:rFonts w:hint="eastAsia" w:ascii="宋体" w:hAnsi="宋体" w:eastAsia="宋体" w:cs="宋体"/>
          <w:b/>
          <w:bCs/>
          <w:sz w:val="28"/>
          <w:szCs w:val="28"/>
        </w:rPr>
      </w:pPr>
      <w:r>
        <w:rPr>
          <w:rFonts w:hint="eastAsia" w:ascii="宋体" w:hAnsi="宋体" w:eastAsia="宋体" w:cs="宋体"/>
          <w:color w:val="000000"/>
          <w:kern w:val="0"/>
          <w:sz w:val="28"/>
          <w:szCs w:val="28"/>
          <w:lang w:val="en-US" w:eastAsia="zh-CN" w:bidi="ar"/>
        </w:rPr>
        <w:t>2.18.1 采购文件要求乙方提交履约保证金的，乙方应按合同专用条款约定的方式，以支票、汇票、本票或者金融机构、担保机构出具的保函等非现金形式，提交不超过合同价 10%的履约保证金；</w:t>
      </w:r>
      <w:r>
        <w:rPr>
          <w:rFonts w:hint="eastAsia" w:ascii="宋体" w:hAnsi="宋体" w:cs="宋体"/>
          <w:b/>
          <w:bCs/>
          <w:color w:val="000000"/>
          <w:kern w:val="0"/>
          <w:sz w:val="28"/>
          <w:szCs w:val="28"/>
          <w:lang w:val="en-US" w:eastAsia="zh-CN" w:bidi="ar"/>
        </w:rPr>
        <w:t>本项目没要求，具体成交单位和甲方协商。</w:t>
      </w:r>
      <w:r>
        <w:rPr>
          <w:rFonts w:hint="eastAsia" w:ascii="宋体" w:hAnsi="宋体" w:eastAsia="宋体" w:cs="宋体"/>
          <w:b/>
          <w:bCs/>
          <w:color w:val="000000"/>
          <w:kern w:val="0"/>
          <w:sz w:val="28"/>
          <w:szCs w:val="28"/>
          <w:lang w:val="en-US" w:eastAsia="zh-CN" w:bidi="ar"/>
        </w:rPr>
        <w:t xml:space="preserve"> </w:t>
      </w:r>
    </w:p>
    <w:p w14:paraId="0BB8676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2.18.2 履约保证金在合同专用条款约定期间内不予退还或者应完全有效，前述约定期间届满之日起</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个工作日内，甲方应将履约保证金退还乙方； </w:t>
      </w:r>
    </w:p>
    <w:p w14:paraId="2CBCC5D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2.18.3 如果乙方不履行合同，履约保证金不予退还；如果乙方未能按合同约定全面履行义务，那么甲方有权从履约保证金中取得补偿或赔偿，同时不影响甲方要求乙方承担合同约定的超过履约保证金的违约责任的权利。 </w:t>
      </w:r>
    </w:p>
    <w:p w14:paraId="469D9D7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2.19 合同份数 </w:t>
      </w:r>
    </w:p>
    <w:p w14:paraId="4CCE12CF">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合同份数按合同专用条款规定，每份均具有同等法律效力。</w:t>
      </w:r>
    </w:p>
    <w:p w14:paraId="04C84488">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cs="宋体"/>
          <w:color w:val="000000"/>
          <w:kern w:val="0"/>
          <w:sz w:val="28"/>
          <w:szCs w:val="28"/>
          <w:lang w:val="en-US" w:eastAsia="zh-CN" w:bidi="ar"/>
        </w:rPr>
        <w:t>一式三份。</w:t>
      </w:r>
      <w:r>
        <w:rPr>
          <w:rFonts w:hint="eastAsia" w:ascii="宋体" w:hAnsi="宋体" w:eastAsia="宋体" w:cs="宋体"/>
          <w:color w:val="000000"/>
          <w:kern w:val="0"/>
          <w:sz w:val="28"/>
          <w:szCs w:val="28"/>
          <w:lang w:val="en-US" w:eastAsia="zh-CN" w:bidi="ar"/>
        </w:rPr>
        <w:t xml:space="preserve"> </w:t>
      </w:r>
    </w:p>
    <w:p w14:paraId="633944C3">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第三部分 合同专用条款</w:t>
      </w:r>
    </w:p>
    <w:p w14:paraId="79ECE90F">
      <w:pPr>
        <w:spacing w:before="78" w:line="219" w:lineRule="auto"/>
        <w:ind w:left="56"/>
        <w:rPr>
          <w:rFonts w:ascii="宋体" w:hAnsi="宋体" w:eastAsia="宋体" w:cs="宋体"/>
          <w:sz w:val="28"/>
          <w:szCs w:val="28"/>
        </w:rPr>
      </w:pPr>
      <w:bookmarkStart w:id="58" w:name="_Toc27073"/>
      <w:r>
        <w:rPr>
          <w:rFonts w:ascii="宋体" w:hAnsi="宋体" w:eastAsia="宋体" w:cs="宋体"/>
          <w:spacing w:val="-6"/>
          <w:sz w:val="28"/>
          <w:szCs w:val="28"/>
        </w:rPr>
        <w:t>附件一  合同协议书</w:t>
      </w:r>
    </w:p>
    <w:p w14:paraId="7A804840">
      <w:pPr>
        <w:spacing w:before="78" w:line="219" w:lineRule="auto"/>
        <w:ind w:left="3759"/>
      </w:pPr>
      <w:r>
        <w:rPr>
          <w:rFonts w:ascii="宋体" w:hAnsi="宋体" w:eastAsia="宋体" w:cs="宋体"/>
          <w:b/>
          <w:bCs/>
          <w:spacing w:val="-4"/>
          <w:sz w:val="28"/>
          <w:szCs w:val="28"/>
        </w:rPr>
        <w:t>合同协议书</w:t>
      </w:r>
    </w:p>
    <w:p w14:paraId="71CD6524">
      <w:pPr>
        <w:tabs>
          <w:tab w:val="left" w:pos="1140"/>
          <w:tab w:val="left" w:pos="1920"/>
          <w:tab w:val="left" w:pos="2820"/>
        </w:tabs>
        <w:spacing w:before="78" w:line="262" w:lineRule="auto"/>
        <w:ind w:firstLine="480"/>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z w:val="28"/>
          <w:szCs w:val="28"/>
          <w:u w:val="single" w:color="auto"/>
        </w:rPr>
        <w:tab/>
      </w:r>
      <w:r>
        <w:rPr>
          <w:rFonts w:hint="eastAsia" w:ascii="宋体" w:hAnsi="宋体" w:eastAsia="宋体" w:cs="宋体"/>
          <w:sz w:val="28"/>
          <w:szCs w:val="28"/>
          <w:u w:val="single" w:color="auto"/>
        </w:rPr>
        <w:tab/>
      </w:r>
      <w:r>
        <w:rPr>
          <w:rFonts w:hint="eastAsia" w:ascii="宋体" w:hAnsi="宋体" w:eastAsia="宋体" w:cs="宋体"/>
          <w:spacing w:val="35"/>
          <w:w w:val="101"/>
          <w:sz w:val="28"/>
          <w:szCs w:val="28"/>
        </w:rPr>
        <w:t xml:space="preserve"> </w:t>
      </w:r>
      <w:r>
        <w:rPr>
          <w:rFonts w:hint="eastAsia" w:ascii="宋体" w:hAnsi="宋体" w:eastAsia="宋体" w:cs="宋体"/>
          <w:spacing w:val="-2"/>
          <w:sz w:val="28"/>
          <w:szCs w:val="28"/>
        </w:rPr>
        <w:t>(发包人名称，以下简称“发包人”)为实施</w:t>
      </w:r>
      <w:r>
        <w:rPr>
          <w:rFonts w:hint="eastAsia" w:ascii="宋体" w:hAnsi="宋体" w:eastAsia="宋体" w:cs="宋体"/>
          <w:spacing w:val="4"/>
          <w:sz w:val="28"/>
          <w:szCs w:val="28"/>
          <w:u w:val="single" w:color="auto"/>
        </w:rPr>
        <w:t xml:space="preserve">   </w:t>
      </w:r>
      <w:r>
        <w:rPr>
          <w:rFonts w:hint="eastAsia" w:ascii="宋体" w:hAnsi="宋体" w:eastAsia="宋体" w:cs="宋体"/>
          <w:sz w:val="28"/>
          <w:szCs w:val="28"/>
          <w:u w:val="single" w:color="auto"/>
        </w:rPr>
        <w:tab/>
      </w:r>
      <w:r>
        <w:rPr>
          <w:rFonts w:hint="eastAsia" w:ascii="宋体" w:hAnsi="宋体" w:eastAsia="宋体" w:cs="宋体"/>
          <w:spacing w:val="19"/>
          <w:w w:val="101"/>
          <w:sz w:val="28"/>
          <w:szCs w:val="28"/>
        </w:rPr>
        <w:t xml:space="preserve"> </w:t>
      </w:r>
      <w:r>
        <w:rPr>
          <w:rFonts w:hint="eastAsia" w:ascii="宋体" w:hAnsi="宋体" w:eastAsia="宋体" w:cs="宋体"/>
          <w:spacing w:val="-1"/>
          <w:sz w:val="28"/>
          <w:szCs w:val="28"/>
        </w:rPr>
        <w:t>(项目名称) ，已接受</w:t>
      </w:r>
      <w:r>
        <w:rPr>
          <w:rFonts w:hint="eastAsia" w:ascii="宋体" w:hAnsi="宋体" w:eastAsia="宋体" w:cs="宋体"/>
          <w:spacing w:val="-1"/>
          <w:sz w:val="28"/>
          <w:szCs w:val="28"/>
          <w:u w:val="single" w:color="auto"/>
        </w:rPr>
        <w:t xml:space="preserve">      </w:t>
      </w:r>
      <w:r>
        <w:rPr>
          <w:rFonts w:hint="eastAsia" w:ascii="宋体" w:hAnsi="宋体" w:eastAsia="宋体" w:cs="宋体"/>
          <w:spacing w:val="-101"/>
          <w:sz w:val="28"/>
          <w:szCs w:val="28"/>
        </w:rPr>
        <w:t xml:space="preserve"> </w:t>
      </w:r>
      <w:r>
        <w:rPr>
          <w:rFonts w:hint="eastAsia" w:ascii="宋体" w:hAnsi="宋体" w:eastAsia="宋体" w:cs="宋体"/>
          <w:spacing w:val="-1"/>
          <w:sz w:val="28"/>
          <w:szCs w:val="28"/>
        </w:rPr>
        <w:t>(承包</w:t>
      </w:r>
      <w:r>
        <w:rPr>
          <w:rFonts w:hint="eastAsia" w:ascii="宋体" w:hAnsi="宋体" w:eastAsia="宋体" w:cs="宋体"/>
          <w:spacing w:val="-2"/>
          <w:sz w:val="28"/>
          <w:szCs w:val="28"/>
        </w:rPr>
        <w:t>人名称，以下简称“承包人”)对该项目</w:t>
      </w:r>
      <w:r>
        <w:rPr>
          <w:rFonts w:hint="eastAsia" w:ascii="宋体" w:hAnsi="宋体" w:eastAsia="宋体" w:cs="宋体"/>
          <w:spacing w:val="-2"/>
          <w:sz w:val="28"/>
          <w:szCs w:val="28"/>
          <w:u w:val="single" w:color="auto"/>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color="auto"/>
        </w:rPr>
        <w:tab/>
      </w:r>
      <w:r>
        <w:rPr>
          <w:rFonts w:hint="eastAsia" w:ascii="宋体" w:hAnsi="宋体" w:eastAsia="宋体" w:cs="宋体"/>
          <w:sz w:val="28"/>
          <w:szCs w:val="28"/>
          <w:u w:val="single" w:color="auto"/>
        </w:rPr>
        <w:tab/>
      </w:r>
      <w:r>
        <w:rPr>
          <w:rFonts w:hint="eastAsia" w:ascii="宋体" w:hAnsi="宋体" w:eastAsia="宋体" w:cs="宋体"/>
          <w:spacing w:val="-71"/>
          <w:sz w:val="28"/>
          <w:szCs w:val="28"/>
        </w:rPr>
        <w:t xml:space="preserve"> </w:t>
      </w:r>
      <w:r>
        <w:rPr>
          <w:rFonts w:hint="eastAsia" w:ascii="宋体" w:hAnsi="宋体" w:eastAsia="宋体" w:cs="宋体"/>
          <w:spacing w:val="-2"/>
          <w:sz w:val="28"/>
          <w:szCs w:val="28"/>
        </w:rPr>
        <w:t>标段施工的投标。发包人和承包人共同达成如下协议：</w:t>
      </w:r>
    </w:p>
    <w:p w14:paraId="5EC365F6">
      <w:pPr>
        <w:spacing w:before="164" w:line="267" w:lineRule="auto"/>
        <w:ind w:left="25" w:right="48" w:firstLine="504"/>
        <w:jc w:val="both"/>
        <w:rPr>
          <w:rFonts w:hint="eastAsia" w:ascii="宋体" w:hAnsi="宋体" w:eastAsia="宋体" w:cs="宋体"/>
          <w:sz w:val="28"/>
          <w:szCs w:val="28"/>
        </w:rPr>
      </w:pPr>
      <w:r>
        <w:rPr>
          <w:rFonts w:hint="eastAsia" w:ascii="宋体" w:hAnsi="宋体" w:eastAsia="宋体" w:cs="宋体"/>
          <w:spacing w:val="-6"/>
          <w:sz w:val="28"/>
          <w:szCs w:val="28"/>
        </w:rPr>
        <w:t>1.第</w:t>
      </w:r>
      <w:r>
        <w:rPr>
          <w:rFonts w:hint="eastAsia" w:ascii="宋体" w:hAnsi="宋体" w:eastAsia="宋体" w:cs="宋体"/>
          <w:spacing w:val="27"/>
          <w:sz w:val="28"/>
          <w:szCs w:val="28"/>
          <w:u w:val="single" w:color="auto"/>
        </w:rPr>
        <w:t xml:space="preserve">   </w:t>
      </w:r>
      <w:r>
        <w:rPr>
          <w:rFonts w:hint="eastAsia" w:ascii="宋体" w:hAnsi="宋体" w:eastAsia="宋体" w:cs="宋体"/>
          <w:spacing w:val="-98"/>
          <w:sz w:val="28"/>
          <w:szCs w:val="28"/>
        </w:rPr>
        <w:t xml:space="preserve"> </w:t>
      </w:r>
      <w:r>
        <w:rPr>
          <w:rFonts w:hint="eastAsia" w:ascii="宋体" w:hAnsi="宋体" w:eastAsia="宋体" w:cs="宋体"/>
          <w:spacing w:val="-6"/>
          <w:sz w:val="28"/>
          <w:szCs w:val="28"/>
        </w:rPr>
        <w:t>标段由</w:t>
      </w:r>
      <w:r>
        <w:rPr>
          <w:rFonts w:hint="eastAsia" w:ascii="宋体" w:hAnsi="宋体" w:eastAsia="宋体" w:cs="宋体"/>
          <w:spacing w:val="-58"/>
          <w:sz w:val="28"/>
          <w:szCs w:val="28"/>
        </w:rPr>
        <w:t xml:space="preserve"> </w:t>
      </w:r>
      <w:r>
        <w:rPr>
          <w:rFonts w:hint="eastAsia" w:ascii="宋体" w:hAnsi="宋体" w:eastAsia="宋体" w:cs="宋体"/>
          <w:spacing w:val="-6"/>
          <w:sz w:val="28"/>
          <w:szCs w:val="28"/>
        </w:rPr>
        <w:t>K</w:t>
      </w:r>
      <w:r>
        <w:rPr>
          <w:rFonts w:hint="eastAsia" w:ascii="宋体" w:hAnsi="宋体" w:eastAsia="宋体" w:cs="宋体"/>
          <w:spacing w:val="-6"/>
          <w:sz w:val="28"/>
          <w:szCs w:val="28"/>
          <w:u w:val="single" w:color="auto"/>
        </w:rPr>
        <w:t xml:space="preserve">       </w:t>
      </w:r>
      <w:r>
        <w:rPr>
          <w:rFonts w:hint="eastAsia" w:ascii="宋体" w:hAnsi="宋体" w:eastAsia="宋体" w:cs="宋体"/>
          <w:spacing w:val="-29"/>
          <w:sz w:val="28"/>
          <w:szCs w:val="28"/>
        </w:rPr>
        <w:t xml:space="preserve"> </w:t>
      </w:r>
      <w:r>
        <w:rPr>
          <w:rFonts w:hint="eastAsia" w:ascii="宋体" w:hAnsi="宋体" w:eastAsia="宋体" w:cs="宋体"/>
          <w:spacing w:val="-6"/>
          <w:sz w:val="28"/>
          <w:szCs w:val="28"/>
        </w:rPr>
        <w:t>＋</w:t>
      </w:r>
      <w:r>
        <w:rPr>
          <w:rFonts w:hint="eastAsia" w:ascii="宋体" w:hAnsi="宋体" w:eastAsia="宋体" w:cs="宋体"/>
          <w:spacing w:val="-6"/>
          <w:sz w:val="28"/>
          <w:szCs w:val="28"/>
          <w:u w:val="single" w:color="auto"/>
        </w:rPr>
        <w:t xml:space="preserve">    </w:t>
      </w:r>
      <w:r>
        <w:rPr>
          <w:rFonts w:hint="eastAsia" w:ascii="宋体" w:hAnsi="宋体" w:eastAsia="宋体" w:cs="宋体"/>
          <w:spacing w:val="-93"/>
          <w:sz w:val="28"/>
          <w:szCs w:val="28"/>
        </w:rPr>
        <w:t xml:space="preserve"> </w:t>
      </w:r>
      <w:r>
        <w:rPr>
          <w:rFonts w:hint="eastAsia" w:ascii="宋体" w:hAnsi="宋体" w:eastAsia="宋体" w:cs="宋体"/>
          <w:spacing w:val="-6"/>
          <w:sz w:val="28"/>
          <w:szCs w:val="28"/>
        </w:rPr>
        <w:t>至</w:t>
      </w:r>
      <w:r>
        <w:rPr>
          <w:rFonts w:hint="eastAsia" w:ascii="宋体" w:hAnsi="宋体" w:eastAsia="宋体" w:cs="宋体"/>
          <w:spacing w:val="-61"/>
          <w:sz w:val="28"/>
          <w:szCs w:val="28"/>
        </w:rPr>
        <w:t xml:space="preserve"> </w:t>
      </w:r>
      <w:r>
        <w:rPr>
          <w:rFonts w:hint="eastAsia" w:ascii="宋体" w:hAnsi="宋体" w:eastAsia="宋体" w:cs="宋体"/>
          <w:spacing w:val="-7"/>
          <w:sz w:val="28"/>
          <w:szCs w:val="28"/>
        </w:rPr>
        <w:t>K</w:t>
      </w:r>
      <w:r>
        <w:rPr>
          <w:rFonts w:hint="eastAsia" w:ascii="宋体" w:hAnsi="宋体" w:eastAsia="宋体" w:cs="宋体"/>
          <w:spacing w:val="-7"/>
          <w:sz w:val="28"/>
          <w:szCs w:val="28"/>
          <w:u w:val="single" w:color="auto"/>
        </w:rPr>
        <w:t xml:space="preserve">        </w:t>
      </w:r>
      <w:r>
        <w:rPr>
          <w:rFonts w:hint="eastAsia" w:ascii="宋体" w:hAnsi="宋体" w:eastAsia="宋体" w:cs="宋体"/>
          <w:spacing w:val="-7"/>
          <w:sz w:val="28"/>
          <w:szCs w:val="28"/>
        </w:rPr>
        <w:t xml:space="preserve"> </w:t>
      </w:r>
      <w:r>
        <w:rPr>
          <w:rFonts w:hint="eastAsia" w:ascii="宋体" w:hAnsi="宋体" w:eastAsia="宋体" w:cs="宋体"/>
          <w:spacing w:val="-42"/>
          <w:sz w:val="28"/>
          <w:szCs w:val="28"/>
        </w:rPr>
        <w:t>＋</w:t>
      </w:r>
      <w:r>
        <w:rPr>
          <w:rFonts w:hint="eastAsia" w:ascii="宋体" w:hAnsi="宋体" w:eastAsia="宋体" w:cs="宋体"/>
          <w:spacing w:val="21"/>
          <w:sz w:val="28"/>
          <w:szCs w:val="28"/>
          <w:u w:val="single" w:color="auto"/>
        </w:rPr>
        <w:t xml:space="preserve">   </w:t>
      </w:r>
      <w:r>
        <w:rPr>
          <w:rFonts w:hint="eastAsia" w:ascii="宋体" w:hAnsi="宋体" w:eastAsia="宋体" w:cs="宋体"/>
          <w:spacing w:val="-42"/>
          <w:sz w:val="28"/>
          <w:szCs w:val="28"/>
        </w:rPr>
        <w:t>，</w:t>
      </w:r>
      <w:r>
        <w:rPr>
          <w:rFonts w:hint="eastAsia" w:ascii="宋体" w:hAnsi="宋体" w:eastAsia="宋体" w:cs="宋体"/>
          <w:spacing w:val="-7"/>
          <w:sz w:val="28"/>
          <w:szCs w:val="28"/>
        </w:rPr>
        <w:t>长约</w:t>
      </w:r>
      <w:r>
        <w:rPr>
          <w:rFonts w:hint="eastAsia" w:ascii="宋体" w:hAnsi="宋体" w:eastAsia="宋体" w:cs="宋体"/>
          <w:spacing w:val="13"/>
          <w:sz w:val="28"/>
          <w:szCs w:val="28"/>
          <w:u w:val="single" w:color="auto"/>
        </w:rPr>
        <w:t xml:space="preserve">    </w:t>
      </w:r>
      <w:r>
        <w:rPr>
          <w:rFonts w:hint="eastAsia" w:ascii="宋体" w:hAnsi="宋体" w:eastAsia="宋体" w:cs="宋体"/>
          <w:spacing w:val="-57"/>
          <w:sz w:val="28"/>
          <w:szCs w:val="28"/>
        </w:rPr>
        <w:t xml:space="preserve"> </w:t>
      </w:r>
      <w:r>
        <w:rPr>
          <w:rFonts w:hint="eastAsia" w:ascii="宋体" w:hAnsi="宋体" w:eastAsia="宋体" w:cs="宋体"/>
          <w:spacing w:val="-7"/>
          <w:sz w:val="28"/>
          <w:szCs w:val="28"/>
        </w:rPr>
        <w:t>km，公路等级为</w:t>
      </w:r>
      <w:r>
        <w:rPr>
          <w:rFonts w:hint="eastAsia" w:ascii="宋体" w:hAnsi="宋体" w:eastAsia="宋体" w:cs="宋体"/>
          <w:spacing w:val="-7"/>
          <w:sz w:val="28"/>
          <w:szCs w:val="28"/>
          <w:u w:val="single" w:color="auto"/>
        </w:rPr>
        <w:t xml:space="preserve">    </w:t>
      </w:r>
      <w:r>
        <w:rPr>
          <w:rFonts w:hint="eastAsia" w:ascii="宋体" w:hAnsi="宋体" w:eastAsia="宋体" w:cs="宋体"/>
          <w:spacing w:val="-7"/>
          <w:sz w:val="28"/>
          <w:szCs w:val="28"/>
        </w:rPr>
        <w:t>，</w:t>
      </w:r>
      <w:r>
        <w:rPr>
          <w:rFonts w:hint="eastAsia" w:ascii="宋体" w:hAnsi="宋体" w:eastAsia="宋体" w:cs="宋体"/>
          <w:sz w:val="28"/>
          <w:szCs w:val="28"/>
        </w:rPr>
        <w:t xml:space="preserve"> </w:t>
      </w:r>
      <w:r>
        <w:rPr>
          <w:rFonts w:hint="eastAsia" w:ascii="宋体" w:hAnsi="宋体" w:eastAsia="宋体" w:cs="宋体"/>
          <w:spacing w:val="-8"/>
          <w:sz w:val="28"/>
          <w:szCs w:val="28"/>
        </w:rPr>
        <w:t>设计时速为</w:t>
      </w:r>
      <w:r>
        <w:rPr>
          <w:rFonts w:hint="eastAsia" w:ascii="宋体" w:hAnsi="宋体" w:eastAsia="宋体" w:cs="宋体"/>
          <w:spacing w:val="33"/>
          <w:sz w:val="28"/>
          <w:szCs w:val="28"/>
          <w:u w:val="single" w:color="auto"/>
        </w:rPr>
        <w:t xml:space="preserve">   </w:t>
      </w:r>
      <w:r>
        <w:rPr>
          <w:rFonts w:hint="eastAsia" w:ascii="宋体" w:hAnsi="宋体" w:eastAsia="宋体" w:cs="宋体"/>
          <w:spacing w:val="-89"/>
          <w:sz w:val="28"/>
          <w:szCs w:val="28"/>
        </w:rPr>
        <w:t xml:space="preserve"> </w:t>
      </w:r>
      <w:r>
        <w:rPr>
          <w:rFonts w:hint="eastAsia" w:ascii="宋体" w:hAnsi="宋体" w:eastAsia="宋体" w:cs="宋体"/>
          <w:spacing w:val="-8"/>
          <w:sz w:val="28"/>
          <w:szCs w:val="28"/>
        </w:rPr>
        <w:t>，</w:t>
      </w:r>
      <w:r>
        <w:rPr>
          <w:rFonts w:hint="eastAsia" w:ascii="宋体" w:hAnsi="宋体" w:eastAsia="宋体" w:cs="宋体"/>
          <w:spacing w:val="34"/>
          <w:sz w:val="28"/>
          <w:szCs w:val="28"/>
          <w:u w:val="single" w:color="auto"/>
        </w:rPr>
        <w:t xml:space="preserve">   </w:t>
      </w:r>
      <w:r>
        <w:rPr>
          <w:rFonts w:hint="eastAsia" w:ascii="宋体" w:hAnsi="宋体" w:eastAsia="宋体" w:cs="宋体"/>
          <w:spacing w:val="-76"/>
          <w:sz w:val="28"/>
          <w:szCs w:val="28"/>
        </w:rPr>
        <w:t xml:space="preserve"> </w:t>
      </w:r>
      <w:r>
        <w:rPr>
          <w:rFonts w:hint="eastAsia" w:ascii="宋体" w:hAnsi="宋体" w:eastAsia="宋体" w:cs="宋体"/>
          <w:spacing w:val="-8"/>
          <w:sz w:val="28"/>
          <w:szCs w:val="28"/>
        </w:rPr>
        <w:t>路面，有</w:t>
      </w:r>
      <w:r>
        <w:rPr>
          <w:rFonts w:hint="eastAsia" w:ascii="宋体" w:hAnsi="宋体" w:eastAsia="宋体" w:cs="宋体"/>
          <w:spacing w:val="32"/>
          <w:sz w:val="28"/>
          <w:szCs w:val="28"/>
          <w:u w:val="single" w:color="auto"/>
        </w:rPr>
        <w:t xml:space="preserve">   </w:t>
      </w:r>
      <w:r>
        <w:rPr>
          <w:rFonts w:hint="eastAsia" w:ascii="宋体" w:hAnsi="宋体" w:eastAsia="宋体" w:cs="宋体"/>
          <w:spacing w:val="-99"/>
          <w:sz w:val="28"/>
          <w:szCs w:val="28"/>
        </w:rPr>
        <w:t xml:space="preserve"> </w:t>
      </w:r>
      <w:r>
        <w:rPr>
          <w:rFonts w:hint="eastAsia" w:ascii="宋体" w:hAnsi="宋体" w:eastAsia="宋体" w:cs="宋体"/>
          <w:spacing w:val="-8"/>
          <w:sz w:val="28"/>
          <w:szCs w:val="28"/>
        </w:rPr>
        <w:t>立交</w:t>
      </w:r>
      <w:r>
        <w:rPr>
          <w:rFonts w:hint="eastAsia" w:ascii="宋体" w:hAnsi="宋体" w:eastAsia="宋体" w:cs="宋体"/>
          <w:spacing w:val="33"/>
          <w:sz w:val="28"/>
          <w:szCs w:val="28"/>
          <w:u w:val="single" w:color="auto"/>
        </w:rPr>
        <w:t xml:space="preserve">   </w:t>
      </w:r>
      <w:r>
        <w:rPr>
          <w:rFonts w:hint="eastAsia" w:ascii="宋体" w:hAnsi="宋体" w:eastAsia="宋体" w:cs="宋体"/>
          <w:spacing w:val="-89"/>
          <w:sz w:val="28"/>
          <w:szCs w:val="28"/>
        </w:rPr>
        <w:t xml:space="preserve"> </w:t>
      </w:r>
      <w:r>
        <w:rPr>
          <w:rFonts w:hint="eastAsia" w:ascii="宋体" w:hAnsi="宋体" w:eastAsia="宋体" w:cs="宋体"/>
          <w:spacing w:val="-8"/>
          <w:sz w:val="28"/>
          <w:szCs w:val="28"/>
        </w:rPr>
        <w:t>处；特大桥</w:t>
      </w:r>
      <w:r>
        <w:rPr>
          <w:rFonts w:hint="eastAsia" w:ascii="宋体" w:hAnsi="宋体" w:eastAsia="宋体" w:cs="宋体"/>
          <w:spacing w:val="33"/>
          <w:sz w:val="28"/>
          <w:szCs w:val="28"/>
          <w:u w:val="single" w:color="auto"/>
        </w:rPr>
        <w:t xml:space="preserve">   </w:t>
      </w:r>
      <w:r>
        <w:rPr>
          <w:rFonts w:hint="eastAsia" w:ascii="宋体" w:hAnsi="宋体" w:eastAsia="宋体" w:cs="宋体"/>
          <w:spacing w:val="-95"/>
          <w:sz w:val="28"/>
          <w:szCs w:val="28"/>
        </w:rPr>
        <w:t xml:space="preserve"> </w:t>
      </w:r>
      <w:r>
        <w:rPr>
          <w:rFonts w:hint="eastAsia" w:ascii="宋体" w:hAnsi="宋体" w:eastAsia="宋体" w:cs="宋体"/>
          <w:spacing w:val="-8"/>
          <w:sz w:val="28"/>
          <w:szCs w:val="28"/>
        </w:rPr>
        <w:t>座，计长</w:t>
      </w:r>
      <w:r>
        <w:rPr>
          <w:rFonts w:hint="eastAsia" w:ascii="宋体" w:hAnsi="宋体" w:eastAsia="宋体" w:cs="宋体"/>
          <w:spacing w:val="24"/>
          <w:sz w:val="28"/>
          <w:szCs w:val="28"/>
          <w:u w:val="single" w:color="auto"/>
        </w:rPr>
        <w:t xml:space="preserve">    </w:t>
      </w:r>
      <w:r>
        <w:rPr>
          <w:rFonts w:hint="eastAsia" w:ascii="宋体" w:hAnsi="宋体" w:eastAsia="宋体" w:cs="宋体"/>
          <w:spacing w:val="-8"/>
          <w:sz w:val="28"/>
          <w:szCs w:val="28"/>
        </w:rPr>
        <w:t xml:space="preserve">m </w:t>
      </w:r>
      <w:r>
        <w:rPr>
          <w:rFonts w:hint="eastAsia" w:ascii="宋体" w:hAnsi="宋体" w:eastAsia="宋体" w:cs="宋体"/>
          <w:spacing w:val="-9"/>
          <w:sz w:val="28"/>
          <w:szCs w:val="28"/>
        </w:rPr>
        <w:t>；大</w:t>
      </w:r>
      <w:r>
        <w:rPr>
          <w:rFonts w:hint="eastAsia" w:ascii="宋体" w:hAnsi="宋体" w:eastAsia="宋体" w:cs="宋体"/>
          <w:spacing w:val="2"/>
          <w:sz w:val="28"/>
          <w:szCs w:val="28"/>
        </w:rPr>
        <w:t xml:space="preserve"> </w:t>
      </w:r>
      <w:r>
        <w:rPr>
          <w:rFonts w:hint="eastAsia" w:ascii="宋体" w:hAnsi="宋体" w:eastAsia="宋体" w:cs="宋体"/>
          <w:spacing w:val="-4"/>
          <w:sz w:val="28"/>
          <w:szCs w:val="28"/>
        </w:rPr>
        <w:t>中桥</w:t>
      </w:r>
      <w:r>
        <w:rPr>
          <w:rFonts w:hint="eastAsia" w:ascii="宋体" w:hAnsi="宋体" w:eastAsia="宋体" w:cs="宋体"/>
          <w:spacing w:val="78"/>
          <w:sz w:val="28"/>
          <w:szCs w:val="28"/>
          <w:u w:val="single" w:color="auto"/>
        </w:rPr>
        <w:t xml:space="preserve"> </w:t>
      </w:r>
      <w:r>
        <w:rPr>
          <w:rFonts w:hint="eastAsia" w:ascii="宋体" w:hAnsi="宋体" w:eastAsia="宋体" w:cs="宋体"/>
          <w:spacing w:val="-4"/>
          <w:sz w:val="28"/>
          <w:szCs w:val="28"/>
        </w:rPr>
        <w:t>座，计长</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rPr>
        <w:t>m ；隧道</w:t>
      </w:r>
      <w:r>
        <w:rPr>
          <w:rFonts w:hint="eastAsia" w:ascii="宋体" w:hAnsi="宋体" w:eastAsia="宋体" w:cs="宋体"/>
          <w:spacing w:val="-4"/>
          <w:sz w:val="28"/>
          <w:szCs w:val="28"/>
          <w:u w:val="single" w:color="auto"/>
        </w:rPr>
        <w:t xml:space="preserve">    </w:t>
      </w:r>
      <w:r>
        <w:rPr>
          <w:rFonts w:hint="eastAsia" w:ascii="宋体" w:hAnsi="宋体" w:eastAsia="宋体" w:cs="宋体"/>
          <w:spacing w:val="-93"/>
          <w:sz w:val="28"/>
          <w:szCs w:val="28"/>
        </w:rPr>
        <w:t xml:space="preserve"> </w:t>
      </w:r>
      <w:r>
        <w:rPr>
          <w:rFonts w:hint="eastAsia" w:ascii="宋体" w:hAnsi="宋体" w:eastAsia="宋体" w:cs="宋体"/>
          <w:spacing w:val="-4"/>
          <w:sz w:val="28"/>
          <w:szCs w:val="28"/>
        </w:rPr>
        <w:t>座，计长</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rPr>
        <w:t>m  以及其</w:t>
      </w:r>
      <w:r>
        <w:rPr>
          <w:rFonts w:hint="eastAsia" w:ascii="宋体" w:hAnsi="宋体" w:eastAsia="宋体" w:cs="宋体"/>
          <w:spacing w:val="-5"/>
          <w:sz w:val="28"/>
          <w:szCs w:val="28"/>
        </w:rPr>
        <w:t>他构造物工程等。</w:t>
      </w:r>
    </w:p>
    <w:p w14:paraId="6C58E5F4">
      <w:pPr>
        <w:spacing w:before="127" w:line="219" w:lineRule="auto"/>
        <w:ind w:left="489"/>
        <w:rPr>
          <w:rFonts w:hint="eastAsia" w:ascii="宋体" w:hAnsi="宋体" w:eastAsia="宋体" w:cs="宋体"/>
          <w:sz w:val="28"/>
          <w:szCs w:val="28"/>
        </w:rPr>
      </w:pPr>
      <w:r>
        <w:rPr>
          <w:rFonts w:hint="eastAsia" w:ascii="宋体" w:hAnsi="宋体" w:eastAsia="宋体" w:cs="宋体"/>
          <w:spacing w:val="-2"/>
          <w:sz w:val="28"/>
          <w:szCs w:val="28"/>
        </w:rPr>
        <w:t>2.</w:t>
      </w:r>
      <w:r>
        <w:rPr>
          <w:rFonts w:hint="eastAsia" w:ascii="宋体" w:hAnsi="宋体" w:eastAsia="宋体" w:cs="宋体"/>
          <w:spacing w:val="28"/>
          <w:sz w:val="28"/>
          <w:szCs w:val="28"/>
        </w:rPr>
        <w:t xml:space="preserve">  </w:t>
      </w:r>
      <w:r>
        <w:rPr>
          <w:rFonts w:hint="eastAsia" w:ascii="宋体" w:hAnsi="宋体" w:eastAsia="宋体" w:cs="宋体"/>
          <w:spacing w:val="-2"/>
          <w:sz w:val="28"/>
          <w:szCs w:val="28"/>
        </w:rPr>
        <w:t>下列文件应视为构成合同文件的组成部分：</w:t>
      </w:r>
    </w:p>
    <w:p w14:paraId="7D1AB6FA">
      <w:pPr>
        <w:spacing w:before="107" w:line="273" w:lineRule="auto"/>
        <w:ind w:left="19" w:right="258" w:firstLine="489"/>
        <w:rPr>
          <w:rFonts w:hint="eastAsia" w:ascii="宋体" w:hAnsi="宋体" w:eastAsia="宋体" w:cs="宋体"/>
          <w:sz w:val="28"/>
          <w:szCs w:val="28"/>
        </w:rPr>
      </w:pPr>
      <w:r>
        <w:rPr>
          <w:rFonts w:hint="eastAsia" w:ascii="宋体" w:hAnsi="宋体" w:eastAsia="宋体" w:cs="宋体"/>
          <w:spacing w:val="-6"/>
          <w:sz w:val="28"/>
          <w:szCs w:val="28"/>
        </w:rPr>
        <w:t>（1）</w:t>
      </w:r>
      <w:r>
        <w:rPr>
          <w:rFonts w:hint="eastAsia" w:ascii="宋体" w:hAnsi="宋体" w:eastAsia="宋体" w:cs="宋体"/>
          <w:spacing w:val="67"/>
          <w:sz w:val="28"/>
          <w:szCs w:val="28"/>
        </w:rPr>
        <w:t xml:space="preserve"> </w:t>
      </w:r>
      <w:r>
        <w:rPr>
          <w:rFonts w:hint="eastAsia" w:ascii="宋体" w:hAnsi="宋体" w:eastAsia="宋体" w:cs="宋体"/>
          <w:spacing w:val="-6"/>
          <w:sz w:val="28"/>
          <w:szCs w:val="28"/>
        </w:rPr>
        <w:t>合同协议书及各种合同附件（含评标期间和合同谈判过程中的澄清文件</w:t>
      </w:r>
      <w:r>
        <w:rPr>
          <w:rFonts w:hint="eastAsia" w:ascii="宋体" w:hAnsi="宋体" w:eastAsia="宋体" w:cs="宋体"/>
          <w:sz w:val="28"/>
          <w:szCs w:val="28"/>
        </w:rPr>
        <w:t xml:space="preserve"> </w:t>
      </w:r>
      <w:r>
        <w:rPr>
          <w:rFonts w:hint="eastAsia" w:ascii="宋体" w:hAnsi="宋体" w:eastAsia="宋体" w:cs="宋体"/>
          <w:spacing w:val="-7"/>
          <w:sz w:val="28"/>
          <w:szCs w:val="28"/>
        </w:rPr>
        <w:t>和补充资料</w:t>
      </w:r>
      <w:r>
        <w:rPr>
          <w:rFonts w:hint="eastAsia" w:ascii="宋体" w:hAnsi="宋体" w:eastAsia="宋体" w:cs="宋体"/>
          <w:spacing w:val="-3"/>
          <w:sz w:val="28"/>
          <w:szCs w:val="28"/>
        </w:rPr>
        <w:t>）；</w:t>
      </w:r>
    </w:p>
    <w:p w14:paraId="3158815D">
      <w:pPr>
        <w:spacing w:before="117" w:line="219" w:lineRule="auto"/>
        <w:ind w:left="509"/>
        <w:rPr>
          <w:rFonts w:hint="eastAsia" w:ascii="宋体" w:hAnsi="宋体" w:eastAsia="宋体" w:cs="宋体"/>
          <w:sz w:val="28"/>
          <w:szCs w:val="28"/>
        </w:rPr>
      </w:pPr>
      <w:r>
        <w:rPr>
          <w:rFonts w:hint="eastAsia" w:ascii="宋体" w:hAnsi="宋体" w:eastAsia="宋体" w:cs="宋体"/>
          <w:spacing w:val="-16"/>
          <w:sz w:val="28"/>
          <w:szCs w:val="28"/>
        </w:rPr>
        <w:t>（2）</w:t>
      </w:r>
      <w:r>
        <w:rPr>
          <w:rFonts w:hint="eastAsia" w:ascii="宋体" w:hAnsi="宋体" w:eastAsia="宋体" w:cs="宋体"/>
          <w:spacing w:val="82"/>
          <w:sz w:val="28"/>
          <w:szCs w:val="28"/>
        </w:rPr>
        <w:t xml:space="preserve"> </w:t>
      </w:r>
      <w:r>
        <w:rPr>
          <w:rFonts w:hint="eastAsia" w:ascii="宋体" w:hAnsi="宋体" w:eastAsia="宋体" w:cs="宋体"/>
          <w:spacing w:val="-16"/>
          <w:sz w:val="28"/>
          <w:szCs w:val="28"/>
        </w:rPr>
        <w:t>中标通知书；</w:t>
      </w:r>
    </w:p>
    <w:p w14:paraId="37EDFBB4">
      <w:pPr>
        <w:spacing w:before="111" w:line="219" w:lineRule="auto"/>
        <w:ind w:left="509"/>
        <w:rPr>
          <w:rFonts w:hint="eastAsia" w:ascii="宋体" w:hAnsi="宋体" w:eastAsia="宋体" w:cs="宋体"/>
          <w:sz w:val="28"/>
          <w:szCs w:val="28"/>
        </w:rPr>
      </w:pPr>
      <w:r>
        <w:rPr>
          <w:rFonts w:hint="eastAsia" w:ascii="宋体" w:hAnsi="宋体" w:eastAsia="宋体" w:cs="宋体"/>
          <w:spacing w:val="-9"/>
          <w:sz w:val="28"/>
          <w:szCs w:val="28"/>
        </w:rPr>
        <w:t>（3）</w:t>
      </w:r>
      <w:r>
        <w:rPr>
          <w:rFonts w:hint="eastAsia" w:ascii="宋体" w:hAnsi="宋体" w:eastAsia="宋体" w:cs="宋体"/>
          <w:spacing w:val="44"/>
          <w:sz w:val="28"/>
          <w:szCs w:val="28"/>
        </w:rPr>
        <w:t xml:space="preserve"> </w:t>
      </w:r>
      <w:r>
        <w:rPr>
          <w:rFonts w:hint="eastAsia" w:ascii="宋体" w:hAnsi="宋体" w:eastAsia="宋体" w:cs="宋体"/>
          <w:spacing w:val="-9"/>
          <w:sz w:val="28"/>
          <w:szCs w:val="28"/>
        </w:rPr>
        <w:t>投标函及投标函附录；</w:t>
      </w:r>
    </w:p>
    <w:p w14:paraId="0D0780DE">
      <w:pPr>
        <w:spacing w:before="122" w:line="219" w:lineRule="auto"/>
        <w:ind w:left="509"/>
        <w:rPr>
          <w:rFonts w:hint="eastAsia" w:ascii="宋体" w:hAnsi="宋体" w:eastAsia="宋体" w:cs="宋体"/>
          <w:sz w:val="28"/>
          <w:szCs w:val="28"/>
        </w:rPr>
      </w:pPr>
      <w:r>
        <w:rPr>
          <w:rFonts w:hint="eastAsia" w:ascii="宋体" w:hAnsi="宋体" w:eastAsia="宋体" w:cs="宋体"/>
          <w:spacing w:val="-11"/>
          <w:sz w:val="28"/>
          <w:szCs w:val="28"/>
        </w:rPr>
        <w:t>（4）</w:t>
      </w:r>
      <w:r>
        <w:rPr>
          <w:rFonts w:hint="eastAsia" w:ascii="宋体" w:hAnsi="宋体" w:eastAsia="宋体" w:cs="宋体"/>
          <w:spacing w:val="41"/>
          <w:sz w:val="28"/>
          <w:szCs w:val="28"/>
        </w:rPr>
        <w:t xml:space="preserve"> </w:t>
      </w:r>
      <w:r>
        <w:rPr>
          <w:rFonts w:hint="eastAsia" w:ascii="宋体" w:hAnsi="宋体" w:eastAsia="宋体" w:cs="宋体"/>
          <w:spacing w:val="-11"/>
          <w:sz w:val="28"/>
          <w:szCs w:val="28"/>
        </w:rPr>
        <w:t>专用合同条款；</w:t>
      </w:r>
    </w:p>
    <w:p w14:paraId="630ED723">
      <w:pPr>
        <w:spacing w:before="116" w:line="219" w:lineRule="auto"/>
        <w:ind w:left="509"/>
        <w:rPr>
          <w:rFonts w:hint="eastAsia" w:ascii="宋体" w:hAnsi="宋体" w:eastAsia="宋体" w:cs="宋体"/>
          <w:sz w:val="28"/>
          <w:szCs w:val="28"/>
        </w:rPr>
      </w:pPr>
      <w:r>
        <w:rPr>
          <w:rFonts w:hint="eastAsia" w:ascii="宋体" w:hAnsi="宋体" w:eastAsia="宋体" w:cs="宋体"/>
          <w:spacing w:val="-11"/>
          <w:sz w:val="28"/>
          <w:szCs w:val="28"/>
        </w:rPr>
        <w:t>（5）</w:t>
      </w:r>
      <w:r>
        <w:rPr>
          <w:rFonts w:hint="eastAsia" w:ascii="宋体" w:hAnsi="宋体" w:eastAsia="宋体" w:cs="宋体"/>
          <w:spacing w:val="41"/>
          <w:sz w:val="28"/>
          <w:szCs w:val="28"/>
        </w:rPr>
        <w:t xml:space="preserve"> </w:t>
      </w:r>
      <w:r>
        <w:rPr>
          <w:rFonts w:hint="eastAsia" w:ascii="宋体" w:hAnsi="宋体" w:eastAsia="宋体" w:cs="宋体"/>
          <w:spacing w:val="-11"/>
          <w:sz w:val="28"/>
          <w:szCs w:val="28"/>
        </w:rPr>
        <w:t>通用合同条款；</w:t>
      </w:r>
    </w:p>
    <w:p w14:paraId="25369F89">
      <w:pPr>
        <w:spacing w:before="121" w:line="220" w:lineRule="auto"/>
        <w:ind w:left="509"/>
        <w:rPr>
          <w:rFonts w:hint="eastAsia" w:ascii="宋体" w:hAnsi="宋体" w:eastAsia="宋体" w:cs="宋体"/>
          <w:sz w:val="28"/>
          <w:szCs w:val="28"/>
        </w:rPr>
      </w:pPr>
      <w:r>
        <w:rPr>
          <w:rFonts w:hint="eastAsia" w:ascii="宋体" w:hAnsi="宋体" w:eastAsia="宋体" w:cs="宋体"/>
          <w:spacing w:val="-9"/>
          <w:sz w:val="28"/>
          <w:szCs w:val="28"/>
        </w:rPr>
        <w:t>（6）</w:t>
      </w:r>
      <w:r>
        <w:rPr>
          <w:rFonts w:hint="eastAsia" w:ascii="宋体" w:hAnsi="宋体" w:eastAsia="宋体" w:cs="宋体"/>
          <w:spacing w:val="44"/>
          <w:sz w:val="28"/>
          <w:szCs w:val="28"/>
        </w:rPr>
        <w:t xml:space="preserve"> </w:t>
      </w:r>
      <w:r>
        <w:rPr>
          <w:rFonts w:hint="eastAsia" w:ascii="宋体" w:hAnsi="宋体" w:eastAsia="宋体" w:cs="宋体"/>
          <w:spacing w:val="-9"/>
          <w:sz w:val="28"/>
          <w:szCs w:val="28"/>
        </w:rPr>
        <w:t>工程量清单计量规则；</w:t>
      </w:r>
    </w:p>
    <w:p w14:paraId="52D323A1">
      <w:pPr>
        <w:spacing w:before="117" w:line="219" w:lineRule="auto"/>
        <w:ind w:left="509"/>
        <w:rPr>
          <w:rFonts w:hint="eastAsia" w:ascii="宋体" w:hAnsi="宋体" w:eastAsia="宋体" w:cs="宋体"/>
          <w:sz w:val="28"/>
          <w:szCs w:val="28"/>
        </w:rPr>
      </w:pPr>
      <w:r>
        <w:rPr>
          <w:rFonts w:hint="eastAsia" w:ascii="宋体" w:hAnsi="宋体" w:eastAsia="宋体" w:cs="宋体"/>
          <w:spacing w:val="-13"/>
          <w:sz w:val="28"/>
          <w:szCs w:val="28"/>
        </w:rPr>
        <w:t>（7）</w:t>
      </w:r>
      <w:r>
        <w:rPr>
          <w:rFonts w:hint="eastAsia" w:ascii="宋体" w:hAnsi="宋体" w:eastAsia="宋体" w:cs="宋体"/>
          <w:spacing w:val="39"/>
          <w:sz w:val="28"/>
          <w:szCs w:val="28"/>
        </w:rPr>
        <w:t xml:space="preserve"> </w:t>
      </w:r>
      <w:r>
        <w:rPr>
          <w:rFonts w:hint="eastAsia" w:ascii="宋体" w:hAnsi="宋体" w:eastAsia="宋体" w:cs="宋体"/>
          <w:spacing w:val="-13"/>
          <w:sz w:val="28"/>
          <w:szCs w:val="28"/>
        </w:rPr>
        <w:t>技术规范；</w:t>
      </w:r>
    </w:p>
    <w:p w14:paraId="7647231D">
      <w:pPr>
        <w:spacing w:before="116" w:line="221" w:lineRule="auto"/>
        <w:ind w:left="509"/>
        <w:rPr>
          <w:rFonts w:hint="eastAsia" w:ascii="宋体" w:hAnsi="宋体" w:eastAsia="宋体" w:cs="宋体"/>
          <w:sz w:val="28"/>
          <w:szCs w:val="28"/>
        </w:rPr>
      </w:pPr>
      <w:r>
        <w:rPr>
          <w:rFonts w:hint="eastAsia" w:ascii="宋体" w:hAnsi="宋体" w:eastAsia="宋体" w:cs="宋体"/>
          <w:spacing w:val="-20"/>
          <w:sz w:val="28"/>
          <w:szCs w:val="28"/>
        </w:rPr>
        <w:t>（8）图纸；</w:t>
      </w:r>
    </w:p>
    <w:p w14:paraId="4F7706E0">
      <w:pPr>
        <w:spacing w:before="116" w:line="218" w:lineRule="auto"/>
        <w:ind w:left="509"/>
        <w:rPr>
          <w:rFonts w:hint="eastAsia" w:ascii="宋体" w:hAnsi="宋体" w:eastAsia="宋体" w:cs="宋体"/>
          <w:sz w:val="28"/>
          <w:szCs w:val="28"/>
        </w:rPr>
      </w:pPr>
      <w:r>
        <w:rPr>
          <w:rFonts w:hint="eastAsia" w:ascii="宋体" w:hAnsi="宋体" w:eastAsia="宋体" w:cs="宋体"/>
          <w:spacing w:val="-14"/>
          <w:sz w:val="28"/>
          <w:szCs w:val="28"/>
        </w:rPr>
        <w:t>（9）已标价工程量清单；</w:t>
      </w:r>
    </w:p>
    <w:p w14:paraId="35DB1DB4">
      <w:pPr>
        <w:spacing w:before="103" w:line="219" w:lineRule="auto"/>
        <w:ind w:left="509"/>
        <w:rPr>
          <w:rFonts w:hint="eastAsia" w:ascii="宋体" w:hAnsi="宋体" w:eastAsia="宋体" w:cs="宋体"/>
          <w:sz w:val="28"/>
          <w:szCs w:val="28"/>
        </w:rPr>
      </w:pPr>
      <w:r>
        <w:rPr>
          <w:rFonts w:hint="eastAsia" w:ascii="宋体" w:hAnsi="宋体" w:eastAsia="宋体" w:cs="宋体"/>
          <w:spacing w:val="-5"/>
          <w:sz w:val="28"/>
          <w:szCs w:val="28"/>
        </w:rPr>
        <w:t>（10） 承包人有关人员、设备投入的承诺及磋商响应文件中的施工组织设计；</w:t>
      </w:r>
    </w:p>
    <w:p w14:paraId="3BCA1BEE">
      <w:pPr>
        <w:spacing w:before="135" w:line="219" w:lineRule="auto"/>
        <w:ind w:left="509"/>
        <w:rPr>
          <w:rFonts w:hint="eastAsia" w:ascii="宋体" w:hAnsi="宋体" w:eastAsia="宋体" w:cs="宋体"/>
          <w:sz w:val="28"/>
          <w:szCs w:val="28"/>
        </w:rPr>
      </w:pPr>
      <w:r>
        <w:rPr>
          <w:rFonts w:hint="eastAsia" w:ascii="宋体" w:hAnsi="宋体" w:eastAsia="宋体" w:cs="宋体"/>
          <w:spacing w:val="-14"/>
          <w:sz w:val="28"/>
          <w:szCs w:val="28"/>
        </w:rPr>
        <w:t>（11）其他合同文件。</w:t>
      </w:r>
    </w:p>
    <w:p w14:paraId="4E4F0854">
      <w:pPr>
        <w:spacing w:before="79" w:line="241" w:lineRule="auto"/>
        <w:ind w:left="23" w:right="126" w:firstLine="472"/>
        <w:rPr>
          <w:rFonts w:hint="eastAsia" w:ascii="宋体" w:hAnsi="宋体" w:eastAsia="宋体" w:cs="宋体"/>
          <w:sz w:val="28"/>
          <w:szCs w:val="28"/>
        </w:rPr>
      </w:pPr>
      <w:r>
        <w:rPr>
          <w:rFonts w:hint="eastAsia" w:ascii="宋体" w:hAnsi="宋体" w:eastAsia="宋体" w:cs="宋体"/>
          <w:spacing w:val="-4"/>
          <w:sz w:val="28"/>
          <w:szCs w:val="28"/>
        </w:rPr>
        <w:t>3.</w:t>
      </w:r>
      <w:r>
        <w:rPr>
          <w:rFonts w:hint="eastAsia" w:ascii="宋体" w:hAnsi="宋体" w:eastAsia="宋体" w:cs="宋体"/>
          <w:spacing w:val="27"/>
          <w:sz w:val="28"/>
          <w:szCs w:val="28"/>
        </w:rPr>
        <w:t xml:space="preserve">  </w:t>
      </w:r>
      <w:r>
        <w:rPr>
          <w:rFonts w:hint="eastAsia" w:ascii="宋体" w:hAnsi="宋体" w:eastAsia="宋体" w:cs="宋体"/>
          <w:spacing w:val="-4"/>
          <w:sz w:val="28"/>
          <w:szCs w:val="28"/>
        </w:rPr>
        <w:t>上述文件互相补充和解释，如有不明确或不一致之处，以合同约定次序在先</w:t>
      </w:r>
      <w:r>
        <w:rPr>
          <w:rFonts w:hint="eastAsia" w:ascii="宋体" w:hAnsi="宋体" w:eastAsia="宋体" w:cs="宋体"/>
          <w:sz w:val="28"/>
          <w:szCs w:val="28"/>
        </w:rPr>
        <w:t xml:space="preserve"> </w:t>
      </w:r>
      <w:r>
        <w:rPr>
          <w:rFonts w:hint="eastAsia" w:ascii="宋体" w:hAnsi="宋体" w:eastAsia="宋体" w:cs="宋体"/>
          <w:spacing w:val="-5"/>
          <w:sz w:val="28"/>
          <w:szCs w:val="28"/>
        </w:rPr>
        <w:t>者为准。</w:t>
      </w:r>
    </w:p>
    <w:p w14:paraId="23D08D57">
      <w:pPr>
        <w:spacing w:before="163" w:line="235" w:lineRule="auto"/>
        <w:ind w:left="19" w:right="66" w:firstLine="466"/>
        <w:rPr>
          <w:rFonts w:hint="eastAsia" w:ascii="宋体" w:hAnsi="宋体" w:eastAsia="宋体" w:cs="宋体"/>
          <w:sz w:val="28"/>
          <w:szCs w:val="28"/>
        </w:rPr>
      </w:pPr>
      <w:r>
        <w:rPr>
          <w:rFonts w:hint="eastAsia" w:ascii="宋体" w:hAnsi="宋体" w:eastAsia="宋体" w:cs="宋体"/>
          <w:spacing w:val="-2"/>
          <w:sz w:val="28"/>
          <w:szCs w:val="28"/>
        </w:rPr>
        <w:t>4.</w:t>
      </w:r>
      <w:r>
        <w:rPr>
          <w:rFonts w:hint="eastAsia" w:ascii="宋体" w:hAnsi="宋体" w:eastAsia="宋体" w:cs="宋体"/>
          <w:spacing w:val="27"/>
          <w:sz w:val="28"/>
          <w:szCs w:val="28"/>
        </w:rPr>
        <w:t xml:space="preserve">  </w:t>
      </w:r>
      <w:r>
        <w:rPr>
          <w:rFonts w:hint="eastAsia" w:ascii="宋体" w:hAnsi="宋体" w:eastAsia="宋体" w:cs="宋体"/>
          <w:spacing w:val="-2"/>
          <w:sz w:val="28"/>
          <w:szCs w:val="28"/>
        </w:rPr>
        <w:t>根据工程量清单所列的预计数量和单价或总额价计算的签约合同价：人民币</w:t>
      </w:r>
      <w:r>
        <w:rPr>
          <w:rFonts w:hint="eastAsia" w:ascii="宋体" w:hAnsi="宋体" w:eastAsia="宋体" w:cs="宋体"/>
          <w:sz w:val="28"/>
          <w:szCs w:val="28"/>
        </w:rPr>
        <w:t xml:space="preserve"> </w:t>
      </w:r>
      <w:r>
        <w:rPr>
          <w:rFonts w:hint="eastAsia" w:ascii="宋体" w:hAnsi="宋体" w:eastAsia="宋体" w:cs="宋体"/>
          <w:spacing w:val="-5"/>
          <w:sz w:val="28"/>
          <w:szCs w:val="28"/>
        </w:rPr>
        <w:t>(大写)</w:t>
      </w:r>
      <w:r>
        <w:rPr>
          <w:rFonts w:hint="eastAsia" w:ascii="宋体" w:hAnsi="宋体" w:eastAsia="宋体" w:cs="宋体"/>
          <w:spacing w:val="-5"/>
          <w:sz w:val="28"/>
          <w:szCs w:val="28"/>
          <w:u w:val="single" w:color="auto"/>
        </w:rPr>
        <w:t xml:space="preserve">             </w:t>
      </w:r>
      <w:r>
        <w:rPr>
          <w:rFonts w:hint="eastAsia" w:ascii="宋体" w:hAnsi="宋体" w:eastAsia="宋体" w:cs="宋体"/>
          <w:spacing w:val="-17"/>
          <w:sz w:val="28"/>
          <w:szCs w:val="28"/>
        </w:rPr>
        <w:t xml:space="preserve"> </w:t>
      </w:r>
      <w:r>
        <w:rPr>
          <w:rFonts w:hint="eastAsia" w:ascii="宋体" w:hAnsi="宋体" w:eastAsia="宋体" w:cs="宋体"/>
          <w:spacing w:val="-5"/>
          <w:sz w:val="28"/>
          <w:szCs w:val="28"/>
        </w:rPr>
        <w:t>元(￥</w:t>
      </w:r>
      <w:r>
        <w:rPr>
          <w:rFonts w:hint="eastAsia" w:ascii="宋体" w:hAnsi="宋体" w:eastAsia="宋体" w:cs="宋体"/>
          <w:spacing w:val="-79"/>
          <w:sz w:val="28"/>
          <w:szCs w:val="28"/>
        </w:rPr>
        <w:t xml:space="preserve"> </w:t>
      </w:r>
      <w:r>
        <w:rPr>
          <w:rFonts w:hint="eastAsia" w:ascii="宋体" w:hAnsi="宋体" w:eastAsia="宋体" w:cs="宋体"/>
          <w:sz w:val="28"/>
          <w:szCs w:val="28"/>
          <w:u w:val="single" w:color="auto"/>
        </w:rPr>
        <w:t xml:space="preserve">            </w:t>
      </w:r>
      <w:r>
        <w:rPr>
          <w:rFonts w:hint="eastAsia" w:ascii="宋体" w:hAnsi="宋体" w:eastAsia="宋体" w:cs="宋体"/>
          <w:spacing w:val="-105"/>
          <w:sz w:val="28"/>
          <w:szCs w:val="28"/>
        </w:rPr>
        <w:t xml:space="preserve"> </w:t>
      </w:r>
      <w:r>
        <w:rPr>
          <w:rFonts w:hint="eastAsia" w:ascii="宋体" w:hAnsi="宋体" w:eastAsia="宋体" w:cs="宋体"/>
          <w:spacing w:val="-5"/>
          <w:sz w:val="28"/>
          <w:szCs w:val="28"/>
        </w:rPr>
        <w:t>)。</w:t>
      </w:r>
    </w:p>
    <w:p w14:paraId="503C01CF">
      <w:pPr>
        <w:spacing w:before="159" w:line="219" w:lineRule="auto"/>
        <w:ind w:left="500"/>
        <w:rPr>
          <w:rFonts w:hint="eastAsia" w:ascii="宋体" w:hAnsi="宋体" w:eastAsia="宋体" w:cs="宋体"/>
          <w:sz w:val="28"/>
          <w:szCs w:val="28"/>
        </w:rPr>
      </w:pPr>
      <w:r>
        <w:rPr>
          <w:rFonts w:hint="eastAsia" w:ascii="宋体" w:hAnsi="宋体" w:eastAsia="宋体" w:cs="宋体"/>
          <w:spacing w:val="-2"/>
          <w:sz w:val="28"/>
          <w:szCs w:val="28"/>
        </w:rPr>
        <w:t>5.</w:t>
      </w:r>
      <w:r>
        <w:rPr>
          <w:rFonts w:hint="eastAsia" w:ascii="宋体" w:hAnsi="宋体" w:eastAsia="宋体" w:cs="宋体"/>
          <w:spacing w:val="20"/>
          <w:w w:val="101"/>
          <w:sz w:val="28"/>
          <w:szCs w:val="28"/>
        </w:rPr>
        <w:t xml:space="preserve">  </w:t>
      </w:r>
      <w:r>
        <w:rPr>
          <w:rFonts w:hint="eastAsia" w:ascii="宋体" w:hAnsi="宋体" w:eastAsia="宋体" w:cs="宋体"/>
          <w:spacing w:val="-2"/>
          <w:sz w:val="28"/>
          <w:szCs w:val="28"/>
        </w:rPr>
        <w:t>承包人项目经理：</w:t>
      </w:r>
      <w:r>
        <w:rPr>
          <w:rFonts w:hint="eastAsia" w:ascii="宋体" w:hAnsi="宋体" w:eastAsia="宋体" w:cs="宋体"/>
          <w:spacing w:val="-2"/>
          <w:sz w:val="28"/>
          <w:szCs w:val="28"/>
          <w:u w:val="single" w:color="auto"/>
        </w:rPr>
        <w:t xml:space="preserve">        </w:t>
      </w:r>
      <w:r>
        <w:rPr>
          <w:rFonts w:hint="eastAsia" w:ascii="宋体" w:hAnsi="宋体" w:eastAsia="宋体" w:cs="宋体"/>
          <w:spacing w:val="-56"/>
          <w:sz w:val="28"/>
          <w:szCs w:val="28"/>
        </w:rPr>
        <w:t xml:space="preserve"> </w:t>
      </w:r>
      <w:r>
        <w:rPr>
          <w:rFonts w:hint="eastAsia" w:ascii="宋体" w:hAnsi="宋体" w:eastAsia="宋体" w:cs="宋体"/>
          <w:spacing w:val="-2"/>
          <w:sz w:val="28"/>
          <w:szCs w:val="28"/>
        </w:rPr>
        <w:t>。承包人项目总工</w:t>
      </w:r>
      <w:r>
        <w:rPr>
          <w:rFonts w:hint="eastAsia" w:ascii="宋体" w:hAnsi="宋体" w:eastAsia="宋体" w:cs="宋体"/>
          <w:spacing w:val="-3"/>
          <w:sz w:val="28"/>
          <w:szCs w:val="28"/>
        </w:rPr>
        <w:t>：</w:t>
      </w:r>
      <w:r>
        <w:rPr>
          <w:rFonts w:hint="eastAsia" w:ascii="宋体" w:hAnsi="宋体" w:eastAsia="宋体" w:cs="宋体"/>
          <w:spacing w:val="-3"/>
          <w:sz w:val="28"/>
          <w:szCs w:val="28"/>
          <w:u w:val="single" w:color="auto"/>
        </w:rPr>
        <w:t xml:space="preserve">            </w:t>
      </w:r>
      <w:r>
        <w:rPr>
          <w:rFonts w:hint="eastAsia" w:ascii="宋体" w:hAnsi="宋体" w:eastAsia="宋体" w:cs="宋体"/>
          <w:spacing w:val="-3"/>
          <w:sz w:val="28"/>
          <w:szCs w:val="28"/>
        </w:rPr>
        <w:t>。</w:t>
      </w:r>
    </w:p>
    <w:p w14:paraId="1ED79C7D">
      <w:pPr>
        <w:spacing w:before="128" w:line="219" w:lineRule="auto"/>
        <w:ind w:left="499"/>
        <w:rPr>
          <w:rFonts w:hint="eastAsia" w:ascii="宋体" w:hAnsi="宋体" w:eastAsia="宋体" w:cs="宋体"/>
          <w:sz w:val="28"/>
          <w:szCs w:val="28"/>
        </w:rPr>
      </w:pPr>
      <w:r>
        <w:rPr>
          <w:rFonts w:hint="eastAsia" w:ascii="宋体" w:hAnsi="宋体" w:eastAsia="宋体" w:cs="宋体"/>
          <w:spacing w:val="-2"/>
          <w:sz w:val="28"/>
          <w:szCs w:val="28"/>
        </w:rPr>
        <w:t>6.</w:t>
      </w:r>
      <w:r>
        <w:rPr>
          <w:rFonts w:hint="eastAsia" w:ascii="宋体" w:hAnsi="宋体" w:eastAsia="宋体" w:cs="宋体"/>
          <w:spacing w:val="-19"/>
          <w:sz w:val="28"/>
          <w:szCs w:val="28"/>
        </w:rPr>
        <w:t xml:space="preserve"> </w:t>
      </w:r>
      <w:r>
        <w:rPr>
          <w:rFonts w:hint="eastAsia" w:ascii="宋体" w:hAnsi="宋体" w:eastAsia="宋体" w:cs="宋体"/>
          <w:spacing w:val="-2"/>
          <w:sz w:val="28"/>
          <w:szCs w:val="28"/>
        </w:rPr>
        <w:t>工程质量符合</w:t>
      </w:r>
      <w:r>
        <w:rPr>
          <w:rFonts w:hint="eastAsia" w:ascii="宋体" w:hAnsi="宋体" w:eastAsia="宋体" w:cs="宋体"/>
          <w:spacing w:val="-2"/>
          <w:sz w:val="28"/>
          <w:szCs w:val="28"/>
          <w:u w:val="single" w:color="auto"/>
        </w:rPr>
        <w:t xml:space="preserve">        </w:t>
      </w:r>
      <w:r>
        <w:rPr>
          <w:rFonts w:hint="eastAsia" w:ascii="宋体" w:hAnsi="宋体" w:eastAsia="宋体" w:cs="宋体"/>
          <w:spacing w:val="-100"/>
          <w:sz w:val="28"/>
          <w:szCs w:val="28"/>
        </w:rPr>
        <w:t xml:space="preserve"> </w:t>
      </w:r>
      <w:r>
        <w:rPr>
          <w:rFonts w:hint="eastAsia" w:ascii="宋体" w:hAnsi="宋体" w:eastAsia="宋体" w:cs="宋体"/>
          <w:spacing w:val="-2"/>
          <w:sz w:val="28"/>
          <w:szCs w:val="28"/>
        </w:rPr>
        <w:t>标准。工程安全目标：</w:t>
      </w:r>
      <w:r>
        <w:rPr>
          <w:rFonts w:hint="eastAsia" w:ascii="宋体" w:hAnsi="宋体" w:eastAsia="宋体" w:cs="宋体"/>
          <w:spacing w:val="5"/>
          <w:sz w:val="28"/>
          <w:szCs w:val="28"/>
          <w:u w:val="single" w:color="auto"/>
        </w:rPr>
        <w:t xml:space="preserve">               </w:t>
      </w:r>
      <w:r>
        <w:rPr>
          <w:rFonts w:hint="eastAsia" w:ascii="宋体" w:hAnsi="宋体" w:eastAsia="宋体" w:cs="宋体"/>
          <w:spacing w:val="-2"/>
          <w:sz w:val="28"/>
          <w:szCs w:val="28"/>
        </w:rPr>
        <w:t>。</w:t>
      </w:r>
    </w:p>
    <w:p w14:paraId="2ACA7574">
      <w:pPr>
        <w:spacing w:before="56" w:line="219" w:lineRule="auto"/>
        <w:ind w:left="495"/>
        <w:rPr>
          <w:rFonts w:hint="eastAsia" w:ascii="宋体" w:hAnsi="宋体" w:eastAsia="宋体" w:cs="宋体"/>
          <w:sz w:val="28"/>
          <w:szCs w:val="28"/>
        </w:rPr>
      </w:pPr>
      <w:r>
        <w:rPr>
          <w:rFonts w:hint="eastAsia" w:ascii="宋体" w:hAnsi="宋体" w:eastAsia="宋体" w:cs="宋体"/>
          <w:spacing w:val="-2"/>
          <w:sz w:val="28"/>
          <w:szCs w:val="28"/>
        </w:rPr>
        <w:t>7.</w:t>
      </w:r>
      <w:r>
        <w:rPr>
          <w:rFonts w:hint="eastAsia" w:ascii="宋体" w:hAnsi="宋体" w:eastAsia="宋体" w:cs="宋体"/>
          <w:spacing w:val="-1"/>
          <w:sz w:val="28"/>
          <w:szCs w:val="28"/>
        </w:rPr>
        <w:t xml:space="preserve"> </w:t>
      </w:r>
      <w:r>
        <w:rPr>
          <w:rFonts w:hint="eastAsia" w:ascii="宋体" w:hAnsi="宋体" w:eastAsia="宋体" w:cs="宋体"/>
          <w:spacing w:val="-2"/>
          <w:sz w:val="28"/>
          <w:szCs w:val="28"/>
        </w:rPr>
        <w:t>承包人承诺按合同约定承担工程的实施、完成及缺陷修复。</w:t>
      </w:r>
    </w:p>
    <w:p w14:paraId="4BD364F0">
      <w:pPr>
        <w:spacing w:before="166" w:line="249" w:lineRule="auto"/>
        <w:ind w:left="496" w:right="953" w:firstLine="9"/>
        <w:jc w:val="both"/>
        <w:rPr>
          <w:rFonts w:hint="eastAsia" w:ascii="宋体" w:hAnsi="宋体" w:eastAsia="宋体" w:cs="宋体"/>
          <w:sz w:val="28"/>
          <w:szCs w:val="28"/>
        </w:rPr>
      </w:pPr>
      <w:r>
        <w:rPr>
          <w:rFonts w:hint="eastAsia" w:ascii="宋体" w:hAnsi="宋体" w:eastAsia="宋体" w:cs="宋体"/>
          <w:spacing w:val="-4"/>
          <w:sz w:val="28"/>
          <w:szCs w:val="28"/>
        </w:rPr>
        <w:t>8.</w:t>
      </w:r>
      <w:r>
        <w:rPr>
          <w:rFonts w:hint="eastAsia" w:ascii="宋体" w:hAnsi="宋体" w:eastAsia="宋体" w:cs="宋体"/>
          <w:spacing w:val="-18"/>
          <w:sz w:val="28"/>
          <w:szCs w:val="28"/>
        </w:rPr>
        <w:t xml:space="preserve"> </w:t>
      </w:r>
      <w:r>
        <w:rPr>
          <w:rFonts w:hint="eastAsia" w:ascii="宋体" w:hAnsi="宋体" w:eastAsia="宋体" w:cs="宋体"/>
          <w:spacing w:val="-4"/>
          <w:sz w:val="28"/>
          <w:szCs w:val="28"/>
        </w:rPr>
        <w:t>发包人承诺按合同约定的条件、时间和方式向承包人支付合同价</w:t>
      </w:r>
      <w:r>
        <w:rPr>
          <w:rFonts w:hint="eastAsia" w:ascii="宋体" w:hAnsi="宋体" w:eastAsia="宋体" w:cs="宋体"/>
          <w:spacing w:val="-5"/>
          <w:sz w:val="28"/>
          <w:szCs w:val="28"/>
        </w:rPr>
        <w:t>款。</w:t>
      </w:r>
      <w:r>
        <w:rPr>
          <w:rFonts w:hint="eastAsia" w:ascii="宋体" w:hAnsi="宋体" w:eastAsia="宋体" w:cs="宋体"/>
          <w:sz w:val="28"/>
          <w:szCs w:val="28"/>
        </w:rPr>
        <w:t xml:space="preserve"> </w:t>
      </w:r>
    </w:p>
    <w:p w14:paraId="51D0A538">
      <w:pPr>
        <w:spacing w:before="166" w:line="249" w:lineRule="auto"/>
        <w:ind w:left="496" w:right="953" w:firstLine="9"/>
        <w:rPr>
          <w:rFonts w:hint="eastAsia" w:ascii="宋体" w:hAnsi="宋体" w:eastAsia="宋体" w:cs="宋体"/>
          <w:sz w:val="28"/>
          <w:szCs w:val="28"/>
        </w:rPr>
      </w:pPr>
      <w:r>
        <w:rPr>
          <w:rFonts w:hint="eastAsia" w:ascii="宋体" w:hAnsi="宋体" w:eastAsia="宋体" w:cs="宋体"/>
          <w:spacing w:val="-5"/>
          <w:sz w:val="28"/>
          <w:szCs w:val="28"/>
        </w:rPr>
        <w:t>9.</w:t>
      </w:r>
      <w:r>
        <w:rPr>
          <w:rFonts w:hint="eastAsia" w:ascii="宋体" w:hAnsi="宋体" w:eastAsia="宋体" w:cs="宋体"/>
          <w:spacing w:val="-26"/>
          <w:sz w:val="28"/>
          <w:szCs w:val="28"/>
        </w:rPr>
        <w:t xml:space="preserve"> </w:t>
      </w:r>
      <w:r>
        <w:rPr>
          <w:rFonts w:hint="eastAsia" w:ascii="宋体" w:hAnsi="宋体" w:eastAsia="宋体" w:cs="宋体"/>
          <w:spacing w:val="-5"/>
          <w:sz w:val="28"/>
          <w:szCs w:val="28"/>
        </w:rPr>
        <w:t>承包人应按照监理人指示开工，工期为</w:t>
      </w:r>
      <w:r>
        <w:rPr>
          <w:rFonts w:hint="eastAsia" w:ascii="宋体" w:hAnsi="宋体" w:eastAsia="宋体" w:cs="宋体"/>
          <w:spacing w:val="-6"/>
          <w:sz w:val="28"/>
          <w:szCs w:val="28"/>
          <w:u w:val="single" w:color="auto"/>
        </w:rPr>
        <w:t xml:space="preserve">    </w:t>
      </w:r>
      <w:r>
        <w:rPr>
          <w:rFonts w:hint="eastAsia" w:ascii="宋体" w:hAnsi="宋体" w:eastAsia="宋体" w:cs="宋体"/>
          <w:spacing w:val="-6"/>
          <w:sz w:val="28"/>
          <w:szCs w:val="28"/>
        </w:rPr>
        <w:t xml:space="preserve"> 日历天。</w:t>
      </w:r>
    </w:p>
    <w:p w14:paraId="4B02F723">
      <w:pPr>
        <w:spacing w:before="78" w:line="267" w:lineRule="auto"/>
        <w:ind w:firstLine="510"/>
        <w:jc w:val="both"/>
        <w:rPr>
          <w:rFonts w:ascii="宋体" w:hAnsi="宋体" w:eastAsia="宋体" w:cs="宋体"/>
          <w:sz w:val="28"/>
          <w:szCs w:val="28"/>
        </w:rPr>
      </w:pPr>
      <w:r>
        <w:rPr>
          <w:rFonts w:ascii="Times New Roman" w:hAnsi="Times New Roman" w:eastAsia="Times New Roman" w:cs="Times New Roman"/>
          <w:spacing w:val="-3"/>
          <w:sz w:val="28"/>
          <w:szCs w:val="28"/>
        </w:rPr>
        <w:t xml:space="preserve">10. </w:t>
      </w:r>
      <w:r>
        <w:rPr>
          <w:rFonts w:ascii="宋体" w:hAnsi="宋体" w:eastAsia="宋体" w:cs="宋体"/>
          <w:spacing w:val="-3"/>
          <w:sz w:val="28"/>
          <w:szCs w:val="28"/>
        </w:rPr>
        <w:t>本协议书在承包人提供履约保证金后，由双方法定代表人或其委托代理人签</w:t>
      </w:r>
      <w:r>
        <w:rPr>
          <w:rFonts w:ascii="宋体" w:hAnsi="宋体" w:eastAsia="宋体" w:cs="宋体"/>
          <w:spacing w:val="8"/>
          <w:sz w:val="28"/>
          <w:szCs w:val="28"/>
        </w:rPr>
        <w:t xml:space="preserve"> </w:t>
      </w:r>
      <w:r>
        <w:rPr>
          <w:rFonts w:ascii="宋体" w:hAnsi="宋体" w:eastAsia="宋体" w:cs="宋体"/>
          <w:sz w:val="28"/>
          <w:szCs w:val="28"/>
        </w:rPr>
        <w:t>署并加盖单位章后生效。全部工程完工后经交工验收合格、缺陷责任期满签发缺陷</w:t>
      </w:r>
      <w:r>
        <w:rPr>
          <w:rFonts w:ascii="宋体" w:hAnsi="宋体" w:eastAsia="宋体" w:cs="宋体"/>
          <w:spacing w:val="18"/>
          <w:sz w:val="28"/>
          <w:szCs w:val="28"/>
        </w:rPr>
        <w:t xml:space="preserve"> </w:t>
      </w:r>
      <w:r>
        <w:rPr>
          <w:rFonts w:ascii="宋体" w:hAnsi="宋体" w:eastAsia="宋体" w:cs="宋体"/>
          <w:spacing w:val="-2"/>
          <w:sz w:val="28"/>
          <w:szCs w:val="28"/>
        </w:rPr>
        <w:t>责任终止证书后失效。</w:t>
      </w:r>
    </w:p>
    <w:p w14:paraId="5E0DB3F7">
      <w:pPr>
        <w:spacing w:before="150"/>
        <w:ind w:left="9" w:right="24" w:firstLine="501"/>
        <w:rPr>
          <w:rFonts w:ascii="宋体" w:hAnsi="宋体" w:eastAsia="宋体" w:cs="宋体"/>
          <w:sz w:val="28"/>
          <w:szCs w:val="28"/>
        </w:rPr>
      </w:pPr>
      <w:r>
        <w:rPr>
          <w:rFonts w:ascii="Times New Roman" w:hAnsi="Times New Roman" w:eastAsia="Times New Roman" w:cs="Times New Roman"/>
          <w:spacing w:val="-3"/>
          <w:sz w:val="28"/>
          <w:szCs w:val="28"/>
        </w:rPr>
        <w:t>11.</w:t>
      </w:r>
      <w:r>
        <w:rPr>
          <w:rFonts w:ascii="Times New Roman" w:hAnsi="Times New Roman" w:eastAsia="Times New Roman" w:cs="Times New Roman"/>
          <w:spacing w:val="-10"/>
          <w:sz w:val="28"/>
          <w:szCs w:val="28"/>
        </w:rPr>
        <w:t xml:space="preserve"> </w:t>
      </w:r>
      <w:r>
        <w:rPr>
          <w:rFonts w:ascii="宋体" w:hAnsi="宋体" w:eastAsia="宋体" w:cs="宋体"/>
          <w:spacing w:val="-3"/>
          <w:sz w:val="28"/>
          <w:szCs w:val="28"/>
        </w:rPr>
        <w:t>本协议书正本二份、副本</w:t>
      </w:r>
      <w:r>
        <w:rPr>
          <w:rFonts w:ascii="宋体" w:hAnsi="宋体" w:eastAsia="宋体" w:cs="宋体"/>
          <w:spacing w:val="-116"/>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份，合同双方各执正本一份，副本</w:t>
      </w:r>
      <w:r>
        <w:rPr>
          <w:rFonts w:ascii="宋体" w:hAnsi="宋体" w:eastAsia="宋体" w:cs="宋体"/>
          <w:spacing w:val="-115"/>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47"/>
          <w:sz w:val="28"/>
          <w:szCs w:val="28"/>
        </w:rPr>
        <w:t xml:space="preserve"> </w:t>
      </w:r>
      <w:r>
        <w:rPr>
          <w:rFonts w:ascii="宋体" w:hAnsi="宋体" w:eastAsia="宋体" w:cs="宋体"/>
          <w:spacing w:val="-3"/>
          <w:sz w:val="28"/>
          <w:szCs w:val="28"/>
        </w:rPr>
        <w:t>份</w:t>
      </w:r>
      <w:r>
        <w:rPr>
          <w:rFonts w:ascii="宋体" w:hAnsi="宋体" w:eastAsia="宋体" w:cs="宋体"/>
          <w:spacing w:val="-33"/>
          <w:sz w:val="28"/>
          <w:szCs w:val="28"/>
        </w:rPr>
        <w:t xml:space="preserve"> </w:t>
      </w:r>
      <w:r>
        <w:rPr>
          <w:rFonts w:ascii="宋体" w:hAnsi="宋体" w:eastAsia="宋体" w:cs="宋体"/>
          <w:spacing w:val="-3"/>
          <w:sz w:val="28"/>
          <w:szCs w:val="28"/>
        </w:rPr>
        <w:t>，</w:t>
      </w:r>
      <w:r>
        <w:rPr>
          <w:rFonts w:ascii="宋体" w:hAnsi="宋体" w:eastAsia="宋体" w:cs="宋体"/>
          <w:spacing w:val="-45"/>
          <w:sz w:val="28"/>
          <w:szCs w:val="28"/>
        </w:rPr>
        <w:t xml:space="preserve"> </w:t>
      </w:r>
      <w:r>
        <w:rPr>
          <w:rFonts w:ascii="宋体" w:hAnsi="宋体" w:eastAsia="宋体" w:cs="宋体"/>
          <w:spacing w:val="-3"/>
          <w:sz w:val="28"/>
          <w:szCs w:val="28"/>
        </w:rPr>
        <w:t>当</w:t>
      </w:r>
      <w:r>
        <w:rPr>
          <w:rFonts w:ascii="宋体" w:hAnsi="宋体" w:eastAsia="宋体" w:cs="宋体"/>
          <w:sz w:val="28"/>
          <w:szCs w:val="28"/>
        </w:rPr>
        <w:t xml:space="preserve"> </w:t>
      </w:r>
      <w:r>
        <w:rPr>
          <w:rFonts w:ascii="宋体" w:hAnsi="宋体" w:eastAsia="宋体" w:cs="宋体"/>
          <w:spacing w:val="-2"/>
          <w:sz w:val="28"/>
          <w:szCs w:val="28"/>
        </w:rPr>
        <w:t>正本与副本的内容不一致时，以正本为准。</w:t>
      </w:r>
    </w:p>
    <w:p w14:paraId="7D577956">
      <w:pPr>
        <w:spacing w:before="143" w:line="219" w:lineRule="auto"/>
        <w:ind w:left="510"/>
        <w:rPr>
          <w:rFonts w:ascii="宋体" w:hAnsi="宋体" w:eastAsia="宋体" w:cs="宋体"/>
          <w:sz w:val="24"/>
          <w:szCs w:val="24"/>
        </w:rPr>
      </w:pPr>
      <w:r>
        <w:rPr>
          <w:rFonts w:ascii="Times New Roman" w:hAnsi="Times New Roman" w:eastAsia="Times New Roman" w:cs="Times New Roman"/>
          <w:spacing w:val="-2"/>
          <w:sz w:val="28"/>
          <w:szCs w:val="28"/>
        </w:rPr>
        <w:t>12.</w:t>
      </w:r>
      <w:r>
        <w:rPr>
          <w:rFonts w:ascii="Times New Roman" w:hAnsi="Times New Roman" w:eastAsia="Times New Roman" w:cs="Times New Roman"/>
          <w:spacing w:val="-11"/>
          <w:sz w:val="28"/>
          <w:szCs w:val="28"/>
        </w:rPr>
        <w:t xml:space="preserve"> </w:t>
      </w:r>
      <w:r>
        <w:rPr>
          <w:rFonts w:ascii="宋体" w:hAnsi="宋体" w:eastAsia="宋体" w:cs="宋体"/>
          <w:spacing w:val="-2"/>
          <w:sz w:val="28"/>
          <w:szCs w:val="28"/>
        </w:rPr>
        <w:t>合同未尽事宜，双方另行签订补充协议。补充协议是合同的组成部分。</w:t>
      </w:r>
    </w:p>
    <w:p w14:paraId="1C7168E2"/>
    <w:p w14:paraId="13EF6C61">
      <w:pPr>
        <w:rPr>
          <w:rFonts w:hint="default"/>
          <w:sz w:val="28"/>
          <w:szCs w:val="28"/>
          <w:u w:val="single"/>
          <w:lang w:val="en-US" w:eastAsia="zh-CN"/>
        </w:rPr>
      </w:pPr>
      <w:r>
        <w:rPr>
          <w:rFonts w:hint="eastAsia"/>
          <w:sz w:val="28"/>
          <w:szCs w:val="28"/>
          <w:lang w:eastAsia="zh-CN"/>
        </w:rPr>
        <w:t>甲方：</w:t>
      </w:r>
      <w:r>
        <w:rPr>
          <w:rFonts w:hint="eastAsia"/>
          <w:sz w:val="28"/>
          <w:szCs w:val="28"/>
          <w:u w:val="single"/>
          <w:lang w:val="en-US" w:eastAsia="zh-CN"/>
        </w:rPr>
        <w:t xml:space="preserve">                 </w:t>
      </w:r>
      <w:r>
        <w:rPr>
          <w:rFonts w:hint="eastAsia"/>
          <w:sz w:val="28"/>
          <w:szCs w:val="28"/>
          <w:u w:val="none"/>
          <w:lang w:val="en-US" w:eastAsia="zh-CN"/>
        </w:rPr>
        <w:t xml:space="preserve">             乙方：</w:t>
      </w:r>
      <w:r>
        <w:rPr>
          <w:rFonts w:hint="eastAsia"/>
          <w:sz w:val="28"/>
          <w:szCs w:val="28"/>
          <w:u w:val="single"/>
          <w:lang w:val="en-US" w:eastAsia="zh-CN"/>
        </w:rPr>
        <w:t xml:space="preserve">                 </w:t>
      </w:r>
    </w:p>
    <w:p w14:paraId="3E3D5ECE">
      <w:pPr>
        <w:rPr>
          <w:rFonts w:hint="default"/>
          <w:sz w:val="28"/>
          <w:szCs w:val="28"/>
          <w:u w:val="single"/>
          <w:lang w:val="en-US" w:eastAsia="zh-CN"/>
        </w:rPr>
      </w:pPr>
      <w:r>
        <w:rPr>
          <w:rFonts w:hint="eastAsia"/>
          <w:sz w:val="28"/>
          <w:szCs w:val="28"/>
          <w:lang w:eastAsia="zh-CN"/>
        </w:rPr>
        <w:t>签字：</w:t>
      </w:r>
      <w:r>
        <w:rPr>
          <w:rFonts w:hint="eastAsia"/>
          <w:sz w:val="28"/>
          <w:szCs w:val="28"/>
          <w:u w:val="single"/>
          <w:lang w:val="en-US" w:eastAsia="zh-CN"/>
        </w:rPr>
        <w:t xml:space="preserve">                  </w:t>
      </w:r>
      <w:r>
        <w:rPr>
          <w:rFonts w:hint="eastAsia"/>
          <w:sz w:val="28"/>
          <w:szCs w:val="28"/>
          <w:u w:val="none"/>
          <w:lang w:val="en-US" w:eastAsia="zh-CN"/>
        </w:rPr>
        <w:t xml:space="preserve">            签字：</w:t>
      </w:r>
      <w:r>
        <w:rPr>
          <w:rFonts w:hint="eastAsia"/>
          <w:sz w:val="28"/>
          <w:szCs w:val="28"/>
          <w:u w:val="single"/>
          <w:lang w:val="en-US" w:eastAsia="zh-CN"/>
        </w:rPr>
        <w:t xml:space="preserve">                  </w:t>
      </w:r>
    </w:p>
    <w:p w14:paraId="7FB1A262">
      <w:pPr>
        <w:spacing w:before="52" w:line="241" w:lineRule="auto"/>
        <w:ind w:right="367"/>
        <w:rPr>
          <w:rFonts w:hint="default" w:ascii="宋体" w:hAnsi="宋体" w:eastAsia="宋体" w:cs="宋体"/>
          <w:spacing w:val="-3"/>
          <w:sz w:val="24"/>
          <w:szCs w:val="24"/>
          <w:u w:val="single"/>
          <w:lang w:val="en-US"/>
        </w:rPr>
      </w:pPr>
      <w:r>
        <w:rPr>
          <w:rFonts w:hint="eastAsia"/>
          <w:sz w:val="28"/>
          <w:szCs w:val="28"/>
          <w:lang w:eastAsia="zh-CN"/>
        </w:rPr>
        <w:t>日期：</w:t>
      </w:r>
      <w:r>
        <w:rPr>
          <w:rFonts w:hint="eastAsia"/>
          <w:sz w:val="28"/>
          <w:szCs w:val="28"/>
          <w:u w:val="single"/>
          <w:lang w:val="en-US" w:eastAsia="zh-CN"/>
        </w:rPr>
        <w:t xml:space="preserve">                 </w:t>
      </w:r>
      <w:r>
        <w:rPr>
          <w:rFonts w:hint="eastAsia"/>
          <w:sz w:val="28"/>
          <w:szCs w:val="28"/>
          <w:u w:val="none"/>
          <w:lang w:val="en-US" w:eastAsia="zh-CN"/>
        </w:rPr>
        <w:t xml:space="preserve">             日期：</w:t>
      </w:r>
      <w:r>
        <w:rPr>
          <w:rFonts w:hint="eastAsia"/>
          <w:sz w:val="28"/>
          <w:szCs w:val="28"/>
          <w:u w:val="single"/>
          <w:lang w:val="en-US" w:eastAsia="zh-CN"/>
        </w:rPr>
        <w:t xml:space="preserve">                         </w:t>
      </w:r>
    </w:p>
    <w:p w14:paraId="6D944FC4">
      <w:pPr>
        <w:rPr>
          <w:rFonts w:hint="eastAsia" w:ascii="宋体" w:hAnsi="宋体" w:eastAsia="宋体" w:cs="宋体"/>
          <w:b/>
          <w:bCs/>
          <w:color w:val="auto"/>
          <w:sz w:val="32"/>
          <w:szCs w:val="32"/>
          <w:highlight w:val="none"/>
          <w:lang w:eastAsia="zh-CN"/>
        </w:rPr>
      </w:pPr>
    </w:p>
    <w:p w14:paraId="43E1EA43">
      <w:pPr>
        <w:rPr>
          <w:rFonts w:hint="eastAsia" w:ascii="宋体" w:hAnsi="宋体" w:eastAsia="宋体" w:cs="宋体"/>
          <w:b/>
          <w:bCs/>
          <w:color w:val="auto"/>
          <w:sz w:val="32"/>
          <w:szCs w:val="32"/>
          <w:highlight w:val="none"/>
          <w:lang w:eastAsia="zh-CN"/>
        </w:rPr>
      </w:pPr>
    </w:p>
    <w:p w14:paraId="5535CF45">
      <w:pPr>
        <w:pStyle w:val="3"/>
        <w:jc w:val="both"/>
        <w:rPr>
          <w:rFonts w:hint="eastAsia" w:ascii="宋体" w:hAnsi="宋体" w:eastAsia="宋体" w:cs="宋体"/>
          <w:b/>
          <w:bCs/>
          <w:color w:val="auto"/>
          <w:sz w:val="32"/>
          <w:szCs w:val="32"/>
          <w:highlight w:val="none"/>
        </w:rPr>
      </w:pPr>
    </w:p>
    <w:p w14:paraId="6C8A825B">
      <w:pPr>
        <w:rPr>
          <w:rFonts w:hint="eastAsia" w:ascii="宋体" w:hAnsi="宋体" w:eastAsia="宋体" w:cs="宋体"/>
          <w:b/>
          <w:bCs/>
          <w:color w:val="auto"/>
          <w:sz w:val="32"/>
          <w:szCs w:val="32"/>
          <w:highlight w:val="none"/>
        </w:rPr>
      </w:pPr>
    </w:p>
    <w:p w14:paraId="4AB396A8">
      <w:pPr>
        <w:rPr>
          <w:rFonts w:hint="eastAsia" w:ascii="宋体" w:hAnsi="宋体" w:eastAsia="宋体" w:cs="宋体"/>
          <w:b/>
          <w:bCs/>
          <w:color w:val="auto"/>
          <w:sz w:val="32"/>
          <w:szCs w:val="32"/>
          <w:highlight w:val="none"/>
        </w:rPr>
      </w:pPr>
    </w:p>
    <w:p w14:paraId="5C30FF5D">
      <w:pPr>
        <w:rPr>
          <w:rFonts w:hint="eastAsia" w:ascii="宋体" w:hAnsi="宋体" w:eastAsia="宋体" w:cs="宋体"/>
          <w:b/>
          <w:bCs/>
          <w:color w:val="auto"/>
          <w:sz w:val="32"/>
          <w:szCs w:val="32"/>
          <w:highlight w:val="none"/>
        </w:rPr>
      </w:pPr>
    </w:p>
    <w:p w14:paraId="13A7610A">
      <w:pPr>
        <w:rPr>
          <w:rFonts w:hint="eastAsia" w:ascii="宋体" w:hAnsi="宋体" w:eastAsia="宋体" w:cs="宋体"/>
          <w:b/>
          <w:bCs/>
          <w:color w:val="auto"/>
          <w:sz w:val="32"/>
          <w:szCs w:val="32"/>
          <w:highlight w:val="none"/>
        </w:rPr>
      </w:pPr>
    </w:p>
    <w:p w14:paraId="254373ED">
      <w:pPr>
        <w:rPr>
          <w:rFonts w:hint="eastAsia" w:ascii="宋体" w:hAnsi="宋体" w:eastAsia="宋体" w:cs="宋体"/>
          <w:b/>
          <w:bCs/>
          <w:color w:val="auto"/>
          <w:sz w:val="32"/>
          <w:szCs w:val="32"/>
          <w:highlight w:val="none"/>
        </w:rPr>
      </w:pPr>
    </w:p>
    <w:p w14:paraId="244327E5">
      <w:pPr>
        <w:rPr>
          <w:rFonts w:hint="eastAsia" w:ascii="宋体" w:hAnsi="宋体" w:eastAsia="宋体" w:cs="宋体"/>
          <w:b/>
          <w:bCs/>
          <w:color w:val="auto"/>
          <w:sz w:val="32"/>
          <w:szCs w:val="32"/>
          <w:highlight w:val="none"/>
        </w:rPr>
      </w:pPr>
    </w:p>
    <w:p w14:paraId="1EC3F788">
      <w:pPr>
        <w:rPr>
          <w:rFonts w:hint="eastAsia" w:ascii="宋体" w:hAnsi="宋体" w:eastAsia="宋体" w:cs="宋体"/>
          <w:b/>
          <w:bCs/>
          <w:color w:val="auto"/>
          <w:sz w:val="32"/>
          <w:szCs w:val="32"/>
          <w:highlight w:val="none"/>
        </w:rPr>
      </w:pPr>
    </w:p>
    <w:p w14:paraId="0FEB1CA6">
      <w:pPr>
        <w:rPr>
          <w:rFonts w:hint="eastAsia" w:ascii="宋体" w:hAnsi="宋体" w:eastAsia="宋体" w:cs="宋体"/>
          <w:b/>
          <w:bCs/>
          <w:color w:val="auto"/>
          <w:sz w:val="32"/>
          <w:szCs w:val="32"/>
          <w:highlight w:val="none"/>
        </w:rPr>
      </w:pPr>
    </w:p>
    <w:p w14:paraId="714FE0F3">
      <w:pPr>
        <w:rPr>
          <w:rFonts w:hint="eastAsia" w:ascii="宋体" w:hAnsi="宋体" w:eastAsia="宋体" w:cs="宋体"/>
          <w:b/>
          <w:bCs/>
          <w:color w:val="auto"/>
          <w:sz w:val="32"/>
          <w:szCs w:val="32"/>
          <w:highlight w:val="none"/>
        </w:rPr>
      </w:pPr>
    </w:p>
    <w:p w14:paraId="36175672">
      <w:pPr>
        <w:rPr>
          <w:rFonts w:hint="eastAsia" w:ascii="宋体" w:hAnsi="宋体" w:eastAsia="宋体" w:cs="宋体"/>
          <w:b/>
          <w:bCs/>
          <w:color w:val="auto"/>
          <w:sz w:val="32"/>
          <w:szCs w:val="32"/>
          <w:highlight w:val="none"/>
        </w:rPr>
      </w:pPr>
    </w:p>
    <w:p w14:paraId="0E39B8ED">
      <w:pPr>
        <w:rPr>
          <w:rFonts w:hint="eastAsia" w:ascii="宋体" w:hAnsi="宋体" w:eastAsia="宋体" w:cs="宋体"/>
          <w:b/>
          <w:bCs/>
          <w:color w:val="auto"/>
          <w:sz w:val="32"/>
          <w:szCs w:val="32"/>
          <w:highlight w:val="none"/>
        </w:rPr>
      </w:pPr>
    </w:p>
    <w:p w14:paraId="2440395F">
      <w:pPr>
        <w:rPr>
          <w:rFonts w:hint="eastAsia" w:ascii="宋体" w:hAnsi="宋体" w:eastAsia="宋体" w:cs="宋体"/>
          <w:b/>
          <w:bCs/>
          <w:color w:val="auto"/>
          <w:sz w:val="32"/>
          <w:szCs w:val="32"/>
          <w:highlight w:val="none"/>
        </w:rPr>
      </w:pPr>
    </w:p>
    <w:p w14:paraId="0CCE20C6">
      <w:pPr>
        <w:pStyle w:val="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 xml:space="preserve">第五章 </w:t>
      </w:r>
      <w:bookmarkEnd w:id="57"/>
      <w:r>
        <w:rPr>
          <w:rFonts w:hint="eastAsia" w:ascii="宋体" w:hAnsi="宋体" w:eastAsia="宋体" w:cs="宋体"/>
          <w:b/>
          <w:bCs/>
          <w:color w:val="auto"/>
          <w:sz w:val="32"/>
          <w:szCs w:val="32"/>
          <w:highlight w:val="none"/>
          <w:lang w:eastAsia="zh-CN"/>
        </w:rPr>
        <w:t>采购需求</w:t>
      </w:r>
      <w:bookmarkEnd w:id="58"/>
    </w:p>
    <w:p w14:paraId="7D4FBF9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一、项目基本情况 </w:t>
      </w:r>
    </w:p>
    <w:p w14:paraId="7FAEE559">
      <w:pPr>
        <w:rPr>
          <w:rFonts w:hint="eastAsia" w:ascii="宋体" w:hAnsi="宋体" w:eastAsia="宋体" w:cs="宋体"/>
          <w:sz w:val="28"/>
          <w:szCs w:val="28"/>
        </w:rPr>
      </w:pPr>
      <w:r>
        <w:rPr>
          <w:rFonts w:hint="eastAsia" w:ascii="宋体" w:hAnsi="宋体" w:cs="宋体"/>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、项目编号：分KPXZCY2025-0049</w:t>
      </w:r>
    </w:p>
    <w:p w14:paraId="5DA3397C">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2、项目名称：柯坪县2025年中央对地方成品油税费改革转移支付用于农村公路养护项目</w:t>
      </w:r>
    </w:p>
    <w:p w14:paraId="1D45C17A">
      <w:pPr>
        <w:keepNext w:val="0"/>
        <w:keepLines w:val="0"/>
        <w:widowControl/>
        <w:suppressLineNumbers w:val="0"/>
        <w:jc w:val="left"/>
        <w:rPr>
          <w:rFonts w:hint="eastAsia" w:ascii="宋体" w:hAnsi="宋体" w:eastAsia="宋体" w:cs="宋体"/>
          <w:sz w:val="28"/>
          <w:szCs w:val="28"/>
        </w:rPr>
      </w:pPr>
      <w:r>
        <w:rPr>
          <w:rFonts w:hint="eastAsia" w:ascii="宋体" w:hAnsi="宋体" w:cs="宋体"/>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、采购方式：竞争性磋商 </w:t>
      </w:r>
    </w:p>
    <w:p w14:paraId="1623374B">
      <w:pPr>
        <w:keepNext w:val="0"/>
        <w:keepLines w:val="0"/>
        <w:widowControl/>
        <w:suppressLineNumbers w:val="0"/>
        <w:jc w:val="left"/>
        <w:rPr>
          <w:rFonts w:hint="default" w:ascii="宋体" w:hAnsi="宋体" w:eastAsia="宋体" w:cs="宋体"/>
          <w:sz w:val="28"/>
          <w:szCs w:val="28"/>
          <w:lang w:val="en-US"/>
        </w:rPr>
      </w:pPr>
      <w:r>
        <w:rPr>
          <w:rFonts w:hint="eastAsia" w:ascii="宋体" w:hAnsi="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、资金来源：</w:t>
      </w:r>
      <w:r>
        <w:rPr>
          <w:rFonts w:hint="eastAsia" w:ascii="宋体" w:hAnsi="宋体" w:cs="宋体"/>
          <w:color w:val="000000"/>
          <w:kern w:val="0"/>
          <w:sz w:val="28"/>
          <w:szCs w:val="28"/>
          <w:lang w:val="en-US" w:eastAsia="zh-CN" w:bidi="ar"/>
        </w:rPr>
        <w:t>财政拨款</w:t>
      </w:r>
      <w:bookmarkStart w:id="67" w:name="_GoBack"/>
      <w:bookmarkEnd w:id="67"/>
    </w:p>
    <w:p w14:paraId="3F6C217E">
      <w:pPr>
        <w:keepNext w:val="0"/>
        <w:keepLines w:val="0"/>
        <w:widowControl/>
        <w:suppressLineNumbers w:val="0"/>
        <w:jc w:val="left"/>
        <w:rPr>
          <w:rFonts w:hint="eastAsia" w:ascii="宋体" w:hAnsi="宋体" w:eastAsia="宋体" w:cs="宋体"/>
          <w:sz w:val="28"/>
          <w:szCs w:val="28"/>
        </w:rPr>
      </w:pPr>
      <w:r>
        <w:rPr>
          <w:rFonts w:hint="eastAsia" w:ascii="宋体" w:hAnsi="宋体" w:cs="宋体"/>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、项目预算金额：</w:t>
      </w:r>
      <w:r>
        <w:rPr>
          <w:rFonts w:hint="eastAsia" w:ascii="宋体" w:hAnsi="宋体" w:cs="宋体"/>
          <w:color w:val="000000"/>
          <w:kern w:val="0"/>
          <w:sz w:val="28"/>
          <w:szCs w:val="28"/>
          <w:lang w:val="en-US" w:eastAsia="zh-CN" w:bidi="ar"/>
        </w:rPr>
        <w:t>790000.00</w:t>
      </w:r>
      <w:r>
        <w:rPr>
          <w:rFonts w:hint="eastAsia" w:ascii="宋体" w:hAnsi="宋体" w:eastAsia="宋体" w:cs="宋体"/>
          <w:color w:val="000000"/>
          <w:kern w:val="0"/>
          <w:sz w:val="28"/>
          <w:szCs w:val="28"/>
          <w:lang w:val="en-US" w:eastAsia="zh-CN" w:bidi="ar"/>
        </w:rPr>
        <w:t xml:space="preserve">（元） </w:t>
      </w:r>
    </w:p>
    <w:p w14:paraId="3257729B">
      <w:pPr>
        <w:keepNext w:val="0"/>
        <w:keepLines w:val="0"/>
        <w:widowControl/>
        <w:suppressLineNumbers w:val="0"/>
        <w:jc w:val="left"/>
        <w:rPr>
          <w:rFonts w:hint="eastAsia" w:ascii="宋体" w:hAnsi="宋体" w:eastAsia="宋体" w:cs="宋体"/>
          <w:sz w:val="28"/>
          <w:szCs w:val="28"/>
        </w:rPr>
      </w:pP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、项目最高限价：</w:t>
      </w:r>
      <w:r>
        <w:rPr>
          <w:rFonts w:hint="eastAsia" w:ascii="宋体" w:hAnsi="宋体" w:cs="宋体"/>
          <w:color w:val="000000"/>
          <w:kern w:val="0"/>
          <w:sz w:val="28"/>
          <w:szCs w:val="28"/>
          <w:lang w:val="en-US" w:eastAsia="zh-CN" w:bidi="ar"/>
        </w:rPr>
        <w:t>785421.09</w:t>
      </w:r>
      <w:r>
        <w:rPr>
          <w:rFonts w:hint="eastAsia" w:ascii="宋体" w:hAnsi="宋体" w:eastAsia="宋体" w:cs="宋体"/>
          <w:color w:val="000000"/>
          <w:kern w:val="0"/>
          <w:sz w:val="28"/>
          <w:szCs w:val="28"/>
          <w:lang w:val="en-US" w:eastAsia="zh-CN" w:bidi="ar"/>
        </w:rPr>
        <w:t xml:space="preserve">（元） </w:t>
      </w:r>
    </w:p>
    <w:p w14:paraId="3A2198B8">
      <w:pPr>
        <w:keepNext w:val="0"/>
        <w:keepLines w:val="0"/>
        <w:widowControl/>
        <w:suppressLineNumbers w:val="0"/>
        <w:jc w:val="left"/>
        <w:rPr>
          <w:rFonts w:hint="eastAsia" w:ascii="宋体" w:hAnsi="宋体" w:eastAsia="宋体" w:cs="宋体"/>
          <w:sz w:val="28"/>
          <w:szCs w:val="28"/>
        </w:rPr>
      </w:pPr>
      <w:r>
        <w:rPr>
          <w:rFonts w:hint="eastAsia" w:ascii="宋体" w:hAnsi="宋体" w:cs="宋体"/>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、合同履约期限：</w:t>
      </w:r>
      <w:r>
        <w:rPr>
          <w:rFonts w:hint="eastAsia" w:ascii="宋体" w:hAnsi="宋体" w:cs="宋体"/>
          <w:color w:val="0000FF"/>
          <w:sz w:val="28"/>
          <w:szCs w:val="28"/>
          <w:lang w:val="en-US" w:eastAsia="zh-CN"/>
        </w:rPr>
        <w:t>90日历日。</w:t>
      </w:r>
      <w:r>
        <w:rPr>
          <w:rFonts w:hint="eastAsia" w:ascii="宋体" w:hAnsi="宋体" w:eastAsia="宋体" w:cs="宋体"/>
          <w:color w:val="000000"/>
          <w:kern w:val="0"/>
          <w:sz w:val="28"/>
          <w:szCs w:val="28"/>
          <w:lang w:val="en-US" w:eastAsia="zh-CN" w:bidi="ar"/>
        </w:rPr>
        <w:t xml:space="preserve"> </w:t>
      </w:r>
    </w:p>
    <w:p w14:paraId="3F8ADAC3">
      <w:pPr>
        <w:spacing w:line="240" w:lineRule="auto"/>
        <w:rPr>
          <w:rFonts w:hint="default" w:ascii="宋体" w:hAnsi="宋体" w:eastAsia="宋体" w:cs="宋体"/>
          <w:sz w:val="28"/>
          <w:szCs w:val="28"/>
          <w:lang w:val="en-US"/>
        </w:rPr>
      </w:pPr>
      <w:r>
        <w:rPr>
          <w:rFonts w:hint="eastAsia" w:ascii="宋体" w:hAnsi="宋体" w:cs="宋体"/>
          <w:color w:val="000000"/>
          <w:kern w:val="0"/>
          <w:sz w:val="28"/>
          <w:szCs w:val="28"/>
          <w:lang w:val="en-US" w:eastAsia="zh-CN" w:bidi="ar"/>
        </w:rPr>
        <w:t>8</w:t>
      </w:r>
      <w:r>
        <w:rPr>
          <w:rFonts w:hint="eastAsia" w:ascii="宋体" w:hAnsi="宋体" w:eastAsia="宋体" w:cs="宋体"/>
          <w:color w:val="000000"/>
          <w:kern w:val="0"/>
          <w:sz w:val="28"/>
          <w:szCs w:val="28"/>
          <w:lang w:val="en-US" w:eastAsia="zh-CN" w:bidi="ar"/>
        </w:rPr>
        <w:t>、采购内容</w:t>
      </w:r>
      <w:r>
        <w:rPr>
          <w:rFonts w:hint="eastAsia" w:ascii="宋体" w:hAnsi="宋体" w:cs="宋体"/>
          <w:color w:val="000000"/>
          <w:kern w:val="0"/>
          <w:sz w:val="28"/>
          <w:szCs w:val="28"/>
          <w:lang w:val="en-US" w:eastAsia="zh-CN" w:bidi="ar"/>
        </w:rPr>
        <w:t>:</w:t>
      </w:r>
      <w:r>
        <w:rPr>
          <w:rFonts w:hint="eastAsia" w:ascii="宋体" w:hAnsi="宋体" w:eastAsia="宋体" w:cs="宋体"/>
          <w:sz w:val="28"/>
          <w:szCs w:val="28"/>
        </w:rPr>
        <w:t>修建路肩、整修边坡、处理沥青裂缝、修补沥青路面、维修沥青路面啃边、清理排水设施、完善标线、安装标志牌、警示桩、爆闪灯等</w:t>
      </w:r>
      <w:r>
        <w:rPr>
          <w:rFonts w:hint="eastAsia" w:ascii="宋体" w:hAnsi="宋体" w:eastAsia="宋体" w:cs="宋体"/>
          <w:sz w:val="28"/>
          <w:szCs w:val="28"/>
          <w:lang w:eastAsia="zh-CN"/>
        </w:rPr>
        <w:t>。</w:t>
      </w:r>
    </w:p>
    <w:p w14:paraId="14BFB8EF">
      <w:pPr>
        <w:keepNext w:val="0"/>
        <w:keepLines w:val="0"/>
        <w:widowControl/>
        <w:suppressLineNumbers w:val="0"/>
        <w:jc w:val="left"/>
        <w:rPr>
          <w:rFonts w:hint="eastAsia" w:ascii="宋体" w:hAnsi="宋体" w:eastAsia="宋体" w:cs="宋体"/>
          <w:sz w:val="28"/>
          <w:szCs w:val="28"/>
        </w:rPr>
      </w:pPr>
      <w:r>
        <w:rPr>
          <w:rFonts w:hint="eastAsia" w:ascii="宋体" w:hAnsi="宋体" w:cs="宋体"/>
          <w:color w:val="000000"/>
          <w:kern w:val="0"/>
          <w:sz w:val="28"/>
          <w:szCs w:val="28"/>
          <w:lang w:val="en-US" w:eastAsia="zh-CN" w:bidi="ar"/>
        </w:rPr>
        <w:t>9</w:t>
      </w:r>
      <w:r>
        <w:rPr>
          <w:rFonts w:hint="eastAsia" w:ascii="宋体" w:hAnsi="宋体" w:eastAsia="宋体" w:cs="宋体"/>
          <w:color w:val="000000"/>
          <w:kern w:val="0"/>
          <w:sz w:val="28"/>
          <w:szCs w:val="28"/>
          <w:lang w:val="en-US" w:eastAsia="zh-CN" w:bidi="ar"/>
        </w:rPr>
        <w:t xml:space="preserve">、质量要求：合格 </w:t>
      </w:r>
    </w:p>
    <w:p w14:paraId="2B6A0957">
      <w:pP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二、采购需求</w:t>
      </w:r>
    </w:p>
    <w:p w14:paraId="36380EB6">
      <w:pPr>
        <w:rPr>
          <w:rFonts w:hint="default"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 xml:space="preserve">  详见工程量清单</w:t>
      </w:r>
    </w:p>
    <w:p w14:paraId="2C6C72C0">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25213F46">
      <w:pPr>
        <w:rPr>
          <w:rFonts w:hint="default"/>
          <w:lang w:val="en-US"/>
        </w:rPr>
      </w:pPr>
    </w:p>
    <w:p w14:paraId="09270965">
      <w:pPr>
        <w:pStyle w:val="2"/>
        <w:rPr>
          <w:rFonts w:hint="default"/>
          <w:lang w:val="en-US"/>
        </w:rPr>
      </w:pPr>
    </w:p>
    <w:p w14:paraId="6A897A1E">
      <w:pPr>
        <w:pStyle w:val="3"/>
        <w:pageBreakBefore/>
        <w:jc w:val="center"/>
        <w:rPr>
          <w:rFonts w:hint="eastAsia" w:ascii="宋体" w:hAnsi="宋体" w:eastAsia="宋体" w:cs="宋体"/>
          <w:b/>
          <w:bCs/>
          <w:sz w:val="32"/>
          <w:szCs w:val="32"/>
          <w:highlight w:val="none"/>
          <w:lang w:val="en-US" w:eastAsia="zh-CN"/>
        </w:rPr>
      </w:pPr>
      <w:bookmarkStart w:id="59" w:name="_Toc32397"/>
      <w:bookmarkStart w:id="60" w:name="_Toc3879"/>
      <w:bookmarkStart w:id="61" w:name="_Toc25784"/>
      <w:bookmarkStart w:id="62" w:name="_Toc1295"/>
      <w:r>
        <w:rPr>
          <w:rFonts w:hint="eastAsia" w:ascii="宋体" w:hAnsi="宋体" w:eastAsia="宋体" w:cs="宋体"/>
          <w:b/>
          <w:bCs/>
          <w:sz w:val="32"/>
          <w:szCs w:val="32"/>
          <w:highlight w:val="none"/>
          <w:lang w:val="en-US" w:eastAsia="zh-CN"/>
        </w:rPr>
        <w:t>第六章  响应文件格式</w:t>
      </w:r>
      <w:bookmarkEnd w:id="59"/>
      <w:bookmarkEnd w:id="60"/>
      <w:bookmarkEnd w:id="61"/>
      <w:bookmarkEnd w:id="62"/>
    </w:p>
    <w:p w14:paraId="49BB8E47">
      <w:pPr>
        <w:keepNext w:val="0"/>
        <w:keepLines w:val="0"/>
        <w:widowControl/>
        <w:suppressLineNumbers w:val="0"/>
        <w:jc w:val="center"/>
        <w:rPr>
          <w:rFonts w:ascii="楷体" w:hAnsi="楷体" w:eastAsia="楷体" w:cs="楷体"/>
          <w:b/>
          <w:bCs/>
          <w:color w:val="000000"/>
          <w:kern w:val="0"/>
          <w:sz w:val="20"/>
          <w:szCs w:val="20"/>
          <w:lang w:val="en-US" w:eastAsia="zh-CN" w:bidi="ar"/>
        </w:rPr>
      </w:pPr>
    </w:p>
    <w:p w14:paraId="16061DFA">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7C3F24BE">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7C4C8012">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响应文件部分格式</w:t>
      </w:r>
    </w:p>
    <w:p w14:paraId="14AD3A55">
      <w:pPr>
        <w:keepNext w:val="0"/>
        <w:keepLines w:val="0"/>
        <w:widowControl/>
        <w:suppressLineNumbers w:val="0"/>
        <w:ind w:left="7524" w:hanging="7200" w:hangingChars="360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（封面示例）                                                                       正本 </w:t>
      </w:r>
    </w:p>
    <w:p w14:paraId="4F4797C8">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2E3BE9FD">
      <w:pPr>
        <w:keepNext w:val="0"/>
        <w:keepLines w:val="0"/>
        <w:widowControl/>
        <w:suppressLineNumbers w:val="0"/>
        <w:ind w:firstLine="3614" w:firstLineChars="1800"/>
        <w:jc w:val="left"/>
        <w:rPr>
          <w:rFonts w:hint="eastAsia" w:ascii="宋体" w:hAnsi="宋体" w:eastAsia="宋体" w:cs="宋体"/>
          <w:b/>
          <w:bCs/>
          <w:color w:val="000000"/>
          <w:kern w:val="0"/>
          <w:sz w:val="20"/>
          <w:szCs w:val="20"/>
          <w:lang w:val="en-US" w:eastAsia="zh-CN" w:bidi="ar"/>
        </w:rPr>
      </w:pPr>
    </w:p>
    <w:p w14:paraId="5C260323">
      <w:pPr>
        <w:keepNext w:val="0"/>
        <w:keepLines w:val="0"/>
        <w:widowControl/>
        <w:suppressLineNumbers w:val="0"/>
        <w:ind w:firstLine="3614" w:firstLineChars="1800"/>
        <w:jc w:val="left"/>
        <w:rPr>
          <w:rFonts w:hint="eastAsia" w:ascii="宋体" w:hAnsi="宋体" w:eastAsia="宋体" w:cs="宋体"/>
          <w:b/>
          <w:bCs/>
          <w:color w:val="000000"/>
          <w:kern w:val="0"/>
          <w:sz w:val="20"/>
          <w:szCs w:val="20"/>
          <w:lang w:val="en-US" w:eastAsia="zh-CN" w:bidi="ar"/>
        </w:rPr>
      </w:pPr>
    </w:p>
    <w:p w14:paraId="1553F7CB">
      <w:pPr>
        <w:keepNext w:val="0"/>
        <w:keepLines w:val="0"/>
        <w:widowControl/>
        <w:suppressLineNumbers w:val="0"/>
        <w:ind w:firstLine="3614" w:firstLineChars="1800"/>
        <w:jc w:val="left"/>
        <w:rPr>
          <w:rFonts w:hint="eastAsia" w:ascii="宋体" w:hAnsi="宋体" w:eastAsia="宋体" w:cs="宋体"/>
          <w:b/>
          <w:bCs/>
          <w:color w:val="000000"/>
          <w:kern w:val="0"/>
          <w:sz w:val="20"/>
          <w:szCs w:val="20"/>
          <w:lang w:val="en-US" w:eastAsia="zh-CN" w:bidi="ar"/>
        </w:rPr>
      </w:pPr>
    </w:p>
    <w:p w14:paraId="57179284">
      <w:pPr>
        <w:keepNext w:val="0"/>
        <w:keepLines w:val="0"/>
        <w:widowControl/>
        <w:suppressLineNumbers w:val="0"/>
        <w:ind w:firstLine="3614" w:firstLineChars="1800"/>
        <w:jc w:val="left"/>
        <w:rPr>
          <w:rFonts w:hint="eastAsia" w:ascii="宋体" w:hAnsi="宋体" w:eastAsia="宋体" w:cs="宋体"/>
          <w:b/>
          <w:bCs/>
          <w:color w:val="000000"/>
          <w:kern w:val="0"/>
          <w:sz w:val="20"/>
          <w:szCs w:val="20"/>
          <w:lang w:val="en-US" w:eastAsia="zh-CN" w:bidi="ar"/>
        </w:rPr>
      </w:pPr>
    </w:p>
    <w:p w14:paraId="698ADA8E">
      <w:pPr>
        <w:keepNext w:val="0"/>
        <w:keepLines w:val="0"/>
        <w:widowControl/>
        <w:suppressLineNumbers w:val="0"/>
        <w:ind w:firstLine="3614" w:firstLineChars="1800"/>
        <w:jc w:val="left"/>
        <w:rPr>
          <w:rFonts w:hint="eastAsia" w:ascii="宋体" w:hAnsi="宋体" w:eastAsia="宋体" w:cs="宋体"/>
          <w:b/>
          <w:bCs/>
          <w:color w:val="000000"/>
          <w:kern w:val="0"/>
          <w:sz w:val="20"/>
          <w:szCs w:val="20"/>
          <w:lang w:val="en-US" w:eastAsia="zh-CN" w:bidi="ar"/>
        </w:rPr>
      </w:pPr>
    </w:p>
    <w:p w14:paraId="2A61DE2E">
      <w:pPr>
        <w:keepNext w:val="0"/>
        <w:keepLines w:val="0"/>
        <w:widowControl/>
        <w:suppressLineNumbers w:val="0"/>
        <w:ind w:firstLine="3614" w:firstLineChars="1800"/>
        <w:jc w:val="left"/>
        <w:rPr>
          <w:rFonts w:hint="eastAsia" w:ascii="宋体" w:hAnsi="宋体" w:eastAsia="宋体" w:cs="宋体"/>
          <w:b/>
          <w:bCs/>
          <w:color w:val="000000"/>
          <w:kern w:val="0"/>
          <w:sz w:val="20"/>
          <w:szCs w:val="20"/>
          <w:lang w:val="en-US" w:eastAsia="zh-CN" w:bidi="ar"/>
        </w:rPr>
      </w:pPr>
    </w:p>
    <w:p w14:paraId="778AEA53">
      <w:pPr>
        <w:keepNext w:val="0"/>
        <w:keepLines w:val="0"/>
        <w:widowControl/>
        <w:suppressLineNumbers w:val="0"/>
        <w:ind w:firstLine="3614" w:firstLineChars="1800"/>
        <w:jc w:val="left"/>
        <w:rPr>
          <w:rFonts w:hint="eastAsia" w:ascii="宋体" w:hAnsi="宋体" w:eastAsia="宋体" w:cs="宋体"/>
          <w:b/>
          <w:bCs/>
          <w:color w:val="000000"/>
          <w:kern w:val="0"/>
          <w:sz w:val="20"/>
          <w:szCs w:val="20"/>
          <w:lang w:val="en-US" w:eastAsia="zh-CN" w:bidi="ar"/>
        </w:rPr>
      </w:pPr>
    </w:p>
    <w:p w14:paraId="4FC947DD">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响 应 文 件</w:t>
      </w:r>
    </w:p>
    <w:p w14:paraId="79F667F0">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619CAC25">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FCCE468">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567DEF4F">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0023AF84">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6438CA92">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63619431">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项目名称： </w:t>
      </w:r>
    </w:p>
    <w:p w14:paraId="1F5D5500">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项目编号： </w:t>
      </w:r>
    </w:p>
    <w:p w14:paraId="6782F2E5">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供应商（盖公章）：×××公司 </w:t>
      </w:r>
    </w:p>
    <w:p w14:paraId="7760E8BF">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法定代表人（签字或盖章）: </w:t>
      </w:r>
    </w:p>
    <w:p w14:paraId="3543C99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委托代理人（签字）: </w:t>
      </w:r>
    </w:p>
    <w:p w14:paraId="418C264B">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地址： </w:t>
      </w:r>
    </w:p>
    <w:p w14:paraId="5B99E35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邮编： </w:t>
      </w:r>
    </w:p>
    <w:p w14:paraId="4B6539D7">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 xml:space="preserve">联系人： </w:t>
      </w:r>
    </w:p>
    <w:p w14:paraId="2271D00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联系电话： </w:t>
      </w:r>
    </w:p>
    <w:p w14:paraId="2CB5A17B">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238DB06B">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128387D0">
      <w:pPr>
        <w:keepNext w:val="0"/>
        <w:keepLines w:val="0"/>
        <w:widowControl/>
        <w:suppressLineNumbers w:val="0"/>
        <w:jc w:val="both"/>
        <w:rPr>
          <w:rFonts w:hint="eastAsia" w:ascii="宋体" w:hAnsi="宋体" w:eastAsia="宋体" w:cs="宋体"/>
          <w:color w:val="000000"/>
          <w:kern w:val="0"/>
          <w:sz w:val="20"/>
          <w:szCs w:val="20"/>
          <w:lang w:val="en-US" w:eastAsia="zh-CN" w:bidi="ar"/>
        </w:rPr>
      </w:pPr>
    </w:p>
    <w:p w14:paraId="0E49A66D">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14:paraId="58E4B618">
      <w:pPr>
        <w:keepNext w:val="0"/>
        <w:keepLines w:val="0"/>
        <w:widowControl/>
        <w:suppressLineNumbers w:val="0"/>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编制日期：×年×月×日</w:t>
      </w:r>
    </w:p>
    <w:p w14:paraId="45C8427D">
      <w:pPr>
        <w:rPr>
          <w:rFonts w:hint="default"/>
          <w:lang w:val="en-US"/>
        </w:rPr>
      </w:pPr>
    </w:p>
    <w:p w14:paraId="00598318">
      <w:pPr>
        <w:rPr>
          <w:rFonts w:hint="eastAsia"/>
          <w:lang w:eastAsia="zh-CN"/>
        </w:rPr>
      </w:pPr>
    </w:p>
    <w:p w14:paraId="7519AB35">
      <w:pPr>
        <w:keepNext w:val="0"/>
        <w:keepLines w:val="0"/>
        <w:widowControl/>
        <w:suppressLineNumbers w:val="0"/>
        <w:jc w:val="center"/>
        <w:rPr>
          <w:rFonts w:ascii="楷体" w:hAnsi="楷体" w:eastAsia="楷体" w:cs="楷体"/>
          <w:b/>
          <w:bCs/>
          <w:color w:val="000000"/>
          <w:kern w:val="0"/>
          <w:sz w:val="20"/>
          <w:szCs w:val="20"/>
          <w:lang w:val="en-US" w:eastAsia="zh-CN" w:bidi="ar"/>
        </w:rPr>
      </w:pPr>
    </w:p>
    <w:p w14:paraId="2BD4969C">
      <w:pPr>
        <w:keepNext w:val="0"/>
        <w:keepLines w:val="0"/>
        <w:widowControl/>
        <w:suppressLineNumbers w:val="0"/>
        <w:jc w:val="center"/>
      </w:pPr>
      <w:r>
        <w:rPr>
          <w:rFonts w:ascii="楷体" w:hAnsi="楷体" w:eastAsia="楷体" w:cs="楷体"/>
          <w:b/>
          <w:bCs/>
          <w:color w:val="000000"/>
          <w:kern w:val="0"/>
          <w:sz w:val="20"/>
          <w:szCs w:val="20"/>
          <w:lang w:val="en-US" w:eastAsia="zh-CN" w:bidi="ar"/>
        </w:rPr>
        <w:t>目录：</w:t>
      </w:r>
    </w:p>
    <w:p w14:paraId="1D094D5D">
      <w:pPr>
        <w:keepNext w:val="0"/>
        <w:keepLines w:val="0"/>
        <w:widowControl/>
        <w:suppressLineNumbers w:val="0"/>
        <w:jc w:val="left"/>
      </w:pPr>
      <w:r>
        <w:rPr>
          <w:rFonts w:hint="eastAsia" w:ascii="楷体" w:hAnsi="楷体" w:eastAsia="楷体" w:cs="楷体"/>
          <w:b/>
          <w:bCs/>
          <w:color w:val="000000"/>
          <w:kern w:val="0"/>
          <w:sz w:val="20"/>
          <w:szCs w:val="20"/>
          <w:lang w:val="en-US" w:eastAsia="zh-CN" w:bidi="ar"/>
        </w:rPr>
        <w:t xml:space="preserve">（注：供应商提供的响应文件应当使用磋商文件所提供响应文件格式（表格可按照同样格式扩 </w:t>
      </w:r>
    </w:p>
    <w:p w14:paraId="159DF50F">
      <w:pPr>
        <w:keepNext w:val="0"/>
        <w:keepLines w:val="0"/>
        <w:widowControl/>
        <w:suppressLineNumbers w:val="0"/>
        <w:jc w:val="left"/>
      </w:pPr>
      <w:r>
        <w:rPr>
          <w:rFonts w:hint="eastAsia" w:ascii="楷体" w:hAnsi="楷体" w:eastAsia="楷体" w:cs="楷体"/>
          <w:b/>
          <w:bCs/>
          <w:color w:val="000000"/>
          <w:kern w:val="0"/>
          <w:sz w:val="20"/>
          <w:szCs w:val="20"/>
          <w:lang w:val="en-US" w:eastAsia="zh-CN" w:bidi="ar"/>
        </w:rPr>
        <w:t>展）。未提供格式的，需要时由供应商用文字或者表格、图片等其它形式提供。响应文件目录自拟）</w:t>
      </w:r>
    </w:p>
    <w:p w14:paraId="32F4901B">
      <w:pPr>
        <w:pStyle w:val="2"/>
        <w:rPr>
          <w:rFonts w:hint="eastAsia"/>
          <w:lang w:eastAsia="zh-CN"/>
        </w:rPr>
      </w:pPr>
    </w:p>
    <w:p w14:paraId="7C161EAA">
      <w:pPr>
        <w:rPr>
          <w:rFonts w:hint="eastAsia"/>
          <w:lang w:eastAsia="zh-CN"/>
        </w:rPr>
      </w:pPr>
    </w:p>
    <w:p w14:paraId="0902B5DF">
      <w:pPr>
        <w:pStyle w:val="2"/>
        <w:rPr>
          <w:rFonts w:hint="eastAsia"/>
          <w:lang w:eastAsia="zh-CN"/>
        </w:rPr>
      </w:pPr>
    </w:p>
    <w:p w14:paraId="737977FD">
      <w:pPr>
        <w:rPr>
          <w:rFonts w:hint="eastAsia"/>
          <w:lang w:eastAsia="zh-CN"/>
        </w:rPr>
      </w:pPr>
    </w:p>
    <w:p w14:paraId="066FB4D7">
      <w:pPr>
        <w:pStyle w:val="2"/>
        <w:rPr>
          <w:rFonts w:hint="eastAsia"/>
          <w:lang w:eastAsia="zh-CN"/>
        </w:rPr>
      </w:pPr>
    </w:p>
    <w:p w14:paraId="02644B73">
      <w:pPr>
        <w:rPr>
          <w:rFonts w:hint="eastAsia"/>
          <w:lang w:eastAsia="zh-CN"/>
        </w:rPr>
      </w:pPr>
    </w:p>
    <w:p w14:paraId="0DA967FA">
      <w:pPr>
        <w:pStyle w:val="2"/>
        <w:rPr>
          <w:rFonts w:hint="eastAsia"/>
          <w:lang w:eastAsia="zh-CN"/>
        </w:rPr>
      </w:pPr>
    </w:p>
    <w:p w14:paraId="2B2A6EF9">
      <w:pPr>
        <w:rPr>
          <w:rFonts w:hint="eastAsia"/>
          <w:lang w:eastAsia="zh-CN"/>
        </w:rPr>
      </w:pPr>
    </w:p>
    <w:p w14:paraId="1E456895">
      <w:pPr>
        <w:rPr>
          <w:rFonts w:hint="eastAsia"/>
          <w:lang w:eastAsia="zh-CN"/>
        </w:rPr>
      </w:pPr>
    </w:p>
    <w:p w14:paraId="190DA4F0">
      <w:pPr>
        <w:pStyle w:val="2"/>
        <w:rPr>
          <w:rFonts w:hint="eastAsia"/>
          <w:lang w:eastAsia="zh-CN"/>
        </w:rPr>
      </w:pPr>
    </w:p>
    <w:p w14:paraId="7B6D69D4">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34C9F0A8">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13B2467E">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6EF4C25E">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1AB1E6C6">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4738CE10">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2C8F75F7">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278138B4">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54453C63">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425C9757">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1FFCFFA1">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0B6AFED5">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5938B824">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0D677D8F">
      <w:pPr>
        <w:numPr>
          <w:ilvl w:val="0"/>
          <w:numId w:val="0"/>
        </w:numPr>
        <w:spacing w:line="360" w:lineRule="auto"/>
        <w:ind w:right="1120" w:rightChars="0"/>
        <w:jc w:val="center"/>
        <w:rPr>
          <w:rFonts w:hint="eastAsia" w:ascii="宋体" w:hAnsi="宋体" w:eastAsia="宋体" w:cs="宋体"/>
          <w:b/>
          <w:bCs/>
          <w:sz w:val="28"/>
          <w:szCs w:val="28"/>
          <w:highlight w:val="none"/>
          <w:lang w:eastAsia="zh-CN"/>
        </w:rPr>
      </w:pPr>
    </w:p>
    <w:p w14:paraId="258696E5">
      <w:pPr>
        <w:numPr>
          <w:ilvl w:val="0"/>
          <w:numId w:val="0"/>
        </w:numPr>
        <w:spacing w:line="360" w:lineRule="auto"/>
        <w:ind w:right="1120" w:right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磋商申请</w:t>
      </w:r>
    </w:p>
    <w:p w14:paraId="617226A1">
      <w:pPr>
        <w:autoSpaceDE w:val="0"/>
        <w:autoSpaceDN w:val="0"/>
        <w:adjustRightInd w:val="0"/>
        <w:spacing w:line="360" w:lineRule="auto"/>
        <w:rPr>
          <w:rFonts w:hint="eastAsia" w:ascii="宋体" w:hAnsi="宋体" w:eastAsia="宋体" w:cs="宋体"/>
          <w:sz w:val="28"/>
          <w:szCs w:val="28"/>
          <w:highlight w:val="none"/>
          <w:lang w:val="zh-CN"/>
        </w:rPr>
      </w:pPr>
    </w:p>
    <w:p w14:paraId="64C7985B">
      <w:pPr>
        <w:autoSpaceDE w:val="0"/>
        <w:autoSpaceDN w:val="0"/>
        <w:adjustRightInd w:val="0"/>
        <w:spacing w:line="360" w:lineRule="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致：</w:t>
      </w:r>
      <w:r>
        <w:rPr>
          <w:rFonts w:hint="eastAsia" w:ascii="宋体" w:hAnsi="宋体" w:eastAsia="宋体" w:cs="宋体"/>
          <w:sz w:val="28"/>
          <w:szCs w:val="28"/>
          <w:highlight w:val="none"/>
          <w:u w:val="single"/>
          <w:lang w:val="zh-CN"/>
        </w:rPr>
        <w:t xml:space="preserve">                         </w:t>
      </w:r>
      <w:r>
        <w:rPr>
          <w:rFonts w:hint="eastAsia" w:ascii="宋体" w:hAnsi="宋体" w:eastAsia="宋体" w:cs="宋体"/>
          <w:sz w:val="28"/>
          <w:szCs w:val="28"/>
          <w:highlight w:val="none"/>
          <w:lang w:val="zh-CN"/>
        </w:rPr>
        <w:t>（项目单位）</w:t>
      </w:r>
    </w:p>
    <w:p w14:paraId="18F82095">
      <w:pPr>
        <w:autoSpaceDE w:val="0"/>
        <w:autoSpaceDN w:val="0"/>
        <w:adjustRightInd w:val="0"/>
        <w:spacing w:before="156" w:beforeLines="50" w:line="360" w:lineRule="auto"/>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根据贵方</w:t>
      </w:r>
      <w:r>
        <w:rPr>
          <w:rFonts w:hint="eastAsia" w:ascii="宋体" w:hAnsi="宋体" w:eastAsia="宋体" w:cs="宋体"/>
          <w:sz w:val="28"/>
          <w:szCs w:val="28"/>
          <w:highlight w:val="none"/>
          <w:u w:val="single"/>
          <w:lang w:val="zh-CN"/>
        </w:rPr>
        <w:t xml:space="preserve">   （项目名称） </w:t>
      </w:r>
      <w:r>
        <w:rPr>
          <w:rFonts w:hint="eastAsia" w:ascii="宋体" w:hAnsi="宋体" w:eastAsia="宋体" w:cs="宋体"/>
          <w:sz w:val="28"/>
          <w:szCs w:val="28"/>
          <w:highlight w:val="none"/>
          <w:lang w:val="zh-CN"/>
        </w:rPr>
        <w:t>的磋商文件，我方正式提交电子版响应文件。</w:t>
      </w:r>
    </w:p>
    <w:p w14:paraId="408C4ECA">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据此函，签字人兹同意如下：</w:t>
      </w:r>
    </w:p>
    <w:p w14:paraId="3367F724">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1、我单位提出的投标报价：</w:t>
      </w:r>
      <w:r>
        <w:rPr>
          <w:rFonts w:hint="eastAsia" w:ascii="宋体" w:hAnsi="宋体" w:eastAsia="宋体" w:cs="宋体"/>
          <w:sz w:val="28"/>
          <w:szCs w:val="28"/>
          <w:highlight w:val="none"/>
          <w:lang w:val="en-US" w:eastAsia="zh-CN"/>
        </w:rPr>
        <w:t>小写：</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元，大写：</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w:t>
      </w:r>
      <w:r>
        <w:rPr>
          <w:rFonts w:hint="eastAsia" w:ascii="宋体" w:hAnsi="宋体" w:eastAsia="宋体" w:cs="宋体"/>
          <w:sz w:val="28"/>
          <w:szCs w:val="28"/>
          <w:highlight w:val="none"/>
        </w:rPr>
        <w:t>。</w:t>
      </w:r>
    </w:p>
    <w:p w14:paraId="715AD369">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2、我们同意提供贵方可能要求的与本次磋商有关的任何证据或资料。</w:t>
      </w:r>
    </w:p>
    <w:p w14:paraId="3C48C2D9">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3、一旦我方成交，我方承诺将根据磋商文件与贵方签订书面合同，并严格履行合同义务。</w:t>
      </w:r>
    </w:p>
    <w:p w14:paraId="4AD2E7FF">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4、我方指派</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（姓名）为项目</w:t>
      </w:r>
      <w:r>
        <w:rPr>
          <w:rFonts w:hint="eastAsia" w:ascii="宋体" w:hAnsi="宋体" w:eastAsia="宋体" w:cs="宋体"/>
          <w:sz w:val="28"/>
          <w:szCs w:val="28"/>
          <w:highlight w:val="none"/>
          <w:lang w:val="en-US" w:eastAsia="zh-CN"/>
        </w:rPr>
        <w:t>负责人</w:t>
      </w:r>
      <w:r>
        <w:rPr>
          <w:rFonts w:hint="eastAsia" w:ascii="宋体" w:hAnsi="宋体" w:eastAsia="宋体" w:cs="宋体"/>
          <w:sz w:val="28"/>
          <w:szCs w:val="28"/>
          <w:highlight w:val="none"/>
        </w:rPr>
        <w:t>，保证于承诺的时间内完成本次发包范围内的任务，并交付贵方验收、使用。</w:t>
      </w:r>
    </w:p>
    <w:p w14:paraId="7D8393AE">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我方决不提供虚假材料谋取成交，决不采取不正当手段诋毁、排挤其他供应商，决不与采购人、其它供应商恶意串通，决不向采购人及磋商小组进行商业贿赂。如有违反，愿无条件接受贵方及相关管理部门的处罚。</w:t>
      </w:r>
    </w:p>
    <w:p w14:paraId="0E1EAFDA">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6、随本申请递交的磋商申请附录是本申请的组成部分，对我方构成约束力。</w:t>
      </w:r>
    </w:p>
    <w:p w14:paraId="70A14EF8">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7、与本申请有关的正式通讯地址为：</w:t>
      </w:r>
    </w:p>
    <w:p w14:paraId="4B5FFF94">
      <w:pPr>
        <w:spacing w:line="360" w:lineRule="auto"/>
        <w:ind w:firstLine="560" w:firstLineChars="200"/>
        <w:rPr>
          <w:rFonts w:hint="eastAsia" w:ascii="宋体" w:hAnsi="宋体" w:eastAsia="宋体" w:cs="宋体"/>
          <w:sz w:val="28"/>
          <w:szCs w:val="28"/>
          <w:highlight w:val="none"/>
        </w:rPr>
      </w:pPr>
    </w:p>
    <w:p w14:paraId="193C388E">
      <w:pPr>
        <w:spacing w:line="360" w:lineRule="auto"/>
        <w:ind w:firstLine="560" w:firstLineChars="200"/>
        <w:rPr>
          <w:rFonts w:hint="eastAsia" w:ascii="宋体" w:hAnsi="宋体" w:eastAsia="宋体" w:cs="宋体"/>
          <w:sz w:val="28"/>
          <w:szCs w:val="28"/>
          <w:highlight w:val="none"/>
        </w:rPr>
      </w:pPr>
    </w:p>
    <w:p w14:paraId="4BBC11E1">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p>
    <w:p w14:paraId="70A1CC57">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电   话：</w:t>
      </w:r>
      <w:r>
        <w:rPr>
          <w:rFonts w:hint="eastAsia" w:ascii="宋体" w:hAnsi="宋体" w:eastAsia="宋体" w:cs="宋体"/>
          <w:sz w:val="28"/>
          <w:szCs w:val="28"/>
          <w:highlight w:val="none"/>
          <w:u w:val="single"/>
        </w:rPr>
        <w:t xml:space="preserve">                       </w:t>
      </w:r>
    </w:p>
    <w:p w14:paraId="336CC48D">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传   真：</w:t>
      </w:r>
      <w:r>
        <w:rPr>
          <w:rFonts w:hint="eastAsia" w:ascii="宋体" w:hAnsi="宋体" w:eastAsia="宋体" w:cs="宋体"/>
          <w:sz w:val="28"/>
          <w:szCs w:val="28"/>
          <w:highlight w:val="none"/>
          <w:u w:val="single"/>
        </w:rPr>
        <w:t xml:space="preserve">                       </w:t>
      </w:r>
    </w:p>
    <w:p w14:paraId="40493527">
      <w:pPr>
        <w:spacing w:line="360" w:lineRule="auto"/>
        <w:ind w:firstLine="560" w:firstLineChars="200"/>
        <w:rPr>
          <w:rFonts w:hint="eastAsia" w:ascii="宋体" w:hAnsi="宋体" w:eastAsia="宋体" w:cs="宋体"/>
          <w:sz w:val="28"/>
          <w:szCs w:val="28"/>
          <w:highlight w:val="none"/>
        </w:rPr>
      </w:pPr>
    </w:p>
    <w:p w14:paraId="302A3D59">
      <w:pPr>
        <w:pStyle w:val="14"/>
        <w:rPr>
          <w:rFonts w:hint="eastAsia" w:ascii="宋体" w:hAnsi="宋体" w:eastAsia="宋体" w:cs="宋体"/>
          <w:sz w:val="28"/>
          <w:szCs w:val="28"/>
          <w:highlight w:val="none"/>
        </w:rPr>
      </w:pPr>
    </w:p>
    <w:p w14:paraId="237E2C37">
      <w:pPr>
        <w:pStyle w:val="14"/>
        <w:rPr>
          <w:rFonts w:hint="eastAsia" w:ascii="宋体" w:hAnsi="宋体" w:eastAsia="宋体" w:cs="宋体"/>
          <w:sz w:val="28"/>
          <w:szCs w:val="28"/>
          <w:highlight w:val="none"/>
        </w:rPr>
      </w:pPr>
    </w:p>
    <w:p w14:paraId="439DEEE4">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6CA90ED7">
      <w:pPr>
        <w:spacing w:before="50" w:beforeLines="0" w:after="156" w:afterLines="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法定代表人或其授权代表：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1014F1FA">
      <w:pPr>
        <w:spacing w:line="360" w:lineRule="auto"/>
        <w:jc w:val="center"/>
        <w:rPr>
          <w:rFonts w:hint="eastAsia" w:ascii="宋体" w:hAnsi="宋体" w:eastAsia="宋体" w:cs="宋体"/>
          <w:sz w:val="28"/>
          <w:szCs w:val="28"/>
          <w:highlight w:val="none"/>
        </w:rPr>
      </w:pPr>
    </w:p>
    <w:p w14:paraId="505501A0">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6D33A3FB">
      <w:pPr>
        <w:keepNext w:val="0"/>
        <w:keepLines w:val="0"/>
        <w:widowControl/>
        <w:suppressLineNumbers w:val="0"/>
        <w:jc w:val="left"/>
      </w:pPr>
    </w:p>
    <w:p w14:paraId="4DA9D41E">
      <w:pPr>
        <w:pStyle w:val="2"/>
        <w:rPr>
          <w:rFonts w:hint="eastAsia"/>
          <w:lang w:eastAsia="zh-CN"/>
        </w:rPr>
      </w:pPr>
    </w:p>
    <w:p w14:paraId="0E0C1EB2">
      <w:pPr>
        <w:rPr>
          <w:rFonts w:hint="eastAsia"/>
          <w:lang w:eastAsia="zh-CN"/>
        </w:rPr>
      </w:pPr>
    </w:p>
    <w:p w14:paraId="04123F20">
      <w:pPr>
        <w:pStyle w:val="2"/>
        <w:rPr>
          <w:rFonts w:hint="eastAsia"/>
          <w:lang w:eastAsia="zh-CN"/>
        </w:rPr>
      </w:pPr>
    </w:p>
    <w:p w14:paraId="72ED18B8">
      <w:pPr>
        <w:rPr>
          <w:rFonts w:hint="eastAsia"/>
          <w:lang w:eastAsia="zh-CN"/>
        </w:rPr>
      </w:pPr>
    </w:p>
    <w:p w14:paraId="64DEFE10">
      <w:pPr>
        <w:pStyle w:val="2"/>
        <w:rPr>
          <w:rFonts w:hint="eastAsia"/>
          <w:lang w:eastAsia="zh-CN"/>
        </w:rPr>
      </w:pPr>
    </w:p>
    <w:p w14:paraId="4CC2DD68">
      <w:pPr>
        <w:rPr>
          <w:rFonts w:hint="eastAsia"/>
          <w:lang w:eastAsia="zh-CN"/>
        </w:rPr>
      </w:pPr>
    </w:p>
    <w:p w14:paraId="33D72A56">
      <w:pPr>
        <w:pStyle w:val="2"/>
        <w:rPr>
          <w:rFonts w:hint="eastAsia"/>
          <w:lang w:eastAsia="zh-CN"/>
        </w:rPr>
      </w:pPr>
    </w:p>
    <w:p w14:paraId="0CBD4622">
      <w:pPr>
        <w:rPr>
          <w:rFonts w:hint="eastAsia"/>
          <w:lang w:eastAsia="zh-CN"/>
        </w:rPr>
      </w:pPr>
    </w:p>
    <w:p w14:paraId="132D3916">
      <w:pPr>
        <w:pStyle w:val="2"/>
        <w:rPr>
          <w:rFonts w:hint="eastAsia"/>
          <w:lang w:eastAsia="zh-CN"/>
        </w:rPr>
      </w:pPr>
    </w:p>
    <w:p w14:paraId="1FF59EBB">
      <w:pPr>
        <w:rPr>
          <w:rFonts w:hint="eastAsia"/>
          <w:lang w:eastAsia="zh-CN"/>
        </w:rPr>
      </w:pPr>
    </w:p>
    <w:p w14:paraId="5F2CA6CB">
      <w:pPr>
        <w:pStyle w:val="2"/>
        <w:rPr>
          <w:rFonts w:hint="eastAsia"/>
          <w:lang w:eastAsia="zh-CN"/>
        </w:rPr>
      </w:pPr>
    </w:p>
    <w:p w14:paraId="7D10B1D5">
      <w:pPr>
        <w:rPr>
          <w:rFonts w:hint="eastAsia"/>
          <w:lang w:eastAsia="zh-CN"/>
        </w:rPr>
      </w:pPr>
    </w:p>
    <w:p w14:paraId="6C58B9F2">
      <w:pPr>
        <w:pStyle w:val="2"/>
        <w:rPr>
          <w:rFonts w:hint="eastAsia"/>
          <w:lang w:eastAsia="zh-CN"/>
        </w:rPr>
      </w:pPr>
    </w:p>
    <w:p w14:paraId="6A7DBE98">
      <w:pPr>
        <w:rPr>
          <w:rFonts w:hint="eastAsia"/>
          <w:lang w:eastAsia="zh-CN"/>
        </w:rPr>
      </w:pPr>
    </w:p>
    <w:p w14:paraId="4436E0E7">
      <w:pPr>
        <w:pStyle w:val="2"/>
        <w:rPr>
          <w:rFonts w:hint="eastAsia"/>
          <w:lang w:eastAsia="zh-CN"/>
        </w:rPr>
      </w:pPr>
    </w:p>
    <w:p w14:paraId="6D00D70A">
      <w:pPr>
        <w:rPr>
          <w:rFonts w:hint="eastAsia"/>
          <w:lang w:eastAsia="zh-CN"/>
        </w:rPr>
      </w:pPr>
    </w:p>
    <w:p w14:paraId="09D24268">
      <w:pPr>
        <w:rPr>
          <w:rFonts w:hint="eastAsia"/>
          <w:lang w:eastAsia="zh-CN"/>
        </w:rPr>
      </w:pPr>
    </w:p>
    <w:p w14:paraId="359363AF">
      <w:pPr>
        <w:pStyle w:val="5"/>
        <w:spacing w:line="360" w:lineRule="auto"/>
        <w:jc w:val="center"/>
        <w:rPr>
          <w:rFonts w:hint="eastAsia" w:ascii="宋体" w:hAnsi="宋体" w:eastAsia="宋体" w:cs="宋体"/>
          <w:sz w:val="28"/>
          <w:szCs w:val="28"/>
          <w:highlight w:val="none"/>
          <w:lang w:val="zh-CN" w:eastAsia="zh-CN"/>
        </w:rPr>
      </w:pPr>
      <w:bookmarkStart w:id="63" w:name="_Toc23012"/>
      <w:r>
        <w:rPr>
          <w:rFonts w:hint="eastAsia" w:ascii="宋体" w:hAnsi="宋体" w:eastAsia="宋体" w:cs="宋体"/>
          <w:sz w:val="28"/>
          <w:szCs w:val="28"/>
          <w:highlight w:val="none"/>
        </w:rPr>
        <w:t>（二）磋商</w:t>
      </w:r>
      <w:bookmarkEnd w:id="63"/>
      <w:r>
        <w:rPr>
          <w:rFonts w:hint="eastAsia" w:ascii="宋体" w:hAnsi="宋体" w:cs="宋体"/>
          <w:sz w:val="28"/>
          <w:szCs w:val="28"/>
          <w:highlight w:val="none"/>
          <w:lang w:eastAsia="zh-CN"/>
        </w:rPr>
        <w:t>一览表</w:t>
      </w:r>
    </w:p>
    <w:p w14:paraId="2CB9436C">
      <w:pPr>
        <w:spacing w:after="156" w:afterLines="50" w:line="360" w:lineRule="auto"/>
        <w:jc w:val="left"/>
        <w:rPr>
          <w:rFonts w:hint="eastAsia" w:eastAsia="宋体"/>
          <w:lang w:eastAsia="zh-CN"/>
        </w:rPr>
      </w:pPr>
      <w:r>
        <w:rPr>
          <w:rFonts w:hint="eastAsia" w:ascii="宋体" w:hAnsi="宋体" w:eastAsia="宋体" w:cs="宋体"/>
          <w:sz w:val="28"/>
          <w:szCs w:val="28"/>
          <w:highlight w:val="none"/>
        </w:rPr>
        <w:t xml:space="preserve">项目名称：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项目编号：</w:t>
      </w:r>
    </w:p>
    <w:p w14:paraId="649872A7">
      <w:pPr>
        <w:spacing w:after="156" w:afterLines="50" w:line="360" w:lineRule="auto"/>
        <w:jc w:val="left"/>
        <w:rPr>
          <w:rFonts w:hint="eastAsia" w:ascii="宋体" w:hAnsi="宋体" w:eastAsia="宋体" w:cs="宋体"/>
          <w:b/>
          <w:sz w:val="28"/>
          <w:szCs w:val="28"/>
          <w:highlight w:val="none"/>
        </w:rPr>
      </w:pPr>
      <w:r>
        <w:rPr>
          <w:rFonts w:hint="eastAsia" w:ascii="宋体" w:hAnsi="宋体" w:eastAsia="宋体" w:cs="宋体"/>
          <w:sz w:val="28"/>
          <w:szCs w:val="28"/>
          <w:highlight w:val="none"/>
        </w:rPr>
        <w:t xml:space="preserve">                                          报价单位：人民币元</w:t>
      </w:r>
    </w:p>
    <w:tbl>
      <w:tblPr>
        <w:tblStyle w:val="15"/>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2758"/>
        <w:gridCol w:w="4613"/>
      </w:tblGrid>
      <w:tr w14:paraId="650C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5D5C959A">
            <w:pPr>
              <w:pStyle w:val="1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供应商全称</w:t>
            </w:r>
          </w:p>
        </w:tc>
        <w:tc>
          <w:tcPr>
            <w:tcW w:w="7371" w:type="dxa"/>
            <w:gridSpan w:val="2"/>
            <w:noWrap w:val="0"/>
            <w:vAlign w:val="center"/>
          </w:tcPr>
          <w:p w14:paraId="6CC08664">
            <w:pPr>
              <w:pStyle w:val="10"/>
              <w:spacing w:line="360" w:lineRule="auto"/>
              <w:rPr>
                <w:rFonts w:hint="eastAsia" w:ascii="宋体" w:hAnsi="宋体" w:eastAsia="宋体" w:cs="宋体"/>
                <w:color w:val="000000"/>
                <w:sz w:val="24"/>
                <w:szCs w:val="24"/>
                <w:highlight w:val="none"/>
                <w:lang w:val="en-US" w:eastAsia="zh-CN"/>
              </w:rPr>
            </w:pPr>
          </w:p>
        </w:tc>
      </w:tr>
      <w:tr w14:paraId="6CCE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045D222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总报价</w:t>
            </w:r>
          </w:p>
        </w:tc>
        <w:tc>
          <w:tcPr>
            <w:tcW w:w="2758" w:type="dxa"/>
            <w:tcBorders>
              <w:bottom w:val="single" w:color="auto" w:sz="4" w:space="0"/>
            </w:tcBorders>
            <w:noWrap w:val="0"/>
            <w:vAlign w:val="center"/>
          </w:tcPr>
          <w:p w14:paraId="6957FBA9">
            <w:pPr>
              <w:pStyle w:val="10"/>
              <w:spacing w:line="360" w:lineRule="auto"/>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小写：</w:t>
            </w:r>
            <w:r>
              <w:rPr>
                <w:rFonts w:hint="eastAsia" w:hAnsi="宋体" w:cs="宋体"/>
                <w:color w:val="000000"/>
                <w:sz w:val="24"/>
                <w:szCs w:val="24"/>
                <w:highlight w:val="none"/>
                <w:lang w:val="en-US" w:eastAsia="zh-CN"/>
              </w:rPr>
              <w:t xml:space="preserve">        元</w:t>
            </w:r>
          </w:p>
        </w:tc>
        <w:tc>
          <w:tcPr>
            <w:tcW w:w="4613" w:type="dxa"/>
            <w:tcBorders>
              <w:bottom w:val="single" w:color="auto" w:sz="4" w:space="0"/>
            </w:tcBorders>
            <w:noWrap w:val="0"/>
            <w:vAlign w:val="center"/>
          </w:tcPr>
          <w:p w14:paraId="24EB7CCC">
            <w:pPr>
              <w:pStyle w:val="10"/>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大写：</w:t>
            </w:r>
          </w:p>
        </w:tc>
      </w:tr>
      <w:tr w14:paraId="4857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023" w:type="dxa"/>
            <w:noWrap w:val="0"/>
            <w:vAlign w:val="center"/>
          </w:tcPr>
          <w:p w14:paraId="5196733B">
            <w:pPr>
              <w:pStyle w:val="1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响应文件有效期</w:t>
            </w:r>
          </w:p>
        </w:tc>
        <w:tc>
          <w:tcPr>
            <w:tcW w:w="7371" w:type="dxa"/>
            <w:gridSpan w:val="2"/>
            <w:noWrap w:val="0"/>
            <w:vAlign w:val="center"/>
          </w:tcPr>
          <w:p w14:paraId="57B56D8A">
            <w:pPr>
              <w:pStyle w:val="10"/>
              <w:spacing w:line="360" w:lineRule="auto"/>
              <w:jc w:val="left"/>
              <w:rPr>
                <w:rFonts w:hint="eastAsia" w:ascii="宋体" w:hAnsi="宋体" w:eastAsia="宋体" w:cs="宋体"/>
                <w:color w:val="00CCFF"/>
                <w:sz w:val="24"/>
                <w:szCs w:val="24"/>
                <w:highlight w:val="none"/>
                <w:lang w:val="en-US" w:eastAsia="zh-CN"/>
              </w:rPr>
            </w:pPr>
          </w:p>
        </w:tc>
      </w:tr>
      <w:tr w14:paraId="2105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559AD7DA">
            <w:pPr>
              <w:pStyle w:val="1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7371" w:type="dxa"/>
            <w:gridSpan w:val="2"/>
            <w:noWrap w:val="0"/>
            <w:vAlign w:val="center"/>
          </w:tcPr>
          <w:p w14:paraId="3DF32A0A">
            <w:pPr>
              <w:pStyle w:val="10"/>
              <w:spacing w:line="360" w:lineRule="auto"/>
              <w:jc w:val="left"/>
              <w:rPr>
                <w:rFonts w:hint="eastAsia" w:ascii="宋体" w:hAnsi="宋体" w:eastAsia="宋体" w:cs="宋体"/>
                <w:color w:val="00CCFF"/>
                <w:sz w:val="24"/>
                <w:szCs w:val="24"/>
                <w:highlight w:val="none"/>
                <w:lang w:val="en-US" w:eastAsia="zh-CN"/>
              </w:rPr>
            </w:pPr>
          </w:p>
        </w:tc>
      </w:tr>
      <w:tr w14:paraId="3291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7A51D210">
            <w:pPr>
              <w:pStyle w:val="1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7371" w:type="dxa"/>
            <w:gridSpan w:val="2"/>
            <w:noWrap w:val="0"/>
            <w:vAlign w:val="center"/>
          </w:tcPr>
          <w:p w14:paraId="30C16EE5">
            <w:pPr>
              <w:pStyle w:val="10"/>
              <w:spacing w:line="360" w:lineRule="auto"/>
              <w:jc w:val="left"/>
              <w:rPr>
                <w:rFonts w:hint="eastAsia" w:ascii="宋体" w:hAnsi="宋体" w:eastAsia="宋体" w:cs="宋体"/>
                <w:color w:val="00CCFF"/>
                <w:sz w:val="24"/>
                <w:szCs w:val="24"/>
                <w:highlight w:val="none"/>
                <w:lang w:val="en-US" w:eastAsia="zh-CN"/>
              </w:rPr>
            </w:pPr>
          </w:p>
        </w:tc>
      </w:tr>
      <w:tr w14:paraId="2CDD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64680137">
            <w:pPr>
              <w:pStyle w:val="10"/>
              <w:spacing w:line="360" w:lineRule="auto"/>
              <w:ind w:firstLine="42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w:t>
            </w:r>
          </w:p>
        </w:tc>
        <w:tc>
          <w:tcPr>
            <w:tcW w:w="7371" w:type="dxa"/>
            <w:gridSpan w:val="2"/>
            <w:noWrap w:val="0"/>
            <w:vAlign w:val="center"/>
          </w:tcPr>
          <w:p w14:paraId="6D86C6D2">
            <w:pPr>
              <w:pStyle w:val="10"/>
              <w:spacing w:line="360" w:lineRule="auto"/>
              <w:jc w:val="left"/>
              <w:rPr>
                <w:rFonts w:hint="eastAsia" w:ascii="宋体" w:hAnsi="宋体" w:eastAsia="宋体" w:cs="宋体"/>
                <w:b/>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供应商在磋商文件中规定的实质性要求和条件的基础上，可做出其他有利于采购人的承诺。此类承诺可在本表中予以补充填写。</w:t>
            </w:r>
          </w:p>
        </w:tc>
      </w:tr>
    </w:tbl>
    <w:p w14:paraId="4466EB45">
      <w:pPr>
        <w:spacing w:line="360" w:lineRule="auto"/>
        <w:ind w:firstLine="560" w:firstLineChars="200"/>
        <w:rPr>
          <w:rFonts w:hint="eastAsia" w:ascii="宋体" w:hAnsi="宋体" w:eastAsia="宋体" w:cs="宋体"/>
          <w:sz w:val="28"/>
          <w:szCs w:val="28"/>
          <w:highlight w:val="none"/>
        </w:rPr>
      </w:pPr>
    </w:p>
    <w:p w14:paraId="097D8D85">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2D8B7AAF">
      <w:pPr>
        <w:spacing w:before="50" w:beforeLines="0" w:after="156" w:afterLines="5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法定代表人或其授权代表：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646F588C">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F5EE642">
      <w:pPr>
        <w:pStyle w:val="2"/>
        <w:rPr>
          <w:rFonts w:hint="eastAsia"/>
          <w:lang w:eastAsia="zh-CN"/>
        </w:rPr>
      </w:pPr>
    </w:p>
    <w:p w14:paraId="5391646D">
      <w:pPr>
        <w:rPr>
          <w:rFonts w:hint="eastAsia"/>
          <w:lang w:eastAsia="zh-CN"/>
        </w:rPr>
      </w:pPr>
    </w:p>
    <w:p w14:paraId="10B50858">
      <w:pPr>
        <w:pStyle w:val="2"/>
        <w:rPr>
          <w:rFonts w:hint="eastAsia"/>
          <w:lang w:eastAsia="zh-CN"/>
        </w:rPr>
      </w:pPr>
    </w:p>
    <w:p w14:paraId="0EE99058">
      <w:pPr>
        <w:rPr>
          <w:rFonts w:hint="eastAsia"/>
          <w:lang w:eastAsia="zh-CN"/>
        </w:rPr>
      </w:pPr>
    </w:p>
    <w:p w14:paraId="3F5360A3">
      <w:pPr>
        <w:jc w:val="both"/>
        <w:rPr>
          <w:rStyle w:val="19"/>
          <w:rFonts w:hint="eastAsia" w:ascii="宋体" w:hAnsi="宋体" w:eastAsia="宋体" w:cs="宋体"/>
          <w:sz w:val="28"/>
          <w:szCs w:val="28"/>
          <w:highlight w:val="none"/>
        </w:rPr>
        <w:sectPr>
          <w:footerReference r:id="rId4" w:type="default"/>
          <w:pgSz w:w="11906" w:h="16838"/>
          <w:pgMar w:top="1440" w:right="1800" w:bottom="1440" w:left="1800" w:header="851" w:footer="992" w:gutter="0"/>
          <w:pgNumType w:fmt="decimal"/>
          <w:cols w:space="425" w:num="1"/>
          <w:docGrid w:type="lines" w:linePitch="312" w:charSpace="0"/>
        </w:sectPr>
      </w:pPr>
      <w:bookmarkStart w:id="64" w:name="_Toc25075"/>
    </w:p>
    <w:p w14:paraId="20A4AD19">
      <w:pPr>
        <w:pStyle w:val="5"/>
        <w:spacing w:line="360" w:lineRule="auto"/>
        <w:jc w:val="both"/>
        <w:rPr>
          <w:rFonts w:hint="eastAsia" w:ascii="宋体" w:hAnsi="宋体" w:eastAsia="宋体" w:cs="宋体"/>
          <w:sz w:val="28"/>
          <w:szCs w:val="28"/>
          <w:highlight w:val="none"/>
        </w:rPr>
      </w:pPr>
      <w:r>
        <w:rPr>
          <w:rFonts w:hint="eastAsia" w:ascii="宋体" w:hAnsi="宋体" w:cs="宋体"/>
          <w:sz w:val="28"/>
          <w:szCs w:val="28"/>
          <w:highlight w:val="none"/>
          <w:lang w:eastAsia="zh-CN"/>
        </w:rPr>
        <w:t>（三）</w:t>
      </w:r>
      <w:r>
        <w:rPr>
          <w:rFonts w:hint="eastAsia" w:ascii="宋体" w:hAnsi="宋体" w:eastAsia="宋体" w:cs="宋体"/>
          <w:sz w:val="28"/>
          <w:szCs w:val="28"/>
          <w:highlight w:val="none"/>
        </w:rPr>
        <w:t>法定代表人身份证明或附有法定代表人身份证明的授权书</w:t>
      </w:r>
    </w:p>
    <w:p w14:paraId="23795E99">
      <w:pPr>
        <w:spacing w:line="360" w:lineRule="auto"/>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法定代表人身份证明</w:t>
      </w:r>
    </w:p>
    <w:p w14:paraId="1CB742D7">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w:t>
      </w:r>
      <w:r>
        <w:rPr>
          <w:rFonts w:hint="eastAsia" w:ascii="宋体" w:hAnsi="宋体" w:eastAsia="宋体" w:cs="宋体"/>
          <w:sz w:val="28"/>
          <w:szCs w:val="28"/>
          <w:highlight w:val="none"/>
          <w:u w:val="single"/>
        </w:rPr>
        <w:t xml:space="preserve">                                             </w:t>
      </w:r>
    </w:p>
    <w:p w14:paraId="0A2172E4">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单位性质：</w:t>
      </w:r>
      <w:r>
        <w:rPr>
          <w:rFonts w:hint="eastAsia" w:ascii="宋体" w:hAnsi="宋体" w:eastAsia="宋体" w:cs="宋体"/>
          <w:sz w:val="28"/>
          <w:szCs w:val="28"/>
          <w:highlight w:val="none"/>
          <w:u w:val="single"/>
        </w:rPr>
        <w:t xml:space="preserve">                                             </w:t>
      </w:r>
    </w:p>
    <w:p w14:paraId="2DC3D80F">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p>
    <w:p w14:paraId="465821F6">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成立时间：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68A4E94A">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经营期限：</w:t>
      </w:r>
      <w:r>
        <w:rPr>
          <w:rFonts w:hint="eastAsia" w:ascii="宋体" w:hAnsi="宋体" w:eastAsia="宋体" w:cs="宋体"/>
          <w:sz w:val="28"/>
          <w:szCs w:val="28"/>
          <w:highlight w:val="none"/>
          <w:u w:val="single"/>
        </w:rPr>
        <w:t xml:space="preserve">                                             </w:t>
      </w:r>
    </w:p>
    <w:p w14:paraId="7332E0CC">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姓    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性     别：</w:t>
      </w:r>
      <w:r>
        <w:rPr>
          <w:rFonts w:hint="eastAsia" w:ascii="宋体" w:hAnsi="宋体" w:eastAsia="宋体" w:cs="宋体"/>
          <w:sz w:val="28"/>
          <w:szCs w:val="28"/>
          <w:highlight w:val="none"/>
          <w:u w:val="single"/>
        </w:rPr>
        <w:t xml:space="preserve">              </w:t>
      </w:r>
    </w:p>
    <w:p w14:paraId="7937FC6E">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年    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职     务：</w:t>
      </w:r>
      <w:r>
        <w:rPr>
          <w:rFonts w:hint="eastAsia" w:ascii="宋体" w:hAnsi="宋体" w:eastAsia="宋体" w:cs="宋体"/>
          <w:sz w:val="28"/>
          <w:szCs w:val="28"/>
          <w:highlight w:val="none"/>
          <w:u w:val="single"/>
        </w:rPr>
        <w:t xml:space="preserve">              </w:t>
      </w:r>
    </w:p>
    <w:p w14:paraId="102226A1">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（供应商）的法定代表人。</w:t>
      </w:r>
    </w:p>
    <w:p w14:paraId="23582079">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14:paraId="7047C155">
      <w:pPr>
        <w:spacing w:line="360" w:lineRule="auto"/>
        <w:ind w:firstLine="420"/>
        <w:rPr>
          <w:rFonts w:hint="eastAsia" w:ascii="宋体" w:hAnsi="宋体" w:eastAsia="宋体" w:cs="宋体"/>
          <w:sz w:val="28"/>
          <w:szCs w:val="28"/>
          <w:highlight w:val="none"/>
        </w:rPr>
      </w:pPr>
    </w:p>
    <w:p w14:paraId="4CD02D35">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附：法定代表人身份证复印件正反面</w:t>
      </w:r>
    </w:p>
    <w:p w14:paraId="76AC5A87">
      <w:pPr>
        <w:spacing w:line="360" w:lineRule="auto"/>
        <w:rPr>
          <w:rFonts w:hint="eastAsia" w:ascii="宋体" w:hAnsi="宋体" w:eastAsia="宋体" w:cs="宋体"/>
          <w:sz w:val="28"/>
          <w:szCs w:val="28"/>
          <w:highlight w:val="none"/>
        </w:rPr>
      </w:pPr>
    </w:p>
    <w:p w14:paraId="77A01E87">
      <w:pPr>
        <w:rPr>
          <w:rFonts w:hint="eastAsia" w:ascii="宋体" w:hAnsi="宋体" w:eastAsia="宋体" w:cs="宋体"/>
          <w:sz w:val="28"/>
          <w:szCs w:val="28"/>
          <w:highlight w:val="none"/>
        </w:rPr>
      </w:pPr>
    </w:p>
    <w:p w14:paraId="2483DCC9">
      <w:pPr>
        <w:pStyle w:val="2"/>
        <w:rPr>
          <w:rFonts w:hint="eastAsia"/>
        </w:rPr>
      </w:pPr>
    </w:p>
    <w:p w14:paraId="5F9397C3">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26C8F8E9">
      <w:pPr>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日 期：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日  </w:t>
      </w:r>
    </w:p>
    <w:p w14:paraId="170FD91C">
      <w:pPr>
        <w:spacing w:line="360" w:lineRule="auto"/>
        <w:jc w:val="center"/>
        <w:rPr>
          <w:rFonts w:hint="eastAsia" w:ascii="宋体" w:hAnsi="宋体" w:eastAsia="宋体" w:cs="宋体"/>
          <w:b/>
          <w:bCs/>
          <w:sz w:val="28"/>
          <w:szCs w:val="28"/>
          <w:highlight w:val="none"/>
          <w:lang w:val="zh-CN"/>
        </w:rPr>
      </w:pPr>
    </w:p>
    <w:p w14:paraId="11A49256">
      <w:pPr>
        <w:spacing w:line="360" w:lineRule="auto"/>
        <w:jc w:val="center"/>
        <w:rPr>
          <w:rFonts w:hint="eastAsia" w:ascii="宋体" w:hAnsi="宋体" w:eastAsia="宋体" w:cs="宋体"/>
          <w:b/>
          <w:bCs/>
          <w:sz w:val="28"/>
          <w:szCs w:val="28"/>
          <w:highlight w:val="none"/>
          <w:lang w:val="zh-CN"/>
        </w:rPr>
      </w:pPr>
    </w:p>
    <w:p w14:paraId="2505971B">
      <w:pPr>
        <w:spacing w:line="360" w:lineRule="auto"/>
        <w:jc w:val="center"/>
        <w:rPr>
          <w:rFonts w:hint="eastAsia" w:ascii="宋体" w:hAnsi="宋体" w:eastAsia="宋体" w:cs="宋体"/>
          <w:b/>
          <w:bCs/>
          <w:sz w:val="28"/>
          <w:szCs w:val="28"/>
          <w:highlight w:val="none"/>
          <w:lang w:val="zh-CN"/>
        </w:rPr>
      </w:pPr>
    </w:p>
    <w:p w14:paraId="65EA0FD9">
      <w:pPr>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rPr>
        <w:t>法定代表人</w:t>
      </w:r>
      <w:r>
        <w:rPr>
          <w:rFonts w:hint="eastAsia" w:ascii="宋体" w:hAnsi="宋体" w:eastAsia="宋体" w:cs="宋体"/>
          <w:b/>
          <w:bCs/>
          <w:sz w:val="28"/>
          <w:szCs w:val="28"/>
          <w:highlight w:val="none"/>
          <w:lang w:val="zh-CN"/>
        </w:rPr>
        <w:t>授权委托书</w:t>
      </w:r>
    </w:p>
    <w:p w14:paraId="377310CA">
      <w:pPr>
        <w:pStyle w:val="10"/>
        <w:adjustRightInd w:val="0"/>
        <w:snapToGrid w:val="0"/>
        <w:spacing w:line="360" w:lineRule="auto"/>
        <w:rPr>
          <w:rFonts w:hint="eastAsia" w:ascii="宋体" w:hAnsi="宋体" w:eastAsia="宋体" w:cs="宋体"/>
          <w:sz w:val="28"/>
          <w:szCs w:val="28"/>
          <w:highlight w:val="none"/>
        </w:rPr>
      </w:pPr>
    </w:p>
    <w:p w14:paraId="60DB308D">
      <w:pPr>
        <w:pStyle w:val="10"/>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本授权委托书声明：我</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(姓名)系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(供应商名称)的法定代表人，现授权委托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(姓名)为我公司本次磋商采购活动的授权代表，参加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项目的磋商采购活动。授权代表在磋商、合同签订过程中所签署的一切文件和处理与之有关的一切事务，我均予以承认。</w:t>
      </w:r>
    </w:p>
    <w:p w14:paraId="21F44AF5">
      <w:pPr>
        <w:pStyle w:val="10"/>
        <w:adjustRightInd w:val="0"/>
        <w:snapToGrid w:val="0"/>
        <w:spacing w:line="360" w:lineRule="auto"/>
        <w:ind w:left="412"/>
        <w:rPr>
          <w:rFonts w:hint="eastAsia" w:ascii="宋体" w:hAnsi="宋体" w:eastAsia="宋体" w:cs="宋体"/>
          <w:sz w:val="28"/>
          <w:szCs w:val="28"/>
          <w:highlight w:val="none"/>
        </w:rPr>
      </w:pPr>
      <w:r>
        <w:rPr>
          <w:rFonts w:hint="eastAsia" w:ascii="宋体" w:hAnsi="宋体" w:eastAsia="宋体" w:cs="宋体"/>
          <w:sz w:val="28"/>
          <w:szCs w:val="28"/>
          <w:highlight w:val="none"/>
        </w:rPr>
        <w:t>授权代表无转委托权。特此委托。</w:t>
      </w:r>
    </w:p>
    <w:p w14:paraId="41050A27">
      <w:pPr>
        <w:pStyle w:val="10"/>
        <w:adjustRightInd w:val="0"/>
        <w:snapToGrid w:val="0"/>
        <w:spacing w:line="360" w:lineRule="auto"/>
        <w:ind w:left="412"/>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授权代表（姓名）：       性别：        </w:t>
      </w:r>
      <w:r>
        <w:rPr>
          <w:rFonts w:hint="eastAsia" w:hAnsi="宋体" w:cs="宋体"/>
          <w:sz w:val="28"/>
          <w:szCs w:val="28"/>
          <w:highlight w:val="none"/>
          <w:lang w:val="en-US" w:eastAsia="zh-CN"/>
        </w:rPr>
        <w:t xml:space="preserve">   </w:t>
      </w:r>
      <w:r>
        <w:rPr>
          <w:rFonts w:hint="eastAsia" w:ascii="宋体" w:hAnsi="宋体" w:eastAsia="宋体" w:cs="宋体"/>
          <w:sz w:val="28"/>
          <w:szCs w:val="28"/>
          <w:highlight w:val="none"/>
        </w:rPr>
        <w:t>年龄：</w:t>
      </w:r>
    </w:p>
    <w:p w14:paraId="6B24FA32">
      <w:pPr>
        <w:pStyle w:val="10"/>
        <w:adjustRightInd w:val="0"/>
        <w:snapToGrid w:val="0"/>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单     位：             部门：           职务：</w:t>
      </w:r>
    </w:p>
    <w:p w14:paraId="07905574">
      <w:pPr>
        <w:pStyle w:val="10"/>
        <w:adjustRightInd w:val="0"/>
        <w:snapToGrid w:val="0"/>
        <w:spacing w:line="360" w:lineRule="auto"/>
        <w:ind w:firstLine="420"/>
        <w:rPr>
          <w:rFonts w:hint="eastAsia" w:ascii="宋体" w:hAnsi="宋体" w:eastAsia="宋体" w:cs="宋体"/>
          <w:sz w:val="28"/>
          <w:szCs w:val="28"/>
          <w:highlight w:val="none"/>
        </w:rPr>
      </w:pPr>
    </w:p>
    <w:p w14:paraId="79C1E2A6">
      <w:pPr>
        <w:pStyle w:val="10"/>
        <w:adjustRightInd w:val="0"/>
        <w:snapToGrid w:val="0"/>
        <w:spacing w:line="360" w:lineRule="auto"/>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附：授权代表身份证复印件正反面</w:t>
      </w:r>
    </w:p>
    <w:p w14:paraId="5DC15983">
      <w:pPr>
        <w:pStyle w:val="10"/>
        <w:adjustRightInd w:val="0"/>
        <w:snapToGrid w:val="0"/>
        <w:spacing w:line="360" w:lineRule="auto"/>
        <w:ind w:firstLine="420"/>
        <w:rPr>
          <w:rFonts w:hint="eastAsia" w:ascii="宋体" w:hAnsi="宋体" w:eastAsia="宋体" w:cs="宋体"/>
          <w:sz w:val="28"/>
          <w:szCs w:val="28"/>
          <w:highlight w:val="none"/>
        </w:rPr>
      </w:pPr>
    </w:p>
    <w:p w14:paraId="094740AF">
      <w:pPr>
        <w:pStyle w:val="10"/>
        <w:adjustRightInd w:val="0"/>
        <w:snapToGrid w:val="0"/>
        <w:spacing w:line="360" w:lineRule="auto"/>
        <w:ind w:firstLine="420"/>
        <w:rPr>
          <w:rFonts w:hint="eastAsia" w:ascii="宋体" w:hAnsi="宋体" w:eastAsia="宋体" w:cs="宋体"/>
          <w:sz w:val="28"/>
          <w:szCs w:val="28"/>
          <w:highlight w:val="none"/>
        </w:rPr>
      </w:pPr>
    </w:p>
    <w:p w14:paraId="3D43906D">
      <w:pPr>
        <w:pStyle w:val="10"/>
        <w:adjustRightInd w:val="0"/>
        <w:snapToGrid w:val="0"/>
        <w:spacing w:line="360" w:lineRule="auto"/>
        <w:ind w:firstLine="420"/>
        <w:rPr>
          <w:rFonts w:hint="eastAsia" w:ascii="宋体" w:hAnsi="宋体" w:eastAsia="宋体" w:cs="宋体"/>
          <w:sz w:val="28"/>
          <w:szCs w:val="28"/>
          <w:highlight w:val="none"/>
        </w:rPr>
      </w:pPr>
    </w:p>
    <w:p w14:paraId="0793D235">
      <w:pPr>
        <w:pStyle w:val="10"/>
        <w:adjustRightInd w:val="0"/>
        <w:snapToGrid w:val="0"/>
        <w:spacing w:line="360" w:lineRule="auto"/>
        <w:ind w:firstLine="420"/>
        <w:rPr>
          <w:rFonts w:hint="eastAsia" w:ascii="宋体" w:hAnsi="宋体" w:eastAsia="宋体" w:cs="宋体"/>
          <w:sz w:val="28"/>
          <w:szCs w:val="28"/>
          <w:highlight w:val="none"/>
        </w:rPr>
      </w:pPr>
    </w:p>
    <w:p w14:paraId="7FCE3B49">
      <w:pPr>
        <w:pStyle w:val="10"/>
        <w:adjustRightInd w:val="0"/>
        <w:snapToGrid w:val="0"/>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val="en-US" w:eastAsia="zh-CN"/>
        </w:rPr>
        <w:t xml:space="preserve">              </w:t>
      </w:r>
      <w:r>
        <w:rPr>
          <w:rFonts w:hint="eastAsia"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 xml:space="preserve"> (盖单位章)</w:t>
      </w:r>
    </w:p>
    <w:p w14:paraId="73A457C0">
      <w:pPr>
        <w:pStyle w:val="10"/>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val="en-US" w:eastAsia="zh-CN"/>
        </w:rPr>
        <w:t xml:space="preserve">                     </w:t>
      </w:r>
      <w:r>
        <w:rPr>
          <w:rFonts w:hint="eastAsia"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0CEEB19A">
      <w:pPr>
        <w:pStyle w:val="10"/>
        <w:adjustRightInd w:val="0"/>
        <w:snapToGrid w:val="0"/>
        <w:spacing w:line="360" w:lineRule="auto"/>
        <w:ind w:right="42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授权代表</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val="en-US" w:eastAsia="zh-CN"/>
        </w:rPr>
        <w:t xml:space="preserve">                         </w:t>
      </w:r>
      <w:r>
        <w:rPr>
          <w:rFonts w:hint="eastAsia" w:hAnsi="宋体" w:cs="宋体"/>
          <w:sz w:val="28"/>
          <w:szCs w:val="28"/>
          <w:highlight w:val="none"/>
          <w:u w:val="single"/>
          <w:lang w:val="en-US" w:eastAsia="zh-CN"/>
        </w:rPr>
        <w:t xml:space="preserve"> </w:t>
      </w:r>
      <w:r>
        <w:rPr>
          <w:rFonts w:hint="eastAsia" w:ascii="宋体" w:hAnsi="宋体" w:eastAsia="宋体" w:cs="宋体"/>
          <w:sz w:val="28"/>
          <w:szCs w:val="28"/>
          <w:highlight w:val="none"/>
        </w:rPr>
        <w:t>（签字或盖章）</w:t>
      </w:r>
    </w:p>
    <w:p w14:paraId="32073F2A">
      <w:pPr>
        <w:pStyle w:val="10"/>
        <w:adjustRightInd w:val="0"/>
        <w:snapToGrid w:val="0"/>
        <w:spacing w:line="360" w:lineRule="auto"/>
        <w:ind w:right="420" w:firstLine="560" w:firstLineChars="200"/>
        <w:rPr>
          <w:rFonts w:hint="eastAsia" w:ascii="宋体" w:hAnsi="宋体" w:eastAsia="宋体" w:cs="宋体"/>
          <w:sz w:val="28"/>
          <w:szCs w:val="28"/>
          <w:highlight w:val="none"/>
        </w:rPr>
      </w:pPr>
    </w:p>
    <w:p w14:paraId="192647A7">
      <w:pPr>
        <w:pStyle w:val="10"/>
        <w:adjustRightInd w:val="0"/>
        <w:snapToGrid w:val="0"/>
        <w:spacing w:line="360" w:lineRule="auto"/>
        <w:ind w:right="420" w:firstLine="560" w:firstLineChars="20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5CCA9F0B">
      <w:pPr>
        <w:jc w:val="center"/>
        <w:rPr>
          <w:rStyle w:val="19"/>
          <w:rFonts w:hint="eastAsia" w:ascii="宋体" w:hAnsi="宋体" w:eastAsia="宋体" w:cs="宋体"/>
          <w:sz w:val="28"/>
          <w:szCs w:val="28"/>
          <w:highlight w:val="none"/>
        </w:rPr>
        <w:sectPr>
          <w:pgSz w:w="11906" w:h="16838"/>
          <w:pgMar w:top="1440" w:right="1800" w:bottom="1440" w:left="1800" w:header="851" w:footer="992" w:gutter="0"/>
          <w:pgNumType w:fmt="decimal"/>
          <w:cols w:space="425" w:num="1"/>
          <w:docGrid w:type="lines" w:linePitch="312" w:charSpace="0"/>
        </w:sectPr>
      </w:pPr>
    </w:p>
    <w:p w14:paraId="53F2AA68">
      <w:pPr>
        <w:jc w:val="center"/>
        <w:rPr>
          <w:rFonts w:hint="eastAsia" w:ascii="宋体" w:hAnsi="宋体" w:eastAsia="宋体" w:cs="宋体"/>
          <w:sz w:val="28"/>
          <w:szCs w:val="28"/>
          <w:highlight w:val="none"/>
        </w:rPr>
      </w:pPr>
      <w:r>
        <w:rPr>
          <w:rStyle w:val="19"/>
          <w:rFonts w:hint="eastAsia" w:ascii="宋体" w:hAnsi="宋体" w:eastAsia="宋体" w:cs="宋体"/>
          <w:sz w:val="28"/>
          <w:szCs w:val="28"/>
          <w:highlight w:val="none"/>
        </w:rPr>
        <w:t>（</w:t>
      </w:r>
      <w:r>
        <w:rPr>
          <w:rStyle w:val="19"/>
          <w:rFonts w:hint="eastAsia" w:ascii="宋体" w:hAnsi="宋体" w:cs="宋体"/>
          <w:sz w:val="28"/>
          <w:szCs w:val="28"/>
          <w:highlight w:val="none"/>
          <w:lang w:eastAsia="zh-CN"/>
        </w:rPr>
        <w:t>四</w:t>
      </w:r>
      <w:r>
        <w:rPr>
          <w:rStyle w:val="19"/>
          <w:rFonts w:hint="eastAsia" w:ascii="宋体" w:hAnsi="宋体" w:eastAsia="宋体" w:cs="宋体"/>
          <w:sz w:val="28"/>
          <w:szCs w:val="28"/>
          <w:highlight w:val="none"/>
        </w:rPr>
        <w:t>）</w:t>
      </w:r>
      <w:r>
        <w:rPr>
          <w:rFonts w:hint="eastAsia" w:ascii="宋体" w:hAnsi="宋体" w:eastAsia="宋体" w:cs="宋体"/>
          <w:b/>
          <w:sz w:val="28"/>
          <w:szCs w:val="28"/>
          <w:highlight w:val="none"/>
        </w:rPr>
        <w:t>反商业贿赂承诺书</w:t>
      </w:r>
    </w:p>
    <w:p w14:paraId="53028FC9">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我公司承诺：</w:t>
      </w:r>
    </w:p>
    <w:p w14:paraId="6BD29369">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在本次磋商活动中，我公司保证做到：</w:t>
      </w:r>
    </w:p>
    <w:p w14:paraId="7FF1F700">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一、公平竞争参加本次招标活动。</w:t>
      </w:r>
    </w:p>
    <w:p w14:paraId="37F6E8C2">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4A7BF91">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三、若出现上述行为，我公司及参与磋商的工作人员愿意接受按照国家法律法规等有关规定给予的处罚。</w:t>
      </w:r>
    </w:p>
    <w:p w14:paraId="077D89F6">
      <w:pPr>
        <w:spacing w:line="360" w:lineRule="auto"/>
        <w:rPr>
          <w:rFonts w:hint="eastAsia" w:ascii="宋体" w:hAnsi="宋体" w:eastAsia="宋体" w:cs="宋体"/>
          <w:sz w:val="28"/>
          <w:szCs w:val="28"/>
          <w:highlight w:val="none"/>
        </w:rPr>
      </w:pPr>
    </w:p>
    <w:p w14:paraId="057C3F9F">
      <w:pPr>
        <w:spacing w:line="360" w:lineRule="auto"/>
        <w:rPr>
          <w:rFonts w:hint="eastAsia" w:ascii="宋体" w:hAnsi="宋体" w:eastAsia="宋体" w:cs="宋体"/>
          <w:sz w:val="28"/>
          <w:szCs w:val="28"/>
          <w:highlight w:val="none"/>
        </w:rPr>
      </w:pPr>
    </w:p>
    <w:p w14:paraId="792AACBF">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供应商名称（加盖公章）：</w:t>
      </w:r>
    </w:p>
    <w:p w14:paraId="5748D8DD">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w:t>
      </w:r>
    </w:p>
    <w:p w14:paraId="7EF40C6C">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授权代表（签字）：</w:t>
      </w:r>
    </w:p>
    <w:p w14:paraId="6361C645">
      <w:pPr>
        <w:spacing w:line="360" w:lineRule="auto"/>
        <w:jc w:val="left"/>
        <w:rPr>
          <w:rFonts w:hint="eastAsia" w:ascii="宋体" w:hAnsi="宋体" w:eastAsia="宋体" w:cs="宋体"/>
          <w:b/>
          <w:sz w:val="28"/>
          <w:szCs w:val="28"/>
          <w:highlight w:val="none"/>
        </w:rPr>
      </w:pPr>
      <w:r>
        <w:rPr>
          <w:rFonts w:hint="eastAsia" w:ascii="宋体" w:hAnsi="宋体" w:eastAsia="宋体" w:cs="宋体"/>
          <w:sz w:val="28"/>
          <w:szCs w:val="28"/>
          <w:highlight w:val="none"/>
        </w:rPr>
        <w:t>日    期：   年  月  日</w:t>
      </w:r>
      <w:bookmarkEnd w:id="64"/>
    </w:p>
    <w:p w14:paraId="30310C46">
      <w:pPr>
        <w:pStyle w:val="2"/>
        <w:rPr>
          <w:rFonts w:hint="eastAsia"/>
          <w:lang w:eastAsia="zh-CN"/>
        </w:rPr>
      </w:pPr>
    </w:p>
    <w:p w14:paraId="708B45BB">
      <w:pPr>
        <w:rPr>
          <w:rFonts w:hint="eastAsia"/>
          <w:lang w:eastAsia="zh-CN"/>
        </w:rPr>
      </w:pPr>
    </w:p>
    <w:p w14:paraId="204C7034">
      <w:pPr>
        <w:pStyle w:val="2"/>
        <w:rPr>
          <w:rFonts w:hint="eastAsia"/>
          <w:lang w:eastAsia="zh-CN"/>
        </w:rPr>
      </w:pPr>
    </w:p>
    <w:p w14:paraId="7C7781A4">
      <w:pPr>
        <w:rPr>
          <w:rFonts w:hint="eastAsia"/>
          <w:lang w:eastAsia="zh-CN"/>
        </w:rPr>
      </w:pPr>
    </w:p>
    <w:p w14:paraId="24BFEA1E">
      <w:pPr>
        <w:pStyle w:val="2"/>
        <w:rPr>
          <w:rFonts w:hint="eastAsia"/>
          <w:lang w:eastAsia="zh-CN"/>
        </w:rPr>
      </w:pPr>
    </w:p>
    <w:p w14:paraId="1CE246BF">
      <w:pPr>
        <w:rPr>
          <w:rFonts w:hint="eastAsia"/>
          <w:lang w:eastAsia="zh-CN"/>
        </w:rPr>
      </w:pPr>
    </w:p>
    <w:p w14:paraId="204BA44F">
      <w:pPr>
        <w:pStyle w:val="2"/>
        <w:rPr>
          <w:rFonts w:hint="eastAsia"/>
          <w:lang w:eastAsia="zh-CN"/>
        </w:rPr>
      </w:pPr>
    </w:p>
    <w:p w14:paraId="52DAEDAD">
      <w:pPr>
        <w:rPr>
          <w:rFonts w:hint="eastAsia"/>
          <w:lang w:eastAsia="zh-CN"/>
        </w:rPr>
      </w:pPr>
    </w:p>
    <w:p w14:paraId="7ECCA61B">
      <w:pPr>
        <w:pStyle w:val="2"/>
        <w:rPr>
          <w:rFonts w:hint="eastAsia"/>
          <w:lang w:eastAsia="zh-CN"/>
        </w:rPr>
      </w:pPr>
    </w:p>
    <w:p w14:paraId="603E3C52">
      <w:pPr>
        <w:pStyle w:val="5"/>
        <w:spacing w:line="360" w:lineRule="auto"/>
        <w:jc w:val="center"/>
        <w:outlineLvl w:val="9"/>
        <w:rPr>
          <w:rFonts w:hint="eastAsia" w:ascii="宋体" w:hAnsi="宋体" w:eastAsia="宋体" w:cs="宋体"/>
          <w:sz w:val="28"/>
          <w:szCs w:val="28"/>
          <w:highlight w:val="none"/>
        </w:rPr>
        <w:sectPr>
          <w:pgSz w:w="11906" w:h="16838"/>
          <w:pgMar w:top="1440" w:right="1800" w:bottom="1440" w:left="1800" w:header="851" w:footer="992" w:gutter="0"/>
          <w:pgNumType w:fmt="decimal"/>
          <w:cols w:space="425" w:num="1"/>
          <w:docGrid w:type="lines" w:linePitch="312" w:charSpace="0"/>
        </w:sectPr>
      </w:pPr>
      <w:bookmarkStart w:id="65" w:name="_Toc15102"/>
    </w:p>
    <w:p w14:paraId="16A583DE">
      <w:pPr>
        <w:widowControl/>
        <w:spacing w:before="100" w:after="100" w:line="360" w:lineRule="exact"/>
        <w:jc w:val="center"/>
        <w:rPr>
          <w:rFonts w:hint="eastAsia" w:ascii="宋体" w:hAnsi="宋体" w:eastAsia="宋体" w:cs="宋体"/>
          <w:sz w:val="28"/>
          <w:szCs w:val="28"/>
          <w:lang w:val="en-US" w:eastAsia="zh-CN"/>
        </w:rPr>
      </w:pPr>
      <w:r>
        <w:rPr>
          <w:rFonts w:hint="eastAsia" w:ascii="宋体" w:hAnsi="宋体" w:eastAsia="宋体" w:cs="宋体"/>
          <w:b/>
          <w:bCs/>
          <w:kern w:val="0"/>
          <w:sz w:val="28"/>
          <w:szCs w:val="28"/>
          <w:highlight w:val="none"/>
          <w:lang w:val="en-US" w:eastAsia="zh-CN"/>
        </w:rPr>
        <w:t>（五）中小企业声明函</w:t>
      </w:r>
    </w:p>
    <w:p w14:paraId="1CD8DF7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本公司（联合体）郑重声明，根据《政府采购促进中小企业发展管理办法》（财库[2020]46 号）的规定，本公司参加</w:t>
      </w:r>
      <w:r>
        <w:rPr>
          <w:rFonts w:hint="eastAsia" w:ascii="宋体" w:hAnsi="宋体" w:eastAsia="宋体" w:cs="宋体"/>
          <w:color w:val="auto"/>
          <w:kern w:val="0"/>
          <w:sz w:val="28"/>
          <w:szCs w:val="28"/>
          <w:highlight w:val="none"/>
          <w:u w:val="single"/>
        </w:rPr>
        <w:t>（单位名称）</w:t>
      </w:r>
      <w:r>
        <w:rPr>
          <w:rFonts w:hint="eastAsia" w:ascii="宋体" w:hAnsi="宋体" w:eastAsia="宋体" w:cs="宋体"/>
          <w:color w:val="auto"/>
          <w:kern w:val="0"/>
          <w:sz w:val="28"/>
          <w:szCs w:val="28"/>
          <w:highlight w:val="none"/>
        </w:rPr>
        <w:t>的</w:t>
      </w:r>
      <w:r>
        <w:rPr>
          <w:rFonts w:hint="eastAsia" w:ascii="宋体" w:hAnsi="宋体" w:eastAsia="宋体" w:cs="宋体"/>
          <w:color w:val="auto"/>
          <w:kern w:val="0"/>
          <w:sz w:val="28"/>
          <w:szCs w:val="28"/>
          <w:highlight w:val="none"/>
          <w:u w:val="single"/>
        </w:rPr>
        <w:t>（项目名称）</w:t>
      </w:r>
      <w:r>
        <w:rPr>
          <w:rFonts w:hint="eastAsia" w:ascii="宋体" w:hAnsi="宋体" w:eastAsia="宋体" w:cs="宋体"/>
          <w:color w:val="auto"/>
          <w:kern w:val="0"/>
          <w:sz w:val="28"/>
          <w:szCs w:val="28"/>
          <w:highlight w:val="none"/>
        </w:rPr>
        <w:t>采购活动，服务全部由符合政策要求的中小企业承接。相关企业的具体情况如下：</w:t>
      </w:r>
    </w:p>
    <w:p w14:paraId="3C3E50D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（标的名称）</w:t>
      </w:r>
      <w:r>
        <w:rPr>
          <w:rFonts w:hint="eastAsia" w:ascii="宋体" w:hAnsi="宋体" w:eastAsia="宋体" w:cs="宋体"/>
          <w:color w:val="auto"/>
          <w:kern w:val="0"/>
          <w:sz w:val="28"/>
          <w:szCs w:val="28"/>
          <w:highlight w:val="none"/>
        </w:rPr>
        <w:t>，属于</w:t>
      </w:r>
      <w:r>
        <w:rPr>
          <w:rFonts w:hint="eastAsia" w:ascii="宋体" w:hAnsi="宋体" w:cs="宋体"/>
          <w:b/>
          <w:bCs/>
          <w:color w:val="auto"/>
          <w:kern w:val="0"/>
          <w:sz w:val="28"/>
          <w:szCs w:val="28"/>
          <w:highlight w:val="none"/>
          <w:u w:val="single"/>
          <w:lang w:eastAsia="zh-CN"/>
        </w:rPr>
        <w:t>建筑业</w:t>
      </w:r>
      <w:r>
        <w:rPr>
          <w:rFonts w:hint="eastAsia" w:ascii="宋体" w:hAnsi="宋体" w:eastAsia="宋体" w:cs="宋体"/>
          <w:color w:val="auto"/>
          <w:kern w:val="0"/>
          <w:sz w:val="28"/>
          <w:szCs w:val="28"/>
          <w:highlight w:val="none"/>
        </w:rPr>
        <w:t>；承接企业为</w:t>
      </w:r>
      <w:r>
        <w:rPr>
          <w:rFonts w:hint="eastAsia" w:ascii="宋体" w:hAnsi="宋体" w:eastAsia="宋体" w:cs="宋体"/>
          <w:color w:val="auto"/>
          <w:kern w:val="0"/>
          <w:sz w:val="28"/>
          <w:szCs w:val="28"/>
          <w:highlight w:val="none"/>
          <w:u w:val="single"/>
        </w:rPr>
        <w:t>（企业名称）</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万元，属于</w:t>
      </w:r>
      <w:r>
        <w:rPr>
          <w:rFonts w:hint="eastAsia" w:ascii="宋体" w:hAnsi="宋体" w:eastAsia="宋体" w:cs="宋体"/>
          <w:color w:val="auto"/>
          <w:kern w:val="0"/>
          <w:sz w:val="28"/>
          <w:szCs w:val="28"/>
          <w:highlight w:val="none"/>
          <w:u w:val="single"/>
        </w:rPr>
        <w:t>（中型企业、小型企业、微型企业）</w:t>
      </w:r>
      <w:r>
        <w:rPr>
          <w:rFonts w:hint="eastAsia" w:ascii="宋体" w:hAnsi="宋体" w:eastAsia="宋体" w:cs="宋体"/>
          <w:color w:val="auto"/>
          <w:kern w:val="0"/>
          <w:sz w:val="28"/>
          <w:szCs w:val="28"/>
          <w:highlight w:val="none"/>
        </w:rPr>
        <w:t xml:space="preserve">； </w:t>
      </w:r>
    </w:p>
    <w:p w14:paraId="095658D7">
      <w:pPr>
        <w:pStyle w:val="9"/>
        <w:tabs>
          <w:tab w:val="left" w:pos="1260"/>
          <w:tab w:val="right" w:leader="dot" w:pos="8630"/>
        </w:tabs>
        <w:ind w:left="0" w:leftChars="0" w:firstLine="0" w:firstLineChars="0"/>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w:t>
      </w:r>
    </w:p>
    <w:p w14:paraId="637AE33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以上企业，不属于大企业的分支机构，不存在控股股东为大企业的情形，也不存在与大企业的负责人为同一人的情形。</w:t>
      </w:r>
    </w:p>
    <w:p w14:paraId="78ADDD7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本企业对上述声明内容的真实性负责。如有虚假，将依法承担相应责任。 </w:t>
      </w:r>
    </w:p>
    <w:p w14:paraId="15F1B97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200" w:firstLineChars="1500"/>
        <w:jc w:val="left"/>
        <w:textAlignment w:val="auto"/>
        <w:rPr>
          <w:rFonts w:hint="eastAsia" w:ascii="宋体" w:hAnsi="宋体" w:eastAsia="宋体" w:cs="宋体"/>
          <w:color w:val="auto"/>
          <w:kern w:val="0"/>
          <w:sz w:val="28"/>
          <w:szCs w:val="28"/>
          <w:highlight w:val="none"/>
        </w:rPr>
      </w:pPr>
    </w:p>
    <w:p w14:paraId="7781C231">
      <w:pPr>
        <w:keepNext w:val="0"/>
        <w:keepLines w:val="0"/>
        <w:widowControl/>
        <w:suppressLineNumbers w:val="0"/>
        <w:jc w:val="left"/>
        <w:rPr>
          <w:rFonts w:hint="eastAsia" w:ascii="宋体" w:hAnsi="宋体" w:cs="宋体"/>
          <w:color w:val="auto"/>
          <w:kern w:val="0"/>
          <w:sz w:val="28"/>
          <w:szCs w:val="28"/>
          <w:lang w:val="en-US" w:eastAsia="zh-CN" w:bidi="ar"/>
        </w:rPr>
      </w:pPr>
      <w:r>
        <w:rPr>
          <w:rFonts w:hint="eastAsia" w:ascii="宋体" w:hAnsi="宋体" w:cs="宋体"/>
          <w:color w:val="auto"/>
          <w:kern w:val="0"/>
          <w:sz w:val="28"/>
          <w:szCs w:val="28"/>
          <w:lang w:val="en-US" w:eastAsia="zh-CN" w:bidi="ar"/>
        </w:rPr>
        <w:t>企业</w:t>
      </w:r>
      <w:r>
        <w:rPr>
          <w:rFonts w:hint="eastAsia" w:ascii="宋体" w:hAnsi="宋体" w:eastAsia="宋体" w:cs="宋体"/>
          <w:color w:val="auto"/>
          <w:kern w:val="0"/>
          <w:sz w:val="28"/>
          <w:szCs w:val="28"/>
          <w:lang w:val="en-US" w:eastAsia="zh-CN" w:bidi="ar"/>
        </w:rPr>
        <w:t>名称：</w:t>
      </w:r>
      <w:r>
        <w:rPr>
          <w:rFonts w:hint="eastAsia" w:ascii="宋体" w:hAnsi="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 xml:space="preserve"> </w:t>
      </w:r>
      <w:r>
        <w:rPr>
          <w:rFonts w:hint="eastAsia" w:ascii="宋体" w:hAnsi="宋体" w:cs="宋体"/>
          <w:color w:val="auto"/>
          <w:kern w:val="0"/>
          <w:sz w:val="28"/>
          <w:szCs w:val="28"/>
          <w:lang w:val="en-US" w:eastAsia="zh-CN" w:bidi="ar"/>
        </w:rPr>
        <w:t>（</w:t>
      </w:r>
      <w:r>
        <w:rPr>
          <w:rFonts w:hint="eastAsia" w:ascii="宋体" w:hAnsi="宋体" w:eastAsia="宋体" w:cs="宋体"/>
          <w:color w:val="auto"/>
          <w:kern w:val="0"/>
          <w:sz w:val="28"/>
          <w:szCs w:val="28"/>
          <w:lang w:val="en-US" w:eastAsia="zh-CN" w:bidi="ar"/>
        </w:rPr>
        <w:t>单位盖章</w:t>
      </w:r>
      <w:r>
        <w:rPr>
          <w:rFonts w:hint="eastAsia" w:ascii="宋体" w:hAnsi="宋体" w:cs="宋体"/>
          <w:color w:val="auto"/>
          <w:kern w:val="0"/>
          <w:sz w:val="28"/>
          <w:szCs w:val="28"/>
          <w:lang w:val="en-US" w:eastAsia="zh-CN" w:bidi="ar"/>
        </w:rPr>
        <w:t>）</w:t>
      </w:r>
    </w:p>
    <w:p w14:paraId="2B444569">
      <w:pPr>
        <w:keepNext w:val="0"/>
        <w:keepLines w:val="0"/>
        <w:widowControl/>
        <w:suppressLineNumbers w:val="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日期： </w:t>
      </w:r>
      <w:r>
        <w:rPr>
          <w:rFonts w:hint="eastAsia" w:ascii="宋体" w:hAnsi="宋体" w:cs="宋体"/>
          <w:color w:val="auto"/>
          <w:kern w:val="0"/>
          <w:sz w:val="28"/>
          <w:szCs w:val="28"/>
          <w:lang w:val="en-US" w:eastAsia="zh-CN" w:bidi="ar"/>
        </w:rPr>
        <w:t xml:space="preserve"> </w:t>
      </w:r>
      <w:r>
        <w:rPr>
          <w:rFonts w:hint="eastAsia" w:ascii="宋体" w:hAnsi="宋体" w:eastAsia="宋体" w:cs="宋体"/>
          <w:color w:val="auto"/>
          <w:kern w:val="0"/>
          <w:sz w:val="28"/>
          <w:szCs w:val="28"/>
          <w:lang w:val="en-US" w:eastAsia="zh-CN" w:bidi="ar"/>
        </w:rPr>
        <w:t>年</w:t>
      </w:r>
      <w:r>
        <w:rPr>
          <w:rFonts w:hint="eastAsia" w:ascii="宋体" w:hAnsi="宋体" w:cs="宋体"/>
          <w:color w:val="auto"/>
          <w:kern w:val="0"/>
          <w:sz w:val="28"/>
          <w:szCs w:val="28"/>
          <w:lang w:val="en-US" w:eastAsia="zh-CN" w:bidi="ar"/>
        </w:rPr>
        <w:t xml:space="preserve"> </w:t>
      </w:r>
      <w:r>
        <w:rPr>
          <w:rFonts w:hint="eastAsia" w:ascii="宋体" w:hAnsi="宋体" w:eastAsia="宋体" w:cs="宋体"/>
          <w:color w:val="auto"/>
          <w:kern w:val="0"/>
          <w:sz w:val="28"/>
          <w:szCs w:val="28"/>
          <w:lang w:val="en-US" w:eastAsia="zh-CN" w:bidi="ar"/>
        </w:rPr>
        <w:t xml:space="preserve"> 月</w:t>
      </w:r>
      <w:r>
        <w:rPr>
          <w:rFonts w:hint="eastAsia" w:ascii="宋体" w:hAnsi="宋体" w:cs="宋体"/>
          <w:color w:val="auto"/>
          <w:kern w:val="0"/>
          <w:sz w:val="28"/>
          <w:szCs w:val="28"/>
          <w:lang w:val="en-US" w:eastAsia="zh-CN" w:bidi="ar"/>
        </w:rPr>
        <w:t xml:space="preserve"> </w:t>
      </w:r>
      <w:r>
        <w:rPr>
          <w:rFonts w:hint="eastAsia" w:ascii="宋体" w:hAnsi="宋体" w:eastAsia="宋体" w:cs="宋体"/>
          <w:color w:val="auto"/>
          <w:kern w:val="0"/>
          <w:sz w:val="28"/>
          <w:szCs w:val="28"/>
          <w:lang w:val="en-US" w:eastAsia="zh-CN" w:bidi="ar"/>
        </w:rPr>
        <w:t xml:space="preserve"> 日</w:t>
      </w:r>
    </w:p>
    <w:p w14:paraId="7A5F88F1">
      <w:pPr>
        <w:bidi w:val="0"/>
        <w:rPr>
          <w:rFonts w:hint="eastAsia" w:ascii="宋体" w:hAnsi="宋体" w:eastAsia="宋体" w:cs="宋体"/>
          <w:color w:val="auto"/>
          <w:sz w:val="28"/>
          <w:szCs w:val="28"/>
        </w:rPr>
      </w:pPr>
    </w:p>
    <w:p w14:paraId="1B284319">
      <w:pPr>
        <w:bidi w:val="0"/>
        <w:jc w:val="left"/>
        <w:rPr>
          <w:rFonts w:hint="eastAsia" w:ascii="宋体" w:hAnsi="宋体" w:eastAsia="宋体" w:cs="宋体"/>
          <w:sz w:val="28"/>
          <w:szCs w:val="28"/>
        </w:rPr>
      </w:pPr>
      <w:r>
        <w:rPr>
          <w:rFonts w:hint="eastAsia" w:ascii="宋体" w:hAnsi="宋体" w:eastAsia="宋体" w:cs="宋体"/>
          <w:b/>
          <w:bCs/>
          <w:kern w:val="0"/>
          <w:sz w:val="28"/>
          <w:szCs w:val="28"/>
          <w:highlight w:val="none"/>
          <w:lang w:eastAsia="zh-CN"/>
        </w:rPr>
        <w:t>注：本项目专门面向中小微企业，如不放此函，将按废标处理！敬请投标人注意！</w:t>
      </w:r>
      <w:r>
        <w:rPr>
          <w:rFonts w:hint="eastAsia" w:ascii="宋体" w:hAnsi="宋体" w:eastAsia="宋体" w:cs="宋体"/>
          <w:sz w:val="28"/>
          <w:szCs w:val="28"/>
        </w:rPr>
        <w:br w:type="page"/>
      </w:r>
    </w:p>
    <w:p w14:paraId="78A7E4EB">
      <w:pPr>
        <w:pStyle w:val="3"/>
        <w:jc w:val="center"/>
        <w:rPr>
          <w:rFonts w:hint="eastAsia" w:ascii="宋体" w:hAnsi="宋体" w:eastAsia="宋体" w:cs="宋体"/>
          <w:b/>
          <w:bCs/>
          <w:sz w:val="28"/>
          <w:szCs w:val="28"/>
          <w:highlight w:val="none"/>
          <w:lang w:eastAsia="zh-CN"/>
        </w:rPr>
      </w:pPr>
      <w:bookmarkStart w:id="66" w:name="_Toc17549"/>
      <w:r>
        <w:rPr>
          <w:rFonts w:hint="eastAsia" w:ascii="宋体" w:hAnsi="宋体" w:eastAsia="宋体" w:cs="宋体"/>
          <w:b/>
          <w:bCs/>
          <w:sz w:val="28"/>
          <w:szCs w:val="28"/>
          <w:highlight w:val="none"/>
          <w:lang w:eastAsia="zh-CN"/>
        </w:rPr>
        <w:t>（六）</w:t>
      </w:r>
      <w:r>
        <w:rPr>
          <w:rFonts w:hint="eastAsia" w:ascii="宋体" w:hAnsi="宋体" w:eastAsia="宋体" w:cs="宋体"/>
          <w:b/>
          <w:bCs/>
          <w:sz w:val="28"/>
          <w:szCs w:val="28"/>
          <w:highlight w:val="none"/>
        </w:rPr>
        <w:t>残疾人福利性单位声明函</w:t>
      </w:r>
      <w:r>
        <w:rPr>
          <w:rFonts w:hint="eastAsia" w:ascii="宋体" w:hAnsi="宋体" w:eastAsia="宋体" w:cs="宋体"/>
          <w:b/>
          <w:bCs/>
          <w:sz w:val="28"/>
          <w:szCs w:val="28"/>
          <w:highlight w:val="none"/>
          <w:lang w:eastAsia="zh-CN"/>
        </w:rPr>
        <w:t>（</w:t>
      </w:r>
      <w:r>
        <w:rPr>
          <w:rFonts w:hint="eastAsia" w:ascii="宋体" w:hAnsi="宋体" w:cs="宋体"/>
          <w:b/>
          <w:bCs/>
          <w:sz w:val="28"/>
          <w:szCs w:val="28"/>
          <w:highlight w:val="none"/>
          <w:lang w:eastAsia="zh-CN"/>
        </w:rPr>
        <w:t>如有</w:t>
      </w:r>
      <w:r>
        <w:rPr>
          <w:rFonts w:hint="eastAsia" w:ascii="宋体" w:hAnsi="宋体" w:eastAsia="宋体" w:cs="宋体"/>
          <w:b/>
          <w:bCs/>
          <w:sz w:val="28"/>
          <w:szCs w:val="28"/>
          <w:highlight w:val="none"/>
          <w:lang w:eastAsia="zh-CN"/>
        </w:rPr>
        <w:t>）</w:t>
      </w:r>
      <w:bookmarkEnd w:id="66"/>
    </w:p>
    <w:p w14:paraId="49644589">
      <w:pPr>
        <w:spacing w:line="360" w:lineRule="exact"/>
        <w:ind w:left="1080" w:leftChars="257" w:hanging="540"/>
        <w:jc w:val="center"/>
        <w:rPr>
          <w:rFonts w:hint="eastAsia" w:ascii="宋体" w:hAnsi="宋体" w:eastAsia="宋体" w:cs="宋体"/>
          <w:kern w:val="0"/>
          <w:sz w:val="28"/>
          <w:szCs w:val="28"/>
          <w:highlight w:val="none"/>
        </w:rPr>
      </w:pPr>
    </w:p>
    <w:p w14:paraId="0A66687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987D41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本单位对上述声明的真实性负责。如有虚假，将依法承担相应责任。</w:t>
      </w:r>
    </w:p>
    <w:p w14:paraId="30D8898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eastAsia" w:ascii="宋体" w:hAnsi="宋体" w:eastAsia="宋体" w:cs="宋体"/>
          <w:kern w:val="0"/>
          <w:sz w:val="28"/>
          <w:szCs w:val="28"/>
          <w:highlight w:val="none"/>
        </w:rPr>
      </w:pPr>
    </w:p>
    <w:p w14:paraId="04922955">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8"/>
          <w:szCs w:val="28"/>
          <w:highlight w:val="none"/>
        </w:rPr>
      </w:pPr>
    </w:p>
    <w:p w14:paraId="435370B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8"/>
          <w:szCs w:val="28"/>
          <w:highlight w:val="none"/>
        </w:rPr>
      </w:pPr>
    </w:p>
    <w:p w14:paraId="78C8766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残疾人福利性单位名称（盖单位章）：</w:t>
      </w:r>
      <w:r>
        <w:rPr>
          <w:rFonts w:hint="eastAsia" w:ascii="宋体" w:hAnsi="宋体" w:eastAsia="宋体" w:cs="宋体"/>
          <w:kern w:val="0"/>
          <w:sz w:val="28"/>
          <w:szCs w:val="28"/>
          <w:highlight w:val="none"/>
          <w:u w:val="single"/>
          <w:lang w:val="en-US" w:eastAsia="zh-CN"/>
        </w:rPr>
        <w:t xml:space="preserve">               </w:t>
      </w:r>
    </w:p>
    <w:p w14:paraId="17F88A1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highlight w:val="none"/>
        </w:rPr>
        <w:t>日  期：</w:t>
      </w:r>
      <w:r>
        <w:rPr>
          <w:rFonts w:hint="eastAsia" w:ascii="宋体" w:hAnsi="宋体" w:eastAsia="宋体" w:cs="宋体"/>
          <w:color w:val="000000"/>
          <w:kern w:val="0"/>
          <w:sz w:val="28"/>
          <w:szCs w:val="28"/>
          <w:lang w:val="en-US" w:eastAsia="zh-CN" w:bidi="ar"/>
        </w:rPr>
        <w:t xml:space="preserve"> 年 月 日</w:t>
      </w:r>
    </w:p>
    <w:p w14:paraId="008872D3">
      <w:pPr>
        <w:keepNext w:val="0"/>
        <w:keepLines w:val="0"/>
        <w:widowControl/>
        <w:suppressLineNumbers w:val="0"/>
        <w:jc w:val="both"/>
        <w:rPr>
          <w:rFonts w:hint="eastAsia"/>
        </w:rPr>
        <w:sectPr>
          <w:pgSz w:w="11906" w:h="16838"/>
          <w:pgMar w:top="1440" w:right="1800" w:bottom="1440" w:left="1800" w:header="851" w:footer="992" w:gutter="0"/>
          <w:pgNumType w:fmt="decimal"/>
          <w:cols w:space="425" w:num="1"/>
          <w:docGrid w:type="lines" w:linePitch="312" w:charSpace="0"/>
        </w:sectPr>
      </w:pPr>
    </w:p>
    <w:p w14:paraId="1E7BCA72">
      <w:pPr>
        <w:pStyle w:val="5"/>
        <w:numPr>
          <w:ilvl w:val="0"/>
          <w:numId w:val="0"/>
        </w:numPr>
        <w:spacing w:line="360" w:lineRule="auto"/>
        <w:jc w:val="center"/>
        <w:rPr>
          <w:rFonts w:hint="eastAsia" w:ascii="宋体" w:hAnsi="宋体" w:cs="宋体"/>
          <w:sz w:val="28"/>
          <w:szCs w:val="28"/>
          <w:highlight w:val="none"/>
          <w:lang w:eastAsia="zh-CN"/>
        </w:rPr>
      </w:pPr>
      <w:r>
        <w:rPr>
          <w:rFonts w:hint="eastAsia" w:ascii="宋体" w:hAnsi="宋体" w:cs="宋体"/>
          <w:sz w:val="28"/>
          <w:szCs w:val="28"/>
          <w:highlight w:val="none"/>
          <w:lang w:eastAsia="zh-CN"/>
        </w:rPr>
        <w:t>（七）商务及技术偏离表</w:t>
      </w:r>
    </w:p>
    <w:p w14:paraId="5C0A9C6E">
      <w:pPr>
        <w:widowControl w:val="0"/>
        <w:numPr>
          <w:ilvl w:val="0"/>
          <w:numId w:val="0"/>
        </w:numPr>
        <w:jc w:val="center"/>
        <w:rPr>
          <w:rFonts w:hint="eastAsia"/>
          <w:b/>
          <w:bCs/>
          <w:sz w:val="28"/>
          <w:szCs w:val="28"/>
          <w:lang w:eastAsia="zh-CN"/>
        </w:rPr>
      </w:pPr>
      <w:r>
        <w:rPr>
          <w:rFonts w:hint="eastAsia"/>
          <w:b/>
          <w:bCs/>
          <w:sz w:val="28"/>
          <w:szCs w:val="28"/>
          <w:lang w:eastAsia="zh-CN"/>
        </w:rPr>
        <w:t>商务条款偏离表</w:t>
      </w:r>
    </w:p>
    <w:p w14:paraId="0E003A75">
      <w:pPr>
        <w:widowControl w:val="0"/>
        <w:numPr>
          <w:ilvl w:val="0"/>
          <w:numId w:val="0"/>
        </w:numPr>
        <w:jc w:val="center"/>
        <w:rPr>
          <w:rFonts w:hint="eastAsia"/>
          <w:b/>
          <w:bCs/>
          <w:sz w:val="28"/>
          <w:szCs w:val="28"/>
          <w:lang w:eastAsia="zh-CN"/>
        </w:rPr>
      </w:pPr>
    </w:p>
    <w:p w14:paraId="340B7D1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项目名称：</w:t>
      </w:r>
      <w:r>
        <w:rPr>
          <w:rFonts w:hint="eastAsia" w:ascii="宋体" w:hAnsi="宋体" w:eastAsia="宋体" w:cs="宋体"/>
          <w:sz w:val="28"/>
          <w:szCs w:val="28"/>
          <w:lang w:val="en-US" w:eastAsia="zh-CN"/>
        </w:rPr>
        <w:t xml:space="preserve">                     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40"/>
        <w:gridCol w:w="1932"/>
        <w:gridCol w:w="2208"/>
        <w:gridCol w:w="1656"/>
      </w:tblGrid>
      <w:tr w14:paraId="2C84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tcPr>
          <w:p w14:paraId="0D980C24">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740" w:type="dxa"/>
          </w:tcPr>
          <w:p w14:paraId="71C9D130">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条款序号</w:t>
            </w:r>
          </w:p>
        </w:tc>
        <w:tc>
          <w:tcPr>
            <w:tcW w:w="1932" w:type="dxa"/>
          </w:tcPr>
          <w:p w14:paraId="3484CBC4">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磋商条款</w:t>
            </w:r>
          </w:p>
        </w:tc>
        <w:tc>
          <w:tcPr>
            <w:tcW w:w="2208" w:type="dxa"/>
          </w:tcPr>
          <w:p w14:paraId="3FADB21A">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响应条款</w:t>
            </w:r>
          </w:p>
        </w:tc>
        <w:tc>
          <w:tcPr>
            <w:tcW w:w="1656" w:type="dxa"/>
          </w:tcPr>
          <w:p w14:paraId="5E007E94">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4056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79C05CB">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7C591E97">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429B95C3">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6528A4C8">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5B0601B7">
            <w:pPr>
              <w:widowControl w:val="0"/>
              <w:numPr>
                <w:ilvl w:val="0"/>
                <w:numId w:val="0"/>
              </w:numPr>
              <w:jc w:val="both"/>
              <w:rPr>
                <w:rFonts w:hint="eastAsia" w:ascii="宋体" w:hAnsi="宋体" w:eastAsia="宋体" w:cs="宋体"/>
                <w:sz w:val="28"/>
                <w:szCs w:val="28"/>
                <w:vertAlign w:val="baseline"/>
                <w:lang w:val="en-US" w:eastAsia="zh-CN"/>
              </w:rPr>
            </w:pPr>
          </w:p>
        </w:tc>
      </w:tr>
      <w:tr w14:paraId="5851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3767B78">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6B5C0FAA">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2D3ABC29">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78255D6A">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3397DF53">
            <w:pPr>
              <w:widowControl w:val="0"/>
              <w:numPr>
                <w:ilvl w:val="0"/>
                <w:numId w:val="0"/>
              </w:numPr>
              <w:jc w:val="both"/>
              <w:rPr>
                <w:rFonts w:hint="eastAsia" w:ascii="宋体" w:hAnsi="宋体" w:eastAsia="宋体" w:cs="宋体"/>
                <w:sz w:val="28"/>
                <w:szCs w:val="28"/>
                <w:vertAlign w:val="baseline"/>
                <w:lang w:val="en-US" w:eastAsia="zh-CN"/>
              </w:rPr>
            </w:pPr>
          </w:p>
        </w:tc>
      </w:tr>
      <w:tr w14:paraId="6D0E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14EF2D7">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6CF0268C">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531A464F">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542DBA21">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24215E2B">
            <w:pPr>
              <w:widowControl w:val="0"/>
              <w:numPr>
                <w:ilvl w:val="0"/>
                <w:numId w:val="0"/>
              </w:numPr>
              <w:jc w:val="both"/>
              <w:rPr>
                <w:rFonts w:hint="eastAsia" w:ascii="宋体" w:hAnsi="宋体" w:eastAsia="宋体" w:cs="宋体"/>
                <w:sz w:val="28"/>
                <w:szCs w:val="28"/>
                <w:vertAlign w:val="baseline"/>
                <w:lang w:val="en-US" w:eastAsia="zh-CN"/>
              </w:rPr>
            </w:pPr>
          </w:p>
        </w:tc>
      </w:tr>
      <w:tr w14:paraId="7B4A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223773">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6CC82F95">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425A220B">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2734694C">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79431E4C">
            <w:pPr>
              <w:widowControl w:val="0"/>
              <w:numPr>
                <w:ilvl w:val="0"/>
                <w:numId w:val="0"/>
              </w:numPr>
              <w:jc w:val="both"/>
              <w:rPr>
                <w:rFonts w:hint="eastAsia" w:ascii="宋体" w:hAnsi="宋体" w:eastAsia="宋体" w:cs="宋体"/>
                <w:sz w:val="28"/>
                <w:szCs w:val="28"/>
                <w:vertAlign w:val="baseline"/>
                <w:lang w:val="en-US" w:eastAsia="zh-CN"/>
              </w:rPr>
            </w:pPr>
          </w:p>
        </w:tc>
      </w:tr>
      <w:tr w14:paraId="18F7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3636B70">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0CE068F8">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7A435A6B">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4BE5AB65">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3D3CE6D9">
            <w:pPr>
              <w:widowControl w:val="0"/>
              <w:numPr>
                <w:ilvl w:val="0"/>
                <w:numId w:val="0"/>
              </w:numPr>
              <w:jc w:val="both"/>
              <w:rPr>
                <w:rFonts w:hint="eastAsia" w:ascii="宋体" w:hAnsi="宋体" w:eastAsia="宋体" w:cs="宋体"/>
                <w:sz w:val="28"/>
                <w:szCs w:val="28"/>
                <w:vertAlign w:val="baseline"/>
                <w:lang w:val="en-US" w:eastAsia="zh-CN"/>
              </w:rPr>
            </w:pPr>
          </w:p>
        </w:tc>
      </w:tr>
      <w:tr w14:paraId="773A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3984FE6">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6CFC5807">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1848F13C">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6EAA8307">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3E930F7E">
            <w:pPr>
              <w:widowControl w:val="0"/>
              <w:numPr>
                <w:ilvl w:val="0"/>
                <w:numId w:val="0"/>
              </w:numPr>
              <w:jc w:val="both"/>
              <w:rPr>
                <w:rFonts w:hint="eastAsia" w:ascii="宋体" w:hAnsi="宋体" w:eastAsia="宋体" w:cs="宋体"/>
                <w:sz w:val="28"/>
                <w:szCs w:val="28"/>
                <w:vertAlign w:val="baseline"/>
                <w:lang w:val="en-US" w:eastAsia="zh-CN"/>
              </w:rPr>
            </w:pPr>
          </w:p>
        </w:tc>
      </w:tr>
      <w:tr w14:paraId="7E8F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F2404E1">
            <w:pPr>
              <w:widowControl w:val="0"/>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w:t>
            </w:r>
          </w:p>
        </w:tc>
        <w:tc>
          <w:tcPr>
            <w:tcW w:w="1740" w:type="dxa"/>
          </w:tcPr>
          <w:p w14:paraId="0B081652">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1C68FA1F">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176ACCA2">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54F781F5">
            <w:pPr>
              <w:widowControl w:val="0"/>
              <w:numPr>
                <w:ilvl w:val="0"/>
                <w:numId w:val="0"/>
              </w:numPr>
              <w:jc w:val="both"/>
              <w:rPr>
                <w:rFonts w:hint="eastAsia" w:ascii="宋体" w:hAnsi="宋体" w:eastAsia="宋体" w:cs="宋体"/>
                <w:sz w:val="28"/>
                <w:szCs w:val="28"/>
                <w:vertAlign w:val="baseline"/>
                <w:lang w:val="en-US" w:eastAsia="zh-CN"/>
              </w:rPr>
            </w:pPr>
          </w:p>
        </w:tc>
      </w:tr>
    </w:tbl>
    <w:p w14:paraId="0B9D5961">
      <w:pPr>
        <w:widowControl w:val="0"/>
        <w:numPr>
          <w:ilvl w:val="0"/>
          <w:numId w:val="0"/>
        </w:numPr>
        <w:jc w:val="both"/>
        <w:rPr>
          <w:rFonts w:hint="eastAsia" w:ascii="宋体" w:hAnsi="宋体" w:eastAsia="宋体" w:cs="宋体"/>
          <w:sz w:val="28"/>
          <w:szCs w:val="28"/>
          <w:lang w:val="en-US" w:eastAsia="zh-CN"/>
        </w:rPr>
      </w:pPr>
    </w:p>
    <w:p w14:paraId="57743B5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供应商名称： </w:t>
      </w:r>
    </w:p>
    <w:p w14:paraId="448D3B9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单位盖章： </w:t>
      </w:r>
    </w:p>
    <w:p w14:paraId="1F03BD1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日期： 年 月 日</w:t>
      </w:r>
    </w:p>
    <w:p w14:paraId="53ABD38B">
      <w:pPr>
        <w:widowControl w:val="0"/>
        <w:numPr>
          <w:ilvl w:val="0"/>
          <w:numId w:val="0"/>
        </w:numPr>
        <w:jc w:val="both"/>
        <w:rPr>
          <w:rFonts w:hint="eastAsia" w:ascii="宋体" w:hAnsi="宋体" w:eastAsia="宋体" w:cs="宋体"/>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14:paraId="37E2B651">
      <w:pPr>
        <w:widowControl w:val="0"/>
        <w:numPr>
          <w:ilvl w:val="0"/>
          <w:numId w:val="0"/>
        </w:numPr>
        <w:jc w:val="center"/>
        <w:rPr>
          <w:rFonts w:hint="eastAsia" w:ascii="宋体" w:hAnsi="宋体" w:cs="宋体"/>
          <w:b/>
          <w:bCs/>
          <w:sz w:val="28"/>
          <w:szCs w:val="28"/>
          <w:lang w:eastAsia="zh-CN"/>
        </w:rPr>
      </w:pPr>
      <w:r>
        <w:rPr>
          <w:rFonts w:hint="eastAsia" w:ascii="宋体" w:hAnsi="宋体" w:cs="宋体"/>
          <w:b/>
          <w:bCs/>
          <w:sz w:val="28"/>
          <w:szCs w:val="28"/>
          <w:lang w:eastAsia="zh-CN"/>
        </w:rPr>
        <w:t>技术条款偏离表</w:t>
      </w:r>
    </w:p>
    <w:p w14:paraId="5356AD30">
      <w:pPr>
        <w:widowControl w:val="0"/>
        <w:numPr>
          <w:ilvl w:val="0"/>
          <w:numId w:val="0"/>
        </w:numPr>
        <w:jc w:val="center"/>
        <w:rPr>
          <w:rFonts w:hint="eastAsia" w:ascii="宋体" w:hAnsi="宋体" w:cs="宋体"/>
          <w:b/>
          <w:bCs/>
          <w:sz w:val="28"/>
          <w:szCs w:val="28"/>
          <w:lang w:eastAsia="zh-CN"/>
        </w:rPr>
      </w:pPr>
    </w:p>
    <w:p w14:paraId="7A6FAE8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项目名称：</w:t>
      </w:r>
      <w:r>
        <w:rPr>
          <w:rFonts w:hint="eastAsia" w:ascii="宋体" w:hAnsi="宋体" w:eastAsia="宋体" w:cs="宋体"/>
          <w:sz w:val="28"/>
          <w:szCs w:val="28"/>
          <w:lang w:val="en-US" w:eastAsia="zh-CN"/>
        </w:rPr>
        <w:t xml:space="preserve">                     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40"/>
        <w:gridCol w:w="1932"/>
        <w:gridCol w:w="2208"/>
        <w:gridCol w:w="1656"/>
      </w:tblGrid>
      <w:tr w14:paraId="4E34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tcPr>
          <w:p w14:paraId="49599CB2">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740" w:type="dxa"/>
          </w:tcPr>
          <w:p w14:paraId="0E590760">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条款序号</w:t>
            </w:r>
          </w:p>
        </w:tc>
        <w:tc>
          <w:tcPr>
            <w:tcW w:w="1932" w:type="dxa"/>
          </w:tcPr>
          <w:p w14:paraId="0ACC5D68">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磋商条款</w:t>
            </w:r>
          </w:p>
        </w:tc>
        <w:tc>
          <w:tcPr>
            <w:tcW w:w="2208" w:type="dxa"/>
          </w:tcPr>
          <w:p w14:paraId="79767E57">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响应条款</w:t>
            </w:r>
          </w:p>
        </w:tc>
        <w:tc>
          <w:tcPr>
            <w:tcW w:w="1656" w:type="dxa"/>
          </w:tcPr>
          <w:p w14:paraId="0A50C6F8">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5E28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5EDD1E5">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0458D6E5">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247E1E71">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35B9E94C">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1B1D74E3">
            <w:pPr>
              <w:widowControl w:val="0"/>
              <w:numPr>
                <w:ilvl w:val="0"/>
                <w:numId w:val="0"/>
              </w:numPr>
              <w:jc w:val="both"/>
              <w:rPr>
                <w:rFonts w:hint="eastAsia" w:ascii="宋体" w:hAnsi="宋体" w:eastAsia="宋体" w:cs="宋体"/>
                <w:sz w:val="28"/>
                <w:szCs w:val="28"/>
                <w:vertAlign w:val="baseline"/>
                <w:lang w:val="en-US" w:eastAsia="zh-CN"/>
              </w:rPr>
            </w:pPr>
          </w:p>
        </w:tc>
      </w:tr>
      <w:tr w14:paraId="0378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EA4A996">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44A3D2F7">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02B4EAAC">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3A7153F4">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651FBB63">
            <w:pPr>
              <w:widowControl w:val="0"/>
              <w:numPr>
                <w:ilvl w:val="0"/>
                <w:numId w:val="0"/>
              </w:numPr>
              <w:jc w:val="both"/>
              <w:rPr>
                <w:rFonts w:hint="eastAsia" w:ascii="宋体" w:hAnsi="宋体" w:eastAsia="宋体" w:cs="宋体"/>
                <w:sz w:val="28"/>
                <w:szCs w:val="28"/>
                <w:vertAlign w:val="baseline"/>
                <w:lang w:val="en-US" w:eastAsia="zh-CN"/>
              </w:rPr>
            </w:pPr>
          </w:p>
        </w:tc>
      </w:tr>
      <w:tr w14:paraId="4E0B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813AFA4">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4E98DEAA">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08CC26F7">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20711B5C">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777BC50C">
            <w:pPr>
              <w:widowControl w:val="0"/>
              <w:numPr>
                <w:ilvl w:val="0"/>
                <w:numId w:val="0"/>
              </w:numPr>
              <w:jc w:val="both"/>
              <w:rPr>
                <w:rFonts w:hint="eastAsia" w:ascii="宋体" w:hAnsi="宋体" w:eastAsia="宋体" w:cs="宋体"/>
                <w:sz w:val="28"/>
                <w:szCs w:val="28"/>
                <w:vertAlign w:val="baseline"/>
                <w:lang w:val="en-US" w:eastAsia="zh-CN"/>
              </w:rPr>
            </w:pPr>
          </w:p>
        </w:tc>
      </w:tr>
      <w:tr w14:paraId="0C8C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4290F6E">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15F38667">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5D5DE80B">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19902183">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392DE928">
            <w:pPr>
              <w:widowControl w:val="0"/>
              <w:numPr>
                <w:ilvl w:val="0"/>
                <w:numId w:val="0"/>
              </w:numPr>
              <w:jc w:val="both"/>
              <w:rPr>
                <w:rFonts w:hint="eastAsia" w:ascii="宋体" w:hAnsi="宋体" w:eastAsia="宋体" w:cs="宋体"/>
                <w:sz w:val="28"/>
                <w:szCs w:val="28"/>
                <w:vertAlign w:val="baseline"/>
                <w:lang w:val="en-US" w:eastAsia="zh-CN"/>
              </w:rPr>
            </w:pPr>
          </w:p>
        </w:tc>
      </w:tr>
      <w:tr w14:paraId="7B97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170028E">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2DB5F9FC">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06356949">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0E51DC3F">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14253ACA">
            <w:pPr>
              <w:widowControl w:val="0"/>
              <w:numPr>
                <w:ilvl w:val="0"/>
                <w:numId w:val="0"/>
              </w:numPr>
              <w:jc w:val="both"/>
              <w:rPr>
                <w:rFonts w:hint="eastAsia" w:ascii="宋体" w:hAnsi="宋体" w:eastAsia="宋体" w:cs="宋体"/>
                <w:sz w:val="28"/>
                <w:szCs w:val="28"/>
                <w:vertAlign w:val="baseline"/>
                <w:lang w:val="en-US" w:eastAsia="zh-CN"/>
              </w:rPr>
            </w:pPr>
          </w:p>
        </w:tc>
      </w:tr>
      <w:tr w14:paraId="7D70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5C27F65">
            <w:pPr>
              <w:widowControl w:val="0"/>
              <w:numPr>
                <w:ilvl w:val="0"/>
                <w:numId w:val="0"/>
              </w:numPr>
              <w:jc w:val="both"/>
              <w:rPr>
                <w:rFonts w:hint="eastAsia" w:ascii="宋体" w:hAnsi="宋体" w:eastAsia="宋体" w:cs="宋体"/>
                <w:sz w:val="28"/>
                <w:szCs w:val="28"/>
                <w:vertAlign w:val="baseline"/>
                <w:lang w:val="en-US" w:eastAsia="zh-CN"/>
              </w:rPr>
            </w:pPr>
          </w:p>
        </w:tc>
        <w:tc>
          <w:tcPr>
            <w:tcW w:w="1740" w:type="dxa"/>
          </w:tcPr>
          <w:p w14:paraId="4B699F2D">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0A29E574">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7E1F4154">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405330AB">
            <w:pPr>
              <w:widowControl w:val="0"/>
              <w:numPr>
                <w:ilvl w:val="0"/>
                <w:numId w:val="0"/>
              </w:numPr>
              <w:jc w:val="both"/>
              <w:rPr>
                <w:rFonts w:hint="eastAsia" w:ascii="宋体" w:hAnsi="宋体" w:eastAsia="宋体" w:cs="宋体"/>
                <w:sz w:val="28"/>
                <w:szCs w:val="28"/>
                <w:vertAlign w:val="baseline"/>
                <w:lang w:val="en-US" w:eastAsia="zh-CN"/>
              </w:rPr>
            </w:pPr>
          </w:p>
        </w:tc>
      </w:tr>
      <w:tr w14:paraId="4CA5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E444781">
            <w:pPr>
              <w:widowControl w:val="0"/>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w:t>
            </w:r>
          </w:p>
        </w:tc>
        <w:tc>
          <w:tcPr>
            <w:tcW w:w="1740" w:type="dxa"/>
          </w:tcPr>
          <w:p w14:paraId="12E0FE41">
            <w:pPr>
              <w:widowControl w:val="0"/>
              <w:numPr>
                <w:ilvl w:val="0"/>
                <w:numId w:val="0"/>
              </w:numPr>
              <w:jc w:val="both"/>
              <w:rPr>
                <w:rFonts w:hint="eastAsia" w:ascii="宋体" w:hAnsi="宋体" w:eastAsia="宋体" w:cs="宋体"/>
                <w:sz w:val="28"/>
                <w:szCs w:val="28"/>
                <w:vertAlign w:val="baseline"/>
                <w:lang w:val="en-US" w:eastAsia="zh-CN"/>
              </w:rPr>
            </w:pPr>
          </w:p>
        </w:tc>
        <w:tc>
          <w:tcPr>
            <w:tcW w:w="1932" w:type="dxa"/>
          </w:tcPr>
          <w:p w14:paraId="2223D228">
            <w:pPr>
              <w:widowControl w:val="0"/>
              <w:numPr>
                <w:ilvl w:val="0"/>
                <w:numId w:val="0"/>
              </w:numPr>
              <w:jc w:val="both"/>
              <w:rPr>
                <w:rFonts w:hint="eastAsia" w:ascii="宋体" w:hAnsi="宋体" w:eastAsia="宋体" w:cs="宋体"/>
                <w:sz w:val="28"/>
                <w:szCs w:val="28"/>
                <w:vertAlign w:val="baseline"/>
                <w:lang w:val="en-US" w:eastAsia="zh-CN"/>
              </w:rPr>
            </w:pPr>
          </w:p>
        </w:tc>
        <w:tc>
          <w:tcPr>
            <w:tcW w:w="2208" w:type="dxa"/>
          </w:tcPr>
          <w:p w14:paraId="7BE7BE41">
            <w:pPr>
              <w:widowControl w:val="0"/>
              <w:numPr>
                <w:ilvl w:val="0"/>
                <w:numId w:val="0"/>
              </w:numPr>
              <w:jc w:val="both"/>
              <w:rPr>
                <w:rFonts w:hint="eastAsia" w:ascii="宋体" w:hAnsi="宋体" w:eastAsia="宋体" w:cs="宋体"/>
                <w:sz w:val="28"/>
                <w:szCs w:val="28"/>
                <w:vertAlign w:val="baseline"/>
                <w:lang w:val="en-US" w:eastAsia="zh-CN"/>
              </w:rPr>
            </w:pPr>
          </w:p>
        </w:tc>
        <w:tc>
          <w:tcPr>
            <w:tcW w:w="1656" w:type="dxa"/>
          </w:tcPr>
          <w:p w14:paraId="4A9A6520">
            <w:pPr>
              <w:widowControl w:val="0"/>
              <w:numPr>
                <w:ilvl w:val="0"/>
                <w:numId w:val="0"/>
              </w:numPr>
              <w:jc w:val="both"/>
              <w:rPr>
                <w:rFonts w:hint="eastAsia" w:ascii="宋体" w:hAnsi="宋体" w:eastAsia="宋体" w:cs="宋体"/>
                <w:sz w:val="28"/>
                <w:szCs w:val="28"/>
                <w:vertAlign w:val="baseline"/>
                <w:lang w:val="en-US" w:eastAsia="zh-CN"/>
              </w:rPr>
            </w:pPr>
          </w:p>
        </w:tc>
      </w:tr>
    </w:tbl>
    <w:p w14:paraId="2366D69C">
      <w:pPr>
        <w:widowControl w:val="0"/>
        <w:numPr>
          <w:ilvl w:val="0"/>
          <w:numId w:val="0"/>
        </w:numPr>
        <w:jc w:val="both"/>
        <w:rPr>
          <w:rFonts w:hint="eastAsia" w:ascii="宋体" w:hAnsi="宋体" w:eastAsia="宋体" w:cs="宋体"/>
          <w:sz w:val="28"/>
          <w:szCs w:val="28"/>
          <w:lang w:val="en-US" w:eastAsia="zh-CN"/>
        </w:rPr>
      </w:pPr>
    </w:p>
    <w:p w14:paraId="53F401D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供应商名称： </w:t>
      </w:r>
    </w:p>
    <w:p w14:paraId="6F336647">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单位盖章： </w:t>
      </w:r>
    </w:p>
    <w:p w14:paraId="2A7FDA7B">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日期： 年 月 日</w:t>
      </w:r>
    </w:p>
    <w:p w14:paraId="79449F9C">
      <w:pPr>
        <w:widowControl w:val="0"/>
        <w:numPr>
          <w:ilvl w:val="0"/>
          <w:numId w:val="0"/>
        </w:numPr>
        <w:jc w:val="both"/>
        <w:rPr>
          <w:rFonts w:hint="eastAsia" w:ascii="宋体" w:hAnsi="宋体" w:eastAsia="宋体" w:cs="宋体"/>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14:paraId="7A3BD4EF">
      <w:pPr>
        <w:pStyle w:val="5"/>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cs="宋体"/>
          <w:sz w:val="28"/>
          <w:szCs w:val="28"/>
          <w:highlight w:val="none"/>
          <w:lang w:eastAsia="zh-CN"/>
        </w:rPr>
        <w:t>八</w:t>
      </w:r>
      <w:r>
        <w:rPr>
          <w:rFonts w:hint="eastAsia" w:ascii="宋体" w:hAnsi="宋体" w:eastAsia="宋体" w:cs="宋体"/>
          <w:sz w:val="28"/>
          <w:szCs w:val="28"/>
          <w:highlight w:val="none"/>
        </w:rPr>
        <w:t xml:space="preserve">) </w:t>
      </w:r>
      <w:bookmarkEnd w:id="65"/>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基本情况表</w:t>
      </w:r>
    </w:p>
    <w:tbl>
      <w:tblPr>
        <w:tblStyle w:val="15"/>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048"/>
        <w:gridCol w:w="293"/>
        <w:gridCol w:w="1119"/>
        <w:gridCol w:w="940"/>
        <w:gridCol w:w="559"/>
        <w:gridCol w:w="1456"/>
        <w:gridCol w:w="304"/>
        <w:gridCol w:w="828"/>
        <w:gridCol w:w="1655"/>
      </w:tblGrid>
      <w:tr w14:paraId="661D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532C779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名称</w:t>
            </w:r>
          </w:p>
        </w:tc>
        <w:tc>
          <w:tcPr>
            <w:tcW w:w="8202" w:type="dxa"/>
            <w:gridSpan w:val="9"/>
            <w:noWrap w:val="0"/>
            <w:vAlign w:val="center"/>
          </w:tcPr>
          <w:p w14:paraId="190B1023">
            <w:pPr>
              <w:jc w:val="center"/>
              <w:rPr>
                <w:rFonts w:hint="eastAsia" w:ascii="宋体" w:hAnsi="宋体" w:eastAsia="宋体" w:cs="宋体"/>
                <w:sz w:val="28"/>
                <w:szCs w:val="28"/>
                <w:highlight w:val="none"/>
              </w:rPr>
            </w:pPr>
          </w:p>
        </w:tc>
      </w:tr>
      <w:tr w14:paraId="2F9A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5CCC353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注册地址</w:t>
            </w:r>
          </w:p>
        </w:tc>
        <w:tc>
          <w:tcPr>
            <w:tcW w:w="3959" w:type="dxa"/>
            <w:gridSpan w:val="5"/>
            <w:noWrap w:val="0"/>
            <w:vAlign w:val="center"/>
          </w:tcPr>
          <w:p w14:paraId="17DB7097">
            <w:pPr>
              <w:jc w:val="center"/>
              <w:rPr>
                <w:rFonts w:hint="eastAsia" w:ascii="宋体" w:hAnsi="宋体" w:eastAsia="宋体" w:cs="宋体"/>
                <w:sz w:val="28"/>
                <w:szCs w:val="28"/>
                <w:highlight w:val="none"/>
              </w:rPr>
            </w:pPr>
          </w:p>
        </w:tc>
        <w:tc>
          <w:tcPr>
            <w:tcW w:w="1456" w:type="dxa"/>
            <w:noWrap w:val="0"/>
            <w:vAlign w:val="center"/>
          </w:tcPr>
          <w:p w14:paraId="47A0CA86">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邮政编码</w:t>
            </w:r>
          </w:p>
        </w:tc>
        <w:tc>
          <w:tcPr>
            <w:tcW w:w="2787" w:type="dxa"/>
            <w:gridSpan w:val="3"/>
            <w:noWrap w:val="0"/>
            <w:vAlign w:val="center"/>
          </w:tcPr>
          <w:p w14:paraId="7BF342C2">
            <w:pPr>
              <w:jc w:val="center"/>
              <w:rPr>
                <w:rFonts w:hint="eastAsia" w:ascii="宋体" w:hAnsi="宋体" w:eastAsia="宋体" w:cs="宋体"/>
                <w:sz w:val="28"/>
                <w:szCs w:val="28"/>
                <w:highlight w:val="none"/>
              </w:rPr>
            </w:pPr>
          </w:p>
        </w:tc>
      </w:tr>
      <w:tr w14:paraId="6BCB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vMerge w:val="restart"/>
            <w:noWrap w:val="0"/>
            <w:vAlign w:val="center"/>
          </w:tcPr>
          <w:p w14:paraId="0ADE37C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联系方式</w:t>
            </w:r>
          </w:p>
        </w:tc>
        <w:tc>
          <w:tcPr>
            <w:tcW w:w="1341" w:type="dxa"/>
            <w:gridSpan w:val="2"/>
            <w:noWrap w:val="0"/>
            <w:vAlign w:val="center"/>
          </w:tcPr>
          <w:p w14:paraId="1A526C1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联系人</w:t>
            </w:r>
          </w:p>
        </w:tc>
        <w:tc>
          <w:tcPr>
            <w:tcW w:w="2618" w:type="dxa"/>
            <w:gridSpan w:val="3"/>
            <w:noWrap w:val="0"/>
            <w:vAlign w:val="center"/>
          </w:tcPr>
          <w:p w14:paraId="47E3E6BC">
            <w:pPr>
              <w:jc w:val="center"/>
              <w:rPr>
                <w:rFonts w:hint="eastAsia" w:ascii="宋体" w:hAnsi="宋体" w:eastAsia="宋体" w:cs="宋体"/>
                <w:sz w:val="28"/>
                <w:szCs w:val="28"/>
                <w:highlight w:val="none"/>
              </w:rPr>
            </w:pPr>
          </w:p>
        </w:tc>
        <w:tc>
          <w:tcPr>
            <w:tcW w:w="1456" w:type="dxa"/>
            <w:noWrap w:val="0"/>
            <w:vAlign w:val="center"/>
          </w:tcPr>
          <w:p w14:paraId="0475AB3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  话</w:t>
            </w:r>
          </w:p>
        </w:tc>
        <w:tc>
          <w:tcPr>
            <w:tcW w:w="2787" w:type="dxa"/>
            <w:gridSpan w:val="3"/>
            <w:noWrap w:val="0"/>
            <w:vAlign w:val="center"/>
          </w:tcPr>
          <w:p w14:paraId="798278B8">
            <w:pPr>
              <w:jc w:val="center"/>
              <w:rPr>
                <w:rFonts w:hint="eastAsia" w:ascii="宋体" w:hAnsi="宋体" w:eastAsia="宋体" w:cs="宋体"/>
                <w:sz w:val="28"/>
                <w:szCs w:val="28"/>
                <w:highlight w:val="none"/>
              </w:rPr>
            </w:pPr>
          </w:p>
        </w:tc>
      </w:tr>
      <w:tr w14:paraId="7FD9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vMerge w:val="continue"/>
            <w:noWrap w:val="0"/>
            <w:vAlign w:val="center"/>
          </w:tcPr>
          <w:p w14:paraId="692ED9C9">
            <w:pPr>
              <w:jc w:val="center"/>
              <w:rPr>
                <w:rFonts w:hint="eastAsia" w:ascii="宋体" w:hAnsi="宋体" w:eastAsia="宋体" w:cs="宋体"/>
                <w:sz w:val="28"/>
                <w:szCs w:val="28"/>
                <w:highlight w:val="none"/>
              </w:rPr>
            </w:pPr>
          </w:p>
        </w:tc>
        <w:tc>
          <w:tcPr>
            <w:tcW w:w="1341" w:type="dxa"/>
            <w:gridSpan w:val="2"/>
            <w:noWrap w:val="0"/>
            <w:vAlign w:val="center"/>
          </w:tcPr>
          <w:p w14:paraId="4013887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传  真</w:t>
            </w:r>
          </w:p>
        </w:tc>
        <w:tc>
          <w:tcPr>
            <w:tcW w:w="2618" w:type="dxa"/>
            <w:gridSpan w:val="3"/>
            <w:noWrap w:val="0"/>
            <w:vAlign w:val="center"/>
          </w:tcPr>
          <w:p w14:paraId="3FBAB7F3">
            <w:pPr>
              <w:jc w:val="center"/>
              <w:rPr>
                <w:rFonts w:hint="eastAsia" w:ascii="宋体" w:hAnsi="宋体" w:eastAsia="宋体" w:cs="宋体"/>
                <w:sz w:val="28"/>
                <w:szCs w:val="28"/>
                <w:highlight w:val="none"/>
              </w:rPr>
            </w:pPr>
          </w:p>
        </w:tc>
        <w:tc>
          <w:tcPr>
            <w:tcW w:w="1456" w:type="dxa"/>
            <w:noWrap w:val="0"/>
            <w:vAlign w:val="center"/>
          </w:tcPr>
          <w:p w14:paraId="7B69544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网  址</w:t>
            </w:r>
          </w:p>
        </w:tc>
        <w:tc>
          <w:tcPr>
            <w:tcW w:w="2787" w:type="dxa"/>
            <w:gridSpan w:val="3"/>
            <w:noWrap w:val="0"/>
            <w:vAlign w:val="center"/>
          </w:tcPr>
          <w:p w14:paraId="57BADFEC">
            <w:pPr>
              <w:jc w:val="center"/>
              <w:rPr>
                <w:rFonts w:hint="eastAsia" w:ascii="宋体" w:hAnsi="宋体" w:eastAsia="宋体" w:cs="宋体"/>
                <w:sz w:val="28"/>
                <w:szCs w:val="28"/>
                <w:highlight w:val="none"/>
              </w:rPr>
            </w:pPr>
          </w:p>
        </w:tc>
      </w:tr>
      <w:tr w14:paraId="0F05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48A7623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组织结构</w:t>
            </w:r>
          </w:p>
        </w:tc>
        <w:tc>
          <w:tcPr>
            <w:tcW w:w="8202" w:type="dxa"/>
            <w:gridSpan w:val="9"/>
            <w:noWrap w:val="0"/>
            <w:vAlign w:val="center"/>
          </w:tcPr>
          <w:p w14:paraId="449517BD">
            <w:pPr>
              <w:jc w:val="center"/>
              <w:rPr>
                <w:rFonts w:hint="eastAsia" w:ascii="宋体" w:hAnsi="宋体" w:eastAsia="宋体" w:cs="宋体"/>
                <w:sz w:val="28"/>
                <w:szCs w:val="28"/>
                <w:highlight w:val="none"/>
              </w:rPr>
            </w:pPr>
          </w:p>
        </w:tc>
      </w:tr>
      <w:tr w14:paraId="4454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74D75D9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tc>
        <w:tc>
          <w:tcPr>
            <w:tcW w:w="1048" w:type="dxa"/>
            <w:noWrap w:val="0"/>
            <w:vAlign w:val="center"/>
          </w:tcPr>
          <w:p w14:paraId="78D20EB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1412" w:type="dxa"/>
            <w:gridSpan w:val="2"/>
            <w:noWrap w:val="0"/>
            <w:vAlign w:val="center"/>
          </w:tcPr>
          <w:p w14:paraId="6EE2D5A5">
            <w:pPr>
              <w:jc w:val="center"/>
              <w:rPr>
                <w:rFonts w:hint="eastAsia" w:ascii="宋体" w:hAnsi="宋体" w:eastAsia="宋体" w:cs="宋体"/>
                <w:sz w:val="28"/>
                <w:szCs w:val="28"/>
                <w:highlight w:val="none"/>
              </w:rPr>
            </w:pPr>
          </w:p>
        </w:tc>
        <w:tc>
          <w:tcPr>
            <w:tcW w:w="1499" w:type="dxa"/>
            <w:gridSpan w:val="2"/>
            <w:noWrap w:val="0"/>
            <w:vAlign w:val="center"/>
          </w:tcPr>
          <w:p w14:paraId="690BEC5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技术职称</w:t>
            </w:r>
          </w:p>
        </w:tc>
        <w:tc>
          <w:tcPr>
            <w:tcW w:w="1760" w:type="dxa"/>
            <w:gridSpan w:val="2"/>
            <w:noWrap w:val="0"/>
            <w:vAlign w:val="center"/>
          </w:tcPr>
          <w:p w14:paraId="6D105D26">
            <w:pPr>
              <w:jc w:val="center"/>
              <w:rPr>
                <w:rFonts w:hint="eastAsia" w:ascii="宋体" w:hAnsi="宋体" w:eastAsia="宋体" w:cs="宋体"/>
                <w:sz w:val="28"/>
                <w:szCs w:val="28"/>
                <w:highlight w:val="none"/>
              </w:rPr>
            </w:pPr>
          </w:p>
        </w:tc>
        <w:tc>
          <w:tcPr>
            <w:tcW w:w="828" w:type="dxa"/>
            <w:noWrap w:val="0"/>
            <w:vAlign w:val="center"/>
          </w:tcPr>
          <w:p w14:paraId="47CC07D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c>
          <w:tcPr>
            <w:tcW w:w="1655" w:type="dxa"/>
            <w:noWrap w:val="0"/>
            <w:vAlign w:val="center"/>
          </w:tcPr>
          <w:p w14:paraId="6ACE3871">
            <w:pPr>
              <w:jc w:val="center"/>
              <w:rPr>
                <w:rFonts w:hint="eastAsia" w:ascii="宋体" w:hAnsi="宋体" w:eastAsia="宋体" w:cs="宋体"/>
                <w:sz w:val="28"/>
                <w:szCs w:val="28"/>
                <w:highlight w:val="none"/>
              </w:rPr>
            </w:pPr>
          </w:p>
        </w:tc>
      </w:tr>
      <w:tr w14:paraId="109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697B5CD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技术负责人</w:t>
            </w:r>
          </w:p>
        </w:tc>
        <w:tc>
          <w:tcPr>
            <w:tcW w:w="1048" w:type="dxa"/>
            <w:noWrap w:val="0"/>
            <w:vAlign w:val="center"/>
          </w:tcPr>
          <w:p w14:paraId="47D66F2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1412" w:type="dxa"/>
            <w:gridSpan w:val="2"/>
            <w:noWrap w:val="0"/>
            <w:vAlign w:val="center"/>
          </w:tcPr>
          <w:p w14:paraId="32D1F8A1">
            <w:pPr>
              <w:jc w:val="center"/>
              <w:rPr>
                <w:rFonts w:hint="eastAsia" w:ascii="宋体" w:hAnsi="宋体" w:eastAsia="宋体" w:cs="宋体"/>
                <w:sz w:val="28"/>
                <w:szCs w:val="28"/>
                <w:highlight w:val="none"/>
              </w:rPr>
            </w:pPr>
          </w:p>
        </w:tc>
        <w:tc>
          <w:tcPr>
            <w:tcW w:w="1499" w:type="dxa"/>
            <w:gridSpan w:val="2"/>
            <w:noWrap w:val="0"/>
            <w:vAlign w:val="center"/>
          </w:tcPr>
          <w:p w14:paraId="73A12DE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技术职称</w:t>
            </w:r>
          </w:p>
        </w:tc>
        <w:tc>
          <w:tcPr>
            <w:tcW w:w="1760" w:type="dxa"/>
            <w:gridSpan w:val="2"/>
            <w:noWrap w:val="0"/>
            <w:vAlign w:val="center"/>
          </w:tcPr>
          <w:p w14:paraId="24406E92">
            <w:pPr>
              <w:jc w:val="center"/>
              <w:rPr>
                <w:rFonts w:hint="eastAsia" w:ascii="宋体" w:hAnsi="宋体" w:eastAsia="宋体" w:cs="宋体"/>
                <w:sz w:val="28"/>
                <w:szCs w:val="28"/>
                <w:highlight w:val="none"/>
              </w:rPr>
            </w:pPr>
          </w:p>
        </w:tc>
        <w:tc>
          <w:tcPr>
            <w:tcW w:w="828" w:type="dxa"/>
            <w:noWrap w:val="0"/>
            <w:vAlign w:val="center"/>
          </w:tcPr>
          <w:p w14:paraId="0D04B8F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c>
          <w:tcPr>
            <w:tcW w:w="1655" w:type="dxa"/>
            <w:noWrap w:val="0"/>
            <w:vAlign w:val="center"/>
          </w:tcPr>
          <w:p w14:paraId="05396C4E">
            <w:pPr>
              <w:jc w:val="center"/>
              <w:rPr>
                <w:rFonts w:hint="eastAsia" w:ascii="宋体" w:hAnsi="宋体" w:eastAsia="宋体" w:cs="宋体"/>
                <w:sz w:val="28"/>
                <w:szCs w:val="28"/>
                <w:highlight w:val="none"/>
              </w:rPr>
            </w:pPr>
          </w:p>
        </w:tc>
      </w:tr>
      <w:tr w14:paraId="1278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3762BAE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成立时间</w:t>
            </w:r>
          </w:p>
        </w:tc>
        <w:tc>
          <w:tcPr>
            <w:tcW w:w="2460" w:type="dxa"/>
            <w:gridSpan w:val="3"/>
            <w:noWrap w:val="0"/>
            <w:vAlign w:val="center"/>
          </w:tcPr>
          <w:p w14:paraId="1F071890">
            <w:pPr>
              <w:jc w:val="center"/>
              <w:rPr>
                <w:rFonts w:hint="eastAsia" w:ascii="宋体" w:hAnsi="宋体" w:eastAsia="宋体" w:cs="宋体"/>
                <w:sz w:val="28"/>
                <w:szCs w:val="28"/>
                <w:highlight w:val="none"/>
              </w:rPr>
            </w:pPr>
          </w:p>
        </w:tc>
        <w:tc>
          <w:tcPr>
            <w:tcW w:w="5742" w:type="dxa"/>
            <w:gridSpan w:val="6"/>
            <w:noWrap w:val="0"/>
            <w:vAlign w:val="center"/>
          </w:tcPr>
          <w:p w14:paraId="5CC72F5E">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员工总人数：</w:t>
            </w:r>
          </w:p>
        </w:tc>
      </w:tr>
      <w:tr w14:paraId="7D30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735" w:type="dxa"/>
            <w:noWrap w:val="0"/>
            <w:vAlign w:val="center"/>
          </w:tcPr>
          <w:p w14:paraId="3A6276E3">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企业资质等级</w:t>
            </w:r>
          </w:p>
        </w:tc>
        <w:tc>
          <w:tcPr>
            <w:tcW w:w="1048" w:type="dxa"/>
            <w:noWrap w:val="0"/>
            <w:vAlign w:val="center"/>
          </w:tcPr>
          <w:p w14:paraId="1C9CDA81">
            <w:pPr>
              <w:jc w:val="center"/>
              <w:rPr>
                <w:rFonts w:hint="eastAsia" w:ascii="宋体" w:hAnsi="宋体" w:eastAsia="宋体" w:cs="宋体"/>
                <w:sz w:val="28"/>
                <w:szCs w:val="28"/>
                <w:highlight w:val="none"/>
              </w:rPr>
            </w:pPr>
          </w:p>
        </w:tc>
        <w:tc>
          <w:tcPr>
            <w:tcW w:w="1412" w:type="dxa"/>
            <w:gridSpan w:val="2"/>
            <w:noWrap w:val="0"/>
            <w:vAlign w:val="center"/>
          </w:tcPr>
          <w:p w14:paraId="0E08FC2C">
            <w:pPr>
              <w:jc w:val="center"/>
              <w:rPr>
                <w:rFonts w:hint="eastAsia" w:ascii="宋体" w:hAnsi="宋体" w:eastAsia="宋体" w:cs="宋体"/>
                <w:sz w:val="28"/>
                <w:szCs w:val="28"/>
                <w:highlight w:val="none"/>
              </w:rPr>
            </w:pPr>
          </w:p>
        </w:tc>
        <w:tc>
          <w:tcPr>
            <w:tcW w:w="940" w:type="dxa"/>
            <w:vMerge w:val="restart"/>
            <w:noWrap w:val="0"/>
            <w:vAlign w:val="center"/>
          </w:tcPr>
          <w:p w14:paraId="79747413">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其中</w:t>
            </w:r>
          </w:p>
        </w:tc>
        <w:tc>
          <w:tcPr>
            <w:tcW w:w="2319" w:type="dxa"/>
            <w:gridSpan w:val="3"/>
            <w:noWrap w:val="0"/>
            <w:vAlign w:val="center"/>
          </w:tcPr>
          <w:p w14:paraId="18C9D69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2483" w:type="dxa"/>
            <w:gridSpan w:val="2"/>
            <w:noWrap w:val="0"/>
            <w:vAlign w:val="center"/>
          </w:tcPr>
          <w:p w14:paraId="5092F400">
            <w:pPr>
              <w:jc w:val="center"/>
              <w:rPr>
                <w:rFonts w:hint="eastAsia" w:ascii="宋体" w:hAnsi="宋体" w:eastAsia="宋体" w:cs="宋体"/>
                <w:sz w:val="28"/>
                <w:szCs w:val="28"/>
                <w:highlight w:val="none"/>
              </w:rPr>
            </w:pPr>
          </w:p>
        </w:tc>
      </w:tr>
      <w:tr w14:paraId="414F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77BD814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营业执照号</w:t>
            </w:r>
          </w:p>
        </w:tc>
        <w:tc>
          <w:tcPr>
            <w:tcW w:w="1048" w:type="dxa"/>
            <w:noWrap w:val="0"/>
            <w:vAlign w:val="center"/>
          </w:tcPr>
          <w:p w14:paraId="30D49566">
            <w:pPr>
              <w:jc w:val="center"/>
              <w:rPr>
                <w:rFonts w:hint="eastAsia" w:ascii="宋体" w:hAnsi="宋体" w:eastAsia="宋体" w:cs="宋体"/>
                <w:sz w:val="28"/>
                <w:szCs w:val="28"/>
                <w:highlight w:val="none"/>
              </w:rPr>
            </w:pPr>
          </w:p>
        </w:tc>
        <w:tc>
          <w:tcPr>
            <w:tcW w:w="1412" w:type="dxa"/>
            <w:gridSpan w:val="2"/>
            <w:noWrap w:val="0"/>
            <w:vAlign w:val="center"/>
          </w:tcPr>
          <w:p w14:paraId="377AF66B">
            <w:pPr>
              <w:jc w:val="center"/>
              <w:rPr>
                <w:rFonts w:hint="eastAsia" w:ascii="宋体" w:hAnsi="宋体" w:eastAsia="宋体" w:cs="宋体"/>
                <w:sz w:val="28"/>
                <w:szCs w:val="28"/>
                <w:highlight w:val="none"/>
              </w:rPr>
            </w:pPr>
          </w:p>
        </w:tc>
        <w:tc>
          <w:tcPr>
            <w:tcW w:w="940" w:type="dxa"/>
            <w:vMerge w:val="continue"/>
            <w:noWrap w:val="0"/>
            <w:vAlign w:val="center"/>
          </w:tcPr>
          <w:p w14:paraId="734BCEA1">
            <w:pPr>
              <w:jc w:val="center"/>
              <w:rPr>
                <w:rFonts w:hint="eastAsia" w:ascii="宋体" w:hAnsi="宋体" w:eastAsia="宋体" w:cs="宋体"/>
                <w:sz w:val="28"/>
                <w:szCs w:val="28"/>
                <w:highlight w:val="none"/>
              </w:rPr>
            </w:pPr>
          </w:p>
        </w:tc>
        <w:tc>
          <w:tcPr>
            <w:tcW w:w="2319" w:type="dxa"/>
            <w:gridSpan w:val="3"/>
            <w:vMerge w:val="restart"/>
            <w:noWrap w:val="0"/>
            <w:vAlign w:val="center"/>
          </w:tcPr>
          <w:p w14:paraId="112D6AE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职称人员</w:t>
            </w:r>
          </w:p>
        </w:tc>
        <w:tc>
          <w:tcPr>
            <w:tcW w:w="2483" w:type="dxa"/>
            <w:gridSpan w:val="2"/>
            <w:vMerge w:val="restart"/>
            <w:noWrap w:val="0"/>
            <w:vAlign w:val="center"/>
          </w:tcPr>
          <w:p w14:paraId="489E212E">
            <w:pPr>
              <w:jc w:val="center"/>
              <w:rPr>
                <w:rFonts w:hint="eastAsia" w:ascii="宋体" w:hAnsi="宋体" w:eastAsia="宋体" w:cs="宋体"/>
                <w:sz w:val="28"/>
                <w:szCs w:val="28"/>
                <w:highlight w:val="none"/>
              </w:rPr>
            </w:pPr>
          </w:p>
        </w:tc>
      </w:tr>
      <w:tr w14:paraId="1DED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2D26D4B3">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注册资金</w:t>
            </w:r>
          </w:p>
        </w:tc>
        <w:tc>
          <w:tcPr>
            <w:tcW w:w="1048" w:type="dxa"/>
            <w:noWrap w:val="0"/>
            <w:vAlign w:val="center"/>
          </w:tcPr>
          <w:p w14:paraId="60471FA7">
            <w:pPr>
              <w:jc w:val="center"/>
              <w:rPr>
                <w:rFonts w:hint="eastAsia" w:ascii="宋体" w:hAnsi="宋体" w:eastAsia="宋体" w:cs="宋体"/>
                <w:sz w:val="28"/>
                <w:szCs w:val="28"/>
                <w:highlight w:val="none"/>
              </w:rPr>
            </w:pPr>
          </w:p>
        </w:tc>
        <w:tc>
          <w:tcPr>
            <w:tcW w:w="1412" w:type="dxa"/>
            <w:gridSpan w:val="2"/>
            <w:noWrap w:val="0"/>
            <w:vAlign w:val="center"/>
          </w:tcPr>
          <w:p w14:paraId="6A846B98">
            <w:pPr>
              <w:jc w:val="center"/>
              <w:rPr>
                <w:rFonts w:hint="eastAsia" w:ascii="宋体" w:hAnsi="宋体" w:eastAsia="宋体" w:cs="宋体"/>
                <w:sz w:val="28"/>
                <w:szCs w:val="28"/>
                <w:highlight w:val="none"/>
              </w:rPr>
            </w:pPr>
          </w:p>
        </w:tc>
        <w:tc>
          <w:tcPr>
            <w:tcW w:w="940" w:type="dxa"/>
            <w:vMerge w:val="continue"/>
            <w:noWrap w:val="0"/>
            <w:vAlign w:val="center"/>
          </w:tcPr>
          <w:p w14:paraId="06630420">
            <w:pPr>
              <w:jc w:val="center"/>
              <w:rPr>
                <w:rFonts w:hint="eastAsia" w:ascii="宋体" w:hAnsi="宋体" w:eastAsia="宋体" w:cs="宋体"/>
                <w:sz w:val="28"/>
                <w:szCs w:val="28"/>
                <w:highlight w:val="none"/>
              </w:rPr>
            </w:pPr>
          </w:p>
        </w:tc>
        <w:tc>
          <w:tcPr>
            <w:tcW w:w="2319" w:type="dxa"/>
            <w:gridSpan w:val="3"/>
            <w:vMerge w:val="continue"/>
            <w:noWrap w:val="0"/>
            <w:vAlign w:val="center"/>
          </w:tcPr>
          <w:p w14:paraId="5CF2D236">
            <w:pPr>
              <w:jc w:val="center"/>
              <w:rPr>
                <w:rFonts w:hint="eastAsia" w:ascii="宋体" w:hAnsi="宋体" w:eastAsia="宋体" w:cs="宋体"/>
                <w:sz w:val="28"/>
                <w:szCs w:val="28"/>
                <w:highlight w:val="none"/>
              </w:rPr>
            </w:pPr>
          </w:p>
        </w:tc>
        <w:tc>
          <w:tcPr>
            <w:tcW w:w="2483" w:type="dxa"/>
            <w:gridSpan w:val="2"/>
            <w:vMerge w:val="continue"/>
            <w:noWrap w:val="0"/>
            <w:vAlign w:val="center"/>
          </w:tcPr>
          <w:p w14:paraId="4C924A7E">
            <w:pPr>
              <w:jc w:val="center"/>
              <w:rPr>
                <w:rFonts w:hint="eastAsia" w:ascii="宋体" w:hAnsi="宋体" w:eastAsia="宋体" w:cs="宋体"/>
                <w:sz w:val="28"/>
                <w:szCs w:val="28"/>
                <w:highlight w:val="none"/>
              </w:rPr>
            </w:pPr>
          </w:p>
        </w:tc>
      </w:tr>
      <w:tr w14:paraId="154B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35" w:type="dxa"/>
            <w:noWrap w:val="0"/>
            <w:vAlign w:val="center"/>
          </w:tcPr>
          <w:p w14:paraId="0E7A438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p>
        </w:tc>
        <w:tc>
          <w:tcPr>
            <w:tcW w:w="1048" w:type="dxa"/>
            <w:noWrap w:val="0"/>
            <w:vAlign w:val="center"/>
          </w:tcPr>
          <w:p w14:paraId="6BD9E7A3">
            <w:pPr>
              <w:jc w:val="center"/>
              <w:rPr>
                <w:rFonts w:hint="eastAsia" w:ascii="宋体" w:hAnsi="宋体" w:eastAsia="宋体" w:cs="宋体"/>
                <w:sz w:val="28"/>
                <w:szCs w:val="28"/>
                <w:highlight w:val="none"/>
              </w:rPr>
            </w:pPr>
          </w:p>
        </w:tc>
        <w:tc>
          <w:tcPr>
            <w:tcW w:w="1412" w:type="dxa"/>
            <w:gridSpan w:val="2"/>
            <w:noWrap w:val="0"/>
            <w:vAlign w:val="center"/>
          </w:tcPr>
          <w:p w14:paraId="4D29D249">
            <w:pPr>
              <w:jc w:val="center"/>
              <w:rPr>
                <w:rFonts w:hint="eastAsia" w:ascii="宋体" w:hAnsi="宋体" w:eastAsia="宋体" w:cs="宋体"/>
                <w:sz w:val="28"/>
                <w:szCs w:val="28"/>
                <w:highlight w:val="none"/>
              </w:rPr>
            </w:pPr>
          </w:p>
        </w:tc>
        <w:tc>
          <w:tcPr>
            <w:tcW w:w="940" w:type="dxa"/>
            <w:vMerge w:val="continue"/>
            <w:noWrap w:val="0"/>
            <w:vAlign w:val="center"/>
          </w:tcPr>
          <w:p w14:paraId="46A4C2FC">
            <w:pPr>
              <w:jc w:val="center"/>
              <w:rPr>
                <w:rFonts w:hint="eastAsia" w:ascii="宋体" w:hAnsi="宋体" w:eastAsia="宋体" w:cs="宋体"/>
                <w:sz w:val="28"/>
                <w:szCs w:val="28"/>
                <w:highlight w:val="none"/>
              </w:rPr>
            </w:pPr>
          </w:p>
        </w:tc>
        <w:tc>
          <w:tcPr>
            <w:tcW w:w="2319" w:type="dxa"/>
            <w:gridSpan w:val="3"/>
            <w:vMerge w:val="continue"/>
            <w:noWrap w:val="0"/>
            <w:vAlign w:val="center"/>
          </w:tcPr>
          <w:p w14:paraId="6BB52137">
            <w:pPr>
              <w:jc w:val="center"/>
              <w:rPr>
                <w:rFonts w:hint="eastAsia" w:ascii="宋体" w:hAnsi="宋体" w:eastAsia="宋体" w:cs="宋体"/>
                <w:sz w:val="28"/>
                <w:szCs w:val="28"/>
                <w:highlight w:val="none"/>
              </w:rPr>
            </w:pPr>
          </w:p>
        </w:tc>
        <w:tc>
          <w:tcPr>
            <w:tcW w:w="2483" w:type="dxa"/>
            <w:gridSpan w:val="2"/>
            <w:vMerge w:val="continue"/>
            <w:noWrap w:val="0"/>
            <w:vAlign w:val="center"/>
          </w:tcPr>
          <w:p w14:paraId="1D39D5D8">
            <w:pPr>
              <w:jc w:val="center"/>
              <w:rPr>
                <w:rFonts w:hint="eastAsia" w:ascii="宋体" w:hAnsi="宋体" w:eastAsia="宋体" w:cs="宋体"/>
                <w:sz w:val="28"/>
                <w:szCs w:val="28"/>
                <w:highlight w:val="none"/>
              </w:rPr>
            </w:pPr>
          </w:p>
        </w:tc>
      </w:tr>
      <w:tr w14:paraId="44D0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34F1E2B3">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p>
        </w:tc>
        <w:tc>
          <w:tcPr>
            <w:tcW w:w="1048" w:type="dxa"/>
            <w:noWrap w:val="0"/>
            <w:vAlign w:val="center"/>
          </w:tcPr>
          <w:p w14:paraId="1E6B207D">
            <w:pPr>
              <w:jc w:val="center"/>
              <w:rPr>
                <w:rFonts w:hint="eastAsia" w:ascii="宋体" w:hAnsi="宋体" w:eastAsia="宋体" w:cs="宋体"/>
                <w:sz w:val="28"/>
                <w:szCs w:val="28"/>
                <w:highlight w:val="none"/>
              </w:rPr>
            </w:pPr>
          </w:p>
        </w:tc>
        <w:tc>
          <w:tcPr>
            <w:tcW w:w="1412" w:type="dxa"/>
            <w:gridSpan w:val="2"/>
            <w:noWrap w:val="0"/>
            <w:vAlign w:val="center"/>
          </w:tcPr>
          <w:p w14:paraId="544C105E">
            <w:pPr>
              <w:jc w:val="center"/>
              <w:rPr>
                <w:rFonts w:hint="eastAsia" w:ascii="宋体" w:hAnsi="宋体" w:eastAsia="宋体" w:cs="宋体"/>
                <w:sz w:val="28"/>
                <w:szCs w:val="28"/>
                <w:highlight w:val="none"/>
              </w:rPr>
            </w:pPr>
          </w:p>
        </w:tc>
        <w:tc>
          <w:tcPr>
            <w:tcW w:w="940" w:type="dxa"/>
            <w:vMerge w:val="continue"/>
            <w:noWrap w:val="0"/>
            <w:vAlign w:val="center"/>
          </w:tcPr>
          <w:p w14:paraId="0368D29D">
            <w:pPr>
              <w:jc w:val="center"/>
              <w:rPr>
                <w:rFonts w:hint="eastAsia" w:ascii="宋体" w:hAnsi="宋体" w:eastAsia="宋体" w:cs="宋体"/>
                <w:sz w:val="28"/>
                <w:szCs w:val="28"/>
                <w:highlight w:val="none"/>
              </w:rPr>
            </w:pPr>
          </w:p>
        </w:tc>
        <w:tc>
          <w:tcPr>
            <w:tcW w:w="2319" w:type="dxa"/>
            <w:gridSpan w:val="3"/>
            <w:noWrap w:val="0"/>
            <w:vAlign w:val="center"/>
          </w:tcPr>
          <w:p w14:paraId="1A74385A">
            <w:pPr>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职员</w:t>
            </w:r>
          </w:p>
        </w:tc>
        <w:tc>
          <w:tcPr>
            <w:tcW w:w="2483" w:type="dxa"/>
            <w:gridSpan w:val="2"/>
            <w:noWrap w:val="0"/>
            <w:vAlign w:val="center"/>
          </w:tcPr>
          <w:p w14:paraId="799AC011">
            <w:pPr>
              <w:jc w:val="center"/>
              <w:rPr>
                <w:rFonts w:hint="eastAsia" w:ascii="宋体" w:hAnsi="宋体" w:eastAsia="宋体" w:cs="宋体"/>
                <w:sz w:val="28"/>
                <w:szCs w:val="28"/>
                <w:highlight w:val="none"/>
              </w:rPr>
            </w:pPr>
          </w:p>
        </w:tc>
      </w:tr>
      <w:tr w14:paraId="7FA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735" w:type="dxa"/>
            <w:noWrap w:val="0"/>
            <w:vAlign w:val="center"/>
          </w:tcPr>
          <w:p w14:paraId="70018B76">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经营范围</w:t>
            </w:r>
          </w:p>
        </w:tc>
        <w:tc>
          <w:tcPr>
            <w:tcW w:w="8202" w:type="dxa"/>
            <w:gridSpan w:val="9"/>
            <w:noWrap w:val="0"/>
            <w:vAlign w:val="center"/>
          </w:tcPr>
          <w:p w14:paraId="470C4160">
            <w:pPr>
              <w:jc w:val="center"/>
              <w:rPr>
                <w:rFonts w:hint="eastAsia" w:ascii="宋体" w:hAnsi="宋体" w:eastAsia="宋体" w:cs="宋体"/>
                <w:sz w:val="28"/>
                <w:szCs w:val="28"/>
                <w:highlight w:val="none"/>
              </w:rPr>
            </w:pPr>
          </w:p>
        </w:tc>
      </w:tr>
      <w:tr w14:paraId="3B62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6B7886B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tc>
        <w:tc>
          <w:tcPr>
            <w:tcW w:w="8202" w:type="dxa"/>
            <w:gridSpan w:val="9"/>
            <w:noWrap w:val="0"/>
            <w:vAlign w:val="center"/>
          </w:tcPr>
          <w:p w14:paraId="2B3DFEE7">
            <w:pPr>
              <w:jc w:val="center"/>
              <w:rPr>
                <w:rFonts w:hint="eastAsia" w:ascii="宋体" w:hAnsi="宋体" w:eastAsia="宋体" w:cs="宋体"/>
                <w:sz w:val="28"/>
                <w:szCs w:val="28"/>
                <w:highlight w:val="none"/>
              </w:rPr>
            </w:pPr>
          </w:p>
        </w:tc>
      </w:tr>
    </w:tbl>
    <w:p w14:paraId="3BDA8BFF">
      <w:pPr>
        <w:spacing w:line="440" w:lineRule="exact"/>
        <w:rPr>
          <w:rFonts w:hint="eastAsia"/>
          <w:lang w:eastAsia="zh-CN"/>
        </w:rPr>
      </w:pPr>
      <w:r>
        <w:rPr>
          <w:rFonts w:hint="eastAsia" w:ascii="宋体" w:hAnsi="宋体" w:eastAsia="宋体" w:cs="宋体"/>
          <w:b/>
          <w:sz w:val="28"/>
          <w:szCs w:val="28"/>
          <w:highlight w:val="none"/>
        </w:rPr>
        <w:t>备注：本表后应附企业法人营业执照、资质证书、开户许可证</w:t>
      </w:r>
      <w:r>
        <w:rPr>
          <w:rFonts w:hint="eastAsia" w:ascii="宋体" w:hAnsi="宋体" w:eastAsia="宋体" w:cs="宋体"/>
          <w:b/>
          <w:sz w:val="28"/>
          <w:szCs w:val="28"/>
          <w:highlight w:val="none"/>
          <w:lang w:eastAsia="zh-CN"/>
        </w:rPr>
        <w:t>（或基本账户存款信息）</w:t>
      </w:r>
      <w:r>
        <w:rPr>
          <w:rFonts w:hint="eastAsia" w:ascii="宋体" w:hAnsi="宋体" w:eastAsia="宋体" w:cs="宋体"/>
          <w:b/>
          <w:sz w:val="28"/>
          <w:szCs w:val="28"/>
          <w:highlight w:val="none"/>
        </w:rPr>
        <w:t>复印件。</w:t>
      </w:r>
    </w:p>
    <w:p w14:paraId="397FEAA6">
      <w:pPr>
        <w:rPr>
          <w:rFonts w:hint="eastAsia"/>
          <w:lang w:eastAsia="zh-CN"/>
        </w:rPr>
      </w:pPr>
    </w:p>
    <w:p w14:paraId="25BB256F">
      <w:pPr>
        <w:keepNext w:val="0"/>
        <w:keepLines w:val="0"/>
        <w:pageBreakBefore w:val="0"/>
        <w:widowControl w:val="0"/>
        <w:kinsoku/>
        <w:wordWrap/>
        <w:overflowPunct/>
        <w:topLinePunct w:val="0"/>
        <w:autoSpaceDE/>
        <w:autoSpaceDN/>
        <w:bidi w:val="0"/>
        <w:adjustRightInd/>
        <w:snapToGrid/>
        <w:spacing w:line="400" w:lineRule="exact"/>
        <w:ind w:left="7"/>
        <w:jc w:val="center"/>
        <w:textAlignment w:val="auto"/>
        <w:rPr>
          <w:rFonts w:hint="eastAsia" w:ascii="宋体" w:hAnsi="宋体" w:eastAsia="宋体" w:cs="宋体"/>
          <w:b/>
          <w:bCs/>
          <w:sz w:val="28"/>
          <w:szCs w:val="28"/>
          <w:lang w:eastAsia="zh-CN"/>
        </w:rPr>
      </w:pPr>
    </w:p>
    <w:p w14:paraId="45F613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lang w:eastAsia="zh-CN"/>
        </w:rPr>
        <w:t>（九）</w:t>
      </w:r>
      <w:r>
        <w:rPr>
          <w:rFonts w:hint="eastAsia" w:ascii="宋体" w:hAnsi="宋体" w:eastAsia="宋体" w:cs="宋体"/>
          <w:b/>
          <w:bCs/>
          <w:sz w:val="28"/>
          <w:szCs w:val="28"/>
          <w:lang w:eastAsia="zh-CN"/>
        </w:rPr>
        <w:t>拟</w:t>
      </w:r>
      <w:r>
        <w:rPr>
          <w:rFonts w:hint="eastAsia" w:ascii="宋体" w:hAnsi="宋体" w:eastAsia="宋体" w:cs="宋体"/>
          <w:b/>
          <w:bCs/>
          <w:sz w:val="28"/>
          <w:szCs w:val="28"/>
          <w:highlight w:val="none"/>
        </w:rPr>
        <w:t>项目</w:t>
      </w:r>
      <w:r>
        <w:rPr>
          <w:rFonts w:hint="eastAsia" w:ascii="宋体" w:hAnsi="宋体" w:eastAsia="宋体" w:cs="宋体"/>
          <w:b/>
          <w:bCs/>
          <w:sz w:val="28"/>
          <w:szCs w:val="28"/>
          <w:highlight w:val="none"/>
          <w:lang w:eastAsia="zh-CN"/>
        </w:rPr>
        <w:t>负责人及参与人员情况表</w:t>
      </w:r>
    </w:p>
    <w:p w14:paraId="16D0A1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cs="宋体"/>
          <w:b/>
          <w:bCs/>
          <w:sz w:val="28"/>
          <w:szCs w:val="28"/>
          <w:highlight w:val="none"/>
          <w:lang w:eastAsia="zh-CN"/>
        </w:rPr>
      </w:pPr>
    </w:p>
    <w:p w14:paraId="1C57AF00">
      <w:pPr>
        <w:pStyle w:val="2"/>
        <w:rPr>
          <w:rFonts w:hint="eastAsia" w:ascii="宋体" w:hAnsi="宋体" w:cs="宋体"/>
          <w:b/>
          <w:bCs/>
          <w:sz w:val="28"/>
          <w:szCs w:val="28"/>
          <w:highlight w:val="none"/>
          <w:lang w:eastAsia="zh-CN"/>
        </w:rPr>
      </w:pPr>
    </w:p>
    <w:p w14:paraId="094C4138">
      <w:pPr>
        <w:rPr>
          <w:rFonts w:hint="eastAsia"/>
          <w:lang w:eastAsia="zh-CN"/>
        </w:rPr>
      </w:pPr>
    </w:p>
    <w:p w14:paraId="134B4D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cs="宋体"/>
          <w:b/>
          <w:bCs/>
          <w:sz w:val="28"/>
          <w:szCs w:val="28"/>
          <w:highlight w:val="none"/>
          <w:lang w:eastAsia="zh-CN"/>
        </w:rPr>
      </w:pPr>
    </w:p>
    <w:p w14:paraId="75E799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项目负责人情况表：</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859"/>
        <w:gridCol w:w="1008"/>
        <w:gridCol w:w="1016"/>
        <w:gridCol w:w="752"/>
        <w:gridCol w:w="1341"/>
        <w:gridCol w:w="171"/>
        <w:gridCol w:w="2270"/>
      </w:tblGrid>
      <w:tr w14:paraId="4196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noWrap w:val="0"/>
            <w:vAlign w:val="center"/>
          </w:tcPr>
          <w:p w14:paraId="3238C0DD">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  名</w:t>
            </w:r>
          </w:p>
        </w:tc>
        <w:tc>
          <w:tcPr>
            <w:tcW w:w="859" w:type="dxa"/>
            <w:noWrap w:val="0"/>
            <w:vAlign w:val="center"/>
          </w:tcPr>
          <w:p w14:paraId="2BAB73A5">
            <w:pPr>
              <w:spacing w:line="360" w:lineRule="auto"/>
              <w:jc w:val="center"/>
              <w:rPr>
                <w:rFonts w:hint="eastAsia" w:ascii="宋体" w:hAnsi="宋体" w:eastAsia="宋体" w:cs="宋体"/>
                <w:sz w:val="28"/>
                <w:szCs w:val="28"/>
                <w:highlight w:val="none"/>
              </w:rPr>
            </w:pPr>
          </w:p>
        </w:tc>
        <w:tc>
          <w:tcPr>
            <w:tcW w:w="1008" w:type="dxa"/>
            <w:noWrap w:val="0"/>
            <w:vAlign w:val="center"/>
          </w:tcPr>
          <w:p w14:paraId="14BC685A">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龄</w:t>
            </w:r>
          </w:p>
        </w:tc>
        <w:tc>
          <w:tcPr>
            <w:tcW w:w="1016" w:type="dxa"/>
            <w:noWrap w:val="0"/>
            <w:vAlign w:val="center"/>
          </w:tcPr>
          <w:p w14:paraId="763E28CC">
            <w:pPr>
              <w:spacing w:line="360" w:lineRule="auto"/>
              <w:jc w:val="center"/>
              <w:rPr>
                <w:rFonts w:hint="eastAsia" w:ascii="宋体" w:hAnsi="宋体" w:eastAsia="宋体" w:cs="宋体"/>
                <w:sz w:val="28"/>
                <w:szCs w:val="28"/>
                <w:highlight w:val="none"/>
              </w:rPr>
            </w:pPr>
          </w:p>
        </w:tc>
        <w:tc>
          <w:tcPr>
            <w:tcW w:w="2264" w:type="dxa"/>
            <w:gridSpan w:val="3"/>
            <w:noWrap w:val="0"/>
            <w:vAlign w:val="center"/>
          </w:tcPr>
          <w:p w14:paraId="33A86964">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学历</w:t>
            </w:r>
          </w:p>
        </w:tc>
        <w:tc>
          <w:tcPr>
            <w:tcW w:w="2270" w:type="dxa"/>
            <w:noWrap w:val="0"/>
            <w:vAlign w:val="center"/>
          </w:tcPr>
          <w:p w14:paraId="5F90C5EE">
            <w:pPr>
              <w:spacing w:line="360" w:lineRule="auto"/>
              <w:rPr>
                <w:rFonts w:hint="eastAsia" w:ascii="宋体" w:hAnsi="宋体" w:eastAsia="宋体" w:cs="宋体"/>
                <w:sz w:val="28"/>
                <w:szCs w:val="28"/>
                <w:highlight w:val="none"/>
              </w:rPr>
            </w:pPr>
          </w:p>
        </w:tc>
      </w:tr>
      <w:tr w14:paraId="347C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noWrap w:val="0"/>
            <w:vAlign w:val="center"/>
          </w:tcPr>
          <w:p w14:paraId="27199306">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  称</w:t>
            </w:r>
          </w:p>
        </w:tc>
        <w:tc>
          <w:tcPr>
            <w:tcW w:w="859" w:type="dxa"/>
            <w:noWrap w:val="0"/>
            <w:vAlign w:val="center"/>
          </w:tcPr>
          <w:p w14:paraId="75EFA216">
            <w:pPr>
              <w:spacing w:line="360" w:lineRule="auto"/>
              <w:jc w:val="center"/>
              <w:rPr>
                <w:rFonts w:hint="eastAsia" w:ascii="宋体" w:hAnsi="宋体" w:eastAsia="宋体" w:cs="宋体"/>
                <w:sz w:val="28"/>
                <w:szCs w:val="28"/>
                <w:highlight w:val="none"/>
              </w:rPr>
            </w:pPr>
          </w:p>
        </w:tc>
        <w:tc>
          <w:tcPr>
            <w:tcW w:w="1008" w:type="dxa"/>
            <w:noWrap w:val="0"/>
            <w:vAlign w:val="center"/>
          </w:tcPr>
          <w:p w14:paraId="6F801416">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 务</w:t>
            </w:r>
          </w:p>
        </w:tc>
        <w:tc>
          <w:tcPr>
            <w:tcW w:w="1016" w:type="dxa"/>
            <w:noWrap w:val="0"/>
            <w:vAlign w:val="center"/>
          </w:tcPr>
          <w:p w14:paraId="46CAAA97">
            <w:pPr>
              <w:spacing w:line="360" w:lineRule="auto"/>
              <w:jc w:val="center"/>
              <w:rPr>
                <w:rFonts w:hint="eastAsia" w:ascii="宋体" w:hAnsi="宋体" w:eastAsia="宋体" w:cs="宋体"/>
                <w:sz w:val="28"/>
                <w:szCs w:val="28"/>
                <w:highlight w:val="none"/>
              </w:rPr>
            </w:pPr>
          </w:p>
        </w:tc>
        <w:tc>
          <w:tcPr>
            <w:tcW w:w="2264" w:type="dxa"/>
            <w:gridSpan w:val="3"/>
            <w:noWrap w:val="0"/>
            <w:vAlign w:val="center"/>
          </w:tcPr>
          <w:p w14:paraId="317BF84C">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拟在本合同任职</w:t>
            </w:r>
          </w:p>
        </w:tc>
        <w:tc>
          <w:tcPr>
            <w:tcW w:w="2270" w:type="dxa"/>
            <w:noWrap w:val="0"/>
            <w:vAlign w:val="center"/>
          </w:tcPr>
          <w:p w14:paraId="0FB3064E">
            <w:pPr>
              <w:spacing w:line="360" w:lineRule="auto"/>
              <w:rPr>
                <w:rFonts w:hint="eastAsia" w:ascii="宋体" w:hAnsi="宋体" w:eastAsia="宋体" w:cs="宋体"/>
                <w:sz w:val="28"/>
                <w:szCs w:val="28"/>
                <w:highlight w:val="none"/>
              </w:rPr>
            </w:pPr>
          </w:p>
        </w:tc>
      </w:tr>
      <w:tr w14:paraId="14FD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noWrap w:val="0"/>
            <w:vAlign w:val="center"/>
          </w:tcPr>
          <w:p w14:paraId="10EC7D42">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毕业学校</w:t>
            </w:r>
          </w:p>
        </w:tc>
        <w:tc>
          <w:tcPr>
            <w:tcW w:w="7417" w:type="dxa"/>
            <w:gridSpan w:val="7"/>
            <w:noWrap w:val="0"/>
            <w:vAlign w:val="top"/>
          </w:tcPr>
          <w:p w14:paraId="4B47B639">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年毕业于            学校        专业</w:t>
            </w:r>
          </w:p>
        </w:tc>
      </w:tr>
      <w:tr w14:paraId="505A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8"/>
            <w:noWrap w:val="0"/>
            <w:vAlign w:val="center"/>
          </w:tcPr>
          <w:p w14:paraId="2C193C56">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主要工作经历</w:t>
            </w:r>
          </w:p>
        </w:tc>
      </w:tr>
      <w:tr w14:paraId="1718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3" w:type="dxa"/>
            <w:noWrap w:val="0"/>
            <w:vAlign w:val="center"/>
          </w:tcPr>
          <w:p w14:paraId="18B9BDA5">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时  间</w:t>
            </w:r>
          </w:p>
        </w:tc>
        <w:tc>
          <w:tcPr>
            <w:tcW w:w="3635" w:type="dxa"/>
            <w:gridSpan w:val="4"/>
            <w:noWrap w:val="0"/>
            <w:vAlign w:val="center"/>
          </w:tcPr>
          <w:p w14:paraId="111C8D0F">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参加过的类似项目</w:t>
            </w:r>
          </w:p>
        </w:tc>
        <w:tc>
          <w:tcPr>
            <w:tcW w:w="1341" w:type="dxa"/>
            <w:noWrap w:val="0"/>
            <w:vAlign w:val="center"/>
          </w:tcPr>
          <w:p w14:paraId="58C710CE">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担任职务</w:t>
            </w:r>
          </w:p>
        </w:tc>
        <w:tc>
          <w:tcPr>
            <w:tcW w:w="2441" w:type="dxa"/>
            <w:gridSpan w:val="2"/>
            <w:noWrap w:val="0"/>
            <w:vAlign w:val="center"/>
          </w:tcPr>
          <w:p w14:paraId="4EBCC828">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发包人及联系电话</w:t>
            </w:r>
          </w:p>
        </w:tc>
      </w:tr>
      <w:tr w14:paraId="3E16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noWrap w:val="0"/>
            <w:vAlign w:val="top"/>
          </w:tcPr>
          <w:p w14:paraId="5EBCFA99">
            <w:pPr>
              <w:spacing w:line="360" w:lineRule="auto"/>
              <w:rPr>
                <w:rFonts w:hint="eastAsia" w:ascii="宋体" w:hAnsi="宋体" w:eastAsia="宋体" w:cs="宋体"/>
                <w:color w:val="00CCFF"/>
                <w:sz w:val="28"/>
                <w:szCs w:val="28"/>
                <w:highlight w:val="none"/>
              </w:rPr>
            </w:pPr>
          </w:p>
        </w:tc>
        <w:tc>
          <w:tcPr>
            <w:tcW w:w="3635" w:type="dxa"/>
            <w:gridSpan w:val="4"/>
            <w:noWrap w:val="0"/>
            <w:vAlign w:val="top"/>
          </w:tcPr>
          <w:p w14:paraId="408CC9E4">
            <w:pPr>
              <w:spacing w:line="360" w:lineRule="auto"/>
              <w:rPr>
                <w:rFonts w:hint="eastAsia" w:ascii="宋体" w:hAnsi="宋体" w:eastAsia="宋体" w:cs="宋体"/>
                <w:color w:val="00CCFF"/>
                <w:sz w:val="28"/>
                <w:szCs w:val="28"/>
                <w:highlight w:val="none"/>
              </w:rPr>
            </w:pPr>
          </w:p>
        </w:tc>
        <w:tc>
          <w:tcPr>
            <w:tcW w:w="1341" w:type="dxa"/>
            <w:noWrap w:val="0"/>
            <w:vAlign w:val="top"/>
          </w:tcPr>
          <w:p w14:paraId="64014F86">
            <w:pPr>
              <w:spacing w:line="360" w:lineRule="auto"/>
              <w:rPr>
                <w:rFonts w:hint="eastAsia" w:ascii="宋体" w:hAnsi="宋体" w:eastAsia="宋体" w:cs="宋体"/>
                <w:color w:val="00CCFF"/>
                <w:sz w:val="28"/>
                <w:szCs w:val="28"/>
                <w:highlight w:val="none"/>
              </w:rPr>
            </w:pPr>
          </w:p>
        </w:tc>
        <w:tc>
          <w:tcPr>
            <w:tcW w:w="2441" w:type="dxa"/>
            <w:gridSpan w:val="2"/>
            <w:noWrap w:val="0"/>
            <w:vAlign w:val="top"/>
          </w:tcPr>
          <w:p w14:paraId="7BA77C82">
            <w:pPr>
              <w:spacing w:line="360" w:lineRule="auto"/>
              <w:rPr>
                <w:rFonts w:hint="eastAsia" w:ascii="宋体" w:hAnsi="宋体" w:eastAsia="宋体" w:cs="宋体"/>
                <w:color w:val="00CCFF"/>
                <w:sz w:val="28"/>
                <w:szCs w:val="28"/>
                <w:highlight w:val="none"/>
              </w:rPr>
            </w:pPr>
          </w:p>
        </w:tc>
      </w:tr>
      <w:tr w14:paraId="5BCD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noWrap w:val="0"/>
            <w:vAlign w:val="top"/>
          </w:tcPr>
          <w:p w14:paraId="11381D0B">
            <w:pPr>
              <w:spacing w:line="360" w:lineRule="auto"/>
              <w:rPr>
                <w:rFonts w:hint="eastAsia" w:ascii="宋体" w:hAnsi="宋体" w:eastAsia="宋体" w:cs="宋体"/>
                <w:color w:val="00CCFF"/>
                <w:sz w:val="28"/>
                <w:szCs w:val="28"/>
                <w:highlight w:val="none"/>
              </w:rPr>
            </w:pPr>
          </w:p>
        </w:tc>
        <w:tc>
          <w:tcPr>
            <w:tcW w:w="3635" w:type="dxa"/>
            <w:gridSpan w:val="4"/>
            <w:noWrap w:val="0"/>
            <w:vAlign w:val="top"/>
          </w:tcPr>
          <w:p w14:paraId="7042EE86">
            <w:pPr>
              <w:spacing w:line="360" w:lineRule="auto"/>
              <w:rPr>
                <w:rFonts w:hint="eastAsia" w:ascii="宋体" w:hAnsi="宋体" w:eastAsia="宋体" w:cs="宋体"/>
                <w:color w:val="00CCFF"/>
                <w:sz w:val="28"/>
                <w:szCs w:val="28"/>
                <w:highlight w:val="none"/>
              </w:rPr>
            </w:pPr>
          </w:p>
        </w:tc>
        <w:tc>
          <w:tcPr>
            <w:tcW w:w="1341" w:type="dxa"/>
            <w:noWrap w:val="0"/>
            <w:vAlign w:val="top"/>
          </w:tcPr>
          <w:p w14:paraId="77037BDB">
            <w:pPr>
              <w:spacing w:line="360" w:lineRule="auto"/>
              <w:rPr>
                <w:rFonts w:hint="eastAsia" w:ascii="宋体" w:hAnsi="宋体" w:eastAsia="宋体" w:cs="宋体"/>
                <w:color w:val="00CCFF"/>
                <w:sz w:val="28"/>
                <w:szCs w:val="28"/>
                <w:highlight w:val="none"/>
              </w:rPr>
            </w:pPr>
          </w:p>
        </w:tc>
        <w:tc>
          <w:tcPr>
            <w:tcW w:w="2441" w:type="dxa"/>
            <w:gridSpan w:val="2"/>
            <w:noWrap w:val="0"/>
            <w:vAlign w:val="top"/>
          </w:tcPr>
          <w:p w14:paraId="2671C707">
            <w:pPr>
              <w:spacing w:line="360" w:lineRule="auto"/>
              <w:rPr>
                <w:rFonts w:hint="eastAsia" w:ascii="宋体" w:hAnsi="宋体" w:eastAsia="宋体" w:cs="宋体"/>
                <w:color w:val="00CCFF"/>
                <w:sz w:val="28"/>
                <w:szCs w:val="28"/>
                <w:highlight w:val="none"/>
              </w:rPr>
            </w:pPr>
          </w:p>
        </w:tc>
      </w:tr>
      <w:tr w14:paraId="7193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noWrap w:val="0"/>
            <w:vAlign w:val="top"/>
          </w:tcPr>
          <w:p w14:paraId="02ABDE10">
            <w:pPr>
              <w:spacing w:line="360" w:lineRule="auto"/>
              <w:rPr>
                <w:rFonts w:hint="eastAsia" w:ascii="宋体" w:hAnsi="宋体" w:eastAsia="宋体" w:cs="宋体"/>
                <w:color w:val="00CCFF"/>
                <w:sz w:val="28"/>
                <w:szCs w:val="28"/>
                <w:highlight w:val="none"/>
              </w:rPr>
            </w:pPr>
          </w:p>
        </w:tc>
        <w:tc>
          <w:tcPr>
            <w:tcW w:w="3635" w:type="dxa"/>
            <w:gridSpan w:val="4"/>
            <w:noWrap w:val="0"/>
            <w:vAlign w:val="top"/>
          </w:tcPr>
          <w:p w14:paraId="491D7292">
            <w:pPr>
              <w:spacing w:line="360" w:lineRule="auto"/>
              <w:rPr>
                <w:rFonts w:hint="eastAsia" w:ascii="宋体" w:hAnsi="宋体" w:eastAsia="宋体" w:cs="宋体"/>
                <w:color w:val="00CCFF"/>
                <w:sz w:val="28"/>
                <w:szCs w:val="28"/>
                <w:highlight w:val="none"/>
              </w:rPr>
            </w:pPr>
          </w:p>
        </w:tc>
        <w:tc>
          <w:tcPr>
            <w:tcW w:w="1341" w:type="dxa"/>
            <w:noWrap w:val="0"/>
            <w:vAlign w:val="top"/>
          </w:tcPr>
          <w:p w14:paraId="5EAD26C1">
            <w:pPr>
              <w:spacing w:line="360" w:lineRule="auto"/>
              <w:rPr>
                <w:rFonts w:hint="eastAsia" w:ascii="宋体" w:hAnsi="宋体" w:eastAsia="宋体" w:cs="宋体"/>
                <w:color w:val="00CCFF"/>
                <w:sz w:val="28"/>
                <w:szCs w:val="28"/>
                <w:highlight w:val="none"/>
              </w:rPr>
            </w:pPr>
          </w:p>
        </w:tc>
        <w:tc>
          <w:tcPr>
            <w:tcW w:w="2441" w:type="dxa"/>
            <w:gridSpan w:val="2"/>
            <w:noWrap w:val="0"/>
            <w:vAlign w:val="top"/>
          </w:tcPr>
          <w:p w14:paraId="65FCFB6E">
            <w:pPr>
              <w:spacing w:line="360" w:lineRule="auto"/>
              <w:rPr>
                <w:rFonts w:hint="eastAsia" w:ascii="宋体" w:hAnsi="宋体" w:eastAsia="宋体" w:cs="宋体"/>
                <w:color w:val="00CCFF"/>
                <w:sz w:val="28"/>
                <w:szCs w:val="28"/>
                <w:highlight w:val="none"/>
              </w:rPr>
            </w:pPr>
          </w:p>
        </w:tc>
      </w:tr>
      <w:tr w14:paraId="188D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noWrap w:val="0"/>
            <w:vAlign w:val="top"/>
          </w:tcPr>
          <w:p w14:paraId="67FB9F3A">
            <w:pPr>
              <w:spacing w:line="360" w:lineRule="auto"/>
              <w:rPr>
                <w:rFonts w:hint="eastAsia" w:ascii="宋体" w:hAnsi="宋体" w:eastAsia="宋体" w:cs="宋体"/>
                <w:color w:val="00CCFF"/>
                <w:sz w:val="28"/>
                <w:szCs w:val="28"/>
                <w:highlight w:val="none"/>
              </w:rPr>
            </w:pPr>
          </w:p>
        </w:tc>
        <w:tc>
          <w:tcPr>
            <w:tcW w:w="3635" w:type="dxa"/>
            <w:gridSpan w:val="4"/>
            <w:noWrap w:val="0"/>
            <w:vAlign w:val="top"/>
          </w:tcPr>
          <w:p w14:paraId="02244B7F">
            <w:pPr>
              <w:spacing w:line="360" w:lineRule="auto"/>
              <w:rPr>
                <w:rFonts w:hint="eastAsia" w:ascii="宋体" w:hAnsi="宋体" w:eastAsia="宋体" w:cs="宋体"/>
                <w:color w:val="00CCFF"/>
                <w:sz w:val="28"/>
                <w:szCs w:val="28"/>
                <w:highlight w:val="none"/>
              </w:rPr>
            </w:pPr>
          </w:p>
        </w:tc>
        <w:tc>
          <w:tcPr>
            <w:tcW w:w="1341" w:type="dxa"/>
            <w:noWrap w:val="0"/>
            <w:vAlign w:val="top"/>
          </w:tcPr>
          <w:p w14:paraId="09054984">
            <w:pPr>
              <w:spacing w:line="360" w:lineRule="auto"/>
              <w:rPr>
                <w:rFonts w:hint="eastAsia" w:ascii="宋体" w:hAnsi="宋体" w:eastAsia="宋体" w:cs="宋体"/>
                <w:color w:val="00CCFF"/>
                <w:sz w:val="28"/>
                <w:szCs w:val="28"/>
                <w:highlight w:val="none"/>
              </w:rPr>
            </w:pPr>
          </w:p>
        </w:tc>
        <w:tc>
          <w:tcPr>
            <w:tcW w:w="2441" w:type="dxa"/>
            <w:gridSpan w:val="2"/>
            <w:noWrap w:val="0"/>
            <w:vAlign w:val="top"/>
          </w:tcPr>
          <w:p w14:paraId="39F6D700">
            <w:pPr>
              <w:spacing w:line="360" w:lineRule="auto"/>
              <w:rPr>
                <w:rFonts w:hint="eastAsia" w:ascii="宋体" w:hAnsi="宋体" w:eastAsia="宋体" w:cs="宋体"/>
                <w:color w:val="00CCFF"/>
                <w:sz w:val="28"/>
                <w:szCs w:val="28"/>
                <w:highlight w:val="none"/>
              </w:rPr>
            </w:pPr>
          </w:p>
        </w:tc>
      </w:tr>
      <w:tr w14:paraId="19D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noWrap w:val="0"/>
            <w:vAlign w:val="top"/>
          </w:tcPr>
          <w:p w14:paraId="049AB94F">
            <w:pPr>
              <w:spacing w:line="360" w:lineRule="auto"/>
              <w:rPr>
                <w:rFonts w:hint="eastAsia" w:ascii="宋体" w:hAnsi="宋体" w:eastAsia="宋体" w:cs="宋体"/>
                <w:color w:val="00CCFF"/>
                <w:sz w:val="28"/>
                <w:szCs w:val="28"/>
                <w:highlight w:val="none"/>
              </w:rPr>
            </w:pPr>
          </w:p>
        </w:tc>
        <w:tc>
          <w:tcPr>
            <w:tcW w:w="3635" w:type="dxa"/>
            <w:gridSpan w:val="4"/>
            <w:noWrap w:val="0"/>
            <w:vAlign w:val="top"/>
          </w:tcPr>
          <w:p w14:paraId="62DC9E55">
            <w:pPr>
              <w:spacing w:line="360" w:lineRule="auto"/>
              <w:rPr>
                <w:rFonts w:hint="eastAsia" w:ascii="宋体" w:hAnsi="宋体" w:eastAsia="宋体" w:cs="宋体"/>
                <w:color w:val="00CCFF"/>
                <w:sz w:val="28"/>
                <w:szCs w:val="28"/>
                <w:highlight w:val="none"/>
              </w:rPr>
            </w:pPr>
          </w:p>
        </w:tc>
        <w:tc>
          <w:tcPr>
            <w:tcW w:w="1341" w:type="dxa"/>
            <w:noWrap w:val="0"/>
            <w:vAlign w:val="top"/>
          </w:tcPr>
          <w:p w14:paraId="337DD15D">
            <w:pPr>
              <w:spacing w:line="360" w:lineRule="auto"/>
              <w:rPr>
                <w:rFonts w:hint="eastAsia" w:ascii="宋体" w:hAnsi="宋体" w:eastAsia="宋体" w:cs="宋体"/>
                <w:color w:val="00CCFF"/>
                <w:sz w:val="28"/>
                <w:szCs w:val="28"/>
                <w:highlight w:val="none"/>
              </w:rPr>
            </w:pPr>
          </w:p>
        </w:tc>
        <w:tc>
          <w:tcPr>
            <w:tcW w:w="2441" w:type="dxa"/>
            <w:gridSpan w:val="2"/>
            <w:noWrap w:val="0"/>
            <w:vAlign w:val="top"/>
          </w:tcPr>
          <w:p w14:paraId="5F527052">
            <w:pPr>
              <w:spacing w:line="360" w:lineRule="auto"/>
              <w:rPr>
                <w:rFonts w:hint="eastAsia" w:ascii="宋体" w:hAnsi="宋体" w:eastAsia="宋体" w:cs="宋体"/>
                <w:color w:val="00CCFF"/>
                <w:sz w:val="28"/>
                <w:szCs w:val="28"/>
                <w:highlight w:val="none"/>
              </w:rPr>
            </w:pPr>
          </w:p>
        </w:tc>
      </w:tr>
      <w:tr w14:paraId="04B0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noWrap w:val="0"/>
            <w:vAlign w:val="top"/>
          </w:tcPr>
          <w:p w14:paraId="3CF5661C">
            <w:pPr>
              <w:spacing w:line="360" w:lineRule="auto"/>
              <w:rPr>
                <w:rFonts w:hint="eastAsia" w:ascii="宋体" w:hAnsi="宋体" w:eastAsia="宋体" w:cs="宋体"/>
                <w:color w:val="00CCFF"/>
                <w:sz w:val="28"/>
                <w:szCs w:val="28"/>
                <w:highlight w:val="none"/>
              </w:rPr>
            </w:pPr>
          </w:p>
        </w:tc>
        <w:tc>
          <w:tcPr>
            <w:tcW w:w="3635" w:type="dxa"/>
            <w:gridSpan w:val="4"/>
            <w:noWrap w:val="0"/>
            <w:vAlign w:val="top"/>
          </w:tcPr>
          <w:p w14:paraId="53FDFFFE">
            <w:pPr>
              <w:spacing w:line="360" w:lineRule="auto"/>
              <w:rPr>
                <w:rFonts w:hint="eastAsia" w:ascii="宋体" w:hAnsi="宋体" w:eastAsia="宋体" w:cs="宋体"/>
                <w:color w:val="00CCFF"/>
                <w:sz w:val="28"/>
                <w:szCs w:val="28"/>
                <w:highlight w:val="none"/>
              </w:rPr>
            </w:pPr>
          </w:p>
        </w:tc>
        <w:tc>
          <w:tcPr>
            <w:tcW w:w="1341" w:type="dxa"/>
            <w:noWrap w:val="0"/>
            <w:vAlign w:val="top"/>
          </w:tcPr>
          <w:p w14:paraId="755F2114">
            <w:pPr>
              <w:spacing w:line="360" w:lineRule="auto"/>
              <w:rPr>
                <w:rFonts w:hint="eastAsia" w:ascii="宋体" w:hAnsi="宋体" w:eastAsia="宋体" w:cs="宋体"/>
                <w:color w:val="00CCFF"/>
                <w:sz w:val="28"/>
                <w:szCs w:val="28"/>
                <w:highlight w:val="none"/>
              </w:rPr>
            </w:pPr>
          </w:p>
        </w:tc>
        <w:tc>
          <w:tcPr>
            <w:tcW w:w="2441" w:type="dxa"/>
            <w:gridSpan w:val="2"/>
            <w:noWrap w:val="0"/>
            <w:vAlign w:val="top"/>
          </w:tcPr>
          <w:p w14:paraId="2AFB7367">
            <w:pPr>
              <w:spacing w:line="360" w:lineRule="auto"/>
              <w:rPr>
                <w:rFonts w:hint="eastAsia" w:ascii="宋体" w:hAnsi="宋体" w:eastAsia="宋体" w:cs="宋体"/>
                <w:color w:val="00CCFF"/>
                <w:sz w:val="28"/>
                <w:szCs w:val="28"/>
                <w:highlight w:val="none"/>
              </w:rPr>
            </w:pPr>
          </w:p>
        </w:tc>
      </w:tr>
    </w:tbl>
    <w:p w14:paraId="369A1EF6">
      <w:pPr>
        <w:keepNext w:val="0"/>
        <w:keepLines w:val="0"/>
        <w:widowControl/>
        <w:suppressLineNumbers w:val="0"/>
        <w:jc w:val="left"/>
        <w:rPr>
          <w:rFonts w:hint="eastAsia" w:ascii="宋体" w:hAnsi="宋体" w:eastAsia="宋体" w:cs="宋体"/>
          <w:b/>
          <w:sz w:val="28"/>
          <w:szCs w:val="28"/>
          <w:highlight w:val="none"/>
        </w:rPr>
      </w:pPr>
    </w:p>
    <w:p w14:paraId="603CECCB">
      <w:pPr>
        <w:keepNext w:val="0"/>
        <w:keepLines w:val="0"/>
        <w:widowControl/>
        <w:suppressLineNumbers w:val="0"/>
        <w:jc w:val="left"/>
        <w:rPr>
          <w:rFonts w:hint="eastAsia" w:ascii="宋体" w:hAnsi="宋体" w:eastAsia="宋体" w:cs="宋体"/>
          <w:b/>
          <w:sz w:val="28"/>
          <w:szCs w:val="28"/>
          <w:highlight w:val="none"/>
        </w:rPr>
      </w:pPr>
    </w:p>
    <w:p w14:paraId="2EA9EF47">
      <w:pPr>
        <w:pStyle w:val="2"/>
        <w:rPr>
          <w:rFonts w:hint="eastAsia" w:ascii="宋体" w:hAnsi="宋体" w:eastAsia="宋体" w:cs="宋体"/>
          <w:b/>
          <w:sz w:val="28"/>
          <w:szCs w:val="28"/>
          <w:highlight w:val="none"/>
        </w:rPr>
      </w:pPr>
    </w:p>
    <w:p w14:paraId="3BD054BB">
      <w:pPr>
        <w:rPr>
          <w:rFonts w:hint="eastAsia" w:ascii="宋体" w:hAnsi="宋体" w:eastAsia="宋体" w:cs="宋体"/>
          <w:b/>
          <w:sz w:val="28"/>
          <w:szCs w:val="28"/>
          <w:highlight w:val="none"/>
        </w:rPr>
      </w:pPr>
    </w:p>
    <w:p w14:paraId="554B6DCD">
      <w:pPr>
        <w:keepNext w:val="0"/>
        <w:keepLines w:val="0"/>
        <w:widowControl/>
        <w:suppressLineNumbers w:val="0"/>
        <w:jc w:val="left"/>
        <w:rPr>
          <w:rFonts w:hint="eastAsia" w:ascii="宋体" w:hAnsi="宋体" w:eastAsia="宋体" w:cs="宋体"/>
          <w:b/>
          <w:sz w:val="28"/>
          <w:szCs w:val="28"/>
          <w:highlight w:val="none"/>
        </w:rPr>
      </w:pPr>
    </w:p>
    <w:tbl>
      <w:tblPr>
        <w:tblStyle w:val="16"/>
        <w:tblpPr w:leftFromText="180" w:rightFromText="180" w:vertAnchor="text" w:horzAnchor="page" w:tblpX="1783" w:tblpY="5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961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68C90C79">
            <w:pPr>
              <w:keepNext w:val="0"/>
              <w:keepLines w:val="0"/>
              <w:widowControl/>
              <w:suppressLineNumbers w:val="0"/>
              <w:jc w:val="center"/>
              <w:rPr>
                <w:rFonts w:hint="eastAsia" w:ascii="宋体" w:hAnsi="宋体" w:eastAsia="宋体" w:cs="宋体"/>
                <w:b/>
                <w:sz w:val="28"/>
                <w:szCs w:val="28"/>
                <w:highlight w:val="none"/>
                <w:vertAlign w:val="baseline"/>
                <w:lang w:eastAsia="zh-CN"/>
              </w:rPr>
            </w:pPr>
            <w:r>
              <w:rPr>
                <w:rFonts w:hint="eastAsia" w:ascii="宋体" w:hAnsi="宋体" w:cs="宋体"/>
                <w:b w:val="0"/>
                <w:bCs/>
                <w:sz w:val="28"/>
                <w:szCs w:val="28"/>
                <w:highlight w:val="none"/>
                <w:vertAlign w:val="baseline"/>
                <w:lang w:eastAsia="zh-CN"/>
              </w:rPr>
              <w:t>人员情况表</w:t>
            </w:r>
          </w:p>
        </w:tc>
      </w:tr>
      <w:tr w14:paraId="76AD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065" w:type="dxa"/>
          </w:tcPr>
          <w:p w14:paraId="66A48BF5">
            <w:pPr>
              <w:keepNext w:val="0"/>
              <w:keepLines w:val="0"/>
              <w:widowControl/>
              <w:suppressLineNumbers w:val="0"/>
              <w:jc w:val="left"/>
              <w:rPr>
                <w:rFonts w:hint="eastAsia" w:ascii="宋体" w:hAnsi="宋体" w:eastAsia="宋体" w:cs="宋体"/>
                <w:b/>
                <w:sz w:val="21"/>
                <w:szCs w:val="21"/>
                <w:highlight w:val="none"/>
                <w:vertAlign w:val="baseline"/>
              </w:rPr>
            </w:pPr>
            <w:r>
              <w:rPr>
                <w:rFonts w:hint="eastAsia" w:ascii="宋体" w:hAnsi="宋体" w:eastAsia="宋体" w:cs="宋体"/>
                <w:color w:val="000000"/>
                <w:kern w:val="0"/>
                <w:sz w:val="21"/>
                <w:szCs w:val="21"/>
                <w:lang w:val="en-US" w:eastAsia="zh-CN" w:bidi="ar"/>
              </w:rPr>
              <w:t>职责分工</w:t>
            </w:r>
          </w:p>
        </w:tc>
        <w:tc>
          <w:tcPr>
            <w:tcW w:w="1065" w:type="dxa"/>
          </w:tcPr>
          <w:p w14:paraId="4E029A2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姓名</w:t>
            </w:r>
          </w:p>
          <w:p w14:paraId="7F301662">
            <w:pPr>
              <w:keepNext w:val="0"/>
              <w:keepLines w:val="0"/>
              <w:widowControl/>
              <w:suppressLineNumbers w:val="0"/>
              <w:jc w:val="left"/>
              <w:rPr>
                <w:rFonts w:hint="eastAsia" w:ascii="宋体" w:hAnsi="宋体" w:eastAsia="宋体" w:cs="宋体"/>
                <w:b/>
                <w:sz w:val="21"/>
                <w:szCs w:val="21"/>
                <w:highlight w:val="none"/>
                <w:vertAlign w:val="baseline"/>
              </w:rPr>
            </w:pPr>
          </w:p>
        </w:tc>
        <w:tc>
          <w:tcPr>
            <w:tcW w:w="1065" w:type="dxa"/>
          </w:tcPr>
          <w:p w14:paraId="24ADD9F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年龄</w:t>
            </w:r>
          </w:p>
          <w:p w14:paraId="65DFA598">
            <w:pPr>
              <w:keepNext w:val="0"/>
              <w:keepLines w:val="0"/>
              <w:widowControl/>
              <w:suppressLineNumbers w:val="0"/>
              <w:jc w:val="left"/>
              <w:rPr>
                <w:rFonts w:hint="eastAsia" w:ascii="宋体" w:hAnsi="宋体" w:eastAsia="宋体" w:cs="宋体"/>
                <w:b/>
                <w:sz w:val="21"/>
                <w:szCs w:val="21"/>
                <w:highlight w:val="none"/>
                <w:vertAlign w:val="baseline"/>
              </w:rPr>
            </w:pPr>
          </w:p>
        </w:tc>
        <w:tc>
          <w:tcPr>
            <w:tcW w:w="1065" w:type="dxa"/>
          </w:tcPr>
          <w:p w14:paraId="084633C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专业</w:t>
            </w:r>
          </w:p>
          <w:p w14:paraId="2DC2B683">
            <w:pPr>
              <w:keepNext w:val="0"/>
              <w:keepLines w:val="0"/>
              <w:widowControl/>
              <w:suppressLineNumbers w:val="0"/>
              <w:jc w:val="left"/>
              <w:rPr>
                <w:rFonts w:hint="eastAsia" w:ascii="宋体" w:hAnsi="宋体" w:eastAsia="宋体" w:cs="宋体"/>
                <w:b/>
                <w:sz w:val="21"/>
                <w:szCs w:val="21"/>
                <w:highlight w:val="none"/>
                <w:vertAlign w:val="baseline"/>
              </w:rPr>
            </w:pPr>
          </w:p>
        </w:tc>
        <w:tc>
          <w:tcPr>
            <w:tcW w:w="1065" w:type="dxa"/>
          </w:tcPr>
          <w:p w14:paraId="0C891489">
            <w:pPr>
              <w:keepNext w:val="0"/>
              <w:keepLines w:val="0"/>
              <w:widowControl/>
              <w:suppressLineNumbers w:val="0"/>
              <w:jc w:val="left"/>
              <w:rPr>
                <w:rFonts w:hint="eastAsia" w:ascii="宋体" w:hAnsi="宋体" w:eastAsia="宋体" w:cs="宋体"/>
                <w:b/>
                <w:sz w:val="21"/>
                <w:szCs w:val="21"/>
                <w:highlight w:val="none"/>
                <w:vertAlign w:val="baseline"/>
              </w:rPr>
            </w:pPr>
            <w:r>
              <w:rPr>
                <w:rFonts w:hint="eastAsia" w:ascii="宋体" w:hAnsi="宋体" w:eastAsia="宋体" w:cs="宋体"/>
                <w:color w:val="000000"/>
                <w:kern w:val="0"/>
                <w:sz w:val="21"/>
                <w:szCs w:val="21"/>
                <w:lang w:val="en-US" w:eastAsia="zh-CN" w:bidi="ar"/>
              </w:rPr>
              <w:t>在本项目中担任的岗位</w:t>
            </w:r>
          </w:p>
        </w:tc>
        <w:tc>
          <w:tcPr>
            <w:tcW w:w="1065" w:type="dxa"/>
          </w:tcPr>
          <w:p w14:paraId="1CBBA06F">
            <w:pPr>
              <w:keepNext w:val="0"/>
              <w:keepLines w:val="0"/>
              <w:widowControl/>
              <w:suppressLineNumbers w:val="0"/>
              <w:jc w:val="left"/>
              <w:rPr>
                <w:rFonts w:hint="eastAsia" w:ascii="宋体" w:hAnsi="宋体" w:eastAsia="宋体" w:cs="宋体"/>
                <w:b/>
                <w:sz w:val="21"/>
                <w:szCs w:val="21"/>
                <w:highlight w:val="none"/>
                <w:vertAlign w:val="baseline"/>
              </w:rPr>
            </w:pPr>
            <w:r>
              <w:rPr>
                <w:rFonts w:hint="eastAsia" w:ascii="宋体" w:hAnsi="宋体" w:eastAsia="宋体" w:cs="宋体"/>
                <w:color w:val="000000"/>
                <w:kern w:val="0"/>
                <w:sz w:val="21"/>
                <w:szCs w:val="21"/>
                <w:lang w:val="en-US" w:eastAsia="zh-CN" w:bidi="ar"/>
              </w:rPr>
              <w:t>从 事 类 似工作年限</w:t>
            </w:r>
          </w:p>
        </w:tc>
        <w:tc>
          <w:tcPr>
            <w:tcW w:w="1066" w:type="dxa"/>
          </w:tcPr>
          <w:p w14:paraId="6A848D1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职称证书 </w:t>
            </w:r>
          </w:p>
          <w:p w14:paraId="5EB3B8DC">
            <w:pPr>
              <w:keepNext w:val="0"/>
              <w:keepLines w:val="0"/>
              <w:widowControl/>
              <w:suppressLineNumbers w:val="0"/>
              <w:jc w:val="left"/>
              <w:rPr>
                <w:rFonts w:hint="eastAsia" w:ascii="宋体" w:hAnsi="宋体" w:eastAsia="宋体" w:cs="宋体"/>
                <w:b/>
                <w:sz w:val="21"/>
                <w:szCs w:val="21"/>
                <w:highlight w:val="none"/>
                <w:vertAlign w:val="baseline"/>
              </w:rPr>
            </w:pPr>
            <w:r>
              <w:rPr>
                <w:rFonts w:hint="eastAsia" w:ascii="宋体" w:hAnsi="宋体" w:eastAsia="宋体" w:cs="宋体"/>
                <w:color w:val="000000"/>
                <w:kern w:val="0"/>
                <w:sz w:val="21"/>
                <w:szCs w:val="21"/>
                <w:lang w:val="en-US" w:eastAsia="zh-CN" w:bidi="ar"/>
              </w:rPr>
              <w:t>/专业</w:t>
            </w:r>
          </w:p>
        </w:tc>
        <w:tc>
          <w:tcPr>
            <w:tcW w:w="1066" w:type="dxa"/>
          </w:tcPr>
          <w:p w14:paraId="5BC70AC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资格证书 </w:t>
            </w:r>
          </w:p>
          <w:p w14:paraId="1F06EE37">
            <w:pPr>
              <w:keepNext w:val="0"/>
              <w:keepLines w:val="0"/>
              <w:widowControl/>
              <w:suppressLineNumbers w:val="0"/>
              <w:jc w:val="left"/>
              <w:rPr>
                <w:rFonts w:hint="eastAsia" w:ascii="宋体" w:hAnsi="宋体" w:eastAsia="宋体" w:cs="宋体"/>
                <w:b/>
                <w:sz w:val="21"/>
                <w:szCs w:val="21"/>
                <w:highlight w:val="none"/>
                <w:vertAlign w:val="baseline"/>
              </w:rPr>
            </w:pPr>
            <w:r>
              <w:rPr>
                <w:rFonts w:hint="eastAsia" w:ascii="宋体" w:hAnsi="宋体" w:eastAsia="宋体" w:cs="宋体"/>
                <w:color w:val="000000"/>
                <w:kern w:val="0"/>
                <w:sz w:val="21"/>
                <w:szCs w:val="21"/>
                <w:lang w:val="en-US" w:eastAsia="zh-CN" w:bidi="ar"/>
              </w:rPr>
              <w:t>或注册证书</w:t>
            </w:r>
          </w:p>
        </w:tc>
      </w:tr>
      <w:tr w14:paraId="4D3D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ABB5275">
            <w:pPr>
              <w:keepNext w:val="0"/>
              <w:keepLines w:val="0"/>
              <w:widowControl/>
              <w:suppressLineNumbers w:val="0"/>
              <w:jc w:val="left"/>
              <w:rPr>
                <w:rFonts w:hint="eastAsia" w:ascii="宋体" w:hAnsi="宋体" w:eastAsia="宋体" w:cs="宋体"/>
                <w:b w:val="0"/>
                <w:bCs/>
                <w:sz w:val="21"/>
                <w:szCs w:val="21"/>
                <w:highlight w:val="none"/>
                <w:vertAlign w:val="baseline"/>
                <w:lang w:eastAsia="zh-CN"/>
              </w:rPr>
            </w:pPr>
            <w:r>
              <w:rPr>
                <w:rFonts w:hint="eastAsia" w:ascii="宋体" w:hAnsi="宋体" w:cs="宋体"/>
                <w:b w:val="0"/>
                <w:bCs/>
                <w:sz w:val="21"/>
                <w:szCs w:val="21"/>
                <w:highlight w:val="none"/>
                <w:vertAlign w:val="baseline"/>
                <w:lang w:eastAsia="zh-CN"/>
              </w:rPr>
              <w:t>项目负责人</w:t>
            </w:r>
          </w:p>
        </w:tc>
        <w:tc>
          <w:tcPr>
            <w:tcW w:w="1065" w:type="dxa"/>
          </w:tcPr>
          <w:p w14:paraId="6403D58F">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2BE5D325">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58A32BA8">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6144B2A3">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1BBCDCB8">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0A296235">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350B15D0">
            <w:pPr>
              <w:keepNext w:val="0"/>
              <w:keepLines w:val="0"/>
              <w:widowControl/>
              <w:suppressLineNumbers w:val="0"/>
              <w:jc w:val="left"/>
              <w:rPr>
                <w:rFonts w:hint="eastAsia" w:ascii="宋体" w:hAnsi="宋体" w:eastAsia="宋体" w:cs="宋体"/>
                <w:b/>
                <w:sz w:val="28"/>
                <w:szCs w:val="28"/>
                <w:highlight w:val="none"/>
                <w:vertAlign w:val="baseline"/>
              </w:rPr>
            </w:pPr>
          </w:p>
        </w:tc>
      </w:tr>
      <w:tr w14:paraId="11FE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tcPr>
          <w:p w14:paraId="0AFFC821">
            <w:pPr>
              <w:keepNext w:val="0"/>
              <w:keepLines w:val="0"/>
              <w:widowControl/>
              <w:suppressLineNumbers w:val="0"/>
              <w:jc w:val="left"/>
              <w:rPr>
                <w:rFonts w:hint="eastAsia" w:ascii="宋体" w:hAnsi="宋体" w:cs="宋体"/>
                <w:b w:val="0"/>
                <w:bCs/>
                <w:sz w:val="21"/>
                <w:szCs w:val="21"/>
                <w:highlight w:val="none"/>
                <w:vertAlign w:val="baseline"/>
                <w:lang w:eastAsia="zh-CN"/>
              </w:rPr>
            </w:pPr>
          </w:p>
          <w:p w14:paraId="13EFF370">
            <w:pPr>
              <w:keepNext w:val="0"/>
              <w:keepLines w:val="0"/>
              <w:widowControl/>
              <w:suppressLineNumbers w:val="0"/>
              <w:jc w:val="left"/>
              <w:rPr>
                <w:rFonts w:hint="eastAsia" w:ascii="宋体" w:hAnsi="宋体" w:cs="宋体"/>
                <w:b w:val="0"/>
                <w:bCs/>
                <w:sz w:val="21"/>
                <w:szCs w:val="21"/>
                <w:highlight w:val="none"/>
                <w:vertAlign w:val="baseline"/>
                <w:lang w:eastAsia="zh-CN"/>
              </w:rPr>
            </w:pPr>
          </w:p>
          <w:p w14:paraId="7B49F622">
            <w:pPr>
              <w:keepNext w:val="0"/>
              <w:keepLines w:val="0"/>
              <w:widowControl/>
              <w:suppressLineNumbers w:val="0"/>
              <w:jc w:val="left"/>
              <w:rPr>
                <w:rFonts w:hint="eastAsia" w:ascii="宋体" w:hAnsi="宋体" w:cs="宋体"/>
                <w:b w:val="0"/>
                <w:bCs/>
                <w:sz w:val="21"/>
                <w:szCs w:val="21"/>
                <w:highlight w:val="none"/>
                <w:vertAlign w:val="baseline"/>
                <w:lang w:eastAsia="zh-CN"/>
              </w:rPr>
            </w:pPr>
          </w:p>
          <w:p w14:paraId="36F94537">
            <w:pPr>
              <w:keepNext w:val="0"/>
              <w:keepLines w:val="0"/>
              <w:widowControl/>
              <w:suppressLineNumbers w:val="0"/>
              <w:jc w:val="left"/>
              <w:rPr>
                <w:rFonts w:hint="eastAsia" w:ascii="宋体" w:hAnsi="宋体" w:cs="宋体"/>
                <w:b w:val="0"/>
                <w:bCs/>
                <w:sz w:val="21"/>
                <w:szCs w:val="21"/>
                <w:highlight w:val="none"/>
                <w:vertAlign w:val="baseline"/>
                <w:lang w:eastAsia="zh-CN"/>
              </w:rPr>
            </w:pPr>
          </w:p>
          <w:p w14:paraId="16D386F4">
            <w:pPr>
              <w:keepNext w:val="0"/>
              <w:keepLines w:val="0"/>
              <w:widowControl/>
              <w:suppressLineNumbers w:val="0"/>
              <w:jc w:val="left"/>
              <w:rPr>
                <w:rFonts w:hint="eastAsia" w:ascii="宋体" w:hAnsi="宋体" w:cs="宋体"/>
                <w:b w:val="0"/>
                <w:bCs/>
                <w:sz w:val="21"/>
                <w:szCs w:val="21"/>
                <w:highlight w:val="none"/>
                <w:vertAlign w:val="baseline"/>
                <w:lang w:eastAsia="zh-CN"/>
              </w:rPr>
            </w:pPr>
          </w:p>
          <w:p w14:paraId="01D98757">
            <w:pPr>
              <w:keepNext w:val="0"/>
              <w:keepLines w:val="0"/>
              <w:widowControl/>
              <w:suppressLineNumbers w:val="0"/>
              <w:jc w:val="left"/>
              <w:rPr>
                <w:rFonts w:hint="eastAsia" w:ascii="宋体" w:hAnsi="宋体" w:cs="宋体"/>
                <w:b w:val="0"/>
                <w:bCs/>
                <w:sz w:val="21"/>
                <w:szCs w:val="21"/>
                <w:highlight w:val="none"/>
                <w:vertAlign w:val="baseline"/>
                <w:lang w:eastAsia="zh-CN"/>
              </w:rPr>
            </w:pPr>
          </w:p>
          <w:p w14:paraId="59813986">
            <w:pPr>
              <w:keepNext w:val="0"/>
              <w:keepLines w:val="0"/>
              <w:widowControl/>
              <w:suppressLineNumbers w:val="0"/>
              <w:jc w:val="left"/>
              <w:rPr>
                <w:rFonts w:hint="eastAsia" w:ascii="宋体" w:hAnsi="宋体" w:eastAsia="宋体" w:cs="宋体"/>
                <w:b w:val="0"/>
                <w:bCs/>
                <w:sz w:val="21"/>
                <w:szCs w:val="21"/>
                <w:highlight w:val="none"/>
                <w:vertAlign w:val="baseline"/>
                <w:lang w:eastAsia="zh-CN"/>
              </w:rPr>
            </w:pPr>
            <w:r>
              <w:rPr>
                <w:rFonts w:hint="eastAsia" w:ascii="宋体" w:hAnsi="宋体" w:cs="宋体"/>
                <w:b w:val="0"/>
                <w:bCs/>
                <w:sz w:val="21"/>
                <w:szCs w:val="21"/>
                <w:highlight w:val="none"/>
                <w:vertAlign w:val="baseline"/>
                <w:lang w:eastAsia="zh-CN"/>
              </w:rPr>
              <w:t>其他人员</w:t>
            </w:r>
          </w:p>
        </w:tc>
        <w:tc>
          <w:tcPr>
            <w:tcW w:w="1065" w:type="dxa"/>
          </w:tcPr>
          <w:p w14:paraId="2328D3DE">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0D11EEB0">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7F8808CC">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64ED976F">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3AC334CD">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5B7F4FDF">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5541CFE4">
            <w:pPr>
              <w:keepNext w:val="0"/>
              <w:keepLines w:val="0"/>
              <w:widowControl/>
              <w:suppressLineNumbers w:val="0"/>
              <w:jc w:val="left"/>
              <w:rPr>
                <w:rFonts w:hint="eastAsia" w:ascii="宋体" w:hAnsi="宋体" w:eastAsia="宋体" w:cs="宋体"/>
                <w:b/>
                <w:sz w:val="28"/>
                <w:szCs w:val="28"/>
                <w:highlight w:val="none"/>
                <w:vertAlign w:val="baseline"/>
              </w:rPr>
            </w:pPr>
          </w:p>
        </w:tc>
      </w:tr>
      <w:tr w14:paraId="314A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47F791E2">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08C63D8E">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200A0687">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59724E85">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71E42FF6">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28E95B68">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7F376215">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1D55105E">
            <w:pPr>
              <w:keepNext w:val="0"/>
              <w:keepLines w:val="0"/>
              <w:widowControl/>
              <w:suppressLineNumbers w:val="0"/>
              <w:jc w:val="left"/>
              <w:rPr>
                <w:rFonts w:hint="eastAsia" w:ascii="宋体" w:hAnsi="宋体" w:eastAsia="宋体" w:cs="宋体"/>
                <w:b/>
                <w:sz w:val="28"/>
                <w:szCs w:val="28"/>
                <w:highlight w:val="none"/>
                <w:vertAlign w:val="baseline"/>
              </w:rPr>
            </w:pPr>
          </w:p>
        </w:tc>
      </w:tr>
      <w:tr w14:paraId="5EDE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2CAE9490">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30BCEFA6">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6AC9A8F8">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46DADE02">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7526BDA5">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541D61CF">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473072C8">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00B5D574">
            <w:pPr>
              <w:keepNext w:val="0"/>
              <w:keepLines w:val="0"/>
              <w:widowControl/>
              <w:suppressLineNumbers w:val="0"/>
              <w:jc w:val="left"/>
              <w:rPr>
                <w:rFonts w:hint="eastAsia" w:ascii="宋体" w:hAnsi="宋体" w:eastAsia="宋体" w:cs="宋体"/>
                <w:b/>
                <w:sz w:val="28"/>
                <w:szCs w:val="28"/>
                <w:highlight w:val="none"/>
                <w:vertAlign w:val="baseline"/>
              </w:rPr>
            </w:pPr>
          </w:p>
        </w:tc>
      </w:tr>
      <w:tr w14:paraId="44E6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29D6A46A">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36E40802">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7A25B726">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00BAEFF3">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14FABE8C">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23793D4A">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71CCC6D0">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3AA4EA12">
            <w:pPr>
              <w:keepNext w:val="0"/>
              <w:keepLines w:val="0"/>
              <w:widowControl/>
              <w:suppressLineNumbers w:val="0"/>
              <w:jc w:val="left"/>
              <w:rPr>
                <w:rFonts w:hint="eastAsia" w:ascii="宋体" w:hAnsi="宋体" w:eastAsia="宋体" w:cs="宋体"/>
                <w:b/>
                <w:sz w:val="28"/>
                <w:szCs w:val="28"/>
                <w:highlight w:val="none"/>
                <w:vertAlign w:val="baseline"/>
              </w:rPr>
            </w:pPr>
          </w:p>
        </w:tc>
      </w:tr>
      <w:tr w14:paraId="3359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57D06005">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09A57A4B">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347FCF97">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7588DC8B">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528EB256">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6417B0C6">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514DDB87">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4471D0B7">
            <w:pPr>
              <w:keepNext w:val="0"/>
              <w:keepLines w:val="0"/>
              <w:widowControl/>
              <w:suppressLineNumbers w:val="0"/>
              <w:jc w:val="left"/>
              <w:rPr>
                <w:rFonts w:hint="eastAsia" w:ascii="宋体" w:hAnsi="宋体" w:eastAsia="宋体" w:cs="宋体"/>
                <w:b/>
                <w:sz w:val="28"/>
                <w:szCs w:val="28"/>
                <w:highlight w:val="none"/>
                <w:vertAlign w:val="baseline"/>
              </w:rPr>
            </w:pPr>
          </w:p>
        </w:tc>
      </w:tr>
      <w:tr w14:paraId="4855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4B6618B2">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35C0E329">
            <w:pPr>
              <w:keepNext w:val="0"/>
              <w:keepLines w:val="0"/>
              <w:widowControl/>
              <w:suppressLineNumbers w:val="0"/>
              <w:jc w:val="left"/>
              <w:rPr>
                <w:rFonts w:hint="default" w:ascii="宋体" w:hAnsi="宋体" w:eastAsia="宋体" w:cs="宋体"/>
                <w:b/>
                <w:sz w:val="28"/>
                <w:szCs w:val="28"/>
                <w:highlight w:val="none"/>
                <w:vertAlign w:val="baseline"/>
                <w:lang w:val="en-US" w:eastAsia="zh-CN"/>
              </w:rPr>
            </w:pPr>
            <w:r>
              <w:rPr>
                <w:rFonts w:hint="eastAsia" w:ascii="宋体" w:hAnsi="宋体" w:cs="宋体"/>
                <w:b/>
                <w:sz w:val="28"/>
                <w:szCs w:val="28"/>
                <w:highlight w:val="none"/>
                <w:vertAlign w:val="baseline"/>
                <w:lang w:val="en-US" w:eastAsia="zh-CN"/>
              </w:rPr>
              <w:t>...</w:t>
            </w:r>
          </w:p>
        </w:tc>
        <w:tc>
          <w:tcPr>
            <w:tcW w:w="1065" w:type="dxa"/>
          </w:tcPr>
          <w:p w14:paraId="115A7F85">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08C4F7F7">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5714BF40">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5" w:type="dxa"/>
          </w:tcPr>
          <w:p w14:paraId="6BB11FF0">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0D4055A2">
            <w:pPr>
              <w:keepNext w:val="0"/>
              <w:keepLines w:val="0"/>
              <w:widowControl/>
              <w:suppressLineNumbers w:val="0"/>
              <w:jc w:val="left"/>
              <w:rPr>
                <w:rFonts w:hint="eastAsia" w:ascii="宋体" w:hAnsi="宋体" w:eastAsia="宋体" w:cs="宋体"/>
                <w:b/>
                <w:sz w:val="28"/>
                <w:szCs w:val="28"/>
                <w:highlight w:val="none"/>
                <w:vertAlign w:val="baseline"/>
              </w:rPr>
            </w:pPr>
          </w:p>
        </w:tc>
        <w:tc>
          <w:tcPr>
            <w:tcW w:w="1066" w:type="dxa"/>
          </w:tcPr>
          <w:p w14:paraId="1C8F0A54">
            <w:pPr>
              <w:keepNext w:val="0"/>
              <w:keepLines w:val="0"/>
              <w:widowControl/>
              <w:suppressLineNumbers w:val="0"/>
              <w:jc w:val="left"/>
              <w:rPr>
                <w:rFonts w:hint="eastAsia" w:ascii="宋体" w:hAnsi="宋体" w:eastAsia="宋体" w:cs="宋体"/>
                <w:b/>
                <w:sz w:val="28"/>
                <w:szCs w:val="28"/>
                <w:highlight w:val="none"/>
                <w:vertAlign w:val="baseline"/>
              </w:rPr>
            </w:pPr>
          </w:p>
        </w:tc>
      </w:tr>
    </w:tbl>
    <w:p w14:paraId="34C4D439">
      <w:pPr>
        <w:keepNext w:val="0"/>
        <w:keepLines w:val="0"/>
        <w:widowControl/>
        <w:suppressLineNumbers w:val="0"/>
        <w:jc w:val="left"/>
        <w:rPr>
          <w:rFonts w:hint="eastAsia" w:ascii="宋体" w:hAnsi="宋体" w:eastAsia="宋体" w:cs="宋体"/>
          <w:b/>
          <w:sz w:val="28"/>
          <w:szCs w:val="28"/>
          <w:highlight w:val="none"/>
        </w:rPr>
      </w:pPr>
    </w:p>
    <w:p w14:paraId="236E48A5">
      <w:pPr>
        <w:keepNext w:val="0"/>
        <w:keepLines w:val="0"/>
        <w:widowControl/>
        <w:suppressLineNumbers w:val="0"/>
        <w:jc w:val="left"/>
        <w:rPr>
          <w:rFonts w:hint="eastAsia" w:ascii="宋体" w:hAnsi="宋体" w:eastAsia="宋体" w:cs="宋体"/>
          <w:b/>
          <w:sz w:val="28"/>
          <w:szCs w:val="28"/>
          <w:highlight w:val="none"/>
        </w:rPr>
      </w:pPr>
      <w:r>
        <w:rPr>
          <w:rFonts w:hint="eastAsia" w:ascii="宋体" w:hAnsi="宋体" w:eastAsia="宋体" w:cs="宋体"/>
          <w:b/>
          <w:bCs w:val="0"/>
          <w:sz w:val="28"/>
          <w:szCs w:val="28"/>
          <w:highlight w:val="none"/>
        </w:rPr>
        <w:t>注：</w:t>
      </w:r>
      <w:r>
        <w:rPr>
          <w:rFonts w:hint="eastAsia" w:ascii="宋体" w:hAnsi="宋体" w:eastAsia="宋体" w:cs="宋体"/>
          <w:b/>
          <w:bCs w:val="0"/>
          <w:color w:val="000000"/>
          <w:kern w:val="0"/>
          <w:sz w:val="28"/>
          <w:szCs w:val="28"/>
          <w:lang w:val="en-US" w:eastAsia="zh-CN" w:bidi="ar"/>
        </w:rPr>
        <w:t>拟派（除项目负责人以外的项目组管理人员、其他项目人员）列表及相关资格证明资料[附：项目组成员的身份证、职称证（如有）、学历证书（如有）、资格证书、注册证书（如有）等有关证明材料复印件]；</w:t>
      </w:r>
    </w:p>
    <w:p w14:paraId="5A27C8D3">
      <w:pPr>
        <w:keepNext w:val="0"/>
        <w:keepLines w:val="0"/>
        <w:widowControl/>
        <w:suppressLineNumbers w:val="0"/>
        <w:jc w:val="left"/>
        <w:rPr>
          <w:rFonts w:hint="eastAsia" w:ascii="宋体" w:hAnsi="宋体" w:eastAsia="宋体" w:cs="宋体"/>
          <w:b/>
          <w:sz w:val="28"/>
          <w:szCs w:val="28"/>
          <w:highlight w:val="none"/>
        </w:rPr>
      </w:pPr>
    </w:p>
    <w:p w14:paraId="5DEB493A">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供应商名称： </w:t>
      </w:r>
    </w:p>
    <w:p w14:paraId="5547F91A">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单位盖章： </w:t>
      </w:r>
    </w:p>
    <w:p w14:paraId="50748BAD">
      <w:pPr>
        <w:keepNext w:val="0"/>
        <w:keepLines w:val="0"/>
        <w:widowControl/>
        <w:suppressLineNumbers w:val="0"/>
        <w:jc w:val="left"/>
        <w:rPr>
          <w:rFonts w:hint="eastAsia" w:ascii="宋体" w:hAnsi="宋体" w:eastAsia="宋体" w:cs="宋体"/>
          <w:b w:val="0"/>
          <w:bCs/>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kern w:val="0"/>
          <w:sz w:val="28"/>
          <w:szCs w:val="28"/>
          <w:lang w:val="en-US" w:eastAsia="zh-CN" w:bidi="ar"/>
        </w:rPr>
        <w:t xml:space="preserve">日期： </w:t>
      </w:r>
    </w:p>
    <w:p w14:paraId="09DE902A">
      <w:pPr>
        <w:numPr>
          <w:ilvl w:val="0"/>
          <w:numId w:val="0"/>
        </w:num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cs="宋体"/>
          <w:b/>
          <w:bCs/>
          <w:sz w:val="28"/>
          <w:szCs w:val="28"/>
          <w:lang w:eastAsia="zh-CN"/>
        </w:rPr>
        <w:t>十</w:t>
      </w:r>
      <w:r>
        <w:rPr>
          <w:rFonts w:hint="eastAsia" w:ascii="宋体" w:hAnsi="宋体" w:eastAsia="宋体" w:cs="宋体"/>
          <w:b/>
          <w:bCs/>
          <w:sz w:val="28"/>
          <w:szCs w:val="28"/>
          <w:lang w:eastAsia="zh-CN"/>
        </w:rPr>
        <w:t>）近三年类似业绩（</w:t>
      </w:r>
      <w:r>
        <w:rPr>
          <w:rFonts w:hint="eastAsia" w:ascii="宋体" w:hAnsi="宋体" w:eastAsia="宋体" w:cs="宋体"/>
          <w:b/>
          <w:bCs/>
          <w:sz w:val="28"/>
          <w:szCs w:val="28"/>
          <w:lang w:val="en-US" w:eastAsia="zh-CN"/>
        </w:rPr>
        <w:t>2021年起</w:t>
      </w:r>
      <w:r>
        <w:rPr>
          <w:rFonts w:hint="eastAsia" w:ascii="宋体" w:hAnsi="宋体" w:eastAsia="宋体" w:cs="宋体"/>
          <w:b/>
          <w:bCs/>
          <w:sz w:val="28"/>
          <w:szCs w:val="28"/>
          <w:lang w:eastAsia="zh-CN"/>
        </w:rPr>
        <w:t>）</w:t>
      </w:r>
    </w:p>
    <w:tbl>
      <w:tblPr>
        <w:tblStyle w:val="1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3030"/>
        <w:gridCol w:w="1350"/>
        <w:gridCol w:w="1392"/>
      </w:tblGrid>
      <w:tr w14:paraId="1642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5F021FBE">
            <w:pPr>
              <w:pStyle w:val="2"/>
              <w:numPr>
                <w:ilvl w:val="0"/>
                <w:numId w:val="0"/>
              </w:numPr>
              <w:jc w:val="center"/>
              <w:rPr>
                <w:rFonts w:hint="eastAsia"/>
                <w:vertAlign w:val="baseline"/>
                <w:lang w:val="en-US" w:eastAsia="zh-CN"/>
              </w:rPr>
            </w:pPr>
            <w:r>
              <w:rPr>
                <w:rFonts w:hint="eastAsia"/>
                <w:vertAlign w:val="baseline"/>
                <w:lang w:val="en-US" w:eastAsia="zh-CN"/>
              </w:rPr>
              <w:t>合同签订时间</w:t>
            </w:r>
          </w:p>
        </w:tc>
        <w:tc>
          <w:tcPr>
            <w:tcW w:w="1531" w:type="dxa"/>
          </w:tcPr>
          <w:p w14:paraId="6C600841">
            <w:pPr>
              <w:pStyle w:val="2"/>
              <w:numPr>
                <w:ilvl w:val="0"/>
                <w:numId w:val="0"/>
              </w:numPr>
              <w:jc w:val="center"/>
              <w:rPr>
                <w:rFonts w:hint="default"/>
                <w:vertAlign w:val="baseline"/>
                <w:lang w:val="en-US" w:eastAsia="zh-CN"/>
              </w:rPr>
            </w:pPr>
            <w:r>
              <w:rPr>
                <w:rFonts w:hint="eastAsia"/>
                <w:vertAlign w:val="baseline"/>
                <w:lang w:val="en-US" w:eastAsia="zh-CN"/>
              </w:rPr>
              <w:t>业主单位</w:t>
            </w:r>
          </w:p>
        </w:tc>
        <w:tc>
          <w:tcPr>
            <w:tcW w:w="3030" w:type="dxa"/>
          </w:tcPr>
          <w:p w14:paraId="167FBF3C">
            <w:pPr>
              <w:pStyle w:val="2"/>
              <w:numPr>
                <w:ilvl w:val="0"/>
                <w:numId w:val="0"/>
              </w:numPr>
              <w:jc w:val="center"/>
              <w:rPr>
                <w:rFonts w:hint="default"/>
                <w:vertAlign w:val="baseline"/>
                <w:lang w:val="en-US" w:eastAsia="zh-CN"/>
              </w:rPr>
            </w:pPr>
            <w:r>
              <w:rPr>
                <w:rFonts w:hint="eastAsia"/>
                <w:vertAlign w:val="baseline"/>
                <w:lang w:val="en-US" w:eastAsia="zh-CN"/>
              </w:rPr>
              <w:t>项目名称</w:t>
            </w:r>
          </w:p>
        </w:tc>
        <w:tc>
          <w:tcPr>
            <w:tcW w:w="1350" w:type="dxa"/>
          </w:tcPr>
          <w:p w14:paraId="6B6F5097">
            <w:pPr>
              <w:pStyle w:val="2"/>
              <w:numPr>
                <w:ilvl w:val="0"/>
                <w:numId w:val="0"/>
              </w:numPr>
              <w:jc w:val="center"/>
              <w:rPr>
                <w:rFonts w:hint="default"/>
                <w:vertAlign w:val="baseline"/>
                <w:lang w:val="en-US" w:eastAsia="zh-CN"/>
              </w:rPr>
            </w:pPr>
            <w:r>
              <w:rPr>
                <w:rFonts w:hint="eastAsia"/>
                <w:vertAlign w:val="baseline"/>
                <w:lang w:val="en-US" w:eastAsia="zh-CN"/>
              </w:rPr>
              <w:t>服务期限</w:t>
            </w:r>
          </w:p>
        </w:tc>
        <w:tc>
          <w:tcPr>
            <w:tcW w:w="1392" w:type="dxa"/>
          </w:tcPr>
          <w:p w14:paraId="07FB2739">
            <w:pPr>
              <w:pStyle w:val="2"/>
              <w:numPr>
                <w:ilvl w:val="0"/>
                <w:numId w:val="0"/>
              </w:numPr>
              <w:jc w:val="center"/>
              <w:rPr>
                <w:rFonts w:hint="eastAsia"/>
                <w:vertAlign w:val="baseline"/>
                <w:lang w:val="en-US" w:eastAsia="zh-CN"/>
              </w:rPr>
            </w:pPr>
            <w:r>
              <w:rPr>
                <w:rFonts w:hint="eastAsia"/>
                <w:vertAlign w:val="baseline"/>
                <w:lang w:val="en-US" w:eastAsia="zh-CN"/>
              </w:rPr>
              <w:t>项目负责人</w:t>
            </w:r>
          </w:p>
        </w:tc>
      </w:tr>
      <w:tr w14:paraId="5CF8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0E41156F">
            <w:pPr>
              <w:pStyle w:val="2"/>
              <w:numPr>
                <w:ilvl w:val="0"/>
                <w:numId w:val="0"/>
              </w:numPr>
              <w:rPr>
                <w:rFonts w:hint="default"/>
                <w:vertAlign w:val="baseline"/>
                <w:lang w:val="en-US" w:eastAsia="zh-CN"/>
              </w:rPr>
            </w:pPr>
          </w:p>
        </w:tc>
        <w:tc>
          <w:tcPr>
            <w:tcW w:w="1531" w:type="dxa"/>
          </w:tcPr>
          <w:p w14:paraId="5C10EB55">
            <w:pPr>
              <w:pStyle w:val="2"/>
              <w:numPr>
                <w:ilvl w:val="0"/>
                <w:numId w:val="0"/>
              </w:numPr>
              <w:rPr>
                <w:rFonts w:hint="default"/>
                <w:vertAlign w:val="baseline"/>
                <w:lang w:val="en-US" w:eastAsia="zh-CN"/>
              </w:rPr>
            </w:pPr>
          </w:p>
        </w:tc>
        <w:tc>
          <w:tcPr>
            <w:tcW w:w="3030" w:type="dxa"/>
          </w:tcPr>
          <w:p w14:paraId="29918CDE">
            <w:pPr>
              <w:pStyle w:val="2"/>
              <w:numPr>
                <w:ilvl w:val="0"/>
                <w:numId w:val="0"/>
              </w:numPr>
              <w:rPr>
                <w:rFonts w:hint="default"/>
                <w:vertAlign w:val="baseline"/>
                <w:lang w:val="en-US" w:eastAsia="zh-CN"/>
              </w:rPr>
            </w:pPr>
          </w:p>
        </w:tc>
        <w:tc>
          <w:tcPr>
            <w:tcW w:w="1350" w:type="dxa"/>
          </w:tcPr>
          <w:p w14:paraId="0453D538">
            <w:pPr>
              <w:pStyle w:val="2"/>
              <w:numPr>
                <w:ilvl w:val="0"/>
                <w:numId w:val="0"/>
              </w:numPr>
              <w:rPr>
                <w:rFonts w:hint="default"/>
                <w:vertAlign w:val="baseline"/>
                <w:lang w:val="en-US" w:eastAsia="zh-CN"/>
              </w:rPr>
            </w:pPr>
          </w:p>
        </w:tc>
        <w:tc>
          <w:tcPr>
            <w:tcW w:w="1392" w:type="dxa"/>
          </w:tcPr>
          <w:p w14:paraId="4CDD2CCA">
            <w:pPr>
              <w:pStyle w:val="2"/>
              <w:numPr>
                <w:ilvl w:val="0"/>
                <w:numId w:val="0"/>
              </w:numPr>
              <w:rPr>
                <w:rFonts w:hint="default"/>
                <w:vertAlign w:val="baseline"/>
                <w:lang w:val="en-US" w:eastAsia="zh-CN"/>
              </w:rPr>
            </w:pPr>
          </w:p>
        </w:tc>
      </w:tr>
      <w:tr w14:paraId="0EED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31075973">
            <w:pPr>
              <w:pStyle w:val="2"/>
              <w:numPr>
                <w:ilvl w:val="0"/>
                <w:numId w:val="0"/>
              </w:numPr>
              <w:rPr>
                <w:rFonts w:hint="default"/>
                <w:vertAlign w:val="baseline"/>
                <w:lang w:val="en-US" w:eastAsia="zh-CN"/>
              </w:rPr>
            </w:pPr>
          </w:p>
        </w:tc>
        <w:tc>
          <w:tcPr>
            <w:tcW w:w="1531" w:type="dxa"/>
          </w:tcPr>
          <w:p w14:paraId="757413B3">
            <w:pPr>
              <w:pStyle w:val="2"/>
              <w:numPr>
                <w:ilvl w:val="0"/>
                <w:numId w:val="0"/>
              </w:numPr>
              <w:rPr>
                <w:rFonts w:hint="default"/>
                <w:vertAlign w:val="baseline"/>
                <w:lang w:val="en-US" w:eastAsia="zh-CN"/>
              </w:rPr>
            </w:pPr>
          </w:p>
        </w:tc>
        <w:tc>
          <w:tcPr>
            <w:tcW w:w="3030" w:type="dxa"/>
          </w:tcPr>
          <w:p w14:paraId="6FF221FF">
            <w:pPr>
              <w:pStyle w:val="2"/>
              <w:numPr>
                <w:ilvl w:val="0"/>
                <w:numId w:val="0"/>
              </w:numPr>
              <w:rPr>
                <w:rFonts w:hint="default"/>
                <w:vertAlign w:val="baseline"/>
                <w:lang w:val="en-US" w:eastAsia="zh-CN"/>
              </w:rPr>
            </w:pPr>
          </w:p>
        </w:tc>
        <w:tc>
          <w:tcPr>
            <w:tcW w:w="1350" w:type="dxa"/>
          </w:tcPr>
          <w:p w14:paraId="0D3116DB">
            <w:pPr>
              <w:pStyle w:val="2"/>
              <w:numPr>
                <w:ilvl w:val="0"/>
                <w:numId w:val="0"/>
              </w:numPr>
              <w:rPr>
                <w:rFonts w:hint="default"/>
                <w:vertAlign w:val="baseline"/>
                <w:lang w:val="en-US" w:eastAsia="zh-CN"/>
              </w:rPr>
            </w:pPr>
          </w:p>
        </w:tc>
        <w:tc>
          <w:tcPr>
            <w:tcW w:w="1392" w:type="dxa"/>
          </w:tcPr>
          <w:p w14:paraId="58E71339">
            <w:pPr>
              <w:pStyle w:val="2"/>
              <w:numPr>
                <w:ilvl w:val="0"/>
                <w:numId w:val="0"/>
              </w:numPr>
              <w:rPr>
                <w:rFonts w:hint="default"/>
                <w:vertAlign w:val="baseline"/>
                <w:lang w:val="en-US" w:eastAsia="zh-CN"/>
              </w:rPr>
            </w:pPr>
          </w:p>
        </w:tc>
      </w:tr>
      <w:tr w14:paraId="4C26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5BC6C578">
            <w:pPr>
              <w:pStyle w:val="2"/>
              <w:numPr>
                <w:ilvl w:val="0"/>
                <w:numId w:val="0"/>
              </w:numPr>
              <w:rPr>
                <w:rFonts w:hint="default"/>
                <w:vertAlign w:val="baseline"/>
                <w:lang w:val="en-US" w:eastAsia="zh-CN"/>
              </w:rPr>
            </w:pPr>
          </w:p>
        </w:tc>
        <w:tc>
          <w:tcPr>
            <w:tcW w:w="1531" w:type="dxa"/>
          </w:tcPr>
          <w:p w14:paraId="20C1166A">
            <w:pPr>
              <w:pStyle w:val="2"/>
              <w:numPr>
                <w:ilvl w:val="0"/>
                <w:numId w:val="0"/>
              </w:numPr>
              <w:rPr>
                <w:rFonts w:hint="default"/>
                <w:vertAlign w:val="baseline"/>
                <w:lang w:val="en-US" w:eastAsia="zh-CN"/>
              </w:rPr>
            </w:pPr>
          </w:p>
        </w:tc>
        <w:tc>
          <w:tcPr>
            <w:tcW w:w="3030" w:type="dxa"/>
          </w:tcPr>
          <w:p w14:paraId="79E88B39">
            <w:pPr>
              <w:pStyle w:val="2"/>
              <w:numPr>
                <w:ilvl w:val="0"/>
                <w:numId w:val="0"/>
              </w:numPr>
              <w:rPr>
                <w:rFonts w:hint="default"/>
                <w:vertAlign w:val="baseline"/>
                <w:lang w:val="en-US" w:eastAsia="zh-CN"/>
              </w:rPr>
            </w:pPr>
          </w:p>
        </w:tc>
        <w:tc>
          <w:tcPr>
            <w:tcW w:w="1350" w:type="dxa"/>
          </w:tcPr>
          <w:p w14:paraId="7B21316D">
            <w:pPr>
              <w:pStyle w:val="2"/>
              <w:numPr>
                <w:ilvl w:val="0"/>
                <w:numId w:val="0"/>
              </w:numPr>
              <w:rPr>
                <w:rFonts w:hint="default"/>
                <w:vertAlign w:val="baseline"/>
                <w:lang w:val="en-US" w:eastAsia="zh-CN"/>
              </w:rPr>
            </w:pPr>
          </w:p>
        </w:tc>
        <w:tc>
          <w:tcPr>
            <w:tcW w:w="1392" w:type="dxa"/>
          </w:tcPr>
          <w:p w14:paraId="6108ED9C">
            <w:pPr>
              <w:pStyle w:val="2"/>
              <w:numPr>
                <w:ilvl w:val="0"/>
                <w:numId w:val="0"/>
              </w:numPr>
              <w:rPr>
                <w:rFonts w:hint="default"/>
                <w:vertAlign w:val="baseline"/>
                <w:lang w:val="en-US" w:eastAsia="zh-CN"/>
              </w:rPr>
            </w:pPr>
          </w:p>
        </w:tc>
      </w:tr>
      <w:tr w14:paraId="268A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38903D16">
            <w:pPr>
              <w:pStyle w:val="2"/>
              <w:numPr>
                <w:ilvl w:val="0"/>
                <w:numId w:val="0"/>
              </w:numPr>
              <w:rPr>
                <w:rFonts w:hint="default"/>
                <w:vertAlign w:val="baseline"/>
                <w:lang w:val="en-US" w:eastAsia="zh-CN"/>
              </w:rPr>
            </w:pPr>
          </w:p>
        </w:tc>
        <w:tc>
          <w:tcPr>
            <w:tcW w:w="1531" w:type="dxa"/>
          </w:tcPr>
          <w:p w14:paraId="14B12DF3">
            <w:pPr>
              <w:pStyle w:val="2"/>
              <w:numPr>
                <w:ilvl w:val="0"/>
                <w:numId w:val="0"/>
              </w:numPr>
              <w:rPr>
                <w:rFonts w:hint="default"/>
                <w:vertAlign w:val="baseline"/>
                <w:lang w:val="en-US" w:eastAsia="zh-CN"/>
              </w:rPr>
            </w:pPr>
          </w:p>
        </w:tc>
        <w:tc>
          <w:tcPr>
            <w:tcW w:w="3030" w:type="dxa"/>
          </w:tcPr>
          <w:p w14:paraId="3EC0078D">
            <w:pPr>
              <w:pStyle w:val="2"/>
              <w:numPr>
                <w:ilvl w:val="0"/>
                <w:numId w:val="0"/>
              </w:numPr>
              <w:rPr>
                <w:rFonts w:hint="default"/>
                <w:vertAlign w:val="baseline"/>
                <w:lang w:val="en-US" w:eastAsia="zh-CN"/>
              </w:rPr>
            </w:pPr>
          </w:p>
        </w:tc>
        <w:tc>
          <w:tcPr>
            <w:tcW w:w="1350" w:type="dxa"/>
          </w:tcPr>
          <w:p w14:paraId="168D6E5B">
            <w:pPr>
              <w:pStyle w:val="2"/>
              <w:numPr>
                <w:ilvl w:val="0"/>
                <w:numId w:val="0"/>
              </w:numPr>
              <w:rPr>
                <w:rFonts w:hint="default"/>
                <w:vertAlign w:val="baseline"/>
                <w:lang w:val="en-US" w:eastAsia="zh-CN"/>
              </w:rPr>
            </w:pPr>
          </w:p>
        </w:tc>
        <w:tc>
          <w:tcPr>
            <w:tcW w:w="1392" w:type="dxa"/>
          </w:tcPr>
          <w:p w14:paraId="3FBDA0D4">
            <w:pPr>
              <w:pStyle w:val="2"/>
              <w:numPr>
                <w:ilvl w:val="0"/>
                <w:numId w:val="0"/>
              </w:numPr>
              <w:rPr>
                <w:rFonts w:hint="default"/>
                <w:vertAlign w:val="baseline"/>
                <w:lang w:val="en-US" w:eastAsia="zh-CN"/>
              </w:rPr>
            </w:pPr>
          </w:p>
        </w:tc>
      </w:tr>
      <w:tr w14:paraId="0540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71343B3A">
            <w:pPr>
              <w:pStyle w:val="2"/>
              <w:numPr>
                <w:ilvl w:val="0"/>
                <w:numId w:val="0"/>
              </w:numPr>
              <w:rPr>
                <w:rFonts w:hint="default"/>
                <w:vertAlign w:val="baseline"/>
                <w:lang w:val="en-US" w:eastAsia="zh-CN"/>
              </w:rPr>
            </w:pPr>
          </w:p>
        </w:tc>
        <w:tc>
          <w:tcPr>
            <w:tcW w:w="1531" w:type="dxa"/>
          </w:tcPr>
          <w:p w14:paraId="7F014DAA">
            <w:pPr>
              <w:pStyle w:val="2"/>
              <w:numPr>
                <w:ilvl w:val="0"/>
                <w:numId w:val="0"/>
              </w:numPr>
              <w:rPr>
                <w:rFonts w:hint="default"/>
                <w:vertAlign w:val="baseline"/>
                <w:lang w:val="en-US" w:eastAsia="zh-CN"/>
              </w:rPr>
            </w:pPr>
          </w:p>
        </w:tc>
        <w:tc>
          <w:tcPr>
            <w:tcW w:w="3030" w:type="dxa"/>
          </w:tcPr>
          <w:p w14:paraId="468C9776">
            <w:pPr>
              <w:pStyle w:val="2"/>
              <w:numPr>
                <w:ilvl w:val="0"/>
                <w:numId w:val="0"/>
              </w:numPr>
              <w:rPr>
                <w:rFonts w:hint="default"/>
                <w:vertAlign w:val="baseline"/>
                <w:lang w:val="en-US" w:eastAsia="zh-CN"/>
              </w:rPr>
            </w:pPr>
          </w:p>
        </w:tc>
        <w:tc>
          <w:tcPr>
            <w:tcW w:w="1350" w:type="dxa"/>
          </w:tcPr>
          <w:p w14:paraId="72F02F69">
            <w:pPr>
              <w:pStyle w:val="2"/>
              <w:numPr>
                <w:ilvl w:val="0"/>
                <w:numId w:val="0"/>
              </w:numPr>
              <w:rPr>
                <w:rFonts w:hint="default"/>
                <w:vertAlign w:val="baseline"/>
                <w:lang w:val="en-US" w:eastAsia="zh-CN"/>
              </w:rPr>
            </w:pPr>
          </w:p>
        </w:tc>
        <w:tc>
          <w:tcPr>
            <w:tcW w:w="1392" w:type="dxa"/>
          </w:tcPr>
          <w:p w14:paraId="6ABEB490">
            <w:pPr>
              <w:pStyle w:val="2"/>
              <w:numPr>
                <w:ilvl w:val="0"/>
                <w:numId w:val="0"/>
              </w:numPr>
              <w:rPr>
                <w:rFonts w:hint="default"/>
                <w:vertAlign w:val="baseline"/>
                <w:lang w:val="en-US" w:eastAsia="zh-CN"/>
              </w:rPr>
            </w:pPr>
          </w:p>
        </w:tc>
      </w:tr>
      <w:tr w14:paraId="6C56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5E00CD8E">
            <w:pPr>
              <w:pStyle w:val="2"/>
              <w:numPr>
                <w:ilvl w:val="0"/>
                <w:numId w:val="0"/>
              </w:numPr>
              <w:rPr>
                <w:rFonts w:hint="default"/>
                <w:vertAlign w:val="baseline"/>
                <w:lang w:val="en-US" w:eastAsia="zh-CN"/>
              </w:rPr>
            </w:pPr>
          </w:p>
        </w:tc>
        <w:tc>
          <w:tcPr>
            <w:tcW w:w="1531" w:type="dxa"/>
          </w:tcPr>
          <w:p w14:paraId="74DC97C3">
            <w:pPr>
              <w:pStyle w:val="2"/>
              <w:numPr>
                <w:ilvl w:val="0"/>
                <w:numId w:val="0"/>
              </w:numPr>
              <w:rPr>
                <w:rFonts w:hint="default"/>
                <w:vertAlign w:val="baseline"/>
                <w:lang w:val="en-US" w:eastAsia="zh-CN"/>
              </w:rPr>
            </w:pPr>
          </w:p>
        </w:tc>
        <w:tc>
          <w:tcPr>
            <w:tcW w:w="3030" w:type="dxa"/>
          </w:tcPr>
          <w:p w14:paraId="6063C0EE">
            <w:pPr>
              <w:pStyle w:val="2"/>
              <w:numPr>
                <w:ilvl w:val="0"/>
                <w:numId w:val="0"/>
              </w:numPr>
              <w:rPr>
                <w:rFonts w:hint="default"/>
                <w:vertAlign w:val="baseline"/>
                <w:lang w:val="en-US" w:eastAsia="zh-CN"/>
              </w:rPr>
            </w:pPr>
          </w:p>
        </w:tc>
        <w:tc>
          <w:tcPr>
            <w:tcW w:w="1350" w:type="dxa"/>
          </w:tcPr>
          <w:p w14:paraId="332943F7">
            <w:pPr>
              <w:pStyle w:val="2"/>
              <w:numPr>
                <w:ilvl w:val="0"/>
                <w:numId w:val="0"/>
              </w:numPr>
              <w:rPr>
                <w:rFonts w:hint="default"/>
                <w:vertAlign w:val="baseline"/>
                <w:lang w:val="en-US" w:eastAsia="zh-CN"/>
              </w:rPr>
            </w:pPr>
          </w:p>
        </w:tc>
        <w:tc>
          <w:tcPr>
            <w:tcW w:w="1392" w:type="dxa"/>
          </w:tcPr>
          <w:p w14:paraId="32FD0E74">
            <w:pPr>
              <w:pStyle w:val="2"/>
              <w:numPr>
                <w:ilvl w:val="0"/>
                <w:numId w:val="0"/>
              </w:numPr>
              <w:rPr>
                <w:rFonts w:hint="default"/>
                <w:vertAlign w:val="baseline"/>
                <w:lang w:val="en-US" w:eastAsia="zh-CN"/>
              </w:rPr>
            </w:pPr>
          </w:p>
        </w:tc>
      </w:tr>
      <w:tr w14:paraId="3579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0F249E9D">
            <w:pPr>
              <w:pStyle w:val="2"/>
              <w:numPr>
                <w:ilvl w:val="0"/>
                <w:numId w:val="0"/>
              </w:numPr>
              <w:rPr>
                <w:rFonts w:hint="default"/>
                <w:vertAlign w:val="baseline"/>
                <w:lang w:val="en-US" w:eastAsia="zh-CN"/>
              </w:rPr>
            </w:pPr>
          </w:p>
        </w:tc>
        <w:tc>
          <w:tcPr>
            <w:tcW w:w="1531" w:type="dxa"/>
          </w:tcPr>
          <w:p w14:paraId="761F803A">
            <w:pPr>
              <w:pStyle w:val="2"/>
              <w:numPr>
                <w:ilvl w:val="0"/>
                <w:numId w:val="0"/>
              </w:numPr>
              <w:rPr>
                <w:rFonts w:hint="default"/>
                <w:vertAlign w:val="baseline"/>
                <w:lang w:val="en-US" w:eastAsia="zh-CN"/>
              </w:rPr>
            </w:pPr>
          </w:p>
        </w:tc>
        <w:tc>
          <w:tcPr>
            <w:tcW w:w="3030" w:type="dxa"/>
          </w:tcPr>
          <w:p w14:paraId="4E04F5D7">
            <w:pPr>
              <w:pStyle w:val="2"/>
              <w:numPr>
                <w:ilvl w:val="0"/>
                <w:numId w:val="0"/>
              </w:numPr>
              <w:rPr>
                <w:rFonts w:hint="default"/>
                <w:vertAlign w:val="baseline"/>
                <w:lang w:val="en-US" w:eastAsia="zh-CN"/>
              </w:rPr>
            </w:pPr>
          </w:p>
        </w:tc>
        <w:tc>
          <w:tcPr>
            <w:tcW w:w="1350" w:type="dxa"/>
          </w:tcPr>
          <w:p w14:paraId="697EFDC5">
            <w:pPr>
              <w:pStyle w:val="2"/>
              <w:numPr>
                <w:ilvl w:val="0"/>
                <w:numId w:val="0"/>
              </w:numPr>
              <w:rPr>
                <w:rFonts w:hint="default"/>
                <w:vertAlign w:val="baseline"/>
                <w:lang w:val="en-US" w:eastAsia="zh-CN"/>
              </w:rPr>
            </w:pPr>
          </w:p>
        </w:tc>
        <w:tc>
          <w:tcPr>
            <w:tcW w:w="1392" w:type="dxa"/>
          </w:tcPr>
          <w:p w14:paraId="7916034A">
            <w:pPr>
              <w:pStyle w:val="2"/>
              <w:numPr>
                <w:ilvl w:val="0"/>
                <w:numId w:val="0"/>
              </w:numPr>
              <w:rPr>
                <w:rFonts w:hint="default"/>
                <w:vertAlign w:val="baseline"/>
                <w:lang w:val="en-US" w:eastAsia="zh-CN"/>
              </w:rPr>
            </w:pPr>
          </w:p>
        </w:tc>
      </w:tr>
      <w:tr w14:paraId="5371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16CB6817">
            <w:pPr>
              <w:pStyle w:val="2"/>
              <w:numPr>
                <w:ilvl w:val="0"/>
                <w:numId w:val="0"/>
              </w:numPr>
              <w:rPr>
                <w:rFonts w:hint="eastAsia"/>
                <w:vertAlign w:val="baseline"/>
                <w:lang w:val="en-US" w:eastAsia="zh-CN"/>
              </w:rPr>
            </w:pPr>
            <w:r>
              <w:rPr>
                <w:rFonts w:hint="eastAsia"/>
                <w:vertAlign w:val="baseline"/>
                <w:lang w:val="en-US" w:eastAsia="zh-CN"/>
              </w:rPr>
              <w:t>......</w:t>
            </w:r>
          </w:p>
        </w:tc>
        <w:tc>
          <w:tcPr>
            <w:tcW w:w="1531" w:type="dxa"/>
          </w:tcPr>
          <w:p w14:paraId="47BFBD2B">
            <w:pPr>
              <w:pStyle w:val="2"/>
              <w:numPr>
                <w:ilvl w:val="0"/>
                <w:numId w:val="0"/>
              </w:numPr>
              <w:rPr>
                <w:rFonts w:hint="default"/>
                <w:vertAlign w:val="baseline"/>
                <w:lang w:val="en-US" w:eastAsia="zh-CN"/>
              </w:rPr>
            </w:pPr>
          </w:p>
        </w:tc>
        <w:tc>
          <w:tcPr>
            <w:tcW w:w="3030" w:type="dxa"/>
          </w:tcPr>
          <w:p w14:paraId="5D399365">
            <w:pPr>
              <w:pStyle w:val="2"/>
              <w:numPr>
                <w:ilvl w:val="0"/>
                <w:numId w:val="0"/>
              </w:numPr>
              <w:rPr>
                <w:rFonts w:hint="default"/>
                <w:vertAlign w:val="baseline"/>
                <w:lang w:val="en-US" w:eastAsia="zh-CN"/>
              </w:rPr>
            </w:pPr>
          </w:p>
        </w:tc>
        <w:tc>
          <w:tcPr>
            <w:tcW w:w="1350" w:type="dxa"/>
          </w:tcPr>
          <w:p w14:paraId="509BC1C0">
            <w:pPr>
              <w:pStyle w:val="2"/>
              <w:numPr>
                <w:ilvl w:val="0"/>
                <w:numId w:val="0"/>
              </w:numPr>
              <w:rPr>
                <w:rFonts w:hint="default"/>
                <w:vertAlign w:val="baseline"/>
                <w:lang w:val="en-US" w:eastAsia="zh-CN"/>
              </w:rPr>
            </w:pPr>
          </w:p>
        </w:tc>
        <w:tc>
          <w:tcPr>
            <w:tcW w:w="1392" w:type="dxa"/>
          </w:tcPr>
          <w:p w14:paraId="3909F354">
            <w:pPr>
              <w:pStyle w:val="2"/>
              <w:numPr>
                <w:ilvl w:val="0"/>
                <w:numId w:val="0"/>
              </w:numPr>
              <w:rPr>
                <w:rFonts w:hint="default"/>
                <w:vertAlign w:val="baseline"/>
                <w:lang w:val="en-US" w:eastAsia="zh-CN"/>
              </w:rPr>
            </w:pPr>
          </w:p>
        </w:tc>
      </w:tr>
    </w:tbl>
    <w:p w14:paraId="228F6A59">
      <w:pPr>
        <w:pStyle w:val="2"/>
        <w:numPr>
          <w:ilvl w:val="0"/>
          <w:numId w:val="0"/>
        </w:numPr>
        <w:rPr>
          <w:rFonts w:hint="eastAsia"/>
          <w:b/>
          <w:bCs/>
          <w:lang w:val="en-US" w:eastAsia="zh-CN"/>
        </w:rPr>
      </w:pPr>
      <w:r>
        <w:rPr>
          <w:rFonts w:hint="eastAsia"/>
          <w:b/>
          <w:bCs/>
          <w:lang w:val="en-US" w:eastAsia="zh-CN"/>
        </w:rPr>
        <w:t>（注：表格后附业绩证明资料：签订合同复印件或中标通知书复印件）</w:t>
      </w:r>
    </w:p>
    <w:p w14:paraId="5DBE25AC">
      <w:pPr>
        <w:bidi w:val="0"/>
        <w:rPr>
          <w:rFonts w:hint="default"/>
          <w:lang w:val="en-US" w:eastAsia="zh-CN"/>
        </w:rPr>
      </w:pPr>
    </w:p>
    <w:p w14:paraId="023CE706">
      <w:pPr>
        <w:spacing w:line="339" w:lineRule="exact"/>
        <w:jc w:val="center"/>
        <w:rPr>
          <w:rFonts w:hint="eastAsia" w:ascii="宋体" w:hAnsi="宋体" w:eastAsia="宋体" w:cs="宋体"/>
          <w:b/>
          <w:sz w:val="28"/>
          <w:szCs w:val="28"/>
          <w:highlight w:val="none"/>
          <w:lang w:eastAsia="zh-CN"/>
        </w:rPr>
      </w:pPr>
    </w:p>
    <w:p w14:paraId="17A75A16">
      <w:pPr>
        <w:spacing w:line="339" w:lineRule="exact"/>
        <w:jc w:val="center"/>
        <w:rPr>
          <w:rFonts w:hint="eastAsia" w:ascii="宋体" w:hAnsi="宋体" w:eastAsia="宋体" w:cs="宋体"/>
          <w:b/>
          <w:sz w:val="28"/>
          <w:szCs w:val="28"/>
          <w:highlight w:val="none"/>
          <w:lang w:eastAsia="zh-CN"/>
        </w:rPr>
      </w:pPr>
    </w:p>
    <w:p w14:paraId="31EEA662">
      <w:pPr>
        <w:spacing w:line="339" w:lineRule="exact"/>
        <w:jc w:val="both"/>
        <w:rPr>
          <w:rFonts w:hint="eastAsia" w:ascii="宋体" w:hAnsi="宋体" w:eastAsia="宋体" w:cs="宋体"/>
          <w:b/>
          <w:sz w:val="28"/>
          <w:szCs w:val="28"/>
          <w:highlight w:val="none"/>
          <w:lang w:eastAsia="zh-CN"/>
        </w:rPr>
      </w:pPr>
    </w:p>
    <w:p w14:paraId="00C5E025">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供应商名称： </w:t>
      </w:r>
    </w:p>
    <w:p w14:paraId="44115E7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单位盖章： </w:t>
      </w:r>
    </w:p>
    <w:p w14:paraId="7ADCBA3D">
      <w:pPr>
        <w:spacing w:line="339" w:lineRule="exact"/>
        <w:jc w:val="both"/>
        <w:rPr>
          <w:rFonts w:hint="eastAsia" w:ascii="宋体" w:hAnsi="宋体" w:eastAsia="宋体" w:cs="宋体"/>
          <w:b/>
          <w:sz w:val="28"/>
          <w:szCs w:val="28"/>
          <w:highlight w:val="none"/>
          <w:lang w:eastAsia="zh-CN"/>
        </w:rPr>
      </w:pPr>
      <w:r>
        <w:rPr>
          <w:rFonts w:hint="eastAsia" w:ascii="宋体" w:hAnsi="宋体" w:eastAsia="宋体" w:cs="宋体"/>
          <w:color w:val="000000"/>
          <w:kern w:val="0"/>
          <w:sz w:val="28"/>
          <w:szCs w:val="28"/>
          <w:lang w:val="en-US" w:eastAsia="zh-CN" w:bidi="ar"/>
        </w:rPr>
        <w:t>日期：</w:t>
      </w:r>
    </w:p>
    <w:p w14:paraId="32FDE3B3">
      <w:pPr>
        <w:spacing w:line="339" w:lineRule="exact"/>
        <w:jc w:val="center"/>
        <w:rPr>
          <w:rFonts w:hint="eastAsia" w:ascii="宋体" w:hAnsi="宋体" w:eastAsia="宋体" w:cs="宋体"/>
          <w:b/>
          <w:sz w:val="28"/>
          <w:szCs w:val="28"/>
          <w:highlight w:val="none"/>
          <w:lang w:eastAsia="zh-CN"/>
        </w:rPr>
      </w:pPr>
    </w:p>
    <w:p w14:paraId="7E36CE83">
      <w:pPr>
        <w:spacing w:line="339" w:lineRule="exact"/>
        <w:jc w:val="center"/>
        <w:rPr>
          <w:rFonts w:hint="eastAsia" w:ascii="宋体" w:hAnsi="宋体" w:eastAsia="宋体" w:cs="宋体"/>
          <w:b/>
          <w:sz w:val="28"/>
          <w:szCs w:val="28"/>
          <w:highlight w:val="none"/>
          <w:lang w:eastAsia="zh-CN"/>
        </w:rPr>
      </w:pPr>
    </w:p>
    <w:p w14:paraId="120EC2D3">
      <w:pPr>
        <w:spacing w:line="339" w:lineRule="exact"/>
        <w:jc w:val="center"/>
        <w:rPr>
          <w:rFonts w:hint="eastAsia" w:ascii="宋体" w:hAnsi="宋体" w:eastAsia="宋体" w:cs="宋体"/>
          <w:b/>
          <w:sz w:val="28"/>
          <w:szCs w:val="28"/>
          <w:highlight w:val="none"/>
          <w:lang w:eastAsia="zh-CN"/>
        </w:rPr>
      </w:pPr>
    </w:p>
    <w:p w14:paraId="10A880D0">
      <w:pPr>
        <w:spacing w:line="339" w:lineRule="exact"/>
        <w:jc w:val="center"/>
        <w:rPr>
          <w:rFonts w:hint="eastAsia" w:ascii="宋体" w:hAnsi="宋体" w:eastAsia="宋体" w:cs="宋体"/>
          <w:b/>
          <w:sz w:val="28"/>
          <w:szCs w:val="28"/>
          <w:highlight w:val="none"/>
          <w:lang w:eastAsia="zh-CN"/>
        </w:rPr>
      </w:pPr>
    </w:p>
    <w:p w14:paraId="47B14533">
      <w:pPr>
        <w:spacing w:line="339" w:lineRule="exact"/>
        <w:jc w:val="center"/>
        <w:rPr>
          <w:rFonts w:hint="eastAsia" w:ascii="宋体" w:hAnsi="宋体" w:eastAsia="宋体" w:cs="宋体"/>
          <w:b/>
          <w:sz w:val="28"/>
          <w:szCs w:val="28"/>
          <w:highlight w:val="none"/>
          <w:lang w:eastAsia="zh-CN"/>
        </w:rPr>
      </w:pPr>
    </w:p>
    <w:p w14:paraId="2D0275E3">
      <w:pPr>
        <w:spacing w:line="339" w:lineRule="exact"/>
        <w:jc w:val="center"/>
        <w:rPr>
          <w:rFonts w:hint="eastAsia" w:ascii="宋体" w:hAnsi="宋体" w:eastAsia="宋体" w:cs="宋体"/>
          <w:b/>
          <w:sz w:val="28"/>
          <w:szCs w:val="28"/>
          <w:highlight w:val="none"/>
          <w:lang w:eastAsia="zh-CN"/>
        </w:rPr>
      </w:pPr>
    </w:p>
    <w:p w14:paraId="4C56851E">
      <w:pPr>
        <w:spacing w:line="339" w:lineRule="exact"/>
        <w:jc w:val="center"/>
        <w:rPr>
          <w:rFonts w:hint="eastAsia" w:ascii="宋体" w:hAnsi="宋体" w:eastAsia="宋体" w:cs="宋体"/>
          <w:b/>
          <w:sz w:val="28"/>
          <w:szCs w:val="28"/>
          <w:highlight w:val="none"/>
          <w:lang w:eastAsia="zh-CN"/>
        </w:rPr>
      </w:pPr>
    </w:p>
    <w:p w14:paraId="013CFAD1">
      <w:pPr>
        <w:spacing w:line="339" w:lineRule="exact"/>
        <w:jc w:val="center"/>
        <w:rPr>
          <w:rFonts w:hint="eastAsia" w:ascii="宋体" w:hAnsi="宋体" w:eastAsia="宋体" w:cs="宋体"/>
          <w:b/>
          <w:sz w:val="28"/>
          <w:szCs w:val="28"/>
          <w:highlight w:val="none"/>
          <w:lang w:eastAsia="zh-CN"/>
        </w:rPr>
      </w:pPr>
    </w:p>
    <w:p w14:paraId="2EF63ADB">
      <w:pPr>
        <w:spacing w:line="339" w:lineRule="exact"/>
        <w:jc w:val="center"/>
        <w:rPr>
          <w:rFonts w:hint="eastAsia" w:ascii="宋体" w:hAnsi="宋体" w:eastAsia="宋体" w:cs="宋体"/>
          <w:b/>
          <w:sz w:val="28"/>
          <w:szCs w:val="28"/>
          <w:highlight w:val="none"/>
          <w:lang w:eastAsia="zh-CN"/>
        </w:rPr>
      </w:pPr>
    </w:p>
    <w:p w14:paraId="001E2B5C">
      <w:pPr>
        <w:spacing w:line="339" w:lineRule="exact"/>
        <w:jc w:val="center"/>
        <w:rPr>
          <w:rFonts w:hint="eastAsia" w:ascii="宋体" w:hAnsi="宋体" w:eastAsia="宋体" w:cs="宋体"/>
          <w:b/>
          <w:sz w:val="28"/>
          <w:szCs w:val="28"/>
          <w:highlight w:val="none"/>
          <w:lang w:eastAsia="zh-CN"/>
        </w:rPr>
      </w:pPr>
    </w:p>
    <w:p w14:paraId="5CCB54F2">
      <w:pPr>
        <w:spacing w:line="339" w:lineRule="exact"/>
        <w:jc w:val="center"/>
        <w:rPr>
          <w:rFonts w:hint="eastAsia" w:ascii="宋体" w:hAnsi="宋体" w:eastAsia="宋体" w:cs="宋体"/>
          <w:b/>
          <w:sz w:val="28"/>
          <w:szCs w:val="28"/>
          <w:highlight w:val="none"/>
          <w:lang w:eastAsia="zh-CN"/>
        </w:rPr>
      </w:pPr>
    </w:p>
    <w:p w14:paraId="28797D2F">
      <w:pPr>
        <w:spacing w:line="339" w:lineRule="exact"/>
        <w:jc w:val="center"/>
        <w:rPr>
          <w:rFonts w:hint="eastAsia" w:ascii="宋体" w:hAnsi="宋体" w:eastAsia="宋体" w:cs="宋体"/>
          <w:b/>
          <w:sz w:val="28"/>
          <w:szCs w:val="28"/>
          <w:highlight w:val="none"/>
          <w:lang w:eastAsia="zh-CN"/>
        </w:rPr>
      </w:pPr>
    </w:p>
    <w:p w14:paraId="4EF38AFC">
      <w:pPr>
        <w:spacing w:line="339" w:lineRule="exact"/>
        <w:jc w:val="center"/>
        <w:rPr>
          <w:rFonts w:hint="eastAsia" w:ascii="宋体" w:hAnsi="宋体" w:eastAsia="宋体" w:cs="宋体"/>
          <w:b/>
          <w:sz w:val="28"/>
          <w:szCs w:val="28"/>
          <w:highlight w:val="none"/>
          <w:lang w:eastAsia="zh-CN"/>
        </w:rPr>
      </w:pPr>
    </w:p>
    <w:p w14:paraId="57269E0E">
      <w:pPr>
        <w:spacing w:line="339" w:lineRule="exact"/>
        <w:jc w:val="center"/>
        <w:rPr>
          <w:rFonts w:hint="eastAsia" w:ascii="宋体" w:hAnsi="宋体" w:eastAsia="宋体" w:cs="宋体"/>
          <w:b/>
          <w:sz w:val="28"/>
          <w:szCs w:val="28"/>
          <w:highlight w:val="none"/>
          <w:lang w:eastAsia="zh-CN"/>
        </w:rPr>
      </w:pPr>
    </w:p>
    <w:p w14:paraId="5AA13A6E">
      <w:pPr>
        <w:spacing w:line="339" w:lineRule="exact"/>
        <w:jc w:val="center"/>
        <w:rPr>
          <w:rFonts w:hint="eastAsia" w:ascii="宋体" w:hAnsi="宋体" w:eastAsia="宋体" w:cs="宋体"/>
          <w:b/>
          <w:sz w:val="28"/>
          <w:szCs w:val="28"/>
          <w:highlight w:val="none"/>
          <w:lang w:eastAsia="zh-CN"/>
        </w:rPr>
      </w:pPr>
    </w:p>
    <w:p w14:paraId="73CF63AB">
      <w:pPr>
        <w:spacing w:line="339" w:lineRule="exact"/>
        <w:jc w:val="center"/>
        <w:rPr>
          <w:rFonts w:hint="eastAsia" w:ascii="宋体" w:hAnsi="宋体" w:eastAsia="宋体" w:cs="宋体"/>
          <w:b/>
          <w:sz w:val="28"/>
          <w:szCs w:val="28"/>
          <w:highlight w:val="none"/>
          <w:lang w:eastAsia="zh-CN"/>
        </w:rPr>
      </w:pPr>
    </w:p>
    <w:p w14:paraId="4C31F6CC">
      <w:pPr>
        <w:spacing w:line="339" w:lineRule="exact"/>
        <w:jc w:val="center"/>
        <w:rPr>
          <w:rFonts w:hint="eastAsia" w:ascii="宋体" w:hAnsi="宋体" w:eastAsia="宋体" w:cs="宋体"/>
          <w:b/>
          <w:sz w:val="28"/>
          <w:szCs w:val="28"/>
          <w:highlight w:val="none"/>
          <w:lang w:eastAsia="zh-CN"/>
        </w:rPr>
      </w:pPr>
    </w:p>
    <w:p w14:paraId="0DBB502E">
      <w:pPr>
        <w:spacing w:line="339" w:lineRule="exact"/>
        <w:jc w:val="center"/>
        <w:rPr>
          <w:rFonts w:hint="eastAsia" w:ascii="宋体" w:hAnsi="宋体" w:eastAsia="宋体" w:cs="宋体"/>
          <w:b/>
          <w:sz w:val="28"/>
          <w:szCs w:val="28"/>
          <w:highlight w:val="none"/>
          <w:lang w:eastAsia="zh-CN"/>
        </w:rPr>
      </w:pPr>
    </w:p>
    <w:p w14:paraId="6DB95D5F">
      <w:pPr>
        <w:spacing w:line="339"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（十</w:t>
      </w:r>
      <w:r>
        <w:rPr>
          <w:rFonts w:hint="eastAsia" w:ascii="宋体" w:hAnsi="宋体" w:cs="宋体"/>
          <w:b/>
          <w:sz w:val="28"/>
          <w:szCs w:val="28"/>
          <w:highlight w:val="none"/>
          <w:lang w:eastAsia="zh-CN"/>
        </w:rPr>
        <w:t>一</w:t>
      </w:r>
      <w:r>
        <w:rPr>
          <w:rFonts w:hint="eastAsia" w:ascii="宋体" w:hAnsi="宋体" w:eastAsia="宋体" w:cs="宋体"/>
          <w:b/>
          <w:sz w:val="28"/>
          <w:szCs w:val="28"/>
          <w:highlight w:val="none"/>
          <w:lang w:eastAsia="zh-CN"/>
        </w:rPr>
        <w:t>）</w:t>
      </w:r>
      <w:r>
        <w:rPr>
          <w:rFonts w:hint="eastAsia" w:ascii="宋体" w:hAnsi="宋体" w:cs="宋体"/>
          <w:b/>
          <w:sz w:val="28"/>
          <w:szCs w:val="28"/>
          <w:highlight w:val="none"/>
          <w:lang w:eastAsia="zh-CN"/>
        </w:rPr>
        <w:t>项目实施方案</w:t>
      </w:r>
    </w:p>
    <w:p w14:paraId="47D6DA74">
      <w:pPr>
        <w:keepNext w:val="0"/>
        <w:keepLines w:val="0"/>
        <w:widowControl/>
        <w:suppressLineNumbers w:val="0"/>
        <w:jc w:val="left"/>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由供应商自行编制</w:t>
      </w:r>
      <w:r>
        <w:rPr>
          <w:rFonts w:hint="eastAsia" w:ascii="宋体" w:hAnsi="宋体" w:eastAsia="宋体" w:cs="宋体"/>
          <w:b/>
          <w:sz w:val="28"/>
          <w:szCs w:val="28"/>
          <w:highlight w:val="none"/>
          <w:lang w:val="en-US" w:eastAsia="zh-CN"/>
        </w:rPr>
        <w:t>（格式自拟）</w:t>
      </w:r>
    </w:p>
    <w:p w14:paraId="3E2F1BE2">
      <w:pPr>
        <w:bidi w:val="0"/>
        <w:jc w:val="left"/>
        <w:rPr>
          <w:rFonts w:hint="default"/>
          <w:lang w:val="en-US" w:eastAsia="zh-CN"/>
        </w:rPr>
      </w:pPr>
    </w:p>
    <w:p w14:paraId="34655FC0">
      <w:pPr>
        <w:pStyle w:val="2"/>
        <w:rPr>
          <w:rFonts w:hint="default"/>
          <w:lang w:val="en-US" w:eastAsia="zh-CN"/>
        </w:rPr>
      </w:pPr>
    </w:p>
    <w:p w14:paraId="25C2B815">
      <w:pPr>
        <w:rPr>
          <w:rFonts w:hint="default"/>
          <w:lang w:val="en-US" w:eastAsia="zh-CN"/>
        </w:rPr>
      </w:pPr>
    </w:p>
    <w:p w14:paraId="0363AD60">
      <w:pPr>
        <w:pStyle w:val="2"/>
        <w:rPr>
          <w:rFonts w:hint="default"/>
          <w:lang w:val="en-US" w:eastAsia="zh-CN"/>
        </w:rPr>
      </w:pPr>
    </w:p>
    <w:p w14:paraId="1A52E9E7">
      <w:pPr>
        <w:rPr>
          <w:rFonts w:hint="default"/>
          <w:lang w:val="en-US" w:eastAsia="zh-CN"/>
        </w:rPr>
      </w:pPr>
    </w:p>
    <w:p w14:paraId="0A1B15DF">
      <w:pPr>
        <w:pStyle w:val="2"/>
        <w:rPr>
          <w:rFonts w:hint="default"/>
          <w:lang w:val="en-US" w:eastAsia="zh-CN"/>
        </w:rPr>
      </w:pPr>
    </w:p>
    <w:p w14:paraId="61E79815">
      <w:pPr>
        <w:rPr>
          <w:rFonts w:hint="default"/>
          <w:lang w:val="en-US" w:eastAsia="zh-CN"/>
        </w:rPr>
      </w:pPr>
    </w:p>
    <w:p w14:paraId="66836E4A">
      <w:pPr>
        <w:pStyle w:val="2"/>
        <w:rPr>
          <w:rFonts w:hint="default"/>
          <w:lang w:val="en-US" w:eastAsia="zh-CN"/>
        </w:rPr>
      </w:pPr>
    </w:p>
    <w:p w14:paraId="26181F80">
      <w:pPr>
        <w:pStyle w:val="2"/>
        <w:numPr>
          <w:ilvl w:val="0"/>
          <w:numId w:val="5"/>
        </w:numPr>
        <w:jc w:val="center"/>
        <w:rPr>
          <w:rFonts w:hint="eastAsia"/>
          <w:b/>
          <w:bCs/>
          <w:sz w:val="28"/>
          <w:szCs w:val="28"/>
          <w:lang w:val="en-US" w:eastAsia="zh-CN"/>
        </w:rPr>
      </w:pPr>
      <w:r>
        <w:rPr>
          <w:rFonts w:hint="eastAsia"/>
          <w:b/>
          <w:bCs/>
          <w:sz w:val="28"/>
          <w:szCs w:val="28"/>
          <w:lang w:val="en-US" w:eastAsia="zh-CN"/>
        </w:rPr>
        <w:t>其他资料</w:t>
      </w:r>
    </w:p>
    <w:p w14:paraId="2CB3D1DD">
      <w:pPr>
        <w:keepNext w:val="0"/>
        <w:keepLines w:val="0"/>
        <w:widowControl/>
        <w:suppressLineNumbers w:val="0"/>
        <w:jc w:val="left"/>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由供应商自行编制</w:t>
      </w:r>
      <w:r>
        <w:rPr>
          <w:rFonts w:hint="eastAsia" w:ascii="宋体" w:hAnsi="宋体" w:eastAsia="宋体" w:cs="宋体"/>
          <w:b/>
          <w:sz w:val="28"/>
          <w:szCs w:val="28"/>
          <w:highlight w:val="none"/>
          <w:lang w:val="en-US" w:eastAsia="zh-CN"/>
        </w:rPr>
        <w:t>（格式自拟）</w:t>
      </w:r>
    </w:p>
    <w:p w14:paraId="4D7337FA">
      <w:pPr>
        <w:pStyle w:val="2"/>
        <w:numPr>
          <w:ilvl w:val="0"/>
          <w:numId w:val="0"/>
        </w:numPr>
        <w:jc w:val="both"/>
        <w:rPr>
          <w:rFonts w:hint="default"/>
          <w:b/>
          <w:bCs/>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277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C55E6">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AC55E6">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9C2D">
    <w:pPr>
      <w:spacing w:line="172" w:lineRule="auto"/>
      <w:ind w:left="4247"/>
      <w:rPr>
        <w:rFonts w:ascii="宋体" w:hAnsi="宋体" w:eastAsia="宋体" w:cs="宋体"/>
        <w:sz w:val="18"/>
        <w:szCs w:val="18"/>
      </w:rPr>
    </w:pPr>
    <w:r>
      <w:rPr>
        <w:rFonts w:ascii="宋体" w:hAnsi="宋体" w:eastAsia="宋体" w:cs="宋体"/>
        <w:spacing w:val="-6"/>
        <w:sz w:val="18"/>
        <w:szCs w:val="18"/>
      </w:rPr>
      <w:t>72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D28C2"/>
    <w:multiLevelType w:val="singleLevel"/>
    <w:tmpl w:val="EB4D28C2"/>
    <w:lvl w:ilvl="0" w:tentative="0">
      <w:start w:val="4"/>
      <w:numFmt w:val="decimal"/>
      <w:suff w:val="space"/>
      <w:lvlText w:val="%1."/>
      <w:lvlJc w:val="left"/>
    </w:lvl>
  </w:abstractNum>
  <w:abstractNum w:abstractNumId="1">
    <w:nsid w:val="2ACFF076"/>
    <w:multiLevelType w:val="singleLevel"/>
    <w:tmpl w:val="2ACFF076"/>
    <w:lvl w:ilvl="0" w:tentative="0">
      <w:start w:val="1"/>
      <w:numFmt w:val="decimal"/>
      <w:suff w:val="nothing"/>
      <w:lvlText w:val="（%1）"/>
      <w:lvlJc w:val="left"/>
    </w:lvl>
  </w:abstractNum>
  <w:abstractNum w:abstractNumId="2">
    <w:nsid w:val="5DF58422"/>
    <w:multiLevelType w:val="singleLevel"/>
    <w:tmpl w:val="5DF58422"/>
    <w:lvl w:ilvl="0" w:tentative="0">
      <w:start w:val="1"/>
      <w:numFmt w:val="decimal"/>
      <w:suff w:val="nothing"/>
      <w:lvlText w:val="（%1）"/>
      <w:lvlJc w:val="left"/>
    </w:lvl>
  </w:abstractNum>
  <w:abstractNum w:abstractNumId="3">
    <w:nsid w:val="641A8C0E"/>
    <w:multiLevelType w:val="singleLevel"/>
    <w:tmpl w:val="641A8C0E"/>
    <w:lvl w:ilvl="0" w:tentative="0">
      <w:start w:val="7"/>
      <w:numFmt w:val="chineseCounting"/>
      <w:suff w:val="nothing"/>
      <w:lvlText w:val="%1、"/>
      <w:lvlJc w:val="left"/>
      <w:rPr>
        <w:rFonts w:hint="eastAsia"/>
      </w:rPr>
    </w:lvl>
  </w:abstractNum>
  <w:abstractNum w:abstractNumId="4">
    <w:nsid w:val="66A57280"/>
    <w:multiLevelType w:val="singleLevel"/>
    <w:tmpl w:val="66A57280"/>
    <w:lvl w:ilvl="0" w:tentative="0">
      <w:start w:val="1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ZGVkMWE1MzU2MDU3NTgyYmRmNmZlODZlYjRjMGQifQ=="/>
  </w:docVars>
  <w:rsids>
    <w:rsidRoot w:val="10242CD9"/>
    <w:rsid w:val="000B6281"/>
    <w:rsid w:val="0021506A"/>
    <w:rsid w:val="00AD1FEF"/>
    <w:rsid w:val="00C12DE3"/>
    <w:rsid w:val="04815948"/>
    <w:rsid w:val="050575AD"/>
    <w:rsid w:val="05FC520E"/>
    <w:rsid w:val="06F72C2A"/>
    <w:rsid w:val="06FA0DFD"/>
    <w:rsid w:val="07056BD9"/>
    <w:rsid w:val="07572C82"/>
    <w:rsid w:val="07717112"/>
    <w:rsid w:val="08365E65"/>
    <w:rsid w:val="0852259C"/>
    <w:rsid w:val="08E76B50"/>
    <w:rsid w:val="09F00565"/>
    <w:rsid w:val="0A116422"/>
    <w:rsid w:val="0A2B5E22"/>
    <w:rsid w:val="0B2B6DAF"/>
    <w:rsid w:val="0B8C422C"/>
    <w:rsid w:val="0C654F6B"/>
    <w:rsid w:val="0D121888"/>
    <w:rsid w:val="0DC862F2"/>
    <w:rsid w:val="0DD60103"/>
    <w:rsid w:val="0E591116"/>
    <w:rsid w:val="0E6179B4"/>
    <w:rsid w:val="0EA33EF7"/>
    <w:rsid w:val="0ED8226E"/>
    <w:rsid w:val="0F0767AD"/>
    <w:rsid w:val="10242CD9"/>
    <w:rsid w:val="118E312E"/>
    <w:rsid w:val="121D4E73"/>
    <w:rsid w:val="12A544A2"/>
    <w:rsid w:val="13433B2C"/>
    <w:rsid w:val="144A5A37"/>
    <w:rsid w:val="14A01236"/>
    <w:rsid w:val="14D508CD"/>
    <w:rsid w:val="155103F5"/>
    <w:rsid w:val="1720665E"/>
    <w:rsid w:val="17BB6387"/>
    <w:rsid w:val="194303E2"/>
    <w:rsid w:val="1A91517D"/>
    <w:rsid w:val="1AB914D8"/>
    <w:rsid w:val="1B1C7C04"/>
    <w:rsid w:val="1C333C76"/>
    <w:rsid w:val="1C901B90"/>
    <w:rsid w:val="1D497F91"/>
    <w:rsid w:val="1DE877AA"/>
    <w:rsid w:val="1EAC7CC9"/>
    <w:rsid w:val="1FBA4E06"/>
    <w:rsid w:val="202B12A6"/>
    <w:rsid w:val="20FB66F5"/>
    <w:rsid w:val="215F362A"/>
    <w:rsid w:val="220A5F40"/>
    <w:rsid w:val="23306239"/>
    <w:rsid w:val="25633418"/>
    <w:rsid w:val="25927B1C"/>
    <w:rsid w:val="2609257A"/>
    <w:rsid w:val="27D63DB3"/>
    <w:rsid w:val="28B871F5"/>
    <w:rsid w:val="28F81FE5"/>
    <w:rsid w:val="29271A16"/>
    <w:rsid w:val="29D67050"/>
    <w:rsid w:val="2B865C5C"/>
    <w:rsid w:val="2B8D5464"/>
    <w:rsid w:val="2BFE5D12"/>
    <w:rsid w:val="2C72386E"/>
    <w:rsid w:val="2DD240A1"/>
    <w:rsid w:val="2E0746BA"/>
    <w:rsid w:val="2E1F5D77"/>
    <w:rsid w:val="2E5D1786"/>
    <w:rsid w:val="2E62715D"/>
    <w:rsid w:val="2EAD550D"/>
    <w:rsid w:val="2F5E5B1E"/>
    <w:rsid w:val="2FDB53C0"/>
    <w:rsid w:val="304940D8"/>
    <w:rsid w:val="30DD6C58"/>
    <w:rsid w:val="316E2211"/>
    <w:rsid w:val="31892D1E"/>
    <w:rsid w:val="31E6636C"/>
    <w:rsid w:val="323114FC"/>
    <w:rsid w:val="32BF6B7E"/>
    <w:rsid w:val="33813B89"/>
    <w:rsid w:val="33C8566C"/>
    <w:rsid w:val="34FC6E5F"/>
    <w:rsid w:val="358E07DF"/>
    <w:rsid w:val="35C661CB"/>
    <w:rsid w:val="38AC5B4C"/>
    <w:rsid w:val="39BB4480"/>
    <w:rsid w:val="3A39340F"/>
    <w:rsid w:val="3B7F12F6"/>
    <w:rsid w:val="3B967CDA"/>
    <w:rsid w:val="3BB7352C"/>
    <w:rsid w:val="3BC376D7"/>
    <w:rsid w:val="3C430575"/>
    <w:rsid w:val="3C781B56"/>
    <w:rsid w:val="3CAB152B"/>
    <w:rsid w:val="3CE76467"/>
    <w:rsid w:val="3CE82ECA"/>
    <w:rsid w:val="3CFA5631"/>
    <w:rsid w:val="3F2F60BD"/>
    <w:rsid w:val="3F695BF8"/>
    <w:rsid w:val="406A323D"/>
    <w:rsid w:val="40822197"/>
    <w:rsid w:val="40E90D2E"/>
    <w:rsid w:val="41963048"/>
    <w:rsid w:val="41E719A3"/>
    <w:rsid w:val="43002288"/>
    <w:rsid w:val="43140575"/>
    <w:rsid w:val="432C283E"/>
    <w:rsid w:val="43B60FA4"/>
    <w:rsid w:val="44B723BE"/>
    <w:rsid w:val="44F96048"/>
    <w:rsid w:val="451929FA"/>
    <w:rsid w:val="469F40CF"/>
    <w:rsid w:val="46FA5FA1"/>
    <w:rsid w:val="47332F94"/>
    <w:rsid w:val="47344A7A"/>
    <w:rsid w:val="4A4B1B9D"/>
    <w:rsid w:val="4AD1516E"/>
    <w:rsid w:val="4B1730BE"/>
    <w:rsid w:val="4BAB57EF"/>
    <w:rsid w:val="4BFA4232"/>
    <w:rsid w:val="4C9F3004"/>
    <w:rsid w:val="4D03307E"/>
    <w:rsid w:val="4D427417"/>
    <w:rsid w:val="4E0566F8"/>
    <w:rsid w:val="4E8862BB"/>
    <w:rsid w:val="4E9819AB"/>
    <w:rsid w:val="4F4D1C14"/>
    <w:rsid w:val="4FD549ED"/>
    <w:rsid w:val="50696F54"/>
    <w:rsid w:val="507158F9"/>
    <w:rsid w:val="50BC3FFA"/>
    <w:rsid w:val="51112598"/>
    <w:rsid w:val="511C3DE5"/>
    <w:rsid w:val="51D209A7"/>
    <w:rsid w:val="54074549"/>
    <w:rsid w:val="54474BD0"/>
    <w:rsid w:val="550541C2"/>
    <w:rsid w:val="55BD4A9D"/>
    <w:rsid w:val="55ED5656"/>
    <w:rsid w:val="56586573"/>
    <w:rsid w:val="566B7E13"/>
    <w:rsid w:val="579B0E0D"/>
    <w:rsid w:val="58444517"/>
    <w:rsid w:val="58DD0FB2"/>
    <w:rsid w:val="59184274"/>
    <w:rsid w:val="592866D1"/>
    <w:rsid w:val="595C3174"/>
    <w:rsid w:val="599C6BBC"/>
    <w:rsid w:val="5A0767D5"/>
    <w:rsid w:val="5A26378D"/>
    <w:rsid w:val="5A3F54C6"/>
    <w:rsid w:val="5B0E7298"/>
    <w:rsid w:val="5B6C5663"/>
    <w:rsid w:val="5B716C48"/>
    <w:rsid w:val="5BC951D7"/>
    <w:rsid w:val="5BF60962"/>
    <w:rsid w:val="5E4F4700"/>
    <w:rsid w:val="5E541E21"/>
    <w:rsid w:val="5F1A2F60"/>
    <w:rsid w:val="6029717B"/>
    <w:rsid w:val="606C7B8D"/>
    <w:rsid w:val="609C5F5C"/>
    <w:rsid w:val="61A26D54"/>
    <w:rsid w:val="6301327A"/>
    <w:rsid w:val="63307788"/>
    <w:rsid w:val="63AB062A"/>
    <w:rsid w:val="64591E34"/>
    <w:rsid w:val="64FF16AF"/>
    <w:rsid w:val="65662279"/>
    <w:rsid w:val="658D796F"/>
    <w:rsid w:val="6601478A"/>
    <w:rsid w:val="66F50061"/>
    <w:rsid w:val="684A79EE"/>
    <w:rsid w:val="684B23DC"/>
    <w:rsid w:val="690426D7"/>
    <w:rsid w:val="69136FB3"/>
    <w:rsid w:val="6954706E"/>
    <w:rsid w:val="69832DA7"/>
    <w:rsid w:val="69994111"/>
    <w:rsid w:val="6B146AB5"/>
    <w:rsid w:val="6B5415A7"/>
    <w:rsid w:val="6B686E01"/>
    <w:rsid w:val="6B6B0688"/>
    <w:rsid w:val="6BA02A3F"/>
    <w:rsid w:val="6CF05300"/>
    <w:rsid w:val="6D4F0278"/>
    <w:rsid w:val="6D7970A3"/>
    <w:rsid w:val="6DC0324D"/>
    <w:rsid w:val="6E2A4841"/>
    <w:rsid w:val="6EB1286D"/>
    <w:rsid w:val="6EB17D0D"/>
    <w:rsid w:val="6F406167"/>
    <w:rsid w:val="705E549C"/>
    <w:rsid w:val="70B623BC"/>
    <w:rsid w:val="721D1F97"/>
    <w:rsid w:val="727F3840"/>
    <w:rsid w:val="72DE5B6C"/>
    <w:rsid w:val="73D17C39"/>
    <w:rsid w:val="740500E7"/>
    <w:rsid w:val="74637F1A"/>
    <w:rsid w:val="751853F4"/>
    <w:rsid w:val="75466405"/>
    <w:rsid w:val="75DC697D"/>
    <w:rsid w:val="7619055B"/>
    <w:rsid w:val="76BA547C"/>
    <w:rsid w:val="76EE2A2F"/>
    <w:rsid w:val="79147386"/>
    <w:rsid w:val="792A6432"/>
    <w:rsid w:val="79D342B7"/>
    <w:rsid w:val="79D53DC5"/>
    <w:rsid w:val="7B9A0A39"/>
    <w:rsid w:val="7D900121"/>
    <w:rsid w:val="7DF06F0E"/>
    <w:rsid w:val="7E3B623A"/>
    <w:rsid w:val="7E80132B"/>
    <w:rsid w:val="7F37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jc w:val="center"/>
      <w:outlineLvl w:val="0"/>
    </w:pPr>
    <w:rPr>
      <w:rFonts w:ascii="Times New Roman" w:hAnsi="Times New Roman"/>
      <w:szCs w:val="20"/>
    </w:rPr>
  </w:style>
  <w:style w:type="paragraph" w:styleId="4">
    <w:name w:val="heading 2"/>
    <w:basedOn w:val="1"/>
    <w:next w:val="1"/>
    <w:autoRedefine/>
    <w:qFormat/>
    <w:uiPriority w:val="0"/>
    <w:pPr>
      <w:keepNext/>
      <w:keepLines/>
      <w:spacing w:line="360" w:lineRule="auto"/>
      <w:outlineLvl w:val="1"/>
    </w:pPr>
    <w:rPr>
      <w:rFonts w:ascii="Arial" w:hAnsi="Arial"/>
      <w:b/>
      <w:bCs/>
      <w:kern w:val="0"/>
      <w:sz w:val="24"/>
      <w:szCs w:val="32"/>
    </w:rPr>
  </w:style>
  <w:style w:type="paragraph" w:styleId="5">
    <w:name w:val="heading 3"/>
    <w:basedOn w:val="1"/>
    <w:next w:val="1"/>
    <w:link w:val="19"/>
    <w:autoRedefine/>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6">
    <w:name w:val="Normal Indent"/>
    <w:basedOn w:val="1"/>
    <w:qFormat/>
    <w:uiPriority w:val="0"/>
    <w:pPr>
      <w:ind w:firstLine="420"/>
    </w:pPr>
  </w:style>
  <w:style w:type="paragraph" w:styleId="7">
    <w:name w:val="Body Text Indent"/>
    <w:basedOn w:val="1"/>
    <w:next w:val="8"/>
    <w:autoRedefine/>
    <w:qFormat/>
    <w:uiPriority w:val="0"/>
    <w:pPr>
      <w:spacing w:after="120" w:afterLines="0"/>
      <w:ind w:left="420" w:leftChars="200"/>
    </w:pPr>
  </w:style>
  <w:style w:type="paragraph" w:styleId="8">
    <w:name w:val="Body Text Indent 2"/>
    <w:basedOn w:val="1"/>
    <w:next w:val="1"/>
    <w:qFormat/>
    <w:uiPriority w:val="99"/>
    <w:pPr>
      <w:ind w:firstLine="630"/>
    </w:pPr>
    <w:rPr>
      <w:kern w:val="0"/>
      <w:sz w:val="20"/>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14">
    <w:name w:val="Body Text First Indent 2"/>
    <w:basedOn w:val="7"/>
    <w:next w:val="6"/>
    <w:autoRedefine/>
    <w:qFormat/>
    <w:uiPriority w:val="0"/>
    <w:pPr>
      <w:ind w:left="0" w:leftChars="0" w:firstLine="210"/>
    </w:pPr>
    <w:rPr>
      <w:szCs w:val="2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No Spacing"/>
    <w:basedOn w:val="1"/>
    <w:autoRedefine/>
    <w:qFormat/>
    <w:uiPriority w:val="0"/>
    <w:rPr>
      <w:sz w:val="22"/>
      <w:szCs w:val="22"/>
      <w:lang w:val="en-US" w:eastAsia="zh-CN" w:bidi="ar-SA"/>
    </w:rPr>
  </w:style>
  <w:style w:type="character" w:customStyle="1" w:styleId="19">
    <w:name w:val="标题 3 Char"/>
    <w:link w:val="5"/>
    <w:autoRedefine/>
    <w:qFormat/>
    <w:uiPriority w:val="0"/>
    <w:rPr>
      <w:b/>
      <w:bCs/>
      <w:sz w:val="32"/>
      <w:szCs w:val="32"/>
    </w:r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3158</Words>
  <Characters>3662</Characters>
  <Lines>0</Lines>
  <Paragraphs>0</Paragraphs>
  <TotalTime>8</TotalTime>
  <ScaleCrop>false</ScaleCrop>
  <LinksUpToDate>false</LinksUpToDate>
  <CharactersWithSpaces>3805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2024-06-20T07:30:00Z</dcterms:created>
  <dc:creator>半世暄凉</dc:creator>
  <cp:lastModifiedBy>Administrator</cp:lastModifiedBy>
  <dcterms:modified xsi:type="dcterms:W3CDTF">2025-06-17T09:12:04Z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86EDD541BF524264A6DCADEF450A1185_13</vt:lpwstr>
  </property>
  <property fmtid="{D5CDD505-2E9C-101B-9397-08002B2CF9AE}" pid="4" name="KSOTemplateDocerSaveRecord">
    <vt:lpwstr>eyJoZGlkIjoiZmI4ZGVkMWE1MzU2MDU3NTgyYmRmNmZlODZlYjRjMGQiLCJ1c2VySWQiOiI1OTQ2Mjc0NzEifQ==</vt:lpwstr>
  </property>
</Properties>
</file>