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00" w:lineRule="exact"/>
        <w:contextualSpacing/>
        <w:rPr>
          <w:rFonts w:ascii="宋体" w:hAnsi="宋体" w:cs="宋体"/>
          <w:color w:val="000000" w:themeColor="text1"/>
          <w:sz w:val="24"/>
          <w:szCs w:val="24"/>
          <w14:textFill>
            <w14:solidFill>
              <w14:schemeClr w14:val="tx1"/>
            </w14:solidFill>
          </w14:textFill>
        </w:rPr>
      </w:pPr>
    </w:p>
    <w:p>
      <w:pPr>
        <w:jc w:val="center"/>
        <w:rPr>
          <w:rFonts w:hint="eastAsia" w:ascii="宋体" w:hAnsi="宋体" w:eastAsia="宋体" w:cs="Times New Roman"/>
          <w:b/>
          <w:color w:val="auto"/>
          <w:sz w:val="56"/>
          <w:szCs w:val="56"/>
          <w:lang w:val="en-US" w:eastAsia="zh-CN"/>
        </w:rPr>
      </w:pPr>
      <w:r>
        <w:rPr>
          <w:rFonts w:hint="eastAsia" w:ascii="宋体" w:hAnsi="宋体" w:cs="Times New Roman"/>
          <w:b/>
          <w:color w:val="auto"/>
          <w:sz w:val="56"/>
          <w:szCs w:val="56"/>
          <w:lang w:val="en-US" w:eastAsia="zh-CN"/>
        </w:rPr>
        <w:t>县医院新建儿科设备一批</w:t>
      </w:r>
    </w:p>
    <w:p>
      <w:pPr>
        <w:pStyle w:val="3"/>
        <w:rPr>
          <w:rFonts w:hint="eastAsia" w:ascii="宋体" w:hAnsi="宋体" w:cs="宋体"/>
          <w:color w:val="333333"/>
          <w:shd w:val="clear" w:color="auto" w:fill="FFFFFF"/>
          <w:lang w:val="en-US" w:eastAsia="zh-CN"/>
        </w:rPr>
      </w:pPr>
    </w:p>
    <w:p>
      <w:pPr>
        <w:rPr>
          <w:rFonts w:hint="eastAsia" w:ascii="宋体" w:hAnsi="宋体" w:cs="宋体"/>
          <w:color w:val="333333"/>
          <w:shd w:val="clear" w:color="auto" w:fill="FFFFFF"/>
          <w:lang w:val="en-US" w:eastAsia="zh-CN"/>
        </w:rPr>
      </w:pPr>
    </w:p>
    <w:p>
      <w:pPr>
        <w:pStyle w:val="3"/>
        <w:rPr>
          <w:rFonts w:hint="eastAsia" w:ascii="宋体" w:hAnsi="宋体" w:cs="宋体"/>
          <w:color w:val="333333"/>
          <w:shd w:val="clear" w:color="auto" w:fill="FFFFFF"/>
          <w:lang w:val="en-US" w:eastAsia="zh-CN"/>
        </w:rPr>
      </w:pPr>
    </w:p>
    <w:p>
      <w:pPr>
        <w:rPr>
          <w:rFonts w:hint="eastAsia" w:ascii="宋体" w:hAnsi="宋体" w:cs="宋体"/>
          <w:color w:val="333333"/>
          <w:shd w:val="clear" w:color="auto" w:fill="FFFFFF"/>
          <w:lang w:val="en-US" w:eastAsia="zh-CN"/>
        </w:rPr>
      </w:pPr>
    </w:p>
    <w:p>
      <w:pPr>
        <w:pStyle w:val="3"/>
        <w:rPr>
          <w:rFonts w:hint="default"/>
          <w:lang w:val="en-US"/>
        </w:rPr>
      </w:pPr>
    </w:p>
    <w:p>
      <w:pPr>
        <w:jc w:val="center"/>
        <w:rPr>
          <w:rFonts w:hint="eastAsia" w:ascii="宋体" w:hAnsi="宋体"/>
          <w:b/>
          <w:color w:val="auto"/>
          <w:sz w:val="72"/>
          <w:szCs w:val="72"/>
        </w:rPr>
      </w:pPr>
      <w:r>
        <w:rPr>
          <w:rFonts w:hint="eastAsia" w:ascii="宋体" w:hAnsi="宋体"/>
          <w:b/>
          <w:color w:val="auto"/>
          <w:sz w:val="72"/>
          <w:szCs w:val="72"/>
        </w:rPr>
        <w:t>招</w:t>
      </w:r>
    </w:p>
    <w:p>
      <w:pPr>
        <w:jc w:val="center"/>
        <w:rPr>
          <w:rFonts w:hint="eastAsia" w:ascii="宋体" w:hAnsi="宋体"/>
          <w:b/>
          <w:color w:val="auto"/>
          <w:sz w:val="72"/>
          <w:szCs w:val="72"/>
        </w:rPr>
      </w:pPr>
      <w:r>
        <w:rPr>
          <w:rFonts w:hint="eastAsia" w:ascii="宋体" w:hAnsi="宋体"/>
          <w:b/>
          <w:color w:val="auto"/>
          <w:sz w:val="72"/>
          <w:szCs w:val="72"/>
        </w:rPr>
        <w:t>标</w:t>
      </w:r>
    </w:p>
    <w:p>
      <w:pPr>
        <w:jc w:val="center"/>
        <w:rPr>
          <w:rFonts w:hint="eastAsia" w:ascii="宋体" w:hAnsi="宋体"/>
          <w:b/>
          <w:color w:val="auto"/>
          <w:sz w:val="72"/>
          <w:szCs w:val="72"/>
        </w:rPr>
      </w:pPr>
      <w:r>
        <w:rPr>
          <w:rFonts w:hint="eastAsia" w:ascii="宋体" w:hAnsi="宋体"/>
          <w:b/>
          <w:color w:val="auto"/>
          <w:sz w:val="72"/>
          <w:szCs w:val="72"/>
        </w:rPr>
        <w:t>文</w:t>
      </w:r>
    </w:p>
    <w:p>
      <w:pPr>
        <w:pStyle w:val="5"/>
        <w:bidi w:val="0"/>
        <w:rPr>
          <w:rFonts w:hint="eastAsia" w:ascii="宋体" w:hAnsi="宋体"/>
          <w:b/>
          <w:color w:val="auto"/>
          <w:sz w:val="72"/>
          <w:szCs w:val="72"/>
        </w:rPr>
      </w:pPr>
      <w:bookmarkStart w:id="0" w:name="_Toc30123"/>
      <w:r>
        <w:rPr>
          <w:rFonts w:hint="eastAsia" w:ascii="宋体" w:hAnsi="宋体"/>
          <w:b/>
          <w:color w:val="auto"/>
          <w:sz w:val="72"/>
          <w:szCs w:val="72"/>
        </w:rPr>
        <w:t>件</w:t>
      </w:r>
      <w:bookmarkEnd w:id="0"/>
    </w:p>
    <w:p>
      <w:pPr>
        <w:rPr>
          <w:rFonts w:hint="eastAsia" w:ascii="宋体" w:hAnsi="宋体"/>
          <w:b/>
          <w:color w:val="auto"/>
          <w:sz w:val="72"/>
          <w:szCs w:val="72"/>
        </w:rPr>
      </w:pPr>
    </w:p>
    <w:p>
      <w:pPr>
        <w:pStyle w:val="48"/>
      </w:pPr>
    </w:p>
    <w:p>
      <w:pPr>
        <w:spacing w:line="500" w:lineRule="exact"/>
        <w:contextualSpacing/>
        <w:rPr>
          <w:rFonts w:ascii="宋体" w:hAnsi="宋体" w:cs="宋体"/>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285" w:firstLineChars="400"/>
        <w:jc w:val="left"/>
        <w:textAlignment w:val="auto"/>
        <w:outlineLvl w:val="9"/>
        <w:rPr>
          <w:rFonts w:hint="eastAsia" w:ascii="宋体" w:hAnsi="宋体" w:eastAsia="宋体" w:cs="宋体"/>
          <w:b/>
          <w:sz w:val="32"/>
          <w:szCs w:val="32"/>
          <w:lang w:eastAsia="zh-CN"/>
        </w:rPr>
      </w:pPr>
      <w:bookmarkStart w:id="1" w:name="_Toc406749967"/>
      <w:bookmarkStart w:id="2" w:name="_Toc405824236"/>
      <w:bookmarkStart w:id="3" w:name="_Toc25686"/>
      <w:bookmarkStart w:id="4" w:name="_Toc217446030"/>
      <w:bookmarkStart w:id="5" w:name="_Toc183682338"/>
      <w:r>
        <w:rPr>
          <w:rFonts w:hint="eastAsia" w:ascii="宋体" w:hAnsi="宋体" w:eastAsia="宋体" w:cs="宋体"/>
          <w:b/>
          <w:sz w:val="32"/>
          <w:szCs w:val="32"/>
          <w:lang w:eastAsia="zh-CN"/>
        </w:rPr>
        <w:t>采购</w:t>
      </w:r>
      <w:r>
        <w:rPr>
          <w:rFonts w:hint="eastAsia" w:ascii="宋体" w:hAnsi="宋体" w:eastAsia="宋体" w:cs="宋体"/>
          <w:b/>
          <w:sz w:val="32"/>
          <w:szCs w:val="32"/>
        </w:rPr>
        <w:t>人</w:t>
      </w:r>
      <w:r>
        <w:rPr>
          <w:rFonts w:hint="eastAsia" w:ascii="宋体" w:hAnsi="宋体" w:eastAsia="宋体" w:cs="宋体"/>
          <w:b/>
          <w:sz w:val="32"/>
          <w:szCs w:val="32"/>
          <w:lang w:eastAsia="zh-CN"/>
        </w:rPr>
        <w:t>：</w:t>
      </w:r>
      <w:r>
        <w:rPr>
          <w:rFonts w:hint="eastAsia" w:ascii="宋体" w:hAnsi="宋体" w:eastAsia="宋体" w:cs="宋体"/>
          <w:b/>
          <w:color w:val="auto"/>
          <w:sz w:val="32"/>
          <w:szCs w:val="32"/>
          <w:lang w:val="en-US" w:eastAsia="zh-CN"/>
        </w:rPr>
        <w:t>柯坪县人民医院</w:t>
      </w:r>
      <w:r>
        <w:rPr>
          <w:rFonts w:hint="eastAsia" w:ascii="宋体" w:hAnsi="宋体" w:eastAsia="宋体" w:cs="宋体"/>
          <w:b/>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85" w:firstLineChars="400"/>
        <w:jc w:val="left"/>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 xml:space="preserve">项目编号： </w:t>
      </w:r>
      <w:r>
        <w:rPr>
          <w:rFonts w:hint="eastAsia" w:ascii="宋体" w:hAnsi="宋体" w:eastAsia="宋体" w:cs="宋体"/>
          <w:b/>
          <w:color w:val="auto"/>
          <w:sz w:val="32"/>
          <w:szCs w:val="32"/>
          <w:lang w:val="en-US" w:eastAsia="zh-CN"/>
        </w:rPr>
        <w:t>集kpxzcy2023-00103</w:t>
      </w:r>
    </w:p>
    <w:p>
      <w:pPr>
        <w:spacing w:line="600" w:lineRule="exact"/>
        <w:ind w:firstLine="1285" w:firstLineChars="400"/>
        <w:jc w:val="left"/>
        <w:rPr>
          <w:rFonts w:hint="eastAsia" w:ascii="宋体" w:hAnsi="宋体" w:cs="宋体"/>
          <w:sz w:val="28"/>
          <w:szCs w:val="28"/>
        </w:rPr>
      </w:pPr>
      <w:r>
        <w:rPr>
          <w:rFonts w:hint="eastAsia" w:ascii="宋体" w:hAnsi="宋体" w:eastAsia="宋体" w:cs="宋体"/>
          <w:b/>
          <w:sz w:val="32"/>
          <w:szCs w:val="32"/>
          <w:lang w:eastAsia="zh-CN"/>
        </w:rPr>
        <w:t>采购代理机构：</w:t>
      </w:r>
      <w:r>
        <w:rPr>
          <w:rFonts w:hint="eastAsia" w:ascii="宋体" w:hAnsi="宋体" w:cs="宋体"/>
          <w:b/>
          <w:sz w:val="32"/>
          <w:szCs w:val="32"/>
          <w:lang w:eastAsia="zh-CN"/>
        </w:rPr>
        <w:t>新疆佰隆工程项目管理有限公司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rPr>
        <w:t>二Ｏ</w:t>
      </w:r>
      <w:r>
        <w:rPr>
          <w:rFonts w:hint="eastAsia" w:ascii="宋体" w:hAnsi="宋体" w:eastAsia="宋体" w:cs="宋体"/>
          <w:b/>
          <w:sz w:val="32"/>
          <w:szCs w:val="32"/>
          <w:lang w:eastAsia="zh-CN"/>
        </w:rPr>
        <w:t>二</w:t>
      </w:r>
      <w:r>
        <w:rPr>
          <w:rFonts w:hint="eastAsia" w:ascii="宋体" w:hAnsi="宋体" w:cs="宋体"/>
          <w:b/>
          <w:sz w:val="32"/>
          <w:szCs w:val="32"/>
          <w:lang w:val="en-US" w:eastAsia="zh-CN"/>
        </w:rPr>
        <w:t>三</w:t>
      </w:r>
      <w:r>
        <w:rPr>
          <w:rFonts w:hint="eastAsia" w:ascii="宋体" w:hAnsi="宋体" w:eastAsia="宋体" w:cs="宋体"/>
          <w:b/>
          <w:sz w:val="32"/>
          <w:szCs w:val="32"/>
        </w:rPr>
        <w:t>年</w:t>
      </w:r>
      <w:r>
        <w:rPr>
          <w:rFonts w:hint="eastAsia" w:ascii="宋体" w:hAnsi="宋体" w:cs="宋体"/>
          <w:b/>
          <w:sz w:val="32"/>
          <w:szCs w:val="32"/>
          <w:lang w:eastAsia="zh-CN"/>
        </w:rPr>
        <w:t>六</w:t>
      </w:r>
      <w:r>
        <w:rPr>
          <w:rFonts w:hint="eastAsia" w:ascii="宋体" w:hAnsi="宋体" w:eastAsia="宋体" w:cs="宋体"/>
          <w:b/>
          <w:sz w:val="32"/>
          <w:szCs w:val="32"/>
        </w:rPr>
        <w:t>月</w:t>
      </w:r>
    </w:p>
    <w:p>
      <w:pPr>
        <w:ind w:left="0" w:leftChars="0" w:right="0" w:rightChars="0" w:firstLine="0" w:firstLineChars="0"/>
        <w:jc w:val="center"/>
        <w:rPr>
          <w:rFonts w:hint="eastAsia" w:ascii="宋体" w:hAnsi="宋体" w:cs="宋体"/>
          <w:b/>
          <w:color w:val="auto"/>
          <w:sz w:val="40"/>
          <w:szCs w:val="20"/>
          <w:highlight w:val="none"/>
          <w:lang w:eastAsia="zh-CN"/>
        </w:rPr>
        <w:sectPr>
          <w:headerReference r:id="rId3" w:type="default"/>
          <w:pgSz w:w="11906" w:h="16838"/>
          <w:pgMar w:top="1418" w:right="1418" w:bottom="1418" w:left="1418" w:header="851" w:footer="992" w:gutter="0"/>
          <w:pgNumType w:start="1"/>
          <w:cols w:space="720" w:num="1"/>
          <w:docGrid w:type="lines" w:linePitch="312" w:charSpace="0"/>
        </w:sectPr>
      </w:pPr>
    </w:p>
    <w:p>
      <w:pPr>
        <w:spacing w:line="600" w:lineRule="exact"/>
        <w:jc w:val="center"/>
        <w:rPr>
          <w:rFonts w:hint="eastAsia" w:ascii="宋体" w:hAnsi="宋体"/>
          <w:b/>
          <w:color w:val="auto"/>
          <w:sz w:val="52"/>
          <w:szCs w:val="52"/>
        </w:rPr>
      </w:pPr>
      <w:r>
        <w:rPr>
          <w:rFonts w:hint="eastAsia" w:ascii="宋体" w:hAnsi="宋体"/>
          <w:b/>
          <w:color w:val="auto"/>
          <w:sz w:val="52"/>
          <w:szCs w:val="52"/>
        </w:rPr>
        <w:t>招标文件</w:t>
      </w:r>
    </w:p>
    <w:p>
      <w:pPr>
        <w:spacing w:line="600" w:lineRule="exact"/>
        <w:jc w:val="left"/>
        <w:rPr>
          <w:rFonts w:ascii="宋体" w:hAnsi="宋体"/>
          <w:b/>
          <w:color w:val="auto"/>
          <w:sz w:val="32"/>
          <w:szCs w:val="32"/>
        </w:rPr>
      </w:pPr>
    </w:p>
    <w:p>
      <w:pPr>
        <w:spacing w:line="600" w:lineRule="exact"/>
        <w:ind w:firstLine="151" w:firstLineChars="50"/>
        <w:jc w:val="left"/>
        <w:rPr>
          <w:rFonts w:hint="eastAsia" w:ascii="宋体" w:hAnsi="宋体"/>
          <w:b/>
          <w:color w:val="auto"/>
          <w:sz w:val="30"/>
          <w:szCs w:val="30"/>
          <w:lang w:val="en-US" w:eastAsia="zh-CN"/>
        </w:rPr>
      </w:pPr>
    </w:p>
    <w:p>
      <w:pPr>
        <w:spacing w:line="600" w:lineRule="exact"/>
        <w:ind w:left="2413" w:leftChars="337" w:hanging="1705" w:hangingChars="609"/>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项目名称：</w:t>
      </w:r>
      <w:r>
        <w:rPr>
          <w:rFonts w:hint="eastAsia" w:ascii="宋体" w:hAnsi="宋体" w:cs="宋体"/>
          <w:color w:val="auto"/>
          <w:sz w:val="28"/>
          <w:szCs w:val="28"/>
          <w:highlight w:val="none"/>
          <w:lang w:val="en-US" w:eastAsia="zh-CN"/>
        </w:rPr>
        <w:t>县医院新建儿科设备一批</w:t>
      </w: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采购人（公章）：</w:t>
      </w:r>
      <w:r>
        <w:rPr>
          <w:rFonts w:hint="eastAsia" w:ascii="宋体" w:hAnsi="宋体" w:eastAsia="宋体" w:cs="宋体"/>
          <w:color w:val="auto"/>
          <w:sz w:val="28"/>
          <w:szCs w:val="28"/>
          <w:highlight w:val="none"/>
          <w:lang w:val="en-US" w:eastAsia="zh-CN"/>
        </w:rPr>
        <w:t>柯坪县人民医院</w:t>
      </w:r>
      <w:r>
        <w:rPr>
          <w:rFonts w:hint="eastAsia" w:ascii="宋体" w:hAnsi="宋体" w:cs="宋体"/>
          <w:color w:val="auto"/>
          <w:sz w:val="28"/>
          <w:szCs w:val="28"/>
          <w:highlight w:val="none"/>
          <w:lang w:val="en-US" w:eastAsia="zh-CN"/>
        </w:rPr>
        <w:t xml:space="preserve"> </w:t>
      </w: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法定代表人（签字或盖章）：</w:t>
      </w: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eastAsia="zh-CN"/>
        </w:rPr>
        <w:t>郑跃</w:t>
      </w:r>
      <w:r>
        <w:rPr>
          <w:rFonts w:hint="eastAsia" w:ascii="宋体" w:hAnsi="宋体" w:eastAsia="宋体" w:cs="宋体"/>
          <w:color w:val="auto"/>
          <w:sz w:val="28"/>
          <w:szCs w:val="28"/>
          <w:highlight w:val="none"/>
          <w:lang w:eastAsia="zh-CN"/>
        </w:rPr>
        <w:t xml:space="preserve">       </w:t>
      </w: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联系方式：</w:t>
      </w:r>
      <w:r>
        <w:rPr>
          <w:rFonts w:hint="eastAsia" w:ascii="宋体" w:hAnsi="宋体" w:eastAsia="宋体" w:cs="宋体"/>
          <w:color w:val="auto"/>
          <w:sz w:val="28"/>
          <w:szCs w:val="28"/>
          <w:highlight w:val="none"/>
          <w:lang w:val="en-US" w:eastAsia="zh-CN"/>
        </w:rPr>
        <w:t>18799915268</w:t>
      </w:r>
      <w:r>
        <w:rPr>
          <w:rFonts w:hint="eastAsia" w:ascii="宋体" w:hAnsi="宋体" w:eastAsia="宋体" w:cs="宋体"/>
          <w:color w:val="auto"/>
          <w:sz w:val="28"/>
          <w:szCs w:val="28"/>
          <w:highlight w:val="none"/>
          <w:lang w:eastAsia="zh-CN"/>
        </w:rPr>
        <w:t>　　</w:t>
      </w: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　柯坪县健康路</w:t>
      </w:r>
      <w:r>
        <w:rPr>
          <w:rFonts w:hint="eastAsia" w:ascii="宋体" w:hAnsi="宋体" w:eastAsia="宋体" w:cs="宋体"/>
          <w:color w:val="auto"/>
          <w:sz w:val="28"/>
          <w:szCs w:val="28"/>
          <w:highlight w:val="none"/>
          <w:lang w:val="en-US" w:eastAsia="zh-CN"/>
        </w:rPr>
        <w:t xml:space="preserve">43号 </w:t>
      </w:r>
    </w:p>
    <w:p>
      <w:pPr>
        <w:spacing w:line="600" w:lineRule="exact"/>
        <w:ind w:left="2413" w:leftChars="337" w:hanging="1705" w:hangingChars="609"/>
        <w:jc w:val="left"/>
        <w:rPr>
          <w:rFonts w:hint="default"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rPr>
      </w:pPr>
    </w:p>
    <w:p>
      <w:pPr>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spacing w:line="600" w:lineRule="exact"/>
        <w:ind w:left="2413" w:leftChars="337" w:hanging="1705" w:hangingChars="609"/>
        <w:jc w:val="left"/>
        <w:rPr>
          <w:rFonts w:hint="eastAsia" w:ascii="宋体" w:hAnsi="宋体" w:eastAsia="宋体" w:cs="宋体"/>
          <w:color w:val="auto"/>
          <w:sz w:val="28"/>
          <w:szCs w:val="28"/>
          <w:highlight w:val="none"/>
          <w:lang w:eastAsia="zh-CN"/>
        </w:rPr>
      </w:pPr>
    </w:p>
    <w:p>
      <w:pPr>
        <w:spacing w:line="600" w:lineRule="exact"/>
        <w:ind w:left="2413" w:leftChars="337" w:hanging="1705" w:hangingChars="609"/>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采购代理机构（公章）：</w:t>
      </w:r>
      <w:r>
        <w:rPr>
          <w:rFonts w:hint="eastAsia" w:ascii="宋体" w:hAnsi="宋体" w:cs="宋体"/>
          <w:color w:val="auto"/>
          <w:sz w:val="28"/>
          <w:szCs w:val="28"/>
          <w:highlight w:val="none"/>
          <w:lang w:val="en-US" w:eastAsia="zh-CN"/>
        </w:rPr>
        <w:t>新疆佰隆工程项目管理有限公司</w:t>
      </w:r>
    </w:p>
    <w:p>
      <w:pPr>
        <w:spacing w:line="600" w:lineRule="exact"/>
        <w:ind w:left="2413" w:leftChars="337" w:hanging="1705" w:hangingChars="609"/>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法定代表人（签字或盖章）：</w:t>
      </w:r>
    </w:p>
    <w:p>
      <w:pPr>
        <w:spacing w:line="600" w:lineRule="exact"/>
        <w:ind w:left="2413" w:leftChars="337" w:hanging="1705" w:hangingChars="609"/>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cs="宋体"/>
          <w:color w:val="auto"/>
          <w:sz w:val="28"/>
          <w:szCs w:val="28"/>
          <w:highlight w:val="none"/>
          <w:lang w:val="en-US" w:eastAsia="zh-CN"/>
        </w:rPr>
        <w:t>辛艳</w:t>
      </w:r>
    </w:p>
    <w:p>
      <w:pPr>
        <w:spacing w:line="600" w:lineRule="exact"/>
        <w:ind w:left="2413" w:leftChars="337" w:hanging="1705" w:hangingChars="609"/>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w:t>
      </w:r>
      <w:r>
        <w:rPr>
          <w:rFonts w:hint="eastAsia" w:ascii="宋体" w:hAnsi="宋体" w:cs="宋体"/>
          <w:color w:val="auto"/>
          <w:sz w:val="28"/>
          <w:szCs w:val="28"/>
          <w:highlight w:val="none"/>
          <w:lang w:val="en-US" w:eastAsia="zh-CN"/>
        </w:rPr>
        <w:t>17699752110</w:t>
      </w:r>
    </w:p>
    <w:p>
      <w:pPr>
        <w:spacing w:line="600" w:lineRule="exact"/>
        <w:ind w:left="2413" w:leftChars="337" w:hanging="1705" w:hangingChars="609"/>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联系地址：新疆阿克苏地区柯坪县民主路幸福一期小区10栋2单元201室</w:t>
      </w:r>
    </w:p>
    <w:p>
      <w:pPr>
        <w:jc w:val="left"/>
        <w:rPr>
          <w:rFonts w:hint="eastAsia" w:ascii="宋体" w:hAnsi="宋体" w:eastAsia="宋体" w:cs="宋体"/>
          <w:color w:val="auto"/>
          <w:sz w:val="28"/>
          <w:szCs w:val="28"/>
          <w:highlight w:val="none"/>
        </w:rPr>
      </w:pPr>
    </w:p>
    <w:p>
      <w:pPr>
        <w:pStyle w:val="48"/>
        <w:jc w:val="left"/>
        <w:rPr>
          <w:rFonts w:hint="eastAsia" w:ascii="宋体" w:hAnsi="宋体" w:eastAsia="宋体" w:cs="宋体"/>
        </w:rPr>
      </w:pPr>
    </w:p>
    <w:p>
      <w:pPr>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w:t>
      </w:r>
    </w:p>
    <w:p>
      <w:pPr>
        <w:jc w:val="left"/>
        <w:rPr>
          <w:rFonts w:hint="eastAsia" w:ascii="宋体" w:hAnsi="宋体" w:eastAsia="宋体" w:cs="宋体"/>
          <w:b w:val="0"/>
          <w:bCs/>
          <w:color w:val="auto"/>
          <w:sz w:val="28"/>
          <w:szCs w:val="28"/>
          <w:highlight w:val="none"/>
          <w:lang w:eastAsia="zh-CN"/>
        </w:rPr>
      </w:pPr>
    </w:p>
    <w:p>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20</w:t>
      </w:r>
      <w:r>
        <w:rPr>
          <w:rFonts w:hint="eastAsia" w:ascii="宋体" w:hAnsi="宋体" w:eastAsia="宋体" w:cs="宋体"/>
          <w:b w:val="0"/>
          <w:bCs/>
          <w:color w:val="auto"/>
          <w:sz w:val="28"/>
          <w:szCs w:val="28"/>
          <w:highlight w:val="none"/>
          <w:lang w:val="en-US" w:eastAsia="zh-CN"/>
        </w:rPr>
        <w:t>2</w:t>
      </w:r>
      <w:r>
        <w:rPr>
          <w:rFonts w:hint="eastAsia" w:ascii="宋体" w:hAnsi="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年</w:t>
      </w:r>
      <w:r>
        <w:rPr>
          <w:rFonts w:hint="eastAsia" w:ascii="宋体" w:hAnsi="宋体" w:cs="宋体"/>
          <w:b w:val="0"/>
          <w:bCs/>
          <w:color w:val="auto"/>
          <w:sz w:val="28"/>
          <w:szCs w:val="28"/>
          <w:highlight w:val="none"/>
          <w:lang w:val="en-US" w:eastAsia="zh-CN"/>
        </w:rPr>
        <w:t>06</w:t>
      </w:r>
      <w:r>
        <w:rPr>
          <w:rFonts w:hint="eastAsia" w:ascii="宋体" w:hAnsi="宋体" w:eastAsia="宋体" w:cs="宋体"/>
          <w:b w:val="0"/>
          <w:bCs/>
          <w:color w:val="auto"/>
          <w:sz w:val="28"/>
          <w:szCs w:val="28"/>
          <w:highlight w:val="none"/>
        </w:rPr>
        <w:t>月</w:t>
      </w:r>
    </w:p>
    <w:p>
      <w:pPr>
        <w:jc w:val="center"/>
        <w:rPr>
          <w:rFonts w:hint="eastAsia" w:ascii="宋体" w:hAnsi="宋体"/>
          <w:b/>
          <w:bCs/>
          <w:color w:val="auto"/>
          <w:sz w:val="30"/>
          <w:szCs w:val="30"/>
        </w:rPr>
      </w:pPr>
    </w:p>
    <w:p>
      <w:pPr>
        <w:spacing w:line="500" w:lineRule="exact"/>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hint="eastAsia" w:ascii="宋体" w:hAnsi="宋体" w:cs="宋体"/>
          <w:b/>
          <w:color w:val="000000" w:themeColor="text1"/>
          <w:sz w:val="24"/>
          <w:szCs w:val="24"/>
          <w14:textFill>
            <w14:solidFill>
              <w14:schemeClr w14:val="tx1"/>
            </w14:solidFill>
          </w14:textFill>
        </w:rPr>
      </w:pPr>
    </w:p>
    <w:p>
      <w:pPr>
        <w:spacing w:line="500" w:lineRule="exact"/>
        <w:contextualSpacing/>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目录</w:t>
      </w:r>
      <w:bookmarkEnd w:id="1"/>
      <w:bookmarkEnd w:id="2"/>
      <w:bookmarkEnd w:id="3"/>
    </w:p>
    <w:p>
      <w:pPr>
        <w:pStyle w:val="35"/>
        <w:rPr>
          <w:rFonts w:hint="eastAsia"/>
        </w:rPr>
      </w:pPr>
    </w:p>
    <w:p>
      <w:pPr>
        <w:pStyle w:val="35"/>
        <w:numPr>
          <w:ilvl w:val="0"/>
          <w:numId w:val="2"/>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招标公告</w:t>
      </w:r>
    </w:p>
    <w:p>
      <w:pPr>
        <w:pStyle w:val="35"/>
        <w:numPr>
          <w:ilvl w:val="0"/>
          <w:numId w:val="2"/>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投标人须知</w:t>
      </w:r>
    </w:p>
    <w:p>
      <w:pPr>
        <w:pStyle w:val="35"/>
        <w:numPr>
          <w:ilvl w:val="0"/>
          <w:numId w:val="0"/>
        </w:numPr>
        <w:ind w:leftChars="4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TOC \o "1-3" \h \z \u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sz w:val="28"/>
          <w:szCs w:val="28"/>
        </w:rPr>
        <w:instrText xml:space="preserve"> HYPERLINK \l _Toc2938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 清单</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5"/>
        <w:numPr>
          <w:ilvl w:val="0"/>
          <w:numId w:val="0"/>
        </w:numPr>
        <w:ind w:leftChars="4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sz w:val="28"/>
          <w:szCs w:val="28"/>
        </w:rPr>
        <w:instrText xml:space="preserve"> HYPERLINK \l _Toc29377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合同主要条款（仅供参考）</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5"/>
        <w:numPr>
          <w:ilvl w:val="0"/>
          <w:numId w:val="0"/>
        </w:numPr>
        <w:ind w:leftChars="4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sz w:val="28"/>
          <w:szCs w:val="28"/>
        </w:rPr>
        <w:instrText xml:space="preserve"> HYPERLINK \l _Toc30835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评标办法</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5"/>
        <w:numPr>
          <w:ilvl w:val="0"/>
          <w:numId w:val="0"/>
        </w:numPr>
        <w:ind w:leftChars="400"/>
        <w:rPr>
          <w:rFonts w:hint="eastAsia"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sz w:val="28"/>
          <w:szCs w:val="28"/>
        </w:rPr>
        <w:instrText xml:space="preserve"> HYPERLINK \l _Toc23031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投标文件格式</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5"/>
        <w:numPr>
          <w:ilvl w:val="0"/>
          <w:numId w:val="2"/>
        </w:numPr>
        <w:rPr>
          <w:rFonts w:ascii="宋体" w:hAnsi="宋体" w:cs="宋体"/>
          <w:color w:val="000000" w:themeColor="text1"/>
          <w:sz w:val="24"/>
          <w:szCs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end"/>
      </w:r>
      <w:bookmarkStart w:id="6" w:name="_Toc487728197"/>
      <w:bookmarkStart w:id="7" w:name="_Toc1674"/>
      <w:bookmarkStart w:id="8" w:name="_Toc406749968"/>
      <w:bookmarkStart w:id="9" w:name="_Toc14599"/>
      <w:r>
        <w:rPr>
          <w:rFonts w:hint="eastAsia" w:ascii="宋体" w:hAnsi="宋体" w:cs="宋体"/>
          <w:color w:val="000000" w:themeColor="text1"/>
          <w:sz w:val="24"/>
          <w:szCs w:val="24"/>
          <w14:textFill>
            <w14:solidFill>
              <w14:schemeClr w14:val="tx1"/>
            </w14:solidFill>
          </w14:textFill>
        </w:rPr>
        <w:br w:type="page"/>
      </w:r>
    </w:p>
    <w:p>
      <w:pPr>
        <w:jc w:val="center"/>
        <w:rPr>
          <w:rFonts w:hint="eastAsia"/>
          <w:b/>
          <w:bCs/>
          <w:sz w:val="36"/>
          <w:szCs w:val="36"/>
          <w:lang w:val="en-US" w:eastAsia="zh-CN"/>
        </w:rPr>
      </w:pPr>
      <w:r>
        <w:rPr>
          <w:rFonts w:hint="eastAsia"/>
          <w:b/>
          <w:bCs/>
          <w:sz w:val="36"/>
          <w:szCs w:val="36"/>
          <w:lang w:val="en-US" w:eastAsia="zh-CN"/>
        </w:rPr>
        <w:t>第一章</w:t>
      </w:r>
      <w:bookmarkEnd w:id="4"/>
      <w:bookmarkEnd w:id="5"/>
      <w:bookmarkEnd w:id="6"/>
      <w:bookmarkEnd w:id="7"/>
      <w:bookmarkEnd w:id="8"/>
      <w:bookmarkEnd w:id="9"/>
      <w:bookmarkStart w:id="10" w:name="_Toc213396759"/>
      <w:bookmarkStart w:id="11" w:name="_Toc217446031"/>
      <w:bookmarkStart w:id="12" w:name="_Toc213396945"/>
      <w:bookmarkStart w:id="13" w:name="_Toc213397009"/>
      <w:bookmarkStart w:id="14" w:name="_Toc213496267"/>
      <w:bookmarkStart w:id="15" w:name="_Toc183682339"/>
      <w:bookmarkStart w:id="16" w:name="_Toc89075871"/>
      <w:bookmarkStart w:id="17" w:name="_Toc77400776"/>
      <w:bookmarkStart w:id="18" w:name="_Toc183582202"/>
      <w:r>
        <w:rPr>
          <w:rFonts w:hint="eastAsia"/>
          <w:b/>
          <w:bCs/>
          <w:sz w:val="36"/>
          <w:szCs w:val="36"/>
          <w:lang w:val="en-US" w:eastAsia="zh-CN"/>
        </w:rPr>
        <w:t>招标公告</w:t>
      </w:r>
    </w:p>
    <w:p>
      <w:pPr>
        <w:pStyle w:val="35"/>
        <w:rPr>
          <w:rFonts w:hint="default"/>
          <w:lang w:val="en-US" w:eastAsia="zh-CN"/>
        </w:rPr>
      </w:pPr>
    </w:p>
    <w:p>
      <w:pPr>
        <w:pStyle w:val="5"/>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lang w:eastAsia="zh-CN"/>
        </w:rPr>
      </w:pPr>
      <w:bookmarkStart w:id="19" w:name="_Toc28359001"/>
      <w:bookmarkStart w:id="20" w:name="_Toc35393789"/>
      <w:bookmarkStart w:id="21" w:name="_Toc32650"/>
      <w:bookmarkStart w:id="22" w:name="_Toc406749969"/>
      <w:bookmarkStart w:id="23" w:name="_Toc20998"/>
      <w:bookmarkStart w:id="24" w:name="_Toc487728198"/>
      <w:r>
        <w:rPr>
          <w:rFonts w:hint="eastAsia" w:ascii="华文中宋" w:hAnsi="华文中宋" w:eastAsia="华文中宋"/>
          <w:lang w:eastAsia="zh-CN"/>
        </w:rPr>
        <w:t>县医院新建儿科设备一批</w:t>
      </w:r>
    </w:p>
    <w:p>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val="en-US" w:eastAsia="zh-CN"/>
        </w:rPr>
        <w:t>公开</w:t>
      </w:r>
      <w:r>
        <w:rPr>
          <w:rFonts w:hint="eastAsia" w:ascii="华文中宋" w:hAnsi="华文中宋" w:eastAsia="华文中宋"/>
        </w:rPr>
        <w:t>招标公告</w:t>
      </w:r>
      <w:bookmarkEnd w:id="19"/>
      <w:bookmarkEnd w:id="20"/>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项目概况</w:t>
      </w:r>
      <w:r>
        <w:rPr>
          <w:rFonts w:hint="eastAsia" w:ascii="仿宋" w:hAnsi="仿宋" w:eastAsia="仿宋"/>
          <w:sz w:val="28"/>
          <w:szCs w:val="28"/>
          <w:lang w:val="en-US" w:eastAsia="zh-CN"/>
        </w:rPr>
        <w:t xml:space="preserve"> </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县医院新建儿科设备一批</w:t>
      </w:r>
      <w:r>
        <w:rPr>
          <w:rFonts w:hint="eastAsia" w:ascii="仿宋" w:hAnsi="仿宋" w:eastAsia="仿宋"/>
          <w:sz w:val="28"/>
          <w:szCs w:val="28"/>
        </w:rPr>
        <w:t>的潜在投标人应在</w:t>
      </w:r>
      <w:r>
        <w:rPr>
          <w:rFonts w:hint="eastAsia" w:ascii="仿宋" w:hAnsi="仿宋" w:eastAsia="仿宋"/>
          <w:sz w:val="28"/>
          <w:szCs w:val="28"/>
          <w:lang w:val="en-US" w:eastAsia="zh-CN"/>
        </w:rPr>
        <w:t>政采云网上自主注册后报名</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 xml:space="preserve"> 06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 xml:space="preserve"> 25</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 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6"/>
        <w:spacing w:line="360" w:lineRule="auto"/>
        <w:jc w:val="left"/>
        <w:rPr>
          <w:rFonts w:ascii="黑体" w:hAnsi="黑体" w:cs="宋体"/>
          <w:b w:val="0"/>
          <w:sz w:val="28"/>
          <w:szCs w:val="28"/>
        </w:rPr>
      </w:pPr>
      <w:bookmarkStart w:id="25" w:name="_Toc28359079"/>
      <w:bookmarkStart w:id="26" w:name="_Toc28359002"/>
      <w:bookmarkStart w:id="27" w:name="_Toc35393790"/>
      <w:bookmarkStart w:id="28" w:name="_Toc35393621"/>
      <w:bookmarkStart w:id="29" w:name="_Hlk24379207"/>
      <w:r>
        <w:rPr>
          <w:rFonts w:hint="eastAsia" w:ascii="黑体" w:hAnsi="黑体" w:cs="宋体"/>
          <w:b w:val="0"/>
          <w:sz w:val="28"/>
          <w:szCs w:val="28"/>
        </w:rPr>
        <w:t>一、项目基本情况</w:t>
      </w:r>
      <w:bookmarkEnd w:id="25"/>
      <w:bookmarkEnd w:id="26"/>
      <w:bookmarkEnd w:id="27"/>
      <w:bookmarkEnd w:id="28"/>
    </w:p>
    <w:p>
      <w:pPr>
        <w:ind w:firstLine="560" w:firstLineChars="200"/>
        <w:jc w:val="left"/>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32"/>
          <w:szCs w:val="32"/>
          <w:lang w:val="en-US" w:eastAsia="zh-CN"/>
        </w:rPr>
        <w:t>集kpxzcy</w:t>
      </w:r>
      <w:r>
        <w:rPr>
          <w:rFonts w:hint="eastAsia" w:ascii="仿宋" w:hAnsi="仿宋" w:eastAsia="仿宋"/>
          <w:sz w:val="28"/>
          <w:szCs w:val="28"/>
          <w:lang w:val="en-US" w:eastAsia="zh-CN"/>
        </w:rPr>
        <w:t>2023-00103</w:t>
      </w:r>
    </w:p>
    <w:p>
      <w:pPr>
        <w:ind w:firstLine="560" w:firstLineChars="200"/>
        <w:jc w:val="left"/>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县医院新建儿科设备一批</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采购方式：公开招标</w:t>
      </w:r>
    </w:p>
    <w:bookmarkEnd w:id="29"/>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1800000元</w:t>
      </w:r>
    </w:p>
    <w:p>
      <w:pPr>
        <w:ind w:firstLine="560" w:firstLineChars="200"/>
        <w:jc w:val="left"/>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1800000元</w:t>
      </w:r>
    </w:p>
    <w:p>
      <w:pPr>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eastAsia="zh-CN"/>
        </w:rPr>
        <w:t>新建儿科设备一批</w:t>
      </w:r>
      <w:r>
        <w:rPr>
          <w:rFonts w:hint="eastAsia" w:ascii="仿宋" w:hAnsi="仿宋" w:eastAsia="仿宋"/>
          <w:sz w:val="28"/>
          <w:szCs w:val="28"/>
          <w:lang w:val="en-US" w:eastAsia="zh-CN"/>
        </w:rPr>
        <w:t>（具体详见招标文件）</w:t>
      </w:r>
    </w:p>
    <w:p>
      <w:pPr>
        <w:ind w:firstLine="560" w:firstLineChars="200"/>
        <w:jc w:val="left"/>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按甲乙双方签订的合同日期执行</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6"/>
        <w:spacing w:line="360" w:lineRule="auto"/>
        <w:jc w:val="left"/>
        <w:rPr>
          <w:rFonts w:ascii="黑体" w:hAnsi="黑体" w:cs="宋体"/>
          <w:b w:val="0"/>
          <w:sz w:val="28"/>
          <w:szCs w:val="28"/>
        </w:rPr>
      </w:pPr>
      <w:bookmarkStart w:id="30" w:name="_Toc28359003"/>
      <w:bookmarkStart w:id="31" w:name="_Toc35393622"/>
      <w:bookmarkStart w:id="32" w:name="_Toc28359080"/>
      <w:bookmarkStart w:id="33" w:name="_Toc35393791"/>
      <w:r>
        <w:rPr>
          <w:rFonts w:hint="eastAsia" w:ascii="黑体" w:hAnsi="黑体" w:cs="宋体"/>
          <w:b w:val="0"/>
          <w:sz w:val="28"/>
          <w:szCs w:val="28"/>
        </w:rPr>
        <w:t>二、申请人的资格要求：</w:t>
      </w:r>
      <w:bookmarkEnd w:id="30"/>
      <w:bookmarkEnd w:id="31"/>
      <w:bookmarkEnd w:id="32"/>
      <w:bookmarkEnd w:id="33"/>
    </w:p>
    <w:p>
      <w:pPr>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jc w:val="left"/>
        <w:rPr>
          <w:rFonts w:hint="eastAsia" w:ascii="仿宋" w:hAnsi="仿宋" w:eastAsia="仿宋"/>
          <w:sz w:val="28"/>
          <w:szCs w:val="28"/>
        </w:rPr>
      </w:pPr>
      <w:bookmarkStart w:id="34" w:name="_Toc28359004"/>
      <w:bookmarkStart w:id="35" w:name="_Toc28359081"/>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（1）《政府采购促进中小企业发展管理办法》（财库〔2020〕46号）。</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（2）《财政部、司法部关于政府采购支持财库〔2014〕68号文件的通知》。</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（3）财政部生态环境部关于印发环境标志产品政府采购品目清单的通知（财库[2019]18号）。</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（4）《财政部民政部中国残疾人联合会关于促进残疾人就业政府采购政策的通知》财库〔2017〕141号。</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pPr>
        <w:ind w:firstLine="560" w:firstLineChars="200"/>
        <w:jc w:val="left"/>
        <w:rPr>
          <w:rFonts w:hint="eastAsia" w:ascii="仿宋" w:hAnsi="仿宋" w:eastAsia="仿宋"/>
          <w:sz w:val="28"/>
          <w:szCs w:val="28"/>
        </w:rPr>
      </w:pPr>
      <w:r>
        <w:rPr>
          <w:rFonts w:hint="eastAsia" w:ascii="仿宋" w:hAnsi="仿宋" w:eastAsia="仿宋"/>
          <w:sz w:val="28"/>
          <w:szCs w:val="28"/>
        </w:rPr>
        <w:t>3.本项目的特定资格要求：</w:t>
      </w:r>
    </w:p>
    <w:p>
      <w:pPr>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（1）有效的营业执照，有效的《医疗器械经营许可证》或《医疗器械生产许可证》；</w:t>
      </w:r>
    </w:p>
    <w:p>
      <w:pPr>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（2）法定代表人身份证原件及复印件或法定代表人授权委托书和委托代理人的身份证原件（授权书需附法人身份证及委托人身份证复印件）；</w:t>
      </w:r>
    </w:p>
    <w:p>
      <w:pPr>
        <w:ind w:firstLine="560" w:firstLineChars="20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（3）具有良好的商业信誉和健全的财务会计制度；</w:t>
      </w:r>
    </w:p>
    <w:p>
      <w:pPr>
        <w:ind w:firstLine="560" w:firstLineChars="20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（4）有依法缴纳税收和社会保障资金的良好记录；</w:t>
      </w:r>
    </w:p>
    <w:p>
      <w:pPr>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（5）未被“信用中国”、中国政府采购网列入失信被执行人、重大税收违法案件当事人名单、政府采购严重违法失信行为记录名单。 </w:t>
      </w:r>
    </w:p>
    <w:p>
      <w:pPr>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备注：项目报名时需在新疆政采云上传以上资料原件扫描件。</w:t>
      </w:r>
    </w:p>
    <w:p>
      <w:pPr>
        <w:pStyle w:val="6"/>
        <w:spacing w:line="360" w:lineRule="auto"/>
        <w:jc w:val="left"/>
        <w:rPr>
          <w:rFonts w:ascii="黑体" w:hAnsi="黑体" w:cs="宋体"/>
          <w:b w:val="0"/>
          <w:sz w:val="28"/>
          <w:szCs w:val="28"/>
        </w:rPr>
      </w:pPr>
      <w:bookmarkStart w:id="36" w:name="_Toc35393623"/>
      <w:bookmarkStart w:id="37" w:name="_Toc35393792"/>
      <w:r>
        <w:rPr>
          <w:rFonts w:hint="eastAsia" w:ascii="黑体" w:hAnsi="黑体" w:cs="宋体"/>
          <w:b w:val="0"/>
          <w:sz w:val="28"/>
          <w:szCs w:val="28"/>
        </w:rPr>
        <w:t>三、获取招标文件</w:t>
      </w:r>
      <w:bookmarkEnd w:id="34"/>
      <w:bookmarkEnd w:id="35"/>
      <w:bookmarkEnd w:id="36"/>
      <w:bookmarkEnd w:id="37"/>
    </w:p>
    <w:p>
      <w:pPr>
        <w:spacing w:line="360" w:lineRule="auto"/>
        <w:ind w:firstLine="540"/>
        <w:jc w:val="left"/>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2023</w:t>
      </w:r>
      <w:r>
        <w:rPr>
          <w:rFonts w:ascii="仿宋" w:hAnsi="仿宋" w:eastAsia="仿宋" w:cs="宋体"/>
          <w:sz w:val="28"/>
          <w:szCs w:val="28"/>
          <w:u w:val="single"/>
        </w:rPr>
        <w:t xml:space="preserve"> </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05</w:t>
      </w:r>
      <w:r>
        <w:rPr>
          <w:rFonts w:hint="eastAsia" w:ascii="仿宋" w:hAnsi="仿宋" w:eastAsia="仿宋" w:cs="宋体"/>
          <w:sz w:val="28"/>
          <w:szCs w:val="28"/>
          <w:u w:val="single"/>
        </w:rPr>
        <w:t xml:space="preserve"> 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 xml:space="preserve"> 年 </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 xml:space="preserve"> 月 </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jc w:val="left"/>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政采云平台（https://www.zcygov.cn/）</w:t>
      </w:r>
    </w:p>
    <w:p>
      <w:pPr>
        <w:spacing w:line="360" w:lineRule="auto"/>
        <w:ind w:firstLine="540"/>
        <w:jc w:val="left"/>
        <w:rPr>
          <w:rFonts w:hint="eastAsia" w:ascii="仿宋" w:hAnsi="仿宋" w:eastAsia="仿宋" w:cs="宋体"/>
          <w:sz w:val="28"/>
          <w:szCs w:val="28"/>
        </w:rPr>
      </w:pPr>
      <w:r>
        <w:rPr>
          <w:rFonts w:hint="eastAsia" w:ascii="仿宋" w:hAnsi="仿宋" w:eastAsia="仿宋" w:cs="宋体"/>
          <w:sz w:val="28"/>
          <w:szCs w:val="28"/>
        </w:rPr>
        <w:t>方式：</w:t>
      </w:r>
      <w:r>
        <w:rPr>
          <w:rFonts w:hint="eastAsia" w:ascii="仿宋" w:hAnsi="仿宋" w:eastAsia="仿宋" w:cs="宋体"/>
          <w:sz w:val="28"/>
          <w:szCs w:val="28"/>
          <w:lang w:val="en-US" w:eastAsia="zh-CN"/>
        </w:rPr>
        <w:t>供应商登录政采云平台（https://www.zcygov.cn/）在线申请获取采购文件（进入“项目采购”应用，在获取采购文件菜单中选择项目，申请获取采购文件）</w:t>
      </w:r>
    </w:p>
    <w:p>
      <w:pPr>
        <w:pStyle w:val="6"/>
        <w:spacing w:line="360" w:lineRule="auto"/>
        <w:jc w:val="left"/>
        <w:rPr>
          <w:rFonts w:ascii="黑体" w:hAnsi="黑体" w:cs="宋体"/>
          <w:b w:val="0"/>
          <w:sz w:val="28"/>
          <w:szCs w:val="28"/>
        </w:rPr>
      </w:pPr>
      <w:bookmarkStart w:id="38" w:name="_Toc28359082"/>
      <w:bookmarkStart w:id="39" w:name="_Toc28359005"/>
      <w:bookmarkStart w:id="40" w:name="_Toc35393624"/>
      <w:bookmarkStart w:id="41" w:name="_Toc35393793"/>
      <w:r>
        <w:rPr>
          <w:rFonts w:hint="eastAsia" w:ascii="黑体" w:hAnsi="黑体" w:cs="宋体"/>
          <w:b w:val="0"/>
          <w:sz w:val="28"/>
          <w:szCs w:val="28"/>
        </w:rPr>
        <w:t>四、提交投标文件</w:t>
      </w:r>
      <w:bookmarkEnd w:id="38"/>
      <w:bookmarkEnd w:id="39"/>
      <w:r>
        <w:rPr>
          <w:rFonts w:hint="eastAsia" w:ascii="黑体" w:hAnsi="黑体" w:cs="宋体"/>
          <w:b w:val="0"/>
          <w:sz w:val="28"/>
          <w:szCs w:val="28"/>
        </w:rPr>
        <w:t>截止时间、开标时间和地点</w:t>
      </w:r>
      <w:bookmarkEnd w:id="40"/>
      <w:bookmarkEnd w:id="41"/>
    </w:p>
    <w:p>
      <w:pPr>
        <w:ind w:firstLine="560" w:firstLineChars="200"/>
        <w:jc w:val="left"/>
        <w:rPr>
          <w:rFonts w:ascii="仿宋" w:hAnsi="仿宋" w:eastAsia="仿宋"/>
          <w:bCs/>
          <w:sz w:val="28"/>
          <w:szCs w:val="28"/>
          <w:u w:val="single"/>
        </w:rPr>
      </w:pPr>
      <w:r>
        <w:rPr>
          <w:rFonts w:hint="eastAsia" w:ascii="仿宋" w:hAnsi="仿宋" w:eastAsia="仿宋"/>
          <w:bCs/>
          <w:sz w:val="28"/>
          <w:szCs w:val="28"/>
          <w:u w:val="none"/>
          <w:lang w:val="en-US" w:eastAsia="zh-CN"/>
        </w:rPr>
        <w:t>截止时间:</w:t>
      </w:r>
      <w:r>
        <w:rPr>
          <w:rFonts w:hint="eastAsia" w:ascii="仿宋" w:hAnsi="仿宋" w:eastAsia="仿宋"/>
          <w:bCs/>
          <w:sz w:val="28"/>
          <w:szCs w:val="28"/>
          <w:u w:val="none"/>
        </w:rPr>
        <w:t xml:space="preserve">  </w:t>
      </w:r>
      <w:r>
        <w:rPr>
          <w:rFonts w:hint="eastAsia" w:ascii="仿宋" w:hAnsi="仿宋" w:eastAsia="仿宋"/>
          <w:bCs/>
          <w:sz w:val="28"/>
          <w:szCs w:val="28"/>
          <w:u w:val="single"/>
          <w:lang w:val="en-US" w:eastAsia="zh-CN"/>
        </w:rPr>
        <w:t>2023</w:t>
      </w:r>
      <w:r>
        <w:rPr>
          <w:rFonts w:hint="eastAsia" w:ascii="仿宋" w:hAnsi="仿宋" w:eastAsia="仿宋"/>
          <w:bCs/>
          <w:sz w:val="28"/>
          <w:szCs w:val="28"/>
          <w:u w:val="single"/>
        </w:rPr>
        <w:t xml:space="preserve"> 年 </w:t>
      </w:r>
      <w:r>
        <w:rPr>
          <w:rFonts w:hint="eastAsia" w:ascii="仿宋" w:hAnsi="仿宋" w:eastAsia="仿宋"/>
          <w:bCs/>
          <w:sz w:val="28"/>
          <w:szCs w:val="28"/>
          <w:u w:val="single"/>
          <w:lang w:val="en-US" w:eastAsia="zh-CN"/>
        </w:rPr>
        <w:t>06</w:t>
      </w:r>
      <w:r>
        <w:rPr>
          <w:rFonts w:hint="eastAsia" w:ascii="仿宋" w:hAnsi="仿宋" w:eastAsia="仿宋"/>
          <w:bCs/>
          <w:sz w:val="28"/>
          <w:szCs w:val="28"/>
          <w:u w:val="single"/>
        </w:rPr>
        <w:t xml:space="preserve"> 月 </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  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lang w:val="en-US" w:eastAsia="zh-CN"/>
        </w:rPr>
        <w:t>政采云平台（https://www.zcygov.cn/）</w:t>
      </w:r>
    </w:p>
    <w:p>
      <w:pPr>
        <w:pStyle w:val="6"/>
        <w:spacing w:line="360" w:lineRule="auto"/>
        <w:jc w:val="left"/>
        <w:rPr>
          <w:rFonts w:ascii="黑体" w:hAnsi="黑体" w:cs="宋体"/>
          <w:b w:val="0"/>
          <w:sz w:val="28"/>
          <w:szCs w:val="28"/>
        </w:rPr>
      </w:pPr>
      <w:bookmarkStart w:id="42" w:name="_Toc28359084"/>
      <w:bookmarkStart w:id="43" w:name="_Toc35393794"/>
      <w:bookmarkStart w:id="44" w:name="_Toc35393625"/>
      <w:bookmarkStart w:id="45" w:name="_Toc28359007"/>
      <w:r>
        <w:rPr>
          <w:rFonts w:hint="eastAsia" w:ascii="黑体" w:hAnsi="黑体" w:cs="宋体"/>
          <w:b w:val="0"/>
          <w:sz w:val="28"/>
          <w:szCs w:val="28"/>
        </w:rPr>
        <w:t>五、公告期限</w:t>
      </w:r>
      <w:bookmarkEnd w:id="42"/>
      <w:bookmarkEnd w:id="43"/>
      <w:bookmarkEnd w:id="44"/>
      <w:bookmarkEnd w:id="45"/>
    </w:p>
    <w:p>
      <w:pPr>
        <w:ind w:firstLine="560" w:firstLineChars="200"/>
        <w:jc w:val="left"/>
      </w:pPr>
      <w:r>
        <w:rPr>
          <w:rFonts w:hint="eastAsia" w:ascii="仿宋" w:hAnsi="仿宋" w:eastAsia="仿宋" w:cs="宋体"/>
          <w:kern w:val="0"/>
          <w:sz w:val="28"/>
          <w:szCs w:val="28"/>
        </w:rPr>
        <w:t>自本公告发布之日起5个工作日。</w:t>
      </w:r>
    </w:p>
    <w:p>
      <w:pPr>
        <w:pStyle w:val="6"/>
        <w:spacing w:line="360" w:lineRule="auto"/>
        <w:jc w:val="left"/>
        <w:rPr>
          <w:rFonts w:ascii="黑体" w:hAnsi="黑体" w:cs="宋体"/>
          <w:b w:val="0"/>
          <w:sz w:val="28"/>
          <w:szCs w:val="28"/>
        </w:rPr>
      </w:pPr>
      <w:bookmarkStart w:id="46" w:name="_Toc35393795"/>
      <w:bookmarkStart w:id="47" w:name="_Toc35393626"/>
      <w:r>
        <w:rPr>
          <w:rFonts w:hint="eastAsia" w:ascii="黑体" w:hAnsi="黑体" w:cs="宋体"/>
          <w:b w:val="0"/>
          <w:sz w:val="28"/>
          <w:szCs w:val="28"/>
        </w:rPr>
        <w:t>六、其他补充事宜</w:t>
      </w:r>
      <w:bookmarkEnd w:id="46"/>
      <w:bookmarkEnd w:id="47"/>
    </w:p>
    <w:p>
      <w:pPr>
        <w:pStyle w:val="6"/>
        <w:spacing w:line="360" w:lineRule="auto"/>
        <w:jc w:val="both"/>
        <w:rPr>
          <w:rFonts w:hint="eastAsia" w:ascii="仿宋" w:hAnsi="仿宋" w:eastAsia="仿宋" w:cs="宋体"/>
          <w:b w:val="0"/>
          <w:bCs w:val="0"/>
          <w:kern w:val="0"/>
          <w:sz w:val="24"/>
          <w:szCs w:val="24"/>
          <w:lang w:val="en-US" w:eastAsia="zh-CN" w:bidi="ar-SA"/>
        </w:rPr>
      </w:pPr>
      <w:bookmarkStart w:id="48" w:name="_Toc28359085"/>
      <w:bookmarkStart w:id="49" w:name="_Toc28359008"/>
      <w:bookmarkStart w:id="50" w:name="_Toc35393627"/>
      <w:bookmarkStart w:id="51" w:name="_Toc35393796"/>
      <w:r>
        <w:rPr>
          <w:rFonts w:hint="eastAsia" w:ascii="仿宋" w:hAnsi="仿宋" w:eastAsia="仿宋" w:cs="宋体"/>
          <w:b w:val="0"/>
          <w:bCs w:val="0"/>
          <w:kern w:val="0"/>
          <w:sz w:val="24"/>
          <w:szCs w:val="24"/>
          <w:lang w:val="en-US" w:eastAsia="zh-CN" w:bidi="ar-SA"/>
        </w:rPr>
        <w:t>1、本次公告同时在新疆政府采购网、阿克苏地区行政公署网、柯坪县人民政府网发布。</w:t>
      </w:r>
    </w:p>
    <w:p>
      <w:pPr>
        <w:pStyle w:val="6"/>
        <w:spacing w:line="360" w:lineRule="auto"/>
        <w:jc w:val="both"/>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2、请供应商随时关注本项目的澄清、答疑、变更事项。</w:t>
      </w:r>
    </w:p>
    <w:p>
      <w:pPr>
        <w:pStyle w:val="6"/>
        <w:spacing w:line="360" w:lineRule="auto"/>
        <w:jc w:val="left"/>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3、（1）本项目实行电子招投标，投标人须登录政采云平台申请获取招标文件，并需要使用CA锁，登录政采云电子投标客户端制作响应文件，若投标人参与投标,自行承担与投标有关的一切费用。（2）各投标人应在开标前确保是新疆维吾尔自治区政府采购网正式注册入库的供应商，并完成CA数字证书申领；因未注册入库、未办理CA数字证书等原因造成无法投标或投标失败等后果的由投标人自行承担。（3）供应商可前往新疆政府采购网下载专区，下载政采云电子投标客户端，安装完成后，可通过账号密码或CA登录客户端进行响应文件制作；在使用政采云电子投标客户端时，建议使用WIN7及以上操作系统；如有问题可拨打政采云客户服务热线400-881-7190进行咨询。（4）投标人在开标时须携带制作加密电子投标文件所使用的CA锁，电脑须提前配置好浏览器（建议使用360浏览器或谷歌浏览器），以便开标时在线解密。（5）投标供应商应当在投标截止时间前，将生成的“电子加密响应文件”上传递交至“政府采购云平台”，投标截止时间以后上传递交的响应文件将被“政府采购云平台”拒收。（6）本项目响应文件解密时间定为30分钟，如因自身原因导致无法正常解密，后果由投标人自行承担。（7）投标企业下载采购文件后请仔细阅读，如对采购文件内容有质疑，投标人应在采购文件规定的质疑及澄清时间内以书面形式通知招标人；敬请投标企业及时关注；在规定期限内投标企业未提出质疑的视为投标企业默认招标文件不存在质疑的相关问题，超过招标文件质疑时间将不再接受投标企业所提出的质疑。</w:t>
      </w:r>
    </w:p>
    <w:p>
      <w:pPr>
        <w:pStyle w:val="6"/>
        <w:spacing w:line="360" w:lineRule="auto"/>
        <w:jc w:val="both"/>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特别提示：</w:t>
      </w:r>
    </w:p>
    <w:p>
      <w:pPr>
        <w:pStyle w:val="6"/>
        <w:spacing w:line="360" w:lineRule="auto"/>
        <w:jc w:val="left"/>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
        <w:spacing w:line="360" w:lineRule="auto"/>
        <w:jc w:val="left"/>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
        <w:spacing w:line="360" w:lineRule="auto"/>
        <w:jc w:val="left"/>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48"/>
      <w:bookmarkEnd w:id="49"/>
      <w:bookmarkEnd w:id="50"/>
      <w:bookmarkEnd w:id="51"/>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柯坪县人民医院</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single"/>
          <w:lang w:eastAsia="zh-CN"/>
        </w:rPr>
        <w:t>柯坪县健康路</w:t>
      </w:r>
      <w:r>
        <w:rPr>
          <w:rFonts w:hint="eastAsia" w:ascii="仿宋" w:hAnsi="仿宋" w:eastAsia="仿宋"/>
          <w:sz w:val="28"/>
          <w:szCs w:val="28"/>
          <w:u w:val="single"/>
          <w:lang w:val="en-US" w:eastAsia="zh-CN"/>
        </w:rPr>
        <w:t>43号</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18799915268</w:t>
      </w:r>
      <w:r>
        <w:rPr>
          <w:rFonts w:hint="eastAsia" w:ascii="仿宋" w:hAnsi="仿宋" w:eastAsia="仿宋"/>
          <w:sz w:val="28"/>
          <w:szCs w:val="28"/>
          <w:u w:val="single"/>
        </w:rPr>
        <w:t>　　　　</w:t>
      </w:r>
      <w:bookmarkStart w:id="52" w:name="_Toc28359009"/>
      <w:bookmarkStart w:id="53" w:name="_Toc28359086"/>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52"/>
      <w:bookmarkEnd w:id="53"/>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eastAsia="zh-CN"/>
        </w:rPr>
        <w:t>新疆佰隆工程项目管理有限公司</w:t>
      </w:r>
      <w:r>
        <w:rPr>
          <w:rFonts w:hint="eastAsia" w:ascii="仿宋" w:hAnsi="仿宋" w:eastAsia="仿宋"/>
          <w:sz w:val="28"/>
          <w:szCs w:val="28"/>
          <w:u w:val="single"/>
        </w:rPr>
        <w:t>　</w:t>
      </w:r>
    </w:p>
    <w:p>
      <w:pPr>
        <w:spacing w:line="360" w:lineRule="auto"/>
        <w:ind w:firstLine="840" w:firstLineChars="300"/>
        <w:rPr>
          <w:rFonts w:hint="default" w:ascii="仿宋" w:hAnsi="仿宋" w:eastAsia="仿宋"/>
          <w:sz w:val="28"/>
          <w:szCs w:val="28"/>
          <w:lang w:val="en-US"/>
        </w:rPr>
      </w:pPr>
      <w:r>
        <w:rPr>
          <w:rFonts w:hint="eastAsia" w:ascii="仿宋" w:hAnsi="仿宋" w:eastAsia="仿宋"/>
          <w:sz w:val="28"/>
          <w:szCs w:val="28"/>
        </w:rPr>
        <w:t>地　址：</w:t>
      </w:r>
      <w:r>
        <w:rPr>
          <w:rFonts w:hint="eastAsia" w:ascii="仿宋" w:hAnsi="仿宋" w:eastAsia="仿宋"/>
          <w:sz w:val="28"/>
          <w:szCs w:val="28"/>
          <w:u w:val="single"/>
          <w:lang w:val="en-US" w:eastAsia="zh-CN"/>
        </w:rPr>
        <w:t xml:space="preserve">新疆阿克苏地区柯坪县民主路幸福一期小区10栋2单元201室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54" w:name="_Toc28359087"/>
      <w:bookmarkStart w:id="55" w:name="_Toc28359010"/>
      <w:r>
        <w:rPr>
          <w:rFonts w:hint="eastAsia" w:ascii="仿宋" w:hAnsi="仿宋" w:eastAsia="仿宋"/>
          <w:sz w:val="28"/>
          <w:szCs w:val="28"/>
          <w:u w:val="single"/>
          <w:lang w:val="en-US" w:eastAsia="zh-CN"/>
        </w:rPr>
        <w:t>17699752110</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54"/>
      <w:bookmarkEnd w:id="55"/>
    </w:p>
    <w:p>
      <w:pPr>
        <w:pStyle w:val="21"/>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辛艳</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17699752110</w:t>
      </w:r>
      <w:r>
        <w:rPr>
          <w:rFonts w:hint="eastAsia" w:ascii="仿宋" w:hAnsi="仿宋" w:eastAsia="仿宋"/>
          <w:sz w:val="28"/>
          <w:szCs w:val="28"/>
          <w:u w:val="single"/>
        </w:rPr>
        <w:t>　　　　　　　　　　</w:t>
      </w:r>
    </w:p>
    <w:p/>
    <w:p>
      <w:pPr>
        <w:rPr>
          <w:rFonts w:ascii="Times New Roman" w:hAnsi="Times New Roman" w:cs="Times New Roman"/>
          <w:szCs w:val="21"/>
        </w:rPr>
      </w:pPr>
    </w:p>
    <w:p>
      <w:pPr>
        <w:pStyle w:val="34"/>
        <w:spacing w:before="0" w:beforeAutospacing="0" w:after="0" w:afterAutospacing="0" w:line="500" w:lineRule="exact"/>
        <w:ind w:firstLine="240" w:firstLineChars="100"/>
        <w:jc w:val="left"/>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jc w:val="left"/>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jc w:val="left"/>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jc w:val="left"/>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jc w:val="left"/>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rPr>
          <w:rFonts w:hint="eastAsia" w:ascii="宋体" w:hAnsi="宋体" w:eastAsia="宋体" w:cs="宋体"/>
          <w:sz w:val="24"/>
          <w:szCs w:val="24"/>
          <w:lang w:val="zh-CN"/>
        </w:rPr>
      </w:pPr>
    </w:p>
    <w:p>
      <w:pPr>
        <w:pStyle w:val="34"/>
        <w:spacing w:before="0" w:beforeAutospacing="0" w:after="0" w:afterAutospacing="0" w:line="500" w:lineRule="exact"/>
        <w:ind w:firstLine="240" w:firstLineChars="100"/>
        <w:rPr>
          <w:rFonts w:hint="eastAsia" w:ascii="宋体" w:hAnsi="宋体" w:eastAsia="宋体" w:cs="宋体"/>
          <w:sz w:val="24"/>
          <w:szCs w:val="24"/>
          <w:lang w:val="zh-CN"/>
        </w:rPr>
      </w:pPr>
    </w:p>
    <w:p>
      <w:pPr>
        <w:widowControl/>
        <w:spacing w:line="5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第二章  投标人须知</w:t>
      </w:r>
      <w:bookmarkEnd w:id="10"/>
      <w:bookmarkEnd w:id="11"/>
      <w:bookmarkEnd w:id="12"/>
      <w:bookmarkEnd w:id="13"/>
      <w:bookmarkEnd w:id="14"/>
      <w:bookmarkEnd w:id="21"/>
      <w:bookmarkEnd w:id="22"/>
      <w:bookmarkEnd w:id="23"/>
      <w:bookmarkEnd w:id="24"/>
      <w:bookmarkStart w:id="56" w:name="_Toc184274915"/>
      <w:bookmarkStart w:id="57" w:name="_Toc184283909"/>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8" w:name="_Toc14237"/>
      <w:bookmarkStart w:id="59" w:name="_Toc406749970"/>
      <w:bookmarkStart w:id="60" w:name="_Toc213397010"/>
      <w:bookmarkStart w:id="61" w:name="_Toc15994"/>
      <w:bookmarkStart w:id="62" w:name="_Toc213496268"/>
      <w:bookmarkStart w:id="63" w:name="_Toc27123"/>
      <w:bookmarkStart w:id="64" w:name="_Toc487728199"/>
      <w:bookmarkStart w:id="65" w:name="_Toc213396760"/>
      <w:bookmarkStart w:id="66" w:name="_Toc217446032"/>
      <w:bookmarkStart w:id="67" w:name="_Toc189727030"/>
      <w:bookmarkStart w:id="68" w:name="_Toc213396946"/>
      <w:bookmarkStart w:id="69" w:name="OLE_LINK4"/>
      <w:r>
        <w:rPr>
          <w:rFonts w:hint="eastAsia" w:ascii="宋体" w:hAnsi="宋体" w:cs="宋体"/>
          <w:color w:val="000000" w:themeColor="text1"/>
          <w:sz w:val="24"/>
          <w:szCs w:val="24"/>
          <w14:textFill>
            <w14:solidFill>
              <w14:schemeClr w14:val="tx1"/>
            </w14:solidFill>
          </w14:textFill>
        </w:rPr>
        <w:t>投标人须知前附表</w:t>
      </w:r>
      <w:bookmarkEnd w:id="56"/>
      <w:bookmarkEnd w:id="57"/>
      <w:bookmarkEnd w:id="58"/>
      <w:bookmarkEnd w:id="59"/>
      <w:bookmarkEnd w:id="60"/>
      <w:bookmarkEnd w:id="61"/>
      <w:bookmarkEnd w:id="62"/>
      <w:bookmarkEnd w:id="63"/>
      <w:bookmarkEnd w:id="64"/>
      <w:bookmarkEnd w:id="65"/>
      <w:bookmarkEnd w:id="66"/>
      <w:bookmarkEnd w:id="67"/>
      <w:bookmarkEnd w:id="68"/>
    </w:p>
    <w:bookmarkEnd w:id="69"/>
    <w:tbl>
      <w:tblPr>
        <w:tblStyle w:val="3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2"/>
        <w:gridCol w:w="2523"/>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jc w:val="center"/>
        </w:trPr>
        <w:tc>
          <w:tcPr>
            <w:tcW w:w="1012" w:type="dxa"/>
            <w:vAlign w:val="center"/>
          </w:tcPr>
          <w:p>
            <w:pPr>
              <w:pStyle w:val="94"/>
              <w:spacing w:line="500" w:lineRule="exact"/>
              <w:ind w:left="9"/>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序号</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条款名称</w:t>
            </w:r>
          </w:p>
        </w:tc>
        <w:tc>
          <w:tcPr>
            <w:tcW w:w="5960" w:type="dxa"/>
            <w:vAlign w:val="center"/>
          </w:tcPr>
          <w:p>
            <w:pPr>
              <w:pStyle w:val="94"/>
              <w:spacing w:line="500" w:lineRule="exact"/>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1</w:t>
            </w:r>
          </w:p>
        </w:tc>
        <w:tc>
          <w:tcPr>
            <w:tcW w:w="2523" w:type="dxa"/>
            <w:vAlign w:val="center"/>
          </w:tcPr>
          <w:p>
            <w:pPr>
              <w:pStyle w:val="94"/>
              <w:spacing w:line="500" w:lineRule="exact"/>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采购人</w:t>
            </w:r>
          </w:p>
        </w:tc>
        <w:tc>
          <w:tcPr>
            <w:tcW w:w="5960" w:type="dxa"/>
            <w:vAlign w:val="center"/>
          </w:tcPr>
          <w:p>
            <w:pPr>
              <w:pStyle w:val="94"/>
              <w:spacing w:line="500" w:lineRule="exact"/>
              <w:contextualSpacing/>
              <w:jc w:val="left"/>
              <w:rPr>
                <w:rFonts w:hint="eastAsia"/>
                <w:color w:val="333333"/>
                <w:shd w:val="clear" w:color="auto" w:fill="FFFFFF"/>
                <w:lang w:val="zh-CN" w:eastAsia="zh-CN"/>
              </w:rPr>
            </w:pPr>
            <w:r>
              <w:rPr>
                <w:rFonts w:hint="eastAsia"/>
                <w:color w:val="333333"/>
                <w:shd w:val="clear" w:color="auto" w:fill="FFFFFF"/>
                <w:lang w:val="zh-CN" w:eastAsia="zh-CN"/>
              </w:rPr>
              <w:t>名称：县医院新建儿科设备一批</w:t>
            </w:r>
          </w:p>
          <w:p>
            <w:pPr>
              <w:pStyle w:val="94"/>
              <w:spacing w:line="500" w:lineRule="exact"/>
              <w:contextualSpacing/>
              <w:jc w:val="left"/>
              <w:rPr>
                <w:rFonts w:hint="eastAsia"/>
                <w:color w:val="333333"/>
                <w:shd w:val="clear" w:color="auto" w:fill="FFFFFF"/>
                <w:lang w:val="zh-CN" w:eastAsia="zh-CN"/>
              </w:rPr>
            </w:pPr>
            <w:r>
              <w:rPr>
                <w:rFonts w:hint="eastAsia"/>
                <w:color w:val="333333"/>
                <w:shd w:val="clear" w:color="auto" w:fill="FFFFFF"/>
                <w:lang w:val="zh-CN" w:eastAsia="zh-CN"/>
              </w:rPr>
              <w:t>地址：柯坪县健康路43号　</w:t>
            </w:r>
          </w:p>
          <w:p>
            <w:pPr>
              <w:pStyle w:val="94"/>
              <w:spacing w:line="500" w:lineRule="exact"/>
              <w:contextualSpacing/>
              <w:jc w:val="left"/>
              <w:rPr>
                <w:rFonts w:hint="eastAsia"/>
                <w:color w:val="333333"/>
                <w:shd w:val="clear" w:color="auto" w:fill="FFFFFF"/>
                <w:lang w:val="en-US" w:eastAsia="zh-CN"/>
              </w:rPr>
            </w:pPr>
            <w:r>
              <w:rPr>
                <w:rFonts w:hint="eastAsia"/>
                <w:color w:val="333333"/>
                <w:shd w:val="clear" w:color="auto" w:fill="FFFFFF"/>
                <w:lang w:val="zh-CN" w:eastAsia="zh-CN"/>
              </w:rPr>
              <w:t>联系人：郑跃</w:t>
            </w:r>
            <w:r>
              <w:rPr>
                <w:rFonts w:hint="eastAsia"/>
                <w:color w:val="333333"/>
                <w:shd w:val="clear" w:color="auto" w:fill="FFFFFF"/>
                <w:lang w:val="en-US" w:eastAsia="zh-CN"/>
              </w:rPr>
              <w:t xml:space="preserve">   </w:t>
            </w:r>
          </w:p>
          <w:p>
            <w:pPr>
              <w:pStyle w:val="94"/>
              <w:spacing w:line="500" w:lineRule="exact"/>
              <w:contextualSpacing/>
              <w:jc w:val="left"/>
              <w:rPr>
                <w:rFonts w:cs="宋体"/>
                <w:kern w:val="2"/>
                <w:sz w:val="24"/>
                <w:szCs w:val="24"/>
              </w:rPr>
            </w:pPr>
            <w:r>
              <w:rPr>
                <w:rFonts w:hint="eastAsia"/>
                <w:color w:val="333333"/>
                <w:shd w:val="clear" w:color="auto" w:fill="FFFFFF"/>
                <w:lang w:val="zh-CN" w:eastAsia="zh-CN"/>
              </w:rPr>
              <w:t>电话：18799915268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2</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代理机构</w:t>
            </w:r>
          </w:p>
        </w:tc>
        <w:tc>
          <w:tcPr>
            <w:tcW w:w="5960" w:type="dxa"/>
            <w:vAlign w:val="center"/>
          </w:tcPr>
          <w:p>
            <w:pPr>
              <w:pStyle w:val="94"/>
              <w:spacing w:line="500" w:lineRule="exact"/>
              <w:contextualSpacing/>
              <w:jc w:val="left"/>
              <w:rPr>
                <w:rFonts w:hint="eastAsia"/>
                <w:color w:val="333333"/>
                <w:shd w:val="clear" w:color="auto" w:fill="FFFFFF"/>
                <w:lang w:val="zh-CN" w:eastAsia="zh-CN"/>
              </w:rPr>
            </w:pPr>
            <w:r>
              <w:rPr>
                <w:rFonts w:hint="eastAsia"/>
                <w:color w:val="333333"/>
                <w:shd w:val="clear" w:color="auto" w:fill="FFFFFF"/>
                <w:lang w:val="zh-CN" w:eastAsia="zh-CN"/>
              </w:rPr>
              <w:t>名称：新疆佰隆工程项目管理有限公司</w:t>
            </w:r>
          </w:p>
          <w:p>
            <w:pPr>
              <w:pStyle w:val="94"/>
              <w:spacing w:line="500" w:lineRule="exact"/>
              <w:contextualSpacing/>
              <w:jc w:val="left"/>
              <w:rPr>
                <w:rFonts w:hint="eastAsia"/>
                <w:color w:val="333333"/>
                <w:shd w:val="clear" w:color="auto" w:fill="FFFFFF"/>
                <w:lang w:val="zh-CN" w:eastAsia="zh-CN"/>
              </w:rPr>
            </w:pPr>
            <w:r>
              <w:rPr>
                <w:rFonts w:hint="eastAsia"/>
                <w:color w:val="333333"/>
                <w:shd w:val="clear" w:color="auto" w:fill="FFFFFF"/>
                <w:lang w:val="zh-CN" w:eastAsia="zh-CN"/>
              </w:rPr>
              <w:t>地址：新疆阿克苏地区柯坪县民主路幸福一期小区10栋2单元201室</w:t>
            </w:r>
          </w:p>
          <w:p>
            <w:pPr>
              <w:pStyle w:val="94"/>
              <w:spacing w:line="500" w:lineRule="exact"/>
              <w:contextualSpacing/>
              <w:jc w:val="left"/>
              <w:rPr>
                <w:rFonts w:hint="eastAsia"/>
                <w:color w:val="333333"/>
                <w:shd w:val="clear" w:color="auto" w:fill="FFFFFF"/>
                <w:lang w:val="en-US" w:eastAsia="zh-CN"/>
              </w:rPr>
            </w:pPr>
            <w:r>
              <w:rPr>
                <w:rFonts w:hint="eastAsia"/>
                <w:color w:val="333333"/>
                <w:shd w:val="clear" w:color="auto" w:fill="FFFFFF"/>
                <w:lang w:val="zh-CN" w:eastAsia="zh-CN"/>
              </w:rPr>
              <w:t>联系人：</w:t>
            </w:r>
            <w:r>
              <w:rPr>
                <w:rFonts w:hint="eastAsia"/>
                <w:color w:val="333333"/>
                <w:shd w:val="clear" w:color="auto" w:fill="FFFFFF"/>
                <w:lang w:val="en-US" w:eastAsia="zh-CN"/>
              </w:rPr>
              <w:t>辛艳</w:t>
            </w:r>
          </w:p>
          <w:p>
            <w:pPr>
              <w:pStyle w:val="94"/>
              <w:spacing w:line="500" w:lineRule="exact"/>
              <w:contextualSpacing/>
              <w:jc w:val="left"/>
              <w:rPr>
                <w:rFonts w:hint="default"/>
                <w:color w:val="333333"/>
                <w:shd w:val="clear" w:color="auto" w:fill="FFFFFF"/>
                <w:lang w:val="en-US" w:eastAsia="zh-CN"/>
              </w:rPr>
            </w:pPr>
            <w:r>
              <w:rPr>
                <w:rFonts w:hint="eastAsia"/>
                <w:color w:val="333333"/>
                <w:shd w:val="clear" w:color="auto" w:fill="FFFFFF"/>
                <w:lang w:val="zh-CN" w:eastAsia="zh-CN"/>
              </w:rPr>
              <w:t xml:space="preserve">电话: </w:t>
            </w:r>
            <w:r>
              <w:rPr>
                <w:rFonts w:hint="eastAsia"/>
                <w:color w:val="333333"/>
                <w:shd w:val="clear" w:color="auto" w:fill="FFFFFF"/>
                <w:lang w:val="en-US" w:eastAsia="zh-CN"/>
              </w:rPr>
              <w:t>17699752110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exac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3</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采购项目名称</w:t>
            </w:r>
          </w:p>
        </w:tc>
        <w:tc>
          <w:tcPr>
            <w:tcW w:w="5960" w:type="dxa"/>
            <w:vAlign w:val="center"/>
          </w:tcPr>
          <w:p>
            <w:pPr>
              <w:widowControl/>
              <w:spacing w:line="500" w:lineRule="exact"/>
              <w:contextualSpacing/>
              <w:jc w:val="both"/>
              <w:rPr>
                <w:rFonts w:hint="eastAsia" w:ascii="宋体" w:hAnsi="宋体" w:eastAsia="宋体" w:cs="宋体"/>
                <w:color w:val="333333"/>
                <w:kern w:val="0"/>
                <w:sz w:val="24"/>
                <w:szCs w:val="24"/>
                <w:shd w:val="clear" w:color="auto" w:fill="FFFFFF"/>
                <w:lang w:val="zh-CN" w:eastAsia="zh-CN" w:bidi="ar-SA"/>
              </w:rPr>
            </w:pPr>
            <w:r>
              <w:rPr>
                <w:rFonts w:hint="eastAsia" w:ascii="宋体" w:hAnsi="宋体" w:cs="宋体"/>
                <w:color w:val="333333"/>
                <w:kern w:val="0"/>
                <w:sz w:val="24"/>
                <w:szCs w:val="24"/>
                <w:shd w:val="clear" w:color="auto" w:fill="FFFFFF"/>
                <w:lang w:val="zh-CN" w:eastAsia="zh-CN" w:bidi="ar-SA"/>
              </w:rPr>
              <w:t>县医院新建儿科设备一批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4</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采购项目编号</w:t>
            </w:r>
          </w:p>
        </w:tc>
        <w:tc>
          <w:tcPr>
            <w:tcW w:w="5960" w:type="dxa"/>
            <w:vAlign w:val="center"/>
          </w:tcPr>
          <w:p>
            <w:pPr>
              <w:spacing w:line="500" w:lineRule="exact"/>
              <w:contextualSpacing/>
              <w:jc w:val="left"/>
              <w:rPr>
                <w:rFonts w:hint="default" w:ascii="宋体" w:hAnsi="宋体" w:eastAsia="宋体" w:cs="宋体"/>
                <w:color w:val="333333"/>
                <w:kern w:val="0"/>
                <w:sz w:val="24"/>
                <w:szCs w:val="24"/>
                <w:shd w:val="clear" w:color="auto" w:fill="FFFFFF"/>
                <w:lang w:val="en-US" w:eastAsia="zh-CN" w:bidi="ar-SA"/>
              </w:rPr>
            </w:pPr>
            <w:r>
              <w:rPr>
                <w:rFonts w:hint="default" w:ascii="宋体" w:hAnsi="宋体" w:eastAsia="宋体" w:cs="宋体"/>
                <w:color w:val="333333"/>
                <w:kern w:val="0"/>
                <w:sz w:val="24"/>
                <w:szCs w:val="24"/>
                <w:shd w:val="clear" w:color="auto" w:fill="FFFFFF"/>
                <w:lang w:val="en-US" w:eastAsia="zh-CN" w:bidi="ar-SA"/>
              </w:rPr>
              <w:t>集kpxzcy2023-00103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5</w:t>
            </w:r>
          </w:p>
        </w:tc>
        <w:tc>
          <w:tcPr>
            <w:tcW w:w="2523" w:type="dxa"/>
            <w:vAlign w:val="center"/>
          </w:tcPr>
          <w:p>
            <w:pPr>
              <w:pStyle w:val="94"/>
              <w:spacing w:line="500" w:lineRule="exact"/>
              <w:ind w:left="38"/>
              <w:contextualSpacing/>
              <w:jc w:val="center"/>
              <w:rPr>
                <w:rFonts w:hint="default"/>
                <w:b/>
                <w:color w:val="000000" w:themeColor="text1"/>
                <w:lang w:val="zh-CN" w:eastAsia="zh-CN"/>
                <w14:textFill>
                  <w14:solidFill>
                    <w14:schemeClr w14:val="tx1"/>
                  </w14:solidFill>
                </w14:textFill>
              </w:rPr>
            </w:pPr>
            <w:r>
              <w:rPr>
                <w:rFonts w:hint="eastAsia"/>
                <w:b/>
                <w:color w:val="000000" w:themeColor="text1"/>
                <w:lang w:val="zh-CN" w:eastAsia="zh-CN"/>
                <w14:textFill>
                  <w14:solidFill>
                    <w14:schemeClr w14:val="tx1"/>
                  </w14:solidFill>
                </w14:textFill>
              </w:rPr>
              <w:t>资金来源</w:t>
            </w:r>
          </w:p>
          <w:p>
            <w:pPr>
              <w:pStyle w:val="94"/>
              <w:spacing w:line="500" w:lineRule="exact"/>
              <w:ind w:left="38"/>
              <w:contextualSpacing/>
              <w:jc w:val="center"/>
              <w:rPr>
                <w:rFonts w:hint="default" w:ascii="宋体" w:hAnsi="宋体" w:eastAsia="宋体" w:cs="宋体"/>
                <w:color w:val="333333"/>
                <w:kern w:val="0"/>
                <w:sz w:val="24"/>
                <w:szCs w:val="24"/>
                <w:shd w:val="clear" w:color="auto" w:fill="FFFFFF"/>
                <w:lang w:val="zh-CN" w:eastAsia="zh-CN" w:bidi="ar-SA"/>
              </w:rPr>
            </w:pPr>
          </w:p>
        </w:tc>
        <w:tc>
          <w:tcPr>
            <w:tcW w:w="5960" w:type="dxa"/>
            <w:vAlign w:val="center"/>
          </w:tcPr>
          <w:p>
            <w:pPr>
              <w:pStyle w:val="94"/>
              <w:spacing w:line="500" w:lineRule="exact"/>
              <w:contextualSpacing/>
              <w:jc w:val="left"/>
              <w:rPr>
                <w:rFonts w:hint="default" w:ascii="宋体" w:hAnsi="宋体" w:eastAsia="宋体" w:cs="宋体"/>
                <w:color w:val="333333"/>
                <w:kern w:val="0"/>
                <w:sz w:val="24"/>
                <w:szCs w:val="24"/>
                <w:shd w:val="clear" w:color="auto" w:fill="FFFFFF"/>
                <w:lang w:val="en-US" w:eastAsia="zh-CN" w:bidi="ar-SA"/>
              </w:rPr>
            </w:pPr>
            <w:r>
              <w:rPr>
                <w:rFonts w:hint="default" w:ascii="宋体" w:hAnsi="宋体" w:eastAsia="宋体" w:cs="宋体"/>
                <w:color w:val="333333"/>
                <w:kern w:val="0"/>
                <w:sz w:val="24"/>
                <w:szCs w:val="24"/>
                <w:shd w:val="clear" w:color="auto" w:fill="FFFFFF"/>
                <w:lang w:val="en-US" w:eastAsia="zh-CN" w:bidi="ar-SA"/>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exac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6</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bCs w:val="0"/>
                <w:color w:val="auto"/>
                <w:lang w:val="zh-CN"/>
              </w:rPr>
              <w:t>最高限价</w:t>
            </w:r>
          </w:p>
        </w:tc>
        <w:tc>
          <w:tcPr>
            <w:tcW w:w="5960" w:type="dxa"/>
            <w:vAlign w:val="center"/>
          </w:tcPr>
          <w:p>
            <w:pPr>
              <w:pStyle w:val="94"/>
              <w:spacing w:line="500" w:lineRule="exact"/>
              <w:ind w:left="194" w:leftChars="92" w:right="210" w:rightChars="100" w:hanging="1"/>
              <w:contextualSpacing/>
              <w:jc w:val="left"/>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1800000元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7</w:t>
            </w:r>
          </w:p>
        </w:tc>
        <w:tc>
          <w:tcPr>
            <w:tcW w:w="2523" w:type="dxa"/>
            <w:vAlign w:val="center"/>
          </w:tcPr>
          <w:p>
            <w:pPr>
              <w:pStyle w:val="94"/>
              <w:spacing w:line="500" w:lineRule="exact"/>
              <w:ind w:left="3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采购方式</w:t>
            </w:r>
          </w:p>
        </w:tc>
        <w:tc>
          <w:tcPr>
            <w:tcW w:w="5960" w:type="dxa"/>
            <w:vAlign w:val="center"/>
          </w:tcPr>
          <w:p>
            <w:pPr>
              <w:pStyle w:val="94"/>
              <w:spacing w:line="500" w:lineRule="exact"/>
              <w:ind w:firstLine="249" w:firstLineChars="104"/>
              <w:contextualSpacing/>
              <w:jc w:val="left"/>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8</w:t>
            </w:r>
          </w:p>
        </w:tc>
        <w:tc>
          <w:tcPr>
            <w:tcW w:w="2523" w:type="dxa"/>
            <w:vAlign w:val="center"/>
          </w:tcPr>
          <w:p>
            <w:pPr>
              <w:pStyle w:val="94"/>
              <w:spacing w:line="500" w:lineRule="exact"/>
              <w:ind w:left="96"/>
              <w:contextualSpacing/>
              <w:jc w:val="center"/>
              <w:rPr>
                <w:b/>
                <w:lang w:val="zh-CN"/>
              </w:rPr>
            </w:pPr>
            <w:r>
              <w:rPr>
                <w:rFonts w:hint="eastAsia"/>
                <w:b/>
                <w:lang w:val="zh-CN"/>
              </w:rPr>
              <w:t>评标方法</w:t>
            </w:r>
          </w:p>
        </w:tc>
        <w:tc>
          <w:tcPr>
            <w:tcW w:w="5960" w:type="dxa"/>
            <w:vAlign w:val="center"/>
          </w:tcPr>
          <w:p>
            <w:pPr>
              <w:pStyle w:val="94"/>
              <w:spacing w:line="500" w:lineRule="exact"/>
              <w:ind w:left="694" w:leftChars="102" w:hanging="480" w:hangingChars="2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12" w:type="dxa"/>
            <w:vAlign w:val="center"/>
          </w:tcPr>
          <w:p>
            <w:pPr>
              <w:pStyle w:val="94"/>
              <w:spacing w:line="500" w:lineRule="exact"/>
              <w:ind w:right="230"/>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9</w:t>
            </w:r>
          </w:p>
        </w:tc>
        <w:tc>
          <w:tcPr>
            <w:tcW w:w="2523" w:type="dxa"/>
            <w:vAlign w:val="center"/>
          </w:tcPr>
          <w:p>
            <w:pPr>
              <w:pStyle w:val="94"/>
              <w:spacing w:line="500" w:lineRule="exact"/>
              <w:ind w:left="96"/>
              <w:contextualSpacing/>
              <w:jc w:val="center"/>
              <w:rPr>
                <w:b/>
                <w:color w:val="auto"/>
                <w:lang w:val="zh-CN"/>
              </w:rPr>
            </w:pPr>
            <w:r>
              <w:rPr>
                <w:rFonts w:hint="eastAsia"/>
                <w:b/>
                <w:color w:val="auto"/>
                <w:lang w:val="zh-CN"/>
              </w:rPr>
              <w:t>服务期</w:t>
            </w:r>
          </w:p>
        </w:tc>
        <w:tc>
          <w:tcPr>
            <w:tcW w:w="5960" w:type="dxa"/>
            <w:vAlign w:val="center"/>
          </w:tcPr>
          <w:p>
            <w:pPr>
              <w:pStyle w:val="94"/>
              <w:spacing w:line="500" w:lineRule="exact"/>
              <w:ind w:left="694" w:leftChars="102" w:hanging="480" w:hangingChars="200"/>
              <w:contextualSpacing/>
              <w:rPr>
                <w:rFonts w:hint="default" w:ascii="宋体" w:hAnsi="宋体" w:eastAsia="宋体" w:cs="宋体"/>
                <w:color w:val="333333"/>
                <w:kern w:val="0"/>
                <w:sz w:val="24"/>
                <w:szCs w:val="24"/>
                <w:shd w:val="clear" w:color="auto" w:fill="FFFFFF"/>
                <w:lang w:val="en-US" w:eastAsia="zh-CN" w:bidi="ar-SA"/>
              </w:rPr>
            </w:pPr>
            <w:r>
              <w:rPr>
                <w:rFonts w:hint="default" w:ascii="宋体" w:hAnsi="宋体" w:eastAsia="宋体" w:cs="宋体"/>
                <w:color w:val="333333"/>
                <w:kern w:val="0"/>
                <w:sz w:val="24"/>
                <w:szCs w:val="24"/>
                <w:shd w:val="clear" w:color="auto" w:fill="FFFFFF"/>
                <w:lang w:val="en-US" w:eastAsia="zh-CN" w:bidi="ar-SA"/>
              </w:rPr>
              <w:t>按甲乙双方签订的合同日期执行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10</w:t>
            </w:r>
          </w:p>
        </w:tc>
        <w:tc>
          <w:tcPr>
            <w:tcW w:w="2523" w:type="dxa"/>
            <w:vAlign w:val="center"/>
          </w:tcPr>
          <w:p>
            <w:pPr>
              <w:pStyle w:val="94"/>
              <w:spacing w:line="500" w:lineRule="exact"/>
              <w:ind w:left="96"/>
              <w:contextualSpacing/>
              <w:jc w:val="center"/>
              <w:rPr>
                <w:rFonts w:hint="eastAsia"/>
                <w:b/>
                <w:color w:val="auto"/>
                <w:lang w:val="zh-CN"/>
              </w:rPr>
            </w:pPr>
            <w:r>
              <w:rPr>
                <w:rFonts w:hint="eastAsia"/>
                <w:b/>
                <w:color w:val="auto"/>
                <w:lang w:val="zh-CN"/>
              </w:rPr>
              <w:t>供货地点</w:t>
            </w:r>
          </w:p>
        </w:tc>
        <w:tc>
          <w:tcPr>
            <w:tcW w:w="5960" w:type="dxa"/>
            <w:vAlign w:val="center"/>
          </w:tcPr>
          <w:p>
            <w:pPr>
              <w:pStyle w:val="94"/>
              <w:spacing w:line="500" w:lineRule="exact"/>
              <w:ind w:left="694" w:leftChars="102" w:hanging="480" w:hangingChars="200"/>
              <w:contextualSpacing/>
              <w:rPr>
                <w:rFonts w:hint="eastAsia" w:ascii="宋体" w:hAnsi="宋体" w:eastAsia="宋体" w:cs="宋体"/>
                <w:color w:val="333333"/>
                <w:kern w:val="0"/>
                <w:sz w:val="24"/>
                <w:szCs w:val="24"/>
                <w:shd w:val="clear" w:color="auto" w:fill="FFFFFF"/>
                <w:lang w:val="en-US" w:eastAsia="zh-CN" w:bidi="ar-SA"/>
              </w:rPr>
            </w:pPr>
            <w:r>
              <w:rPr>
                <w:rFonts w:hint="eastAsia" w:cs="宋体"/>
                <w:color w:val="333333"/>
                <w:kern w:val="0"/>
                <w:sz w:val="24"/>
                <w:szCs w:val="24"/>
                <w:shd w:val="clear" w:color="auto" w:fill="FFFFFF"/>
                <w:lang w:val="en-US" w:eastAsia="zh-CN" w:bidi="ar-SA"/>
              </w:rPr>
              <w:t>柯坪县人民医院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11</w:t>
            </w:r>
          </w:p>
        </w:tc>
        <w:tc>
          <w:tcPr>
            <w:tcW w:w="2523" w:type="dxa"/>
            <w:vAlign w:val="center"/>
          </w:tcPr>
          <w:p>
            <w:pPr>
              <w:pStyle w:val="94"/>
              <w:spacing w:line="500" w:lineRule="exact"/>
              <w:ind w:left="96"/>
              <w:contextualSpacing/>
              <w:jc w:val="center"/>
              <w:rPr>
                <w:b/>
              </w:rPr>
            </w:pPr>
            <w:r>
              <w:rPr>
                <w:rFonts w:hint="eastAsia"/>
                <w:b/>
                <w:lang w:val="zh-CN"/>
              </w:rPr>
              <w:t>质量要求</w:t>
            </w:r>
          </w:p>
        </w:tc>
        <w:tc>
          <w:tcPr>
            <w:tcW w:w="5960" w:type="dxa"/>
            <w:vAlign w:val="center"/>
          </w:tcPr>
          <w:p>
            <w:pPr>
              <w:pStyle w:val="94"/>
              <w:spacing w:line="500" w:lineRule="exact"/>
              <w:ind w:left="210" w:leftChars="100"/>
              <w:contextualSpacing/>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12</w:t>
            </w:r>
          </w:p>
        </w:tc>
        <w:tc>
          <w:tcPr>
            <w:tcW w:w="2523" w:type="dxa"/>
            <w:vAlign w:val="center"/>
          </w:tcPr>
          <w:p>
            <w:pPr>
              <w:pStyle w:val="94"/>
              <w:spacing w:line="500" w:lineRule="exact"/>
              <w:ind w:left="235"/>
              <w:contextualSpacing/>
              <w:jc w:val="center"/>
              <w:rPr>
                <w:b/>
                <w:lang w:val="zh-CN"/>
              </w:rPr>
            </w:pPr>
            <w:r>
              <w:rPr>
                <w:rFonts w:hint="eastAsia"/>
                <w:b/>
                <w:lang w:val="zh-CN"/>
              </w:rPr>
              <w:t>联合体投标</w:t>
            </w:r>
          </w:p>
        </w:tc>
        <w:tc>
          <w:tcPr>
            <w:tcW w:w="5960" w:type="dxa"/>
            <w:vAlign w:val="center"/>
          </w:tcPr>
          <w:p>
            <w:pPr>
              <w:pStyle w:val="94"/>
              <w:spacing w:line="500" w:lineRule="exact"/>
              <w:ind w:left="694" w:leftChars="102" w:hanging="480" w:hangingChars="2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13</w:t>
            </w:r>
          </w:p>
        </w:tc>
        <w:tc>
          <w:tcPr>
            <w:tcW w:w="2523" w:type="dxa"/>
            <w:vAlign w:val="center"/>
          </w:tcPr>
          <w:p>
            <w:pPr>
              <w:pStyle w:val="94"/>
              <w:spacing w:line="500" w:lineRule="exact"/>
              <w:contextualSpacing/>
              <w:jc w:val="center"/>
              <w:rPr>
                <w:b/>
                <w:lang w:val="zh-CN"/>
              </w:rPr>
            </w:pPr>
            <w:r>
              <w:rPr>
                <w:rFonts w:hint="eastAsia"/>
                <w:b/>
                <w:lang w:val="zh-CN"/>
              </w:rPr>
              <w:t>考察现场、标前答疑会</w:t>
            </w:r>
          </w:p>
        </w:tc>
        <w:tc>
          <w:tcPr>
            <w:tcW w:w="5960" w:type="dxa"/>
            <w:vAlign w:val="center"/>
          </w:tcPr>
          <w:p>
            <w:pPr>
              <w:pStyle w:val="94"/>
              <w:spacing w:line="500" w:lineRule="exact"/>
              <w:ind w:left="694" w:leftChars="102" w:hanging="480" w:hangingChars="200"/>
              <w:contextualSpacing/>
              <w:rPr>
                <w:rFonts w:hint="default"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招标采购单位认为有必要，另行书面通知。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14</w:t>
            </w:r>
          </w:p>
        </w:tc>
        <w:tc>
          <w:tcPr>
            <w:tcW w:w="2523" w:type="dxa"/>
            <w:vAlign w:val="center"/>
          </w:tcPr>
          <w:p>
            <w:pPr>
              <w:pStyle w:val="94"/>
              <w:spacing w:line="500" w:lineRule="exact"/>
              <w:contextualSpacing/>
              <w:jc w:val="center"/>
              <w:rPr>
                <w:b/>
                <w:lang w:val="zh-CN"/>
              </w:rPr>
            </w:pPr>
            <w:r>
              <w:rPr>
                <w:rFonts w:hint="eastAsia"/>
                <w:b/>
                <w:lang w:val="zh-CN"/>
              </w:rPr>
              <w:t>投标人对招标文件</w:t>
            </w:r>
          </w:p>
          <w:p>
            <w:pPr>
              <w:pStyle w:val="94"/>
              <w:spacing w:line="500" w:lineRule="exact"/>
              <w:contextualSpacing/>
              <w:jc w:val="center"/>
              <w:rPr>
                <w:b/>
                <w:lang w:val="zh-CN"/>
              </w:rPr>
            </w:pPr>
            <w:r>
              <w:rPr>
                <w:rFonts w:hint="eastAsia"/>
                <w:b/>
                <w:lang w:val="zh-CN"/>
              </w:rPr>
              <w:t>提出质疑的时间</w:t>
            </w:r>
          </w:p>
        </w:tc>
        <w:tc>
          <w:tcPr>
            <w:tcW w:w="5960" w:type="dxa"/>
            <w:vAlign w:val="center"/>
          </w:tcPr>
          <w:p>
            <w:pPr>
              <w:pStyle w:val="94"/>
              <w:spacing w:line="500" w:lineRule="exact"/>
              <w:ind w:left="694" w:leftChars="102" w:hanging="480" w:hangingChars="200"/>
              <w:contextualSpacing/>
              <w:rPr>
                <w:rFonts w:hint="default"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自招标文件发售时间起的七个工作日内。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15</w:t>
            </w:r>
          </w:p>
        </w:tc>
        <w:tc>
          <w:tcPr>
            <w:tcW w:w="2523" w:type="dxa"/>
            <w:vAlign w:val="center"/>
          </w:tcPr>
          <w:p>
            <w:pPr>
              <w:pStyle w:val="94"/>
              <w:spacing w:line="500" w:lineRule="exact"/>
              <w:contextualSpacing/>
              <w:jc w:val="center"/>
              <w:rPr>
                <w:b/>
                <w:lang w:val="zh-CN"/>
              </w:rPr>
            </w:pPr>
            <w:r>
              <w:rPr>
                <w:rFonts w:hint="eastAsia"/>
                <w:b/>
                <w:lang w:val="zh-CN"/>
              </w:rPr>
              <w:t>分包履约</w:t>
            </w:r>
          </w:p>
        </w:tc>
        <w:tc>
          <w:tcPr>
            <w:tcW w:w="5960" w:type="dxa"/>
            <w:vAlign w:val="center"/>
          </w:tcPr>
          <w:p>
            <w:pPr>
              <w:pStyle w:val="94"/>
              <w:spacing w:line="500" w:lineRule="exact"/>
              <w:ind w:left="694" w:leftChars="102" w:hanging="480" w:hangingChars="200"/>
              <w:contextualSpacing/>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zh-CN"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16</w:t>
            </w:r>
          </w:p>
        </w:tc>
        <w:tc>
          <w:tcPr>
            <w:tcW w:w="2523" w:type="dxa"/>
            <w:vAlign w:val="center"/>
          </w:tcPr>
          <w:p>
            <w:pPr>
              <w:pStyle w:val="94"/>
              <w:spacing w:line="500" w:lineRule="exact"/>
              <w:ind w:left="52"/>
              <w:contextualSpacing/>
              <w:jc w:val="center"/>
              <w:rPr>
                <w:b/>
                <w:lang w:val="zh-CN"/>
              </w:rPr>
            </w:pPr>
            <w:r>
              <w:rPr>
                <w:rFonts w:hint="eastAsia"/>
                <w:b/>
                <w:lang w:val="zh-CN"/>
              </w:rPr>
              <w:t>构成招标文件             的其他文件</w:t>
            </w:r>
          </w:p>
        </w:tc>
        <w:tc>
          <w:tcPr>
            <w:tcW w:w="5960" w:type="dxa"/>
            <w:vAlign w:val="center"/>
          </w:tcPr>
          <w:p>
            <w:pPr>
              <w:pStyle w:val="94"/>
              <w:spacing w:line="500" w:lineRule="exact"/>
              <w:contextualSpacing/>
              <w:jc w:val="both"/>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招标文件的澄清、修改书及有关补充通知为招标文件</w:t>
            </w:r>
            <w:r>
              <w:rPr>
                <w:rFonts w:hint="eastAsia" w:cs="宋体"/>
                <w:color w:val="333333"/>
                <w:kern w:val="0"/>
                <w:sz w:val="24"/>
                <w:szCs w:val="24"/>
                <w:shd w:val="clear" w:color="auto" w:fill="FFFFFF"/>
                <w:lang w:val="zh-CN" w:eastAsia="zh-CN" w:bidi="ar-SA"/>
              </w:rPr>
              <w:t>的</w:t>
            </w:r>
            <w:r>
              <w:rPr>
                <w:rFonts w:hint="eastAsia" w:ascii="宋体" w:hAnsi="宋体" w:eastAsia="宋体" w:cs="宋体"/>
                <w:color w:val="333333"/>
                <w:kern w:val="0"/>
                <w:sz w:val="24"/>
                <w:szCs w:val="24"/>
                <w:shd w:val="clear" w:color="auto" w:fill="FFFFFF"/>
                <w:lang w:val="zh-CN" w:eastAsia="zh-CN" w:bidi="ar-SA"/>
              </w:rPr>
              <w:t>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17</w:t>
            </w:r>
          </w:p>
        </w:tc>
        <w:tc>
          <w:tcPr>
            <w:tcW w:w="2523" w:type="dxa"/>
            <w:vAlign w:val="center"/>
          </w:tcPr>
          <w:p>
            <w:pPr>
              <w:pStyle w:val="94"/>
              <w:spacing w:line="500" w:lineRule="exact"/>
              <w:ind w:left="52"/>
              <w:contextualSpacing/>
              <w:jc w:val="center"/>
              <w:rPr>
                <w:b/>
                <w:lang w:val="zh-CN"/>
              </w:rPr>
            </w:pPr>
            <w:r>
              <w:rPr>
                <w:rFonts w:hint="eastAsia"/>
                <w:b/>
                <w:lang w:val="zh-CN"/>
              </w:rPr>
              <w:t>投标截止时间</w:t>
            </w:r>
          </w:p>
        </w:tc>
        <w:tc>
          <w:tcPr>
            <w:tcW w:w="5960" w:type="dxa"/>
            <w:vAlign w:val="center"/>
          </w:tcPr>
          <w:p>
            <w:pPr>
              <w:pStyle w:val="94"/>
              <w:spacing w:line="500" w:lineRule="exact"/>
              <w:ind w:firstLine="240" w:firstLineChars="1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202</w:t>
            </w:r>
            <w:r>
              <w:rPr>
                <w:rFonts w:hint="eastAsia" w:ascii="宋体" w:hAnsi="宋体" w:eastAsia="宋体" w:cs="宋体"/>
                <w:color w:val="333333"/>
                <w:kern w:val="0"/>
                <w:sz w:val="24"/>
                <w:szCs w:val="24"/>
                <w:shd w:val="clear" w:color="auto" w:fill="FFFFFF"/>
                <w:lang w:val="en-US" w:eastAsia="zh-CN" w:bidi="ar-SA"/>
              </w:rPr>
              <w:t>3</w:t>
            </w:r>
            <w:r>
              <w:rPr>
                <w:rFonts w:hint="eastAsia" w:ascii="宋体" w:hAnsi="宋体" w:eastAsia="宋体" w:cs="宋体"/>
                <w:color w:val="333333"/>
                <w:kern w:val="0"/>
                <w:sz w:val="24"/>
                <w:szCs w:val="24"/>
                <w:shd w:val="clear" w:color="auto" w:fill="FFFFFF"/>
                <w:lang w:val="zh-CN" w:eastAsia="zh-CN" w:bidi="ar-SA"/>
              </w:rPr>
              <w:t>年</w:t>
            </w:r>
            <w:r>
              <w:rPr>
                <w:rFonts w:hint="eastAsia" w:ascii="宋体" w:hAnsi="宋体" w:eastAsia="宋体" w:cs="宋体"/>
                <w:color w:val="333333"/>
                <w:kern w:val="0"/>
                <w:sz w:val="24"/>
                <w:szCs w:val="24"/>
                <w:shd w:val="clear" w:color="auto" w:fill="FFFFFF"/>
                <w:lang w:val="en-US" w:eastAsia="zh-CN" w:bidi="ar-SA"/>
              </w:rPr>
              <w:t>0</w:t>
            </w:r>
            <w:r>
              <w:rPr>
                <w:rFonts w:hint="eastAsia" w:cs="宋体"/>
                <w:color w:val="333333"/>
                <w:kern w:val="0"/>
                <w:sz w:val="24"/>
                <w:szCs w:val="24"/>
                <w:shd w:val="clear" w:color="auto" w:fill="FFFFFF"/>
                <w:lang w:val="en-US" w:eastAsia="zh-CN" w:bidi="ar-SA"/>
              </w:rPr>
              <w:t>6</w:t>
            </w:r>
            <w:r>
              <w:rPr>
                <w:rFonts w:hint="eastAsia" w:ascii="宋体" w:hAnsi="宋体" w:eastAsia="宋体" w:cs="宋体"/>
                <w:color w:val="333333"/>
                <w:kern w:val="0"/>
                <w:sz w:val="24"/>
                <w:szCs w:val="24"/>
                <w:shd w:val="clear" w:color="auto" w:fill="FFFFFF"/>
                <w:lang w:val="zh-CN" w:eastAsia="zh-CN" w:bidi="ar-SA"/>
              </w:rPr>
              <w:t>月</w:t>
            </w:r>
            <w:r>
              <w:rPr>
                <w:rFonts w:hint="eastAsia" w:cs="宋体"/>
                <w:color w:val="333333"/>
                <w:kern w:val="0"/>
                <w:sz w:val="24"/>
                <w:szCs w:val="24"/>
                <w:shd w:val="clear" w:color="auto" w:fill="FFFFFF"/>
                <w:lang w:val="en-US" w:eastAsia="zh-CN" w:bidi="ar-SA"/>
              </w:rPr>
              <w:t>25</w:t>
            </w:r>
            <w:r>
              <w:rPr>
                <w:rFonts w:hint="eastAsia" w:ascii="宋体" w:hAnsi="宋体" w:eastAsia="宋体" w:cs="宋体"/>
                <w:color w:val="333333"/>
                <w:kern w:val="0"/>
                <w:sz w:val="24"/>
                <w:szCs w:val="24"/>
                <w:shd w:val="clear" w:color="auto" w:fill="FFFFFF"/>
                <w:lang w:val="zh-CN" w:eastAsia="zh-CN" w:bidi="ar-SA"/>
              </w:rPr>
              <w:t>日</w:t>
            </w:r>
            <w:r>
              <w:rPr>
                <w:rFonts w:hint="eastAsia" w:ascii="宋体" w:hAnsi="宋体" w:eastAsia="宋体" w:cs="宋体"/>
                <w:color w:val="333333"/>
                <w:kern w:val="0"/>
                <w:sz w:val="24"/>
                <w:szCs w:val="24"/>
                <w:shd w:val="clear" w:color="auto" w:fill="FFFFFF"/>
                <w:lang w:val="en-US" w:eastAsia="zh-CN" w:bidi="ar-SA"/>
              </w:rPr>
              <w:t>11</w:t>
            </w:r>
            <w:r>
              <w:rPr>
                <w:rFonts w:hint="eastAsia" w:ascii="宋体" w:hAnsi="宋体" w:eastAsia="宋体" w:cs="宋体"/>
                <w:color w:val="333333"/>
                <w:kern w:val="0"/>
                <w:sz w:val="24"/>
                <w:szCs w:val="24"/>
                <w:shd w:val="clear" w:color="auto" w:fill="FFFFFF"/>
                <w:lang w:val="zh-CN" w:eastAsia="zh-CN" w:bidi="ar-SA"/>
              </w:rPr>
              <w:t>︰</w:t>
            </w:r>
            <w:r>
              <w:rPr>
                <w:rFonts w:hint="eastAsia" w:ascii="宋体" w:hAnsi="宋体" w:eastAsia="宋体" w:cs="宋体"/>
                <w:color w:val="333333"/>
                <w:kern w:val="0"/>
                <w:sz w:val="24"/>
                <w:szCs w:val="24"/>
                <w:shd w:val="clear" w:color="auto" w:fill="FFFFFF"/>
                <w:lang w:val="en-US" w:eastAsia="zh-CN" w:bidi="ar-SA"/>
              </w:rPr>
              <w:t>3</w:t>
            </w:r>
            <w:r>
              <w:rPr>
                <w:rFonts w:hint="eastAsia" w:ascii="宋体" w:hAnsi="宋体" w:eastAsia="宋体" w:cs="宋体"/>
                <w:color w:val="333333"/>
                <w:kern w:val="0"/>
                <w:sz w:val="24"/>
                <w:szCs w:val="24"/>
                <w:shd w:val="clear" w:color="auto" w:fill="FFFFFF"/>
                <w:lang w:val="zh-CN" w:eastAsia="zh-CN" w:bidi="ar-SA"/>
              </w:rPr>
              <w:t>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18</w:t>
            </w:r>
          </w:p>
        </w:tc>
        <w:tc>
          <w:tcPr>
            <w:tcW w:w="2523" w:type="dxa"/>
            <w:vAlign w:val="center"/>
          </w:tcPr>
          <w:p>
            <w:pPr>
              <w:pStyle w:val="94"/>
              <w:spacing w:line="500" w:lineRule="exact"/>
              <w:ind w:left="33"/>
              <w:contextualSpacing/>
              <w:jc w:val="center"/>
              <w:rPr>
                <w:b/>
                <w:lang w:val="zh-CN"/>
              </w:rPr>
            </w:pPr>
            <w:r>
              <w:rPr>
                <w:rFonts w:hint="eastAsia"/>
                <w:b/>
                <w:lang w:val="zh-CN"/>
              </w:rPr>
              <w:t>投标有效期</w:t>
            </w:r>
          </w:p>
        </w:tc>
        <w:tc>
          <w:tcPr>
            <w:tcW w:w="5960" w:type="dxa"/>
            <w:vAlign w:val="center"/>
          </w:tcPr>
          <w:p>
            <w:pPr>
              <w:pStyle w:val="94"/>
              <w:spacing w:line="500" w:lineRule="exact"/>
              <w:ind w:left="694" w:leftChars="102" w:hanging="480" w:hangingChars="2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en-US" w:eastAsia="zh-CN" w:bidi="ar-SA"/>
              </w:rPr>
              <w:t>60</w:t>
            </w:r>
            <w:r>
              <w:rPr>
                <w:rFonts w:hint="eastAsia" w:ascii="宋体" w:hAnsi="宋体" w:eastAsia="宋体" w:cs="宋体"/>
                <w:color w:val="333333"/>
                <w:kern w:val="0"/>
                <w:sz w:val="24"/>
                <w:szCs w:val="24"/>
                <w:shd w:val="clear" w:color="auto" w:fill="FFFFFF"/>
                <w:lang w:val="zh-CN" w:eastAsia="zh-CN" w:bidi="ar-SA"/>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19</w:t>
            </w:r>
          </w:p>
        </w:tc>
        <w:tc>
          <w:tcPr>
            <w:tcW w:w="2523" w:type="dxa"/>
            <w:vAlign w:val="center"/>
          </w:tcPr>
          <w:p>
            <w:pPr>
              <w:pStyle w:val="94"/>
              <w:spacing w:line="500" w:lineRule="exact"/>
              <w:ind w:left="33"/>
              <w:contextualSpacing/>
              <w:jc w:val="center"/>
              <w:rPr>
                <w:b/>
                <w:lang w:val="zh-CN"/>
              </w:rPr>
            </w:pPr>
            <w:r>
              <w:rPr>
                <w:rFonts w:hint="eastAsia"/>
                <w:b/>
                <w:lang w:val="zh-CN"/>
              </w:rPr>
              <w:t>投标保证金</w:t>
            </w:r>
          </w:p>
        </w:tc>
        <w:tc>
          <w:tcPr>
            <w:tcW w:w="5960" w:type="dxa"/>
            <w:vAlign w:val="center"/>
          </w:tcPr>
          <w:p>
            <w:pPr>
              <w:spacing w:line="500" w:lineRule="exact"/>
              <w:ind w:left="216" w:leftChars="103" w:right="269" w:rightChars="128"/>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无需提交投标保证金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3" w:hRule="exac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20</w:t>
            </w:r>
          </w:p>
        </w:tc>
        <w:tc>
          <w:tcPr>
            <w:tcW w:w="2523" w:type="dxa"/>
            <w:vAlign w:val="center"/>
          </w:tcPr>
          <w:p>
            <w:pPr>
              <w:pStyle w:val="94"/>
              <w:spacing w:line="500" w:lineRule="exact"/>
              <w:ind w:left="33"/>
              <w:contextualSpacing/>
              <w:jc w:val="center"/>
              <w:rPr>
                <w:rFonts w:hint="default" w:eastAsia="宋体"/>
                <w:b/>
                <w:lang w:val="en-US" w:eastAsia="zh-CN"/>
              </w:rPr>
            </w:pPr>
            <w:r>
              <w:rPr>
                <w:rFonts w:hint="eastAsia"/>
                <w:b/>
                <w:lang w:val="en-US" w:eastAsia="zh-CN"/>
              </w:rPr>
              <w:t>资质要求</w:t>
            </w:r>
          </w:p>
        </w:tc>
        <w:tc>
          <w:tcPr>
            <w:tcW w:w="5960" w:type="dxa"/>
            <w:vAlign w:val="center"/>
          </w:tcPr>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（1）有效的营业执照，有效的《医疗器械经营许可证》或《医疗器械生产许可证》；</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（2）法定代表人身份证原件及复印件或法定代表人授权委托书和委托代理人的身份证原件（授权书需附法人身份证及委托人身份证复印件）；</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 xml:space="preserve">（5）未被“信用中国”、中国政府采购网列入失信被执行人、重大税收违法案件当事人名单、政府采购严重违法失信行为记录名单。 </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备注：项目报名时需在新疆政采云上传以上资料原件扫描件。</w:t>
            </w:r>
          </w:p>
          <w:p>
            <w:pPr>
              <w:keepNext w:val="0"/>
              <w:keepLines w:val="0"/>
              <w:pageBreakBefore w:val="0"/>
              <w:widowControl w:val="0"/>
              <w:kinsoku/>
              <w:wordWrap/>
              <w:overflowPunct/>
              <w:topLinePunct w:val="0"/>
              <w:autoSpaceDE/>
              <w:autoSpaceDN/>
              <w:bidi w:val="0"/>
              <w:adjustRightInd/>
              <w:snapToGrid/>
              <w:spacing w:line="430" w:lineRule="exact"/>
              <w:ind w:left="239" w:leftChars="114" w:firstLine="0" w:firstLineChars="0"/>
              <w:textAlignment w:val="auto"/>
              <w:rPr>
                <w:rFonts w:hint="eastAsia" w:ascii="宋体" w:hAnsi="宋体" w:eastAsia="宋体" w:cs="宋体"/>
                <w:color w:val="333333"/>
                <w:kern w:val="0"/>
                <w:sz w:val="24"/>
                <w:szCs w:val="24"/>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12" w:type="dxa"/>
            <w:vAlign w:val="center"/>
          </w:tcPr>
          <w:p>
            <w:pPr>
              <w:pStyle w:val="94"/>
              <w:spacing w:line="500" w:lineRule="exact"/>
              <w:ind w:right="230"/>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21</w:t>
            </w:r>
          </w:p>
        </w:tc>
        <w:tc>
          <w:tcPr>
            <w:tcW w:w="2523" w:type="dxa"/>
            <w:vAlign w:val="center"/>
          </w:tcPr>
          <w:p>
            <w:pPr>
              <w:pStyle w:val="94"/>
              <w:spacing w:line="500" w:lineRule="exact"/>
              <w:ind w:right="28"/>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备选投标方案和报价</w:t>
            </w:r>
          </w:p>
        </w:tc>
        <w:tc>
          <w:tcPr>
            <w:tcW w:w="5960" w:type="dxa"/>
            <w:vAlign w:val="center"/>
          </w:tcPr>
          <w:p>
            <w:pPr>
              <w:pStyle w:val="94"/>
              <w:tabs>
                <w:tab w:val="left" w:pos="5749"/>
              </w:tabs>
              <w:spacing w:line="500" w:lineRule="exact"/>
              <w:ind w:firstLine="240" w:firstLineChars="1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exac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22</w:t>
            </w:r>
          </w:p>
        </w:tc>
        <w:tc>
          <w:tcPr>
            <w:tcW w:w="2523" w:type="dxa"/>
            <w:vAlign w:val="center"/>
          </w:tcPr>
          <w:p>
            <w:pPr>
              <w:pStyle w:val="94"/>
              <w:spacing w:line="500" w:lineRule="exact"/>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签字盖章</w:t>
            </w:r>
          </w:p>
        </w:tc>
        <w:tc>
          <w:tcPr>
            <w:tcW w:w="5960" w:type="dxa"/>
            <w:vAlign w:val="center"/>
          </w:tcPr>
          <w:p>
            <w:pPr>
              <w:pStyle w:val="94"/>
              <w:tabs>
                <w:tab w:val="left" w:pos="5749"/>
              </w:tabs>
              <w:spacing w:line="500" w:lineRule="exact"/>
              <w:ind w:left="195" w:leftChars="93" w:right="210" w:rightChars="100" w:firstLine="14" w:firstLineChars="6"/>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投标人必须按照招标文件的规定和要求签字、盖章（法人代表的签字可用具有法定效力的签字章）。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23</w:t>
            </w:r>
          </w:p>
        </w:tc>
        <w:tc>
          <w:tcPr>
            <w:tcW w:w="2523" w:type="dxa"/>
            <w:vAlign w:val="center"/>
          </w:tcPr>
          <w:p>
            <w:pPr>
              <w:pStyle w:val="94"/>
              <w:spacing w:line="500" w:lineRule="exact"/>
              <w:ind w:left="351" w:leftChars="167" w:firstLine="241" w:firstLineChars="100"/>
              <w:contextualSpacing/>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投标文件份数</w:t>
            </w:r>
          </w:p>
        </w:tc>
        <w:tc>
          <w:tcPr>
            <w:tcW w:w="5960" w:type="dxa"/>
            <w:vAlign w:val="center"/>
          </w:tcPr>
          <w:p>
            <w:pPr>
              <w:pStyle w:val="94"/>
              <w:tabs>
                <w:tab w:val="left" w:pos="5749"/>
              </w:tabs>
              <w:spacing w:line="500" w:lineRule="exact"/>
              <w:ind w:left="195" w:leftChars="93" w:right="210" w:rightChars="100" w:firstLine="14" w:firstLineChars="6"/>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电子版</w:t>
            </w:r>
            <w:r>
              <w:rPr>
                <w:rFonts w:hint="eastAsia" w:ascii="宋体" w:hAnsi="宋体" w:eastAsia="宋体" w:cs="宋体"/>
                <w:color w:val="333333"/>
                <w:kern w:val="0"/>
                <w:sz w:val="24"/>
                <w:szCs w:val="24"/>
                <w:shd w:val="clear" w:color="auto" w:fill="FFFFFF"/>
                <w:lang w:val="en-US" w:eastAsia="zh-CN" w:bidi="ar-SA"/>
              </w:rPr>
              <w:t>投标</w:t>
            </w:r>
            <w:r>
              <w:rPr>
                <w:rFonts w:hint="eastAsia" w:ascii="宋体" w:hAnsi="宋体" w:eastAsia="宋体" w:cs="宋体"/>
                <w:color w:val="333333"/>
                <w:kern w:val="0"/>
                <w:sz w:val="24"/>
                <w:szCs w:val="24"/>
                <w:shd w:val="clear" w:color="auto" w:fill="FFFFFF"/>
                <w:lang w:val="zh-CN" w:eastAsia="zh-CN" w:bidi="ar-SA"/>
              </w:rPr>
              <w:t>文件：</w:t>
            </w:r>
            <w:r>
              <w:rPr>
                <w:rFonts w:hint="eastAsia" w:ascii="宋体" w:hAnsi="宋体" w:eastAsia="宋体" w:cs="宋体"/>
                <w:color w:val="333333"/>
                <w:kern w:val="0"/>
                <w:sz w:val="24"/>
                <w:szCs w:val="24"/>
                <w:shd w:val="clear" w:color="auto" w:fill="FFFFFF"/>
                <w:lang w:val="en-US" w:eastAsia="zh-CN" w:bidi="ar-SA"/>
              </w:rPr>
              <w:t>四</w:t>
            </w:r>
            <w:r>
              <w:rPr>
                <w:rFonts w:hint="eastAsia" w:ascii="宋体" w:hAnsi="宋体" w:eastAsia="宋体" w:cs="宋体"/>
                <w:color w:val="333333"/>
                <w:kern w:val="0"/>
                <w:sz w:val="24"/>
                <w:szCs w:val="24"/>
                <w:shd w:val="clear" w:color="auto" w:fill="FFFFFF"/>
                <w:lang w:val="zh-CN" w:eastAsia="zh-CN" w:bidi="ar-SA"/>
              </w:rPr>
              <w:t xml:space="preserve"> 份(</w:t>
            </w:r>
            <w:r>
              <w:rPr>
                <w:rFonts w:hint="eastAsia" w:ascii="宋体" w:hAnsi="宋体" w:eastAsia="宋体" w:cs="宋体"/>
                <w:color w:val="333333"/>
                <w:kern w:val="0"/>
                <w:sz w:val="24"/>
                <w:szCs w:val="24"/>
                <w:shd w:val="clear" w:color="auto" w:fill="FFFFFF"/>
                <w:lang w:val="zh-CN" w:eastAsia="zh-CN" w:bidi="ar-SA"/>
              </w:rPr>
              <w:sym w:font="Wingdings 2" w:char="0052"/>
            </w:r>
            <w:r>
              <w:rPr>
                <w:rFonts w:hint="eastAsia" w:ascii="宋体" w:hAnsi="宋体" w:eastAsia="宋体" w:cs="宋体"/>
                <w:color w:val="333333"/>
                <w:kern w:val="0"/>
                <w:sz w:val="24"/>
                <w:szCs w:val="24"/>
                <w:shd w:val="clear" w:color="auto" w:fill="FFFFFF"/>
                <w:lang w:val="zh-CN" w:eastAsia="zh-CN" w:bidi="ar-SA"/>
              </w:rPr>
              <w:t>扫描件，以U盘形式提交)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exac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24</w:t>
            </w:r>
          </w:p>
        </w:tc>
        <w:tc>
          <w:tcPr>
            <w:tcW w:w="2523" w:type="dxa"/>
            <w:vAlign w:val="center"/>
          </w:tcPr>
          <w:p>
            <w:pPr>
              <w:pStyle w:val="94"/>
              <w:spacing w:line="500" w:lineRule="exact"/>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投标文件的装订</w:t>
            </w:r>
          </w:p>
        </w:tc>
        <w:tc>
          <w:tcPr>
            <w:tcW w:w="5960" w:type="dxa"/>
            <w:vAlign w:val="center"/>
          </w:tcPr>
          <w:p>
            <w:pPr>
              <w:pStyle w:val="94"/>
              <w:tabs>
                <w:tab w:val="left" w:pos="5749"/>
              </w:tabs>
              <w:spacing w:line="500" w:lineRule="exact"/>
              <w:ind w:left="210" w:leftChars="100"/>
              <w:contextualSpacing/>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25</w:t>
            </w:r>
          </w:p>
        </w:tc>
        <w:tc>
          <w:tcPr>
            <w:tcW w:w="2523" w:type="dxa"/>
            <w:vAlign w:val="center"/>
          </w:tcPr>
          <w:p>
            <w:pPr>
              <w:pStyle w:val="94"/>
              <w:spacing w:line="500" w:lineRule="exact"/>
              <w:contextualSpacing/>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投标文件封面的标注</w:t>
            </w:r>
          </w:p>
        </w:tc>
        <w:tc>
          <w:tcPr>
            <w:tcW w:w="5960" w:type="dxa"/>
            <w:vAlign w:val="center"/>
          </w:tcPr>
          <w:p>
            <w:pPr>
              <w:pStyle w:val="94"/>
              <w:tabs>
                <w:tab w:val="left" w:pos="5749"/>
              </w:tabs>
              <w:spacing w:line="500" w:lineRule="exact"/>
              <w:ind w:left="195" w:leftChars="93" w:right="210" w:rightChars="100" w:firstLine="14" w:firstLineChars="6"/>
              <w:contextualSpacing/>
              <w:jc w:val="both"/>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zh-CN" w:eastAsia="zh-CN" w:bidi="ar-SA"/>
              </w:rPr>
              <w:t>投标文件封面上均应标明：招标项目名称、项目编号、分包号（如有分包）、投标人名称、年月日；并分别在右上角标明“正本”和“副本”字样,并加盖单位公章。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26</w:t>
            </w:r>
          </w:p>
        </w:tc>
        <w:tc>
          <w:tcPr>
            <w:tcW w:w="2523" w:type="dxa"/>
            <w:vAlign w:val="center"/>
          </w:tcPr>
          <w:p>
            <w:pPr>
              <w:pStyle w:val="94"/>
              <w:spacing w:line="500" w:lineRule="exact"/>
              <w:contextualSpacing/>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投标文件</w:t>
            </w:r>
            <w:r>
              <w:rPr>
                <w:rFonts w:hint="eastAsia"/>
                <w:b/>
                <w:color w:val="000000" w:themeColor="text1"/>
                <w:lang w:val="en-US" w:eastAsia="zh-CN"/>
                <w14:textFill>
                  <w14:solidFill>
                    <w14:schemeClr w14:val="tx1"/>
                  </w14:solidFill>
                </w14:textFill>
              </w:rPr>
              <w:t>的</w:t>
            </w:r>
            <w:r>
              <w:rPr>
                <w:rFonts w:hint="eastAsia"/>
                <w:b/>
                <w:color w:val="000000" w:themeColor="text1"/>
                <w:lang w:val="zh-CN"/>
                <w14:textFill>
                  <w14:solidFill>
                    <w14:schemeClr w14:val="tx1"/>
                  </w14:solidFill>
                </w14:textFill>
              </w:rPr>
              <w:t>标注</w:t>
            </w:r>
          </w:p>
        </w:tc>
        <w:tc>
          <w:tcPr>
            <w:tcW w:w="5960" w:type="dxa"/>
            <w:vAlign w:val="center"/>
          </w:tcPr>
          <w:p>
            <w:pPr>
              <w:pStyle w:val="94"/>
              <w:tabs>
                <w:tab w:val="left" w:pos="5749"/>
              </w:tabs>
              <w:spacing w:line="500" w:lineRule="exact"/>
              <w:ind w:left="214" w:leftChars="92" w:hanging="21" w:hangingChars="9"/>
              <w:contextualSpacing/>
              <w:jc w:val="both"/>
              <w:rPr>
                <w:rFonts w:hint="eastAsia" w:ascii="宋体" w:hAnsi="宋体" w:eastAsia="宋体" w:cs="宋体"/>
                <w:color w:val="333333"/>
                <w:kern w:val="0"/>
                <w:sz w:val="24"/>
                <w:szCs w:val="24"/>
                <w:shd w:val="clear" w:color="auto" w:fill="FFFFFF"/>
                <w:lang w:val="zh-CN" w:eastAsia="zh-CN" w:bidi="ar-SA"/>
              </w:rPr>
            </w:pPr>
            <w:r>
              <w:rPr>
                <w:rFonts w:hint="eastAsia" w:ascii="宋体" w:hAnsi="宋体" w:eastAsia="宋体" w:cs="宋体"/>
                <w:color w:val="333333"/>
                <w:kern w:val="0"/>
                <w:sz w:val="24"/>
                <w:szCs w:val="24"/>
                <w:shd w:val="clear" w:color="auto" w:fill="FFFFFF"/>
                <w:lang w:val="en-US" w:eastAsia="zh-CN" w:bidi="ar-SA"/>
              </w:rPr>
              <w:t>本项目采用以上传电子标书为准，开标现场进行解密</w:t>
            </w:r>
            <w:r>
              <w:rPr>
                <w:rFonts w:hint="eastAsia" w:ascii="宋体" w:hAnsi="宋体" w:eastAsia="宋体" w:cs="宋体"/>
                <w:color w:val="333333"/>
                <w:kern w:val="0"/>
                <w:sz w:val="24"/>
                <w:szCs w:val="24"/>
                <w:shd w:val="clear" w:color="auto" w:fill="FFFFFF"/>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27</w:t>
            </w:r>
          </w:p>
        </w:tc>
        <w:tc>
          <w:tcPr>
            <w:tcW w:w="2523" w:type="dxa"/>
            <w:vAlign w:val="center"/>
          </w:tcPr>
          <w:p>
            <w:pPr>
              <w:pStyle w:val="94"/>
              <w:spacing w:line="500" w:lineRule="exact"/>
              <w:ind w:left="350"/>
              <w:contextualSpacing/>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递交投标文件地点</w:t>
            </w:r>
          </w:p>
        </w:tc>
        <w:tc>
          <w:tcPr>
            <w:tcW w:w="5960" w:type="dxa"/>
            <w:vAlign w:val="center"/>
          </w:tcPr>
          <w:p>
            <w:pPr>
              <w:tabs>
                <w:tab w:val="left" w:pos="5749"/>
              </w:tabs>
              <w:autoSpaceDE w:val="0"/>
              <w:autoSpaceDN w:val="0"/>
              <w:adjustRightInd w:val="0"/>
              <w:spacing w:line="500" w:lineRule="exact"/>
              <w:ind w:left="214" w:leftChars="92" w:right="67" w:rightChars="32" w:hanging="21" w:hangingChars="9"/>
              <w:contextualSpacing/>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333333"/>
                <w:sz w:val="24"/>
                <w:szCs w:val="24"/>
                <w:shd w:val="clear" w:color="auto" w:fill="FFFFFF"/>
                <w:lang w:eastAsia="zh-CN"/>
              </w:rPr>
              <w:t>新疆政府采购网政采云平台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exact"/>
          <w:jc w:val="center"/>
        </w:trPr>
        <w:tc>
          <w:tcPr>
            <w:tcW w:w="1012" w:type="dxa"/>
            <w:vAlign w:val="center"/>
          </w:tcPr>
          <w:p>
            <w:pPr>
              <w:pStyle w:val="94"/>
              <w:spacing w:line="500" w:lineRule="exact"/>
              <w:ind w:right="264"/>
              <w:contextualSpacing/>
              <w:jc w:val="center"/>
              <w:rPr>
                <w:rFonts w:hint="default" w:eastAsia="宋体"/>
                <w:b/>
                <w:lang w:val="en-US" w:eastAsia="zh-CN"/>
              </w:rPr>
            </w:pPr>
            <w:r>
              <w:rPr>
                <w:rFonts w:hint="eastAsia"/>
                <w:b/>
                <w:lang w:val="en-US" w:eastAsia="zh-CN"/>
              </w:rPr>
              <w:t>28</w:t>
            </w:r>
          </w:p>
        </w:tc>
        <w:tc>
          <w:tcPr>
            <w:tcW w:w="2523" w:type="dxa"/>
            <w:vAlign w:val="center"/>
          </w:tcPr>
          <w:p>
            <w:pPr>
              <w:pStyle w:val="105"/>
              <w:spacing w:line="500" w:lineRule="exact"/>
              <w:contextualSpacing/>
              <w:jc w:val="center"/>
              <w:rPr>
                <w:rFonts w:hAnsi="宋体" w:cs="宋体"/>
                <w:b/>
                <w:sz w:val="24"/>
                <w:szCs w:val="24"/>
              </w:rPr>
            </w:pPr>
            <w:r>
              <w:rPr>
                <w:rFonts w:hint="eastAsia" w:hAnsi="宋体" w:cs="宋体"/>
                <w:b/>
                <w:sz w:val="24"/>
                <w:szCs w:val="24"/>
              </w:rPr>
              <w:t>评标委员会的组建</w:t>
            </w:r>
          </w:p>
        </w:tc>
        <w:tc>
          <w:tcPr>
            <w:tcW w:w="5960" w:type="dxa"/>
            <w:vAlign w:val="center"/>
          </w:tcPr>
          <w:p>
            <w:pPr>
              <w:pStyle w:val="105"/>
              <w:tabs>
                <w:tab w:val="left" w:pos="5749"/>
              </w:tabs>
              <w:spacing w:line="500" w:lineRule="exact"/>
              <w:ind w:right="210" w:rightChars="100"/>
              <w:contextualSpacing/>
              <w:rPr>
                <w:rFonts w:hAnsi="宋体" w:cs="宋体"/>
                <w:sz w:val="24"/>
                <w:szCs w:val="24"/>
              </w:rPr>
            </w:pPr>
            <w:r>
              <w:rPr>
                <w:rFonts w:hint="eastAsia" w:hAnsi="宋体" w:cs="宋体"/>
                <w:b/>
                <w:sz w:val="24"/>
                <w:szCs w:val="24"/>
              </w:rPr>
              <w:t>评标委员会构成：</w:t>
            </w:r>
            <w:r>
              <w:rPr>
                <w:rFonts w:hint="eastAsia" w:hAnsi="宋体" w:cs="宋体"/>
                <w:sz w:val="24"/>
                <w:szCs w:val="24"/>
              </w:rPr>
              <w:t>5人，其中专家</w:t>
            </w:r>
            <w:r>
              <w:rPr>
                <w:rFonts w:hint="eastAsia" w:hAnsi="宋体" w:cs="宋体"/>
                <w:sz w:val="24"/>
                <w:szCs w:val="24"/>
                <w:lang w:val="en-US" w:eastAsia="zh-CN"/>
              </w:rPr>
              <w:t xml:space="preserve"> 5</w:t>
            </w:r>
            <w:r>
              <w:rPr>
                <w:rFonts w:hint="eastAsia" w:hAnsi="宋体" w:cs="宋体"/>
                <w:sz w:val="24"/>
                <w:szCs w:val="24"/>
              </w:rPr>
              <w:t>人，业主代表</w:t>
            </w:r>
            <w:r>
              <w:rPr>
                <w:rFonts w:hint="eastAsia" w:hAnsi="宋体" w:cs="宋体"/>
                <w:sz w:val="24"/>
                <w:szCs w:val="24"/>
                <w:lang w:val="en-US" w:eastAsia="zh-CN"/>
              </w:rPr>
              <w:t xml:space="preserve"> 0</w:t>
            </w:r>
            <w:r>
              <w:rPr>
                <w:rFonts w:hint="eastAsia" w:hAnsi="宋体" w:cs="宋体"/>
                <w:sz w:val="24"/>
                <w:szCs w:val="24"/>
              </w:rPr>
              <w:t>人；</w:t>
            </w:r>
          </w:p>
          <w:p>
            <w:pPr>
              <w:pStyle w:val="105"/>
              <w:tabs>
                <w:tab w:val="left" w:pos="5749"/>
              </w:tabs>
              <w:spacing w:line="500" w:lineRule="exact"/>
              <w:ind w:right="210" w:rightChars="100"/>
              <w:contextualSpacing/>
              <w:rPr>
                <w:rFonts w:hAnsi="宋体" w:cs="宋体"/>
                <w:sz w:val="24"/>
                <w:szCs w:val="24"/>
              </w:rPr>
            </w:pPr>
            <w:r>
              <w:rPr>
                <w:rFonts w:hint="eastAsia" w:hAnsi="宋体" w:cs="宋体"/>
                <w:b/>
                <w:sz w:val="24"/>
                <w:szCs w:val="24"/>
              </w:rPr>
              <w:t>评标专家确定方式：</w:t>
            </w:r>
            <w:r>
              <w:rPr>
                <w:rFonts w:hint="eastAsia" w:hAnsi="宋体" w:cs="宋体"/>
                <w:sz w:val="24"/>
                <w:szCs w:val="24"/>
              </w:rPr>
              <w:t>新疆政府采购政采云随机抽取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1012" w:type="dxa"/>
            <w:vAlign w:val="center"/>
          </w:tcPr>
          <w:p>
            <w:pPr>
              <w:pStyle w:val="94"/>
              <w:spacing w:line="500" w:lineRule="exact"/>
              <w:ind w:firstLine="354" w:firstLineChars="147"/>
              <w:contextualSpacing/>
              <w:rPr>
                <w:rFonts w:hint="default" w:eastAsia="宋体"/>
                <w:b/>
                <w:lang w:val="en-US" w:eastAsia="zh-CN"/>
              </w:rPr>
            </w:pPr>
            <w:r>
              <w:rPr>
                <w:rFonts w:hint="eastAsia"/>
                <w:b/>
                <w:lang w:val="en-US" w:eastAsia="zh-CN"/>
              </w:rPr>
              <w:t>29</w:t>
            </w:r>
          </w:p>
        </w:tc>
        <w:tc>
          <w:tcPr>
            <w:tcW w:w="2523" w:type="dxa"/>
            <w:vAlign w:val="center"/>
          </w:tcPr>
          <w:p>
            <w:pPr>
              <w:pStyle w:val="94"/>
              <w:spacing w:line="500" w:lineRule="exact"/>
              <w:contextualSpacing/>
              <w:jc w:val="center"/>
              <w:rPr>
                <w:b/>
                <w:lang w:val="zh-CN"/>
              </w:rPr>
            </w:pPr>
            <w:r>
              <w:rPr>
                <w:rFonts w:hint="eastAsia"/>
                <w:b/>
                <w:lang w:val="zh-CN"/>
              </w:rPr>
              <w:t>开标时间和地点</w:t>
            </w:r>
          </w:p>
        </w:tc>
        <w:tc>
          <w:tcPr>
            <w:tcW w:w="5960" w:type="dxa"/>
            <w:vAlign w:val="center"/>
          </w:tcPr>
          <w:p>
            <w:pPr>
              <w:pStyle w:val="105"/>
              <w:tabs>
                <w:tab w:val="left" w:pos="5749"/>
              </w:tabs>
              <w:spacing w:line="500" w:lineRule="exact"/>
              <w:ind w:firstLine="240" w:firstLineChars="100"/>
              <w:contextualSpacing/>
              <w:rPr>
                <w:rFonts w:hAnsi="宋体" w:cs="宋体"/>
                <w:sz w:val="24"/>
                <w:szCs w:val="24"/>
              </w:rPr>
            </w:pPr>
            <w:r>
              <w:rPr>
                <w:rFonts w:hint="eastAsia" w:hAnsi="宋体" w:cs="宋体"/>
                <w:sz w:val="24"/>
                <w:szCs w:val="24"/>
              </w:rPr>
              <w:t>开标时间</w:t>
            </w:r>
            <w:r>
              <w:rPr>
                <w:rFonts w:hint="eastAsia" w:hAnsi="宋体" w:cs="宋体"/>
                <w:color w:val="auto"/>
                <w:sz w:val="24"/>
                <w:szCs w:val="24"/>
              </w:rPr>
              <w:t>： 202</w:t>
            </w:r>
            <w:r>
              <w:rPr>
                <w:rFonts w:hint="eastAsia" w:hAnsi="宋体" w:cs="宋体"/>
                <w:color w:val="auto"/>
                <w:sz w:val="24"/>
                <w:szCs w:val="24"/>
                <w:lang w:val="en-US" w:eastAsia="zh-CN"/>
              </w:rPr>
              <w:t>3</w:t>
            </w:r>
            <w:r>
              <w:rPr>
                <w:rFonts w:hint="eastAsia" w:hAnsi="宋体" w:cs="宋体"/>
                <w:color w:val="auto"/>
                <w:sz w:val="24"/>
                <w:szCs w:val="24"/>
              </w:rPr>
              <w:t>年</w:t>
            </w:r>
            <w:r>
              <w:rPr>
                <w:rFonts w:hint="eastAsia" w:cs="宋体"/>
                <w:color w:val="auto"/>
                <w:sz w:val="24"/>
                <w:szCs w:val="24"/>
                <w:lang w:val="en-US" w:eastAsia="zh-CN"/>
              </w:rPr>
              <w:t>06</w:t>
            </w:r>
            <w:r>
              <w:rPr>
                <w:rFonts w:hint="eastAsia" w:hAnsi="宋体" w:cs="宋体"/>
                <w:color w:val="auto"/>
                <w:sz w:val="24"/>
                <w:szCs w:val="24"/>
              </w:rPr>
              <w:t>月</w:t>
            </w:r>
            <w:r>
              <w:rPr>
                <w:rFonts w:hint="eastAsia" w:hAnsi="宋体" w:cs="宋体"/>
                <w:color w:val="auto"/>
                <w:sz w:val="24"/>
                <w:szCs w:val="24"/>
                <w:lang w:val="en-US" w:eastAsia="zh-CN"/>
              </w:rPr>
              <w:t>25</w:t>
            </w:r>
            <w:r>
              <w:rPr>
                <w:rFonts w:hint="eastAsia" w:hAnsi="宋体" w:cs="宋体"/>
                <w:color w:val="auto"/>
                <w:sz w:val="24"/>
                <w:szCs w:val="24"/>
              </w:rPr>
              <w:t>日</w:t>
            </w:r>
            <w:r>
              <w:rPr>
                <w:rFonts w:hint="eastAsia" w:hAnsi="宋体" w:cs="宋体"/>
                <w:color w:val="auto"/>
                <w:sz w:val="24"/>
                <w:szCs w:val="24"/>
                <w:lang w:val="en-US" w:eastAsia="zh-CN"/>
              </w:rPr>
              <w:t>11</w:t>
            </w:r>
            <w:r>
              <w:rPr>
                <w:rFonts w:hint="eastAsia" w:hAnsi="宋体" w:cs="宋体"/>
                <w:color w:val="auto"/>
                <w:sz w:val="24"/>
                <w:szCs w:val="24"/>
              </w:rPr>
              <w:t>︰</w:t>
            </w:r>
            <w:r>
              <w:rPr>
                <w:rFonts w:hint="eastAsia" w:cs="宋体"/>
                <w:color w:val="auto"/>
                <w:sz w:val="24"/>
                <w:szCs w:val="24"/>
                <w:lang w:val="en-US" w:eastAsia="zh-CN"/>
              </w:rPr>
              <w:t>3</w:t>
            </w:r>
            <w:r>
              <w:rPr>
                <w:rFonts w:hint="eastAsia" w:hAnsi="宋体" w:cs="宋体"/>
                <w:color w:val="auto"/>
                <w:sz w:val="24"/>
                <w:szCs w:val="24"/>
              </w:rPr>
              <w:t>0</w:t>
            </w:r>
            <w:r>
              <w:rPr>
                <w:rFonts w:hint="eastAsia" w:hAnsi="宋体" w:cs="宋体"/>
                <w:color w:val="auto"/>
                <w:sz w:val="24"/>
                <w:szCs w:val="24"/>
                <w:lang w:val="zh-CN"/>
              </w:rPr>
              <w:t>时</w:t>
            </w:r>
            <w:r>
              <w:rPr>
                <w:rFonts w:hint="eastAsia" w:hAnsi="宋体" w:cs="宋体"/>
                <w:color w:val="auto"/>
                <w:sz w:val="24"/>
                <w:szCs w:val="24"/>
              </w:rPr>
              <w:t>（北京时间）</w:t>
            </w:r>
          </w:p>
          <w:p>
            <w:pPr>
              <w:pStyle w:val="94"/>
              <w:tabs>
                <w:tab w:val="left" w:pos="5749"/>
              </w:tabs>
              <w:spacing w:line="500" w:lineRule="exact"/>
              <w:ind w:left="195" w:leftChars="93"/>
              <w:contextualSpacing/>
              <w:rPr>
                <w:lang w:val="zh-CN"/>
              </w:rPr>
            </w:pPr>
            <w:r>
              <w:rPr>
                <w:rFonts w:hint="eastAsia"/>
              </w:rPr>
              <w:t>开标地点：</w:t>
            </w:r>
            <w:r>
              <w:rPr>
                <w:rFonts w:hint="eastAsia" w:ascii="宋体" w:hAnsi="宋体" w:cs="宋体"/>
                <w:color w:val="333333"/>
                <w:sz w:val="24"/>
                <w:szCs w:val="24"/>
                <w:shd w:val="clear" w:color="auto" w:fill="FFFFFF"/>
                <w:lang w:eastAsia="zh-CN"/>
              </w:rPr>
              <w:t>新疆政府采购网政采云平台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012" w:type="dxa"/>
            <w:vAlign w:val="center"/>
          </w:tcPr>
          <w:p>
            <w:pPr>
              <w:pStyle w:val="94"/>
              <w:spacing w:line="500" w:lineRule="exact"/>
              <w:ind w:right="264"/>
              <w:contextualSpacing/>
              <w:jc w:val="center"/>
              <w:rPr>
                <w:rFonts w:hint="default" w:eastAsia="宋体"/>
                <w:b/>
                <w:lang w:val="en-US" w:eastAsia="zh-CN"/>
              </w:rPr>
            </w:pPr>
            <w:r>
              <w:rPr>
                <w:rFonts w:hint="eastAsia"/>
                <w:b/>
                <w:lang w:val="en-US" w:eastAsia="zh-CN"/>
              </w:rPr>
              <w:t>30</w:t>
            </w:r>
          </w:p>
        </w:tc>
        <w:tc>
          <w:tcPr>
            <w:tcW w:w="2523" w:type="dxa"/>
            <w:vAlign w:val="center"/>
          </w:tcPr>
          <w:p>
            <w:pPr>
              <w:pStyle w:val="94"/>
              <w:spacing w:line="500" w:lineRule="exact"/>
              <w:ind w:left="388" w:leftChars="185" w:firstLine="361" w:firstLineChars="150"/>
              <w:contextualSpacing/>
              <w:rPr>
                <w:b/>
                <w:lang w:val="zh-CN"/>
              </w:rPr>
            </w:pPr>
            <w:r>
              <w:rPr>
                <w:rFonts w:hint="eastAsia"/>
                <w:b/>
                <w:lang w:val="zh-CN"/>
              </w:rPr>
              <w:t>履约保证金</w:t>
            </w:r>
          </w:p>
        </w:tc>
        <w:tc>
          <w:tcPr>
            <w:tcW w:w="5960" w:type="dxa"/>
            <w:vAlign w:val="center"/>
          </w:tcPr>
          <w:p>
            <w:pPr>
              <w:pStyle w:val="105"/>
              <w:tabs>
                <w:tab w:val="left" w:pos="5749"/>
              </w:tabs>
              <w:spacing w:line="500" w:lineRule="exact"/>
              <w:ind w:firstLine="240" w:firstLineChars="100"/>
              <w:contextualSpacing/>
              <w:rPr>
                <w:rFonts w:hint="eastAsia" w:hAnsi="宋体" w:eastAsia="宋体" w:cs="宋体"/>
                <w:sz w:val="24"/>
                <w:szCs w:val="24"/>
                <w:lang w:eastAsia="zh-CN"/>
              </w:rPr>
            </w:pPr>
            <w:r>
              <w:rPr>
                <w:rFonts w:hint="eastAsia" w:hAnsi="宋体" w:cs="宋体"/>
                <w:sz w:val="24"/>
                <w:szCs w:val="24"/>
              </w:rPr>
              <w:t>履约担保的形式：</w:t>
            </w:r>
            <w:r>
              <w:rPr>
                <w:rFonts w:hint="eastAsia"/>
              </w:rPr>
              <w:t>/</w:t>
            </w:r>
          </w:p>
          <w:p>
            <w:pPr>
              <w:pStyle w:val="94"/>
              <w:tabs>
                <w:tab w:val="left" w:pos="5749"/>
              </w:tabs>
              <w:spacing w:line="500" w:lineRule="exact"/>
              <w:ind w:left="105" w:leftChars="50" w:right="105" w:rightChars="50" w:firstLine="120" w:firstLineChars="50"/>
              <w:contextualSpacing/>
              <w:rPr>
                <w:rFonts w:hint="eastAsia" w:eastAsia="宋体"/>
                <w:kern w:val="2"/>
                <w:lang w:val="en-US" w:eastAsia="zh-CN"/>
              </w:rPr>
            </w:pPr>
            <w:r>
              <w:rPr>
                <w:rFonts w:hint="eastAsia"/>
              </w:rPr>
              <w:t>履约担保的金额：/</w:t>
            </w:r>
            <w:r>
              <w:rPr>
                <w:rFonts w:hint="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31</w:t>
            </w:r>
          </w:p>
        </w:tc>
        <w:tc>
          <w:tcPr>
            <w:tcW w:w="2523" w:type="dxa"/>
            <w:vAlign w:val="center"/>
          </w:tcPr>
          <w:p>
            <w:pPr>
              <w:spacing w:line="500" w:lineRule="exact"/>
              <w:contextualSpacing/>
              <w:jc w:val="center"/>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承包形式</w:t>
            </w:r>
          </w:p>
        </w:tc>
        <w:tc>
          <w:tcPr>
            <w:tcW w:w="5960" w:type="dxa"/>
            <w:vAlign w:val="center"/>
          </w:tcPr>
          <w:p>
            <w:pPr>
              <w:spacing w:line="500" w:lineRule="exact"/>
              <w:ind w:left="216" w:leftChars="103"/>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按合同约定方式执行</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32</w:t>
            </w:r>
          </w:p>
        </w:tc>
        <w:tc>
          <w:tcPr>
            <w:tcW w:w="2523" w:type="dxa"/>
            <w:vAlign w:val="center"/>
          </w:tcPr>
          <w:p>
            <w:pPr>
              <w:spacing w:line="500" w:lineRule="exact"/>
              <w:contextualSpacing/>
              <w:jc w:val="center"/>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关于运距补充说明</w:t>
            </w:r>
          </w:p>
        </w:tc>
        <w:tc>
          <w:tcPr>
            <w:tcW w:w="5960" w:type="dxa"/>
            <w:vAlign w:val="center"/>
          </w:tcPr>
          <w:p>
            <w:pPr>
              <w:spacing w:line="500" w:lineRule="exact"/>
              <w:ind w:left="216" w:leftChars="103"/>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业主指定地点或合同中指定地点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bookmarkStart w:id="70" w:name="OLE_LINK8" w:colFirst="0" w:colLast="2"/>
            <w:r>
              <w:rPr>
                <w:rFonts w:hint="eastAsia"/>
                <w:b/>
                <w:color w:val="000000" w:themeColor="text1"/>
                <w:lang w:val="en-US" w:eastAsia="zh-CN"/>
                <w14:textFill>
                  <w14:solidFill>
                    <w14:schemeClr w14:val="tx1"/>
                  </w14:solidFill>
                </w14:textFill>
              </w:rPr>
              <w:t>33</w:t>
            </w:r>
          </w:p>
        </w:tc>
        <w:tc>
          <w:tcPr>
            <w:tcW w:w="2523" w:type="dxa"/>
            <w:vAlign w:val="center"/>
          </w:tcPr>
          <w:p>
            <w:pPr>
              <w:spacing w:line="500" w:lineRule="exact"/>
              <w:contextualSpacing/>
              <w:jc w:val="center"/>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质量保证金</w:t>
            </w:r>
          </w:p>
        </w:tc>
        <w:tc>
          <w:tcPr>
            <w:tcW w:w="5960" w:type="dxa"/>
            <w:vAlign w:val="center"/>
          </w:tcPr>
          <w:p>
            <w:pPr>
              <w:spacing w:line="500" w:lineRule="exact"/>
              <w:ind w:left="216" w:leftChars="103"/>
              <w:contextualSpacing/>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以合同约定为主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012" w:type="dxa"/>
            <w:vMerge w:val="restart"/>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34</w:t>
            </w:r>
          </w:p>
        </w:tc>
        <w:tc>
          <w:tcPr>
            <w:tcW w:w="2523" w:type="dxa"/>
            <w:vMerge w:val="restart"/>
            <w:vAlign w:val="center"/>
          </w:tcPr>
          <w:p>
            <w:pPr>
              <w:spacing w:line="500" w:lineRule="exact"/>
              <w:contextualSpacing/>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分值的构成</w:t>
            </w:r>
          </w:p>
        </w:tc>
        <w:tc>
          <w:tcPr>
            <w:tcW w:w="5960" w:type="dxa"/>
            <w:vAlign w:val="center"/>
          </w:tcPr>
          <w:p>
            <w:pPr>
              <w:pStyle w:val="137"/>
              <w:spacing w:line="500" w:lineRule="exact"/>
              <w:ind w:left="216" w:leftChars="103" w:right="210" w:rightChars="100" w:firstLine="0" w:firstLineChars="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一、综合部分（K1权重70%）；二、报价部分（K2权重30%）详见招标文件综合评分明细表。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atLeast"/>
          <w:jc w:val="center"/>
        </w:trPr>
        <w:tc>
          <w:tcPr>
            <w:tcW w:w="1012" w:type="dxa"/>
            <w:vMerge w:val="continue"/>
            <w:vAlign w:val="center"/>
          </w:tcPr>
          <w:p>
            <w:pPr>
              <w:pStyle w:val="94"/>
              <w:spacing w:line="500" w:lineRule="exact"/>
              <w:ind w:right="264"/>
              <w:contextualSpacing/>
              <w:jc w:val="center"/>
              <w:rPr>
                <w:rFonts w:hint="eastAsia"/>
                <w:b/>
                <w:color w:val="000000" w:themeColor="text1"/>
                <w14:textFill>
                  <w14:solidFill>
                    <w14:schemeClr w14:val="tx1"/>
                  </w14:solidFill>
                </w14:textFill>
              </w:rPr>
            </w:pPr>
          </w:p>
        </w:tc>
        <w:tc>
          <w:tcPr>
            <w:tcW w:w="2523" w:type="dxa"/>
            <w:vMerge w:val="continue"/>
            <w:vAlign w:val="center"/>
          </w:tcPr>
          <w:p>
            <w:pPr>
              <w:spacing w:line="500" w:lineRule="exact"/>
              <w:contextualSpacing/>
              <w:jc w:val="center"/>
              <w:rPr>
                <w:rFonts w:hint="eastAsia" w:ascii="宋体" w:hAnsi="宋体" w:cs="宋体"/>
                <w:b/>
                <w:color w:val="000000" w:themeColor="text1"/>
                <w:sz w:val="24"/>
                <w:szCs w:val="24"/>
                <w14:textFill>
                  <w14:solidFill>
                    <w14:schemeClr w14:val="tx1"/>
                  </w14:solidFill>
                </w14:textFill>
              </w:rPr>
            </w:pPr>
          </w:p>
        </w:tc>
        <w:tc>
          <w:tcPr>
            <w:tcW w:w="5960" w:type="dxa"/>
            <w:vAlign w:val="center"/>
          </w:tcPr>
          <w:p>
            <w:pPr>
              <w:pStyle w:val="137"/>
              <w:spacing w:line="500" w:lineRule="exact"/>
              <w:ind w:left="216" w:leftChars="103" w:right="210" w:rightChars="100" w:firstLine="0" w:firstLineChars="0"/>
              <w:contextualSpacing/>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本项目落实中小微企业政策：</w:t>
            </w:r>
            <w:r>
              <w:rPr>
                <w:rFonts w:hint="eastAsia" w:ascii="宋体" w:hAnsi="宋体" w:cs="宋体"/>
                <w:b/>
                <w:color w:val="000000" w:themeColor="text1"/>
                <w:sz w:val="24"/>
                <w:szCs w:val="24"/>
                <w14:textFill>
                  <w14:solidFill>
                    <w14:schemeClr w14:val="tx1"/>
                  </w14:solidFill>
                </w14:textFill>
              </w:rPr>
              <w:t>1、给予</w:t>
            </w:r>
            <w:r>
              <w:rPr>
                <w:rFonts w:hint="eastAsia" w:ascii="宋体" w:hAnsi="宋体" w:cs="宋体"/>
                <w:b/>
                <w:color w:val="000000" w:themeColor="text1"/>
                <w:sz w:val="24"/>
                <w:szCs w:val="24"/>
                <w:lang w:val="en-US" w:eastAsia="zh-CN"/>
                <w14:textFill>
                  <w14:solidFill>
                    <w14:schemeClr w14:val="tx1"/>
                  </w14:solidFill>
                </w14:textFill>
              </w:rPr>
              <w:t>中</w:t>
            </w:r>
            <w:r>
              <w:rPr>
                <w:rFonts w:hint="eastAsia" w:ascii="宋体" w:hAnsi="宋体" w:cs="宋体"/>
                <w:b/>
                <w:color w:val="000000" w:themeColor="text1"/>
                <w:sz w:val="24"/>
                <w:szCs w:val="24"/>
                <w14:textFill>
                  <w14:solidFill>
                    <w14:schemeClr w14:val="tx1"/>
                  </w14:solidFill>
                </w14:textFill>
              </w:rPr>
              <w:t>小型和微型企业的价格给予6%-10%的扣除，用扣除后的价格参与评审，本项目具体扣除比例为6%。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35</w:t>
            </w:r>
          </w:p>
        </w:tc>
        <w:tc>
          <w:tcPr>
            <w:tcW w:w="2523" w:type="dxa"/>
            <w:vAlign w:val="center"/>
          </w:tcPr>
          <w:p>
            <w:pPr>
              <w:spacing w:line="500" w:lineRule="exact"/>
              <w:contextualSpacing/>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服务费</w:t>
            </w:r>
          </w:p>
        </w:tc>
        <w:tc>
          <w:tcPr>
            <w:tcW w:w="5960" w:type="dxa"/>
            <w:vAlign w:val="center"/>
          </w:tcPr>
          <w:p>
            <w:pPr>
              <w:pStyle w:val="137"/>
              <w:numPr>
                <w:ilvl w:val="0"/>
                <w:numId w:val="3"/>
              </w:numPr>
              <w:spacing w:line="500" w:lineRule="exact"/>
              <w:ind w:left="216" w:leftChars="103" w:right="210" w:rightChars="100" w:firstLine="0" w:firstLineChars="0"/>
              <w:contextualSpacing/>
              <w:rPr>
                <w:rFonts w:hint="eastAsia" w:ascii="宋体" w:hAnsi="宋体"/>
                <w:sz w:val="24"/>
                <w:szCs w:val="24"/>
              </w:rPr>
            </w:pPr>
            <w:r>
              <w:rPr>
                <w:rFonts w:hint="eastAsia" w:ascii="宋体" w:hAnsi="宋体"/>
                <w:sz w:val="24"/>
                <w:szCs w:val="24"/>
              </w:rPr>
              <w:t>招标代理服务费依照（计价格【2002】1980号文）的规定的取费标准计取；</w:t>
            </w:r>
          </w:p>
          <w:p>
            <w:pPr>
              <w:pStyle w:val="137"/>
              <w:numPr>
                <w:ilvl w:val="0"/>
                <w:numId w:val="3"/>
              </w:numPr>
              <w:spacing w:line="500" w:lineRule="exact"/>
              <w:ind w:left="216" w:leftChars="103" w:right="210" w:rightChars="100" w:firstLine="0" w:firstLineChars="0"/>
              <w:contextualSpacing/>
              <w:rPr>
                <w:rFonts w:hint="eastAsia" w:ascii="宋体" w:hAnsi="宋体"/>
                <w:sz w:val="24"/>
                <w:szCs w:val="24"/>
              </w:rPr>
            </w:pPr>
            <w:r>
              <w:rPr>
                <w:rFonts w:hint="eastAsia" w:hAnsi="宋体" w:cs="宋体"/>
                <w:color w:val="auto"/>
                <w:sz w:val="24"/>
                <w:highlight w:val="none"/>
                <w:lang w:val="zh-CN" w:eastAsia="zh-CN"/>
              </w:rPr>
              <w:t>场地费金额：供应商小于等于6家时，每家供应商应缴纳场地费1000元；供应商大于6家时，均摊6000元场地费。</w:t>
            </w:r>
          </w:p>
          <w:p>
            <w:pPr>
              <w:pStyle w:val="137"/>
              <w:numPr>
                <w:ilvl w:val="0"/>
                <w:numId w:val="3"/>
              </w:numPr>
              <w:spacing w:line="500" w:lineRule="exact"/>
              <w:ind w:left="216" w:leftChars="103" w:right="210" w:rightChars="100" w:firstLine="0" w:firstLineChars="0"/>
              <w:contextualSpacing/>
              <w:rPr>
                <w:rFonts w:hint="eastAsia" w:ascii="宋体" w:hAnsi="宋体"/>
                <w:sz w:val="24"/>
                <w:szCs w:val="24"/>
              </w:rPr>
            </w:pPr>
            <w:r>
              <w:rPr>
                <w:rFonts w:hint="eastAsia" w:hAnsi="宋体" w:cs="宋体"/>
                <w:color w:val="auto"/>
                <w:sz w:val="24"/>
                <w:highlight w:val="none"/>
                <w:lang w:val="en-US" w:eastAsia="zh-CN"/>
              </w:rPr>
              <w:t>公证费：由中标单位支付1000元公证费。</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2" w:type="dxa"/>
            <w:vAlign w:val="center"/>
          </w:tcPr>
          <w:p>
            <w:pPr>
              <w:pStyle w:val="94"/>
              <w:spacing w:line="500" w:lineRule="exact"/>
              <w:ind w:right="264"/>
              <w:contextualSpacing/>
              <w:jc w:val="center"/>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36</w:t>
            </w:r>
          </w:p>
        </w:tc>
        <w:tc>
          <w:tcPr>
            <w:tcW w:w="2523" w:type="dxa"/>
            <w:vAlign w:val="center"/>
          </w:tcPr>
          <w:p>
            <w:pPr>
              <w:spacing w:line="500" w:lineRule="exact"/>
              <w:contextualSpacing/>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其它说明</w:t>
            </w:r>
          </w:p>
        </w:tc>
        <w:tc>
          <w:tcPr>
            <w:tcW w:w="5960" w:type="dxa"/>
            <w:vAlign w:val="center"/>
          </w:tcPr>
          <w:p>
            <w:pPr>
              <w:spacing w:line="500" w:lineRule="exact"/>
              <w:ind w:left="220" w:leftChars="104" w:right="210" w:rightChars="100" w:hanging="2"/>
              <w:contextualSpacing/>
              <w:rPr>
                <w:sz w:val="24"/>
                <w:szCs w:val="24"/>
              </w:rPr>
            </w:pPr>
            <w:r>
              <w:rPr>
                <w:rFonts w:hint="eastAsia"/>
                <w:sz w:val="24"/>
                <w:szCs w:val="24"/>
              </w:rPr>
              <w:t xml:space="preserve"> 特别提醒：</w:t>
            </w:r>
          </w:p>
          <w:p>
            <w:pPr>
              <w:numPr>
                <w:ilvl w:val="0"/>
                <w:numId w:val="4"/>
              </w:numPr>
              <w:spacing w:line="500" w:lineRule="exact"/>
              <w:ind w:left="210" w:right="210" w:rightChars="100" w:firstLine="210"/>
              <w:contextualSpacing/>
              <w:rPr>
                <w:sz w:val="24"/>
                <w:szCs w:val="24"/>
              </w:rPr>
            </w:pPr>
            <w:r>
              <w:rPr>
                <w:rFonts w:hint="eastAsia"/>
                <w:sz w:val="24"/>
                <w:szCs w:val="24"/>
              </w:rPr>
              <w:t>所有投标人的报价高于最高限价视为无效报价（即作否决投标处理）。</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本项目招标文件的答疑、澄清将在新疆政府采购网、阿克苏政府网、柯坪县人民政府网上发布，投标人在新疆政府采购网、阿克苏政府网、柯坪县人民政府网上发出澄清或修改通知即视为所有投标人收到该澄清或修改通知。请投标人每天自行登录新疆政府采购网查阅澄清或修改通知。</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本项目实行电子招投标，投标人须登录政采云平台申请获取招标文件，并需要使用CA锁，登录政采云电子投标客户端制作投标文件，若投标人参与投标,自行承担与投标有关的一切费用。</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各投标人应在开标前确保是新疆维吾尔自治区政府采购网正式注册入库的供应商，并完成CA数字证书申领。因未注册入库、未办理CA数字证书等原因造成无法投标或投标失败等后果的由投标人自行承担。</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投标人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投标人在开标时须携带制作加密电子投标文件所使用的CA锁，电脑须提前配置好浏览器（建议使用360浏览器或谷歌浏览器），以便开标时在线解密。</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投标人应当在投标截止时间前，将生成的“电子加密投标文件”上传递交至“政府采购云平台”，投标截止时间以后上传递交的投标文件将被“政府采购云平台”拒收。</w:t>
            </w:r>
          </w:p>
          <w:p>
            <w:pPr>
              <w:numPr>
                <w:ilvl w:val="0"/>
                <w:numId w:val="4"/>
              </w:numPr>
              <w:spacing w:line="500" w:lineRule="exact"/>
              <w:ind w:left="210" w:right="210" w:rightChars="100" w:firstLine="210"/>
              <w:contextualSpacing/>
              <w:rPr>
                <w:rFonts w:hint="eastAsia"/>
                <w:sz w:val="24"/>
                <w:szCs w:val="24"/>
              </w:rPr>
            </w:pPr>
            <w:r>
              <w:rPr>
                <w:rFonts w:hint="eastAsia"/>
                <w:sz w:val="24"/>
                <w:szCs w:val="24"/>
                <w:lang w:val="en-US" w:eastAsia="zh-CN"/>
              </w:rPr>
              <w:t>本项目投标文件解密时间定为30分钟，如因自身原因导致无法正常解密，后果由投标人自行承担。</w:t>
            </w:r>
          </w:p>
          <w:p>
            <w:pPr>
              <w:numPr>
                <w:ilvl w:val="0"/>
                <w:numId w:val="4"/>
              </w:numPr>
              <w:spacing w:line="500" w:lineRule="exact"/>
              <w:ind w:left="210" w:right="210" w:rightChars="100" w:firstLine="210"/>
              <w:contextualSpacing/>
              <w:rPr>
                <w:sz w:val="24"/>
                <w:szCs w:val="24"/>
              </w:rPr>
            </w:pPr>
            <w:r>
              <w:rPr>
                <w:rFonts w:hint="eastAsia"/>
                <w:sz w:val="24"/>
                <w:szCs w:val="24"/>
                <w:lang w:val="en-US" w:eastAsia="zh-CN"/>
              </w:rPr>
              <w:t>投标企业下载招标文件后请仔细阅读，如对招标文件内容有质疑，投标人应在招标文件规定的质疑及澄清时间内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9495" w:type="dxa"/>
            <w:gridSpan w:val="3"/>
            <w:vAlign w:val="center"/>
          </w:tcPr>
          <w:p>
            <w:pPr>
              <w:numPr>
                <w:ilvl w:val="0"/>
                <w:numId w:val="0"/>
              </w:numPr>
              <w:spacing w:line="500" w:lineRule="exact"/>
              <w:ind w:right="210" w:rightChars="100"/>
              <w:contextualSpacing/>
              <w:rPr>
                <w:rFonts w:hint="default"/>
                <w:sz w:val="24"/>
                <w:szCs w:val="24"/>
                <w:lang w:val="en-US" w:eastAsia="zh-CN"/>
              </w:rPr>
            </w:pPr>
            <w:r>
              <w:rPr>
                <w:rFonts w:hint="eastAsia"/>
                <w:b/>
                <w:bCs/>
                <w:sz w:val="24"/>
                <w:szCs w:val="24"/>
                <w:lang w:val="en-US" w:eastAsia="zh-CN"/>
              </w:rPr>
              <w:t>注：招标文件中有不一致入以投标须知为准。</w:t>
            </w:r>
          </w:p>
        </w:tc>
      </w:tr>
    </w:tbl>
    <w:p>
      <w:pPr>
        <w:pStyle w:val="7"/>
        <w:spacing w:line="500" w:lineRule="exact"/>
        <w:contextualSpacing/>
        <w:jc w:val="center"/>
        <w:rPr>
          <w:rFonts w:ascii="宋体" w:hAnsi="宋体" w:cs="宋体"/>
          <w:b w:val="0"/>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End w:id="15"/>
      <w:bookmarkEnd w:id="16"/>
      <w:bookmarkEnd w:id="17"/>
      <w:bookmarkEnd w:id="18"/>
      <w:bookmarkStart w:id="71" w:name="_Toc89075873"/>
      <w:bookmarkStart w:id="72" w:name="_Toc487728200"/>
      <w:bookmarkStart w:id="73" w:name="_Toc8406"/>
      <w:bookmarkStart w:id="74" w:name="_Toc183582204"/>
      <w:bookmarkStart w:id="75" w:name="_Toc77400778"/>
      <w:bookmarkStart w:id="76" w:name="_Toc406749971"/>
      <w:bookmarkStart w:id="77" w:name="_Toc183682341"/>
      <w:bookmarkStart w:id="78" w:name="_Toc7379"/>
      <w:bookmarkStart w:id="79" w:name="_Toc14978"/>
      <w:bookmarkStart w:id="80" w:name="_Toc217446033"/>
      <w:r>
        <w:rPr>
          <w:rStyle w:val="51"/>
          <w:rFonts w:hint="eastAsia" w:ascii="宋体" w:hAnsi="宋体" w:cs="宋体"/>
          <w:b/>
          <w:color w:val="000000" w:themeColor="text1"/>
          <w:sz w:val="24"/>
          <w:szCs w:val="24"/>
          <w14:textFill>
            <w14:solidFill>
              <w14:schemeClr w14:val="tx1"/>
            </w14:solidFill>
          </w14:textFill>
        </w:rPr>
        <w:t>一、总则</w:t>
      </w:r>
      <w:bookmarkEnd w:id="71"/>
      <w:bookmarkEnd w:id="72"/>
      <w:bookmarkEnd w:id="73"/>
      <w:bookmarkEnd w:id="74"/>
      <w:bookmarkEnd w:id="75"/>
      <w:bookmarkEnd w:id="76"/>
      <w:bookmarkEnd w:id="77"/>
      <w:bookmarkEnd w:id="78"/>
      <w:bookmarkEnd w:id="79"/>
      <w:bookmarkEnd w:id="80"/>
    </w:p>
    <w:p>
      <w:pPr>
        <w:spacing w:line="500" w:lineRule="exact"/>
        <w:contextualSpacing/>
        <w:rPr>
          <w:rFonts w:ascii="宋体" w:hAnsi="宋体" w:cs="宋体"/>
          <w:b/>
          <w:color w:val="000000" w:themeColor="text1"/>
          <w:sz w:val="24"/>
          <w:szCs w:val="24"/>
          <w14:textFill>
            <w14:solidFill>
              <w14:schemeClr w14:val="tx1"/>
            </w14:solidFill>
          </w14:textFill>
        </w:rPr>
      </w:pPr>
      <w:bookmarkStart w:id="81" w:name="_Toc183682342"/>
      <w:bookmarkStart w:id="82" w:name="_Toc183582205"/>
      <w:bookmarkStart w:id="83" w:name="_Toc217446034"/>
      <w:r>
        <w:rPr>
          <w:rFonts w:hint="eastAsia" w:ascii="宋体" w:hAnsi="宋体" w:cs="宋体"/>
          <w:b/>
          <w:color w:val="000000" w:themeColor="text1"/>
          <w:sz w:val="24"/>
          <w:szCs w:val="24"/>
          <w14:textFill>
            <w14:solidFill>
              <w14:schemeClr w14:val="tx1"/>
            </w14:solidFill>
          </w14:textFill>
        </w:rPr>
        <w:t>1.</w:t>
      </w:r>
      <w:bookmarkEnd w:id="81"/>
      <w:bookmarkEnd w:id="82"/>
      <w:r>
        <w:rPr>
          <w:rFonts w:hint="eastAsia" w:ascii="宋体" w:hAnsi="宋体" w:cs="宋体"/>
          <w:b/>
          <w:color w:val="000000" w:themeColor="text1"/>
          <w:sz w:val="24"/>
          <w:szCs w:val="24"/>
          <w14:textFill>
            <w14:solidFill>
              <w14:schemeClr w14:val="tx1"/>
            </w14:solidFill>
          </w14:textFill>
        </w:rPr>
        <w:t>适用范围</w:t>
      </w:r>
      <w:bookmarkEnd w:id="83"/>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本招标文件仅适用于本次公开招标所叙述的货物和服务项目采购。</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84" w:name="_Toc183582206"/>
      <w:bookmarkStart w:id="85" w:name="_Toc183682343"/>
      <w:bookmarkStart w:id="86" w:name="_Toc217446035"/>
      <w:r>
        <w:rPr>
          <w:rFonts w:hint="eastAsia" w:ascii="宋体" w:hAnsi="宋体" w:cs="宋体"/>
          <w:b/>
          <w:color w:val="000000" w:themeColor="text1"/>
          <w:sz w:val="24"/>
          <w:szCs w:val="24"/>
          <w14:textFill>
            <w14:solidFill>
              <w14:schemeClr w14:val="tx1"/>
            </w14:solidFill>
          </w14:textFill>
        </w:rPr>
        <w:t xml:space="preserve">2. </w:t>
      </w:r>
      <w:bookmarkEnd w:id="84"/>
      <w:bookmarkEnd w:id="85"/>
      <w:r>
        <w:rPr>
          <w:rFonts w:hint="eastAsia" w:ascii="宋体" w:hAnsi="宋体" w:cs="宋体"/>
          <w:b/>
          <w:color w:val="000000" w:themeColor="text1"/>
          <w:sz w:val="24"/>
          <w:szCs w:val="24"/>
          <w14:textFill>
            <w14:solidFill>
              <w14:schemeClr w14:val="tx1"/>
            </w14:solidFill>
          </w14:textFill>
        </w:rPr>
        <w:t>有关定义</w:t>
      </w:r>
      <w:bookmarkEnd w:id="86"/>
    </w:p>
    <w:p>
      <w:pPr>
        <w:tabs>
          <w:tab w:val="left" w:pos="7665"/>
        </w:tabs>
        <w:spacing w:line="500" w:lineRule="exact"/>
        <w:ind w:firstLine="480" w:firstLineChars="20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“采购人”系指依法进行政府采购的国家机关、事业单位、团体组织。本次招标的采购人是</w:t>
      </w:r>
      <w:r>
        <w:rPr>
          <w:rFonts w:hint="eastAsia" w:ascii="宋体" w:hAnsi="宋体" w:cs="宋体"/>
          <w:color w:val="000000" w:themeColor="text1"/>
          <w:sz w:val="24"/>
          <w:szCs w:val="24"/>
          <w:lang w:val="en-US" w:eastAsia="zh-CN"/>
          <w14:textFill>
            <w14:solidFill>
              <w14:schemeClr w14:val="tx1"/>
            </w14:solidFill>
          </w14:textFill>
        </w:rPr>
        <w:t xml:space="preserve">柯坪县人民医院 </w:t>
      </w:r>
      <w:r>
        <w:rPr>
          <w:rFonts w:hint="eastAsia" w:ascii="宋体" w:hAnsi="宋体" w:cs="宋体"/>
          <w:color w:val="000000" w:themeColor="text1"/>
          <w:sz w:val="24"/>
          <w:szCs w:val="24"/>
          <w14:textFill>
            <w14:solidFill>
              <w14:schemeClr w14:val="tx1"/>
            </w14:solidFill>
          </w14:textFill>
        </w:rPr>
        <w:t>。</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“采购代理机构”系指根据采购人的委托依法办理招标事宜的采购机构。本次招标的采购代理机构是</w:t>
      </w:r>
      <w:r>
        <w:rPr>
          <w:rFonts w:hint="eastAsia" w:ascii="宋体" w:hAnsi="宋体" w:cs="宋体"/>
          <w:color w:val="000000" w:themeColor="text1"/>
          <w:sz w:val="24"/>
          <w:szCs w:val="24"/>
          <w:lang w:eastAsia="zh-CN"/>
          <w14:textFill>
            <w14:solidFill>
              <w14:schemeClr w14:val="tx1"/>
            </w14:solidFill>
          </w14:textFill>
        </w:rPr>
        <w:t>新疆佰隆工程项目管理有限公司</w:t>
      </w:r>
      <w:r>
        <w:rPr>
          <w:rFonts w:hint="eastAsia" w:ascii="宋体" w:hAnsi="宋体" w:cs="宋体"/>
          <w:color w:val="000000" w:themeColor="text1"/>
          <w:sz w:val="24"/>
          <w:szCs w:val="24"/>
          <w14:textFill>
            <w14:solidFill>
              <w14:schemeClr w14:val="tx1"/>
            </w14:solidFill>
          </w14:textFill>
        </w:rPr>
        <w:t>（简称“招标人”）。</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“招标采购单位”系指“采购人”和“采购代理机构”的统称。</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 “投标人”系指购买了招标文件拟参加投标和向采购人提供货物及相应服务的供应商。</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 “中标方”系指经评标委员会评定后得分最高并由评标委员会推荐的投标人。</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 “货物”、“产品”指本招标文件中第三章《采购货物清单及技术参数》所述所有货物及相关服务。</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  “服务”系指招标文件中规定投标人须承担的质保、技术协助、培训及其他类似的责任。</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  “响应”系指投标人根据招标代理机构发布的招标文件，编制投标文件并按规定投标的行为。</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  “标段（包）”系指一个完整独立的投标项目。</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87" w:name="_Toc183682344"/>
      <w:bookmarkStart w:id="88" w:name="_Toc183582207"/>
      <w:bookmarkStart w:id="89" w:name="_Toc217446036"/>
      <w:bookmarkStart w:id="90" w:name="_Toc217390843"/>
      <w:r>
        <w:rPr>
          <w:rFonts w:hint="eastAsia" w:ascii="宋体" w:hAnsi="宋体" w:cs="宋体"/>
          <w:b/>
          <w:color w:val="000000" w:themeColor="text1"/>
          <w:sz w:val="24"/>
          <w:szCs w:val="24"/>
          <w14:textFill>
            <w14:solidFill>
              <w14:schemeClr w14:val="tx1"/>
            </w14:solidFill>
          </w14:textFill>
        </w:rPr>
        <w:t>3. 合格的投标人</w:t>
      </w:r>
      <w:bookmarkEnd w:id="87"/>
      <w:bookmarkEnd w:id="88"/>
      <w:bookmarkEnd w:id="89"/>
      <w:bookmarkEnd w:id="90"/>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合格的投标人应具备以下条件：</w:t>
      </w:r>
    </w:p>
    <w:p>
      <w:pPr>
        <w:tabs>
          <w:tab w:val="left" w:pos="7665"/>
        </w:tabs>
        <w:spacing w:line="500" w:lineRule="exact"/>
        <w:ind w:firstLine="480" w:firstLineChars="200"/>
        <w:contextualSpacing/>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（1）具备“招标公告”第九条的基本条件</w:t>
      </w:r>
      <w:r>
        <w:rPr>
          <w:rFonts w:hint="eastAsia" w:ascii="宋体" w:hAnsi="宋体" w:cs="宋体"/>
          <w:color w:val="000000" w:themeColor="text1"/>
          <w:spacing w:val="-4"/>
          <w:sz w:val="24"/>
          <w:szCs w:val="24"/>
          <w14:textFill>
            <w14:solidFill>
              <w14:schemeClr w14:val="tx1"/>
            </w14:solidFill>
          </w14:textFill>
        </w:rPr>
        <w:t>；</w:t>
      </w:r>
    </w:p>
    <w:p>
      <w:pPr>
        <w:tabs>
          <w:tab w:val="left" w:pos="7665"/>
        </w:tabs>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（2）遵守国家有关的法律、法规和条例；</w:t>
      </w:r>
    </w:p>
    <w:p>
      <w:pPr>
        <w:tabs>
          <w:tab w:val="left" w:pos="7665"/>
        </w:tabs>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）招标文件和法律、行政法规规定的其他条件。</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91" w:name="_Toc217446037"/>
      <w:bookmarkStart w:id="92" w:name="_Toc183682345"/>
      <w:bookmarkStart w:id="93" w:name="_Toc183582208"/>
      <w:r>
        <w:rPr>
          <w:rFonts w:hint="eastAsia" w:ascii="宋体" w:hAnsi="宋体" w:cs="宋体"/>
          <w:b/>
          <w:color w:val="000000" w:themeColor="text1"/>
          <w:sz w:val="24"/>
          <w:szCs w:val="24"/>
          <w14:textFill>
            <w14:solidFill>
              <w14:schemeClr w14:val="tx1"/>
            </w14:solidFill>
          </w14:textFill>
        </w:rPr>
        <w:t>4. 投标费用</w:t>
      </w:r>
      <w:bookmarkEnd w:id="91"/>
      <w:bookmarkEnd w:id="92"/>
      <w:bookmarkEnd w:id="93"/>
    </w:p>
    <w:p>
      <w:pPr>
        <w:tabs>
          <w:tab w:val="left" w:pos="7665"/>
        </w:tabs>
        <w:spacing w:line="500" w:lineRule="exact"/>
        <w:ind w:firstLine="40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投标人参加投标的有关费用由投标人自行承担。</w:t>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94" w:name="_Toc77400779"/>
      <w:bookmarkStart w:id="95" w:name="_Toc406749972"/>
      <w:bookmarkStart w:id="96" w:name="_Toc183682346"/>
      <w:bookmarkStart w:id="97" w:name="_Toc217446038"/>
      <w:bookmarkStart w:id="98" w:name="_Toc89075875"/>
      <w:bookmarkStart w:id="99" w:name="_Toc9564"/>
      <w:bookmarkStart w:id="100" w:name="_Toc487728201"/>
      <w:bookmarkStart w:id="101" w:name="_Toc10535"/>
      <w:bookmarkStart w:id="102" w:name="_Toc183582209"/>
      <w:bookmarkStart w:id="103" w:name="_Toc1701"/>
      <w:r>
        <w:rPr>
          <w:rFonts w:hint="eastAsia" w:ascii="宋体" w:hAnsi="宋体" w:cs="宋体"/>
          <w:color w:val="000000" w:themeColor="text1"/>
          <w:sz w:val="24"/>
          <w:szCs w:val="24"/>
          <w14:textFill>
            <w14:solidFill>
              <w14:schemeClr w14:val="tx1"/>
            </w14:solidFill>
          </w14:textFill>
        </w:rPr>
        <w:t>二、招标文件</w:t>
      </w:r>
      <w:bookmarkEnd w:id="94"/>
      <w:bookmarkEnd w:id="95"/>
      <w:bookmarkEnd w:id="96"/>
      <w:bookmarkEnd w:id="97"/>
      <w:bookmarkEnd w:id="98"/>
      <w:bookmarkEnd w:id="99"/>
      <w:bookmarkEnd w:id="100"/>
      <w:bookmarkEnd w:id="101"/>
      <w:bookmarkEnd w:id="102"/>
      <w:bookmarkEnd w:id="103"/>
    </w:p>
    <w:p>
      <w:pPr>
        <w:spacing w:line="500" w:lineRule="exact"/>
        <w:contextualSpacing/>
        <w:rPr>
          <w:rFonts w:ascii="宋体" w:hAnsi="宋体" w:cs="宋体"/>
          <w:b/>
          <w:color w:val="000000" w:themeColor="text1"/>
          <w:sz w:val="24"/>
          <w:szCs w:val="24"/>
          <w14:textFill>
            <w14:solidFill>
              <w14:schemeClr w14:val="tx1"/>
            </w14:solidFill>
          </w14:textFill>
        </w:rPr>
      </w:pPr>
      <w:bookmarkStart w:id="104" w:name="_Toc183682347"/>
      <w:bookmarkStart w:id="105" w:name="_Toc217446039"/>
      <w:bookmarkStart w:id="106" w:name="_Toc183582210"/>
      <w:r>
        <w:rPr>
          <w:rFonts w:hint="eastAsia" w:ascii="宋体" w:hAnsi="宋体" w:cs="宋体"/>
          <w:b/>
          <w:color w:val="000000" w:themeColor="text1"/>
          <w:sz w:val="24"/>
          <w:szCs w:val="24"/>
          <w14:textFill>
            <w14:solidFill>
              <w14:schemeClr w14:val="tx1"/>
            </w14:solidFill>
          </w14:textFill>
        </w:rPr>
        <w:t>5．招标文件的构成</w:t>
      </w:r>
      <w:bookmarkEnd w:id="104"/>
      <w:bookmarkEnd w:id="105"/>
      <w:bookmarkEnd w:id="106"/>
    </w:p>
    <w:p>
      <w:pPr>
        <w:tabs>
          <w:tab w:val="left" w:pos="7665"/>
        </w:tabs>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5</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招标文件用以阐明招标项目所需的资质、技术、服务及报价等要求、招标投标程序、有关规定和注意事项以及合同主要条款等。本招标文件包括以下内容：</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（1）招标公告；</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（2）投标人须知及前附表；</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（3）采购清单及技术参数；</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（4）合同条款；</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（5）评标办法；</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（6）投标文件格式要求；</w:t>
      </w:r>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07" w:name="_Toc183582211"/>
      <w:bookmarkStart w:id="108" w:name="_Toc183682348"/>
      <w:bookmarkStart w:id="109" w:name="_Toc217446040"/>
      <w:r>
        <w:rPr>
          <w:rFonts w:hint="eastAsia" w:ascii="宋体" w:hAnsi="宋体" w:cs="宋体"/>
          <w:b/>
          <w:color w:val="000000" w:themeColor="text1"/>
          <w:sz w:val="24"/>
          <w:szCs w:val="24"/>
          <w14:textFill>
            <w14:solidFill>
              <w14:schemeClr w14:val="tx1"/>
            </w14:solidFill>
          </w14:textFill>
        </w:rPr>
        <w:t>6. 招标文件的澄清</w:t>
      </w:r>
      <w:bookmarkEnd w:id="107"/>
      <w:bookmarkEnd w:id="108"/>
      <w:r>
        <w:rPr>
          <w:rFonts w:hint="eastAsia" w:ascii="宋体" w:hAnsi="宋体" w:cs="宋体"/>
          <w:b/>
          <w:color w:val="000000" w:themeColor="text1"/>
          <w:sz w:val="24"/>
          <w:szCs w:val="24"/>
          <w14:textFill>
            <w14:solidFill>
              <w14:schemeClr w14:val="tx1"/>
            </w14:solidFill>
          </w14:textFill>
        </w:rPr>
        <w:t>和修改</w:t>
      </w:r>
      <w:bookmarkEnd w:id="109"/>
    </w:p>
    <w:p>
      <w:pPr>
        <w:tabs>
          <w:tab w:val="left" w:pos="720"/>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 在投标截止时间前，招标采购单位无论出于何种原因，可以对招标文件进行澄清或者修改。</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 招标采购单位对已发出的招标文件进行澄清或者修改，将在招标文件要求的提交投标文件截止时间15日前进行，并以书面形式将澄清或者修改的内容通知所有购买了招标文件的供应商。该澄清或者修改的内容为招标文件的组成部分。</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 投标人要求对招标文件进行澄清的，均应在投标截止日7天前按招标文件中的联系方式，以书面形式通知采购代理机构。</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6.4 在投标截止时间前，招标采购单位可以视采购具体情况，延长投标截止时间和开标时间，并在招标文件要求提交投标文件的截止时间</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日前，将变更时间</w:t>
      </w:r>
      <w:r>
        <w:rPr>
          <w:rFonts w:hint="eastAsia" w:ascii="宋体" w:hAnsi="宋体" w:cs="宋体"/>
          <w:color w:val="000000" w:themeColor="text1"/>
          <w:sz w:val="24"/>
          <w:szCs w:val="24"/>
          <w:lang w:val="en-US" w:eastAsia="zh-CN"/>
          <w14:textFill>
            <w14:solidFill>
              <w14:schemeClr w14:val="tx1"/>
            </w14:solidFill>
          </w14:textFill>
        </w:rPr>
        <w:t>在新疆政府采购网发出澄清修改通知</w:t>
      </w:r>
      <w:r>
        <w:rPr>
          <w:rFonts w:hint="eastAsia" w:ascii="宋体" w:hAnsi="宋体" w:cs="宋体"/>
          <w:color w:val="000000" w:themeColor="text1"/>
          <w:sz w:val="24"/>
          <w:szCs w:val="24"/>
          <w14:textFill>
            <w14:solidFill>
              <w14:schemeClr w14:val="tx1"/>
            </w14:solidFill>
          </w14:textFill>
        </w:rPr>
        <w:t>。</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10" w:name="_Toc183682350"/>
      <w:bookmarkStart w:id="111" w:name="_Toc183582213"/>
      <w:bookmarkStart w:id="112" w:name="_Toc217446041"/>
      <w:bookmarkStart w:id="113" w:name="_Toc208848971"/>
      <w:r>
        <w:rPr>
          <w:rFonts w:hint="eastAsia" w:ascii="宋体" w:hAnsi="宋体" w:cs="宋体"/>
          <w:b/>
          <w:color w:val="000000" w:themeColor="text1"/>
          <w:sz w:val="24"/>
          <w:szCs w:val="24"/>
          <w14:textFill>
            <w14:solidFill>
              <w14:schemeClr w14:val="tx1"/>
            </w14:solidFill>
          </w14:textFill>
        </w:rPr>
        <w:t>7</w:t>
      </w:r>
      <w:bookmarkEnd w:id="110"/>
      <w:bookmarkEnd w:id="111"/>
      <w:r>
        <w:rPr>
          <w:rFonts w:hint="eastAsia" w:ascii="宋体" w:hAnsi="宋体" w:cs="宋体"/>
          <w:b/>
          <w:color w:val="000000" w:themeColor="text1"/>
          <w:sz w:val="24"/>
          <w:szCs w:val="24"/>
          <w14:textFill>
            <w14:solidFill>
              <w14:schemeClr w14:val="tx1"/>
            </w14:solidFill>
          </w14:textFill>
        </w:rPr>
        <w:t>. 答疑会和现场考察</w:t>
      </w:r>
      <w:bookmarkEnd w:id="112"/>
      <w:bookmarkEnd w:id="113"/>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根据采购项目和具体情况，招标采购单位认为有必要，可以组织召开标前答疑会或组织投标人对项目现场进行考察。答疑会或进行现场考察的时间，</w:t>
      </w:r>
      <w:r>
        <w:rPr>
          <w:rFonts w:hint="eastAsia" w:ascii="宋体" w:hAnsi="宋体" w:cs="宋体"/>
          <w:color w:val="000000" w:themeColor="text1"/>
          <w:sz w:val="24"/>
          <w:szCs w:val="24"/>
          <w:lang w:val="en-US" w:eastAsia="zh-CN"/>
          <w14:textFill>
            <w14:solidFill>
              <w14:schemeClr w14:val="tx1"/>
            </w14:solidFill>
          </w14:textFill>
        </w:rPr>
        <w:t>自行约定</w:t>
      </w:r>
      <w:r>
        <w:rPr>
          <w:rFonts w:hint="eastAsia" w:ascii="宋体" w:hAnsi="宋体" w:cs="宋体"/>
          <w:color w:val="000000" w:themeColor="text1"/>
          <w:sz w:val="24"/>
          <w:szCs w:val="24"/>
          <w14:textFill>
            <w14:solidFill>
              <w14:schemeClr w14:val="tx1"/>
            </w14:solidFill>
          </w14:textFill>
        </w:rPr>
        <w:t>。</w:t>
      </w:r>
    </w:p>
    <w:p>
      <w:pPr>
        <w:adjustRightInd w:val="0"/>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 供应商考察现场所发生的一切费用由供应商自己承担。</w:t>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114" w:name="_Toc183582214"/>
      <w:bookmarkStart w:id="115" w:name="_Toc13556"/>
      <w:bookmarkStart w:id="116" w:name="_Toc24889"/>
      <w:bookmarkStart w:id="117" w:name="_Toc487728202"/>
      <w:bookmarkStart w:id="118" w:name="_Toc77400780"/>
      <w:bookmarkStart w:id="119" w:name="_Toc183682351"/>
      <w:bookmarkStart w:id="120" w:name="_Toc89075876"/>
      <w:bookmarkStart w:id="121" w:name="_Toc406749973"/>
      <w:bookmarkStart w:id="122" w:name="_Toc217446042"/>
      <w:bookmarkStart w:id="123" w:name="_Toc4275"/>
      <w:r>
        <w:rPr>
          <w:rFonts w:hint="eastAsia" w:ascii="宋体" w:hAnsi="宋体" w:cs="宋体"/>
          <w:color w:val="000000" w:themeColor="text1"/>
          <w:sz w:val="24"/>
          <w:szCs w:val="24"/>
          <w14:textFill>
            <w14:solidFill>
              <w14:schemeClr w14:val="tx1"/>
            </w14:solidFill>
          </w14:textFill>
        </w:rPr>
        <w:t>三、投标文件</w:t>
      </w:r>
      <w:bookmarkEnd w:id="114"/>
      <w:bookmarkEnd w:id="115"/>
      <w:bookmarkEnd w:id="116"/>
      <w:bookmarkEnd w:id="117"/>
      <w:bookmarkEnd w:id="118"/>
      <w:bookmarkEnd w:id="119"/>
      <w:bookmarkEnd w:id="120"/>
      <w:bookmarkEnd w:id="121"/>
      <w:bookmarkEnd w:id="122"/>
      <w:bookmarkEnd w:id="123"/>
    </w:p>
    <w:p>
      <w:pPr>
        <w:spacing w:line="500" w:lineRule="exact"/>
        <w:contextualSpacing/>
        <w:rPr>
          <w:rFonts w:ascii="宋体" w:hAnsi="宋体" w:cs="宋体"/>
          <w:b/>
          <w:color w:val="000000" w:themeColor="text1"/>
          <w:sz w:val="24"/>
          <w:szCs w:val="24"/>
          <w14:textFill>
            <w14:solidFill>
              <w14:schemeClr w14:val="tx1"/>
            </w14:solidFill>
          </w14:textFill>
        </w:rPr>
      </w:pPr>
      <w:bookmarkStart w:id="124" w:name="_Toc183682352"/>
      <w:bookmarkStart w:id="125" w:name="_Toc217446043"/>
      <w:bookmarkStart w:id="126" w:name="_Toc183582215"/>
      <w:r>
        <w:rPr>
          <w:rFonts w:hint="eastAsia" w:ascii="宋体" w:hAnsi="宋体" w:cs="宋体"/>
          <w:b/>
          <w:color w:val="000000" w:themeColor="text1"/>
          <w:sz w:val="24"/>
          <w:szCs w:val="24"/>
          <w14:textFill>
            <w14:solidFill>
              <w14:schemeClr w14:val="tx1"/>
            </w14:solidFill>
          </w14:textFill>
        </w:rPr>
        <w:t>8．投标文件的语言</w:t>
      </w:r>
      <w:bookmarkEnd w:id="124"/>
      <w:bookmarkEnd w:id="125"/>
      <w:bookmarkEnd w:id="126"/>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翻译的中文资料与外文资料如果出现差异和矛盾时，以中文为准。但不能故意错误翻译，否则，投标人的投标文件将作为无效投标处理。</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27" w:name="_Toc217446044"/>
      <w:bookmarkStart w:id="128" w:name="_Toc183682353"/>
      <w:bookmarkStart w:id="129" w:name="_Toc183582216"/>
      <w:r>
        <w:rPr>
          <w:rFonts w:hint="eastAsia" w:ascii="宋体" w:hAnsi="宋体" w:cs="宋体"/>
          <w:b/>
          <w:color w:val="000000" w:themeColor="text1"/>
          <w:sz w:val="24"/>
          <w:szCs w:val="24"/>
          <w14:textFill>
            <w14:solidFill>
              <w14:schemeClr w14:val="tx1"/>
            </w14:solidFill>
          </w14:textFill>
        </w:rPr>
        <w:t>9．计量单位</w:t>
      </w:r>
      <w:bookmarkEnd w:id="127"/>
      <w:bookmarkEnd w:id="128"/>
      <w:bookmarkEnd w:id="129"/>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除技术规格及要求中另有规定外，本采购项下的投标均采用国家法定的计量单位。</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30" w:name="_Toc217446045"/>
      <w:r>
        <w:rPr>
          <w:rFonts w:hint="eastAsia" w:ascii="宋体" w:hAnsi="宋体" w:cs="宋体"/>
          <w:b/>
          <w:color w:val="000000" w:themeColor="text1"/>
          <w:sz w:val="24"/>
          <w:szCs w:val="24"/>
          <w14:textFill>
            <w14:solidFill>
              <w14:schemeClr w14:val="tx1"/>
            </w14:solidFill>
          </w14:textFill>
        </w:rPr>
        <w:t>10. 投标货币</w:t>
      </w:r>
      <w:bookmarkEnd w:id="130"/>
    </w:p>
    <w:p>
      <w:pPr>
        <w:tabs>
          <w:tab w:val="left" w:pos="7665"/>
        </w:tabs>
        <w:spacing w:line="500" w:lineRule="exact"/>
        <w:ind w:left="13" w:hanging="118"/>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本次招标项目的投标均以人民币报价。</w:t>
      </w:r>
    </w:p>
    <w:p>
      <w:pPr>
        <w:spacing w:line="500" w:lineRule="exact"/>
        <w:contextualSpacing/>
        <w:rPr>
          <w:rFonts w:hint="eastAsia" w:ascii="宋体" w:hAnsi="宋体" w:eastAsia="宋体" w:cs="宋体"/>
          <w:b/>
          <w:color w:val="000000" w:themeColor="text1"/>
          <w:sz w:val="24"/>
          <w:szCs w:val="24"/>
          <w:lang w:eastAsia="zh-CN"/>
          <w14:textFill>
            <w14:solidFill>
              <w14:schemeClr w14:val="tx1"/>
            </w14:solidFill>
          </w14:textFill>
        </w:rPr>
      </w:pPr>
      <w:bookmarkStart w:id="131" w:name="_Toc217446046"/>
      <w:r>
        <w:rPr>
          <w:rFonts w:hint="eastAsia" w:ascii="宋体" w:hAnsi="宋体" w:cs="宋体"/>
          <w:b/>
          <w:color w:val="000000" w:themeColor="text1"/>
          <w:sz w:val="24"/>
          <w:szCs w:val="24"/>
          <w14:textFill>
            <w14:solidFill>
              <w14:schemeClr w14:val="tx1"/>
            </w14:solidFill>
          </w14:textFill>
        </w:rPr>
        <w:t>11. 联合投标</w:t>
      </w:r>
      <w:bookmarkEnd w:id="131"/>
      <w:r>
        <w:rPr>
          <w:rFonts w:hint="eastAsia" w:ascii="宋体" w:hAnsi="宋体" w:cs="宋体"/>
          <w:b/>
          <w:color w:val="000000" w:themeColor="text1"/>
          <w:sz w:val="24"/>
          <w:szCs w:val="24"/>
          <w:lang w:eastAsia="zh-CN"/>
          <w14:textFill>
            <w14:solidFill>
              <w14:schemeClr w14:val="tx1"/>
            </w14:solidFill>
          </w14:textFill>
        </w:rPr>
        <w:t>（</w:t>
      </w: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r>
        <w:rPr>
          <w:rFonts w:hint="eastAsia" w:ascii="宋体" w:hAnsi="宋体" w:cs="宋体"/>
          <w:b/>
          <w:color w:val="000000" w:themeColor="text1"/>
          <w:sz w:val="24"/>
          <w:szCs w:val="24"/>
          <w:lang w:eastAsia="zh-CN"/>
          <w14:textFill>
            <w14:solidFill>
              <w14:schemeClr w14:val="tx1"/>
            </w14:solidFill>
          </w14:textFill>
        </w:rPr>
        <w:t>）</w:t>
      </w:r>
    </w:p>
    <w:p>
      <w:pPr>
        <w:spacing w:line="500" w:lineRule="exact"/>
        <w:ind w:firstLine="468" w:firstLineChars="19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两个以上供应商可以组成一个投标联合体，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500" w:lineRule="exact"/>
        <w:ind w:firstLine="468" w:firstLineChars="19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联合体应当确定其中一个单位为投标的全权代表，负责参加投标的一切事务，并承担投标及履约中应承担的全部责任与义务。</w:t>
      </w:r>
    </w:p>
    <w:p>
      <w:pPr>
        <w:pStyle w:val="18"/>
        <w:spacing w:line="500" w:lineRule="exact"/>
        <w:ind w:firstLine="480"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11.4 联合体各方应当共同与采购人签订采购合同，就采购合同约定的事项对采购人承担连带责任。</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32" w:name="_Toc217446047"/>
      <w:r>
        <w:rPr>
          <w:rFonts w:hint="eastAsia" w:ascii="宋体" w:hAnsi="宋体" w:cs="宋体"/>
          <w:b/>
          <w:color w:val="000000" w:themeColor="text1"/>
          <w:sz w:val="24"/>
          <w:szCs w:val="24"/>
          <w14:textFill>
            <w14:solidFill>
              <w14:schemeClr w14:val="tx1"/>
            </w14:solidFill>
          </w14:textFill>
        </w:rPr>
        <w:t>12. 知识产权</w:t>
      </w:r>
      <w:bookmarkEnd w:id="132"/>
    </w:p>
    <w:p>
      <w:pPr>
        <w:pStyle w:val="18"/>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8"/>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采购人享有本项目实施过程中产生的知识成果及知识产权。</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如采用投标人所不拥有的知识产权，则在投标报价中必须包括合法获取该知识产权的相关费用。</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33" w:name="_Toc183582217"/>
      <w:bookmarkStart w:id="134" w:name="_Toc217446048"/>
      <w:bookmarkStart w:id="135" w:name="_Toc183682354"/>
      <w:r>
        <w:rPr>
          <w:rFonts w:hint="eastAsia" w:ascii="宋体" w:hAnsi="宋体" w:cs="宋体"/>
          <w:b/>
          <w:color w:val="000000" w:themeColor="text1"/>
          <w:sz w:val="24"/>
          <w:szCs w:val="24"/>
          <w14:textFill>
            <w14:solidFill>
              <w14:schemeClr w14:val="tx1"/>
            </w14:solidFill>
          </w14:textFill>
        </w:rPr>
        <w:t>13．投标文件的组成</w:t>
      </w:r>
      <w:bookmarkEnd w:id="133"/>
      <w:bookmarkEnd w:id="134"/>
      <w:bookmarkEnd w:id="135"/>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投标人应按照招标文件的规定和要求编制投标文件。投标人拟在中标后将中标项目的非主体、非关键性工作交由他人完成的，应当在投标文件中载明。投标人编写的投标文件应包括下列部分：</w:t>
      </w:r>
    </w:p>
    <w:p>
      <w:pPr>
        <w:spacing w:line="500" w:lineRule="exact"/>
        <w:ind w:firstLine="472" w:firstLineChars="196"/>
        <w:contextualSpacing/>
        <w:rPr>
          <w:rFonts w:ascii="宋体" w:hAnsi="宋体" w:cs="宋体"/>
          <w:bCs/>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13.1 报价部分</w:t>
      </w:r>
      <w:r>
        <w:rPr>
          <w:rFonts w:hint="eastAsia" w:ascii="宋体" w:hAnsi="宋体" w:cs="宋体"/>
          <w:bCs/>
          <w:color w:val="000000" w:themeColor="text1"/>
          <w:sz w:val="24"/>
          <w:szCs w:val="24"/>
          <w14:textFill>
            <w14:solidFill>
              <w14:schemeClr w14:val="tx1"/>
            </w14:solidFill>
          </w14:textFill>
        </w:rPr>
        <w:t>：投标人按照招标文件要求填写的“开标一览表”及“报价明细表”。本次招标报价要求：</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（1）投标人的报价是投</w:t>
      </w:r>
      <w:r>
        <w:rPr>
          <w:rFonts w:hint="eastAsia" w:ascii="宋体" w:hAnsi="宋体" w:cs="宋体"/>
          <w:color w:val="000000" w:themeColor="text1"/>
          <w:sz w:val="24"/>
          <w:szCs w:val="24"/>
          <w14:textFill>
            <w14:solidFill>
              <w14:schemeClr w14:val="tx1"/>
            </w14:solidFill>
          </w14:textFill>
        </w:rPr>
        <w:t>标人响应招标项目要求的全部工作内容的价格体现，包括投标人完成本项目所需的一切费用。</w:t>
      </w:r>
    </w:p>
    <w:p>
      <w:pPr>
        <w:spacing w:line="500" w:lineRule="exact"/>
        <w:ind w:left="2" w:firstLine="352" w:firstLineChars="147"/>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（2）投标人每种货物（服务）只允许有一个报价，并且在合同履行过程中是固定不变的，任何有选择或可调整的报价将不予接受</w:t>
      </w:r>
      <w:r>
        <w:rPr>
          <w:rFonts w:hint="eastAsia" w:ascii="宋体" w:hAnsi="宋体" w:cs="宋体"/>
          <w:b/>
          <w:bCs/>
          <w:color w:val="000000" w:themeColor="text1"/>
          <w:sz w:val="24"/>
          <w:szCs w:val="24"/>
          <w14:textFill>
            <w14:solidFill>
              <w14:schemeClr w14:val="tx1"/>
            </w14:solidFill>
          </w14:textFill>
        </w:rPr>
        <w:t>，并按无效投标处理。</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（3）投标人如果免费提供某项产品、部件或服务，除在价格栏中填写“0”外，还必须在备注栏中声明免费或赠送。</w:t>
      </w:r>
    </w:p>
    <w:p>
      <w:pPr>
        <w:spacing w:line="500" w:lineRule="exact"/>
        <w:ind w:firstLine="470" w:firstLineChars="196"/>
        <w:contextualSpacing/>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（4）投标报价时应注意包括下列几项费用：</w:t>
      </w:r>
    </w:p>
    <w:p>
      <w:pPr>
        <w:spacing w:line="500" w:lineRule="exact"/>
        <w:ind w:firstLine="600" w:firstLineChars="250"/>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a招标文件中特别要求的备品备件、易损件和专用工具的费用；</w:t>
      </w:r>
    </w:p>
    <w:p>
      <w:pPr>
        <w:spacing w:line="500" w:lineRule="exact"/>
        <w:ind w:firstLine="600" w:firstLineChars="250"/>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b招标文件中特别要求的安装、调试、培训、运输、保险及其它附带服务的全部费用；</w:t>
      </w:r>
    </w:p>
    <w:p>
      <w:pPr>
        <w:spacing w:line="500" w:lineRule="exact"/>
        <w:ind w:firstLine="600" w:firstLineChars="250"/>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c投标人提供的在中华人民共和国制造的货物，其货物的投标价即交货价中，包括制造、组装该货物所使用的零部件及原材料已付的全部关税、销售税和其他税。</w:t>
      </w:r>
    </w:p>
    <w:p>
      <w:pPr>
        <w:spacing w:line="500" w:lineRule="exact"/>
        <w:ind w:firstLine="600" w:firstLineChars="250"/>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d综合单价必须包括货物、安装、调试、技术支持、运输保险、售后服务、培训及其它必需服务的报价。</w:t>
      </w:r>
    </w:p>
    <w:p>
      <w:pPr>
        <w:tabs>
          <w:tab w:val="left" w:pos="540"/>
        </w:tabs>
        <w:spacing w:line="500" w:lineRule="exact"/>
        <w:ind w:firstLine="472" w:firstLineChars="196"/>
        <w:contextualSpacing/>
        <w:rPr>
          <w:rFonts w:hint="eastAsia" w:ascii="宋体" w:hAnsi="宋体" w:cs="宋体"/>
          <w:b/>
          <w:color w:val="000000"/>
          <w:sz w:val="24"/>
          <w:szCs w:val="24"/>
        </w:rPr>
      </w:pPr>
      <w:r>
        <w:rPr>
          <w:rFonts w:hint="eastAsia" w:ascii="宋体" w:hAnsi="宋体" w:cs="宋体"/>
          <w:b/>
          <w:bCs/>
          <w:color w:val="000000"/>
          <w:sz w:val="24"/>
          <w:szCs w:val="24"/>
        </w:rPr>
        <w:t xml:space="preserve">13.2 </w:t>
      </w:r>
      <w:r>
        <w:rPr>
          <w:rFonts w:hint="eastAsia" w:ascii="宋体" w:hAnsi="宋体" w:cs="宋体"/>
          <w:b/>
          <w:bCs/>
          <w:color w:val="000000"/>
          <w:sz w:val="24"/>
          <w:szCs w:val="24"/>
          <w:lang w:val="en-US" w:eastAsia="zh-CN"/>
        </w:rPr>
        <w:t>商务</w:t>
      </w:r>
      <w:r>
        <w:rPr>
          <w:rFonts w:hint="eastAsia" w:ascii="宋体" w:hAnsi="宋体" w:cs="宋体"/>
          <w:b/>
          <w:bCs/>
          <w:color w:val="000000"/>
          <w:sz w:val="24"/>
          <w:szCs w:val="24"/>
        </w:rPr>
        <w:t>技术部分：</w:t>
      </w:r>
      <w:r>
        <w:rPr>
          <w:rFonts w:hint="eastAsia" w:ascii="宋体" w:hAnsi="宋体" w:cs="宋体"/>
          <w:bCs/>
          <w:color w:val="000000"/>
          <w:sz w:val="24"/>
          <w:szCs w:val="24"/>
        </w:rPr>
        <w:t>投标人</w:t>
      </w:r>
      <w:r>
        <w:rPr>
          <w:rFonts w:hint="eastAsia" w:ascii="宋体" w:hAnsi="宋体" w:cs="宋体"/>
          <w:color w:val="000000"/>
          <w:sz w:val="24"/>
          <w:szCs w:val="24"/>
        </w:rPr>
        <w:t>按照招标文件要求做出的技术应答，主要是针对招标项目的技术指标、参数和技术要求做出的实质性响应和满足。投标人的技术应答应包括下列内容：</w:t>
      </w:r>
      <w:r>
        <w:rPr>
          <w:rFonts w:hint="eastAsia" w:ascii="宋体" w:hAnsi="宋体" w:cs="宋体"/>
          <w:b/>
          <w:color w:val="000000"/>
          <w:sz w:val="24"/>
          <w:szCs w:val="24"/>
        </w:rPr>
        <w:t>详见评标办法技术部分评审内容。</w:t>
      </w:r>
    </w:p>
    <w:p>
      <w:pPr>
        <w:pStyle w:val="35"/>
        <w:rPr>
          <w:rFonts w:hint="eastAsia" w:ascii="宋体" w:hAnsi="宋体" w:cs="宋体"/>
          <w:b/>
          <w:color w:val="000000"/>
          <w:sz w:val="24"/>
          <w:szCs w:val="24"/>
        </w:rPr>
      </w:pPr>
    </w:p>
    <w:p>
      <w:pPr>
        <w:rPr>
          <w:rFonts w:hint="eastAsia" w:ascii="宋体" w:hAnsi="宋体" w:cs="宋体"/>
          <w:b/>
          <w:color w:val="000000"/>
          <w:sz w:val="24"/>
          <w:szCs w:val="24"/>
        </w:rPr>
      </w:pPr>
    </w:p>
    <w:p>
      <w:pPr>
        <w:pStyle w:val="35"/>
        <w:rPr>
          <w:rFonts w:hint="eastAsia"/>
        </w:rPr>
      </w:pPr>
    </w:p>
    <w:p>
      <w:pPr>
        <w:spacing w:line="500" w:lineRule="exact"/>
        <w:ind w:firstLine="482" w:firstLineChars="200"/>
        <w:contextualSpacing/>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报价</w:t>
      </w:r>
    </w:p>
    <w:p>
      <w:pPr>
        <w:spacing w:line="500" w:lineRule="exact"/>
        <w:ind w:firstLine="480" w:firstLineChars="200"/>
        <w:contextualSpacing/>
        <w:rPr>
          <w:rFonts w:hint="eastAsia" w:ascii="宋体" w:hAnsi="宋体" w:cs="宋体"/>
          <w:sz w:val="24"/>
          <w:szCs w:val="24"/>
        </w:rPr>
      </w:pPr>
      <w:r>
        <w:rPr>
          <w:rFonts w:hint="eastAsia" w:ascii="宋体" w:hAnsi="宋体" w:cs="宋体"/>
          <w:sz w:val="24"/>
          <w:szCs w:val="24"/>
        </w:rPr>
        <w:t>（1）投标函；</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）开标一览表；</w:t>
      </w:r>
    </w:p>
    <w:p>
      <w:pPr>
        <w:pStyle w:val="35"/>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（3）投标分项报价明细表</w:t>
      </w:r>
    </w:p>
    <w:p>
      <w:pPr>
        <w:rPr>
          <w:rFonts w:hint="default"/>
          <w:lang w:val="en-US" w:eastAsia="zh-CN"/>
        </w:rPr>
      </w:pPr>
      <w:r>
        <w:rPr>
          <w:rFonts w:hint="eastAsia" w:ascii="宋体" w:hAnsi="宋体" w:eastAsia="宋体" w:cs="宋体"/>
          <w:kern w:val="2"/>
          <w:sz w:val="24"/>
          <w:szCs w:val="24"/>
          <w:lang w:val="en-US" w:eastAsia="zh-CN" w:bidi="ar-SA"/>
        </w:rPr>
        <w:t xml:space="preserve">     </w:t>
      </w:r>
      <w:r>
        <w:rPr>
          <w:rFonts w:hint="eastAsia" w:ascii="宋体" w:hAnsi="宋体" w:cs="宋体"/>
          <w:b/>
          <w:bCs/>
          <w:color w:val="000000"/>
          <w:sz w:val="24"/>
          <w:szCs w:val="24"/>
          <w:lang w:val="en-US" w:eastAsia="zh-CN"/>
        </w:rPr>
        <w:t>商务</w:t>
      </w:r>
      <w:r>
        <w:rPr>
          <w:rFonts w:hint="eastAsia" w:ascii="宋体" w:hAnsi="宋体" w:cs="宋体"/>
          <w:b/>
          <w:bCs/>
          <w:color w:val="000000"/>
          <w:sz w:val="24"/>
          <w:szCs w:val="24"/>
        </w:rPr>
        <w:t>技术</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）法定代表人授权书</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）关于资格的声明函；</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）投标人基本情况表；</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）投标人本项目管理、技术、服务人员情况表；</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）近年财务状况表</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）近年完成的类似项目情况表</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）项目实施方案及技术措施</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）保证项目实施的技术力量和人力资源安排</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）投标人综合实力及信誉</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）验收的方案和措施</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）项目质量及保修期限</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）投标单位（投标人）《反商业贿赂承诺书》</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13</w:t>
      </w:r>
      <w:r>
        <w:rPr>
          <w:rFonts w:hint="eastAsia" w:ascii="宋体" w:hAnsi="宋体" w:cs="宋体"/>
          <w:sz w:val="24"/>
          <w:szCs w:val="24"/>
        </w:rPr>
        <w:t>）声明及承诺</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14</w:t>
      </w:r>
      <w:r>
        <w:rPr>
          <w:rFonts w:hint="eastAsia" w:ascii="宋体" w:hAnsi="宋体" w:cs="宋体"/>
          <w:sz w:val="24"/>
          <w:szCs w:val="24"/>
        </w:rPr>
        <w:t>）其他资料</w:t>
      </w:r>
    </w:p>
    <w:p>
      <w:pPr>
        <w:spacing w:line="500" w:lineRule="exact"/>
        <w:ind w:firstLine="480" w:firstLineChars="200"/>
        <w:contextualSpacing/>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）原件的复印件</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36" w:name="_Toc217446049"/>
      <w:bookmarkStart w:id="137" w:name="_Toc183682355"/>
      <w:bookmarkStart w:id="138" w:name="_Toc183582218"/>
      <w:r>
        <w:rPr>
          <w:rFonts w:hint="eastAsia" w:ascii="宋体" w:hAnsi="宋体" w:cs="宋体"/>
          <w:b/>
          <w:color w:val="000000" w:themeColor="text1"/>
          <w:sz w:val="24"/>
          <w:szCs w:val="24"/>
          <w14:textFill>
            <w14:solidFill>
              <w14:schemeClr w14:val="tx1"/>
            </w14:solidFill>
          </w14:textFill>
        </w:rPr>
        <w:t>14．投标文件格式</w:t>
      </w:r>
      <w:bookmarkEnd w:id="136"/>
      <w:bookmarkEnd w:id="137"/>
      <w:bookmarkEnd w:id="138"/>
      <w:r>
        <w:rPr>
          <w:rFonts w:hint="eastAsia" w:ascii="宋体" w:hAnsi="宋体" w:cs="宋体"/>
          <w:b/>
          <w:color w:val="000000" w:themeColor="text1"/>
          <w:sz w:val="24"/>
          <w:szCs w:val="24"/>
          <w14:textFill>
            <w14:solidFill>
              <w14:schemeClr w14:val="tx1"/>
            </w14:solidFill>
          </w14:textFill>
        </w:rPr>
        <w:tab/>
      </w:r>
    </w:p>
    <w:p>
      <w:pPr>
        <w:tabs>
          <w:tab w:val="left" w:pos="7665"/>
        </w:tabs>
        <w:spacing w:line="500" w:lineRule="exact"/>
        <w:ind w:left="252" w:leftChars="120" w:firstLine="241" w:firstLineChars="100"/>
        <w:contextualSpacing/>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14.1 投标人应按照招标文件第六章中提供的“投标文件格式”填写相关内容。</w:t>
      </w:r>
    </w:p>
    <w:p>
      <w:pPr>
        <w:tabs>
          <w:tab w:val="left" w:pos="7665"/>
        </w:tabs>
        <w:spacing w:line="500" w:lineRule="exact"/>
        <w:ind w:left="252" w:leftChars="120" w:firstLine="964" w:firstLineChars="4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除对于没有格式要求的投标文件由投标人自行编写。</w:t>
      </w:r>
    </w:p>
    <w:p>
      <w:pPr>
        <w:spacing w:line="500" w:lineRule="exact"/>
        <w:ind w:firstLine="482" w:firstLineChars="200"/>
        <w:contextualSpacing/>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投标人应将响应性文件按规定的顺序编排、并应编制目录、逐页标注连续页码，必须采用胶装，不得采用活页装订，否则视为无效响应性文件。</w:t>
      </w:r>
    </w:p>
    <w:p>
      <w:pPr>
        <w:spacing w:line="500" w:lineRule="exact"/>
        <w:contextualSpacing/>
        <w:rPr>
          <w:rFonts w:hint="eastAsia" w:ascii="宋体" w:hAnsi="宋体" w:eastAsia="宋体" w:cs="宋体"/>
          <w:b/>
          <w:color w:val="000000" w:themeColor="text1"/>
          <w:sz w:val="24"/>
          <w:szCs w:val="24"/>
          <w:lang w:eastAsia="zh-CN"/>
          <w14:textFill>
            <w14:solidFill>
              <w14:schemeClr w14:val="tx1"/>
            </w14:solidFill>
          </w14:textFill>
        </w:rPr>
      </w:pPr>
      <w:bookmarkStart w:id="139" w:name="_Toc217446050"/>
      <w:bookmarkStart w:id="140" w:name="_Toc183682360"/>
      <w:bookmarkStart w:id="141" w:name="_Toc183582223"/>
      <w:r>
        <w:rPr>
          <w:rFonts w:hint="eastAsia" w:ascii="宋体" w:hAnsi="宋体" w:cs="宋体"/>
          <w:b/>
          <w:color w:val="000000" w:themeColor="text1"/>
          <w:sz w:val="24"/>
          <w:szCs w:val="24"/>
          <w14:textFill>
            <w14:solidFill>
              <w14:schemeClr w14:val="tx1"/>
            </w14:solidFill>
          </w14:textFill>
        </w:rPr>
        <w:t>15．投标保证金</w:t>
      </w:r>
      <w:bookmarkEnd w:id="139"/>
      <w:bookmarkEnd w:id="140"/>
      <w:bookmarkEnd w:id="141"/>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不作要求</w:t>
      </w:r>
      <w:r>
        <w:rPr>
          <w:rFonts w:hint="eastAsia" w:ascii="宋体" w:hAnsi="宋体" w:cs="宋体"/>
          <w:b/>
          <w:color w:val="000000" w:themeColor="text1"/>
          <w:sz w:val="24"/>
          <w:szCs w:val="24"/>
          <w:lang w:eastAsia="zh-CN"/>
          <w14:textFill>
            <w14:solidFill>
              <w14:schemeClr w14:val="tx1"/>
            </w14:solidFill>
          </w14:textFill>
        </w:rPr>
        <w:t>）</w:t>
      </w:r>
    </w:p>
    <w:p>
      <w:pPr>
        <w:spacing w:line="500" w:lineRule="exact"/>
        <w:ind w:firstLine="470" w:firstLineChars="196"/>
        <w:contextualSpacing/>
        <w:rPr>
          <w:rFonts w:hint="eastAsia" w:ascii="宋体" w:hAnsi="宋体" w:cs="宋体"/>
          <w:color w:val="000000" w:themeColor="text1"/>
          <w:sz w:val="24"/>
          <w:szCs w:val="24"/>
          <w14:textFill>
            <w14:solidFill>
              <w14:schemeClr w14:val="tx1"/>
            </w14:solidFill>
          </w14:textFill>
        </w:rPr>
        <w:sectPr>
          <w:footerReference r:id="rId6" w:type="first"/>
          <w:headerReference r:id="rId4" w:type="default"/>
          <w:footerReference r:id="rId5" w:type="default"/>
          <w:pgSz w:w="11907" w:h="16840"/>
          <w:pgMar w:top="1134" w:right="1134" w:bottom="1134" w:left="1134" w:header="851" w:footer="851" w:gutter="0"/>
          <w:pgNumType w:chapStyle="1"/>
          <w:cols w:space="720" w:num="1"/>
          <w:titlePg/>
        </w:sectPr>
      </w:pPr>
      <w:r>
        <w:rPr>
          <w:rFonts w:hint="eastAsia" w:ascii="宋体" w:hAnsi="宋体" w:cs="宋体"/>
          <w:color w:val="000000" w:themeColor="text1"/>
          <w:sz w:val="24"/>
          <w:szCs w:val="24"/>
          <w14:textFill>
            <w14:solidFill>
              <w14:schemeClr w14:val="tx1"/>
            </w14:solidFill>
          </w14:textFill>
        </w:rPr>
        <w:t>15.1 投标人投标时，必须以人民币提交招标文件规定数额的投标保证金，并作为其投标</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的一部分。</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投标保证金本地采取银行转账形式，外地采取电汇凭证形式。</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15.3未按招标文件要求在规定时间前（以银行实际下账时间为准）交纳规定数额投标保证金的投标将被拒绝。</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15.4 投标人所交纳的投标保证金不计利息。</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15.5未中标人的投标保证金，将在中标通知书发出后五个工作日内全额退还。中标人的投标保证金，在合同签订生效并按规定交纳了履约保证金后五个工作日内全额退还。</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15.6下列任何情况发生时，采购代理机构将不予退还其交纳的投标保证金：</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（1）如果投标人在招标文件规定的投标有效期内撤回投标。</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（2）由于中标人的原因未能按照招标文件的规定与采购人签订合同。</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（3）由于中标人的原因未能按照招标文件的规定交纳履约保证金。</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（4）投标有效期内，投标人在政府采购活动中有违规、违纪和违法的行为。</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42" w:name="_Toc183682361"/>
      <w:bookmarkStart w:id="143" w:name="_Toc183582224"/>
      <w:bookmarkStart w:id="144" w:name="_Toc217446051"/>
      <w:r>
        <w:rPr>
          <w:rFonts w:hint="eastAsia" w:ascii="宋体" w:hAnsi="宋体" w:cs="宋体"/>
          <w:b/>
          <w:color w:val="000000" w:themeColor="text1"/>
          <w:sz w:val="24"/>
          <w:szCs w:val="24"/>
          <w14:textFill>
            <w14:solidFill>
              <w14:schemeClr w14:val="tx1"/>
            </w14:solidFill>
          </w14:textFill>
        </w:rPr>
        <w:t>16．投标有效期</w:t>
      </w:r>
      <w:bookmarkEnd w:id="142"/>
      <w:bookmarkEnd w:id="143"/>
      <w:bookmarkEnd w:id="144"/>
    </w:p>
    <w:p>
      <w:pPr>
        <w:tabs>
          <w:tab w:val="left" w:pos="7665"/>
        </w:tabs>
        <w:spacing w:line="500" w:lineRule="exact"/>
        <w:ind w:left="13" w:leftChars="6"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投标有效期见投标人须知前附表。投标有效期短于此规定期限的投标，将被拒绝。</w:t>
      </w:r>
    </w:p>
    <w:p>
      <w:pPr>
        <w:tabs>
          <w:tab w:val="left" w:pos="7665"/>
        </w:tabs>
        <w:spacing w:line="500" w:lineRule="exact"/>
        <w:ind w:left="13" w:leftChars="6" w:firstLine="360" w:firstLineChars="15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16.2 特殊情况下，采购人可于投标有效期满之前要求投标人同意延长有效期，要求与答复均应为书面形式。投标人可以拒绝上述要求，其投标保证金</w:t>
      </w:r>
      <w:r>
        <w:rPr>
          <w:rFonts w:hint="eastAsia" w:ascii="宋体" w:hAnsi="宋体" w:cs="宋体"/>
          <w:color w:val="000000" w:themeColor="text1"/>
          <w:spacing w:val="8"/>
          <w:sz w:val="24"/>
          <w:szCs w:val="24"/>
          <w14:textFill>
            <w14:solidFill>
              <w14:schemeClr w14:val="tx1"/>
            </w14:solidFill>
          </w14:textFill>
        </w:rPr>
        <w:t>不被没收。</w:t>
      </w:r>
      <w:r>
        <w:rPr>
          <w:rFonts w:hint="eastAsia" w:ascii="宋体" w:hAnsi="宋体" w:cs="宋体"/>
          <w:color w:val="000000" w:themeColor="text1"/>
          <w:sz w:val="24"/>
          <w:szCs w:val="24"/>
          <w14:textFill>
            <w14:solidFill>
              <w14:schemeClr w14:val="tx1"/>
            </w14:solidFill>
          </w14:textFill>
        </w:rPr>
        <w:t>拒绝延长投标有效期的投标人不得再参与该项目后续采购活动。同意延长投标有效期的投标人不能修改其投标文件，关于投标保证金的有关规定在延长的投标有效期内继续有效。</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45" w:name="_Toc183682362"/>
      <w:bookmarkStart w:id="146" w:name="_Toc217446052"/>
      <w:bookmarkStart w:id="147" w:name="_Toc183582225"/>
      <w:r>
        <w:rPr>
          <w:rFonts w:hint="eastAsia" w:ascii="宋体" w:hAnsi="宋体" w:cs="宋体"/>
          <w:b/>
          <w:color w:val="000000" w:themeColor="text1"/>
          <w:sz w:val="24"/>
          <w:szCs w:val="24"/>
          <w14:textFill>
            <w14:solidFill>
              <w14:schemeClr w14:val="tx1"/>
            </w14:solidFill>
          </w14:textFill>
        </w:rPr>
        <w:t>17．投标文件的印制和签署</w:t>
      </w:r>
      <w:bookmarkEnd w:id="145"/>
      <w:bookmarkEnd w:id="146"/>
      <w:bookmarkEnd w:id="147"/>
    </w:p>
    <w:p>
      <w:pPr>
        <w:tabs>
          <w:tab w:val="left" w:pos="1080"/>
        </w:tabs>
        <w:spacing w:line="500" w:lineRule="exact"/>
        <w:ind w:firstLine="460" w:firstLineChars="192"/>
        <w:contextualSpacing/>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投标人应按“投标须知前附表”</w:t>
      </w:r>
      <w:r>
        <w:rPr>
          <w:rFonts w:hint="eastAsia" w:ascii="宋体" w:hAnsi="宋体" w:cs="宋体"/>
          <w:color w:val="000000" w:themeColor="text1"/>
          <w:sz w:val="24"/>
          <w:szCs w:val="24"/>
          <w:lang w:val="en-US" w:eastAsia="zh-CN"/>
          <w14:textFill>
            <w14:solidFill>
              <w14:schemeClr w14:val="tx1"/>
            </w14:solidFill>
          </w14:textFill>
        </w:rPr>
        <w:t>要求。</w:t>
      </w:r>
    </w:p>
    <w:p>
      <w:pPr>
        <w:tabs>
          <w:tab w:val="left" w:pos="1095"/>
        </w:tabs>
        <w:spacing w:line="500" w:lineRule="exact"/>
        <w:ind w:firstLine="460" w:firstLineChars="192"/>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投标文件的正本和副本均需打印或用不褪色、不变质的墨水书写，并由投标人的法定代表人或其授权代表在规定签章处签字和盖章</w:t>
      </w:r>
      <w:r>
        <w:rPr>
          <w:rFonts w:hint="eastAsia" w:ascii="宋体" w:hAnsi="宋体" w:cs="宋体"/>
          <w:color w:val="000000" w:themeColor="text1"/>
          <w:sz w:val="24"/>
          <w:szCs w:val="24"/>
          <w:lang w:eastAsia="zh-CN"/>
          <w14:textFill>
            <w14:solidFill>
              <w14:schemeClr w14:val="tx1"/>
            </w14:solidFill>
          </w14:textFill>
        </w:rPr>
        <w:t>。</w:t>
      </w:r>
    </w:p>
    <w:p>
      <w:pPr>
        <w:tabs>
          <w:tab w:val="left" w:pos="1095"/>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 投标文件正本和副本必须装订成册并逐页编目编码。</w:t>
      </w:r>
    </w:p>
    <w:p>
      <w:pPr>
        <w:tabs>
          <w:tab w:val="left" w:pos="1080"/>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 投标文件应根据招标文件的要求制作，签署、盖章和内容应完整，如有遗漏，将被视为无效投标。</w:t>
      </w:r>
    </w:p>
    <w:p>
      <w:pPr>
        <w:tabs>
          <w:tab w:val="left" w:pos="1080"/>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 投标文件统一用A4幅面纸印制。</w:t>
      </w:r>
    </w:p>
    <w:p>
      <w:pPr>
        <w:spacing w:line="500" w:lineRule="exact"/>
        <w:contextualSpacing/>
        <w:rPr>
          <w:rFonts w:hint="eastAsia" w:ascii="宋体" w:hAnsi="宋体" w:cs="宋体"/>
          <w:b/>
          <w:color w:val="000000" w:themeColor="text1"/>
          <w:sz w:val="24"/>
          <w:szCs w:val="24"/>
          <w14:textFill>
            <w14:solidFill>
              <w14:schemeClr w14:val="tx1"/>
            </w14:solidFill>
          </w14:textFill>
        </w:rPr>
        <w:sectPr>
          <w:footerReference r:id="rId8" w:type="first"/>
          <w:footerReference r:id="rId7" w:type="default"/>
          <w:pgSz w:w="11907" w:h="16840"/>
          <w:pgMar w:top="1134" w:right="1134" w:bottom="1134" w:left="1134" w:header="851" w:footer="851" w:gutter="0"/>
          <w:pgNumType w:chapStyle="1"/>
          <w:cols w:space="720" w:num="1"/>
          <w:titlePg/>
        </w:sectPr>
      </w:pPr>
      <w:bookmarkStart w:id="148" w:name="_Toc183682363"/>
      <w:bookmarkStart w:id="149" w:name="_Toc89075877"/>
      <w:bookmarkStart w:id="150" w:name="_Toc183582226"/>
      <w:bookmarkStart w:id="151" w:name="_Toc77400781"/>
      <w:bookmarkStart w:id="152" w:name="_Toc217446053"/>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 投标文件的密封和标</w:t>
      </w:r>
      <w:bookmarkEnd w:id="148"/>
      <w:bookmarkEnd w:id="149"/>
      <w:bookmarkEnd w:id="150"/>
      <w:bookmarkEnd w:id="151"/>
      <w:r>
        <w:rPr>
          <w:rFonts w:hint="eastAsia" w:ascii="宋体" w:hAnsi="宋体" w:cs="宋体"/>
          <w:b/>
          <w:color w:val="000000" w:themeColor="text1"/>
          <w:sz w:val="24"/>
          <w:szCs w:val="24"/>
          <w14:textFill>
            <w14:solidFill>
              <w14:schemeClr w14:val="tx1"/>
            </w14:solidFill>
          </w14:textFill>
        </w:rPr>
        <w:t>注</w:t>
      </w:r>
      <w:bookmarkEnd w:id="152"/>
    </w:p>
    <w:p>
      <w:pPr>
        <w:tabs>
          <w:tab w:val="left" w:pos="1080"/>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18.1 </w:t>
      </w:r>
      <w:r>
        <w:rPr>
          <w:rFonts w:hint="eastAsia" w:ascii="宋体" w:hAnsi="宋体" w:cs="宋体"/>
          <w:color w:val="000000" w:themeColor="text1"/>
          <w:sz w:val="24"/>
          <w:szCs w:val="24"/>
          <w:lang w:val="en-US" w:eastAsia="zh-CN"/>
          <w14:textFill>
            <w14:solidFill>
              <w14:schemeClr w14:val="tx1"/>
            </w14:solidFill>
          </w14:textFill>
        </w:rPr>
        <w:t>以上传电子投标文件为准，</w:t>
      </w:r>
      <w:r>
        <w:rPr>
          <w:rFonts w:hint="eastAsia" w:ascii="宋体" w:hAnsi="宋体" w:cs="宋体"/>
          <w:color w:val="000000" w:themeColor="text1"/>
          <w:sz w:val="24"/>
          <w:szCs w:val="24"/>
          <w14:textFill>
            <w14:solidFill>
              <w14:schemeClr w14:val="tx1"/>
            </w14:solidFill>
          </w14:textFill>
        </w:rPr>
        <w:t>投标文件应根据招标文件的要求制作，签署、盖章和内容应完整，如有遗漏，将被视为无效投标。</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53" w:name="_Toc183582227"/>
      <w:bookmarkStart w:id="154" w:name="_Toc183682364"/>
      <w:bookmarkStart w:id="155" w:name="_Toc217446054"/>
      <w:r>
        <w:rPr>
          <w:rFonts w:hint="eastAsia" w:ascii="宋体" w:hAnsi="宋体" w:cs="宋体"/>
          <w:b/>
          <w:color w:val="000000" w:themeColor="text1"/>
          <w:sz w:val="24"/>
          <w:szCs w:val="24"/>
          <w14:textFill>
            <w14:solidFill>
              <w14:schemeClr w14:val="tx1"/>
            </w14:solidFill>
          </w14:textFill>
        </w:rPr>
        <w:t>19．投标文件的</w:t>
      </w:r>
      <w:bookmarkEnd w:id="153"/>
      <w:bookmarkEnd w:id="154"/>
      <w:r>
        <w:rPr>
          <w:rFonts w:hint="eastAsia" w:ascii="宋体" w:hAnsi="宋体" w:cs="宋体"/>
          <w:b/>
          <w:color w:val="000000" w:themeColor="text1"/>
          <w:sz w:val="24"/>
          <w:szCs w:val="24"/>
          <w14:textFill>
            <w14:solidFill>
              <w14:schemeClr w14:val="tx1"/>
            </w14:solidFill>
          </w14:textFill>
        </w:rPr>
        <w:t>递交</w:t>
      </w:r>
      <w:bookmarkEnd w:id="155"/>
    </w:p>
    <w:p>
      <w:pPr>
        <w:tabs>
          <w:tab w:val="left" w:pos="1095"/>
        </w:tabs>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投标人应在招标文件规定的投标截止时间前，将投标文件按规定</w:t>
      </w:r>
      <w:r>
        <w:rPr>
          <w:rFonts w:hint="eastAsia" w:ascii="宋体" w:hAnsi="宋体" w:cs="宋体"/>
          <w:color w:val="000000" w:themeColor="text1"/>
          <w:sz w:val="24"/>
          <w:szCs w:val="24"/>
          <w:lang w:val="en-US" w:eastAsia="zh-CN"/>
          <w14:textFill>
            <w14:solidFill>
              <w14:schemeClr w14:val="tx1"/>
            </w14:solidFill>
          </w14:textFill>
        </w:rPr>
        <w:t>提交投标文件对投标文件进行解密</w:t>
      </w:r>
      <w:r>
        <w:rPr>
          <w:rFonts w:hint="eastAsia" w:ascii="宋体" w:hAnsi="宋体" w:cs="宋体"/>
          <w:color w:val="000000" w:themeColor="text1"/>
          <w:sz w:val="24"/>
          <w:szCs w:val="24"/>
          <w14:textFill>
            <w14:solidFill>
              <w14:schemeClr w14:val="tx1"/>
            </w14:solidFill>
          </w14:textFill>
        </w:rPr>
        <w:t>。投标截止时间以后</w:t>
      </w:r>
      <w:r>
        <w:rPr>
          <w:rFonts w:hint="eastAsia" w:ascii="宋体" w:hAnsi="宋体" w:cs="宋体"/>
          <w:color w:val="000000" w:themeColor="text1"/>
          <w:sz w:val="24"/>
          <w:szCs w:val="24"/>
          <w:lang w:val="en-US" w:eastAsia="zh-CN"/>
          <w14:textFill>
            <w14:solidFill>
              <w14:schemeClr w14:val="tx1"/>
            </w14:solidFill>
          </w14:textFill>
        </w:rPr>
        <w:t>提交</w:t>
      </w:r>
      <w:r>
        <w:rPr>
          <w:rFonts w:hint="eastAsia" w:ascii="宋体" w:hAnsi="宋体" w:cs="宋体"/>
          <w:color w:val="000000" w:themeColor="text1"/>
          <w:sz w:val="24"/>
          <w:szCs w:val="24"/>
          <w14:textFill>
            <w14:solidFill>
              <w14:schemeClr w14:val="tx1"/>
            </w14:solidFill>
          </w14:textFill>
        </w:rPr>
        <w:t>的投标文件将被拒绝。</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  出现因招标文件的修改而推迟投标截止时间的情况时，投标人则需按招标方的书面修改通知重新规定的投标时间递交。</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56" w:name="_Toc183682365"/>
      <w:bookmarkStart w:id="157" w:name="_Toc183582228"/>
      <w:bookmarkStart w:id="158" w:name="_Toc217446055"/>
      <w:r>
        <w:rPr>
          <w:rFonts w:hint="eastAsia" w:ascii="宋体" w:hAnsi="宋体" w:cs="宋体"/>
          <w:b/>
          <w:color w:val="000000" w:themeColor="text1"/>
          <w:sz w:val="24"/>
          <w:szCs w:val="24"/>
          <w14:textFill>
            <w14:solidFill>
              <w14:schemeClr w14:val="tx1"/>
            </w14:solidFill>
          </w14:textFill>
        </w:rPr>
        <w:t>20．投标文件的修改和撤</w:t>
      </w:r>
      <w:bookmarkEnd w:id="156"/>
      <w:bookmarkEnd w:id="157"/>
      <w:r>
        <w:rPr>
          <w:rFonts w:hint="eastAsia" w:ascii="宋体" w:hAnsi="宋体" w:cs="宋体"/>
          <w:b/>
          <w:color w:val="000000" w:themeColor="text1"/>
          <w:sz w:val="24"/>
          <w:szCs w:val="24"/>
          <w14:textFill>
            <w14:solidFill>
              <w14:schemeClr w14:val="tx1"/>
            </w14:solidFill>
          </w14:textFill>
        </w:rPr>
        <w:t>回</w:t>
      </w:r>
      <w:bookmarkEnd w:id="158"/>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 投标人在递交了投标文件后，可以修改或撤回其投标文件，但必须在规定的投标截止时间前</w:t>
      </w:r>
      <w:r>
        <w:rPr>
          <w:rFonts w:hint="eastAsia" w:ascii="宋体" w:hAnsi="宋体" w:cs="宋体"/>
          <w:color w:val="000000" w:themeColor="text1"/>
          <w:sz w:val="24"/>
          <w:szCs w:val="24"/>
          <w:lang w:val="en-US" w:eastAsia="zh-CN"/>
          <w14:textFill>
            <w14:solidFill>
              <w14:schemeClr w14:val="tx1"/>
            </w14:solidFill>
          </w14:textFill>
        </w:rPr>
        <w:t>在线递交投标文件</w:t>
      </w:r>
      <w:r>
        <w:rPr>
          <w:rFonts w:hint="eastAsia" w:ascii="宋体" w:hAnsi="宋体" w:cs="宋体"/>
          <w:color w:val="000000" w:themeColor="text1"/>
          <w:sz w:val="24"/>
          <w:szCs w:val="24"/>
          <w14:textFill>
            <w14:solidFill>
              <w14:schemeClr w14:val="tx1"/>
            </w14:solidFill>
          </w14:textFill>
        </w:rPr>
        <w:t>。</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  在投标截止时间之后，投标人不得对其递交的投标文件做任何修改或撤回投标。</w:t>
      </w:r>
      <w:bookmarkStart w:id="159" w:name="_Toc183582231"/>
      <w:bookmarkStart w:id="160" w:name="_Toc217446056"/>
      <w:bookmarkStart w:id="161" w:name="_Toc89075878"/>
      <w:bookmarkStart w:id="162" w:name="_Toc77400782"/>
      <w:bookmarkStart w:id="163" w:name="_Toc183682368"/>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164" w:name="_Toc3779"/>
      <w:bookmarkStart w:id="165" w:name="_Toc406749974"/>
      <w:bookmarkStart w:id="166" w:name="_Toc7219"/>
      <w:bookmarkStart w:id="167" w:name="_Toc579"/>
      <w:bookmarkStart w:id="168" w:name="_Toc487728203"/>
      <w:r>
        <w:rPr>
          <w:rFonts w:hint="eastAsia" w:ascii="宋体" w:hAnsi="宋体" w:cs="宋体"/>
          <w:color w:val="000000" w:themeColor="text1"/>
          <w:sz w:val="24"/>
          <w:szCs w:val="24"/>
          <w14:textFill>
            <w14:solidFill>
              <w14:schemeClr w14:val="tx1"/>
            </w14:solidFill>
          </w14:textFill>
        </w:rPr>
        <w:t>四、开标和评标</w:t>
      </w:r>
      <w:bookmarkEnd w:id="159"/>
      <w:bookmarkEnd w:id="160"/>
      <w:bookmarkEnd w:id="161"/>
      <w:bookmarkEnd w:id="162"/>
      <w:bookmarkEnd w:id="163"/>
      <w:bookmarkEnd w:id="164"/>
      <w:bookmarkEnd w:id="165"/>
      <w:bookmarkEnd w:id="166"/>
      <w:bookmarkEnd w:id="167"/>
      <w:bookmarkEnd w:id="168"/>
    </w:p>
    <w:p>
      <w:pPr>
        <w:spacing w:line="500" w:lineRule="exact"/>
        <w:contextualSpacing/>
        <w:rPr>
          <w:rFonts w:ascii="宋体" w:hAnsi="宋体" w:cs="宋体"/>
          <w:b/>
          <w:color w:val="000000" w:themeColor="text1"/>
          <w:sz w:val="24"/>
          <w:szCs w:val="24"/>
          <w14:textFill>
            <w14:solidFill>
              <w14:schemeClr w14:val="tx1"/>
            </w14:solidFill>
          </w14:textFill>
        </w:rPr>
      </w:pPr>
      <w:bookmarkStart w:id="169" w:name="_Toc217446057"/>
      <w:bookmarkStart w:id="170" w:name="_Toc183582232"/>
      <w:bookmarkStart w:id="171" w:name="_Toc183682369"/>
      <w:r>
        <w:rPr>
          <w:rFonts w:hint="eastAsia" w:ascii="宋体" w:hAnsi="宋体" w:cs="宋体"/>
          <w:b/>
          <w:color w:val="000000" w:themeColor="text1"/>
          <w:sz w:val="24"/>
          <w:szCs w:val="24"/>
          <w14:textFill>
            <w14:solidFill>
              <w14:schemeClr w14:val="tx1"/>
            </w14:solidFill>
          </w14:textFill>
        </w:rPr>
        <w:t>21．开标</w:t>
      </w:r>
      <w:bookmarkEnd w:id="169"/>
      <w:bookmarkEnd w:id="170"/>
      <w:bookmarkEnd w:id="171"/>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 采购代理机构在招标文件规定的时间和地点组织公开开标，采购人、投标人须</w:t>
      </w:r>
      <w:r>
        <w:rPr>
          <w:rFonts w:hint="eastAsia" w:ascii="宋体" w:hAnsi="宋体" w:cs="宋体"/>
          <w:color w:val="000000" w:themeColor="text1"/>
          <w:sz w:val="24"/>
          <w:szCs w:val="24"/>
          <w:lang w:val="en-US" w:eastAsia="zh-CN"/>
          <w14:textFill>
            <w14:solidFill>
              <w14:schemeClr w14:val="tx1"/>
            </w14:solidFill>
          </w14:textFill>
        </w:rPr>
        <w:t>在线参加开标活动</w:t>
      </w:r>
      <w:r>
        <w:rPr>
          <w:rFonts w:hint="eastAsia" w:ascii="宋体" w:hAnsi="宋体" w:cs="宋体"/>
          <w:color w:val="000000" w:themeColor="text1"/>
          <w:sz w:val="24"/>
          <w:szCs w:val="24"/>
          <w14:textFill>
            <w14:solidFill>
              <w14:schemeClr w14:val="tx1"/>
            </w14:solidFill>
          </w14:textFill>
        </w:rPr>
        <w:t>。</w:t>
      </w: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 开标时，采购代理机构可以邀请有关监督管理部门对开标进行现场监督。</w:t>
      </w: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21.3 开标时，</w:t>
      </w:r>
      <w:r>
        <w:rPr>
          <w:rFonts w:hint="eastAsia" w:ascii="宋体" w:hAnsi="宋体" w:cs="宋体"/>
          <w:color w:val="000000" w:themeColor="text1"/>
          <w:sz w:val="24"/>
          <w:szCs w:val="24"/>
          <w:lang w:val="en-US" w:eastAsia="zh-CN"/>
          <w14:textFill>
            <w14:solidFill>
              <w14:schemeClr w14:val="tx1"/>
            </w14:solidFill>
          </w14:textFill>
        </w:rPr>
        <w:t>进行在线解密，</w:t>
      </w:r>
      <w:r>
        <w:rPr>
          <w:rFonts w:hint="eastAsia" w:ascii="宋体" w:hAnsi="宋体" w:cs="宋体"/>
          <w:color w:val="000000" w:themeColor="text1"/>
          <w:sz w:val="24"/>
          <w:szCs w:val="24"/>
          <w14:textFill>
            <w14:solidFill>
              <w14:schemeClr w14:val="tx1"/>
            </w14:solidFill>
          </w14:textFill>
        </w:rPr>
        <w:t xml:space="preserve">并由唱标人员按照招标文件规定的内容进行宣读。 </w:t>
      </w:r>
    </w:p>
    <w:p>
      <w:pPr>
        <w:widowControl/>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21.4 开标时，总价金额与按单价计算的汇总金额不一致的，以单价计算的汇总金额为准；单价金额有明显小数点错误的，以总价为准，并修改单价。</w:t>
      </w:r>
    </w:p>
    <w:p>
      <w:pPr>
        <w:pStyle w:val="31"/>
        <w:snapToGrid/>
        <w:spacing w:line="500" w:lineRule="exact"/>
        <w:ind w:firstLine="480"/>
        <w:contextualSpacing/>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 投标文件中有关明细表内容与“开标一览表”不一致的，以“开标一览表”为准。对不同文字文本投标文件的解释发生异议的，以中文文本为准。</w:t>
      </w: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21.6 所有投标唱标完毕，如投标人代表对宣读的“开标一览表”上的内容有异议的，应在获得开标会主持人同意后当场提出。如确实属于唱标人员宣读错了的，经现场监督人员核实后，当场予以更正。</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72" w:name="_Toc217446058"/>
      <w:r>
        <w:rPr>
          <w:rFonts w:hint="eastAsia" w:ascii="宋体" w:hAnsi="宋体" w:cs="宋体"/>
          <w:b/>
          <w:color w:val="000000" w:themeColor="text1"/>
          <w:sz w:val="24"/>
          <w:szCs w:val="24"/>
          <w14:textFill>
            <w14:solidFill>
              <w14:schemeClr w14:val="tx1"/>
            </w14:solidFill>
          </w14:textFill>
        </w:rPr>
        <w:t>22. 开标程序</w:t>
      </w:r>
      <w:bookmarkEnd w:id="172"/>
    </w:p>
    <w:p>
      <w:pPr>
        <w:pStyle w:val="31"/>
        <w:snapToGrid/>
        <w:spacing w:line="500" w:lineRule="exact"/>
        <w:ind w:firstLine="480"/>
        <w:contextualSpacing/>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开标会主持人按照招标文件规定的开标时间宣布开标，按照规定要求主持开标会。开标将按以下程序进行：</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（1）宣布开标会开始。开标时间到，主持人宣布开标会开始并致辞，当众宣布参加开标会的现场监督人员和主持人、唱标、监标、会议记录等招标工作人员，根据“供应商签到表”宣布参加投标的供应商名单。</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（2）宣布会场纪律和有关注意事项。</w:t>
      </w:r>
    </w:p>
    <w:p>
      <w:pPr>
        <w:spacing w:line="500" w:lineRule="exact"/>
        <w:ind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（3）监督人当众宣布</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cs="宋体"/>
          <w:color w:val="000000" w:themeColor="text1"/>
          <w:sz w:val="24"/>
          <w:szCs w:val="24"/>
          <w14:textFill>
            <w14:solidFill>
              <w14:schemeClr w14:val="tx1"/>
            </w14:solidFill>
          </w14:textFill>
        </w:rPr>
        <w:t>投标文件的情况。</w:t>
      </w:r>
    </w:p>
    <w:p>
      <w:pPr>
        <w:pStyle w:val="48"/>
        <w:ind w:firstLine="480" w:firstLineChars="200"/>
        <w:rPr>
          <w:rFonts w:hint="default" w:eastAsia="宋体"/>
          <w:lang w:val="en-US" w:eastAsia="zh-CN"/>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投标文件解密。</w:t>
      </w:r>
    </w:p>
    <w:p>
      <w:pPr>
        <w:spacing w:line="500" w:lineRule="exact"/>
        <w:ind w:firstLine="460" w:firstLineChars="192"/>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）开标唱标。主持人宣布开标后，由现场工作人员按任意顺序对投标人的</w:t>
      </w:r>
      <w:r>
        <w:rPr>
          <w:rFonts w:hint="eastAsia" w:ascii="宋体" w:hAnsi="宋体" w:cs="宋体"/>
          <w:color w:val="000000" w:themeColor="text1"/>
          <w:sz w:val="24"/>
          <w:szCs w:val="24"/>
          <w:lang w:val="en-US" w:eastAsia="zh-CN"/>
          <w14:textFill>
            <w14:solidFill>
              <w14:schemeClr w14:val="tx1"/>
            </w14:solidFill>
          </w14:textFill>
        </w:rPr>
        <w:t>投标报价</w:t>
      </w:r>
      <w:r>
        <w:rPr>
          <w:rFonts w:hint="eastAsia" w:ascii="宋体" w:hAnsi="宋体" w:cs="宋体"/>
          <w:color w:val="000000" w:themeColor="text1"/>
          <w:sz w:val="24"/>
          <w:szCs w:val="24"/>
          <w14:textFill>
            <w14:solidFill>
              <w14:schemeClr w14:val="tx1"/>
            </w14:solidFill>
          </w14:textFill>
        </w:rPr>
        <w:t>进行宣读并做开标记录。</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（6）对各投标人的投标文件资格性审查、符合性审查和详细评审，评审标准详见第六章。</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（7）宣布开标会结束。主持人宣布开标会结束后，所有投标人代表应立即退场。</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73" w:name="_Toc217446059"/>
      <w:r>
        <w:rPr>
          <w:rFonts w:hint="eastAsia" w:ascii="宋体" w:hAnsi="宋体" w:cs="宋体"/>
          <w:b/>
          <w:color w:val="000000" w:themeColor="text1"/>
          <w:sz w:val="24"/>
          <w:szCs w:val="24"/>
          <w14:textFill>
            <w14:solidFill>
              <w14:schemeClr w14:val="tx1"/>
            </w14:solidFill>
          </w14:textFill>
        </w:rPr>
        <w:t>23. 评标</w:t>
      </w:r>
      <w:bookmarkEnd w:id="173"/>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 评标工作由招标人依法组建的评标委员会（以下简称评委会）负责。评标委员会由专家库中熟悉相关技术的专家组成，成员人数为五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 评委会严格按照《政府采购货物和服务招标投标管理办法》（财政部第87号令）规定的程序和招标文件规定的评分办法及标准对投标文件进行评审打分。</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 评标过程严格保密。投标人对评委会的评标过程或合同授予决定施加影响的任何行为都可能导致其投标被拒绝。投标人在评标过程中，所进行的试图影响评标结果的不符合《中华人民共和国政府采购法》及本次招标有关规定的活动，将被取消中标资格。</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 评委会认定实质性响应招标文件的投标是投标文件与招标文件要求的全部条款、条件和规格相符，没有实质性负偏离。评委会决定投标文件的响应性依据投标文件本身的内容，而不寻求外部的证据。</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如果投标文件没有实质性响应招标文件的要求，评委会将予以拒绝。投标人不得通过修正或撤消不合要求的偏离或保留从而使其投标成为实质性响应的投标。</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23.7 评委会只对确定为实质性响应招标文件要求的投标文件，根据招标文件的要求采用相同的评标程序、评分办法及标准进行评价和比较。</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23.8 投标文件属于下列情况的，在资格性、符合性检查时按照无效投标处理：</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（1）未按照招标文件规定交纳投标保证金的</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无需缴纳</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（2）未按照招标文件规定和要求签署、盖章的；</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（3）不具备招标文件中规定的资格条件和要求的；</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（4）报价超过招标文件中规定的预算金额或者最高限价的；</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w:t>
      </w:r>
      <w:bookmarkStart w:id="174" w:name="_Toc183682370"/>
      <w:bookmarkStart w:id="175" w:name="_Toc183582233"/>
      <w:r>
        <w:rPr>
          <w:rFonts w:hint="eastAsia" w:ascii="宋体" w:hAnsi="宋体" w:cs="宋体"/>
          <w:b/>
          <w:bCs/>
          <w:color w:val="000000" w:themeColor="text1"/>
          <w:sz w:val="24"/>
          <w:szCs w:val="24"/>
          <w14:textFill>
            <w14:solidFill>
              <w14:schemeClr w14:val="tx1"/>
            </w14:solidFill>
          </w14:textFill>
        </w:rPr>
        <w:t>）投标文件含有采购人不能接受的附件条件的；</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（6）不符合法律法规和招标文件中规定的其他实质性要求的；</w:t>
      </w:r>
    </w:p>
    <w:p>
      <w:pPr>
        <w:spacing w:line="500" w:lineRule="exact"/>
        <w:ind w:firstLine="482" w:firstLineChars="200"/>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（7）招标文件规定的其他无效投标情形。</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23.9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bookmarkEnd w:id="174"/>
    <w:bookmarkEnd w:id="175"/>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176" w:name="_Toc487728204"/>
      <w:bookmarkStart w:id="177" w:name="_Toc6915"/>
      <w:bookmarkStart w:id="178" w:name="_Toc13333"/>
      <w:bookmarkStart w:id="179" w:name="_Toc217446060"/>
      <w:bookmarkStart w:id="180" w:name="_Toc30696"/>
      <w:bookmarkStart w:id="181" w:name="_Toc406749975"/>
      <w:r>
        <w:rPr>
          <w:rFonts w:hint="eastAsia" w:ascii="宋体" w:hAnsi="宋体" w:cs="宋体"/>
          <w:color w:val="000000" w:themeColor="text1"/>
          <w:sz w:val="24"/>
          <w:szCs w:val="24"/>
          <w14:textFill>
            <w14:solidFill>
              <w14:schemeClr w14:val="tx1"/>
            </w14:solidFill>
          </w14:textFill>
        </w:rPr>
        <w:t>五、定标</w:t>
      </w:r>
      <w:bookmarkEnd w:id="176"/>
      <w:bookmarkEnd w:id="177"/>
      <w:bookmarkEnd w:id="178"/>
      <w:bookmarkEnd w:id="179"/>
      <w:bookmarkEnd w:id="180"/>
      <w:bookmarkEnd w:id="181"/>
      <w:bookmarkStart w:id="182" w:name="_Toc217446061"/>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24. 定标原则</w:t>
      </w:r>
      <w:bookmarkEnd w:id="182"/>
    </w:p>
    <w:p>
      <w:pPr>
        <w:pStyle w:val="10"/>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根据评委会推荐的中标候选人名单，按顺序确定中标人。</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83" w:name="_Toc217446062"/>
      <w:r>
        <w:rPr>
          <w:rFonts w:hint="eastAsia" w:ascii="宋体" w:hAnsi="宋体" w:cs="宋体"/>
          <w:b/>
          <w:color w:val="000000" w:themeColor="text1"/>
          <w:sz w:val="24"/>
          <w:szCs w:val="24"/>
          <w14:textFill>
            <w14:solidFill>
              <w14:schemeClr w14:val="tx1"/>
            </w14:solidFill>
          </w14:textFill>
        </w:rPr>
        <w:t>25. 定标程序</w:t>
      </w:r>
      <w:bookmarkEnd w:id="183"/>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评委会将评标情况写出书面报告，推荐中标候选人，并按照综合得分高低标明排列顺序。综合得分相同的，按投标报价由低到高顺序排列。得分且投标报价相同的，按技术指标优劣顺序排列。</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招标人在评标结束后五个工作日内将评标报告送采购人。</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采购人在收到评标报告后五个工作日内，按照评标报告中推荐的中标候选人顺序确定中标人。</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根据采购人确定的中标人，招标人在信息网上发布中标公告，同时向中标人发出中标通知书。</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 招标采购单位不解释中标或落标原因，不退回投标文件和其他投标资料。</w:t>
      </w:r>
    </w:p>
    <w:p>
      <w:pPr>
        <w:spacing w:line="500" w:lineRule="exact"/>
        <w:contextualSpacing/>
        <w:rPr>
          <w:rFonts w:hint="eastAsia" w:ascii="宋体" w:hAnsi="宋体" w:cs="宋体"/>
          <w:b/>
          <w:color w:val="000000" w:themeColor="text1"/>
          <w:sz w:val="24"/>
          <w:szCs w:val="24"/>
          <w14:textFill>
            <w14:solidFill>
              <w14:schemeClr w14:val="tx1"/>
            </w14:solidFill>
          </w14:textFill>
        </w:rPr>
      </w:pPr>
      <w:bookmarkStart w:id="184" w:name="_Toc183682375"/>
      <w:bookmarkStart w:id="185" w:name="_Toc183582238"/>
      <w:bookmarkStart w:id="186" w:name="_Toc217446063"/>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26．中标通知</w:t>
      </w:r>
      <w:bookmarkEnd w:id="184"/>
      <w:bookmarkEnd w:id="185"/>
      <w:r>
        <w:rPr>
          <w:rFonts w:hint="eastAsia" w:ascii="宋体" w:hAnsi="宋体" w:cs="宋体"/>
          <w:b/>
          <w:color w:val="000000" w:themeColor="text1"/>
          <w:sz w:val="24"/>
          <w:szCs w:val="24"/>
          <w14:textFill>
            <w14:solidFill>
              <w14:schemeClr w14:val="tx1"/>
            </w14:solidFill>
          </w14:textFill>
        </w:rPr>
        <w:t>书</w:t>
      </w:r>
      <w:bookmarkEnd w:id="186"/>
    </w:p>
    <w:p>
      <w:pPr>
        <w:tabs>
          <w:tab w:val="left" w:pos="7665"/>
        </w:tabs>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中标通知书为签订政府采购合同的依据，是合同的有效组成部分。</w:t>
      </w:r>
    </w:p>
    <w:p>
      <w:pPr>
        <w:tabs>
          <w:tab w:val="left" w:pos="7665"/>
        </w:tabs>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26.2 中标通知书对采购人和中标人均具有法律效力。中标通知书发出后，采购人改变中标结果，或者中标人无正当理由放弃中标的，应当承担相应的法律责任。</w:t>
      </w:r>
    </w:p>
    <w:p>
      <w:pPr>
        <w:tabs>
          <w:tab w:val="left" w:pos="7665"/>
        </w:tabs>
        <w:spacing w:line="500" w:lineRule="exact"/>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187" w:name="_Toc406749976"/>
      <w:bookmarkStart w:id="188" w:name="_Toc12076"/>
      <w:bookmarkStart w:id="189" w:name="_Toc217446064"/>
      <w:bookmarkStart w:id="190" w:name="_Toc20203"/>
      <w:bookmarkStart w:id="191" w:name="_Toc487728205"/>
      <w:bookmarkStart w:id="192" w:name="_Toc22321"/>
      <w:bookmarkStart w:id="193" w:name="_Toc183582240"/>
      <w:bookmarkStart w:id="194" w:name="_Toc183682377"/>
      <w:r>
        <w:rPr>
          <w:rFonts w:hint="eastAsia" w:ascii="宋体" w:hAnsi="宋体" w:cs="宋体"/>
          <w:color w:val="000000" w:themeColor="text1"/>
          <w:sz w:val="24"/>
          <w:szCs w:val="24"/>
          <w14:textFill>
            <w14:solidFill>
              <w14:schemeClr w14:val="tx1"/>
            </w14:solidFill>
          </w14:textFill>
        </w:rPr>
        <w:t>六、签订及履行合同和验收</w:t>
      </w:r>
      <w:bookmarkEnd w:id="187"/>
      <w:bookmarkEnd w:id="188"/>
      <w:bookmarkEnd w:id="189"/>
      <w:bookmarkEnd w:id="190"/>
      <w:bookmarkEnd w:id="191"/>
      <w:bookmarkEnd w:id="192"/>
    </w:p>
    <w:p>
      <w:pPr>
        <w:spacing w:line="500" w:lineRule="exact"/>
        <w:contextualSpacing/>
        <w:rPr>
          <w:rFonts w:ascii="宋体" w:hAnsi="宋体" w:cs="宋体"/>
          <w:b/>
          <w:color w:val="000000" w:themeColor="text1"/>
          <w:sz w:val="24"/>
          <w:szCs w:val="24"/>
          <w14:textFill>
            <w14:solidFill>
              <w14:schemeClr w14:val="tx1"/>
            </w14:solidFill>
          </w14:textFill>
        </w:rPr>
      </w:pPr>
      <w:bookmarkStart w:id="195" w:name="_Toc217446065"/>
      <w:r>
        <w:rPr>
          <w:rFonts w:hint="eastAsia" w:ascii="宋体" w:hAnsi="宋体" w:cs="宋体"/>
          <w:b/>
          <w:color w:val="000000" w:themeColor="text1"/>
          <w:sz w:val="24"/>
          <w:szCs w:val="24"/>
          <w14:textFill>
            <w14:solidFill>
              <w14:schemeClr w14:val="tx1"/>
            </w14:solidFill>
          </w14:textFill>
        </w:rPr>
        <w:t>27. 签订合同</w:t>
      </w:r>
      <w:bookmarkEnd w:id="195"/>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27.1 中标人在收到招标人发出的《中标通知书》后，应在招标文件规定的时间内与采购人签订采购合同。由于中标人的原因逾期未与采购人签订采购合同的，将视为放弃中标，取消其中标资格并将按相关规定进行处理。</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27.2 采购人不得向中标人提出任何不合理的要求，作为签订合同的条件，不得与中标人私下订立背离合同实质性内容的任何协议，所签订的合同不得对招标文件和中标人投标文件作实质性修改。</w:t>
      </w:r>
    </w:p>
    <w:p>
      <w:pPr>
        <w:spacing w:line="500" w:lineRule="exact"/>
        <w:ind w:firstLine="420" w:firstLineChars="17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27.3 中标人因不可抗力原因不能履行采购合同或放弃中标的，采购人可以与排在中标人之后第一位的中标候选人签订采购合同，以此类推。</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96" w:name="_Toc217446066"/>
      <w:r>
        <w:rPr>
          <w:rFonts w:hint="eastAsia" w:ascii="宋体" w:hAnsi="宋体" w:cs="宋体"/>
          <w:b/>
          <w:color w:val="000000" w:themeColor="text1"/>
          <w:sz w:val="24"/>
          <w:szCs w:val="24"/>
          <w14:textFill>
            <w14:solidFill>
              <w14:schemeClr w14:val="tx1"/>
            </w14:solidFill>
          </w14:textFill>
        </w:rPr>
        <w:t>28. 合同分包</w:t>
      </w:r>
      <w:bookmarkEnd w:id="196"/>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 经采购人同意，中标人可以依法采取分包方式履行合同。这种要求应当在合同签订之前征得采购人同意，并且分包供应商履行的分包项目的品牌、规格型号及技术要求等，必须与中标的一致。</w:t>
      </w:r>
    </w:p>
    <w:p>
      <w:pPr>
        <w:spacing w:line="500" w:lineRule="exact"/>
        <w:ind w:firstLine="49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 采购合同实行分包履行的，中标人就采购项目和分包项目向采购人负责，分包供应商就分包项目承担责任。</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97" w:name="_Toc217446067"/>
      <w:r>
        <w:rPr>
          <w:rFonts w:hint="eastAsia" w:ascii="宋体" w:hAnsi="宋体" w:cs="宋体"/>
          <w:b/>
          <w:color w:val="000000" w:themeColor="text1"/>
          <w:sz w:val="24"/>
          <w:szCs w:val="24"/>
          <w14:textFill>
            <w14:solidFill>
              <w14:schemeClr w14:val="tx1"/>
            </w14:solidFill>
          </w14:textFill>
        </w:rPr>
        <w:t>29. 采购人增加合同标的权</w:t>
      </w:r>
      <w:bookmarkEnd w:id="197"/>
      <w:r>
        <w:rPr>
          <w:rFonts w:hint="eastAsia" w:ascii="宋体" w:hAnsi="宋体" w:cs="宋体"/>
          <w:b/>
          <w:color w:val="000000" w:themeColor="text1"/>
          <w:sz w:val="24"/>
          <w:szCs w:val="24"/>
          <w14:textFill>
            <w14:solidFill>
              <w14:schemeClr w14:val="tx1"/>
            </w14:solidFill>
          </w14:textFill>
        </w:rPr>
        <w:t>利</w:t>
      </w:r>
    </w:p>
    <w:p>
      <w:pPr>
        <w:spacing w:line="500" w:lineRule="exact"/>
        <w:ind w:firstLine="49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98" w:name="_Toc217446068"/>
      <w:r>
        <w:rPr>
          <w:rFonts w:hint="eastAsia" w:ascii="宋体" w:hAnsi="宋体" w:cs="宋体"/>
          <w:b/>
          <w:color w:val="000000" w:themeColor="text1"/>
          <w:sz w:val="24"/>
          <w:szCs w:val="24"/>
          <w14:textFill>
            <w14:solidFill>
              <w14:schemeClr w14:val="tx1"/>
            </w14:solidFill>
          </w14:textFill>
        </w:rPr>
        <w:t>30. 履约保证金</w:t>
      </w:r>
      <w:bookmarkEnd w:id="198"/>
    </w:p>
    <w:p>
      <w:pPr>
        <w:spacing w:line="500" w:lineRule="exact"/>
        <w:ind w:firstLine="420" w:firstLineChars="175"/>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30.1 中标人应在合同签订之前交纳招标文件规定数额的履约保证金。履约保证金，本地以转账、异地以电汇方式交至：采购人指定账户上。</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30.2 如果中标人在规定的合同签订时间内，没有按照招标文件的规定交纳履约保证金，且又无正当理由的，将视为放弃中标，其交纳的投标保证金将不与退还。</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199" w:name="_Toc217446069"/>
      <w:r>
        <w:rPr>
          <w:rFonts w:hint="eastAsia" w:ascii="宋体" w:hAnsi="宋体" w:cs="宋体"/>
          <w:b/>
          <w:color w:val="000000" w:themeColor="text1"/>
          <w:sz w:val="24"/>
          <w:szCs w:val="24"/>
          <w14:textFill>
            <w14:solidFill>
              <w14:schemeClr w14:val="tx1"/>
            </w14:solidFill>
          </w14:textFill>
        </w:rPr>
        <w:t>31. 履行合同</w:t>
      </w:r>
      <w:bookmarkEnd w:id="199"/>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31.1 中标人与采购人签订合同后，合同双方应严格执行合同条款，履行合同规定的义务，保证合同的顺利完成。</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31.2 在合同履行过程中，如发生合同纠纷，合同双方应按照《合同法》的有关规定进行处理。</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200" w:name="_Toc217446070"/>
      <w:r>
        <w:rPr>
          <w:rFonts w:hint="eastAsia" w:ascii="宋体" w:hAnsi="宋体" w:cs="宋体"/>
          <w:b/>
          <w:color w:val="000000" w:themeColor="text1"/>
          <w:sz w:val="24"/>
          <w:szCs w:val="24"/>
          <w14:textFill>
            <w14:solidFill>
              <w14:schemeClr w14:val="tx1"/>
            </w14:solidFill>
          </w14:textFill>
        </w:rPr>
        <w:t>32. 验收</w:t>
      </w:r>
      <w:bookmarkEnd w:id="200"/>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中标人交货时，由采购人依据合同组织验收，如验收合格，采购人应签署《验收结算书》。</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采购人应当在中标人交货后10个工作日内组织货物或服务的验收，无正当理由拒不验收超过10个工作日后，视为验收合格。</w:t>
      </w:r>
    </w:p>
    <w:p>
      <w:pPr>
        <w:spacing w:line="500" w:lineRule="exact"/>
        <w:ind w:firstLine="42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货物（设备）使用和运行60天后无质量问题，采购人应签署《质量验收合格证明书》。</w:t>
      </w:r>
    </w:p>
    <w:p>
      <w:pPr>
        <w:spacing w:line="500" w:lineRule="exact"/>
        <w:ind w:firstLine="470" w:firstLineChars="19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32.4 中标人凭《质量验收合格证明书》到采购人财务科室办理履约保证金退款手续（办理退款手续时，中标人需开具收据）。</w:t>
      </w:r>
      <w:bookmarkStart w:id="201" w:name="_Toc217446071"/>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202" w:name="_Toc30766"/>
      <w:bookmarkStart w:id="203" w:name="_Toc406749977"/>
      <w:bookmarkStart w:id="204" w:name="_Toc6965"/>
      <w:bookmarkStart w:id="205" w:name="_Toc7688"/>
      <w:bookmarkStart w:id="206" w:name="_Toc487728206"/>
      <w:r>
        <w:rPr>
          <w:rFonts w:hint="eastAsia" w:ascii="宋体" w:hAnsi="宋体" w:cs="宋体"/>
          <w:color w:val="000000" w:themeColor="text1"/>
          <w:sz w:val="24"/>
          <w:szCs w:val="24"/>
          <w14:textFill>
            <w14:solidFill>
              <w14:schemeClr w14:val="tx1"/>
            </w14:solidFill>
          </w14:textFill>
        </w:rPr>
        <w:t>七、</w:t>
      </w:r>
      <w:bookmarkEnd w:id="201"/>
      <w:bookmarkEnd w:id="202"/>
      <w:bookmarkEnd w:id="203"/>
      <w:r>
        <w:rPr>
          <w:rFonts w:hint="eastAsia" w:ascii="宋体" w:hAnsi="宋体" w:cs="宋体"/>
          <w:color w:val="000000" w:themeColor="text1"/>
          <w:sz w:val="24"/>
          <w:szCs w:val="24"/>
          <w14:textFill>
            <w14:solidFill>
              <w14:schemeClr w14:val="tx1"/>
            </w14:solidFill>
          </w14:textFill>
        </w:rPr>
        <w:t>重新招标和其他方式采购</w:t>
      </w:r>
      <w:bookmarkEnd w:id="204"/>
      <w:bookmarkEnd w:id="205"/>
      <w:bookmarkEnd w:id="206"/>
    </w:p>
    <w:bookmarkEnd w:id="193"/>
    <w:bookmarkEnd w:id="194"/>
    <w:p>
      <w:pPr>
        <w:spacing w:line="500" w:lineRule="exact"/>
        <w:contextualSpacing/>
        <w:rPr>
          <w:rFonts w:ascii="宋体" w:hAnsi="宋体" w:cs="宋体"/>
          <w:b/>
          <w:color w:val="000000" w:themeColor="text1"/>
          <w:sz w:val="24"/>
          <w:szCs w:val="24"/>
          <w14:textFill>
            <w14:solidFill>
              <w14:schemeClr w14:val="tx1"/>
            </w14:solidFill>
          </w14:textFill>
        </w:rPr>
      </w:pPr>
      <w:bookmarkStart w:id="207" w:name="_Toc164"/>
      <w:bookmarkStart w:id="208" w:name="_Toc217446074"/>
      <w:bookmarkStart w:id="209" w:name="_Toc406749978"/>
      <w:bookmarkStart w:id="210" w:name="_Toc183682380"/>
      <w:bookmarkStart w:id="211" w:name="_Toc183582243"/>
      <w:r>
        <w:rPr>
          <w:rFonts w:hint="eastAsia" w:ascii="宋体" w:hAnsi="宋体" w:cs="宋体"/>
          <w:b/>
          <w:color w:val="000000" w:themeColor="text1"/>
          <w:sz w:val="24"/>
          <w:szCs w:val="24"/>
          <w14:textFill>
            <w14:solidFill>
              <w14:schemeClr w14:val="tx1"/>
            </w14:solidFill>
          </w14:textFill>
        </w:rPr>
        <w:t>33. 重新招标</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33.1在招标采购中，出现下列情形之一的，应当在废标后重新招标：</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（1）符合专业条件的投标人或者对招标文件作实质响应的投标人不足三家的；</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（2）出现影响采购公正的违法、违规行为的；</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（3）投标人的报价均超过了采购预算，采购人不能支付的；</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（4）因重大变故，采购任务取消的。</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33.2如果排名第一、二的中标候选人，直至排名第三的中标候选人因不可抗力或自身原因放弃中标结果，本次招标宣布失败。招标人应重新组织招标。</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34. 其他方式采购</w:t>
      </w:r>
    </w:p>
    <w:p>
      <w:pPr>
        <w:spacing w:line="500" w:lineRule="exact"/>
        <w:ind w:firstLine="434" w:firstLineChars="18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34.1需要采取其他方式采购的，应当在采购活动开始前获得设区的市、自治州以上人民政府采购监督管理部门或者政府有关部门批准。</w:t>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212" w:name="_Toc487728207"/>
      <w:bookmarkStart w:id="213" w:name="_Toc21068"/>
      <w:bookmarkStart w:id="214" w:name="_Toc10160"/>
      <w:r>
        <w:rPr>
          <w:rFonts w:hint="eastAsia" w:ascii="宋体" w:hAnsi="宋体" w:cs="宋体"/>
          <w:color w:val="000000" w:themeColor="text1"/>
          <w:sz w:val="24"/>
          <w:szCs w:val="24"/>
          <w14:textFill>
            <w14:solidFill>
              <w14:schemeClr w14:val="tx1"/>
            </w14:solidFill>
          </w14:textFill>
        </w:rPr>
        <w:t>八、投标纪律要求</w:t>
      </w:r>
      <w:bookmarkEnd w:id="207"/>
      <w:bookmarkEnd w:id="208"/>
      <w:bookmarkEnd w:id="209"/>
      <w:bookmarkEnd w:id="212"/>
      <w:bookmarkEnd w:id="213"/>
      <w:bookmarkEnd w:id="214"/>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35.对招标人的纪律要求</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35.1招标人不得泄露招标投标活动中应当保密的情况和资料，不得与投标人串通损害国家利益、社会公共利益或者他人合法利益。招标人不得有下列行为之一：</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（1）与投标人恶意串通的；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（2）在采购过程中接受贿赂或者获取其他不正当利益的；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（3）在有关部门依法实施的监督检查中提供虚假情况的；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（4）开标前泄露已获取招标文件的潜在投标人的名称、数量、标底或者其他可能影响公平竞争的有关招标投标情况的。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（5）法律、法规规定的其他违法、违规情形。</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36. 对投标人的纪律要求</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1投标人不得相互串通投标或者与招标人串通投标，不得向招标人或者评标委员会成员行贿谋取中标，不得以其它方式弄虚作假骗取中标；投标人不得以任何方式干扰、影响评标工作。投标人不得有下列行为之一：</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（1）提供虚假材料谋取中标的；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（2）采取不正当手段诋毁、排挤其他投标人的；</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（3）与招标采购单位、其他投标人恶意串通的；</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（4）向招标采购单位行贿或者提供其他不正当利益的；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（5）在招标过程中与招标采购单位进行协商谈判、不按照招标文件和中标投标人的投标文件订立合同，或者与采购人另行订立背离合同实质性内容的协议的；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（6）拒绝有关部门监督检查或者提供虚假情况的；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（7）法律、法规规定的其他违法、违规情形。</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37. 对评标委员会成员的纪律要求</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（1）明知应当回避而未主动回避的；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（2）在知道自己为评委会成员身份后至评标结束前的时段内私下接触投标投标人的；</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（3）在评标过程中擅离职守，影响评标程序正常进行的；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（4）在评标过程中有明显不合理或者不正当倾向性的； </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（5）未按招标文件规定的评标方法和标准进行评标的。</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（6）法律、法规规定的其他违法、违规情形。 </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38.对与评标活动有关的工作人员的纪律要求</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39 监督检查</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39.1政府采购监督管理部门应对在政府采购活动中的当事人有关政府采购的法律、行政法规和规章的执行情况和采购范围、采购方式和采购程序的执行等情况进行监督检查。</w:t>
      </w:r>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39.2招标项目行政监督部门可视情依法派员对招标活动的全程进行监督。</w:t>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215" w:name="_Toc217446076"/>
      <w:bookmarkStart w:id="216" w:name="_Toc406749979"/>
      <w:bookmarkStart w:id="217" w:name="_Toc25635"/>
      <w:bookmarkStart w:id="218" w:name="_Toc26976"/>
      <w:bookmarkStart w:id="219" w:name="_Toc487728208"/>
      <w:bookmarkStart w:id="220" w:name="_Toc8437"/>
      <w:r>
        <w:rPr>
          <w:rFonts w:hint="eastAsia" w:ascii="宋体" w:hAnsi="宋体" w:cs="宋体"/>
          <w:color w:val="000000" w:themeColor="text1"/>
          <w:sz w:val="24"/>
          <w:szCs w:val="24"/>
          <w14:textFill>
            <w14:solidFill>
              <w14:schemeClr w14:val="tx1"/>
            </w14:solidFill>
          </w14:textFill>
        </w:rPr>
        <w:t>九、支付货款</w:t>
      </w:r>
      <w:bookmarkEnd w:id="215"/>
      <w:bookmarkEnd w:id="216"/>
      <w:bookmarkEnd w:id="217"/>
      <w:bookmarkEnd w:id="218"/>
      <w:bookmarkEnd w:id="219"/>
      <w:bookmarkEnd w:id="220"/>
    </w:p>
    <w:p>
      <w:pPr>
        <w:spacing w:line="500" w:lineRule="exact"/>
        <w:contextualSpacing/>
        <w:rPr>
          <w:rFonts w:ascii="宋体" w:hAnsi="宋体" w:cs="宋体"/>
          <w:b/>
          <w:color w:val="000000" w:themeColor="text1"/>
          <w:sz w:val="24"/>
          <w:szCs w:val="24"/>
          <w14:textFill>
            <w14:solidFill>
              <w14:schemeClr w14:val="tx1"/>
            </w14:solidFill>
          </w14:textFill>
        </w:rPr>
      </w:pPr>
      <w:bookmarkStart w:id="221" w:name="_Toc217446077"/>
      <w:r>
        <w:rPr>
          <w:rFonts w:hint="eastAsia" w:ascii="宋体" w:hAnsi="宋体" w:cs="宋体"/>
          <w:b/>
          <w:color w:val="000000" w:themeColor="text1"/>
          <w:sz w:val="24"/>
          <w:szCs w:val="24"/>
          <w14:textFill>
            <w14:solidFill>
              <w14:schemeClr w14:val="tx1"/>
            </w14:solidFill>
          </w14:textFill>
        </w:rPr>
        <w:t>40. 申请支付</w:t>
      </w:r>
      <w:bookmarkEnd w:id="221"/>
    </w:p>
    <w:p>
      <w:pPr>
        <w:spacing w:line="500" w:lineRule="exact"/>
        <w:ind w:firstLine="460" w:firstLineChars="19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40.1 货物（设备）或服务验收合格，采购人签署《验收结算书》后，向财政部门提出支付申请。采购人采购货物的自有资金部分，由采购人直接支付给中标人。</w:t>
      </w:r>
    </w:p>
    <w:p>
      <w:pPr>
        <w:pStyle w:val="24"/>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40.2 财政部门根据采购人的支付申请，并对采购合同进行审核后，直接将集中支付货款支付给中标人。</w:t>
      </w:r>
      <w:bookmarkStart w:id="222" w:name="_Toc217446078"/>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223" w:name="_Toc1719"/>
      <w:bookmarkStart w:id="224" w:name="_Toc487728209"/>
      <w:bookmarkStart w:id="225" w:name="_Toc32663"/>
      <w:bookmarkStart w:id="226" w:name="_Toc9549"/>
      <w:bookmarkStart w:id="227" w:name="_Toc406749980"/>
      <w:r>
        <w:rPr>
          <w:rFonts w:hint="eastAsia" w:ascii="宋体" w:hAnsi="宋体" w:cs="宋体"/>
          <w:color w:val="000000" w:themeColor="text1"/>
          <w:sz w:val="24"/>
          <w:szCs w:val="24"/>
          <w14:textFill>
            <w14:solidFill>
              <w14:schemeClr w14:val="tx1"/>
            </w14:solidFill>
          </w14:textFill>
        </w:rPr>
        <w:t>十、质疑和投诉</w:t>
      </w:r>
      <w:bookmarkEnd w:id="222"/>
      <w:bookmarkEnd w:id="223"/>
      <w:bookmarkEnd w:id="224"/>
      <w:bookmarkEnd w:id="225"/>
      <w:bookmarkEnd w:id="226"/>
      <w:bookmarkEnd w:id="227"/>
      <w:bookmarkStart w:id="228" w:name="_Toc217446079"/>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41.质疑和投诉</w:t>
      </w:r>
    </w:p>
    <w:bookmarkEnd w:id="210"/>
    <w:bookmarkEnd w:id="211"/>
    <w:bookmarkEnd w:id="228"/>
    <w:p>
      <w:pPr>
        <w:pStyle w:val="24"/>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bookmarkStart w:id="229" w:name="_Toc217446081"/>
      <w:r>
        <w:rPr>
          <w:rFonts w:hint="eastAsia" w:ascii="宋体" w:hAnsi="宋体" w:cs="宋体"/>
          <w:color w:val="000000" w:themeColor="text1"/>
          <w:sz w:val="24"/>
          <w:szCs w:val="24"/>
          <w14:textFill>
            <w14:solidFill>
              <w14:schemeClr w14:val="tx1"/>
            </w14:solidFill>
          </w14:textFill>
        </w:rPr>
        <w:t>详细规定在新疆维吾尔自治区政府采购网法律法规模块见《政府采购法》、《政府采购供应商投诉办法》、《财政部关于加强政府采购供应商投诉受理审查工作的通知》、《新疆维吾尔自治区政府采购供应商质疑处理暂行办法》和《新疆维吾尔自治区政府采购供应商投诉处理工作规程》。</w:t>
      </w:r>
    </w:p>
    <w:p>
      <w:pPr>
        <w:spacing w:line="500" w:lineRule="exact"/>
        <w:rPr>
          <w:sz w:val="24"/>
          <w:szCs w:val="24"/>
        </w:rPr>
        <w:sectPr>
          <w:footerReference r:id="rId10" w:type="first"/>
          <w:footerReference r:id="rId9" w:type="default"/>
          <w:pgSz w:w="11907" w:h="16840"/>
          <w:pgMar w:top="1134" w:right="1134" w:bottom="1134" w:left="1134" w:header="851" w:footer="851" w:gutter="0"/>
          <w:pgNumType w:chapStyle="1"/>
          <w:cols w:space="720" w:num="1"/>
        </w:sectPr>
      </w:pPr>
      <w:bookmarkStart w:id="230" w:name="_Toc487728210"/>
      <w:bookmarkStart w:id="231" w:name="_Toc10914"/>
      <w:r>
        <w:rPr>
          <w:rFonts w:hint="eastAsia" w:ascii="宋体" w:hAnsi="宋体" w:cs="宋体"/>
          <w:color w:val="000000" w:themeColor="text1"/>
          <w:sz w:val="24"/>
          <w:szCs w:val="24"/>
          <w14:textFill>
            <w14:solidFill>
              <w14:schemeClr w14:val="tx1"/>
            </w14:solidFill>
          </w14:textFill>
        </w:rPr>
        <w:br w:type="page"/>
      </w:r>
    </w:p>
    <w:bookmarkEnd w:id="230"/>
    <w:bookmarkEnd w:id="231"/>
    <w:p>
      <w:pPr>
        <w:pStyle w:val="5"/>
        <w:numPr>
          <w:ilvl w:val="0"/>
          <w:numId w:val="5"/>
        </w:numPr>
        <w:spacing w:line="500" w:lineRule="exact"/>
        <w:contextualSpacing/>
        <w:rPr>
          <w:sz w:val="24"/>
          <w:szCs w:val="24"/>
        </w:rPr>
      </w:pPr>
      <w:bookmarkStart w:id="232" w:name="_Toc2938"/>
      <w:r>
        <w:rPr>
          <w:rFonts w:hint="eastAsia"/>
          <w:sz w:val="24"/>
          <w:szCs w:val="24"/>
          <w:lang w:eastAsia="zh-CN"/>
        </w:rPr>
        <w:t>采购需求</w:t>
      </w:r>
    </w:p>
    <w:p>
      <w:pPr>
        <w:pStyle w:val="5"/>
        <w:numPr>
          <w:ilvl w:val="0"/>
          <w:numId w:val="0"/>
        </w:numPr>
        <w:spacing w:line="500" w:lineRule="exact"/>
        <w:contextualSpacing/>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项目概况：</w:t>
      </w:r>
    </w:p>
    <w:p>
      <w:pPr>
        <w:pStyle w:val="5"/>
        <w:numPr>
          <w:ilvl w:val="0"/>
          <w:numId w:val="0"/>
        </w:numPr>
        <w:spacing w:line="500" w:lineRule="exact"/>
        <w:contextualSpacing/>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新建儿科设备一批</w:t>
      </w:r>
    </w:p>
    <w:bookmarkEnd w:id="232"/>
    <w:tbl>
      <w:tblPr>
        <w:tblStyle w:val="37"/>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882"/>
        <w:gridCol w:w="2793"/>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bookmarkStart w:id="233" w:name="_Toc8607"/>
            <w:bookmarkStart w:id="234" w:name="_Toc29377"/>
            <w:bookmarkStart w:id="235" w:name="_Toc487728211"/>
            <w:r>
              <w:rPr>
                <w:rFonts w:hint="eastAsia" w:ascii="仿宋" w:hAnsi="仿宋" w:eastAsia="仿宋" w:cs="仿宋"/>
                <w:color w:val="auto"/>
                <w:sz w:val="24"/>
                <w:szCs w:val="24"/>
                <w:lang w:eastAsia="zh-CN"/>
              </w:rPr>
              <w:t>序号</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商品名称</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规格型号</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小儿全面给氧装置</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YZ-130\YZ-160\YZ-200</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全自动洗胃机(婴幼儿专用)</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DXW-B</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可视喉镜及气管插管(婴幼儿专用) </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SMT-</w:t>
            </w:r>
            <w:r>
              <w:rPr>
                <w:rFonts w:hint="eastAsia" w:ascii="仿宋" w:hAnsi="仿宋" w:eastAsia="仿宋" w:cs="仿宋"/>
                <w:color w:val="auto"/>
                <w:sz w:val="24"/>
                <w:szCs w:val="24"/>
                <w:lang w:val="en-US" w:eastAsia="zh-CN"/>
              </w:rPr>
              <w:t>II</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婴儿辐射抢救台</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HKN-93</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新生儿暖箱(婴儿培养箱)</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YP-90AC</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 </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新生儿黄疸治疗仪</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XHZ-90S</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黄疸测定仪(经皮黄疸仪)</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BM-100A</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输液泵</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MI23</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10 </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双通道注射泵</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MS32EC</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呼吸机(婴幼儿专用无创呼吸机) </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NB350</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1</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除颤监护仪(婴幼儿专用)</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D3</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新生儿亚低温治疗仪</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HN-100A </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病历推车(50本)</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空气消毒机</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LK/KJF-Y-120-D </w:t>
            </w: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3882"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输液夹 </w:t>
            </w:r>
          </w:p>
        </w:tc>
        <w:tc>
          <w:tcPr>
            <w:tcW w:w="2793"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100 </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lang w:eastAsia="zh-CN"/>
        </w:rPr>
      </w:pPr>
    </w:p>
    <w:p>
      <w:pPr>
        <w:pStyle w:val="5"/>
        <w:spacing w:line="500" w:lineRule="exact"/>
        <w:contextualSpacing/>
        <w:jc w:val="both"/>
        <w:rPr>
          <w:rFonts w:hint="eastAsia" w:ascii="宋体" w:hAnsi="宋体" w:cs="宋体"/>
          <w:color w:val="000000" w:themeColor="text1"/>
          <w:sz w:val="24"/>
          <w:szCs w:val="24"/>
          <w14:textFill>
            <w14:solidFill>
              <w14:schemeClr w14:val="tx1"/>
            </w14:solidFill>
          </w14:textFill>
        </w:rPr>
      </w:pPr>
    </w:p>
    <w:p>
      <w:pPr>
        <w:rPr>
          <w:rFonts w:hint="eastAsia"/>
        </w:rPr>
        <w:sectPr>
          <w:footerReference r:id="rId12" w:type="first"/>
          <w:footerReference r:id="rId11" w:type="default"/>
          <w:pgSz w:w="11907" w:h="16840"/>
          <w:pgMar w:top="1134" w:right="1134" w:bottom="1134" w:left="1134" w:header="851" w:footer="851" w:gutter="0"/>
          <w:pgNumType w:chapStyle="1"/>
          <w:cols w:space="720" w:num="1"/>
          <w:titlePg/>
        </w:sectPr>
      </w:pPr>
    </w:p>
    <w:p>
      <w:pPr>
        <w:pStyle w:val="5"/>
        <w:spacing w:line="500" w:lineRule="exact"/>
        <w:ind w:firstLine="3132" w:firstLineChars="1300"/>
        <w:contextualSpacing/>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第四章  合同主要条款</w:t>
      </w:r>
      <w:bookmarkEnd w:id="233"/>
      <w:bookmarkEnd w:id="234"/>
      <w:bookmarkEnd w:id="235"/>
      <w:bookmarkStart w:id="236" w:name="_Toc380404622"/>
      <w:bookmarkStart w:id="237" w:name="_Toc487728212"/>
    </w:p>
    <w:bookmarkEnd w:id="236"/>
    <w:bookmarkEnd w:id="237"/>
    <w:p>
      <w:pPr>
        <w:pStyle w:val="48"/>
        <w:rPr>
          <w:rFonts w:hint="eastAsia"/>
        </w:rPr>
      </w:pPr>
      <w:bookmarkStart w:id="238" w:name="_Toc323"/>
      <w:bookmarkStart w:id="239" w:name="_Toc23011_WPSOffice_Level2"/>
      <w:bookmarkStart w:id="240" w:name="_Toc952"/>
      <w:bookmarkStart w:id="241" w:name="_Toc17025_WPSOffice_Level2"/>
      <w:bookmarkStart w:id="242" w:name="_Toc28778_WPSOffice_Level2"/>
      <w:r>
        <w:rPr>
          <w:rFonts w:hint="eastAsia" w:ascii="宋体" w:hAnsi="宋体"/>
          <w:b/>
          <w:bCs/>
          <w:color w:val="000000"/>
          <w:sz w:val="32"/>
          <w:szCs w:val="32"/>
        </w:rPr>
        <w:t>（</w:t>
      </w:r>
      <w:r>
        <w:rPr>
          <w:rFonts w:hint="eastAsia" w:ascii="宋体" w:hAnsi="宋体"/>
          <w:b/>
          <w:bCs/>
          <w:color w:val="000000"/>
          <w:sz w:val="32"/>
          <w:szCs w:val="32"/>
          <w:lang w:val="en-US" w:eastAsia="zh-CN"/>
        </w:rPr>
        <w:t>本合同仅做参考，具体条款以实际签订的合同为准</w:t>
      </w:r>
      <w:r>
        <w:rPr>
          <w:rFonts w:hint="eastAsia" w:ascii="宋体" w:hAnsi="宋体"/>
          <w:b/>
          <w:bCs/>
          <w:color w:val="000000"/>
          <w:sz w:val="32"/>
          <w:szCs w:val="32"/>
        </w:rPr>
        <w:t>）</w:t>
      </w:r>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43" w:name="_Toc9584_WPSOffice_Level1"/>
      <w:r>
        <w:rPr>
          <w:rFonts w:hint="eastAsia" w:ascii="仿宋" w:hAnsi="仿宋" w:eastAsia="仿宋" w:cs="仿宋"/>
          <w:color w:val="auto"/>
          <w:sz w:val="24"/>
          <w:szCs w:val="24"/>
        </w:rPr>
        <w:t>政府采购合同参考范本</w:t>
      </w:r>
      <w:bookmarkEnd w:id="24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44" w:name="_Toc12301_WPSOffice_Level2"/>
      <w:r>
        <w:rPr>
          <w:rFonts w:hint="eastAsia" w:ascii="仿宋" w:hAnsi="仿宋" w:eastAsia="仿宋" w:cs="仿宋"/>
          <w:color w:val="auto"/>
          <w:sz w:val="24"/>
          <w:szCs w:val="24"/>
        </w:rPr>
        <w:t>（服务类）</w:t>
      </w:r>
      <w:bookmarkEnd w:id="24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45" w:name="_Toc7496"/>
      <w:bookmarkStart w:id="246" w:name="_Toc6256"/>
      <w:bookmarkStart w:id="247" w:name="_Toc26793"/>
      <w:bookmarkStart w:id="248" w:name="_Toc1720"/>
      <w:bookmarkStart w:id="249" w:name="_Toc20936_WPSOffice_Level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第一部分 合同书</w:t>
      </w:r>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签订地：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签订日期：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sectPr>
          <w:pgSz w:w="11907" w:h="16840"/>
          <w:pgMar w:top="1474" w:right="1814" w:bottom="1474" w:left="1814" w:header="851" w:footer="851" w:gutter="0"/>
          <w:pgNumType w:fmt="decimal"/>
          <w:cols w:space="720" w:num="1"/>
          <w:docGrid w:linePitch="46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 xml:space="preserve"> 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 xml:space="preserve">对   </w:t>
      </w:r>
      <w:r>
        <w:rPr>
          <w:rFonts w:hint="eastAsia" w:ascii="仿宋" w:hAnsi="仿宋" w:eastAsia="仿宋" w:cs="仿宋"/>
          <w:color w:val="auto"/>
          <w:sz w:val="24"/>
          <w:szCs w:val="24"/>
          <w:u w:val="single"/>
        </w:rPr>
        <w:t xml:space="preserve">（同前页项目名称）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 xml:space="preserve">评定，   </w:t>
      </w:r>
      <w:r>
        <w:rPr>
          <w:rFonts w:hint="eastAsia" w:ascii="仿宋" w:hAnsi="仿宋" w:eastAsia="仿宋" w:cs="仿宋"/>
          <w:color w:val="auto"/>
          <w:sz w:val="24"/>
          <w:szCs w:val="24"/>
          <w:u w:val="single"/>
        </w:rPr>
        <w:t>（成交供应商名称）</w:t>
      </w:r>
      <w:r>
        <w:rPr>
          <w:rFonts w:hint="eastAsia" w:ascii="仿宋" w:hAnsi="仿宋" w:eastAsia="仿宋" w:cs="仿宋"/>
          <w:color w:val="auto"/>
          <w:sz w:val="24"/>
          <w:szCs w:val="24"/>
        </w:rPr>
        <w:t>为该项目成交供应商。现于成交通知书发出之日起三十日内，按照采购文件确定的事项签订本合同。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u w:val="single"/>
          <w:lang w:val="zh-CN"/>
        </w:rPr>
        <w:t>(以下简称：甲方)</w:t>
      </w:r>
      <w:r>
        <w:rPr>
          <w:rFonts w:hint="eastAsia" w:ascii="仿宋" w:hAnsi="仿宋" w:eastAsia="仿宋" w:cs="仿宋"/>
          <w:color w:val="auto"/>
          <w:sz w:val="24"/>
          <w:szCs w:val="24"/>
          <w:lang w:val="zh-CN"/>
        </w:rPr>
        <w:t>和</w:t>
      </w:r>
      <w:r>
        <w:rPr>
          <w:rFonts w:hint="eastAsia" w:ascii="仿宋" w:hAnsi="仿宋" w:eastAsia="仿宋" w:cs="仿宋"/>
          <w:color w:val="auto"/>
          <w:sz w:val="24"/>
          <w:szCs w:val="24"/>
          <w:u w:val="single"/>
        </w:rPr>
        <w:t xml:space="preserve">   （成交供应商名称）   </w:t>
      </w:r>
      <w:r>
        <w:rPr>
          <w:rFonts w:hint="eastAsia" w:ascii="仿宋" w:hAnsi="仿宋" w:eastAsia="仿宋" w:cs="仿宋"/>
          <w:color w:val="auto"/>
          <w:sz w:val="24"/>
          <w:szCs w:val="24"/>
          <w:u w:val="single"/>
          <w:lang w:val="zh-CN"/>
        </w:rPr>
        <w:t>(以下简称：乙方)</w:t>
      </w:r>
      <w:r>
        <w:rPr>
          <w:rFonts w:hint="eastAsia" w:ascii="仿宋" w:hAnsi="仿宋" w:eastAsia="仿宋" w:cs="仿宋"/>
          <w:color w:val="auto"/>
          <w:sz w:val="24"/>
          <w:szCs w:val="24"/>
          <w:lang w:val="zh-CN"/>
        </w:rPr>
        <w:t>协商一致，约定以下合同</w:t>
      </w:r>
      <w:r>
        <w:rPr>
          <w:rFonts w:hint="eastAsia" w:ascii="仿宋" w:hAnsi="仿宋" w:eastAsia="仿宋" w:cs="仿宋"/>
          <w:color w:val="auto"/>
          <w:sz w:val="24"/>
          <w:szCs w:val="24"/>
        </w:rPr>
        <w:t>条款，以兹共同遵守、全面履行。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50" w:name="_Toc533_WPSOffice_Level2"/>
      <w:bookmarkStart w:id="251" w:name="_Toc6067"/>
      <w:bookmarkStart w:id="252" w:name="_Toc3029"/>
      <w:bookmarkStart w:id="253" w:name="_Toc5083"/>
      <w:bookmarkStart w:id="254" w:name="_Toc2232"/>
      <w:bookmarkStart w:id="255" w:name="_Toc24059"/>
      <w:bookmarkStart w:id="256" w:name="_Toc893"/>
      <w:r>
        <w:rPr>
          <w:rFonts w:hint="eastAsia" w:ascii="仿宋" w:hAnsi="仿宋" w:eastAsia="仿宋" w:cs="仿宋"/>
          <w:color w:val="auto"/>
          <w:sz w:val="24"/>
          <w:szCs w:val="24"/>
        </w:rPr>
        <w:t>1.1 合同组成部分</w:t>
      </w:r>
      <w:bookmarkEnd w:id="250"/>
      <w:bookmarkEnd w:id="251"/>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成交通知书；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响应文件（含澄清或者说明文件）；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1.1.4 磋商文件（含澄清或者修改文件）；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1.1.5 其他相关采购文件。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57" w:name="_Toc25124_WPSOffice_Level2"/>
      <w:bookmarkStart w:id="258" w:name="_Toc24300"/>
      <w:bookmarkStart w:id="259" w:name="_Toc18094"/>
      <w:bookmarkStart w:id="260" w:name="_Toc21966"/>
      <w:bookmarkStart w:id="261" w:name="_Toc27126"/>
      <w:bookmarkStart w:id="262" w:name="_Toc21295"/>
      <w:bookmarkStart w:id="263" w:name="_Toc4996"/>
      <w:r>
        <w:rPr>
          <w:rFonts w:hint="eastAsia" w:ascii="仿宋" w:hAnsi="仿宋" w:eastAsia="仿宋" w:cs="仿宋"/>
          <w:color w:val="auto"/>
          <w:sz w:val="24"/>
          <w:szCs w:val="24"/>
        </w:rPr>
        <w:t>1.2 服务</w:t>
      </w:r>
      <w:bookmarkEnd w:id="257"/>
      <w:bookmarkEnd w:id="258"/>
      <w:bookmarkEnd w:id="259"/>
      <w:bookmarkEnd w:id="260"/>
      <w:bookmarkEnd w:id="261"/>
      <w:bookmarkEnd w:id="262"/>
      <w:bookmarkEnd w:id="26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1.2.1 服务名称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 服务数量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服务质量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64" w:name="_Toc4815"/>
      <w:bookmarkStart w:id="265" w:name="_Toc21631"/>
      <w:bookmarkStart w:id="266" w:name="_Toc23292"/>
      <w:bookmarkStart w:id="267" w:name="_Toc6851_WPSOffice_Level2"/>
      <w:bookmarkStart w:id="268" w:name="_Toc21551"/>
      <w:bookmarkStart w:id="269" w:name="_Toc7340"/>
      <w:bookmarkStart w:id="270" w:name="_Toc31267"/>
      <w:r>
        <w:rPr>
          <w:rFonts w:hint="eastAsia" w:ascii="仿宋" w:hAnsi="仿宋" w:eastAsia="仿宋" w:cs="仿宋"/>
          <w:color w:val="auto"/>
          <w:sz w:val="24"/>
          <w:szCs w:val="24"/>
        </w:rPr>
        <w:t>1.3 价款</w:t>
      </w:r>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元（大写：                 元人民币）</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分项名称</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总价</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71" w:name="_Toc9077_WPSOffice_Level2"/>
      <w:bookmarkStart w:id="272" w:name="_Toc6076"/>
      <w:bookmarkStart w:id="273" w:name="_Toc10340"/>
      <w:bookmarkStart w:id="274" w:name="_Toc28728"/>
      <w:bookmarkStart w:id="275" w:name="_Toc22618"/>
      <w:bookmarkStart w:id="276" w:name="_Toc28198"/>
      <w:bookmarkStart w:id="277" w:name="_Toc1814"/>
      <w:r>
        <w:rPr>
          <w:rFonts w:hint="eastAsia" w:ascii="仿宋" w:hAnsi="仿宋" w:eastAsia="仿宋" w:cs="仿宋"/>
          <w:color w:val="auto"/>
          <w:sz w:val="24"/>
          <w:szCs w:val="24"/>
        </w:rPr>
        <w:t>1.4 付款方式和发票开具方式</w:t>
      </w:r>
      <w:bookmarkEnd w:id="271"/>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付款方式：</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发票开具方式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78" w:name="_Toc32071"/>
      <w:bookmarkStart w:id="279" w:name="_Toc2846"/>
      <w:bookmarkStart w:id="280" w:name="_Toc1510"/>
      <w:bookmarkStart w:id="281" w:name="_Toc31787"/>
      <w:bookmarkStart w:id="282" w:name="_Toc31453_WPSOffice_Level2"/>
      <w:bookmarkStart w:id="283" w:name="_Toc19304"/>
      <w:bookmarkStart w:id="284" w:name="_Toc5663"/>
      <w:r>
        <w:rPr>
          <w:rFonts w:hint="eastAsia" w:ascii="仿宋" w:hAnsi="仿宋" w:eastAsia="仿宋" w:cs="仿宋"/>
          <w:color w:val="auto"/>
          <w:sz w:val="24"/>
          <w:szCs w:val="24"/>
        </w:rPr>
        <w:t>1.5 服务交付期限、地点和方式</w:t>
      </w:r>
      <w:bookmarkEnd w:id="278"/>
      <w:bookmarkEnd w:id="279"/>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1.5.1 交付期限：</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1.5.2 交付地点</w:t>
      </w:r>
      <w:r>
        <w:rPr>
          <w:rFonts w:hint="eastAsia" w:ascii="仿宋" w:hAnsi="仿宋" w:eastAsia="仿宋" w:cs="仿宋"/>
          <w:color w:val="auto"/>
          <w:sz w:val="24"/>
          <w:szCs w:val="24"/>
          <w:u w:val="single"/>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1.5.3 交付方式</w:t>
      </w:r>
      <w:r>
        <w:rPr>
          <w:rFonts w:hint="eastAsia" w:ascii="仿宋" w:hAnsi="仿宋" w:eastAsia="仿宋" w:cs="仿宋"/>
          <w:color w:val="auto"/>
          <w:sz w:val="24"/>
          <w:szCs w:val="24"/>
          <w:u w:val="single"/>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85" w:name="_Toc19554"/>
      <w:bookmarkStart w:id="286" w:name="_Toc14728"/>
      <w:bookmarkStart w:id="287" w:name="_Toc17563_WPSOffice_Level2"/>
      <w:bookmarkStart w:id="288" w:name="_Toc12013"/>
      <w:bookmarkStart w:id="289" w:name="_Toc22576"/>
      <w:bookmarkStart w:id="290" w:name="_Toc27250"/>
      <w:bookmarkStart w:id="291" w:name="_Toc21423"/>
      <w:r>
        <w:rPr>
          <w:rFonts w:hint="eastAsia" w:ascii="仿宋" w:hAnsi="仿宋" w:eastAsia="仿宋" w:cs="仿宋"/>
          <w:color w:val="auto"/>
          <w:sz w:val="24"/>
          <w:szCs w:val="24"/>
        </w:rPr>
        <w:t>1.6 违约责任</w:t>
      </w:r>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；迟延交付服务的违约金计算数额达到前述最高限额之日起，甲方有权在要求乙方支付违约金的同时，书面通知乙方解除本合同；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92" w:name="_Toc2407"/>
      <w:bookmarkStart w:id="293" w:name="_Toc16021"/>
      <w:bookmarkStart w:id="294" w:name="_Toc15583"/>
      <w:bookmarkStart w:id="295" w:name="_Toc27472"/>
      <w:bookmarkStart w:id="296" w:name="_Toc18995_WPSOffice_Level2"/>
      <w:bookmarkStart w:id="297" w:name="_Toc28375"/>
      <w:bookmarkStart w:id="298" w:name="_Toc30335"/>
      <w:r>
        <w:rPr>
          <w:rFonts w:hint="eastAsia" w:ascii="仿宋" w:hAnsi="仿宋" w:eastAsia="仿宋" w:cs="仿宋"/>
          <w:color w:val="auto"/>
          <w:sz w:val="24"/>
          <w:szCs w:val="24"/>
        </w:rPr>
        <w:t>1.7 合同争议的解决</w:t>
      </w:r>
      <w:bookmarkEnd w:id="292"/>
      <w:bookmarkEnd w:id="293"/>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1.7.1 将争议提交</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仲裁委员会依申请仲裁时其现行有效的仲裁规则裁决；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1.7.2 向 </w:t>
      </w:r>
      <w:r>
        <w:rPr>
          <w:rFonts w:hint="eastAsia" w:ascii="仿宋" w:hAnsi="仿宋" w:eastAsia="仿宋" w:cs="仿宋"/>
          <w:color w:val="auto"/>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rPr>
        <w:t>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99" w:name="_Toc12251"/>
      <w:bookmarkStart w:id="300" w:name="_Toc17966"/>
      <w:bookmarkStart w:id="301" w:name="_Toc15322"/>
      <w:bookmarkStart w:id="302" w:name="_Toc22902"/>
      <w:bookmarkStart w:id="303" w:name="_Toc22758_WPSOffice_Level2"/>
      <w:bookmarkStart w:id="304" w:name="_Toc11173"/>
      <w:bookmarkStart w:id="305" w:name="_Toc7245"/>
      <w:r>
        <w:rPr>
          <w:rFonts w:hint="eastAsia" w:ascii="仿宋" w:hAnsi="仿宋" w:eastAsia="仿宋" w:cs="仿宋"/>
          <w:color w:val="auto"/>
          <w:sz w:val="24"/>
          <w:szCs w:val="24"/>
        </w:rPr>
        <w:t>1.8 合同生效</w:t>
      </w:r>
      <w:bookmarkEnd w:id="299"/>
      <w:bookmarkEnd w:id="300"/>
      <w:bookmarkEnd w:id="301"/>
      <w:bookmarkEnd w:id="302"/>
      <w:bookmarkEnd w:id="303"/>
      <w:bookmarkEnd w:id="304"/>
      <w:bookmarkEnd w:id="30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本合同自双方当事人盖章或者签字时生效。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甲方：                                   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或授权代表（签字）: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仿宋" w:hAnsi="仿宋" w:eastAsia="仿宋" w:cs="仿宋"/>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1"/>
        <w:rPr>
          <w:rFonts w:hint="eastAsia" w:ascii="宋体" w:hAnsi="宋体" w:eastAsia="宋体" w:cs="宋体"/>
          <w:color w:val="auto"/>
          <w:sz w:val="24"/>
          <w:szCs w:val="24"/>
        </w:rPr>
      </w:pPr>
      <w:bookmarkStart w:id="306" w:name="_Toc27370"/>
      <w:bookmarkStart w:id="307" w:name="_Toc29977"/>
      <w:r>
        <w:rPr>
          <w:rFonts w:hint="eastAsia" w:ascii="黑体" w:hAnsi="黑体" w:eastAsia="黑体" w:cs="黑体"/>
          <w:color w:val="auto"/>
          <w:sz w:val="32"/>
          <w:szCs w:val="32"/>
        </w:rPr>
        <w:t>第二部分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通用条件</w:t>
      </w:r>
      <w:bookmarkEnd w:id="306"/>
      <w:bookmarkEnd w:id="30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08" w:name="_Ref467379109"/>
      <w:bookmarkStart w:id="309" w:name="_Toc487900349"/>
      <w:bookmarkStart w:id="310" w:name="_Toc259093669"/>
      <w:bookmarkStart w:id="311" w:name="_Ref467379195"/>
      <w:bookmarkStart w:id="312" w:name="_Toc31297"/>
      <w:bookmarkStart w:id="313" w:name="_Ref467378499"/>
      <w:bookmarkStart w:id="314" w:name="_Toc19939"/>
      <w:bookmarkStart w:id="315" w:name="_Ref467379101"/>
      <w:bookmarkStart w:id="316" w:name="_Ref467379214"/>
      <w:bookmarkStart w:id="317" w:name="_Toc5228"/>
      <w:bookmarkStart w:id="318" w:name="_Ref467379205"/>
      <w:bookmarkStart w:id="319" w:name="_Toc25079"/>
      <w:bookmarkStart w:id="320" w:name="_Toc19680"/>
      <w:bookmarkStart w:id="321" w:name="_Ref467379225"/>
      <w:bookmarkStart w:id="322" w:name="_Toc7703"/>
      <w:bookmarkStart w:id="323" w:name="_Toc14021"/>
      <w:bookmarkStart w:id="324" w:name="_Ref467379094"/>
      <w:bookmarkStart w:id="325" w:name="_Ref467378463"/>
      <w:bookmarkStart w:id="326" w:name="_Ref467378404"/>
      <w:bookmarkStart w:id="327" w:name="_Toc21621"/>
      <w:bookmarkStart w:id="328" w:name="_Toc2021_WPSOffice_Level2"/>
      <w:bookmarkStart w:id="329" w:name="_Toc279701240"/>
      <w:r>
        <w:rPr>
          <w:rFonts w:hint="eastAsia" w:ascii="仿宋" w:hAnsi="仿宋" w:eastAsia="仿宋" w:cs="仿宋"/>
          <w:color w:val="auto"/>
          <w:sz w:val="24"/>
          <w:szCs w:val="24"/>
        </w:rPr>
        <w:t>2.1 定义</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 “合同”系指采购人和成交供应商签订的载明双方当事人所达成的协议，并包括所有的附件、附录和构成合同的其他文件。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2.1.2 “合同价”系指根据合同约定，成交供应商在完全履行合同义务后，采购人应支付给成交供应商的价格。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2.1.3 “服务”系指成交供应商根据合同约定应向采购人履行的除货物和工程以外的其他政府采购对象，包括采购人自身需要的服务和向社会公众提供的公共服务。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30" w:name="_Ref467378840"/>
      <w:r>
        <w:rPr>
          <w:rFonts w:hint="eastAsia" w:ascii="仿宋" w:hAnsi="仿宋" w:eastAsia="仿宋" w:cs="仿宋"/>
          <w:color w:val="auto"/>
          <w:sz w:val="24"/>
          <w:szCs w:val="24"/>
        </w:rPr>
        <w:t>2.1.4 “甲方”系指与成交供应商签署合同的采购人</w:t>
      </w:r>
      <w:bookmarkEnd w:id="330"/>
      <w:r>
        <w:rPr>
          <w:rFonts w:hint="eastAsia" w:ascii="仿宋" w:hAnsi="仿宋" w:eastAsia="仿宋" w:cs="仿宋"/>
          <w:color w:val="auto"/>
          <w:sz w:val="24"/>
          <w:szCs w:val="24"/>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31" w:name="_Ref467379400"/>
      <w:r>
        <w:rPr>
          <w:rFonts w:hint="eastAsia" w:ascii="仿宋" w:hAnsi="仿宋" w:eastAsia="仿宋" w:cs="仿宋"/>
          <w:color w:val="auto"/>
          <w:sz w:val="24"/>
          <w:szCs w:val="24"/>
        </w:rPr>
        <w:t>2.1.5 “乙方”系指根据合同约定提供服务的成交供应商</w:t>
      </w:r>
      <w:bookmarkEnd w:id="331"/>
      <w:r>
        <w:rPr>
          <w:rFonts w:hint="eastAsia" w:ascii="仿宋" w:hAnsi="仿宋" w:eastAsia="仿宋" w:cs="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32" w:name="_Ref467379436"/>
      <w:r>
        <w:rPr>
          <w:rFonts w:hint="eastAsia" w:ascii="仿宋" w:hAnsi="仿宋" w:eastAsia="仿宋" w:cs="仿宋"/>
          <w:color w:val="auto"/>
          <w:sz w:val="24"/>
          <w:szCs w:val="24"/>
        </w:rPr>
        <w:t>2.1.6 “现场”系指合同约定提供服务的地点。</w:t>
      </w:r>
      <w:bookmarkEnd w:id="33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33" w:name="_Toc279701241"/>
      <w:bookmarkStart w:id="334" w:name="_Toc7203"/>
      <w:bookmarkStart w:id="335" w:name="_Toc3769"/>
      <w:bookmarkStart w:id="336" w:name="_Toc31402"/>
      <w:bookmarkStart w:id="337" w:name="_Toc16752"/>
      <w:bookmarkStart w:id="338" w:name="_Toc32447_WPSOffice_Level2"/>
      <w:bookmarkStart w:id="339" w:name="_Toc259093670"/>
      <w:bookmarkStart w:id="340" w:name="_Toc11443"/>
      <w:bookmarkStart w:id="341" w:name="_Toc16332"/>
      <w:bookmarkStart w:id="342" w:name="_Toc487900350"/>
      <w:bookmarkStart w:id="343" w:name="_Toc23289"/>
      <w:bookmarkStart w:id="344" w:name="_Toc19539"/>
      <w:r>
        <w:rPr>
          <w:rFonts w:hint="eastAsia" w:ascii="仿宋" w:hAnsi="仿宋" w:eastAsia="仿宋" w:cs="仿宋"/>
          <w:color w:val="auto"/>
          <w:sz w:val="24"/>
          <w:szCs w:val="24"/>
        </w:rPr>
        <w:t>2.2 技术规范</w:t>
      </w:r>
      <w:bookmarkEnd w:id="333"/>
      <w:bookmarkEnd w:id="334"/>
      <w:bookmarkEnd w:id="335"/>
      <w:bookmarkEnd w:id="336"/>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45" w:name="_Toc9161"/>
      <w:bookmarkStart w:id="346" w:name="_Toc12412"/>
      <w:bookmarkStart w:id="347" w:name="_Toc487900351"/>
      <w:bookmarkStart w:id="348" w:name="_Toc14405"/>
      <w:bookmarkStart w:id="349" w:name="_Toc259093671"/>
      <w:bookmarkStart w:id="350" w:name="_Toc279701242"/>
      <w:bookmarkStart w:id="351" w:name="_Toc27945"/>
      <w:bookmarkStart w:id="352" w:name="_Toc4133"/>
      <w:bookmarkStart w:id="353" w:name="_Toc12487"/>
      <w:bookmarkStart w:id="354" w:name="_Toc13673"/>
      <w:bookmarkStart w:id="355" w:name="_Toc7236_WPSOffice_Level2"/>
      <w:bookmarkStart w:id="356" w:name="_Toc27804"/>
      <w:r>
        <w:rPr>
          <w:rFonts w:hint="eastAsia" w:ascii="仿宋" w:hAnsi="仿宋" w:eastAsia="仿宋" w:cs="仿宋"/>
          <w:color w:val="auto"/>
          <w:sz w:val="24"/>
          <w:szCs w:val="24"/>
        </w:rPr>
        <w:t>2.3 知识产权</w:t>
      </w:r>
      <w:bookmarkEnd w:id="345"/>
      <w:bookmarkEnd w:id="346"/>
      <w:bookmarkEnd w:id="347"/>
      <w:bookmarkEnd w:id="348"/>
      <w:bookmarkEnd w:id="349"/>
      <w:bookmarkEnd w:id="350"/>
      <w:bookmarkEnd w:id="351"/>
      <w:bookmarkEnd w:id="352"/>
      <w:bookmarkEnd w:id="353"/>
      <w:bookmarkEnd w:id="354"/>
      <w:bookmarkEnd w:id="355"/>
      <w:bookmarkEnd w:id="3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2.3.2 合同涉及技术成果的归属和收益的分成办法的，详见合同专用条款。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57" w:name="_Toc18703"/>
      <w:bookmarkStart w:id="358" w:name="_Toc13482_WPSOffice_Level2"/>
      <w:bookmarkStart w:id="359" w:name="_Toc2863"/>
      <w:bookmarkStart w:id="360" w:name="_Toc9987"/>
      <w:r>
        <w:rPr>
          <w:rFonts w:hint="eastAsia" w:ascii="仿宋" w:hAnsi="仿宋" w:eastAsia="仿宋" w:cs="仿宋"/>
          <w:color w:val="auto"/>
          <w:sz w:val="24"/>
          <w:szCs w:val="24"/>
        </w:rPr>
        <w:t>2.4 履约检查和问题反馈</w:t>
      </w:r>
      <w:bookmarkEnd w:id="357"/>
      <w:bookmarkEnd w:id="358"/>
      <w:bookmarkEnd w:id="359"/>
      <w:bookmarkEnd w:id="36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61" w:name="_Ref467379657"/>
      <w:r>
        <w:rPr>
          <w:rFonts w:hint="eastAsia" w:ascii="仿宋" w:hAnsi="仿宋" w:eastAsia="仿宋" w:cs="仿宋"/>
          <w:color w:val="auto"/>
          <w:sz w:val="24"/>
          <w:szCs w:val="24"/>
        </w:rPr>
        <w:t>2.4.1</w:t>
      </w:r>
      <w:bookmarkEnd w:id="361"/>
      <w:bookmarkStart w:id="362" w:name="_Toc186431854"/>
      <w:bookmarkStart w:id="363" w:name="_Toc259093676"/>
      <w:bookmarkStart w:id="364" w:name="_Toc487900357"/>
      <w:bookmarkStart w:id="365" w:name="_Toc279701247"/>
      <w:bookmarkStart w:id="366" w:name="_Ref467379793"/>
      <w:bookmarkStart w:id="367" w:name="_Ref467379807"/>
      <w:r>
        <w:rPr>
          <w:rFonts w:hint="eastAsia" w:ascii="仿宋" w:hAnsi="仿宋" w:eastAsia="仿宋" w:cs="仿宋"/>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bookmarkEnd w:id="362"/>
      <w:bookmarkStart w:id="368" w:name="_Toc186431855"/>
      <w:r>
        <w:rPr>
          <w:rFonts w:hint="eastAsia" w:ascii="仿宋" w:hAnsi="仿宋" w:eastAsia="仿宋" w:cs="仿宋"/>
          <w:color w:val="auto"/>
          <w:sz w:val="24"/>
          <w:szCs w:val="24"/>
        </w:rPr>
        <w:t>。</w:t>
      </w:r>
    </w:p>
    <w:bookmarkEnd w:id="368"/>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69" w:name="_Toc27397"/>
      <w:bookmarkStart w:id="370" w:name="_Toc26555"/>
      <w:bookmarkStart w:id="371" w:name="_Toc7129"/>
      <w:bookmarkStart w:id="372" w:name="_Toc22011"/>
      <w:bookmarkStart w:id="373" w:name="_Toc15447"/>
      <w:bookmarkStart w:id="374" w:name="_Toc31233"/>
      <w:bookmarkStart w:id="375" w:name="_Toc9454"/>
      <w:bookmarkStart w:id="376" w:name="_Toc29452_WPSOffice_Level2"/>
      <w:r>
        <w:rPr>
          <w:rFonts w:hint="eastAsia" w:ascii="仿宋" w:hAnsi="仿宋" w:eastAsia="仿宋" w:cs="仿宋"/>
          <w:color w:val="auto"/>
          <w:sz w:val="24"/>
          <w:szCs w:val="24"/>
        </w:rPr>
        <w:t>2.5 结算方式和付款条件</w:t>
      </w:r>
      <w:bookmarkEnd w:id="363"/>
      <w:bookmarkEnd w:id="364"/>
      <w:bookmarkEnd w:id="365"/>
      <w:bookmarkEnd w:id="366"/>
      <w:bookmarkEnd w:id="367"/>
      <w:bookmarkEnd w:id="369"/>
      <w:bookmarkEnd w:id="370"/>
      <w:bookmarkEnd w:id="371"/>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详见合同专用条款。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77" w:name="_Ref467379923"/>
      <w:bookmarkStart w:id="378" w:name="_Ref467379852"/>
      <w:bookmarkStart w:id="379" w:name="_Toc487900358"/>
      <w:bookmarkStart w:id="380" w:name="_Toc259093677"/>
      <w:bookmarkStart w:id="381" w:name="_Toc279701248"/>
      <w:bookmarkStart w:id="382" w:name="_Ref467379863"/>
      <w:bookmarkStart w:id="383" w:name="_Toc20952_WPSOffice_Level2"/>
      <w:bookmarkStart w:id="384" w:name="_Toc32599"/>
      <w:bookmarkStart w:id="385" w:name="_Toc23015"/>
      <w:bookmarkStart w:id="386" w:name="_Toc30507"/>
      <w:bookmarkStart w:id="387" w:name="_Toc16163"/>
      <w:bookmarkStart w:id="388" w:name="_Toc18990"/>
      <w:bookmarkStart w:id="389" w:name="_Toc13154"/>
      <w:bookmarkStart w:id="390" w:name="_Toc18178"/>
      <w:bookmarkStart w:id="391" w:name="_Toc13467"/>
      <w:r>
        <w:rPr>
          <w:rFonts w:hint="eastAsia" w:ascii="仿宋" w:hAnsi="仿宋" w:eastAsia="仿宋" w:cs="仿宋"/>
          <w:color w:val="auto"/>
          <w:sz w:val="24"/>
          <w:szCs w:val="24"/>
        </w:rPr>
        <w:t>2.6 技术资料</w:t>
      </w:r>
      <w:bookmarkEnd w:id="377"/>
      <w:bookmarkEnd w:id="378"/>
      <w:bookmarkEnd w:id="379"/>
      <w:bookmarkEnd w:id="380"/>
      <w:bookmarkEnd w:id="381"/>
      <w:bookmarkEnd w:id="382"/>
      <w:r>
        <w:rPr>
          <w:rFonts w:hint="eastAsia" w:ascii="仿宋" w:hAnsi="仿宋" w:eastAsia="仿宋" w:cs="仿宋"/>
          <w:color w:val="auto"/>
          <w:sz w:val="24"/>
          <w:szCs w:val="24"/>
        </w:rPr>
        <w:t>和保密义务</w:t>
      </w:r>
      <w:bookmarkEnd w:id="383"/>
      <w:bookmarkEnd w:id="384"/>
      <w:bookmarkEnd w:id="385"/>
      <w:bookmarkEnd w:id="386"/>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2.6.2 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92" w:name="_Toc5514_WPSOffice_Level2"/>
      <w:bookmarkStart w:id="393" w:name="_Toc28666"/>
      <w:bookmarkStart w:id="394" w:name="_Toc5184"/>
      <w:bookmarkStart w:id="395" w:name="_Toc11829"/>
      <w:bookmarkStart w:id="396" w:name="_Toc19069"/>
      <w:bookmarkStart w:id="397" w:name="_Toc487900362"/>
      <w:bookmarkStart w:id="398" w:name="_Toc279701252"/>
      <w:bookmarkStart w:id="399" w:name="_Toc259093681"/>
      <w:r>
        <w:rPr>
          <w:rFonts w:hint="eastAsia" w:ascii="仿宋" w:hAnsi="仿宋" w:eastAsia="仿宋" w:cs="仿宋"/>
          <w:color w:val="auto"/>
          <w:sz w:val="24"/>
          <w:szCs w:val="24"/>
        </w:rPr>
        <w:t>2.7 质量保证</w:t>
      </w:r>
      <w:bookmarkEnd w:id="392"/>
      <w:bookmarkEnd w:id="393"/>
      <w:bookmarkEnd w:id="394"/>
      <w:bookmarkEnd w:id="395"/>
      <w:bookmarkEnd w:id="39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2.7.1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2.7.2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00" w:name="_Toc2873"/>
      <w:bookmarkStart w:id="401" w:name="_Toc19909"/>
      <w:bookmarkStart w:id="402" w:name="_Toc22267"/>
      <w:bookmarkStart w:id="403" w:name="_Toc3790"/>
      <w:bookmarkStart w:id="404" w:name="_Toc24670_WPSOffice_Level2"/>
      <w:r>
        <w:rPr>
          <w:rFonts w:hint="eastAsia" w:ascii="仿宋" w:hAnsi="仿宋" w:eastAsia="仿宋" w:cs="仿宋"/>
          <w:color w:val="auto"/>
          <w:sz w:val="24"/>
          <w:szCs w:val="24"/>
        </w:rPr>
        <w:t>2.8 延迟</w:t>
      </w:r>
      <w:bookmarkEnd w:id="397"/>
      <w:bookmarkEnd w:id="398"/>
      <w:bookmarkEnd w:id="399"/>
      <w:r>
        <w:rPr>
          <w:rFonts w:hint="eastAsia" w:ascii="仿宋" w:hAnsi="仿宋" w:eastAsia="仿宋" w:cs="仿宋"/>
          <w:color w:val="auto"/>
          <w:sz w:val="24"/>
          <w:szCs w:val="24"/>
        </w:rPr>
        <w:t>履行</w:t>
      </w:r>
      <w:bookmarkEnd w:id="400"/>
      <w:bookmarkEnd w:id="401"/>
      <w:bookmarkEnd w:id="402"/>
      <w:bookmarkEnd w:id="403"/>
      <w:bookmarkEnd w:id="40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05" w:name="_Toc21338"/>
      <w:bookmarkStart w:id="406" w:name="_Toc10611"/>
      <w:bookmarkStart w:id="407" w:name="_Toc30343"/>
      <w:bookmarkStart w:id="408" w:name="_Toc23450_WPSOffice_Level2"/>
      <w:bookmarkStart w:id="409" w:name="_Toc19051"/>
      <w:bookmarkStart w:id="410" w:name="_Toc487900364"/>
      <w:bookmarkStart w:id="411" w:name="_Toc259093683"/>
      <w:bookmarkStart w:id="412" w:name="_Ref467378121"/>
      <w:bookmarkStart w:id="413" w:name="_Toc279701254"/>
      <w:r>
        <w:rPr>
          <w:rFonts w:hint="eastAsia" w:ascii="仿宋" w:hAnsi="仿宋" w:eastAsia="仿宋" w:cs="仿宋"/>
          <w:color w:val="auto"/>
          <w:sz w:val="24"/>
          <w:szCs w:val="24"/>
        </w:rPr>
        <w:t>2.9 合同变更</w:t>
      </w:r>
      <w:bookmarkEnd w:id="405"/>
      <w:bookmarkEnd w:id="406"/>
      <w:bookmarkEnd w:id="407"/>
      <w:bookmarkEnd w:id="408"/>
      <w:bookmarkEnd w:id="40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414" w:name="_Toc487900369"/>
      <w:bookmarkStart w:id="415" w:name="_Toc279701259"/>
      <w:bookmarkStart w:id="416" w:name="_Toc25909368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17" w:name="_Toc10663"/>
      <w:bookmarkStart w:id="418" w:name="_Toc21830"/>
      <w:bookmarkStart w:id="419" w:name="_Toc42"/>
      <w:bookmarkStart w:id="420" w:name="_Toc23368"/>
      <w:bookmarkStart w:id="421" w:name="_Toc29195"/>
      <w:bookmarkStart w:id="422" w:name="_Toc2270"/>
      <w:bookmarkStart w:id="423" w:name="_Toc15986_WPSOffice_Level2"/>
      <w:bookmarkStart w:id="424" w:name="_Toc15658"/>
      <w:bookmarkStart w:id="425" w:name="_Toc26689"/>
      <w:r>
        <w:rPr>
          <w:rFonts w:hint="eastAsia" w:ascii="仿宋" w:hAnsi="仿宋" w:eastAsia="仿宋" w:cs="仿宋"/>
          <w:color w:val="auto"/>
          <w:sz w:val="24"/>
          <w:szCs w:val="24"/>
        </w:rPr>
        <w:t>2.10 合同转让</w:t>
      </w:r>
      <w:bookmarkEnd w:id="414"/>
      <w:bookmarkEnd w:id="415"/>
      <w:bookmarkEnd w:id="416"/>
      <w:r>
        <w:rPr>
          <w:rFonts w:hint="eastAsia" w:ascii="仿宋" w:hAnsi="仿宋" w:eastAsia="仿宋" w:cs="仿宋"/>
          <w:color w:val="auto"/>
          <w:sz w:val="24"/>
          <w:szCs w:val="24"/>
        </w:rPr>
        <w:t>和分包</w:t>
      </w:r>
      <w:bookmarkEnd w:id="417"/>
      <w:bookmarkEnd w:id="418"/>
      <w:bookmarkEnd w:id="419"/>
      <w:bookmarkEnd w:id="420"/>
      <w:bookmarkEnd w:id="421"/>
      <w:bookmarkEnd w:id="422"/>
      <w:bookmarkEnd w:id="423"/>
      <w:bookmarkEnd w:id="424"/>
      <w:bookmarkEnd w:id="4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26" w:name="_Toc5860"/>
      <w:bookmarkStart w:id="427" w:name="_Toc25571"/>
      <w:bookmarkStart w:id="428" w:name="_Toc4720"/>
      <w:bookmarkStart w:id="429" w:name="_Toc20621"/>
      <w:bookmarkStart w:id="430" w:name="_Toc31816"/>
      <w:bookmarkStart w:id="431" w:name="_Toc8497_WPSOffice_Level2"/>
      <w:bookmarkStart w:id="432" w:name="_Toc32494"/>
      <w:bookmarkStart w:id="433" w:name="_Toc14371"/>
      <w:bookmarkStart w:id="434" w:name="_Toc26633"/>
      <w:r>
        <w:rPr>
          <w:rFonts w:hint="eastAsia" w:ascii="仿宋" w:hAnsi="仿宋" w:eastAsia="仿宋" w:cs="仿宋"/>
          <w:color w:val="auto"/>
          <w:sz w:val="24"/>
          <w:szCs w:val="24"/>
        </w:rPr>
        <w:t>2.11 不可抗力</w:t>
      </w:r>
      <w:bookmarkEnd w:id="426"/>
      <w:bookmarkEnd w:id="427"/>
      <w:bookmarkEnd w:id="428"/>
      <w:bookmarkEnd w:id="429"/>
      <w:bookmarkEnd w:id="430"/>
      <w:bookmarkEnd w:id="431"/>
      <w:bookmarkEnd w:id="432"/>
      <w:bookmarkEnd w:id="433"/>
      <w:bookmarkEnd w:id="43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2.11.2 因不可抗力致使不能实现合同目的的，当事人可以解除合同；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2.11.3 因不可抗力致使合同有变更必要的，双方当事人应在合同专用条款约定时间内以书面形式变更合同；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2.11.4受不可抗力影响的一方在不可抗力发生后，应在合同专用条款约定时间内以书面形式通知对方当事人，并在合同专用条款约定时间内，将有关部门出具的证明文件送达对方当事人。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35" w:name="_Toc259093684"/>
      <w:bookmarkStart w:id="436" w:name="_Toc14115"/>
      <w:bookmarkStart w:id="437" w:name="_Toc14301"/>
      <w:bookmarkStart w:id="438" w:name="_Toc19929"/>
      <w:bookmarkStart w:id="439" w:name="_Toc7595"/>
      <w:bookmarkStart w:id="440" w:name="_Toc3638"/>
      <w:bookmarkStart w:id="441" w:name="_Toc279701255"/>
      <w:bookmarkStart w:id="442" w:name="_Toc23854"/>
      <w:bookmarkStart w:id="443" w:name="_Toc25783"/>
      <w:bookmarkStart w:id="444" w:name="_Toc487900365"/>
      <w:bookmarkStart w:id="445" w:name="_Toc24465"/>
      <w:bookmarkStart w:id="446" w:name="_Toc31822_WPSOffice_Level2"/>
      <w:r>
        <w:rPr>
          <w:rFonts w:hint="eastAsia" w:ascii="仿宋" w:hAnsi="仿宋" w:eastAsia="仿宋" w:cs="仿宋"/>
          <w:color w:val="auto"/>
          <w:sz w:val="24"/>
          <w:szCs w:val="24"/>
        </w:rPr>
        <w:t>2.12 税费</w:t>
      </w:r>
      <w:bookmarkEnd w:id="435"/>
      <w:bookmarkEnd w:id="436"/>
      <w:bookmarkEnd w:id="437"/>
      <w:bookmarkEnd w:id="438"/>
      <w:bookmarkEnd w:id="439"/>
      <w:bookmarkEnd w:id="440"/>
      <w:bookmarkEnd w:id="441"/>
      <w:bookmarkEnd w:id="442"/>
      <w:bookmarkEnd w:id="443"/>
      <w:bookmarkEnd w:id="444"/>
      <w:bookmarkEnd w:id="445"/>
      <w:bookmarkEnd w:id="44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47" w:name="_Toc25525"/>
      <w:bookmarkStart w:id="448" w:name="_Toc16590"/>
      <w:bookmarkStart w:id="449" w:name="_Toc487900368"/>
      <w:bookmarkStart w:id="450" w:name="_Toc7315"/>
      <w:bookmarkStart w:id="451" w:name="_Toc10475"/>
      <w:bookmarkStart w:id="452" w:name="_Toc279701258"/>
      <w:bookmarkStart w:id="453" w:name="_Toc14814"/>
      <w:bookmarkStart w:id="454" w:name="_Toc12636_WPSOffice_Level2"/>
      <w:bookmarkStart w:id="455" w:name="_Toc30105"/>
      <w:bookmarkStart w:id="456" w:name="_Toc259093687"/>
      <w:bookmarkStart w:id="457" w:name="_Toc15954"/>
      <w:bookmarkStart w:id="458" w:name="_Toc26883"/>
      <w:r>
        <w:rPr>
          <w:rFonts w:hint="eastAsia" w:ascii="仿宋" w:hAnsi="仿宋" w:eastAsia="仿宋" w:cs="仿宋"/>
          <w:color w:val="auto"/>
          <w:sz w:val="24"/>
          <w:szCs w:val="24"/>
        </w:rPr>
        <w:t>2.13 乙方破产</w:t>
      </w:r>
      <w:bookmarkEnd w:id="447"/>
      <w:bookmarkEnd w:id="448"/>
      <w:bookmarkEnd w:id="449"/>
      <w:bookmarkEnd w:id="450"/>
      <w:bookmarkEnd w:id="451"/>
      <w:bookmarkEnd w:id="452"/>
      <w:bookmarkEnd w:id="453"/>
      <w:bookmarkEnd w:id="454"/>
      <w:bookmarkEnd w:id="455"/>
      <w:bookmarkEnd w:id="456"/>
      <w:bookmarkEnd w:id="457"/>
      <w:bookmarkEnd w:id="45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59" w:name="_Toc1123"/>
      <w:bookmarkStart w:id="460" w:name="_Toc26372"/>
      <w:bookmarkStart w:id="461" w:name="_Toc23323"/>
      <w:bookmarkStart w:id="462" w:name="_Toc3509_WPSOffice_Level2"/>
      <w:bookmarkStart w:id="463" w:name="_Toc11530"/>
      <w:bookmarkStart w:id="464" w:name="_Toc22031"/>
      <w:bookmarkStart w:id="465" w:name="_Toc2016"/>
      <w:r>
        <w:rPr>
          <w:rFonts w:hint="eastAsia" w:ascii="仿宋" w:hAnsi="仿宋" w:eastAsia="仿宋" w:cs="仿宋"/>
          <w:color w:val="auto"/>
          <w:sz w:val="24"/>
          <w:szCs w:val="24"/>
        </w:rPr>
        <w:t>2.14 合同中止、终止</w:t>
      </w:r>
      <w:bookmarkEnd w:id="459"/>
      <w:bookmarkEnd w:id="460"/>
      <w:bookmarkEnd w:id="461"/>
      <w:bookmarkEnd w:id="462"/>
      <w:bookmarkEnd w:id="463"/>
      <w:bookmarkEnd w:id="464"/>
      <w:bookmarkEnd w:id="46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2.14.1 双方当事人不得擅自中止或者终止合同；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66" w:name="_Toc11757"/>
      <w:bookmarkStart w:id="467" w:name="_Toc17363"/>
      <w:bookmarkStart w:id="468" w:name="_Toc4143"/>
      <w:bookmarkStart w:id="469" w:name="_Toc1969"/>
      <w:bookmarkStart w:id="470" w:name="_Toc14525"/>
      <w:bookmarkStart w:id="471" w:name="_Toc32538"/>
      <w:bookmarkStart w:id="472" w:name="_Toc23052_WPSOffice_Level2"/>
      <w:r>
        <w:rPr>
          <w:rFonts w:hint="eastAsia" w:ascii="仿宋" w:hAnsi="仿宋" w:eastAsia="仿宋" w:cs="仿宋"/>
          <w:color w:val="auto"/>
          <w:sz w:val="24"/>
          <w:szCs w:val="24"/>
        </w:rPr>
        <w:t>2.15 检验和验收</w:t>
      </w:r>
      <w:bookmarkEnd w:id="466"/>
      <w:bookmarkEnd w:id="467"/>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2.15.1 乙方按照合同专用条款的约定，定期提交服务报告，甲方按照合同专用条款的约定进行定期验收；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2.15.3 检验和验收标准、程序等具体内容以及前述验收书的效力详见合同专用条款。</w:t>
      </w:r>
    </w:p>
    <w:bookmarkEnd w:id="410"/>
    <w:bookmarkEnd w:id="411"/>
    <w:bookmarkEnd w:id="412"/>
    <w:bookmarkEnd w:id="413"/>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73" w:name="_Toc487900371"/>
      <w:bookmarkStart w:id="474" w:name="_Toc279701261"/>
      <w:bookmarkStart w:id="475" w:name="_Toc259093690"/>
      <w:bookmarkStart w:id="476" w:name="_Toc25751"/>
      <w:bookmarkStart w:id="477" w:name="_Toc25198"/>
      <w:bookmarkStart w:id="478" w:name="_Toc12666"/>
      <w:bookmarkStart w:id="479" w:name="_Toc5390_WPSOffice_Level2"/>
      <w:bookmarkStart w:id="480" w:name="_Toc25767"/>
      <w:bookmarkStart w:id="481" w:name="_Toc6285"/>
      <w:bookmarkStart w:id="482" w:name="_Toc31892"/>
      <w:bookmarkStart w:id="483" w:name="_Toc2308"/>
      <w:bookmarkStart w:id="484" w:name="_Toc9808"/>
      <w:r>
        <w:rPr>
          <w:rFonts w:hint="eastAsia" w:ascii="仿宋" w:hAnsi="仿宋" w:eastAsia="仿宋" w:cs="仿宋"/>
          <w:color w:val="auto"/>
          <w:sz w:val="24"/>
          <w:szCs w:val="24"/>
        </w:rPr>
        <w:t>2.16 通知</w:t>
      </w:r>
      <w:bookmarkEnd w:id="473"/>
      <w:bookmarkEnd w:id="474"/>
      <w:bookmarkEnd w:id="475"/>
      <w:r>
        <w:rPr>
          <w:rFonts w:hint="eastAsia" w:ascii="仿宋" w:hAnsi="仿宋" w:eastAsia="仿宋" w:cs="仿宋"/>
          <w:color w:val="auto"/>
          <w:sz w:val="24"/>
          <w:szCs w:val="24"/>
        </w:rPr>
        <w:t>和送达</w:t>
      </w:r>
      <w:bookmarkEnd w:id="476"/>
      <w:bookmarkEnd w:id="477"/>
      <w:bookmarkEnd w:id="478"/>
      <w:bookmarkEnd w:id="479"/>
      <w:bookmarkEnd w:id="480"/>
      <w:bookmarkEnd w:id="481"/>
      <w:bookmarkEnd w:id="482"/>
      <w:bookmarkEnd w:id="483"/>
      <w:bookmarkEnd w:id="48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85" w:name="_Toc29220"/>
      <w:bookmarkStart w:id="486" w:name="_Toc7073"/>
      <w:bookmarkStart w:id="487" w:name="_Toc487900372"/>
      <w:bookmarkStart w:id="488" w:name="_Toc279701262"/>
      <w:bookmarkStart w:id="489" w:name="_Toc259093691"/>
      <w:r>
        <w:rPr>
          <w:rFonts w:hint="eastAsia" w:ascii="仿宋" w:hAnsi="仿宋" w:eastAsia="仿宋" w:cs="仿宋"/>
          <w:color w:val="auto"/>
          <w:sz w:val="24"/>
          <w:szCs w:val="24"/>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485"/>
      <w:bookmarkEnd w:id="48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90" w:name="_Toc18401"/>
      <w:bookmarkStart w:id="491" w:name="_Toc27674"/>
      <w:r>
        <w:rPr>
          <w:rFonts w:hint="eastAsia" w:ascii="仿宋" w:hAnsi="仿宋" w:eastAsia="仿宋" w:cs="仿宋"/>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0"/>
      <w:bookmarkEnd w:id="491"/>
    </w:p>
    <w:bookmarkEnd w:id="487"/>
    <w:bookmarkEnd w:id="488"/>
    <w:bookmarkEnd w:id="48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492" w:name="_Toc27644"/>
      <w:bookmarkStart w:id="493" w:name="_Toc30566_WPSOffice_Level2"/>
      <w:bookmarkStart w:id="494" w:name="_Toc259093692"/>
      <w:bookmarkStart w:id="495" w:name="_Toc24954"/>
      <w:bookmarkStart w:id="496" w:name="_Toc12524"/>
      <w:bookmarkStart w:id="497" w:name="_Toc487900373"/>
      <w:bookmarkStart w:id="498" w:name="_Toc279701263"/>
      <w:bookmarkStart w:id="499" w:name="_Toc5063"/>
      <w:bookmarkStart w:id="500" w:name="_Toc12254"/>
      <w:bookmarkStart w:id="501" w:name="_Toc28906"/>
      <w:bookmarkStart w:id="502" w:name="_Toc20808"/>
      <w:bookmarkStart w:id="503" w:name="_Toc2710"/>
      <w:r>
        <w:rPr>
          <w:rFonts w:hint="eastAsia" w:ascii="仿宋" w:hAnsi="仿宋" w:eastAsia="仿宋" w:cs="仿宋"/>
          <w:color w:val="auto"/>
          <w:sz w:val="24"/>
          <w:szCs w:val="24"/>
        </w:rPr>
        <w:t>2.17 合同使用的文字和适用的法律</w:t>
      </w:r>
      <w:bookmarkEnd w:id="492"/>
      <w:bookmarkEnd w:id="493"/>
      <w:bookmarkEnd w:id="494"/>
      <w:bookmarkEnd w:id="495"/>
      <w:bookmarkEnd w:id="496"/>
      <w:bookmarkEnd w:id="497"/>
      <w:bookmarkEnd w:id="498"/>
      <w:bookmarkEnd w:id="499"/>
      <w:bookmarkEnd w:id="500"/>
      <w:bookmarkEnd w:id="501"/>
      <w:bookmarkEnd w:id="502"/>
      <w:bookmarkEnd w:id="50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2.17.1 合同使用汉语书就、变更和解释；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2.17.2 合同适用中华人民共和国法律。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504" w:name="_Toc27403"/>
      <w:bookmarkStart w:id="505" w:name="_Toc22266"/>
      <w:bookmarkStart w:id="506" w:name="_Toc30096"/>
      <w:bookmarkStart w:id="507" w:name="_Toc1492"/>
      <w:bookmarkStart w:id="508" w:name="_Toc13858"/>
      <w:bookmarkStart w:id="509" w:name="_Toc14929"/>
      <w:bookmarkStart w:id="510" w:name="_Toc14451"/>
      <w:bookmarkStart w:id="511" w:name="_Toc27127"/>
      <w:bookmarkStart w:id="512" w:name="_Toc279701264"/>
      <w:bookmarkStart w:id="513" w:name="_Toc259093693"/>
      <w:bookmarkStart w:id="514" w:name="_Toc31734_WPSOffice_Level2"/>
      <w:bookmarkStart w:id="515" w:name="_Toc487900374"/>
      <w:r>
        <w:rPr>
          <w:rFonts w:hint="eastAsia" w:ascii="仿宋" w:hAnsi="仿宋" w:eastAsia="仿宋" w:cs="仿宋"/>
          <w:color w:val="auto"/>
          <w:sz w:val="24"/>
          <w:szCs w:val="24"/>
        </w:rPr>
        <w:t>2.18 履约保证金</w:t>
      </w:r>
      <w:bookmarkEnd w:id="504"/>
      <w:bookmarkEnd w:id="505"/>
      <w:bookmarkEnd w:id="506"/>
      <w:bookmarkEnd w:id="507"/>
      <w:bookmarkEnd w:id="508"/>
      <w:bookmarkEnd w:id="509"/>
      <w:bookmarkEnd w:id="510"/>
      <w:bookmarkEnd w:id="511"/>
      <w:bookmarkEnd w:id="512"/>
      <w:bookmarkEnd w:id="513"/>
      <w:bookmarkEnd w:id="51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2.18.1 采购文件要求乙方提交履约保证金的，乙方应按合同专用条款约定的方式，以支票、汇票、本票或者金融机构、担保机构出具的保函等非现金形式，提交不超过合同价</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%的履约保证金；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2.18.2 履约保证金在合同专用条款约定期间内不予退还或者应完全有效，前述约定期间届满之日起    个工作日内，甲方应将履约保证金退还乙方；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15"/>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516" w:name="_Toc31345_WPSOffice_Level2"/>
      <w:bookmarkStart w:id="517" w:name="_Toc25551"/>
      <w:bookmarkStart w:id="518" w:name="_Toc1367"/>
      <w:bookmarkStart w:id="519" w:name="_Toc31397"/>
      <w:r>
        <w:rPr>
          <w:rFonts w:hint="eastAsia" w:ascii="仿宋" w:hAnsi="仿宋" w:eastAsia="仿宋" w:cs="仿宋"/>
          <w:color w:val="auto"/>
          <w:sz w:val="24"/>
          <w:szCs w:val="24"/>
        </w:rPr>
        <w:t>2.19 合同份数</w:t>
      </w:r>
      <w:bookmarkEnd w:id="516"/>
      <w:bookmarkEnd w:id="517"/>
      <w:bookmarkEnd w:id="518"/>
      <w:bookmarkEnd w:id="5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合同份数按合同专用条款规定，每份均具有同等法律效力。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bookmarkStart w:id="520" w:name="_Toc23006"/>
      <w:bookmarkStart w:id="521" w:name="_Toc30616"/>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240" w:firstLineChars="7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32"/>
          <w:szCs w:val="32"/>
          <w:lang w:eastAsia="zh-CN"/>
        </w:rPr>
        <w:t>第三部分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专用条件</w:t>
      </w:r>
      <w:bookmarkEnd w:id="520"/>
      <w:bookmarkEnd w:id="521"/>
    </w:p>
    <w:p>
      <w:pPr>
        <w:spacing w:line="560" w:lineRule="exact"/>
        <w:ind w:firstLine="42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仿宋" w:hAnsi="仿宋" w:eastAsia="仿宋" w:cs="仿宋"/>
                <w:b/>
              </w:rPr>
            </w:pPr>
            <w:r>
              <w:rPr>
                <w:rFonts w:hint="eastAsia" w:ascii="仿宋" w:hAnsi="仿宋" w:eastAsia="仿宋" w:cs="仿宋"/>
                <w:b/>
              </w:rPr>
              <w:t>条款号</w:t>
            </w:r>
          </w:p>
        </w:tc>
        <w:tc>
          <w:tcPr>
            <w:tcW w:w="7633" w:type="dxa"/>
            <w:noWrap w:val="0"/>
            <w:vAlign w:val="center"/>
          </w:tcPr>
          <w:p>
            <w:pPr>
              <w:spacing w:line="560" w:lineRule="exact"/>
              <w:jc w:val="center"/>
              <w:rPr>
                <w:rFonts w:hint="eastAsia" w:ascii="仿宋" w:hAnsi="仿宋" w:eastAsia="仿宋" w:cs="仿宋"/>
                <w:b/>
              </w:rPr>
            </w:pPr>
            <w:r>
              <w:rPr>
                <w:rFonts w:hint="eastAsia" w:ascii="仿宋" w:hAnsi="仿宋" w:eastAsia="仿宋" w:cs="仿宋"/>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pPr>
        <w:pStyle w:val="49"/>
        <w:numPr>
          <w:ilvl w:val="0"/>
          <w:numId w:val="0"/>
        </w:numPr>
        <w:rPr>
          <w:rFonts w:hint="eastAsia" w:ascii="仿宋" w:hAnsi="仿宋" w:eastAsia="仿宋" w:cs="仿宋"/>
        </w:rPr>
      </w:pPr>
    </w:p>
    <w:p>
      <w:pPr>
        <w:pStyle w:val="49"/>
        <w:numPr>
          <w:ilvl w:val="0"/>
          <w:numId w:val="0"/>
        </w:numPr>
        <w:rPr>
          <w:rFonts w:hint="eastAsia" w:ascii="仿宋" w:hAnsi="仿宋" w:eastAsia="仿宋" w:cs="仿宋"/>
        </w:rPr>
      </w:pPr>
    </w:p>
    <w:p>
      <w:pPr>
        <w:pStyle w:val="3"/>
        <w:spacing w:before="6"/>
        <w:rPr>
          <w:rFonts w:hint="eastAsia" w:ascii="仿宋" w:hAnsi="仿宋" w:eastAsia="仿宋" w:cs="仿宋"/>
          <w:b/>
          <w:sz w:val="8"/>
        </w:rPr>
      </w:pPr>
      <w:bookmarkStart w:id="522" w:name="第二章 合同格式"/>
      <w:bookmarkEnd w:id="522"/>
      <w:bookmarkStart w:id="523" w:name="_bookmark3"/>
      <w:bookmarkEnd w:id="523"/>
    </w:p>
    <w:p>
      <w:pPr>
        <w:spacing w:line="500" w:lineRule="exact"/>
        <w:ind w:firstLine="640" w:firstLineChars="200"/>
        <w:contextualSpacing/>
        <w:rPr>
          <w:rFonts w:ascii="宋体" w:hAnsi="宋体" w:cs="宋体"/>
          <w:color w:val="000000" w:themeColor="text1"/>
          <w:sz w:val="24"/>
          <w:szCs w:val="24"/>
          <w14:textFill>
            <w14:solidFill>
              <w14:schemeClr w14:val="tx1"/>
            </w14:solidFill>
          </w14:textFill>
        </w:rPr>
      </w:pPr>
      <w:bookmarkStart w:id="524" w:name="第一部分 协议书"/>
      <w:bookmarkEnd w:id="524"/>
      <w:bookmarkStart w:id="525" w:name="_bookmark4"/>
      <w:bookmarkEnd w:id="525"/>
      <w:r>
        <w:rPr>
          <w:rFonts w:hint="eastAsia" w:ascii="仿宋" w:hAnsi="仿宋" w:eastAsia="仿宋" w:cs="仿宋"/>
          <w:sz w:val="32"/>
          <w:szCs w:val="32"/>
        </w:rPr>
        <w:br w:type="page"/>
      </w:r>
    </w:p>
    <w:bookmarkEnd w:id="229"/>
    <w:p>
      <w:pPr>
        <w:pStyle w:val="5"/>
        <w:spacing w:line="500" w:lineRule="exact"/>
        <w:contextualSpacing/>
        <w:rPr>
          <w:rFonts w:ascii="宋体" w:hAnsi="宋体" w:cs="宋体"/>
          <w:color w:val="000000" w:themeColor="text1"/>
          <w:sz w:val="24"/>
          <w:szCs w:val="24"/>
          <w14:textFill>
            <w14:solidFill>
              <w14:schemeClr w14:val="tx1"/>
            </w14:solidFill>
          </w14:textFill>
        </w:rPr>
      </w:pPr>
      <w:bookmarkStart w:id="526" w:name="_Toc487728215"/>
      <w:bookmarkStart w:id="527" w:name="_Toc217446096"/>
      <w:bookmarkStart w:id="528" w:name="_Toc406749998"/>
      <w:bookmarkStart w:id="529" w:name="_Toc14187"/>
      <w:bookmarkStart w:id="530" w:name="_Toc9586"/>
      <w:bookmarkStart w:id="531" w:name="_Toc30835"/>
      <w:r>
        <w:rPr>
          <w:rFonts w:hint="eastAsia" w:ascii="宋体" w:hAnsi="宋体" w:cs="宋体"/>
          <w:color w:val="000000" w:themeColor="text1"/>
          <w:sz w:val="24"/>
          <w:szCs w:val="24"/>
          <w14:textFill>
            <w14:solidFill>
              <w14:schemeClr w14:val="tx1"/>
            </w14:solidFill>
          </w14:textFill>
        </w:rPr>
        <w:t>第五章  评标办法</w:t>
      </w:r>
      <w:bookmarkEnd w:id="526"/>
      <w:bookmarkEnd w:id="527"/>
      <w:bookmarkEnd w:id="528"/>
      <w:bookmarkEnd w:id="529"/>
      <w:bookmarkEnd w:id="530"/>
      <w:bookmarkEnd w:id="531"/>
      <w:bookmarkStart w:id="532" w:name="_Toc217446097"/>
      <w:bookmarkStart w:id="533" w:name="_Toc183682415"/>
      <w:bookmarkStart w:id="534" w:name="_Toc183582280"/>
      <w:bookmarkStart w:id="535" w:name="_Toc208849007"/>
    </w:p>
    <w:p>
      <w:pPr>
        <w:spacing w:line="500" w:lineRule="exact"/>
        <w:contextualSpacing/>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 总则</w:t>
      </w:r>
      <w:bookmarkEnd w:id="532"/>
      <w:bookmarkEnd w:id="533"/>
      <w:bookmarkEnd w:id="534"/>
      <w:bookmarkEnd w:id="535"/>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根据《中华人民共和国政府采购法》、《中华人民共和国政府采购法实施条例》和《政府采购货物和服务招标投标管理办法》（财政部第87号令）等法律规章，结合采购项目特点制定本评标办法。</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1.2 </w:t>
      </w:r>
      <w:r>
        <w:rPr>
          <w:rFonts w:hint="eastAsia" w:ascii="宋体" w:hAnsi="宋体" w:cs="宋体"/>
          <w:bCs/>
          <w:color w:val="000000" w:themeColor="text1"/>
          <w:sz w:val="24"/>
          <w:szCs w:val="24"/>
          <w14:textFill>
            <w14:solidFill>
              <w14:schemeClr w14:val="tx1"/>
            </w14:solidFill>
          </w14:textFill>
        </w:rPr>
        <w:t>评标工作由招标人负责组织，具体评标事务由招标人依法组建的评标委员会负责。评标委员会由采购人代表和有关技术、经济等方面的专家组成。</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评标工作应遵循公平、公正、科学及择优的原则，并以相同的评标程序和标准对待所有的投标人。</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 评标委员会按照招标文件规定的评标方法和标准进行评标，并独立履行下列职责：</w:t>
      </w:r>
    </w:p>
    <w:p>
      <w:pPr>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（1）审查投标文件是否符合招标文件要求，并作出评价；</w:t>
      </w:r>
    </w:p>
    <w:p>
      <w:pPr>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（2）要求投标供应商对投标文件有关事项作出解释或者澄清；</w:t>
      </w:r>
    </w:p>
    <w:p>
      <w:pPr>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（3）推荐中标候选供应商名单，或者受采购人委托按照事先确定的办法直接确定中标供应商；</w:t>
      </w:r>
    </w:p>
    <w:p>
      <w:pPr>
        <w:spacing w:line="500" w:lineRule="exact"/>
        <w:ind w:firstLine="426"/>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（4）向招标采购单位或者有关部门报告非法干预评标工作的行为。</w:t>
      </w:r>
      <w:bookmarkStart w:id="536" w:name="_Toc217446098"/>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 评标程序</w:t>
      </w:r>
      <w:bookmarkEnd w:id="536"/>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根据《政府采购货物和服务招标投标管理办法》的规定，评标按照下列工作程序进行：</w:t>
      </w:r>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（1）投标文件初审（符合性检查）；</w:t>
      </w:r>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（2）澄清有关问题；</w:t>
      </w:r>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（3）比较与评价；</w:t>
      </w:r>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（4）推荐中标供应商名单；</w:t>
      </w:r>
    </w:p>
    <w:p>
      <w:pPr>
        <w:spacing w:line="500" w:lineRule="exact"/>
        <w:ind w:firstLine="484" w:firstLineChars="202"/>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（5）编写评标报告。</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537" w:name="_Toc217446099"/>
      <w:r>
        <w:rPr>
          <w:rFonts w:hint="eastAsia" w:ascii="宋体" w:hAnsi="宋体" w:cs="宋体"/>
          <w:b/>
          <w:color w:val="000000" w:themeColor="text1"/>
          <w:sz w:val="24"/>
          <w:szCs w:val="24"/>
          <w14:textFill>
            <w14:solidFill>
              <w14:schemeClr w14:val="tx1"/>
            </w14:solidFill>
          </w14:textFill>
        </w:rPr>
        <w:t>3. 定标及定标程序</w:t>
      </w:r>
      <w:bookmarkEnd w:id="537"/>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（见第二章）</w:t>
      </w:r>
    </w:p>
    <w:p>
      <w:pPr>
        <w:spacing w:line="500" w:lineRule="exact"/>
        <w:contextualSpacing/>
        <w:rPr>
          <w:rFonts w:ascii="宋体" w:hAnsi="宋体" w:cs="宋体"/>
          <w:b/>
          <w:color w:val="000000" w:themeColor="text1"/>
          <w:sz w:val="24"/>
          <w:szCs w:val="24"/>
          <w14:textFill>
            <w14:solidFill>
              <w14:schemeClr w14:val="tx1"/>
            </w14:solidFill>
          </w14:textFill>
        </w:rPr>
      </w:pPr>
      <w:bookmarkStart w:id="538" w:name="_Toc217446101"/>
      <w:r>
        <w:rPr>
          <w:rFonts w:hint="eastAsia" w:ascii="宋体" w:hAnsi="宋体" w:cs="宋体"/>
          <w:b/>
          <w:color w:val="000000" w:themeColor="text1"/>
          <w:sz w:val="24"/>
          <w:szCs w:val="24"/>
          <w14:textFill>
            <w14:solidFill>
              <w14:schemeClr w14:val="tx1"/>
            </w14:solidFill>
          </w14:textFill>
        </w:rPr>
        <w:t>4. 评标方法</w:t>
      </w:r>
      <w:bookmarkEnd w:id="538"/>
    </w:p>
    <w:p>
      <w:pPr>
        <w:spacing w:line="500" w:lineRule="exact"/>
        <w:ind w:firstLine="480" w:firstLineChars="200"/>
        <w:contextualSpacing/>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综合评分法</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5、初步评审</w:t>
      </w:r>
      <w:bookmarkStart w:id="539" w:name="_Toc217446103"/>
    </w:p>
    <w:p>
      <w:pPr>
        <w:spacing w:line="500" w:lineRule="exact"/>
        <w:ind w:firstLine="453" w:firstLineChars="192"/>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明细报价表的大写金额和小写金额不一致的以大写金额为准；总价金额与综合单价金额不一致的，以综合单价金额为准；</w:t>
      </w:r>
      <w:r>
        <w:rPr>
          <w:rFonts w:hint="eastAsia" w:ascii="宋体" w:hAnsi="宋体" w:cs="宋体"/>
          <w:color w:val="000000" w:themeColor="text1"/>
          <w:sz w:val="24"/>
          <w:szCs w:val="24"/>
          <w14:textFill>
            <w14:solidFill>
              <w14:schemeClr w14:val="tx1"/>
            </w14:solidFill>
          </w14:textFill>
        </w:rPr>
        <w:t>投标文件中开标一览表（报价表）内容与投标文件中相应内容不一致的，以开标一览表（报价表）为准；单价金额小数点或者百分比有明显错位的，以开标一览表的总价为准，并修改单价。</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500" w:lineRule="exact"/>
        <w:ind w:firstLine="355" w:firstLineChars="150"/>
        <w:contextualSpacing/>
        <w:rPr>
          <w:rFonts w:ascii="宋体" w:hAnsi="宋体" w:cs="宋体"/>
          <w:b/>
          <w:color w:val="000000" w:themeColor="text1"/>
          <w:spacing w:val="-2"/>
          <w:sz w:val="24"/>
          <w:szCs w:val="24"/>
          <w14:textFill>
            <w14:solidFill>
              <w14:schemeClr w14:val="tx1"/>
            </w14:solidFill>
          </w14:textFill>
        </w:rPr>
      </w:pPr>
      <w:r>
        <w:rPr>
          <w:rFonts w:hint="eastAsia" w:ascii="宋体" w:hAnsi="宋体" w:cs="宋体"/>
          <w:b/>
          <w:color w:val="000000" w:themeColor="text1"/>
          <w:spacing w:val="-2"/>
          <w:sz w:val="24"/>
          <w:szCs w:val="24"/>
          <w14:textFill>
            <w14:solidFill>
              <w14:schemeClr w14:val="tx1"/>
            </w14:solidFill>
          </w14:textFill>
        </w:rPr>
        <w:t>5.3　投标最低报价，不作为中标的依据。</w:t>
      </w:r>
    </w:p>
    <w:p>
      <w:pPr>
        <w:spacing w:line="500" w:lineRule="exact"/>
        <w:ind w:firstLine="354" w:firstLineChars="15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5.4　招标方不接受不符合国家有关部门相关规定的投标报价或优惠方案。</w:t>
      </w:r>
    </w:p>
    <w:p>
      <w:pPr>
        <w:spacing w:line="500" w:lineRule="exact"/>
        <w:ind w:firstLine="354" w:firstLineChars="15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5.5　在评标过程中，评标委员会发现投标人以他人名义投标、串通投标、以行贿手段谋取中标或者以其他弄虚作假方式投标的，该投标人的投标应作废标处理。</w:t>
      </w:r>
    </w:p>
    <w:p>
      <w:pPr>
        <w:spacing w:line="500" w:lineRule="exact"/>
        <w:ind w:firstLine="354" w:firstLineChars="15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5.6  投标人的资格条件不符合国家有关规定和招标文件要求的，或者拒不按照要求对投标文件进行澄清、说明或补正的，评标委员会可以否决其投标。</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5.7  评标委员会应当审查每一投标文件是否对招标文件提出的所有实质性要求和条件做出满足。未能在实质上满足的投标，应作废标处理。</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5.8　投标人不得误导、干扰招标方的评标活动，否则将废除其投标。</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5.9　评标委员会应当根据招标文件，审查并逐项列出投标文件的全部投标偏差。投标偏差分为重大偏差和细微偏差。</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5.10  下列情况属于重大偏差：</w:t>
      </w:r>
    </w:p>
    <w:p>
      <w:pPr>
        <w:spacing w:line="500" w:lineRule="exact"/>
        <w:ind w:firstLine="472" w:firstLineChars="200"/>
        <w:contextualSpacing/>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（1） 没有按照招标文件要求提供投标保证金的；</w:t>
      </w:r>
      <w:r>
        <w:rPr>
          <w:rFonts w:hint="eastAsia" w:ascii="宋体" w:hAnsi="宋体" w:cs="宋体"/>
          <w:color w:val="000000" w:themeColor="text1"/>
          <w:spacing w:val="-2"/>
          <w:sz w:val="24"/>
          <w:szCs w:val="24"/>
          <w:lang w:eastAsia="zh-CN"/>
          <w14:textFill>
            <w14:solidFill>
              <w14:schemeClr w14:val="tx1"/>
            </w14:solidFill>
          </w14:textFill>
        </w:rPr>
        <w:t>（</w:t>
      </w:r>
      <w:r>
        <w:rPr>
          <w:rFonts w:hint="eastAsia" w:ascii="宋体" w:hAnsi="宋体" w:cs="宋体"/>
          <w:color w:val="000000" w:themeColor="text1"/>
          <w:spacing w:val="-2"/>
          <w:sz w:val="24"/>
          <w:szCs w:val="24"/>
          <w:lang w:val="en-US" w:eastAsia="zh-CN"/>
          <w14:textFill>
            <w14:solidFill>
              <w14:schemeClr w14:val="tx1"/>
            </w14:solidFill>
          </w14:textFill>
        </w:rPr>
        <w:t>不作要求</w:t>
      </w:r>
      <w:r>
        <w:rPr>
          <w:rFonts w:hint="eastAsia" w:ascii="宋体" w:hAnsi="宋体" w:cs="宋体"/>
          <w:color w:val="000000" w:themeColor="text1"/>
          <w:spacing w:val="-2"/>
          <w:sz w:val="24"/>
          <w:szCs w:val="24"/>
          <w:lang w:eastAsia="zh-CN"/>
          <w14:textFill>
            <w14:solidFill>
              <w14:schemeClr w14:val="tx1"/>
            </w14:solidFill>
          </w14:textFill>
        </w:rPr>
        <w:t>）</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（2） 投标文件没有投标人授权代表签字和加盖公章的；</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（3） 投标文件中附有招标方不能接受的条件的；</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 不符合招标文件中规定的其他实质性要求的。</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投标文件有上述情形之一的，为未能对招标文件做出实质性满足的投标，并作废标处理。</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评标委员会应当要求存在细小偏差的投标人在评标结束前以书面形式予以补正。拒绝补正的，在详细评审时可以对细微偏差作不利于该投标人的量化。</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5.12  评标委员会根据本规定否决不合格投标或者界定为废标后，因有效投标不足三个使得投标明显缺乏竞争性时，根据《中华人民共和国政府采购法》的相关规定，将作废标处理。</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5.13  对投标文件满足招标文件条款的审查：</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（1） 开标后，评标委员会将组织对投标文件进行审查，检查投标文件是否完整，是否出现计算性错误，投标文件正本是否满足招标文件的格式要求；</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（2） 在对投标文件进行详细评估之前，评标委员会将依据投标人提供的资格证明文件审查投标人的财务和技术能力。如果确定投标人无能力履行合同，其投标将被拒绝；</w:t>
      </w:r>
    </w:p>
    <w:p>
      <w:pPr>
        <w:spacing w:line="500" w:lineRule="exact"/>
        <w:ind w:firstLine="472"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 xml:space="preserve">（3） </w:t>
      </w:r>
      <w:r>
        <w:rPr>
          <w:rFonts w:hint="eastAsia" w:ascii="宋体" w:hAnsi="宋体" w:cs="宋体"/>
          <w:color w:val="000000" w:themeColor="text1"/>
          <w:sz w:val="24"/>
          <w:szCs w:val="24"/>
          <w14:textFill>
            <w14:solidFill>
              <w14:schemeClr w14:val="tx1"/>
            </w14:solidFill>
          </w14:textFill>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 评标委员会判断投标文件的满足性仅基于投标文件本身而不靠外部证据；</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 评标委员会将拒绝被确定为非实质性满足的投标。投标人不能通过修正或撤消不符合之处而使其投标成为实质性满足的投标。</w:t>
      </w:r>
    </w:p>
    <w:p>
      <w:pPr>
        <w:spacing w:line="500" w:lineRule="exact"/>
        <w:contextualSpacing/>
        <w:rPr>
          <w:rFonts w:ascii="宋体" w:hAnsi="宋体" w:cs="宋体"/>
          <w:b/>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br w:type="page"/>
      </w:r>
      <w:r>
        <w:rPr>
          <w:rFonts w:hint="eastAsia" w:ascii="宋体" w:hAnsi="宋体" w:cs="宋体"/>
          <w:b/>
          <w:color w:val="000000" w:themeColor="text1"/>
          <w:spacing w:val="-2"/>
          <w:sz w:val="24"/>
          <w:szCs w:val="24"/>
          <w14:textFill>
            <w14:solidFill>
              <w14:schemeClr w14:val="tx1"/>
            </w14:solidFill>
          </w14:textFill>
        </w:rPr>
        <w:t>1.资格性审查</w:t>
      </w:r>
    </w:p>
    <w:tbl>
      <w:tblPr>
        <w:tblStyle w:val="3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163"/>
        <w:gridCol w:w="870"/>
        <w:gridCol w:w="690"/>
        <w:gridCol w:w="750"/>
        <w:gridCol w:w="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500" w:lineRule="exact"/>
              <w:ind w:firstLine="2666" w:firstLineChars="1130"/>
              <w:contextualSpacing/>
              <w:rPr>
                <w:rFonts w:ascii="宋体" w:hAnsi="宋体" w:cs="宋体"/>
                <w:spacing w:val="-2"/>
                <w:sz w:val="24"/>
                <w:szCs w:val="24"/>
              </w:rPr>
            </w:pPr>
            <w:r>
              <w:rPr>
                <w:rFonts w:hint="eastAsia" w:ascii="宋体" w:hAnsi="宋体" w:cs="宋体"/>
                <w:spacing w:val="-2"/>
                <w:sz w:val="24"/>
                <w:szCs w:val="24"/>
              </w:rPr>
              <w:t>评审内容</w:t>
            </w:r>
          </w:p>
        </w:tc>
        <w:tc>
          <w:tcPr>
            <w:tcW w:w="3014" w:type="dxa"/>
            <w:gridSpan w:val="4"/>
            <w:tcBorders>
              <w:top w:val="single" w:color="auto" w:sz="12" w:space="0"/>
              <w:left w:val="single" w:color="auto" w:sz="4" w:space="0"/>
              <w:bottom w:val="single" w:color="auto" w:sz="4" w:space="0"/>
              <w:right w:val="single" w:color="auto" w:sz="12"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500" w:lineRule="exact"/>
              <w:contextualSpacing/>
              <w:jc w:val="left"/>
              <w:rPr>
                <w:rFonts w:ascii="宋体" w:hAnsi="宋体" w:cs="宋体"/>
                <w:color w:val="FF0000"/>
                <w:spacing w:val="-2"/>
                <w:sz w:val="24"/>
                <w:szCs w:val="24"/>
              </w:rPr>
            </w:pPr>
          </w:p>
        </w:tc>
        <w:tc>
          <w:tcPr>
            <w:tcW w:w="870" w:type="dxa"/>
            <w:tcBorders>
              <w:top w:val="single" w:color="auto" w:sz="4" w:space="0"/>
              <w:left w:val="single" w:color="auto" w:sz="4" w:space="0"/>
              <w:bottom w:val="single" w:color="auto" w:sz="6" w:space="0"/>
              <w:right w:val="single" w:color="auto" w:sz="4" w:space="0"/>
            </w:tcBorders>
          </w:tcPr>
          <w:p>
            <w:pPr>
              <w:spacing w:line="500" w:lineRule="exact"/>
              <w:contextualSpacing/>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1</w:t>
            </w:r>
          </w:p>
        </w:tc>
        <w:tc>
          <w:tcPr>
            <w:tcW w:w="690" w:type="dxa"/>
            <w:tcBorders>
              <w:top w:val="single" w:color="auto" w:sz="4" w:space="0"/>
              <w:left w:val="single" w:color="auto" w:sz="4" w:space="0"/>
              <w:bottom w:val="single" w:color="auto" w:sz="6" w:space="0"/>
              <w:right w:val="single" w:color="auto" w:sz="6" w:space="0"/>
            </w:tcBorders>
          </w:tcPr>
          <w:p>
            <w:pPr>
              <w:spacing w:line="500" w:lineRule="exact"/>
              <w:ind w:right="-38" w:rightChars="-18"/>
              <w:contextualSpacing/>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2</w:t>
            </w:r>
          </w:p>
        </w:tc>
        <w:tc>
          <w:tcPr>
            <w:tcW w:w="750" w:type="dxa"/>
            <w:tcBorders>
              <w:top w:val="single" w:color="auto" w:sz="6" w:space="0"/>
              <w:left w:val="single" w:color="auto" w:sz="6" w:space="0"/>
              <w:bottom w:val="single" w:color="auto" w:sz="6" w:space="0"/>
              <w:right w:val="single" w:color="auto" w:sz="6" w:space="0"/>
            </w:tcBorders>
            <w:vAlign w:val="center"/>
          </w:tcPr>
          <w:p>
            <w:pPr>
              <w:spacing w:line="500" w:lineRule="exact"/>
              <w:ind w:right="-38" w:rightChars="-18"/>
              <w:contextualSpacing/>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3</w:t>
            </w:r>
          </w:p>
        </w:tc>
        <w:tc>
          <w:tcPr>
            <w:tcW w:w="704" w:type="dxa"/>
            <w:tcBorders>
              <w:top w:val="single" w:color="auto" w:sz="6" w:space="0"/>
              <w:left w:val="single" w:color="auto" w:sz="6" w:space="0"/>
              <w:bottom w:val="single" w:color="auto" w:sz="6" w:space="0"/>
              <w:right w:val="single" w:color="auto" w:sz="12" w:space="0"/>
            </w:tcBorders>
            <w:vAlign w:val="center"/>
          </w:tcPr>
          <w:p>
            <w:pPr>
              <w:spacing w:line="500" w:lineRule="exact"/>
              <w:ind w:right="-38" w:rightChars="-18"/>
              <w:contextualSpacing/>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1</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lang w:val="en-US" w:eastAsia="zh-CN"/>
              </w:rPr>
              <w:t>法人代表或其委托代理人应上传本人身份证原件及复印件，委托代理人还应上传《法人代表授权委托书》原件；</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2</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lang w:val="en-US" w:eastAsia="zh-CN"/>
              </w:rPr>
              <w:t>有效的营业执照</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有效的《医疗器械经营许可证》或《医疗器械生产许可证》；</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hint="eastAsia" w:ascii="宋体" w:hAnsi="宋体" w:cs="宋体"/>
                <w:spacing w:val="-2"/>
                <w:sz w:val="24"/>
                <w:szCs w:val="24"/>
              </w:rPr>
            </w:pPr>
            <w:r>
              <w:rPr>
                <w:rFonts w:hint="eastAsia" w:ascii="宋体" w:hAnsi="宋体" w:cs="宋体"/>
                <w:spacing w:val="-2"/>
                <w:sz w:val="24"/>
                <w:szCs w:val="24"/>
                <w:lang w:val="en-US" w:eastAsia="zh-CN"/>
              </w:rPr>
              <w:t>具有良好的商业信誉和健全的财务会计制度</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有依法缴纳税收和社会保障资金的良好记录；</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6163"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信用中国”网站（www.creditchina.gov.cn）、中国政府采购网（www.ccgp.gov.cn）、国家企业信用信息公示系统（http://www.gsxt.gov.cn）、重大税收违法案件当事人名单、政府采购严重违法失信行为记录名单的（尚在处罚期内的）、经营异常名录的，将拒绝其参本次政府采购活动截图并加盖公章</w:t>
            </w:r>
          </w:p>
        </w:tc>
        <w:tc>
          <w:tcPr>
            <w:tcW w:w="870"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4" w:space="0"/>
              <w:bottom w:val="single" w:color="auto" w:sz="6"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tcBorders>
              <w:top w:val="single" w:color="auto" w:sz="6" w:space="0"/>
              <w:left w:val="single" w:color="auto" w:sz="12" w:space="0"/>
              <w:bottom w:val="single" w:color="auto" w:sz="12" w:space="0"/>
              <w:right w:val="single" w:color="auto" w:sz="4" w:space="0"/>
            </w:tcBorders>
          </w:tcPr>
          <w:p>
            <w:pPr>
              <w:spacing w:line="500" w:lineRule="exact"/>
              <w:ind w:firstLine="424" w:firstLineChars="180"/>
              <w:contextualSpacing/>
              <w:rPr>
                <w:rFonts w:ascii="宋体" w:hAnsi="宋体" w:cs="宋体"/>
                <w:spacing w:val="-2"/>
                <w:sz w:val="24"/>
                <w:szCs w:val="24"/>
              </w:rPr>
            </w:pPr>
            <w:r>
              <w:rPr>
                <w:rFonts w:hint="eastAsia" w:ascii="宋体" w:hAnsi="宋体" w:cs="宋体"/>
                <w:spacing w:val="-2"/>
                <w:sz w:val="24"/>
                <w:szCs w:val="24"/>
              </w:rPr>
              <w:t>结论：通过评审打√     未通过评审打×</w:t>
            </w:r>
          </w:p>
        </w:tc>
        <w:tc>
          <w:tcPr>
            <w:tcW w:w="870" w:type="dxa"/>
            <w:tcBorders>
              <w:top w:val="single" w:color="auto" w:sz="6" w:space="0"/>
              <w:left w:val="single" w:color="auto" w:sz="4" w:space="0"/>
              <w:bottom w:val="single" w:color="auto" w:sz="12" w:space="0"/>
              <w:right w:val="single" w:color="auto" w:sz="4"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690" w:type="dxa"/>
            <w:tcBorders>
              <w:top w:val="single" w:color="auto" w:sz="6" w:space="0"/>
              <w:left w:val="single" w:color="auto" w:sz="4" w:space="0"/>
              <w:bottom w:val="single" w:color="auto" w:sz="12" w:space="0"/>
              <w:right w:val="single" w:color="auto" w:sz="6"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50" w:type="dxa"/>
            <w:tcBorders>
              <w:top w:val="single" w:color="auto" w:sz="6" w:space="0"/>
              <w:left w:val="single" w:color="auto" w:sz="6" w:space="0"/>
              <w:bottom w:val="single" w:color="auto" w:sz="12" w:space="0"/>
              <w:right w:val="single" w:color="auto" w:sz="6" w:space="0"/>
            </w:tcBorders>
          </w:tcPr>
          <w:p>
            <w:pPr>
              <w:spacing w:line="500" w:lineRule="exact"/>
              <w:ind w:firstLine="424" w:firstLineChars="180"/>
              <w:contextualSpacing/>
              <w:jc w:val="center"/>
              <w:rPr>
                <w:rFonts w:ascii="宋体" w:hAnsi="宋体" w:cs="宋体"/>
                <w:color w:val="000000" w:themeColor="text1"/>
                <w:spacing w:val="-2"/>
                <w:sz w:val="24"/>
                <w:szCs w:val="24"/>
                <w14:textFill>
                  <w14:solidFill>
                    <w14:schemeClr w14:val="tx1"/>
                  </w14:solidFill>
                </w14:textFill>
              </w:rPr>
            </w:pPr>
          </w:p>
        </w:tc>
        <w:tc>
          <w:tcPr>
            <w:tcW w:w="704" w:type="dxa"/>
            <w:tcBorders>
              <w:top w:val="single" w:color="auto" w:sz="6" w:space="0"/>
              <w:left w:val="single" w:color="auto" w:sz="6" w:space="0"/>
              <w:bottom w:val="single" w:color="auto" w:sz="12" w:space="0"/>
              <w:right w:val="single" w:color="auto" w:sz="12" w:space="0"/>
            </w:tcBorders>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bl>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spacing w:line="500" w:lineRule="exact"/>
        <w:contextualSpacing/>
        <w:rPr>
          <w:rFonts w:hint="eastAsia" w:ascii="宋体" w:hAnsi="宋体" w:cs="宋体"/>
          <w:b/>
          <w:color w:val="000000" w:themeColor="text1"/>
          <w:spacing w:val="-2"/>
          <w:sz w:val="24"/>
          <w:szCs w:val="24"/>
          <w14:textFill>
            <w14:solidFill>
              <w14:schemeClr w14:val="tx1"/>
            </w14:solidFill>
          </w14:textFill>
        </w:rPr>
      </w:pPr>
    </w:p>
    <w:p>
      <w:pPr>
        <w:pStyle w:val="35"/>
        <w:rPr>
          <w:rFonts w:hint="eastAsia" w:ascii="宋体" w:hAnsi="宋体" w:cs="宋体"/>
          <w:b/>
          <w:color w:val="000000" w:themeColor="text1"/>
          <w:spacing w:val="-2"/>
          <w:sz w:val="24"/>
          <w:szCs w:val="24"/>
          <w14:textFill>
            <w14:solidFill>
              <w14:schemeClr w14:val="tx1"/>
            </w14:solidFill>
          </w14:textFill>
        </w:rPr>
      </w:pPr>
    </w:p>
    <w:p>
      <w:pPr>
        <w:rPr>
          <w:rFonts w:hint="eastAsia" w:ascii="宋体" w:hAnsi="宋体" w:cs="宋体"/>
          <w:b/>
          <w:color w:val="000000" w:themeColor="text1"/>
          <w:spacing w:val="-2"/>
          <w:sz w:val="24"/>
          <w:szCs w:val="24"/>
          <w14:textFill>
            <w14:solidFill>
              <w14:schemeClr w14:val="tx1"/>
            </w14:solidFill>
          </w14:textFill>
        </w:rPr>
      </w:pPr>
    </w:p>
    <w:p>
      <w:pPr>
        <w:pStyle w:val="35"/>
        <w:rPr>
          <w:rFonts w:hint="eastAsia" w:ascii="宋体" w:hAnsi="宋体" w:cs="宋体"/>
          <w:b/>
          <w:color w:val="000000" w:themeColor="text1"/>
          <w:spacing w:val="-2"/>
          <w:sz w:val="24"/>
          <w:szCs w:val="24"/>
          <w14:textFill>
            <w14:solidFill>
              <w14:schemeClr w14:val="tx1"/>
            </w14:solidFill>
          </w14:textFill>
        </w:rPr>
      </w:pPr>
    </w:p>
    <w:p>
      <w:pPr>
        <w:rPr>
          <w:rFonts w:hint="eastAsia" w:ascii="宋体" w:hAnsi="宋体" w:cs="宋体"/>
          <w:b/>
          <w:color w:val="000000" w:themeColor="text1"/>
          <w:spacing w:val="-2"/>
          <w:sz w:val="24"/>
          <w:szCs w:val="24"/>
          <w14:textFill>
            <w14:solidFill>
              <w14:schemeClr w14:val="tx1"/>
            </w14:solidFill>
          </w14:textFill>
        </w:rPr>
      </w:pPr>
    </w:p>
    <w:p>
      <w:pPr>
        <w:pStyle w:val="35"/>
        <w:rPr>
          <w:rFonts w:hint="eastAsia" w:ascii="宋体" w:hAnsi="宋体" w:cs="宋体"/>
          <w:b/>
          <w:color w:val="000000" w:themeColor="text1"/>
          <w:spacing w:val="-2"/>
          <w:sz w:val="24"/>
          <w:szCs w:val="24"/>
          <w14:textFill>
            <w14:solidFill>
              <w14:schemeClr w14:val="tx1"/>
            </w14:solidFill>
          </w14:textFill>
        </w:rPr>
      </w:pPr>
    </w:p>
    <w:p>
      <w:pPr>
        <w:rPr>
          <w:rFonts w:hint="eastAsia"/>
        </w:rPr>
      </w:pPr>
    </w:p>
    <w:p>
      <w:pPr>
        <w:spacing w:line="500" w:lineRule="exact"/>
        <w:contextualSpacing/>
        <w:rPr>
          <w:rFonts w:ascii="宋体" w:hAnsi="宋体" w:cs="宋体"/>
          <w:b/>
          <w:color w:val="000000" w:themeColor="text1"/>
          <w:spacing w:val="-2"/>
          <w:sz w:val="24"/>
          <w:szCs w:val="24"/>
          <w14:textFill>
            <w14:solidFill>
              <w14:schemeClr w14:val="tx1"/>
            </w14:solidFill>
          </w14:textFill>
        </w:rPr>
      </w:pPr>
      <w:r>
        <w:rPr>
          <w:rFonts w:hint="eastAsia" w:ascii="宋体" w:hAnsi="宋体" w:cs="宋体"/>
          <w:b/>
          <w:color w:val="000000" w:themeColor="text1"/>
          <w:spacing w:val="-2"/>
          <w:sz w:val="24"/>
          <w:szCs w:val="24"/>
          <w14:textFill>
            <w14:solidFill>
              <w14:schemeClr w14:val="tx1"/>
            </w14:solidFill>
          </w14:textFill>
        </w:rPr>
        <w:t>2.符合性审查</w:t>
      </w:r>
    </w:p>
    <w:tbl>
      <w:tblPr>
        <w:tblStyle w:val="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8"/>
        <w:gridCol w:w="6479"/>
        <w:gridCol w:w="616"/>
        <w:gridCol w:w="709"/>
        <w:gridCol w:w="70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7"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500" w:lineRule="exact"/>
              <w:ind w:firstLine="2666" w:firstLineChars="1130"/>
              <w:contextualSpacing/>
              <w:rPr>
                <w:rFonts w:ascii="宋体" w:hAnsi="宋体" w:cs="宋体"/>
                <w:spacing w:val="-2"/>
                <w:sz w:val="24"/>
                <w:szCs w:val="24"/>
              </w:rPr>
            </w:pPr>
            <w:r>
              <w:rPr>
                <w:rFonts w:hint="eastAsia" w:ascii="宋体" w:hAnsi="宋体" w:cs="宋体"/>
                <w:spacing w:val="-2"/>
                <w:sz w:val="24"/>
                <w:szCs w:val="24"/>
              </w:rPr>
              <w:t>评审内容</w:t>
            </w:r>
          </w:p>
        </w:tc>
        <w:tc>
          <w:tcPr>
            <w:tcW w:w="2742" w:type="dxa"/>
            <w:gridSpan w:val="4"/>
            <w:tcBorders>
              <w:top w:val="single" w:color="auto" w:sz="12" w:space="0"/>
              <w:left w:val="single" w:color="auto" w:sz="4" w:space="0"/>
              <w:bottom w:val="single" w:color="auto" w:sz="4" w:space="0"/>
              <w:right w:val="single" w:color="auto" w:sz="12" w:space="0"/>
            </w:tcBorders>
            <w:vAlign w:val="center"/>
          </w:tcPr>
          <w:p>
            <w:pPr>
              <w:spacing w:line="500" w:lineRule="exact"/>
              <w:ind w:firstLine="424" w:firstLineChars="180"/>
              <w:contextualSpacing/>
              <w:rPr>
                <w:rFonts w:ascii="宋体" w:hAnsi="宋体" w:cs="宋体"/>
                <w:spacing w:val="-2"/>
                <w:sz w:val="24"/>
                <w:szCs w:val="24"/>
              </w:rPr>
            </w:pPr>
            <w:r>
              <w:rPr>
                <w:rFonts w:hint="eastAsia" w:ascii="宋体" w:hAnsi="宋体" w:cs="宋体"/>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147"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500" w:lineRule="exact"/>
              <w:contextualSpacing/>
              <w:jc w:val="left"/>
              <w:rPr>
                <w:rFonts w:ascii="宋体" w:hAnsi="宋体" w:cs="宋体"/>
                <w:spacing w:val="-2"/>
                <w:sz w:val="24"/>
                <w:szCs w:val="24"/>
              </w:rPr>
            </w:pPr>
          </w:p>
        </w:tc>
        <w:tc>
          <w:tcPr>
            <w:tcW w:w="616" w:type="dxa"/>
            <w:tcBorders>
              <w:top w:val="single" w:color="auto" w:sz="4" w:space="0"/>
              <w:left w:val="single" w:color="auto" w:sz="4" w:space="0"/>
              <w:bottom w:val="single" w:color="auto" w:sz="6" w:space="0"/>
              <w:right w:val="single" w:color="auto" w:sz="4" w:space="0"/>
            </w:tcBorders>
          </w:tcPr>
          <w:p>
            <w:pPr>
              <w:spacing w:line="500" w:lineRule="exact"/>
              <w:ind w:firstLine="37" w:firstLineChars="16"/>
              <w:contextualSpacing/>
              <w:jc w:val="center"/>
              <w:rPr>
                <w:rFonts w:ascii="宋体" w:hAnsi="宋体" w:cs="宋体"/>
                <w:spacing w:val="-2"/>
                <w:sz w:val="24"/>
                <w:szCs w:val="24"/>
              </w:rPr>
            </w:pPr>
            <w:r>
              <w:rPr>
                <w:rFonts w:hint="eastAsia" w:ascii="宋体" w:hAnsi="宋体" w:cs="宋体"/>
                <w:spacing w:val="-2"/>
                <w:sz w:val="24"/>
                <w:szCs w:val="24"/>
              </w:rPr>
              <w:t>1</w:t>
            </w:r>
          </w:p>
        </w:tc>
        <w:tc>
          <w:tcPr>
            <w:tcW w:w="709" w:type="dxa"/>
            <w:tcBorders>
              <w:top w:val="single" w:color="auto" w:sz="4" w:space="0"/>
              <w:left w:val="single" w:color="auto" w:sz="4" w:space="0"/>
              <w:bottom w:val="single" w:color="auto" w:sz="6" w:space="0"/>
              <w:right w:val="single" w:color="auto" w:sz="6" w:space="0"/>
            </w:tcBorders>
          </w:tcPr>
          <w:p>
            <w:pPr>
              <w:spacing w:line="500" w:lineRule="exact"/>
              <w:ind w:firstLine="37" w:firstLineChars="16"/>
              <w:contextualSpacing/>
              <w:jc w:val="center"/>
              <w:rPr>
                <w:rFonts w:ascii="宋体" w:hAnsi="宋体" w:cs="宋体"/>
                <w:spacing w:val="-2"/>
                <w:sz w:val="24"/>
                <w:szCs w:val="24"/>
              </w:rPr>
            </w:pPr>
            <w:r>
              <w:rPr>
                <w:rFonts w:hint="eastAsia" w:ascii="宋体" w:hAnsi="宋体" w:cs="宋体"/>
                <w:spacing w:val="-2"/>
                <w:sz w:val="24"/>
                <w:szCs w:val="24"/>
              </w:rPr>
              <w:t>2</w:t>
            </w:r>
          </w:p>
        </w:tc>
        <w:tc>
          <w:tcPr>
            <w:tcW w:w="708" w:type="dxa"/>
            <w:tcBorders>
              <w:top w:val="single" w:color="auto" w:sz="6" w:space="0"/>
              <w:left w:val="single" w:color="auto" w:sz="6" w:space="0"/>
              <w:bottom w:val="single" w:color="auto" w:sz="6" w:space="0"/>
              <w:right w:val="single" w:color="auto" w:sz="6" w:space="0"/>
            </w:tcBorders>
            <w:vAlign w:val="center"/>
          </w:tcPr>
          <w:p>
            <w:pPr>
              <w:spacing w:line="500" w:lineRule="exact"/>
              <w:ind w:firstLine="37" w:firstLineChars="16"/>
              <w:contextualSpacing/>
              <w:jc w:val="center"/>
              <w:rPr>
                <w:rFonts w:ascii="宋体" w:hAnsi="宋体" w:cs="宋体"/>
                <w:spacing w:val="-2"/>
                <w:sz w:val="24"/>
                <w:szCs w:val="24"/>
              </w:rPr>
            </w:pPr>
            <w:r>
              <w:rPr>
                <w:rFonts w:hint="eastAsia" w:ascii="宋体" w:hAnsi="宋体" w:cs="宋体"/>
                <w:spacing w:val="-2"/>
                <w:sz w:val="24"/>
                <w:szCs w:val="24"/>
              </w:rPr>
              <w:t>3</w:t>
            </w:r>
          </w:p>
        </w:tc>
        <w:tc>
          <w:tcPr>
            <w:tcW w:w="709" w:type="dxa"/>
            <w:tcBorders>
              <w:top w:val="single" w:color="auto" w:sz="6" w:space="0"/>
              <w:left w:val="single" w:color="auto" w:sz="6" w:space="0"/>
              <w:bottom w:val="single" w:color="auto" w:sz="6" w:space="0"/>
              <w:right w:val="single" w:color="auto" w:sz="12" w:space="0"/>
            </w:tcBorders>
            <w:vAlign w:val="center"/>
          </w:tcPr>
          <w:p>
            <w:pPr>
              <w:spacing w:line="500" w:lineRule="exact"/>
              <w:ind w:firstLine="39" w:firstLineChars="16"/>
              <w:contextualSpacing/>
              <w:jc w:val="center"/>
              <w:rPr>
                <w:rFonts w:ascii="宋体" w:hAnsi="宋体" w:cs="宋体"/>
                <w:b/>
                <w:sz w:val="24"/>
                <w:szCs w:val="24"/>
              </w:rPr>
            </w:pPr>
            <w:r>
              <w:rPr>
                <w:rFonts w:hint="eastAsia" w:ascii="宋体" w:hAnsi="宋体" w:cs="宋体"/>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1</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未按照招标文件规定交纳投标保证金的（无需缴纳）；</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2</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未按照招标文件规定和要求签署、盖章的；</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3</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不具备招标文件中规定的资格条件和要求的</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4</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报价超过招标文件中规定的预算金额或者最高限价的</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5</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eastAsia="宋体" w:cs="宋体"/>
                <w:spacing w:val="-2"/>
                <w:kern w:val="2"/>
                <w:sz w:val="24"/>
                <w:szCs w:val="24"/>
                <w:lang w:val="en-US" w:eastAsia="zh-CN" w:bidi="ar-SA"/>
              </w:rPr>
            </w:pPr>
            <w:r>
              <w:rPr>
                <w:rFonts w:hint="eastAsia" w:ascii="宋体" w:hAnsi="宋体" w:cs="宋体"/>
                <w:sz w:val="24"/>
                <w:szCs w:val="24"/>
              </w:rPr>
              <w:t>投标文件含有采购人不能接受的附件条件的）；</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ascii="宋体" w:hAnsi="宋体" w:cs="宋体"/>
                <w:sz w:val="24"/>
                <w:szCs w:val="24"/>
              </w:rPr>
            </w:pPr>
            <w:r>
              <w:rPr>
                <w:rFonts w:hint="eastAsia" w:ascii="宋体" w:hAnsi="宋体" w:cs="宋体"/>
                <w:sz w:val="24"/>
                <w:szCs w:val="24"/>
              </w:rPr>
              <w:t>6</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eastAsia="宋体" w:cs="宋体"/>
                <w:kern w:val="2"/>
                <w:sz w:val="24"/>
                <w:szCs w:val="24"/>
                <w:lang w:val="en-US" w:eastAsia="zh-CN" w:bidi="ar-SA"/>
              </w:rPr>
            </w:pPr>
            <w:r>
              <w:rPr>
                <w:rFonts w:hint="eastAsia" w:ascii="宋体" w:hAnsi="宋体" w:cs="宋体"/>
                <w:sz w:val="24"/>
                <w:szCs w:val="24"/>
              </w:rPr>
              <w:t>不符合法律法规和招标文件中规定的其他实质性要求的。</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vAlign w:val="center"/>
          </w:tcPr>
          <w:p>
            <w:pPr>
              <w:spacing w:line="500" w:lineRule="exact"/>
              <w:contextualSpacing/>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6479" w:type="dxa"/>
            <w:tcBorders>
              <w:top w:val="single" w:color="auto" w:sz="6" w:space="0"/>
              <w:left w:val="single" w:color="auto" w:sz="6" w:space="0"/>
              <w:bottom w:val="single" w:color="auto" w:sz="6" w:space="0"/>
              <w:right w:val="single" w:color="auto" w:sz="4" w:space="0"/>
            </w:tcBorders>
            <w:vAlign w:val="center"/>
          </w:tcPr>
          <w:p>
            <w:pPr>
              <w:spacing w:line="500" w:lineRule="exact"/>
              <w:contextualSpacing/>
              <w:rPr>
                <w:rFonts w:ascii="宋体" w:hAnsi="宋体" w:cs="宋体"/>
                <w:spacing w:val="-2"/>
                <w:sz w:val="24"/>
                <w:szCs w:val="24"/>
              </w:rPr>
            </w:pPr>
            <w:r>
              <w:rPr>
                <w:rFonts w:hint="eastAsia" w:ascii="宋体" w:hAnsi="宋体" w:cs="宋体"/>
                <w:spacing w:val="-2"/>
                <w:sz w:val="24"/>
                <w:szCs w:val="24"/>
              </w:rPr>
              <w:t>招标文件规定的其他无效投标情形；</w:t>
            </w:r>
          </w:p>
        </w:tc>
        <w:tc>
          <w:tcPr>
            <w:tcW w:w="616"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widowControl/>
              <w:shd w:val="clear" w:color="auto" w:fill="FAFAFA"/>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6"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6" w:space="0"/>
              <w:right w:val="single" w:color="auto" w:sz="12" w:space="0"/>
            </w:tcBorders>
          </w:tcPr>
          <w:p>
            <w:pPr>
              <w:spacing w:line="500" w:lineRule="exact"/>
              <w:contextualSpacing/>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47" w:type="dxa"/>
            <w:gridSpan w:val="2"/>
            <w:tcBorders>
              <w:top w:val="single" w:color="auto" w:sz="6" w:space="0"/>
              <w:left w:val="single" w:color="auto" w:sz="12" w:space="0"/>
              <w:bottom w:val="single" w:color="auto" w:sz="12" w:space="0"/>
              <w:right w:val="single" w:color="auto" w:sz="4" w:space="0"/>
            </w:tcBorders>
          </w:tcPr>
          <w:p>
            <w:pPr>
              <w:spacing w:line="500" w:lineRule="exact"/>
              <w:ind w:firstLine="424" w:firstLineChars="180"/>
              <w:contextualSpacing/>
              <w:rPr>
                <w:rFonts w:ascii="宋体" w:hAnsi="宋体" w:cs="宋体"/>
                <w:spacing w:val="-2"/>
                <w:sz w:val="24"/>
                <w:szCs w:val="24"/>
              </w:rPr>
            </w:pPr>
            <w:r>
              <w:rPr>
                <w:rFonts w:hint="eastAsia" w:ascii="宋体" w:hAnsi="宋体" w:cs="宋体"/>
                <w:spacing w:val="-2"/>
                <w:sz w:val="24"/>
                <w:szCs w:val="24"/>
              </w:rPr>
              <w:t>结论：通过评审打√     未通过评审打×</w:t>
            </w:r>
          </w:p>
        </w:tc>
        <w:tc>
          <w:tcPr>
            <w:tcW w:w="616" w:type="dxa"/>
            <w:tcBorders>
              <w:top w:val="single" w:color="auto" w:sz="6" w:space="0"/>
              <w:left w:val="single" w:color="auto" w:sz="4" w:space="0"/>
              <w:bottom w:val="single" w:color="auto" w:sz="12" w:space="0"/>
              <w:right w:val="single" w:color="auto" w:sz="4"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4" w:space="0"/>
              <w:bottom w:val="single" w:color="auto" w:sz="12" w:space="0"/>
              <w:right w:val="single" w:color="auto" w:sz="6" w:space="0"/>
            </w:tcBorders>
          </w:tcPr>
          <w:p>
            <w:pPr>
              <w:spacing w:line="500" w:lineRule="exact"/>
              <w:ind w:firstLine="424" w:firstLineChars="180"/>
              <w:contextualSpacing/>
              <w:rPr>
                <w:rFonts w:ascii="宋体" w:hAnsi="宋体" w:cs="宋体"/>
                <w:spacing w:val="-2"/>
                <w:sz w:val="24"/>
                <w:szCs w:val="24"/>
              </w:rPr>
            </w:pPr>
          </w:p>
        </w:tc>
        <w:tc>
          <w:tcPr>
            <w:tcW w:w="708" w:type="dxa"/>
            <w:tcBorders>
              <w:top w:val="single" w:color="auto" w:sz="6" w:space="0"/>
              <w:left w:val="single" w:color="auto" w:sz="6" w:space="0"/>
              <w:bottom w:val="single" w:color="auto" w:sz="12" w:space="0"/>
              <w:right w:val="single" w:color="auto" w:sz="6" w:space="0"/>
            </w:tcBorders>
          </w:tcPr>
          <w:p>
            <w:pPr>
              <w:spacing w:line="500" w:lineRule="exact"/>
              <w:ind w:firstLine="424" w:firstLineChars="180"/>
              <w:contextualSpacing/>
              <w:rPr>
                <w:rFonts w:ascii="宋体" w:hAnsi="宋体" w:cs="宋体"/>
                <w:spacing w:val="-2"/>
                <w:sz w:val="24"/>
                <w:szCs w:val="24"/>
              </w:rPr>
            </w:pPr>
          </w:p>
        </w:tc>
        <w:tc>
          <w:tcPr>
            <w:tcW w:w="709" w:type="dxa"/>
            <w:tcBorders>
              <w:top w:val="single" w:color="auto" w:sz="6" w:space="0"/>
              <w:left w:val="single" w:color="auto" w:sz="6" w:space="0"/>
              <w:bottom w:val="single" w:color="auto" w:sz="12" w:space="0"/>
              <w:right w:val="single" w:color="auto" w:sz="12" w:space="0"/>
            </w:tcBorders>
          </w:tcPr>
          <w:p>
            <w:pPr>
              <w:spacing w:line="500" w:lineRule="exact"/>
              <w:contextualSpacing/>
              <w:rPr>
                <w:rFonts w:ascii="宋体" w:hAnsi="宋体" w:cs="宋体"/>
                <w:sz w:val="24"/>
                <w:szCs w:val="24"/>
              </w:rPr>
            </w:pPr>
          </w:p>
        </w:tc>
      </w:tr>
    </w:tbl>
    <w:p>
      <w:pPr>
        <w:spacing w:line="500" w:lineRule="exact"/>
        <w:ind w:firstLine="480" w:firstLineChars="200"/>
        <w:contextualSpacing/>
        <w:rPr>
          <w:rFonts w:ascii="宋体" w:hAnsi="宋体" w:cs="宋体"/>
          <w:color w:val="FF0000"/>
          <w:sz w:val="24"/>
          <w:szCs w:val="24"/>
        </w:rPr>
      </w:pPr>
      <w:r>
        <w:rPr>
          <w:rFonts w:hint="eastAsia" w:ascii="宋体" w:hAnsi="宋体" w:cs="宋体"/>
          <w:sz w:val="24"/>
          <w:szCs w:val="24"/>
        </w:rPr>
        <w:t>2.1响应性文件响应程度初步审查通过的投标企业，进入下一步详细评审阶段，未通过响应性文件响应程度初步审查的企业，其投标作为无效标，不进入后期评审阶段。</w:t>
      </w:r>
    </w:p>
    <w:p>
      <w:pPr>
        <w:spacing w:line="500" w:lineRule="exact"/>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 详细评审</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6.1  经初步评审合格的投标文件，评标委员会应当根据招标文件确定的评标标准和方法，对其技术和商务部分作进一步的评审和比较。</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6.2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500" w:lineRule="exact"/>
        <w:ind w:firstLine="472" w:firstLineChars="200"/>
        <w:contextualSpacing/>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6.3  采用</w:t>
      </w:r>
      <w:r>
        <w:rPr>
          <w:rFonts w:hint="eastAsia" w:ascii="宋体" w:hAnsi="宋体" w:cs="宋体"/>
          <w:b/>
          <w:color w:val="000000" w:themeColor="text1"/>
          <w:spacing w:val="-2"/>
          <w:sz w:val="24"/>
          <w:szCs w:val="24"/>
          <w:u w:val="single"/>
          <w14:textFill>
            <w14:solidFill>
              <w14:schemeClr w14:val="tx1"/>
            </w14:solidFill>
          </w14:textFill>
        </w:rPr>
        <w:t>　综合评分法　</w:t>
      </w:r>
      <w:r>
        <w:rPr>
          <w:rFonts w:hint="eastAsia" w:ascii="宋体" w:hAnsi="宋体" w:cs="宋体"/>
          <w:color w:val="000000" w:themeColor="text1"/>
          <w:spacing w:val="-2"/>
          <w:sz w:val="24"/>
          <w:szCs w:val="24"/>
          <w14:textFill>
            <w14:solidFill>
              <w14:schemeClr w14:val="tx1"/>
            </w14:solidFill>
          </w14:textFill>
        </w:rPr>
        <w:t>衡量投标文件是否最大限度地满足招标文件中规定的各项综合评分标准。</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6.3.1评分标准与分值构成</w:t>
      </w:r>
    </w:p>
    <w:p>
      <w:pPr>
        <w:spacing w:line="500" w:lineRule="exact"/>
        <w:ind w:firstLine="482" w:firstLineChars="20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综合评分法将综合部分和投标价格两个部分分别进行评分</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综合部分满分为100分权重70%、价格部分满分为100分权重30%，合计总分100分。</w:t>
      </w:r>
    </w:p>
    <w:bookmarkEnd w:id="539"/>
    <w:p>
      <w:pPr>
        <w:spacing w:line="500" w:lineRule="exact"/>
        <w:ind w:firstLine="472" w:firstLineChars="200"/>
        <w:contextualSpacing/>
        <w:rPr>
          <w:rFonts w:ascii="宋体" w:hAnsi="宋体" w:cs="宋体"/>
          <w:color w:val="000000"/>
          <w:spacing w:val="-2"/>
          <w:sz w:val="24"/>
          <w:szCs w:val="24"/>
        </w:rPr>
      </w:pPr>
      <w:bookmarkStart w:id="540" w:name="_Toc183582287"/>
      <w:bookmarkStart w:id="541" w:name="_Toc217446104"/>
      <w:bookmarkStart w:id="542" w:name="_Toc183682422"/>
      <w:r>
        <w:rPr>
          <w:rFonts w:hint="eastAsia" w:ascii="宋体" w:hAnsi="宋体" w:cs="宋体"/>
          <w:color w:val="000000"/>
          <w:spacing w:val="-2"/>
          <w:sz w:val="24"/>
          <w:szCs w:val="24"/>
        </w:rPr>
        <w:t>6.4价格扣除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（1）小型和微型企业产品价格扣除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根据根据《政府采购促进中小企业发展管理办法》（财库〔2020〕46号）的规定，对小型和微型企业产品的价格给予6%的扣除，用扣除后的价格参与评审；投标产品中仅有部分小型和微型企业产品的，则此部分按所投小型和微型企业产品的价格予以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《政府采购促进中小企业发展暂行办法》所称中小企业（含中型、小型、微型企业，下同）应当同时符合以下条件：</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符合中小企业划分标准；</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提供本企业制造的货物、承担的工程或者服务，或者提供其他中小企业制造的货物。本项所称货物不包括使用大型企业注册商标的货物。</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（2）监狱企业产品价格扣除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监狱企业视同小型、微型企业，按上述1.1、1.2条款享受评审中价格扣除。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监狱企业参加政府采购活动时，应当提供由省级以上监狱管理局、戒毒管理局（含新疆生产建设兵团）出具的属于监狱企业的证明文件，否则不予认可。</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（3）残疾人福利性单位产品价格扣除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残疾人福利性单位视同小型、微型企业，按上述1.1条款享受评审中价格扣除。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投标人同时为小型、微型企业、监狱企业、残疾人福利性单位任两种或以上情况的，评审中只享受一次价格扣除，不重复进行价格扣除。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（4）节能产品、环境标志产品价格扣除：</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6.5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6.6  采用综合评分法衡量投标文件在是否最大限度地满足招标文件实质性要求前提下，按照招标文件中规定的各项因素进行综合评审后，依据得分高低，依次确定为中标候选人。得分相同的按投标报价由低到高顺序排序，得分且报价相同的并列。投标文件满足招标文件全部实质性要求，且按照评审因素的量化指标评审得分最高的投标人为排名第一的中标候选人。</w:t>
      </w:r>
      <w:r>
        <w:rPr>
          <w:rFonts w:hint="eastAsia" w:ascii="宋体" w:hAnsi="宋体" w:cs="宋体"/>
          <w:b/>
          <w:color w:val="000000"/>
          <w:spacing w:val="-2"/>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cs="宋体"/>
          <w:color w:val="000000"/>
          <w:spacing w:val="-2"/>
          <w:sz w:val="24"/>
          <w:szCs w:val="24"/>
        </w:rPr>
        <w:t>）。</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6.7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pPr>
        <w:spacing w:line="500" w:lineRule="exact"/>
        <w:ind w:firstLine="472" w:firstLineChars="200"/>
        <w:contextualSpacing/>
        <w:rPr>
          <w:rFonts w:ascii="宋体" w:hAnsi="宋体" w:cs="宋体"/>
          <w:color w:val="000000"/>
          <w:spacing w:val="-2"/>
          <w:sz w:val="24"/>
          <w:szCs w:val="24"/>
        </w:rPr>
      </w:pPr>
      <w:r>
        <w:rPr>
          <w:rFonts w:hint="eastAsia" w:ascii="宋体" w:hAnsi="宋体" w:cs="宋体"/>
          <w:color w:val="000000"/>
          <w:spacing w:val="-2"/>
          <w:sz w:val="24"/>
          <w:szCs w:val="24"/>
        </w:rPr>
        <w:t>6.8  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pPr>
        <w:spacing w:line="500" w:lineRule="exact"/>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7．计算错误的修改</w:t>
      </w:r>
      <w:bookmarkEnd w:id="540"/>
      <w:bookmarkEnd w:id="541"/>
      <w:bookmarkEnd w:id="542"/>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投标文件中如果出现计算上或累加上的算术错误，可按以下原则进行修改：</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（1）用数字表示的金额和用文字表示的金额不一致，应以文字表示的金额为准。</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（2）单价和数量的乘积与总价不一致时，以单价为准，并修正总价。</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（3）单价金额小数点有明显错误的，以总价为准，修正单价。</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  按上述修正错误的方法调整的投标报价应对投标人具有约束力。如果投标人不接受修正后的价格，其投标将被拒绝。</w:t>
      </w:r>
    </w:p>
    <w:p>
      <w:pPr>
        <w:spacing w:line="500" w:lineRule="exact"/>
        <w:contextualSpacing/>
        <w:jc w:val="left"/>
        <w:rPr>
          <w:rFonts w:ascii="宋体" w:hAnsi="宋体" w:cs="宋体"/>
          <w:b/>
          <w:color w:val="000000" w:themeColor="text1"/>
          <w:sz w:val="24"/>
          <w:szCs w:val="24"/>
          <w14:textFill>
            <w14:solidFill>
              <w14:schemeClr w14:val="tx1"/>
            </w14:solidFill>
          </w14:textFill>
        </w:rPr>
      </w:pPr>
      <w:bookmarkStart w:id="543" w:name="_Toc183682432"/>
      <w:bookmarkStart w:id="544" w:name="_Toc208849022"/>
      <w:bookmarkStart w:id="545" w:name="_Toc183582297"/>
      <w:bookmarkStart w:id="546" w:name="_Toc217446105"/>
      <w:r>
        <w:rPr>
          <w:rFonts w:hint="eastAsia" w:ascii="宋体" w:hAnsi="宋体" w:cs="宋体"/>
          <w:b/>
          <w:color w:val="000000" w:themeColor="text1"/>
          <w:sz w:val="24"/>
          <w:szCs w:val="24"/>
          <w14:textFill>
            <w14:solidFill>
              <w14:schemeClr w14:val="tx1"/>
            </w14:solidFill>
          </w14:textFill>
        </w:rPr>
        <w:t xml:space="preserve">8. </w:t>
      </w:r>
      <w:bookmarkEnd w:id="543"/>
      <w:bookmarkEnd w:id="544"/>
      <w:bookmarkEnd w:id="545"/>
      <w:bookmarkEnd w:id="546"/>
      <w:r>
        <w:rPr>
          <w:rFonts w:hint="eastAsia" w:ascii="宋体" w:hAnsi="宋体" w:cs="宋体"/>
          <w:b/>
          <w:color w:val="000000" w:themeColor="text1"/>
          <w:sz w:val="24"/>
          <w:szCs w:val="24"/>
          <w14:textFill>
            <w14:solidFill>
              <w14:schemeClr w14:val="tx1"/>
            </w14:solidFill>
          </w14:textFill>
        </w:rPr>
        <w:t>评标专家在政府采购活动中承担以下义务：</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 遵纪守法，客观、公正、廉洁地履行职责。</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按照政府采购法律法规和采购文件的规定要求对供应商的资格条件和供应商提供的产品价格、技术、服务等方面严格进行评判，提供科学合理、公平公正的评审意见，参与起草评审报告，并予签字确认。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保守秘密。不得透露采购文件咨询情况，不得泄漏供应商的投标文件及知悉的商业秘密，不得向供应商透露评审情况。</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8.5 解答有关方面对政府采购评审工作中有关问题的询问，配合采购人或者政府采购代理机构答复供应商质疑，配合财政部门的投诉处理工作等事宜。</w:t>
      </w: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8.6 法律、法规和规章规定的其他义务。</w:t>
      </w:r>
    </w:p>
    <w:p>
      <w:pPr>
        <w:spacing w:line="500" w:lineRule="exact"/>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9.评审专家在政府采购活动中应当遵守以下工作纪律：</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 应邀按时参加评审和咨询活动。遇特殊情况不能出席或途中遇阻不能按时参加评审或咨询的，应及时告知财政部门或者采购人或者政府采购代理机构，不得私自转托他人。</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不得参加与自己有利害关系的政府采购项目的评审活动。对与自己有利害关系的评审项目，如受到邀请，应主动提出回避。财政部门、采购人或政府采购代理机构也可要求该评审专家回避。</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9.3 评审或咨询过程中关闭通讯设备，不得与外界联系。因发生不可预见情况，确实需要与外界联系的，应当有在场工作人员陪同。</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500" w:lineRule="exact"/>
        <w:ind w:right="53" w:firstLine="480" w:firstLineChars="200"/>
        <w:contextualSpacing/>
        <w:jc w:val="left"/>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9.6 有关部门（机构）制定的其他评审工作纪律。</w:t>
      </w:r>
    </w:p>
    <w:p>
      <w:pPr>
        <w:tabs>
          <w:tab w:val="left" w:pos="5969"/>
        </w:tabs>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sectPr>
          <w:pgSz w:w="11907" w:h="16840"/>
          <w:pgMar w:top="1134" w:right="1134" w:bottom="1134" w:left="1134" w:header="851" w:footer="851" w:gutter="0"/>
          <w:pgNumType w:chapStyle="1"/>
          <w:cols w:space="720" w:num="1"/>
          <w:titlePg/>
        </w:sectPr>
      </w:pPr>
    </w:p>
    <w:p>
      <w:pPr>
        <w:widowControl/>
        <w:autoSpaceDE w:val="0"/>
        <w:autoSpaceDN w:val="0"/>
        <w:spacing w:line="500" w:lineRule="exact"/>
        <w:ind w:right="53" w:firstLine="120" w:firstLineChars="50"/>
        <w:contextualSpacing/>
        <w:jc w:val="left"/>
        <w:textAlignment w:val="bottom"/>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综合评分明细表：</w:t>
      </w:r>
    </w:p>
    <w:tbl>
      <w:tblPr>
        <w:tblStyle w:val="36"/>
        <w:tblpPr w:leftFromText="180" w:rightFromText="180" w:vertAnchor="text" w:horzAnchor="page" w:tblpX="1249" w:tblpY="498"/>
        <w:tblOverlap w:val="never"/>
        <w:tblW w:w="95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327"/>
        <w:gridCol w:w="1036"/>
        <w:gridCol w:w="6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746" w:type="dxa"/>
            <w:noWrap/>
            <w:vAlign w:val="center"/>
          </w:tcPr>
          <w:p>
            <w:pPr>
              <w:pStyle w:val="150"/>
              <w:spacing w:before="0" w:after="0" w:line="500" w:lineRule="exact"/>
              <w:ind w:firstLine="0"/>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序号</w:t>
            </w:r>
          </w:p>
        </w:tc>
        <w:tc>
          <w:tcPr>
            <w:tcW w:w="1327" w:type="dxa"/>
            <w:noWrap/>
            <w:vAlign w:val="center"/>
          </w:tcPr>
          <w:p>
            <w:pPr>
              <w:pStyle w:val="150"/>
              <w:spacing w:before="0" w:after="0" w:line="500" w:lineRule="exact"/>
              <w:ind w:firstLine="0"/>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考核项目</w:t>
            </w:r>
          </w:p>
        </w:tc>
        <w:tc>
          <w:tcPr>
            <w:tcW w:w="1036" w:type="dxa"/>
            <w:noWrap/>
            <w:vAlign w:val="center"/>
          </w:tcPr>
          <w:p>
            <w:pPr>
              <w:pStyle w:val="150"/>
              <w:spacing w:before="0" w:after="0" w:line="500" w:lineRule="exact"/>
              <w:ind w:firstLine="0"/>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分数</w:t>
            </w:r>
          </w:p>
        </w:tc>
        <w:tc>
          <w:tcPr>
            <w:tcW w:w="6477" w:type="dxa"/>
            <w:noWrap/>
            <w:vAlign w:val="center"/>
          </w:tcPr>
          <w:p>
            <w:pPr>
              <w:pStyle w:val="150"/>
              <w:spacing w:before="0" w:after="0" w:line="500" w:lineRule="exact"/>
              <w:ind w:firstLine="2476" w:firstLineChars="1032"/>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9586" w:type="dxa"/>
            <w:gridSpan w:val="4"/>
            <w:tcBorders>
              <w:bottom w:val="single" w:color="auto" w:sz="4" w:space="0"/>
            </w:tcBorders>
            <w:noWrap/>
            <w:vAlign w:val="center"/>
          </w:tcPr>
          <w:p>
            <w:pPr>
              <w:pStyle w:val="21"/>
              <w:spacing w:line="440" w:lineRule="exact"/>
              <w:jc w:val="center"/>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报价部分30分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trPr>
        <w:tc>
          <w:tcPr>
            <w:tcW w:w="746" w:type="dxa"/>
            <w:tcBorders>
              <w:top w:val="single" w:color="auto" w:sz="4" w:space="0"/>
              <w:bottom w:val="single" w:color="auto" w:sz="4" w:space="0"/>
            </w:tcBorders>
            <w:noWrap/>
            <w:vAlign w:val="center"/>
          </w:tcPr>
          <w:p>
            <w:pPr>
              <w:pStyle w:val="21"/>
              <w:spacing w:line="440" w:lineRule="exact"/>
              <w:jc w:val="center"/>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1</w:t>
            </w:r>
          </w:p>
        </w:tc>
        <w:tc>
          <w:tcPr>
            <w:tcW w:w="1327" w:type="dxa"/>
            <w:tcBorders>
              <w:top w:val="single" w:color="auto" w:sz="4" w:space="0"/>
              <w:bottom w:val="single" w:color="auto" w:sz="4" w:space="0"/>
            </w:tcBorders>
            <w:noWrap/>
            <w:vAlign w:val="center"/>
          </w:tcPr>
          <w:p>
            <w:pPr>
              <w:pStyle w:val="21"/>
              <w:spacing w:line="440" w:lineRule="exact"/>
              <w:jc w:val="left"/>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报价</w:t>
            </w:r>
          </w:p>
        </w:tc>
        <w:tc>
          <w:tcPr>
            <w:tcW w:w="1036" w:type="dxa"/>
            <w:tcBorders>
              <w:top w:val="single" w:color="auto" w:sz="4" w:space="0"/>
              <w:bottom w:val="single" w:color="auto" w:sz="4" w:space="0"/>
            </w:tcBorders>
            <w:noWrap/>
            <w:vAlign w:val="center"/>
          </w:tcPr>
          <w:p>
            <w:pPr>
              <w:pStyle w:val="21"/>
              <w:spacing w:line="440" w:lineRule="exact"/>
              <w:jc w:val="center"/>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30分</w:t>
            </w:r>
          </w:p>
        </w:tc>
        <w:tc>
          <w:tcPr>
            <w:tcW w:w="6477" w:type="dxa"/>
            <w:tcBorders>
              <w:top w:val="single" w:color="auto" w:sz="4" w:space="0"/>
              <w:bottom w:val="single" w:color="auto" w:sz="4" w:space="0"/>
            </w:tcBorders>
            <w:noWrap/>
            <w:vAlign w:val="center"/>
          </w:tcPr>
          <w:p>
            <w:pPr>
              <w:pStyle w:val="21"/>
              <w:spacing w:line="440" w:lineRule="exact"/>
              <w:jc w:val="left"/>
              <w:rPr>
                <w:rFonts w:hint="eastAsia" w:ascii="宋体" w:hAnsi="宋体" w:eastAsia="宋体" w:cs="宋体"/>
                <w:bCs/>
                <w:kern w:val="0"/>
                <w:sz w:val="24"/>
                <w:szCs w:val="18"/>
                <w:lang w:val="en-US" w:eastAsia="zh-CN" w:bidi="ar-SA"/>
              </w:rPr>
            </w:pPr>
            <w:r>
              <w:rPr>
                <w:rFonts w:hint="eastAsia" w:ascii="宋体" w:hAnsi="宋体" w:eastAsia="宋体" w:cs="宋体"/>
                <w:bCs/>
                <w:kern w:val="0"/>
                <w:sz w:val="24"/>
                <w:szCs w:val="18"/>
                <w:lang w:val="en-US" w:eastAsia="zh-CN" w:bidi="ar-SA"/>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atLeast"/>
        </w:trPr>
        <w:tc>
          <w:tcPr>
            <w:tcW w:w="9586" w:type="dxa"/>
            <w:gridSpan w:val="4"/>
            <w:tcBorders>
              <w:top w:val="single" w:color="auto" w:sz="4" w:space="0"/>
              <w:bottom w:val="single" w:color="auto" w:sz="4" w:space="0"/>
            </w:tcBorders>
            <w:noWrap/>
            <w:vAlign w:val="bottom"/>
          </w:tcPr>
          <w:p>
            <w:pPr>
              <w:pStyle w:val="150"/>
              <w:spacing w:line="500" w:lineRule="exact"/>
              <w:ind w:firstLineChars="200"/>
              <w:jc w:val="center"/>
              <w:rPr>
                <w:rFonts w:ascii="宋体" w:hAnsi="宋体" w:cs="宋体"/>
                <w:color w:val="auto"/>
                <w:szCs w:val="24"/>
              </w:rPr>
            </w:pPr>
            <w:r>
              <w:rPr>
                <w:rFonts w:hint="eastAsia" w:ascii="宋体" w:hAnsi="宋体" w:eastAsia="宋体" w:cs="宋体"/>
                <w:bCs/>
                <w:kern w:val="0"/>
                <w:sz w:val="24"/>
                <w:szCs w:val="18"/>
                <w:lang w:val="en-US" w:eastAsia="zh-CN" w:bidi="ar-SA"/>
              </w:rPr>
              <w:t>技术部分70分</w:t>
            </w:r>
          </w:p>
        </w:tc>
      </w:tr>
    </w:tbl>
    <w:tbl>
      <w:tblPr>
        <w:tblStyle w:val="36"/>
        <w:tblW w:w="9586"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670"/>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86"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bookmarkStart w:id="547" w:name="_Toc23031"/>
            <w:bookmarkStart w:id="548" w:name="_Toc487728216"/>
            <w:bookmarkStart w:id="549" w:name="_Toc25038"/>
            <w:r>
              <w:rPr>
                <w:rFonts w:hint="eastAsia" w:ascii="宋体" w:hAnsi="宋体" w:cs="宋体"/>
                <w:bCs/>
                <w:sz w:val="24"/>
                <w:lang w:val="en-US" w:eastAsia="zh-CN"/>
              </w:rPr>
              <w:t>1</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产品性能及整体配置方案</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20分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根据产品综合性能、技术先进性、整体配置方案优且是否有利于长远发展，安装改造调试验收方案是否详细，流程是否清晰合理等进行评审：</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①产品综合性能优秀、技术先进性强、整体配置方案优且有利于长远发展，安装改造调试验收方案详细，流程清晰合理得20分；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②产品综合性能良好、技术先进性较强、整体配置方案良好且较利于长远发展，安装改造调试验收方案详细，流程清晰合理得1</w:t>
            </w:r>
            <w:r>
              <w:rPr>
                <w:rFonts w:hint="eastAsia" w:cs="宋体"/>
                <w:bCs/>
                <w:sz w:val="24"/>
                <w:lang w:val="en-US" w:eastAsia="zh-CN"/>
              </w:rPr>
              <w:t>3</w:t>
            </w:r>
            <w:r>
              <w:rPr>
                <w:rFonts w:hint="eastAsia"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③产品综合性能差、欠缺技术先进性、整体配置方案较差且不利于长远发展，缺乏安装改造调试验收方案得3分；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eastAsia="宋体" w:cs="宋体"/>
                <w:color w:val="auto"/>
                <w:sz w:val="21"/>
                <w:szCs w:val="21"/>
                <w:lang w:val="en-US" w:eastAsia="zh-CN"/>
              </w:rPr>
            </w:pPr>
            <w:r>
              <w:rPr>
                <w:rFonts w:hint="eastAsia" w:ascii="宋体" w:hAnsi="宋体" w:cs="宋体"/>
                <w:bCs/>
                <w:sz w:val="24"/>
                <w:lang w:val="en-US" w:eastAsia="zh-CN"/>
              </w:rPr>
              <w:t>④未提供或无相关方案，不得分。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5"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2</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jc w:val="center"/>
              <w:textAlignment w:val="auto"/>
              <w:rPr>
                <w:rFonts w:hint="eastAsia" w:ascii="宋体" w:hAnsi="宋体" w:cs="宋体"/>
                <w:bCs/>
                <w:sz w:val="24"/>
                <w:lang w:val="en-US" w:eastAsia="zh-CN"/>
              </w:rPr>
            </w:pPr>
            <w:r>
              <w:rPr>
                <w:rFonts w:hint="eastAsia" w:ascii="宋体" w:hAnsi="宋体" w:cs="宋体"/>
                <w:bCs/>
                <w:sz w:val="24"/>
                <w:lang w:val="en-US" w:eastAsia="zh-CN"/>
              </w:rPr>
              <w:t>产品性能安全可靠性</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8</w:t>
            </w:r>
            <w:r>
              <w:rPr>
                <w:rFonts w:hint="eastAsia" w:ascii="宋体" w:hAnsi="宋体" w:cs="宋体"/>
                <w:bCs/>
                <w:sz w:val="24"/>
                <w:lang w:val="en-US" w:eastAsia="zh-CN"/>
              </w:rPr>
              <w:t>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投标产品的产品授权、相关检测报告、企业信用证明，相关技术证明资料，提供齐全的得4分，未提供的不得分。所投产品性能稳定，在以往销售过的产品中未出现不良使用记录，运行良好，故障率小，返修率低，</w:t>
            </w:r>
            <w:r>
              <w:rPr>
                <w:rFonts w:hint="eastAsia" w:ascii="宋体" w:hAnsi="宋体" w:cs="宋体"/>
                <w:color w:val="000000" w:themeColor="text1"/>
                <w:sz w:val="24"/>
                <w:szCs w:val="24"/>
                <w:highlight w:val="none"/>
                <w:lang w:val="en-US" w:eastAsia="zh-CN"/>
                <w14:textFill>
                  <w14:solidFill>
                    <w14:schemeClr w14:val="tx1"/>
                  </w14:solidFill>
                </w14:textFill>
              </w:rPr>
              <w:t>最高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4"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3</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jc w:val="center"/>
              <w:textAlignment w:val="auto"/>
              <w:rPr>
                <w:rFonts w:hint="eastAsia" w:ascii="宋体" w:hAnsi="宋体" w:cs="宋体"/>
                <w:bCs/>
                <w:sz w:val="24"/>
                <w:lang w:val="en-US" w:eastAsia="zh-CN"/>
              </w:rPr>
            </w:pPr>
            <w:r>
              <w:rPr>
                <w:rFonts w:hint="eastAsia" w:ascii="宋体" w:hAnsi="宋体" w:cs="宋体"/>
                <w:bCs/>
                <w:sz w:val="24"/>
                <w:lang w:val="en-US" w:eastAsia="zh-CN"/>
              </w:rPr>
              <w:t>应急预案</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ascii="宋体" w:hAnsi="宋体" w:cs="宋体"/>
                <w:bCs/>
                <w:sz w:val="24"/>
                <w:lang w:val="en-US" w:eastAsia="zh-CN"/>
              </w:rPr>
              <w:t>5分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针对本项目制定各类应急预案齐全，符合实际需求，预见性、可操作性强，得5分；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各类应急预案齐全，预见性和可操作性一般，得3分；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eastAsia="宋体" w:cs="宋体"/>
                <w:color w:val="auto"/>
                <w:kern w:val="0"/>
                <w:sz w:val="21"/>
                <w:szCs w:val="21"/>
                <w:lang w:val="en-US" w:eastAsia="zh-CN" w:bidi="ar-SA"/>
              </w:rPr>
            </w:pPr>
            <w:r>
              <w:rPr>
                <w:rFonts w:hint="eastAsia" w:ascii="宋体" w:hAnsi="宋体" w:cs="宋体"/>
                <w:bCs/>
                <w:sz w:val="24"/>
                <w:lang w:val="en-US" w:eastAsia="zh-CN"/>
              </w:rPr>
              <w:t>各类应急预案不全，可操作性差，得1分。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85" w:hRule="atLeast"/>
        </w:trPr>
        <w:tc>
          <w:tcPr>
            <w:tcW w:w="595" w:type="dxa"/>
            <w:vMerge w:val="restart"/>
            <w:tcBorders>
              <w:top w:val="single" w:color="auto" w:sz="4" w:space="0"/>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4</w:t>
            </w:r>
          </w:p>
        </w:tc>
        <w:tc>
          <w:tcPr>
            <w:tcW w:w="1670" w:type="dxa"/>
            <w:vMerge w:val="restart"/>
            <w:tcBorders>
              <w:top w:val="single" w:color="auto" w:sz="4" w:space="0"/>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供货与安装</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cs="宋体"/>
                <w:bCs/>
                <w:sz w:val="24"/>
                <w:lang w:val="en-US" w:eastAsia="zh-CN"/>
              </w:rPr>
              <w:t>4</w:t>
            </w:r>
            <w:r>
              <w:rPr>
                <w:rFonts w:hint="eastAsia" w:ascii="宋体" w:hAnsi="宋体" w:cs="宋体"/>
                <w:bCs/>
                <w:sz w:val="24"/>
                <w:lang w:val="en-US" w:eastAsia="zh-CN"/>
              </w:rPr>
              <w:t>分</w:t>
            </w:r>
          </w:p>
        </w:tc>
        <w:tc>
          <w:tcPr>
            <w:tcW w:w="6274" w:type="dxa"/>
            <w:tcBorders>
              <w:top w:val="single" w:color="auto" w:sz="4" w:space="0"/>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lang w:val="en-US" w:eastAsia="zh-CN"/>
              </w:rPr>
              <w:t>1</w:t>
            </w:r>
            <w:r>
              <w:rPr>
                <w:rFonts w:hint="eastAsia" w:ascii="宋体" w:hAnsi="宋体" w:cs="宋体"/>
                <w:bCs/>
                <w:sz w:val="24"/>
                <w:lang w:val="en-US" w:eastAsia="zh-CN"/>
              </w:rPr>
              <w:t>、</w:t>
            </w:r>
            <w:r>
              <w:rPr>
                <w:rFonts w:hint="default" w:ascii="宋体" w:hAnsi="宋体" w:cs="宋体"/>
                <w:bCs/>
                <w:sz w:val="24"/>
                <w:lang w:val="en-US" w:eastAsia="zh-CN"/>
              </w:rPr>
              <w:t>从产品供货安装总体时间及阶段性进度安排评审：</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①时间规划科学合理、阶段性进度安排切实可行的，得</w:t>
            </w:r>
            <w:r>
              <w:rPr>
                <w:rFonts w:hint="eastAsia" w:cs="宋体"/>
                <w:bCs/>
                <w:sz w:val="24"/>
                <w:lang w:val="en-US" w:eastAsia="zh-CN"/>
              </w:rPr>
              <w:t>4</w:t>
            </w:r>
            <w:r>
              <w:rPr>
                <w:rFonts w:hint="default"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②时间规划基本合理、阶段性进度安排基本可行，但有瑕疵、或存在问题的，得</w:t>
            </w:r>
            <w:r>
              <w:rPr>
                <w:rFonts w:hint="eastAsia" w:cs="宋体"/>
                <w:bCs/>
                <w:sz w:val="24"/>
                <w:lang w:val="en-US" w:eastAsia="zh-CN"/>
              </w:rPr>
              <w:t>3</w:t>
            </w:r>
            <w:r>
              <w:rPr>
                <w:rFonts w:hint="default"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③时间规划不合理、阶段性进度安排混乱的，得</w:t>
            </w:r>
            <w:r>
              <w:rPr>
                <w:rFonts w:hint="eastAsia" w:cs="宋体"/>
                <w:bCs/>
                <w:sz w:val="24"/>
                <w:lang w:val="en-US" w:eastAsia="zh-CN"/>
              </w:rPr>
              <w:t>2</w:t>
            </w:r>
            <w:r>
              <w:rPr>
                <w:rFonts w:hint="default"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④未提供不得分。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53" w:hRule="atLeast"/>
        </w:trPr>
        <w:tc>
          <w:tcPr>
            <w:tcW w:w="595" w:type="dxa"/>
            <w:vMerge w:val="continue"/>
            <w:tcBorders>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p>
        </w:tc>
        <w:tc>
          <w:tcPr>
            <w:tcW w:w="1670" w:type="dxa"/>
            <w:vMerge w:val="continue"/>
            <w:tcBorders>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4</w:t>
            </w:r>
            <w:r>
              <w:rPr>
                <w:rFonts w:hint="eastAsia" w:ascii="宋体" w:hAnsi="宋体" w:cs="宋体"/>
                <w:bCs/>
                <w:sz w:val="24"/>
                <w:lang w:val="en-US" w:eastAsia="zh-CN"/>
              </w:rPr>
              <w:t>分</w:t>
            </w:r>
          </w:p>
        </w:tc>
        <w:tc>
          <w:tcPr>
            <w:tcW w:w="6274" w:type="dxa"/>
            <w:tcBorders>
              <w:left w:val="single" w:color="auto" w:sz="6"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2、从项目实施组织架构、团队人员配置评审：</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①组织架构合理、人员配置充足、技术力量强、产品维护经验丰富的，得</w:t>
            </w:r>
            <w:r>
              <w:rPr>
                <w:rFonts w:hint="eastAsia" w:cs="宋体"/>
                <w:bCs/>
                <w:sz w:val="24"/>
                <w:lang w:val="en-US" w:eastAsia="zh-CN"/>
              </w:rPr>
              <w:t>4</w:t>
            </w:r>
            <w:r>
              <w:rPr>
                <w:rFonts w:hint="eastAsia"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②组织架构基本合理、人员配置基本满足项目实施要求、技术力量较强，有相关产品维护经验，但有瑕疵或存在问题的，得</w:t>
            </w:r>
            <w:r>
              <w:rPr>
                <w:rFonts w:hint="eastAsia" w:cs="宋体"/>
                <w:bCs/>
                <w:sz w:val="24"/>
                <w:lang w:val="en-US" w:eastAsia="zh-CN"/>
              </w:rPr>
              <w:t>3</w:t>
            </w:r>
            <w:r>
              <w:rPr>
                <w:rFonts w:hint="eastAsia"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③组织架构不合理、人员不足、技术力量较弱，相关产品维护经验不足，得 1 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④未提供不得分。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eastAsia="宋体" w:cs="宋体"/>
                <w:color w:val="auto"/>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5</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服务承诺</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cs="宋体"/>
                <w:bCs/>
                <w:sz w:val="24"/>
                <w:lang w:val="en-US" w:eastAsia="zh-CN"/>
              </w:rPr>
              <w:t>9</w:t>
            </w:r>
            <w:r>
              <w:rPr>
                <w:rFonts w:hint="eastAsia" w:ascii="宋体" w:hAnsi="宋体" w:cs="宋体"/>
                <w:bCs/>
                <w:sz w:val="24"/>
                <w:lang w:val="en-US" w:eastAsia="zh-CN"/>
              </w:rPr>
              <w:t>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 xml:space="preserve">承诺在接到医院保修请求后1小时内维修工程师抵达医院的得 </w:t>
            </w:r>
            <w:r>
              <w:rPr>
                <w:rFonts w:hint="eastAsia" w:cs="宋体"/>
                <w:bCs/>
                <w:sz w:val="24"/>
                <w:lang w:val="en-US" w:eastAsia="zh-CN"/>
              </w:rPr>
              <w:t>9</w:t>
            </w:r>
            <w:r>
              <w:rPr>
                <w:rFonts w:hint="default" w:ascii="宋体" w:hAnsi="宋体"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 xml:space="preserve">承诺4小时内的得 </w:t>
            </w:r>
            <w:r>
              <w:rPr>
                <w:rFonts w:hint="eastAsia" w:cs="宋体"/>
                <w:bCs/>
                <w:sz w:val="24"/>
                <w:lang w:val="en-US" w:eastAsia="zh-CN"/>
              </w:rPr>
              <w:t>5</w:t>
            </w:r>
            <w:r>
              <w:rPr>
                <w:rFonts w:hint="default" w:ascii="宋体" w:hAnsi="宋体" w:cs="宋体"/>
                <w:bCs/>
                <w:sz w:val="24"/>
                <w:lang w:val="en-US" w:eastAsia="zh-CN"/>
              </w:rPr>
              <w:t xml:space="preserve"> 分</w:t>
            </w:r>
            <w:r>
              <w:rPr>
                <w:rFonts w:hint="eastAsia" w:cs="宋体"/>
                <w:bCs/>
                <w:sz w:val="24"/>
                <w:lang w:val="en-US" w:eastAsia="zh-CN"/>
              </w:rPr>
              <w:t>。</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 xml:space="preserve">承诺24小时内的得 </w:t>
            </w:r>
            <w:r>
              <w:rPr>
                <w:rFonts w:hint="eastAsia" w:cs="宋体"/>
                <w:bCs/>
                <w:sz w:val="24"/>
                <w:lang w:val="en-US" w:eastAsia="zh-CN"/>
              </w:rPr>
              <w:t>2</w:t>
            </w:r>
            <w:r>
              <w:rPr>
                <w:rFonts w:hint="default" w:ascii="宋体" w:hAnsi="宋体" w:cs="宋体"/>
                <w:bCs/>
                <w:sz w:val="24"/>
                <w:lang w:val="en-US" w:eastAsia="zh-CN"/>
              </w:rPr>
              <w:t xml:space="preserve"> </w:t>
            </w:r>
            <w:r>
              <w:rPr>
                <w:rFonts w:hint="eastAsia" w:cs="宋体"/>
                <w:bCs/>
                <w:sz w:val="24"/>
                <w:lang w:val="en-US" w:eastAsia="zh-CN"/>
              </w:rPr>
              <w:t>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default" w:ascii="宋体" w:hAnsi="宋体" w:cs="宋体"/>
                <w:bCs/>
                <w:sz w:val="24"/>
                <w:lang w:val="en-US" w:eastAsia="zh-CN"/>
              </w:rPr>
              <w:t>无法承诺者或其他情况得 0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05"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6</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产品退换承诺</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ascii="宋体" w:hAnsi="宋体" w:cs="宋体"/>
                <w:bCs/>
                <w:sz w:val="24"/>
                <w:lang w:val="en-US" w:eastAsia="zh-CN"/>
              </w:rPr>
              <w:t>5分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GB" w:eastAsia="zh-CN"/>
              </w:rPr>
            </w:pPr>
            <w:r>
              <w:rPr>
                <w:rFonts w:hint="eastAsia" w:ascii="宋体" w:hAnsi="宋体" w:cs="宋体"/>
                <w:bCs/>
                <w:sz w:val="24"/>
                <w:lang w:val="en-GB" w:eastAsia="zh-CN"/>
              </w:rPr>
              <w:t>对于出现质量不合格产品时，投标人应明确对不合格产品的退换时间及退换后产品的质量的承诺。</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有具体措施及响应时间，且符合实际，得5分，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具体措施及响应时间较具体且较符合实际，得3分，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ascii="宋体" w:hAnsi="宋体" w:cs="宋体"/>
                <w:bCs/>
                <w:sz w:val="24"/>
                <w:lang w:val="en-US" w:eastAsia="zh-CN"/>
              </w:rPr>
              <w:t>具体措施及响应时间不具体且不符合实际或未提供，不得分。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8"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7</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培训方案</w:t>
            </w: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GB" w:eastAsia="zh-CN"/>
              </w:rPr>
              <w:t>10分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投标人提供的培训方案，从培训目标、培训方式、培训内容、培训地点及时间安排等内容评审，</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①培训方案完整、培训目标明确、培训计划合理、保证使用单位工作人员能熟练操作、 正常维护的，得10分；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②培训方案基本完整、可实施性和专业性稍差但尚能满足项目需求的，得5分；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③培训方案不完整或内容不够充实、专业性和科学性较差不能满足项目需求的不得分。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2" w:hRule="atLeast"/>
        </w:trPr>
        <w:tc>
          <w:tcPr>
            <w:tcW w:w="595"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default" w:ascii="宋体" w:hAnsi="宋体" w:cs="宋体"/>
                <w:bCs/>
                <w:sz w:val="24"/>
                <w:lang w:val="en-US" w:eastAsia="zh-CN"/>
              </w:rPr>
            </w:pPr>
            <w:r>
              <w:rPr>
                <w:rFonts w:hint="eastAsia" w:cs="宋体"/>
                <w:bCs/>
                <w:sz w:val="24"/>
                <w:lang w:val="en-US" w:eastAsia="zh-CN"/>
              </w:rPr>
              <w:t>8</w:t>
            </w:r>
          </w:p>
        </w:tc>
        <w:tc>
          <w:tcPr>
            <w:tcW w:w="1670"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售后服务人员配置情况</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p>
        </w:tc>
        <w:tc>
          <w:tcPr>
            <w:tcW w:w="1047"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5分</w:t>
            </w:r>
          </w:p>
        </w:tc>
        <w:tc>
          <w:tcPr>
            <w:tcW w:w="6274" w:type="dxa"/>
            <w:tcBorders>
              <w:top w:val="single" w:color="auto" w:sz="4" w:space="0"/>
              <w:left w:val="single" w:color="auto" w:sz="6" w:space="0"/>
              <w:bottom w:val="single" w:color="auto" w:sz="4" w:space="0"/>
              <w:right w:val="single" w:color="auto" w:sz="6" w:space="0"/>
            </w:tcBorders>
            <w:noWrap w:val="0"/>
            <w:vAlign w:val="center"/>
          </w:tcPr>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根据投标人对本项目售后服务人员配置情况进行综合评价。</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①售后服务人员安排合理、岗位职责明确，得5分；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②售后服务人员安排较合理、岗位职责较明确，得2分；</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right="0" w:firstLine="0"/>
              <w:textAlignment w:val="auto"/>
              <w:rPr>
                <w:rFonts w:hint="eastAsia" w:ascii="宋体" w:hAnsi="宋体" w:cs="宋体"/>
                <w:bCs/>
                <w:sz w:val="24"/>
                <w:lang w:val="en-US" w:eastAsia="zh-CN"/>
              </w:rPr>
            </w:pPr>
            <w:r>
              <w:rPr>
                <w:rFonts w:hint="eastAsia" w:ascii="宋体" w:hAnsi="宋体" w:cs="宋体"/>
                <w:bCs/>
                <w:sz w:val="24"/>
                <w:lang w:val="en-US" w:eastAsia="zh-CN"/>
              </w:rPr>
              <w:t>③售后服务人员安排一般、岗位职责不明确，得1分；</w:t>
            </w:r>
          </w:p>
        </w:tc>
      </w:tr>
    </w:tbl>
    <w:p/>
    <w:p>
      <w:pPr>
        <w:pStyle w:val="5"/>
        <w:spacing w:line="500" w:lineRule="exact"/>
        <w:contextualSpacing/>
        <w:rPr>
          <w:rFonts w:hint="eastAsia" w:ascii="宋体" w:hAnsi="宋体" w:cs="宋体"/>
          <w:color w:val="000000" w:themeColor="text1"/>
          <w:sz w:val="24"/>
          <w:szCs w:val="24"/>
          <w14:textFill>
            <w14:solidFill>
              <w14:schemeClr w14:val="tx1"/>
            </w14:solidFill>
          </w14:textFill>
        </w:rPr>
      </w:pPr>
    </w:p>
    <w:p>
      <w:pPr>
        <w:pStyle w:val="5"/>
        <w:spacing w:line="500" w:lineRule="exact"/>
        <w:contextualSpacing/>
        <w:rPr>
          <w:rFonts w:hint="eastAsia" w:ascii="宋体" w:hAnsi="宋体" w:cs="宋体"/>
          <w:color w:val="000000" w:themeColor="text1"/>
          <w:sz w:val="24"/>
          <w:szCs w:val="24"/>
          <w14:textFill>
            <w14:solidFill>
              <w14:schemeClr w14:val="tx1"/>
            </w14:solidFill>
          </w14:textFill>
        </w:rPr>
      </w:pPr>
    </w:p>
    <w:p>
      <w:pPr>
        <w:pStyle w:val="5"/>
        <w:spacing w:line="500" w:lineRule="exact"/>
        <w:contextualSpacing/>
        <w:rPr>
          <w:rFonts w:hint="eastAsia" w:ascii="宋体" w:hAnsi="宋体" w:cs="宋体"/>
          <w:color w:val="000000" w:themeColor="text1"/>
          <w:sz w:val="24"/>
          <w:szCs w:val="2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5"/>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第六章投标文件格式</w:t>
      </w:r>
      <w:bookmarkEnd w:id="547"/>
      <w:bookmarkEnd w:id="548"/>
      <w:bookmarkEnd w:id="549"/>
    </w:p>
    <w:p>
      <w:pPr>
        <w:pStyle w:val="5"/>
        <w:spacing w:line="500" w:lineRule="exact"/>
        <w:ind w:firstLine="2715" w:firstLineChars="1127"/>
        <w:contextualSpacing/>
        <w:rPr>
          <w:rFonts w:ascii="宋体" w:hAnsi="宋体" w:cs="宋体"/>
          <w:color w:val="000000" w:themeColor="text1"/>
          <w:sz w:val="24"/>
          <w:szCs w:val="24"/>
          <w14:textFill>
            <w14:solidFill>
              <w14:schemeClr w14:val="tx1"/>
            </w14:solidFill>
          </w14:textFill>
        </w:rPr>
      </w:pPr>
    </w:p>
    <w:tbl>
      <w:tblPr>
        <w:tblStyle w:val="36"/>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contextualSpacing/>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正本</w:t>
            </w:r>
          </w:p>
        </w:tc>
      </w:tr>
    </w:tbl>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jc w:val="center"/>
        <w:rPr>
          <w:rFonts w:ascii="宋体" w:hAnsi="宋体" w:cs="宋体"/>
          <w:color w:val="000000" w:themeColor="text1"/>
          <w:sz w:val="24"/>
          <w:szCs w:val="24"/>
          <w14:textFill>
            <w14:solidFill>
              <w14:schemeClr w14:val="tx1"/>
            </w14:solidFill>
          </w14:textFill>
        </w:rPr>
      </w:pPr>
    </w:p>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pPr>
        <w:spacing w:line="500" w:lineRule="exact"/>
        <w:contextualSpacing/>
        <w:jc w:val="center"/>
        <w:rPr>
          <w:rFonts w:ascii="宋体" w:hAnsi="宋体" w:cs="宋体"/>
          <w:color w:val="000000" w:themeColor="text1"/>
          <w:sz w:val="24"/>
          <w:szCs w:val="24"/>
          <w14:textFill>
            <w14:solidFill>
              <w14:schemeClr w14:val="tx1"/>
            </w14:solidFill>
          </w14:textFill>
        </w:rPr>
      </w:pPr>
    </w:p>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项目编号</w:t>
      </w:r>
      <w:r>
        <w:rPr>
          <w:rFonts w:hint="eastAsia" w:ascii="宋体" w:hAnsi="宋体" w:cs="宋体"/>
          <w:color w:val="000000" w:themeColor="text1"/>
          <w:sz w:val="24"/>
          <w:szCs w:val="24"/>
          <w14:textFill>
            <w14:solidFill>
              <w14:schemeClr w14:val="tx1"/>
            </w14:solidFill>
          </w14:textFill>
        </w:rPr>
        <w:t>：_______________________________</w:t>
      </w: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sz w:val="24"/>
          <w:szCs w:val="24"/>
        </w:rPr>
      </w:pPr>
      <w:r>
        <w:rPr>
          <w:rFonts w:hint="eastAsia" w:ascii="宋体" w:hAnsi="宋体" w:cs="宋体"/>
          <w:b/>
          <w:sz w:val="24"/>
          <w:szCs w:val="24"/>
        </w:rPr>
        <w:t>投  标  文  件</w:t>
      </w:r>
    </w:p>
    <w:p>
      <w:pPr>
        <w:spacing w:line="500" w:lineRule="exact"/>
        <w:contextualSpacing/>
        <w:rPr>
          <w:rFonts w:ascii="宋体" w:hAnsi="宋体" w:cs="宋体"/>
          <w:b/>
          <w:sz w:val="24"/>
          <w:szCs w:val="24"/>
        </w:rPr>
      </w:pPr>
    </w:p>
    <w:p>
      <w:pPr>
        <w:spacing w:line="500" w:lineRule="exact"/>
        <w:contextualSpacing/>
        <w:rPr>
          <w:rFonts w:ascii="宋体" w:hAnsi="宋体" w:cs="宋体"/>
          <w:b/>
          <w:sz w:val="24"/>
          <w:szCs w:val="24"/>
        </w:rPr>
      </w:pPr>
    </w:p>
    <w:p>
      <w:pPr>
        <w:spacing w:line="500" w:lineRule="exact"/>
        <w:contextualSpacing/>
        <w:rPr>
          <w:rFonts w:ascii="宋体" w:hAnsi="宋体" w:cs="宋体"/>
          <w:b/>
          <w:sz w:val="24"/>
          <w:szCs w:val="24"/>
        </w:rPr>
      </w:pPr>
    </w:p>
    <w:p>
      <w:pPr>
        <w:spacing w:line="500" w:lineRule="exact"/>
        <w:contextualSpacing/>
        <w:rPr>
          <w:rFonts w:ascii="宋体" w:hAnsi="宋体" w:cs="宋体"/>
          <w:b/>
          <w:sz w:val="24"/>
          <w:szCs w:val="24"/>
        </w:rPr>
      </w:pPr>
    </w:p>
    <w:p>
      <w:pPr>
        <w:spacing w:line="500" w:lineRule="exact"/>
        <w:contextualSpacing/>
        <w:rPr>
          <w:rFonts w:ascii="宋体" w:hAnsi="宋体" w:cs="宋体"/>
          <w:b/>
          <w:sz w:val="24"/>
          <w:szCs w:val="24"/>
        </w:rPr>
      </w:pPr>
    </w:p>
    <w:p>
      <w:pPr>
        <w:spacing w:line="500" w:lineRule="exact"/>
        <w:contextualSpacing/>
        <w:rPr>
          <w:rFonts w:ascii="宋体" w:hAnsi="宋体" w:cs="宋体"/>
          <w:b/>
          <w:sz w:val="24"/>
          <w:szCs w:val="24"/>
        </w:rPr>
      </w:pPr>
    </w:p>
    <w:p>
      <w:pPr>
        <w:spacing w:line="500" w:lineRule="exact"/>
        <w:ind w:firstLine="840" w:firstLineChars="350"/>
        <w:contextualSpacing/>
        <w:rPr>
          <w:rFonts w:ascii="宋体" w:hAnsi="宋体" w:cs="宋体"/>
          <w:sz w:val="24"/>
          <w:szCs w:val="24"/>
        </w:rPr>
      </w:pPr>
      <w:r>
        <w:rPr>
          <w:rFonts w:hint="eastAsia" w:ascii="宋体" w:hAnsi="宋体" w:cs="宋体"/>
          <w:sz w:val="24"/>
          <w:szCs w:val="24"/>
        </w:rPr>
        <w:t>投标人：（单位公章）</w:t>
      </w:r>
    </w:p>
    <w:p>
      <w:pPr>
        <w:spacing w:line="500" w:lineRule="exact"/>
        <w:contextualSpacing/>
        <w:rPr>
          <w:rFonts w:ascii="宋体" w:hAnsi="宋体" w:cs="宋体"/>
          <w:sz w:val="24"/>
          <w:szCs w:val="24"/>
        </w:rPr>
      </w:pPr>
    </w:p>
    <w:p>
      <w:pPr>
        <w:spacing w:line="500" w:lineRule="exact"/>
        <w:contextualSpacing/>
        <w:rPr>
          <w:rFonts w:ascii="宋体" w:hAnsi="宋体" w:cs="宋体"/>
          <w:sz w:val="24"/>
          <w:szCs w:val="24"/>
        </w:rPr>
      </w:pPr>
      <w:r>
        <w:rPr>
          <w:rFonts w:hint="eastAsia" w:ascii="宋体" w:hAnsi="宋体" w:cs="宋体"/>
          <w:sz w:val="24"/>
          <w:szCs w:val="24"/>
        </w:rPr>
        <w:t xml:space="preserve">       法定代表人：（签字或盖章）</w:t>
      </w:r>
    </w:p>
    <w:p>
      <w:pPr>
        <w:spacing w:line="500" w:lineRule="exact"/>
        <w:contextualSpacing/>
        <w:rPr>
          <w:rFonts w:ascii="宋体" w:hAnsi="宋体" w:cs="宋体"/>
          <w:sz w:val="24"/>
          <w:szCs w:val="24"/>
        </w:rPr>
      </w:pPr>
    </w:p>
    <w:p>
      <w:pPr>
        <w:spacing w:line="500" w:lineRule="exact"/>
        <w:contextualSpacing/>
        <w:rPr>
          <w:rFonts w:ascii="宋体" w:hAnsi="宋体" w:cs="宋体"/>
          <w:color w:val="FF0000"/>
          <w:sz w:val="24"/>
          <w:szCs w:val="24"/>
        </w:rPr>
      </w:pP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pPr>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550" w:name="_Toc417"/>
      <w:bookmarkStart w:id="551" w:name="_Toc487728217"/>
      <w:bookmarkStart w:id="552" w:name="_Toc11791"/>
      <w:r>
        <w:rPr>
          <w:rFonts w:hint="eastAsia" w:ascii="宋体" w:hAnsi="宋体" w:cs="宋体"/>
          <w:color w:val="000000" w:themeColor="text1"/>
          <w:sz w:val="24"/>
          <w:szCs w:val="24"/>
          <w14:textFill>
            <w14:solidFill>
              <w14:schemeClr w14:val="tx1"/>
            </w14:solidFill>
          </w14:textFill>
        </w:rPr>
        <w:t>一、投标函</w:t>
      </w:r>
      <w:bookmarkEnd w:id="550"/>
      <w:bookmarkEnd w:id="551"/>
      <w:bookmarkEnd w:id="552"/>
    </w:p>
    <w:p>
      <w:pPr>
        <w:pStyle w:val="24"/>
        <w:spacing w:line="500" w:lineRule="exact"/>
        <w:ind w:firstLine="0"/>
        <w:contextualSpacing/>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（采购人名称）：</w:t>
      </w:r>
    </w:p>
    <w:p>
      <w:pPr>
        <w:spacing w:line="500" w:lineRule="exact"/>
        <w:ind w:firstLine="55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根据贵方为项目招标的投标邀请</w:t>
      </w:r>
      <w:r>
        <w:rPr>
          <w:rFonts w:hint="eastAsia" w:ascii="宋体" w:hAnsi="宋体" w:cs="宋体"/>
          <w:color w:val="000000" w:themeColor="text1"/>
          <w:sz w:val="24"/>
          <w:szCs w:val="24"/>
          <w:u w:val="single"/>
          <w14:textFill>
            <w14:solidFill>
              <w14:schemeClr w14:val="tx1"/>
            </w14:solidFill>
          </w14:textFill>
        </w:rPr>
        <w:t xml:space="preserve">   项目编号   </w:t>
      </w:r>
      <w:r>
        <w:rPr>
          <w:rFonts w:hint="eastAsia" w:ascii="宋体" w:hAnsi="宋体" w:cs="宋体"/>
          <w:color w:val="000000" w:themeColor="text1"/>
          <w:sz w:val="24"/>
          <w:szCs w:val="24"/>
          <w14:textFill>
            <w14:solidFill>
              <w14:schemeClr w14:val="tx1"/>
            </w14:solidFill>
          </w14:textFill>
        </w:rPr>
        <w:t>，签字代表</w:t>
      </w:r>
      <w:r>
        <w:rPr>
          <w:rFonts w:hint="eastAsia" w:ascii="宋体" w:hAnsi="宋体" w:cs="宋体"/>
          <w:color w:val="000000" w:themeColor="text1"/>
          <w:sz w:val="24"/>
          <w:szCs w:val="24"/>
          <w:u w:val="single"/>
          <w14:textFill>
            <w14:solidFill>
              <w14:schemeClr w14:val="tx1"/>
            </w14:solidFill>
          </w14:textFill>
        </w:rPr>
        <w:t xml:space="preserve">  （姓名、职务）  </w:t>
      </w:r>
      <w:r>
        <w:rPr>
          <w:rFonts w:hint="eastAsia" w:ascii="宋体" w:hAnsi="宋体" w:cs="宋体"/>
          <w:color w:val="000000" w:themeColor="text1"/>
          <w:sz w:val="24"/>
          <w:szCs w:val="24"/>
          <w14:textFill>
            <w14:solidFill>
              <w14:schemeClr w14:val="tx1"/>
            </w14:solidFill>
          </w14:textFill>
        </w:rPr>
        <w:t>经正式授权并代表投标人</w:t>
      </w:r>
      <w:r>
        <w:rPr>
          <w:rFonts w:hint="eastAsia" w:ascii="宋体" w:hAnsi="宋体" w:cs="宋体"/>
          <w:color w:val="000000" w:themeColor="text1"/>
          <w:sz w:val="24"/>
          <w:szCs w:val="24"/>
          <w:u w:val="single"/>
          <w14:textFill>
            <w14:solidFill>
              <w14:schemeClr w14:val="tx1"/>
            </w14:solidFill>
          </w14:textFill>
        </w:rPr>
        <w:t xml:space="preserve">  （投标人名称、地址）  </w:t>
      </w:r>
      <w:r>
        <w:rPr>
          <w:rFonts w:hint="eastAsia" w:ascii="宋体" w:hAnsi="宋体" w:cs="宋体"/>
          <w:color w:val="000000" w:themeColor="text1"/>
          <w:sz w:val="24"/>
          <w:szCs w:val="24"/>
          <w14:textFill>
            <w14:solidFill>
              <w14:schemeClr w14:val="tx1"/>
            </w14:solidFill>
          </w14:textFill>
        </w:rPr>
        <w:t>对此项目进行投标。据此函，签字代表宣布并同意如下：</w:t>
      </w:r>
    </w:p>
    <w:p>
      <w:pPr>
        <w:spacing w:line="500" w:lineRule="exact"/>
        <w:ind w:firstLine="480" w:firstLineChars="20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1、所附明细报价表中规定的应提交和交付的工程和货物投标总价为</w:t>
      </w:r>
      <w:r>
        <w:rPr>
          <w:rFonts w:hint="eastAsia" w:ascii="宋体" w:hAnsi="宋体" w:cs="宋体"/>
          <w:color w:val="000000" w:themeColor="text1"/>
          <w:sz w:val="24"/>
          <w:szCs w:val="24"/>
          <w:u w:val="single"/>
          <w14:textFill>
            <w14:solidFill>
              <w14:schemeClr w14:val="tx1"/>
            </w14:solidFill>
          </w14:textFill>
        </w:rPr>
        <w:t xml:space="preserve">  （注明币种，  并用文字和数字表示的投标总价）。</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2、我方同意在本项目招标文件中规定的开标日起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遵守本投标文件中的承诺且在此期限期满之前均具有约束力。</w:t>
      </w:r>
    </w:p>
    <w:p>
      <w:pPr>
        <w:pStyle w:val="140"/>
        <w:spacing w:line="500" w:lineRule="exact"/>
        <w:ind w:firstLine="480" w:firstLineChars="200"/>
        <w:contextualSpacing/>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3、我方承诺已经具备《中华人民共和国政府采购法》中规定的参加政府采购活动的投标人应当具备的条件：</w:t>
      </w:r>
    </w:p>
    <w:p>
      <w:pPr>
        <w:numPr>
          <w:ilvl w:val="0"/>
          <w:numId w:val="6"/>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具有独立承担民事责任的能力；</w:t>
      </w:r>
    </w:p>
    <w:p>
      <w:pPr>
        <w:numPr>
          <w:ilvl w:val="0"/>
          <w:numId w:val="6"/>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p>
      <w:pPr>
        <w:numPr>
          <w:ilvl w:val="0"/>
          <w:numId w:val="6"/>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p>
      <w:pPr>
        <w:numPr>
          <w:ilvl w:val="0"/>
          <w:numId w:val="6"/>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p>
      <w:pPr>
        <w:numPr>
          <w:ilvl w:val="0"/>
          <w:numId w:val="6"/>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参加此项采购活动前三年内，在经营活动中没有重大违法记录。</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4、提供投标须知规定的全部投标文件，包括投标文件正本一份，副本肆份。</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5、按招标文件要求提供和交付的工程和货物的投标报价详见投标报价表。</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6、保证忠实地执行双方所签订的合同，并承担合同规定的责任和义务。</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7、保证遵守招标文件的规定。</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8、如果在开标后规定的投标有效期内撤回投标，我方的投标保证金可被贵方没收。</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9、我方完全理解贵方不一定接受最低价的投标或收到的任何投标。</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10、我方愿意向贵方提供任何与本项投标有关的数据、情况和技术资料。若贵方需要，我方愿意提供我方作出的一切承诺的证明材料。</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11、我方已详细审核全部投标文件，包括“修改投标文件”（如有的话）、参考资料及有关附件，确认无误。</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12、我方承诺接受招标文件中第四部分—合同部分的全部条款且无任何异议。</w:t>
      </w:r>
    </w:p>
    <w:p>
      <w:pPr>
        <w:adjustRightInd w:val="0"/>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提供虚假材料谋取中标、成交的；</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采取不正当手段诋毁、排挤其他投标人的；</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与采购人、其它投标人或者采购代理机构恶意串通的；</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向采购人、采购代理机构行贿或者提供其他不正当利益的；</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未经采购代理机构同意，在采购过程中与采购人进行协商谈判的；</w:t>
      </w:r>
    </w:p>
    <w:p>
      <w:pPr>
        <w:numPr>
          <w:ilvl w:val="0"/>
          <w:numId w:val="7"/>
        </w:numPr>
        <w:adjustRightInd w:val="0"/>
        <w:spacing w:line="500" w:lineRule="exact"/>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拒绝有关部门监督检查或提供虚假情况的。</w:t>
      </w:r>
    </w:p>
    <w:p>
      <w:pPr>
        <w:adjustRightInd w:val="0"/>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ind w:firstLine="240" w:firstLineChars="1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与本投标有关的一切正式往来信函请寄：</w:t>
      </w:r>
    </w:p>
    <w:p>
      <w:pPr>
        <w:spacing w:line="500" w:lineRule="exact"/>
        <w:ind w:firstLine="240" w:firstLineChars="100"/>
        <w:contextualSpacing/>
        <w:rPr>
          <w:rFonts w:ascii="宋体" w:hAnsi="宋体" w:cs="宋体"/>
          <w:color w:val="000000" w:themeColor="text1"/>
          <w:sz w:val="24"/>
          <w:szCs w:val="24"/>
          <w14:textFill>
            <w14:solidFill>
              <w14:schemeClr w14:val="tx1"/>
            </w14:solidFill>
          </w14:textFill>
        </w:rPr>
      </w:pPr>
    </w:p>
    <w:p>
      <w:pPr>
        <w:spacing w:line="500" w:lineRule="exact"/>
        <w:ind w:firstLine="240" w:firstLineChars="10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邮编：_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r>
        <w:rPr>
          <w:rFonts w:hint="eastAsia" w:ascii="宋体" w:hAnsi="宋体" w:cs="宋体"/>
          <w:color w:val="000000" w:themeColor="text1"/>
          <w:sz w:val="24"/>
          <w:szCs w:val="24"/>
          <w:u w:val="single"/>
          <w14:textFill>
            <w14:solidFill>
              <w14:schemeClr w14:val="tx1"/>
            </w14:solidFill>
          </w14:textFill>
        </w:rPr>
        <w:t>　　　　   　　　　　</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电　　　　　 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传真：_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r>
        <w:rPr>
          <w:rFonts w:hint="eastAsia" w:ascii="宋体" w:hAnsi="宋体" w:cs="宋体"/>
          <w:color w:val="000000" w:themeColor="text1"/>
          <w:sz w:val="24"/>
          <w:szCs w:val="24"/>
          <w:u w:val="single"/>
          <w14:textFill>
            <w14:solidFill>
              <w14:schemeClr w14:val="tx1"/>
            </w14:solidFill>
          </w14:textFill>
        </w:rPr>
        <w:t>　   　　　　　　　　</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投标人代表签字： _____________________</w:t>
      </w:r>
      <w:r>
        <w:rPr>
          <w:rFonts w:hint="eastAsia" w:ascii="宋体" w:hAnsi="宋体" w:cs="宋体"/>
          <w:color w:val="000000" w:themeColor="text1"/>
          <w:sz w:val="24"/>
          <w:szCs w:val="24"/>
          <w:u w:val="single"/>
          <w14:textFill>
            <w14:solidFill>
              <w14:schemeClr w14:val="tx1"/>
            </w14:solidFill>
          </w14:textFill>
        </w:rPr>
        <w:t>　　　　　　　　　　　</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投 标 人 名 称： 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r>
        <w:rPr>
          <w:rFonts w:hint="eastAsia" w:ascii="宋体" w:hAnsi="宋体" w:cs="宋体"/>
          <w:color w:val="000000" w:themeColor="text1"/>
          <w:sz w:val="24"/>
          <w:szCs w:val="24"/>
          <w:u w:val="single"/>
          <w14:textFill>
            <w14:solidFill>
              <w14:schemeClr w14:val="tx1"/>
            </w14:solidFill>
          </w14:textFill>
        </w:rPr>
        <w:t xml:space="preserve">      　　　　　　　　　</w:t>
      </w:r>
    </w:p>
    <w:p>
      <w:pPr>
        <w:spacing w:line="500" w:lineRule="exact"/>
        <w:ind w:firstLine="6240" w:firstLineChars="2600"/>
        <w:contextualSpacing/>
        <w:rPr>
          <w:rFonts w:ascii="宋体" w:hAnsi="宋体" w:cs="宋体"/>
          <w:color w:val="000000" w:themeColor="text1"/>
          <w:sz w:val="24"/>
          <w:szCs w:val="24"/>
          <w14:textFill>
            <w14:solidFill>
              <w14:schemeClr w14:val="tx1"/>
            </w14:solidFill>
          </w14:textFill>
        </w:rPr>
      </w:pPr>
    </w:p>
    <w:p>
      <w:pPr>
        <w:spacing w:line="500" w:lineRule="exact"/>
        <w:ind w:firstLine="8160" w:firstLineChars="34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（单位公章）</w:t>
      </w:r>
    </w:p>
    <w:p>
      <w:pPr>
        <w:spacing w:line="500" w:lineRule="exact"/>
        <w:ind w:firstLine="240" w:firstLineChars="100"/>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553" w:name="_Toc5772"/>
      <w:bookmarkStart w:id="554" w:name="_Toc28326"/>
      <w:bookmarkStart w:id="555" w:name="_Toc487728218"/>
      <w:r>
        <w:rPr>
          <w:rFonts w:hint="eastAsia" w:ascii="宋体" w:hAnsi="宋体" w:cs="宋体"/>
          <w:color w:val="000000" w:themeColor="text1"/>
          <w:sz w:val="24"/>
          <w:szCs w:val="24"/>
          <w14:textFill>
            <w14:solidFill>
              <w14:schemeClr w14:val="tx1"/>
            </w14:solidFill>
          </w14:textFill>
        </w:rPr>
        <w:t>二、法定代表人授权书</w:t>
      </w:r>
      <w:bookmarkEnd w:id="553"/>
      <w:bookmarkEnd w:id="554"/>
      <w:bookmarkEnd w:id="555"/>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autoSpaceDE w:val="0"/>
        <w:autoSpaceDN w:val="0"/>
        <w:adjustRightInd w:val="0"/>
        <w:spacing w:line="500" w:lineRule="exact"/>
        <w:ind w:firstLine="422"/>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本授权声明：注册于中华人民共和国的</w:t>
      </w:r>
      <w:r>
        <w:rPr>
          <w:rFonts w:hint="eastAsia" w:ascii="宋体" w:hAnsi="宋体" w:cs="宋体"/>
          <w:color w:val="000000" w:themeColor="text1"/>
          <w:sz w:val="24"/>
          <w:szCs w:val="24"/>
          <w:u w:val="single"/>
          <w14:textFill>
            <w14:solidFill>
              <w14:schemeClr w14:val="tx1"/>
            </w14:solidFill>
          </w14:textFill>
        </w:rPr>
        <w:t xml:space="preserve">  （投标人名称、住址）  </w:t>
      </w:r>
      <w:r>
        <w:rPr>
          <w:rFonts w:hint="eastAsia" w:ascii="宋体" w:hAnsi="宋体" w:cs="宋体"/>
          <w:color w:val="000000" w:themeColor="text1"/>
          <w:sz w:val="24"/>
          <w:szCs w:val="24"/>
          <w14:textFill>
            <w14:solidFill>
              <w14:schemeClr w14:val="tx1"/>
            </w14:solidFill>
          </w14:textFill>
        </w:rPr>
        <w:t>的法人代表</w:t>
      </w:r>
      <w:r>
        <w:rPr>
          <w:rFonts w:hint="eastAsia" w:ascii="宋体" w:hAnsi="宋体" w:cs="宋体"/>
          <w:color w:val="000000" w:themeColor="text1"/>
          <w:sz w:val="24"/>
          <w:szCs w:val="24"/>
          <w:u w:val="single"/>
          <w14:textFill>
            <w14:solidFill>
              <w14:schemeClr w14:val="tx1"/>
            </w14:solidFill>
          </w14:textFill>
        </w:rPr>
        <w:t xml:space="preserve">  （法定代表人姓名、职务）  </w:t>
      </w:r>
      <w:r>
        <w:rPr>
          <w:rFonts w:hint="eastAsia" w:ascii="宋体" w:hAnsi="宋体" w:cs="宋体"/>
          <w:color w:val="000000" w:themeColor="text1"/>
          <w:sz w:val="24"/>
          <w:szCs w:val="24"/>
          <w14:textFill>
            <w14:solidFill>
              <w14:schemeClr w14:val="tx1"/>
            </w14:solidFill>
          </w14:textFill>
        </w:rPr>
        <w:t>代表本公司授权在下面签字的</w:t>
      </w:r>
      <w:r>
        <w:rPr>
          <w:rFonts w:hint="eastAsia" w:ascii="宋体" w:hAnsi="宋体" w:cs="宋体"/>
          <w:color w:val="000000" w:themeColor="text1"/>
          <w:sz w:val="24"/>
          <w:szCs w:val="24"/>
          <w:u w:val="single"/>
          <w14:textFill>
            <w14:solidFill>
              <w14:schemeClr w14:val="tx1"/>
            </w14:solidFill>
          </w14:textFill>
        </w:rPr>
        <w:t xml:space="preserve">  （被授权人的姓名、职务）  </w:t>
      </w:r>
      <w:r>
        <w:rPr>
          <w:rFonts w:hint="eastAsia" w:ascii="宋体" w:hAnsi="宋体" w:cs="宋体"/>
          <w:color w:val="000000" w:themeColor="text1"/>
          <w:sz w:val="24"/>
          <w:szCs w:val="24"/>
          <w14:textFill>
            <w14:solidFill>
              <w14:schemeClr w14:val="tx1"/>
            </w14:solidFill>
          </w14:textFill>
        </w:rPr>
        <w:t>为本公司的合法代理人，就此次</w:t>
      </w:r>
      <w:r>
        <w:rPr>
          <w:rFonts w:hint="eastAsia" w:ascii="宋体" w:hAnsi="宋体" w:cs="宋体"/>
          <w:color w:val="000000" w:themeColor="text1"/>
          <w:kern w:val="0"/>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项目，招标编号为</w:t>
      </w:r>
      <w:r>
        <w:rPr>
          <w:rFonts w:hint="eastAsia" w:ascii="宋体" w:hAnsi="宋体" w:cs="宋体"/>
          <w:color w:val="000000" w:themeColor="text1"/>
          <w:sz w:val="24"/>
          <w:szCs w:val="24"/>
          <w:u w:val="single"/>
          <w14:textFill>
            <w14:solidFill>
              <w14:schemeClr w14:val="tx1"/>
            </w14:solidFill>
          </w14:textFill>
        </w:rPr>
        <w:t xml:space="preserve">  项目编号 </w:t>
      </w:r>
      <w:r>
        <w:rPr>
          <w:rFonts w:hint="eastAsia" w:ascii="宋体" w:hAnsi="宋体" w:cs="宋体"/>
          <w:color w:val="000000" w:themeColor="text1"/>
          <w:sz w:val="24"/>
          <w:szCs w:val="24"/>
          <w14:textFill>
            <w14:solidFill>
              <w14:schemeClr w14:val="tx1"/>
            </w14:solidFill>
          </w14:textFill>
        </w:rPr>
        <w:t>的投标及合同的执行、完成和保修，以本公司名义处理一切与之有关的事务。</w:t>
      </w:r>
    </w:p>
    <w:p>
      <w:pPr>
        <w:autoSpaceDE w:val="0"/>
        <w:autoSpaceDN w:val="0"/>
        <w:adjustRightInd w:val="0"/>
        <w:spacing w:line="500" w:lineRule="exact"/>
        <w:ind w:firstLine="420" w:firstLineChars="175"/>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w:t>
      </w:r>
      <w:r>
        <w:rPr>
          <w:rFonts w:hint="eastAsia" w:ascii="宋体" w:hAnsi="宋体" w:cs="宋体"/>
          <w:color w:val="000000" w:themeColor="text1"/>
          <w:sz w:val="24"/>
          <w:szCs w:val="24"/>
          <w:u w:val="single"/>
          <w14:textFill>
            <w14:solidFill>
              <w14:schemeClr w14:val="tx1"/>
            </w14:solidFill>
          </w14:textFill>
        </w:rPr>
        <w:t xml:space="preserve">  年  月  日</w:t>
      </w:r>
      <w:r>
        <w:rPr>
          <w:rFonts w:hint="eastAsia" w:ascii="宋体" w:hAnsi="宋体" w:cs="宋体"/>
          <w:color w:val="000000" w:themeColor="text1"/>
          <w:sz w:val="24"/>
          <w:szCs w:val="24"/>
          <w14:textFill>
            <w14:solidFill>
              <w14:schemeClr w14:val="tx1"/>
            </w14:solidFill>
          </w14:textFill>
        </w:rPr>
        <w:t>签字生效，特此声明。</w:t>
      </w:r>
    </w:p>
    <w:p>
      <w:pPr>
        <w:autoSpaceDE w:val="0"/>
        <w:autoSpaceDN w:val="0"/>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法人签字或盖章：_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autoSpaceDE w:val="0"/>
        <w:autoSpaceDN w:val="0"/>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代理（被授权人）签字或盖章：_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autoSpaceDE w:val="0"/>
        <w:autoSpaceDN w:val="0"/>
        <w:adjustRightInd w:val="0"/>
        <w:spacing w:line="500" w:lineRule="exact"/>
        <w:ind w:firstLine="480" w:firstLineChars="200"/>
        <w:contextualSpacing/>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见证人签字或盖章：_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autoSpaceDE w:val="0"/>
        <w:autoSpaceDN w:val="0"/>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autoSpaceDE w:val="0"/>
        <w:autoSpaceDN w:val="0"/>
        <w:adjustRightInd w:val="0"/>
        <w:spacing w:line="500" w:lineRule="exact"/>
        <w:ind w:firstLine="480" w:firstLineChars="200"/>
        <w:contextualSpacing/>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spacing w:line="500" w:lineRule="exact"/>
        <w:ind w:firstLine="48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授权日期：</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w:t>
      </w:r>
    </w:p>
    <w:p>
      <w:pPr>
        <w:spacing w:line="500" w:lineRule="exact"/>
        <w:ind w:firstLine="48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7440" w:firstLineChars="31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（单位公章）</w:t>
      </w:r>
    </w:p>
    <w:p>
      <w:pPr>
        <w:spacing w:line="500" w:lineRule="exact"/>
        <w:ind w:firstLine="7440" w:firstLineChars="31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w:t>
      </w:r>
    </w:p>
    <w:p>
      <w:pPr>
        <w:spacing w:line="500" w:lineRule="exact"/>
        <w:contextualSpacing/>
        <w:rPr>
          <w:rFonts w:ascii="宋体" w:hAnsi="宋体" w:cs="宋体"/>
          <w:b/>
          <w:color w:val="000000" w:themeColor="text1"/>
          <w:sz w:val="24"/>
          <w:szCs w:val="24"/>
          <w:em w:val="dot"/>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121285</wp:posOffset>
                </wp:positionV>
                <wp:extent cx="2857500" cy="1584960"/>
                <wp:effectExtent l="4445" t="5080" r="14605" b="10160"/>
                <wp:wrapNone/>
                <wp:docPr id="1" name="Text Box 60"/>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此处附法定代表人身份证复印件正面</w:t>
                            </w:r>
                          </w:p>
                        </w:txbxContent>
                      </wps:txbx>
                      <wps:bodyPr upright="1"/>
                    </wps:wsp>
                  </a:graphicData>
                </a:graphic>
              </wp:anchor>
            </w:drawing>
          </mc:Choice>
          <mc:Fallback>
            <w:pict>
              <v:shape id="Text Box 60" o:spid="_x0000_s1026" o:spt="202" type="#_x0000_t202" style="position:absolute;left:0pt;margin-left:9pt;margin-top:9.55pt;height:124.8pt;width:225pt;z-index:251659264;mso-width-relative:page;mso-height-relative:page;" fillcolor="#FFFFFF" filled="t" stroked="t" coordsize="21600,21600" o:gfxdata="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Yihw7WAAAACQEAAA8AAAAAAAAAAQAgAAAAIgAAAGRycy9k&#10;b3ducmV2LnhtbFBLAQIUABQAAAAIAIdO4kDYVhoxBAIAAEcEAAAOAAAAAAAAAAEAIAAAACUBAABk&#10;cnMvZTJvRG9jLnhtbFBLBQYAAAAABgAGAFkBAACbBQAAAAA=&#10;">
                <v:fill on="t" focussize="0,0"/>
                <v:stroke color="#000000" joinstyle="miter" dashstyle="dashDot"/>
                <v:imagedata o:title=""/>
                <o:lock v:ext="edit" aspectratio="f"/>
                <v:textbo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此处附法定代表人身份证复印件正面</w:t>
                      </w:r>
                    </w:p>
                  </w:txbxContent>
                </v:textbox>
              </v:shap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121285</wp:posOffset>
                </wp:positionV>
                <wp:extent cx="2857500" cy="1584960"/>
                <wp:effectExtent l="4445" t="5080" r="14605" b="10160"/>
                <wp:wrapNone/>
                <wp:docPr id="2" name="Text Box 61"/>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
                          <w:p/>
                          <w:p/>
                          <w:p>
                            <w:pPr>
                              <w:ind w:firstLine="120" w:firstLineChars="50"/>
                            </w:pPr>
                            <w:r>
                              <w:rPr>
                                <w:rFonts w:ascii="仿宋_GB2312" w:hAnsi="仿宋"/>
                                <w:b/>
                                <w:sz w:val="24"/>
                              </w:rPr>
                              <w:t>此处附法定代表人身份证复印件</w:t>
                            </w:r>
                            <w:r>
                              <w:rPr>
                                <w:rFonts w:hint="eastAsia" w:ascii="仿宋_GB2312" w:hAnsi="仿宋"/>
                                <w:b/>
                                <w:sz w:val="24"/>
                              </w:rPr>
                              <w:t>反</w:t>
                            </w:r>
                            <w:r>
                              <w:rPr>
                                <w:rFonts w:ascii="仿宋_GB2312" w:hAnsi="仿宋"/>
                                <w:b/>
                                <w:sz w:val="24"/>
                              </w:rPr>
                              <w:t>面</w:t>
                            </w:r>
                          </w:p>
                        </w:txbxContent>
                      </wps:txbx>
                      <wps:bodyPr upright="1"/>
                    </wps:wsp>
                  </a:graphicData>
                </a:graphic>
              </wp:anchor>
            </w:drawing>
          </mc:Choice>
          <mc:Fallback>
            <w:pict>
              <v:shape id="Text Box 61" o:spid="_x0000_s1026" o:spt="202" type="#_x0000_t202" style="position:absolute;left:0pt;margin-left:252pt;margin-top:9.55pt;height:124.8pt;width:225pt;z-index:251660288;mso-width-relative:page;mso-height-relative:page;" fillcolor="#FFFFFF" filled="t" stroked="t" coordsize="21600,21600" o:gfxdata="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NH8+tgAAAAKAQAADwAAAAAAAAABACAAAAAiAAAA&#10;ZHJzL2Rvd25yZXYueG1sUEsBAhQAFAAAAAgAh07iQOg5NFoHAgAARwQAAA4AAAAAAAAAAQAgAAAA&#10;JwEAAGRycy9lMm9Eb2MueG1sUEsFBgAAAAAGAAYAWQEAAKAFAAAAAA==&#10;">
                <v:fill on="t" focussize="0,0"/>
                <v:stroke color="#000000" joinstyle="miter" dashstyle="dashDot"/>
                <v:imagedata o:title=""/>
                <o:lock v:ext="edit" aspectratio="f"/>
                <v:textbox>
                  <w:txbxContent>
                    <w:p/>
                    <w:p/>
                    <w:p/>
                    <w:p/>
                    <w:p>
                      <w:pPr>
                        <w:ind w:firstLine="120" w:firstLineChars="50"/>
                      </w:pPr>
                      <w:r>
                        <w:rPr>
                          <w:rFonts w:ascii="仿宋_GB2312" w:hAnsi="仿宋"/>
                          <w:b/>
                          <w:sz w:val="24"/>
                        </w:rPr>
                        <w:t>此处附法定代表人身份证复印件</w:t>
                      </w:r>
                      <w:r>
                        <w:rPr>
                          <w:rFonts w:hint="eastAsia" w:ascii="仿宋_GB2312" w:hAnsi="仿宋"/>
                          <w:b/>
                          <w:sz w:val="24"/>
                        </w:rPr>
                        <w:t>反</w:t>
                      </w:r>
                      <w:r>
                        <w:rPr>
                          <w:rFonts w:ascii="仿宋_GB2312" w:hAnsi="仿宋"/>
                          <w:b/>
                          <w:sz w:val="24"/>
                        </w:rPr>
                        <w:t>面</w:t>
                      </w:r>
                    </w:p>
                  </w:txbxContent>
                </v:textbox>
              </v:shape>
            </w:pict>
          </mc:Fallback>
        </mc:AlternateContent>
      </w: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113665</wp:posOffset>
                </wp:positionV>
                <wp:extent cx="2857500" cy="1584960"/>
                <wp:effectExtent l="4445" t="5080" r="14605" b="10160"/>
                <wp:wrapNone/>
                <wp:docPr id="4" name="文本框 6"/>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此处附委托代理人身份证复印件正面</w:t>
                            </w:r>
                          </w:p>
                          <w:p>
                            <w:pPr>
                              <w:jc w:val="center"/>
                              <w:rPr>
                                <w:rFonts w:ascii="仿宋_GB2312" w:hAnsi="仿宋"/>
                                <w:b/>
                                <w:sz w:val="24"/>
                              </w:rPr>
                            </w:pPr>
                          </w:p>
                        </w:txbxContent>
                      </wps:txbx>
                      <wps:bodyPr upright="1"/>
                    </wps:wsp>
                  </a:graphicData>
                </a:graphic>
              </wp:anchor>
            </w:drawing>
          </mc:Choice>
          <mc:Fallback>
            <w:pict>
              <v:shape id="文本框 6" o:spid="_x0000_s1026" o:spt="202" type="#_x0000_t202" style="position:absolute;left:0pt;margin-left:8.25pt;margin-top:8.95pt;height:124.8pt;width:225pt;z-index:251662336;mso-width-relative:page;mso-height-relative:page;" fillcolor="#FFFFFF" filled="t" stroked="t" coordsize="21600,21600" o:gfxdata="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E1Md1wAAAAkBAAAPAAAA&#10;AAAAAAEAIAAAACIAAABkcnMvZG93bnJldi54bWxQSwECFAAUAAAACACHTuJAFuF66BYCAABHBAAA&#10;DgAAAAAAAAABACAAAAAmAQAAZHJzL2Uyb0RvYy54bWxQSwUGAAAAAAYABgBZAQAArgUAAAAA&#10;">
                <v:fill on="t" focussize="0,0"/>
                <v:stroke color="#000000" joinstyle="miter" dashstyle="dashDot"/>
                <v:imagedata o:title=""/>
                <o:lock v:ext="edit" aspectratio="f"/>
                <v:textbo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此处附委托代理人身份证复印件正面</w:t>
                      </w:r>
                    </w:p>
                    <w:p>
                      <w:pPr>
                        <w:jc w:val="center"/>
                        <w:rPr>
                          <w:rFonts w:ascii="仿宋_GB2312" w:hAnsi="仿宋"/>
                          <w:b/>
                          <w:sz w:val="24"/>
                        </w:rPr>
                      </w:pPr>
                    </w:p>
                  </w:txbxContent>
                </v:textbox>
              </v:shape>
            </w:pict>
          </mc:Fallback>
        </mc:AlternateContent>
      </w:r>
      <w:r>
        <w:rPr>
          <w:rFonts w:ascii="宋体" w:hAnsi="宋体" w:cs="宋体"/>
          <w:b/>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104140</wp:posOffset>
                </wp:positionV>
                <wp:extent cx="2857500" cy="1584960"/>
                <wp:effectExtent l="4445" t="5080" r="14605" b="10160"/>
                <wp:wrapNone/>
                <wp:docPr id="3" name="文本框 5"/>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此处附委托代理人身份证复印件</w:t>
                            </w:r>
                            <w:r>
                              <w:rPr>
                                <w:rFonts w:hint="eastAsia" w:ascii="仿宋_GB2312" w:hAnsi="仿宋"/>
                                <w:b/>
                                <w:sz w:val="24"/>
                              </w:rPr>
                              <w:t>反</w:t>
                            </w:r>
                            <w:r>
                              <w:rPr>
                                <w:rFonts w:ascii="仿宋_GB2312" w:hAnsi="仿宋"/>
                                <w:b/>
                                <w:sz w:val="24"/>
                              </w:rPr>
                              <w:t>面</w:t>
                            </w:r>
                          </w:p>
                          <w:p>
                            <w:pPr>
                              <w:jc w:val="center"/>
                              <w:rPr>
                                <w:rFonts w:ascii="仿宋_GB2312" w:hAnsi="仿宋"/>
                                <w:b/>
                                <w:sz w:val="24"/>
                              </w:rPr>
                            </w:pPr>
                          </w:p>
                        </w:txbxContent>
                      </wps:txbx>
                      <wps:bodyPr upright="1"/>
                    </wps:wsp>
                  </a:graphicData>
                </a:graphic>
              </wp:anchor>
            </w:drawing>
          </mc:Choice>
          <mc:Fallback>
            <w:pict>
              <v:shape id="文本框 5" o:spid="_x0000_s1026" o:spt="202" type="#_x0000_t202" style="position:absolute;left:0pt;margin-left:252pt;margin-top:8.2pt;height:124.8pt;width:225pt;z-index:251661312;mso-width-relative:page;mso-height-relative:page;" fillcolor="#FFFFFF" filled="t" stroked="t" coordsize="21600,21600" o:gfxdata="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V6Dm1wAAAAoBAAAPAAAA&#10;AAAAAAEAIAAAACIAAABkcnMvZG93bnJldi54bWxQSwECFAAUAAAACACHTuJAuw1twBYCAABHBAAA&#10;DgAAAAAAAAABACAAAAAmAQAAZHJzL2Uyb0RvYy54bWxQSwUGAAAAAAYABgBZAQAArgUAAAAA&#10;">
                <v:fill on="t" focussize="0,0"/>
                <v:stroke color="#000000" joinstyle="miter" dashstyle="dashDot"/>
                <v:imagedata o:title=""/>
                <o:lock v:ext="edit" aspectratio="f"/>
                <v:textbox>
                  <w:txbxContent>
                    <w:p>
                      <w:pPr>
                        <w:jc w:val="center"/>
                      </w:pPr>
                    </w:p>
                    <w:p>
                      <w:pPr>
                        <w:jc w:val="center"/>
                        <w:rPr>
                          <w:b/>
                        </w:rPr>
                      </w:pPr>
                    </w:p>
                    <w:p>
                      <w:pPr>
                        <w:jc w:val="center"/>
                        <w:rPr>
                          <w:rFonts w:ascii="仿宋_GB2312" w:hAnsi="仿宋"/>
                          <w:b/>
                          <w:sz w:val="24"/>
                        </w:rPr>
                      </w:pPr>
                    </w:p>
                    <w:p>
                      <w:pPr>
                        <w:jc w:val="center"/>
                        <w:rPr>
                          <w:rFonts w:ascii="仿宋_GB2312" w:hAnsi="仿宋"/>
                          <w:b/>
                          <w:sz w:val="24"/>
                        </w:rPr>
                      </w:pPr>
                      <w:r>
                        <w:rPr>
                          <w:rFonts w:ascii="仿宋_GB2312" w:hAnsi="仿宋"/>
                          <w:b/>
                          <w:sz w:val="24"/>
                        </w:rPr>
                        <w:t>此处附委托代理人身份证复印件</w:t>
                      </w:r>
                      <w:r>
                        <w:rPr>
                          <w:rFonts w:hint="eastAsia" w:ascii="仿宋_GB2312" w:hAnsi="仿宋"/>
                          <w:b/>
                          <w:sz w:val="24"/>
                        </w:rPr>
                        <w:t>反</w:t>
                      </w:r>
                      <w:r>
                        <w:rPr>
                          <w:rFonts w:ascii="仿宋_GB2312" w:hAnsi="仿宋"/>
                          <w:b/>
                          <w:sz w:val="24"/>
                        </w:rPr>
                        <w:t>面</w:t>
                      </w:r>
                    </w:p>
                    <w:p>
                      <w:pPr>
                        <w:jc w:val="center"/>
                        <w:rPr>
                          <w:rFonts w:ascii="仿宋_GB2312" w:hAnsi="仿宋"/>
                          <w:b/>
                          <w:sz w:val="24"/>
                        </w:rPr>
                      </w:pPr>
                    </w:p>
                  </w:txbxContent>
                </v:textbox>
              </v:shape>
            </w:pict>
          </mc:Fallback>
        </mc:AlternateContent>
      </w: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56" w:name="_Toc487728219"/>
      <w:bookmarkStart w:id="557" w:name="_Toc695"/>
      <w:bookmarkStart w:id="558" w:name="_Toc1487"/>
      <w:r>
        <w:rPr>
          <w:rFonts w:hint="eastAsia" w:ascii="宋体" w:hAnsi="宋体" w:cs="宋体"/>
          <w:color w:val="000000" w:themeColor="text1"/>
          <w:sz w:val="24"/>
          <w:szCs w:val="24"/>
          <w14:textFill>
            <w14:solidFill>
              <w14:schemeClr w14:val="tx1"/>
            </w14:solidFill>
          </w14:textFill>
        </w:rPr>
        <w:t>三．关于资格的声明函</w:t>
      </w:r>
      <w:bookmarkEnd w:id="556"/>
      <w:bookmarkEnd w:id="557"/>
      <w:bookmarkEnd w:id="558"/>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pStyle w:val="18"/>
        <w:spacing w:line="500" w:lineRule="exact"/>
        <w:ind w:firstLine="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致：_________________(采购人)</w:t>
      </w:r>
    </w:p>
    <w:p>
      <w:pPr>
        <w:pStyle w:val="18"/>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关于贵方</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日第</w:t>
      </w:r>
      <w:r>
        <w:rPr>
          <w:rFonts w:hint="eastAsia" w:ascii="宋体" w:hAnsi="宋体" w:cs="宋体"/>
          <w:color w:val="000000" w:themeColor="text1"/>
          <w:sz w:val="24"/>
          <w:szCs w:val="24"/>
          <w:u w:val="single"/>
          <w14:textFill>
            <w14:solidFill>
              <w14:schemeClr w14:val="tx1"/>
            </w14:solidFill>
          </w14:textFill>
        </w:rPr>
        <w:t xml:space="preserve">  项目编号 </w:t>
      </w:r>
      <w:r>
        <w:rPr>
          <w:rFonts w:hint="eastAsia" w:ascii="宋体" w:hAnsi="宋体" w:cs="宋体"/>
          <w:color w:val="000000" w:themeColor="text1"/>
          <w:sz w:val="24"/>
          <w:szCs w:val="24"/>
          <w14:textFill>
            <w14:solidFill>
              <w14:schemeClr w14:val="tx1"/>
            </w14:solidFill>
          </w14:textFill>
        </w:rPr>
        <w:t>招标公告关于</w:t>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的招标项目，本签字人愿意参加投标，并有能力提供</w:t>
      </w:r>
      <w:r>
        <w:rPr>
          <w:rFonts w:hint="eastAsia" w:ascii="宋体" w:hAnsi="宋体" w:cs="宋体"/>
          <w:color w:val="000000" w:themeColor="text1"/>
          <w:sz w:val="24"/>
          <w:szCs w:val="24"/>
          <w:u w:val="single"/>
          <w14:textFill>
            <w14:solidFill>
              <w14:schemeClr w14:val="tx1"/>
            </w14:solidFill>
          </w14:textFill>
        </w:rPr>
        <w:t xml:space="preserve">  项目名称 </w:t>
      </w:r>
      <w:r>
        <w:rPr>
          <w:rFonts w:hint="eastAsia" w:ascii="宋体" w:hAnsi="宋体" w:cs="宋体"/>
          <w:color w:val="000000" w:themeColor="text1"/>
          <w:sz w:val="24"/>
          <w:szCs w:val="24"/>
          <w14:textFill>
            <w14:solidFill>
              <w14:schemeClr w14:val="tx1"/>
            </w14:solidFill>
          </w14:textFill>
        </w:rPr>
        <w:t>项目中的招标货物及相关服务，并保证所提交的所有文件和说明是真实和准确的。</w:t>
      </w:r>
    </w:p>
    <w:p>
      <w:pPr>
        <w:pStyle w:val="18"/>
        <w:spacing w:line="500" w:lineRule="exact"/>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u w:val="single"/>
          <w14:textFill>
            <w14:solidFill>
              <w14:schemeClr w14:val="tx1"/>
            </w14:solidFill>
          </w14:textFill>
        </w:rPr>
        <w:t>　投标人名称        　</w:t>
      </w:r>
      <w:r>
        <w:rPr>
          <w:rFonts w:hint="eastAsia" w:ascii="宋体" w:hAnsi="宋体" w:cs="宋体"/>
          <w:color w:val="000000" w:themeColor="text1"/>
          <w:sz w:val="24"/>
          <w:szCs w:val="24"/>
          <w14:textFill>
            <w14:solidFill>
              <w14:schemeClr w14:val="tx1"/>
            </w14:solidFill>
          </w14:textFill>
        </w:rPr>
        <w:t>　签字人姓名、职务：_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pStyle w:val="18"/>
        <w:spacing w:line="500" w:lineRule="exact"/>
        <w:contextualSpacing/>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　授权签署本资格文件人：</w:t>
      </w:r>
      <w:r>
        <w:rPr>
          <w:rFonts w:hint="eastAsia" w:ascii="宋体" w:hAnsi="宋体" w:cs="宋体"/>
          <w:color w:val="000000" w:themeColor="text1"/>
          <w:sz w:val="24"/>
          <w:szCs w:val="24"/>
          <w:u w:val="single"/>
          <w14:textFill>
            <w14:solidFill>
              <w14:schemeClr w14:val="tx1"/>
            </w14:solidFill>
          </w14:textFill>
        </w:rPr>
        <w:t>授权人姓名</w:t>
      </w:r>
      <w:r>
        <w:rPr>
          <w:rFonts w:hint="eastAsia" w:ascii="宋体" w:hAnsi="宋体" w:cs="宋体"/>
          <w:color w:val="000000" w:themeColor="text1"/>
          <w:sz w:val="24"/>
          <w:szCs w:val="24"/>
          <w14:textFill>
            <w14:solidFill>
              <w14:schemeClr w14:val="tx1"/>
            </w14:solidFill>
          </w14:textFill>
        </w:rPr>
        <w:t>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w:t>
      </w:r>
    </w:p>
    <w:p>
      <w:pPr>
        <w:pStyle w:val="18"/>
        <w:spacing w:line="500" w:lineRule="exact"/>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 xml:space="preserve"> 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  邮编：_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r>
        <w:rPr>
          <w:rFonts w:hint="eastAsia" w:ascii="宋体" w:hAnsi="宋体" w:cs="宋体"/>
          <w:color w:val="000000" w:themeColor="text1"/>
          <w:sz w:val="24"/>
          <w:szCs w:val="24"/>
          <w:u w:val="single"/>
          <w14:textFill>
            <w14:solidFill>
              <w14:schemeClr w14:val="tx1"/>
            </w14:solidFill>
          </w14:textFill>
        </w:rPr>
        <w:t>　　　　　　</w:t>
      </w:r>
    </w:p>
    <w:p>
      <w:pPr>
        <w:pStyle w:val="18"/>
        <w:spacing w:line="500" w:lineRule="exact"/>
        <w:contextualSpacing/>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spacing w:line="500" w:lineRule="exact"/>
        <w:ind w:firstLine="6240" w:firstLineChars="260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6240" w:firstLineChars="260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6960" w:firstLineChars="29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（单位公章）</w:t>
      </w:r>
    </w:p>
    <w:p>
      <w:pPr>
        <w:spacing w:line="500" w:lineRule="exact"/>
        <w:ind w:firstLine="5880" w:firstLineChars="245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5880" w:firstLineChars="245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7080" w:firstLineChars="295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500" w:lineRule="exact"/>
        <w:contextualSpacing/>
        <w:rPr>
          <w:rFonts w:ascii="宋体" w:hAnsi="宋体" w:cs="宋体"/>
          <w:b/>
          <w:color w:val="000000" w:themeColor="text1"/>
          <w:sz w:val="24"/>
          <w:szCs w:val="24"/>
          <w14:textFill>
            <w14:solidFill>
              <w14:schemeClr w14:val="tx1"/>
            </w14:solidFill>
          </w14:textFill>
        </w:rPr>
      </w:pPr>
    </w:p>
    <w:p>
      <w:pPr>
        <w:spacing w:line="500" w:lineRule="exact"/>
        <w:contextualSpacing/>
        <w:jc w:val="center"/>
        <w:rPr>
          <w:rFonts w:ascii="宋体" w:hAnsi="宋体" w:cs="宋体"/>
          <w:b/>
          <w:color w:val="000000" w:themeColor="text1"/>
          <w:sz w:val="24"/>
          <w:szCs w:val="24"/>
          <w14:textFill>
            <w14:solidFill>
              <w14:schemeClr w14:val="tx1"/>
            </w14:solidFill>
          </w14:textFill>
        </w:rPr>
      </w:pPr>
    </w:p>
    <w:p>
      <w:pPr>
        <w:pStyle w:val="6"/>
        <w:spacing w:line="500" w:lineRule="exact"/>
        <w:contextualSpacing/>
        <w:rPr>
          <w:rFonts w:ascii="宋体" w:hAnsi="宋体" w:cs="宋体"/>
          <w:b w:val="0"/>
          <w:color w:val="000000" w:themeColor="text1"/>
          <w:sz w:val="24"/>
          <w:szCs w:val="24"/>
          <w14:textFill>
            <w14:solidFill>
              <w14:schemeClr w14:val="tx1"/>
            </w14:solidFill>
          </w14:textFill>
        </w:rPr>
      </w:pPr>
    </w:p>
    <w:p>
      <w:pPr>
        <w:spacing w:line="500" w:lineRule="exact"/>
        <w:contextualSpacing/>
        <w:rPr>
          <w:rFonts w:ascii="宋体" w:hAnsi="宋体" w:cs="宋体"/>
          <w:b/>
          <w:color w:val="000000" w:themeColor="text1"/>
          <w:sz w:val="24"/>
          <w:szCs w:val="24"/>
          <w14:textFill>
            <w14:solidFill>
              <w14:schemeClr w14:val="tx1"/>
            </w14:solidFill>
          </w14:textFill>
        </w:rPr>
      </w:pPr>
    </w:p>
    <w:p>
      <w:pPr>
        <w:pStyle w:val="6"/>
        <w:spacing w:line="500" w:lineRule="exact"/>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559" w:name="_Toc6808"/>
      <w:bookmarkStart w:id="560" w:name="_Toc4478"/>
      <w:bookmarkStart w:id="561" w:name="_Toc487728220"/>
      <w:r>
        <w:rPr>
          <w:rFonts w:hint="eastAsia" w:ascii="宋体" w:hAnsi="宋体" w:cs="宋体"/>
          <w:color w:val="000000" w:themeColor="text1"/>
          <w:sz w:val="24"/>
          <w:szCs w:val="24"/>
          <w14:textFill>
            <w14:solidFill>
              <w14:schemeClr w14:val="tx1"/>
            </w14:solidFill>
          </w14:textFill>
        </w:rPr>
        <w:t>四、投标保证金</w:t>
      </w:r>
      <w:bookmarkEnd w:id="559"/>
      <w:bookmarkEnd w:id="560"/>
      <w:bookmarkEnd w:id="561"/>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不作要求</w:t>
      </w:r>
      <w:r>
        <w:rPr>
          <w:rFonts w:hint="eastAsia" w:ascii="宋体" w:hAnsi="宋体" w:cs="宋体"/>
          <w:color w:val="000000" w:themeColor="text1"/>
          <w:sz w:val="24"/>
          <w:szCs w:val="24"/>
          <w:lang w:eastAsia="zh-CN"/>
          <w14:textFill>
            <w14:solidFill>
              <w14:schemeClr w14:val="tx1"/>
            </w14:solidFill>
          </w14:textFill>
        </w:rPr>
        <w:t>）</w:t>
      </w:r>
    </w:p>
    <w:p>
      <w:pPr>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(采购人名称)</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鉴于</w:t>
      </w:r>
      <w:r>
        <w:rPr>
          <w:rFonts w:hint="eastAsia" w:ascii="宋体" w:hAnsi="宋体" w:cs="宋体"/>
          <w:color w:val="000000" w:themeColor="text1"/>
          <w:sz w:val="24"/>
          <w:szCs w:val="24"/>
          <w:u w:val="single"/>
          <w14:textFill>
            <w14:solidFill>
              <w14:schemeClr w14:val="tx1"/>
            </w14:solidFill>
          </w14:textFill>
        </w:rPr>
        <w:t>　　　　　　　(投标人名称，以下称“投标人”)</w:t>
      </w:r>
      <w:r>
        <w:rPr>
          <w:rFonts w:hint="eastAsia" w:ascii="宋体" w:hAnsi="宋体" w:cs="宋体"/>
          <w:color w:val="000000" w:themeColor="text1"/>
          <w:sz w:val="24"/>
          <w:szCs w:val="24"/>
          <w14:textFill>
            <w14:solidFill>
              <w14:schemeClr w14:val="tx1"/>
            </w14:solidFill>
          </w14:textFill>
        </w:rPr>
        <w:t>已于</w:t>
      </w:r>
      <w:r>
        <w:rPr>
          <w:rFonts w:hint="eastAsia" w:ascii="宋体" w:hAnsi="宋体" w:cs="宋体"/>
          <w:b/>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日参加</w:t>
      </w:r>
      <w:r>
        <w:rPr>
          <w:rFonts w:hint="eastAsia" w:ascii="宋体" w:hAnsi="宋体" w:cs="宋体"/>
          <w:color w:val="000000" w:themeColor="text1"/>
          <w:sz w:val="24"/>
          <w:szCs w:val="24"/>
          <w:u w:val="single"/>
          <w14:textFill>
            <w14:solidFill>
              <w14:schemeClr w14:val="tx1"/>
            </w14:solidFill>
          </w14:textFill>
        </w:rPr>
        <w:t>　　　　　 (项目名称)　　　　(标段名称)</w:t>
      </w:r>
      <w:r>
        <w:rPr>
          <w:rFonts w:hint="eastAsia" w:ascii="宋体" w:hAnsi="宋体" w:cs="宋体"/>
          <w:color w:val="000000" w:themeColor="text1"/>
          <w:sz w:val="24"/>
          <w:szCs w:val="24"/>
          <w14:textFill>
            <w14:solidFill>
              <w14:schemeClr w14:val="tx1"/>
            </w14:solidFill>
          </w14:textFill>
        </w:rPr>
        <w:t>的投标，</w:t>
      </w:r>
      <w:r>
        <w:rPr>
          <w:rFonts w:hint="eastAsia" w:ascii="宋体" w:hAnsi="宋体" w:cs="宋体"/>
          <w:color w:val="000000" w:themeColor="text1"/>
          <w:sz w:val="24"/>
          <w:szCs w:val="24"/>
          <w:u w:val="single"/>
          <w14:textFill>
            <w14:solidFill>
              <w14:schemeClr w14:val="tx1"/>
            </w14:solidFill>
          </w14:textFill>
        </w:rPr>
        <w:t>　　　　(担保人名称)</w:t>
      </w:r>
      <w:r>
        <w:rPr>
          <w:rFonts w:hint="eastAsia" w:ascii="宋体" w:hAnsi="宋体" w:cs="宋体"/>
          <w:color w:val="000000" w:themeColor="text1"/>
          <w:sz w:val="24"/>
          <w:szCs w:val="24"/>
          <w14:textFill>
            <w14:solidFill>
              <w14:schemeClr w14:val="tx1"/>
            </w14:solidFill>
          </w14:textFill>
        </w:rPr>
        <w:t>，以下简称“我方”)无条件地、不可撤销地保证：投标人在规定的投标文件有效期内补充、修改、替代或撤回其投标文件的，或者投标人在收到中标通知书后无正当理由拒签合同或拒交规定履约担保的，我方承担保证责任。收到你方书面通知后，在7日内无条件向你方支付人民币(大写)元(￥元)。</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本担保在投标有效期内保持有效。要求我方承担保证责任的书面通知应在投标有效期内送达我方。</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担保人：</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(盖单位章)</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法定代表人或其委托代理人：</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(签字)</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地址：_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邮政编码：_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电话：_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spacing w:line="500" w:lineRule="exact"/>
        <w:ind w:firstLine="540" w:firstLineChars="225"/>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年　　月　　日</w:t>
      </w:r>
    </w:p>
    <w:p>
      <w:pPr>
        <w:spacing w:line="500" w:lineRule="exact"/>
        <w:ind w:firstLine="477" w:firstLineChars="199"/>
        <w:contextualSpacing/>
        <w:rPr>
          <w:rFonts w:ascii="宋体" w:hAnsi="宋体" w:cs="宋体"/>
          <w:color w:val="000000" w:themeColor="text1"/>
          <w:sz w:val="24"/>
          <w:szCs w:val="24"/>
          <w14:textFill>
            <w14:solidFill>
              <w14:schemeClr w14:val="tx1"/>
            </w14:solidFill>
          </w14:textFill>
        </w:rPr>
      </w:pPr>
    </w:p>
    <w:p>
      <w:pPr>
        <w:spacing w:line="500" w:lineRule="exact"/>
        <w:ind w:firstLine="477" w:firstLineChars="199"/>
        <w:contextualSpacing/>
        <w:rPr>
          <w:rFonts w:ascii="宋体" w:hAnsi="宋体" w:cs="宋体"/>
          <w:color w:val="000000" w:themeColor="text1"/>
          <w:sz w:val="24"/>
          <w:szCs w:val="24"/>
          <w14:textFill>
            <w14:solidFill>
              <w14:schemeClr w14:val="tx1"/>
            </w14:solidFill>
          </w14:textFill>
        </w:rPr>
      </w:pPr>
    </w:p>
    <w:p>
      <w:pPr>
        <w:spacing w:line="500" w:lineRule="exact"/>
        <w:ind w:firstLine="477" w:firstLineChars="199"/>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注1：投标保证金采取汇票、电汇、支票的，附上述票据的复印件；采取担保的，应采用上述格式。</w:t>
      </w:r>
    </w:p>
    <w:p>
      <w:pPr>
        <w:spacing w:line="500" w:lineRule="exact"/>
        <w:ind w:firstLine="477" w:firstLineChars="199"/>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注2：委托代理人应附授权委托书。</w:t>
      </w: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6"/>
        <w:spacing w:line="500" w:lineRule="exact"/>
        <w:ind w:firstLine="3373" w:firstLineChars="1400"/>
        <w:contextualSpacing/>
        <w:jc w:val="both"/>
        <w:rPr>
          <w:rFonts w:ascii="宋体" w:hAnsi="宋体" w:cs="宋体"/>
          <w:color w:val="000000" w:themeColor="text1"/>
          <w:sz w:val="24"/>
          <w:szCs w:val="24"/>
          <w14:textFill>
            <w14:solidFill>
              <w14:schemeClr w14:val="tx1"/>
            </w14:solidFill>
          </w14:textFill>
        </w:rPr>
      </w:pPr>
      <w:bookmarkStart w:id="562" w:name="_Toc24263"/>
      <w:bookmarkStart w:id="563" w:name="_Toc487728221"/>
      <w:bookmarkStart w:id="564" w:name="_Toc11930"/>
      <w:r>
        <w:rPr>
          <w:rFonts w:hint="eastAsia" w:ascii="宋体" w:hAnsi="宋体" w:cs="宋体"/>
          <w:color w:val="000000" w:themeColor="text1"/>
          <w:sz w:val="24"/>
          <w:szCs w:val="24"/>
          <w14:textFill>
            <w14:solidFill>
              <w14:schemeClr w14:val="tx1"/>
            </w14:solidFill>
          </w14:textFill>
        </w:rPr>
        <w:t>五、开标一览表</w:t>
      </w:r>
      <w:bookmarkEnd w:id="562"/>
      <w:bookmarkEnd w:id="563"/>
      <w:bookmarkEnd w:id="564"/>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ind w:firstLine="720" w:firstLineChars="3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                                              单位：</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p>
    <w:p>
      <w:pPr>
        <w:pStyle w:val="3"/>
        <w:spacing w:line="500" w:lineRule="exact"/>
        <w:rPr>
          <w:sz w:val="24"/>
          <w:szCs w:val="24"/>
        </w:rPr>
      </w:pPr>
    </w:p>
    <w:tbl>
      <w:tblPr>
        <w:tblStyle w:val="3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992"/>
        <w:gridCol w:w="1718"/>
        <w:gridCol w:w="182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39"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p>
        </w:tc>
        <w:tc>
          <w:tcPr>
            <w:tcW w:w="992"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供货期</w:t>
            </w:r>
          </w:p>
        </w:tc>
        <w:tc>
          <w:tcPr>
            <w:tcW w:w="1718" w:type="dxa"/>
            <w:vAlign w:val="center"/>
          </w:tcPr>
          <w:p>
            <w:pPr>
              <w:spacing w:line="500" w:lineRule="exact"/>
              <w:contextualSpacing/>
              <w:jc w:val="center"/>
              <w:rPr>
                <w:sz w:val="24"/>
                <w:szCs w:val="24"/>
              </w:rPr>
            </w:pPr>
            <w:r>
              <w:rPr>
                <w:rFonts w:hint="eastAsia"/>
                <w:sz w:val="24"/>
                <w:szCs w:val="24"/>
              </w:rPr>
              <w:t>投标报价</w:t>
            </w:r>
          </w:p>
          <w:p>
            <w:pPr>
              <w:pStyle w:val="3"/>
              <w:spacing w:line="500" w:lineRule="exact"/>
              <w:jc w:val="center"/>
              <w:rPr>
                <w:sz w:val="24"/>
                <w:szCs w:val="24"/>
              </w:rPr>
            </w:pPr>
            <w:r>
              <w:rPr>
                <w:rFonts w:hint="eastAsia"/>
                <w:sz w:val="24"/>
                <w:szCs w:val="24"/>
              </w:rPr>
              <w:t>（大写）</w:t>
            </w:r>
          </w:p>
        </w:tc>
        <w:tc>
          <w:tcPr>
            <w:tcW w:w="1826" w:type="dxa"/>
            <w:vAlign w:val="center"/>
          </w:tcPr>
          <w:p>
            <w:pPr>
              <w:spacing w:line="500" w:lineRule="exact"/>
              <w:contextualSpacing/>
              <w:jc w:val="center"/>
              <w:rPr>
                <w:sz w:val="24"/>
                <w:szCs w:val="24"/>
              </w:rPr>
            </w:pPr>
            <w:r>
              <w:rPr>
                <w:rFonts w:hint="eastAsia"/>
                <w:sz w:val="24"/>
                <w:szCs w:val="24"/>
              </w:rPr>
              <w:t>投标总价</w:t>
            </w:r>
          </w:p>
          <w:p>
            <w:pPr>
              <w:pStyle w:val="3"/>
              <w:spacing w:line="500" w:lineRule="exact"/>
              <w:jc w:val="center"/>
              <w:rPr>
                <w:sz w:val="24"/>
                <w:szCs w:val="24"/>
              </w:rPr>
            </w:pPr>
            <w:r>
              <w:rPr>
                <w:rFonts w:hint="eastAsia" w:ascii="宋体" w:hAnsi="宋体" w:cs="宋体"/>
                <w:color w:val="000000" w:themeColor="text1"/>
                <w:sz w:val="24"/>
                <w:szCs w:val="24"/>
                <w14:textFill>
                  <w14:solidFill>
                    <w14:schemeClr w14:val="tx1"/>
                  </w14:solidFill>
                </w14:textFill>
              </w:rPr>
              <w:t>（小写）</w:t>
            </w:r>
          </w:p>
        </w:tc>
        <w:tc>
          <w:tcPr>
            <w:tcW w:w="1929"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339"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c>
          <w:tcPr>
            <w:tcW w:w="992"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c>
          <w:tcPr>
            <w:tcW w:w="1718"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c>
          <w:tcPr>
            <w:tcW w:w="1826"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c>
          <w:tcPr>
            <w:tcW w:w="1929" w:type="dxa"/>
            <w:vAlign w:val="center"/>
          </w:tcPr>
          <w:p>
            <w:pPr>
              <w:spacing w:line="500" w:lineRule="exact"/>
              <w:contextualSpacing/>
              <w:jc w:val="center"/>
              <w:rPr>
                <w:rFonts w:ascii="宋体" w:hAnsi="宋体" w:cs="宋体"/>
                <w:color w:val="000000" w:themeColor="text1"/>
                <w:sz w:val="24"/>
                <w:szCs w:val="24"/>
                <w14:textFill>
                  <w14:solidFill>
                    <w14:schemeClr w14:val="tx1"/>
                  </w14:solidFill>
                </w14:textFill>
              </w:rPr>
            </w:pPr>
          </w:p>
        </w:tc>
      </w:tr>
    </w:tbl>
    <w:p>
      <w:pPr>
        <w:spacing w:line="500" w:lineRule="exact"/>
        <w:ind w:left="843" w:hanging="843" w:hangingChars="350"/>
        <w:contextualSpacing/>
        <w:jc w:val="left"/>
        <w:rPr>
          <w:rFonts w:ascii="宋体" w:hAnsi="宋体" w:cs="宋体"/>
          <w:b/>
          <w:color w:val="000000" w:themeColor="text1"/>
          <w:sz w:val="24"/>
          <w:szCs w:val="24"/>
          <w14:textFill>
            <w14:solidFill>
              <w14:schemeClr w14:val="tx1"/>
            </w14:solidFill>
          </w14:textFill>
        </w:rPr>
      </w:pP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pPr>
        <w:pStyle w:val="3"/>
        <w:spacing w:line="500" w:lineRule="exact"/>
        <w:rPr>
          <w:sz w:val="24"/>
          <w:szCs w:val="24"/>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widowControl/>
        <w:spacing w:beforeAutospacing="1" w:afterAutospacing="1" w:line="500" w:lineRule="exact"/>
        <w:contextualSpacing/>
        <w:jc w:val="left"/>
        <w:rPr>
          <w:rFonts w:ascii="宋体" w:hAnsi="宋体" w:cs="宋体"/>
          <w:color w:val="000000" w:themeColor="text1"/>
          <w:sz w:val="24"/>
          <w:szCs w:val="24"/>
          <w14:textFill>
            <w14:solidFill>
              <w14:schemeClr w14:val="tx1"/>
            </w14:solidFill>
          </w14:textFill>
        </w:rPr>
      </w:pPr>
    </w:p>
    <w:p>
      <w:pPr>
        <w:spacing w:line="500" w:lineRule="exact"/>
        <w:ind w:firstLine="6960" w:firstLineChars="29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widowControl/>
        <w:spacing w:beforeAutospacing="1" w:afterAutospacing="1" w:line="500" w:lineRule="exact"/>
        <w:contextualSpacing/>
        <w:jc w:val="left"/>
        <w:rPr>
          <w:rFonts w:ascii="宋体" w:hAnsi="宋体" w:cs="宋体"/>
          <w:color w:val="000000" w:themeColor="text1"/>
          <w:sz w:val="24"/>
          <w:szCs w:val="24"/>
          <w14:textFill>
            <w14:solidFill>
              <w14:schemeClr w14:val="tx1"/>
            </w14:solidFill>
          </w14:textFill>
        </w:rPr>
        <w:sectPr>
          <w:pgSz w:w="11907" w:h="16840"/>
          <w:pgMar w:top="1134" w:right="1134" w:bottom="1134" w:left="1134" w:header="851" w:footer="851" w:gutter="0"/>
          <w:pgNumType w:chapStyle="1"/>
          <w:cols w:space="720" w:num="1"/>
          <w:titlePg/>
        </w:sect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65" w:name="_Toc487728222"/>
      <w:bookmarkStart w:id="566" w:name="_Toc28609"/>
      <w:bookmarkStart w:id="567" w:name="_Toc6127"/>
      <w:r>
        <w:rPr>
          <w:rFonts w:hint="eastAsia" w:ascii="宋体" w:hAnsi="宋体" w:cs="宋体"/>
          <w:color w:val="000000" w:themeColor="text1"/>
          <w:sz w:val="24"/>
          <w:szCs w:val="24"/>
          <w14:textFill>
            <w14:solidFill>
              <w14:schemeClr w14:val="tx1"/>
            </w14:solidFill>
          </w14:textFill>
        </w:rPr>
        <w:t>六、投标分项报价明细表</w:t>
      </w:r>
      <w:bookmarkEnd w:id="565"/>
      <w:bookmarkEnd w:id="566"/>
      <w:bookmarkEnd w:id="567"/>
    </w:p>
    <w:p>
      <w:pPr>
        <w:spacing w:line="500" w:lineRule="exact"/>
        <w:ind w:left="840" w:hanging="840" w:hangingChars="350"/>
        <w:contextualSpacing/>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注：1、投标人必须按“</w:t>
      </w:r>
      <w:r>
        <w:rPr>
          <w:rFonts w:hint="eastAsia" w:ascii="宋体" w:hAnsi="宋体" w:cs="宋体"/>
          <w:bCs/>
          <w:color w:val="000000" w:themeColor="text1"/>
          <w:sz w:val="24"/>
          <w:szCs w:val="24"/>
          <w14:textFill>
            <w14:solidFill>
              <w14:schemeClr w14:val="tx1"/>
            </w14:solidFill>
          </w14:textFill>
        </w:rPr>
        <w:t>工程量清单”的格式</w:t>
      </w:r>
      <w:r>
        <w:rPr>
          <w:rFonts w:hint="eastAsia" w:ascii="宋体" w:hAnsi="宋体" w:cs="宋体"/>
          <w:color w:val="000000" w:themeColor="text1"/>
          <w:sz w:val="24"/>
          <w:szCs w:val="24"/>
          <w14:textFill>
            <w14:solidFill>
              <w14:schemeClr w14:val="tx1"/>
            </w14:solidFill>
          </w14:textFill>
        </w:rPr>
        <w:t>详细报出投标总价的各个组成部分的报价，否则作无效投标处理。</w:t>
      </w:r>
    </w:p>
    <w:p>
      <w:pPr>
        <w:spacing w:line="500" w:lineRule="exact"/>
        <w:ind w:firstLine="405"/>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分项报价明细表”各分项报价合计应当与“开标一览表”报价合计相等。</w:t>
      </w:r>
    </w:p>
    <w:p>
      <w:pPr>
        <w:spacing w:line="500" w:lineRule="exact"/>
        <w:ind w:firstLine="405"/>
        <w:contextualSpacing/>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3、分项报价不得高于参数中最高限价，否则报价无效按无效标处理。</w:t>
      </w:r>
    </w:p>
    <w:p>
      <w:pPr>
        <w:spacing w:line="500" w:lineRule="exact"/>
        <w:contextualSpacing/>
        <w:jc w:val="left"/>
        <w:rPr>
          <w:rFonts w:ascii="宋体" w:hAnsi="宋体" w:cs="宋体"/>
          <w:b/>
          <w:bCs/>
          <w:color w:val="000000" w:themeColor="text1"/>
          <w:sz w:val="24"/>
          <w:szCs w:val="24"/>
          <w14:textFill>
            <w14:solidFill>
              <w14:schemeClr w14:val="tx1"/>
            </w14:solidFill>
          </w14:textFill>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widowControl/>
        <w:spacing w:beforeAutospacing="1" w:afterAutospacing="1" w:line="500" w:lineRule="exact"/>
        <w:contextualSpacing/>
        <w:jc w:val="left"/>
        <w:rPr>
          <w:rFonts w:ascii="宋体" w:hAnsi="宋体" w:cs="宋体"/>
          <w:b/>
          <w:bCs/>
          <w:color w:val="000000" w:themeColor="text1"/>
          <w:sz w:val="24"/>
          <w:szCs w:val="24"/>
          <w14:textFill>
            <w14:solidFill>
              <w14:schemeClr w14:val="tx1"/>
            </w14:solidFill>
          </w14:textFill>
        </w:rPr>
      </w:pPr>
    </w:p>
    <w:p>
      <w:pPr>
        <w:spacing w:line="500" w:lineRule="exact"/>
        <w:ind w:firstLine="6960" w:firstLineChars="29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spacing w:line="500" w:lineRule="exact"/>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68" w:name="_Toc12976"/>
      <w:bookmarkStart w:id="569" w:name="_Toc487728230"/>
      <w:bookmarkStart w:id="570" w:name="_Toc7923"/>
      <w:r>
        <w:rPr>
          <w:rFonts w:hint="eastAsia" w:ascii="宋体" w:hAnsi="宋体" w:cs="宋体"/>
          <w:color w:val="000000" w:themeColor="text1"/>
          <w:sz w:val="24"/>
          <w:szCs w:val="24"/>
          <w:lang w:val="en-US" w:eastAsia="zh-CN"/>
          <w14:textFill>
            <w14:solidFill>
              <w14:schemeClr w14:val="tx1"/>
            </w14:solidFill>
          </w14:textFill>
        </w:rPr>
        <w:t>九</w:t>
      </w:r>
      <w:r>
        <w:rPr>
          <w:rFonts w:hint="eastAsia" w:ascii="宋体" w:hAnsi="宋体" w:cs="宋体"/>
          <w:color w:val="000000" w:themeColor="text1"/>
          <w:sz w:val="24"/>
          <w:szCs w:val="24"/>
          <w14:textFill>
            <w14:solidFill>
              <w14:schemeClr w14:val="tx1"/>
            </w14:solidFill>
          </w14:textFill>
        </w:rPr>
        <w:t>、投标人基本情况表</w:t>
      </w:r>
      <w:bookmarkEnd w:id="568"/>
      <w:bookmarkEnd w:id="569"/>
      <w:bookmarkEnd w:id="570"/>
    </w:p>
    <w:tbl>
      <w:tblPr>
        <w:tblStyle w:val="3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083"/>
        <w:gridCol w:w="1403"/>
        <w:gridCol w:w="1404"/>
        <w:gridCol w:w="8"/>
        <w:gridCol w:w="1487"/>
        <w:gridCol w:w="179"/>
        <w:gridCol w:w="113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投标人名称</w:t>
            </w:r>
          </w:p>
        </w:tc>
        <w:tc>
          <w:tcPr>
            <w:tcW w:w="7925" w:type="dxa"/>
            <w:gridSpan w:val="8"/>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注册地址</w:t>
            </w:r>
          </w:p>
        </w:tc>
        <w:tc>
          <w:tcPr>
            <w:tcW w:w="3898" w:type="dxa"/>
            <w:gridSpan w:val="4"/>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87"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邮政编码</w:t>
            </w:r>
          </w:p>
        </w:tc>
        <w:tc>
          <w:tcPr>
            <w:tcW w:w="2540"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Merge w:val="restart"/>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联系方式</w:t>
            </w:r>
          </w:p>
        </w:tc>
        <w:tc>
          <w:tcPr>
            <w:tcW w:w="108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w:t>
            </w:r>
          </w:p>
        </w:tc>
        <w:tc>
          <w:tcPr>
            <w:tcW w:w="2807"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95"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w:t>
            </w:r>
          </w:p>
        </w:tc>
        <w:tc>
          <w:tcPr>
            <w:tcW w:w="2540"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23" w:type="dxa"/>
            <w:vMerge w:val="continue"/>
            <w:vAlign w:val="center"/>
          </w:tcPr>
          <w:p>
            <w:pPr>
              <w:widowControl/>
              <w:spacing w:line="500" w:lineRule="exact"/>
              <w:contextualSpacing/>
              <w:jc w:val="left"/>
              <w:rPr>
                <w:rFonts w:ascii="宋体" w:hAnsi="宋体" w:cs="宋体"/>
                <w:color w:val="000000" w:themeColor="text1"/>
                <w:kern w:val="0"/>
                <w:sz w:val="24"/>
                <w:szCs w:val="24"/>
                <w14:textFill>
                  <w14:solidFill>
                    <w14:schemeClr w14:val="tx1"/>
                  </w14:solidFill>
                </w14:textFill>
              </w:rPr>
            </w:pPr>
          </w:p>
        </w:tc>
        <w:tc>
          <w:tcPr>
            <w:tcW w:w="108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传真</w:t>
            </w:r>
          </w:p>
        </w:tc>
        <w:tc>
          <w:tcPr>
            <w:tcW w:w="2807"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95"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网址</w:t>
            </w:r>
          </w:p>
        </w:tc>
        <w:tc>
          <w:tcPr>
            <w:tcW w:w="2540"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组织结构</w:t>
            </w:r>
          </w:p>
        </w:tc>
        <w:tc>
          <w:tcPr>
            <w:tcW w:w="7925" w:type="dxa"/>
            <w:gridSpan w:val="8"/>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法定代表人</w:t>
            </w:r>
          </w:p>
        </w:tc>
        <w:tc>
          <w:tcPr>
            <w:tcW w:w="108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140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技术职称</w:t>
            </w:r>
          </w:p>
        </w:tc>
        <w:tc>
          <w:tcPr>
            <w:tcW w:w="1495"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313"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w:t>
            </w:r>
          </w:p>
        </w:tc>
        <w:tc>
          <w:tcPr>
            <w:tcW w:w="1227" w:type="dxa"/>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技术负责人</w:t>
            </w:r>
          </w:p>
        </w:tc>
        <w:tc>
          <w:tcPr>
            <w:tcW w:w="108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140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技术职称</w:t>
            </w:r>
          </w:p>
        </w:tc>
        <w:tc>
          <w:tcPr>
            <w:tcW w:w="1495"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313"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w:t>
            </w:r>
          </w:p>
        </w:tc>
        <w:tc>
          <w:tcPr>
            <w:tcW w:w="1227" w:type="dxa"/>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成立时间</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5439" w:type="dxa"/>
            <w:gridSpan w:val="6"/>
            <w:vAlign w:val="center"/>
          </w:tcPr>
          <w:p>
            <w:pPr>
              <w:autoSpaceDE w:val="0"/>
              <w:autoSpaceDN w:val="0"/>
              <w:adjustRightInd w:val="0"/>
              <w:spacing w:line="500" w:lineRule="exact"/>
              <w:ind w:firstLine="1680" w:firstLineChars="700"/>
              <w:contextualSpacing/>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企业资质等级</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Merge w:val="restart"/>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其中</w:t>
            </w:r>
          </w:p>
        </w:tc>
        <w:tc>
          <w:tcPr>
            <w:tcW w:w="1674"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项目经理</w:t>
            </w:r>
          </w:p>
        </w:tc>
        <w:tc>
          <w:tcPr>
            <w:tcW w:w="2361" w:type="dxa"/>
            <w:gridSpan w:val="2"/>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营业执照号</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Merge w:val="continue"/>
            <w:vAlign w:val="center"/>
          </w:tcPr>
          <w:p>
            <w:pPr>
              <w:widowControl/>
              <w:spacing w:line="500" w:lineRule="exact"/>
              <w:contextualSpacing/>
              <w:jc w:val="left"/>
              <w:rPr>
                <w:rFonts w:ascii="宋体" w:hAnsi="宋体" w:cs="宋体"/>
                <w:color w:val="000000" w:themeColor="text1"/>
                <w:kern w:val="0"/>
                <w:sz w:val="24"/>
                <w:szCs w:val="24"/>
                <w14:textFill>
                  <w14:solidFill>
                    <w14:schemeClr w14:val="tx1"/>
                  </w14:solidFill>
                </w14:textFill>
              </w:rPr>
            </w:pPr>
          </w:p>
        </w:tc>
        <w:tc>
          <w:tcPr>
            <w:tcW w:w="1674"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高级职称人员</w:t>
            </w:r>
          </w:p>
        </w:tc>
        <w:tc>
          <w:tcPr>
            <w:tcW w:w="2361" w:type="dxa"/>
            <w:gridSpan w:val="2"/>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注册资金</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Merge w:val="continue"/>
            <w:vAlign w:val="center"/>
          </w:tcPr>
          <w:p>
            <w:pPr>
              <w:widowControl/>
              <w:spacing w:line="500" w:lineRule="exact"/>
              <w:contextualSpacing/>
              <w:jc w:val="left"/>
              <w:rPr>
                <w:rFonts w:ascii="宋体" w:hAnsi="宋体" w:cs="宋体"/>
                <w:color w:val="000000" w:themeColor="text1"/>
                <w:kern w:val="0"/>
                <w:sz w:val="24"/>
                <w:szCs w:val="24"/>
                <w14:textFill>
                  <w14:solidFill>
                    <w14:schemeClr w14:val="tx1"/>
                  </w14:solidFill>
                </w14:textFill>
              </w:rPr>
            </w:pPr>
          </w:p>
        </w:tc>
        <w:tc>
          <w:tcPr>
            <w:tcW w:w="1674"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中级职称人员</w:t>
            </w:r>
          </w:p>
        </w:tc>
        <w:tc>
          <w:tcPr>
            <w:tcW w:w="2361" w:type="dxa"/>
            <w:gridSpan w:val="2"/>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开户银行</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Merge w:val="continue"/>
            <w:vAlign w:val="center"/>
          </w:tcPr>
          <w:p>
            <w:pPr>
              <w:widowControl/>
              <w:spacing w:line="500" w:lineRule="exact"/>
              <w:contextualSpacing/>
              <w:jc w:val="left"/>
              <w:rPr>
                <w:rFonts w:ascii="宋体" w:hAnsi="宋体" w:cs="宋体"/>
                <w:color w:val="000000" w:themeColor="text1"/>
                <w:kern w:val="0"/>
                <w:sz w:val="24"/>
                <w:szCs w:val="24"/>
                <w14:textFill>
                  <w14:solidFill>
                    <w14:schemeClr w14:val="tx1"/>
                  </w14:solidFill>
                </w14:textFill>
              </w:rPr>
            </w:pPr>
          </w:p>
        </w:tc>
        <w:tc>
          <w:tcPr>
            <w:tcW w:w="1674"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初级职称人员</w:t>
            </w:r>
          </w:p>
        </w:tc>
        <w:tc>
          <w:tcPr>
            <w:tcW w:w="2361" w:type="dxa"/>
            <w:gridSpan w:val="2"/>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账号</w:t>
            </w:r>
          </w:p>
        </w:tc>
        <w:tc>
          <w:tcPr>
            <w:tcW w:w="2486" w:type="dxa"/>
            <w:gridSpan w:val="2"/>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p>
        </w:tc>
        <w:tc>
          <w:tcPr>
            <w:tcW w:w="1404" w:type="dxa"/>
            <w:vMerge w:val="continue"/>
            <w:vAlign w:val="center"/>
          </w:tcPr>
          <w:p>
            <w:pPr>
              <w:widowControl/>
              <w:spacing w:line="500" w:lineRule="exact"/>
              <w:contextualSpacing/>
              <w:jc w:val="left"/>
              <w:rPr>
                <w:rFonts w:ascii="宋体" w:hAnsi="宋体" w:cs="宋体"/>
                <w:color w:val="000000" w:themeColor="text1"/>
                <w:kern w:val="0"/>
                <w:sz w:val="24"/>
                <w:szCs w:val="24"/>
                <w14:textFill>
                  <w14:solidFill>
                    <w14:schemeClr w14:val="tx1"/>
                  </w14:solidFill>
                </w14:textFill>
              </w:rPr>
            </w:pPr>
          </w:p>
        </w:tc>
        <w:tc>
          <w:tcPr>
            <w:tcW w:w="1674" w:type="dxa"/>
            <w:gridSpan w:val="3"/>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技工</w:t>
            </w:r>
          </w:p>
        </w:tc>
        <w:tc>
          <w:tcPr>
            <w:tcW w:w="2361" w:type="dxa"/>
            <w:gridSpan w:val="2"/>
            <w:vAlign w:val="center"/>
          </w:tcPr>
          <w:p>
            <w:pPr>
              <w:autoSpaceDE w:val="0"/>
              <w:autoSpaceDN w:val="0"/>
              <w:adjustRightInd w:val="0"/>
              <w:spacing w:line="500" w:lineRule="exact"/>
              <w:contextualSpacing/>
              <w:jc w:val="center"/>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23" w:type="dxa"/>
            <w:vAlign w:val="center"/>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经营范围</w:t>
            </w:r>
          </w:p>
        </w:tc>
        <w:tc>
          <w:tcPr>
            <w:tcW w:w="7925" w:type="dxa"/>
            <w:gridSpan w:val="8"/>
            <w:vAlign w:val="center"/>
          </w:tcPr>
          <w:p>
            <w:pPr>
              <w:autoSpaceDE w:val="0"/>
              <w:autoSpaceDN w:val="0"/>
              <w:adjustRightInd w:val="0"/>
              <w:spacing w:line="500" w:lineRule="exact"/>
              <w:contextualSpacing/>
              <w:rPr>
                <w:rFonts w:ascii="宋体" w:hAnsi="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23" w:type="dxa"/>
          </w:tcPr>
          <w:p>
            <w:pPr>
              <w:autoSpaceDE w:val="0"/>
              <w:autoSpaceDN w:val="0"/>
              <w:adjustRightInd w:val="0"/>
              <w:spacing w:line="500" w:lineRule="exact"/>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c>
          <w:tcPr>
            <w:tcW w:w="7925" w:type="dxa"/>
            <w:gridSpan w:val="8"/>
          </w:tcPr>
          <w:p>
            <w:pPr>
              <w:autoSpaceDE w:val="0"/>
              <w:autoSpaceDN w:val="0"/>
              <w:adjustRightInd w:val="0"/>
              <w:spacing w:line="500" w:lineRule="exact"/>
              <w:contextualSpacing/>
              <w:jc w:val="left"/>
              <w:rPr>
                <w:rFonts w:ascii="宋体" w:hAnsi="宋体" w:cs="宋体"/>
                <w:color w:val="000000" w:themeColor="text1"/>
                <w:kern w:val="0"/>
                <w:sz w:val="24"/>
                <w:szCs w:val="24"/>
                <w14:textFill>
                  <w14:solidFill>
                    <w14:schemeClr w14:val="tx1"/>
                  </w14:solidFill>
                </w14:textFill>
              </w:rPr>
            </w:pPr>
          </w:p>
        </w:tc>
      </w:tr>
    </w:tbl>
    <w:p>
      <w:pPr>
        <w:spacing w:line="500" w:lineRule="exact"/>
        <w:contextualSpacing/>
        <w:outlineLvl w:val="1"/>
        <w:rPr>
          <w:rFonts w:ascii="宋体" w:hAnsi="宋体" w:cs="宋体"/>
          <w:b/>
          <w:color w:val="000000" w:themeColor="text1"/>
          <w:sz w:val="24"/>
          <w:szCs w:val="24"/>
          <w14:textFill>
            <w14:solidFill>
              <w14:schemeClr w14:val="tx1"/>
            </w14:solidFill>
          </w14:textFill>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widowControl/>
        <w:spacing w:beforeAutospacing="1" w:afterAutospacing="1" w:line="500" w:lineRule="exact"/>
        <w:contextualSpacing/>
        <w:jc w:val="left"/>
        <w:rPr>
          <w:rFonts w:ascii="宋体" w:hAnsi="宋体" w:cs="宋体"/>
          <w:b/>
          <w:bCs/>
          <w:color w:val="000000" w:themeColor="text1"/>
          <w:sz w:val="24"/>
          <w:szCs w:val="24"/>
          <w14:textFill>
            <w14:solidFill>
              <w14:schemeClr w14:val="tx1"/>
            </w14:solidFill>
          </w14:textFill>
        </w:rPr>
      </w:pPr>
    </w:p>
    <w:p>
      <w:pPr>
        <w:spacing w:line="500" w:lineRule="exact"/>
        <w:ind w:firstLine="6960" w:firstLineChars="29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71" w:name="_Toc21251"/>
      <w:bookmarkStart w:id="572" w:name="_Toc18239"/>
      <w:bookmarkStart w:id="573" w:name="_Toc487728232"/>
      <w:r>
        <w:rPr>
          <w:rFonts w:hint="eastAsia" w:ascii="宋体" w:hAnsi="宋体" w:cs="宋体"/>
          <w:color w:val="000000" w:themeColor="text1"/>
          <w:sz w:val="24"/>
          <w:szCs w:val="24"/>
          <w:lang w:val="en-US" w:eastAsia="zh-CN"/>
          <w14:textFill>
            <w14:solidFill>
              <w14:schemeClr w14:val="tx1"/>
            </w14:solidFill>
          </w14:textFill>
        </w:rPr>
        <w:t>十</w:t>
      </w:r>
      <w:r>
        <w:rPr>
          <w:rFonts w:hint="eastAsia" w:ascii="宋体" w:hAnsi="宋体" w:cs="宋体"/>
          <w:color w:val="000000" w:themeColor="text1"/>
          <w:sz w:val="24"/>
          <w:szCs w:val="24"/>
          <w14:textFill>
            <w14:solidFill>
              <w14:schemeClr w14:val="tx1"/>
            </w14:solidFill>
          </w14:textFill>
        </w:rPr>
        <w:t>、投标人本项目管理、技术、服务人员情况表</w:t>
      </w:r>
      <w:bookmarkEnd w:id="571"/>
      <w:bookmarkEnd w:id="572"/>
      <w:bookmarkEnd w:id="573"/>
    </w:p>
    <w:p>
      <w:pPr>
        <w:spacing w:line="500" w:lineRule="exact"/>
        <w:contextualSpacing/>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招标编号：</w:t>
      </w:r>
    </w:p>
    <w:tbl>
      <w:tblPr>
        <w:tblStyle w:val="3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49"/>
        <w:gridCol w:w="901"/>
        <w:gridCol w:w="901"/>
        <w:gridCol w:w="901"/>
        <w:gridCol w:w="1291"/>
        <w:gridCol w:w="992"/>
        <w:gridCol w:w="85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类别</w:t>
            </w:r>
          </w:p>
        </w:tc>
        <w:tc>
          <w:tcPr>
            <w:tcW w:w="1649"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职务</w:t>
            </w:r>
          </w:p>
        </w:tc>
        <w:tc>
          <w:tcPr>
            <w:tcW w:w="901"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姓名</w:t>
            </w:r>
          </w:p>
        </w:tc>
        <w:tc>
          <w:tcPr>
            <w:tcW w:w="901"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职称</w:t>
            </w:r>
          </w:p>
        </w:tc>
        <w:tc>
          <w:tcPr>
            <w:tcW w:w="901"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常住地</w:t>
            </w:r>
          </w:p>
        </w:tc>
        <w:tc>
          <w:tcPr>
            <w:tcW w:w="4012"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901"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901"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901"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证书名称</w:t>
            </w:r>
          </w:p>
        </w:tc>
        <w:tc>
          <w:tcPr>
            <w:tcW w:w="992"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级别</w:t>
            </w:r>
          </w:p>
        </w:tc>
        <w:tc>
          <w:tcPr>
            <w:tcW w:w="850"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证号</w:t>
            </w:r>
          </w:p>
        </w:tc>
        <w:tc>
          <w:tcPr>
            <w:tcW w:w="879"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000000"/>
                <w:sz w:val="24"/>
                <w:szCs w:val="24"/>
              </w:rPr>
            </w:pPr>
            <w:r>
              <w:rPr>
                <w:rFonts w:hint="eastAsia" w:ascii="宋体" w:hAnsi="宋体" w:cs="宋体"/>
                <w:color w:val="00000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67" w:type="dxa"/>
            <w:vMerge w:val="restart"/>
            <w:tcBorders>
              <w:top w:val="nil"/>
              <w:left w:val="single" w:color="auto" w:sz="4" w:space="0"/>
              <w:bottom w:val="single" w:color="auto" w:sz="4" w:space="0"/>
              <w:right w:val="single" w:color="auto" w:sz="4" w:space="0"/>
            </w:tcBorders>
          </w:tcPr>
          <w:p>
            <w:pPr>
              <w:spacing w:line="500" w:lineRule="exact"/>
              <w:jc w:val="center"/>
              <w:rPr>
                <w:rFonts w:ascii="宋体" w:hAnsi="宋体" w:cs="宋体"/>
                <w:color w:val="000000"/>
                <w:sz w:val="24"/>
                <w:szCs w:val="24"/>
              </w:rPr>
            </w:pPr>
            <w:r>
              <w:rPr>
                <w:rFonts w:hint="eastAsia" w:ascii="宋体" w:hAnsi="宋体" w:cs="宋体"/>
                <w:color w:val="000000"/>
                <w:sz w:val="24"/>
                <w:szCs w:val="24"/>
              </w:rPr>
              <w:t>管</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理</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人</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员</w:t>
            </w: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restart"/>
            <w:tcBorders>
              <w:top w:val="nil"/>
              <w:left w:val="single" w:color="auto" w:sz="4" w:space="0"/>
              <w:bottom w:val="single" w:color="auto" w:sz="4" w:space="0"/>
              <w:right w:val="single" w:color="auto" w:sz="4" w:space="0"/>
            </w:tcBorders>
          </w:tcPr>
          <w:p>
            <w:pPr>
              <w:spacing w:line="500" w:lineRule="exact"/>
              <w:jc w:val="center"/>
              <w:rPr>
                <w:rFonts w:ascii="宋体" w:hAnsi="宋体" w:cs="宋体"/>
                <w:color w:val="000000"/>
                <w:sz w:val="24"/>
                <w:szCs w:val="24"/>
              </w:rPr>
            </w:pPr>
            <w:r>
              <w:rPr>
                <w:rFonts w:hint="eastAsia" w:ascii="宋体" w:hAnsi="宋体" w:cs="宋体"/>
                <w:color w:val="000000"/>
                <w:sz w:val="24"/>
                <w:szCs w:val="24"/>
              </w:rPr>
              <w:t>技</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术</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人</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员</w:t>
            </w: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67" w:type="dxa"/>
            <w:vMerge w:val="restart"/>
            <w:tcBorders>
              <w:top w:val="nil"/>
              <w:left w:val="single" w:color="auto" w:sz="4" w:space="0"/>
              <w:bottom w:val="single" w:color="auto" w:sz="4" w:space="0"/>
              <w:right w:val="single" w:color="auto" w:sz="4" w:space="0"/>
            </w:tcBorders>
          </w:tcPr>
          <w:p>
            <w:pPr>
              <w:spacing w:line="500" w:lineRule="exact"/>
              <w:jc w:val="center"/>
              <w:rPr>
                <w:rFonts w:ascii="宋体" w:hAnsi="宋体" w:cs="宋体"/>
                <w:color w:val="000000"/>
                <w:sz w:val="24"/>
                <w:szCs w:val="24"/>
              </w:rPr>
            </w:pPr>
            <w:r>
              <w:rPr>
                <w:rFonts w:hint="eastAsia" w:ascii="宋体" w:hAnsi="宋体" w:cs="宋体"/>
                <w:color w:val="000000"/>
                <w:sz w:val="24"/>
                <w:szCs w:val="24"/>
              </w:rPr>
              <w:t>售后</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服务</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人员</w:t>
            </w: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sz w:val="24"/>
                <w:szCs w:val="24"/>
              </w:rPr>
            </w:pPr>
          </w:p>
        </w:tc>
        <w:tc>
          <w:tcPr>
            <w:tcW w:w="164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0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1291"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992"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850"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c>
          <w:tcPr>
            <w:tcW w:w="879" w:type="dxa"/>
            <w:tcBorders>
              <w:top w:val="single" w:color="auto" w:sz="4" w:space="0"/>
              <w:left w:val="nil"/>
              <w:bottom w:val="single" w:color="auto" w:sz="4" w:space="0"/>
              <w:right w:val="single" w:color="auto" w:sz="4" w:space="0"/>
            </w:tcBorders>
          </w:tcPr>
          <w:p>
            <w:pPr>
              <w:spacing w:line="500" w:lineRule="exact"/>
              <w:jc w:val="center"/>
              <w:rPr>
                <w:rFonts w:ascii="宋体" w:hAnsi="宋体" w:cs="宋体"/>
                <w:b/>
                <w:bCs/>
                <w:color w:val="000000"/>
                <w:sz w:val="24"/>
                <w:szCs w:val="24"/>
              </w:rPr>
            </w:pPr>
          </w:p>
        </w:tc>
      </w:tr>
    </w:tbl>
    <w:p>
      <w:pPr>
        <w:spacing w:line="500" w:lineRule="exact"/>
        <w:contextualSpacing/>
        <w:jc w:val="center"/>
        <w:rPr>
          <w:rFonts w:ascii="宋体" w:hAnsi="宋体" w:cs="宋体"/>
          <w:b/>
          <w:bCs/>
          <w:color w:val="000000" w:themeColor="text1"/>
          <w:sz w:val="24"/>
          <w:szCs w:val="24"/>
          <w14:textFill>
            <w14:solidFill>
              <w14:schemeClr w14:val="tx1"/>
            </w14:solidFill>
          </w14:textFill>
        </w:rPr>
      </w:pPr>
    </w:p>
    <w:p>
      <w:pPr>
        <w:spacing w:line="500" w:lineRule="exact"/>
        <w:contextualSpacing/>
        <w:jc w:val="center"/>
        <w:rPr>
          <w:rFonts w:ascii="宋体" w:hAnsi="宋体" w:cs="宋体"/>
          <w:b/>
          <w:bCs/>
          <w:color w:val="000000" w:themeColor="text1"/>
          <w:sz w:val="24"/>
          <w:szCs w:val="24"/>
          <w14:textFill>
            <w14:solidFill>
              <w14:schemeClr w14:val="tx1"/>
            </w14:solidFill>
          </w14:textFill>
        </w:rPr>
      </w:pPr>
    </w:p>
    <w:p>
      <w:pPr>
        <w:spacing w:line="500" w:lineRule="exact"/>
        <w:contextualSpacing/>
        <w:jc w:val="center"/>
        <w:rPr>
          <w:rFonts w:ascii="宋体" w:hAnsi="宋体" w:cs="宋体"/>
          <w:b/>
          <w:bCs/>
          <w:color w:val="000000" w:themeColor="text1"/>
          <w:sz w:val="24"/>
          <w:szCs w:val="24"/>
          <w14:textFill>
            <w14:solidFill>
              <w14:schemeClr w14:val="tx1"/>
            </w14:solidFill>
          </w14:textFill>
        </w:rPr>
      </w:pPr>
    </w:p>
    <w:p>
      <w:pPr>
        <w:spacing w:line="500" w:lineRule="exact"/>
        <w:contextualSpacing/>
        <w:jc w:val="center"/>
        <w:rPr>
          <w:rFonts w:ascii="宋体" w:hAnsi="宋体" w:cs="宋体"/>
          <w:b/>
          <w:bCs/>
          <w:color w:val="000000" w:themeColor="text1"/>
          <w:sz w:val="24"/>
          <w:szCs w:val="24"/>
          <w14:textFill>
            <w14:solidFill>
              <w14:schemeClr w14:val="tx1"/>
            </w14:solidFill>
          </w14:textFill>
        </w:rPr>
      </w:pPr>
    </w:p>
    <w:p>
      <w:pPr>
        <w:spacing w:line="500" w:lineRule="exact"/>
        <w:contextualSpacing/>
        <w:jc w:val="center"/>
        <w:rPr>
          <w:rFonts w:ascii="宋体" w:hAnsi="宋体" w:cs="宋体"/>
          <w:b/>
          <w:bCs/>
          <w:color w:val="000000" w:themeColor="text1"/>
          <w:sz w:val="24"/>
          <w:szCs w:val="24"/>
          <w14:textFill>
            <w14:solidFill>
              <w14:schemeClr w14:val="tx1"/>
            </w14:solidFill>
          </w14:textFill>
        </w:rPr>
      </w:pP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pPr>
        <w:adjustRightInd w:val="0"/>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w:t>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softHyphen/>
      </w:r>
      <w:r>
        <w:rPr>
          <w:rFonts w:hint="eastAsia" w:ascii="宋体" w:hAnsi="宋体" w:cs="宋体"/>
          <w:color w:val="000000" w:themeColor="text1"/>
          <w:sz w:val="24"/>
          <w:szCs w:val="24"/>
          <w14:textFill>
            <w14:solidFill>
              <w14:schemeClr w14:val="tx1"/>
            </w14:solidFill>
          </w14:textFill>
        </w:rPr>
        <w:t>__________________</w:t>
      </w:r>
    </w:p>
    <w:p>
      <w:pPr>
        <w:widowControl/>
        <w:spacing w:beforeAutospacing="1" w:afterAutospacing="1" w:line="500" w:lineRule="exact"/>
        <w:contextualSpacing/>
        <w:jc w:val="left"/>
        <w:rPr>
          <w:rFonts w:ascii="宋体" w:hAnsi="宋体" w:cs="宋体"/>
          <w:b/>
          <w:bCs/>
          <w:color w:val="000000" w:themeColor="text1"/>
          <w:sz w:val="24"/>
          <w:szCs w:val="24"/>
          <w14:textFill>
            <w14:solidFill>
              <w14:schemeClr w14:val="tx1"/>
            </w14:solidFill>
          </w14:textFill>
        </w:rPr>
      </w:pPr>
    </w:p>
    <w:p>
      <w:pPr>
        <w:spacing w:line="500" w:lineRule="exact"/>
        <w:ind w:firstLine="6960" w:firstLineChars="29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p>
    <w:p>
      <w:pPr>
        <w:spacing w:line="500" w:lineRule="exact"/>
        <w:ind w:firstLine="480" w:firstLineChars="200"/>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74" w:name="_Toc20247"/>
      <w:bookmarkStart w:id="575" w:name="_Toc24784"/>
      <w:bookmarkStart w:id="576" w:name="_Toc487728233"/>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、近</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年财务状况表</w:t>
      </w:r>
      <w:bookmarkEnd w:id="574"/>
      <w:bookmarkEnd w:id="575"/>
      <w:bookmarkEnd w:id="576"/>
    </w:p>
    <w:p>
      <w:pPr>
        <w:spacing w:line="500" w:lineRule="exact"/>
        <w:ind w:firstLine="479" w:firstLineChars="199"/>
        <w:contextualSpacing/>
        <w:jc w:val="center"/>
        <w:rPr>
          <w:rFonts w:ascii="宋体" w:hAnsi="宋体" w:cs="宋体"/>
          <w:b/>
          <w:color w:val="000000" w:themeColor="text1"/>
          <w:sz w:val="24"/>
          <w:szCs w:val="24"/>
          <w14:textFill>
            <w14:solidFill>
              <w14:schemeClr w14:val="tx1"/>
            </w14:solidFill>
          </w14:textFill>
        </w:rPr>
      </w:pPr>
    </w:p>
    <w:tbl>
      <w:tblPr>
        <w:tblStyle w:val="3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868"/>
        <w:gridCol w:w="1869"/>
        <w:gridCol w:w="1869"/>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年</w:t>
            </w: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年</w:t>
            </w: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一、注册资金</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二、净资产</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三、总资产</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四、固定资产</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五、流动资产</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六、流动负债</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七、负债合计</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八、营业收入</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九、净利润</w:t>
            </w: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8"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869"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c>
          <w:tcPr>
            <w:tcW w:w="1706"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bl>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spacing w:line="500" w:lineRule="exact"/>
        <w:contextualSpacing/>
        <w:jc w:val="center"/>
        <w:rPr>
          <w:rFonts w:ascii="宋体" w:hAnsi="宋体" w:cs="宋体"/>
          <w:bCs/>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77" w:name="_Toc2165"/>
      <w:bookmarkStart w:id="578" w:name="_Toc487728234"/>
      <w:bookmarkStart w:id="579" w:name="_Toc9481"/>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、近3年完成的类似项目情况表</w:t>
      </w:r>
      <w:bookmarkEnd w:id="577"/>
      <w:bookmarkEnd w:id="578"/>
      <w:bookmarkEnd w:id="579"/>
    </w:p>
    <w:p>
      <w:pPr>
        <w:spacing w:line="500" w:lineRule="exact"/>
        <w:ind w:firstLine="477" w:firstLineChars="199"/>
        <w:contextualSpacing/>
        <w:jc w:val="center"/>
        <w:rPr>
          <w:rFonts w:ascii="宋体" w:hAnsi="宋体" w:cs="宋体"/>
          <w:sz w:val="24"/>
          <w:szCs w:val="24"/>
        </w:rPr>
      </w:pPr>
      <w:r>
        <w:rPr>
          <w:rFonts w:hint="eastAsia" w:ascii="宋体" w:hAnsi="宋体" w:cs="宋体"/>
          <w:sz w:val="24"/>
          <w:szCs w:val="24"/>
        </w:rPr>
        <w:t>(近3年指20</w:t>
      </w:r>
      <w:r>
        <w:rPr>
          <w:rFonts w:hint="eastAsia" w:ascii="宋体" w:hAnsi="宋体" w:cs="宋体"/>
          <w:sz w:val="24"/>
          <w:szCs w:val="24"/>
          <w:lang w:val="en-US" w:eastAsia="zh-CN"/>
        </w:rPr>
        <w:t>20</w:t>
      </w:r>
      <w:r>
        <w:rPr>
          <w:rFonts w:hint="eastAsia" w:ascii="宋体" w:hAnsi="宋体" w:cs="宋体"/>
          <w:sz w:val="24"/>
          <w:szCs w:val="24"/>
        </w:rPr>
        <w:t>年、20</w:t>
      </w:r>
      <w:r>
        <w:rPr>
          <w:rFonts w:hint="eastAsia" w:ascii="宋体" w:hAnsi="宋体" w:cs="宋体"/>
          <w:sz w:val="24"/>
          <w:szCs w:val="24"/>
          <w:lang w:val="en-US" w:eastAsia="zh-CN"/>
        </w:rPr>
        <w:t>21</w:t>
      </w:r>
      <w:r>
        <w:rPr>
          <w:rFonts w:hint="eastAsia" w:ascii="宋体" w:hAnsi="宋体" w:cs="宋体"/>
          <w:sz w:val="24"/>
          <w:szCs w:val="24"/>
        </w:rPr>
        <w:t>年、20</w:t>
      </w:r>
      <w:r>
        <w:rPr>
          <w:rFonts w:hint="eastAsia" w:ascii="宋体" w:hAnsi="宋体" w:cs="宋体"/>
          <w:sz w:val="24"/>
          <w:szCs w:val="24"/>
          <w:lang w:val="en-US" w:eastAsia="zh-CN"/>
        </w:rPr>
        <w:t>22</w:t>
      </w:r>
      <w:r>
        <w:rPr>
          <w:rFonts w:hint="eastAsia" w:ascii="宋体" w:hAnsi="宋体" w:cs="宋体"/>
          <w:sz w:val="24"/>
          <w:szCs w:val="24"/>
        </w:rPr>
        <w:t>年)</w:t>
      </w:r>
    </w:p>
    <w:p>
      <w:pPr>
        <w:spacing w:line="500" w:lineRule="exact"/>
        <w:ind w:firstLine="477" w:firstLineChars="199"/>
        <w:contextualSpacing/>
        <w:jc w:val="center"/>
        <w:rPr>
          <w:rFonts w:ascii="宋体" w:hAnsi="宋体" w:cs="宋体"/>
          <w:sz w:val="24"/>
          <w:szCs w:val="24"/>
        </w:rPr>
      </w:pPr>
    </w:p>
    <w:tbl>
      <w:tblPr>
        <w:tblStyle w:val="3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合同名称</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合同项目所在地</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发包人名称</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发包人地址</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发包人电话</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签约合同价</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交货日期</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服务质量</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负责人</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发包人及电话</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vAlign w:val="center"/>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合同项目描述</w:t>
            </w:r>
          </w:p>
        </w:tc>
        <w:tc>
          <w:tcPr>
            <w:tcW w:w="6662" w:type="dxa"/>
          </w:tcPr>
          <w:p>
            <w:pPr>
              <w:spacing w:line="500" w:lineRule="exact"/>
              <w:ind w:leftChars="-1" w:hanging="2" w:hangingChars="1"/>
              <w:contextualSpacing/>
              <w:jc w:val="center"/>
              <w:rPr>
                <w:rFonts w:ascii="宋体" w:hAnsi="宋体" w:cs="宋体"/>
                <w:color w:val="000000" w:themeColor="text1"/>
                <w:sz w:val="24"/>
                <w:szCs w:val="24"/>
                <w14:textFill>
                  <w14:solidFill>
                    <w14:schemeClr w14:val="tx1"/>
                  </w14:solidFill>
                </w14:textFill>
              </w:rPr>
            </w:pPr>
          </w:p>
        </w:tc>
      </w:tr>
    </w:tbl>
    <w:p>
      <w:pPr>
        <w:spacing w:line="500" w:lineRule="exact"/>
        <w:ind w:firstLine="482" w:firstLineChars="200"/>
        <w:contextualSpacing/>
        <w:jc w:val="center"/>
        <w:rPr>
          <w:rFonts w:ascii="宋体" w:hAnsi="宋体" w:cs="宋体"/>
          <w:b/>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pStyle w:val="49"/>
        <w:snapToGrid/>
        <w:spacing w:line="500" w:lineRule="exact"/>
        <w:ind w:firstLine="480"/>
        <w:contextualSpacing/>
        <w:rPr>
          <w:rFonts w:ascii="宋体" w:hAnsi="宋体" w:cs="宋体"/>
          <w:color w:val="000000" w:themeColor="text1"/>
          <w:szCs w:val="24"/>
          <w14:textFill>
            <w14:solidFill>
              <w14:schemeClr w14:val="tx1"/>
            </w14:solidFill>
          </w14:textFill>
        </w:rPr>
      </w:pPr>
    </w:p>
    <w:p>
      <w:pPr>
        <w:spacing w:line="500" w:lineRule="exact"/>
        <w:contextualSpacing/>
        <w:rPr>
          <w:rFonts w:ascii="宋体" w:hAnsi="宋体" w:cs="宋体"/>
          <w:color w:val="000000" w:themeColor="text1"/>
          <w:sz w:val="24"/>
          <w:szCs w:val="24"/>
          <w14:textFill>
            <w14:solidFill>
              <w14:schemeClr w14:val="tx1"/>
            </w14:solidFill>
          </w14:textFill>
        </w:rPr>
      </w:pPr>
      <w:bookmarkStart w:id="580" w:name="_Toc32537"/>
      <w:bookmarkStart w:id="581" w:name="_Toc487728235"/>
    </w:p>
    <w:p>
      <w:pPr>
        <w:spacing w:line="500" w:lineRule="exact"/>
        <w:ind w:firstLine="28"/>
        <w:contextualSpacing/>
        <w:jc w:val="center"/>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82" w:name="_Toc8624"/>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w:t>
      </w:r>
      <w:bookmarkEnd w:id="580"/>
      <w:bookmarkEnd w:id="581"/>
      <w:r>
        <w:rPr>
          <w:rFonts w:hint="eastAsia" w:ascii="宋体" w:hAnsi="宋体" w:cs="宋体"/>
          <w:color w:val="000000" w:themeColor="text1"/>
          <w:sz w:val="24"/>
          <w:szCs w:val="24"/>
          <w14:textFill>
            <w14:solidFill>
              <w14:schemeClr w14:val="tx1"/>
            </w14:solidFill>
          </w14:textFill>
        </w:rPr>
        <w:t>项目实施方案及技术措施</w:t>
      </w:r>
      <w:bookmarkEnd w:id="582"/>
    </w:p>
    <w:p>
      <w:pPr>
        <w:spacing w:line="500" w:lineRule="exact"/>
        <w:ind w:firstLine="480" w:firstLineChars="200"/>
        <w:jc w:val="center"/>
        <w:rPr>
          <w:rFonts w:ascii="宋体" w:hAnsi="宋体" w:cs="宋体"/>
          <w:sz w:val="24"/>
          <w:szCs w:val="24"/>
        </w:rPr>
      </w:pPr>
      <w:r>
        <w:rPr>
          <w:rFonts w:hint="eastAsia" w:ascii="宋体" w:hAnsi="宋体" w:cs="宋体"/>
          <w:sz w:val="24"/>
          <w:szCs w:val="24"/>
        </w:rPr>
        <w:t>投标人自行编制施工管理方案</w:t>
      </w:r>
    </w:p>
    <w:p>
      <w:pPr>
        <w:pStyle w:val="3"/>
        <w:spacing w:line="500" w:lineRule="exact"/>
        <w:rPr>
          <w:sz w:val="24"/>
          <w:szCs w:val="24"/>
        </w:rPr>
      </w:pPr>
    </w:p>
    <w:p>
      <w:pPr>
        <w:spacing w:line="500" w:lineRule="exact"/>
        <w:rPr>
          <w:rFonts w:ascii="宋体" w:hAnsi="宋体" w:cs="宋体"/>
          <w:b/>
          <w:color w:val="000000" w:themeColor="text1"/>
          <w:kern w:val="0"/>
          <w:sz w:val="24"/>
          <w:szCs w:val="24"/>
          <w14:textFill>
            <w14:solidFill>
              <w14:schemeClr w14:val="tx1"/>
            </w14:solidFill>
          </w14:textFill>
        </w:rPr>
      </w:pPr>
    </w:p>
    <w:p>
      <w:pPr>
        <w:pStyle w:val="3"/>
        <w:spacing w:line="500" w:lineRule="exact"/>
        <w:rPr>
          <w:sz w:val="24"/>
          <w:szCs w:val="24"/>
        </w:rPr>
      </w:pPr>
    </w:p>
    <w:p>
      <w:pPr>
        <w:pStyle w:val="35"/>
        <w:spacing w:line="500" w:lineRule="exact"/>
        <w:ind w:left="0" w:leftChars="0" w:firstLine="0" w:firstLineChars="0"/>
        <w:rPr>
          <w:rFonts w:ascii="宋体" w:hAnsi="宋体" w:cs="宋体"/>
          <w:color w:val="000000" w:themeColor="text1"/>
          <w:sz w:val="24"/>
          <w14:textFill>
            <w14:solidFill>
              <w14:schemeClr w14:val="tx1"/>
            </w14:solidFill>
          </w14:textFill>
        </w:rPr>
      </w:pPr>
    </w:p>
    <w:p>
      <w:pPr>
        <w:pStyle w:val="10"/>
        <w:spacing w:line="500" w:lineRule="exact"/>
        <w:ind w:firstLine="0"/>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83" w:name="_Toc22833"/>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w:t>
      </w:r>
      <w:bookmarkEnd w:id="583"/>
      <w:bookmarkStart w:id="584" w:name="_Toc19966"/>
      <w:r>
        <w:rPr>
          <w:rFonts w:hint="eastAsia" w:ascii="宋体" w:hAnsi="宋体" w:cs="宋体"/>
          <w:color w:val="000000" w:themeColor="text1"/>
          <w:sz w:val="24"/>
          <w:szCs w:val="24"/>
          <w14:textFill>
            <w14:solidFill>
              <w14:schemeClr w14:val="tx1"/>
            </w14:solidFill>
          </w14:textFill>
        </w:rPr>
        <w:t>保证项目实施的技术力量和人力资源安排</w:t>
      </w:r>
      <w:bookmarkEnd w:id="584"/>
    </w:p>
    <w:p>
      <w:pPr>
        <w:pStyle w:val="49"/>
        <w:spacing w:line="500" w:lineRule="exact"/>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szCs w:val="24"/>
        </w:rPr>
        <w:t>（提供相关管理人员等材料）</w:t>
      </w: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ind w:firstLine="0"/>
        <w:contextualSpacing/>
        <w:rPr>
          <w:rFonts w:ascii="宋体" w:hAnsi="宋体" w:cs="宋体"/>
          <w:sz w:val="24"/>
          <w:szCs w:val="24"/>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十</w:t>
      </w:r>
      <w:r>
        <w:rPr>
          <w:rFonts w:hint="eastAsia" w:ascii="宋体" w:hAnsi="宋体" w:cs="宋体"/>
          <w:b/>
          <w:color w:val="000000" w:themeColor="text1"/>
          <w:kern w:val="0"/>
          <w:sz w:val="24"/>
          <w:szCs w:val="24"/>
          <w:lang w:val="en-US" w:eastAsia="zh-CN"/>
          <w14:textFill>
            <w14:solidFill>
              <w14:schemeClr w14:val="tx1"/>
            </w14:solidFill>
          </w14:textFill>
        </w:rPr>
        <w:t>五</w:t>
      </w:r>
      <w:r>
        <w:rPr>
          <w:rFonts w:hint="eastAsia" w:ascii="宋体" w:hAnsi="宋体" w:cs="宋体"/>
          <w:b/>
          <w:color w:val="000000" w:themeColor="text1"/>
          <w:kern w:val="0"/>
          <w:sz w:val="24"/>
          <w:szCs w:val="24"/>
          <w14:textFill>
            <w14:solidFill>
              <w14:schemeClr w14:val="tx1"/>
            </w14:solidFill>
          </w14:textFill>
        </w:rPr>
        <w:t>、投标人综合实力及信誉</w:t>
      </w: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十</w:t>
      </w:r>
      <w:r>
        <w:rPr>
          <w:rFonts w:hint="eastAsia" w:ascii="宋体" w:hAnsi="宋体" w:cs="宋体"/>
          <w:b/>
          <w:color w:val="000000" w:themeColor="text1"/>
          <w:kern w:val="0"/>
          <w:sz w:val="24"/>
          <w:szCs w:val="24"/>
          <w:lang w:val="en-US" w:eastAsia="zh-CN"/>
          <w14:textFill>
            <w14:solidFill>
              <w14:schemeClr w14:val="tx1"/>
            </w14:solidFill>
          </w14:textFill>
        </w:rPr>
        <w:t>六</w:t>
      </w:r>
      <w:r>
        <w:rPr>
          <w:rFonts w:hint="eastAsia" w:ascii="宋体" w:hAnsi="宋体" w:cs="宋体"/>
          <w:b/>
          <w:color w:val="000000" w:themeColor="text1"/>
          <w:kern w:val="0"/>
          <w:sz w:val="24"/>
          <w:szCs w:val="24"/>
          <w14:textFill>
            <w14:solidFill>
              <w14:schemeClr w14:val="tx1"/>
            </w14:solidFill>
          </w14:textFill>
        </w:rPr>
        <w:t>、验收的方案和措施</w:t>
      </w:r>
    </w:p>
    <w:p>
      <w:pPr>
        <w:pStyle w:val="10"/>
        <w:spacing w:line="500" w:lineRule="exact"/>
        <w:ind w:firstLine="0"/>
        <w:contextualSpacing/>
        <w:jc w:val="center"/>
        <w:rPr>
          <w:rFonts w:hint="eastAsia"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hint="eastAsia" w:ascii="宋体" w:hAnsi="宋体" w:cs="宋体"/>
          <w:b/>
          <w:color w:val="000000" w:themeColor="text1"/>
          <w:kern w:val="0"/>
          <w:sz w:val="24"/>
          <w:szCs w:val="24"/>
          <w14:textFill>
            <w14:solidFill>
              <w14:schemeClr w14:val="tx1"/>
            </w14:solidFill>
          </w14:textFill>
        </w:rPr>
      </w:pPr>
    </w:p>
    <w:p>
      <w:pPr>
        <w:pStyle w:val="10"/>
        <w:spacing w:line="500" w:lineRule="exact"/>
        <w:ind w:firstLine="0"/>
        <w:contextualSpacing/>
        <w:jc w:val="center"/>
        <w:rPr>
          <w:rFonts w:ascii="宋体" w:hAnsi="宋体" w:cs="宋体"/>
          <w:b/>
          <w:color w:val="000000" w:themeColor="text1"/>
          <w:kern w:val="0"/>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85" w:name="_Toc487728236"/>
      <w:bookmarkStart w:id="586" w:name="_Toc12968"/>
      <w:bookmarkStart w:id="587" w:name="_Toc29334"/>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w:t>
      </w:r>
      <w:bookmarkEnd w:id="585"/>
      <w:bookmarkEnd w:id="586"/>
      <w:r>
        <w:rPr>
          <w:rFonts w:hint="eastAsia" w:ascii="宋体" w:hAnsi="宋体" w:cs="宋体"/>
          <w:color w:val="000000" w:themeColor="text1"/>
          <w:sz w:val="24"/>
          <w:szCs w:val="24"/>
          <w14:textFill>
            <w14:solidFill>
              <w14:schemeClr w14:val="tx1"/>
            </w14:solidFill>
          </w14:textFill>
        </w:rPr>
        <w:t>项目质量及保修期限</w:t>
      </w:r>
      <w:bookmarkEnd w:id="587"/>
    </w:p>
    <w:p>
      <w:pPr>
        <w:pStyle w:val="6"/>
        <w:spacing w:line="500" w:lineRule="exact"/>
        <w:contextualSpacing/>
        <w:rPr>
          <w:rFonts w:ascii="宋体" w:hAnsi="宋体" w:cs="宋体"/>
          <w:color w:val="000000" w:themeColor="text1"/>
          <w:sz w:val="24"/>
          <w:szCs w:val="24"/>
          <w14:textFill>
            <w14:solidFill>
              <w14:schemeClr w14:val="tx1"/>
            </w14:solidFill>
          </w14:textFill>
        </w:rPr>
      </w:pPr>
      <w:bookmarkStart w:id="588" w:name="_Toc485399422"/>
      <w:bookmarkStart w:id="589" w:name="_Toc911"/>
      <w:bookmarkStart w:id="590" w:name="_Toc37753829"/>
      <w:bookmarkStart w:id="591" w:name="_Toc4729"/>
      <w:bookmarkStart w:id="592" w:name="_Toc487728237"/>
      <w:bookmarkStart w:id="593" w:name="_Toc457495579"/>
      <w:bookmarkStart w:id="594" w:name="_Toc9416"/>
      <w:bookmarkStart w:id="595" w:name="_Toc37501988"/>
      <w:bookmarkStart w:id="596" w:name="_Toc15618"/>
      <w:r>
        <w:rPr>
          <w:rFonts w:hint="eastAsia" w:ascii="宋体" w:hAnsi="宋体" w:cs="宋体"/>
          <w:color w:val="000000" w:themeColor="text1"/>
          <w:sz w:val="24"/>
          <w:szCs w:val="24"/>
          <w14:textFill>
            <w14:solidFill>
              <w14:schemeClr w14:val="tx1"/>
            </w14:solidFill>
          </w14:textFill>
        </w:rPr>
        <w:t>（必须符合业主方规定的时间期限）</w:t>
      </w:r>
      <w:bookmarkEnd w:id="588"/>
      <w:bookmarkEnd w:id="589"/>
      <w:bookmarkEnd w:id="590"/>
      <w:bookmarkEnd w:id="591"/>
      <w:bookmarkEnd w:id="592"/>
      <w:bookmarkEnd w:id="593"/>
      <w:bookmarkEnd w:id="594"/>
      <w:bookmarkEnd w:id="595"/>
      <w:bookmarkEnd w:id="596"/>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6"/>
        <w:spacing w:line="500" w:lineRule="exact"/>
        <w:contextualSpacing/>
        <w:jc w:val="center"/>
        <w:rPr>
          <w:rFonts w:ascii="宋体" w:hAnsi="宋体" w:cs="宋体"/>
          <w:color w:val="000000" w:themeColor="text1"/>
          <w:sz w:val="24"/>
          <w:szCs w:val="24"/>
          <w14:textFill>
            <w14:solidFill>
              <w14:schemeClr w14:val="tx1"/>
            </w14:solidFill>
          </w14:textFill>
        </w:rPr>
      </w:pPr>
      <w:bookmarkStart w:id="597" w:name="_Toc21824"/>
      <w:bookmarkStart w:id="598" w:name="_Toc12691"/>
      <w:bookmarkStart w:id="599" w:name="_Toc487728239"/>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八</w:t>
      </w:r>
      <w:r>
        <w:rPr>
          <w:rFonts w:hint="eastAsia" w:ascii="宋体" w:hAnsi="宋体" w:cs="宋体"/>
          <w:color w:val="000000" w:themeColor="text1"/>
          <w:sz w:val="24"/>
          <w:szCs w:val="24"/>
          <w14:textFill>
            <w14:solidFill>
              <w14:schemeClr w14:val="tx1"/>
            </w14:solidFill>
          </w14:textFill>
        </w:rPr>
        <w:t>、投标单位（投标人）《反商业贿赂承诺书》</w:t>
      </w:r>
      <w:bookmarkEnd w:id="597"/>
      <w:bookmarkEnd w:id="598"/>
      <w:bookmarkEnd w:id="599"/>
    </w:p>
    <w:p>
      <w:pPr>
        <w:pStyle w:val="18"/>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我公司承诺在</w:t>
      </w:r>
      <w:r>
        <w:rPr>
          <w:rFonts w:hint="eastAsia" w:ascii="宋体" w:hAnsi="宋体" w:cs="宋体"/>
          <w:color w:val="000000" w:themeColor="text1"/>
          <w:sz w:val="24"/>
          <w:szCs w:val="24"/>
          <w:u w:val="single"/>
          <w14:textFill>
            <w14:solidFill>
              <w14:schemeClr w14:val="tx1"/>
            </w14:solidFill>
          </w14:textFill>
        </w:rPr>
        <w:t>（项目名称、项目编号）</w:t>
      </w:r>
      <w:r>
        <w:rPr>
          <w:rFonts w:hint="eastAsia" w:ascii="宋体" w:hAnsi="宋体" w:cs="宋体"/>
          <w:color w:val="000000" w:themeColor="text1"/>
          <w:sz w:val="24"/>
          <w:szCs w:val="24"/>
          <w14:textFill>
            <w14:solidFill>
              <w14:schemeClr w14:val="tx1"/>
            </w14:solidFill>
          </w14:textFill>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18"/>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公司法人代表：</w:t>
      </w:r>
    </w:p>
    <w:p>
      <w:pPr>
        <w:pStyle w:val="18"/>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法人授权代表：</w:t>
      </w:r>
    </w:p>
    <w:p>
      <w:pPr>
        <w:pStyle w:val="18"/>
        <w:spacing w:line="500" w:lineRule="exact"/>
        <w:ind w:firstLine="480" w:firstLineChars="20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contextualSpacing/>
        <w:rPr>
          <w:rFonts w:ascii="宋体" w:hAnsi="宋体" w:cs="宋体"/>
          <w:color w:val="000000" w:themeColor="text1"/>
          <w:sz w:val="24"/>
          <w:szCs w:val="24"/>
          <w14:textFill>
            <w14:solidFill>
              <w14:schemeClr w14:val="tx1"/>
            </w14:solidFill>
          </w14:textFill>
        </w:rPr>
      </w:pPr>
    </w:p>
    <w:p>
      <w:pPr>
        <w:pStyle w:val="10"/>
        <w:spacing w:line="500" w:lineRule="exact"/>
        <w:ind w:left="0" w:leftChars="0" w:firstLine="0"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10"/>
        <w:spacing w:line="500" w:lineRule="exact"/>
        <w:ind w:firstLine="0"/>
        <w:contextualSpacing/>
        <w:rPr>
          <w:rFonts w:ascii="宋体" w:hAnsi="宋体" w:cs="宋体"/>
          <w:b/>
          <w:color w:val="000000" w:themeColor="text1"/>
          <w:kern w:val="0"/>
          <w:sz w:val="24"/>
          <w:szCs w:val="24"/>
          <w14:textFill>
            <w14:solidFill>
              <w14:schemeClr w14:val="tx1"/>
            </w14:solidFill>
          </w14:textFill>
        </w:rPr>
      </w:pPr>
    </w:p>
    <w:p>
      <w:pPr>
        <w:pStyle w:val="12"/>
        <w:spacing w:before="62" w:line="500" w:lineRule="exact"/>
        <w:ind w:right="18"/>
        <w:contextualSpacing/>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十九</w:t>
      </w:r>
      <w:r>
        <w:rPr>
          <w:rFonts w:hint="eastAsia" w:ascii="宋体" w:hAnsi="宋体" w:cs="宋体"/>
          <w:color w:val="000000" w:themeColor="text1"/>
          <w14:textFill>
            <w14:solidFill>
              <w14:schemeClr w14:val="tx1"/>
            </w14:solidFill>
          </w14:textFill>
        </w:rPr>
        <w:t>、声明及承诺</w:t>
      </w:r>
    </w:p>
    <w:p>
      <w:pPr>
        <w:pStyle w:val="3"/>
        <w:spacing w:line="500" w:lineRule="exact"/>
        <w:contextualSpacing/>
        <w:rPr>
          <w:rFonts w:ascii="宋体" w:hAnsi="宋体" w:cs="宋体"/>
          <w:b/>
          <w:sz w:val="24"/>
          <w:szCs w:val="24"/>
        </w:rPr>
      </w:pPr>
    </w:p>
    <w:p>
      <w:pPr>
        <w:pStyle w:val="12"/>
        <w:spacing w:line="500" w:lineRule="exact"/>
        <w:ind w:right="18"/>
        <w:contextualSpacing/>
        <w:jc w:val="center"/>
        <w:rPr>
          <w:rFonts w:ascii="宋体" w:hAnsi="宋体" w:cs="宋体"/>
        </w:rPr>
      </w:pPr>
      <w:r>
        <w:rPr>
          <w:rFonts w:hint="eastAsia" w:ascii="宋体" w:hAnsi="宋体" w:cs="宋体"/>
        </w:rPr>
        <w:t>无重大违法记录的声明</w:t>
      </w:r>
    </w:p>
    <w:p>
      <w:pPr>
        <w:pStyle w:val="3"/>
        <w:spacing w:line="500" w:lineRule="exact"/>
        <w:contextualSpacing/>
        <w:rPr>
          <w:rFonts w:ascii="宋体" w:hAnsi="宋体" w:cs="宋体"/>
          <w:b/>
          <w:sz w:val="24"/>
          <w:szCs w:val="24"/>
        </w:rPr>
      </w:pPr>
    </w:p>
    <w:p>
      <w:pPr>
        <w:spacing w:before="233" w:line="500" w:lineRule="exact"/>
        <w:ind w:left="17" w:hanging="16" w:hangingChars="7"/>
        <w:contextualSpacing/>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（采购人或采购代理机构）    </w:t>
      </w:r>
    </w:p>
    <w:p>
      <w:pPr>
        <w:tabs>
          <w:tab w:val="left" w:pos="2027"/>
          <w:tab w:val="left" w:pos="4774"/>
        </w:tabs>
        <w:spacing w:before="139" w:line="500" w:lineRule="exact"/>
        <w:ind w:right="996" w:firstLine="480" w:firstLineChars="200"/>
        <w:contextualSpacing/>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（供应商全称）</w:t>
      </w:r>
      <w:r>
        <w:rPr>
          <w:rFonts w:hint="eastAsia" w:ascii="宋体" w:hAnsi="宋体" w:cs="宋体"/>
          <w:sz w:val="24"/>
          <w:szCs w:val="24"/>
          <w:u w:val="single"/>
        </w:rPr>
        <w:tab/>
      </w:r>
      <w:r>
        <w:rPr>
          <w:rFonts w:hint="eastAsia" w:ascii="宋体" w:hAnsi="宋体" w:cs="宋体"/>
          <w:sz w:val="24"/>
          <w:szCs w:val="24"/>
        </w:rPr>
        <w:t>，参加贵单位组织的交易编号为：，项目名称：的政府</w:t>
      </w:r>
      <w:r>
        <w:rPr>
          <w:rFonts w:hint="eastAsia" w:ascii="宋体" w:hAnsi="宋体" w:cs="宋体"/>
          <w:spacing w:val="-11"/>
          <w:sz w:val="24"/>
          <w:szCs w:val="24"/>
        </w:rPr>
        <w:t>采</w:t>
      </w:r>
      <w:r>
        <w:rPr>
          <w:rFonts w:hint="eastAsia" w:ascii="宋体" w:hAnsi="宋体" w:cs="宋体"/>
          <w:sz w:val="24"/>
          <w:szCs w:val="24"/>
        </w:rPr>
        <w:t>购活动，在此郑重声明：我单位在参加本项目政府采购活动前3年内在经营活动中未因违法经营受到刑事处罚或者责令停产停业、吊销许可证或者执照、较大数额罚款等行政处罚</w:t>
      </w:r>
    </w:p>
    <w:p>
      <w:pPr>
        <w:pStyle w:val="3"/>
        <w:spacing w:line="500" w:lineRule="exact"/>
        <w:ind w:left="480" w:hanging="480" w:hangingChars="200"/>
        <w:contextualSpacing/>
        <w:rPr>
          <w:rFonts w:ascii="宋体" w:hAnsi="宋体" w:cs="宋体"/>
          <w:sz w:val="24"/>
          <w:szCs w:val="24"/>
        </w:rPr>
      </w:pPr>
    </w:p>
    <w:p>
      <w:pPr>
        <w:pStyle w:val="3"/>
        <w:spacing w:line="500" w:lineRule="exact"/>
        <w:ind w:left="17" w:hanging="16" w:hangingChars="7"/>
        <w:contextualSpacing/>
        <w:rPr>
          <w:rFonts w:ascii="宋体" w:hAnsi="宋体" w:cs="宋体"/>
          <w:sz w:val="24"/>
          <w:szCs w:val="24"/>
        </w:rPr>
      </w:pPr>
    </w:p>
    <w:p>
      <w:pPr>
        <w:pStyle w:val="3"/>
        <w:spacing w:before="8" w:line="500" w:lineRule="exact"/>
        <w:ind w:left="17" w:hanging="16" w:hangingChars="7"/>
        <w:contextualSpacing/>
        <w:rPr>
          <w:rFonts w:ascii="宋体" w:hAnsi="宋体" w:cs="宋体"/>
          <w:kern w:val="2"/>
          <w:sz w:val="24"/>
          <w:szCs w:val="24"/>
        </w:rPr>
      </w:pPr>
    </w:p>
    <w:p>
      <w:pPr>
        <w:spacing w:before="1" w:line="500" w:lineRule="exact"/>
        <w:ind w:left="17" w:right="2648" w:rightChars="1261" w:hanging="16" w:hangingChars="7"/>
        <w:contextualSpacing/>
        <w:jc w:val="right"/>
        <w:rPr>
          <w:rFonts w:ascii="宋体" w:hAnsi="宋体" w:cs="宋体"/>
          <w:sz w:val="24"/>
          <w:szCs w:val="24"/>
        </w:rPr>
      </w:pPr>
      <w:r>
        <w:rPr>
          <w:rFonts w:hint="eastAsia" w:ascii="宋体" w:hAnsi="宋体" w:cs="宋体"/>
          <w:sz w:val="24"/>
          <w:szCs w:val="24"/>
        </w:rPr>
        <w:t>投标供应商：（公章）</w:t>
      </w:r>
    </w:p>
    <w:p>
      <w:pPr>
        <w:spacing w:before="138" w:line="500" w:lineRule="exact"/>
        <w:ind w:left="17" w:right="2648" w:rightChars="1261" w:hanging="16" w:hangingChars="7"/>
        <w:contextualSpacing/>
        <w:jc w:val="center"/>
        <w:rPr>
          <w:rFonts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 xml:space="preserve">                   日期：    年    月   日</w:t>
      </w:r>
    </w:p>
    <w:p>
      <w:pPr>
        <w:spacing w:line="500" w:lineRule="exact"/>
        <w:contextualSpacing/>
        <w:jc w:val="right"/>
        <w:rPr>
          <w:rFonts w:ascii="宋体" w:hAnsi="宋体" w:cs="宋体"/>
          <w:sz w:val="24"/>
          <w:szCs w:val="24"/>
        </w:rPr>
        <w:sectPr>
          <w:pgSz w:w="11910" w:h="16840"/>
          <w:pgMar w:top="1134" w:right="1134" w:bottom="1134" w:left="1134" w:header="746" w:footer="1130" w:gutter="0"/>
          <w:cols w:space="720" w:num="1"/>
        </w:sectPr>
      </w:pPr>
    </w:p>
    <w:p>
      <w:pPr>
        <w:pStyle w:val="12"/>
        <w:spacing w:line="500" w:lineRule="exact"/>
        <w:ind w:right="18"/>
        <w:contextualSpacing/>
        <w:jc w:val="center"/>
        <w:rPr>
          <w:rFonts w:hint="eastAsia" w:ascii="宋体" w:hAnsi="宋体" w:eastAsia="宋体" w:cs="宋体"/>
        </w:rPr>
      </w:pPr>
      <w:bookmarkStart w:id="600" w:name="_Toc12340"/>
      <w:bookmarkStart w:id="601" w:name="_Toc487728241"/>
      <w:bookmarkStart w:id="602" w:name="_Toc8982"/>
      <w:r>
        <w:rPr>
          <w:rFonts w:hint="eastAsia" w:ascii="宋体" w:hAnsi="宋体" w:eastAsia="宋体" w:cs="宋体"/>
          <w:lang w:val="en-US" w:eastAsia="zh-CN"/>
        </w:rPr>
        <w:t>二十、</w:t>
      </w:r>
      <w:r>
        <w:rPr>
          <w:rFonts w:hint="eastAsia" w:ascii="宋体" w:hAnsi="宋体" w:eastAsia="宋体" w:cs="宋体"/>
        </w:rPr>
        <w:t>中小企业声明函(（货物)）</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1.（标的名称），属于（采购文件中明确的所属行业）；制造商为（企业名称），从业人员  人，营业收入为  万元，资产总额为  万元，属于（中型企业、小型企业、微型企业）；</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（标的名称），属于（采购文件中明确的所属行业）；制造商为（企业名称），从业人员  人，营业收入为  万元，资产总额为  万元，属于（中型企业、小型企业、微型企业）；</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企业名称（盖章）：                            </w:t>
      </w:r>
    </w:p>
    <w:p>
      <w:pPr>
        <w:tabs>
          <w:tab w:val="left" w:pos="2027"/>
          <w:tab w:val="left" w:pos="4774"/>
        </w:tabs>
        <w:spacing w:before="139" w:line="500" w:lineRule="exact"/>
        <w:ind w:right="996" w:firstLine="480" w:firstLineChars="20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日期：                            </w:t>
      </w:r>
    </w:p>
    <w:p>
      <w:pPr>
        <w:pStyle w:val="6"/>
        <w:spacing w:line="500" w:lineRule="exact"/>
        <w:contextualSpacing/>
        <w:rPr>
          <w:rFonts w:hint="eastAsia" w:ascii="宋体" w:hAnsi="宋体" w:cs="宋体"/>
          <w:color w:val="000000" w:themeColor="text1"/>
          <w:sz w:val="24"/>
          <w:szCs w:val="24"/>
          <w14:textFill>
            <w14:solidFill>
              <w14:schemeClr w14:val="tx1"/>
            </w14:solidFill>
          </w14:textFill>
        </w:rPr>
      </w:pPr>
    </w:p>
    <w:p>
      <w:pPr>
        <w:pStyle w:val="6"/>
        <w:spacing w:line="500" w:lineRule="exact"/>
        <w:contextualSpacing/>
        <w:rPr>
          <w:rFonts w:hint="eastAsia" w:ascii="宋体" w:hAnsi="宋体" w:cs="宋体"/>
          <w:color w:val="000000" w:themeColor="text1"/>
          <w:sz w:val="24"/>
          <w:szCs w:val="24"/>
          <w14:textFill>
            <w14:solidFill>
              <w14:schemeClr w14:val="tx1"/>
            </w14:solidFill>
          </w14:textFill>
        </w:rPr>
      </w:pPr>
    </w:p>
    <w:p>
      <w:pPr>
        <w:pStyle w:val="6"/>
        <w:spacing w:line="500" w:lineRule="exact"/>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其他资料</w:t>
      </w:r>
      <w:bookmarkEnd w:id="600"/>
      <w:bookmarkEnd w:id="601"/>
      <w:bookmarkEnd w:id="602"/>
    </w:p>
    <w:p>
      <w:pPr>
        <w:pStyle w:val="6"/>
        <w:spacing w:line="500" w:lineRule="exact"/>
        <w:contextualSpacing/>
        <w:rPr>
          <w:rFonts w:hint="eastAsia" w:ascii="宋体" w:hAnsi="宋体" w:cs="宋体"/>
          <w:b w:val="0"/>
          <w:bCs/>
          <w:color w:val="000000" w:themeColor="text1"/>
          <w:sz w:val="24"/>
          <w:szCs w:val="24"/>
          <w14:textFill>
            <w14:solidFill>
              <w14:schemeClr w14:val="tx1"/>
            </w14:solidFill>
          </w14:textFill>
        </w:rPr>
      </w:pPr>
      <w:bookmarkStart w:id="603" w:name="_Toc485399427"/>
      <w:bookmarkStart w:id="604" w:name="_Toc37501991"/>
      <w:bookmarkStart w:id="605" w:name="_Toc37753832"/>
      <w:bookmarkStart w:id="606" w:name="_Toc457495584"/>
      <w:bookmarkStart w:id="607" w:name="_Toc2276"/>
      <w:bookmarkStart w:id="608" w:name="_Toc13717"/>
      <w:bookmarkStart w:id="609" w:name="_Toc23371"/>
      <w:bookmarkStart w:id="610" w:name="_Toc487728242"/>
      <w:bookmarkStart w:id="611" w:name="_Toc16600"/>
      <w:r>
        <w:rPr>
          <w:rFonts w:hint="eastAsia" w:ascii="宋体" w:hAnsi="宋体" w:cs="宋体"/>
          <w:b w:val="0"/>
          <w:bCs/>
          <w:color w:val="000000" w:themeColor="text1"/>
          <w:sz w:val="24"/>
          <w:szCs w:val="24"/>
          <w14:textFill>
            <w14:solidFill>
              <w14:schemeClr w14:val="tx1"/>
            </w14:solidFill>
          </w14:textFill>
        </w:rPr>
        <w:t>（招标文件要求提供的其他资料及投标人认为需提供的其他资料）</w:t>
      </w:r>
      <w:bookmarkEnd w:id="603"/>
      <w:bookmarkEnd w:id="604"/>
      <w:bookmarkEnd w:id="605"/>
      <w:bookmarkEnd w:id="606"/>
      <w:bookmarkEnd w:id="607"/>
      <w:bookmarkEnd w:id="608"/>
      <w:bookmarkEnd w:id="609"/>
      <w:bookmarkEnd w:id="610"/>
      <w:bookmarkEnd w:id="611"/>
    </w:p>
    <w:p>
      <w:pPr>
        <w:rPr>
          <w:rFonts w:hint="eastAsia" w:ascii="宋体" w:hAnsi="宋体" w:cs="宋体"/>
          <w:b w:val="0"/>
          <w:bCs/>
          <w:color w:val="000000" w:themeColor="text1"/>
          <w:sz w:val="24"/>
          <w:szCs w:val="24"/>
          <w14:textFill>
            <w14:solidFill>
              <w14:schemeClr w14:val="tx1"/>
            </w14:solidFill>
          </w14:textFill>
        </w:rPr>
      </w:pPr>
    </w:p>
    <w:p>
      <w:pPr>
        <w:pStyle w:val="48"/>
        <w:rPr>
          <w:rFonts w:hint="eastAsia" w:ascii="宋体" w:hAnsi="宋体" w:cs="宋体"/>
          <w:b w:val="0"/>
          <w:bCs/>
          <w:color w:val="000000" w:themeColor="text1"/>
          <w:sz w:val="24"/>
          <w:szCs w:val="24"/>
          <w14:textFill>
            <w14:solidFill>
              <w14:schemeClr w14:val="tx1"/>
            </w14:solidFill>
          </w14:textFill>
        </w:rPr>
      </w:pPr>
    </w:p>
    <w:p>
      <w:pPr>
        <w:pStyle w:val="48"/>
        <w:rPr>
          <w:rFonts w:hint="eastAsia" w:ascii="宋体" w:hAnsi="宋体" w:cs="宋体"/>
          <w:b w:val="0"/>
          <w:bCs/>
          <w:color w:val="000000" w:themeColor="text1"/>
          <w:sz w:val="24"/>
          <w:szCs w:val="24"/>
          <w14:textFill>
            <w14:solidFill>
              <w14:schemeClr w14:val="tx1"/>
            </w14:solidFill>
          </w14:textFill>
        </w:rPr>
      </w:pPr>
    </w:p>
    <w:p>
      <w:pPr>
        <w:pStyle w:val="48"/>
        <w:rPr>
          <w:rFonts w:hint="eastAsia" w:ascii="宋体" w:hAnsi="宋体" w:cs="宋体"/>
          <w:b w:val="0"/>
          <w:bCs/>
          <w:color w:val="000000" w:themeColor="text1"/>
          <w:sz w:val="24"/>
          <w:szCs w:val="24"/>
          <w14:textFill>
            <w14:solidFill>
              <w14:schemeClr w14:val="tx1"/>
            </w14:solidFill>
          </w14:textFill>
        </w:rPr>
      </w:pPr>
      <w:bookmarkStart w:id="612" w:name="_GoBack"/>
      <w:bookmarkEnd w:id="612"/>
    </w:p>
    <w:p>
      <w:pPr>
        <w:pStyle w:val="10"/>
        <w:spacing w:line="500" w:lineRule="exact"/>
        <w:ind w:left="0" w:leftChars="0" w:firstLine="0" w:firstLineChars="0"/>
        <w:contextualSpacing/>
        <w:rPr>
          <w:rFonts w:hint="eastAsia" w:ascii="宋体" w:hAnsi="宋体" w:eastAsia="宋体" w:cs="宋体"/>
          <w:color w:val="000000" w:themeColor="text1"/>
          <w:sz w:val="24"/>
          <w:szCs w:val="24"/>
          <w:lang w:eastAsia="zh-CN"/>
          <w14:textFill>
            <w14:solidFill>
              <w14:schemeClr w14:val="tx1"/>
            </w14:solidFill>
          </w14:textFill>
        </w:rPr>
      </w:pPr>
    </w:p>
    <w:sectPr>
      <w:pgSz w:w="11906" w:h="16838"/>
      <w:pgMar w:top="1134" w:right="1134" w:bottom="1134" w:left="1134" w:header="851" w:footer="85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6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6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mc:Fallback>
      </mc:AlternateContent>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67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DADF9"/>
    <w:multiLevelType w:val="singleLevel"/>
    <w:tmpl w:val="9FBDADF9"/>
    <w:lvl w:ilvl="0" w:tentative="0">
      <w:start w:val="3"/>
      <w:numFmt w:val="chineseCounting"/>
      <w:suff w:val="space"/>
      <w:lvlText w:val="第%1章"/>
      <w:lvlJc w:val="left"/>
      <w:rPr>
        <w:rFonts w:hint="eastAsia"/>
      </w:rPr>
    </w:lvl>
  </w:abstractNum>
  <w:abstractNum w:abstractNumId="1">
    <w:nsid w:val="0000000C"/>
    <w:multiLevelType w:val="multilevel"/>
    <w:tmpl w:val="0000000C"/>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1260"/>
        </w:tabs>
        <w:ind w:left="1260" w:hanging="720"/>
      </w:p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3">
    <w:nsid w:val="177BD762"/>
    <w:multiLevelType w:val="singleLevel"/>
    <w:tmpl w:val="177BD762"/>
    <w:lvl w:ilvl="0" w:tentative="0">
      <w:start w:val="1"/>
      <w:numFmt w:val="decimal"/>
      <w:suff w:val="nothing"/>
      <w:lvlText w:val="%1、"/>
      <w:lvlJc w:val="left"/>
      <w:pPr>
        <w:ind w:left="-8"/>
      </w:pPr>
    </w:lvl>
  </w:abstractNum>
  <w:abstractNum w:abstractNumId="4">
    <w:nsid w:val="1F0EE608"/>
    <w:multiLevelType w:val="singleLevel"/>
    <w:tmpl w:val="1F0EE608"/>
    <w:lvl w:ilvl="0" w:tentative="0">
      <w:start w:val="1"/>
      <w:numFmt w:val="decimal"/>
      <w:suff w:val="nothing"/>
      <w:lvlText w:val="%1、"/>
      <w:lvlJc w:val="left"/>
    </w:lvl>
  </w:abstractNum>
  <w:abstractNum w:abstractNumId="5">
    <w:nsid w:val="2B0B8339"/>
    <w:multiLevelType w:val="singleLevel"/>
    <w:tmpl w:val="2B0B8339"/>
    <w:lvl w:ilvl="0" w:tentative="0">
      <w:start w:val="1"/>
      <w:numFmt w:val="chineseCounting"/>
      <w:suff w:val="space"/>
      <w:lvlText w:val="第%1章"/>
      <w:lvlJc w:val="left"/>
      <w:rPr>
        <w:rFonts w:hint="eastAsia"/>
      </w:rPr>
    </w:lvl>
  </w:abstractNum>
  <w:abstractNum w:abstractNumId="6">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pStyle w:val="9"/>
      <w:suff w:val="nothing"/>
      <w:lvlText w:val=""/>
      <w:lvlJc w:val="left"/>
      <w:rPr>
        <w:rFonts w:cs="Times New Roman"/>
      </w:rPr>
    </w:lvl>
    <w:lvl w:ilvl="5" w:tentative="0">
      <w:start w:val="1"/>
      <w:numFmt w:val="none"/>
      <w:pStyle w:val="11"/>
      <w:suff w:val="nothing"/>
      <w:lvlText w:val=""/>
      <w:lvlJc w:val="left"/>
      <w:rPr>
        <w:rFonts w:cs="Times New Roman"/>
      </w:rPr>
    </w:lvl>
    <w:lvl w:ilvl="6" w:tentative="0">
      <w:start w:val="1"/>
      <w:numFmt w:val="none"/>
      <w:pStyle w:val="12"/>
      <w:suff w:val="nothing"/>
      <w:lvlText w:val=""/>
      <w:lvlJc w:val="left"/>
      <w:rPr>
        <w:rFonts w:cs="Times New Roman"/>
      </w:rPr>
    </w:lvl>
    <w:lvl w:ilvl="7" w:tentative="0">
      <w:start w:val="1"/>
      <w:numFmt w:val="none"/>
      <w:pStyle w:val="13"/>
      <w:suff w:val="nothing"/>
      <w:lvlText w:val=""/>
      <w:lvlJc w:val="left"/>
      <w:rPr>
        <w:rFonts w:cs="Times New Roman"/>
      </w:rPr>
    </w:lvl>
    <w:lvl w:ilvl="8" w:tentative="0">
      <w:start w:val="1"/>
      <w:numFmt w:val="none"/>
      <w:pStyle w:val="14"/>
      <w:suff w:val="nothing"/>
      <w:lvlText w:val=""/>
      <w:lvlJc w:val="left"/>
      <w:rPr>
        <w:rFonts w:cs="Times New Roman"/>
      </w:rPr>
    </w:lvl>
  </w:abstractNum>
  <w:num w:numId="1">
    <w:abstractNumId w:val="6"/>
  </w:num>
  <w:num w:numId="2">
    <w:abstractNumId w:val="5"/>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ZGVkMWE1MzU2MDU3NTgyYmRmNmZlODZlYjRjMGQifQ=="/>
  </w:docVars>
  <w:rsids>
    <w:rsidRoot w:val="00F557ED"/>
    <w:rsid w:val="00000D6E"/>
    <w:rsid w:val="00003AAA"/>
    <w:rsid w:val="000067D7"/>
    <w:rsid w:val="00006D7B"/>
    <w:rsid w:val="00007894"/>
    <w:rsid w:val="00007D56"/>
    <w:rsid w:val="000109BE"/>
    <w:rsid w:val="00011217"/>
    <w:rsid w:val="00011240"/>
    <w:rsid w:val="00012946"/>
    <w:rsid w:val="00012ED9"/>
    <w:rsid w:val="00013AAB"/>
    <w:rsid w:val="000161BA"/>
    <w:rsid w:val="00016FD0"/>
    <w:rsid w:val="00021393"/>
    <w:rsid w:val="00021527"/>
    <w:rsid w:val="0002152C"/>
    <w:rsid w:val="000225A3"/>
    <w:rsid w:val="0002402F"/>
    <w:rsid w:val="000255C2"/>
    <w:rsid w:val="00025CC2"/>
    <w:rsid w:val="000302E7"/>
    <w:rsid w:val="00030319"/>
    <w:rsid w:val="0003088C"/>
    <w:rsid w:val="00031BA6"/>
    <w:rsid w:val="00032A85"/>
    <w:rsid w:val="00042329"/>
    <w:rsid w:val="00042B92"/>
    <w:rsid w:val="00043A35"/>
    <w:rsid w:val="00043C8F"/>
    <w:rsid w:val="00044C45"/>
    <w:rsid w:val="00044FB7"/>
    <w:rsid w:val="00045990"/>
    <w:rsid w:val="00045AB8"/>
    <w:rsid w:val="00045BA2"/>
    <w:rsid w:val="0005188B"/>
    <w:rsid w:val="000522E2"/>
    <w:rsid w:val="00052811"/>
    <w:rsid w:val="0005352A"/>
    <w:rsid w:val="00053B0E"/>
    <w:rsid w:val="00053D25"/>
    <w:rsid w:val="000554F2"/>
    <w:rsid w:val="00055900"/>
    <w:rsid w:val="000614C6"/>
    <w:rsid w:val="00063CF6"/>
    <w:rsid w:val="000642DE"/>
    <w:rsid w:val="00064EF7"/>
    <w:rsid w:val="0006519A"/>
    <w:rsid w:val="000654A9"/>
    <w:rsid w:val="000663B1"/>
    <w:rsid w:val="00067155"/>
    <w:rsid w:val="00071643"/>
    <w:rsid w:val="000740F1"/>
    <w:rsid w:val="000741DC"/>
    <w:rsid w:val="00075614"/>
    <w:rsid w:val="000778F8"/>
    <w:rsid w:val="0008069D"/>
    <w:rsid w:val="00080953"/>
    <w:rsid w:val="00081873"/>
    <w:rsid w:val="000823C4"/>
    <w:rsid w:val="00083F66"/>
    <w:rsid w:val="0008441B"/>
    <w:rsid w:val="00085E9C"/>
    <w:rsid w:val="00086D48"/>
    <w:rsid w:val="0008742D"/>
    <w:rsid w:val="00090591"/>
    <w:rsid w:val="00091649"/>
    <w:rsid w:val="00092144"/>
    <w:rsid w:val="000938FC"/>
    <w:rsid w:val="00093B19"/>
    <w:rsid w:val="00096AFB"/>
    <w:rsid w:val="00096C3B"/>
    <w:rsid w:val="000A2E8B"/>
    <w:rsid w:val="000A33EC"/>
    <w:rsid w:val="000A5208"/>
    <w:rsid w:val="000A6D58"/>
    <w:rsid w:val="000A6F32"/>
    <w:rsid w:val="000A7BCD"/>
    <w:rsid w:val="000B0EEA"/>
    <w:rsid w:val="000B177D"/>
    <w:rsid w:val="000B30D5"/>
    <w:rsid w:val="000B362F"/>
    <w:rsid w:val="000B50B4"/>
    <w:rsid w:val="000B76A5"/>
    <w:rsid w:val="000C2A0E"/>
    <w:rsid w:val="000C2A4B"/>
    <w:rsid w:val="000C3D97"/>
    <w:rsid w:val="000C47AB"/>
    <w:rsid w:val="000C5688"/>
    <w:rsid w:val="000C5C5B"/>
    <w:rsid w:val="000C6724"/>
    <w:rsid w:val="000D10AC"/>
    <w:rsid w:val="000D2972"/>
    <w:rsid w:val="000D34FF"/>
    <w:rsid w:val="000D5186"/>
    <w:rsid w:val="000D622D"/>
    <w:rsid w:val="000D6921"/>
    <w:rsid w:val="000D7B35"/>
    <w:rsid w:val="000E2C9D"/>
    <w:rsid w:val="000E349F"/>
    <w:rsid w:val="000E5DA9"/>
    <w:rsid w:val="000E739E"/>
    <w:rsid w:val="000F002F"/>
    <w:rsid w:val="000F0049"/>
    <w:rsid w:val="000F097C"/>
    <w:rsid w:val="000F0BCF"/>
    <w:rsid w:val="000F0D2F"/>
    <w:rsid w:val="000F0EEF"/>
    <w:rsid w:val="000F0FE8"/>
    <w:rsid w:val="000F3C37"/>
    <w:rsid w:val="000F68CF"/>
    <w:rsid w:val="00100667"/>
    <w:rsid w:val="0010068B"/>
    <w:rsid w:val="00100AAA"/>
    <w:rsid w:val="00101128"/>
    <w:rsid w:val="001018F5"/>
    <w:rsid w:val="001028E4"/>
    <w:rsid w:val="00102B65"/>
    <w:rsid w:val="00102E73"/>
    <w:rsid w:val="001046FD"/>
    <w:rsid w:val="00105C06"/>
    <w:rsid w:val="00106252"/>
    <w:rsid w:val="001070A7"/>
    <w:rsid w:val="0010760C"/>
    <w:rsid w:val="00107E71"/>
    <w:rsid w:val="00111110"/>
    <w:rsid w:val="00112B08"/>
    <w:rsid w:val="00112E11"/>
    <w:rsid w:val="001135D5"/>
    <w:rsid w:val="001139D1"/>
    <w:rsid w:val="001141E3"/>
    <w:rsid w:val="001143FD"/>
    <w:rsid w:val="00115915"/>
    <w:rsid w:val="00117258"/>
    <w:rsid w:val="00117DDF"/>
    <w:rsid w:val="00121606"/>
    <w:rsid w:val="00121D03"/>
    <w:rsid w:val="001224E8"/>
    <w:rsid w:val="00122537"/>
    <w:rsid w:val="00122721"/>
    <w:rsid w:val="00122B21"/>
    <w:rsid w:val="00122D33"/>
    <w:rsid w:val="0012452F"/>
    <w:rsid w:val="00127630"/>
    <w:rsid w:val="00127E6A"/>
    <w:rsid w:val="00130DAE"/>
    <w:rsid w:val="00132A04"/>
    <w:rsid w:val="00134A11"/>
    <w:rsid w:val="001352D0"/>
    <w:rsid w:val="00135A5C"/>
    <w:rsid w:val="0013673B"/>
    <w:rsid w:val="00136D6D"/>
    <w:rsid w:val="00136DAA"/>
    <w:rsid w:val="00137840"/>
    <w:rsid w:val="00140D7C"/>
    <w:rsid w:val="00141F68"/>
    <w:rsid w:val="00143489"/>
    <w:rsid w:val="00145031"/>
    <w:rsid w:val="0014561B"/>
    <w:rsid w:val="0014596E"/>
    <w:rsid w:val="001504EE"/>
    <w:rsid w:val="001512AA"/>
    <w:rsid w:val="00151B20"/>
    <w:rsid w:val="001523ED"/>
    <w:rsid w:val="00152EE0"/>
    <w:rsid w:val="00156E25"/>
    <w:rsid w:val="00157499"/>
    <w:rsid w:val="001624EC"/>
    <w:rsid w:val="00163AC8"/>
    <w:rsid w:val="00163EB6"/>
    <w:rsid w:val="00164DDE"/>
    <w:rsid w:val="0016523C"/>
    <w:rsid w:val="001666DE"/>
    <w:rsid w:val="00166C46"/>
    <w:rsid w:val="001726C2"/>
    <w:rsid w:val="00173AE1"/>
    <w:rsid w:val="001744B6"/>
    <w:rsid w:val="00174FBD"/>
    <w:rsid w:val="00175C14"/>
    <w:rsid w:val="001764AB"/>
    <w:rsid w:val="001772D0"/>
    <w:rsid w:val="00180156"/>
    <w:rsid w:val="001804A9"/>
    <w:rsid w:val="0018083F"/>
    <w:rsid w:val="00184129"/>
    <w:rsid w:val="0018551F"/>
    <w:rsid w:val="001870E4"/>
    <w:rsid w:val="0018757D"/>
    <w:rsid w:val="001903FF"/>
    <w:rsid w:val="00193F6C"/>
    <w:rsid w:val="001941E6"/>
    <w:rsid w:val="001958B9"/>
    <w:rsid w:val="001961DE"/>
    <w:rsid w:val="001972CF"/>
    <w:rsid w:val="001A26D5"/>
    <w:rsid w:val="001A3E2A"/>
    <w:rsid w:val="001A441B"/>
    <w:rsid w:val="001A4B0E"/>
    <w:rsid w:val="001A744A"/>
    <w:rsid w:val="001A76B4"/>
    <w:rsid w:val="001A76E6"/>
    <w:rsid w:val="001A7D22"/>
    <w:rsid w:val="001B04AB"/>
    <w:rsid w:val="001B0650"/>
    <w:rsid w:val="001B1555"/>
    <w:rsid w:val="001B1E91"/>
    <w:rsid w:val="001B22A4"/>
    <w:rsid w:val="001B3619"/>
    <w:rsid w:val="001B363C"/>
    <w:rsid w:val="001B3E91"/>
    <w:rsid w:val="001B4892"/>
    <w:rsid w:val="001B4FC8"/>
    <w:rsid w:val="001B6D57"/>
    <w:rsid w:val="001C048A"/>
    <w:rsid w:val="001C0B1E"/>
    <w:rsid w:val="001C0E10"/>
    <w:rsid w:val="001C2C11"/>
    <w:rsid w:val="001C3810"/>
    <w:rsid w:val="001C47A7"/>
    <w:rsid w:val="001C56C5"/>
    <w:rsid w:val="001C6327"/>
    <w:rsid w:val="001C7627"/>
    <w:rsid w:val="001D049B"/>
    <w:rsid w:val="001D173C"/>
    <w:rsid w:val="001D2525"/>
    <w:rsid w:val="001D2757"/>
    <w:rsid w:val="001D3985"/>
    <w:rsid w:val="001D4713"/>
    <w:rsid w:val="001D4997"/>
    <w:rsid w:val="001D53B1"/>
    <w:rsid w:val="001E09F3"/>
    <w:rsid w:val="001E0BF5"/>
    <w:rsid w:val="001E21FA"/>
    <w:rsid w:val="001E24DE"/>
    <w:rsid w:val="001E294C"/>
    <w:rsid w:val="001E3E87"/>
    <w:rsid w:val="001E492C"/>
    <w:rsid w:val="001F24FE"/>
    <w:rsid w:val="001F2943"/>
    <w:rsid w:val="001F35AD"/>
    <w:rsid w:val="001F4794"/>
    <w:rsid w:val="002009D9"/>
    <w:rsid w:val="00200ADF"/>
    <w:rsid w:val="00202928"/>
    <w:rsid w:val="00202E7A"/>
    <w:rsid w:val="00205838"/>
    <w:rsid w:val="00205E23"/>
    <w:rsid w:val="00205F71"/>
    <w:rsid w:val="00207C54"/>
    <w:rsid w:val="00207E95"/>
    <w:rsid w:val="0021033A"/>
    <w:rsid w:val="00210AD2"/>
    <w:rsid w:val="00210E96"/>
    <w:rsid w:val="002115FC"/>
    <w:rsid w:val="0021284D"/>
    <w:rsid w:val="00213050"/>
    <w:rsid w:val="00213D81"/>
    <w:rsid w:val="00214EBD"/>
    <w:rsid w:val="0021566E"/>
    <w:rsid w:val="002156D4"/>
    <w:rsid w:val="00215DBD"/>
    <w:rsid w:val="00216FA0"/>
    <w:rsid w:val="00217051"/>
    <w:rsid w:val="00220206"/>
    <w:rsid w:val="0022292E"/>
    <w:rsid w:val="002236E0"/>
    <w:rsid w:val="002243CC"/>
    <w:rsid w:val="0022451C"/>
    <w:rsid w:val="00224652"/>
    <w:rsid w:val="002249DF"/>
    <w:rsid w:val="00224FEC"/>
    <w:rsid w:val="0022542A"/>
    <w:rsid w:val="00226181"/>
    <w:rsid w:val="00230765"/>
    <w:rsid w:val="002325CA"/>
    <w:rsid w:val="00233207"/>
    <w:rsid w:val="002332FC"/>
    <w:rsid w:val="00233B93"/>
    <w:rsid w:val="00234912"/>
    <w:rsid w:val="002354A8"/>
    <w:rsid w:val="00235765"/>
    <w:rsid w:val="002364D2"/>
    <w:rsid w:val="00236BBE"/>
    <w:rsid w:val="00236F0E"/>
    <w:rsid w:val="00237DC2"/>
    <w:rsid w:val="00240801"/>
    <w:rsid w:val="00241BB0"/>
    <w:rsid w:val="00241F51"/>
    <w:rsid w:val="002440E7"/>
    <w:rsid w:val="00245575"/>
    <w:rsid w:val="00245E59"/>
    <w:rsid w:val="00246083"/>
    <w:rsid w:val="002474FC"/>
    <w:rsid w:val="00247669"/>
    <w:rsid w:val="002504BE"/>
    <w:rsid w:val="002509EA"/>
    <w:rsid w:val="00250D76"/>
    <w:rsid w:val="0025162C"/>
    <w:rsid w:val="0025301D"/>
    <w:rsid w:val="002544BF"/>
    <w:rsid w:val="002604C1"/>
    <w:rsid w:val="002607CE"/>
    <w:rsid w:val="00260FAF"/>
    <w:rsid w:val="00263BEE"/>
    <w:rsid w:val="00263CFF"/>
    <w:rsid w:val="00265484"/>
    <w:rsid w:val="00266A4B"/>
    <w:rsid w:val="00266FC8"/>
    <w:rsid w:val="00266FC9"/>
    <w:rsid w:val="0026732E"/>
    <w:rsid w:val="00267517"/>
    <w:rsid w:val="00270128"/>
    <w:rsid w:val="00270C23"/>
    <w:rsid w:val="00271EAF"/>
    <w:rsid w:val="00272B25"/>
    <w:rsid w:val="00275D0A"/>
    <w:rsid w:val="00276B65"/>
    <w:rsid w:val="00276BD5"/>
    <w:rsid w:val="00277FEE"/>
    <w:rsid w:val="00280490"/>
    <w:rsid w:val="00281955"/>
    <w:rsid w:val="00282D2B"/>
    <w:rsid w:val="00282DD5"/>
    <w:rsid w:val="002850D3"/>
    <w:rsid w:val="00286451"/>
    <w:rsid w:val="00291B9E"/>
    <w:rsid w:val="00292274"/>
    <w:rsid w:val="00293A4B"/>
    <w:rsid w:val="00293F67"/>
    <w:rsid w:val="0029577E"/>
    <w:rsid w:val="00295FC6"/>
    <w:rsid w:val="002A1DE5"/>
    <w:rsid w:val="002A29C0"/>
    <w:rsid w:val="002A37AB"/>
    <w:rsid w:val="002A4C96"/>
    <w:rsid w:val="002A553B"/>
    <w:rsid w:val="002B1974"/>
    <w:rsid w:val="002C0A44"/>
    <w:rsid w:val="002C10BF"/>
    <w:rsid w:val="002C1E9B"/>
    <w:rsid w:val="002C2084"/>
    <w:rsid w:val="002C2557"/>
    <w:rsid w:val="002C66C4"/>
    <w:rsid w:val="002C6CC8"/>
    <w:rsid w:val="002C7A6F"/>
    <w:rsid w:val="002D02B5"/>
    <w:rsid w:val="002D1D68"/>
    <w:rsid w:val="002D1E60"/>
    <w:rsid w:val="002D20D5"/>
    <w:rsid w:val="002D31F1"/>
    <w:rsid w:val="002D4503"/>
    <w:rsid w:val="002D520F"/>
    <w:rsid w:val="002D5BCC"/>
    <w:rsid w:val="002D60FB"/>
    <w:rsid w:val="002D71BA"/>
    <w:rsid w:val="002D7D66"/>
    <w:rsid w:val="002D7F17"/>
    <w:rsid w:val="002E0A78"/>
    <w:rsid w:val="002E1021"/>
    <w:rsid w:val="002E14F1"/>
    <w:rsid w:val="002E4B1B"/>
    <w:rsid w:val="002F4520"/>
    <w:rsid w:val="002F5470"/>
    <w:rsid w:val="002F5AD3"/>
    <w:rsid w:val="002F708F"/>
    <w:rsid w:val="003004DA"/>
    <w:rsid w:val="00300A8E"/>
    <w:rsid w:val="0030182A"/>
    <w:rsid w:val="00303649"/>
    <w:rsid w:val="00303BEB"/>
    <w:rsid w:val="0030410F"/>
    <w:rsid w:val="003058E4"/>
    <w:rsid w:val="00305EA0"/>
    <w:rsid w:val="003065FB"/>
    <w:rsid w:val="003068AD"/>
    <w:rsid w:val="0030690D"/>
    <w:rsid w:val="00307D77"/>
    <w:rsid w:val="00307D87"/>
    <w:rsid w:val="00311939"/>
    <w:rsid w:val="00311CF8"/>
    <w:rsid w:val="00313011"/>
    <w:rsid w:val="00313117"/>
    <w:rsid w:val="00314942"/>
    <w:rsid w:val="00316093"/>
    <w:rsid w:val="00316296"/>
    <w:rsid w:val="003163E3"/>
    <w:rsid w:val="0032003D"/>
    <w:rsid w:val="003226B4"/>
    <w:rsid w:val="003235DF"/>
    <w:rsid w:val="00324B37"/>
    <w:rsid w:val="0033198E"/>
    <w:rsid w:val="00331F45"/>
    <w:rsid w:val="00332A85"/>
    <w:rsid w:val="00332BDD"/>
    <w:rsid w:val="0033356C"/>
    <w:rsid w:val="003339FE"/>
    <w:rsid w:val="00333EDA"/>
    <w:rsid w:val="0033485E"/>
    <w:rsid w:val="00334EA7"/>
    <w:rsid w:val="00335851"/>
    <w:rsid w:val="00335A04"/>
    <w:rsid w:val="003371F1"/>
    <w:rsid w:val="00340247"/>
    <w:rsid w:val="00341659"/>
    <w:rsid w:val="003419E5"/>
    <w:rsid w:val="0034218A"/>
    <w:rsid w:val="00342C65"/>
    <w:rsid w:val="00342E01"/>
    <w:rsid w:val="00343549"/>
    <w:rsid w:val="003442D4"/>
    <w:rsid w:val="003445BB"/>
    <w:rsid w:val="003451F6"/>
    <w:rsid w:val="00345990"/>
    <w:rsid w:val="0034638C"/>
    <w:rsid w:val="003465EB"/>
    <w:rsid w:val="00347FA2"/>
    <w:rsid w:val="003504FD"/>
    <w:rsid w:val="003518AF"/>
    <w:rsid w:val="00351A85"/>
    <w:rsid w:val="00351BF9"/>
    <w:rsid w:val="00353944"/>
    <w:rsid w:val="00354178"/>
    <w:rsid w:val="00354B1A"/>
    <w:rsid w:val="00354C72"/>
    <w:rsid w:val="00354E02"/>
    <w:rsid w:val="003552BA"/>
    <w:rsid w:val="003552C4"/>
    <w:rsid w:val="00355FAF"/>
    <w:rsid w:val="00356196"/>
    <w:rsid w:val="003563C0"/>
    <w:rsid w:val="003563CB"/>
    <w:rsid w:val="00356725"/>
    <w:rsid w:val="00357535"/>
    <w:rsid w:val="0036047B"/>
    <w:rsid w:val="00360F8F"/>
    <w:rsid w:val="0036241C"/>
    <w:rsid w:val="00362A43"/>
    <w:rsid w:val="00363B24"/>
    <w:rsid w:val="00366058"/>
    <w:rsid w:val="00366229"/>
    <w:rsid w:val="00366C59"/>
    <w:rsid w:val="0036797D"/>
    <w:rsid w:val="00371E60"/>
    <w:rsid w:val="00373608"/>
    <w:rsid w:val="0037541C"/>
    <w:rsid w:val="00375DB7"/>
    <w:rsid w:val="00377B46"/>
    <w:rsid w:val="00377C14"/>
    <w:rsid w:val="0038141C"/>
    <w:rsid w:val="00381442"/>
    <w:rsid w:val="00381898"/>
    <w:rsid w:val="00381ABC"/>
    <w:rsid w:val="00382F97"/>
    <w:rsid w:val="00383CF5"/>
    <w:rsid w:val="00383FB1"/>
    <w:rsid w:val="00384E8A"/>
    <w:rsid w:val="00385212"/>
    <w:rsid w:val="0038548E"/>
    <w:rsid w:val="00385896"/>
    <w:rsid w:val="003912D1"/>
    <w:rsid w:val="003918AB"/>
    <w:rsid w:val="00391C1F"/>
    <w:rsid w:val="00393FD8"/>
    <w:rsid w:val="0039440D"/>
    <w:rsid w:val="0039451A"/>
    <w:rsid w:val="003945C0"/>
    <w:rsid w:val="00394B2A"/>
    <w:rsid w:val="00396060"/>
    <w:rsid w:val="003960B8"/>
    <w:rsid w:val="00397A93"/>
    <w:rsid w:val="003A0E79"/>
    <w:rsid w:val="003A1ED0"/>
    <w:rsid w:val="003A2133"/>
    <w:rsid w:val="003A2261"/>
    <w:rsid w:val="003A2D26"/>
    <w:rsid w:val="003A2E27"/>
    <w:rsid w:val="003A3F33"/>
    <w:rsid w:val="003A47DA"/>
    <w:rsid w:val="003A4A2C"/>
    <w:rsid w:val="003A4CC3"/>
    <w:rsid w:val="003B0CC5"/>
    <w:rsid w:val="003B20FE"/>
    <w:rsid w:val="003B315E"/>
    <w:rsid w:val="003B3A98"/>
    <w:rsid w:val="003B5FF2"/>
    <w:rsid w:val="003B738A"/>
    <w:rsid w:val="003B7F1A"/>
    <w:rsid w:val="003C0036"/>
    <w:rsid w:val="003C00FC"/>
    <w:rsid w:val="003C1FAA"/>
    <w:rsid w:val="003C2970"/>
    <w:rsid w:val="003C2ED9"/>
    <w:rsid w:val="003C313C"/>
    <w:rsid w:val="003C36F6"/>
    <w:rsid w:val="003C47AF"/>
    <w:rsid w:val="003C5A29"/>
    <w:rsid w:val="003C5C24"/>
    <w:rsid w:val="003D3AA6"/>
    <w:rsid w:val="003D55E9"/>
    <w:rsid w:val="003D6951"/>
    <w:rsid w:val="003D6BAC"/>
    <w:rsid w:val="003D71B7"/>
    <w:rsid w:val="003D7562"/>
    <w:rsid w:val="003D7838"/>
    <w:rsid w:val="003E015D"/>
    <w:rsid w:val="003E0C2B"/>
    <w:rsid w:val="003E1E93"/>
    <w:rsid w:val="003E3CC3"/>
    <w:rsid w:val="003E4CD8"/>
    <w:rsid w:val="003E5049"/>
    <w:rsid w:val="003E5DF3"/>
    <w:rsid w:val="003E7005"/>
    <w:rsid w:val="003E7D9E"/>
    <w:rsid w:val="003F0582"/>
    <w:rsid w:val="003F16D1"/>
    <w:rsid w:val="003F1EF5"/>
    <w:rsid w:val="003F321D"/>
    <w:rsid w:val="003F4654"/>
    <w:rsid w:val="003F49B5"/>
    <w:rsid w:val="003F571E"/>
    <w:rsid w:val="003F5950"/>
    <w:rsid w:val="003F5D01"/>
    <w:rsid w:val="003F5D12"/>
    <w:rsid w:val="003F61D8"/>
    <w:rsid w:val="003F7976"/>
    <w:rsid w:val="00400806"/>
    <w:rsid w:val="00401871"/>
    <w:rsid w:val="00401900"/>
    <w:rsid w:val="00402941"/>
    <w:rsid w:val="00402A45"/>
    <w:rsid w:val="0040330F"/>
    <w:rsid w:val="004050ED"/>
    <w:rsid w:val="00405403"/>
    <w:rsid w:val="004056CB"/>
    <w:rsid w:val="004060AD"/>
    <w:rsid w:val="00406D85"/>
    <w:rsid w:val="004109E3"/>
    <w:rsid w:val="00410E05"/>
    <w:rsid w:val="0041268D"/>
    <w:rsid w:val="00413088"/>
    <w:rsid w:val="00415C27"/>
    <w:rsid w:val="00416514"/>
    <w:rsid w:val="00416F41"/>
    <w:rsid w:val="004207D6"/>
    <w:rsid w:val="00420975"/>
    <w:rsid w:val="004212C9"/>
    <w:rsid w:val="0042221D"/>
    <w:rsid w:val="004249EC"/>
    <w:rsid w:val="004254FD"/>
    <w:rsid w:val="0042569B"/>
    <w:rsid w:val="00426A06"/>
    <w:rsid w:val="00426E24"/>
    <w:rsid w:val="00430657"/>
    <w:rsid w:val="00430A81"/>
    <w:rsid w:val="004312AE"/>
    <w:rsid w:val="004334AD"/>
    <w:rsid w:val="00435144"/>
    <w:rsid w:val="0043535F"/>
    <w:rsid w:val="00435989"/>
    <w:rsid w:val="00435E5F"/>
    <w:rsid w:val="00436990"/>
    <w:rsid w:val="00436B8C"/>
    <w:rsid w:val="00441B0A"/>
    <w:rsid w:val="0044348C"/>
    <w:rsid w:val="00443B2E"/>
    <w:rsid w:val="00444EB1"/>
    <w:rsid w:val="0044596F"/>
    <w:rsid w:val="0044705F"/>
    <w:rsid w:val="00447760"/>
    <w:rsid w:val="004479E9"/>
    <w:rsid w:val="00450014"/>
    <w:rsid w:val="0045063F"/>
    <w:rsid w:val="0045086F"/>
    <w:rsid w:val="00451204"/>
    <w:rsid w:val="00451887"/>
    <w:rsid w:val="00451B9E"/>
    <w:rsid w:val="00451D80"/>
    <w:rsid w:val="00455098"/>
    <w:rsid w:val="00456A2F"/>
    <w:rsid w:val="004579E8"/>
    <w:rsid w:val="004619F0"/>
    <w:rsid w:val="0046286B"/>
    <w:rsid w:val="004647A2"/>
    <w:rsid w:val="00464ADF"/>
    <w:rsid w:val="00464FAD"/>
    <w:rsid w:val="0047099D"/>
    <w:rsid w:val="00471855"/>
    <w:rsid w:val="0047281E"/>
    <w:rsid w:val="004773B4"/>
    <w:rsid w:val="0047783C"/>
    <w:rsid w:val="00477D63"/>
    <w:rsid w:val="00477F71"/>
    <w:rsid w:val="0048008E"/>
    <w:rsid w:val="00482C6D"/>
    <w:rsid w:val="00485BF5"/>
    <w:rsid w:val="00485C6D"/>
    <w:rsid w:val="00486392"/>
    <w:rsid w:val="004864F9"/>
    <w:rsid w:val="0049035C"/>
    <w:rsid w:val="00490C34"/>
    <w:rsid w:val="004914CC"/>
    <w:rsid w:val="00493209"/>
    <w:rsid w:val="004951C2"/>
    <w:rsid w:val="00495547"/>
    <w:rsid w:val="0049562D"/>
    <w:rsid w:val="00495A91"/>
    <w:rsid w:val="00496E2D"/>
    <w:rsid w:val="004975E6"/>
    <w:rsid w:val="00497E03"/>
    <w:rsid w:val="004A188F"/>
    <w:rsid w:val="004A3AF6"/>
    <w:rsid w:val="004A447D"/>
    <w:rsid w:val="004A58E0"/>
    <w:rsid w:val="004A61B7"/>
    <w:rsid w:val="004A73F6"/>
    <w:rsid w:val="004A7406"/>
    <w:rsid w:val="004A7B69"/>
    <w:rsid w:val="004A7DBB"/>
    <w:rsid w:val="004B0445"/>
    <w:rsid w:val="004B1093"/>
    <w:rsid w:val="004B1389"/>
    <w:rsid w:val="004B2E8C"/>
    <w:rsid w:val="004B4B08"/>
    <w:rsid w:val="004B63EA"/>
    <w:rsid w:val="004C22F2"/>
    <w:rsid w:val="004C3736"/>
    <w:rsid w:val="004C4CB0"/>
    <w:rsid w:val="004C524B"/>
    <w:rsid w:val="004C610F"/>
    <w:rsid w:val="004C6C41"/>
    <w:rsid w:val="004C7157"/>
    <w:rsid w:val="004C75F1"/>
    <w:rsid w:val="004D01AA"/>
    <w:rsid w:val="004D04D7"/>
    <w:rsid w:val="004D3139"/>
    <w:rsid w:val="004D5A83"/>
    <w:rsid w:val="004D68F3"/>
    <w:rsid w:val="004D7FC8"/>
    <w:rsid w:val="004E258B"/>
    <w:rsid w:val="004E3C44"/>
    <w:rsid w:val="004E4B67"/>
    <w:rsid w:val="004E5AB3"/>
    <w:rsid w:val="004E609A"/>
    <w:rsid w:val="004E6A88"/>
    <w:rsid w:val="004E7366"/>
    <w:rsid w:val="004E7577"/>
    <w:rsid w:val="004E7A8C"/>
    <w:rsid w:val="004F0FF4"/>
    <w:rsid w:val="004F31BB"/>
    <w:rsid w:val="004F3F66"/>
    <w:rsid w:val="004F51A4"/>
    <w:rsid w:val="004F56B1"/>
    <w:rsid w:val="004F5839"/>
    <w:rsid w:val="004F5CD5"/>
    <w:rsid w:val="004F6100"/>
    <w:rsid w:val="004F6577"/>
    <w:rsid w:val="004F7759"/>
    <w:rsid w:val="005034E4"/>
    <w:rsid w:val="00503BF7"/>
    <w:rsid w:val="00505D7E"/>
    <w:rsid w:val="00506521"/>
    <w:rsid w:val="00506643"/>
    <w:rsid w:val="00506DAB"/>
    <w:rsid w:val="00511959"/>
    <w:rsid w:val="00511FD4"/>
    <w:rsid w:val="005121F1"/>
    <w:rsid w:val="005123ED"/>
    <w:rsid w:val="00512849"/>
    <w:rsid w:val="0051296B"/>
    <w:rsid w:val="00512C80"/>
    <w:rsid w:val="00512F6B"/>
    <w:rsid w:val="005161B8"/>
    <w:rsid w:val="00517D26"/>
    <w:rsid w:val="00521D7E"/>
    <w:rsid w:val="00523344"/>
    <w:rsid w:val="00524453"/>
    <w:rsid w:val="00524BD1"/>
    <w:rsid w:val="005257C3"/>
    <w:rsid w:val="00525CC8"/>
    <w:rsid w:val="00525F3E"/>
    <w:rsid w:val="005267E4"/>
    <w:rsid w:val="00527589"/>
    <w:rsid w:val="005279E7"/>
    <w:rsid w:val="005309DD"/>
    <w:rsid w:val="00531103"/>
    <w:rsid w:val="00531604"/>
    <w:rsid w:val="00531F2A"/>
    <w:rsid w:val="00533507"/>
    <w:rsid w:val="00533656"/>
    <w:rsid w:val="0053374B"/>
    <w:rsid w:val="00533A63"/>
    <w:rsid w:val="00535147"/>
    <w:rsid w:val="00541A8F"/>
    <w:rsid w:val="0054222B"/>
    <w:rsid w:val="0054618C"/>
    <w:rsid w:val="0054667D"/>
    <w:rsid w:val="00546BB7"/>
    <w:rsid w:val="00551C4C"/>
    <w:rsid w:val="0055426A"/>
    <w:rsid w:val="00554D1C"/>
    <w:rsid w:val="005550C5"/>
    <w:rsid w:val="005553EC"/>
    <w:rsid w:val="00556E45"/>
    <w:rsid w:val="005570FF"/>
    <w:rsid w:val="00560AD4"/>
    <w:rsid w:val="00561D0C"/>
    <w:rsid w:val="00564BCD"/>
    <w:rsid w:val="0056702B"/>
    <w:rsid w:val="00567B15"/>
    <w:rsid w:val="00567C5F"/>
    <w:rsid w:val="005715FA"/>
    <w:rsid w:val="00574836"/>
    <w:rsid w:val="00575388"/>
    <w:rsid w:val="00575900"/>
    <w:rsid w:val="00575CB3"/>
    <w:rsid w:val="00576478"/>
    <w:rsid w:val="0057754D"/>
    <w:rsid w:val="0058023E"/>
    <w:rsid w:val="00581126"/>
    <w:rsid w:val="005819F7"/>
    <w:rsid w:val="00582E0F"/>
    <w:rsid w:val="0058427B"/>
    <w:rsid w:val="005842A2"/>
    <w:rsid w:val="0058430E"/>
    <w:rsid w:val="00585166"/>
    <w:rsid w:val="00586041"/>
    <w:rsid w:val="00586E52"/>
    <w:rsid w:val="005871E4"/>
    <w:rsid w:val="00587B48"/>
    <w:rsid w:val="00587BC8"/>
    <w:rsid w:val="00591CCB"/>
    <w:rsid w:val="005922E4"/>
    <w:rsid w:val="00595F3D"/>
    <w:rsid w:val="005963B1"/>
    <w:rsid w:val="00596564"/>
    <w:rsid w:val="00597488"/>
    <w:rsid w:val="00597EEA"/>
    <w:rsid w:val="005A0742"/>
    <w:rsid w:val="005A1E1B"/>
    <w:rsid w:val="005A22D4"/>
    <w:rsid w:val="005A3D59"/>
    <w:rsid w:val="005A415E"/>
    <w:rsid w:val="005A42A6"/>
    <w:rsid w:val="005A42B6"/>
    <w:rsid w:val="005A4749"/>
    <w:rsid w:val="005A51FB"/>
    <w:rsid w:val="005A663E"/>
    <w:rsid w:val="005A6A83"/>
    <w:rsid w:val="005A71C5"/>
    <w:rsid w:val="005A75AF"/>
    <w:rsid w:val="005B2886"/>
    <w:rsid w:val="005B3722"/>
    <w:rsid w:val="005B5B77"/>
    <w:rsid w:val="005B5F85"/>
    <w:rsid w:val="005B6D58"/>
    <w:rsid w:val="005B7A2E"/>
    <w:rsid w:val="005C07AF"/>
    <w:rsid w:val="005C15CB"/>
    <w:rsid w:val="005C2A51"/>
    <w:rsid w:val="005C375F"/>
    <w:rsid w:val="005C3CC2"/>
    <w:rsid w:val="005C3CE0"/>
    <w:rsid w:val="005C4D10"/>
    <w:rsid w:val="005C54E2"/>
    <w:rsid w:val="005C6004"/>
    <w:rsid w:val="005C6D7A"/>
    <w:rsid w:val="005C6FB7"/>
    <w:rsid w:val="005C7864"/>
    <w:rsid w:val="005C7C94"/>
    <w:rsid w:val="005D416D"/>
    <w:rsid w:val="005D4383"/>
    <w:rsid w:val="005D630D"/>
    <w:rsid w:val="005D71A7"/>
    <w:rsid w:val="005D7EB2"/>
    <w:rsid w:val="005E1638"/>
    <w:rsid w:val="005E468B"/>
    <w:rsid w:val="005E5576"/>
    <w:rsid w:val="005E5D27"/>
    <w:rsid w:val="005E64E5"/>
    <w:rsid w:val="005E7317"/>
    <w:rsid w:val="005F18DC"/>
    <w:rsid w:val="005F190C"/>
    <w:rsid w:val="005F2084"/>
    <w:rsid w:val="005F2245"/>
    <w:rsid w:val="005F2E1C"/>
    <w:rsid w:val="005F3458"/>
    <w:rsid w:val="005F36F5"/>
    <w:rsid w:val="005F5204"/>
    <w:rsid w:val="005F5F92"/>
    <w:rsid w:val="005F6C70"/>
    <w:rsid w:val="006008C6"/>
    <w:rsid w:val="00600982"/>
    <w:rsid w:val="00600B18"/>
    <w:rsid w:val="00600B37"/>
    <w:rsid w:val="006017B7"/>
    <w:rsid w:val="006018EC"/>
    <w:rsid w:val="00601ECA"/>
    <w:rsid w:val="0060269D"/>
    <w:rsid w:val="00603A90"/>
    <w:rsid w:val="0060403F"/>
    <w:rsid w:val="00604E36"/>
    <w:rsid w:val="006050AD"/>
    <w:rsid w:val="006057C7"/>
    <w:rsid w:val="0060676D"/>
    <w:rsid w:val="00607955"/>
    <w:rsid w:val="00607F99"/>
    <w:rsid w:val="00610CFD"/>
    <w:rsid w:val="00612B3B"/>
    <w:rsid w:val="00612C12"/>
    <w:rsid w:val="00612D5C"/>
    <w:rsid w:val="00613376"/>
    <w:rsid w:val="006133F3"/>
    <w:rsid w:val="00613453"/>
    <w:rsid w:val="0061386D"/>
    <w:rsid w:val="006142C2"/>
    <w:rsid w:val="006146F5"/>
    <w:rsid w:val="00614A48"/>
    <w:rsid w:val="006152A7"/>
    <w:rsid w:val="006209BB"/>
    <w:rsid w:val="00621D90"/>
    <w:rsid w:val="00622148"/>
    <w:rsid w:val="006236CE"/>
    <w:rsid w:val="00623CD0"/>
    <w:rsid w:val="00624395"/>
    <w:rsid w:val="00624531"/>
    <w:rsid w:val="00624730"/>
    <w:rsid w:val="00624BA0"/>
    <w:rsid w:val="00624CF9"/>
    <w:rsid w:val="00625018"/>
    <w:rsid w:val="006268AD"/>
    <w:rsid w:val="006305EB"/>
    <w:rsid w:val="00630C94"/>
    <w:rsid w:val="0063158E"/>
    <w:rsid w:val="006336A0"/>
    <w:rsid w:val="00640003"/>
    <w:rsid w:val="006405DF"/>
    <w:rsid w:val="0064099D"/>
    <w:rsid w:val="00641783"/>
    <w:rsid w:val="00641EB2"/>
    <w:rsid w:val="0064222B"/>
    <w:rsid w:val="00643194"/>
    <w:rsid w:val="00644417"/>
    <w:rsid w:val="00644EF6"/>
    <w:rsid w:val="006457DD"/>
    <w:rsid w:val="00645A81"/>
    <w:rsid w:val="00645AD7"/>
    <w:rsid w:val="00645AFB"/>
    <w:rsid w:val="00645EA0"/>
    <w:rsid w:val="00646462"/>
    <w:rsid w:val="00647E36"/>
    <w:rsid w:val="00647F12"/>
    <w:rsid w:val="006505C8"/>
    <w:rsid w:val="00651273"/>
    <w:rsid w:val="00651E73"/>
    <w:rsid w:val="00652869"/>
    <w:rsid w:val="00653570"/>
    <w:rsid w:val="0065359C"/>
    <w:rsid w:val="006535EF"/>
    <w:rsid w:val="00654616"/>
    <w:rsid w:val="0065578F"/>
    <w:rsid w:val="00656407"/>
    <w:rsid w:val="00657DB1"/>
    <w:rsid w:val="00662237"/>
    <w:rsid w:val="00662B86"/>
    <w:rsid w:val="006641CA"/>
    <w:rsid w:val="00664706"/>
    <w:rsid w:val="00665220"/>
    <w:rsid w:val="006652F6"/>
    <w:rsid w:val="00665B90"/>
    <w:rsid w:val="00665BEE"/>
    <w:rsid w:val="00667B4E"/>
    <w:rsid w:val="006702D0"/>
    <w:rsid w:val="006717D5"/>
    <w:rsid w:val="00671D84"/>
    <w:rsid w:val="00673445"/>
    <w:rsid w:val="00673B15"/>
    <w:rsid w:val="00673F7E"/>
    <w:rsid w:val="00674011"/>
    <w:rsid w:val="006742DE"/>
    <w:rsid w:val="00676CDC"/>
    <w:rsid w:val="00677BD9"/>
    <w:rsid w:val="00677E63"/>
    <w:rsid w:val="00677F94"/>
    <w:rsid w:val="0068110A"/>
    <w:rsid w:val="00681136"/>
    <w:rsid w:val="006828FE"/>
    <w:rsid w:val="00682E52"/>
    <w:rsid w:val="00682FB7"/>
    <w:rsid w:val="00682FCC"/>
    <w:rsid w:val="00683EEF"/>
    <w:rsid w:val="006846A2"/>
    <w:rsid w:val="0068750A"/>
    <w:rsid w:val="006879A6"/>
    <w:rsid w:val="0069036B"/>
    <w:rsid w:val="00690A30"/>
    <w:rsid w:val="00690CAC"/>
    <w:rsid w:val="00691EE0"/>
    <w:rsid w:val="00692C2D"/>
    <w:rsid w:val="006942B3"/>
    <w:rsid w:val="006948CA"/>
    <w:rsid w:val="006949C4"/>
    <w:rsid w:val="00694AF4"/>
    <w:rsid w:val="006957A0"/>
    <w:rsid w:val="0069779D"/>
    <w:rsid w:val="006A0741"/>
    <w:rsid w:val="006A1129"/>
    <w:rsid w:val="006A3050"/>
    <w:rsid w:val="006A360D"/>
    <w:rsid w:val="006A3793"/>
    <w:rsid w:val="006A41CF"/>
    <w:rsid w:val="006A5F43"/>
    <w:rsid w:val="006A6582"/>
    <w:rsid w:val="006A6B99"/>
    <w:rsid w:val="006A7C8B"/>
    <w:rsid w:val="006B0992"/>
    <w:rsid w:val="006B19F0"/>
    <w:rsid w:val="006B3B8A"/>
    <w:rsid w:val="006B6722"/>
    <w:rsid w:val="006B7F3F"/>
    <w:rsid w:val="006C0279"/>
    <w:rsid w:val="006C2A5A"/>
    <w:rsid w:val="006C2B00"/>
    <w:rsid w:val="006C2D67"/>
    <w:rsid w:val="006C36B7"/>
    <w:rsid w:val="006C41A3"/>
    <w:rsid w:val="006C4A06"/>
    <w:rsid w:val="006C51A7"/>
    <w:rsid w:val="006C6753"/>
    <w:rsid w:val="006C70D4"/>
    <w:rsid w:val="006C70DF"/>
    <w:rsid w:val="006C7BD3"/>
    <w:rsid w:val="006C7D3B"/>
    <w:rsid w:val="006D0458"/>
    <w:rsid w:val="006D2AE9"/>
    <w:rsid w:val="006D3D1F"/>
    <w:rsid w:val="006D5CE5"/>
    <w:rsid w:val="006D63D5"/>
    <w:rsid w:val="006D6E90"/>
    <w:rsid w:val="006D7ABD"/>
    <w:rsid w:val="006E1EE9"/>
    <w:rsid w:val="006E2174"/>
    <w:rsid w:val="006E4837"/>
    <w:rsid w:val="006E4860"/>
    <w:rsid w:val="006E4A45"/>
    <w:rsid w:val="006E5F26"/>
    <w:rsid w:val="006E6126"/>
    <w:rsid w:val="006E79AC"/>
    <w:rsid w:val="006F0610"/>
    <w:rsid w:val="006F072F"/>
    <w:rsid w:val="006F2BDF"/>
    <w:rsid w:val="006F4371"/>
    <w:rsid w:val="007008CF"/>
    <w:rsid w:val="00700E72"/>
    <w:rsid w:val="007011F0"/>
    <w:rsid w:val="00702934"/>
    <w:rsid w:val="007049A3"/>
    <w:rsid w:val="00705A3F"/>
    <w:rsid w:val="0070641A"/>
    <w:rsid w:val="0070649E"/>
    <w:rsid w:val="00706C8F"/>
    <w:rsid w:val="00706E0B"/>
    <w:rsid w:val="00707A7F"/>
    <w:rsid w:val="00710B80"/>
    <w:rsid w:val="00711758"/>
    <w:rsid w:val="00711BB4"/>
    <w:rsid w:val="007124EF"/>
    <w:rsid w:val="00714746"/>
    <w:rsid w:val="00714A1C"/>
    <w:rsid w:val="00716A11"/>
    <w:rsid w:val="00717C98"/>
    <w:rsid w:val="00722A04"/>
    <w:rsid w:val="00724F9D"/>
    <w:rsid w:val="00726877"/>
    <w:rsid w:val="00726EDD"/>
    <w:rsid w:val="00727EC3"/>
    <w:rsid w:val="0073247A"/>
    <w:rsid w:val="007333E4"/>
    <w:rsid w:val="00735463"/>
    <w:rsid w:val="00736FD2"/>
    <w:rsid w:val="007374E4"/>
    <w:rsid w:val="007375FE"/>
    <w:rsid w:val="00737BA7"/>
    <w:rsid w:val="00741423"/>
    <w:rsid w:val="00741B30"/>
    <w:rsid w:val="00741BCE"/>
    <w:rsid w:val="0074276D"/>
    <w:rsid w:val="007430E2"/>
    <w:rsid w:val="007434A6"/>
    <w:rsid w:val="00744787"/>
    <w:rsid w:val="00744ECC"/>
    <w:rsid w:val="00744EF6"/>
    <w:rsid w:val="00744F00"/>
    <w:rsid w:val="00746A80"/>
    <w:rsid w:val="00746CB9"/>
    <w:rsid w:val="00746E06"/>
    <w:rsid w:val="00747BBD"/>
    <w:rsid w:val="007503BD"/>
    <w:rsid w:val="00751677"/>
    <w:rsid w:val="00751CB8"/>
    <w:rsid w:val="00754997"/>
    <w:rsid w:val="00757636"/>
    <w:rsid w:val="007577C4"/>
    <w:rsid w:val="00760FBB"/>
    <w:rsid w:val="00761A27"/>
    <w:rsid w:val="00761BB2"/>
    <w:rsid w:val="00761C63"/>
    <w:rsid w:val="007626FD"/>
    <w:rsid w:val="00762B48"/>
    <w:rsid w:val="00763A57"/>
    <w:rsid w:val="00764071"/>
    <w:rsid w:val="007641AA"/>
    <w:rsid w:val="00764A02"/>
    <w:rsid w:val="007651EB"/>
    <w:rsid w:val="007652A5"/>
    <w:rsid w:val="00766DBF"/>
    <w:rsid w:val="00767164"/>
    <w:rsid w:val="00771596"/>
    <w:rsid w:val="00771D60"/>
    <w:rsid w:val="00772BEC"/>
    <w:rsid w:val="00773A73"/>
    <w:rsid w:val="00773B8D"/>
    <w:rsid w:val="007763B0"/>
    <w:rsid w:val="00777768"/>
    <w:rsid w:val="00777DE4"/>
    <w:rsid w:val="007812D6"/>
    <w:rsid w:val="0078194E"/>
    <w:rsid w:val="00781ECB"/>
    <w:rsid w:val="0078280D"/>
    <w:rsid w:val="00782F35"/>
    <w:rsid w:val="00784340"/>
    <w:rsid w:val="007863D3"/>
    <w:rsid w:val="0078678C"/>
    <w:rsid w:val="007871B7"/>
    <w:rsid w:val="00787FBF"/>
    <w:rsid w:val="00795174"/>
    <w:rsid w:val="00795C86"/>
    <w:rsid w:val="007976B2"/>
    <w:rsid w:val="007A08A9"/>
    <w:rsid w:val="007A0A60"/>
    <w:rsid w:val="007A269E"/>
    <w:rsid w:val="007A3A04"/>
    <w:rsid w:val="007A3FE5"/>
    <w:rsid w:val="007A530C"/>
    <w:rsid w:val="007A553E"/>
    <w:rsid w:val="007B04B0"/>
    <w:rsid w:val="007B0C7E"/>
    <w:rsid w:val="007B38EF"/>
    <w:rsid w:val="007B3EAA"/>
    <w:rsid w:val="007B5E2F"/>
    <w:rsid w:val="007C22F2"/>
    <w:rsid w:val="007C26F8"/>
    <w:rsid w:val="007C2ABC"/>
    <w:rsid w:val="007C4338"/>
    <w:rsid w:val="007C48DF"/>
    <w:rsid w:val="007C6EA4"/>
    <w:rsid w:val="007D0C5B"/>
    <w:rsid w:val="007D1501"/>
    <w:rsid w:val="007D1D80"/>
    <w:rsid w:val="007D2884"/>
    <w:rsid w:val="007D2895"/>
    <w:rsid w:val="007D3FEA"/>
    <w:rsid w:val="007D4BD9"/>
    <w:rsid w:val="007D4C61"/>
    <w:rsid w:val="007D50B1"/>
    <w:rsid w:val="007D5F2B"/>
    <w:rsid w:val="007E05D1"/>
    <w:rsid w:val="007E0D08"/>
    <w:rsid w:val="007E11D4"/>
    <w:rsid w:val="007E2076"/>
    <w:rsid w:val="007E22BB"/>
    <w:rsid w:val="007E2631"/>
    <w:rsid w:val="007E4BDA"/>
    <w:rsid w:val="007E50FA"/>
    <w:rsid w:val="007E614B"/>
    <w:rsid w:val="007E7008"/>
    <w:rsid w:val="007E733F"/>
    <w:rsid w:val="007E76A3"/>
    <w:rsid w:val="007F1863"/>
    <w:rsid w:val="007F22C4"/>
    <w:rsid w:val="007F2921"/>
    <w:rsid w:val="007F2B85"/>
    <w:rsid w:val="007F2D08"/>
    <w:rsid w:val="007F2EA0"/>
    <w:rsid w:val="007F3139"/>
    <w:rsid w:val="007F3826"/>
    <w:rsid w:val="007F4B0D"/>
    <w:rsid w:val="007F52C7"/>
    <w:rsid w:val="007F5C36"/>
    <w:rsid w:val="007F644F"/>
    <w:rsid w:val="007F6F73"/>
    <w:rsid w:val="007F75F4"/>
    <w:rsid w:val="00800A76"/>
    <w:rsid w:val="008018BB"/>
    <w:rsid w:val="00801982"/>
    <w:rsid w:val="008024CD"/>
    <w:rsid w:val="00802514"/>
    <w:rsid w:val="00803D26"/>
    <w:rsid w:val="00805E4F"/>
    <w:rsid w:val="00807AB5"/>
    <w:rsid w:val="00807E7A"/>
    <w:rsid w:val="0081001C"/>
    <w:rsid w:val="00810319"/>
    <w:rsid w:val="0081106A"/>
    <w:rsid w:val="00813187"/>
    <w:rsid w:val="00813238"/>
    <w:rsid w:val="008147D8"/>
    <w:rsid w:val="008154F0"/>
    <w:rsid w:val="0081635F"/>
    <w:rsid w:val="008206AA"/>
    <w:rsid w:val="00821BF4"/>
    <w:rsid w:val="00821F42"/>
    <w:rsid w:val="008221D5"/>
    <w:rsid w:val="00822F8A"/>
    <w:rsid w:val="00825CE4"/>
    <w:rsid w:val="00825F25"/>
    <w:rsid w:val="00831A5E"/>
    <w:rsid w:val="00831CBF"/>
    <w:rsid w:val="00831DB3"/>
    <w:rsid w:val="00832F90"/>
    <w:rsid w:val="00835745"/>
    <w:rsid w:val="00835F21"/>
    <w:rsid w:val="00837400"/>
    <w:rsid w:val="008377EE"/>
    <w:rsid w:val="00840750"/>
    <w:rsid w:val="00842602"/>
    <w:rsid w:val="00842DB4"/>
    <w:rsid w:val="0084537A"/>
    <w:rsid w:val="008454AE"/>
    <w:rsid w:val="00846844"/>
    <w:rsid w:val="00846A76"/>
    <w:rsid w:val="00847557"/>
    <w:rsid w:val="0085025B"/>
    <w:rsid w:val="008506F6"/>
    <w:rsid w:val="008514E0"/>
    <w:rsid w:val="00851F22"/>
    <w:rsid w:val="008526B7"/>
    <w:rsid w:val="00853881"/>
    <w:rsid w:val="008542F4"/>
    <w:rsid w:val="0085642D"/>
    <w:rsid w:val="00856999"/>
    <w:rsid w:val="00856DDE"/>
    <w:rsid w:val="0086011F"/>
    <w:rsid w:val="008617D7"/>
    <w:rsid w:val="008654FE"/>
    <w:rsid w:val="00865E86"/>
    <w:rsid w:val="00870274"/>
    <w:rsid w:val="00870C03"/>
    <w:rsid w:val="0087255E"/>
    <w:rsid w:val="00874C6C"/>
    <w:rsid w:val="00875FA6"/>
    <w:rsid w:val="008771CE"/>
    <w:rsid w:val="008773CF"/>
    <w:rsid w:val="00877617"/>
    <w:rsid w:val="00884225"/>
    <w:rsid w:val="00884406"/>
    <w:rsid w:val="00886B9B"/>
    <w:rsid w:val="00887922"/>
    <w:rsid w:val="0089032B"/>
    <w:rsid w:val="0089037B"/>
    <w:rsid w:val="00890E87"/>
    <w:rsid w:val="008911FF"/>
    <w:rsid w:val="00895366"/>
    <w:rsid w:val="00897CF1"/>
    <w:rsid w:val="008A270D"/>
    <w:rsid w:val="008A3384"/>
    <w:rsid w:val="008A3A2D"/>
    <w:rsid w:val="008A3E7A"/>
    <w:rsid w:val="008A73A2"/>
    <w:rsid w:val="008A7B2A"/>
    <w:rsid w:val="008B1099"/>
    <w:rsid w:val="008B485C"/>
    <w:rsid w:val="008B576A"/>
    <w:rsid w:val="008B6BA3"/>
    <w:rsid w:val="008B7FCC"/>
    <w:rsid w:val="008C1595"/>
    <w:rsid w:val="008C359E"/>
    <w:rsid w:val="008C3E25"/>
    <w:rsid w:val="008C4090"/>
    <w:rsid w:val="008C4A34"/>
    <w:rsid w:val="008C5900"/>
    <w:rsid w:val="008C6502"/>
    <w:rsid w:val="008C6BD4"/>
    <w:rsid w:val="008C6F0A"/>
    <w:rsid w:val="008C7B30"/>
    <w:rsid w:val="008D0E5E"/>
    <w:rsid w:val="008D1986"/>
    <w:rsid w:val="008D1E4C"/>
    <w:rsid w:val="008D31BB"/>
    <w:rsid w:val="008D44CE"/>
    <w:rsid w:val="008D68B6"/>
    <w:rsid w:val="008D7CD6"/>
    <w:rsid w:val="008E1832"/>
    <w:rsid w:val="008E3BB0"/>
    <w:rsid w:val="008E468A"/>
    <w:rsid w:val="008E63EF"/>
    <w:rsid w:val="008E67C1"/>
    <w:rsid w:val="008E6A42"/>
    <w:rsid w:val="008E6DB2"/>
    <w:rsid w:val="008E792C"/>
    <w:rsid w:val="008F032F"/>
    <w:rsid w:val="008F03C6"/>
    <w:rsid w:val="008F227B"/>
    <w:rsid w:val="008F23B1"/>
    <w:rsid w:val="008F29D9"/>
    <w:rsid w:val="008F3021"/>
    <w:rsid w:val="008F3615"/>
    <w:rsid w:val="008F5468"/>
    <w:rsid w:val="008F6A20"/>
    <w:rsid w:val="008F7E30"/>
    <w:rsid w:val="0090013F"/>
    <w:rsid w:val="00901B87"/>
    <w:rsid w:val="009036BF"/>
    <w:rsid w:val="00906935"/>
    <w:rsid w:val="00907716"/>
    <w:rsid w:val="0091029B"/>
    <w:rsid w:val="00910C26"/>
    <w:rsid w:val="00912401"/>
    <w:rsid w:val="00912A48"/>
    <w:rsid w:val="00912E7A"/>
    <w:rsid w:val="00913ADF"/>
    <w:rsid w:val="00915B21"/>
    <w:rsid w:val="00916EB3"/>
    <w:rsid w:val="00917506"/>
    <w:rsid w:val="00917C94"/>
    <w:rsid w:val="00920165"/>
    <w:rsid w:val="00921502"/>
    <w:rsid w:val="0092161D"/>
    <w:rsid w:val="009231B9"/>
    <w:rsid w:val="0092418A"/>
    <w:rsid w:val="009263B4"/>
    <w:rsid w:val="009269C1"/>
    <w:rsid w:val="0092778E"/>
    <w:rsid w:val="009279AE"/>
    <w:rsid w:val="00931A3B"/>
    <w:rsid w:val="009323A7"/>
    <w:rsid w:val="00934661"/>
    <w:rsid w:val="00935E6D"/>
    <w:rsid w:val="00936535"/>
    <w:rsid w:val="0094109D"/>
    <w:rsid w:val="00941D4A"/>
    <w:rsid w:val="00944692"/>
    <w:rsid w:val="00945600"/>
    <w:rsid w:val="009506D2"/>
    <w:rsid w:val="009509FF"/>
    <w:rsid w:val="0095208D"/>
    <w:rsid w:val="009522E7"/>
    <w:rsid w:val="00952D23"/>
    <w:rsid w:val="009531AA"/>
    <w:rsid w:val="0095323C"/>
    <w:rsid w:val="00953F0B"/>
    <w:rsid w:val="0095410E"/>
    <w:rsid w:val="00954978"/>
    <w:rsid w:val="00956BAA"/>
    <w:rsid w:val="00957652"/>
    <w:rsid w:val="00960A14"/>
    <w:rsid w:val="00962A61"/>
    <w:rsid w:val="009637B7"/>
    <w:rsid w:val="00963C8E"/>
    <w:rsid w:val="00963FD6"/>
    <w:rsid w:val="0096743C"/>
    <w:rsid w:val="009712AB"/>
    <w:rsid w:val="009717DB"/>
    <w:rsid w:val="00972649"/>
    <w:rsid w:val="00973314"/>
    <w:rsid w:val="00973494"/>
    <w:rsid w:val="00973B73"/>
    <w:rsid w:val="00975E2D"/>
    <w:rsid w:val="00976C25"/>
    <w:rsid w:val="0097776B"/>
    <w:rsid w:val="0098004C"/>
    <w:rsid w:val="00980E1F"/>
    <w:rsid w:val="00980E3A"/>
    <w:rsid w:val="00981F15"/>
    <w:rsid w:val="009822C2"/>
    <w:rsid w:val="009833BA"/>
    <w:rsid w:val="00985B75"/>
    <w:rsid w:val="00986B98"/>
    <w:rsid w:val="00987131"/>
    <w:rsid w:val="00987211"/>
    <w:rsid w:val="009902AC"/>
    <w:rsid w:val="009902D6"/>
    <w:rsid w:val="009924B9"/>
    <w:rsid w:val="00992518"/>
    <w:rsid w:val="00992ACF"/>
    <w:rsid w:val="00992D64"/>
    <w:rsid w:val="0099343D"/>
    <w:rsid w:val="00995174"/>
    <w:rsid w:val="00995A42"/>
    <w:rsid w:val="0099696C"/>
    <w:rsid w:val="009A10D9"/>
    <w:rsid w:val="009A3809"/>
    <w:rsid w:val="009A4456"/>
    <w:rsid w:val="009A4722"/>
    <w:rsid w:val="009A70A4"/>
    <w:rsid w:val="009A7821"/>
    <w:rsid w:val="009A7F20"/>
    <w:rsid w:val="009B069F"/>
    <w:rsid w:val="009B09D2"/>
    <w:rsid w:val="009B25A3"/>
    <w:rsid w:val="009B2F6D"/>
    <w:rsid w:val="009B377F"/>
    <w:rsid w:val="009B3F48"/>
    <w:rsid w:val="009B5580"/>
    <w:rsid w:val="009B6CBC"/>
    <w:rsid w:val="009C05B7"/>
    <w:rsid w:val="009C0CA1"/>
    <w:rsid w:val="009C0F35"/>
    <w:rsid w:val="009C1937"/>
    <w:rsid w:val="009C1D03"/>
    <w:rsid w:val="009C3DA0"/>
    <w:rsid w:val="009C7B29"/>
    <w:rsid w:val="009D0128"/>
    <w:rsid w:val="009D13CB"/>
    <w:rsid w:val="009D2E7D"/>
    <w:rsid w:val="009D570A"/>
    <w:rsid w:val="009D5D2D"/>
    <w:rsid w:val="009D64D8"/>
    <w:rsid w:val="009D6ED0"/>
    <w:rsid w:val="009E12D2"/>
    <w:rsid w:val="009E28E1"/>
    <w:rsid w:val="009E2AB5"/>
    <w:rsid w:val="009E33E9"/>
    <w:rsid w:val="009E3FBC"/>
    <w:rsid w:val="009E4C3D"/>
    <w:rsid w:val="009E64AF"/>
    <w:rsid w:val="009E7920"/>
    <w:rsid w:val="009E7B3E"/>
    <w:rsid w:val="009F0BDA"/>
    <w:rsid w:val="009F0C04"/>
    <w:rsid w:val="009F1B7D"/>
    <w:rsid w:val="009F399B"/>
    <w:rsid w:val="009F4F2F"/>
    <w:rsid w:val="009F547D"/>
    <w:rsid w:val="009F5660"/>
    <w:rsid w:val="009F60F8"/>
    <w:rsid w:val="009F62A1"/>
    <w:rsid w:val="009F653F"/>
    <w:rsid w:val="009F7583"/>
    <w:rsid w:val="009F782E"/>
    <w:rsid w:val="009F7A1D"/>
    <w:rsid w:val="009F7AB4"/>
    <w:rsid w:val="00A000E4"/>
    <w:rsid w:val="00A00AA2"/>
    <w:rsid w:val="00A01486"/>
    <w:rsid w:val="00A01E6C"/>
    <w:rsid w:val="00A03378"/>
    <w:rsid w:val="00A0359B"/>
    <w:rsid w:val="00A0503A"/>
    <w:rsid w:val="00A06712"/>
    <w:rsid w:val="00A07E64"/>
    <w:rsid w:val="00A11F54"/>
    <w:rsid w:val="00A1230B"/>
    <w:rsid w:val="00A13F0B"/>
    <w:rsid w:val="00A148FF"/>
    <w:rsid w:val="00A14B1F"/>
    <w:rsid w:val="00A14FA2"/>
    <w:rsid w:val="00A17108"/>
    <w:rsid w:val="00A17ACB"/>
    <w:rsid w:val="00A20699"/>
    <w:rsid w:val="00A215AB"/>
    <w:rsid w:val="00A2232E"/>
    <w:rsid w:val="00A2470C"/>
    <w:rsid w:val="00A2516F"/>
    <w:rsid w:val="00A2664A"/>
    <w:rsid w:val="00A26C65"/>
    <w:rsid w:val="00A27CB8"/>
    <w:rsid w:val="00A31B9A"/>
    <w:rsid w:val="00A32654"/>
    <w:rsid w:val="00A32DA9"/>
    <w:rsid w:val="00A3490A"/>
    <w:rsid w:val="00A34E21"/>
    <w:rsid w:val="00A35C30"/>
    <w:rsid w:val="00A35D63"/>
    <w:rsid w:val="00A363C0"/>
    <w:rsid w:val="00A40A97"/>
    <w:rsid w:val="00A414CF"/>
    <w:rsid w:val="00A43440"/>
    <w:rsid w:val="00A43699"/>
    <w:rsid w:val="00A44108"/>
    <w:rsid w:val="00A45751"/>
    <w:rsid w:val="00A462BE"/>
    <w:rsid w:val="00A50EAC"/>
    <w:rsid w:val="00A51A6A"/>
    <w:rsid w:val="00A52F2E"/>
    <w:rsid w:val="00A53F69"/>
    <w:rsid w:val="00A54E8B"/>
    <w:rsid w:val="00A56063"/>
    <w:rsid w:val="00A563EE"/>
    <w:rsid w:val="00A565D5"/>
    <w:rsid w:val="00A568A0"/>
    <w:rsid w:val="00A57FBE"/>
    <w:rsid w:val="00A6058C"/>
    <w:rsid w:val="00A6165F"/>
    <w:rsid w:val="00A61764"/>
    <w:rsid w:val="00A62CF3"/>
    <w:rsid w:val="00A65F23"/>
    <w:rsid w:val="00A6679C"/>
    <w:rsid w:val="00A66A7E"/>
    <w:rsid w:val="00A66BBE"/>
    <w:rsid w:val="00A70C07"/>
    <w:rsid w:val="00A70E56"/>
    <w:rsid w:val="00A716AF"/>
    <w:rsid w:val="00A72571"/>
    <w:rsid w:val="00A73AAE"/>
    <w:rsid w:val="00A75DB2"/>
    <w:rsid w:val="00A77998"/>
    <w:rsid w:val="00A77B55"/>
    <w:rsid w:val="00A77E07"/>
    <w:rsid w:val="00A80A46"/>
    <w:rsid w:val="00A81DAB"/>
    <w:rsid w:val="00A82508"/>
    <w:rsid w:val="00A82BE6"/>
    <w:rsid w:val="00A83078"/>
    <w:rsid w:val="00A8395F"/>
    <w:rsid w:val="00A847D6"/>
    <w:rsid w:val="00A8558E"/>
    <w:rsid w:val="00A876DE"/>
    <w:rsid w:val="00A90516"/>
    <w:rsid w:val="00A90E2D"/>
    <w:rsid w:val="00A912AC"/>
    <w:rsid w:val="00A93247"/>
    <w:rsid w:val="00A93BB5"/>
    <w:rsid w:val="00A94CF9"/>
    <w:rsid w:val="00A94E32"/>
    <w:rsid w:val="00A95B8E"/>
    <w:rsid w:val="00A96C70"/>
    <w:rsid w:val="00AA1703"/>
    <w:rsid w:val="00AA23D2"/>
    <w:rsid w:val="00AA2972"/>
    <w:rsid w:val="00AA498A"/>
    <w:rsid w:val="00AA4D13"/>
    <w:rsid w:val="00AA7272"/>
    <w:rsid w:val="00AA7B4E"/>
    <w:rsid w:val="00AB0E9F"/>
    <w:rsid w:val="00AB3EDC"/>
    <w:rsid w:val="00AB7107"/>
    <w:rsid w:val="00AB7F62"/>
    <w:rsid w:val="00AC068A"/>
    <w:rsid w:val="00AC0A15"/>
    <w:rsid w:val="00AC1651"/>
    <w:rsid w:val="00AC189B"/>
    <w:rsid w:val="00AC1CAB"/>
    <w:rsid w:val="00AC2574"/>
    <w:rsid w:val="00AC35E5"/>
    <w:rsid w:val="00AC3C73"/>
    <w:rsid w:val="00AC3E60"/>
    <w:rsid w:val="00AC3F1E"/>
    <w:rsid w:val="00AC412C"/>
    <w:rsid w:val="00AC5FBE"/>
    <w:rsid w:val="00AD1E08"/>
    <w:rsid w:val="00AD2422"/>
    <w:rsid w:val="00AD25C6"/>
    <w:rsid w:val="00AD283A"/>
    <w:rsid w:val="00AD30E0"/>
    <w:rsid w:val="00AD49F0"/>
    <w:rsid w:val="00AD6E69"/>
    <w:rsid w:val="00AD7A30"/>
    <w:rsid w:val="00AD7A45"/>
    <w:rsid w:val="00AD7BD1"/>
    <w:rsid w:val="00AE0353"/>
    <w:rsid w:val="00AE058D"/>
    <w:rsid w:val="00AE05A9"/>
    <w:rsid w:val="00AE34EE"/>
    <w:rsid w:val="00AE4BB9"/>
    <w:rsid w:val="00AE4D27"/>
    <w:rsid w:val="00AF17FF"/>
    <w:rsid w:val="00AF589E"/>
    <w:rsid w:val="00AF6BE5"/>
    <w:rsid w:val="00AF74A7"/>
    <w:rsid w:val="00B009B0"/>
    <w:rsid w:val="00B01EB1"/>
    <w:rsid w:val="00B02D83"/>
    <w:rsid w:val="00B03A22"/>
    <w:rsid w:val="00B0491C"/>
    <w:rsid w:val="00B05F97"/>
    <w:rsid w:val="00B064E9"/>
    <w:rsid w:val="00B070AF"/>
    <w:rsid w:val="00B115EE"/>
    <w:rsid w:val="00B1227F"/>
    <w:rsid w:val="00B1318D"/>
    <w:rsid w:val="00B136FB"/>
    <w:rsid w:val="00B13F40"/>
    <w:rsid w:val="00B15AC7"/>
    <w:rsid w:val="00B17254"/>
    <w:rsid w:val="00B17CF1"/>
    <w:rsid w:val="00B20876"/>
    <w:rsid w:val="00B24029"/>
    <w:rsid w:val="00B2532C"/>
    <w:rsid w:val="00B257D6"/>
    <w:rsid w:val="00B27A69"/>
    <w:rsid w:val="00B303FF"/>
    <w:rsid w:val="00B31E7E"/>
    <w:rsid w:val="00B35AEC"/>
    <w:rsid w:val="00B365CC"/>
    <w:rsid w:val="00B3671F"/>
    <w:rsid w:val="00B37032"/>
    <w:rsid w:val="00B4066F"/>
    <w:rsid w:val="00B414F8"/>
    <w:rsid w:val="00B4162B"/>
    <w:rsid w:val="00B41EF9"/>
    <w:rsid w:val="00B420AD"/>
    <w:rsid w:val="00B42C51"/>
    <w:rsid w:val="00B43955"/>
    <w:rsid w:val="00B44865"/>
    <w:rsid w:val="00B44A65"/>
    <w:rsid w:val="00B45480"/>
    <w:rsid w:val="00B47DAC"/>
    <w:rsid w:val="00B47E15"/>
    <w:rsid w:val="00B47FC5"/>
    <w:rsid w:val="00B50120"/>
    <w:rsid w:val="00B51C67"/>
    <w:rsid w:val="00B51CE5"/>
    <w:rsid w:val="00B544FD"/>
    <w:rsid w:val="00B54E72"/>
    <w:rsid w:val="00B55D20"/>
    <w:rsid w:val="00B57F66"/>
    <w:rsid w:val="00B613E7"/>
    <w:rsid w:val="00B61A74"/>
    <w:rsid w:val="00B62FEB"/>
    <w:rsid w:val="00B718EF"/>
    <w:rsid w:val="00B71AE5"/>
    <w:rsid w:val="00B72323"/>
    <w:rsid w:val="00B724C7"/>
    <w:rsid w:val="00B73106"/>
    <w:rsid w:val="00B7329D"/>
    <w:rsid w:val="00B770F7"/>
    <w:rsid w:val="00B77886"/>
    <w:rsid w:val="00B81703"/>
    <w:rsid w:val="00B81D7F"/>
    <w:rsid w:val="00B8267C"/>
    <w:rsid w:val="00B844FB"/>
    <w:rsid w:val="00B85052"/>
    <w:rsid w:val="00B856CE"/>
    <w:rsid w:val="00B86B77"/>
    <w:rsid w:val="00B8751F"/>
    <w:rsid w:val="00B904A9"/>
    <w:rsid w:val="00B90C36"/>
    <w:rsid w:val="00B91BF1"/>
    <w:rsid w:val="00B92433"/>
    <w:rsid w:val="00B92BD4"/>
    <w:rsid w:val="00B93978"/>
    <w:rsid w:val="00B93D91"/>
    <w:rsid w:val="00B9440C"/>
    <w:rsid w:val="00B9441F"/>
    <w:rsid w:val="00B953CD"/>
    <w:rsid w:val="00B9559C"/>
    <w:rsid w:val="00B956C7"/>
    <w:rsid w:val="00B95775"/>
    <w:rsid w:val="00B9699E"/>
    <w:rsid w:val="00B97418"/>
    <w:rsid w:val="00B97452"/>
    <w:rsid w:val="00BA315E"/>
    <w:rsid w:val="00BA5BF7"/>
    <w:rsid w:val="00BA6209"/>
    <w:rsid w:val="00BA6C7F"/>
    <w:rsid w:val="00BB2D9F"/>
    <w:rsid w:val="00BB3EDC"/>
    <w:rsid w:val="00BB56E9"/>
    <w:rsid w:val="00BB624A"/>
    <w:rsid w:val="00BC0BDA"/>
    <w:rsid w:val="00BC3CF9"/>
    <w:rsid w:val="00BC4A36"/>
    <w:rsid w:val="00BC73BF"/>
    <w:rsid w:val="00BD0481"/>
    <w:rsid w:val="00BD0A34"/>
    <w:rsid w:val="00BD331E"/>
    <w:rsid w:val="00BD3E16"/>
    <w:rsid w:val="00BD4735"/>
    <w:rsid w:val="00BD4EFB"/>
    <w:rsid w:val="00BD5025"/>
    <w:rsid w:val="00BD78D4"/>
    <w:rsid w:val="00BD7BB8"/>
    <w:rsid w:val="00BD7C0E"/>
    <w:rsid w:val="00BE194B"/>
    <w:rsid w:val="00BE2102"/>
    <w:rsid w:val="00BE3AE2"/>
    <w:rsid w:val="00BE4C33"/>
    <w:rsid w:val="00BE5132"/>
    <w:rsid w:val="00BE53E5"/>
    <w:rsid w:val="00BE5B1D"/>
    <w:rsid w:val="00BE6774"/>
    <w:rsid w:val="00BE75F0"/>
    <w:rsid w:val="00BE762C"/>
    <w:rsid w:val="00BF3B4F"/>
    <w:rsid w:val="00BF4408"/>
    <w:rsid w:val="00BF59DE"/>
    <w:rsid w:val="00BF5BC4"/>
    <w:rsid w:val="00C020AB"/>
    <w:rsid w:val="00C03A67"/>
    <w:rsid w:val="00C03E1A"/>
    <w:rsid w:val="00C0482F"/>
    <w:rsid w:val="00C04B8F"/>
    <w:rsid w:val="00C061F0"/>
    <w:rsid w:val="00C06D53"/>
    <w:rsid w:val="00C06F0C"/>
    <w:rsid w:val="00C07DCB"/>
    <w:rsid w:val="00C11324"/>
    <w:rsid w:val="00C11AB1"/>
    <w:rsid w:val="00C1388E"/>
    <w:rsid w:val="00C13AB5"/>
    <w:rsid w:val="00C14341"/>
    <w:rsid w:val="00C15962"/>
    <w:rsid w:val="00C15A7F"/>
    <w:rsid w:val="00C165B9"/>
    <w:rsid w:val="00C17D67"/>
    <w:rsid w:val="00C202E4"/>
    <w:rsid w:val="00C23B99"/>
    <w:rsid w:val="00C23C0B"/>
    <w:rsid w:val="00C258C1"/>
    <w:rsid w:val="00C264B0"/>
    <w:rsid w:val="00C27063"/>
    <w:rsid w:val="00C276E6"/>
    <w:rsid w:val="00C27EC1"/>
    <w:rsid w:val="00C31FCF"/>
    <w:rsid w:val="00C322C8"/>
    <w:rsid w:val="00C32317"/>
    <w:rsid w:val="00C33838"/>
    <w:rsid w:val="00C34A34"/>
    <w:rsid w:val="00C3585F"/>
    <w:rsid w:val="00C3633B"/>
    <w:rsid w:val="00C369B2"/>
    <w:rsid w:val="00C3742D"/>
    <w:rsid w:val="00C37FAD"/>
    <w:rsid w:val="00C40A86"/>
    <w:rsid w:val="00C429B2"/>
    <w:rsid w:val="00C42DF1"/>
    <w:rsid w:val="00C43F5D"/>
    <w:rsid w:val="00C46BE6"/>
    <w:rsid w:val="00C46D08"/>
    <w:rsid w:val="00C47302"/>
    <w:rsid w:val="00C478BA"/>
    <w:rsid w:val="00C479BB"/>
    <w:rsid w:val="00C47D70"/>
    <w:rsid w:val="00C501B1"/>
    <w:rsid w:val="00C50345"/>
    <w:rsid w:val="00C504B7"/>
    <w:rsid w:val="00C50557"/>
    <w:rsid w:val="00C52FFE"/>
    <w:rsid w:val="00C56747"/>
    <w:rsid w:val="00C56D04"/>
    <w:rsid w:val="00C60489"/>
    <w:rsid w:val="00C62700"/>
    <w:rsid w:val="00C62BEE"/>
    <w:rsid w:val="00C639C5"/>
    <w:rsid w:val="00C6557D"/>
    <w:rsid w:val="00C66B8D"/>
    <w:rsid w:val="00C678A5"/>
    <w:rsid w:val="00C709B4"/>
    <w:rsid w:val="00C70F25"/>
    <w:rsid w:val="00C71087"/>
    <w:rsid w:val="00C71EE9"/>
    <w:rsid w:val="00C73419"/>
    <w:rsid w:val="00C74840"/>
    <w:rsid w:val="00C7484D"/>
    <w:rsid w:val="00C74F1E"/>
    <w:rsid w:val="00C75B25"/>
    <w:rsid w:val="00C77150"/>
    <w:rsid w:val="00C81E94"/>
    <w:rsid w:val="00C83248"/>
    <w:rsid w:val="00C83F6E"/>
    <w:rsid w:val="00C8533F"/>
    <w:rsid w:val="00C86B6C"/>
    <w:rsid w:val="00C874F4"/>
    <w:rsid w:val="00C87C06"/>
    <w:rsid w:val="00C922D2"/>
    <w:rsid w:val="00C927A7"/>
    <w:rsid w:val="00C92B51"/>
    <w:rsid w:val="00C9325E"/>
    <w:rsid w:val="00C9429F"/>
    <w:rsid w:val="00C9445C"/>
    <w:rsid w:val="00C9644C"/>
    <w:rsid w:val="00C964FD"/>
    <w:rsid w:val="00CA0297"/>
    <w:rsid w:val="00CA05A5"/>
    <w:rsid w:val="00CA0C3E"/>
    <w:rsid w:val="00CA2F46"/>
    <w:rsid w:val="00CA32FD"/>
    <w:rsid w:val="00CA4227"/>
    <w:rsid w:val="00CA4D1D"/>
    <w:rsid w:val="00CA4EA5"/>
    <w:rsid w:val="00CA5F8E"/>
    <w:rsid w:val="00CA63FA"/>
    <w:rsid w:val="00CA7959"/>
    <w:rsid w:val="00CB3EAE"/>
    <w:rsid w:val="00CB4660"/>
    <w:rsid w:val="00CB4CC8"/>
    <w:rsid w:val="00CB657F"/>
    <w:rsid w:val="00CB775D"/>
    <w:rsid w:val="00CC0DEE"/>
    <w:rsid w:val="00CC0FB9"/>
    <w:rsid w:val="00CC1481"/>
    <w:rsid w:val="00CC39B1"/>
    <w:rsid w:val="00CC6EFF"/>
    <w:rsid w:val="00CC7D12"/>
    <w:rsid w:val="00CC7DE7"/>
    <w:rsid w:val="00CC7F6C"/>
    <w:rsid w:val="00CD1A62"/>
    <w:rsid w:val="00CD2E23"/>
    <w:rsid w:val="00CE0013"/>
    <w:rsid w:val="00CE097B"/>
    <w:rsid w:val="00CE182F"/>
    <w:rsid w:val="00CE2C73"/>
    <w:rsid w:val="00CE70E0"/>
    <w:rsid w:val="00CF22DA"/>
    <w:rsid w:val="00CF3EFA"/>
    <w:rsid w:val="00CF4C8F"/>
    <w:rsid w:val="00CF6D0C"/>
    <w:rsid w:val="00CF6FB3"/>
    <w:rsid w:val="00CF797B"/>
    <w:rsid w:val="00CF7A75"/>
    <w:rsid w:val="00D00641"/>
    <w:rsid w:val="00D01290"/>
    <w:rsid w:val="00D01C0E"/>
    <w:rsid w:val="00D01DB3"/>
    <w:rsid w:val="00D06116"/>
    <w:rsid w:val="00D06752"/>
    <w:rsid w:val="00D0752C"/>
    <w:rsid w:val="00D10454"/>
    <w:rsid w:val="00D11292"/>
    <w:rsid w:val="00D14519"/>
    <w:rsid w:val="00D14C4E"/>
    <w:rsid w:val="00D15738"/>
    <w:rsid w:val="00D15E4C"/>
    <w:rsid w:val="00D171C4"/>
    <w:rsid w:val="00D179E0"/>
    <w:rsid w:val="00D17B0D"/>
    <w:rsid w:val="00D209C1"/>
    <w:rsid w:val="00D2118A"/>
    <w:rsid w:val="00D21B71"/>
    <w:rsid w:val="00D242BD"/>
    <w:rsid w:val="00D24C83"/>
    <w:rsid w:val="00D25599"/>
    <w:rsid w:val="00D26086"/>
    <w:rsid w:val="00D266DF"/>
    <w:rsid w:val="00D270B4"/>
    <w:rsid w:val="00D27335"/>
    <w:rsid w:val="00D2798F"/>
    <w:rsid w:val="00D31B94"/>
    <w:rsid w:val="00D31C6D"/>
    <w:rsid w:val="00D31DD8"/>
    <w:rsid w:val="00D32FE4"/>
    <w:rsid w:val="00D343FF"/>
    <w:rsid w:val="00D34BC5"/>
    <w:rsid w:val="00D3523E"/>
    <w:rsid w:val="00D3659D"/>
    <w:rsid w:val="00D36D93"/>
    <w:rsid w:val="00D3722C"/>
    <w:rsid w:val="00D41733"/>
    <w:rsid w:val="00D4532B"/>
    <w:rsid w:val="00D4714B"/>
    <w:rsid w:val="00D47702"/>
    <w:rsid w:val="00D508C8"/>
    <w:rsid w:val="00D5244B"/>
    <w:rsid w:val="00D5325D"/>
    <w:rsid w:val="00D54165"/>
    <w:rsid w:val="00D54400"/>
    <w:rsid w:val="00D54DDB"/>
    <w:rsid w:val="00D54FE8"/>
    <w:rsid w:val="00D572A7"/>
    <w:rsid w:val="00D5730F"/>
    <w:rsid w:val="00D6066E"/>
    <w:rsid w:val="00D62F9D"/>
    <w:rsid w:val="00D63601"/>
    <w:rsid w:val="00D6366B"/>
    <w:rsid w:val="00D649D2"/>
    <w:rsid w:val="00D64CF2"/>
    <w:rsid w:val="00D658DA"/>
    <w:rsid w:val="00D66399"/>
    <w:rsid w:val="00D66861"/>
    <w:rsid w:val="00D668DE"/>
    <w:rsid w:val="00D67DB7"/>
    <w:rsid w:val="00D70121"/>
    <w:rsid w:val="00D72798"/>
    <w:rsid w:val="00D74524"/>
    <w:rsid w:val="00D74B71"/>
    <w:rsid w:val="00D76FA0"/>
    <w:rsid w:val="00D80CDE"/>
    <w:rsid w:val="00D82021"/>
    <w:rsid w:val="00D852A0"/>
    <w:rsid w:val="00D86324"/>
    <w:rsid w:val="00D8681E"/>
    <w:rsid w:val="00D87B0F"/>
    <w:rsid w:val="00D91E2E"/>
    <w:rsid w:val="00D92838"/>
    <w:rsid w:val="00D9288A"/>
    <w:rsid w:val="00D9348C"/>
    <w:rsid w:val="00D93953"/>
    <w:rsid w:val="00D95C0C"/>
    <w:rsid w:val="00D96E0D"/>
    <w:rsid w:val="00D977AF"/>
    <w:rsid w:val="00D9789C"/>
    <w:rsid w:val="00DA00D9"/>
    <w:rsid w:val="00DA02DC"/>
    <w:rsid w:val="00DA1CD4"/>
    <w:rsid w:val="00DA2206"/>
    <w:rsid w:val="00DA2612"/>
    <w:rsid w:val="00DA2DFF"/>
    <w:rsid w:val="00DA7EBE"/>
    <w:rsid w:val="00DB0DA5"/>
    <w:rsid w:val="00DB1814"/>
    <w:rsid w:val="00DB2D55"/>
    <w:rsid w:val="00DB2FAC"/>
    <w:rsid w:val="00DB43BB"/>
    <w:rsid w:val="00DB4868"/>
    <w:rsid w:val="00DB791E"/>
    <w:rsid w:val="00DB7EFE"/>
    <w:rsid w:val="00DC0554"/>
    <w:rsid w:val="00DC0ED4"/>
    <w:rsid w:val="00DC174E"/>
    <w:rsid w:val="00DC1C20"/>
    <w:rsid w:val="00DC2C15"/>
    <w:rsid w:val="00DC328B"/>
    <w:rsid w:val="00DC36FB"/>
    <w:rsid w:val="00DC4BD8"/>
    <w:rsid w:val="00DC5522"/>
    <w:rsid w:val="00DC6686"/>
    <w:rsid w:val="00DC79B8"/>
    <w:rsid w:val="00DD078A"/>
    <w:rsid w:val="00DD1B67"/>
    <w:rsid w:val="00DD4203"/>
    <w:rsid w:val="00DD42DE"/>
    <w:rsid w:val="00DD43CC"/>
    <w:rsid w:val="00DD45B6"/>
    <w:rsid w:val="00DD48C4"/>
    <w:rsid w:val="00DD48C7"/>
    <w:rsid w:val="00DD57C8"/>
    <w:rsid w:val="00DD5B98"/>
    <w:rsid w:val="00DD64D6"/>
    <w:rsid w:val="00DD6BC6"/>
    <w:rsid w:val="00DE0A6D"/>
    <w:rsid w:val="00DE105E"/>
    <w:rsid w:val="00DE14F3"/>
    <w:rsid w:val="00DE1D38"/>
    <w:rsid w:val="00DE2157"/>
    <w:rsid w:val="00DE2A7A"/>
    <w:rsid w:val="00DE2C96"/>
    <w:rsid w:val="00DE37CB"/>
    <w:rsid w:val="00DE3817"/>
    <w:rsid w:val="00DE4177"/>
    <w:rsid w:val="00DE521D"/>
    <w:rsid w:val="00DE55D5"/>
    <w:rsid w:val="00DE59FE"/>
    <w:rsid w:val="00DE726A"/>
    <w:rsid w:val="00DE7F95"/>
    <w:rsid w:val="00DF02EC"/>
    <w:rsid w:val="00DF2FE3"/>
    <w:rsid w:val="00DF421C"/>
    <w:rsid w:val="00DF53CF"/>
    <w:rsid w:val="00DF5AD2"/>
    <w:rsid w:val="00DF61ED"/>
    <w:rsid w:val="00DF6C66"/>
    <w:rsid w:val="00E00241"/>
    <w:rsid w:val="00E04542"/>
    <w:rsid w:val="00E06299"/>
    <w:rsid w:val="00E06FEC"/>
    <w:rsid w:val="00E07954"/>
    <w:rsid w:val="00E1068C"/>
    <w:rsid w:val="00E10948"/>
    <w:rsid w:val="00E10D8F"/>
    <w:rsid w:val="00E1610F"/>
    <w:rsid w:val="00E179CE"/>
    <w:rsid w:val="00E2045B"/>
    <w:rsid w:val="00E21BC5"/>
    <w:rsid w:val="00E24C35"/>
    <w:rsid w:val="00E2578F"/>
    <w:rsid w:val="00E25A08"/>
    <w:rsid w:val="00E2644E"/>
    <w:rsid w:val="00E270E1"/>
    <w:rsid w:val="00E3014F"/>
    <w:rsid w:val="00E30232"/>
    <w:rsid w:val="00E3078D"/>
    <w:rsid w:val="00E31171"/>
    <w:rsid w:val="00E31A22"/>
    <w:rsid w:val="00E31AB0"/>
    <w:rsid w:val="00E3238C"/>
    <w:rsid w:val="00E35059"/>
    <w:rsid w:val="00E35468"/>
    <w:rsid w:val="00E41F5F"/>
    <w:rsid w:val="00E421BE"/>
    <w:rsid w:val="00E4289D"/>
    <w:rsid w:val="00E45191"/>
    <w:rsid w:val="00E46C99"/>
    <w:rsid w:val="00E46DD0"/>
    <w:rsid w:val="00E52E4F"/>
    <w:rsid w:val="00E54212"/>
    <w:rsid w:val="00E549F1"/>
    <w:rsid w:val="00E5585E"/>
    <w:rsid w:val="00E55BE0"/>
    <w:rsid w:val="00E55C95"/>
    <w:rsid w:val="00E55EFF"/>
    <w:rsid w:val="00E56245"/>
    <w:rsid w:val="00E57721"/>
    <w:rsid w:val="00E57807"/>
    <w:rsid w:val="00E60965"/>
    <w:rsid w:val="00E623B4"/>
    <w:rsid w:val="00E623FF"/>
    <w:rsid w:val="00E66E82"/>
    <w:rsid w:val="00E672D7"/>
    <w:rsid w:val="00E679F2"/>
    <w:rsid w:val="00E746BD"/>
    <w:rsid w:val="00E749CC"/>
    <w:rsid w:val="00E75566"/>
    <w:rsid w:val="00E77D69"/>
    <w:rsid w:val="00E80C84"/>
    <w:rsid w:val="00E81C69"/>
    <w:rsid w:val="00E82D0F"/>
    <w:rsid w:val="00E836AA"/>
    <w:rsid w:val="00E84951"/>
    <w:rsid w:val="00E86603"/>
    <w:rsid w:val="00E86B46"/>
    <w:rsid w:val="00E87010"/>
    <w:rsid w:val="00E87EE3"/>
    <w:rsid w:val="00E91D2A"/>
    <w:rsid w:val="00E9259F"/>
    <w:rsid w:val="00E9280A"/>
    <w:rsid w:val="00E946DB"/>
    <w:rsid w:val="00E94BB8"/>
    <w:rsid w:val="00E95863"/>
    <w:rsid w:val="00E96B86"/>
    <w:rsid w:val="00E96FC1"/>
    <w:rsid w:val="00EA0839"/>
    <w:rsid w:val="00EA14DC"/>
    <w:rsid w:val="00EA1A4E"/>
    <w:rsid w:val="00EA2331"/>
    <w:rsid w:val="00EA31D4"/>
    <w:rsid w:val="00EA5A3F"/>
    <w:rsid w:val="00EA7039"/>
    <w:rsid w:val="00EA787C"/>
    <w:rsid w:val="00EB0555"/>
    <w:rsid w:val="00EB21B1"/>
    <w:rsid w:val="00EB2329"/>
    <w:rsid w:val="00EB25EE"/>
    <w:rsid w:val="00EB27EB"/>
    <w:rsid w:val="00EB2AB1"/>
    <w:rsid w:val="00EB52A5"/>
    <w:rsid w:val="00EB5FFF"/>
    <w:rsid w:val="00EB6A34"/>
    <w:rsid w:val="00EC5DD5"/>
    <w:rsid w:val="00EC6573"/>
    <w:rsid w:val="00EC7A1D"/>
    <w:rsid w:val="00EC7D32"/>
    <w:rsid w:val="00ED07A1"/>
    <w:rsid w:val="00ED0AEC"/>
    <w:rsid w:val="00ED1494"/>
    <w:rsid w:val="00ED1728"/>
    <w:rsid w:val="00ED1754"/>
    <w:rsid w:val="00ED1B72"/>
    <w:rsid w:val="00ED2890"/>
    <w:rsid w:val="00ED4EAC"/>
    <w:rsid w:val="00ED527F"/>
    <w:rsid w:val="00ED5ABF"/>
    <w:rsid w:val="00ED6E84"/>
    <w:rsid w:val="00ED7C6F"/>
    <w:rsid w:val="00EE010E"/>
    <w:rsid w:val="00EE0980"/>
    <w:rsid w:val="00EE6402"/>
    <w:rsid w:val="00EE7248"/>
    <w:rsid w:val="00EF0ED9"/>
    <w:rsid w:val="00EF1AD2"/>
    <w:rsid w:val="00EF3023"/>
    <w:rsid w:val="00EF3996"/>
    <w:rsid w:val="00EF4234"/>
    <w:rsid w:val="00EF7226"/>
    <w:rsid w:val="00EF7944"/>
    <w:rsid w:val="00F04E8F"/>
    <w:rsid w:val="00F0528D"/>
    <w:rsid w:val="00F059A4"/>
    <w:rsid w:val="00F06655"/>
    <w:rsid w:val="00F06C4D"/>
    <w:rsid w:val="00F104FE"/>
    <w:rsid w:val="00F10878"/>
    <w:rsid w:val="00F11B98"/>
    <w:rsid w:val="00F12690"/>
    <w:rsid w:val="00F14205"/>
    <w:rsid w:val="00F147B9"/>
    <w:rsid w:val="00F14E59"/>
    <w:rsid w:val="00F162FD"/>
    <w:rsid w:val="00F1760B"/>
    <w:rsid w:val="00F25333"/>
    <w:rsid w:val="00F25B1B"/>
    <w:rsid w:val="00F2652C"/>
    <w:rsid w:val="00F27B2D"/>
    <w:rsid w:val="00F30040"/>
    <w:rsid w:val="00F30991"/>
    <w:rsid w:val="00F30F7B"/>
    <w:rsid w:val="00F3326D"/>
    <w:rsid w:val="00F350DC"/>
    <w:rsid w:val="00F36059"/>
    <w:rsid w:val="00F3630A"/>
    <w:rsid w:val="00F374D6"/>
    <w:rsid w:val="00F408B2"/>
    <w:rsid w:val="00F41556"/>
    <w:rsid w:val="00F42FCE"/>
    <w:rsid w:val="00F45379"/>
    <w:rsid w:val="00F45ADE"/>
    <w:rsid w:val="00F46F9E"/>
    <w:rsid w:val="00F4775B"/>
    <w:rsid w:val="00F479D1"/>
    <w:rsid w:val="00F479E2"/>
    <w:rsid w:val="00F479E9"/>
    <w:rsid w:val="00F5071F"/>
    <w:rsid w:val="00F50E7F"/>
    <w:rsid w:val="00F5111D"/>
    <w:rsid w:val="00F52261"/>
    <w:rsid w:val="00F52606"/>
    <w:rsid w:val="00F542AF"/>
    <w:rsid w:val="00F5431B"/>
    <w:rsid w:val="00F55021"/>
    <w:rsid w:val="00F55382"/>
    <w:rsid w:val="00F557ED"/>
    <w:rsid w:val="00F56194"/>
    <w:rsid w:val="00F56520"/>
    <w:rsid w:val="00F57CF5"/>
    <w:rsid w:val="00F57CFC"/>
    <w:rsid w:val="00F60E76"/>
    <w:rsid w:val="00F61925"/>
    <w:rsid w:val="00F62F92"/>
    <w:rsid w:val="00F64AA3"/>
    <w:rsid w:val="00F64B61"/>
    <w:rsid w:val="00F64E58"/>
    <w:rsid w:val="00F659C8"/>
    <w:rsid w:val="00F6759C"/>
    <w:rsid w:val="00F678F9"/>
    <w:rsid w:val="00F67E9F"/>
    <w:rsid w:val="00F70577"/>
    <w:rsid w:val="00F70631"/>
    <w:rsid w:val="00F70C35"/>
    <w:rsid w:val="00F70D9C"/>
    <w:rsid w:val="00F71737"/>
    <w:rsid w:val="00F71B6B"/>
    <w:rsid w:val="00F73FF8"/>
    <w:rsid w:val="00F77771"/>
    <w:rsid w:val="00F77FB8"/>
    <w:rsid w:val="00F800CC"/>
    <w:rsid w:val="00F83366"/>
    <w:rsid w:val="00F83F79"/>
    <w:rsid w:val="00F848EC"/>
    <w:rsid w:val="00F852BD"/>
    <w:rsid w:val="00F8782A"/>
    <w:rsid w:val="00F90012"/>
    <w:rsid w:val="00F901A5"/>
    <w:rsid w:val="00F90B6B"/>
    <w:rsid w:val="00F93AD0"/>
    <w:rsid w:val="00F93FAF"/>
    <w:rsid w:val="00F94B95"/>
    <w:rsid w:val="00F976E2"/>
    <w:rsid w:val="00F97CB5"/>
    <w:rsid w:val="00FA09F6"/>
    <w:rsid w:val="00FA0E16"/>
    <w:rsid w:val="00FA4424"/>
    <w:rsid w:val="00FA4DB7"/>
    <w:rsid w:val="00FA5659"/>
    <w:rsid w:val="00FA645E"/>
    <w:rsid w:val="00FA7AA3"/>
    <w:rsid w:val="00FA7FD9"/>
    <w:rsid w:val="00FB27A3"/>
    <w:rsid w:val="00FB2E45"/>
    <w:rsid w:val="00FB4E37"/>
    <w:rsid w:val="00FB4F75"/>
    <w:rsid w:val="00FB4FB4"/>
    <w:rsid w:val="00FB59EF"/>
    <w:rsid w:val="00FB5D14"/>
    <w:rsid w:val="00FB63EC"/>
    <w:rsid w:val="00FB6D5B"/>
    <w:rsid w:val="00FC102F"/>
    <w:rsid w:val="00FC3152"/>
    <w:rsid w:val="00FC3263"/>
    <w:rsid w:val="00FC4369"/>
    <w:rsid w:val="00FC54AB"/>
    <w:rsid w:val="00FC58E7"/>
    <w:rsid w:val="00FC5B17"/>
    <w:rsid w:val="00FC604F"/>
    <w:rsid w:val="00FD06FF"/>
    <w:rsid w:val="00FD0F32"/>
    <w:rsid w:val="00FD119F"/>
    <w:rsid w:val="00FD1714"/>
    <w:rsid w:val="00FD1FF5"/>
    <w:rsid w:val="00FD365F"/>
    <w:rsid w:val="00FD3A14"/>
    <w:rsid w:val="00FD3DFF"/>
    <w:rsid w:val="00FD6492"/>
    <w:rsid w:val="00FD649F"/>
    <w:rsid w:val="00FD694C"/>
    <w:rsid w:val="00FD71C3"/>
    <w:rsid w:val="00FD71E5"/>
    <w:rsid w:val="00FD7D73"/>
    <w:rsid w:val="00FE11AD"/>
    <w:rsid w:val="00FE39F7"/>
    <w:rsid w:val="00FE3BD3"/>
    <w:rsid w:val="00FE543C"/>
    <w:rsid w:val="00FE69E4"/>
    <w:rsid w:val="00FE6C2E"/>
    <w:rsid w:val="00FE6C36"/>
    <w:rsid w:val="00FE7455"/>
    <w:rsid w:val="00FF0875"/>
    <w:rsid w:val="00FF13C7"/>
    <w:rsid w:val="00FF28C1"/>
    <w:rsid w:val="00FF4A63"/>
    <w:rsid w:val="00FF4EC1"/>
    <w:rsid w:val="00FF5D5C"/>
    <w:rsid w:val="00FF5E29"/>
    <w:rsid w:val="00FF60E1"/>
    <w:rsid w:val="00FF781E"/>
    <w:rsid w:val="0100556D"/>
    <w:rsid w:val="0109524A"/>
    <w:rsid w:val="012F7150"/>
    <w:rsid w:val="013633C1"/>
    <w:rsid w:val="0161074E"/>
    <w:rsid w:val="018A4392"/>
    <w:rsid w:val="01C62562"/>
    <w:rsid w:val="01D45B8B"/>
    <w:rsid w:val="01D95F0B"/>
    <w:rsid w:val="01DB6127"/>
    <w:rsid w:val="01E860CC"/>
    <w:rsid w:val="02183ED1"/>
    <w:rsid w:val="023E309E"/>
    <w:rsid w:val="0254304C"/>
    <w:rsid w:val="02572C86"/>
    <w:rsid w:val="026C72E9"/>
    <w:rsid w:val="027949DA"/>
    <w:rsid w:val="02BA65F7"/>
    <w:rsid w:val="02E56BB2"/>
    <w:rsid w:val="02E67803"/>
    <w:rsid w:val="02EB0026"/>
    <w:rsid w:val="02FA2F09"/>
    <w:rsid w:val="03131C39"/>
    <w:rsid w:val="0321400D"/>
    <w:rsid w:val="032C5684"/>
    <w:rsid w:val="03311E81"/>
    <w:rsid w:val="034406DA"/>
    <w:rsid w:val="035B056F"/>
    <w:rsid w:val="0367633C"/>
    <w:rsid w:val="038D76BF"/>
    <w:rsid w:val="038F0F2B"/>
    <w:rsid w:val="03CC5C15"/>
    <w:rsid w:val="04017105"/>
    <w:rsid w:val="04117B9D"/>
    <w:rsid w:val="04293415"/>
    <w:rsid w:val="043613BF"/>
    <w:rsid w:val="043622B3"/>
    <w:rsid w:val="04530213"/>
    <w:rsid w:val="0484549D"/>
    <w:rsid w:val="048528F7"/>
    <w:rsid w:val="04977D9A"/>
    <w:rsid w:val="04AF11BA"/>
    <w:rsid w:val="04E73017"/>
    <w:rsid w:val="04E96BA6"/>
    <w:rsid w:val="04F25439"/>
    <w:rsid w:val="04F702EB"/>
    <w:rsid w:val="05047743"/>
    <w:rsid w:val="050A136F"/>
    <w:rsid w:val="051364CB"/>
    <w:rsid w:val="052F7CB7"/>
    <w:rsid w:val="053103D7"/>
    <w:rsid w:val="053D35FB"/>
    <w:rsid w:val="054C6613"/>
    <w:rsid w:val="055A2D2E"/>
    <w:rsid w:val="056B28B9"/>
    <w:rsid w:val="056B574A"/>
    <w:rsid w:val="05864710"/>
    <w:rsid w:val="058F15E0"/>
    <w:rsid w:val="059F0DD2"/>
    <w:rsid w:val="05B90953"/>
    <w:rsid w:val="05D27500"/>
    <w:rsid w:val="05E63000"/>
    <w:rsid w:val="05F36774"/>
    <w:rsid w:val="06041ADD"/>
    <w:rsid w:val="06302B10"/>
    <w:rsid w:val="06362257"/>
    <w:rsid w:val="064204E4"/>
    <w:rsid w:val="06496E25"/>
    <w:rsid w:val="064D2DC9"/>
    <w:rsid w:val="06526309"/>
    <w:rsid w:val="06530960"/>
    <w:rsid w:val="065835C3"/>
    <w:rsid w:val="067E3D27"/>
    <w:rsid w:val="068B62EA"/>
    <w:rsid w:val="06A25AB9"/>
    <w:rsid w:val="06BE2F5B"/>
    <w:rsid w:val="06D3072B"/>
    <w:rsid w:val="06E130A0"/>
    <w:rsid w:val="06F43020"/>
    <w:rsid w:val="070F67B1"/>
    <w:rsid w:val="07175E3E"/>
    <w:rsid w:val="07263687"/>
    <w:rsid w:val="072D3109"/>
    <w:rsid w:val="07372E97"/>
    <w:rsid w:val="073C666A"/>
    <w:rsid w:val="07425F54"/>
    <w:rsid w:val="076144D6"/>
    <w:rsid w:val="07684BC4"/>
    <w:rsid w:val="076C4100"/>
    <w:rsid w:val="077A3735"/>
    <w:rsid w:val="07843C07"/>
    <w:rsid w:val="07A34C16"/>
    <w:rsid w:val="07C37A57"/>
    <w:rsid w:val="07C667DA"/>
    <w:rsid w:val="07EF5301"/>
    <w:rsid w:val="07F3337D"/>
    <w:rsid w:val="080B4B30"/>
    <w:rsid w:val="081A66A2"/>
    <w:rsid w:val="084A28CC"/>
    <w:rsid w:val="08534DEA"/>
    <w:rsid w:val="085A2AF4"/>
    <w:rsid w:val="08666A3E"/>
    <w:rsid w:val="0894704F"/>
    <w:rsid w:val="089B3174"/>
    <w:rsid w:val="08B22E16"/>
    <w:rsid w:val="08BB732F"/>
    <w:rsid w:val="08E8376E"/>
    <w:rsid w:val="08EC4507"/>
    <w:rsid w:val="08F9463E"/>
    <w:rsid w:val="09295B17"/>
    <w:rsid w:val="09340A1A"/>
    <w:rsid w:val="093560F5"/>
    <w:rsid w:val="093B2B06"/>
    <w:rsid w:val="093F3C37"/>
    <w:rsid w:val="095115DC"/>
    <w:rsid w:val="0951766A"/>
    <w:rsid w:val="096B2B7E"/>
    <w:rsid w:val="097B0A87"/>
    <w:rsid w:val="097F6609"/>
    <w:rsid w:val="09853210"/>
    <w:rsid w:val="099917A2"/>
    <w:rsid w:val="09A24D06"/>
    <w:rsid w:val="09A37234"/>
    <w:rsid w:val="09C556F2"/>
    <w:rsid w:val="09DA4A41"/>
    <w:rsid w:val="0A012D2A"/>
    <w:rsid w:val="0A084995"/>
    <w:rsid w:val="0A0A0C31"/>
    <w:rsid w:val="0A0F218D"/>
    <w:rsid w:val="0A1965CE"/>
    <w:rsid w:val="0A3E60BF"/>
    <w:rsid w:val="0A4F08C9"/>
    <w:rsid w:val="0A62054D"/>
    <w:rsid w:val="0A6D7B61"/>
    <w:rsid w:val="0A702128"/>
    <w:rsid w:val="0A7E1980"/>
    <w:rsid w:val="0AB60DAC"/>
    <w:rsid w:val="0ACA5AAD"/>
    <w:rsid w:val="0AF02DB2"/>
    <w:rsid w:val="0B1428AC"/>
    <w:rsid w:val="0B2334E8"/>
    <w:rsid w:val="0B386F3D"/>
    <w:rsid w:val="0B505547"/>
    <w:rsid w:val="0B5278D5"/>
    <w:rsid w:val="0B602252"/>
    <w:rsid w:val="0B766F39"/>
    <w:rsid w:val="0B857F68"/>
    <w:rsid w:val="0B863119"/>
    <w:rsid w:val="0BA37790"/>
    <w:rsid w:val="0BC52B7E"/>
    <w:rsid w:val="0BCD39F0"/>
    <w:rsid w:val="0BCF3779"/>
    <w:rsid w:val="0BD04B49"/>
    <w:rsid w:val="0C096E3F"/>
    <w:rsid w:val="0C156E6A"/>
    <w:rsid w:val="0C38797C"/>
    <w:rsid w:val="0C5105CE"/>
    <w:rsid w:val="0C5561E2"/>
    <w:rsid w:val="0C5A2092"/>
    <w:rsid w:val="0C5A4DB6"/>
    <w:rsid w:val="0C5D156C"/>
    <w:rsid w:val="0C605C35"/>
    <w:rsid w:val="0C7D3292"/>
    <w:rsid w:val="0C8D0110"/>
    <w:rsid w:val="0CC35BA6"/>
    <w:rsid w:val="0CD273B9"/>
    <w:rsid w:val="0D07326F"/>
    <w:rsid w:val="0D0A6F38"/>
    <w:rsid w:val="0D0C6DD0"/>
    <w:rsid w:val="0D241A43"/>
    <w:rsid w:val="0D515781"/>
    <w:rsid w:val="0D7314C0"/>
    <w:rsid w:val="0DAE016C"/>
    <w:rsid w:val="0DB50B13"/>
    <w:rsid w:val="0DB96EBC"/>
    <w:rsid w:val="0DCF2BFB"/>
    <w:rsid w:val="0DF10AA5"/>
    <w:rsid w:val="0E124C7E"/>
    <w:rsid w:val="0E1345BD"/>
    <w:rsid w:val="0E1C4DEC"/>
    <w:rsid w:val="0E4851B1"/>
    <w:rsid w:val="0E7B74FF"/>
    <w:rsid w:val="0E86617F"/>
    <w:rsid w:val="0E88732A"/>
    <w:rsid w:val="0E8B7C65"/>
    <w:rsid w:val="0E935D72"/>
    <w:rsid w:val="0E95384E"/>
    <w:rsid w:val="0E9A69D1"/>
    <w:rsid w:val="0EA0228A"/>
    <w:rsid w:val="0EA96EF7"/>
    <w:rsid w:val="0EB5565F"/>
    <w:rsid w:val="0F181637"/>
    <w:rsid w:val="0F216FC8"/>
    <w:rsid w:val="0F485F41"/>
    <w:rsid w:val="0F4A0492"/>
    <w:rsid w:val="0F59553F"/>
    <w:rsid w:val="0F736731"/>
    <w:rsid w:val="0F790F64"/>
    <w:rsid w:val="0F7D0070"/>
    <w:rsid w:val="0F8A5413"/>
    <w:rsid w:val="0F8D209C"/>
    <w:rsid w:val="0FB53F52"/>
    <w:rsid w:val="0FBC1351"/>
    <w:rsid w:val="0FDF7412"/>
    <w:rsid w:val="0FE314E3"/>
    <w:rsid w:val="101E7EF1"/>
    <w:rsid w:val="1045419A"/>
    <w:rsid w:val="104A7A0C"/>
    <w:rsid w:val="10610877"/>
    <w:rsid w:val="10677DB3"/>
    <w:rsid w:val="107A4C70"/>
    <w:rsid w:val="109265C6"/>
    <w:rsid w:val="10A94E7F"/>
    <w:rsid w:val="10BA1E9B"/>
    <w:rsid w:val="10EA164D"/>
    <w:rsid w:val="10FD39C4"/>
    <w:rsid w:val="10FD6B59"/>
    <w:rsid w:val="1107127A"/>
    <w:rsid w:val="1109320A"/>
    <w:rsid w:val="11357601"/>
    <w:rsid w:val="11383BF5"/>
    <w:rsid w:val="11480F15"/>
    <w:rsid w:val="118528AF"/>
    <w:rsid w:val="119F67E9"/>
    <w:rsid w:val="11E104C9"/>
    <w:rsid w:val="11E903EC"/>
    <w:rsid w:val="11FA7ACD"/>
    <w:rsid w:val="123A6655"/>
    <w:rsid w:val="12417234"/>
    <w:rsid w:val="12523F26"/>
    <w:rsid w:val="12643AC0"/>
    <w:rsid w:val="128B753A"/>
    <w:rsid w:val="12D646F0"/>
    <w:rsid w:val="12E81B7A"/>
    <w:rsid w:val="131B68DF"/>
    <w:rsid w:val="134A7D5A"/>
    <w:rsid w:val="13604592"/>
    <w:rsid w:val="13795818"/>
    <w:rsid w:val="13A64337"/>
    <w:rsid w:val="13AA5EC5"/>
    <w:rsid w:val="13BD5994"/>
    <w:rsid w:val="13F8254B"/>
    <w:rsid w:val="14010B9F"/>
    <w:rsid w:val="14053ED3"/>
    <w:rsid w:val="145D28C5"/>
    <w:rsid w:val="14B75F16"/>
    <w:rsid w:val="14BB08C0"/>
    <w:rsid w:val="14CC2ACF"/>
    <w:rsid w:val="14CD6A1E"/>
    <w:rsid w:val="14E57331"/>
    <w:rsid w:val="15036BFD"/>
    <w:rsid w:val="15074FB3"/>
    <w:rsid w:val="150E37F3"/>
    <w:rsid w:val="15220268"/>
    <w:rsid w:val="155454B9"/>
    <w:rsid w:val="155B40AB"/>
    <w:rsid w:val="156D1DB9"/>
    <w:rsid w:val="157D4226"/>
    <w:rsid w:val="15805CC9"/>
    <w:rsid w:val="1596620A"/>
    <w:rsid w:val="159D16D8"/>
    <w:rsid w:val="15A55913"/>
    <w:rsid w:val="15CB1E8C"/>
    <w:rsid w:val="15DB6224"/>
    <w:rsid w:val="15F042E2"/>
    <w:rsid w:val="15F8055E"/>
    <w:rsid w:val="16416A5F"/>
    <w:rsid w:val="1681567F"/>
    <w:rsid w:val="16985F3D"/>
    <w:rsid w:val="16A1157C"/>
    <w:rsid w:val="16AA2CE7"/>
    <w:rsid w:val="16BB251C"/>
    <w:rsid w:val="171E19D1"/>
    <w:rsid w:val="17276240"/>
    <w:rsid w:val="17305008"/>
    <w:rsid w:val="17537733"/>
    <w:rsid w:val="1759567E"/>
    <w:rsid w:val="175A481A"/>
    <w:rsid w:val="175A6EB3"/>
    <w:rsid w:val="175F1C8D"/>
    <w:rsid w:val="176D3F33"/>
    <w:rsid w:val="17813F5A"/>
    <w:rsid w:val="1784352A"/>
    <w:rsid w:val="178B1B3C"/>
    <w:rsid w:val="178C3CF3"/>
    <w:rsid w:val="17D14E1A"/>
    <w:rsid w:val="18036713"/>
    <w:rsid w:val="180954D0"/>
    <w:rsid w:val="181B4534"/>
    <w:rsid w:val="183557ED"/>
    <w:rsid w:val="183E697C"/>
    <w:rsid w:val="18651A86"/>
    <w:rsid w:val="189118CB"/>
    <w:rsid w:val="18AD4A0C"/>
    <w:rsid w:val="18E87990"/>
    <w:rsid w:val="18EF38C7"/>
    <w:rsid w:val="19014B43"/>
    <w:rsid w:val="1905388B"/>
    <w:rsid w:val="191914DA"/>
    <w:rsid w:val="19382051"/>
    <w:rsid w:val="1944498B"/>
    <w:rsid w:val="19526B04"/>
    <w:rsid w:val="19760251"/>
    <w:rsid w:val="198C6194"/>
    <w:rsid w:val="19914982"/>
    <w:rsid w:val="19917A70"/>
    <w:rsid w:val="19B90F5C"/>
    <w:rsid w:val="19D447CA"/>
    <w:rsid w:val="19E5750D"/>
    <w:rsid w:val="1A157AAB"/>
    <w:rsid w:val="1A2160D3"/>
    <w:rsid w:val="1A327792"/>
    <w:rsid w:val="1A8B7A99"/>
    <w:rsid w:val="1AB36BDC"/>
    <w:rsid w:val="1AD2349E"/>
    <w:rsid w:val="1AE25E64"/>
    <w:rsid w:val="1AFD503D"/>
    <w:rsid w:val="1B056844"/>
    <w:rsid w:val="1B194ACA"/>
    <w:rsid w:val="1B28788F"/>
    <w:rsid w:val="1B2B5FBD"/>
    <w:rsid w:val="1B36062D"/>
    <w:rsid w:val="1B443FF7"/>
    <w:rsid w:val="1B5941E5"/>
    <w:rsid w:val="1B612DBD"/>
    <w:rsid w:val="1B62013C"/>
    <w:rsid w:val="1B631071"/>
    <w:rsid w:val="1B6458B8"/>
    <w:rsid w:val="1BA17CC8"/>
    <w:rsid w:val="1BBA0654"/>
    <w:rsid w:val="1BBC5E65"/>
    <w:rsid w:val="1BBE54CE"/>
    <w:rsid w:val="1BE55780"/>
    <w:rsid w:val="1BFB25C9"/>
    <w:rsid w:val="1C1B1AEA"/>
    <w:rsid w:val="1C2B5096"/>
    <w:rsid w:val="1C420F68"/>
    <w:rsid w:val="1C4D3DC2"/>
    <w:rsid w:val="1C514056"/>
    <w:rsid w:val="1C532135"/>
    <w:rsid w:val="1C601310"/>
    <w:rsid w:val="1C8F14AF"/>
    <w:rsid w:val="1C92007A"/>
    <w:rsid w:val="1C9A61B9"/>
    <w:rsid w:val="1CFB27D8"/>
    <w:rsid w:val="1D020417"/>
    <w:rsid w:val="1D1130D6"/>
    <w:rsid w:val="1D1660F5"/>
    <w:rsid w:val="1D1A5F7F"/>
    <w:rsid w:val="1D2833EF"/>
    <w:rsid w:val="1D3C4BBF"/>
    <w:rsid w:val="1D4112C5"/>
    <w:rsid w:val="1D5C636B"/>
    <w:rsid w:val="1DB31DC6"/>
    <w:rsid w:val="1DDC3D55"/>
    <w:rsid w:val="1DE03110"/>
    <w:rsid w:val="1DE55A3F"/>
    <w:rsid w:val="1DE71C83"/>
    <w:rsid w:val="1DE84E72"/>
    <w:rsid w:val="1DF73FBD"/>
    <w:rsid w:val="1E121454"/>
    <w:rsid w:val="1E3D7831"/>
    <w:rsid w:val="1E433468"/>
    <w:rsid w:val="1E4632F1"/>
    <w:rsid w:val="1E495B86"/>
    <w:rsid w:val="1E550A65"/>
    <w:rsid w:val="1E572316"/>
    <w:rsid w:val="1E6432EF"/>
    <w:rsid w:val="1E730423"/>
    <w:rsid w:val="1E8C4506"/>
    <w:rsid w:val="1E8C6470"/>
    <w:rsid w:val="1E9263FD"/>
    <w:rsid w:val="1EA73A0B"/>
    <w:rsid w:val="1EBC6D7F"/>
    <w:rsid w:val="1EED6227"/>
    <w:rsid w:val="1F1F00F3"/>
    <w:rsid w:val="1F3C6C36"/>
    <w:rsid w:val="1F483D38"/>
    <w:rsid w:val="1F490BFA"/>
    <w:rsid w:val="1F4C55A3"/>
    <w:rsid w:val="1F851DE5"/>
    <w:rsid w:val="1F9703C3"/>
    <w:rsid w:val="1F9D701C"/>
    <w:rsid w:val="1FAA255A"/>
    <w:rsid w:val="1FF82AD6"/>
    <w:rsid w:val="20063193"/>
    <w:rsid w:val="200A2651"/>
    <w:rsid w:val="200D7DEF"/>
    <w:rsid w:val="202533A6"/>
    <w:rsid w:val="2034617C"/>
    <w:rsid w:val="203F7538"/>
    <w:rsid w:val="2046154B"/>
    <w:rsid w:val="20497076"/>
    <w:rsid w:val="204B4588"/>
    <w:rsid w:val="204C40F1"/>
    <w:rsid w:val="20743C67"/>
    <w:rsid w:val="207843D8"/>
    <w:rsid w:val="20960101"/>
    <w:rsid w:val="20986CD2"/>
    <w:rsid w:val="20A9419E"/>
    <w:rsid w:val="20B76374"/>
    <w:rsid w:val="20C340C8"/>
    <w:rsid w:val="20DA3CD5"/>
    <w:rsid w:val="20E76455"/>
    <w:rsid w:val="21227B9B"/>
    <w:rsid w:val="212E52B0"/>
    <w:rsid w:val="214100B8"/>
    <w:rsid w:val="21D5262C"/>
    <w:rsid w:val="21E62252"/>
    <w:rsid w:val="22460F43"/>
    <w:rsid w:val="2251257E"/>
    <w:rsid w:val="22817088"/>
    <w:rsid w:val="228A3473"/>
    <w:rsid w:val="22A20F54"/>
    <w:rsid w:val="22AE1C22"/>
    <w:rsid w:val="22D35534"/>
    <w:rsid w:val="22F728FE"/>
    <w:rsid w:val="22FB74C9"/>
    <w:rsid w:val="23285CCC"/>
    <w:rsid w:val="236E21C8"/>
    <w:rsid w:val="23AE5B30"/>
    <w:rsid w:val="23C309C3"/>
    <w:rsid w:val="23D824B4"/>
    <w:rsid w:val="23E36368"/>
    <w:rsid w:val="23FE7107"/>
    <w:rsid w:val="24137E5A"/>
    <w:rsid w:val="24140302"/>
    <w:rsid w:val="241B1209"/>
    <w:rsid w:val="242D192F"/>
    <w:rsid w:val="243D5350"/>
    <w:rsid w:val="245142FB"/>
    <w:rsid w:val="24D1226C"/>
    <w:rsid w:val="2507743C"/>
    <w:rsid w:val="253D1C46"/>
    <w:rsid w:val="255E23E3"/>
    <w:rsid w:val="255E2E47"/>
    <w:rsid w:val="256F2065"/>
    <w:rsid w:val="25AF0D45"/>
    <w:rsid w:val="25D849AD"/>
    <w:rsid w:val="25E44FA2"/>
    <w:rsid w:val="25E8586A"/>
    <w:rsid w:val="260334CA"/>
    <w:rsid w:val="260500D8"/>
    <w:rsid w:val="26081F78"/>
    <w:rsid w:val="26122603"/>
    <w:rsid w:val="26232FA3"/>
    <w:rsid w:val="263501E1"/>
    <w:rsid w:val="263B691F"/>
    <w:rsid w:val="264137D6"/>
    <w:rsid w:val="264B781A"/>
    <w:rsid w:val="265F212D"/>
    <w:rsid w:val="26836371"/>
    <w:rsid w:val="268A7989"/>
    <w:rsid w:val="26B3274C"/>
    <w:rsid w:val="26C76B5B"/>
    <w:rsid w:val="26CB1B59"/>
    <w:rsid w:val="26CD4278"/>
    <w:rsid w:val="26D243A2"/>
    <w:rsid w:val="26D56A89"/>
    <w:rsid w:val="26D905C7"/>
    <w:rsid w:val="26E97A19"/>
    <w:rsid w:val="2702237E"/>
    <w:rsid w:val="271B44C5"/>
    <w:rsid w:val="271C4341"/>
    <w:rsid w:val="271E6FAF"/>
    <w:rsid w:val="273024EA"/>
    <w:rsid w:val="27655469"/>
    <w:rsid w:val="277811F5"/>
    <w:rsid w:val="277D4941"/>
    <w:rsid w:val="278133A5"/>
    <w:rsid w:val="27880166"/>
    <w:rsid w:val="279C1B98"/>
    <w:rsid w:val="27B23302"/>
    <w:rsid w:val="27CE2DA4"/>
    <w:rsid w:val="28096560"/>
    <w:rsid w:val="280E1251"/>
    <w:rsid w:val="28137065"/>
    <w:rsid w:val="287B7FBC"/>
    <w:rsid w:val="289114C7"/>
    <w:rsid w:val="28AD177E"/>
    <w:rsid w:val="28B409B4"/>
    <w:rsid w:val="28C87C4B"/>
    <w:rsid w:val="28CD3ED8"/>
    <w:rsid w:val="28D75D26"/>
    <w:rsid w:val="28EF04DA"/>
    <w:rsid w:val="28F17D0E"/>
    <w:rsid w:val="29175CC6"/>
    <w:rsid w:val="29177195"/>
    <w:rsid w:val="29236DB2"/>
    <w:rsid w:val="293958DB"/>
    <w:rsid w:val="293D4E4D"/>
    <w:rsid w:val="293F781D"/>
    <w:rsid w:val="29440A94"/>
    <w:rsid w:val="29524599"/>
    <w:rsid w:val="295D1738"/>
    <w:rsid w:val="29600E8C"/>
    <w:rsid w:val="296019CE"/>
    <w:rsid w:val="296D5BAC"/>
    <w:rsid w:val="29707A64"/>
    <w:rsid w:val="297918EA"/>
    <w:rsid w:val="29897978"/>
    <w:rsid w:val="29AB4518"/>
    <w:rsid w:val="29B96E0D"/>
    <w:rsid w:val="29CF05A6"/>
    <w:rsid w:val="29E92CCC"/>
    <w:rsid w:val="2A0B0AA8"/>
    <w:rsid w:val="2A10407C"/>
    <w:rsid w:val="2A1C4650"/>
    <w:rsid w:val="2A226370"/>
    <w:rsid w:val="2A2A5704"/>
    <w:rsid w:val="2A2C3F1B"/>
    <w:rsid w:val="2A516BCC"/>
    <w:rsid w:val="2A520139"/>
    <w:rsid w:val="2A5762BB"/>
    <w:rsid w:val="2A593EF4"/>
    <w:rsid w:val="2A5F1711"/>
    <w:rsid w:val="2A6151DB"/>
    <w:rsid w:val="2A9C0C2A"/>
    <w:rsid w:val="2A9E0783"/>
    <w:rsid w:val="2AAF55DC"/>
    <w:rsid w:val="2AC605C5"/>
    <w:rsid w:val="2AC7741A"/>
    <w:rsid w:val="2B2F7417"/>
    <w:rsid w:val="2B553608"/>
    <w:rsid w:val="2B580DDB"/>
    <w:rsid w:val="2B640BF6"/>
    <w:rsid w:val="2B851DC4"/>
    <w:rsid w:val="2B876450"/>
    <w:rsid w:val="2B970AD3"/>
    <w:rsid w:val="2BDC4C1A"/>
    <w:rsid w:val="2BFC2C05"/>
    <w:rsid w:val="2C0C673B"/>
    <w:rsid w:val="2C10054E"/>
    <w:rsid w:val="2C2218D8"/>
    <w:rsid w:val="2C5D5DA1"/>
    <w:rsid w:val="2CA33B9E"/>
    <w:rsid w:val="2CA948E6"/>
    <w:rsid w:val="2CB54880"/>
    <w:rsid w:val="2CBC42DB"/>
    <w:rsid w:val="2CD37E23"/>
    <w:rsid w:val="2CF47E63"/>
    <w:rsid w:val="2D0E5C63"/>
    <w:rsid w:val="2D0F5477"/>
    <w:rsid w:val="2D547B8C"/>
    <w:rsid w:val="2D600499"/>
    <w:rsid w:val="2D7E726C"/>
    <w:rsid w:val="2D9C3636"/>
    <w:rsid w:val="2D9F7E66"/>
    <w:rsid w:val="2DE341B1"/>
    <w:rsid w:val="2DE505BC"/>
    <w:rsid w:val="2DF27A06"/>
    <w:rsid w:val="2DF37A71"/>
    <w:rsid w:val="2E115FA8"/>
    <w:rsid w:val="2E2261B9"/>
    <w:rsid w:val="2E271C28"/>
    <w:rsid w:val="2E315B19"/>
    <w:rsid w:val="2E6E25EA"/>
    <w:rsid w:val="2E79642A"/>
    <w:rsid w:val="2E832ED6"/>
    <w:rsid w:val="2E94295D"/>
    <w:rsid w:val="2E9B4ED4"/>
    <w:rsid w:val="2EBA6F40"/>
    <w:rsid w:val="2EC858DE"/>
    <w:rsid w:val="2ECD4193"/>
    <w:rsid w:val="2ED73513"/>
    <w:rsid w:val="2EE42F6E"/>
    <w:rsid w:val="2EED741A"/>
    <w:rsid w:val="2F1D5608"/>
    <w:rsid w:val="2F325AEE"/>
    <w:rsid w:val="2F3C79DA"/>
    <w:rsid w:val="2F3F3F8A"/>
    <w:rsid w:val="2F4368B6"/>
    <w:rsid w:val="2F6B1195"/>
    <w:rsid w:val="2F6D5784"/>
    <w:rsid w:val="2F743094"/>
    <w:rsid w:val="2F867C44"/>
    <w:rsid w:val="2F933914"/>
    <w:rsid w:val="2F9E0AE8"/>
    <w:rsid w:val="2FAB5032"/>
    <w:rsid w:val="2FB15DD0"/>
    <w:rsid w:val="2FE92613"/>
    <w:rsid w:val="30170CC8"/>
    <w:rsid w:val="30173EA0"/>
    <w:rsid w:val="301D32E3"/>
    <w:rsid w:val="30377177"/>
    <w:rsid w:val="30636A1D"/>
    <w:rsid w:val="309C46FD"/>
    <w:rsid w:val="30AE03DF"/>
    <w:rsid w:val="30B13135"/>
    <w:rsid w:val="30C61C26"/>
    <w:rsid w:val="30E22B8D"/>
    <w:rsid w:val="30E26EBD"/>
    <w:rsid w:val="30E96E6F"/>
    <w:rsid w:val="30F65CD7"/>
    <w:rsid w:val="31174A0C"/>
    <w:rsid w:val="31332126"/>
    <w:rsid w:val="314E641F"/>
    <w:rsid w:val="315E1E05"/>
    <w:rsid w:val="316E1D89"/>
    <w:rsid w:val="318A0037"/>
    <w:rsid w:val="318F0EA7"/>
    <w:rsid w:val="31BC2E92"/>
    <w:rsid w:val="31C239C2"/>
    <w:rsid w:val="31E038B8"/>
    <w:rsid w:val="320B3D3C"/>
    <w:rsid w:val="32130CC8"/>
    <w:rsid w:val="32370DFC"/>
    <w:rsid w:val="323B333A"/>
    <w:rsid w:val="3252368B"/>
    <w:rsid w:val="327032E7"/>
    <w:rsid w:val="3272313E"/>
    <w:rsid w:val="327F4F67"/>
    <w:rsid w:val="32876299"/>
    <w:rsid w:val="3293001F"/>
    <w:rsid w:val="329F24F9"/>
    <w:rsid w:val="32CA4D56"/>
    <w:rsid w:val="32DC72DD"/>
    <w:rsid w:val="32DF5D68"/>
    <w:rsid w:val="32EE58B9"/>
    <w:rsid w:val="32F15524"/>
    <w:rsid w:val="32FB4F83"/>
    <w:rsid w:val="331A3C8D"/>
    <w:rsid w:val="332545DD"/>
    <w:rsid w:val="334D28DE"/>
    <w:rsid w:val="3351029A"/>
    <w:rsid w:val="3376374E"/>
    <w:rsid w:val="33967181"/>
    <w:rsid w:val="33A060C1"/>
    <w:rsid w:val="33C11364"/>
    <w:rsid w:val="33DB5182"/>
    <w:rsid w:val="34086058"/>
    <w:rsid w:val="340B6471"/>
    <w:rsid w:val="34204DA6"/>
    <w:rsid w:val="345F00BE"/>
    <w:rsid w:val="34613394"/>
    <w:rsid w:val="3471713A"/>
    <w:rsid w:val="348222AE"/>
    <w:rsid w:val="34887F9F"/>
    <w:rsid w:val="34980A9B"/>
    <w:rsid w:val="34A228E4"/>
    <w:rsid w:val="34A3033B"/>
    <w:rsid w:val="34A42225"/>
    <w:rsid w:val="34A43C92"/>
    <w:rsid w:val="34BB33B3"/>
    <w:rsid w:val="34C67F90"/>
    <w:rsid w:val="350D3C9B"/>
    <w:rsid w:val="352B7A8C"/>
    <w:rsid w:val="35622C15"/>
    <w:rsid w:val="35661B4E"/>
    <w:rsid w:val="35680CF4"/>
    <w:rsid w:val="358856A2"/>
    <w:rsid w:val="35956B82"/>
    <w:rsid w:val="359C021B"/>
    <w:rsid w:val="35A46ACE"/>
    <w:rsid w:val="35DD3882"/>
    <w:rsid w:val="35E755D0"/>
    <w:rsid w:val="35F351FF"/>
    <w:rsid w:val="35FA5D92"/>
    <w:rsid w:val="35FD0F1F"/>
    <w:rsid w:val="360043B3"/>
    <w:rsid w:val="36154EA9"/>
    <w:rsid w:val="3618218D"/>
    <w:rsid w:val="367E1530"/>
    <w:rsid w:val="369C1450"/>
    <w:rsid w:val="36A05599"/>
    <w:rsid w:val="36E91D53"/>
    <w:rsid w:val="36EF52AD"/>
    <w:rsid w:val="3716732F"/>
    <w:rsid w:val="372D02D6"/>
    <w:rsid w:val="37305CB9"/>
    <w:rsid w:val="37566AF9"/>
    <w:rsid w:val="37583C91"/>
    <w:rsid w:val="379F0A81"/>
    <w:rsid w:val="37A7597B"/>
    <w:rsid w:val="37BD41FD"/>
    <w:rsid w:val="37D67AB8"/>
    <w:rsid w:val="37F32203"/>
    <w:rsid w:val="38076E2B"/>
    <w:rsid w:val="38387F2D"/>
    <w:rsid w:val="385A00B1"/>
    <w:rsid w:val="38790CC4"/>
    <w:rsid w:val="388B2413"/>
    <w:rsid w:val="38995E3B"/>
    <w:rsid w:val="38C53030"/>
    <w:rsid w:val="38CD7874"/>
    <w:rsid w:val="38E5793F"/>
    <w:rsid w:val="38EF5A38"/>
    <w:rsid w:val="3914232D"/>
    <w:rsid w:val="39160DA1"/>
    <w:rsid w:val="39287688"/>
    <w:rsid w:val="392D4B42"/>
    <w:rsid w:val="39402C5D"/>
    <w:rsid w:val="397717E4"/>
    <w:rsid w:val="39A37EA3"/>
    <w:rsid w:val="39AD571D"/>
    <w:rsid w:val="39C104EA"/>
    <w:rsid w:val="39CE17A0"/>
    <w:rsid w:val="39CE6F61"/>
    <w:rsid w:val="39EA616F"/>
    <w:rsid w:val="3A001853"/>
    <w:rsid w:val="3A0D43C8"/>
    <w:rsid w:val="3A38772C"/>
    <w:rsid w:val="3A3B169F"/>
    <w:rsid w:val="3A537186"/>
    <w:rsid w:val="3A602DFC"/>
    <w:rsid w:val="3A6752B7"/>
    <w:rsid w:val="3A7C6BDE"/>
    <w:rsid w:val="3A94565B"/>
    <w:rsid w:val="3AA542B7"/>
    <w:rsid w:val="3AAC2CB8"/>
    <w:rsid w:val="3AB543EC"/>
    <w:rsid w:val="3AC35873"/>
    <w:rsid w:val="3AD30A93"/>
    <w:rsid w:val="3AD60C5E"/>
    <w:rsid w:val="3AD8155F"/>
    <w:rsid w:val="3ADF087F"/>
    <w:rsid w:val="3AE457D9"/>
    <w:rsid w:val="3AEA401D"/>
    <w:rsid w:val="3B0367E8"/>
    <w:rsid w:val="3B1A7979"/>
    <w:rsid w:val="3B1F66C2"/>
    <w:rsid w:val="3B381919"/>
    <w:rsid w:val="3B3D0CDD"/>
    <w:rsid w:val="3B403AD8"/>
    <w:rsid w:val="3B410A61"/>
    <w:rsid w:val="3B420B3C"/>
    <w:rsid w:val="3B4F2FE5"/>
    <w:rsid w:val="3B5444D8"/>
    <w:rsid w:val="3B5656EE"/>
    <w:rsid w:val="3B594D22"/>
    <w:rsid w:val="3B594FC6"/>
    <w:rsid w:val="3B6F47A9"/>
    <w:rsid w:val="3B7A44F6"/>
    <w:rsid w:val="3B7C1CDF"/>
    <w:rsid w:val="3B8232A5"/>
    <w:rsid w:val="3BE953FF"/>
    <w:rsid w:val="3BEA141A"/>
    <w:rsid w:val="3BF601A5"/>
    <w:rsid w:val="3BF818B7"/>
    <w:rsid w:val="3C0A4848"/>
    <w:rsid w:val="3C394CB0"/>
    <w:rsid w:val="3C441122"/>
    <w:rsid w:val="3C6B0210"/>
    <w:rsid w:val="3C8339BC"/>
    <w:rsid w:val="3C834ADB"/>
    <w:rsid w:val="3C855661"/>
    <w:rsid w:val="3C8C2D07"/>
    <w:rsid w:val="3CDA26C3"/>
    <w:rsid w:val="3CDD1F50"/>
    <w:rsid w:val="3CE91CB2"/>
    <w:rsid w:val="3CFC5CA9"/>
    <w:rsid w:val="3D2C4D32"/>
    <w:rsid w:val="3D762867"/>
    <w:rsid w:val="3DA674CB"/>
    <w:rsid w:val="3DBC5271"/>
    <w:rsid w:val="3DCD174E"/>
    <w:rsid w:val="3DD65DAE"/>
    <w:rsid w:val="3DD95037"/>
    <w:rsid w:val="3DEA0403"/>
    <w:rsid w:val="3DF50D58"/>
    <w:rsid w:val="3E020C64"/>
    <w:rsid w:val="3E171CB9"/>
    <w:rsid w:val="3E2A47FF"/>
    <w:rsid w:val="3E2F535E"/>
    <w:rsid w:val="3E506462"/>
    <w:rsid w:val="3E7969EE"/>
    <w:rsid w:val="3E893C7A"/>
    <w:rsid w:val="3E8D63A2"/>
    <w:rsid w:val="3E8D7C1B"/>
    <w:rsid w:val="3EA3761C"/>
    <w:rsid w:val="3EC63C4A"/>
    <w:rsid w:val="3EDF370F"/>
    <w:rsid w:val="3EFE7806"/>
    <w:rsid w:val="3F595F00"/>
    <w:rsid w:val="3F88369E"/>
    <w:rsid w:val="3F8B1D36"/>
    <w:rsid w:val="3F96640E"/>
    <w:rsid w:val="3F9A588C"/>
    <w:rsid w:val="3FBD2792"/>
    <w:rsid w:val="3FC358CA"/>
    <w:rsid w:val="3FCC4197"/>
    <w:rsid w:val="3FE231D6"/>
    <w:rsid w:val="3FE52691"/>
    <w:rsid w:val="3FE61CCA"/>
    <w:rsid w:val="400E6E05"/>
    <w:rsid w:val="401D1604"/>
    <w:rsid w:val="4047527D"/>
    <w:rsid w:val="40562428"/>
    <w:rsid w:val="40676D73"/>
    <w:rsid w:val="407549D4"/>
    <w:rsid w:val="407F023D"/>
    <w:rsid w:val="40813AF9"/>
    <w:rsid w:val="408B0125"/>
    <w:rsid w:val="40915988"/>
    <w:rsid w:val="40960287"/>
    <w:rsid w:val="409B3E5C"/>
    <w:rsid w:val="40B42D8D"/>
    <w:rsid w:val="40CD228E"/>
    <w:rsid w:val="40CF14F6"/>
    <w:rsid w:val="41180B15"/>
    <w:rsid w:val="413C4550"/>
    <w:rsid w:val="4169423E"/>
    <w:rsid w:val="416D3C54"/>
    <w:rsid w:val="418D5C44"/>
    <w:rsid w:val="419C1A91"/>
    <w:rsid w:val="419E31CE"/>
    <w:rsid w:val="41A66C94"/>
    <w:rsid w:val="41AC2646"/>
    <w:rsid w:val="41C00D25"/>
    <w:rsid w:val="41D371EF"/>
    <w:rsid w:val="41D53158"/>
    <w:rsid w:val="41FD68DE"/>
    <w:rsid w:val="420361C5"/>
    <w:rsid w:val="422B2BF3"/>
    <w:rsid w:val="426D7785"/>
    <w:rsid w:val="42764BAB"/>
    <w:rsid w:val="427F41C4"/>
    <w:rsid w:val="42843F32"/>
    <w:rsid w:val="42865D2F"/>
    <w:rsid w:val="42DF08CC"/>
    <w:rsid w:val="42F06635"/>
    <w:rsid w:val="43021290"/>
    <w:rsid w:val="430869F4"/>
    <w:rsid w:val="43263F0D"/>
    <w:rsid w:val="434A1B7B"/>
    <w:rsid w:val="43520714"/>
    <w:rsid w:val="43905381"/>
    <w:rsid w:val="43AE1DEC"/>
    <w:rsid w:val="43DA0C63"/>
    <w:rsid w:val="43FB3302"/>
    <w:rsid w:val="44037147"/>
    <w:rsid w:val="44236EC7"/>
    <w:rsid w:val="4425181D"/>
    <w:rsid w:val="44657D59"/>
    <w:rsid w:val="44787A7A"/>
    <w:rsid w:val="448B2571"/>
    <w:rsid w:val="44C708C2"/>
    <w:rsid w:val="44C85C1C"/>
    <w:rsid w:val="44E61BB1"/>
    <w:rsid w:val="4517025E"/>
    <w:rsid w:val="4531688F"/>
    <w:rsid w:val="45726C78"/>
    <w:rsid w:val="45861C2B"/>
    <w:rsid w:val="45921F64"/>
    <w:rsid w:val="4593222B"/>
    <w:rsid w:val="459E4A6E"/>
    <w:rsid w:val="459F5154"/>
    <w:rsid w:val="45A537F8"/>
    <w:rsid w:val="45EA700D"/>
    <w:rsid w:val="45EB3798"/>
    <w:rsid w:val="45FB22B2"/>
    <w:rsid w:val="45FD2FF6"/>
    <w:rsid w:val="463A6ED6"/>
    <w:rsid w:val="46471404"/>
    <w:rsid w:val="465316DC"/>
    <w:rsid w:val="466440EA"/>
    <w:rsid w:val="46694CDB"/>
    <w:rsid w:val="4674066C"/>
    <w:rsid w:val="467B1143"/>
    <w:rsid w:val="467C59A3"/>
    <w:rsid w:val="46871513"/>
    <w:rsid w:val="46952E53"/>
    <w:rsid w:val="469B1440"/>
    <w:rsid w:val="46E635B3"/>
    <w:rsid w:val="46E8288B"/>
    <w:rsid w:val="46F5065B"/>
    <w:rsid w:val="471222EE"/>
    <w:rsid w:val="47253CB6"/>
    <w:rsid w:val="475E3346"/>
    <w:rsid w:val="47880405"/>
    <w:rsid w:val="47D22DC5"/>
    <w:rsid w:val="47ED5EF7"/>
    <w:rsid w:val="480A6BEA"/>
    <w:rsid w:val="480F6E88"/>
    <w:rsid w:val="487C3DAD"/>
    <w:rsid w:val="487E07E2"/>
    <w:rsid w:val="489970D3"/>
    <w:rsid w:val="48A31341"/>
    <w:rsid w:val="48E01B14"/>
    <w:rsid w:val="48FA764B"/>
    <w:rsid w:val="493951A8"/>
    <w:rsid w:val="493C4629"/>
    <w:rsid w:val="49924F9D"/>
    <w:rsid w:val="499453AA"/>
    <w:rsid w:val="499A248F"/>
    <w:rsid w:val="49B0028D"/>
    <w:rsid w:val="49DF061B"/>
    <w:rsid w:val="4A1158AA"/>
    <w:rsid w:val="4A361D3D"/>
    <w:rsid w:val="4A3870D1"/>
    <w:rsid w:val="4A6917C9"/>
    <w:rsid w:val="4A6A1B17"/>
    <w:rsid w:val="4A875AD1"/>
    <w:rsid w:val="4A890F46"/>
    <w:rsid w:val="4A917A47"/>
    <w:rsid w:val="4AA161D9"/>
    <w:rsid w:val="4AAE12AF"/>
    <w:rsid w:val="4AD60897"/>
    <w:rsid w:val="4AD66FF4"/>
    <w:rsid w:val="4AD87570"/>
    <w:rsid w:val="4AE03F6D"/>
    <w:rsid w:val="4AEC1FAE"/>
    <w:rsid w:val="4B0A5AAD"/>
    <w:rsid w:val="4B325147"/>
    <w:rsid w:val="4B372288"/>
    <w:rsid w:val="4B3911D4"/>
    <w:rsid w:val="4B53421B"/>
    <w:rsid w:val="4B5870AB"/>
    <w:rsid w:val="4B5D1DC5"/>
    <w:rsid w:val="4B6154FD"/>
    <w:rsid w:val="4B6843EB"/>
    <w:rsid w:val="4B6B40FE"/>
    <w:rsid w:val="4B757FD8"/>
    <w:rsid w:val="4B8351CA"/>
    <w:rsid w:val="4B867E08"/>
    <w:rsid w:val="4B936685"/>
    <w:rsid w:val="4BB80E0B"/>
    <w:rsid w:val="4BC26613"/>
    <w:rsid w:val="4BCF709C"/>
    <w:rsid w:val="4BDA4AED"/>
    <w:rsid w:val="4BDA7DB8"/>
    <w:rsid w:val="4C194C42"/>
    <w:rsid w:val="4C1E32C5"/>
    <w:rsid w:val="4C272584"/>
    <w:rsid w:val="4C68300C"/>
    <w:rsid w:val="4C6E6DFB"/>
    <w:rsid w:val="4C6F4A6E"/>
    <w:rsid w:val="4C9A0901"/>
    <w:rsid w:val="4CAD5597"/>
    <w:rsid w:val="4CCB5B93"/>
    <w:rsid w:val="4CE03C47"/>
    <w:rsid w:val="4CF41355"/>
    <w:rsid w:val="4D0206AE"/>
    <w:rsid w:val="4D0B2AD8"/>
    <w:rsid w:val="4D0B7B0A"/>
    <w:rsid w:val="4D141606"/>
    <w:rsid w:val="4D1F4983"/>
    <w:rsid w:val="4D341C6D"/>
    <w:rsid w:val="4D34635E"/>
    <w:rsid w:val="4D3509BE"/>
    <w:rsid w:val="4D3C44D4"/>
    <w:rsid w:val="4D3E7ADB"/>
    <w:rsid w:val="4D424B1D"/>
    <w:rsid w:val="4D43641B"/>
    <w:rsid w:val="4D6E38B4"/>
    <w:rsid w:val="4DB8429D"/>
    <w:rsid w:val="4DF30616"/>
    <w:rsid w:val="4E1C1016"/>
    <w:rsid w:val="4E217F1C"/>
    <w:rsid w:val="4E257ADB"/>
    <w:rsid w:val="4E3E2D76"/>
    <w:rsid w:val="4E413624"/>
    <w:rsid w:val="4E4B32B9"/>
    <w:rsid w:val="4E584C00"/>
    <w:rsid w:val="4E713BC7"/>
    <w:rsid w:val="4E7640E1"/>
    <w:rsid w:val="4E8B0212"/>
    <w:rsid w:val="4E930E61"/>
    <w:rsid w:val="4E9A57B1"/>
    <w:rsid w:val="4E9D6029"/>
    <w:rsid w:val="4EA43554"/>
    <w:rsid w:val="4EC20C2F"/>
    <w:rsid w:val="4ECB6FBB"/>
    <w:rsid w:val="4ED16E8F"/>
    <w:rsid w:val="4EDE2B0A"/>
    <w:rsid w:val="4EE508E5"/>
    <w:rsid w:val="4F0E3E23"/>
    <w:rsid w:val="4F2605B2"/>
    <w:rsid w:val="4F38659F"/>
    <w:rsid w:val="4F4B56A3"/>
    <w:rsid w:val="4F4D347B"/>
    <w:rsid w:val="4F60527F"/>
    <w:rsid w:val="4F6E5D04"/>
    <w:rsid w:val="4F82490F"/>
    <w:rsid w:val="4F88261F"/>
    <w:rsid w:val="4FED0228"/>
    <w:rsid w:val="50164943"/>
    <w:rsid w:val="50204F64"/>
    <w:rsid w:val="502B1C2A"/>
    <w:rsid w:val="50347D18"/>
    <w:rsid w:val="503C7D8E"/>
    <w:rsid w:val="50471E77"/>
    <w:rsid w:val="50573EDB"/>
    <w:rsid w:val="506965B5"/>
    <w:rsid w:val="50742F33"/>
    <w:rsid w:val="507B0018"/>
    <w:rsid w:val="507C754E"/>
    <w:rsid w:val="507E1AA0"/>
    <w:rsid w:val="509D1FA6"/>
    <w:rsid w:val="50A47CC4"/>
    <w:rsid w:val="50AD5B16"/>
    <w:rsid w:val="512819CE"/>
    <w:rsid w:val="5128493D"/>
    <w:rsid w:val="51331376"/>
    <w:rsid w:val="516F0CD7"/>
    <w:rsid w:val="51736BF4"/>
    <w:rsid w:val="5174612F"/>
    <w:rsid w:val="519B4687"/>
    <w:rsid w:val="51AE6039"/>
    <w:rsid w:val="51BC77F1"/>
    <w:rsid w:val="51DF5CD4"/>
    <w:rsid w:val="522105B9"/>
    <w:rsid w:val="52256B94"/>
    <w:rsid w:val="522928A6"/>
    <w:rsid w:val="522C12B6"/>
    <w:rsid w:val="5234558F"/>
    <w:rsid w:val="523622B3"/>
    <w:rsid w:val="52394EC2"/>
    <w:rsid w:val="525E269F"/>
    <w:rsid w:val="525F7DB0"/>
    <w:rsid w:val="529C0587"/>
    <w:rsid w:val="52BF7DD2"/>
    <w:rsid w:val="52CC7E23"/>
    <w:rsid w:val="52D33774"/>
    <w:rsid w:val="52FA602C"/>
    <w:rsid w:val="52FC4CAD"/>
    <w:rsid w:val="532F02B8"/>
    <w:rsid w:val="533C5D27"/>
    <w:rsid w:val="534505F4"/>
    <w:rsid w:val="53542C10"/>
    <w:rsid w:val="53792788"/>
    <w:rsid w:val="53851958"/>
    <w:rsid w:val="53AF13BD"/>
    <w:rsid w:val="53B25960"/>
    <w:rsid w:val="53B64CA6"/>
    <w:rsid w:val="53DF2D96"/>
    <w:rsid w:val="542C1497"/>
    <w:rsid w:val="54616524"/>
    <w:rsid w:val="54630230"/>
    <w:rsid w:val="54730F68"/>
    <w:rsid w:val="54733EAA"/>
    <w:rsid w:val="5495014D"/>
    <w:rsid w:val="54A15160"/>
    <w:rsid w:val="54BA59AA"/>
    <w:rsid w:val="54C47FF1"/>
    <w:rsid w:val="54C87B94"/>
    <w:rsid w:val="54DD7598"/>
    <w:rsid w:val="54F74BC5"/>
    <w:rsid w:val="54FB41C8"/>
    <w:rsid w:val="550114AF"/>
    <w:rsid w:val="551B38D2"/>
    <w:rsid w:val="55346855"/>
    <w:rsid w:val="55586743"/>
    <w:rsid w:val="555F42C8"/>
    <w:rsid w:val="55784D52"/>
    <w:rsid w:val="5591023E"/>
    <w:rsid w:val="55A91187"/>
    <w:rsid w:val="55B14578"/>
    <w:rsid w:val="55D02EAD"/>
    <w:rsid w:val="55ED2F1F"/>
    <w:rsid w:val="55F77CD1"/>
    <w:rsid w:val="56202324"/>
    <w:rsid w:val="5627631A"/>
    <w:rsid w:val="564D65AB"/>
    <w:rsid w:val="56730F3C"/>
    <w:rsid w:val="56986E69"/>
    <w:rsid w:val="56A0173E"/>
    <w:rsid w:val="56A425FA"/>
    <w:rsid w:val="56EC3F73"/>
    <w:rsid w:val="56F129E9"/>
    <w:rsid w:val="57082A4C"/>
    <w:rsid w:val="57234DD3"/>
    <w:rsid w:val="573E52A2"/>
    <w:rsid w:val="57666F31"/>
    <w:rsid w:val="576D12AB"/>
    <w:rsid w:val="578A6776"/>
    <w:rsid w:val="578B5BC7"/>
    <w:rsid w:val="57A007AC"/>
    <w:rsid w:val="57B84C84"/>
    <w:rsid w:val="57BF39A0"/>
    <w:rsid w:val="57CD7185"/>
    <w:rsid w:val="57CE750F"/>
    <w:rsid w:val="57EA05F7"/>
    <w:rsid w:val="57F510AB"/>
    <w:rsid w:val="580827F0"/>
    <w:rsid w:val="580E2D49"/>
    <w:rsid w:val="58167A3A"/>
    <w:rsid w:val="581C2315"/>
    <w:rsid w:val="58405511"/>
    <w:rsid w:val="585A0196"/>
    <w:rsid w:val="585E0828"/>
    <w:rsid w:val="58700012"/>
    <w:rsid w:val="58B1581B"/>
    <w:rsid w:val="58B936C5"/>
    <w:rsid w:val="58C95907"/>
    <w:rsid w:val="58D06974"/>
    <w:rsid w:val="58D56A1C"/>
    <w:rsid w:val="59400798"/>
    <w:rsid w:val="59891FF2"/>
    <w:rsid w:val="598D73F9"/>
    <w:rsid w:val="59927FEE"/>
    <w:rsid w:val="5993763E"/>
    <w:rsid w:val="599B22F5"/>
    <w:rsid w:val="59C027A5"/>
    <w:rsid w:val="59C11F2E"/>
    <w:rsid w:val="59F1719E"/>
    <w:rsid w:val="5A0467D0"/>
    <w:rsid w:val="5A134435"/>
    <w:rsid w:val="5A201F6E"/>
    <w:rsid w:val="5A4A74CD"/>
    <w:rsid w:val="5A547DAB"/>
    <w:rsid w:val="5AA6453D"/>
    <w:rsid w:val="5ABD6B40"/>
    <w:rsid w:val="5AE919B9"/>
    <w:rsid w:val="5AF5168F"/>
    <w:rsid w:val="5B1B32BC"/>
    <w:rsid w:val="5B635197"/>
    <w:rsid w:val="5B791466"/>
    <w:rsid w:val="5B7E2ADA"/>
    <w:rsid w:val="5B861C66"/>
    <w:rsid w:val="5BA74F41"/>
    <w:rsid w:val="5BAB5397"/>
    <w:rsid w:val="5BAF5ADC"/>
    <w:rsid w:val="5BC929D9"/>
    <w:rsid w:val="5BE8314B"/>
    <w:rsid w:val="5BEC7EF4"/>
    <w:rsid w:val="5BF86BBB"/>
    <w:rsid w:val="5C194360"/>
    <w:rsid w:val="5C2E5491"/>
    <w:rsid w:val="5C33690B"/>
    <w:rsid w:val="5C3E4462"/>
    <w:rsid w:val="5C4A4BA9"/>
    <w:rsid w:val="5C4E4324"/>
    <w:rsid w:val="5C4F1950"/>
    <w:rsid w:val="5C5058AA"/>
    <w:rsid w:val="5C585A45"/>
    <w:rsid w:val="5C767A77"/>
    <w:rsid w:val="5C96313F"/>
    <w:rsid w:val="5C9E071C"/>
    <w:rsid w:val="5CA51B45"/>
    <w:rsid w:val="5CE84D3B"/>
    <w:rsid w:val="5D046B6D"/>
    <w:rsid w:val="5D290169"/>
    <w:rsid w:val="5D3D635A"/>
    <w:rsid w:val="5D614A38"/>
    <w:rsid w:val="5D7C2FA4"/>
    <w:rsid w:val="5D7D3879"/>
    <w:rsid w:val="5D8F31C2"/>
    <w:rsid w:val="5DAF0651"/>
    <w:rsid w:val="5DC07ABF"/>
    <w:rsid w:val="5DFE78C8"/>
    <w:rsid w:val="5E255F63"/>
    <w:rsid w:val="5E33692D"/>
    <w:rsid w:val="5E436D80"/>
    <w:rsid w:val="5E5835B4"/>
    <w:rsid w:val="5E5A64F5"/>
    <w:rsid w:val="5EAE1C47"/>
    <w:rsid w:val="5EB11D40"/>
    <w:rsid w:val="5EC9020E"/>
    <w:rsid w:val="5ED4043E"/>
    <w:rsid w:val="5ED447A8"/>
    <w:rsid w:val="5EDE4D26"/>
    <w:rsid w:val="5EE31B23"/>
    <w:rsid w:val="5EE74938"/>
    <w:rsid w:val="5EE87BA2"/>
    <w:rsid w:val="5EEA3DAA"/>
    <w:rsid w:val="5EF95FD0"/>
    <w:rsid w:val="5EFE4873"/>
    <w:rsid w:val="5F3B09C7"/>
    <w:rsid w:val="5F9D48DB"/>
    <w:rsid w:val="5FA16F8A"/>
    <w:rsid w:val="5FBF706C"/>
    <w:rsid w:val="5FC04D42"/>
    <w:rsid w:val="5FF7082B"/>
    <w:rsid w:val="5FFD2499"/>
    <w:rsid w:val="602030A2"/>
    <w:rsid w:val="609B008E"/>
    <w:rsid w:val="60B8227F"/>
    <w:rsid w:val="60D50F6E"/>
    <w:rsid w:val="610417D1"/>
    <w:rsid w:val="6111547A"/>
    <w:rsid w:val="611E56AA"/>
    <w:rsid w:val="61371D33"/>
    <w:rsid w:val="613A12AA"/>
    <w:rsid w:val="613B356D"/>
    <w:rsid w:val="618B4577"/>
    <w:rsid w:val="61B97191"/>
    <w:rsid w:val="6208709F"/>
    <w:rsid w:val="621017F9"/>
    <w:rsid w:val="623E5BAB"/>
    <w:rsid w:val="62436329"/>
    <w:rsid w:val="624426AF"/>
    <w:rsid w:val="62587251"/>
    <w:rsid w:val="62614779"/>
    <w:rsid w:val="6296767E"/>
    <w:rsid w:val="629A6448"/>
    <w:rsid w:val="629A64D4"/>
    <w:rsid w:val="62CA3407"/>
    <w:rsid w:val="62DF5A23"/>
    <w:rsid w:val="62F7235B"/>
    <w:rsid w:val="631A6A40"/>
    <w:rsid w:val="6322192D"/>
    <w:rsid w:val="632C1C70"/>
    <w:rsid w:val="633155CB"/>
    <w:rsid w:val="63477C82"/>
    <w:rsid w:val="635004F4"/>
    <w:rsid w:val="63676136"/>
    <w:rsid w:val="63760A20"/>
    <w:rsid w:val="63A22624"/>
    <w:rsid w:val="63E13852"/>
    <w:rsid w:val="64177A6E"/>
    <w:rsid w:val="64365886"/>
    <w:rsid w:val="644B0346"/>
    <w:rsid w:val="649236E6"/>
    <w:rsid w:val="649D361C"/>
    <w:rsid w:val="64A45825"/>
    <w:rsid w:val="64D15618"/>
    <w:rsid w:val="64D86A2A"/>
    <w:rsid w:val="64F66675"/>
    <w:rsid w:val="652D5065"/>
    <w:rsid w:val="652E01AD"/>
    <w:rsid w:val="654356E8"/>
    <w:rsid w:val="65695556"/>
    <w:rsid w:val="6569792D"/>
    <w:rsid w:val="65823A8B"/>
    <w:rsid w:val="658466EF"/>
    <w:rsid w:val="65BA3837"/>
    <w:rsid w:val="65CB138E"/>
    <w:rsid w:val="65E00686"/>
    <w:rsid w:val="666B28CC"/>
    <w:rsid w:val="668E74EA"/>
    <w:rsid w:val="668F4E94"/>
    <w:rsid w:val="66943BEC"/>
    <w:rsid w:val="66A43E66"/>
    <w:rsid w:val="66BE0674"/>
    <w:rsid w:val="66C147CA"/>
    <w:rsid w:val="66C65590"/>
    <w:rsid w:val="66DC2552"/>
    <w:rsid w:val="6714473C"/>
    <w:rsid w:val="673B23D4"/>
    <w:rsid w:val="675A416A"/>
    <w:rsid w:val="67754B39"/>
    <w:rsid w:val="67D675D1"/>
    <w:rsid w:val="67D771F1"/>
    <w:rsid w:val="681639DE"/>
    <w:rsid w:val="68321B52"/>
    <w:rsid w:val="68537E37"/>
    <w:rsid w:val="686450BD"/>
    <w:rsid w:val="689761DD"/>
    <w:rsid w:val="689C4A18"/>
    <w:rsid w:val="68A3126B"/>
    <w:rsid w:val="68A83A29"/>
    <w:rsid w:val="68AD51DE"/>
    <w:rsid w:val="68B432D0"/>
    <w:rsid w:val="68C824C3"/>
    <w:rsid w:val="68EB70E8"/>
    <w:rsid w:val="68F60DE4"/>
    <w:rsid w:val="69051E18"/>
    <w:rsid w:val="693B7D5A"/>
    <w:rsid w:val="694E7E98"/>
    <w:rsid w:val="695820B0"/>
    <w:rsid w:val="69610B24"/>
    <w:rsid w:val="69B75DDE"/>
    <w:rsid w:val="69C33642"/>
    <w:rsid w:val="69D6067C"/>
    <w:rsid w:val="6A1F759F"/>
    <w:rsid w:val="6A3144B8"/>
    <w:rsid w:val="6A393D06"/>
    <w:rsid w:val="6A42676D"/>
    <w:rsid w:val="6A9D6460"/>
    <w:rsid w:val="6AAC18D8"/>
    <w:rsid w:val="6AB17A70"/>
    <w:rsid w:val="6ACB4DA4"/>
    <w:rsid w:val="6AD1143C"/>
    <w:rsid w:val="6AEB64B9"/>
    <w:rsid w:val="6AF4028A"/>
    <w:rsid w:val="6B0B419D"/>
    <w:rsid w:val="6B0B7E19"/>
    <w:rsid w:val="6B112571"/>
    <w:rsid w:val="6B126446"/>
    <w:rsid w:val="6B2B2CFA"/>
    <w:rsid w:val="6B377082"/>
    <w:rsid w:val="6B391DDB"/>
    <w:rsid w:val="6B715DBA"/>
    <w:rsid w:val="6B947AED"/>
    <w:rsid w:val="6B9D3FF4"/>
    <w:rsid w:val="6BC50CF4"/>
    <w:rsid w:val="6BDD1FF9"/>
    <w:rsid w:val="6BFB4ECF"/>
    <w:rsid w:val="6C3E619B"/>
    <w:rsid w:val="6C3F0C31"/>
    <w:rsid w:val="6C441E99"/>
    <w:rsid w:val="6C8311C1"/>
    <w:rsid w:val="6C8A7A71"/>
    <w:rsid w:val="6C904861"/>
    <w:rsid w:val="6C9E6858"/>
    <w:rsid w:val="6CA148FD"/>
    <w:rsid w:val="6CC60955"/>
    <w:rsid w:val="6CC84E65"/>
    <w:rsid w:val="6CD61554"/>
    <w:rsid w:val="6D533AB8"/>
    <w:rsid w:val="6D564D5D"/>
    <w:rsid w:val="6D795633"/>
    <w:rsid w:val="6D80350B"/>
    <w:rsid w:val="6D832F39"/>
    <w:rsid w:val="6D8C3F5B"/>
    <w:rsid w:val="6DAE55F9"/>
    <w:rsid w:val="6DBE4E1A"/>
    <w:rsid w:val="6DC04CD2"/>
    <w:rsid w:val="6DC75A39"/>
    <w:rsid w:val="6DCD058D"/>
    <w:rsid w:val="6DDB5FB0"/>
    <w:rsid w:val="6DE45D64"/>
    <w:rsid w:val="6DE76DF8"/>
    <w:rsid w:val="6E2039C3"/>
    <w:rsid w:val="6E2F4796"/>
    <w:rsid w:val="6E3A7FF3"/>
    <w:rsid w:val="6E5E754A"/>
    <w:rsid w:val="6E7A5E18"/>
    <w:rsid w:val="6E8B314D"/>
    <w:rsid w:val="6E951A2E"/>
    <w:rsid w:val="6E9F7B85"/>
    <w:rsid w:val="6EA10594"/>
    <w:rsid w:val="6ECA0374"/>
    <w:rsid w:val="6ECA3BF4"/>
    <w:rsid w:val="6ECB4D4A"/>
    <w:rsid w:val="6EE70C7B"/>
    <w:rsid w:val="6EEC1ABE"/>
    <w:rsid w:val="6EF83DFA"/>
    <w:rsid w:val="6F1B77A9"/>
    <w:rsid w:val="6F2D728E"/>
    <w:rsid w:val="6F35224F"/>
    <w:rsid w:val="6F4100B1"/>
    <w:rsid w:val="6F521C95"/>
    <w:rsid w:val="6F611DCF"/>
    <w:rsid w:val="6F972A44"/>
    <w:rsid w:val="6FA03DFC"/>
    <w:rsid w:val="6FB05AB7"/>
    <w:rsid w:val="6FB775D7"/>
    <w:rsid w:val="6FC231D9"/>
    <w:rsid w:val="6FFC2524"/>
    <w:rsid w:val="700267D8"/>
    <w:rsid w:val="700C6BA6"/>
    <w:rsid w:val="704D7764"/>
    <w:rsid w:val="704E0919"/>
    <w:rsid w:val="70670C9D"/>
    <w:rsid w:val="708C4ED0"/>
    <w:rsid w:val="70AA61C5"/>
    <w:rsid w:val="70CD5513"/>
    <w:rsid w:val="70E33D76"/>
    <w:rsid w:val="712B29E4"/>
    <w:rsid w:val="713257A2"/>
    <w:rsid w:val="713B157B"/>
    <w:rsid w:val="71474B8C"/>
    <w:rsid w:val="71652A78"/>
    <w:rsid w:val="7197116F"/>
    <w:rsid w:val="71A56169"/>
    <w:rsid w:val="71BE7383"/>
    <w:rsid w:val="71D445A4"/>
    <w:rsid w:val="71D50CBF"/>
    <w:rsid w:val="71D76DC7"/>
    <w:rsid w:val="71D85DE4"/>
    <w:rsid w:val="71EA1B99"/>
    <w:rsid w:val="72113A16"/>
    <w:rsid w:val="722250D7"/>
    <w:rsid w:val="72352BAF"/>
    <w:rsid w:val="723A699F"/>
    <w:rsid w:val="726118A4"/>
    <w:rsid w:val="72961CDB"/>
    <w:rsid w:val="729C38F5"/>
    <w:rsid w:val="72EA0911"/>
    <w:rsid w:val="72F90502"/>
    <w:rsid w:val="730211AE"/>
    <w:rsid w:val="73040EF3"/>
    <w:rsid w:val="730775E6"/>
    <w:rsid w:val="731E0CDD"/>
    <w:rsid w:val="733D5E86"/>
    <w:rsid w:val="735E4BD9"/>
    <w:rsid w:val="738018E5"/>
    <w:rsid w:val="738A77AC"/>
    <w:rsid w:val="7391051E"/>
    <w:rsid w:val="739D4F10"/>
    <w:rsid w:val="73A90917"/>
    <w:rsid w:val="73B24C82"/>
    <w:rsid w:val="73B52498"/>
    <w:rsid w:val="73DC075B"/>
    <w:rsid w:val="73EC1504"/>
    <w:rsid w:val="73ED6584"/>
    <w:rsid w:val="74174348"/>
    <w:rsid w:val="74240253"/>
    <w:rsid w:val="743D1C9C"/>
    <w:rsid w:val="74525851"/>
    <w:rsid w:val="746913A5"/>
    <w:rsid w:val="748F3650"/>
    <w:rsid w:val="7496787B"/>
    <w:rsid w:val="74A23491"/>
    <w:rsid w:val="74C05DBF"/>
    <w:rsid w:val="74D43EC1"/>
    <w:rsid w:val="74D603ED"/>
    <w:rsid w:val="74D774D1"/>
    <w:rsid w:val="74D870FD"/>
    <w:rsid w:val="75103DEC"/>
    <w:rsid w:val="75260F47"/>
    <w:rsid w:val="752722FB"/>
    <w:rsid w:val="75276240"/>
    <w:rsid w:val="753F1858"/>
    <w:rsid w:val="754C2344"/>
    <w:rsid w:val="755035F5"/>
    <w:rsid w:val="755214C3"/>
    <w:rsid w:val="75563EDD"/>
    <w:rsid w:val="757D58CB"/>
    <w:rsid w:val="758B23A8"/>
    <w:rsid w:val="7598320B"/>
    <w:rsid w:val="75BD63D2"/>
    <w:rsid w:val="75C62F5A"/>
    <w:rsid w:val="75E96AC0"/>
    <w:rsid w:val="760C352C"/>
    <w:rsid w:val="761D2A65"/>
    <w:rsid w:val="762026C3"/>
    <w:rsid w:val="7645610C"/>
    <w:rsid w:val="76461BAA"/>
    <w:rsid w:val="764C604D"/>
    <w:rsid w:val="767825C9"/>
    <w:rsid w:val="76945583"/>
    <w:rsid w:val="76B62D86"/>
    <w:rsid w:val="76B65109"/>
    <w:rsid w:val="76BE2D22"/>
    <w:rsid w:val="76C021E7"/>
    <w:rsid w:val="77222E60"/>
    <w:rsid w:val="77311AB4"/>
    <w:rsid w:val="774501D3"/>
    <w:rsid w:val="776B3F01"/>
    <w:rsid w:val="77844C83"/>
    <w:rsid w:val="778615AB"/>
    <w:rsid w:val="77BB60D4"/>
    <w:rsid w:val="77C359D2"/>
    <w:rsid w:val="77CD4BBB"/>
    <w:rsid w:val="77EF598A"/>
    <w:rsid w:val="780C137B"/>
    <w:rsid w:val="782558EB"/>
    <w:rsid w:val="7828366D"/>
    <w:rsid w:val="783E146D"/>
    <w:rsid w:val="787C31A4"/>
    <w:rsid w:val="788E1ABD"/>
    <w:rsid w:val="78B2146E"/>
    <w:rsid w:val="78C0027C"/>
    <w:rsid w:val="78C838E0"/>
    <w:rsid w:val="78EF4833"/>
    <w:rsid w:val="79090446"/>
    <w:rsid w:val="791146B3"/>
    <w:rsid w:val="794279A6"/>
    <w:rsid w:val="795F3F7D"/>
    <w:rsid w:val="797D58D9"/>
    <w:rsid w:val="798E475E"/>
    <w:rsid w:val="799F4318"/>
    <w:rsid w:val="79A627F7"/>
    <w:rsid w:val="79BD7013"/>
    <w:rsid w:val="79C406C0"/>
    <w:rsid w:val="7A081BF3"/>
    <w:rsid w:val="7A08504B"/>
    <w:rsid w:val="7A370DFA"/>
    <w:rsid w:val="7A410F49"/>
    <w:rsid w:val="7A442C20"/>
    <w:rsid w:val="7A4D1975"/>
    <w:rsid w:val="7A682BA7"/>
    <w:rsid w:val="7AC6387A"/>
    <w:rsid w:val="7AD053E5"/>
    <w:rsid w:val="7AE63434"/>
    <w:rsid w:val="7AE829A9"/>
    <w:rsid w:val="7AFD02B0"/>
    <w:rsid w:val="7B200944"/>
    <w:rsid w:val="7B40216A"/>
    <w:rsid w:val="7B505B0C"/>
    <w:rsid w:val="7B702C63"/>
    <w:rsid w:val="7B94171F"/>
    <w:rsid w:val="7BA90974"/>
    <w:rsid w:val="7BAD32FD"/>
    <w:rsid w:val="7BC04E83"/>
    <w:rsid w:val="7BD4629C"/>
    <w:rsid w:val="7BE2675B"/>
    <w:rsid w:val="7BED132D"/>
    <w:rsid w:val="7C1358D1"/>
    <w:rsid w:val="7C2449D5"/>
    <w:rsid w:val="7C350EA9"/>
    <w:rsid w:val="7C404F48"/>
    <w:rsid w:val="7C685DC2"/>
    <w:rsid w:val="7C6C2290"/>
    <w:rsid w:val="7C7E5775"/>
    <w:rsid w:val="7CAD4A88"/>
    <w:rsid w:val="7CC30B2C"/>
    <w:rsid w:val="7CDC2333"/>
    <w:rsid w:val="7D081A2C"/>
    <w:rsid w:val="7D082421"/>
    <w:rsid w:val="7D25518B"/>
    <w:rsid w:val="7D2863F0"/>
    <w:rsid w:val="7D4C64FB"/>
    <w:rsid w:val="7DB03DCA"/>
    <w:rsid w:val="7DBA7B5E"/>
    <w:rsid w:val="7DC10D1E"/>
    <w:rsid w:val="7DC63EF4"/>
    <w:rsid w:val="7DF16B83"/>
    <w:rsid w:val="7E013CA9"/>
    <w:rsid w:val="7E1C274C"/>
    <w:rsid w:val="7E1E4E91"/>
    <w:rsid w:val="7E360F3F"/>
    <w:rsid w:val="7E6914B5"/>
    <w:rsid w:val="7EB03CF5"/>
    <w:rsid w:val="7ECE5356"/>
    <w:rsid w:val="7EDE6326"/>
    <w:rsid w:val="7EED692A"/>
    <w:rsid w:val="7F0200EC"/>
    <w:rsid w:val="7F1A6FBD"/>
    <w:rsid w:val="7F2543A5"/>
    <w:rsid w:val="7F2944E3"/>
    <w:rsid w:val="7F445D8D"/>
    <w:rsid w:val="7F5613F5"/>
    <w:rsid w:val="7F5852B3"/>
    <w:rsid w:val="7F695D19"/>
    <w:rsid w:val="7F8A2A01"/>
    <w:rsid w:val="7F8E30A9"/>
    <w:rsid w:val="7F9B24D1"/>
    <w:rsid w:val="7FB126CD"/>
    <w:rsid w:val="7FCD0BAF"/>
    <w:rsid w:val="7FD522EF"/>
    <w:rsid w:val="7FDF2861"/>
    <w:rsid w:val="7FEF2775"/>
    <w:rsid w:val="7FF108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0"/>
    <w:qFormat/>
    <w:uiPriority w:val="99"/>
    <w:pPr>
      <w:keepNext/>
      <w:keepLines/>
      <w:spacing w:before="340" w:after="330" w:line="576" w:lineRule="auto"/>
      <w:jc w:val="center"/>
      <w:outlineLvl w:val="0"/>
    </w:pPr>
    <w:rPr>
      <w:b/>
      <w:kern w:val="44"/>
      <w:sz w:val="44"/>
    </w:rPr>
  </w:style>
  <w:style w:type="paragraph" w:styleId="6">
    <w:name w:val="heading 2"/>
    <w:basedOn w:val="1"/>
    <w:next w:val="1"/>
    <w:link w:val="51"/>
    <w:qFormat/>
    <w:uiPriority w:val="99"/>
    <w:pPr>
      <w:keepNext/>
      <w:keepLines/>
      <w:spacing w:before="260" w:after="260" w:line="400" w:lineRule="exact"/>
      <w:jc w:val="center"/>
      <w:outlineLvl w:val="1"/>
    </w:pPr>
    <w:rPr>
      <w:rFonts w:ascii="Arial" w:hAnsi="Arial"/>
      <w:b/>
      <w:kern w:val="0"/>
      <w:sz w:val="28"/>
    </w:rPr>
  </w:style>
  <w:style w:type="paragraph" w:styleId="7">
    <w:name w:val="heading 3"/>
    <w:basedOn w:val="1"/>
    <w:next w:val="1"/>
    <w:link w:val="53"/>
    <w:qFormat/>
    <w:uiPriority w:val="99"/>
    <w:pPr>
      <w:keepNext/>
      <w:keepLines/>
      <w:spacing w:before="260" w:after="260" w:line="400" w:lineRule="exact"/>
      <w:outlineLvl w:val="2"/>
    </w:pPr>
    <w:rPr>
      <w:b/>
      <w:kern w:val="0"/>
      <w:sz w:val="20"/>
    </w:rPr>
  </w:style>
  <w:style w:type="paragraph" w:styleId="8">
    <w:name w:val="heading 4"/>
    <w:basedOn w:val="1"/>
    <w:next w:val="1"/>
    <w:link w:val="54"/>
    <w:qFormat/>
    <w:uiPriority w:val="99"/>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0"/>
    <w:link w:val="55"/>
    <w:qFormat/>
    <w:uiPriority w:val="99"/>
    <w:pPr>
      <w:keepNext/>
      <w:keepLines/>
      <w:numPr>
        <w:ilvl w:val="4"/>
        <w:numId w:val="1"/>
      </w:numPr>
      <w:spacing w:before="280" w:after="290" w:line="374" w:lineRule="auto"/>
      <w:outlineLvl w:val="4"/>
    </w:pPr>
    <w:rPr>
      <w:b/>
      <w:kern w:val="0"/>
      <w:sz w:val="24"/>
      <w:szCs w:val="24"/>
    </w:rPr>
  </w:style>
  <w:style w:type="paragraph" w:styleId="11">
    <w:name w:val="heading 6"/>
    <w:basedOn w:val="1"/>
    <w:next w:val="1"/>
    <w:link w:val="56"/>
    <w:qFormat/>
    <w:uiPriority w:val="99"/>
    <w:pPr>
      <w:keepNext/>
      <w:keepLines/>
      <w:numPr>
        <w:ilvl w:val="5"/>
        <w:numId w:val="1"/>
      </w:numPr>
      <w:spacing w:before="240" w:after="64" w:line="319" w:lineRule="auto"/>
      <w:outlineLvl w:val="5"/>
    </w:pPr>
    <w:rPr>
      <w:rFonts w:ascii="Arial" w:hAnsi="Arial" w:eastAsia="黑体"/>
      <w:b/>
      <w:kern w:val="0"/>
      <w:sz w:val="24"/>
      <w:szCs w:val="24"/>
    </w:rPr>
  </w:style>
  <w:style w:type="paragraph" w:styleId="12">
    <w:name w:val="heading 7"/>
    <w:basedOn w:val="1"/>
    <w:next w:val="1"/>
    <w:link w:val="57"/>
    <w:qFormat/>
    <w:uiPriority w:val="99"/>
    <w:pPr>
      <w:keepNext/>
      <w:keepLines/>
      <w:numPr>
        <w:ilvl w:val="6"/>
        <w:numId w:val="1"/>
      </w:numPr>
      <w:spacing w:before="240" w:after="64" w:line="319" w:lineRule="auto"/>
      <w:outlineLvl w:val="6"/>
    </w:pPr>
    <w:rPr>
      <w:b/>
      <w:kern w:val="0"/>
      <w:sz w:val="24"/>
      <w:szCs w:val="24"/>
    </w:rPr>
  </w:style>
  <w:style w:type="paragraph" w:styleId="13">
    <w:name w:val="heading 8"/>
    <w:basedOn w:val="1"/>
    <w:next w:val="10"/>
    <w:link w:val="58"/>
    <w:qFormat/>
    <w:uiPriority w:val="99"/>
    <w:pPr>
      <w:keepNext/>
      <w:keepLines/>
      <w:numPr>
        <w:ilvl w:val="7"/>
        <w:numId w:val="1"/>
      </w:numPr>
      <w:spacing w:before="240" w:after="64" w:line="319" w:lineRule="auto"/>
      <w:outlineLvl w:val="7"/>
    </w:pPr>
    <w:rPr>
      <w:rFonts w:ascii="Arial" w:hAnsi="Arial" w:eastAsia="黑体"/>
      <w:kern w:val="0"/>
      <w:sz w:val="24"/>
      <w:szCs w:val="24"/>
    </w:rPr>
  </w:style>
  <w:style w:type="paragraph" w:styleId="14">
    <w:name w:val="heading 9"/>
    <w:basedOn w:val="1"/>
    <w:next w:val="10"/>
    <w:link w:val="59"/>
    <w:qFormat/>
    <w:uiPriority w:val="99"/>
    <w:pPr>
      <w:keepNext/>
      <w:keepLines/>
      <w:numPr>
        <w:ilvl w:val="8"/>
        <w:numId w:val="1"/>
      </w:numPr>
      <w:spacing w:before="240" w:after="64" w:line="319" w:lineRule="auto"/>
      <w:outlineLvl w:val="8"/>
    </w:pPr>
    <w:rPr>
      <w:rFonts w:ascii="Arial" w:hAnsi="Arial" w:eastAsia="黑体"/>
      <w:kern w:val="0"/>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qFormat/>
    <w:uiPriority w:val="99"/>
    <w:pPr>
      <w:ind w:firstLine="420" w:firstLineChars="100"/>
    </w:pPr>
  </w:style>
  <w:style w:type="paragraph" w:styleId="3">
    <w:name w:val="Body Text"/>
    <w:basedOn w:val="1"/>
    <w:next w:val="4"/>
    <w:link w:val="60"/>
    <w:qFormat/>
    <w:uiPriority w:val="99"/>
    <w:pPr>
      <w:spacing w:after="120"/>
    </w:pPr>
    <w:rPr>
      <w:kern w:val="0"/>
      <w:sz w:val="20"/>
    </w:rPr>
  </w:style>
  <w:style w:type="paragraph" w:styleId="4">
    <w:name w:val="Body Text 2"/>
    <w:basedOn w:val="1"/>
    <w:link w:val="72"/>
    <w:qFormat/>
    <w:uiPriority w:val="99"/>
    <w:pPr>
      <w:spacing w:after="120" w:line="480" w:lineRule="auto"/>
    </w:pPr>
    <w:rPr>
      <w:kern w:val="0"/>
      <w:sz w:val="24"/>
      <w:szCs w:val="24"/>
    </w:rPr>
  </w:style>
  <w:style w:type="paragraph" w:styleId="10">
    <w:name w:val="Normal Indent"/>
    <w:basedOn w:val="1"/>
    <w:link w:val="52"/>
    <w:qFormat/>
    <w:uiPriority w:val="0"/>
    <w:pPr>
      <w:ind w:firstLine="420"/>
    </w:pPr>
  </w:style>
  <w:style w:type="paragraph" w:styleId="15">
    <w:name w:val="toc 7"/>
    <w:basedOn w:val="1"/>
    <w:next w:val="1"/>
    <w:qFormat/>
    <w:uiPriority w:val="99"/>
    <w:pPr>
      <w:ind w:left="1260"/>
      <w:jc w:val="left"/>
    </w:pPr>
    <w:rPr>
      <w:rFonts w:ascii="Calibri" w:hAnsi="Calibri" w:cs="Calibri"/>
      <w:sz w:val="18"/>
      <w:szCs w:val="18"/>
    </w:rPr>
  </w:style>
  <w:style w:type="paragraph" w:styleId="16">
    <w:name w:val="Document Map"/>
    <w:basedOn w:val="1"/>
    <w:link w:val="62"/>
    <w:qFormat/>
    <w:uiPriority w:val="99"/>
    <w:pPr>
      <w:shd w:val="clear" w:color="auto" w:fill="000080"/>
    </w:pPr>
    <w:rPr>
      <w:kern w:val="0"/>
      <w:sz w:val="20"/>
    </w:rPr>
  </w:style>
  <w:style w:type="paragraph" w:styleId="17">
    <w:name w:val="Body Text 3"/>
    <w:basedOn w:val="1"/>
    <w:link w:val="63"/>
    <w:qFormat/>
    <w:uiPriority w:val="99"/>
    <w:pPr>
      <w:spacing w:line="500" w:lineRule="exact"/>
    </w:pPr>
    <w:rPr>
      <w:b/>
      <w:bCs/>
      <w:kern w:val="0"/>
      <w:sz w:val="24"/>
      <w:szCs w:val="24"/>
    </w:rPr>
  </w:style>
  <w:style w:type="paragraph" w:styleId="18">
    <w:name w:val="Body Text Indent"/>
    <w:basedOn w:val="1"/>
    <w:next w:val="1"/>
    <w:link w:val="64"/>
    <w:qFormat/>
    <w:uiPriority w:val="99"/>
    <w:pPr>
      <w:ind w:firstLine="630"/>
    </w:pPr>
    <w:rPr>
      <w:kern w:val="0"/>
      <w:sz w:val="32"/>
    </w:rPr>
  </w:style>
  <w:style w:type="paragraph" w:styleId="19">
    <w:name w:val="toc 5"/>
    <w:basedOn w:val="1"/>
    <w:next w:val="1"/>
    <w:qFormat/>
    <w:uiPriority w:val="99"/>
    <w:pPr>
      <w:ind w:left="840"/>
      <w:jc w:val="left"/>
    </w:pPr>
    <w:rPr>
      <w:rFonts w:ascii="Calibri" w:hAnsi="Calibri" w:cs="Calibri"/>
      <w:sz w:val="18"/>
      <w:szCs w:val="18"/>
    </w:rPr>
  </w:style>
  <w:style w:type="paragraph" w:styleId="20">
    <w:name w:val="toc 3"/>
    <w:basedOn w:val="1"/>
    <w:next w:val="1"/>
    <w:qFormat/>
    <w:uiPriority w:val="39"/>
    <w:pPr>
      <w:ind w:left="420"/>
      <w:jc w:val="left"/>
    </w:pPr>
    <w:rPr>
      <w:rFonts w:ascii="Calibri" w:hAnsi="Calibri" w:cs="Calibri"/>
      <w:i/>
      <w:iCs/>
      <w:sz w:val="20"/>
    </w:rPr>
  </w:style>
  <w:style w:type="paragraph" w:styleId="21">
    <w:name w:val="Plain Text"/>
    <w:basedOn w:val="1"/>
    <w:link w:val="65"/>
    <w:qFormat/>
    <w:uiPriority w:val="99"/>
    <w:rPr>
      <w:rFonts w:ascii="宋体" w:hAnsi="Courier New"/>
      <w:kern w:val="0"/>
      <w:szCs w:val="21"/>
    </w:rPr>
  </w:style>
  <w:style w:type="paragraph" w:styleId="22">
    <w:name w:val="toc 8"/>
    <w:basedOn w:val="1"/>
    <w:next w:val="1"/>
    <w:qFormat/>
    <w:uiPriority w:val="99"/>
    <w:pPr>
      <w:ind w:left="1470"/>
      <w:jc w:val="left"/>
    </w:pPr>
    <w:rPr>
      <w:rFonts w:ascii="Calibri" w:hAnsi="Calibri" w:cs="Calibri"/>
      <w:sz w:val="18"/>
      <w:szCs w:val="18"/>
    </w:rPr>
  </w:style>
  <w:style w:type="paragraph" w:styleId="23">
    <w:name w:val="Date"/>
    <w:basedOn w:val="1"/>
    <w:next w:val="1"/>
    <w:link w:val="66"/>
    <w:qFormat/>
    <w:uiPriority w:val="99"/>
    <w:rPr>
      <w:rFonts w:eastAsia="黑体"/>
      <w:kern w:val="0"/>
      <w:sz w:val="20"/>
    </w:rPr>
  </w:style>
  <w:style w:type="paragraph" w:styleId="24">
    <w:name w:val="Body Text Indent 2"/>
    <w:basedOn w:val="1"/>
    <w:link w:val="67"/>
    <w:qFormat/>
    <w:uiPriority w:val="99"/>
    <w:pPr>
      <w:ind w:firstLine="630"/>
    </w:pPr>
    <w:rPr>
      <w:kern w:val="0"/>
      <w:sz w:val="20"/>
    </w:rPr>
  </w:style>
  <w:style w:type="paragraph" w:styleId="25">
    <w:name w:val="Balloon Text"/>
    <w:basedOn w:val="1"/>
    <w:link w:val="68"/>
    <w:qFormat/>
    <w:uiPriority w:val="99"/>
    <w:rPr>
      <w:kern w:val="0"/>
      <w:sz w:val="18"/>
      <w:szCs w:val="18"/>
    </w:rPr>
  </w:style>
  <w:style w:type="paragraph" w:styleId="26">
    <w:name w:val="footer"/>
    <w:basedOn w:val="1"/>
    <w:link w:val="69"/>
    <w:qFormat/>
    <w:uiPriority w:val="99"/>
    <w:pPr>
      <w:tabs>
        <w:tab w:val="center" w:pos="4153"/>
        <w:tab w:val="right" w:pos="8306"/>
      </w:tabs>
      <w:snapToGrid w:val="0"/>
      <w:jc w:val="left"/>
    </w:pPr>
    <w:rPr>
      <w:kern w:val="0"/>
      <w:sz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rPr>
  </w:style>
  <w:style w:type="paragraph" w:styleId="28">
    <w:name w:val="toc 1"/>
    <w:basedOn w:val="1"/>
    <w:next w:val="1"/>
    <w:qFormat/>
    <w:uiPriority w:val="39"/>
    <w:pPr>
      <w:spacing w:before="120" w:after="120"/>
      <w:jc w:val="left"/>
    </w:pPr>
    <w:rPr>
      <w:rFonts w:ascii="Calibri" w:hAnsi="Calibri" w:cs="Calibri"/>
      <w:b/>
      <w:bCs/>
      <w:caps/>
      <w:sz w:val="20"/>
    </w:rPr>
  </w:style>
  <w:style w:type="paragraph" w:styleId="29">
    <w:name w:val="toc 4"/>
    <w:basedOn w:val="1"/>
    <w:next w:val="1"/>
    <w:qFormat/>
    <w:uiPriority w:val="99"/>
    <w:pPr>
      <w:ind w:left="630"/>
      <w:jc w:val="left"/>
    </w:pPr>
    <w:rPr>
      <w:rFonts w:ascii="Calibri" w:hAnsi="Calibri" w:cs="Calibri"/>
      <w:sz w:val="18"/>
      <w:szCs w:val="18"/>
    </w:rPr>
  </w:style>
  <w:style w:type="paragraph" w:styleId="30">
    <w:name w:val="toc 6"/>
    <w:basedOn w:val="1"/>
    <w:next w:val="1"/>
    <w:qFormat/>
    <w:uiPriority w:val="99"/>
    <w:pPr>
      <w:ind w:left="1050"/>
      <w:jc w:val="left"/>
    </w:pPr>
    <w:rPr>
      <w:rFonts w:ascii="Calibri" w:hAnsi="Calibri" w:cs="Calibri"/>
      <w:sz w:val="18"/>
      <w:szCs w:val="18"/>
    </w:rPr>
  </w:style>
  <w:style w:type="paragraph" w:styleId="31">
    <w:name w:val="Body Text Indent 3"/>
    <w:basedOn w:val="1"/>
    <w:link w:val="71"/>
    <w:qFormat/>
    <w:uiPriority w:val="99"/>
    <w:pPr>
      <w:adjustRightInd w:val="0"/>
      <w:snapToGrid w:val="0"/>
      <w:spacing w:line="360" w:lineRule="auto"/>
      <w:ind w:firstLine="600" w:firstLineChars="200"/>
    </w:pPr>
    <w:rPr>
      <w:rFonts w:ascii="黑体" w:eastAsia="黑体"/>
      <w:kern w:val="0"/>
      <w:sz w:val="28"/>
      <w:szCs w:val="28"/>
    </w:rPr>
  </w:style>
  <w:style w:type="paragraph" w:styleId="32">
    <w:name w:val="toc 2"/>
    <w:basedOn w:val="1"/>
    <w:next w:val="1"/>
    <w:qFormat/>
    <w:uiPriority w:val="39"/>
    <w:pPr>
      <w:ind w:left="210"/>
      <w:jc w:val="left"/>
    </w:pPr>
    <w:rPr>
      <w:rFonts w:ascii="Calibri" w:hAnsi="Calibri" w:cs="Calibri"/>
      <w:smallCaps/>
      <w:sz w:val="20"/>
    </w:rPr>
  </w:style>
  <w:style w:type="paragraph" w:styleId="33">
    <w:name w:val="toc 9"/>
    <w:basedOn w:val="1"/>
    <w:next w:val="1"/>
    <w:qFormat/>
    <w:uiPriority w:val="99"/>
    <w:pPr>
      <w:ind w:left="1680"/>
      <w:jc w:val="left"/>
    </w:pPr>
    <w:rPr>
      <w:rFonts w:ascii="Calibri" w:hAnsi="Calibri" w:cs="Calibri"/>
      <w:sz w:val="18"/>
      <w:szCs w:val="18"/>
    </w:rPr>
  </w:style>
  <w:style w:type="paragraph" w:styleId="34">
    <w:name w:val="Normal (Web)"/>
    <w:basedOn w:val="1"/>
    <w:next w:val="27"/>
    <w:qFormat/>
    <w:uiPriority w:val="0"/>
    <w:pPr>
      <w:widowControl/>
      <w:spacing w:before="100" w:beforeAutospacing="1" w:after="100" w:afterAutospacing="1"/>
      <w:jc w:val="left"/>
    </w:pPr>
    <w:rPr>
      <w:rFonts w:ascii="宋体" w:hAnsi="宋体"/>
      <w:kern w:val="0"/>
      <w:sz w:val="18"/>
      <w:szCs w:val="18"/>
    </w:rPr>
  </w:style>
  <w:style w:type="paragraph" w:styleId="35">
    <w:name w:val="Body Text First Indent 2"/>
    <w:basedOn w:val="18"/>
    <w:next w:val="1"/>
    <w:qFormat/>
    <w:locked/>
    <w:uiPriority w:val="0"/>
    <w:pPr>
      <w:spacing w:after="120"/>
      <w:ind w:left="420" w:leftChars="200" w:firstLine="420" w:firstLineChars="200"/>
    </w:pPr>
    <w:rPr>
      <w:sz w:val="21"/>
      <w:szCs w:val="24"/>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FollowedHyperlink"/>
    <w:basedOn w:val="38"/>
    <w:semiHidden/>
    <w:unhideWhenUsed/>
    <w:qFormat/>
    <w:locked/>
    <w:uiPriority w:val="99"/>
    <w:rPr>
      <w:color w:val="3177FD"/>
      <w:u w:val="none"/>
    </w:rPr>
  </w:style>
  <w:style w:type="character" w:styleId="41">
    <w:name w:val="Emphasis"/>
    <w:basedOn w:val="38"/>
    <w:qFormat/>
    <w:uiPriority w:val="0"/>
    <w:rPr>
      <w:i/>
    </w:rPr>
  </w:style>
  <w:style w:type="character" w:styleId="42">
    <w:name w:val="HTML Definition"/>
    <w:basedOn w:val="38"/>
    <w:semiHidden/>
    <w:unhideWhenUsed/>
    <w:qFormat/>
    <w:locked/>
    <w:uiPriority w:val="99"/>
    <w:rPr>
      <w:i/>
      <w:iCs/>
    </w:rPr>
  </w:style>
  <w:style w:type="character" w:styleId="43">
    <w:name w:val="Hyperlink"/>
    <w:qFormat/>
    <w:uiPriority w:val="99"/>
    <w:rPr>
      <w:rFonts w:cs="Times New Roman"/>
      <w:color w:val="0000FF"/>
      <w:u w:val="single"/>
    </w:rPr>
  </w:style>
  <w:style w:type="character" w:styleId="44">
    <w:name w:val="HTML Code"/>
    <w:basedOn w:val="38"/>
    <w:semiHidden/>
    <w:unhideWhenUsed/>
    <w:qFormat/>
    <w:locked/>
    <w:uiPriority w:val="99"/>
    <w:rPr>
      <w:rFonts w:hint="default" w:ascii="Consolas" w:hAnsi="Consolas" w:eastAsia="Consolas" w:cs="Consolas"/>
      <w:sz w:val="21"/>
      <w:szCs w:val="21"/>
    </w:rPr>
  </w:style>
  <w:style w:type="character" w:styleId="45">
    <w:name w:val="HTML Keyboard"/>
    <w:basedOn w:val="38"/>
    <w:semiHidden/>
    <w:unhideWhenUsed/>
    <w:qFormat/>
    <w:locked/>
    <w:uiPriority w:val="99"/>
    <w:rPr>
      <w:rFonts w:ascii="Consolas" w:hAnsi="Consolas" w:eastAsia="Consolas" w:cs="Consolas"/>
      <w:sz w:val="21"/>
      <w:szCs w:val="21"/>
    </w:rPr>
  </w:style>
  <w:style w:type="character" w:styleId="46">
    <w:name w:val="HTML Sample"/>
    <w:basedOn w:val="38"/>
    <w:semiHidden/>
    <w:unhideWhenUsed/>
    <w:qFormat/>
    <w:locked/>
    <w:uiPriority w:val="99"/>
    <w:rPr>
      <w:rFonts w:hint="default" w:ascii="Consolas" w:hAnsi="Consolas" w:eastAsia="Consolas" w:cs="Consolas"/>
      <w:sz w:val="21"/>
      <w:szCs w:val="21"/>
    </w:rPr>
  </w:style>
  <w:style w:type="paragraph" w:customStyle="1" w:styleId="4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8">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49">
    <w:name w:val="Normal Indent1"/>
    <w:basedOn w:val="1"/>
    <w:qFormat/>
    <w:uiPriority w:val="99"/>
    <w:pPr>
      <w:adjustRightInd w:val="0"/>
      <w:snapToGrid w:val="0"/>
      <w:spacing w:line="312" w:lineRule="auto"/>
      <w:ind w:firstLine="420" w:firstLineChars="200"/>
    </w:pPr>
    <w:rPr>
      <w:sz w:val="24"/>
    </w:rPr>
  </w:style>
  <w:style w:type="character" w:customStyle="1" w:styleId="50">
    <w:name w:val="标题 1 Char"/>
    <w:link w:val="5"/>
    <w:qFormat/>
    <w:locked/>
    <w:uiPriority w:val="99"/>
    <w:rPr>
      <w:b/>
      <w:kern w:val="44"/>
      <w:sz w:val="44"/>
    </w:rPr>
  </w:style>
  <w:style w:type="character" w:customStyle="1" w:styleId="51">
    <w:name w:val="标题 2 Char"/>
    <w:link w:val="6"/>
    <w:qFormat/>
    <w:locked/>
    <w:uiPriority w:val="99"/>
    <w:rPr>
      <w:rFonts w:ascii="Arial" w:hAnsi="Arial"/>
      <w:b/>
      <w:sz w:val="28"/>
    </w:rPr>
  </w:style>
  <w:style w:type="character" w:customStyle="1" w:styleId="52">
    <w:name w:val="正文缩进 Char"/>
    <w:link w:val="10"/>
    <w:qFormat/>
    <w:locked/>
    <w:uiPriority w:val="0"/>
    <w:rPr>
      <w:kern w:val="2"/>
      <w:sz w:val="21"/>
    </w:rPr>
  </w:style>
  <w:style w:type="character" w:customStyle="1" w:styleId="53">
    <w:name w:val="标题 3 Char"/>
    <w:link w:val="7"/>
    <w:qFormat/>
    <w:locked/>
    <w:uiPriority w:val="99"/>
    <w:rPr>
      <w:rFonts w:ascii="Times New Roman" w:hAnsi="Times New Roman" w:eastAsia="宋体" w:cs="Times New Roman"/>
      <w:b/>
      <w:sz w:val="20"/>
      <w:szCs w:val="20"/>
    </w:rPr>
  </w:style>
  <w:style w:type="character" w:customStyle="1" w:styleId="54">
    <w:name w:val="标题 4 Char"/>
    <w:link w:val="8"/>
    <w:semiHidden/>
    <w:qFormat/>
    <w:locked/>
    <w:uiPriority w:val="99"/>
    <w:rPr>
      <w:rFonts w:ascii="Arial" w:hAnsi="Arial" w:eastAsia="黑体" w:cs="Times New Roman"/>
      <w:b/>
      <w:bCs/>
      <w:sz w:val="28"/>
      <w:szCs w:val="28"/>
    </w:rPr>
  </w:style>
  <w:style w:type="character" w:customStyle="1" w:styleId="55">
    <w:name w:val="标题 5 Char"/>
    <w:link w:val="9"/>
    <w:semiHidden/>
    <w:qFormat/>
    <w:locked/>
    <w:uiPriority w:val="99"/>
    <w:rPr>
      <w:rFonts w:ascii="Times New Roman" w:hAnsi="Times New Roman" w:eastAsia="宋体" w:cs="Times New Roman"/>
      <w:b/>
      <w:sz w:val="24"/>
      <w:szCs w:val="24"/>
    </w:rPr>
  </w:style>
  <w:style w:type="character" w:customStyle="1" w:styleId="56">
    <w:name w:val="标题 6 Char"/>
    <w:link w:val="11"/>
    <w:semiHidden/>
    <w:qFormat/>
    <w:locked/>
    <w:uiPriority w:val="99"/>
    <w:rPr>
      <w:rFonts w:ascii="Arial" w:hAnsi="Arial" w:eastAsia="黑体" w:cs="Times New Roman"/>
      <w:b/>
      <w:sz w:val="24"/>
      <w:szCs w:val="24"/>
    </w:rPr>
  </w:style>
  <w:style w:type="character" w:customStyle="1" w:styleId="57">
    <w:name w:val="标题 7 Char"/>
    <w:link w:val="12"/>
    <w:semiHidden/>
    <w:qFormat/>
    <w:locked/>
    <w:uiPriority w:val="99"/>
    <w:rPr>
      <w:rFonts w:ascii="Times New Roman" w:hAnsi="Times New Roman" w:eastAsia="宋体" w:cs="Times New Roman"/>
      <w:b/>
      <w:sz w:val="24"/>
      <w:szCs w:val="24"/>
    </w:rPr>
  </w:style>
  <w:style w:type="character" w:customStyle="1" w:styleId="58">
    <w:name w:val="标题 8 Char"/>
    <w:link w:val="13"/>
    <w:semiHidden/>
    <w:qFormat/>
    <w:locked/>
    <w:uiPriority w:val="99"/>
    <w:rPr>
      <w:rFonts w:ascii="Arial" w:hAnsi="Arial" w:eastAsia="黑体" w:cs="Times New Roman"/>
      <w:sz w:val="24"/>
      <w:szCs w:val="24"/>
    </w:rPr>
  </w:style>
  <w:style w:type="character" w:customStyle="1" w:styleId="59">
    <w:name w:val="标题 9 Char"/>
    <w:link w:val="14"/>
    <w:semiHidden/>
    <w:qFormat/>
    <w:locked/>
    <w:uiPriority w:val="99"/>
    <w:rPr>
      <w:rFonts w:ascii="Arial" w:hAnsi="Arial" w:eastAsia="黑体" w:cs="Times New Roman"/>
      <w:sz w:val="24"/>
      <w:szCs w:val="24"/>
    </w:rPr>
  </w:style>
  <w:style w:type="character" w:customStyle="1" w:styleId="60">
    <w:name w:val="正文文本 Char"/>
    <w:link w:val="3"/>
    <w:semiHidden/>
    <w:qFormat/>
    <w:locked/>
    <w:uiPriority w:val="99"/>
    <w:rPr>
      <w:rFonts w:ascii="Times New Roman" w:hAnsi="Times New Roman" w:eastAsia="宋体" w:cs="Times New Roman"/>
      <w:sz w:val="20"/>
      <w:szCs w:val="20"/>
    </w:rPr>
  </w:style>
  <w:style w:type="character" w:customStyle="1" w:styleId="61">
    <w:name w:val="正文首行缩进 Char"/>
    <w:link w:val="2"/>
    <w:semiHidden/>
    <w:qFormat/>
    <w:locked/>
    <w:uiPriority w:val="99"/>
    <w:rPr>
      <w:rFonts w:ascii="Times New Roman" w:hAnsi="Times New Roman" w:eastAsia="宋体" w:cs="Times New Roman"/>
      <w:sz w:val="20"/>
      <w:szCs w:val="20"/>
    </w:rPr>
  </w:style>
  <w:style w:type="character" w:customStyle="1" w:styleId="62">
    <w:name w:val="文档结构图 Char"/>
    <w:link w:val="16"/>
    <w:semiHidden/>
    <w:qFormat/>
    <w:locked/>
    <w:uiPriority w:val="99"/>
    <w:rPr>
      <w:rFonts w:ascii="Times New Roman" w:hAnsi="Times New Roman" w:eastAsia="宋体" w:cs="Times New Roman"/>
      <w:sz w:val="20"/>
      <w:szCs w:val="20"/>
      <w:shd w:val="clear" w:color="auto" w:fill="000080"/>
    </w:rPr>
  </w:style>
  <w:style w:type="character" w:customStyle="1" w:styleId="63">
    <w:name w:val="正文文本 3 Char"/>
    <w:link w:val="17"/>
    <w:semiHidden/>
    <w:qFormat/>
    <w:locked/>
    <w:uiPriority w:val="99"/>
    <w:rPr>
      <w:rFonts w:ascii="Times New Roman" w:hAnsi="Times New Roman" w:eastAsia="宋体" w:cs="Times New Roman"/>
      <w:b/>
      <w:bCs/>
      <w:sz w:val="24"/>
      <w:szCs w:val="24"/>
    </w:rPr>
  </w:style>
  <w:style w:type="character" w:customStyle="1" w:styleId="64">
    <w:name w:val="正文文本缩进 Char"/>
    <w:link w:val="18"/>
    <w:semiHidden/>
    <w:qFormat/>
    <w:locked/>
    <w:uiPriority w:val="99"/>
    <w:rPr>
      <w:rFonts w:cs="Times New Roman"/>
      <w:sz w:val="32"/>
    </w:rPr>
  </w:style>
  <w:style w:type="character" w:customStyle="1" w:styleId="65">
    <w:name w:val="纯文本 Char"/>
    <w:link w:val="21"/>
    <w:semiHidden/>
    <w:qFormat/>
    <w:locked/>
    <w:uiPriority w:val="99"/>
    <w:rPr>
      <w:rFonts w:ascii="宋体" w:hAnsi="Courier New" w:eastAsia="宋体" w:cs="Courier New"/>
      <w:sz w:val="21"/>
      <w:szCs w:val="21"/>
    </w:rPr>
  </w:style>
  <w:style w:type="character" w:customStyle="1" w:styleId="66">
    <w:name w:val="日期 Char"/>
    <w:link w:val="23"/>
    <w:semiHidden/>
    <w:qFormat/>
    <w:locked/>
    <w:uiPriority w:val="99"/>
    <w:rPr>
      <w:rFonts w:ascii="Times New Roman" w:hAnsi="Times New Roman" w:eastAsia="黑体" w:cs="Times New Roman"/>
      <w:sz w:val="20"/>
      <w:szCs w:val="20"/>
    </w:rPr>
  </w:style>
  <w:style w:type="character" w:customStyle="1" w:styleId="67">
    <w:name w:val="正文文本缩进 2 Char"/>
    <w:link w:val="24"/>
    <w:semiHidden/>
    <w:qFormat/>
    <w:locked/>
    <w:uiPriority w:val="99"/>
    <w:rPr>
      <w:rFonts w:ascii="Times New Roman" w:hAnsi="Times New Roman" w:eastAsia="宋体" w:cs="Times New Roman"/>
      <w:sz w:val="20"/>
      <w:szCs w:val="20"/>
    </w:rPr>
  </w:style>
  <w:style w:type="character" w:customStyle="1" w:styleId="68">
    <w:name w:val="批注框文本 Char"/>
    <w:link w:val="25"/>
    <w:semiHidden/>
    <w:qFormat/>
    <w:locked/>
    <w:uiPriority w:val="99"/>
    <w:rPr>
      <w:rFonts w:ascii="Times New Roman" w:hAnsi="Times New Roman" w:eastAsia="宋体" w:cs="Times New Roman"/>
      <w:sz w:val="18"/>
      <w:szCs w:val="18"/>
    </w:rPr>
  </w:style>
  <w:style w:type="character" w:customStyle="1" w:styleId="69">
    <w:name w:val="页脚 Char"/>
    <w:link w:val="26"/>
    <w:qFormat/>
    <w:locked/>
    <w:uiPriority w:val="99"/>
    <w:rPr>
      <w:rFonts w:cs="Times New Roman"/>
      <w:sz w:val="18"/>
    </w:rPr>
  </w:style>
  <w:style w:type="character" w:customStyle="1" w:styleId="70">
    <w:name w:val="页眉 Char"/>
    <w:link w:val="27"/>
    <w:qFormat/>
    <w:locked/>
    <w:uiPriority w:val="0"/>
    <w:rPr>
      <w:rFonts w:cs="Times New Roman"/>
      <w:sz w:val="18"/>
    </w:rPr>
  </w:style>
  <w:style w:type="character" w:customStyle="1" w:styleId="71">
    <w:name w:val="正文文本缩进 3 Char"/>
    <w:link w:val="31"/>
    <w:semiHidden/>
    <w:qFormat/>
    <w:locked/>
    <w:uiPriority w:val="99"/>
    <w:rPr>
      <w:rFonts w:ascii="黑体" w:hAnsi="Times New Roman" w:eastAsia="黑体" w:cs="Times New Roman"/>
      <w:sz w:val="28"/>
      <w:szCs w:val="28"/>
    </w:rPr>
  </w:style>
  <w:style w:type="character" w:customStyle="1" w:styleId="72">
    <w:name w:val="正文文本 2 Char"/>
    <w:link w:val="4"/>
    <w:semiHidden/>
    <w:qFormat/>
    <w:locked/>
    <w:uiPriority w:val="99"/>
    <w:rPr>
      <w:rFonts w:ascii="Times New Roman" w:hAnsi="Times New Roman" w:eastAsia="宋体" w:cs="Times New Roman"/>
      <w:sz w:val="24"/>
      <w:szCs w:val="24"/>
    </w:rPr>
  </w:style>
  <w:style w:type="character" w:customStyle="1" w:styleId="73">
    <w:name w:val="标题 1 Char1"/>
    <w:qFormat/>
    <w:uiPriority w:val="99"/>
    <w:rPr>
      <w:rFonts w:cs="Times New Roman"/>
      <w:b/>
      <w:bCs/>
      <w:kern w:val="44"/>
      <w:sz w:val="44"/>
      <w:szCs w:val="44"/>
    </w:rPr>
  </w:style>
  <w:style w:type="character" w:customStyle="1" w:styleId="74">
    <w:name w:val="标题 4 Char1"/>
    <w:semiHidden/>
    <w:qFormat/>
    <w:uiPriority w:val="99"/>
    <w:rPr>
      <w:rFonts w:ascii="Cambria" w:hAnsi="Cambria" w:eastAsia="宋体" w:cs="Times New Roman"/>
      <w:b/>
      <w:bCs/>
      <w:kern w:val="2"/>
      <w:sz w:val="28"/>
      <w:szCs w:val="28"/>
    </w:rPr>
  </w:style>
  <w:style w:type="character" w:customStyle="1" w:styleId="75">
    <w:name w:val="页眉 Char1"/>
    <w:semiHidden/>
    <w:qFormat/>
    <w:uiPriority w:val="99"/>
    <w:rPr>
      <w:rFonts w:ascii="Times New Roman" w:hAnsi="Times New Roman" w:eastAsia="宋体" w:cs="Times New Roman"/>
      <w:sz w:val="18"/>
      <w:szCs w:val="18"/>
    </w:rPr>
  </w:style>
  <w:style w:type="character" w:customStyle="1" w:styleId="76">
    <w:name w:val="页脚 Char1"/>
    <w:semiHidden/>
    <w:qFormat/>
    <w:uiPriority w:val="99"/>
    <w:rPr>
      <w:rFonts w:ascii="Times New Roman" w:hAnsi="Times New Roman" w:eastAsia="宋体" w:cs="Times New Roman"/>
      <w:sz w:val="18"/>
      <w:szCs w:val="18"/>
    </w:rPr>
  </w:style>
  <w:style w:type="character" w:customStyle="1" w:styleId="77">
    <w:name w:val="正文文本缩进 Char1"/>
    <w:semiHidden/>
    <w:qFormat/>
    <w:uiPriority w:val="99"/>
    <w:rPr>
      <w:rFonts w:ascii="Times New Roman" w:hAnsi="Times New Roman" w:eastAsia="宋体" w:cs="Times New Roman"/>
      <w:sz w:val="20"/>
      <w:szCs w:val="20"/>
    </w:rPr>
  </w:style>
  <w:style w:type="paragraph" w:customStyle="1" w:styleId="7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9">
    <w:name w:val="正文文本 21"/>
    <w:basedOn w:val="1"/>
    <w:qFormat/>
    <w:uiPriority w:val="99"/>
    <w:pPr>
      <w:adjustRightInd w:val="0"/>
      <w:spacing w:line="300" w:lineRule="auto"/>
      <w:jc w:val="center"/>
    </w:pPr>
    <w:rPr>
      <w:rFonts w:ascii="宋体" w:hAnsi="宋体"/>
      <w:sz w:val="24"/>
    </w:rPr>
  </w:style>
  <w:style w:type="paragraph" w:customStyle="1" w:styleId="80">
    <w:name w:val="Table Text"/>
    <w:basedOn w:val="1"/>
    <w:qFormat/>
    <w:uiPriority w:val="99"/>
    <w:pPr>
      <w:widowControl/>
      <w:spacing w:before="60" w:after="60"/>
      <w:jc w:val="left"/>
    </w:pPr>
    <w:rPr>
      <w:kern w:val="0"/>
      <w:szCs w:val="24"/>
    </w:rPr>
  </w:style>
  <w:style w:type="paragraph" w:customStyle="1" w:styleId="81">
    <w:name w:val="正文首行缩进两字符"/>
    <w:basedOn w:val="1"/>
    <w:qFormat/>
    <w:uiPriority w:val="99"/>
    <w:pPr>
      <w:spacing w:line="360" w:lineRule="auto"/>
      <w:ind w:firstLine="200" w:firstLineChars="200"/>
    </w:pPr>
    <w:rPr>
      <w:szCs w:val="24"/>
    </w:rPr>
  </w:style>
  <w:style w:type="paragraph" w:customStyle="1" w:styleId="82">
    <w:name w:val="正文缩进1"/>
    <w:basedOn w:val="1"/>
    <w:next w:val="1"/>
    <w:qFormat/>
    <w:uiPriority w:val="99"/>
    <w:pPr>
      <w:widowControl/>
      <w:ind w:firstLine="420"/>
    </w:pPr>
    <w:rPr>
      <w:color w:val="000000"/>
    </w:rPr>
  </w:style>
  <w:style w:type="paragraph" w:customStyle="1" w:styleId="83">
    <w:name w:val="Char1"/>
    <w:basedOn w:val="1"/>
    <w:qFormat/>
    <w:uiPriority w:val="99"/>
    <w:rPr>
      <w:szCs w:val="21"/>
    </w:rPr>
  </w:style>
  <w:style w:type="paragraph" w:customStyle="1" w:styleId="84">
    <w:name w:val="Char"/>
    <w:basedOn w:val="1"/>
    <w:qFormat/>
    <w:uiPriority w:val="99"/>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85">
    <w:name w:val="table head"/>
    <w:basedOn w:val="1"/>
    <w:qFormat/>
    <w:uiPriority w:val="99"/>
    <w:pPr>
      <w:keepNext/>
      <w:keepLines/>
      <w:adjustRightInd w:val="0"/>
      <w:spacing w:line="312" w:lineRule="atLeast"/>
      <w:jc w:val="center"/>
    </w:pPr>
    <w:rPr>
      <w:b/>
      <w:kern w:val="0"/>
    </w:rPr>
  </w:style>
  <w:style w:type="paragraph" w:customStyle="1" w:styleId="86">
    <w:name w:val="纯文本1"/>
    <w:basedOn w:val="1"/>
    <w:qFormat/>
    <w:uiPriority w:val="99"/>
    <w:pPr>
      <w:adjustRightInd w:val="0"/>
    </w:pPr>
    <w:rPr>
      <w:rFonts w:ascii="宋体" w:hAnsi="Courier New"/>
    </w:rPr>
  </w:style>
  <w:style w:type="paragraph" w:customStyle="1" w:styleId="87">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8">
    <w:name w:val="plaintext"/>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89">
    <w:name w:val="默认段落字体 Para Char Char Char Char Char Char Char Char Char1 Char Char Char Char"/>
    <w:basedOn w:val="1"/>
    <w:qFormat/>
    <w:uiPriority w:val="99"/>
    <w:rPr>
      <w:rFonts w:ascii="Tahoma" w:hAnsi="Tahoma"/>
      <w:sz w:val="24"/>
    </w:rPr>
  </w:style>
  <w:style w:type="paragraph" w:customStyle="1" w:styleId="90">
    <w:name w:val="Char Char Char Char Char Char"/>
    <w:basedOn w:val="1"/>
    <w:qFormat/>
    <w:uiPriority w:val="99"/>
    <w:rPr>
      <w:rFonts w:ascii="Tahoma" w:hAnsi="Tahoma"/>
      <w:sz w:val="24"/>
    </w:rPr>
  </w:style>
  <w:style w:type="paragraph" w:customStyle="1" w:styleId="91">
    <w:name w:val="Char Char Char Char"/>
    <w:basedOn w:val="1"/>
    <w:qFormat/>
    <w:uiPriority w:val="99"/>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92">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93">
    <w:name w:val="Char2 Char Char Char"/>
    <w:basedOn w:val="1"/>
    <w:qFormat/>
    <w:uiPriority w:val="99"/>
    <w:rPr>
      <w:rFonts w:ascii="仿宋_GB2312" w:eastAsia="仿宋_GB2312"/>
      <w:b/>
      <w:sz w:val="32"/>
      <w:szCs w:val="32"/>
    </w:rPr>
  </w:style>
  <w:style w:type="paragraph" w:customStyle="1" w:styleId="9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样式 首行缩进:  2 字符"/>
    <w:basedOn w:val="1"/>
    <w:qFormat/>
    <w:uiPriority w:val="99"/>
    <w:pPr>
      <w:spacing w:line="400" w:lineRule="exact"/>
      <w:ind w:firstLine="200" w:firstLineChars="200"/>
    </w:pPr>
    <w:rPr>
      <w:rFonts w:cs="宋体"/>
      <w:sz w:val="24"/>
      <w:szCs w:val="24"/>
    </w:rPr>
  </w:style>
  <w:style w:type="paragraph" w:customStyle="1" w:styleId="96">
    <w:name w:val="Char Char Char Char Char Char1 Char"/>
    <w:basedOn w:val="16"/>
    <w:qFormat/>
    <w:uiPriority w:val="99"/>
    <w:rPr>
      <w:rFonts w:ascii="Tahoma" w:hAnsi="Tahoma"/>
      <w:sz w:val="24"/>
      <w:szCs w:val="24"/>
    </w:rPr>
  </w:style>
  <w:style w:type="paragraph" w:customStyle="1" w:styleId="97">
    <w:name w:val="表格"/>
    <w:basedOn w:val="1"/>
    <w:qFormat/>
    <w:uiPriority w:val="99"/>
    <w:pPr>
      <w:spacing w:line="400" w:lineRule="exact"/>
    </w:pPr>
    <w:rPr>
      <w:sz w:val="24"/>
      <w:szCs w:val="24"/>
    </w:rPr>
  </w:style>
  <w:style w:type="character" w:customStyle="1" w:styleId="98">
    <w:name w:val="unnamed31"/>
    <w:qFormat/>
    <w:uiPriority w:val="99"/>
    <w:rPr>
      <w:sz w:val="22"/>
    </w:rPr>
  </w:style>
  <w:style w:type="character" w:customStyle="1" w:styleId="99">
    <w:name w:val="Char Char"/>
    <w:qFormat/>
    <w:uiPriority w:val="99"/>
    <w:rPr>
      <w:rFonts w:ascii="宋体" w:hAnsi="宋体" w:eastAsia="宋体"/>
      <w:b/>
      <w:kern w:val="2"/>
      <w:sz w:val="32"/>
      <w:lang w:val="en-US" w:eastAsia="zh-CN"/>
    </w:rPr>
  </w:style>
  <w:style w:type="character" w:customStyle="1" w:styleId="100">
    <w:name w:val="正文首行缩进两字符 Char"/>
    <w:qFormat/>
    <w:uiPriority w:val="99"/>
    <w:rPr>
      <w:rFonts w:ascii="宋体" w:hAnsi="宋体" w:eastAsia="宋体"/>
      <w:kern w:val="2"/>
      <w:sz w:val="24"/>
      <w:lang w:val="en-US" w:eastAsia="zh-CN"/>
    </w:rPr>
  </w:style>
  <w:style w:type="character" w:customStyle="1" w:styleId="101">
    <w:name w:val="标题 3 Char Char Char"/>
    <w:qFormat/>
    <w:uiPriority w:val="99"/>
    <w:rPr>
      <w:rFonts w:ascii="宋体" w:hAnsi="宋体" w:eastAsia="宋体"/>
      <w:b/>
      <w:kern w:val="2"/>
      <w:sz w:val="32"/>
      <w:lang w:val="en-US" w:eastAsia="zh-CN"/>
    </w:rPr>
  </w:style>
  <w:style w:type="character" w:customStyle="1" w:styleId="102">
    <w:name w:val="textnorm_chn1"/>
    <w:qFormat/>
    <w:uiPriority w:val="99"/>
    <w:rPr>
      <w:rFonts w:ascii="Arial" w:hAnsi="Arial"/>
      <w:color w:val="21254A"/>
      <w:sz w:val="22"/>
    </w:rPr>
  </w:style>
  <w:style w:type="character" w:customStyle="1" w:styleId="103">
    <w:name w:val="样式 小四 行距: 固定值 27 磅 Char Char"/>
    <w:link w:val="104"/>
    <w:qFormat/>
    <w:locked/>
    <w:uiPriority w:val="99"/>
    <w:rPr>
      <w:rFonts w:ascii="宋体" w:hAnsi="Times New Roman" w:eastAsia="宋体"/>
      <w:kern w:val="0"/>
      <w:sz w:val="20"/>
    </w:rPr>
  </w:style>
  <w:style w:type="paragraph" w:customStyle="1" w:styleId="104">
    <w:name w:val="样式 小四 行距: 固定值 27 磅"/>
    <w:basedOn w:val="1"/>
    <w:link w:val="103"/>
    <w:qFormat/>
    <w:uiPriority w:val="99"/>
    <w:pPr>
      <w:spacing w:line="540" w:lineRule="exact"/>
      <w:ind w:firstLine="480" w:firstLineChars="200"/>
    </w:pPr>
    <w:rPr>
      <w:rFonts w:ascii="宋体"/>
      <w:kern w:val="0"/>
      <w:sz w:val="20"/>
    </w:rPr>
  </w:style>
  <w:style w:type="paragraph" w:customStyle="1" w:styleId="105">
    <w:name w:val="Plain Text1"/>
    <w:basedOn w:val="1"/>
    <w:qFormat/>
    <w:uiPriority w:val="99"/>
    <w:rPr>
      <w:rFonts w:ascii="宋体" w:hAnsi="Courier New" w:cs="Courier New"/>
      <w:szCs w:val="21"/>
    </w:rPr>
  </w:style>
  <w:style w:type="paragraph" w:customStyle="1" w:styleId="106">
    <w:name w:val="Normal Indent11"/>
    <w:basedOn w:val="1"/>
    <w:qFormat/>
    <w:uiPriority w:val="99"/>
    <w:pPr>
      <w:adjustRightInd w:val="0"/>
      <w:snapToGrid w:val="0"/>
      <w:spacing w:line="312" w:lineRule="auto"/>
      <w:ind w:firstLine="420" w:firstLineChars="200"/>
    </w:pPr>
    <w:rPr>
      <w:sz w:val="24"/>
    </w:rPr>
  </w:style>
  <w:style w:type="paragraph" w:customStyle="1" w:styleId="107">
    <w:name w:val="È¡ÀÊ¡ÎÄ¡À¾"/>
    <w:basedOn w:val="1"/>
    <w:qFormat/>
    <w:uiPriority w:val="99"/>
    <w:pPr>
      <w:widowControl/>
      <w:overflowPunct w:val="0"/>
      <w:autoSpaceDE w:val="0"/>
      <w:autoSpaceDN w:val="0"/>
      <w:adjustRightInd w:val="0"/>
      <w:jc w:val="left"/>
    </w:pPr>
    <w:rPr>
      <w:kern w:val="0"/>
      <w:sz w:val="24"/>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01"/>
    <w:qFormat/>
    <w:uiPriority w:val="99"/>
    <w:rPr>
      <w:rFonts w:ascii="宋体" w:hAnsi="宋体" w:eastAsia="宋体" w:cs="宋体"/>
      <w:color w:val="000000"/>
      <w:sz w:val="24"/>
      <w:szCs w:val="24"/>
      <w:u w:val="none"/>
    </w:rPr>
  </w:style>
  <w:style w:type="paragraph" w:customStyle="1" w:styleId="11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font5"/>
    <w:basedOn w:val="1"/>
    <w:qFormat/>
    <w:uiPriority w:val="99"/>
    <w:pPr>
      <w:widowControl/>
      <w:spacing w:before="100" w:beforeAutospacing="1" w:after="100" w:afterAutospacing="1"/>
      <w:jc w:val="left"/>
    </w:pPr>
    <w:rPr>
      <w:b/>
      <w:bCs/>
      <w:color w:val="000000"/>
      <w:kern w:val="0"/>
      <w:szCs w:val="21"/>
    </w:rPr>
  </w:style>
  <w:style w:type="paragraph" w:customStyle="1" w:styleId="112">
    <w:name w:val="font6"/>
    <w:basedOn w:val="1"/>
    <w:qFormat/>
    <w:uiPriority w:val="99"/>
    <w:pPr>
      <w:widowControl/>
      <w:spacing w:before="100" w:beforeAutospacing="1" w:after="100" w:afterAutospacing="1"/>
      <w:jc w:val="left"/>
    </w:pPr>
    <w:rPr>
      <w:rFonts w:ascii="宋体" w:hAnsi="宋体" w:cs="宋体"/>
      <w:b/>
      <w:bCs/>
      <w:color w:val="000000"/>
      <w:kern w:val="0"/>
      <w:szCs w:val="21"/>
    </w:rPr>
  </w:style>
  <w:style w:type="paragraph" w:customStyle="1" w:styleId="11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4">
    <w:name w:val="font8"/>
    <w:basedOn w:val="1"/>
    <w:qFormat/>
    <w:uiPriority w:val="99"/>
    <w:pPr>
      <w:widowControl/>
      <w:spacing w:before="100" w:beforeAutospacing="1" w:after="100" w:afterAutospacing="1"/>
      <w:jc w:val="left"/>
    </w:pPr>
    <w:rPr>
      <w:color w:val="000000"/>
      <w:kern w:val="0"/>
      <w:sz w:val="24"/>
      <w:szCs w:val="24"/>
    </w:rPr>
  </w:style>
  <w:style w:type="paragraph" w:customStyle="1" w:styleId="115">
    <w:name w:val="font9"/>
    <w:basedOn w:val="1"/>
    <w:qFormat/>
    <w:uiPriority w:val="99"/>
    <w:pPr>
      <w:widowControl/>
      <w:spacing w:before="100" w:beforeAutospacing="1" w:after="100" w:afterAutospacing="1"/>
      <w:jc w:val="left"/>
    </w:pPr>
    <w:rPr>
      <w:b/>
      <w:bCs/>
      <w:color w:val="000000"/>
      <w:kern w:val="0"/>
      <w:sz w:val="24"/>
      <w:szCs w:val="24"/>
    </w:rPr>
  </w:style>
  <w:style w:type="paragraph" w:customStyle="1" w:styleId="116">
    <w:name w:val="font10"/>
    <w:basedOn w:val="1"/>
    <w:qFormat/>
    <w:uiPriority w:val="99"/>
    <w:pPr>
      <w:widowControl/>
      <w:spacing w:before="100" w:beforeAutospacing="1" w:after="100" w:afterAutospacing="1"/>
      <w:jc w:val="left"/>
    </w:pPr>
    <w:rPr>
      <w:rFonts w:ascii="宋体" w:hAnsi="宋体" w:cs="宋体"/>
      <w:b/>
      <w:bCs/>
      <w:color w:val="000000"/>
      <w:kern w:val="0"/>
      <w:sz w:val="24"/>
      <w:szCs w:val="24"/>
    </w:rPr>
  </w:style>
  <w:style w:type="paragraph" w:customStyle="1" w:styleId="117">
    <w:name w:val="xl65"/>
    <w:basedOn w:val="1"/>
    <w:qFormat/>
    <w:uiPriority w:val="99"/>
    <w:pPr>
      <w:widowControl/>
      <w:spacing w:before="100" w:beforeAutospacing="1" w:after="100" w:afterAutospacing="1"/>
      <w:jc w:val="left"/>
    </w:pPr>
    <w:rPr>
      <w:rFonts w:ascii="宋体" w:hAnsi="宋体" w:cs="宋体"/>
      <w:b/>
      <w:bCs/>
      <w:kern w:val="0"/>
      <w:szCs w:val="21"/>
    </w:rPr>
  </w:style>
  <w:style w:type="paragraph" w:customStyle="1" w:styleId="11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2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2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2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23">
    <w:name w:val="xl7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124">
    <w:name w:val="xl7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2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6">
    <w:name w:val="xl74"/>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2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2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2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0">
    <w:name w:val="xl78"/>
    <w:basedOn w:val="1"/>
    <w:qFormat/>
    <w:uiPriority w:val="99"/>
    <w:pPr>
      <w:widowControl/>
      <w:pBdr>
        <w:top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1">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132">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szCs w:val="24"/>
    </w:rPr>
  </w:style>
  <w:style w:type="paragraph" w:customStyle="1" w:styleId="133">
    <w:name w:val="xl8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4">
    <w:name w:val="xl82"/>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5">
    <w:name w:val="xl8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6">
    <w:name w:val="列出段落1"/>
    <w:basedOn w:val="1"/>
    <w:qFormat/>
    <w:uiPriority w:val="99"/>
    <w:pPr>
      <w:ind w:firstLine="420" w:firstLineChars="200"/>
    </w:pPr>
  </w:style>
  <w:style w:type="paragraph" w:customStyle="1" w:styleId="137">
    <w:name w:val="List Paragraph1"/>
    <w:basedOn w:val="1"/>
    <w:qFormat/>
    <w:uiPriority w:val="99"/>
    <w:pPr>
      <w:ind w:firstLine="420" w:firstLineChars="200"/>
    </w:pPr>
  </w:style>
  <w:style w:type="character" w:customStyle="1" w:styleId="138">
    <w:name w:val="无间隔 Char"/>
    <w:link w:val="139"/>
    <w:qFormat/>
    <w:locked/>
    <w:uiPriority w:val="0"/>
    <w:rPr>
      <w:kern w:val="2"/>
      <w:sz w:val="21"/>
      <w:szCs w:val="24"/>
      <w:lang w:val="en-US" w:eastAsia="zh-CN" w:bidi="ar-SA"/>
    </w:rPr>
  </w:style>
  <w:style w:type="paragraph" w:customStyle="1" w:styleId="139">
    <w:name w:val="无间隔1"/>
    <w:link w:val="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样式 宋体 五号 行距: 单倍行距"/>
    <w:basedOn w:val="1"/>
    <w:qFormat/>
    <w:uiPriority w:val="0"/>
    <w:pPr>
      <w:adjustRightInd w:val="0"/>
      <w:jc w:val="left"/>
    </w:pPr>
    <w:rPr>
      <w:rFonts w:ascii="宋体" w:hAnsi="宋体"/>
      <w:kern w:val="0"/>
    </w:rPr>
  </w:style>
  <w:style w:type="character" w:customStyle="1" w:styleId="141">
    <w:name w:val="font121"/>
    <w:qFormat/>
    <w:uiPriority w:val="0"/>
    <w:rPr>
      <w:rFonts w:hint="eastAsia" w:ascii="宋体" w:hAnsi="宋体" w:eastAsia="宋体" w:cs="宋体"/>
      <w:color w:val="000000"/>
      <w:sz w:val="21"/>
      <w:szCs w:val="21"/>
      <w:u w:val="none"/>
    </w:rPr>
  </w:style>
  <w:style w:type="character" w:customStyle="1" w:styleId="142">
    <w:name w:val="font31"/>
    <w:qFormat/>
    <w:uiPriority w:val="0"/>
    <w:rPr>
      <w:rFonts w:hint="eastAsia" w:ascii="宋体" w:hAnsi="宋体" w:eastAsia="宋体" w:cs="宋体"/>
      <w:color w:val="000000"/>
      <w:sz w:val="16"/>
      <w:szCs w:val="16"/>
      <w:u w:val="none"/>
    </w:rPr>
  </w:style>
  <w:style w:type="character" w:customStyle="1" w:styleId="143">
    <w:name w:val="font131"/>
    <w:qFormat/>
    <w:uiPriority w:val="0"/>
    <w:rPr>
      <w:rFonts w:hint="default" w:ascii="Calibri" w:hAnsi="Calibri" w:cs="Calibri"/>
      <w:color w:val="000000"/>
      <w:sz w:val="21"/>
      <w:szCs w:val="21"/>
      <w:u w:val="none"/>
    </w:rPr>
  </w:style>
  <w:style w:type="character" w:customStyle="1" w:styleId="144">
    <w:name w:val="font101"/>
    <w:qFormat/>
    <w:uiPriority w:val="0"/>
    <w:rPr>
      <w:rFonts w:hint="eastAsia" w:ascii="宋体" w:hAnsi="宋体" w:eastAsia="宋体" w:cs="宋体"/>
      <w:color w:val="FF0000"/>
      <w:sz w:val="21"/>
      <w:szCs w:val="21"/>
      <w:u w:val="none"/>
    </w:rPr>
  </w:style>
  <w:style w:type="paragraph" w:customStyle="1" w:styleId="145">
    <w:name w:val="_Style 12"/>
    <w:basedOn w:val="1"/>
    <w:qFormat/>
    <w:uiPriority w:val="0"/>
    <w:pPr>
      <w:tabs>
        <w:tab w:val="left" w:pos="360"/>
      </w:tabs>
      <w:ind w:firstLine="420" w:firstLineChars="150"/>
    </w:pPr>
  </w:style>
  <w:style w:type="paragraph" w:styleId="146">
    <w:name w:val="List Paragraph"/>
    <w:basedOn w:val="1"/>
    <w:qFormat/>
    <w:uiPriority w:val="1"/>
    <w:pPr>
      <w:ind w:left="818" w:hanging="242"/>
    </w:pPr>
    <w:rPr>
      <w:rFonts w:ascii="宋体" w:hAnsi="宋体" w:cs="宋体"/>
      <w:lang w:val="zh-CN" w:bidi="zh-CN"/>
    </w:rPr>
  </w:style>
  <w:style w:type="paragraph" w:customStyle="1" w:styleId="147">
    <w:name w:val="Table Paragraph"/>
    <w:basedOn w:val="1"/>
    <w:qFormat/>
    <w:uiPriority w:val="1"/>
    <w:pPr>
      <w:jc w:val="center"/>
    </w:pPr>
    <w:rPr>
      <w:rFonts w:ascii="宋体" w:hAnsi="宋体" w:cs="宋体"/>
      <w:lang w:val="zh-CN" w:bidi="zh-CN"/>
    </w:rPr>
  </w:style>
  <w:style w:type="character" w:customStyle="1" w:styleId="148">
    <w:name w:val="bookmark-item"/>
    <w:basedOn w:val="38"/>
    <w:qFormat/>
    <w:uiPriority w:val="0"/>
  </w:style>
  <w:style w:type="paragraph" w:customStyle="1" w:styleId="14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样式 样式 样式 左侧:  2 字符1 + 首行缩进:  2 字符1 + 首行缩进:  2 字符"/>
    <w:basedOn w:val="1"/>
    <w:qFormat/>
    <w:uiPriority w:val="0"/>
    <w:pPr>
      <w:widowControl/>
      <w:spacing w:before="60" w:after="120" w:line="440" w:lineRule="atLeast"/>
      <w:ind w:firstLine="480"/>
    </w:pPr>
    <w:rPr>
      <w:sz w:val="24"/>
    </w:rPr>
  </w:style>
  <w:style w:type="paragraph" w:customStyle="1" w:styleId="151">
    <w:name w:val="WPS Plain"/>
    <w:qFormat/>
    <w:uiPriority w:val="0"/>
    <w:rPr>
      <w:rFonts w:ascii="Times New Roman" w:hAnsi="Times New Roman" w:eastAsia="宋体" w:cs="Times New Roman"/>
      <w:lang w:val="en-US" w:eastAsia="zh-CN" w:bidi="ar-SA"/>
    </w:rPr>
  </w:style>
  <w:style w:type="character" w:customStyle="1" w:styleId="152">
    <w:name w:val="ant-select-tree-checkbox"/>
    <w:basedOn w:val="38"/>
    <w:qFormat/>
    <w:uiPriority w:val="0"/>
  </w:style>
  <w:style w:type="character" w:customStyle="1" w:styleId="153">
    <w:name w:val="change-camera-place"/>
    <w:basedOn w:val="38"/>
    <w:qFormat/>
    <w:uiPriority w:val="0"/>
    <w:rPr>
      <w:color w:val="3177FD"/>
    </w:rPr>
  </w:style>
  <w:style w:type="character" w:customStyle="1" w:styleId="154">
    <w:name w:val="info-label"/>
    <w:basedOn w:val="38"/>
    <w:qFormat/>
    <w:uiPriority w:val="0"/>
    <w:rPr>
      <w:b/>
      <w:bCs/>
    </w:rPr>
  </w:style>
  <w:style w:type="character" w:customStyle="1" w:styleId="155">
    <w:name w:val="info-content"/>
    <w:basedOn w:val="38"/>
    <w:qFormat/>
    <w:uiPriority w:val="0"/>
    <w:rPr>
      <w:color w:val="808080"/>
    </w:rPr>
  </w:style>
  <w:style w:type="character" w:customStyle="1" w:styleId="156">
    <w:name w:val="first-child"/>
    <w:basedOn w:val="38"/>
    <w:qFormat/>
    <w:uiPriority w:val="0"/>
  </w:style>
  <w:style w:type="character" w:customStyle="1" w:styleId="157">
    <w:name w:val="tag-type"/>
    <w:basedOn w:val="38"/>
    <w:qFormat/>
    <w:uiPriority w:val="0"/>
    <w:rPr>
      <w:color w:val="FFFFFF"/>
      <w:sz w:val="18"/>
      <w:szCs w:val="18"/>
      <w:shd w:val="clear" w:color="auto" w:fill="317FFD"/>
    </w:rPr>
  </w:style>
  <w:style w:type="character" w:customStyle="1" w:styleId="158">
    <w:name w:val="tag-type1"/>
    <w:basedOn w:val="38"/>
    <w:qFormat/>
    <w:uiPriority w:val="0"/>
    <w:rPr>
      <w:color w:val="FFFFFF"/>
      <w:sz w:val="18"/>
      <w:szCs w:val="18"/>
      <w:shd w:val="clear" w:color="auto" w:fill="317FFD"/>
    </w:rPr>
  </w:style>
  <w:style w:type="character" w:customStyle="1" w:styleId="159">
    <w:name w:val="ant-tree-checkbox"/>
    <w:basedOn w:val="38"/>
    <w:qFormat/>
    <w:uiPriority w:val="0"/>
  </w:style>
  <w:style w:type="character" w:customStyle="1" w:styleId="160">
    <w:name w:val="ant-select-tree-iconele"/>
    <w:basedOn w:val="38"/>
    <w:qFormat/>
    <w:uiPriority w:val="0"/>
  </w:style>
  <w:style w:type="character" w:customStyle="1" w:styleId="161">
    <w:name w:val="content10"/>
    <w:basedOn w:val="38"/>
    <w:qFormat/>
    <w:uiPriority w:val="0"/>
  </w:style>
  <w:style w:type="character" w:customStyle="1" w:styleId="162">
    <w:name w:val="last-child"/>
    <w:basedOn w:val="38"/>
    <w:qFormat/>
    <w:uiPriority w:val="0"/>
  </w:style>
  <w:style w:type="character" w:customStyle="1" w:styleId="163">
    <w:name w:val="last-child1"/>
    <w:basedOn w:val="38"/>
    <w:qFormat/>
    <w:uiPriority w:val="0"/>
  </w:style>
  <w:style w:type="character" w:customStyle="1" w:styleId="164">
    <w:name w:val="last-child2"/>
    <w:basedOn w:val="38"/>
    <w:qFormat/>
    <w:uiPriority w:val="0"/>
  </w:style>
  <w:style w:type="character" w:customStyle="1" w:styleId="165">
    <w:name w:val="last-child3"/>
    <w:basedOn w:val="38"/>
    <w:qFormat/>
    <w:uiPriority w:val="0"/>
  </w:style>
  <w:style w:type="character" w:customStyle="1" w:styleId="166">
    <w:name w:val="current"/>
    <w:basedOn w:val="38"/>
    <w:qFormat/>
    <w:uiPriority w:val="0"/>
    <w:rPr>
      <w:color w:val="00C1DE"/>
    </w:rPr>
  </w:style>
  <w:style w:type="character" w:customStyle="1" w:styleId="167">
    <w:name w:val="current1"/>
    <w:basedOn w:val="38"/>
    <w:qFormat/>
    <w:uiPriority w:val="0"/>
    <w:rPr>
      <w:color w:val="00C1DE"/>
    </w:rPr>
  </w:style>
  <w:style w:type="character" w:customStyle="1" w:styleId="168">
    <w:name w:val="all-fit-info"/>
    <w:basedOn w:val="38"/>
    <w:qFormat/>
    <w:uiPriority w:val="0"/>
    <w:rPr>
      <w:color w:val="939393"/>
    </w:rPr>
  </w:style>
  <w:style w:type="character" w:customStyle="1" w:styleId="169">
    <w:name w:val="all-fit-info1"/>
    <w:basedOn w:val="38"/>
    <w:qFormat/>
    <w:uiPriority w:val="0"/>
    <w:rPr>
      <w:color w:val="939393"/>
    </w:rPr>
  </w:style>
  <w:style w:type="character" w:customStyle="1" w:styleId="170">
    <w:name w:val="all-fit-info2"/>
    <w:basedOn w:val="38"/>
    <w:qFormat/>
    <w:uiPriority w:val="0"/>
    <w:rPr>
      <w:color w:val="939393"/>
    </w:rPr>
  </w:style>
  <w:style w:type="character" w:customStyle="1" w:styleId="171">
    <w:name w:val="ant-tree-iconele"/>
    <w:basedOn w:val="38"/>
    <w:qFormat/>
    <w:uiPriority w:val="0"/>
  </w:style>
  <w:style w:type="character" w:customStyle="1" w:styleId="172">
    <w:name w:val="ant-tree-switcher"/>
    <w:basedOn w:val="38"/>
    <w:qFormat/>
    <w:uiPriority w:val="0"/>
  </w:style>
  <w:style w:type="character" w:customStyle="1" w:styleId="173">
    <w:name w:val="ant-tree-icon_loading"/>
    <w:basedOn w:val="38"/>
    <w:qFormat/>
    <w:uiPriority w:val="0"/>
    <w:rPr>
      <w:shd w:val="clear" w:color="auto" w:fill="FFFFFF"/>
    </w:rPr>
  </w:style>
  <w:style w:type="character" w:customStyle="1" w:styleId="174">
    <w:name w:val="ant-select-tree-switcher"/>
    <w:basedOn w:val="38"/>
    <w:qFormat/>
    <w:uiPriority w:val="0"/>
  </w:style>
  <w:style w:type="character" w:customStyle="1" w:styleId="175">
    <w:name w:val="temp6"/>
    <w:basedOn w:val="38"/>
    <w:qFormat/>
    <w:uiPriority w:val="0"/>
  </w:style>
  <w:style w:type="character" w:customStyle="1" w:styleId="176">
    <w:name w:val="temp7"/>
    <w:basedOn w:val="38"/>
    <w:qFormat/>
    <w:uiPriority w:val="0"/>
  </w:style>
  <w:style w:type="character" w:customStyle="1" w:styleId="177">
    <w:name w:val="temp8"/>
    <w:basedOn w:val="38"/>
    <w:qFormat/>
    <w:uiPriority w:val="0"/>
  </w:style>
  <w:style w:type="character" w:customStyle="1" w:styleId="178">
    <w:name w:val="ant-input52"/>
    <w:basedOn w:val="38"/>
    <w:qFormat/>
    <w:uiPriority w:val="0"/>
  </w:style>
  <w:style w:type="character" w:customStyle="1" w:styleId="179">
    <w:name w:val="ant-radio+*"/>
    <w:basedOn w:val="38"/>
    <w:qFormat/>
    <w:uiPriority w:val="0"/>
  </w:style>
  <w:style w:type="character" w:customStyle="1" w:styleId="180">
    <w:name w:val="ant-badge-status-dot2"/>
    <w:basedOn w:val="38"/>
    <w:qFormat/>
    <w:uiPriority w:val="0"/>
    <w:rPr>
      <w:shd w:val="clear" w:color="auto" w:fill="FFFFFF"/>
    </w:rPr>
  </w:style>
  <w:style w:type="character" w:customStyle="1" w:styleId="181">
    <w:name w:val="label2"/>
    <w:basedOn w:val="38"/>
    <w:qFormat/>
    <w:uiPriority w:val="0"/>
  </w:style>
  <w:style w:type="character" w:customStyle="1" w:styleId="182">
    <w:name w:val="last-of-type"/>
    <w:basedOn w:val="38"/>
    <w:qFormat/>
    <w:uiPriority w:val="0"/>
    <w:rPr>
      <w:color w:val="FF4A44"/>
      <w:sz w:val="27"/>
      <w:szCs w:val="27"/>
    </w:rPr>
  </w:style>
  <w:style w:type="character" w:customStyle="1" w:styleId="183">
    <w:name w:val="ant-form-item-children1"/>
    <w:basedOn w:val="38"/>
    <w:qFormat/>
    <w:uiPriority w:val="0"/>
  </w:style>
  <w:style w:type="character" w:customStyle="1" w:styleId="184">
    <w:name w:val="font12"/>
    <w:basedOn w:val="38"/>
    <w:qFormat/>
    <w:uiPriority w:val="0"/>
    <w:rPr>
      <w:rFonts w:hint="eastAsia" w:ascii="宋体" w:hAnsi="宋体" w:eastAsia="宋体" w:cs="宋体"/>
      <w:color w:val="000000"/>
      <w:sz w:val="20"/>
      <w:szCs w:val="20"/>
      <w:u w:val="none"/>
    </w:rPr>
  </w:style>
  <w:style w:type="character" w:customStyle="1" w:styleId="185">
    <w:name w:val="font21"/>
    <w:basedOn w:val="38"/>
    <w:qFormat/>
    <w:uiPriority w:val="0"/>
    <w:rPr>
      <w:rFonts w:hint="eastAsia" w:ascii="宋体" w:hAnsi="宋体" w:eastAsia="宋体" w:cs="宋体"/>
      <w:color w:val="000000"/>
      <w:sz w:val="20"/>
      <w:szCs w:val="20"/>
      <w:u w:val="none"/>
      <w:vertAlign w:val="superscript"/>
    </w:rPr>
  </w:style>
  <w:style w:type="character" w:customStyle="1" w:styleId="186">
    <w:name w:val="font122"/>
    <w:basedOn w:val="38"/>
    <w:qFormat/>
    <w:uiPriority w:val="0"/>
    <w:rPr>
      <w:rFonts w:hint="eastAsia" w:ascii="宋体" w:hAnsi="宋体" w:eastAsia="宋体" w:cs="宋体"/>
      <w:color w:val="000000"/>
      <w:sz w:val="20"/>
      <w:szCs w:val="20"/>
      <w:u w:val="none"/>
      <w:vertAlign w:val="superscript"/>
    </w:rPr>
  </w:style>
  <w:style w:type="character" w:customStyle="1" w:styleId="187">
    <w:name w:val="font141"/>
    <w:basedOn w:val="38"/>
    <w:qFormat/>
    <w:uiPriority w:val="0"/>
    <w:rPr>
      <w:rFonts w:hint="eastAsia" w:ascii="宋体" w:hAnsi="宋体" w:eastAsia="宋体" w:cs="宋体"/>
      <w:color w:val="000000"/>
      <w:sz w:val="20"/>
      <w:szCs w:val="20"/>
      <w:u w:val="none"/>
    </w:rPr>
  </w:style>
  <w:style w:type="character" w:customStyle="1" w:styleId="188">
    <w:name w:val="font41"/>
    <w:basedOn w:val="38"/>
    <w:qFormat/>
    <w:uiPriority w:val="0"/>
    <w:rPr>
      <w:rFonts w:hint="eastAsia" w:ascii="宋体" w:hAnsi="宋体" w:eastAsia="宋体" w:cs="宋体"/>
      <w:color w:val="000000"/>
      <w:sz w:val="18"/>
      <w:szCs w:val="18"/>
      <w:u w:val="none"/>
    </w:rPr>
  </w:style>
  <w:style w:type="paragraph" w:customStyle="1" w:styleId="189">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3F1D2-3F38-4970-9F30-BEACB6945F1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28854</Words>
  <Characters>30740</Characters>
  <Lines>248</Lines>
  <Paragraphs>70</Paragraphs>
  <TotalTime>27</TotalTime>
  <ScaleCrop>false</ScaleCrop>
  <LinksUpToDate>false</LinksUpToDate>
  <CharactersWithSpaces>32998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2017-07-28T03:45:00Z</dcterms:created>
  <dc:creator>User</dc:creator>
  <cp:lastModifiedBy>Administrator</cp:lastModifiedBy>
  <cp:lastPrinted>2022-04-26T08:00:00Z</cp:lastPrinted>
  <dcterms:modified xsi:type="dcterms:W3CDTF">2023-06-05T03:16:40Z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E0AA091EAC13416BB4C122188E749B88_13</vt:lpwstr>
  </property>
  <property fmtid="{D5CDD505-2E9C-101B-9397-08002B2CF9AE}" pid="4" name="commondata">
    <vt:lpwstr>eyJoZGlkIjoiYTI5ZDZiMmIzMWFmNTgwNmMxZTVlMDhjZWM2YmMwYzAifQ==</vt:lpwstr>
  </property>
</Properties>
</file>