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黑体" w:hAnsi="黑体" w:eastAsia="黑体" w:cs="黑体"/>
          <w:i w:val="0"/>
          <w:iCs w:val="0"/>
          <w:color w:val="auto"/>
          <w:spacing w:val="0"/>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240" w:lineRule="auto"/>
        <w:ind w:left="0" w:leftChars="0" w:right="0" w:rightChars="0" w:firstLine="0" w:firstLineChars="0"/>
        <w:jc w:val="center"/>
        <w:textAlignment w:val="auto"/>
        <w:outlineLvl w:val="9"/>
        <w:rPr>
          <w:rFonts w:hint="default" w:ascii="黑体" w:hAnsi="黑体" w:eastAsia="黑体" w:cs="黑体"/>
          <w:i w:val="0"/>
          <w:iCs w:val="0"/>
          <w:color w:val="auto"/>
          <w:spacing w:val="0"/>
          <w:sz w:val="24"/>
          <w:szCs w:val="24"/>
          <w:lang w:val="en-US"/>
        </w:rPr>
      </w:pPr>
      <w:r>
        <w:rPr>
          <w:rFonts w:hint="eastAsia" w:ascii="仿宋" w:hAnsi="仿宋" w:eastAsia="仿宋" w:cs="仿宋"/>
          <w:b/>
          <w:bCs/>
          <w:i w:val="0"/>
          <w:iCs w:val="0"/>
          <w:color w:val="auto"/>
          <w:spacing w:val="0"/>
          <w:sz w:val="56"/>
          <w:szCs w:val="56"/>
          <w:u w:val="none"/>
          <w:lang w:val="en-US" w:eastAsia="zh-CN"/>
        </w:rPr>
        <w:t>库车经济技术开发区产业规划编制</w:t>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黑体" w:hAnsi="黑体" w:eastAsia="黑体" w:cs="黑体"/>
          <w:i w:val="0"/>
          <w:iCs w:val="0"/>
          <w:color w:val="auto"/>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黑体" w:hAnsi="黑体" w:eastAsia="黑体" w:cs="黑体"/>
          <w:i w:val="0"/>
          <w:iCs w:val="0"/>
          <w:color w:val="auto"/>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黑体" w:hAnsi="黑体" w:eastAsia="黑体" w:cs="黑体"/>
          <w:i w:val="0"/>
          <w:iCs w:val="0"/>
          <w:color w:val="auto"/>
          <w:spacing w:val="0"/>
          <w:sz w:val="72"/>
          <w:szCs w:val="72"/>
        </w:rPr>
      </w:pPr>
      <w:r>
        <w:rPr>
          <w:rFonts w:hint="eastAsia" w:ascii="黑体" w:hAnsi="黑体" w:eastAsia="黑体" w:cs="黑体"/>
          <w:i w:val="0"/>
          <w:iCs w:val="0"/>
          <w:color w:val="auto"/>
          <w:spacing w:val="0"/>
          <w:sz w:val="72"/>
          <w:szCs w:val="72"/>
        </w:rPr>
        <w:t>招</w:t>
      </w:r>
      <w:r>
        <w:rPr>
          <w:rFonts w:hint="eastAsia" w:ascii="黑体" w:hAnsi="黑体" w:eastAsia="黑体" w:cs="黑体"/>
          <w:i w:val="0"/>
          <w:iCs w:val="0"/>
          <w:color w:val="auto"/>
          <w:spacing w:val="0"/>
          <w:sz w:val="72"/>
          <w:szCs w:val="72"/>
          <w:lang w:val="en-US" w:eastAsia="zh-CN"/>
        </w:rPr>
        <w:t xml:space="preserve"> </w:t>
      </w:r>
      <w:r>
        <w:rPr>
          <w:rFonts w:hint="eastAsia" w:ascii="黑体" w:hAnsi="黑体" w:eastAsia="黑体" w:cs="黑体"/>
          <w:i w:val="0"/>
          <w:iCs w:val="0"/>
          <w:color w:val="auto"/>
          <w:spacing w:val="0"/>
          <w:sz w:val="72"/>
          <w:szCs w:val="72"/>
        </w:rPr>
        <w:t>标</w:t>
      </w:r>
      <w:r>
        <w:rPr>
          <w:rFonts w:hint="eastAsia" w:ascii="黑体" w:hAnsi="黑体" w:eastAsia="黑体" w:cs="黑体"/>
          <w:i w:val="0"/>
          <w:iCs w:val="0"/>
          <w:color w:val="auto"/>
          <w:spacing w:val="0"/>
          <w:sz w:val="72"/>
          <w:szCs w:val="72"/>
          <w:lang w:val="en-US" w:eastAsia="zh-CN"/>
        </w:rPr>
        <w:t xml:space="preserve"> </w:t>
      </w:r>
      <w:r>
        <w:rPr>
          <w:rFonts w:hint="eastAsia" w:ascii="黑体" w:hAnsi="黑体" w:eastAsia="黑体" w:cs="黑体"/>
          <w:i w:val="0"/>
          <w:iCs w:val="0"/>
          <w:color w:val="auto"/>
          <w:spacing w:val="0"/>
          <w:sz w:val="72"/>
          <w:szCs w:val="72"/>
        </w:rPr>
        <w:t>文</w:t>
      </w:r>
      <w:r>
        <w:rPr>
          <w:rFonts w:hint="eastAsia" w:ascii="黑体" w:hAnsi="黑体" w:eastAsia="黑体" w:cs="黑体"/>
          <w:i w:val="0"/>
          <w:iCs w:val="0"/>
          <w:color w:val="auto"/>
          <w:spacing w:val="0"/>
          <w:sz w:val="72"/>
          <w:szCs w:val="72"/>
          <w:lang w:val="en-US" w:eastAsia="zh-CN"/>
        </w:rPr>
        <w:t xml:space="preserve"> </w:t>
      </w:r>
      <w:r>
        <w:rPr>
          <w:rFonts w:hint="eastAsia" w:ascii="黑体" w:hAnsi="黑体" w:eastAsia="黑体" w:cs="黑体"/>
          <w:i w:val="0"/>
          <w:iCs w:val="0"/>
          <w:color w:val="auto"/>
          <w:spacing w:val="0"/>
          <w:sz w:val="72"/>
          <w:szCs w:val="72"/>
        </w:rPr>
        <w:t>件</w:t>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黑体" w:hAnsi="黑体" w:eastAsia="黑体" w:cs="黑体"/>
          <w:i w:val="0"/>
          <w:iCs w:val="0"/>
          <w:color w:val="auto"/>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right="0" w:rightChars="0" w:firstLine="2240" w:firstLineChars="800"/>
        <w:jc w:val="both"/>
        <w:textAlignment w:val="auto"/>
        <w:outlineLvl w:val="9"/>
        <w:rPr>
          <w:rFonts w:hint="eastAsia" w:ascii="黑体" w:hAnsi="黑体" w:eastAsia="黑体" w:cs="黑体"/>
          <w:i w:val="0"/>
          <w:iCs w:val="0"/>
          <w:color w:val="auto"/>
          <w:spacing w:val="0"/>
          <w:sz w:val="28"/>
          <w:szCs w:val="28"/>
          <w:lang w:val="en-US" w:eastAsia="zh-CN"/>
        </w:rPr>
      </w:pPr>
      <w:r>
        <w:rPr>
          <w:rFonts w:hint="eastAsia" w:ascii="黑体" w:hAnsi="黑体" w:eastAsia="黑体" w:cs="黑体"/>
          <w:i w:val="0"/>
          <w:iCs w:val="0"/>
          <w:color w:val="auto"/>
          <w:spacing w:val="0"/>
          <w:sz w:val="28"/>
          <w:szCs w:val="28"/>
          <w:lang w:val="en-US" w:eastAsia="zh-CN"/>
        </w:rPr>
        <w:t>(项目编码：KCKFQ2022-WT003)</w:t>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黑体" w:hAnsi="黑体" w:eastAsia="黑体" w:cs="黑体"/>
          <w:i w:val="0"/>
          <w:iCs w:val="0"/>
          <w:color w:val="auto"/>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黑体" w:hAnsi="黑体" w:eastAsia="黑体" w:cs="黑体"/>
          <w:i w:val="0"/>
          <w:iCs w:val="0"/>
          <w:color w:val="auto"/>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黑体" w:hAnsi="黑体" w:eastAsia="黑体" w:cs="黑体"/>
          <w:i w:val="0"/>
          <w:iCs w:val="0"/>
          <w:color w:val="auto"/>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黑体" w:hAnsi="黑体" w:eastAsia="黑体" w:cs="黑体"/>
          <w:i w:val="0"/>
          <w:iCs w:val="0"/>
          <w:color w:val="auto"/>
          <w:spacing w:val="0"/>
          <w:sz w:val="32"/>
          <w:szCs w:val="32"/>
        </w:rPr>
      </w:pPr>
      <w:r>
        <w:rPr>
          <w:rFonts w:hint="eastAsia" w:ascii="黑体" w:hAnsi="黑体" w:eastAsia="黑体" w:cs="黑体"/>
          <w:i w:val="0"/>
          <w:iCs w:val="0"/>
          <w:color w:val="auto"/>
          <w:spacing w:val="0"/>
          <w:sz w:val="32"/>
          <w:szCs w:val="32"/>
        </w:rPr>
        <w:t>招标人：</w:t>
      </w:r>
      <w:r>
        <w:rPr>
          <w:rFonts w:hint="eastAsia" w:ascii="黑体" w:hAnsi="黑体" w:eastAsia="黑体" w:cs="黑体"/>
          <w:i w:val="0"/>
          <w:iCs w:val="0"/>
          <w:color w:val="auto"/>
          <w:spacing w:val="0"/>
          <w:sz w:val="32"/>
          <w:szCs w:val="32"/>
          <w:u w:val="single"/>
          <w:lang w:val="en-US" w:eastAsia="zh-CN"/>
        </w:rPr>
        <w:t xml:space="preserve">库车经济技术开发区经发局  </w:t>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i w:val="0"/>
          <w:iCs w:val="0"/>
          <w:color w:val="auto"/>
          <w:sz w:val="52"/>
          <w:szCs w:val="84"/>
          <w:lang w:val="en-US" w:eastAsia="zh-CN"/>
        </w:rPr>
      </w:pPr>
      <w:r>
        <w:rPr>
          <w:rFonts w:hint="eastAsia" w:ascii="黑体" w:hAnsi="黑体" w:eastAsia="黑体" w:cs="黑体"/>
          <w:i w:val="0"/>
          <w:iCs w:val="0"/>
          <w:color w:val="auto"/>
          <w:spacing w:val="0"/>
          <w:sz w:val="32"/>
          <w:szCs w:val="32"/>
          <w:u w:val="single"/>
          <w:lang w:val="en-US" w:eastAsia="zh-CN"/>
        </w:rPr>
        <w:t xml:space="preserve">  2022  </w:t>
      </w:r>
      <w:r>
        <w:rPr>
          <w:rFonts w:hint="eastAsia" w:ascii="黑体" w:hAnsi="黑体" w:eastAsia="黑体" w:cs="黑体"/>
          <w:i w:val="0"/>
          <w:iCs w:val="0"/>
          <w:color w:val="auto"/>
          <w:spacing w:val="0"/>
          <w:sz w:val="32"/>
          <w:szCs w:val="32"/>
          <w:lang w:val="en-US" w:eastAsia="zh-CN"/>
        </w:rPr>
        <w:t>年</w:t>
      </w:r>
      <w:r>
        <w:rPr>
          <w:rFonts w:hint="eastAsia" w:ascii="黑体" w:hAnsi="黑体" w:eastAsia="黑体" w:cs="黑体"/>
          <w:i w:val="0"/>
          <w:iCs w:val="0"/>
          <w:color w:val="auto"/>
          <w:spacing w:val="0"/>
          <w:sz w:val="32"/>
          <w:szCs w:val="32"/>
          <w:u w:val="single"/>
          <w:lang w:val="en-US" w:eastAsia="zh-CN"/>
        </w:rPr>
        <w:t xml:space="preserve">  5  </w:t>
      </w:r>
      <w:r>
        <w:rPr>
          <w:rFonts w:hint="eastAsia" w:ascii="黑体" w:hAnsi="黑体" w:eastAsia="黑体" w:cs="黑体"/>
          <w:i w:val="0"/>
          <w:iCs w:val="0"/>
          <w:color w:val="auto"/>
          <w:spacing w:val="0"/>
          <w:sz w:val="32"/>
          <w:szCs w:val="32"/>
          <w:lang w:val="en-US" w:eastAsia="zh-CN"/>
        </w:rPr>
        <w:t>月</w:t>
      </w:r>
      <w:r>
        <w:rPr>
          <w:rFonts w:hint="eastAsia" w:ascii="黑体" w:hAnsi="黑体" w:eastAsia="黑体" w:cs="黑体"/>
          <w:i w:val="0"/>
          <w:iCs w:val="0"/>
          <w:color w:val="auto"/>
          <w:spacing w:val="0"/>
          <w:sz w:val="32"/>
          <w:szCs w:val="32"/>
          <w:u w:val="single"/>
          <w:lang w:val="en-US" w:eastAsia="zh-CN"/>
        </w:rPr>
        <w:t xml:space="preserve">  12  </w:t>
      </w:r>
      <w:r>
        <w:rPr>
          <w:rFonts w:hint="eastAsia" w:ascii="黑体" w:hAnsi="黑体" w:eastAsia="黑体" w:cs="黑体"/>
          <w:i w:val="0"/>
          <w:iCs w:val="0"/>
          <w:color w:val="auto"/>
          <w:spacing w:val="0"/>
          <w:sz w:val="32"/>
          <w:szCs w:val="32"/>
          <w:lang w:val="en-US" w:eastAsia="zh-CN"/>
        </w:rPr>
        <w:t>日</w:t>
      </w:r>
    </w:p>
    <w:p>
      <w:pPr>
        <w:jc w:val="center"/>
        <w:outlineLvl w:val="9"/>
        <w:rPr>
          <w:rFonts w:hint="eastAsia" w:ascii="宋体" w:hAnsi="宋体"/>
          <w:i w:val="0"/>
          <w:iCs w:val="0"/>
          <w:color w:val="auto"/>
          <w:sz w:val="52"/>
          <w:szCs w:val="84"/>
          <w:lang w:val="en-US" w:eastAsia="zh-CN"/>
        </w:rPr>
      </w:pPr>
    </w:p>
    <w:p>
      <w:pPr>
        <w:jc w:val="center"/>
        <w:outlineLvl w:val="9"/>
        <w:rPr>
          <w:rFonts w:ascii="宋体" w:hAnsi="宋体"/>
          <w:i w:val="0"/>
          <w:iCs w:val="0"/>
          <w:color w:val="auto"/>
          <w:sz w:val="52"/>
          <w:szCs w:val="84"/>
        </w:rPr>
      </w:pPr>
      <w:r>
        <w:rPr>
          <w:rFonts w:hint="eastAsia" w:ascii="宋体" w:hAnsi="宋体"/>
          <w:i w:val="0"/>
          <w:iCs w:val="0"/>
          <w:color w:val="auto"/>
          <w:sz w:val="52"/>
          <w:szCs w:val="84"/>
          <w:lang w:val="en-US" w:eastAsia="zh-CN"/>
        </w:rPr>
        <w:t>招标</w:t>
      </w:r>
      <w:r>
        <w:rPr>
          <w:rFonts w:hint="eastAsia" w:ascii="宋体" w:hAnsi="宋体"/>
          <w:i w:val="0"/>
          <w:iCs w:val="0"/>
          <w:color w:val="auto"/>
          <w:sz w:val="52"/>
          <w:szCs w:val="84"/>
        </w:rPr>
        <w:t>文件</w:t>
      </w:r>
    </w:p>
    <w:p>
      <w:pPr>
        <w:pStyle w:val="9"/>
        <w:bidi w:val="0"/>
        <w:rPr>
          <w:i w:val="0"/>
          <w:iCs w:val="0"/>
          <w:color w:val="auto"/>
        </w:rPr>
      </w:pPr>
    </w:p>
    <w:p>
      <w:pPr>
        <w:rPr>
          <w:i w:val="0"/>
          <w:iCs w:val="0"/>
          <w:color w:val="auto"/>
        </w:rPr>
      </w:pPr>
    </w:p>
    <w:p>
      <w:pPr>
        <w:spacing w:line="360" w:lineRule="auto"/>
        <w:ind w:left="0" w:leftChars="0" w:firstLine="0" w:firstLineChars="0"/>
        <w:jc w:val="both"/>
        <w:outlineLvl w:val="9"/>
        <w:rPr>
          <w:rFonts w:hint="default" w:ascii="宋体" w:hAnsi="宋体"/>
          <w:i w:val="0"/>
          <w:iCs w:val="0"/>
          <w:color w:val="auto"/>
          <w:sz w:val="32"/>
          <w:szCs w:val="32"/>
          <w:lang w:val="en-US" w:eastAsia="zh-CN"/>
        </w:rPr>
      </w:pPr>
      <w:r>
        <w:rPr>
          <w:rFonts w:hint="eastAsia" w:ascii="宋体" w:hAnsi="宋体"/>
          <w:i w:val="0"/>
          <w:iCs w:val="0"/>
          <w:color w:val="auto"/>
          <w:sz w:val="32"/>
          <w:szCs w:val="32"/>
        </w:rPr>
        <w:t>项目名称：</w:t>
      </w:r>
      <w:r>
        <w:rPr>
          <w:rFonts w:hint="eastAsia" w:ascii="宋体" w:hAnsi="宋体"/>
          <w:i w:val="0"/>
          <w:iCs w:val="0"/>
          <w:color w:val="auto"/>
          <w:sz w:val="32"/>
          <w:szCs w:val="32"/>
          <w:lang w:val="en-US" w:eastAsia="zh-CN"/>
        </w:rPr>
        <w:t>库车经济技术开发区产业规划编制</w:t>
      </w:r>
    </w:p>
    <w:p>
      <w:pPr>
        <w:spacing w:line="360" w:lineRule="auto"/>
        <w:ind w:left="283" w:leftChars="0" w:hanging="283" w:hangingChars="81"/>
        <w:outlineLvl w:val="9"/>
        <w:rPr>
          <w:rFonts w:hint="eastAsia" w:ascii="宋体" w:hAnsi="宋体" w:eastAsia="宋体"/>
          <w:i w:val="0"/>
          <w:iCs w:val="0"/>
          <w:color w:val="auto"/>
          <w:sz w:val="32"/>
          <w:szCs w:val="32"/>
          <w:lang w:eastAsia="zh-CN"/>
        </w:rPr>
      </w:pPr>
      <w:r>
        <w:rPr>
          <w:rFonts w:hint="eastAsia" w:ascii="宋体" w:hAnsi="宋体"/>
          <w:i w:val="0"/>
          <w:iCs w:val="0"/>
          <w:color w:val="auto"/>
          <w:sz w:val="32"/>
          <w:szCs w:val="32"/>
        </w:rPr>
        <w:t>招   标  人：</w:t>
      </w:r>
      <w:r>
        <w:rPr>
          <w:rFonts w:hint="eastAsia" w:ascii="宋体" w:hAnsi="宋体"/>
          <w:i w:val="0"/>
          <w:iCs w:val="0"/>
          <w:color w:val="auto"/>
          <w:sz w:val="32"/>
          <w:szCs w:val="32"/>
          <w:lang w:val="en-US" w:eastAsia="zh-CN"/>
        </w:rPr>
        <w:t xml:space="preserve">库车经济技术开发区经发局 </w:t>
      </w:r>
    </w:p>
    <w:p>
      <w:pPr>
        <w:spacing w:line="360" w:lineRule="auto"/>
        <w:ind w:left="283" w:leftChars="0" w:hanging="283" w:hangingChars="81"/>
        <w:jc w:val="left"/>
        <w:outlineLvl w:val="9"/>
        <w:rPr>
          <w:rFonts w:ascii="宋体" w:hAnsi="宋体"/>
          <w:i w:val="0"/>
          <w:iCs w:val="0"/>
          <w:color w:val="auto"/>
          <w:sz w:val="32"/>
          <w:szCs w:val="32"/>
        </w:rPr>
      </w:pPr>
      <w:r>
        <w:rPr>
          <w:rFonts w:hint="eastAsia" w:ascii="宋体" w:hAnsi="宋体"/>
          <w:i w:val="0"/>
          <w:iCs w:val="0"/>
          <w:color w:val="auto"/>
          <w:sz w:val="32"/>
          <w:szCs w:val="32"/>
        </w:rPr>
        <w:t xml:space="preserve">法定代表人（签章）： </w:t>
      </w:r>
    </w:p>
    <w:p>
      <w:pPr>
        <w:spacing w:line="360" w:lineRule="auto"/>
        <w:ind w:left="283" w:leftChars="0" w:hanging="283" w:hangingChars="81"/>
        <w:jc w:val="left"/>
        <w:outlineLvl w:val="9"/>
        <w:rPr>
          <w:rFonts w:hint="eastAsia" w:ascii="宋体" w:hAnsi="宋体" w:eastAsiaTheme="minorEastAsia"/>
          <w:i w:val="0"/>
          <w:iCs w:val="0"/>
          <w:color w:val="auto"/>
          <w:sz w:val="32"/>
          <w:szCs w:val="32"/>
          <w:lang w:eastAsia="zh-CN"/>
        </w:rPr>
      </w:pPr>
      <w:r>
        <w:rPr>
          <w:rFonts w:hint="eastAsia" w:ascii="宋体" w:hAnsi="宋体"/>
          <w:i w:val="0"/>
          <w:iCs w:val="0"/>
          <w:color w:val="auto"/>
          <w:sz w:val="32"/>
          <w:szCs w:val="32"/>
        </w:rPr>
        <w:t>联 系 人：</w:t>
      </w:r>
      <w:r>
        <w:rPr>
          <w:rFonts w:hint="eastAsia" w:ascii="宋体" w:hAnsi="宋体"/>
          <w:i w:val="0"/>
          <w:iCs w:val="0"/>
          <w:color w:val="auto"/>
          <w:sz w:val="32"/>
          <w:szCs w:val="32"/>
          <w:lang w:val="en-US" w:eastAsia="zh-CN"/>
        </w:rPr>
        <w:t>赵静静</w:t>
      </w:r>
    </w:p>
    <w:p>
      <w:pPr>
        <w:adjustRightInd w:val="0"/>
        <w:snapToGrid w:val="0"/>
        <w:spacing w:line="360" w:lineRule="auto"/>
        <w:ind w:left="283" w:leftChars="0" w:hanging="283" w:hangingChars="81"/>
        <w:outlineLvl w:val="9"/>
        <w:rPr>
          <w:rFonts w:hint="default" w:ascii="宋体" w:hAnsi="宋体" w:eastAsiaTheme="minorEastAsia"/>
          <w:i w:val="0"/>
          <w:iCs w:val="0"/>
          <w:color w:val="auto"/>
          <w:sz w:val="32"/>
          <w:szCs w:val="32"/>
          <w:lang w:val="en-US" w:eastAsia="zh-CN"/>
        </w:rPr>
      </w:pPr>
      <w:r>
        <w:rPr>
          <w:rFonts w:hint="eastAsia" w:ascii="宋体" w:hAnsi="宋体"/>
          <w:i w:val="0"/>
          <w:iCs w:val="0"/>
          <w:color w:val="auto"/>
          <w:sz w:val="32"/>
          <w:szCs w:val="32"/>
        </w:rPr>
        <w:t>电  话：</w:t>
      </w:r>
      <w:r>
        <w:rPr>
          <w:rFonts w:hint="eastAsia" w:ascii="宋体" w:hAnsi="宋体"/>
          <w:i w:val="0"/>
          <w:iCs w:val="0"/>
          <w:color w:val="auto"/>
          <w:sz w:val="32"/>
          <w:szCs w:val="32"/>
          <w:lang w:val="en-US" w:eastAsia="zh-CN"/>
        </w:rPr>
        <w:t>0997-7125909</w:t>
      </w:r>
    </w:p>
    <w:p>
      <w:pPr>
        <w:spacing w:line="360" w:lineRule="auto"/>
        <w:ind w:firstLine="525" w:firstLineChars="150"/>
        <w:jc w:val="left"/>
        <w:outlineLvl w:val="9"/>
        <w:rPr>
          <w:rFonts w:hint="eastAsia" w:ascii="宋体" w:hAnsi="宋体"/>
          <w:i w:val="0"/>
          <w:iCs w:val="0"/>
          <w:color w:val="auto"/>
          <w:sz w:val="32"/>
          <w:szCs w:val="32"/>
        </w:rPr>
      </w:pPr>
      <w:r>
        <w:rPr>
          <w:rFonts w:hint="eastAsia" w:ascii="宋体" w:hAnsi="宋体"/>
          <w:i w:val="0"/>
          <w:iCs w:val="0"/>
          <w:color w:val="auto"/>
          <w:sz w:val="32"/>
          <w:szCs w:val="32"/>
        </w:rPr>
        <w:t xml:space="preserve">   </w:t>
      </w:r>
    </w:p>
    <w:p>
      <w:pPr>
        <w:spacing w:line="480" w:lineRule="auto"/>
        <w:ind w:firstLine="525" w:firstLineChars="150"/>
        <w:jc w:val="left"/>
        <w:outlineLvl w:val="9"/>
        <w:rPr>
          <w:rFonts w:ascii="宋体" w:hAnsi="宋体"/>
          <w:i w:val="0"/>
          <w:iCs w:val="0"/>
          <w:color w:val="auto"/>
          <w:sz w:val="32"/>
          <w:szCs w:val="32"/>
        </w:rPr>
      </w:pPr>
    </w:p>
    <w:p>
      <w:pPr>
        <w:spacing w:line="480" w:lineRule="auto"/>
        <w:jc w:val="left"/>
        <w:outlineLvl w:val="9"/>
        <w:rPr>
          <w:rFonts w:ascii="宋体" w:hAnsi="宋体"/>
          <w:i w:val="0"/>
          <w:iCs w:val="0"/>
          <w:color w:val="auto"/>
          <w:sz w:val="32"/>
          <w:szCs w:val="32"/>
        </w:rPr>
      </w:pPr>
    </w:p>
    <w:p>
      <w:pPr>
        <w:spacing w:line="360" w:lineRule="auto"/>
        <w:jc w:val="left"/>
        <w:outlineLvl w:val="9"/>
        <w:rPr>
          <w:rFonts w:hint="default" w:ascii="宋体" w:hAnsi="宋体" w:eastAsiaTheme="minorEastAsia"/>
          <w:i w:val="0"/>
          <w:iCs w:val="0"/>
          <w:color w:val="auto"/>
          <w:sz w:val="30"/>
          <w:szCs w:val="30"/>
          <w:lang w:val="en-US" w:eastAsia="zh-CN"/>
        </w:rPr>
      </w:pPr>
      <w:r>
        <w:rPr>
          <w:rFonts w:hint="eastAsia" w:ascii="宋体" w:hAnsi="宋体"/>
          <w:i w:val="0"/>
          <w:iCs w:val="0"/>
          <w:color w:val="auto"/>
          <w:sz w:val="32"/>
          <w:szCs w:val="32"/>
        </w:rPr>
        <w:t>招标代理机构：</w:t>
      </w:r>
      <w:r>
        <w:rPr>
          <w:rFonts w:hint="eastAsia" w:ascii="宋体" w:hAnsi="宋体"/>
          <w:i w:val="0"/>
          <w:iCs w:val="0"/>
          <w:color w:val="auto"/>
          <w:sz w:val="30"/>
          <w:szCs w:val="30"/>
          <w:lang w:val="en-US" w:eastAsia="zh-CN"/>
        </w:rPr>
        <w:t>新疆希林森建设项目管理有限公司</w:t>
      </w:r>
    </w:p>
    <w:p>
      <w:pPr>
        <w:spacing w:line="360" w:lineRule="auto"/>
        <w:jc w:val="left"/>
        <w:outlineLvl w:val="9"/>
        <w:rPr>
          <w:rFonts w:ascii="宋体" w:hAnsi="宋体"/>
          <w:i w:val="0"/>
          <w:iCs w:val="0"/>
          <w:color w:val="auto"/>
          <w:sz w:val="32"/>
          <w:szCs w:val="32"/>
        </w:rPr>
      </w:pPr>
      <w:r>
        <w:rPr>
          <w:rFonts w:hint="eastAsia" w:ascii="宋体" w:hAnsi="宋体"/>
          <w:i w:val="0"/>
          <w:iCs w:val="0"/>
          <w:color w:val="auto"/>
          <w:spacing w:val="25"/>
          <w:sz w:val="32"/>
          <w:szCs w:val="32"/>
        </w:rPr>
        <w:t>法定代表人</w:t>
      </w:r>
      <w:r>
        <w:rPr>
          <w:rFonts w:hint="eastAsia" w:ascii="宋体" w:hAnsi="宋体"/>
          <w:i w:val="0"/>
          <w:iCs w:val="0"/>
          <w:color w:val="auto"/>
          <w:sz w:val="32"/>
          <w:szCs w:val="32"/>
        </w:rPr>
        <w:t>（签章）</w:t>
      </w:r>
      <w:r>
        <w:rPr>
          <w:rFonts w:hint="eastAsia" w:ascii="宋体" w:hAnsi="宋体"/>
          <w:i w:val="0"/>
          <w:iCs w:val="0"/>
          <w:color w:val="auto"/>
          <w:spacing w:val="25"/>
          <w:sz w:val="32"/>
          <w:szCs w:val="32"/>
        </w:rPr>
        <w:t>：</w:t>
      </w:r>
      <w:r>
        <w:rPr>
          <w:rFonts w:hint="eastAsia" w:ascii="宋体" w:hAnsi="宋体"/>
          <w:i w:val="0"/>
          <w:iCs w:val="0"/>
          <w:color w:val="auto"/>
          <w:sz w:val="32"/>
          <w:szCs w:val="32"/>
        </w:rPr>
        <w:t xml:space="preserve"> </w:t>
      </w:r>
    </w:p>
    <w:p>
      <w:pPr>
        <w:spacing w:line="360" w:lineRule="auto"/>
        <w:ind w:left="0" w:leftChars="0" w:firstLine="0" w:firstLineChars="0"/>
        <w:jc w:val="left"/>
        <w:outlineLvl w:val="9"/>
        <w:rPr>
          <w:rFonts w:hint="eastAsia" w:ascii="宋体" w:hAnsi="宋体" w:eastAsiaTheme="minorEastAsia"/>
          <w:i w:val="0"/>
          <w:iCs w:val="0"/>
          <w:color w:val="auto"/>
          <w:sz w:val="32"/>
          <w:szCs w:val="32"/>
          <w:lang w:val="en-US" w:eastAsia="zh-CN"/>
        </w:rPr>
      </w:pPr>
      <w:r>
        <w:rPr>
          <w:rFonts w:hint="eastAsia" w:ascii="宋体" w:hAnsi="宋体"/>
          <w:i w:val="0"/>
          <w:iCs w:val="0"/>
          <w:color w:val="auto"/>
          <w:sz w:val="32"/>
          <w:szCs w:val="32"/>
        </w:rPr>
        <w:t>联 系 人：</w:t>
      </w:r>
      <w:r>
        <w:rPr>
          <w:rFonts w:hint="eastAsia" w:ascii="宋体" w:hAnsi="宋体"/>
          <w:i w:val="0"/>
          <w:iCs w:val="0"/>
          <w:color w:val="auto"/>
          <w:sz w:val="32"/>
          <w:szCs w:val="32"/>
          <w:lang w:val="en-US" w:eastAsia="zh-CN"/>
        </w:rPr>
        <w:t>王江涛</w:t>
      </w:r>
    </w:p>
    <w:p>
      <w:pPr>
        <w:spacing w:line="360" w:lineRule="auto"/>
        <w:ind w:left="0" w:leftChars="0" w:firstLine="0" w:firstLineChars="0"/>
        <w:jc w:val="left"/>
        <w:outlineLvl w:val="9"/>
        <w:rPr>
          <w:rFonts w:hint="default" w:ascii="宋体" w:hAnsi="宋体" w:eastAsiaTheme="minorEastAsia"/>
          <w:i w:val="0"/>
          <w:iCs w:val="0"/>
          <w:color w:val="auto"/>
          <w:sz w:val="32"/>
          <w:szCs w:val="32"/>
          <w:lang w:val="en-US" w:eastAsia="zh-CN"/>
        </w:rPr>
      </w:pPr>
      <w:r>
        <w:rPr>
          <w:rFonts w:hint="eastAsia" w:ascii="宋体" w:hAnsi="宋体"/>
          <w:i w:val="0"/>
          <w:iCs w:val="0"/>
          <w:color w:val="auto"/>
          <w:sz w:val="32"/>
          <w:szCs w:val="32"/>
        </w:rPr>
        <w:t>电  话：</w:t>
      </w:r>
      <w:r>
        <w:rPr>
          <w:rFonts w:hint="eastAsia" w:ascii="宋体" w:hAnsi="宋体"/>
          <w:i w:val="0"/>
          <w:iCs w:val="0"/>
          <w:color w:val="auto"/>
          <w:sz w:val="32"/>
          <w:szCs w:val="32"/>
          <w:lang w:val="en-US" w:eastAsia="zh-CN"/>
        </w:rPr>
        <w:t>18197557839</w:t>
      </w:r>
    </w:p>
    <w:p>
      <w:pPr>
        <w:spacing w:line="360" w:lineRule="auto"/>
        <w:ind w:left="0" w:leftChars="0" w:firstLine="0" w:firstLineChars="0"/>
        <w:jc w:val="left"/>
        <w:outlineLvl w:val="9"/>
        <w:rPr>
          <w:rFonts w:hint="eastAsia" w:ascii="宋体" w:hAnsi="宋体"/>
          <w:i w:val="0"/>
          <w:iCs w:val="0"/>
          <w:color w:val="auto"/>
          <w:sz w:val="32"/>
          <w:szCs w:val="32"/>
        </w:rPr>
      </w:pPr>
      <w:r>
        <w:rPr>
          <w:rFonts w:hint="eastAsia" w:ascii="宋体" w:hAnsi="宋体"/>
          <w:i w:val="0"/>
          <w:iCs w:val="0"/>
          <w:color w:val="auto"/>
          <w:sz w:val="32"/>
          <w:szCs w:val="32"/>
        </w:rPr>
        <w:t>联系地址：</w:t>
      </w:r>
      <w:r>
        <w:rPr>
          <w:rFonts w:hint="eastAsia" w:ascii="宋体" w:hAnsi="宋体"/>
          <w:i w:val="0"/>
          <w:iCs w:val="0"/>
          <w:color w:val="auto"/>
          <w:sz w:val="32"/>
          <w:szCs w:val="32"/>
          <w:lang w:val="en-US" w:eastAsia="zh-CN"/>
        </w:rPr>
        <w:t>新疆阿克苏地区库车市东城街道幸福路65号企业公馆A座609室</w:t>
      </w:r>
    </w:p>
    <w:p>
      <w:pPr>
        <w:spacing w:line="360" w:lineRule="auto"/>
        <w:ind w:left="0" w:leftChars="0" w:firstLine="0" w:firstLineChars="0"/>
        <w:jc w:val="left"/>
        <w:outlineLvl w:val="9"/>
        <w:rPr>
          <w:rFonts w:hint="eastAsia" w:ascii="宋体" w:hAnsi="宋体" w:eastAsia="宋体"/>
          <w:i w:val="0"/>
          <w:iCs w:val="0"/>
          <w:color w:val="auto"/>
          <w:sz w:val="32"/>
          <w:szCs w:val="32"/>
          <w:lang w:eastAsia="zh-CN"/>
        </w:rPr>
      </w:pPr>
    </w:p>
    <w:p>
      <w:pPr>
        <w:spacing w:line="360" w:lineRule="auto"/>
        <w:ind w:left="0" w:leftChars="0" w:firstLine="0" w:firstLineChars="0"/>
        <w:jc w:val="left"/>
        <w:outlineLvl w:val="9"/>
        <w:rPr>
          <w:rFonts w:hint="eastAsia" w:ascii="宋体" w:hAnsi="宋体"/>
          <w:i w:val="0"/>
          <w:iCs w:val="0"/>
          <w:color w:val="auto"/>
          <w:sz w:val="32"/>
          <w:szCs w:val="32"/>
          <w:lang w:val="en-US" w:eastAsia="zh-CN"/>
        </w:rPr>
      </w:pPr>
    </w:p>
    <w:p>
      <w:pPr>
        <w:spacing w:line="360" w:lineRule="auto"/>
        <w:ind w:left="0" w:leftChars="0" w:firstLine="0" w:firstLineChars="0"/>
        <w:jc w:val="left"/>
        <w:outlineLvl w:val="9"/>
        <w:rPr>
          <w:rFonts w:hint="eastAsia" w:ascii="宋体" w:hAnsi="宋体"/>
          <w:i w:val="0"/>
          <w:iCs w:val="0"/>
          <w:color w:val="auto"/>
          <w:sz w:val="32"/>
          <w:szCs w:val="32"/>
          <w:lang w:val="en-US" w:eastAsia="zh-CN"/>
        </w:rPr>
      </w:pPr>
    </w:p>
    <w:p>
      <w:pPr>
        <w:spacing w:line="360" w:lineRule="auto"/>
        <w:ind w:left="0" w:leftChars="0" w:firstLine="0" w:firstLineChars="0"/>
        <w:jc w:val="center"/>
        <w:outlineLvl w:val="9"/>
        <w:rPr>
          <w:rFonts w:hint="eastAsia"/>
          <w:i w:val="0"/>
          <w:iCs w:val="0"/>
          <w:color w:val="auto"/>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i w:val="0"/>
          <w:iCs w:val="0"/>
          <w:color w:val="auto"/>
          <w:sz w:val="32"/>
          <w:szCs w:val="32"/>
          <w:lang w:val="en-US" w:eastAsia="zh-CN"/>
        </w:rPr>
        <w:t>2022 年 5月12日</w:t>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i w:val="0"/>
          <w:iCs w:val="0"/>
          <w:color w:val="auto"/>
          <w:spacing w:val="0"/>
          <w:sz w:val="40"/>
          <w:szCs w:val="40"/>
          <w:lang w:val="en-US" w:eastAsia="zh-CN"/>
        </w:rPr>
      </w:pPr>
    </w:p>
    <w:sdt>
      <w:sdtPr>
        <w:rPr>
          <w:rFonts w:ascii="宋体" w:hAnsi="宋体" w:eastAsia="宋体" w:cs="Microsoft YaHei UI"/>
          <w:b/>
          <w:bCs/>
          <w:spacing w:val="15"/>
          <w:kern w:val="0"/>
          <w:sz w:val="44"/>
          <w:szCs w:val="44"/>
          <w:lang w:val="en-US" w:eastAsia="zh-CN" w:bidi="ar-SA"/>
        </w:rPr>
        <w:id w:val="147457988"/>
        <w15:color w:val="DBDBDB"/>
        <w:docPartObj>
          <w:docPartGallery w:val="Table of Contents"/>
          <w:docPartUnique/>
        </w:docPartObj>
      </w:sdtPr>
      <w:sdtEndPr>
        <w:rPr>
          <w:rFonts w:hint="eastAsia" w:cs="Microsoft YaHei UI" w:asciiTheme="minorHAnsi" w:hAnsiTheme="minorHAnsi" w:eastAsiaTheme="minorEastAsia"/>
          <w:b/>
          <w:bCs/>
          <w:spacing w:val="15"/>
          <w:kern w:val="0"/>
          <w:sz w:val="18"/>
          <w:szCs w:val="24"/>
          <w:lang w:val="en-US" w:eastAsia="zh-CN" w:bidi="ar-SA"/>
        </w:rPr>
      </w:sdtEndPr>
      <w:sdtContent>
        <w:p>
          <w:pPr>
            <w:spacing w:before="0" w:beforeLines="0" w:after="0" w:afterLines="0" w:line="600" w:lineRule="auto"/>
            <w:ind w:left="0" w:leftChars="0" w:right="0" w:rightChars="0" w:firstLine="0" w:firstLineChars="0"/>
            <w:jc w:val="center"/>
            <w:rPr>
              <w:b/>
              <w:bCs/>
              <w:sz w:val="44"/>
              <w:szCs w:val="44"/>
            </w:rPr>
          </w:pPr>
          <w:r>
            <w:rPr>
              <w:rFonts w:ascii="宋体" w:hAnsi="宋体" w:eastAsia="宋体"/>
              <w:b/>
              <w:bCs/>
              <w:sz w:val="44"/>
              <w:szCs w:val="44"/>
            </w:rPr>
            <w:t>目录</w:t>
          </w:r>
        </w:p>
        <w:p>
          <w:pPr>
            <w:pStyle w:val="48"/>
            <w:tabs>
              <w:tab w:val="right" w:leader="dot" w:pos="8306"/>
            </w:tabs>
            <w:spacing w:line="600" w:lineRule="auto"/>
            <w:rPr>
              <w:rFonts w:hint="eastAsia" w:ascii="宋体" w:hAnsi="宋体" w:eastAsia="宋体" w:cs="宋体"/>
              <w:b/>
              <w:bCs/>
              <w:sz w:val="21"/>
              <w:szCs w:val="21"/>
            </w:rPr>
          </w:pPr>
          <w:r>
            <w:rPr>
              <w:rFonts w:hint="eastAsia"/>
              <w:lang w:val="en-US" w:eastAsia="zh-CN"/>
            </w:rPr>
            <w:fldChar w:fldCharType="begin"/>
          </w:r>
          <w:r>
            <w:rPr>
              <w:rFonts w:hint="eastAsia"/>
              <w:lang w:val="en-US" w:eastAsia="zh-CN"/>
            </w:rPr>
            <w:instrText xml:space="preserve">TOC \o "1-1" \h \u </w:instrText>
          </w:r>
          <w:r>
            <w:rPr>
              <w:rFonts w:hint="eastAsia"/>
              <w:lang w:val="en-US" w:eastAsia="zh-CN"/>
            </w:rPr>
            <w:fldChar w:fldCharType="separate"/>
          </w: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\l _Toc4560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i w:val="0"/>
              <w:iCs w:val="0"/>
              <w:spacing w:val="0"/>
              <w:sz w:val="21"/>
              <w:szCs w:val="21"/>
              <w:lang w:val="en-US" w:eastAsia="zh-CN"/>
            </w:rPr>
            <w:t>第一章 招标公告</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_Toc4560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fldChar w:fldCharType="end"/>
          </w:r>
        </w:p>
        <w:p>
          <w:pPr>
            <w:pStyle w:val="48"/>
            <w:tabs>
              <w:tab w:val="right" w:leader="dot" w:pos="8306"/>
            </w:tabs>
            <w:spacing w:line="60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\l _Toc8655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i w:val="0"/>
              <w:iCs w:val="0"/>
              <w:spacing w:val="0"/>
              <w:sz w:val="21"/>
              <w:szCs w:val="21"/>
              <w:lang w:val="en-US" w:eastAsia="zh-CN"/>
            </w:rPr>
            <w:t>第二章 投标人须知</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_Toc8655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5</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fldChar w:fldCharType="end"/>
          </w:r>
        </w:p>
        <w:p>
          <w:pPr>
            <w:pStyle w:val="48"/>
            <w:tabs>
              <w:tab w:val="right" w:leader="dot" w:pos="8306"/>
            </w:tabs>
            <w:spacing w:line="60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\l _Toc2462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i w:val="0"/>
              <w:iCs w:val="0"/>
              <w:spacing w:val="0"/>
              <w:sz w:val="21"/>
              <w:szCs w:val="21"/>
              <w:lang w:val="en-US" w:eastAsia="zh-CN"/>
            </w:rPr>
            <w:t>第三章 评标办法（综合评分法）</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_Toc2462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21</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fldChar w:fldCharType="end"/>
          </w:r>
        </w:p>
        <w:p>
          <w:pPr>
            <w:pStyle w:val="48"/>
            <w:tabs>
              <w:tab w:val="right" w:leader="dot" w:pos="8306"/>
            </w:tabs>
            <w:spacing w:line="60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\l _Toc7678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i w:val="0"/>
              <w:iCs w:val="0"/>
              <w:sz w:val="21"/>
              <w:szCs w:val="21"/>
            </w:rPr>
            <w:t>第四章 合同协议书</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_Toc7678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28</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fldChar w:fldCharType="end"/>
          </w:r>
        </w:p>
        <w:p>
          <w:pPr>
            <w:pStyle w:val="48"/>
            <w:tabs>
              <w:tab w:val="right" w:leader="dot" w:pos="8306"/>
            </w:tabs>
            <w:spacing w:line="60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\l _Toc993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i w:val="0"/>
              <w:iCs w:val="0"/>
              <w:spacing w:val="0"/>
              <w:sz w:val="21"/>
              <w:szCs w:val="21"/>
              <w:lang w:val="en-US" w:eastAsia="zh-CN"/>
            </w:rPr>
            <w:t>第五章 技术标准和要求</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_Toc993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31</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fldChar w:fldCharType="end"/>
          </w:r>
        </w:p>
        <w:p>
          <w:pPr>
            <w:pStyle w:val="48"/>
            <w:tabs>
              <w:tab w:val="right" w:leader="dot" w:pos="8306"/>
            </w:tabs>
            <w:spacing w:line="600" w:lineRule="auto"/>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\l _Toc5598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i w:val="0"/>
              <w:iCs w:val="0"/>
              <w:spacing w:val="0"/>
              <w:sz w:val="21"/>
              <w:szCs w:val="21"/>
              <w:lang w:val="en-US" w:eastAsia="zh-CN"/>
            </w:rPr>
            <w:t>第六章 投标文件格式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_Toc5598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32</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fldChar w:fldCharType="end"/>
          </w:r>
        </w:p>
        <w:p>
          <w:pPr>
            <w:pStyle w:val="48"/>
            <w:tabs>
              <w:tab w:val="right" w:leader="dot" w:pos="8306"/>
            </w:tabs>
            <w:spacing w:line="600" w:lineRule="auto"/>
          </w:pPr>
        </w:p>
        <w:p>
          <w:pPr>
            <w:pStyle w:val="14"/>
            <w:spacing w:line="600" w:lineRule="auto"/>
            <w:rPr>
              <w:rFonts w:hint="eastAsia"/>
              <w:lang w:val="en-US" w:eastAsia="zh-CN"/>
            </w:rPr>
          </w:pPr>
          <w:r>
            <w:rPr>
              <w:rFonts w:hint="eastAsia"/>
              <w:lang w:val="en-US" w:eastAsia="zh-CN"/>
            </w:rPr>
            <w:fldChar w:fldCharType="end"/>
          </w:r>
        </w:p>
      </w:sdtContent>
    </w:sdt>
    <w:p>
      <w:pPr>
        <w:pStyle w:val="12"/>
        <w:tabs>
          <w:tab w:val="right" w:leader="dot" w:pos="8306"/>
        </w:tabs>
        <w:ind w:left="0" w:leftChars="0" w:firstLine="0" w:firstLineChars="0"/>
        <w:rPr>
          <w:rFonts w:hint="eastAsia" w:asciiTheme="minorEastAsia" w:hAnsiTheme="minorEastAsia" w:eastAsiaTheme="minorEastAsia" w:cstheme="minorEastAsia"/>
          <w:b w:val="0"/>
          <w:bCs w:val="0"/>
          <w:i w:val="0"/>
          <w:iCs w:val="0"/>
          <w:color w:val="auto"/>
          <w:spacing w:val="0"/>
          <w:sz w:val="96"/>
          <w:szCs w:val="96"/>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i w:val="0"/>
          <w:iCs w:val="0"/>
          <w:color w:val="000000" w:themeColor="text1"/>
          <w:spacing w:val="0"/>
          <w:sz w:val="32"/>
          <w:szCs w:val="32"/>
          <w:lang w:val="en-US" w:eastAsia="zh-CN"/>
          <w14:textFill>
            <w14:solidFill>
              <w14:schemeClr w14:val="tx1"/>
            </w14:solidFill>
          </w14:textFill>
        </w:rPr>
      </w:pPr>
      <w:bookmarkStart w:id="0" w:name="_Toc11904"/>
      <w:bookmarkStart w:id="1" w:name="_Toc17337"/>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Fonts w:hint="eastAsia" w:asciiTheme="minorEastAsia" w:hAnsiTheme="minorEastAsia" w:eastAsiaTheme="minorEastAsia" w:cstheme="minorEastAsia"/>
          <w:b/>
          <w:bCs/>
          <w:i w:val="0"/>
          <w:iCs w:val="0"/>
          <w:color w:val="000000" w:themeColor="text1"/>
          <w:spacing w:val="0"/>
          <w:sz w:val="32"/>
          <w:szCs w:val="32"/>
          <w:lang w:val="en-US" w:eastAsia="zh-CN"/>
          <w14:textFill>
            <w14:solidFill>
              <w14:schemeClr w14:val="tx1"/>
            </w14:solidFill>
          </w14:textFill>
        </w:rPr>
      </w:pPr>
      <w:bookmarkStart w:id="2" w:name="_Toc4560"/>
      <w:bookmarkStart w:id="3" w:name="_Toc20608"/>
      <w:r>
        <w:rPr>
          <w:rFonts w:hint="eastAsia" w:asciiTheme="minorEastAsia" w:hAnsiTheme="minorEastAsia" w:eastAsiaTheme="minorEastAsia" w:cstheme="minorEastAsia"/>
          <w:b/>
          <w:bCs/>
          <w:i w:val="0"/>
          <w:iCs w:val="0"/>
          <w:color w:val="000000" w:themeColor="text1"/>
          <w:spacing w:val="0"/>
          <w:sz w:val="32"/>
          <w:szCs w:val="32"/>
          <w:lang w:val="en-US" w:eastAsia="zh-CN"/>
          <w14:textFill>
            <w14:solidFill>
              <w14:schemeClr w14:val="tx1"/>
            </w14:solidFill>
          </w14:textFill>
        </w:rPr>
        <w:t>招标公告</w:t>
      </w:r>
      <w:bookmarkEnd w:id="0"/>
      <w:bookmarkEnd w:id="1"/>
      <w:bookmarkEnd w:id="2"/>
      <w:bookmarkEnd w:id="3"/>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14"/>
        <w:numPr>
          <w:ilvl w:val="0"/>
          <w:numId w:val="0"/>
        </w:numPr>
        <w:rPr>
          <w:rFonts w:hint="eastAsia"/>
          <w:lang w:eastAsia="zh-CN"/>
        </w:rPr>
      </w:pPr>
    </w:p>
    <w:p>
      <w:pPr>
        <w:pStyle w:val="2"/>
        <w:bidi w:val="0"/>
        <w:ind w:left="0" w:leftChars="0" w:firstLine="0" w:firstLineChars="0"/>
        <w:rPr>
          <w:rFonts w:hint="eastAsia"/>
          <w:i w:val="0"/>
          <w:iCs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right="0" w:rightChars="0"/>
        <w:jc w:val="center"/>
        <w:textAlignment w:val="auto"/>
        <w:outlineLvl w:val="0"/>
        <w:rPr>
          <w:rFonts w:hint="eastAsia" w:asciiTheme="minorEastAsia" w:hAnsiTheme="minorEastAsia" w:cstheme="minorEastAsia"/>
          <w:b/>
          <w:bCs/>
          <w:i w:val="0"/>
          <w:iCs w:val="0"/>
          <w:color w:val="auto"/>
          <w:spacing w:val="0"/>
          <w:sz w:val="32"/>
          <w:szCs w:val="32"/>
          <w:lang w:val="en-US" w:eastAsia="zh-CN"/>
        </w:rPr>
      </w:pPr>
      <w:bookmarkStart w:id="4" w:name="_Toc11305"/>
      <w:bookmarkStart w:id="5" w:name="_Toc13391"/>
      <w:bookmarkStart w:id="6" w:name="_Toc8655"/>
      <w:r>
        <w:rPr>
          <w:rFonts w:hint="eastAsia" w:asciiTheme="minorEastAsia" w:hAnsiTheme="minorEastAsia" w:eastAsiaTheme="minorEastAsia" w:cstheme="minorEastAsia"/>
          <w:b/>
          <w:bCs/>
          <w:i w:val="0"/>
          <w:iCs w:val="0"/>
          <w:color w:val="auto"/>
          <w:spacing w:val="0"/>
          <w:sz w:val="32"/>
          <w:szCs w:val="32"/>
          <w:lang w:val="en-US" w:eastAsia="zh-CN"/>
        </w:rPr>
        <w:t>投标</w:t>
      </w:r>
      <w:r>
        <w:rPr>
          <w:rFonts w:hint="eastAsia" w:asciiTheme="minorEastAsia" w:hAnsiTheme="minorEastAsia" w:cstheme="minorEastAsia"/>
          <w:b/>
          <w:bCs/>
          <w:i w:val="0"/>
          <w:iCs w:val="0"/>
          <w:color w:val="auto"/>
          <w:spacing w:val="0"/>
          <w:sz w:val="32"/>
          <w:szCs w:val="32"/>
          <w:lang w:val="en-US" w:eastAsia="zh-CN"/>
        </w:rPr>
        <w:t>人须知</w:t>
      </w:r>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1"/>
        <w:rPr>
          <w:rFonts w:hint="eastAsia" w:asciiTheme="minorEastAsia" w:hAnsiTheme="minorEastAsia" w:cstheme="minorEastAsia"/>
          <w:b/>
          <w:bCs/>
          <w:i w:val="0"/>
          <w:iCs w:val="0"/>
          <w:color w:val="auto"/>
          <w:spacing w:val="0"/>
          <w:sz w:val="21"/>
          <w:szCs w:val="21"/>
          <w:lang w:val="en-US" w:eastAsia="zh-CN"/>
        </w:rPr>
      </w:pPr>
      <w:bookmarkStart w:id="7" w:name="_Toc12524"/>
      <w:bookmarkStart w:id="8" w:name="_Toc30036"/>
      <w:r>
        <w:rPr>
          <w:rFonts w:hint="eastAsia" w:asciiTheme="minorEastAsia" w:hAnsiTheme="minorEastAsia" w:cstheme="minorEastAsia"/>
          <w:b/>
          <w:bCs/>
          <w:i w:val="0"/>
          <w:iCs w:val="0"/>
          <w:color w:val="auto"/>
          <w:spacing w:val="0"/>
          <w:sz w:val="21"/>
          <w:szCs w:val="21"/>
          <w:lang w:val="en-US" w:eastAsia="zh-CN"/>
        </w:rPr>
        <w:t>投标人须知前附表</w:t>
      </w:r>
      <w:bookmarkEnd w:id="7"/>
      <w:bookmarkEnd w:id="8"/>
    </w:p>
    <w:tbl>
      <w:tblPr>
        <w:tblStyle w:val="23"/>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548"/>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lang w:val="en-US" w:eastAsia="zh-CN"/>
              </w:rPr>
              <w:t>条款号</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条 款 名 称</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招标人</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名称：库车经济技术开发区经发局</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地址：库车市经济技术开发区A座</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联系人：杨柳</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电话：0997-7125909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招标代理机构</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名称：新疆希林森建设项目管理有限公司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地址：新疆阿克苏地区库车市东城街道幸福路65号企业公馆A座609室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联系人：王江涛</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电话：18197557839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招标项目名称</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库车经济技术开发区产业规划编制</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i w:val="0"/>
                <w:iCs w:val="0"/>
                <w:color w:val="auto"/>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 xml:space="preserve">项目编号：KCS2022-WT003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1.2.1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资金来源及比例</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本级财政资金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1.2.2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资金落实情况</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1.3.1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招标范围</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对库车市经济技术开发区产业规划编制进行采购。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1.3.2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供货周期</w:t>
            </w:r>
          </w:p>
        </w:tc>
        <w:tc>
          <w:tcPr>
            <w:tcW w:w="6078" w:type="dxa"/>
            <w:vAlign w:val="center"/>
          </w:tcPr>
          <w:p>
            <w:pPr>
              <w:pStyle w:val="47"/>
              <w:spacing w:before="36" w:line="297" w:lineRule="auto"/>
              <w:ind w:right="106"/>
              <w:rPr>
                <w:rFonts w:hint="eastAsia"/>
                <w:i w:val="0"/>
                <w:iCs w:val="0"/>
                <w:color w:val="auto"/>
                <w:lang w:val="en-US" w:eastAsia="zh-CN"/>
              </w:rPr>
            </w:pPr>
            <w:r>
              <w:rPr>
                <w:rFonts w:hint="eastAsia" w:ascii="Times New Roman" w:hAnsi="Times New Roman" w:eastAsia="宋体" w:cs="Times New Roman"/>
                <w:i w:val="0"/>
                <w:iCs w:val="0"/>
                <w:kern w:val="2"/>
                <w:sz w:val="21"/>
                <w:szCs w:val="21"/>
                <w:lang w:val="en-US" w:eastAsia="zh-CN" w:bidi="ar-SA"/>
              </w:rPr>
              <w:t>供货</w:t>
            </w:r>
            <w:r>
              <w:rPr>
                <w:rFonts w:hint="eastAsia" w:ascii="Times New Roman" w:hAnsi="Times New Roman" w:eastAsia="宋体" w:cs="Times New Roman"/>
                <w:i w:val="0"/>
                <w:iCs w:val="0"/>
                <w:color w:val="auto"/>
                <w:kern w:val="2"/>
                <w:sz w:val="21"/>
                <w:szCs w:val="21"/>
                <w:lang w:val="en-US" w:eastAsia="zh-CN" w:bidi="ar-SA"/>
              </w:rPr>
              <w:t>周期：</w:t>
            </w:r>
            <w:r>
              <w:rPr>
                <w:rFonts w:hint="eastAsia" w:ascii="Times New Roman" w:hAnsi="Times New Roman" w:eastAsia="宋体" w:cs="Times New Roman"/>
                <w:i w:val="0"/>
                <w:iCs w:val="0"/>
                <w:color w:val="000000" w:themeColor="text1"/>
                <w:kern w:val="2"/>
                <w:sz w:val="21"/>
                <w:szCs w:val="21"/>
                <w:lang w:val="en-US" w:eastAsia="zh-CN" w:bidi="ar-SA"/>
                <w14:textFill>
                  <w14:solidFill>
                    <w14:schemeClr w14:val="tx1"/>
                  </w14:solidFill>
                </w14:textFill>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1.3.3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项目地点</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库车市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1.3.4</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服务质量要求</w:t>
            </w:r>
          </w:p>
        </w:tc>
        <w:tc>
          <w:tcPr>
            <w:tcW w:w="6078" w:type="dxa"/>
            <w:vAlign w:val="center"/>
          </w:tcPr>
          <w:p>
            <w:pPr>
              <w:pStyle w:val="47"/>
              <w:spacing w:before="27" w:line="297" w:lineRule="auto"/>
              <w:ind w:right="102" w:rightChars="0"/>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满足国家有关技术标准及规范要求，达到相应设计阶段的技术要求，并通过相关部门审查批复。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1.4.1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资质条件、能力和信誉要求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default"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一、满足《中华人民共和国政府采购法》第二十二条规定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二、</w:t>
            </w:r>
            <w:r>
              <w:rPr>
                <w:rFonts w:hint="default" w:ascii="宋体" w:hAnsi="宋体" w:cs="宋体"/>
                <w:b/>
                <w:bCs/>
                <w:i w:val="0"/>
                <w:iCs w:val="0"/>
                <w:color w:val="auto"/>
                <w:spacing w:val="0"/>
                <w:sz w:val="21"/>
                <w:szCs w:val="21"/>
                <w:vertAlign w:val="baseline"/>
                <w:lang w:val="en-US" w:eastAsia="zh-CN"/>
              </w:rPr>
              <w:t>资质条件：</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cs="宋体"/>
                <w:b/>
                <w:bCs/>
                <w:i w:val="0"/>
                <w:iCs w:val="0"/>
                <w:color w:val="000000" w:themeColor="text1"/>
                <w:spacing w:val="0"/>
                <w:sz w:val="21"/>
                <w:szCs w:val="21"/>
                <w:vertAlign w:val="baseline"/>
                <w:lang w:val="en-US" w:eastAsia="zh-CN"/>
                <w14:textFill>
                  <w14:solidFill>
                    <w14:schemeClr w14:val="tx1"/>
                  </w14:solidFill>
                </w14:textFill>
              </w:rPr>
            </w:pPr>
            <w:r>
              <w:rPr>
                <w:rFonts w:hint="eastAsia" w:ascii="宋体" w:hAnsi="宋体" w:cs="宋体"/>
                <w:b/>
                <w:bCs/>
                <w:i w:val="0"/>
                <w:iCs w:val="0"/>
                <w:color w:val="auto"/>
                <w:spacing w:val="0"/>
                <w:sz w:val="21"/>
                <w:szCs w:val="21"/>
                <w:vertAlign w:val="baseline"/>
                <w:lang w:val="en-US" w:eastAsia="zh-CN"/>
              </w:rPr>
              <w:t>1、本次招标要求投标人应具备独立法人资格的工程咨询单位（石化、化工专业）乙级或以上资信证书</w:t>
            </w:r>
            <w:r>
              <w:rPr>
                <w:rFonts w:hint="eastAsia" w:ascii="宋体" w:hAnsi="宋体" w:cs="宋体"/>
                <w:b/>
                <w:bCs/>
                <w:i w:val="0"/>
                <w:iCs w:val="0"/>
                <w:color w:val="000000" w:themeColor="text1"/>
                <w:spacing w:val="0"/>
                <w:sz w:val="21"/>
                <w:szCs w:val="21"/>
                <w:vertAlign w:val="baseline"/>
                <w:lang w:val="en-US" w:eastAsia="zh-CN"/>
                <w14:textFill>
                  <w14:solidFill>
                    <w14:schemeClr w14:val="tx1"/>
                  </w14:solidFill>
                </w14:textFill>
              </w:rPr>
              <w:t>资质。</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2、财务要求：提供近三年财务审计报告，成立不足一年的提供成立至今的财务报表。</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业绩要求：近三年（2019年5月-2022年5月）业绩。</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信誉要求：无不良行为记录。</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项目负责人：需具备石化、化工专业咨询工程师登记证书及相关专业高级及以上职称。</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宋体" w:hAnsi="宋体" w:cs="宋体"/>
                <w:b/>
                <w:bCs/>
                <w:i w:val="0"/>
                <w:iCs w:val="0"/>
                <w:color w:val="000000" w:themeColor="text1"/>
                <w:spacing w:val="0"/>
                <w:sz w:val="21"/>
                <w:szCs w:val="21"/>
                <w:vertAlign w:val="baseline"/>
                <w:lang w:val="en-US" w:eastAsia="zh-CN"/>
                <w14:textFill>
                  <w14:solidFill>
                    <w14:schemeClr w14:val="tx1"/>
                  </w14:solidFill>
                </w14:textFill>
              </w:rPr>
              <w:t>其他：投标文件中所附人员须提供近6个月社保缴纳凭证及近六个月的完税证明文件。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1.4.2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是否接受联合体</w:t>
            </w:r>
          </w:p>
        </w:tc>
        <w:tc>
          <w:tcPr>
            <w:tcW w:w="6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cstheme="minorEastAsia"/>
                <w:i w:val="0"/>
                <w:iCs w:val="0"/>
                <w:color w:val="auto"/>
                <w:spacing w:val="0"/>
                <w:sz w:val="21"/>
                <w:szCs w:val="21"/>
                <w:vertAlign w:val="baseline"/>
                <w:lang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Theme="minorEastAsia" w:hAnsiTheme="minorEastAsia" w:cstheme="minorEastAsia"/>
                <w:i w:val="0"/>
                <w:iCs w:val="0"/>
                <w:color w:val="auto"/>
                <w:spacing w:val="0"/>
                <w:sz w:val="21"/>
                <w:szCs w:val="21"/>
                <w:vertAlign w:val="baseline"/>
                <w:lang w:eastAsia="zh-CN"/>
              </w:rPr>
              <w:t>不接受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eastAsia="zh-CN"/>
              </w:rPr>
              <w:t>□</w:t>
            </w:r>
            <w:r>
              <w:rPr>
                <w:rFonts w:hint="eastAsia" w:asciiTheme="minorEastAsia" w:hAnsiTheme="minorEastAsia" w:cstheme="minorEastAsia"/>
                <w:i w:val="0"/>
                <w:iCs w:val="0"/>
                <w:color w:val="auto"/>
                <w:spacing w:val="0"/>
                <w:sz w:val="21"/>
                <w:szCs w:val="21"/>
                <w:vertAlign w:val="baseline"/>
                <w:lang w:eastAsia="zh-CN"/>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1.4.3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投标人不得存在的其他情形</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国家法律法规和招标文件规定的其他情形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1.5.1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投标预备会</w:t>
            </w:r>
          </w:p>
        </w:tc>
        <w:tc>
          <w:tcPr>
            <w:tcW w:w="6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i w:val="0"/>
                <w:iCs w:val="0"/>
                <w:color w:val="auto"/>
                <w:spacing w:val="0"/>
                <w:sz w:val="21"/>
                <w:szCs w:val="21"/>
                <w:vertAlign w:val="baseline"/>
                <w:lang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宋体" w:hAnsi="宋体" w:eastAsia="宋体" w:cs="宋体"/>
                <w:i w:val="0"/>
                <w:iCs w:val="0"/>
                <w:color w:val="auto"/>
                <w:spacing w:val="0"/>
                <w:sz w:val="21"/>
                <w:szCs w:val="21"/>
                <w:vertAlign w:val="baseline"/>
                <w:lang w:val="en-US" w:eastAsia="zh-CN"/>
              </w:rPr>
              <w:t>不</w:t>
            </w:r>
            <w:r>
              <w:rPr>
                <w:rFonts w:hint="eastAsia" w:ascii="宋体" w:hAnsi="宋体" w:eastAsia="宋体" w:cs="宋体"/>
                <w:i w:val="0"/>
                <w:iCs w:val="0"/>
                <w:color w:val="auto"/>
                <w:spacing w:val="0"/>
                <w:sz w:val="21"/>
                <w:szCs w:val="21"/>
                <w:vertAlign w:val="baseline"/>
                <w:lang w:eastAsia="zh-CN"/>
              </w:rPr>
              <w:t>召开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eastAsia="zh-CN"/>
              </w:rPr>
              <w:t>□召开，</w:t>
            </w:r>
            <w:r>
              <w:rPr>
                <w:rFonts w:hint="eastAsia" w:ascii="宋体" w:hAnsi="宋体" w:eastAsia="宋体" w:cs="宋体"/>
                <w:i w:val="0"/>
                <w:iCs w:val="0"/>
                <w:color w:val="auto"/>
                <w:spacing w:val="0"/>
                <w:sz w:val="21"/>
                <w:szCs w:val="21"/>
                <w:vertAlign w:val="baseline"/>
                <w:lang w:val="en-US" w:eastAsia="zh-CN"/>
              </w:rPr>
              <w:t>召开时间：</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840" w:firstLineChars="400"/>
              <w:jc w:val="left"/>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val="en-US" w:eastAsia="zh-CN"/>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1.5.2</w:t>
            </w:r>
          </w:p>
        </w:tc>
        <w:tc>
          <w:tcPr>
            <w:tcW w:w="254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投标人在投标预备会前提出问题</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i w:val="0"/>
                <w:iCs w:val="0"/>
                <w:color w:val="auto"/>
              </w:rPr>
            </w:pPr>
          </w:p>
        </w:tc>
        <w:tc>
          <w:tcPr>
            <w:tcW w:w="2548"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ind w:right="0" w:rightChars="0"/>
              <w:jc w:val="left"/>
              <w:textAlignment w:val="auto"/>
              <w:outlineLvl w:val="9"/>
              <w:rPr>
                <w:i w:val="0"/>
                <w:iCs w:val="0"/>
                <w:color w:val="auto"/>
              </w:rPr>
            </w:pP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1.5.3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招标文件澄清发出的形式</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电子文件或书面文件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1.6.1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分包</w:t>
            </w:r>
          </w:p>
        </w:tc>
        <w:tc>
          <w:tcPr>
            <w:tcW w:w="6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i w:val="0"/>
                <w:iCs w:val="0"/>
                <w:color w:val="auto"/>
                <w:spacing w:val="0"/>
                <w:sz w:val="21"/>
                <w:szCs w:val="21"/>
                <w:vertAlign w:val="baseline"/>
                <w:lang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Theme="minorEastAsia" w:hAnsiTheme="minorEastAsia" w:eastAsiaTheme="minorEastAsia" w:cstheme="minorEastAsia"/>
                <w:i w:val="0"/>
                <w:iCs w:val="0"/>
                <w:color w:val="auto"/>
                <w:spacing w:val="0"/>
                <w:sz w:val="21"/>
                <w:szCs w:val="21"/>
                <w:vertAlign w:val="baseline"/>
                <w:lang w:eastAsia="zh-CN"/>
              </w:rPr>
              <w:t>不</w:t>
            </w:r>
            <w:r>
              <w:rPr>
                <w:rFonts w:hint="eastAsia" w:asciiTheme="minorEastAsia" w:hAnsiTheme="minorEastAsia" w:eastAsiaTheme="minorEastAsia" w:cstheme="minorEastAsia"/>
                <w:i w:val="0"/>
                <w:iCs w:val="0"/>
                <w:color w:val="auto"/>
                <w:spacing w:val="0"/>
                <w:sz w:val="21"/>
                <w:szCs w:val="21"/>
                <w:lang w:val="en-US" w:eastAsia="zh-CN"/>
              </w:rPr>
              <w:t>允许</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i w:val="0"/>
                <w:iCs w:val="0"/>
                <w:color w:val="auto"/>
                <w:spacing w:val="0"/>
                <w:sz w:val="21"/>
                <w:szCs w:val="21"/>
                <w:lang w:val="en-US" w:eastAsia="zh-CN"/>
              </w:rPr>
            </w:pPr>
            <w:r>
              <w:rPr>
                <w:rFonts w:hint="eastAsia" w:ascii="宋体" w:hAnsi="宋体" w:eastAsia="宋体" w:cs="宋体"/>
                <w:i w:val="0"/>
                <w:iCs w:val="0"/>
                <w:color w:val="auto"/>
                <w:spacing w:val="0"/>
                <w:sz w:val="21"/>
                <w:szCs w:val="21"/>
                <w:vertAlign w:val="baseline"/>
                <w:lang w:eastAsia="zh-CN"/>
              </w:rPr>
              <w:t>□召</w:t>
            </w:r>
            <w:r>
              <w:rPr>
                <w:rFonts w:hint="eastAsia" w:asciiTheme="minorEastAsia" w:hAnsiTheme="minorEastAsia" w:eastAsiaTheme="minorEastAsia" w:cstheme="minorEastAsia"/>
                <w:i w:val="0"/>
                <w:iCs w:val="0"/>
                <w:color w:val="auto"/>
                <w:spacing w:val="0"/>
                <w:sz w:val="21"/>
                <w:szCs w:val="21"/>
                <w:lang w:val="en-US" w:eastAsia="zh-CN"/>
              </w:rPr>
              <w:t>允</w:t>
            </w:r>
            <w:r>
              <w:rPr>
                <w:rFonts w:hint="eastAsia" w:asciiTheme="minorEastAsia" w:hAnsiTheme="minorEastAsia" w:cstheme="minorEastAsia"/>
                <w:i w:val="0"/>
                <w:iCs w:val="0"/>
                <w:color w:val="auto"/>
                <w:spacing w:val="0"/>
                <w:sz w:val="21"/>
                <w:szCs w:val="21"/>
                <w:lang w:val="en-US" w:eastAsia="zh-CN"/>
              </w:rPr>
              <w:t>，分包内容要求：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840" w:firstLineChars="400"/>
              <w:jc w:val="left"/>
              <w:textAlignment w:val="auto"/>
              <w:outlineLvl w:val="9"/>
              <w:rPr>
                <w:rFonts w:hint="eastAsia" w:asciiTheme="minorEastAsia" w:hAnsiTheme="minorEastAsia" w:cstheme="minorEastAsia"/>
                <w:i w:val="0"/>
                <w:iCs w:val="0"/>
                <w:color w:val="auto"/>
                <w:spacing w:val="0"/>
                <w:sz w:val="21"/>
                <w:szCs w:val="21"/>
                <w:lang w:val="en-US" w:eastAsia="zh-CN"/>
              </w:rPr>
            </w:pPr>
            <w:r>
              <w:rPr>
                <w:rFonts w:hint="eastAsia" w:asciiTheme="minorEastAsia" w:hAnsiTheme="minorEastAsia" w:cstheme="minorEastAsia"/>
                <w:i w:val="0"/>
                <w:iCs w:val="0"/>
                <w:color w:val="auto"/>
                <w:spacing w:val="0"/>
                <w:sz w:val="21"/>
                <w:szCs w:val="21"/>
                <w:lang w:val="en-US" w:eastAsia="zh-CN"/>
              </w:rPr>
              <w:t>分包金额要求：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840" w:firstLineChars="400"/>
              <w:jc w:val="left"/>
              <w:textAlignment w:val="auto"/>
              <w:outlineLvl w:val="9"/>
              <w:rPr>
                <w:rFonts w:hint="eastAsia" w:asciiTheme="minorEastAsia" w:hAnsiTheme="minorEastAsia" w:cstheme="minorEastAsia"/>
                <w:i w:val="0"/>
                <w:iCs w:val="0"/>
                <w:color w:val="auto"/>
                <w:spacing w:val="0"/>
                <w:sz w:val="21"/>
                <w:szCs w:val="21"/>
                <w:lang w:val="en-US" w:eastAsia="zh-CN"/>
              </w:rPr>
            </w:pPr>
            <w:r>
              <w:rPr>
                <w:rFonts w:hint="eastAsia" w:asciiTheme="minorEastAsia" w:hAnsiTheme="minorEastAsia" w:cstheme="minorEastAsia"/>
                <w:i w:val="0"/>
                <w:iCs w:val="0"/>
                <w:color w:val="auto"/>
                <w:spacing w:val="0"/>
                <w:sz w:val="21"/>
                <w:szCs w:val="21"/>
                <w:lang w:val="en-US" w:eastAsia="zh-CN"/>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1.7.1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实质性要求和条件</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default" w:asciiTheme="minorEastAsia" w:hAnsiTheme="minorEastAsia" w:cstheme="minorEastAsia"/>
                <w:i w:val="0"/>
                <w:iCs w:val="0"/>
                <w:color w:val="auto"/>
                <w:spacing w:val="0"/>
                <w:sz w:val="21"/>
                <w:szCs w:val="21"/>
                <w:lang w:val="en-US" w:eastAsia="zh-CN"/>
              </w:rPr>
            </w:pPr>
            <w:r>
              <w:rPr>
                <w:rFonts w:hint="eastAsia" w:asciiTheme="minorEastAsia" w:hAnsiTheme="minorEastAsia" w:cstheme="minorEastAsia"/>
                <w:i w:val="0"/>
                <w:iCs w:val="0"/>
                <w:color w:val="auto"/>
                <w:spacing w:val="0"/>
                <w:sz w:val="21"/>
                <w:szCs w:val="21"/>
                <w:lang w:val="en-US" w:eastAsia="zh-CN"/>
              </w:rPr>
              <w:t>满足招标要求。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1.7.2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其他可以被接受的技术支持资料</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i w:val="0"/>
                <w:iCs w:val="0"/>
                <w:color w:val="auto"/>
                <w:spacing w:val="0"/>
                <w:sz w:val="21"/>
                <w:szCs w:val="21"/>
                <w:lang w:val="en-US" w:eastAsia="zh-CN"/>
              </w:rPr>
            </w:pPr>
            <w:r>
              <w:rPr>
                <w:rFonts w:hint="eastAsia" w:asciiTheme="minorEastAsia" w:hAnsiTheme="minorEastAsia" w:cstheme="minorEastAsia"/>
                <w:i w:val="0"/>
                <w:iCs w:val="0"/>
                <w:color w:val="auto"/>
                <w:spacing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1.7.3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偏差</w:t>
            </w:r>
          </w:p>
        </w:tc>
        <w:tc>
          <w:tcPr>
            <w:tcW w:w="6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sym w:font="Wingdings" w:char="00FE"/>
            </w:r>
            <w:r>
              <w:rPr>
                <w:rFonts w:hint="eastAsia" w:asciiTheme="minorEastAsia" w:hAnsiTheme="minorEastAsia" w:cstheme="minorEastAsia"/>
                <w:b w:val="0"/>
                <w:bCs w:val="0"/>
                <w:i w:val="0"/>
                <w:iCs w:val="0"/>
                <w:color w:val="auto"/>
                <w:spacing w:val="0"/>
                <w:sz w:val="21"/>
                <w:szCs w:val="21"/>
                <w:vertAlign w:val="baseline"/>
                <w:lang w:val="en-US" w:eastAsia="zh-CN"/>
              </w:rPr>
              <w:t>不允许</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sym w:font="Wingdings" w:char="00A8"/>
            </w:r>
            <w:r>
              <w:rPr>
                <w:rFonts w:hint="eastAsia" w:asciiTheme="minorEastAsia" w:hAnsiTheme="minorEastAsia" w:cstheme="minorEastAsia"/>
                <w:b w:val="0"/>
                <w:bCs w:val="0"/>
                <w:i w:val="0"/>
                <w:iCs w:val="0"/>
                <w:color w:val="auto"/>
                <w:spacing w:val="0"/>
                <w:sz w:val="21"/>
                <w:szCs w:val="21"/>
                <w:vertAlign w:val="baseline"/>
                <w:lang w:val="en-US" w:eastAsia="zh-CN"/>
              </w:rPr>
              <w:t>允许，偏差范围：投标人投标产品优于采购要求及使用范围时允许出现偏差；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构成招标文件的其他资料</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招标文件的补充文件、澄清文件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2.2.1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投标人要求澄清招标文件</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投标截止前十天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2.2.2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招标文件澄清发出的形式</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电子文件或书面文件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2.2.3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投标人确认收到招标文件澄清</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时间：在收到相应澄清文件后 24 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2.3.1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招标文件修改发出的形式</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电子文件或书面文件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2.3.2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投标人确认收到招标文件修改</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时间：在收到相应澄清文件后 24 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构成投标文件的其他资料</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投标文件的补充材料（不得更改投标文件的实质性内容）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3.2.1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增值税税金的计算方法</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lang w:val="en-US" w:eastAsia="zh-CN"/>
              </w:rPr>
              <w:t>增值税税金按一般计税方法计算，包含在投标报价中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3.2.2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最高投标限价</w:t>
            </w:r>
          </w:p>
        </w:tc>
        <w:tc>
          <w:tcPr>
            <w:tcW w:w="6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i w:val="0"/>
                <w:iCs w:val="0"/>
                <w:color w:val="auto"/>
                <w:spacing w:val="0"/>
                <w:sz w:val="21"/>
                <w:szCs w:val="21"/>
                <w:vertAlign w:val="baseline"/>
                <w:lang w:eastAsia="zh-CN"/>
              </w:rPr>
            </w:pPr>
            <w:r>
              <w:rPr>
                <w:rFonts w:hint="eastAsia" w:asciiTheme="minorEastAsia" w:hAnsiTheme="minorEastAsia" w:eastAsiaTheme="minorEastAsia" w:cstheme="minorEastAsia"/>
                <w:i w:val="0"/>
                <w:iCs w:val="0"/>
                <w:color w:val="auto"/>
                <w:spacing w:val="0"/>
                <w:sz w:val="21"/>
                <w:szCs w:val="21"/>
                <w:vertAlign w:val="baseline"/>
                <w:lang w:eastAsia="zh-CN"/>
              </w:rPr>
              <w:t>□</w:t>
            </w:r>
            <w:r>
              <w:rPr>
                <w:rFonts w:hint="eastAsia" w:asciiTheme="minorEastAsia" w:hAnsiTheme="minorEastAsia" w:cstheme="minorEastAsia"/>
                <w:i w:val="0"/>
                <w:iCs w:val="0"/>
                <w:color w:val="auto"/>
                <w:spacing w:val="0"/>
                <w:sz w:val="21"/>
                <w:szCs w:val="21"/>
                <w:vertAlign w:val="baseli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b/>
                <w:bCs/>
                <w:i w:val="0"/>
                <w:iCs w:val="0"/>
                <w:color w:val="auto"/>
                <w:szCs w:val="21"/>
              </w:rPr>
              <w:fldChar w:fldCharType="begin"/>
            </w:r>
            <w:r>
              <w:rPr>
                <w:b/>
                <w:bCs/>
                <w:i w:val="0"/>
                <w:iCs w:val="0"/>
                <w:color w:val="auto"/>
                <w:szCs w:val="21"/>
              </w:rPr>
              <w:instrText xml:space="preserve"> </w:instrText>
            </w:r>
            <w:r>
              <w:rPr>
                <w:rFonts w:hint="eastAsia"/>
                <w:b/>
                <w:bCs/>
                <w:i w:val="0"/>
                <w:iCs w:val="0"/>
                <w:color w:val="auto"/>
                <w:szCs w:val="21"/>
              </w:rPr>
              <w:instrText xml:space="preserve">eq \o\ac(□,√)</w:instrText>
            </w:r>
            <w:r>
              <w:rPr>
                <w:b/>
                <w:bCs/>
                <w:i w:val="0"/>
                <w:iCs w:val="0"/>
                <w:color w:val="auto"/>
                <w:szCs w:val="21"/>
              </w:rPr>
              <w:fldChar w:fldCharType="end"/>
            </w:r>
            <w:r>
              <w:rPr>
                <w:rFonts w:hint="eastAsia" w:asciiTheme="minorEastAsia" w:hAnsiTheme="minorEastAsia" w:cstheme="minorEastAsia"/>
                <w:b/>
                <w:bCs/>
                <w:i w:val="0"/>
                <w:iCs w:val="0"/>
                <w:color w:val="auto"/>
                <w:spacing w:val="0"/>
                <w:sz w:val="21"/>
                <w:szCs w:val="21"/>
                <w:vertAlign w:val="baseline"/>
                <w:lang w:val="en-US" w:eastAsia="zh-CN"/>
              </w:rPr>
              <w:t>有，最高投标限价：850000元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投标有效期</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3.4</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投标保证金</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本项目不作要求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3.5</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资格审查资料的特殊要求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i w:val="0"/>
                <w:iCs w:val="0"/>
                <w:color w:val="auto"/>
                <w:spacing w:val="0"/>
                <w:sz w:val="21"/>
                <w:szCs w:val="21"/>
                <w:vertAlign w:val="baseline"/>
                <w:lang w:val="en-US" w:eastAsia="zh-CN"/>
              </w:rPr>
            </w:pPr>
            <w:r>
              <w:rPr>
                <w:rFonts w:hint="eastAsia" w:asciiTheme="minorEastAsia" w:hAnsiTheme="minorEastAsia" w:eastAsiaTheme="minorEastAsia" w:cstheme="minorEastAsia"/>
                <w:i w:val="0"/>
                <w:iCs w:val="0"/>
                <w:color w:val="auto"/>
                <w:spacing w:val="0"/>
                <w:sz w:val="21"/>
                <w:szCs w:val="21"/>
                <w:vertAlign w:val="baseline"/>
                <w:lang w:eastAsia="zh-CN"/>
              </w:rPr>
              <w:t>□</w:t>
            </w:r>
            <w:r>
              <w:rPr>
                <w:rFonts w:hint="eastAsia" w:asciiTheme="minorEastAsia" w:hAnsiTheme="minorEastAsia" w:cstheme="minorEastAsia"/>
                <w:i w:val="0"/>
                <w:iCs w:val="0"/>
                <w:color w:val="auto"/>
                <w:spacing w:val="0"/>
                <w:sz w:val="21"/>
                <w:szCs w:val="21"/>
                <w:vertAlign w:val="baseli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i w:val="0"/>
                <w:iCs w:val="0"/>
                <w:color w:val="auto"/>
                <w:spacing w:val="0"/>
                <w:sz w:val="21"/>
                <w:szCs w:val="21"/>
                <w:vertAlign w:val="baseline"/>
                <w:lang w:val="en-US"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Theme="minorEastAsia" w:hAnsiTheme="minorEastAsia" w:cstheme="minorEastAsia"/>
                <w:i w:val="0"/>
                <w:iCs w:val="0"/>
                <w:color w:val="auto"/>
                <w:spacing w:val="0"/>
                <w:sz w:val="21"/>
                <w:szCs w:val="21"/>
                <w:vertAlign w:val="baseline"/>
                <w:lang w:val="en-US" w:eastAsia="zh-CN"/>
              </w:rPr>
              <w:t xml:space="preserve">有 </w:t>
            </w:r>
            <w:r>
              <w:rPr>
                <w:rFonts w:hint="eastAsia" w:asciiTheme="minorEastAsia" w:hAnsiTheme="minorEastAsia" w:cstheme="minorEastAsia"/>
                <w:b/>
                <w:bCs/>
                <w:i w:val="0"/>
                <w:iCs w:val="0"/>
                <w:color w:val="auto"/>
                <w:spacing w:val="0"/>
                <w:sz w:val="21"/>
                <w:szCs w:val="21"/>
                <w:vertAlign w:val="baseline"/>
                <w:lang w:val="en-US" w:eastAsia="zh-CN"/>
              </w:rPr>
              <w:t>投标人制作电子版投标文件时须保证投标文件中的资料、图片为原件扫描件，须严谨、清晰、完整，如因此原因出现废标、扣分等情况，各投标人自行负责</w:t>
            </w:r>
            <w:r>
              <w:rPr>
                <w:rFonts w:hint="eastAsia" w:asciiTheme="minorEastAsia" w:hAnsiTheme="minorEastAsia" w:cstheme="minorEastAsia"/>
                <w:i w:val="0"/>
                <w:iCs w:val="0"/>
                <w:color w:val="auto"/>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3.5.1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近年财务状况的年份要求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default" w:asciiTheme="minorEastAsia" w:hAnsiTheme="minorEastAsia" w:cstheme="minorEastAsia"/>
                <w:b w:val="0"/>
                <w:bCs w:val="0"/>
                <w:i w:val="0"/>
                <w:iCs w:val="0"/>
                <w:color w:val="auto"/>
                <w:spacing w:val="0"/>
                <w:sz w:val="21"/>
                <w:szCs w:val="21"/>
                <w:vertAlign w:val="baseline"/>
                <w:lang w:val="en-US" w:eastAsia="zh-CN"/>
              </w:rPr>
              <w:t>近</w:t>
            </w:r>
            <w:r>
              <w:rPr>
                <w:rFonts w:hint="eastAsia" w:asciiTheme="minorEastAsia" w:hAnsiTheme="minorEastAsia" w:cstheme="minorEastAsia"/>
                <w:b w:val="0"/>
                <w:bCs w:val="0"/>
                <w:i w:val="0"/>
                <w:iCs w:val="0"/>
                <w:color w:val="auto"/>
                <w:spacing w:val="0"/>
                <w:sz w:val="21"/>
                <w:szCs w:val="21"/>
                <w:vertAlign w:val="baseline"/>
                <w:lang w:val="en-US" w:eastAsia="zh-CN"/>
              </w:rPr>
              <w:t>三</w:t>
            </w:r>
            <w:r>
              <w:rPr>
                <w:rFonts w:hint="default" w:asciiTheme="minorEastAsia" w:hAnsiTheme="minorEastAsia" w:cstheme="minorEastAsia"/>
                <w:b w:val="0"/>
                <w:bCs w:val="0"/>
                <w:i w:val="0"/>
                <w:iCs w:val="0"/>
                <w:color w:val="auto"/>
                <w:spacing w:val="0"/>
                <w:sz w:val="21"/>
                <w:szCs w:val="21"/>
                <w:vertAlign w:val="baseline"/>
                <w:lang w:val="en-US" w:eastAsia="zh-CN"/>
              </w:rPr>
              <w:t>年（201</w:t>
            </w:r>
            <w:r>
              <w:rPr>
                <w:rFonts w:hint="eastAsia" w:asciiTheme="minorEastAsia" w:hAnsiTheme="minorEastAsia" w:cstheme="minorEastAsia"/>
                <w:b w:val="0"/>
                <w:bCs w:val="0"/>
                <w:i w:val="0"/>
                <w:iCs w:val="0"/>
                <w:color w:val="auto"/>
                <w:spacing w:val="0"/>
                <w:sz w:val="21"/>
                <w:szCs w:val="21"/>
                <w:vertAlign w:val="baseline"/>
                <w:lang w:val="en-US" w:eastAsia="zh-CN"/>
              </w:rPr>
              <w:t>9</w:t>
            </w:r>
            <w:r>
              <w:rPr>
                <w:rFonts w:hint="default" w:asciiTheme="minorEastAsia" w:hAnsiTheme="minorEastAsia" w:cstheme="minorEastAsia"/>
                <w:b w:val="0"/>
                <w:bCs w:val="0"/>
                <w:i w:val="0"/>
                <w:iCs w:val="0"/>
                <w:color w:val="auto"/>
                <w:spacing w:val="0"/>
                <w:sz w:val="21"/>
                <w:szCs w:val="21"/>
                <w:vertAlign w:val="baseline"/>
                <w:lang w:val="en-US" w:eastAsia="zh-CN"/>
              </w:rPr>
              <w:t>年度</w:t>
            </w:r>
            <w:r>
              <w:rPr>
                <w:rFonts w:hint="eastAsia" w:asciiTheme="minorEastAsia" w:hAnsiTheme="minorEastAsia" w:cstheme="minorEastAsia"/>
                <w:b w:val="0"/>
                <w:bCs w:val="0"/>
                <w:i w:val="0"/>
                <w:iCs w:val="0"/>
                <w:color w:val="auto"/>
                <w:spacing w:val="0"/>
                <w:sz w:val="21"/>
                <w:szCs w:val="21"/>
                <w:vertAlign w:val="baseline"/>
                <w:lang w:val="en-US" w:eastAsia="zh-CN"/>
              </w:rPr>
              <w:t>、</w:t>
            </w:r>
            <w:r>
              <w:rPr>
                <w:rFonts w:hint="default" w:asciiTheme="minorEastAsia" w:hAnsiTheme="minorEastAsia" w:cstheme="minorEastAsia"/>
                <w:b w:val="0"/>
                <w:bCs w:val="0"/>
                <w:i w:val="0"/>
                <w:iCs w:val="0"/>
                <w:color w:val="auto"/>
                <w:spacing w:val="0"/>
                <w:sz w:val="21"/>
                <w:szCs w:val="21"/>
                <w:vertAlign w:val="baseline"/>
                <w:lang w:val="en-US" w:eastAsia="zh-CN"/>
              </w:rPr>
              <w:t>20</w:t>
            </w:r>
            <w:r>
              <w:rPr>
                <w:rFonts w:hint="eastAsia" w:asciiTheme="minorEastAsia" w:hAnsiTheme="minorEastAsia" w:cstheme="minorEastAsia"/>
                <w:b w:val="0"/>
                <w:bCs w:val="0"/>
                <w:i w:val="0"/>
                <w:iCs w:val="0"/>
                <w:color w:val="auto"/>
                <w:spacing w:val="0"/>
                <w:sz w:val="21"/>
                <w:szCs w:val="21"/>
                <w:vertAlign w:val="baseline"/>
                <w:lang w:val="en-US" w:eastAsia="zh-CN"/>
              </w:rPr>
              <w:t>20</w:t>
            </w:r>
            <w:r>
              <w:rPr>
                <w:rFonts w:hint="default" w:asciiTheme="minorEastAsia" w:hAnsiTheme="minorEastAsia" w:cstheme="minorEastAsia"/>
                <w:b w:val="0"/>
                <w:bCs w:val="0"/>
                <w:i w:val="0"/>
                <w:iCs w:val="0"/>
                <w:color w:val="auto"/>
                <w:spacing w:val="0"/>
                <w:sz w:val="21"/>
                <w:szCs w:val="21"/>
                <w:vertAlign w:val="baseline"/>
                <w:lang w:val="en-US" w:eastAsia="zh-CN"/>
              </w:rPr>
              <w:t>年度</w:t>
            </w:r>
            <w:r>
              <w:rPr>
                <w:rFonts w:hint="eastAsia" w:asciiTheme="minorEastAsia" w:hAnsiTheme="minorEastAsia" w:cstheme="minorEastAsia"/>
                <w:b w:val="0"/>
                <w:bCs w:val="0"/>
                <w:i w:val="0"/>
                <w:iCs w:val="0"/>
                <w:color w:val="auto"/>
                <w:spacing w:val="0"/>
                <w:sz w:val="21"/>
                <w:szCs w:val="21"/>
                <w:vertAlign w:val="baseline"/>
                <w:lang w:val="en-US" w:eastAsia="zh-CN"/>
              </w:rPr>
              <w:t>、</w:t>
            </w:r>
            <w:r>
              <w:rPr>
                <w:rFonts w:hint="default" w:asciiTheme="minorEastAsia" w:hAnsiTheme="minorEastAsia" w:cstheme="minorEastAsia"/>
                <w:b w:val="0"/>
                <w:bCs w:val="0"/>
                <w:i w:val="0"/>
                <w:iCs w:val="0"/>
                <w:color w:val="auto"/>
                <w:spacing w:val="0"/>
                <w:sz w:val="21"/>
                <w:szCs w:val="21"/>
                <w:vertAlign w:val="baseline"/>
                <w:lang w:val="en-US" w:eastAsia="zh-CN"/>
              </w:rPr>
              <w:t>20</w:t>
            </w:r>
            <w:r>
              <w:rPr>
                <w:rFonts w:hint="eastAsia" w:asciiTheme="minorEastAsia" w:hAnsiTheme="minorEastAsia" w:cstheme="minorEastAsia"/>
                <w:b w:val="0"/>
                <w:bCs w:val="0"/>
                <w:i w:val="0"/>
                <w:iCs w:val="0"/>
                <w:color w:val="auto"/>
                <w:spacing w:val="0"/>
                <w:sz w:val="21"/>
                <w:szCs w:val="21"/>
                <w:vertAlign w:val="baseline"/>
                <w:lang w:val="en-US" w:eastAsia="zh-CN"/>
              </w:rPr>
              <w:t>21</w:t>
            </w:r>
            <w:r>
              <w:rPr>
                <w:rFonts w:hint="default" w:asciiTheme="minorEastAsia" w:hAnsiTheme="minorEastAsia" w:cstheme="minorEastAsia"/>
                <w:b w:val="0"/>
                <w:bCs w:val="0"/>
                <w:i w:val="0"/>
                <w:iCs w:val="0"/>
                <w:color w:val="auto"/>
                <w:spacing w:val="0"/>
                <w:sz w:val="21"/>
                <w:szCs w:val="21"/>
                <w:vertAlign w:val="baseline"/>
                <w:lang w:val="en-US" w:eastAsia="zh-CN"/>
              </w:rPr>
              <w:t>年度）</w:t>
            </w:r>
            <w:r>
              <w:rPr>
                <w:rFonts w:hint="eastAsia" w:asciiTheme="minorEastAsia" w:hAnsiTheme="minorEastAsia" w:cstheme="minorEastAsia"/>
                <w:b w:val="0"/>
                <w:bCs w:val="0"/>
                <w:i w:val="0"/>
                <w:iCs w:val="0"/>
                <w:color w:val="auto"/>
                <w:spacing w:val="0"/>
                <w:sz w:val="21"/>
                <w:szCs w:val="21"/>
                <w:vertAlign w:val="baseline"/>
                <w:lang w:val="en-US" w:eastAsia="zh-CN"/>
              </w:rPr>
              <w:t>审计报告</w:t>
            </w:r>
            <w:r>
              <w:rPr>
                <w:rFonts w:hint="default" w:asciiTheme="minorEastAsia" w:hAnsiTheme="minorEastAsia" w:cstheme="minorEastAsia"/>
                <w:b w:val="0"/>
                <w:bCs w:val="0"/>
                <w:i w:val="0"/>
                <w:iCs w:val="0"/>
                <w:color w:val="auto"/>
                <w:spacing w:val="0"/>
                <w:sz w:val="21"/>
                <w:szCs w:val="21"/>
                <w:vertAlign w:val="baseline"/>
                <w:lang w:val="en-US" w:eastAsia="zh-CN"/>
              </w:rPr>
              <w:t>。企业成立不足</w:t>
            </w:r>
            <w:r>
              <w:rPr>
                <w:rFonts w:hint="eastAsia" w:asciiTheme="minorEastAsia" w:hAnsiTheme="minorEastAsia" w:cstheme="minorEastAsia"/>
                <w:b w:val="0"/>
                <w:bCs w:val="0"/>
                <w:i w:val="0"/>
                <w:iCs w:val="0"/>
                <w:color w:val="auto"/>
                <w:spacing w:val="0"/>
                <w:sz w:val="21"/>
                <w:szCs w:val="21"/>
                <w:vertAlign w:val="baseline"/>
                <w:lang w:val="en-US" w:eastAsia="zh-CN"/>
              </w:rPr>
              <w:t>三</w:t>
            </w:r>
            <w:r>
              <w:rPr>
                <w:rFonts w:hint="default" w:asciiTheme="minorEastAsia" w:hAnsiTheme="minorEastAsia" w:cstheme="minorEastAsia"/>
                <w:b w:val="0"/>
                <w:bCs w:val="0"/>
                <w:i w:val="0"/>
                <w:iCs w:val="0"/>
                <w:color w:val="auto"/>
                <w:spacing w:val="0"/>
                <w:sz w:val="21"/>
                <w:szCs w:val="21"/>
                <w:vertAlign w:val="baseline"/>
                <w:lang w:val="en-US" w:eastAsia="zh-CN"/>
              </w:rPr>
              <w:t>年的，需提供企业成立以来的财务报表。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3.5.2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近年完成的类似项目情况的时间要求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u w:val="none"/>
                <w:vertAlign w:val="baseline"/>
                <w:lang w:val="en-US" w:eastAsia="zh-CN"/>
              </w:rPr>
            </w:pPr>
            <w:r>
              <w:rPr>
                <w:rFonts w:hint="default" w:asciiTheme="minorEastAsia" w:hAnsiTheme="minorEastAsia" w:cstheme="minorEastAsia"/>
                <w:b w:val="0"/>
                <w:bCs w:val="0"/>
                <w:i w:val="0"/>
                <w:iCs w:val="0"/>
                <w:color w:val="auto"/>
                <w:spacing w:val="0"/>
                <w:sz w:val="21"/>
                <w:szCs w:val="21"/>
                <w:vertAlign w:val="baseline"/>
                <w:lang w:val="en-US" w:eastAsia="zh-CN"/>
              </w:rPr>
              <w:t>近</w:t>
            </w:r>
            <w:r>
              <w:rPr>
                <w:rFonts w:hint="eastAsia" w:asciiTheme="minorEastAsia" w:hAnsiTheme="minorEastAsia" w:cstheme="minorEastAsia"/>
                <w:b w:val="0"/>
                <w:bCs w:val="0"/>
                <w:i w:val="0"/>
                <w:iCs w:val="0"/>
                <w:color w:val="auto"/>
                <w:spacing w:val="0"/>
                <w:sz w:val="21"/>
                <w:szCs w:val="21"/>
                <w:vertAlign w:val="baseline"/>
                <w:lang w:val="en-US" w:eastAsia="zh-CN"/>
              </w:rPr>
              <w:t>三</w:t>
            </w:r>
            <w:r>
              <w:rPr>
                <w:rFonts w:hint="default" w:asciiTheme="minorEastAsia" w:hAnsiTheme="minorEastAsia" w:cstheme="minorEastAsia"/>
                <w:b w:val="0"/>
                <w:bCs w:val="0"/>
                <w:i w:val="0"/>
                <w:iCs w:val="0"/>
                <w:color w:val="auto"/>
                <w:spacing w:val="0"/>
                <w:sz w:val="21"/>
                <w:szCs w:val="21"/>
                <w:vertAlign w:val="baseline"/>
                <w:lang w:val="en-US" w:eastAsia="zh-CN"/>
              </w:rPr>
              <w:t>年</w:t>
            </w:r>
            <w:r>
              <w:rPr>
                <w:rFonts w:hint="eastAsia" w:asciiTheme="minorEastAsia" w:hAnsiTheme="minorEastAsia" w:cstheme="minorEastAsia"/>
                <w:b w:val="0"/>
                <w:bCs w:val="0"/>
                <w:i w:val="0"/>
                <w:iCs w:val="0"/>
                <w:color w:val="auto"/>
                <w:spacing w:val="0"/>
                <w:sz w:val="21"/>
                <w:szCs w:val="21"/>
                <w:vertAlign w:val="baseline"/>
                <w:lang w:val="en-US" w:eastAsia="zh-CN"/>
              </w:rPr>
              <w:t>（2019年5月-2022年5月）业绩中标通知书或合同原件扫描件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3.5.3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企业信誉要求（无不良行为记录）</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u w:val="none"/>
                <w:vertAlign w:val="baseline"/>
                <w:lang w:val="en-US" w:eastAsia="zh-CN"/>
              </w:rPr>
              <w:t>在“信用中国”网站（www.creditchina.gov.cn）、中国政府采购网（www.ccgp.gov.cn）、国家企业信用信息公示系统（http://www.gsxt.gov.cn）被列入失信被执行人、重大税收违法案件当事人名单、政府采购严重违法失信行为记录名单的（尚在处罚期内的）、有行政处罚记录的、经营异常名录的，将拒绝其参本次政府采购活动；无其他违法违规行为；签署《无重大违法记录声明书》、《诚信投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3.6</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是否</w:t>
            </w:r>
            <w:r>
              <w:rPr>
                <w:rFonts w:hint="eastAsia" w:asciiTheme="minorEastAsia" w:hAnsiTheme="minorEastAsia" w:eastAsiaTheme="minorEastAsia" w:cstheme="minorEastAsia"/>
                <w:i w:val="0"/>
                <w:iCs w:val="0"/>
                <w:color w:val="auto"/>
                <w:spacing w:val="0"/>
                <w:sz w:val="21"/>
                <w:szCs w:val="21"/>
                <w:lang w:val="en-US" w:eastAsia="zh-CN"/>
              </w:rPr>
              <w:t>允许</w:t>
            </w:r>
            <w:r>
              <w:rPr>
                <w:rFonts w:hint="eastAsia" w:asciiTheme="minorEastAsia" w:hAnsiTheme="minorEastAsia" w:cstheme="minorEastAsia"/>
                <w:i w:val="0"/>
                <w:iCs w:val="0"/>
                <w:color w:val="auto"/>
                <w:spacing w:val="0"/>
                <w:sz w:val="21"/>
                <w:szCs w:val="21"/>
                <w:lang w:val="en-US" w:eastAsia="zh-CN"/>
              </w:rPr>
              <w:t>递交备选投标方案</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eastAsiaTheme="minorEastAsia" w:cstheme="minorEastAsia"/>
                <w:i w:val="0"/>
                <w:iCs w:val="0"/>
                <w:color w:val="auto"/>
                <w:spacing w:val="0"/>
                <w:sz w:val="21"/>
                <w:szCs w:val="21"/>
                <w:lang w:val="en-US" w:eastAsia="zh-CN"/>
              </w:rPr>
            </w:pPr>
            <w:r>
              <w:rPr>
                <w:rFonts w:hint="eastAsia" w:asciiTheme="minorEastAsia" w:hAnsiTheme="minorEastAsia" w:eastAsiaTheme="minorEastAsia" w:cstheme="minorEastAsia"/>
                <w:i w:val="0"/>
                <w:iCs w:val="0"/>
                <w:color w:val="auto"/>
                <w:spacing w:val="0"/>
                <w:sz w:val="21"/>
                <w:szCs w:val="21"/>
                <w:vertAlign w:val="baseline"/>
                <w:lang w:eastAsia="zh-CN"/>
              </w:rPr>
              <w:t>□</w:t>
            </w:r>
            <w:r>
              <w:rPr>
                <w:rFonts w:hint="eastAsia" w:asciiTheme="minorEastAsia" w:hAnsiTheme="minorEastAsia" w:eastAsiaTheme="minorEastAsia" w:cstheme="minorEastAsia"/>
                <w:i w:val="0"/>
                <w:iCs w:val="0"/>
                <w:color w:val="auto"/>
                <w:spacing w:val="0"/>
                <w:sz w:val="21"/>
                <w:szCs w:val="21"/>
                <w:lang w:val="en-US" w:eastAsia="zh-CN"/>
              </w:rPr>
              <w:t>允许</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eastAsiaTheme="minorEastAsia" w:cstheme="minorEastAsia"/>
                <w:i w:val="0"/>
                <w:iCs w:val="0"/>
                <w:color w:val="auto"/>
                <w:spacing w:val="0"/>
                <w:sz w:val="21"/>
                <w:szCs w:val="21"/>
                <w:lang w:val="en-US"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Theme="minorEastAsia" w:hAnsiTheme="minorEastAsia" w:cstheme="minorEastAsia"/>
                <w:i w:val="0"/>
                <w:iCs w:val="0"/>
                <w:color w:val="auto"/>
                <w:spacing w:val="0"/>
                <w:sz w:val="21"/>
                <w:szCs w:val="21"/>
                <w:vertAlign w:val="baseline"/>
                <w:lang w:val="en-US" w:eastAsia="zh-CN"/>
              </w:rPr>
              <w:t>不</w:t>
            </w:r>
            <w:r>
              <w:rPr>
                <w:rFonts w:hint="eastAsia" w:asciiTheme="minorEastAsia" w:hAnsiTheme="minorEastAsia" w:eastAsiaTheme="minorEastAsia" w:cstheme="minorEastAsia"/>
                <w:i w:val="0"/>
                <w:iCs w:val="0"/>
                <w:color w:val="auto"/>
                <w:spacing w:val="0"/>
                <w:sz w:val="21"/>
                <w:szCs w:val="21"/>
                <w:lang w:val="en-US" w:eastAsia="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3.7.1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投标文件副本份数及其他要求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本项目拟采用政采云不见面开标系统进行开评标，不对纸质版文件进行要求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3.7.2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投标文件是否需分册装订</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3.7.3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投标文件签字或盖章要求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i w:val="0"/>
                <w:iCs w:val="0"/>
                <w:color w:val="auto"/>
                <w:spacing w:val="0"/>
                <w:sz w:val="21"/>
                <w:szCs w:val="21"/>
                <w:vertAlign w:val="baseline"/>
                <w:lang w:val="en-US" w:eastAsia="zh-CN"/>
              </w:rPr>
            </w:pPr>
            <w:r>
              <w:rPr>
                <w:rFonts w:hint="eastAsia" w:asciiTheme="minorEastAsia" w:hAnsiTheme="minorEastAsia" w:cstheme="minorEastAsia"/>
                <w:i w:val="0"/>
                <w:iCs w:val="0"/>
                <w:color w:val="auto"/>
                <w:spacing w:val="0"/>
                <w:sz w:val="21"/>
                <w:szCs w:val="21"/>
                <w:vertAlign w:val="baseline"/>
                <w:lang w:val="en-US" w:eastAsia="zh-CN"/>
              </w:rPr>
              <w:t>企业公章</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i w:val="0"/>
                <w:iCs w:val="0"/>
                <w:color w:val="auto"/>
                <w:spacing w:val="0"/>
                <w:sz w:val="21"/>
                <w:szCs w:val="21"/>
                <w:vertAlign w:val="baseline"/>
                <w:lang w:val="en-US" w:eastAsia="zh-CN"/>
              </w:rPr>
            </w:pPr>
            <w:r>
              <w:rPr>
                <w:rFonts w:hint="eastAsia" w:asciiTheme="minorEastAsia" w:hAnsiTheme="minorEastAsia" w:cstheme="minorEastAsia"/>
                <w:i w:val="0"/>
                <w:iCs w:val="0"/>
                <w:color w:val="auto"/>
                <w:spacing w:val="0"/>
                <w:sz w:val="21"/>
                <w:szCs w:val="21"/>
                <w:vertAlign w:val="baseline"/>
                <w:lang w:val="en-US" w:eastAsia="zh-CN"/>
              </w:rPr>
              <w:t>企业法定代表人签字及授权委托人签字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i w:val="0"/>
                <w:iCs w:val="0"/>
                <w:color w:val="auto"/>
                <w:lang w:val="en-US" w:eastAsia="zh-CN"/>
              </w:rPr>
            </w:pPr>
            <w:r>
              <w:rPr>
                <w:rFonts w:hint="eastAsia" w:asciiTheme="minorEastAsia" w:hAnsiTheme="minorEastAsia" w:cstheme="minorEastAsia"/>
                <w:i w:val="0"/>
                <w:iCs w:val="0"/>
                <w:color w:val="auto"/>
                <w:spacing w:val="0"/>
                <w:sz w:val="21"/>
                <w:szCs w:val="21"/>
                <w:vertAlign w:val="baseline"/>
                <w:lang w:val="en-US" w:eastAsia="zh-CN"/>
              </w:rPr>
              <w:t>投标文件须逐页加盖企业公章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3.8</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投标文件密封要求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本项目拟采用政采云不见面开标系统进行开评标，投标人制作电子投标文件时须进行加密。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3.9</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封套上应载明的信息</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4</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投标截止时间</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详见新疆政府采购网及阿克苏政府网本项目采购公告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4.1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递交投标文件地点</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新疆政府采购网政采云不见面开标系统</w:t>
            </w:r>
            <w:bookmarkStart w:id="189" w:name="_GoBack"/>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4.2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投标文件是否退还</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i w:val="0"/>
                <w:iCs w:val="0"/>
                <w:color w:val="auto"/>
                <w:spacing w:val="0"/>
                <w:sz w:val="21"/>
                <w:szCs w:val="21"/>
                <w:lang w:val="en-US"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Theme="minorEastAsia" w:hAnsiTheme="minorEastAsia" w:cstheme="minorEastAsia"/>
                <w:i w:val="0"/>
                <w:iCs w:val="0"/>
                <w:color w:val="auto"/>
                <w:spacing w:val="0"/>
                <w:sz w:val="21"/>
                <w:szCs w:val="21"/>
                <w:vertAlign w:val="baseli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eastAsiaTheme="minorEastAsia" w:cstheme="minorEastAsia"/>
                <w:i w:val="0"/>
                <w:iCs w:val="0"/>
                <w:color w:val="auto"/>
                <w:spacing w:val="0"/>
                <w:sz w:val="21"/>
                <w:szCs w:val="21"/>
                <w:vertAlign w:val="baseline"/>
                <w:lang w:eastAsia="zh-CN"/>
              </w:rPr>
              <w:t>□</w:t>
            </w:r>
            <w:r>
              <w:rPr>
                <w:rFonts w:hint="eastAsia" w:asciiTheme="minorEastAsia" w:hAnsiTheme="minorEastAsia" w:cstheme="minorEastAsia"/>
                <w:i w:val="0"/>
                <w:iCs w:val="0"/>
                <w:color w:val="auto"/>
                <w:spacing w:val="0"/>
                <w:sz w:val="21"/>
                <w:szCs w:val="21"/>
                <w:vertAlign w:val="baseline"/>
                <w:lang w:val="en-US" w:eastAsia="zh-CN"/>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5</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开标时间和地点</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开标时间</w:t>
            </w:r>
            <w:r>
              <w:rPr>
                <w:rFonts w:hint="eastAsia" w:asciiTheme="minorEastAsia" w:hAnsiTheme="minorEastAsia" w:cstheme="minorEastAsia"/>
                <w:b w:val="0"/>
                <w:bCs w:val="0"/>
                <w:i w:val="0"/>
                <w:iCs w:val="0"/>
                <w:color w:val="000000" w:themeColor="text1"/>
                <w:spacing w:val="0"/>
                <w:sz w:val="21"/>
                <w:szCs w:val="21"/>
                <w:vertAlign w:val="baseline"/>
                <w:lang w:val="en-US" w:eastAsia="zh-CN"/>
                <w14:textFill>
                  <w14:solidFill>
                    <w14:schemeClr w14:val="tx1"/>
                  </w14:solidFill>
                </w14:textFill>
              </w:rPr>
              <w:t>：</w:t>
            </w:r>
            <w:r>
              <w:rPr>
                <w:rFonts w:hint="eastAsia" w:asciiTheme="minorEastAsia" w:hAnsiTheme="minorEastAsia" w:cstheme="minorEastAsia"/>
                <w:b/>
                <w:bCs/>
                <w:i w:val="0"/>
                <w:iCs w:val="0"/>
                <w:color w:val="auto"/>
                <w:spacing w:val="0"/>
                <w:sz w:val="21"/>
                <w:szCs w:val="21"/>
                <w:u w:val="single"/>
                <w:vertAlign w:val="baseline"/>
                <w:lang w:val="en-US" w:eastAsia="zh-CN"/>
              </w:rPr>
              <w:t>2022年5月26日 10:30</w:t>
            </w:r>
            <w:r>
              <w:rPr>
                <w:rFonts w:hint="eastAsia" w:asciiTheme="minorEastAsia" w:hAnsiTheme="minorEastAsia" w:cstheme="minorEastAsia"/>
                <w:b w:val="0"/>
                <w:bCs w:val="0"/>
                <w:i w:val="0"/>
                <w:iCs w:val="0"/>
                <w:color w:val="auto"/>
                <w:spacing w:val="0"/>
                <w:sz w:val="21"/>
                <w:szCs w:val="21"/>
                <w:vertAlign w:val="baseline"/>
                <w:lang w:val="en-US" w:eastAsia="zh-CN"/>
              </w:rPr>
              <w:t>（同投标截止时间</w:t>
            </w:r>
            <w:r>
              <w:rPr>
                <w:rFonts w:hint="eastAsia" w:asciiTheme="minorEastAsia" w:hAnsiTheme="minorEastAsia" w:cstheme="minorEastAsia"/>
                <w:b w:val="0"/>
                <w:bCs w:val="0"/>
                <w:i w:val="0"/>
                <w:iCs w:val="0"/>
                <w:color w:val="auto"/>
                <w:spacing w:val="0"/>
                <w:sz w:val="21"/>
                <w:szCs w:val="21"/>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开标地点：新疆政府采购网政采云不见面开标系统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6.1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评标委员会的组建</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none"/>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评标委员会构成：</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3  </w:t>
            </w:r>
            <w:r>
              <w:rPr>
                <w:rFonts w:hint="eastAsia" w:asciiTheme="minorEastAsia" w:hAnsiTheme="minorEastAsia" w:cstheme="minorEastAsia"/>
                <w:b w:val="0"/>
                <w:bCs w:val="0"/>
                <w:i w:val="0"/>
                <w:iCs w:val="0"/>
                <w:color w:val="auto"/>
                <w:spacing w:val="0"/>
                <w:sz w:val="21"/>
                <w:szCs w:val="21"/>
                <w:u w:val="none"/>
                <w:vertAlign w:val="baseline"/>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none"/>
                <w:vertAlign w:val="baseline"/>
                <w:lang w:val="en-US" w:eastAsia="zh-CN"/>
              </w:rPr>
            </w:pPr>
            <w:r>
              <w:rPr>
                <w:rFonts w:hint="eastAsia" w:asciiTheme="minorEastAsia" w:hAnsiTheme="minorEastAsia" w:cstheme="minorEastAsia"/>
                <w:b w:val="0"/>
                <w:bCs w:val="0"/>
                <w:i w:val="0"/>
                <w:iCs w:val="0"/>
                <w:color w:val="auto"/>
                <w:spacing w:val="0"/>
                <w:sz w:val="21"/>
                <w:szCs w:val="21"/>
                <w:u w:val="none"/>
                <w:vertAlign w:val="baseline"/>
                <w:lang w:val="en-US" w:eastAsia="zh-CN"/>
              </w:rPr>
              <w:t>其中招标人代表</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0  </w:t>
            </w:r>
            <w:r>
              <w:rPr>
                <w:rFonts w:hint="eastAsia" w:asciiTheme="minorEastAsia" w:hAnsiTheme="minorEastAsia" w:cstheme="minorEastAsia"/>
                <w:b w:val="0"/>
                <w:bCs w:val="0"/>
                <w:i w:val="0"/>
                <w:iCs w:val="0"/>
                <w:color w:val="auto"/>
                <w:spacing w:val="0"/>
                <w:sz w:val="21"/>
                <w:szCs w:val="21"/>
                <w:u w:val="none"/>
                <w:vertAlign w:val="baseline"/>
                <w:lang w:val="en-US" w:eastAsia="zh-CN"/>
              </w:rPr>
              <w:t>人，专家</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3  </w:t>
            </w:r>
            <w:r>
              <w:rPr>
                <w:rFonts w:hint="eastAsia" w:asciiTheme="minorEastAsia" w:hAnsiTheme="minorEastAsia" w:cstheme="minorEastAsia"/>
                <w:b w:val="0"/>
                <w:bCs w:val="0"/>
                <w:i w:val="0"/>
                <w:iCs w:val="0"/>
                <w:color w:val="auto"/>
                <w:spacing w:val="0"/>
                <w:sz w:val="21"/>
                <w:szCs w:val="21"/>
                <w:u w:val="none"/>
                <w:vertAlign w:val="baseline"/>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none"/>
                <w:vertAlign w:val="baseline"/>
                <w:lang w:val="en-US" w:eastAsia="zh-CN"/>
              </w:rPr>
            </w:pPr>
            <w:r>
              <w:rPr>
                <w:rFonts w:hint="eastAsia" w:asciiTheme="minorEastAsia" w:hAnsiTheme="minorEastAsia" w:cstheme="minorEastAsia"/>
                <w:b w:val="0"/>
                <w:bCs w:val="0"/>
                <w:i w:val="0"/>
                <w:iCs w:val="0"/>
                <w:color w:val="auto"/>
                <w:spacing w:val="0"/>
                <w:sz w:val="21"/>
                <w:szCs w:val="21"/>
                <w:u w:val="none"/>
                <w:vertAlign w:val="baseline"/>
                <w:lang w:val="en-US" w:eastAsia="zh-CN"/>
              </w:rPr>
              <w:t>评标专家确定方式：随机抽取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6.2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评标委员会推荐中标候</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选人的人数</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u w:val="single"/>
                <w:vertAlign w:val="baseline"/>
                <w:lang w:val="en-US" w:eastAsia="zh-CN"/>
              </w:rPr>
              <w:t>3</w:t>
            </w:r>
            <w:r>
              <w:rPr>
                <w:rFonts w:hint="eastAsia" w:asciiTheme="minorEastAsia" w:hAnsiTheme="minorEastAsia" w:cstheme="minorEastAsia"/>
                <w:b w:val="0"/>
                <w:bCs w:val="0"/>
                <w:i w:val="0"/>
                <w:iCs w:val="0"/>
                <w:color w:val="auto"/>
                <w:spacing w:val="0"/>
                <w:sz w:val="21"/>
                <w:szCs w:val="21"/>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7.1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中标候选人公示媒介及期限</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公示媒介：新疆政府采购网及阿克苏政府网</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公示期限</w:t>
            </w:r>
            <w:r>
              <w:rPr>
                <w:rFonts w:hint="eastAsia" w:asciiTheme="minorEastAsia" w:hAnsiTheme="minorEastAsia" w:cstheme="minorEastAsia"/>
                <w:b w:val="0"/>
                <w:bCs w:val="0"/>
                <w:i w:val="0"/>
                <w:iCs w:val="0"/>
                <w:color w:val="auto"/>
                <w:spacing w:val="0"/>
                <w:sz w:val="21"/>
                <w:szCs w:val="21"/>
                <w:u w:val="none"/>
                <w:vertAlign w:val="baseline"/>
                <w:lang w:val="en-US" w:eastAsia="zh-CN"/>
              </w:rPr>
              <w:t>：</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1  </w:t>
            </w:r>
            <w:r>
              <w:rPr>
                <w:rFonts w:hint="eastAsia" w:asciiTheme="minorEastAsia" w:hAnsiTheme="minorEastAsia" w:cstheme="minorEastAsia"/>
                <w:b w:val="0"/>
                <w:bCs w:val="0"/>
                <w:i w:val="0"/>
                <w:iCs w:val="0"/>
                <w:color w:val="auto"/>
                <w:spacing w:val="0"/>
                <w:sz w:val="21"/>
                <w:szCs w:val="21"/>
                <w:u w:val="none"/>
                <w:vertAlign w:val="baseline"/>
                <w:lang w:val="en-US" w:eastAsia="zh-CN"/>
              </w:rPr>
              <w:t>工作</w:t>
            </w:r>
            <w:r>
              <w:rPr>
                <w:rFonts w:hint="eastAsia" w:asciiTheme="minorEastAsia" w:hAnsiTheme="minorEastAsia" w:cstheme="minorEastAsia"/>
                <w:b w:val="0"/>
                <w:bCs w:val="0"/>
                <w:i w:val="0"/>
                <w:iCs w:val="0"/>
                <w:color w:val="auto"/>
                <w:spacing w:val="0"/>
                <w:sz w:val="21"/>
                <w:szCs w:val="21"/>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7.2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是否授权评标委员会确定中标人</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i w:val="0"/>
                <w:iCs w:val="0"/>
                <w:color w:val="auto"/>
                <w:spacing w:val="0"/>
                <w:sz w:val="21"/>
                <w:szCs w:val="21"/>
                <w:lang w:val="en-US"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Theme="minorEastAsia" w:hAnsiTheme="minorEastAsia" w:cstheme="minorEastAsia"/>
                <w:i w:val="0"/>
                <w:iCs w:val="0"/>
                <w:color w:val="auto"/>
                <w:spacing w:val="0"/>
                <w:sz w:val="21"/>
                <w:szCs w:val="21"/>
                <w:vertAlign w:val="baseli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rFonts w:hint="eastAsia"/>
                <w:i w:val="0"/>
                <w:iCs w:val="0"/>
                <w:color w:val="auto"/>
                <w:szCs w:val="21"/>
                <w:lang w:eastAsia="zh-CN"/>
              </w:rPr>
              <w:instrText xml:space="preserve">,</w:instrText>
            </w:r>
            <w:r>
              <w:rPr>
                <w:rFonts w:hint="eastAsia"/>
                <w:i w:val="0"/>
                <w:iCs w:val="0"/>
                <w:color w:val="auto"/>
                <w:position w:val="2"/>
                <w:sz w:val="13"/>
                <w:szCs w:val="21"/>
                <w:lang w:eastAsia="zh-CN"/>
              </w:rPr>
              <w:instrText xml:space="preserve">√</w:instrText>
            </w:r>
            <w:r>
              <w:rPr>
                <w:rFonts w:hint="eastAsia"/>
                <w:i w:val="0"/>
                <w:iCs w:val="0"/>
                <w:color w:val="auto"/>
                <w:szCs w:val="21"/>
              </w:rPr>
              <w:instrText xml:space="preserve">)</w:instrText>
            </w:r>
            <w:r>
              <w:rPr>
                <w:i w:val="0"/>
                <w:iCs w:val="0"/>
                <w:color w:val="auto"/>
                <w:szCs w:val="21"/>
              </w:rPr>
              <w:fldChar w:fldCharType="end"/>
            </w:r>
            <w:r>
              <w:rPr>
                <w:rFonts w:hint="eastAsia" w:asciiTheme="minorEastAsia" w:hAnsiTheme="minorEastAsia" w:cstheme="minorEastAsia"/>
                <w:i w:val="0"/>
                <w:iCs w:val="0"/>
                <w:color w:val="auto"/>
                <w:spacing w:val="0"/>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8</w:t>
            </w:r>
          </w:p>
        </w:tc>
        <w:tc>
          <w:tcPr>
            <w:tcW w:w="254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需要补充的其他内容</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本项目采用新疆政府采购网政采云不见面开标系统进行开评标，各合格投标人须及时办理CA锁，不见面开标系统中上传的投标文件须进行CA加密上传。各投标人须在开标时及时对所上传投标文件进行解密；投标人在制作投标文件时须关联相关评审点，如因此原因出现废标、扣分等情况，各投标人自行负责</w:t>
            </w:r>
            <w:r>
              <w:rPr>
                <w:rFonts w:hint="eastAsia" w:asciiTheme="minorEastAsia" w:hAnsiTheme="minorEastAsia" w:cstheme="minorEastAsia"/>
                <w:i w:val="0"/>
                <w:iCs w:val="0"/>
                <w:color w:val="auto"/>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p>
        </w:tc>
        <w:tc>
          <w:tcPr>
            <w:tcW w:w="254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本项目招标文件所有开、评标时间均以新疆政府采购网及阿克苏政府网本项目招标公告时间为准，如有异议请及时联系招标代理公司。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9</w:t>
            </w:r>
          </w:p>
        </w:tc>
        <w:tc>
          <w:tcPr>
            <w:tcW w:w="2548" w:type="dxa"/>
            <w:vAlign w:val="center"/>
          </w:tcPr>
          <w:p>
            <w:pPr>
              <w:adjustRightInd w:val="0"/>
              <w:snapToGrid w:val="0"/>
              <w:spacing w:beforeLines="50" w:line="360" w:lineRule="auto"/>
              <w:jc w:val="center"/>
              <w:rPr>
                <w:rFonts w:hint="default" w:ascii="宋体" w:hAnsi="宋体" w:eastAsia="宋体" w:cs="Times New Roman"/>
                <w:b w:val="0"/>
                <w:bCs w:val="0"/>
                <w:i w:val="0"/>
                <w:iCs w:val="0"/>
                <w:color w:val="auto"/>
                <w:spacing w:val="15"/>
                <w:kern w:val="2"/>
                <w:sz w:val="21"/>
                <w:szCs w:val="21"/>
                <w:highlight w:val="white"/>
                <w:lang w:val="en-US" w:eastAsia="zh-CN" w:bidi="ar-SA"/>
              </w:rPr>
            </w:pPr>
            <w:r>
              <w:rPr>
                <w:rFonts w:hint="eastAsia" w:ascii="宋体" w:hAnsi="宋体" w:eastAsia="宋体"/>
                <w:b w:val="0"/>
                <w:bCs w:val="0"/>
                <w:i w:val="0"/>
                <w:iCs w:val="0"/>
                <w:color w:val="auto"/>
                <w:szCs w:val="21"/>
                <w:highlight w:val="white"/>
                <w:lang w:val="en-US" w:eastAsia="zh-CN"/>
              </w:rPr>
              <w:t>政策优惠</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中</w:t>
            </w:r>
            <w:bookmarkStart w:id="9" w:name="_Hlk27738727"/>
            <w:r>
              <w:rPr>
                <w:rFonts w:hint="eastAsia" w:ascii="宋体" w:hAnsi="宋体" w:cs="宋体"/>
                <w:b/>
                <w:bCs/>
                <w:i w:val="0"/>
                <w:iCs w:val="0"/>
                <w:color w:val="auto"/>
                <w:spacing w:val="0"/>
                <w:sz w:val="21"/>
                <w:szCs w:val="21"/>
                <w:vertAlign w:val="baseline"/>
                <w:lang w:val="en-US" w:eastAsia="zh-CN"/>
              </w:rPr>
              <w:t>型、小型、微型企业：</w:t>
            </w:r>
            <w:r>
              <w:rPr>
                <w:rFonts w:hint="eastAsia" w:ascii="宋体" w:hAnsi="宋体" w:cs="宋体"/>
                <w:b w:val="0"/>
                <w:bCs w:val="0"/>
                <w:i w:val="0"/>
                <w:iCs w:val="0"/>
                <w:color w:val="auto"/>
                <w:spacing w:val="0"/>
                <w:sz w:val="21"/>
                <w:szCs w:val="21"/>
                <w:vertAlign w:val="baseline"/>
                <w:lang w:val="en-US" w:eastAsia="zh-CN"/>
              </w:rPr>
              <w:t>根据《政府采购促进中小企业发展管理办法》（财库﹝2020﹞46 号）的规定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（1）中小企业（含中型、小型、微型企业，下同）单独参加本项目的投标：</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①提供中型企业生产的产品，给予6%的价格扣除，用扣除后的价格参与评审。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②提供小型企业生产的产品，给予8%的价格扣除，用扣除后的价格参与评审。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③提供微型企业生产的产品，给予10%的价格扣除，用扣除后的价格参与评审。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（2）参加本次采购活动的中小企业，应当在询价响应文件中提供有效的《中小企业声明函》，并对其真实性负责。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3）大中型企业和其他自然人、法人或者其他组织与小型、微型企业组成联合体共同参加本项目投标，凡联合协议中约定，小型、微型企业的协议合同金额占到联合体协议合同总金额30%以上的，给予联合体2%的价格扣除；联合体各方均为小型企业的，联合体视同为小型企业；联合体各方均为微型企业的，联合体视同为微型企业</w:t>
            </w:r>
            <w:bookmarkEnd w:id="9"/>
            <w:r>
              <w:rPr>
                <w:rFonts w:hint="eastAsia" w:ascii="宋体" w:hAnsi="宋体" w:cs="宋体"/>
                <w:b w:val="0"/>
                <w:bCs w:val="0"/>
                <w:i w:val="0"/>
                <w:iCs w:val="0"/>
                <w:color w:val="auto"/>
                <w:spacing w:val="0"/>
                <w:sz w:val="21"/>
                <w:szCs w:val="21"/>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监狱企业：</w:t>
            </w:r>
            <w:r>
              <w:rPr>
                <w:rFonts w:hint="eastAsia" w:ascii="宋体" w:hAnsi="宋体" w:cs="宋体"/>
                <w:b w:val="0"/>
                <w:bCs w:val="0"/>
                <w:i w:val="0"/>
                <w:iCs w:val="0"/>
                <w:color w:val="auto"/>
                <w:spacing w:val="0"/>
                <w:sz w:val="21"/>
                <w:szCs w:val="21"/>
                <w:vertAlign w:val="baseline"/>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戒毒隔离所、戒毒康复所，以及新疆生产建设兵团监狱管理局、戒毒管理局的企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监狱企业视同微型企业。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（1）监狱企业参加本项目的投标，视同微型企业投标，提供本单位生产的产品享受8%价格扣除。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（2）参加本次采购活动的监狱企业，应当在响应文件中提供由省级以上监狱管理局、戒毒管理局（含新疆建设生产兵团）出具的属于监狱企业的证明文件，不再提供《中小企业声明函》，不重复享受政策。</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残疾人福利性单位：</w:t>
            </w:r>
            <w:r>
              <w:rPr>
                <w:rFonts w:hint="eastAsia" w:ascii="宋体" w:hAnsi="宋体" w:cs="宋体"/>
                <w:b w:val="0"/>
                <w:bCs w:val="0"/>
                <w:i w:val="0"/>
                <w:iCs w:val="0"/>
                <w:color w:val="auto"/>
                <w:spacing w:val="0"/>
                <w:sz w:val="21"/>
                <w:szCs w:val="21"/>
                <w:vertAlign w:val="baseline"/>
                <w:lang w:val="en-US" w:eastAsia="zh-CN"/>
              </w:rPr>
              <w:t>根据财政部  民政部《中国残疾人联合会关于促进残疾人就业政府采购政策的通知》（财库【2017】141号）的规定。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（1）残疾人福利性单位参加本项目的投标，视同小型、微型企业投标，提供本单位生产的产品享受8%的价格扣除。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（2）参加本次采购活动的残疾人福利性单位，应当在询价响应文件中提供由141号文规定的《残疾人福利性单位声明函》，不再提供《中小企业声明函》，不重复享受政策。</w:t>
            </w:r>
          </w:p>
          <w:p>
            <w:pPr>
              <w:widowControl/>
              <w:shd w:val="clear" w:color="auto" w:fill="FFFFFF"/>
              <w:jc w:val="left"/>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节能及环境标志产品：</w:t>
            </w:r>
            <w:r>
              <w:rPr>
                <w:rFonts w:hint="eastAsia" w:ascii="宋体" w:hAnsi="宋体" w:cs="宋体"/>
                <w:b w:val="0"/>
                <w:bCs w:val="0"/>
                <w:i w:val="0"/>
                <w:iCs w:val="0"/>
                <w:color w:val="auto"/>
                <w:spacing w:val="0"/>
                <w:sz w:val="21"/>
                <w:szCs w:val="21"/>
                <w:vertAlign w:val="baseline"/>
                <w:lang w:val="en-US" w:eastAsia="zh-CN"/>
              </w:rPr>
              <w:t>（一）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pPr>
              <w:widowControl/>
              <w:shd w:val="clear" w:color="auto" w:fill="FFFFFF"/>
              <w:jc w:val="left"/>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二）“节能产品”系指列入财政部、国家发改委最新公布《节能产品政府采购清单》的产品；“环境标志产品”系指列入财政部、环保部最新公布的《环境标志政府采购清单》的产品。同一合同包内的节能、环境标志、政府采购产品部分价格扣除只对属于清单内的非强制类产品进行价格扣除，强制类产品已作为投标时强制性要求不再给予价格扣除。若节能、环境标志清单内的产品仅是构成投标产品的部件、组件或零件的，则该投标产品不予价格扣除。</w:t>
            </w:r>
          </w:p>
          <w:p>
            <w:pPr>
              <w:widowControl/>
              <w:shd w:val="clear" w:color="auto" w:fill="FFFFFF"/>
              <w:jc w:val="left"/>
              <w:rPr>
                <w:rFonts w:hint="eastAsia" w:ascii="宋体" w:hAnsi="宋体" w:eastAsia="宋体" w:cs="宋体"/>
                <w:b w:val="0"/>
                <w:bCs w:val="0"/>
                <w:i w:val="0"/>
                <w:iCs w:val="0"/>
                <w:color w:val="auto"/>
                <w:spacing w:val="15"/>
                <w:kern w:val="0"/>
                <w:sz w:val="21"/>
                <w:szCs w:val="21"/>
                <w:lang w:val="en-US" w:eastAsia="zh-CN" w:bidi="ar-SA"/>
              </w:rPr>
            </w:pPr>
            <w:r>
              <w:rPr>
                <w:rFonts w:hint="eastAsia" w:ascii="宋体" w:hAnsi="宋体" w:cs="宋体"/>
                <w:b/>
                <w:bCs/>
                <w:i w:val="0"/>
                <w:iCs w:val="0"/>
                <w:color w:val="auto"/>
                <w:spacing w:val="0"/>
                <w:sz w:val="21"/>
                <w:szCs w:val="21"/>
                <w:vertAlign w:val="baseline"/>
                <w:lang w:val="en-US" w:eastAsia="zh-CN"/>
              </w:rPr>
              <w:t>价格项扣除：对于节能清单部分产品，环境清单部分产品的价格给予3%的扣除，用扣除后的价格参加评审。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10</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招标代理服务收费标准</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根据国家发展和改革委员会办公室“发改办价格[2015]299号”文规定，本项目向中标人收取中标服务费。以上费用请各投标人考虑到成本费用中，由中标单位在领取中标通知书时一次性支付给代理公司。（若通过银行汇款交纳的，须由投标人的帐户汇入）。中标服务费按差额定率累进法计算收取。收费标准如下表所列：</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中标金额</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100万以下</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100-500万</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500-1000万</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0.45%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bookmarkStart w:id="10" w:name="_Toc3741"/>
            <w:r>
              <w:rPr>
                <w:rFonts w:hint="eastAsia" w:asciiTheme="minorEastAsia" w:hAnsiTheme="minorEastAsia" w:cstheme="minorEastAsia"/>
                <w:b w:val="0"/>
                <w:bCs w:val="0"/>
                <w:i w:val="0"/>
                <w:iCs w:val="0"/>
                <w:color w:val="auto"/>
                <w:spacing w:val="0"/>
                <w:sz w:val="21"/>
                <w:szCs w:val="21"/>
                <w:vertAlign w:val="baseline"/>
                <w:lang w:val="en-US" w:eastAsia="zh-CN"/>
              </w:rPr>
              <w:t>11</w:t>
            </w:r>
          </w:p>
        </w:tc>
        <w:tc>
          <w:tcPr>
            <w:tcW w:w="2548" w:type="dxa"/>
            <w:vAlign w:val="top"/>
          </w:tcPr>
          <w:p>
            <w:pPr>
              <w:pStyle w:val="47"/>
              <w:rPr>
                <w:b/>
                <w:sz w:val="24"/>
              </w:rPr>
            </w:pPr>
          </w:p>
          <w:p>
            <w:pPr>
              <w:pStyle w:val="47"/>
              <w:spacing w:before="12"/>
              <w:rPr>
                <w:b/>
                <w:sz w:val="28"/>
              </w:rPr>
            </w:pPr>
          </w:p>
          <w:p>
            <w:pPr>
              <w:pStyle w:val="47"/>
              <w:ind w:left="117" w:leftChars="0" w:right="149" w:rightChars="0"/>
              <w:jc w:val="center"/>
              <w:rPr>
                <w:rFonts w:hint="eastAsia" w:asciiTheme="minorEastAsia" w:hAnsiTheme="minorEastAsia" w:cstheme="minorEastAsia"/>
                <w:b/>
                <w:bCs/>
                <w:i w:val="0"/>
                <w:iCs w:val="0"/>
                <w:color w:val="auto"/>
                <w:spacing w:val="0"/>
                <w:sz w:val="21"/>
                <w:szCs w:val="21"/>
                <w:vertAlign w:val="baseline"/>
                <w:lang w:val="en-US" w:eastAsia="zh-CN"/>
              </w:rPr>
            </w:pPr>
            <w:r>
              <w:rPr>
                <w:sz w:val="24"/>
              </w:rPr>
              <w:t>进场交易费</w:t>
            </w:r>
          </w:p>
        </w:tc>
        <w:tc>
          <w:tcPr>
            <w:tcW w:w="60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投标人进入招标投标交易场所投标，应当按照新发改医价[2012]832 号文规定向提供场地、设施及服务的交易场所经营机构交纳场地及设施服务费，当参加项目（或标段）的投标单位多于 6家时，所需缴纳的场地服务费为：6000 元/参标单位个数。</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eastAsia="宋体"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进场交易费形式为：微信或支付宝。</w:t>
            </w:r>
          </w:p>
        </w:tc>
      </w:tr>
    </w:tbl>
    <w:p>
      <w:pPr>
        <w:spacing w:before="73"/>
        <w:ind w:right="0"/>
        <w:jc w:val="both"/>
        <w:rPr>
          <w:rFonts w:hint="eastAsia" w:ascii="黑体" w:hAnsi="黑体" w:eastAsia="黑体" w:cs="黑体"/>
          <w:b/>
          <w:bCs/>
          <w:i w:val="0"/>
          <w:iCs w:val="0"/>
          <w:color w:val="auto"/>
          <w:spacing w:val="0"/>
          <w:sz w:val="32"/>
          <w:szCs w:val="32"/>
          <w:lang w:val="en-US" w:eastAsia="zh-CN"/>
        </w:rPr>
      </w:pPr>
      <w:r>
        <w:rPr>
          <w:b/>
          <w:color w:val="FF0000"/>
          <w:sz w:val="21"/>
          <w:szCs w:val="21"/>
        </w:rPr>
        <w:t>备注：如招标文件正文部分与投标须知内容不一致，以投标须知内容为准</w:t>
      </w:r>
      <w:r>
        <w:rPr>
          <w:rFonts w:hint="eastAsia"/>
          <w:b/>
          <w:color w:val="FF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bookmarkStart w:id="11" w:name="_Toc1130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pStyle w:val="14"/>
        <w:rPr>
          <w:rFonts w:hint="eastAsia" w:ascii="黑体" w:hAnsi="黑体" w:eastAsia="黑体" w:cs="黑体"/>
          <w:b/>
          <w:bCs/>
          <w:i w:val="0"/>
          <w:iCs w:val="0"/>
          <w:color w:val="auto"/>
          <w:spacing w:val="0"/>
          <w:sz w:val="32"/>
          <w:szCs w:val="32"/>
          <w:lang w:val="en-US" w:eastAsia="zh-CN"/>
        </w:rPr>
      </w:pPr>
    </w:p>
    <w:p>
      <w:pPr>
        <w:pStyle w:val="14"/>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pStyle w:val="14"/>
        <w:rPr>
          <w:rFonts w:hint="eastAsia" w:ascii="黑体" w:hAnsi="黑体" w:eastAsia="黑体" w:cs="黑体"/>
          <w:b/>
          <w:bCs/>
          <w:i w:val="0"/>
          <w:iCs w:val="0"/>
          <w:color w:val="auto"/>
          <w:spacing w:val="0"/>
          <w:sz w:val="32"/>
          <w:szCs w:val="32"/>
          <w:lang w:val="en-US" w:eastAsia="zh-CN"/>
        </w:rPr>
      </w:pPr>
    </w:p>
    <w:p>
      <w:pPr>
        <w:pStyle w:val="14"/>
        <w:rPr>
          <w:rFonts w:hint="eastAsia" w:ascii="黑体" w:hAnsi="黑体" w:eastAsia="黑体" w:cs="黑体"/>
          <w:b/>
          <w:bCs/>
          <w:i w:val="0"/>
          <w:iCs w:val="0"/>
          <w:color w:val="auto"/>
          <w:spacing w:val="0"/>
          <w:sz w:val="32"/>
          <w:szCs w:val="32"/>
          <w:lang w:val="en-US" w:eastAsia="zh-CN"/>
        </w:rPr>
      </w:pPr>
    </w:p>
    <w:p>
      <w:pPr>
        <w:pStyle w:val="14"/>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黑体" w:hAnsi="黑体" w:eastAsia="黑体" w:cs="黑体"/>
          <w:b/>
          <w:bCs/>
          <w:i w:val="0"/>
          <w:iCs w:val="0"/>
          <w:color w:val="auto"/>
          <w:spacing w:val="0"/>
          <w:sz w:val="21"/>
          <w:szCs w:val="21"/>
          <w:lang w:val="en-US" w:eastAsia="zh-CN"/>
        </w:rPr>
      </w:pPr>
      <w:r>
        <w:rPr>
          <w:rFonts w:hint="eastAsia" w:ascii="黑体" w:hAnsi="黑体" w:eastAsia="黑体" w:cs="黑体"/>
          <w:b/>
          <w:bCs/>
          <w:i w:val="0"/>
          <w:iCs w:val="0"/>
          <w:color w:val="auto"/>
          <w:spacing w:val="0"/>
          <w:sz w:val="32"/>
          <w:szCs w:val="32"/>
          <w:lang w:val="en-US" w:eastAsia="zh-CN"/>
        </w:rPr>
        <w:t>1.总则</w:t>
      </w:r>
      <w:bookmarkEnd w:id="10"/>
      <w:bookmarkEnd w:id="11"/>
    </w:p>
    <w:p>
      <w:pPr>
        <w:keepNext w:val="0"/>
        <w:keepLines w:val="0"/>
        <w:pageBreakBefore w:val="0"/>
        <w:widowControl w:val="0"/>
        <w:numPr>
          <w:ilvl w:val="1"/>
          <w:numId w:val="3"/>
        </w:numPr>
        <w:kinsoku/>
        <w:wordWrap/>
        <w:overflowPunct/>
        <w:topLinePunct w:val="0"/>
        <w:autoSpaceDE/>
        <w:autoSpaceDN/>
        <w:bidi w:val="0"/>
        <w:adjustRightInd/>
        <w:snapToGrid/>
        <w:spacing w:after="126" w:afterLines="40" w:line="360" w:lineRule="auto"/>
        <w:ind w:right="0" w:rightChars="0"/>
        <w:jc w:val="left"/>
        <w:textAlignment w:val="auto"/>
        <w:outlineLvl w:val="2"/>
        <w:rPr>
          <w:rFonts w:hint="eastAsia" w:asciiTheme="minorEastAsia" w:hAnsiTheme="minorEastAsia" w:cstheme="minorEastAsia"/>
          <w:b w:val="0"/>
          <w:bCs w:val="0"/>
          <w:i w:val="0"/>
          <w:iCs w:val="0"/>
          <w:color w:val="auto"/>
          <w:spacing w:val="0"/>
          <w:sz w:val="18"/>
          <w:szCs w:val="18"/>
          <w:lang w:val="en-US" w:eastAsia="zh-CN"/>
        </w:rPr>
      </w:pPr>
      <w:r>
        <w:rPr>
          <w:rFonts w:hint="eastAsia" w:asciiTheme="minorEastAsia" w:hAnsiTheme="minorEastAsia" w:cstheme="minorEastAsia"/>
          <w:b/>
          <w:bCs/>
          <w:i w:val="0"/>
          <w:iCs w:val="0"/>
          <w:color w:val="auto"/>
          <w:spacing w:val="0"/>
          <w:sz w:val="18"/>
          <w:szCs w:val="18"/>
          <w:lang w:val="en-US" w:eastAsia="zh-CN"/>
        </w:rPr>
        <w:t xml:space="preserve"> </w:t>
      </w:r>
      <w:bookmarkStart w:id="12" w:name="_Toc23193"/>
      <w:bookmarkStart w:id="13" w:name="_Toc27548"/>
      <w:r>
        <w:rPr>
          <w:rFonts w:hint="eastAsia" w:asciiTheme="minorEastAsia" w:hAnsiTheme="minorEastAsia" w:cstheme="minorEastAsia"/>
          <w:b/>
          <w:bCs/>
          <w:i w:val="0"/>
          <w:iCs w:val="0"/>
          <w:color w:val="auto"/>
          <w:spacing w:val="0"/>
          <w:sz w:val="18"/>
          <w:szCs w:val="18"/>
          <w:lang w:val="en-US" w:eastAsia="zh-CN"/>
        </w:rPr>
        <w:t>招标项目概况</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1.1.1根据《中华人民共和国招标投标法》、《中华人民共和国招标投标法实施条例》等有关法律、法规和规章的规定，本招标项目己具备招标条件，现对设计采购进行招标。</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1.1.2招标人：见投标人须知前附表。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1.1.3招标代理机构：见投标人须知前附表。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1.1.4招标项目名称：见投标人须知前附表。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14" w:name="_Toc19570"/>
      <w:bookmarkStart w:id="15" w:name="_Toc3211"/>
      <w:r>
        <w:rPr>
          <w:rFonts w:hint="eastAsia" w:asciiTheme="minorEastAsia" w:hAnsiTheme="minorEastAsia" w:cstheme="minorEastAsia"/>
          <w:b/>
          <w:bCs/>
          <w:i w:val="0"/>
          <w:iCs w:val="0"/>
          <w:color w:val="auto"/>
          <w:spacing w:val="0"/>
          <w:sz w:val="18"/>
          <w:szCs w:val="18"/>
          <w:lang w:val="en-US" w:eastAsia="zh-CN"/>
        </w:rPr>
        <w:t>1.2招标项目的资金来源和落实情况</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1.2.1资金来源及比例：见投标人须知前附表。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1.2.2资金落实情况：见投标人须知前附表。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16" w:name="_Toc23731"/>
      <w:bookmarkStart w:id="17" w:name="_Toc29795"/>
      <w:r>
        <w:rPr>
          <w:rFonts w:hint="eastAsia" w:asciiTheme="minorEastAsia" w:hAnsiTheme="minorEastAsia" w:cstheme="minorEastAsia"/>
          <w:b/>
          <w:bCs/>
          <w:i w:val="0"/>
          <w:iCs w:val="0"/>
          <w:color w:val="auto"/>
          <w:spacing w:val="0"/>
          <w:sz w:val="18"/>
          <w:szCs w:val="18"/>
          <w:lang w:val="en-US" w:eastAsia="zh-CN"/>
        </w:rPr>
        <w:t>1.3招标范围、</w:t>
      </w:r>
      <w:bookmarkEnd w:id="16"/>
      <w:r>
        <w:rPr>
          <w:rFonts w:hint="eastAsia" w:asciiTheme="minorEastAsia" w:hAnsiTheme="minorEastAsia" w:cstheme="minorEastAsia"/>
          <w:b/>
          <w:bCs/>
          <w:i w:val="0"/>
          <w:iCs w:val="0"/>
          <w:color w:val="auto"/>
          <w:spacing w:val="0"/>
          <w:sz w:val="18"/>
          <w:szCs w:val="18"/>
          <w:lang w:val="en-US" w:eastAsia="zh-CN"/>
        </w:rPr>
        <w:t>交货期、交货地点和技术性能指标</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1.3.1招标范围：见投标人须知前附表。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default"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1.3.2规划（设计）周期：见投标人须知前附表。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1.3.3项目地点：见投标人须知前附表。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1.3.4质量要求准：见投标人须知前附表。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18" w:name="_Toc25956"/>
      <w:bookmarkStart w:id="19" w:name="_Toc820"/>
      <w:r>
        <w:rPr>
          <w:rFonts w:hint="eastAsia" w:asciiTheme="minorEastAsia" w:hAnsiTheme="minorEastAsia" w:cstheme="minorEastAsia"/>
          <w:b/>
          <w:bCs/>
          <w:i w:val="0"/>
          <w:iCs w:val="0"/>
          <w:color w:val="auto"/>
          <w:spacing w:val="0"/>
          <w:sz w:val="18"/>
          <w:szCs w:val="18"/>
          <w:lang w:val="en-US" w:eastAsia="zh-CN"/>
        </w:rPr>
        <w:t>1.4投标人资格要求</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1.4.1投标人应具备承担本招标项目资质条件、能力和信誉：</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资质要求：见投标人须知前附表；</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财务要求：见投标人须知前附表；</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业绩要求：见投标人须知前附表；</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信誉要求：见投标人须知前附表；</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其他要求：见投标人须知前附表。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1.4.2投标人须知前附表规定接受联合体投标的，联合体除应符合本章第1.4.1项和投标人须知前附表的要求外，还应遵守以下规定：</w:t>
      </w:r>
    </w:p>
    <w:p>
      <w:pPr>
        <w:keepNext w:val="0"/>
        <w:keepLines w:val="0"/>
        <w:pageBreakBefore w:val="0"/>
        <w:widowControl w:val="0"/>
        <w:numPr>
          <w:ilvl w:val="0"/>
          <w:numId w:val="5"/>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联合体各方应按招标文件提供的格式签订联合体协议书，明确联合体牵头人和各方权利义务，并承诺就中标项目向招标人承担连带责任；</w:t>
      </w:r>
    </w:p>
    <w:p>
      <w:pPr>
        <w:keepNext w:val="0"/>
        <w:keepLines w:val="0"/>
        <w:pageBreakBefore w:val="0"/>
        <w:widowControl w:val="0"/>
        <w:numPr>
          <w:ilvl w:val="0"/>
          <w:numId w:val="5"/>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由同一专业的单位组成的联合体，按照资质等级较低的单位确定资质等级；</w:t>
      </w:r>
    </w:p>
    <w:p>
      <w:pPr>
        <w:keepNext w:val="0"/>
        <w:keepLines w:val="0"/>
        <w:pageBreakBefore w:val="0"/>
        <w:widowControl w:val="0"/>
        <w:numPr>
          <w:ilvl w:val="0"/>
          <w:numId w:val="5"/>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联合体各方不得再以自己名义单独或参加其他联合体在本招标项目中投标，否则各相关投标均无效。</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1.4.3投标人不得存在下列情形之一：</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与招标人存在利害关系且可能影响招标公正性；</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与本招标项目的其他投标人为同一个单位负责人；</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与本招标项目的其他投标人存在控股、管理关系；</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bookmarkStart w:id="20" w:name="_Toc12281"/>
      <w:r>
        <w:rPr>
          <w:rFonts w:hint="eastAsia" w:asciiTheme="minorEastAsia" w:hAnsiTheme="minorEastAsia" w:cstheme="minorEastAsia"/>
          <w:b w:val="0"/>
          <w:bCs w:val="0"/>
          <w:i w:val="0"/>
          <w:iCs w:val="0"/>
          <w:color w:val="auto"/>
          <w:spacing w:val="0"/>
          <w:sz w:val="21"/>
          <w:szCs w:val="21"/>
          <w:lang w:val="en-US" w:eastAsia="zh-CN"/>
        </w:rPr>
        <w:t>为本招标项目提供过设计、编制技术规范和其他文件的咨询服务；</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为本招标项目的招标代理机构；</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与招标代理机构同为一个法定代表人；</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与本招标项目招标代理机构存在控股或参股关系；</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被依法暂停或者取消投标资格；</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被责令停产停业、暂扣或者吊销许可证、暂扣或者吊销执照；</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进入清算程序，或被宣告破产，或其他丧失履约能力的情形；</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在最近三年内发生重大设计问题（以相关行业主管部门的行政处罚决定或司法机关出具的有关法律文书为准）；</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被工商行政管理机关在全国企业信用信息公示系统中列入严重违法失信企业名单；</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被最高人民法院在“信用中国”网站(www.creditchina.gov.cn)或各级信用信息共享平台中列入失信被执行人名单；</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法律法规或投标人须知前附表规定的其他情形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21" w:name="_Toc16214"/>
      <w:r>
        <w:rPr>
          <w:rFonts w:hint="eastAsia" w:asciiTheme="minorEastAsia" w:hAnsiTheme="minorEastAsia" w:cstheme="minorEastAsia"/>
          <w:b/>
          <w:bCs/>
          <w:i w:val="0"/>
          <w:iCs w:val="0"/>
          <w:color w:val="auto"/>
          <w:spacing w:val="0"/>
          <w:sz w:val="18"/>
          <w:szCs w:val="18"/>
          <w:lang w:val="en-US" w:eastAsia="zh-CN"/>
        </w:rPr>
        <w:t>1.5费用承担</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投标人准备和参加投标活动发生的费用自理。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22" w:name="_Toc22846"/>
      <w:bookmarkStart w:id="23" w:name="_Toc13388"/>
      <w:r>
        <w:rPr>
          <w:rFonts w:hint="eastAsia" w:asciiTheme="minorEastAsia" w:hAnsiTheme="minorEastAsia" w:cstheme="minorEastAsia"/>
          <w:b/>
          <w:bCs/>
          <w:i w:val="0"/>
          <w:iCs w:val="0"/>
          <w:color w:val="auto"/>
          <w:spacing w:val="0"/>
          <w:sz w:val="18"/>
          <w:szCs w:val="18"/>
          <w:lang w:val="en-US" w:eastAsia="zh-CN"/>
        </w:rPr>
        <w:t>1.6保密</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参与招标投标活动的各方应对招标文件和投标文件中的商业和技术等秘密保密，否则应承担相应的法律责任。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24" w:name="_Toc23908"/>
      <w:bookmarkStart w:id="25" w:name="_Toc28662"/>
      <w:r>
        <w:rPr>
          <w:rFonts w:hint="eastAsia" w:asciiTheme="minorEastAsia" w:hAnsiTheme="minorEastAsia" w:cstheme="minorEastAsia"/>
          <w:b/>
          <w:bCs/>
          <w:i w:val="0"/>
          <w:iCs w:val="0"/>
          <w:color w:val="auto"/>
          <w:spacing w:val="0"/>
          <w:sz w:val="18"/>
          <w:szCs w:val="18"/>
          <w:lang w:val="en-US" w:eastAsia="zh-CN"/>
        </w:rPr>
        <w:t>1.7语言文字</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招标投标文件使用的语言文字为中文。专用术语使用外文的，应附有中文注释。</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26" w:name="_Toc17542"/>
      <w:bookmarkStart w:id="27" w:name="_Toc25860"/>
      <w:r>
        <w:rPr>
          <w:rFonts w:hint="eastAsia" w:asciiTheme="minorEastAsia" w:hAnsiTheme="minorEastAsia" w:cstheme="minorEastAsia"/>
          <w:b/>
          <w:bCs/>
          <w:i w:val="0"/>
          <w:iCs w:val="0"/>
          <w:color w:val="auto"/>
          <w:spacing w:val="0"/>
          <w:sz w:val="18"/>
          <w:szCs w:val="18"/>
          <w:lang w:val="en-US" w:eastAsia="zh-CN"/>
        </w:rPr>
        <w:t>1.8计量单位</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所有计量均采用中华人民共和国法定计量单位。</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28" w:name="_Toc5658"/>
      <w:bookmarkStart w:id="29" w:name="_Toc27299"/>
      <w:r>
        <w:rPr>
          <w:rFonts w:hint="eastAsia" w:asciiTheme="minorEastAsia" w:hAnsiTheme="minorEastAsia" w:cstheme="minorEastAsia"/>
          <w:b/>
          <w:bCs/>
          <w:i w:val="0"/>
          <w:iCs w:val="0"/>
          <w:color w:val="auto"/>
          <w:spacing w:val="0"/>
          <w:sz w:val="21"/>
          <w:szCs w:val="21"/>
          <w:lang w:val="en-US" w:eastAsia="zh-CN"/>
        </w:rPr>
        <w:t>1.9</w:t>
      </w:r>
      <w:bookmarkEnd w:id="28"/>
      <w:r>
        <w:rPr>
          <w:rFonts w:hint="eastAsia" w:asciiTheme="minorEastAsia" w:hAnsiTheme="minorEastAsia" w:cstheme="minorEastAsia"/>
          <w:b/>
          <w:bCs/>
          <w:i w:val="0"/>
          <w:iCs w:val="0"/>
          <w:color w:val="auto"/>
          <w:spacing w:val="0"/>
          <w:sz w:val="21"/>
          <w:szCs w:val="21"/>
          <w:lang w:val="en-US" w:eastAsia="zh-CN"/>
        </w:rPr>
        <w:t>投标预备会</w:t>
      </w:r>
      <w:bookmarkEnd w:id="2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1.9.1投标人须知前附表规定召开投标预备会的，招标人按投标人须知前附表规定的时间和地点召开投标预备会，澄清投标人提出的问题。</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1.9.2投标人应按投标人须知前附表规定的时间和形式将提出的问题送达招标人，以便招标人在会议期间澄清。</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1.9.3投标预备会后，招标人将对投标人所提问题的澄清，以投标人须知前附表规定的形式通知所有购买招标文件的投标人。该澄清内容为招标文件的组成部分。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30" w:name="_Toc6284"/>
      <w:bookmarkStart w:id="31" w:name="_Toc7574"/>
      <w:r>
        <w:rPr>
          <w:rFonts w:hint="eastAsia" w:asciiTheme="minorEastAsia" w:hAnsiTheme="minorEastAsia" w:cstheme="minorEastAsia"/>
          <w:b/>
          <w:bCs/>
          <w:i w:val="0"/>
          <w:iCs w:val="0"/>
          <w:color w:val="auto"/>
          <w:spacing w:val="0"/>
          <w:sz w:val="21"/>
          <w:szCs w:val="21"/>
          <w:lang w:val="en-US" w:eastAsia="zh-CN"/>
        </w:rPr>
        <w:t>1.10分包</w:t>
      </w:r>
      <w:bookmarkEnd w:id="30"/>
      <w:bookmarkEnd w:id="31"/>
      <w:bookmarkStart w:id="32" w:name="_Toc2338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1.10.1投标人拟在中标后将中标项目的非主体进行分包的，应符合投标人须知前附表规定的分包内容、分包金额和资质要求等限制性条件，除投标人须知前附表规定的非主体外，其他工作不得分包。</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1.10.2中标人不得向他人转让中标项目，接受分包的人不得再次分包。中标人应当就分包项目向招标人负责，接受分包的人就分包项目承担连带责任。</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33" w:name="_Toc8907"/>
      <w:r>
        <w:rPr>
          <w:rFonts w:hint="eastAsia" w:asciiTheme="minorEastAsia" w:hAnsiTheme="minorEastAsia" w:cstheme="minorEastAsia"/>
          <w:b/>
          <w:bCs/>
          <w:i w:val="0"/>
          <w:iCs w:val="0"/>
          <w:color w:val="auto"/>
          <w:spacing w:val="0"/>
          <w:sz w:val="21"/>
          <w:szCs w:val="21"/>
          <w:lang w:val="en-US" w:eastAsia="zh-CN"/>
        </w:rPr>
        <w:t>1.11响应和偏差</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1.11.1投标文件应当对招标文件的实质性要求和条件作出满足性或更有利于招标人的响应，否则，投标人的投标将被否决。实质性要求和条件见投标人须知前附表。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1.11.2投标人应根据招标文件的要求提供投标服务技术性能指标的详细描述、技术支持资料及技术服务和质保期服务计划等内容以对招标文件作出响应。</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1.11.3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1.11.4投标人须知前附表规定了可以偏差的范围和最高偏差项数的，偏差应当符合投标人须知前附表规定的偏差范围和最高项数，超出偏差范围和最高偏差项数的投标将被否决。</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1.11.5投标文件对招标文件的全部偏差，均应在投标文件的商务和技术偏差表中列明，除列明的内容外，视为投标人响应招标文件的全部要求。</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黑体" w:hAnsi="黑体" w:eastAsia="黑体" w:cs="黑体"/>
          <w:b/>
          <w:bCs/>
          <w:i w:val="0"/>
          <w:iCs w:val="0"/>
          <w:color w:val="auto"/>
          <w:spacing w:val="0"/>
          <w:sz w:val="22"/>
          <w:szCs w:val="22"/>
          <w:lang w:val="en-US" w:eastAsia="zh-CN"/>
        </w:rPr>
      </w:pPr>
      <w:bookmarkStart w:id="34" w:name="_Toc23217"/>
      <w:bookmarkStart w:id="35" w:name="_Toc20270"/>
      <w:r>
        <w:rPr>
          <w:rFonts w:hint="eastAsia" w:ascii="黑体" w:hAnsi="黑体" w:eastAsia="黑体" w:cs="黑体"/>
          <w:b/>
          <w:bCs/>
          <w:i w:val="0"/>
          <w:iCs w:val="0"/>
          <w:color w:val="auto"/>
          <w:spacing w:val="0"/>
          <w:sz w:val="32"/>
          <w:szCs w:val="32"/>
          <w:lang w:val="en-US" w:eastAsia="zh-CN"/>
        </w:rPr>
        <w:t>2.招标文件</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36" w:name="_Toc4978"/>
      <w:bookmarkStart w:id="37" w:name="_Toc5292"/>
      <w:r>
        <w:rPr>
          <w:rFonts w:hint="eastAsia" w:asciiTheme="minorEastAsia" w:hAnsiTheme="minorEastAsia" w:cstheme="minorEastAsia"/>
          <w:b/>
          <w:bCs/>
          <w:i w:val="0"/>
          <w:iCs w:val="0"/>
          <w:color w:val="auto"/>
          <w:spacing w:val="0"/>
          <w:sz w:val="21"/>
          <w:szCs w:val="21"/>
          <w:lang w:val="en-US" w:eastAsia="zh-CN"/>
        </w:rPr>
        <w:t>2.1招标文件的组成</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本招标文件包括：</w:t>
      </w:r>
    </w:p>
    <w:p>
      <w:pPr>
        <w:keepNext w:val="0"/>
        <w:keepLines w:val="0"/>
        <w:pageBreakBefore w:val="0"/>
        <w:widowControl w:val="0"/>
        <w:numPr>
          <w:ilvl w:val="0"/>
          <w:numId w:val="7"/>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招标公告（或投标邀请书）；</w:t>
      </w:r>
    </w:p>
    <w:p>
      <w:pPr>
        <w:keepNext w:val="0"/>
        <w:keepLines w:val="0"/>
        <w:pageBreakBefore w:val="0"/>
        <w:widowControl w:val="0"/>
        <w:numPr>
          <w:ilvl w:val="0"/>
          <w:numId w:val="7"/>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投标人须知；</w:t>
      </w:r>
    </w:p>
    <w:p>
      <w:pPr>
        <w:keepNext w:val="0"/>
        <w:keepLines w:val="0"/>
        <w:pageBreakBefore w:val="0"/>
        <w:widowControl w:val="0"/>
        <w:numPr>
          <w:ilvl w:val="0"/>
          <w:numId w:val="7"/>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评标办法；</w:t>
      </w:r>
    </w:p>
    <w:p>
      <w:pPr>
        <w:keepNext w:val="0"/>
        <w:keepLines w:val="0"/>
        <w:pageBreakBefore w:val="0"/>
        <w:widowControl w:val="0"/>
        <w:numPr>
          <w:ilvl w:val="0"/>
          <w:numId w:val="7"/>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合同条款及格式；</w:t>
      </w:r>
    </w:p>
    <w:p>
      <w:pPr>
        <w:keepNext w:val="0"/>
        <w:keepLines w:val="0"/>
        <w:pageBreakBefore w:val="0"/>
        <w:widowControl w:val="0"/>
        <w:numPr>
          <w:ilvl w:val="0"/>
          <w:numId w:val="7"/>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投标文件格式；</w:t>
      </w:r>
    </w:p>
    <w:p>
      <w:pPr>
        <w:keepNext w:val="0"/>
        <w:keepLines w:val="0"/>
        <w:pageBreakBefore w:val="0"/>
        <w:widowControl w:val="0"/>
        <w:numPr>
          <w:ilvl w:val="0"/>
          <w:numId w:val="7"/>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投标人须知前附表规定的其他资料。</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根据本章第1.9款、第2.2款和第2.3款对招标文件所作的澄清、修改，构成招标文件的组成部分。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38" w:name="_Toc12811"/>
      <w:bookmarkStart w:id="39" w:name="_Toc14538"/>
      <w:r>
        <w:rPr>
          <w:rFonts w:hint="eastAsia" w:asciiTheme="minorEastAsia" w:hAnsiTheme="minorEastAsia" w:cstheme="minorEastAsia"/>
          <w:b/>
          <w:bCs/>
          <w:i w:val="0"/>
          <w:iCs w:val="0"/>
          <w:color w:val="auto"/>
          <w:spacing w:val="0"/>
          <w:sz w:val="21"/>
          <w:szCs w:val="21"/>
          <w:lang w:val="en-US" w:eastAsia="zh-CN"/>
        </w:rPr>
        <w:t>2.2招标文件的澄清</w:t>
      </w:r>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2"/>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2.2.1</w:t>
      </w:r>
      <w:bookmarkStart w:id="40" w:name="_Toc32000"/>
      <w:bookmarkStart w:id="41" w:name="_Toc10354"/>
      <w:r>
        <w:rPr>
          <w:rFonts w:hint="eastAsia" w:asciiTheme="minorEastAsia" w:hAnsiTheme="minorEastAsia" w:cstheme="minorEastAsia"/>
          <w:b w:val="0"/>
          <w:bCs w:val="0"/>
          <w:i w:val="0"/>
          <w:iCs w:val="0"/>
          <w:color w:val="auto"/>
          <w:spacing w:val="0"/>
          <w:sz w:val="21"/>
          <w:szCs w:val="21"/>
          <w:lang w:val="en-US" w:eastAsia="zh-CN"/>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2"/>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2.2.2 招标文件的澄清将在投标人须知前附表规定的时间以书面形式发给所有购买招标文件的投标人，但不指明澄清问题的来源。如果澄清发出的时间不足投标人须知前附表规定的时间，相应延长投标截止时间。</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2"/>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2.2.3 投标人在收到澄清后，应在投标人须知前附表规定的时间内以书面形式通知招标人，确认己收到该澄清。</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r>
        <w:rPr>
          <w:rFonts w:hint="eastAsia" w:asciiTheme="minorEastAsia" w:hAnsiTheme="minorEastAsia" w:cstheme="minorEastAsia"/>
          <w:b/>
          <w:bCs/>
          <w:i w:val="0"/>
          <w:iCs w:val="0"/>
          <w:color w:val="auto"/>
          <w:spacing w:val="0"/>
          <w:sz w:val="21"/>
          <w:szCs w:val="21"/>
          <w:lang w:val="en-US" w:eastAsia="zh-CN"/>
        </w:rPr>
        <w:t>2.3招标文件的修改</w:t>
      </w:r>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2"/>
        <w:rPr>
          <w:rFonts w:hint="eastAsia" w:asciiTheme="minorEastAsia" w:hAnsiTheme="minorEastAsia" w:cstheme="minorEastAsia"/>
          <w:b w:val="0"/>
          <w:bCs w:val="0"/>
          <w:i w:val="0"/>
          <w:iCs w:val="0"/>
          <w:color w:val="auto"/>
          <w:spacing w:val="0"/>
          <w:sz w:val="21"/>
          <w:szCs w:val="21"/>
          <w:lang w:val="en-US" w:eastAsia="zh-CN"/>
        </w:rPr>
      </w:pPr>
      <w:bookmarkStart w:id="42" w:name="_Toc11537"/>
      <w:bookmarkStart w:id="43" w:name="_Toc3808"/>
      <w:r>
        <w:rPr>
          <w:rFonts w:hint="eastAsia" w:asciiTheme="minorEastAsia" w:hAnsiTheme="minorEastAsia" w:cstheme="minorEastAsia"/>
          <w:b w:val="0"/>
          <w:bCs w:val="0"/>
          <w:i w:val="0"/>
          <w:iCs w:val="0"/>
          <w:color w:val="auto"/>
          <w:spacing w:val="0"/>
          <w:sz w:val="21"/>
          <w:szCs w:val="21"/>
          <w:lang w:val="en-US" w:eastAsia="zh-CN"/>
        </w:rPr>
        <w:t>2.3.1 在投标截止时间3天前，招标人可以书面形式修改招标文件，并通知所有已购买招标文件的投标人。如果修改招标文件的时间距投标截止时间不足3天，相应延长投标截止时间。</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2"/>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2.3.2 投标人收到修改内容后，应在投标人须知前附表规定的时间内以书面形式通知招标人，确认己收到该修改。</w:t>
      </w:r>
    </w:p>
    <w:bookmarkEnd w:id="42"/>
    <w:bookmarkEnd w:id="43"/>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Theme="minorEastAsia" w:hAnsiTheme="minorEastAsia" w:cstheme="minorEastAsia"/>
          <w:b/>
          <w:bCs/>
          <w:i w:val="0"/>
          <w:iCs w:val="0"/>
          <w:color w:val="auto"/>
          <w:spacing w:val="0"/>
          <w:sz w:val="21"/>
          <w:szCs w:val="21"/>
          <w:lang w:val="en-US" w:eastAsia="zh-CN"/>
        </w:rPr>
      </w:pPr>
      <w:bookmarkStart w:id="44" w:name="_Toc7959"/>
      <w:bookmarkStart w:id="45" w:name="_Toc6778"/>
      <w:r>
        <w:rPr>
          <w:rFonts w:hint="eastAsia" w:ascii="黑体" w:hAnsi="黑体" w:eastAsia="黑体" w:cs="黑体"/>
          <w:b/>
          <w:bCs/>
          <w:i w:val="0"/>
          <w:iCs w:val="0"/>
          <w:color w:val="auto"/>
          <w:spacing w:val="0"/>
          <w:sz w:val="32"/>
          <w:szCs w:val="32"/>
          <w:lang w:val="en-US" w:eastAsia="zh-CN"/>
        </w:rPr>
        <w:t>3.投标文件</w:t>
      </w:r>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46" w:name="_Toc14558"/>
      <w:bookmarkStart w:id="47" w:name="_Toc2076"/>
      <w:r>
        <w:rPr>
          <w:rFonts w:hint="eastAsia" w:asciiTheme="minorEastAsia" w:hAnsiTheme="minorEastAsia" w:cstheme="minorEastAsia"/>
          <w:b/>
          <w:bCs/>
          <w:i w:val="0"/>
          <w:iCs w:val="0"/>
          <w:color w:val="auto"/>
          <w:spacing w:val="0"/>
          <w:sz w:val="21"/>
          <w:szCs w:val="21"/>
          <w:lang w:val="en-US" w:eastAsia="zh-CN"/>
        </w:rPr>
        <w:t>3.1投标文件的组成</w:t>
      </w:r>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3.1.1投标文件应包括下列内容：</w:t>
      </w:r>
    </w:p>
    <w:p>
      <w:pPr>
        <w:pStyle w:val="36"/>
        <w:numPr>
          <w:ilvl w:val="0"/>
          <w:numId w:val="8"/>
        </w:numPr>
        <w:spacing w:line="360" w:lineRule="auto"/>
        <w:ind w:left="540" w:leftChars="200" w:firstLine="0" w:firstLineChars="0"/>
        <w:rPr>
          <w:rFonts w:hint="eastAsia" w:eastAsia="Times New Roman" w:asciiTheme="minorEastAsia" w:hAnsiTheme="minorEastAsia" w:cstheme="minorEastAsia"/>
          <w:b w:val="0"/>
          <w:bCs w:val="0"/>
          <w:i w:val="0"/>
          <w:iCs w:val="0"/>
          <w:color w:val="auto"/>
          <w:spacing w:val="0"/>
          <w:sz w:val="21"/>
          <w:szCs w:val="21"/>
          <w:u w:val="none"/>
          <w:lang w:val="en-US" w:eastAsia="zh-CN"/>
        </w:rPr>
      </w:pPr>
      <w:r>
        <w:rPr>
          <w:rFonts w:hint="eastAsia" w:eastAsia="Times New Roman" w:asciiTheme="minorEastAsia" w:hAnsiTheme="minorEastAsia" w:cstheme="minorEastAsia"/>
          <w:b w:val="0"/>
          <w:bCs w:val="0"/>
          <w:i w:val="0"/>
          <w:iCs w:val="0"/>
          <w:color w:val="auto"/>
          <w:spacing w:val="0"/>
          <w:sz w:val="21"/>
          <w:szCs w:val="21"/>
          <w:u w:val="none"/>
          <w:lang w:val="en-US" w:eastAsia="zh-CN"/>
        </w:rPr>
        <w:t>投标函；</w:t>
      </w:r>
    </w:p>
    <w:p>
      <w:pPr>
        <w:pStyle w:val="36"/>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法</w:t>
      </w:r>
      <w:r>
        <w:rPr>
          <w:rFonts w:hint="eastAsia" w:eastAsia="Times New Roman" w:asciiTheme="minorEastAsia" w:hAnsiTheme="minorEastAsia" w:cstheme="minorEastAsia"/>
          <w:b w:val="0"/>
          <w:bCs w:val="0"/>
          <w:i w:val="0"/>
          <w:iCs w:val="0"/>
          <w:color w:val="auto"/>
          <w:spacing w:val="0"/>
          <w:sz w:val="21"/>
          <w:szCs w:val="21"/>
          <w:u w:val="none"/>
          <w:lang w:val="en-US" w:eastAsia="zh-CN"/>
        </w:rPr>
        <w:t>定代表人身份证明或授权委托书；</w:t>
      </w:r>
    </w:p>
    <w:p>
      <w:pPr>
        <w:pStyle w:val="36"/>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资格审查资料</w:t>
      </w:r>
    </w:p>
    <w:p>
      <w:pPr>
        <w:pStyle w:val="36"/>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项目管理机构表</w:t>
      </w:r>
    </w:p>
    <w:p>
      <w:pPr>
        <w:pStyle w:val="36"/>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企业类似项目情况</w:t>
      </w:r>
    </w:p>
    <w:p>
      <w:pPr>
        <w:pStyle w:val="36"/>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近三年财务状况表</w:t>
      </w:r>
    </w:p>
    <w:p>
      <w:pPr>
        <w:pStyle w:val="36"/>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企业信誉要求</w:t>
      </w:r>
    </w:p>
    <w:p>
      <w:pPr>
        <w:pStyle w:val="36"/>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技术文件（项目服务方案）</w:t>
      </w:r>
    </w:p>
    <w:p>
      <w:pPr>
        <w:pStyle w:val="36"/>
        <w:numPr>
          <w:ilvl w:val="0"/>
          <w:numId w:val="8"/>
        </w:numPr>
        <w:spacing w:line="360" w:lineRule="auto"/>
        <w:ind w:left="540" w:leftChars="200" w:firstLine="0" w:firstLineChars="0"/>
        <w:rPr>
          <w:rFonts w:hint="eastAsia"/>
          <w:color w:val="auto"/>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其他资料</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投标人在评标过程中作出的符合法律法规和招标文件规定的澄清确认，构成投标文件的组成部分。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3.1.2投标人须知前附表规定不接受联合体投标的，或投标人没有组成联合体的，投标文件不包括本章第3.1.1(3)目所指的联合体协议书。</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3.1.3投标人须知前附表未要求提交投标保证金的，投标文件不包括本章第3.1.1(4)目所指的投标保证金。</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48" w:name="_Toc3438"/>
      <w:bookmarkStart w:id="49" w:name="_Toc20883"/>
      <w:r>
        <w:rPr>
          <w:rFonts w:hint="eastAsia" w:asciiTheme="minorEastAsia" w:hAnsiTheme="minorEastAsia" w:cstheme="minorEastAsia"/>
          <w:b/>
          <w:bCs/>
          <w:i w:val="0"/>
          <w:iCs w:val="0"/>
          <w:color w:val="auto"/>
          <w:spacing w:val="0"/>
          <w:sz w:val="21"/>
          <w:szCs w:val="21"/>
          <w:lang w:val="en-US" w:eastAsia="zh-CN"/>
        </w:rPr>
        <w:t>3.2投标报价</w:t>
      </w:r>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 xml:space="preserve"> 3.2.1投标总报价除投标人须知前附表另有规定外，增值税税金按一般计税方法计算。投标人应按第六章“投标文件格式”的要求在投标函中进行报价。</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3.2.2投标人应充分了解该项目的总体情况以及影响投标报价的其他要素。</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3.2.3本项目的报价方式见投标人须知前附表。投标人在投标截止时间前修改投标函中的投标报价总额，应同时修改投标文件“分项报价表”中的相应报价。此修改须符合本章第4.3款的有关要求。</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3.2.4招标人设有最高投标限价的，投标人的投标报价不得等于或超过最高投标限价，最高投标限价在投标人须知前附表中载明。</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3.2.5投标报价的其他要求见投标人须知前附表。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50" w:name="_Toc26243"/>
      <w:bookmarkStart w:id="51" w:name="_Toc25164"/>
      <w:r>
        <w:rPr>
          <w:rFonts w:hint="eastAsia" w:asciiTheme="minorEastAsia" w:hAnsiTheme="minorEastAsia" w:cstheme="minorEastAsia"/>
          <w:b/>
          <w:bCs/>
          <w:i w:val="0"/>
          <w:iCs w:val="0"/>
          <w:color w:val="auto"/>
          <w:spacing w:val="0"/>
          <w:sz w:val="21"/>
          <w:szCs w:val="21"/>
          <w:lang w:val="en-US" w:eastAsia="zh-CN"/>
        </w:rPr>
        <w:t>3.3投标有效期</w:t>
      </w:r>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3.3.1除投标人须知前附表另有规定外，投标有效期为60天。</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3.3.2在投标有效期内，投标人撤销投标文件的，应承担招标文件和法律规定的责任。</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52" w:name="_Toc15415"/>
      <w:bookmarkStart w:id="53" w:name="_Toc25002"/>
      <w:r>
        <w:rPr>
          <w:rFonts w:hint="eastAsia" w:asciiTheme="minorEastAsia" w:hAnsiTheme="minorEastAsia" w:cstheme="minorEastAsia"/>
          <w:b/>
          <w:bCs/>
          <w:i w:val="0"/>
          <w:iCs w:val="0"/>
          <w:color w:val="auto"/>
          <w:spacing w:val="0"/>
          <w:sz w:val="21"/>
          <w:szCs w:val="21"/>
          <w:lang w:val="en-US" w:eastAsia="zh-CN"/>
        </w:rPr>
        <w:t>3.4投标保证金</w:t>
      </w:r>
      <w:bookmarkEnd w:id="52"/>
      <w:bookmarkEnd w:id="53"/>
      <w:r>
        <w:rPr>
          <w:rFonts w:hint="eastAsia" w:asciiTheme="minorEastAsia" w:hAnsiTheme="minorEastAsia" w:cstheme="minorEastAsia"/>
          <w:b/>
          <w:bCs/>
          <w:i w:val="0"/>
          <w:iCs w:val="0"/>
          <w:color w:val="auto"/>
          <w:spacing w:val="0"/>
          <w:sz w:val="21"/>
          <w:szCs w:val="21"/>
          <w:lang w:val="en-US" w:eastAsia="zh-CN"/>
        </w:rPr>
        <w:t>（</w:t>
      </w:r>
      <w:r>
        <w:rPr>
          <w:rFonts w:hint="eastAsia" w:asciiTheme="minorEastAsia" w:hAnsiTheme="minorEastAsia" w:cstheme="minorEastAsia"/>
          <w:b/>
          <w:bCs/>
          <w:i w:val="0"/>
          <w:iCs w:val="0"/>
          <w:color w:val="FF0000"/>
          <w:spacing w:val="0"/>
          <w:sz w:val="21"/>
          <w:szCs w:val="21"/>
          <w:lang w:val="en-US" w:eastAsia="zh-CN"/>
        </w:rPr>
        <w:t>注：本项目不作要求</w:t>
      </w:r>
      <w:r>
        <w:rPr>
          <w:rFonts w:hint="eastAsia" w:asciiTheme="minorEastAsia" w:hAnsiTheme="minorEastAsia" w:cstheme="minorEastAsia"/>
          <w:b/>
          <w:bCs/>
          <w:i w:val="0"/>
          <w:iCs w:val="0"/>
          <w:color w:val="auto"/>
          <w:spacing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3.4.2投标人不按本章第3.4.1项要求提交投标保证金的，评标委员会将否决其投标。</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3.4.3招标人最迟将在与中标人签订合同后5日内，向未中标的投标人和中标人退还投标保证金。投标保证金以现金或者支票形式递交的，还应退还银行同期存款利息。</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3.4.4有下列情形之一的，投标保证金将不予退还：</w:t>
      </w:r>
    </w:p>
    <w:p>
      <w:pPr>
        <w:keepNext w:val="0"/>
        <w:keepLines w:val="0"/>
        <w:pageBreakBefore w:val="0"/>
        <w:widowControl w:val="0"/>
        <w:numPr>
          <w:ilvl w:val="0"/>
          <w:numId w:val="9"/>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投标人在投标有效期内撤销投标文件；</w:t>
      </w:r>
    </w:p>
    <w:p>
      <w:pPr>
        <w:keepNext w:val="0"/>
        <w:keepLines w:val="0"/>
        <w:pageBreakBefore w:val="0"/>
        <w:widowControl w:val="0"/>
        <w:numPr>
          <w:ilvl w:val="0"/>
          <w:numId w:val="9"/>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中标人在收到中标通知书后，无正当理由不与招标人订立合同，在签订合同时向招标人提出附加条件，或者不按照招标文件要求提交履约保证金；</w:t>
      </w:r>
    </w:p>
    <w:p>
      <w:pPr>
        <w:keepNext w:val="0"/>
        <w:keepLines w:val="0"/>
        <w:pageBreakBefore w:val="0"/>
        <w:widowControl w:val="0"/>
        <w:numPr>
          <w:ilvl w:val="0"/>
          <w:numId w:val="9"/>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发生投标人须知前附表规定的其他可以不予退还投标保证金的情形。</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54" w:name="_Toc25885"/>
      <w:bookmarkStart w:id="55" w:name="_Toc20452"/>
      <w:r>
        <w:rPr>
          <w:rFonts w:hint="eastAsia" w:asciiTheme="minorEastAsia" w:hAnsiTheme="minorEastAsia" w:cstheme="minorEastAsia"/>
          <w:b/>
          <w:bCs/>
          <w:i w:val="0"/>
          <w:iCs w:val="0"/>
          <w:color w:val="auto"/>
          <w:spacing w:val="0"/>
          <w:sz w:val="21"/>
          <w:szCs w:val="21"/>
          <w:lang w:val="en-US" w:eastAsia="zh-CN"/>
        </w:rPr>
        <w:t>3.5资格审查资料</w:t>
      </w:r>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除投标人须知前附表另有规定外，投标人应按下列规定提供资格审查资料，以证明其满足本章第1.4款规定的资质、财务、业绩、信誉等要求。</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3.5.1“投标人基本情况表”应附投标人及其制造商（适用于代理经销商投标的情形）资格或者资质证书副本和投标材料检验或认证等材料的复印件以及：</w:t>
      </w:r>
    </w:p>
    <w:p>
      <w:pPr>
        <w:keepNext w:val="0"/>
        <w:keepLines w:val="0"/>
        <w:pageBreakBefore w:val="0"/>
        <w:widowControl w:val="0"/>
        <w:numPr>
          <w:ilvl w:val="0"/>
          <w:numId w:val="1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投标人为企业的，应提交营业执照和组织机构代码证的复印件（按照“三证合一”或“五证合一”登记制度进行登记的，提供营业执照原件扫描件）；</w:t>
      </w:r>
    </w:p>
    <w:p>
      <w:pPr>
        <w:keepNext w:val="0"/>
        <w:keepLines w:val="0"/>
        <w:pageBreakBefore w:val="0"/>
        <w:widowControl w:val="0"/>
        <w:numPr>
          <w:ilvl w:val="0"/>
          <w:numId w:val="1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投标人为依法允许经营的事业单位的，应提交事业单位法人证书和组织机构代码证的复印件。</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3.5.3“近年完成的类似项目情况表”应附中标通知书和合同协议书、货物进场验收证书等的原件扫描件，具体时间要求见投标人须知前附表。每张表格只填写一个项目，并标明序号。</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3.5.4“正在供货和新承接的项目情况表”应附中标通知书和（或）合同协议书复印件。每张表格只填写一个项目，并标明序号。</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3.5.5在“信用中国”网站、“中国政府采购网”、“国家企业信用信息公示系统”等无不良行为记录。具体要求见投标人须知前附表。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3.5.6投标人须知前附表规定接受联合体投标的，本章第3.5.1项至第3.5.5项规定的表格和资料应包括联合体各方相关情况。</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56" w:name="_Toc8063"/>
      <w:bookmarkStart w:id="57" w:name="_Toc7685"/>
      <w:r>
        <w:rPr>
          <w:rFonts w:hint="eastAsia" w:asciiTheme="minorEastAsia" w:hAnsiTheme="minorEastAsia" w:cstheme="minorEastAsia"/>
          <w:b/>
          <w:bCs/>
          <w:i w:val="0"/>
          <w:iCs w:val="0"/>
          <w:color w:val="auto"/>
          <w:spacing w:val="0"/>
          <w:sz w:val="21"/>
          <w:szCs w:val="21"/>
          <w:lang w:val="en-US" w:eastAsia="zh-CN"/>
        </w:rPr>
        <w:t>3.6备选投标方案</w:t>
      </w:r>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3.6.1除投标人须知前附表规定允许外，投标人不得递交备选投标方案，否则其投标将被否决。</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3.6.3投标人提供两个或两个以上投标报价，或者在投标文件中提供一个报价，但同时提供两个或两个以上货物采购方案的，视为提供备选方案。</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58" w:name="_Toc1013"/>
      <w:bookmarkStart w:id="59" w:name="_Toc183"/>
      <w:r>
        <w:rPr>
          <w:rFonts w:hint="eastAsia" w:asciiTheme="minorEastAsia" w:hAnsiTheme="minorEastAsia" w:cstheme="minorEastAsia"/>
          <w:b/>
          <w:bCs/>
          <w:i w:val="0"/>
          <w:iCs w:val="0"/>
          <w:color w:val="auto"/>
          <w:spacing w:val="0"/>
          <w:sz w:val="21"/>
          <w:szCs w:val="21"/>
          <w:lang w:val="en-US" w:eastAsia="zh-CN"/>
        </w:rPr>
        <w:t>3.7投标文件的编制</w:t>
      </w:r>
      <w:bookmarkEnd w:id="58"/>
      <w:bookmarkEnd w:id="5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3.7.1投标文件应按第六章“投标文件格式”进行编写，如有必要，可以增加附页，作为投标文件的组成部分。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3.7.2投标文件应当对招标文件有关供货期、投标有效期、供货要求、招标范围等实质性内容作出响应。投标文件在满足招标文件实质性要求的基础上，可以提出比招标文件要求更有利于招标人的承诺。</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3.7.3(1)投标文件应用不褪色的材料书写或打印，投标函及对投标文件的澄清、说明和补正应由投标人的法定代表人（单位负责人）及其授权的代理人签字、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keepNext w:val="0"/>
        <w:keepLines w:val="0"/>
        <w:pageBreakBefore w:val="0"/>
        <w:widowControl w:val="0"/>
        <w:numPr>
          <w:ilvl w:val="0"/>
          <w:numId w:val="11"/>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keepNext w:val="0"/>
        <w:keepLines w:val="0"/>
        <w:pageBreakBefore w:val="0"/>
        <w:widowControl w:val="0"/>
        <w:numPr>
          <w:ilvl w:val="0"/>
          <w:numId w:val="11"/>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投标文件的正本与副本应分别装订，并编制目录，投标文件需分册装订的，具体分册装订要求见投标人须知前附表规定。</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539" w:firstLineChars="257"/>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3.7.4签字或盖章的具体要求见投标人须知前附表。</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Theme="minorEastAsia" w:hAnsiTheme="minorEastAsia" w:cstheme="minorEastAsia"/>
          <w:b/>
          <w:bCs/>
          <w:i w:val="0"/>
          <w:iCs w:val="0"/>
          <w:color w:val="auto"/>
          <w:spacing w:val="0"/>
          <w:sz w:val="21"/>
          <w:szCs w:val="21"/>
          <w:lang w:val="en-US" w:eastAsia="zh-CN"/>
        </w:rPr>
      </w:pPr>
      <w:bookmarkStart w:id="60" w:name="_Toc17199"/>
      <w:bookmarkStart w:id="61" w:name="_Toc19283"/>
      <w:r>
        <w:rPr>
          <w:rFonts w:hint="eastAsia" w:ascii="黑体" w:hAnsi="黑体" w:eastAsia="黑体" w:cs="黑体"/>
          <w:b/>
          <w:bCs/>
          <w:i w:val="0"/>
          <w:iCs w:val="0"/>
          <w:color w:val="auto"/>
          <w:spacing w:val="0"/>
          <w:sz w:val="32"/>
          <w:szCs w:val="32"/>
          <w:shd w:val="clear" w:color="auto" w:fill="auto"/>
          <w:lang w:val="en-US" w:eastAsia="zh-CN"/>
        </w:rPr>
        <w:t>4.投标</w:t>
      </w:r>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62" w:name="_Toc665"/>
      <w:bookmarkStart w:id="63" w:name="_Toc19550"/>
      <w:r>
        <w:rPr>
          <w:rFonts w:hint="eastAsia" w:asciiTheme="minorEastAsia" w:hAnsiTheme="minorEastAsia" w:cstheme="minorEastAsia"/>
          <w:b/>
          <w:bCs/>
          <w:i w:val="0"/>
          <w:iCs w:val="0"/>
          <w:color w:val="auto"/>
          <w:spacing w:val="0"/>
          <w:sz w:val="21"/>
          <w:szCs w:val="21"/>
          <w:lang w:val="en-US" w:eastAsia="zh-CN"/>
        </w:rPr>
        <w:t>4.1投标文件的密封和标记</w:t>
      </w:r>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4.1.1投标文件应密封包装，并在封套的封口处加盖投标人单位章或由投标人的法定代表人或其授权的代理人签字。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4.1.2投标文件封套上应写明的内容见投标人须知前附表。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4.1.3未按本章第4.1.1项要求密封的投标文件，招标人将予以拒收。</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64" w:name="_Toc2537"/>
      <w:bookmarkStart w:id="65" w:name="_Toc30248"/>
      <w:r>
        <w:rPr>
          <w:rFonts w:hint="eastAsia" w:asciiTheme="minorEastAsia" w:hAnsiTheme="minorEastAsia" w:cstheme="minorEastAsia"/>
          <w:b/>
          <w:bCs/>
          <w:i w:val="0"/>
          <w:iCs w:val="0"/>
          <w:color w:val="auto"/>
          <w:spacing w:val="0"/>
          <w:sz w:val="21"/>
          <w:szCs w:val="21"/>
          <w:lang w:val="en-US" w:eastAsia="zh-CN"/>
        </w:rPr>
        <w:t>4.2投标文件的递交</w:t>
      </w:r>
      <w:bookmarkEnd w:id="64"/>
      <w:bookmarkEnd w:id="6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4.2.1投标人应在投标人须知前附表规定的投标截止时间前递交投标文件。</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4.2.2投标人递交投标文件的地点：见投标人须知前附表。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4.2.3除投标人须知前附表另有规定外，投标人所递交的投标文件不予退还。</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4.2.4招标人收到投标文件后，进行投标文件送达登记，投标人签字确认，</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4.2.5逾期送达的投标文件，招标人将予以拒收。</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66" w:name="_Toc21826"/>
      <w:bookmarkStart w:id="67" w:name="_Toc6902"/>
      <w:r>
        <w:rPr>
          <w:rFonts w:hint="eastAsia" w:asciiTheme="minorEastAsia" w:hAnsiTheme="minorEastAsia" w:cstheme="minorEastAsia"/>
          <w:b/>
          <w:bCs/>
          <w:i w:val="0"/>
          <w:iCs w:val="0"/>
          <w:color w:val="auto"/>
          <w:spacing w:val="0"/>
          <w:sz w:val="21"/>
          <w:szCs w:val="21"/>
          <w:lang w:val="en-US" w:eastAsia="zh-CN"/>
        </w:rPr>
        <w:t>4.3投标文件的修改与撤回</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bookmarkStart w:id="68" w:name="_Toc12154"/>
      <w:bookmarkStart w:id="69" w:name="_Toc21836"/>
      <w:r>
        <w:rPr>
          <w:rFonts w:hint="eastAsia" w:asciiTheme="minorEastAsia" w:hAnsiTheme="minorEastAsia" w:cstheme="minorEastAsia"/>
          <w:b w:val="0"/>
          <w:bCs w:val="0"/>
          <w:i w:val="0"/>
          <w:iCs w:val="0"/>
          <w:color w:val="auto"/>
          <w:spacing w:val="0"/>
          <w:sz w:val="21"/>
          <w:szCs w:val="21"/>
          <w:lang w:val="en-US" w:eastAsia="zh-CN"/>
        </w:rPr>
        <w:t>4.3.1 在本章第2.2.2 项规定的投标截止时间前，投标人可以修改或撤回已递交的投标文件，但应以书面形式通知招标人。</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4.3.2 投标人修改或撤回已递交投标文件的书面通知应按照本章第3.7.3 项的要求签字或盖章。招标人收到书面通知后，向投标人出具签收凭证。</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4.3.3 修改的内容为投标文件的组成部分。修改的投标文件应按照本章第3 条、第4 条规定进行编制、密封、标记和递交，并标明“修改”字样。</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黑体" w:hAnsi="黑体" w:eastAsia="黑体" w:cs="黑体"/>
          <w:b/>
          <w:bCs/>
          <w:i w:val="0"/>
          <w:iCs w:val="0"/>
          <w:color w:val="auto"/>
          <w:spacing w:val="0"/>
          <w:sz w:val="32"/>
          <w:szCs w:val="32"/>
          <w:lang w:val="en-US" w:eastAsia="zh-CN"/>
        </w:rPr>
      </w:pPr>
      <w:r>
        <w:rPr>
          <w:rFonts w:hint="eastAsia" w:ascii="黑体" w:hAnsi="黑体" w:eastAsia="黑体" w:cs="黑体"/>
          <w:b/>
          <w:bCs/>
          <w:i w:val="0"/>
          <w:iCs w:val="0"/>
          <w:color w:val="auto"/>
          <w:spacing w:val="0"/>
          <w:sz w:val="32"/>
          <w:szCs w:val="32"/>
          <w:lang w:val="en-US" w:eastAsia="zh-CN"/>
        </w:rPr>
        <w:t>5.开标</w:t>
      </w:r>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70" w:name="_Toc23835"/>
      <w:bookmarkStart w:id="71" w:name="_Toc27862"/>
      <w:r>
        <w:rPr>
          <w:rFonts w:hint="eastAsia" w:asciiTheme="minorEastAsia" w:hAnsiTheme="minorEastAsia" w:cstheme="minorEastAsia"/>
          <w:b/>
          <w:bCs/>
          <w:i w:val="0"/>
          <w:iCs w:val="0"/>
          <w:color w:val="auto"/>
          <w:spacing w:val="0"/>
          <w:sz w:val="21"/>
          <w:szCs w:val="21"/>
          <w:lang w:val="en-US" w:eastAsia="zh-CN"/>
        </w:rPr>
        <w:t>5.1开标时间和地点</w:t>
      </w:r>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招标人在本章第4.2.1项规定的投标截止时间（开标时间）和和投标人须知前附表规定的地点开标，并邀请所有投标人的法定代表人（单位负责人）或其委托代理人准时参加。</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72" w:name="_Toc30969"/>
      <w:bookmarkStart w:id="73" w:name="_Toc6000"/>
      <w:r>
        <w:rPr>
          <w:rFonts w:hint="eastAsia" w:asciiTheme="minorEastAsia" w:hAnsiTheme="minorEastAsia" w:cstheme="minorEastAsia"/>
          <w:b/>
          <w:bCs/>
          <w:i w:val="0"/>
          <w:iCs w:val="0"/>
          <w:color w:val="auto"/>
          <w:spacing w:val="0"/>
          <w:sz w:val="21"/>
          <w:szCs w:val="21"/>
          <w:lang w:val="en-US" w:eastAsia="zh-CN"/>
        </w:rPr>
        <w:t>5.2开标程序</w:t>
      </w:r>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bookmarkStart w:id="74" w:name="_Toc1983"/>
      <w:bookmarkStart w:id="75" w:name="_Toc10523"/>
      <w:r>
        <w:rPr>
          <w:rFonts w:hint="eastAsia" w:asciiTheme="minorEastAsia" w:hAnsiTheme="minorEastAsia" w:cstheme="minorEastAsia"/>
          <w:b w:val="0"/>
          <w:bCs w:val="0"/>
          <w:i w:val="0"/>
          <w:iCs w:val="0"/>
          <w:color w:val="auto"/>
          <w:spacing w:val="0"/>
          <w:sz w:val="21"/>
          <w:szCs w:val="21"/>
          <w:lang w:val="en-US" w:eastAsia="zh-CN"/>
        </w:rPr>
        <w:t>主持人按下列程序进行开标：</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(l）宣布开标纪律；</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(2）公布在投标截止时间前递交投标文件的投标人名称，并点名确认投标人是否派人到场；</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(3）宣布开标人、唱标人、记录人、监标人等有关人员姓名；</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(4）由公证人员检查投标文件的密封情况；</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(5）按照购买招标文件的先后顺序开标；</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(6）按照宣布的开标顺序当众开标，公布投标人名称、标段名称、投标保证金的递交情况、投标报价，并记录在案；</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(7）投标人代表、招标人代表、监标人、记录人等有关人员在开标记录上签字确认；</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(8）开标结束。</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r>
        <w:rPr>
          <w:rFonts w:hint="eastAsia" w:asciiTheme="minorEastAsia" w:hAnsiTheme="minorEastAsia" w:cstheme="minorEastAsia"/>
          <w:b/>
          <w:bCs/>
          <w:i w:val="0"/>
          <w:iCs w:val="0"/>
          <w:color w:val="auto"/>
          <w:spacing w:val="0"/>
          <w:sz w:val="21"/>
          <w:szCs w:val="21"/>
          <w:lang w:val="en-US" w:eastAsia="zh-CN"/>
        </w:rPr>
        <w:t>5.3开标异议</w:t>
      </w:r>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16"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投标人对开标有异议的，应当在开标现场提出，招标人当场作出答复，并制作记录。</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76" w:name="_Toc30593"/>
      <w:bookmarkStart w:id="77" w:name="_Toc11794"/>
      <w:r>
        <w:rPr>
          <w:rFonts w:hint="eastAsia" w:ascii="黑体" w:hAnsi="黑体" w:eastAsia="黑体" w:cs="黑体"/>
          <w:b/>
          <w:bCs/>
          <w:i w:val="0"/>
          <w:iCs w:val="0"/>
          <w:color w:val="auto"/>
          <w:spacing w:val="0"/>
          <w:sz w:val="32"/>
          <w:szCs w:val="32"/>
          <w:lang w:val="en-US" w:eastAsia="zh-CN"/>
        </w:rPr>
        <w:t>6.评标</w:t>
      </w:r>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78" w:name="_Toc15818"/>
      <w:bookmarkStart w:id="79" w:name="_Toc6813"/>
      <w:r>
        <w:rPr>
          <w:rFonts w:hint="eastAsia" w:asciiTheme="minorEastAsia" w:hAnsiTheme="minorEastAsia" w:cstheme="minorEastAsia"/>
          <w:b/>
          <w:bCs/>
          <w:i w:val="0"/>
          <w:iCs w:val="0"/>
          <w:color w:val="auto"/>
          <w:spacing w:val="0"/>
          <w:sz w:val="21"/>
          <w:szCs w:val="21"/>
          <w:lang w:val="en-US" w:eastAsia="zh-CN"/>
        </w:rPr>
        <w:t>6.1评标委员会</w:t>
      </w:r>
      <w:bookmarkEnd w:id="78"/>
      <w:bookmarkEnd w:id="7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6.1.2评标委员会成员有下列情形之一的，应当回避：</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投标人或投标人主要负责人的近亲属；</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项目主管部门或者行政监督部门的人员；</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与投标人有经济利益关系，可能影响对投标公正评审的；</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曾因在招标、评标以及其他与招标投标有关活动中从事违法行为而受过行政处罚或刑事处罚的；</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与投标人有其他利害关系。</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6.1.3评标过程中，评标委员会成员有回避事由、擅离职守或者因健康等原因不能继续评标的，招标人有权更换。被更换的评标委员会成员作出的评审结论无效，由更换后的评标委员会成员重新进行评审。</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80" w:name="_Toc3388"/>
      <w:bookmarkStart w:id="81" w:name="_Toc17996"/>
      <w:r>
        <w:rPr>
          <w:rFonts w:hint="eastAsia" w:asciiTheme="minorEastAsia" w:hAnsiTheme="minorEastAsia" w:cstheme="minorEastAsia"/>
          <w:b/>
          <w:bCs/>
          <w:i w:val="0"/>
          <w:iCs w:val="0"/>
          <w:color w:val="auto"/>
          <w:spacing w:val="0"/>
          <w:sz w:val="21"/>
          <w:szCs w:val="21"/>
          <w:lang w:val="en-US" w:eastAsia="zh-CN"/>
        </w:rPr>
        <w:t>6.2评标原则</w:t>
      </w:r>
      <w:bookmarkEnd w:id="80"/>
      <w:bookmarkEnd w:id="8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评标活动遵循公平、公正、科学和择优的原则。</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82" w:name="_Toc1129"/>
      <w:bookmarkStart w:id="83" w:name="_Toc20231"/>
      <w:r>
        <w:rPr>
          <w:rFonts w:hint="eastAsia" w:asciiTheme="minorEastAsia" w:hAnsiTheme="minorEastAsia" w:cstheme="minorEastAsia"/>
          <w:b/>
          <w:bCs/>
          <w:i w:val="0"/>
          <w:iCs w:val="0"/>
          <w:color w:val="auto"/>
          <w:spacing w:val="0"/>
          <w:sz w:val="21"/>
          <w:szCs w:val="21"/>
          <w:lang w:val="en-US" w:eastAsia="zh-CN"/>
        </w:rPr>
        <w:t>6.3评标</w:t>
      </w:r>
      <w:bookmarkEnd w:id="82"/>
      <w:bookmarkEnd w:id="8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6.3.1评标委员会按照第三章“评标办法”规定的方法、评审因素、标准和程序对投标文件进行评审。第三章“评标办法”没有规定的方法、评审因素和标准，不作为评标依据。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6.3.2评标完成后，评标委员会应当向招标人提交书面评标报告和中标候选人名单。评标委员会推荐中标候选人的人数见投标人须知前附表。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84" w:name="_Toc13682"/>
      <w:bookmarkStart w:id="85" w:name="_Toc17926"/>
      <w:r>
        <w:rPr>
          <w:rFonts w:hint="eastAsia" w:ascii="黑体" w:hAnsi="黑体" w:eastAsia="黑体" w:cs="黑体"/>
          <w:b/>
          <w:bCs/>
          <w:i w:val="0"/>
          <w:iCs w:val="0"/>
          <w:color w:val="auto"/>
          <w:spacing w:val="0"/>
          <w:sz w:val="32"/>
          <w:szCs w:val="32"/>
          <w:lang w:val="en-US" w:eastAsia="zh-CN"/>
        </w:rPr>
        <w:t>7.合同授予</w:t>
      </w:r>
      <w:bookmarkEnd w:id="84"/>
      <w:bookmarkEnd w:id="8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86" w:name="_Toc3841"/>
      <w:bookmarkStart w:id="87" w:name="_Toc2620"/>
      <w:r>
        <w:rPr>
          <w:rFonts w:hint="eastAsia" w:asciiTheme="minorEastAsia" w:hAnsiTheme="minorEastAsia" w:cstheme="minorEastAsia"/>
          <w:b/>
          <w:bCs/>
          <w:i w:val="0"/>
          <w:iCs w:val="0"/>
          <w:color w:val="auto"/>
          <w:spacing w:val="0"/>
          <w:sz w:val="21"/>
          <w:szCs w:val="21"/>
          <w:lang w:val="en-US" w:eastAsia="zh-CN"/>
        </w:rPr>
        <w:t>7.1中标候选人公示</w:t>
      </w:r>
      <w:bookmarkEnd w:id="86"/>
      <w:bookmarkEnd w:id="8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招标人在收到评标报告之日起3日内，按照投标人须知前附表规定的公示媒介和期限公示中标候选人，公示期不得少于1个工作日。</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88" w:name="_Toc4460"/>
      <w:bookmarkStart w:id="89" w:name="_Toc17802"/>
      <w:r>
        <w:rPr>
          <w:rFonts w:hint="eastAsia" w:asciiTheme="minorEastAsia" w:hAnsiTheme="minorEastAsia" w:cstheme="minorEastAsia"/>
          <w:b/>
          <w:bCs/>
          <w:i w:val="0"/>
          <w:iCs w:val="0"/>
          <w:color w:val="auto"/>
          <w:spacing w:val="0"/>
          <w:sz w:val="21"/>
          <w:szCs w:val="21"/>
          <w:lang w:val="en-US" w:eastAsia="zh-CN"/>
        </w:rPr>
        <w:t>7.2评标结果异议</w:t>
      </w:r>
      <w:bookmarkEnd w:id="88"/>
      <w:bookmarkEnd w:id="8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投标人或者其他利害关系人对评标结果有异议的，应当在中标候选人公示期间提出。招标人将在收到异议之日起3日内作出答复；作出答复前，将暂停招标投标活动。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90" w:name="_Toc31922"/>
      <w:bookmarkStart w:id="91" w:name="_Toc21029"/>
      <w:r>
        <w:rPr>
          <w:rFonts w:hint="eastAsia" w:asciiTheme="minorEastAsia" w:hAnsiTheme="minorEastAsia" w:cstheme="minorEastAsia"/>
          <w:b/>
          <w:bCs/>
          <w:i w:val="0"/>
          <w:iCs w:val="0"/>
          <w:color w:val="auto"/>
          <w:spacing w:val="0"/>
          <w:sz w:val="21"/>
          <w:szCs w:val="21"/>
          <w:lang w:val="en-US" w:eastAsia="zh-CN"/>
        </w:rPr>
        <w:t>7.3中标候选人履约能力审查</w:t>
      </w:r>
      <w:bookmarkEnd w:id="90"/>
      <w:bookmarkEnd w:id="9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中标候选人的经营、财务状况发生较大变化或存在违法行为，招标人认为可能影响其履约能力的，将在发出中标通知书前提请原评标委员会按照招标文件规定的标准和方法进行审查确认。</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92" w:name="_Toc22885"/>
      <w:bookmarkStart w:id="93" w:name="_Toc6223"/>
      <w:r>
        <w:rPr>
          <w:rFonts w:hint="eastAsia" w:asciiTheme="minorEastAsia" w:hAnsiTheme="minorEastAsia" w:cstheme="minorEastAsia"/>
          <w:b/>
          <w:bCs/>
          <w:i w:val="0"/>
          <w:iCs w:val="0"/>
          <w:color w:val="auto"/>
          <w:spacing w:val="0"/>
          <w:sz w:val="21"/>
          <w:szCs w:val="21"/>
          <w:lang w:val="en-US" w:eastAsia="zh-CN"/>
        </w:rPr>
        <w:t>7.4定标</w:t>
      </w:r>
      <w:bookmarkEnd w:id="92"/>
      <w:bookmarkEnd w:id="9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按照投标人须知前附表的规定，招标人或招标人授权的评标委员会依法确定中标人。</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94" w:name="_Toc19266"/>
      <w:bookmarkStart w:id="95" w:name="_Toc17788"/>
      <w:r>
        <w:rPr>
          <w:rFonts w:hint="eastAsia" w:asciiTheme="minorEastAsia" w:hAnsiTheme="minorEastAsia" w:cstheme="minorEastAsia"/>
          <w:b/>
          <w:bCs/>
          <w:i w:val="0"/>
          <w:iCs w:val="0"/>
          <w:color w:val="auto"/>
          <w:spacing w:val="0"/>
          <w:sz w:val="21"/>
          <w:szCs w:val="21"/>
          <w:lang w:val="en-US" w:eastAsia="zh-CN"/>
        </w:rPr>
        <w:t>7.5中标通知</w:t>
      </w:r>
      <w:bookmarkEnd w:id="94"/>
      <w:bookmarkEnd w:id="9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在本章第3.3款规定的投标有效期内，招标人以书面形式向中标人发出中标通知书，同时将中标结果通知未中标的投标人。</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96" w:name="_Toc1731"/>
      <w:bookmarkStart w:id="97" w:name="_Toc8339"/>
      <w:r>
        <w:rPr>
          <w:rFonts w:hint="eastAsia" w:asciiTheme="minorEastAsia" w:hAnsiTheme="minorEastAsia" w:cstheme="minorEastAsia"/>
          <w:b/>
          <w:bCs/>
          <w:i w:val="0"/>
          <w:iCs w:val="0"/>
          <w:color w:val="auto"/>
          <w:spacing w:val="0"/>
          <w:sz w:val="21"/>
          <w:szCs w:val="21"/>
          <w:lang w:val="en-US" w:eastAsia="zh-CN"/>
        </w:rPr>
        <w:t>7.6</w:t>
      </w:r>
      <w:r>
        <w:rPr>
          <w:rFonts w:hint="eastAsia" w:asciiTheme="minorEastAsia" w:hAnsiTheme="minorEastAsia" w:cstheme="minorEastAsia"/>
          <w:b/>
          <w:bCs/>
          <w:i w:val="0"/>
          <w:iCs w:val="0"/>
          <w:color w:val="FF0000"/>
          <w:spacing w:val="0"/>
          <w:sz w:val="21"/>
          <w:szCs w:val="21"/>
          <w:lang w:val="en-US" w:eastAsia="zh-CN"/>
        </w:rPr>
        <w:t>履约保证金</w:t>
      </w:r>
      <w:bookmarkEnd w:id="96"/>
      <w:bookmarkEnd w:id="97"/>
      <w:r>
        <w:rPr>
          <w:rFonts w:hint="eastAsia" w:asciiTheme="minorEastAsia" w:hAnsiTheme="minorEastAsia" w:cstheme="minorEastAsia"/>
          <w:b/>
          <w:bCs/>
          <w:i w:val="0"/>
          <w:iCs w:val="0"/>
          <w:color w:val="FF0000"/>
          <w:spacing w:val="0"/>
          <w:sz w:val="21"/>
          <w:szCs w:val="21"/>
          <w:lang w:val="en-US" w:eastAsia="zh-CN"/>
        </w:rPr>
        <w:t>（本项目不作要求）</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hint="eastAsia" w:asciiTheme="minorEastAsia" w:hAnsiTheme="minorEastAsia" w:cstheme="minorEastAsia"/>
          <w:b w:val="0"/>
          <w:bCs w:val="0"/>
          <w:i w:val="0"/>
          <w:iCs w:val="0"/>
          <w:color w:val="auto"/>
          <w:spacing w:val="0"/>
          <w:sz w:val="21"/>
          <w:szCs w:val="21"/>
          <w:u w:val="single"/>
          <w:lang w:val="en-US" w:eastAsia="zh-CN"/>
        </w:rPr>
        <w:t xml:space="preserve">  /  </w:t>
      </w:r>
      <w:r>
        <w:rPr>
          <w:rFonts w:hint="eastAsia" w:asciiTheme="minorEastAsia" w:hAnsiTheme="minorEastAsia" w:cstheme="minorEastAsia"/>
          <w:b w:val="0"/>
          <w:bCs w:val="0"/>
          <w:i w:val="0"/>
          <w:iCs w:val="0"/>
          <w:color w:val="auto"/>
          <w:spacing w:val="0"/>
          <w:sz w:val="21"/>
          <w:szCs w:val="21"/>
          <w:lang w:val="en-US" w:eastAsia="zh-CN"/>
        </w:rPr>
        <w:t>。联合体中标的，其履约保证金以联合体各方或者联合体中牵头人的名义提交。</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7.6.2中标人不能按本章第7.6.1项要求提交履约保证金的，视为放弃中标，其投标保证金不予退还，给招标人造成的损失超过投标保证金数额的，中标人还应当对超过部分予以赔偿。</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98" w:name="_Toc26909"/>
      <w:bookmarkStart w:id="99" w:name="_Toc32614"/>
      <w:r>
        <w:rPr>
          <w:rFonts w:hint="eastAsia" w:asciiTheme="minorEastAsia" w:hAnsiTheme="minorEastAsia" w:cstheme="minorEastAsia"/>
          <w:b/>
          <w:bCs/>
          <w:i w:val="0"/>
          <w:iCs w:val="0"/>
          <w:color w:val="auto"/>
          <w:spacing w:val="0"/>
          <w:sz w:val="21"/>
          <w:szCs w:val="21"/>
          <w:lang w:val="en-US" w:eastAsia="zh-CN"/>
        </w:rPr>
        <w:t>7.7签订合同</w:t>
      </w:r>
      <w:bookmarkEnd w:id="98"/>
      <w:bookmarkEnd w:id="9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bCs/>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7.7.1</w:t>
      </w:r>
      <w:r>
        <w:rPr>
          <w:rFonts w:hint="eastAsia" w:asciiTheme="minorEastAsia" w:hAnsiTheme="minorEastAsia" w:cstheme="minorEastAsia"/>
          <w:b/>
          <w:bCs/>
          <w:i w:val="0"/>
          <w:iCs w:val="0"/>
          <w:color w:val="auto"/>
          <w:spacing w:val="0"/>
          <w:sz w:val="21"/>
          <w:szCs w:val="21"/>
          <w:lang w:val="en-US" w:eastAsia="zh-CN"/>
        </w:rPr>
        <w:t>招标人和中标人应当在中标通知书发出之日起3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7.7.2发出中标通知书后，招标人无正当理由拒签合同，或者在签订合同时向中标人提出附加条件的，招标人向中标人退还投标保证金；给中标人造成损失的，还应当赔偿损失。</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7.7.3联合体中标的，联合体各方应当共同与招标人签订合同，就中标项目向招标人承担连带责任。</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100" w:name="_Toc26649"/>
      <w:bookmarkStart w:id="101" w:name="_Toc3498"/>
      <w:r>
        <w:rPr>
          <w:rFonts w:hint="eastAsia" w:ascii="黑体" w:hAnsi="黑体" w:eastAsia="黑体" w:cs="黑体"/>
          <w:b/>
          <w:bCs/>
          <w:i w:val="0"/>
          <w:iCs w:val="0"/>
          <w:color w:val="auto"/>
          <w:spacing w:val="0"/>
          <w:sz w:val="32"/>
          <w:szCs w:val="32"/>
          <w:lang w:val="en-US" w:eastAsia="zh-CN"/>
        </w:rPr>
        <w:t>8.纪律和监督</w:t>
      </w:r>
      <w:bookmarkEnd w:id="100"/>
      <w:bookmarkEnd w:id="10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02" w:name="_Toc24108"/>
      <w:bookmarkStart w:id="103" w:name="_Toc24230"/>
      <w:r>
        <w:rPr>
          <w:rFonts w:hint="eastAsia" w:asciiTheme="minorEastAsia" w:hAnsiTheme="minorEastAsia" w:cstheme="minorEastAsia"/>
          <w:b/>
          <w:bCs/>
          <w:i w:val="0"/>
          <w:iCs w:val="0"/>
          <w:color w:val="auto"/>
          <w:spacing w:val="0"/>
          <w:sz w:val="21"/>
          <w:szCs w:val="21"/>
          <w:lang w:val="en-US" w:eastAsia="zh-CN"/>
        </w:rPr>
        <w:t>8.1对招标人的纪律要求</w:t>
      </w:r>
      <w:bookmarkEnd w:id="102"/>
      <w:bookmarkEnd w:id="10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招标人不得泄露招标投标活动中应当保密的情况和资料，不得与投标人串通损害国家利益、社会公共利益或者他人合法权益。</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04" w:name="_Toc2937"/>
      <w:bookmarkStart w:id="105" w:name="_Toc27744"/>
      <w:r>
        <w:rPr>
          <w:rFonts w:hint="eastAsia" w:asciiTheme="minorEastAsia" w:hAnsiTheme="minorEastAsia" w:cstheme="minorEastAsia"/>
          <w:b/>
          <w:bCs/>
          <w:i w:val="0"/>
          <w:iCs w:val="0"/>
          <w:color w:val="auto"/>
          <w:spacing w:val="0"/>
          <w:sz w:val="21"/>
          <w:szCs w:val="21"/>
          <w:lang w:val="en-US" w:eastAsia="zh-CN"/>
        </w:rPr>
        <w:t>8.2对投标人的纪律要求</w:t>
      </w:r>
      <w:bookmarkEnd w:id="104"/>
      <w:bookmarkEnd w:id="10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06" w:name="_Toc11692"/>
      <w:bookmarkStart w:id="107" w:name="_Toc21149"/>
      <w:r>
        <w:rPr>
          <w:rFonts w:hint="eastAsia" w:asciiTheme="minorEastAsia" w:hAnsiTheme="minorEastAsia" w:cstheme="minorEastAsia"/>
          <w:b/>
          <w:bCs/>
          <w:i w:val="0"/>
          <w:iCs w:val="0"/>
          <w:color w:val="auto"/>
          <w:spacing w:val="0"/>
          <w:sz w:val="21"/>
          <w:szCs w:val="21"/>
          <w:lang w:val="en-US" w:eastAsia="zh-CN"/>
        </w:rPr>
        <w:t>8.3对评标委员会成员的纪律要求</w:t>
      </w:r>
      <w:bookmarkEnd w:id="106"/>
      <w:bookmarkEnd w:id="10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08" w:name="_Toc19851"/>
      <w:bookmarkStart w:id="109" w:name="_Toc11905"/>
      <w:r>
        <w:rPr>
          <w:rFonts w:hint="eastAsia" w:asciiTheme="minorEastAsia" w:hAnsiTheme="minorEastAsia" w:cstheme="minorEastAsia"/>
          <w:b/>
          <w:bCs/>
          <w:i w:val="0"/>
          <w:iCs w:val="0"/>
          <w:color w:val="auto"/>
          <w:spacing w:val="0"/>
          <w:sz w:val="21"/>
          <w:szCs w:val="21"/>
          <w:lang w:val="en-US" w:eastAsia="zh-CN"/>
        </w:rPr>
        <w:t>8.4对与评标活动有关的工作人员的纪律要求</w:t>
      </w:r>
      <w:bookmarkEnd w:id="108"/>
      <w:bookmarkEnd w:id="10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10" w:name="_Toc35"/>
      <w:bookmarkStart w:id="111" w:name="_Toc1155"/>
      <w:r>
        <w:rPr>
          <w:rFonts w:hint="eastAsia" w:asciiTheme="minorEastAsia" w:hAnsiTheme="minorEastAsia" w:cstheme="minorEastAsia"/>
          <w:b/>
          <w:bCs/>
          <w:i w:val="0"/>
          <w:iCs w:val="0"/>
          <w:color w:val="auto"/>
          <w:spacing w:val="0"/>
          <w:sz w:val="21"/>
          <w:szCs w:val="21"/>
          <w:lang w:val="en-US" w:eastAsia="zh-CN"/>
        </w:rPr>
        <w:t>8.5投诉</w:t>
      </w:r>
      <w:bookmarkEnd w:id="110"/>
      <w:bookmarkEnd w:id="11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8.5.1投标人或者其他利害关系人认为招标投标活动不符合法律、行政法规规定的，可以自知道或者应当知道之日起10日内向有关行政监督部门投诉。投诉应当有明确的请求和必要的证明材料。</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8.5.2投标人或者其他利害关系人对招标文件、开标和评标结果提出投诉的，应当按照投标人须知第2.4款、第5.3款和第7.2款的规定先向招标人提出异议。异议答复期间不计算在第8.5.1项规定的期限内。</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112" w:name="_Toc17639"/>
      <w:bookmarkStart w:id="113" w:name="_Toc27872"/>
      <w:r>
        <w:rPr>
          <w:rFonts w:hint="eastAsia" w:ascii="黑体" w:hAnsi="黑体" w:eastAsia="黑体" w:cs="黑体"/>
          <w:b/>
          <w:bCs/>
          <w:i w:val="0"/>
          <w:iCs w:val="0"/>
          <w:color w:val="auto"/>
          <w:spacing w:val="0"/>
          <w:sz w:val="32"/>
          <w:szCs w:val="32"/>
          <w:lang w:val="en-US" w:eastAsia="zh-CN"/>
        </w:rPr>
        <w:t>9.需要补充的其他内容</w:t>
      </w:r>
      <w:bookmarkEnd w:id="112"/>
      <w:bookmarkEnd w:id="11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default"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需要补充的其他内容：见投标人须知前附表。</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right="0" w:rightChars="0"/>
        <w:jc w:val="center"/>
        <w:textAlignment w:val="auto"/>
        <w:outlineLvl w:val="0"/>
        <w:rPr>
          <w:rFonts w:hint="eastAsia" w:asciiTheme="minorEastAsia" w:hAnsiTheme="minorEastAsia" w:cstheme="minorEastAsia"/>
          <w:b/>
          <w:bCs/>
          <w:i w:val="0"/>
          <w:iCs w:val="0"/>
          <w:color w:val="auto"/>
          <w:spacing w:val="0"/>
          <w:sz w:val="32"/>
          <w:szCs w:val="32"/>
          <w:lang w:val="en-US" w:eastAsia="zh-CN"/>
        </w:rPr>
      </w:pPr>
      <w:r>
        <w:rPr>
          <w:rFonts w:hint="eastAsia" w:asciiTheme="minorEastAsia" w:hAnsiTheme="minorEastAsia" w:cstheme="minorEastAsia"/>
          <w:b/>
          <w:bCs/>
          <w:i w:val="0"/>
          <w:iCs w:val="0"/>
          <w:color w:val="auto"/>
          <w:spacing w:val="0"/>
          <w:sz w:val="32"/>
          <w:szCs w:val="32"/>
          <w:lang w:val="en-US" w:eastAsia="zh-CN"/>
        </w:rPr>
        <w:t xml:space="preserve"> </w:t>
      </w:r>
      <w:bookmarkStart w:id="114" w:name="_Toc6321"/>
      <w:bookmarkStart w:id="115" w:name="_Toc28445"/>
      <w:bookmarkStart w:id="116" w:name="_Toc2462"/>
      <w:r>
        <w:rPr>
          <w:rFonts w:hint="eastAsia" w:asciiTheme="minorEastAsia" w:hAnsiTheme="minorEastAsia" w:cstheme="minorEastAsia"/>
          <w:b/>
          <w:bCs/>
          <w:i w:val="0"/>
          <w:iCs w:val="0"/>
          <w:color w:val="auto"/>
          <w:spacing w:val="0"/>
          <w:sz w:val="32"/>
          <w:szCs w:val="32"/>
          <w:lang w:val="en-US" w:eastAsia="zh-CN"/>
        </w:rPr>
        <w:t>评标办法（综合评分法）</w:t>
      </w:r>
      <w:bookmarkEnd w:id="114"/>
      <w:bookmarkEnd w:id="115"/>
      <w:bookmarkEnd w:id="116"/>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1"/>
        <w:rPr>
          <w:rFonts w:hint="eastAsia"/>
          <w:b/>
          <w:sz w:val="24"/>
          <w:lang w:val="en-US" w:eastAsia="zh-CN"/>
        </w:rPr>
      </w:pPr>
      <w:bookmarkStart w:id="117" w:name="_Toc2532"/>
      <w:bookmarkStart w:id="118" w:name="_Toc5749"/>
      <w:r>
        <w:rPr>
          <w:rFonts w:hint="eastAsia" w:asciiTheme="minorEastAsia" w:hAnsiTheme="minorEastAsia" w:cstheme="minorEastAsia"/>
          <w:b/>
          <w:bCs/>
          <w:i w:val="0"/>
          <w:iCs w:val="0"/>
          <w:color w:val="auto"/>
          <w:spacing w:val="0"/>
          <w:sz w:val="21"/>
          <w:szCs w:val="21"/>
          <w:lang w:val="en-US" w:eastAsia="zh-CN"/>
        </w:rPr>
        <w:t>评标办法前附表</w:t>
      </w:r>
      <w:bookmarkEnd w:id="117"/>
      <w:bookmarkEnd w:id="118"/>
      <w:bookmarkStart w:id="119" w:name="_Toc30579"/>
    </w:p>
    <w:tbl>
      <w:tblPr>
        <w:tblStyle w:val="23"/>
        <w:tblW w:w="9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098"/>
        <w:gridCol w:w="2050"/>
        <w:gridCol w:w="5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96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bCs/>
                <w:i w:val="0"/>
                <w:iCs w:val="0"/>
                <w:color w:val="auto"/>
                <w:spacing w:val="0"/>
                <w:sz w:val="20"/>
                <w:szCs w:val="20"/>
                <w:vertAlign w:val="baseline"/>
                <w:lang w:val="en-US" w:eastAsia="zh-CN"/>
              </w:rPr>
            </w:pPr>
            <w:r>
              <w:rPr>
                <w:rFonts w:hint="eastAsia" w:asciiTheme="minorEastAsia" w:hAnsiTheme="minorEastAsia" w:cstheme="minorEastAsia"/>
                <w:b/>
                <w:bCs/>
                <w:i w:val="0"/>
                <w:iCs w:val="0"/>
                <w:color w:val="auto"/>
                <w:spacing w:val="0"/>
                <w:sz w:val="20"/>
                <w:szCs w:val="20"/>
                <w:vertAlign w:val="baseline"/>
                <w:lang w:val="en-US" w:eastAsia="zh-CN"/>
              </w:rPr>
              <w:t>条款号</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bCs/>
                <w:i w:val="0"/>
                <w:iCs w:val="0"/>
                <w:color w:val="auto"/>
                <w:spacing w:val="0"/>
                <w:sz w:val="20"/>
                <w:szCs w:val="20"/>
                <w:vertAlign w:val="baseline"/>
                <w:lang w:val="en-US" w:eastAsia="zh-CN"/>
              </w:rPr>
            </w:pPr>
            <w:r>
              <w:rPr>
                <w:rFonts w:hint="eastAsia" w:asciiTheme="minorEastAsia" w:hAnsiTheme="minorEastAsia" w:cstheme="minorEastAsia"/>
                <w:b/>
                <w:bCs/>
                <w:i w:val="0"/>
                <w:iCs w:val="0"/>
                <w:color w:val="auto"/>
                <w:spacing w:val="0"/>
                <w:sz w:val="20"/>
                <w:szCs w:val="20"/>
                <w:vertAlign w:val="baseline"/>
                <w:lang w:val="en-US" w:eastAsia="zh-CN"/>
              </w:rPr>
              <w:t>评审因素</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bCs/>
                <w:i w:val="0"/>
                <w:iCs w:val="0"/>
                <w:color w:val="auto"/>
                <w:spacing w:val="0"/>
                <w:sz w:val="20"/>
                <w:szCs w:val="20"/>
                <w:vertAlign w:val="baseline"/>
                <w:lang w:val="en-US" w:eastAsia="zh-CN"/>
              </w:rPr>
            </w:pPr>
            <w:r>
              <w:rPr>
                <w:rFonts w:hint="eastAsia" w:asciiTheme="minorEastAsia" w:hAnsiTheme="minorEastAsia" w:cstheme="minorEastAsia"/>
                <w:b/>
                <w:bCs/>
                <w:i w:val="0"/>
                <w:iCs w:val="0"/>
                <w:color w:val="auto"/>
                <w:spacing w:val="0"/>
                <w:sz w:val="20"/>
                <w:szCs w:val="20"/>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w:t>
            </w:r>
          </w:p>
        </w:tc>
        <w:tc>
          <w:tcPr>
            <w:tcW w:w="10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评标方法</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中标候选人排序方法</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综合评分法（按综合得分从高到低排序）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6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2.1.2</w:t>
            </w:r>
          </w:p>
        </w:tc>
        <w:tc>
          <w:tcPr>
            <w:tcW w:w="10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资格评审标准</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营业执照</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合法的有效的营业执照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资质证书</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default" w:asciiTheme="minorEastAsia" w:hAnsiTheme="minorEastAsia" w:cstheme="minorEastAsia"/>
                <w:b w:val="0"/>
                <w:bCs w:val="0"/>
                <w:i w:val="0"/>
                <w:iCs w:val="0"/>
                <w:color w:val="auto"/>
                <w:spacing w:val="0"/>
                <w:sz w:val="22"/>
                <w:szCs w:val="22"/>
                <w:vertAlign w:val="baseline"/>
                <w:lang w:val="en-US" w:eastAsia="zh-CN"/>
              </w:rPr>
              <w:t>具备独立法人资格的工程咨询单位（石化、化工专业）乙级或以上资信证书资质。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财务要求</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提供近三年财务审计报告，成立不足一年的提供成立至今的财务报表。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信誉要求</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无不良行为记录。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联合体投标</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不存在禁止投标的情形</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国家法律法规和招标文件规定的其他情形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2.1.3</w:t>
            </w:r>
          </w:p>
        </w:tc>
        <w:tc>
          <w:tcPr>
            <w:tcW w:w="10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符合性评审标准</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投标报价</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不高于最高限价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供货</w:t>
            </w:r>
            <w:r>
              <w:rPr>
                <w:rFonts w:hint="default" w:asciiTheme="minorEastAsia" w:hAnsiTheme="minorEastAsia" w:cstheme="minorEastAsia"/>
                <w:b w:val="0"/>
                <w:bCs w:val="0"/>
                <w:i w:val="0"/>
                <w:iCs w:val="0"/>
                <w:color w:val="auto"/>
                <w:spacing w:val="0"/>
                <w:sz w:val="22"/>
                <w:szCs w:val="22"/>
                <w:vertAlign w:val="baseline"/>
                <w:lang w:val="en-US" w:eastAsia="zh-CN"/>
              </w:rPr>
              <w:t>周期</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满足供货周期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服务质量要求</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满足国家有关技术标准及规范要求，达到相应设计阶段的技术要求，并通过相关部门审查批复。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投标有效期</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满足</w:t>
            </w:r>
            <w:r>
              <w:rPr>
                <w:rFonts w:hint="eastAsia" w:asciiTheme="minorEastAsia" w:hAnsiTheme="minorEastAsia" w:cstheme="minorEastAsia"/>
                <w:b w:val="0"/>
                <w:bCs w:val="0"/>
                <w:i w:val="0"/>
                <w:iCs w:val="0"/>
                <w:color w:val="auto"/>
                <w:spacing w:val="0"/>
                <w:kern w:val="0"/>
                <w:sz w:val="22"/>
                <w:szCs w:val="22"/>
                <w:vertAlign w:val="baseline"/>
                <w:lang w:val="en-US" w:eastAsia="zh-CN" w:bidi="ar-SA"/>
              </w:rPr>
              <w:t>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投标保证金</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符合第二章“投标人须知”第</w:t>
            </w:r>
            <w:r>
              <w:rPr>
                <w:rFonts w:hint="eastAsia" w:asciiTheme="minorEastAsia" w:hAnsiTheme="minorEastAsia" w:cstheme="minorEastAsia"/>
                <w:b w:val="0"/>
                <w:bCs w:val="0"/>
                <w:i w:val="0"/>
                <w:iCs w:val="0"/>
                <w:color w:val="auto"/>
                <w:spacing w:val="0"/>
                <w:sz w:val="21"/>
                <w:szCs w:val="21"/>
                <w:vertAlign w:val="baseline"/>
                <w:lang w:val="en-US" w:eastAsia="zh-CN"/>
              </w:rPr>
              <w:t>3.4</w:t>
            </w:r>
            <w:r>
              <w:rPr>
                <w:rFonts w:hint="eastAsia" w:asciiTheme="minorEastAsia" w:hAnsiTheme="minorEastAsia" w:cstheme="minorEastAsia"/>
                <w:b w:val="0"/>
                <w:bCs w:val="0"/>
                <w:i w:val="0"/>
                <w:iCs w:val="0"/>
                <w:color w:val="auto"/>
                <w:spacing w:val="0"/>
                <w:sz w:val="22"/>
                <w:szCs w:val="22"/>
                <w:vertAlign w:val="baseline"/>
                <w:lang w:val="en-US" w:eastAsia="zh-CN"/>
              </w:rPr>
              <w:t xml:space="preserve">项规定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其他要求</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投标文件不得附有招标人不能接受的条件；</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1"/>
        <w:rPr>
          <w:rFonts w:hint="eastAsia"/>
          <w:b/>
          <w:sz w:val="24"/>
          <w:lang w:val="en-US" w:eastAsia="zh-CN"/>
        </w:rPr>
      </w:pPr>
    </w:p>
    <w:p>
      <w:pPr>
        <w:pStyle w:val="37"/>
        <w:numPr>
          <w:ilvl w:val="0"/>
          <w:numId w:val="0"/>
        </w:numPr>
        <w:tabs>
          <w:tab w:val="left" w:pos="754"/>
        </w:tabs>
        <w:ind w:firstLine="271" w:firstLineChars="100"/>
        <w:rPr>
          <w:rFonts w:hint="eastAsia"/>
          <w:b/>
          <w:sz w:val="24"/>
          <w:lang w:val="en-US" w:eastAsia="zh-CN"/>
        </w:rPr>
      </w:pPr>
    </w:p>
    <w:p>
      <w:pPr>
        <w:pStyle w:val="37"/>
        <w:numPr>
          <w:ilvl w:val="0"/>
          <w:numId w:val="0"/>
        </w:numPr>
        <w:tabs>
          <w:tab w:val="left" w:pos="754"/>
        </w:tabs>
        <w:ind w:firstLine="271" w:firstLineChars="100"/>
        <w:rPr>
          <w:rFonts w:ascii="Times New Roman" w:eastAsia="Times New Roman"/>
          <w:b/>
          <w:sz w:val="24"/>
        </w:rPr>
      </w:pPr>
      <w:r>
        <w:rPr>
          <w:rFonts w:hint="eastAsia"/>
          <w:b/>
          <w:sz w:val="24"/>
          <w:lang w:val="en-US" w:eastAsia="zh-CN"/>
        </w:rPr>
        <w:t>2.</w:t>
      </w:r>
      <w:r>
        <w:rPr>
          <w:rFonts w:hint="eastAsia"/>
          <w:b/>
          <w:i w:val="0"/>
          <w:iCs/>
          <w:sz w:val="24"/>
          <w:lang w:val="en-US" w:eastAsia="zh-CN"/>
        </w:rPr>
        <w:t>2.4</w:t>
      </w:r>
      <w:r>
        <w:rPr>
          <w:b/>
          <w:i w:val="0"/>
          <w:iCs/>
          <w:sz w:val="24"/>
        </w:rPr>
        <w:t>商务标评分标准</w:t>
      </w:r>
    </w:p>
    <w:p>
      <w:pPr>
        <w:spacing w:before="68" w:after="3"/>
        <w:ind w:left="183" w:right="222"/>
        <w:jc w:val="center"/>
        <w:rPr>
          <w:b/>
          <w:i w:val="0"/>
          <w:iCs w:val="0"/>
          <w:sz w:val="30"/>
        </w:rPr>
      </w:pPr>
      <w:r>
        <w:rPr>
          <w:rFonts w:hint="eastAsia"/>
          <w:b/>
          <w:i w:val="0"/>
          <w:iCs w:val="0"/>
          <w:sz w:val="30"/>
          <w:lang w:val="en-US" w:eastAsia="zh-CN"/>
        </w:rPr>
        <w:t>技术</w:t>
      </w:r>
      <w:r>
        <w:rPr>
          <w:b/>
          <w:i w:val="0"/>
          <w:iCs w:val="0"/>
          <w:sz w:val="30"/>
        </w:rPr>
        <w:t>商务标评分分值表</w:t>
      </w:r>
    </w:p>
    <w:tbl>
      <w:tblPr>
        <w:tblStyle w:val="22"/>
        <w:tblW w:w="9525" w:type="dxa"/>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
        <w:gridCol w:w="2554"/>
        <w:gridCol w:w="708"/>
        <w:gridCol w:w="5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1" w:type="dxa"/>
          </w:tcPr>
          <w:p>
            <w:pPr>
              <w:pStyle w:val="47"/>
              <w:spacing w:before="111"/>
              <w:ind w:left="99" w:right="82"/>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序号</w:t>
            </w:r>
          </w:p>
        </w:tc>
        <w:tc>
          <w:tcPr>
            <w:tcW w:w="2554" w:type="dxa"/>
          </w:tcPr>
          <w:p>
            <w:pPr>
              <w:pStyle w:val="47"/>
              <w:spacing w:before="111"/>
              <w:ind w:left="206" w:right="195"/>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评分项目</w:t>
            </w:r>
          </w:p>
        </w:tc>
        <w:tc>
          <w:tcPr>
            <w:tcW w:w="708" w:type="dxa"/>
          </w:tcPr>
          <w:p>
            <w:pPr>
              <w:pStyle w:val="47"/>
              <w:spacing w:before="111"/>
              <w:ind w:left="125" w:right="113"/>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分值</w:t>
            </w:r>
          </w:p>
        </w:tc>
        <w:tc>
          <w:tcPr>
            <w:tcW w:w="5612" w:type="dxa"/>
          </w:tcPr>
          <w:p>
            <w:pPr>
              <w:pStyle w:val="47"/>
              <w:spacing w:before="111"/>
              <w:ind w:left="25" w:right="13"/>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651" w:type="dxa"/>
            <w:vMerge w:val="restart"/>
            <w:vAlign w:val="center"/>
          </w:tcPr>
          <w:p>
            <w:pPr>
              <w:pStyle w:val="47"/>
              <w:spacing w:before="123"/>
              <w:ind w:left="12"/>
              <w:jc w:val="cente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cstheme="minorEastAsia"/>
                <w:b w:val="0"/>
                <w:bCs w:val="0"/>
                <w:i w:val="0"/>
                <w:iCs w:val="0"/>
                <w:color w:val="auto"/>
                <w:spacing w:val="0"/>
                <w:kern w:val="0"/>
                <w:sz w:val="22"/>
                <w:szCs w:val="22"/>
                <w:vertAlign w:val="baseline"/>
                <w:lang w:val="en-US" w:eastAsia="zh-CN" w:bidi="ar-SA"/>
              </w:rPr>
              <w:t>1</w:t>
            </w:r>
          </w:p>
        </w:tc>
        <w:tc>
          <w:tcPr>
            <w:tcW w:w="2554" w:type="dxa"/>
            <w:vMerge w:val="restart"/>
            <w:tcBorders/>
            <w:vAlign w:val="center"/>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center"/>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投标报价得分</w:t>
            </w:r>
          </w:p>
        </w:tc>
        <w:tc>
          <w:tcPr>
            <w:tcW w:w="708" w:type="dxa"/>
            <w:vMerge w:val="restart"/>
            <w:vAlign w:val="center"/>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center"/>
              <w:textAlignment w:val="auto"/>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cstheme="minorEastAsia"/>
                <w:b w:val="0"/>
                <w:bCs w:val="0"/>
                <w:i w:val="0"/>
                <w:iCs w:val="0"/>
                <w:color w:val="auto"/>
                <w:spacing w:val="0"/>
                <w:kern w:val="0"/>
                <w:sz w:val="22"/>
                <w:szCs w:val="22"/>
                <w:vertAlign w:val="baseline"/>
                <w:lang w:val="en-US" w:eastAsia="zh-CN" w:bidi="ar-SA"/>
              </w:rPr>
              <w:t>15</w:t>
            </w:r>
          </w:p>
        </w:tc>
        <w:tc>
          <w:tcPr>
            <w:tcW w:w="5612" w:type="dxa"/>
            <w:vAlign w:val="center"/>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价格分应当采用低价优先法计算，即满足招标文件要求且投标价格最低的投标报价为评标基准价，其价格分为满分。其他投标人的价格分统一按照下列公式计算：</w:t>
            </w:r>
          </w:p>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投标报价得分＝(评标基准价／投标报价）*20</w:t>
            </w:r>
          </w:p>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评标过程中，不得去掉报价中的最高报价和最低报价。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651" w:type="dxa"/>
            <w:vMerge w:val="continue"/>
            <w:vAlign w:val="center"/>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pPr>
          </w:p>
        </w:tc>
        <w:tc>
          <w:tcPr>
            <w:tcW w:w="2554" w:type="dxa"/>
            <w:vMerge w:val="continue"/>
            <w:tcBorders/>
            <w:vAlign w:val="center"/>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p>
        </w:tc>
        <w:tc>
          <w:tcPr>
            <w:tcW w:w="708" w:type="dxa"/>
            <w:vMerge w:val="continue"/>
            <w:vAlign w:val="center"/>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p>
        </w:tc>
        <w:tc>
          <w:tcPr>
            <w:tcW w:w="5612" w:type="dxa"/>
            <w:vAlign w:val="center"/>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因落实政府采购政策进行价格调整的，以调整后的价格计算评标基准价和投标报价。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651" w:type="dxa"/>
            <w:vMerge w:val="continue"/>
            <w:vAlign w:val="center"/>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p>
        </w:tc>
        <w:tc>
          <w:tcPr>
            <w:tcW w:w="2554" w:type="dxa"/>
            <w:vMerge w:val="continue"/>
            <w:tcBorders/>
            <w:vAlign w:val="center"/>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p>
        </w:tc>
        <w:tc>
          <w:tcPr>
            <w:tcW w:w="708" w:type="dxa"/>
            <w:vMerge w:val="continue"/>
            <w:vAlign w:val="center"/>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p>
        </w:tc>
        <w:tc>
          <w:tcPr>
            <w:tcW w:w="5612" w:type="dxa"/>
            <w:vAlign w:val="center"/>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符合政府采购优先（节约能源、保护环境）采购政策及促进中小企业（监狱企业、残疾人福利性单位）发展政策的，依据规定给予评审优惠。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2" w:hRule="atLeast"/>
        </w:trPr>
        <w:tc>
          <w:tcPr>
            <w:tcW w:w="651" w:type="dxa"/>
            <w:vAlign w:val="center"/>
          </w:tcPr>
          <w:p>
            <w:pPr>
              <w:pStyle w:val="47"/>
              <w:spacing w:before="123"/>
              <w:ind w:left="12"/>
              <w:jc w:val="cente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cstheme="minorEastAsia"/>
                <w:b w:val="0"/>
                <w:bCs w:val="0"/>
                <w:i w:val="0"/>
                <w:iCs w:val="0"/>
                <w:color w:val="auto"/>
                <w:spacing w:val="0"/>
                <w:kern w:val="0"/>
                <w:sz w:val="22"/>
                <w:szCs w:val="22"/>
                <w:vertAlign w:val="baseline"/>
                <w:lang w:val="en-US" w:eastAsia="zh-CN" w:bidi="ar-SA"/>
              </w:rPr>
              <w:t>2</w:t>
            </w:r>
          </w:p>
        </w:tc>
        <w:tc>
          <w:tcPr>
            <w:tcW w:w="2554" w:type="dxa"/>
            <w:vAlign w:val="center"/>
          </w:tcPr>
          <w:p>
            <w:pPr>
              <w:pStyle w:val="47"/>
              <w:spacing w:before="109"/>
              <w:ind w:left="206" w:right="195"/>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项目理解</w:t>
            </w:r>
          </w:p>
        </w:tc>
        <w:tc>
          <w:tcPr>
            <w:tcW w:w="708" w:type="dxa"/>
            <w:vAlign w:val="center"/>
          </w:tcPr>
          <w:p>
            <w:pPr>
              <w:pStyle w:val="47"/>
              <w:spacing w:before="123"/>
              <w:ind w:left="7"/>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13</w:t>
            </w:r>
          </w:p>
        </w:tc>
        <w:tc>
          <w:tcPr>
            <w:tcW w:w="5612" w:type="dxa"/>
            <w:vAlign w:val="center"/>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 xml:space="preserve">结合本项目工作的背景，对工作服务特点的了解和熟悉程度进行综合评价。 </w:t>
            </w:r>
          </w:p>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1、方案完整合理、对项目理解透彻针对性强，得13分；</w:t>
            </w:r>
          </w:p>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2、方案完整合理，对项目理解基本到位，有针对性，得9分；</w:t>
            </w:r>
          </w:p>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3、方案完整、理解一般，针对性一般，得5分；</w:t>
            </w:r>
          </w:p>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4、方案基本完整、不太理解需求，无针对性，得1分；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6" w:hRule="atLeast"/>
        </w:trPr>
        <w:tc>
          <w:tcPr>
            <w:tcW w:w="651" w:type="dxa"/>
            <w:vAlign w:val="center"/>
          </w:tcPr>
          <w:p>
            <w:pPr>
              <w:pStyle w:val="47"/>
              <w:ind w:left="12"/>
              <w:jc w:val="cente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cstheme="minorEastAsia"/>
                <w:b w:val="0"/>
                <w:bCs w:val="0"/>
                <w:i w:val="0"/>
                <w:iCs w:val="0"/>
                <w:color w:val="auto"/>
                <w:spacing w:val="0"/>
                <w:kern w:val="0"/>
                <w:sz w:val="22"/>
                <w:szCs w:val="22"/>
                <w:vertAlign w:val="baseline"/>
                <w:lang w:val="en-US" w:eastAsia="zh-CN" w:bidi="ar-SA"/>
              </w:rPr>
              <w:t>3</w:t>
            </w:r>
          </w:p>
        </w:tc>
        <w:tc>
          <w:tcPr>
            <w:tcW w:w="2554" w:type="dxa"/>
            <w:vAlign w:val="center"/>
          </w:tcPr>
          <w:p>
            <w:pPr>
              <w:pStyle w:val="47"/>
              <w:spacing w:before="139"/>
              <w:ind w:left="206" w:right="195"/>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进度、计划安排</w:t>
            </w:r>
          </w:p>
        </w:tc>
        <w:tc>
          <w:tcPr>
            <w:tcW w:w="708" w:type="dxa"/>
            <w:vAlign w:val="center"/>
          </w:tcPr>
          <w:p>
            <w:pPr>
              <w:pStyle w:val="47"/>
              <w:ind w:right="113"/>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10</w:t>
            </w:r>
          </w:p>
        </w:tc>
        <w:tc>
          <w:tcPr>
            <w:tcW w:w="5612" w:type="dxa"/>
            <w:vAlign w:val="center"/>
          </w:tcPr>
          <w:p>
            <w:pPr>
              <w:pStyle w:val="47"/>
              <w:keepNext w:val="0"/>
              <w:keepLines w:val="0"/>
              <w:pageBreakBefore w:val="0"/>
              <w:widowControl w:val="0"/>
              <w:kinsoku/>
              <w:wordWrap/>
              <w:overflowPunct/>
              <w:topLinePunct w:val="0"/>
              <w:autoSpaceDE/>
              <w:autoSpaceDN/>
              <w:bidi w:val="0"/>
              <w:adjustRightInd/>
              <w:spacing w:before="91"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供应商根据磋商文件中的工期要求，编制具体进度、计划安排时间、团队成员、进度计划的保障措施等方面：</w:t>
            </w:r>
          </w:p>
          <w:p>
            <w:pPr>
              <w:pStyle w:val="47"/>
              <w:keepNext w:val="0"/>
              <w:keepLines w:val="0"/>
              <w:pageBreakBefore w:val="0"/>
              <w:widowControl w:val="0"/>
              <w:kinsoku/>
              <w:wordWrap/>
              <w:overflowPunct/>
              <w:topLinePunct w:val="0"/>
              <w:autoSpaceDE/>
              <w:autoSpaceDN/>
              <w:bidi w:val="0"/>
              <w:adjustRightInd/>
              <w:spacing w:before="91"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1、总体进度计划和各阶段进度计划安排合理可行，保障措施可靠执行性强，方案最优的得10分；</w:t>
            </w:r>
          </w:p>
          <w:p>
            <w:pPr>
              <w:pStyle w:val="47"/>
              <w:keepNext w:val="0"/>
              <w:keepLines w:val="0"/>
              <w:pageBreakBefore w:val="0"/>
              <w:widowControl w:val="0"/>
              <w:kinsoku/>
              <w:wordWrap/>
              <w:overflowPunct/>
              <w:topLinePunct w:val="0"/>
              <w:autoSpaceDE/>
              <w:autoSpaceDN/>
              <w:bidi w:val="0"/>
              <w:adjustRightInd/>
              <w:spacing w:before="91"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2、总体进度计划和各阶段进度 计划安排基本合理，保障措施执行性一般，方案最一般的，得6分；</w:t>
            </w:r>
          </w:p>
          <w:p>
            <w:pPr>
              <w:pStyle w:val="47"/>
              <w:keepNext w:val="0"/>
              <w:keepLines w:val="0"/>
              <w:pageBreakBefore w:val="0"/>
              <w:widowControl w:val="0"/>
              <w:kinsoku/>
              <w:wordWrap/>
              <w:overflowPunct/>
              <w:topLinePunct w:val="0"/>
              <w:autoSpaceDE/>
              <w:autoSpaceDN/>
              <w:bidi w:val="0"/>
              <w:adjustRightInd/>
              <w:spacing w:before="91"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3、提供的进度 计划可行性、保障措施完善性不够具体或有个别缺漏项，得3分，</w:t>
            </w:r>
          </w:p>
          <w:p>
            <w:pPr>
              <w:pStyle w:val="47"/>
              <w:keepNext w:val="0"/>
              <w:keepLines w:val="0"/>
              <w:pageBreakBefore w:val="0"/>
              <w:widowControl w:val="0"/>
              <w:kinsoku/>
              <w:wordWrap/>
              <w:overflowPunct/>
              <w:topLinePunct w:val="0"/>
              <w:autoSpaceDE/>
              <w:autoSpaceDN/>
              <w:bidi w:val="0"/>
              <w:adjustRightInd/>
              <w:spacing w:before="91"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4、提供的方案完整性较差，可行性较差的得1分，不提供不得分。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9" w:hRule="atLeast"/>
        </w:trPr>
        <w:tc>
          <w:tcPr>
            <w:tcW w:w="651" w:type="dxa"/>
            <w:vAlign w:val="center"/>
          </w:tcPr>
          <w:p>
            <w:pPr>
              <w:pStyle w:val="47"/>
              <w:ind w:left="12"/>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cstheme="minorEastAsia"/>
                <w:b w:val="0"/>
                <w:bCs w:val="0"/>
                <w:i w:val="0"/>
                <w:iCs w:val="0"/>
                <w:color w:val="auto"/>
                <w:spacing w:val="0"/>
                <w:kern w:val="0"/>
                <w:sz w:val="22"/>
                <w:szCs w:val="22"/>
                <w:vertAlign w:val="baseline"/>
                <w:lang w:val="en-US" w:eastAsia="zh-CN" w:bidi="ar-SA"/>
              </w:rPr>
              <w:t>4</w:t>
            </w:r>
          </w:p>
        </w:tc>
        <w:tc>
          <w:tcPr>
            <w:tcW w:w="2554" w:type="dxa"/>
            <w:vAlign w:val="center"/>
          </w:tcPr>
          <w:p>
            <w:pPr>
              <w:pStyle w:val="47"/>
              <w:spacing w:before="139"/>
              <w:ind w:left="206" w:right="195"/>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规划方案</w:t>
            </w:r>
          </w:p>
        </w:tc>
        <w:tc>
          <w:tcPr>
            <w:tcW w:w="708" w:type="dxa"/>
            <w:vAlign w:val="center"/>
          </w:tcPr>
          <w:p>
            <w:pPr>
              <w:pStyle w:val="47"/>
              <w:ind w:right="113"/>
              <w:jc w:val="cente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15</w:t>
            </w:r>
          </w:p>
        </w:tc>
        <w:tc>
          <w:tcPr>
            <w:tcW w:w="5612"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供应商需结合当地发展规划，相关政策，结合本项目工作的背景、目标的理解，规划方案有明确的规划思路、详细的规划内容 和实施方案等且完全符合招标人规划要求的得15分；规划方案合理、结构比较 完整、基本符合招标人技术要求的得10分；规划基本合理、方案基本可行的得5 分；仅提供部分方案内容的得1分；没有提供的不得分。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6" w:hRule="atLeast"/>
        </w:trPr>
        <w:tc>
          <w:tcPr>
            <w:tcW w:w="651" w:type="dxa"/>
            <w:vAlign w:val="center"/>
          </w:tcPr>
          <w:p>
            <w:pPr>
              <w:pStyle w:val="47"/>
              <w:spacing w:before="1"/>
              <w:ind w:left="12"/>
              <w:jc w:val="cente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cstheme="minorEastAsia"/>
                <w:b w:val="0"/>
                <w:bCs w:val="0"/>
                <w:i w:val="0"/>
                <w:iCs w:val="0"/>
                <w:color w:val="auto"/>
                <w:spacing w:val="0"/>
                <w:kern w:val="0"/>
                <w:sz w:val="22"/>
                <w:szCs w:val="22"/>
                <w:vertAlign w:val="baseline"/>
                <w:lang w:val="en-US" w:eastAsia="zh-CN" w:bidi="ar-SA"/>
              </w:rPr>
              <w:t>5</w:t>
            </w:r>
          </w:p>
        </w:tc>
        <w:tc>
          <w:tcPr>
            <w:tcW w:w="2554" w:type="dxa"/>
            <w:vAlign w:val="center"/>
          </w:tcPr>
          <w:p>
            <w:pPr>
              <w:pStyle w:val="47"/>
              <w:ind w:left="208" w:right="195"/>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重难点认知</w:t>
            </w:r>
          </w:p>
        </w:tc>
        <w:tc>
          <w:tcPr>
            <w:tcW w:w="708" w:type="dxa"/>
            <w:vAlign w:val="center"/>
          </w:tcPr>
          <w:p>
            <w:pPr>
              <w:pStyle w:val="47"/>
              <w:spacing w:before="1"/>
              <w:ind w:left="7"/>
              <w:jc w:val="cente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10</w:t>
            </w:r>
          </w:p>
        </w:tc>
        <w:tc>
          <w:tcPr>
            <w:tcW w:w="5612" w:type="dxa"/>
            <w:vAlign w:val="center"/>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供应商须提供项目规划的重点和难点，能够针对规划内容的要求（科学规划布局、严控安全风险、其他配套规划等其他方面）进行对应分析，认知方案科学 合理并符合实际情况的得10分；提供的认知方案内容和措施基本符合本项目所需的得6分；提供的认知方案基本满足但有漏项的得3分；仅提供部分方案内容的得1分；没有提供的不得分。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651" w:type="dxa"/>
            <w:vAlign w:val="center"/>
          </w:tcPr>
          <w:p>
            <w:pPr>
              <w:pStyle w:val="47"/>
              <w:spacing w:before="1"/>
              <w:ind w:left="12"/>
              <w:jc w:val="cente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cstheme="minorEastAsia"/>
                <w:b w:val="0"/>
                <w:bCs w:val="0"/>
                <w:i w:val="0"/>
                <w:iCs w:val="0"/>
                <w:color w:val="auto"/>
                <w:spacing w:val="0"/>
                <w:kern w:val="0"/>
                <w:sz w:val="22"/>
                <w:szCs w:val="22"/>
                <w:vertAlign w:val="baseline"/>
                <w:lang w:val="en-US" w:eastAsia="zh-CN" w:bidi="ar-SA"/>
              </w:rPr>
              <w:t>6</w:t>
            </w:r>
          </w:p>
        </w:tc>
        <w:tc>
          <w:tcPr>
            <w:tcW w:w="2554" w:type="dxa"/>
            <w:vAlign w:val="center"/>
          </w:tcPr>
          <w:p>
            <w:pPr>
              <w:pStyle w:val="47"/>
              <w:spacing w:before="79"/>
              <w:ind w:left="25" w:right="16"/>
              <w:jc w:val="cente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供货能力</w:t>
            </w:r>
          </w:p>
        </w:tc>
        <w:tc>
          <w:tcPr>
            <w:tcW w:w="708" w:type="dxa"/>
            <w:vAlign w:val="top"/>
          </w:tcPr>
          <w:p>
            <w:pPr>
              <w:pStyle w:val="47"/>
              <w:spacing w:before="79"/>
              <w:ind w:left="25" w:right="16"/>
              <w:jc w:val="cente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p>
          <w:p>
            <w:pPr>
              <w:pStyle w:val="47"/>
              <w:spacing w:before="79"/>
              <w:ind w:left="25" w:right="16"/>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p>
          <w:p>
            <w:pPr>
              <w:pStyle w:val="47"/>
              <w:spacing w:before="79"/>
              <w:ind w:left="25" w:right="16"/>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12</w:t>
            </w:r>
          </w:p>
        </w:tc>
        <w:tc>
          <w:tcPr>
            <w:tcW w:w="5612" w:type="dxa"/>
            <w:vAlign w:val="top"/>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t>根据</w:t>
            </w: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供应商</w:t>
            </w:r>
            <w: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t>提供的最近三年内成功实施的项目类似业绩情况（须提供合同复印件或验收资料等有关证明材料）进行评分。投标人每提供一个合同金额均大于本项目金额的，得3分；最多得1</w:t>
            </w: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2</w:t>
            </w:r>
            <w: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t>分（须提供业绩合同或中标通知书扫描件，否则视为无效业绩）。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651" w:type="dxa"/>
            <w:vMerge w:val="restart"/>
            <w:vAlign w:val="center"/>
          </w:tcPr>
          <w:p>
            <w:pPr>
              <w:pStyle w:val="47"/>
              <w:spacing w:before="1"/>
              <w:ind w:left="12"/>
              <w:jc w:val="cente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cstheme="minorEastAsia"/>
                <w:b w:val="0"/>
                <w:bCs w:val="0"/>
                <w:i w:val="0"/>
                <w:iCs w:val="0"/>
                <w:color w:val="auto"/>
                <w:spacing w:val="0"/>
                <w:kern w:val="0"/>
                <w:sz w:val="22"/>
                <w:szCs w:val="22"/>
                <w:vertAlign w:val="baseline"/>
                <w:lang w:val="en-US" w:eastAsia="zh-CN" w:bidi="ar-SA"/>
              </w:rPr>
              <w:t>7</w:t>
            </w:r>
          </w:p>
        </w:tc>
        <w:tc>
          <w:tcPr>
            <w:tcW w:w="2554" w:type="dxa"/>
            <w:vMerge w:val="restart"/>
            <w:vAlign w:val="center"/>
          </w:tcPr>
          <w:p>
            <w:pPr>
              <w:pStyle w:val="47"/>
              <w:spacing w:before="79"/>
              <w:ind w:right="16"/>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综合实力</w:t>
            </w:r>
          </w:p>
        </w:tc>
        <w:tc>
          <w:tcPr>
            <w:tcW w:w="708" w:type="dxa"/>
            <w:vMerge w:val="restart"/>
            <w:vAlign w:val="top"/>
          </w:tcPr>
          <w:p>
            <w:pPr>
              <w:pStyle w:val="47"/>
              <w:spacing w:before="79"/>
              <w:ind w:left="25" w:right="16"/>
              <w:jc w:val="cente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p>
          <w:p>
            <w:pPr>
              <w:pStyle w:val="47"/>
              <w:spacing w:before="79"/>
              <w:ind w:left="25" w:right="16"/>
              <w:jc w:val="cente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p>
          <w:p>
            <w:pPr>
              <w:pStyle w:val="47"/>
              <w:spacing w:before="79"/>
              <w:ind w:left="25" w:right="16"/>
              <w:jc w:val="cente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p>
          <w:p>
            <w:pPr>
              <w:pStyle w:val="47"/>
              <w:spacing w:before="79"/>
              <w:ind w:left="25" w:right="16"/>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10</w:t>
            </w:r>
          </w:p>
        </w:tc>
        <w:tc>
          <w:tcPr>
            <w:tcW w:w="5612" w:type="dxa"/>
            <w:vAlign w:val="top"/>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供应商近三年以来自承担过国家部委委托的规划咨询项目或专题研究的，得4分；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651" w:type="dxa"/>
            <w:vMerge w:val="continue"/>
            <w:vAlign w:val="center"/>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pPr>
          </w:p>
        </w:tc>
        <w:tc>
          <w:tcPr>
            <w:tcW w:w="2554" w:type="dxa"/>
            <w:vMerge w:val="continue"/>
            <w:vAlign w:val="center"/>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pPr>
          </w:p>
        </w:tc>
        <w:tc>
          <w:tcPr>
            <w:tcW w:w="708" w:type="dxa"/>
            <w:vMerge w:val="continue"/>
            <w:vAlign w:val="top"/>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pPr>
          </w:p>
        </w:tc>
        <w:tc>
          <w:tcPr>
            <w:tcW w:w="5612" w:type="dxa"/>
            <w:vAlign w:val="top"/>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供应商近三年以来，获得过荣誉证书或评优、表彰文件，每提供一项国家级奖项得2分，每提供一项省级奖项得1分，本项最多得6分。（提供 相关职称材料复印件）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651" w:type="dxa"/>
            <w:vAlign w:val="center"/>
          </w:tcPr>
          <w:p>
            <w:pPr>
              <w:pStyle w:val="47"/>
              <w:spacing w:before="1"/>
              <w:ind w:left="12"/>
              <w:jc w:val="cente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cstheme="minorEastAsia"/>
                <w:b w:val="0"/>
                <w:bCs w:val="0"/>
                <w:i w:val="0"/>
                <w:iCs w:val="0"/>
                <w:color w:val="auto"/>
                <w:spacing w:val="0"/>
                <w:kern w:val="0"/>
                <w:sz w:val="22"/>
                <w:szCs w:val="22"/>
                <w:vertAlign w:val="baseline"/>
                <w:lang w:val="en-US" w:eastAsia="zh-CN" w:bidi="ar-SA"/>
              </w:rPr>
              <w:t>8</w:t>
            </w:r>
          </w:p>
        </w:tc>
        <w:tc>
          <w:tcPr>
            <w:tcW w:w="2554" w:type="dxa"/>
            <w:vAlign w:val="center"/>
          </w:tcPr>
          <w:p>
            <w:pPr>
              <w:pStyle w:val="47"/>
              <w:spacing w:before="79"/>
              <w:ind w:right="16"/>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拟投入人员配备</w:t>
            </w:r>
          </w:p>
        </w:tc>
        <w:tc>
          <w:tcPr>
            <w:tcW w:w="708" w:type="dxa"/>
            <w:vAlign w:val="center"/>
          </w:tcPr>
          <w:p>
            <w:pPr>
              <w:pStyle w:val="47"/>
              <w:spacing w:before="79"/>
              <w:ind w:left="25" w:right="16"/>
              <w:jc w:val="cente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p>
          <w:p>
            <w:pPr>
              <w:pStyle w:val="47"/>
              <w:spacing w:before="79"/>
              <w:ind w:left="25" w:right="16"/>
              <w:jc w:val="cente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p>
          <w:p>
            <w:pPr>
              <w:pStyle w:val="47"/>
              <w:spacing w:before="79"/>
              <w:ind w:left="25" w:right="16"/>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10</w:t>
            </w:r>
          </w:p>
        </w:tc>
        <w:tc>
          <w:tcPr>
            <w:tcW w:w="5612" w:type="dxa"/>
            <w:vAlign w:val="top"/>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1、拟派本项目负责人具有国家咨询工程师的得2分；</w:t>
            </w:r>
          </w:p>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2、拟派本项目其他人员（不含项目负责人）每具备一名教授级高工职称得1 分，每具备一名国家咨询工程师得2分，本项最多得8分。</w:t>
            </w:r>
          </w:p>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备注：</w:t>
            </w:r>
            <w: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t>提供相关证书</w:t>
            </w: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原</w:t>
            </w:r>
            <w: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t>件</w:t>
            </w: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的扫描件并</w:t>
            </w:r>
            <w: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t>加盖公章</w:t>
            </w: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651" w:type="dxa"/>
            <w:vAlign w:val="center"/>
          </w:tcPr>
          <w:p>
            <w:pPr>
              <w:pStyle w:val="47"/>
              <w:spacing w:before="1"/>
              <w:ind w:left="12"/>
              <w:jc w:val="center"/>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cstheme="minorEastAsia"/>
                <w:b w:val="0"/>
                <w:bCs w:val="0"/>
                <w:i w:val="0"/>
                <w:iCs w:val="0"/>
                <w:color w:val="auto"/>
                <w:spacing w:val="0"/>
                <w:kern w:val="0"/>
                <w:sz w:val="22"/>
                <w:szCs w:val="22"/>
                <w:vertAlign w:val="baseline"/>
                <w:lang w:val="en-US" w:eastAsia="zh-CN" w:bidi="ar-SA"/>
              </w:rPr>
              <w:t>9</w:t>
            </w:r>
          </w:p>
        </w:tc>
        <w:tc>
          <w:tcPr>
            <w:tcW w:w="2554" w:type="dxa"/>
            <w:vAlign w:val="center"/>
          </w:tcPr>
          <w:p>
            <w:pPr>
              <w:pStyle w:val="47"/>
              <w:spacing w:before="79"/>
              <w:ind w:right="16"/>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售后服务承诺</w:t>
            </w:r>
          </w:p>
        </w:tc>
        <w:tc>
          <w:tcPr>
            <w:tcW w:w="708" w:type="dxa"/>
            <w:vAlign w:val="center"/>
          </w:tcPr>
          <w:p>
            <w:pPr>
              <w:pStyle w:val="47"/>
              <w:spacing w:before="79"/>
              <w:ind w:right="16"/>
              <w:jc w:val="cente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5</w:t>
            </w:r>
          </w:p>
        </w:tc>
        <w:tc>
          <w:tcPr>
            <w:tcW w:w="5612" w:type="dxa"/>
            <w:vAlign w:val="top"/>
          </w:tcPr>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1、充分了解项目服务的需求，承诺对采购人提出的要求响应积极，响应时间 快、优惠承诺、售后服务措施等方面完整详细，服务承诺方案合理可行，得5 分；</w:t>
            </w:r>
          </w:p>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default"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2、方案较全面，对采购人提出的要求响应一般、有一定合理性，得3分；</w:t>
            </w:r>
          </w:p>
          <w:p>
            <w:pPr>
              <w:pStyle w:val="47"/>
              <w:keepNext w:val="0"/>
              <w:keepLines w:val="0"/>
              <w:pageBreakBefore w:val="0"/>
              <w:widowControl w:val="0"/>
              <w:kinsoku/>
              <w:wordWrap/>
              <w:overflowPunct/>
              <w:topLinePunct w:val="0"/>
              <w:autoSpaceDE/>
              <w:autoSpaceDN/>
              <w:bidi w:val="0"/>
              <w:adjustRightInd/>
              <w:spacing w:before="79" w:line="320" w:lineRule="exact"/>
              <w:ind w:left="25" w:right="16"/>
              <w:jc w:val="both"/>
              <w:textAlignment w:val="auto"/>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t>3、售后服务承诺方案分析不够完善不够周全，服务承诺方案不切实际，得1 分；</w:t>
            </w:r>
          </w:p>
        </w:tc>
      </w:tr>
    </w:tbl>
    <w:p>
      <w:pPr>
        <w:jc w:val="center"/>
        <w:rPr>
          <w:i w:val="0"/>
          <w:iCs w:val="0"/>
          <w:sz w:val="24"/>
        </w:rPr>
        <w:sectPr>
          <w:footerReference r:id="rId3" w:type="default"/>
          <w:pgSz w:w="11910" w:h="16840"/>
          <w:pgMar w:top="1420" w:right="880" w:bottom="1220" w:left="920" w:header="0" w:footer="1025" w:gutter="0"/>
          <w:cols w:space="720" w:num="1"/>
        </w:sectPr>
      </w:pPr>
    </w:p>
    <w:p>
      <w:pPr>
        <w:jc w:val="center"/>
        <w:rPr>
          <w:rFonts w:ascii="Times New Roman" w:hAnsi="Times New Roman" w:eastAsia="Times New Roman"/>
          <w:i w:val="0"/>
          <w:iCs w:val="0"/>
          <w:sz w:val="21"/>
        </w:rPr>
        <w:sectPr>
          <w:type w:val="continuous"/>
          <w:pgSz w:w="11910" w:h="16840"/>
          <w:pgMar w:top="1580" w:right="880" w:bottom="280" w:left="920" w:header="720" w:footer="720" w:gutter="0"/>
          <w:cols w:space="720" w:num="1"/>
        </w:sect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Chars="0" w:right="0" w:rightChars="0"/>
        <w:jc w:val="left"/>
        <w:textAlignment w:val="auto"/>
        <w:outlineLvl w:val="1"/>
        <w:rPr>
          <w:rFonts w:hint="eastAsia" w:ascii="黑体" w:hAnsi="黑体" w:eastAsia="黑体" w:cs="黑体"/>
          <w:b/>
          <w:bCs/>
          <w:i w:val="0"/>
          <w:iCs w:val="0"/>
          <w:color w:val="auto"/>
          <w:spacing w:val="0"/>
          <w:sz w:val="28"/>
          <w:szCs w:val="28"/>
          <w:lang w:val="en-US" w:eastAsia="zh-CN"/>
        </w:rPr>
      </w:pPr>
      <w:bookmarkStart w:id="120" w:name="_Toc11840"/>
      <w:r>
        <w:rPr>
          <w:rFonts w:hint="eastAsia" w:ascii="黑体" w:hAnsi="黑体" w:eastAsia="黑体" w:cs="黑体"/>
          <w:b/>
          <w:bCs/>
          <w:i w:val="0"/>
          <w:iCs w:val="0"/>
          <w:color w:val="auto"/>
          <w:spacing w:val="0"/>
          <w:sz w:val="28"/>
          <w:szCs w:val="28"/>
          <w:lang w:val="en-US" w:eastAsia="zh-CN"/>
        </w:rPr>
        <w:t>1.评标方法</w:t>
      </w:r>
      <w:bookmarkEnd w:id="119"/>
      <w:bookmarkEnd w:id="120"/>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由采购人根据项目实际情况确定中标候选人顺序。</w:t>
      </w:r>
    </w:p>
    <w:p>
      <w:pPr>
        <w:keepNext w:val="0"/>
        <w:keepLines w:val="0"/>
        <w:pageBreakBefore w:val="0"/>
        <w:widowControl w:val="0"/>
        <w:numPr>
          <w:ilvl w:val="0"/>
          <w:numId w:val="13"/>
        </w:numPr>
        <w:tabs>
          <w:tab w:val="clear" w:pos="312"/>
        </w:tabs>
        <w:kinsoku/>
        <w:wordWrap/>
        <w:overflowPunct/>
        <w:topLinePunct w:val="0"/>
        <w:autoSpaceDE/>
        <w:autoSpaceDN/>
        <w:bidi w:val="0"/>
        <w:adjustRightInd/>
        <w:snapToGrid/>
        <w:spacing w:after="63" w:afterLines="20" w:line="360" w:lineRule="auto"/>
        <w:ind w:left="0" w:leftChars="0" w:right="0" w:rightChars="0" w:firstLine="0" w:firstLine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121" w:name="_Toc24638"/>
      <w:bookmarkStart w:id="122" w:name="_Toc23770"/>
      <w:r>
        <w:rPr>
          <w:rFonts w:hint="eastAsia" w:ascii="黑体" w:hAnsi="黑体" w:eastAsia="黑体" w:cs="黑体"/>
          <w:b/>
          <w:bCs/>
          <w:i w:val="0"/>
          <w:iCs w:val="0"/>
          <w:color w:val="auto"/>
          <w:spacing w:val="0"/>
          <w:sz w:val="32"/>
          <w:szCs w:val="32"/>
          <w:lang w:val="en-US" w:eastAsia="zh-CN"/>
        </w:rPr>
        <w:t>评审标准</w:t>
      </w:r>
      <w:bookmarkEnd w:id="121"/>
      <w:bookmarkEnd w:id="122"/>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23" w:name="_Toc11055"/>
      <w:bookmarkStart w:id="124" w:name="_Toc6208"/>
      <w:r>
        <w:rPr>
          <w:rFonts w:hint="eastAsia" w:asciiTheme="minorEastAsia" w:hAnsiTheme="minorEastAsia" w:cstheme="minorEastAsia"/>
          <w:b/>
          <w:bCs/>
          <w:i w:val="0"/>
          <w:iCs w:val="0"/>
          <w:color w:val="auto"/>
          <w:spacing w:val="0"/>
          <w:sz w:val="21"/>
          <w:szCs w:val="21"/>
          <w:lang w:val="en-US" w:eastAsia="zh-CN"/>
        </w:rPr>
        <w:t>2.1初步评审标准</w:t>
      </w:r>
      <w:bookmarkEnd w:id="123"/>
      <w:bookmarkEnd w:id="124"/>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2.1.1资格评审标准：见评标办法前附表。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2.1.2符合性评审标准：见评标办法前附表。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25" w:name="_Toc17588"/>
      <w:bookmarkStart w:id="126" w:name="_Toc15747"/>
      <w:r>
        <w:rPr>
          <w:rFonts w:hint="eastAsia" w:asciiTheme="minorEastAsia" w:hAnsiTheme="minorEastAsia" w:cstheme="minorEastAsia"/>
          <w:b/>
          <w:bCs/>
          <w:i w:val="0"/>
          <w:iCs w:val="0"/>
          <w:color w:val="auto"/>
          <w:spacing w:val="0"/>
          <w:sz w:val="21"/>
          <w:szCs w:val="21"/>
          <w:lang w:val="en-US" w:eastAsia="zh-CN"/>
        </w:rPr>
        <w:t>2.2分值构成与评分标准</w:t>
      </w:r>
      <w:bookmarkEnd w:id="125"/>
      <w:bookmarkEnd w:id="126"/>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2.2.1分值构成</w:t>
      </w:r>
    </w:p>
    <w:p>
      <w:pPr>
        <w:keepNext w:val="0"/>
        <w:keepLines w:val="0"/>
        <w:pageBreakBefore w:val="0"/>
        <w:widowControl w:val="0"/>
        <w:numPr>
          <w:ilvl w:val="0"/>
          <w:numId w:val="14"/>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商务部分：见评标办法前附表；</w:t>
      </w:r>
    </w:p>
    <w:p>
      <w:pPr>
        <w:keepNext w:val="0"/>
        <w:keepLines w:val="0"/>
        <w:pageBreakBefore w:val="0"/>
        <w:widowControl w:val="0"/>
        <w:numPr>
          <w:ilvl w:val="0"/>
          <w:numId w:val="14"/>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技术部分：见评标办法前附表；</w:t>
      </w:r>
    </w:p>
    <w:p>
      <w:pPr>
        <w:keepNext w:val="0"/>
        <w:keepLines w:val="0"/>
        <w:pageBreakBefore w:val="0"/>
        <w:widowControl w:val="0"/>
        <w:numPr>
          <w:ilvl w:val="0"/>
          <w:numId w:val="14"/>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投标报价：见评标办法前附表；</w:t>
      </w:r>
    </w:p>
    <w:p>
      <w:pPr>
        <w:keepNext w:val="0"/>
        <w:keepLines w:val="0"/>
        <w:pageBreakBefore w:val="0"/>
        <w:widowControl w:val="0"/>
        <w:numPr>
          <w:ilvl w:val="0"/>
          <w:numId w:val="14"/>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其他评分因素：见评标办法前附表。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2.2.2评标基准价计算</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评标基准价计算方法：见评标办法前附表。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2.2.3评分标准</w:t>
      </w:r>
    </w:p>
    <w:p>
      <w:pPr>
        <w:keepNext w:val="0"/>
        <w:keepLines w:val="0"/>
        <w:pageBreakBefore w:val="0"/>
        <w:widowControl w:val="0"/>
        <w:numPr>
          <w:ilvl w:val="0"/>
          <w:numId w:val="15"/>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bookmarkStart w:id="127" w:name="_Toc25533"/>
      <w:r>
        <w:rPr>
          <w:rFonts w:hint="eastAsia" w:asciiTheme="minorEastAsia" w:hAnsiTheme="minorEastAsia" w:cstheme="minorEastAsia"/>
          <w:b w:val="0"/>
          <w:bCs w:val="0"/>
          <w:i w:val="0"/>
          <w:iCs w:val="0"/>
          <w:color w:val="auto"/>
          <w:spacing w:val="0"/>
          <w:sz w:val="21"/>
          <w:szCs w:val="21"/>
          <w:lang w:val="en-US" w:eastAsia="zh-CN"/>
        </w:rPr>
        <w:t>商务评分标准：见评标办法前附表；</w:t>
      </w:r>
    </w:p>
    <w:p>
      <w:pPr>
        <w:keepNext w:val="0"/>
        <w:keepLines w:val="0"/>
        <w:pageBreakBefore w:val="0"/>
        <w:widowControl w:val="0"/>
        <w:numPr>
          <w:ilvl w:val="0"/>
          <w:numId w:val="15"/>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技术评分标准：见评标办法前附表；</w:t>
      </w:r>
    </w:p>
    <w:p>
      <w:pPr>
        <w:keepNext w:val="0"/>
        <w:keepLines w:val="0"/>
        <w:pageBreakBefore w:val="0"/>
        <w:widowControl w:val="0"/>
        <w:numPr>
          <w:ilvl w:val="0"/>
          <w:numId w:val="15"/>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投标报价评分标准：见评标办法前附表；</w:t>
      </w:r>
    </w:p>
    <w:p>
      <w:pPr>
        <w:keepNext w:val="0"/>
        <w:keepLines w:val="0"/>
        <w:pageBreakBefore w:val="0"/>
        <w:widowControl w:val="0"/>
        <w:numPr>
          <w:ilvl w:val="0"/>
          <w:numId w:val="15"/>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其他因素评分标准：见评标办法前附表。</w:t>
      </w:r>
    </w:p>
    <w:p>
      <w:pPr>
        <w:keepNext w:val="0"/>
        <w:keepLines w:val="0"/>
        <w:pageBreakBefore w:val="0"/>
        <w:widowControl w:val="0"/>
        <w:numPr>
          <w:ilvl w:val="0"/>
          <w:numId w:val="13"/>
        </w:numPr>
        <w:tabs>
          <w:tab w:val="clear" w:pos="312"/>
        </w:tabs>
        <w:kinsoku/>
        <w:wordWrap/>
        <w:overflowPunct/>
        <w:topLinePunct w:val="0"/>
        <w:autoSpaceDE/>
        <w:autoSpaceDN/>
        <w:bidi w:val="0"/>
        <w:adjustRightInd/>
        <w:snapToGrid/>
        <w:spacing w:after="63" w:afterLines="20" w:line="360" w:lineRule="auto"/>
        <w:ind w:left="0" w:leftChars="0" w:right="0" w:rightChars="0" w:firstLine="0" w:firstLine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128" w:name="_Toc18078"/>
      <w:r>
        <w:rPr>
          <w:rFonts w:hint="eastAsia" w:ascii="黑体" w:hAnsi="黑体" w:eastAsia="黑体" w:cs="黑体"/>
          <w:b/>
          <w:bCs/>
          <w:i w:val="0"/>
          <w:iCs w:val="0"/>
          <w:color w:val="auto"/>
          <w:spacing w:val="0"/>
          <w:sz w:val="32"/>
          <w:szCs w:val="32"/>
          <w:lang w:val="en-US" w:eastAsia="zh-CN"/>
        </w:rPr>
        <w:t>评标程序</w:t>
      </w:r>
      <w:bookmarkEnd w:id="127"/>
      <w:bookmarkEnd w:id="128"/>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17" w:leftChars="0" w:right="0" w:rightChars="0" w:hanging="17" w:hangingChars="8"/>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29" w:name="_Toc6622"/>
      <w:bookmarkStart w:id="130" w:name="_Toc23812"/>
      <w:r>
        <w:rPr>
          <w:rFonts w:hint="eastAsia" w:asciiTheme="minorEastAsia" w:hAnsiTheme="minorEastAsia" w:cstheme="minorEastAsia"/>
          <w:b/>
          <w:bCs/>
          <w:i w:val="0"/>
          <w:iCs w:val="0"/>
          <w:color w:val="auto"/>
          <w:spacing w:val="0"/>
          <w:sz w:val="21"/>
          <w:szCs w:val="21"/>
          <w:lang w:val="en-US" w:eastAsia="zh-CN"/>
        </w:rPr>
        <w:t>3.1初步评审</w:t>
      </w:r>
      <w:bookmarkEnd w:id="129"/>
      <w:bookmarkEnd w:id="130"/>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Chars="-9"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Chars="-9"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3.1.2投标人有以下情形之一的，评标委员会应当否决其投标：</w:t>
      </w:r>
    </w:p>
    <w:p>
      <w:pPr>
        <w:keepNext w:val="0"/>
        <w:keepLines w:val="0"/>
        <w:pageBreakBefore w:val="0"/>
        <w:widowControl w:val="0"/>
        <w:numPr>
          <w:ilvl w:val="0"/>
          <w:numId w:val="16"/>
        </w:numPr>
        <w:tabs>
          <w:tab w:val="clear" w:pos="312"/>
        </w:tabs>
        <w:kinsoku/>
        <w:wordWrap/>
        <w:overflowPunct/>
        <w:topLinePunct w:val="0"/>
        <w:autoSpaceDE/>
        <w:autoSpaceDN/>
        <w:bidi w:val="0"/>
        <w:adjustRightInd/>
        <w:snapToGrid/>
        <w:spacing w:after="126" w:afterLines="40" w:line="360" w:lineRule="auto"/>
        <w:ind w:leftChars="-9"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投标文件没有对招标文件的实质性要求和条件作出响应，或者对招标文件的偏差超出招标文件规定的偏差范围或最高项数；</w:t>
      </w:r>
    </w:p>
    <w:p>
      <w:pPr>
        <w:keepNext w:val="0"/>
        <w:keepLines w:val="0"/>
        <w:pageBreakBefore w:val="0"/>
        <w:widowControl w:val="0"/>
        <w:numPr>
          <w:ilvl w:val="0"/>
          <w:numId w:val="16"/>
        </w:numPr>
        <w:tabs>
          <w:tab w:val="clear" w:pos="312"/>
        </w:tabs>
        <w:kinsoku/>
        <w:wordWrap/>
        <w:overflowPunct/>
        <w:topLinePunct w:val="0"/>
        <w:autoSpaceDE/>
        <w:autoSpaceDN/>
        <w:bidi w:val="0"/>
        <w:adjustRightInd/>
        <w:snapToGrid/>
        <w:spacing w:after="126" w:afterLines="40" w:line="360" w:lineRule="auto"/>
        <w:ind w:leftChars="-9"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有串通投标、弄虚作假、行贿等违法行为。</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3.1.3投标报价有算术错误及其他错误的，评标委员会按以下原则要求投标人对投标报价进行修正，并要求投标人书面澄清确认。投标人拒不澄清确认的，评标委员会应当否决其投标：</w:t>
      </w:r>
    </w:p>
    <w:p>
      <w:pPr>
        <w:keepNext w:val="0"/>
        <w:keepLines w:val="0"/>
        <w:pageBreakBefore w:val="0"/>
        <w:widowControl w:val="0"/>
        <w:numPr>
          <w:ilvl w:val="0"/>
          <w:numId w:val="17"/>
        </w:numPr>
        <w:tabs>
          <w:tab w:val="clear" w:pos="312"/>
        </w:tabs>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投标文件中的大写金额与小写金额不一致的，以大写金额为准；</w:t>
      </w:r>
    </w:p>
    <w:p>
      <w:pPr>
        <w:keepNext w:val="0"/>
        <w:keepLines w:val="0"/>
        <w:pageBreakBefore w:val="0"/>
        <w:widowControl w:val="0"/>
        <w:numPr>
          <w:ilvl w:val="0"/>
          <w:numId w:val="17"/>
        </w:numPr>
        <w:tabs>
          <w:tab w:val="clear" w:pos="312"/>
        </w:tabs>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总价金额与单价金额不一致的，以单价金额为准，但单价金额小数点有明显错误的除外。</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31" w:name="_Toc28564"/>
      <w:bookmarkStart w:id="132" w:name="_Toc31675"/>
      <w:r>
        <w:rPr>
          <w:rFonts w:hint="eastAsia" w:asciiTheme="minorEastAsia" w:hAnsiTheme="minorEastAsia" w:cstheme="minorEastAsia"/>
          <w:b/>
          <w:bCs/>
          <w:i w:val="0"/>
          <w:iCs w:val="0"/>
          <w:color w:val="auto"/>
          <w:spacing w:val="0"/>
          <w:sz w:val="21"/>
          <w:szCs w:val="21"/>
          <w:lang w:val="en-US" w:eastAsia="zh-CN"/>
        </w:rPr>
        <w:t>3.2详细评审</w:t>
      </w:r>
      <w:bookmarkEnd w:id="131"/>
      <w:bookmarkEnd w:id="132"/>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3.2.1评标委员会按本章第2.2款规定的量化因素和分值进行打分，并计算出综合评估得分。</w:t>
      </w:r>
    </w:p>
    <w:p>
      <w:pPr>
        <w:keepNext w:val="0"/>
        <w:keepLines w:val="0"/>
        <w:pageBreakBefore w:val="0"/>
        <w:widowControl w:val="0"/>
        <w:numPr>
          <w:ilvl w:val="0"/>
          <w:numId w:val="18"/>
        </w:numPr>
        <w:tabs>
          <w:tab w:val="clear" w:pos="312"/>
        </w:tabs>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按本章第2.2.3(1)目规定的评审因素和分值由评委会组长带领全体成员对商务部分进行审查后统一打分，计算出得分A；</w:t>
      </w:r>
    </w:p>
    <w:p>
      <w:pPr>
        <w:pStyle w:val="15"/>
        <w:bidi w:val="0"/>
        <w:spacing w:line="360" w:lineRule="auto"/>
        <w:ind w:firstLine="420" w:firstLineChars="200"/>
        <w:rPr>
          <w:rFonts w:hint="eastAsia"/>
          <w:i w:val="0"/>
          <w:iCs w:val="0"/>
          <w:color w:val="auto"/>
          <w:lang w:val="en-US" w:eastAsia="zh-CN"/>
        </w:rPr>
      </w:pPr>
      <w:r>
        <w:rPr>
          <w:rFonts w:hint="eastAsia" w:asciiTheme="minorEastAsia" w:hAnsiTheme="minorEastAsia" w:cstheme="minorEastAsia"/>
          <w:b w:val="0"/>
          <w:bCs w:val="0"/>
          <w:i w:val="0"/>
          <w:iCs w:val="0"/>
          <w:color w:val="auto"/>
          <w:spacing w:val="0"/>
          <w:sz w:val="21"/>
          <w:szCs w:val="21"/>
          <w:lang w:val="en-US" w:eastAsia="zh-CN"/>
        </w:rPr>
        <w:t>（2）按本章第2.2.3(2)目规定的评审因素和分值各评委会成员对技术部分独立评审，并汇总每个投标人的平均得分，计算出得分B；</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(3按本章第2.2.3(3)目规定的评审因素和分值对投标报价计算出得分C；</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3.2.2评分分值计算保留小数点后两位，小数点后第三位“四舍五入”。</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3.2.3投标人得分=</w:t>
      </w:r>
      <w:r>
        <w:rPr>
          <w:rFonts w:hint="eastAsia" w:asciiTheme="minorEastAsia" w:hAnsiTheme="minorEastAsia" w:cstheme="minorEastAsia"/>
          <w:b/>
          <w:bCs/>
          <w:i w:val="0"/>
          <w:iCs w:val="0"/>
          <w:color w:val="auto"/>
          <w:spacing w:val="0"/>
          <w:sz w:val="21"/>
          <w:szCs w:val="21"/>
          <w:lang w:val="en-US" w:eastAsia="zh-CN"/>
        </w:rPr>
        <w:t>A+B+C</w:t>
      </w:r>
      <w:r>
        <w:rPr>
          <w:rFonts w:hint="eastAsia" w:asciiTheme="minorEastAsia" w:hAnsiTheme="minorEastAsia" w:cstheme="minorEastAsia"/>
          <w:b w:val="0"/>
          <w:bCs w:val="0"/>
          <w:i w:val="0"/>
          <w:iCs w:val="0"/>
          <w:color w:val="auto"/>
          <w:spacing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3.2.4评标委员会发现投标人的报价明显低于其他投标报价，使得其投标报价可能低于其个别成本的，应当要求该投标人作出书面说明并提供相应的证明材料。投标人不能合理说明者不能提供相应证明材料的，评标委员会应当认定该投标人以低于成本报价竞标，并否决其投标。</w:t>
      </w:r>
    </w:p>
    <w:p>
      <w:pPr>
        <w:pStyle w:val="12"/>
        <w:spacing w:line="360" w:lineRule="auto"/>
        <w:ind w:left="0" w:leftChars="0" w:firstLine="420" w:firstLineChars="20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符合政府采购优先（节约能源、保护环境）采购政策及促进中小企业（监狱企业、残疾人福利性单位）发展政策的，依据规定给予评审优惠。</w:t>
      </w:r>
    </w:p>
    <w:p>
      <w:pPr>
        <w:pStyle w:val="1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中型、小型、微型企业：根据《政府采购促进中小企业发展管理办法》（财库﹝2020﹞46 号）的规定、《新疆维吾尔自治区政府采购促进中小企业发展管理实施办法》（新财规〔2021〕6号）</w:t>
      </w:r>
    </w:p>
    <w:p>
      <w:pPr>
        <w:pStyle w:val="1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（1）中小企业（含中型、小型、微型企业，下同）单独参加本项目的投标：</w:t>
      </w:r>
    </w:p>
    <w:p>
      <w:pPr>
        <w:pStyle w:val="1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①提供中型企业生产的产品，给予6%的价格扣除，用扣除后的价格参与评审。</w:t>
      </w:r>
    </w:p>
    <w:p>
      <w:pPr>
        <w:pStyle w:val="1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②提供小型企业生产的产品，给予8%的价格扣除，用扣除后的价格参与评审。</w:t>
      </w:r>
    </w:p>
    <w:p>
      <w:pPr>
        <w:pStyle w:val="1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③提供微型企业生产的产品，给予10%的价格扣除，用扣除后的价格参与评审。</w:t>
      </w:r>
    </w:p>
    <w:p>
      <w:pPr>
        <w:pStyle w:val="1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（2）参加本次采购活动的中小企业，应当在响应文件中提供有效的《中小企业声明函》，并对其真实性负责。</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33" w:name="_Toc3413"/>
      <w:bookmarkStart w:id="134" w:name="_Toc30735"/>
      <w:r>
        <w:rPr>
          <w:rFonts w:hint="eastAsia" w:asciiTheme="minorEastAsia" w:hAnsiTheme="minorEastAsia" w:cstheme="minorEastAsia"/>
          <w:b/>
          <w:bCs/>
          <w:i w:val="0"/>
          <w:iCs w:val="0"/>
          <w:color w:val="auto"/>
          <w:spacing w:val="0"/>
          <w:sz w:val="21"/>
          <w:szCs w:val="21"/>
          <w:lang w:val="en-US" w:eastAsia="zh-CN"/>
        </w:rPr>
        <w:t>3.3投标文件的澄清</w:t>
      </w:r>
      <w:bookmarkEnd w:id="133"/>
      <w:bookmarkEnd w:id="134"/>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3.3.2澄清、说明或补正不得超出投标文件的范围且不得改变投标文件的实质性内容，并构成投标文件的组成部分。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3.3.3评标委员会对投标人提交的澄清、说明或补正有疑问的，可以要求投标人进一步澄清、说明或补正，直至满足评标委员会的要求。</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35" w:name="_Toc10026"/>
      <w:bookmarkStart w:id="136" w:name="_Toc6603"/>
      <w:r>
        <w:rPr>
          <w:rFonts w:hint="eastAsia" w:asciiTheme="minorEastAsia" w:hAnsiTheme="minorEastAsia" w:cstheme="minorEastAsia"/>
          <w:b/>
          <w:bCs/>
          <w:i w:val="0"/>
          <w:iCs w:val="0"/>
          <w:color w:val="auto"/>
          <w:spacing w:val="0"/>
          <w:sz w:val="21"/>
          <w:szCs w:val="21"/>
          <w:lang w:val="en-US" w:eastAsia="zh-CN"/>
        </w:rPr>
        <w:t>3.4评标结果</w:t>
      </w:r>
      <w:bookmarkEnd w:id="135"/>
      <w:bookmarkEnd w:id="136"/>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3.4.1除第二章“投标人须知”前附表授权直接确定中标人外，评标委员会按照得分由高到低的顺序推荐中标候选人，并标明排序。</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9"/>
        <w:rPr>
          <w:rFonts w:hint="eastAsia"/>
          <w:i w:val="0"/>
          <w:iCs w:val="0"/>
          <w:color w:val="auto"/>
          <w:lang w:val="en-US" w:eastAsia="zh-CN"/>
        </w:rPr>
        <w:sectPr>
          <w:pgSz w:w="11906" w:h="16838"/>
          <w:pgMar w:top="1134" w:right="1800" w:bottom="1134" w:left="1800" w:header="851" w:footer="992" w:gutter="0"/>
          <w:pgNumType w:fmt="decimal"/>
          <w:cols w:space="425" w:num="1"/>
          <w:docGrid w:type="lines" w:linePitch="312" w:charSpace="0"/>
        </w:sectPr>
      </w:pPr>
      <w:r>
        <w:rPr>
          <w:rFonts w:hint="eastAsia" w:asciiTheme="minorEastAsia" w:hAnsiTheme="minorEastAsia" w:cstheme="minorEastAsia"/>
          <w:b w:val="0"/>
          <w:bCs w:val="0"/>
          <w:i w:val="0"/>
          <w:iCs w:val="0"/>
          <w:color w:val="auto"/>
          <w:spacing w:val="0"/>
          <w:sz w:val="21"/>
          <w:szCs w:val="21"/>
          <w:lang w:val="en-US" w:eastAsia="zh-CN"/>
        </w:rPr>
        <w:t>3.4.2评标委员会完成评标后，应当向招标人提交书面评标报告和中标候选人名单。</w:t>
      </w:r>
    </w:p>
    <w:p>
      <w:pPr>
        <w:pStyle w:val="2"/>
        <w:bidi w:val="0"/>
        <w:ind w:left="0" w:leftChars="0" w:firstLine="0" w:firstLineChars="0"/>
        <w:rPr>
          <w:rFonts w:hint="eastAsia"/>
          <w:i w:val="0"/>
          <w:iCs w:val="0"/>
          <w:color w:val="auto"/>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right="0" w:rightChars="0"/>
        <w:jc w:val="center"/>
        <w:textAlignment w:val="auto"/>
        <w:outlineLvl w:val="0"/>
        <w:rPr>
          <w:rFonts w:hint="eastAsia"/>
          <w:b/>
          <w:i w:val="0"/>
          <w:iCs w:val="0"/>
          <w:color w:val="auto"/>
          <w:sz w:val="32"/>
          <w:szCs w:val="32"/>
        </w:rPr>
      </w:pPr>
      <w:r>
        <w:rPr>
          <w:rFonts w:hint="eastAsia" w:asciiTheme="minorEastAsia" w:hAnsiTheme="minorEastAsia" w:cstheme="minorEastAsia"/>
          <w:b/>
          <w:bCs/>
          <w:i w:val="0"/>
          <w:iCs w:val="0"/>
          <w:color w:val="auto"/>
          <w:spacing w:val="0"/>
          <w:sz w:val="32"/>
          <w:szCs w:val="32"/>
          <w:lang w:val="en-US" w:eastAsia="zh-CN"/>
        </w:rPr>
        <w:t xml:space="preserve"> </w:t>
      </w:r>
      <w:bookmarkStart w:id="137" w:name="_Toc516304845"/>
      <w:bookmarkStart w:id="138" w:name="_Toc7678"/>
      <w:bookmarkStart w:id="139" w:name="_Toc528670419"/>
      <w:bookmarkStart w:id="140" w:name="_Toc20477"/>
      <w:bookmarkStart w:id="141" w:name="_Toc9551"/>
      <w:r>
        <w:rPr>
          <w:rFonts w:hint="eastAsia" w:ascii="宋体" w:hAnsi="宋体" w:cs="宋体"/>
          <w:b/>
          <w:bCs/>
          <w:i w:val="0"/>
          <w:iCs w:val="0"/>
          <w:color w:val="auto"/>
          <w:sz w:val="32"/>
          <w:szCs w:val="32"/>
        </w:rPr>
        <w:t>合同</w:t>
      </w:r>
      <w:bookmarkEnd w:id="137"/>
      <w:r>
        <w:rPr>
          <w:rFonts w:hint="eastAsia" w:ascii="宋体" w:hAnsi="宋体" w:cs="宋体"/>
          <w:b/>
          <w:bCs/>
          <w:i w:val="0"/>
          <w:iCs w:val="0"/>
          <w:color w:val="auto"/>
          <w:sz w:val="32"/>
          <w:szCs w:val="32"/>
        </w:rPr>
        <w:t>协议书</w:t>
      </w:r>
      <w:bookmarkEnd w:id="138"/>
      <w:bookmarkEnd w:id="139"/>
      <w:bookmarkEnd w:id="140"/>
      <w:bookmarkEnd w:id="141"/>
    </w:p>
    <w:p>
      <w:pPr>
        <w:spacing w:line="440" w:lineRule="exact"/>
        <w:ind w:firstLine="540" w:firstLineChars="200"/>
        <w:jc w:val="center"/>
        <w:rPr>
          <w:rFonts w:hint="eastAsia" w:hAnsi="宋体" w:cs="宋体"/>
          <w:color w:val="auto"/>
          <w:sz w:val="24"/>
          <w:highlight w:val="none"/>
        </w:rPr>
      </w:pPr>
      <w:r>
        <w:rPr>
          <w:rFonts w:hint="eastAsia" w:hAnsi="宋体" w:cs="宋体"/>
          <w:color w:val="auto"/>
          <w:sz w:val="24"/>
          <w:highlight w:val="none"/>
        </w:rPr>
        <w:t>（本合同仅供参考，具体以实际签订的为准）</w:t>
      </w:r>
    </w:p>
    <w:p>
      <w:pPr>
        <w:spacing w:line="440" w:lineRule="exact"/>
        <w:ind w:firstLine="703" w:firstLineChars="200"/>
        <w:jc w:val="center"/>
        <w:rPr>
          <w:rFonts w:hint="eastAsia" w:hAnsi="宋体" w:cs="宋体"/>
          <w:b/>
          <w:bCs/>
          <w:color w:val="auto"/>
          <w:sz w:val="32"/>
          <w:szCs w:val="22"/>
          <w:highlight w:val="none"/>
        </w:rPr>
      </w:pPr>
      <w:r>
        <w:rPr>
          <w:rFonts w:hint="eastAsia" w:hAnsi="宋体" w:cs="宋体"/>
          <w:b/>
          <w:bCs/>
          <w:color w:val="auto"/>
          <w:sz w:val="32"/>
          <w:szCs w:val="22"/>
          <w:highlight w:val="none"/>
        </w:rPr>
        <w:t>技术服务合同</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委托人（全称）：</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 xml:space="preserve">（简称甲方） </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受托人（全称）：</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（简称乙方）</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Ansi="宋体" w:cs="宋体"/>
          <w:color w:val="auto"/>
          <w:sz w:val="24"/>
          <w:highlight w:val="none"/>
        </w:rPr>
      </w:pPr>
      <w:r>
        <w:rPr>
          <w:rFonts w:hint="eastAsia" w:hAnsi="宋体" w:cs="宋体"/>
          <w:color w:val="auto"/>
          <w:sz w:val="24"/>
          <w:highlight w:val="none"/>
        </w:rPr>
        <w:t>本合同甲方委托乙方进行</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none"/>
          <w:lang w:val="en-US" w:eastAsia="zh-CN"/>
        </w:rPr>
        <w:t>（项目名称）</w:t>
      </w:r>
      <w:r>
        <w:rPr>
          <w:rFonts w:hint="eastAsia" w:hAnsi="宋体" w:cs="宋体"/>
          <w:color w:val="auto"/>
          <w:sz w:val="24"/>
          <w:highlight w:val="none"/>
        </w:rPr>
        <w:t xml:space="preserve">招标的技术服务工作。依照《中华人民共和国合同法》及其他有关法律、行政法规，遵循平等、自愿、公平和诚实信用的原则，现达成如下协议： </w:t>
      </w:r>
    </w:p>
    <w:p>
      <w:pPr>
        <w:spacing w:line="440" w:lineRule="exact"/>
        <w:ind w:firstLine="542" w:firstLineChars="200"/>
        <w:rPr>
          <w:rFonts w:hint="eastAsia" w:hAnsi="宋体" w:cs="宋体"/>
          <w:b/>
          <w:bCs/>
          <w:color w:val="auto"/>
          <w:sz w:val="24"/>
          <w:highlight w:val="none"/>
        </w:rPr>
      </w:pPr>
      <w:r>
        <w:rPr>
          <w:rFonts w:hint="eastAsia" w:hAnsi="宋体" w:cs="宋体"/>
          <w:b/>
          <w:bCs/>
          <w:color w:val="auto"/>
          <w:sz w:val="24"/>
          <w:highlight w:val="none"/>
        </w:rPr>
        <w:t>第一条、甲方委托乙方进行技术服务的内容如下：</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hAnsi="宋体" w:cs="宋体"/>
          <w:color w:val="auto"/>
          <w:sz w:val="24"/>
          <w:highlight w:val="none"/>
        </w:rPr>
      </w:pPr>
      <w:r>
        <w:rPr>
          <w:rFonts w:hint="eastAsia" w:hAnsi="宋体" w:cs="宋体"/>
          <w:color w:val="auto"/>
          <w:sz w:val="24"/>
          <w:highlight w:val="none"/>
        </w:rPr>
        <w:t>1.</w:t>
      </w:r>
      <w:r>
        <w:rPr>
          <w:rFonts w:hAnsi="宋体" w:cs="宋体"/>
          <w:color w:val="auto"/>
          <w:sz w:val="24"/>
          <w:highlight w:val="none"/>
        </w:rPr>
        <w:t xml:space="preserve"> </w:t>
      </w:r>
      <w:r>
        <w:rPr>
          <w:rFonts w:hint="eastAsia" w:hAnsi="宋体" w:cs="宋体"/>
          <w:color w:val="auto"/>
          <w:sz w:val="24"/>
          <w:highlight w:val="none"/>
        </w:rPr>
        <w:t>技术服务的目标：高质量、高效率地完成</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none"/>
          <w:lang w:val="en-US" w:eastAsia="zh-CN"/>
        </w:rPr>
        <w:t>（项目名称）</w:t>
      </w:r>
      <w:r>
        <w:rPr>
          <w:rFonts w:hint="eastAsia" w:hAnsi="宋体" w:cs="宋体"/>
          <w:color w:val="auto"/>
          <w:sz w:val="24"/>
          <w:highlight w:val="none"/>
        </w:rPr>
        <w:t>工作；</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2.</w:t>
      </w:r>
      <w:r>
        <w:rPr>
          <w:rFonts w:hAnsi="宋体" w:cs="宋体"/>
          <w:color w:val="auto"/>
          <w:sz w:val="24"/>
          <w:highlight w:val="none"/>
        </w:rPr>
        <w:t xml:space="preserve"> </w:t>
      </w:r>
      <w:r>
        <w:rPr>
          <w:rFonts w:hint="eastAsia" w:hAnsi="宋体" w:cs="宋体"/>
          <w:color w:val="auto"/>
          <w:sz w:val="24"/>
          <w:highlight w:val="none"/>
        </w:rPr>
        <w:t>技术服务的内容：</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3.</w:t>
      </w:r>
      <w:r>
        <w:rPr>
          <w:rFonts w:hAnsi="宋体" w:cs="宋体"/>
          <w:color w:val="auto"/>
          <w:sz w:val="24"/>
          <w:highlight w:val="none"/>
        </w:rPr>
        <w:t xml:space="preserve"> </w:t>
      </w:r>
      <w:r>
        <w:rPr>
          <w:rFonts w:hint="eastAsia" w:hAnsi="宋体" w:cs="宋体"/>
          <w:color w:val="auto"/>
          <w:sz w:val="24"/>
          <w:highlight w:val="none"/>
        </w:rPr>
        <w:t>技术服务的方式：</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w:t>
      </w:r>
    </w:p>
    <w:p>
      <w:pPr>
        <w:spacing w:line="440" w:lineRule="exact"/>
        <w:ind w:firstLine="542" w:firstLineChars="200"/>
        <w:rPr>
          <w:rFonts w:hint="eastAsia" w:hAnsi="宋体" w:cs="宋体"/>
          <w:b/>
          <w:bCs/>
          <w:color w:val="auto"/>
          <w:sz w:val="24"/>
          <w:highlight w:val="none"/>
        </w:rPr>
      </w:pPr>
      <w:r>
        <w:rPr>
          <w:rFonts w:hint="eastAsia" w:hAnsi="宋体" w:cs="宋体"/>
          <w:b/>
          <w:bCs/>
          <w:color w:val="auto"/>
          <w:sz w:val="24"/>
          <w:highlight w:val="none"/>
        </w:rPr>
        <w:t>第二条、乙方应按下列要求完成技术服务工作：</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w:t>
      </w:r>
      <w:r>
        <w:rPr>
          <w:rFonts w:hAnsi="宋体" w:cs="宋体"/>
          <w:color w:val="auto"/>
          <w:sz w:val="24"/>
          <w:highlight w:val="none"/>
        </w:rPr>
        <w:t xml:space="preserve"> </w:t>
      </w:r>
      <w:r>
        <w:rPr>
          <w:rFonts w:hint="eastAsia" w:hAnsi="宋体" w:cs="宋体"/>
          <w:color w:val="auto"/>
          <w:sz w:val="24"/>
          <w:highlight w:val="none"/>
        </w:rPr>
        <w:t>技术服务地点：</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2.</w:t>
      </w:r>
      <w:r>
        <w:rPr>
          <w:rFonts w:hAnsi="宋体" w:cs="宋体"/>
          <w:color w:val="auto"/>
          <w:sz w:val="24"/>
          <w:highlight w:val="none"/>
        </w:rPr>
        <w:t xml:space="preserve"> </w:t>
      </w:r>
      <w:r>
        <w:rPr>
          <w:rFonts w:hint="eastAsia" w:hAnsi="宋体" w:cs="宋体"/>
          <w:color w:val="auto"/>
          <w:sz w:val="24"/>
          <w:highlight w:val="none"/>
        </w:rPr>
        <w:t>技术服务期限：</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3.</w:t>
      </w:r>
      <w:r>
        <w:rPr>
          <w:rFonts w:hAnsi="宋体" w:cs="宋体"/>
          <w:color w:val="auto"/>
          <w:sz w:val="24"/>
          <w:highlight w:val="none"/>
        </w:rPr>
        <w:t xml:space="preserve"> </w:t>
      </w:r>
      <w:r>
        <w:rPr>
          <w:rFonts w:hint="eastAsia" w:hAnsi="宋体" w:cs="宋体"/>
          <w:color w:val="auto"/>
          <w:sz w:val="24"/>
          <w:highlight w:val="none"/>
        </w:rPr>
        <w:t>技术服务进度：</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4.</w:t>
      </w:r>
      <w:r>
        <w:rPr>
          <w:rFonts w:hAnsi="宋体" w:cs="宋体"/>
          <w:color w:val="auto"/>
          <w:sz w:val="24"/>
          <w:highlight w:val="none"/>
        </w:rPr>
        <w:t xml:space="preserve"> </w:t>
      </w:r>
      <w:r>
        <w:rPr>
          <w:rFonts w:hint="eastAsia" w:hAnsi="宋体" w:cs="宋体"/>
          <w:color w:val="auto"/>
          <w:sz w:val="24"/>
          <w:highlight w:val="none"/>
        </w:rPr>
        <w:t>技术服务质量要求：</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5.</w:t>
      </w:r>
      <w:r>
        <w:rPr>
          <w:rFonts w:hAnsi="宋体" w:cs="宋体"/>
          <w:color w:val="auto"/>
          <w:sz w:val="24"/>
          <w:highlight w:val="none"/>
        </w:rPr>
        <w:t xml:space="preserve"> </w:t>
      </w:r>
      <w:r>
        <w:rPr>
          <w:rFonts w:hint="eastAsia" w:hAnsi="宋体" w:cs="宋体"/>
          <w:color w:val="auto"/>
          <w:sz w:val="24"/>
          <w:highlight w:val="none"/>
        </w:rPr>
        <w:t>技术服务质量期限求：</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6.</w:t>
      </w:r>
      <w:r>
        <w:rPr>
          <w:rFonts w:hAnsi="宋体" w:cs="宋体"/>
          <w:color w:val="auto"/>
          <w:sz w:val="24"/>
          <w:highlight w:val="none"/>
        </w:rPr>
        <w:t xml:space="preserve"> </w:t>
      </w:r>
      <w:r>
        <w:rPr>
          <w:rFonts w:hint="eastAsia" w:hAnsi="宋体" w:cs="宋体"/>
          <w:color w:val="auto"/>
          <w:sz w:val="24"/>
          <w:highlight w:val="none"/>
        </w:rPr>
        <w:t>技术服务成果的提交要求：</w:t>
      </w:r>
      <w:r>
        <w:rPr>
          <w:rFonts w:hint="eastAsia" w:hAnsi="宋体" w:cs="宋体"/>
          <w:b/>
          <w:bCs/>
          <w:color w:val="auto"/>
          <w:sz w:val="24"/>
          <w:highlight w:val="none"/>
          <w:u w:val="single"/>
        </w:rPr>
        <w:t>见服务要求。</w:t>
      </w:r>
    </w:p>
    <w:p>
      <w:pPr>
        <w:spacing w:line="440" w:lineRule="exact"/>
        <w:ind w:firstLine="542" w:firstLineChars="200"/>
        <w:rPr>
          <w:rFonts w:hint="eastAsia" w:hAnsi="宋体" w:cs="宋体"/>
          <w:b/>
          <w:bCs/>
          <w:color w:val="auto"/>
          <w:sz w:val="24"/>
          <w:highlight w:val="none"/>
        </w:rPr>
      </w:pPr>
      <w:r>
        <w:rPr>
          <w:rFonts w:hint="eastAsia" w:hAnsi="宋体" w:cs="宋体"/>
          <w:b/>
          <w:bCs/>
          <w:color w:val="auto"/>
          <w:sz w:val="24"/>
          <w:highlight w:val="none"/>
        </w:rPr>
        <w:t>第三条、为保证乙方有效进行技术服务工作，甲方应当向乙方提供下列工作条件和协作事项：</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1.提供技术资料：</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2.提供工作条件：</w:t>
      </w:r>
      <w:r>
        <w:rPr>
          <w:rFonts w:hint="eastAsia" w:hAnsi="宋体" w:cs="宋体"/>
          <w:color w:val="auto"/>
          <w:sz w:val="24"/>
          <w:highlight w:val="none"/>
          <w:u w:val="single"/>
        </w:rPr>
        <w:t>由乙方自行解决。</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3.甲方提供上述工作条件和协作事项的时间及方式：</w:t>
      </w:r>
      <w:r>
        <w:rPr>
          <w:rFonts w:hint="eastAsia" w:hAnsi="宋体" w:cs="宋体"/>
          <w:color w:val="auto"/>
          <w:sz w:val="24"/>
          <w:highlight w:val="none"/>
          <w:u w:val="single"/>
        </w:rPr>
        <w:t>合同签订后即开始电话、传真联系。</w:t>
      </w:r>
    </w:p>
    <w:p>
      <w:pPr>
        <w:spacing w:line="440" w:lineRule="exact"/>
        <w:ind w:firstLine="542" w:firstLineChars="200"/>
        <w:rPr>
          <w:rFonts w:hAnsi="宋体" w:cs="宋体"/>
          <w:color w:val="auto"/>
          <w:sz w:val="24"/>
          <w:highlight w:val="none"/>
        </w:rPr>
      </w:pPr>
      <w:r>
        <w:rPr>
          <w:rFonts w:hint="eastAsia" w:hAnsi="宋体" w:cs="宋体"/>
          <w:b/>
          <w:bCs/>
          <w:color w:val="auto"/>
          <w:sz w:val="24"/>
          <w:highlight w:val="none"/>
        </w:rPr>
        <w:t>第四条、甲方向乙方支付技术服务报酬及支付方式为</w:t>
      </w:r>
      <w:r>
        <w:rPr>
          <w:rFonts w:hint="eastAsia" w:hAnsi="宋体" w:cs="宋体"/>
          <w:color w:val="auto"/>
          <w:sz w:val="24"/>
          <w:highlight w:val="non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1．技术服务费总额为：</w:t>
      </w:r>
      <w:r>
        <w:rPr>
          <w:rFonts w:hint="eastAsia" w:hAnsi="宋体" w:cs="宋体"/>
          <w:color w:val="auto"/>
          <w:sz w:val="24"/>
          <w:highlight w:val="none"/>
          <w:u w:val="single"/>
        </w:rPr>
        <w:t>元人民币</w:t>
      </w:r>
      <w:r>
        <w:rPr>
          <w:rFonts w:hint="eastAsia" w:hAnsi="宋体" w:cs="宋体"/>
          <w:color w:val="auto"/>
          <w:sz w:val="24"/>
          <w:highlight w:val="none"/>
        </w:rPr>
        <w:t>。</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2．技术服务费的支付方式：</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w:t>
      </w:r>
    </w:p>
    <w:p>
      <w:pPr>
        <w:spacing w:line="440" w:lineRule="exact"/>
        <w:ind w:firstLine="542" w:firstLineChars="200"/>
        <w:rPr>
          <w:rFonts w:hint="eastAsia" w:hAnsi="宋体" w:cs="宋体"/>
          <w:b/>
          <w:bCs/>
          <w:color w:val="auto"/>
          <w:sz w:val="24"/>
          <w:highlight w:val="none"/>
        </w:rPr>
      </w:pPr>
      <w:r>
        <w:rPr>
          <w:rFonts w:hint="eastAsia" w:hAnsi="宋体" w:cs="宋体"/>
          <w:b/>
          <w:bCs/>
          <w:color w:val="auto"/>
          <w:sz w:val="24"/>
          <w:highlight w:val="none"/>
        </w:rPr>
        <w:t>第五条、双方确定因履行本合同应遵守的保密义务如下：</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甲方：</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1.保密内容：与本项目有关的所有技术资料及研究成果；</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2.涉密人员范围：</w:t>
      </w:r>
      <w:r>
        <w:rPr>
          <w:rFonts w:hint="eastAsia" w:hAnsi="宋体" w:cs="宋体"/>
          <w:color w:val="auto"/>
          <w:sz w:val="24"/>
          <w:highlight w:val="none"/>
          <w:u w:val="single"/>
        </w:rPr>
        <w:t>与本项目相关人员；</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3.保密期限：</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4.泄密责任：</w:t>
      </w:r>
      <w:r>
        <w:rPr>
          <w:rFonts w:hint="eastAsia" w:hAnsi="宋体" w:cs="宋体"/>
          <w:color w:val="auto"/>
          <w:sz w:val="24"/>
          <w:highlight w:val="none"/>
          <w:u w:val="single"/>
        </w:rPr>
        <w:t>按照有关规定追究相关责任。</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乙方：</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1.保密内容：</w:t>
      </w:r>
      <w:r>
        <w:rPr>
          <w:rFonts w:hint="eastAsia" w:hAnsi="宋体" w:cs="宋体"/>
          <w:color w:val="auto"/>
          <w:sz w:val="24"/>
          <w:highlight w:val="none"/>
          <w:u w:val="single"/>
        </w:rPr>
        <w:t>甲方提供的全部资料以及乙方提交的所有研究成果均属保密内容；</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2.涉密人员范围：</w:t>
      </w:r>
      <w:r>
        <w:rPr>
          <w:rFonts w:hint="eastAsia" w:hAnsi="宋体" w:cs="宋体"/>
          <w:color w:val="auto"/>
          <w:sz w:val="24"/>
          <w:highlight w:val="none"/>
          <w:u w:val="single"/>
        </w:rPr>
        <w:t>项目负责人、主要参加人员以及报告书的审核、批准人；</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3.保密期限：</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4.泄密责任：</w:t>
      </w:r>
      <w:r>
        <w:rPr>
          <w:rFonts w:hint="eastAsia" w:hAnsi="宋体" w:cs="宋体"/>
          <w:color w:val="auto"/>
          <w:sz w:val="24"/>
          <w:highlight w:val="none"/>
          <w:u w:val="single"/>
        </w:rPr>
        <w:t>承担行政与法律责任。</w:t>
      </w:r>
    </w:p>
    <w:p>
      <w:pPr>
        <w:spacing w:line="440" w:lineRule="exact"/>
        <w:ind w:firstLine="542" w:firstLineChars="200"/>
        <w:rPr>
          <w:rFonts w:hAnsi="宋体" w:cs="宋体"/>
          <w:b/>
          <w:bCs/>
          <w:color w:val="auto"/>
          <w:sz w:val="24"/>
          <w:highlight w:val="none"/>
        </w:rPr>
      </w:pPr>
      <w:r>
        <w:rPr>
          <w:rFonts w:hint="eastAsia" w:hAnsi="宋体" w:cs="宋体"/>
          <w:b/>
          <w:bCs/>
          <w:color w:val="auto"/>
          <w:sz w:val="24"/>
          <w:highlight w:val="none"/>
        </w:rPr>
        <w:t>第六条、本合同的变更必须由双方协商一致，并以书面形式确定。</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但有下列情形之一的，一方可以向另一方提出变更合同权利与义务的请求，另一方应当在3日内予以答复，逾期未予答复的，视为同意：</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u w:val="single"/>
        </w:rPr>
        <w:t>项目条件有重大变更</w:t>
      </w:r>
      <w:r>
        <w:rPr>
          <w:rFonts w:hint="eastAsia" w:hAnsi="宋体" w:cs="宋体"/>
          <w:color w:val="auto"/>
          <w:sz w:val="24"/>
          <w:highlight w:val="none"/>
        </w:rPr>
        <w:t>；</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第七条、双方确定以下列标准和方式对乙方的技术服务工作成果进行验收：</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1．乙方完成技术服务工作的形式：以书面形式向甲方提交项目报告；</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2.技术服务工作成果的验收标准：</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3.技术服务工作成果的验收方法：</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4.验收的时间和地点：</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Ansi="宋体" w:cs="宋体"/>
          <w:color w:val="auto"/>
          <w:sz w:val="24"/>
          <w:highlight w:val="none"/>
          <w:u w:val="single"/>
        </w:rPr>
      </w:pPr>
      <w:r>
        <w:rPr>
          <w:rFonts w:hint="eastAsia" w:hAnsi="宋体" w:cs="宋体"/>
          <w:color w:val="auto"/>
          <w:sz w:val="24"/>
          <w:highlight w:val="none"/>
        </w:rPr>
        <w:t>5.技术服务工作成果的提交</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2" w:firstLineChars="200"/>
        <w:rPr>
          <w:rFonts w:hint="eastAsia" w:hAnsi="宋体" w:cs="宋体"/>
          <w:b/>
          <w:bCs/>
          <w:color w:val="auto"/>
          <w:sz w:val="24"/>
          <w:highlight w:val="none"/>
        </w:rPr>
      </w:pPr>
      <w:r>
        <w:rPr>
          <w:rFonts w:hint="eastAsia" w:hAnsi="宋体" w:cs="宋体"/>
          <w:b/>
          <w:bCs/>
          <w:color w:val="auto"/>
          <w:sz w:val="24"/>
          <w:highlight w:val="none"/>
        </w:rPr>
        <w:t>第八条、甲、乙双方的权利和义务：</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Ansi="宋体" w:cs="宋体"/>
          <w:color w:val="auto"/>
          <w:sz w:val="24"/>
          <w:highlight w:val="none"/>
          <w:u w:val="single"/>
        </w:rPr>
      </w:pPr>
      <w:r>
        <w:rPr>
          <w:rFonts w:hint="eastAsia" w:hAnsi="宋体" w:cs="宋体"/>
          <w:color w:val="auto"/>
          <w:sz w:val="24"/>
          <w:highlight w:val="none"/>
        </w:rPr>
        <w:t>2．</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2" w:firstLineChars="200"/>
        <w:rPr>
          <w:rFonts w:hAnsi="宋体" w:cs="宋体"/>
          <w:color w:val="auto"/>
          <w:sz w:val="24"/>
          <w:highlight w:val="none"/>
        </w:rPr>
      </w:pPr>
      <w:r>
        <w:rPr>
          <w:rFonts w:hint="eastAsia" w:hAnsi="宋体" w:cs="宋体"/>
          <w:b/>
          <w:bCs/>
          <w:color w:val="auto"/>
          <w:sz w:val="24"/>
          <w:highlight w:val="none"/>
        </w:rPr>
        <w:t>第九条、双方确定，按以下约定承担各自的违约责任</w:t>
      </w:r>
      <w:r>
        <w:rPr>
          <w:rFonts w:hint="eastAsia" w:hAnsi="宋体" w:cs="宋体"/>
          <w:color w:val="auto"/>
          <w:sz w:val="24"/>
          <w:highlight w:val="none"/>
        </w:rPr>
        <w:t>：</w:t>
      </w:r>
    </w:p>
    <w:p>
      <w:pPr>
        <w:spacing w:line="440" w:lineRule="exact"/>
        <w:ind w:firstLine="540" w:firstLineChars="200"/>
        <w:rPr>
          <w:rFonts w:hint="eastAsia" w:hAnsi="宋体" w:cs="宋体"/>
          <w:color w:val="auto"/>
          <w:sz w:val="24"/>
          <w:highlight w:val="none"/>
          <w:u w:val="single"/>
        </w:rPr>
      </w:pPr>
      <w:r>
        <w:rPr>
          <w:rFonts w:hint="eastAsia" w:hAnsi="宋体" w:cs="宋体"/>
          <w:color w:val="auto"/>
          <w:sz w:val="24"/>
          <w:highlight w:val="none"/>
          <w:u w:val="single"/>
        </w:rPr>
        <w:t>1.由于甲方违反本合同第三条第1款约定，甲方如果延期提供资料，乙方提交成果的时间也应相应延后。</w:t>
      </w:r>
    </w:p>
    <w:p>
      <w:pPr>
        <w:spacing w:line="440" w:lineRule="exact"/>
        <w:ind w:firstLine="540" w:firstLineChars="200"/>
        <w:rPr>
          <w:rFonts w:hAnsi="宋体" w:cs="宋体"/>
          <w:color w:val="auto"/>
          <w:sz w:val="24"/>
          <w:highlight w:val="none"/>
          <w:u w:val="single"/>
        </w:rPr>
      </w:pPr>
      <w:r>
        <w:rPr>
          <w:rFonts w:hint="eastAsia" w:hAnsi="宋体" w:cs="宋体"/>
          <w:color w:val="auto"/>
          <w:sz w:val="24"/>
          <w:highlight w:val="none"/>
          <w:u w:val="single"/>
        </w:rPr>
        <w:t>2.由于乙方原因，乙方违反本合同第二条约定，乙方应当承担违约责任并支付2‰的违约金。</w:t>
      </w:r>
    </w:p>
    <w:p>
      <w:pPr>
        <w:spacing w:line="440" w:lineRule="exact"/>
        <w:ind w:firstLine="542" w:firstLineChars="200"/>
        <w:rPr>
          <w:rFonts w:hAnsi="宋体" w:cs="宋体"/>
          <w:color w:val="auto"/>
          <w:sz w:val="24"/>
          <w:highlight w:val="none"/>
          <w:u w:val="single"/>
        </w:rPr>
      </w:pPr>
      <w:r>
        <w:rPr>
          <w:rFonts w:hint="eastAsia" w:hAnsi="宋体" w:cs="宋体"/>
          <w:b/>
          <w:bCs/>
          <w:color w:val="auto"/>
          <w:sz w:val="24"/>
          <w:highlight w:val="none"/>
          <w:u w:val="single"/>
        </w:rPr>
        <w:t>第十条、双方确定，在本合同有效期内，</w:t>
      </w:r>
    </w:p>
    <w:p>
      <w:pPr>
        <w:spacing w:line="440" w:lineRule="exact"/>
        <w:ind w:firstLine="540" w:firstLineChars="200"/>
        <w:rPr>
          <w:rFonts w:hint="eastAsia" w:hAnsi="宋体" w:cs="宋体"/>
          <w:color w:val="auto"/>
          <w:sz w:val="24"/>
          <w:highlight w:val="none"/>
          <w:u w:val="single"/>
        </w:rPr>
      </w:pPr>
      <w:r>
        <w:rPr>
          <w:rFonts w:hint="eastAsia" w:hAnsi="宋体" w:cs="宋体"/>
          <w:color w:val="auto"/>
          <w:sz w:val="24"/>
          <w:highlight w:val="none"/>
          <w:u w:val="single"/>
        </w:rPr>
        <w:t xml:space="preserve">甲方指定 </w:t>
      </w:r>
      <w:r>
        <w:rPr>
          <w:rFonts w:hAnsi="宋体" w:cs="宋体"/>
          <w:color w:val="auto"/>
          <w:sz w:val="24"/>
          <w:highlight w:val="none"/>
          <w:u w:val="single"/>
        </w:rPr>
        <w:t xml:space="preserve">   </w:t>
      </w:r>
      <w:r>
        <w:rPr>
          <w:rFonts w:hint="eastAsia" w:hAnsi="宋体" w:cs="宋体"/>
          <w:color w:val="auto"/>
          <w:sz w:val="24"/>
          <w:highlight w:val="none"/>
          <w:u w:val="single"/>
        </w:rPr>
        <w:t>为甲方项目联系人，乙方指定</w:t>
      </w:r>
      <w:r>
        <w:rPr>
          <w:rFonts w:hAnsi="宋体" w:cs="宋体"/>
          <w:color w:val="auto"/>
          <w:sz w:val="24"/>
          <w:highlight w:val="none"/>
          <w:u w:val="single"/>
        </w:rPr>
        <w:t xml:space="preserve">     </w:t>
      </w:r>
      <w:r>
        <w:rPr>
          <w:rFonts w:hint="eastAsia" w:hAnsi="宋体" w:cs="宋体"/>
          <w:color w:val="auto"/>
          <w:sz w:val="24"/>
          <w:highlight w:val="none"/>
          <w:u w:val="single"/>
        </w:rPr>
        <w:t>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none"/>
          <w:lang w:val="en-US" w:eastAsia="zh-CN"/>
        </w:rPr>
        <w:t>（项目名称）</w:t>
      </w:r>
      <w:r>
        <w:rPr>
          <w:rFonts w:hint="eastAsia" w:hAnsi="宋体" w:cs="宋体"/>
          <w:color w:val="auto"/>
          <w:sz w:val="24"/>
          <w:highlight w:val="none"/>
          <w:u w:val="single"/>
        </w:rPr>
        <w:t>的总负责人和项目联系人。项目联系人承担以下责任：</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u w:val="single"/>
        </w:rPr>
      </w:pPr>
      <w:r>
        <w:rPr>
          <w:rFonts w:hint="eastAsia" w:hAnsi="宋体" w:cs="宋体"/>
          <w:color w:val="auto"/>
          <w:sz w:val="24"/>
          <w:highlight w:val="none"/>
          <w:u w:val="single"/>
        </w:rPr>
        <w:t>1.及时沟通工作进展情况；</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u w:val="single"/>
        </w:rPr>
      </w:pPr>
      <w:r>
        <w:rPr>
          <w:rFonts w:hint="eastAsia" w:hAnsi="宋体" w:cs="宋体"/>
          <w:color w:val="auto"/>
          <w:sz w:val="24"/>
          <w:highlight w:val="none"/>
          <w:u w:val="single"/>
        </w:rPr>
        <w:t>2.及时沟通双方需求变化；</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u w:val="single"/>
        </w:rPr>
      </w:pPr>
      <w:r>
        <w:rPr>
          <w:rFonts w:hint="eastAsia" w:hAnsi="宋体" w:cs="宋体"/>
          <w:color w:val="auto"/>
          <w:sz w:val="24"/>
          <w:highlight w:val="none"/>
          <w:u w:val="single"/>
        </w:rPr>
        <w:t>3.负责项目的接口及联络</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Ansi="宋体" w:cs="宋体"/>
          <w:b/>
          <w:bCs/>
          <w:color w:val="auto"/>
          <w:sz w:val="24"/>
          <w:highlight w:val="none"/>
        </w:rPr>
      </w:pPr>
      <w:r>
        <w:rPr>
          <w:rFonts w:hint="eastAsia" w:hAnsi="宋体" w:cs="宋体"/>
          <w:b/>
          <w:bCs/>
          <w:color w:val="auto"/>
          <w:sz w:val="24"/>
          <w:highlight w:val="none"/>
        </w:rPr>
        <w:t>甲方变更项目联系人的，应当及时以书面形式通知另一方。未及时通知并影响本合同履行或造成损失的，应承担相应的责任。乙方不得变更项目总负责人。</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int="eastAsia" w:hAnsi="宋体" w:cs="宋体"/>
          <w:b/>
          <w:bCs/>
          <w:color w:val="auto"/>
          <w:sz w:val="24"/>
          <w:highlight w:val="none"/>
        </w:rPr>
      </w:pPr>
      <w:r>
        <w:rPr>
          <w:rFonts w:hint="eastAsia" w:hAnsi="宋体" w:cs="宋体"/>
          <w:b/>
          <w:bCs/>
          <w:color w:val="auto"/>
          <w:sz w:val="24"/>
          <w:highlight w:val="none"/>
        </w:rPr>
        <w:t>第十一条、双方确定，出现下列情形，致使本合同的履行成为不必要或不可能的，可以解除本合同：</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b/>
          <w:bCs/>
          <w:color w:val="auto"/>
          <w:sz w:val="24"/>
          <w:highlight w:val="none"/>
        </w:rPr>
      </w:pPr>
      <w:r>
        <w:rPr>
          <w:rFonts w:hint="eastAsia" w:hAnsi="宋体" w:cs="宋体"/>
          <w:color w:val="auto"/>
          <w:sz w:val="24"/>
          <w:highlight w:val="none"/>
        </w:rPr>
        <w:t>1．</w:t>
      </w:r>
      <w:r>
        <w:rPr>
          <w:rFonts w:hint="eastAsia" w:hAnsi="宋体" w:cs="宋体"/>
          <w:color w:val="auto"/>
          <w:sz w:val="24"/>
          <w:highlight w:val="none"/>
          <w:u w:val="single"/>
        </w:rPr>
        <w:t>发生不可抗力</w:t>
      </w:r>
      <w:r>
        <w:rPr>
          <w:rFonts w:hint="eastAsia" w:hAnsi="宋体" w:cs="宋体"/>
          <w:b/>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int="eastAsia" w:hAnsi="宋体" w:cs="宋体"/>
          <w:b/>
          <w:bCs/>
          <w:color w:val="auto"/>
          <w:sz w:val="24"/>
          <w:highlight w:val="none"/>
        </w:rPr>
      </w:pPr>
      <w:r>
        <w:rPr>
          <w:rFonts w:hint="eastAsia" w:hAnsi="宋体" w:cs="宋体"/>
          <w:b/>
          <w:bCs/>
          <w:color w:val="auto"/>
          <w:sz w:val="24"/>
          <w:highlight w:val="none"/>
        </w:rPr>
        <w:t>第十二条、双方因履行本合同而发生的争议，应协商、调解解决。协商、调解不成的， 确定按以下第1种方式处理：</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u w:val="single"/>
        </w:rPr>
      </w:pPr>
      <w:r>
        <w:rPr>
          <w:rFonts w:hint="eastAsia" w:hAnsi="宋体" w:cs="宋体"/>
          <w:color w:val="auto"/>
          <w:sz w:val="24"/>
          <w:highlight w:val="none"/>
          <w:u w:val="single"/>
        </w:rPr>
        <w:t>1.提交</w:t>
      </w:r>
      <w:r>
        <w:rPr>
          <w:rFonts w:hint="eastAsia" w:hAnsi="宋体" w:cs="宋体"/>
          <w:color w:val="auto"/>
          <w:sz w:val="24"/>
          <w:highlight w:val="none"/>
          <w:u w:val="single"/>
          <w:lang w:val="en-US" w:eastAsia="zh-CN"/>
        </w:rPr>
        <w:t>库车</w:t>
      </w:r>
      <w:r>
        <w:rPr>
          <w:rFonts w:hint="eastAsia" w:hAnsi="宋体" w:cs="宋体"/>
          <w:color w:val="auto"/>
          <w:sz w:val="24"/>
          <w:highlight w:val="none"/>
          <w:u w:val="single"/>
        </w:rPr>
        <w:t>市仲裁委员会仲裁；</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u w:val="single"/>
        </w:rPr>
      </w:pPr>
      <w:r>
        <w:rPr>
          <w:rFonts w:hint="eastAsia" w:hAnsi="宋体" w:cs="宋体"/>
          <w:color w:val="auto"/>
          <w:sz w:val="24"/>
          <w:highlight w:val="none"/>
          <w:u w:val="single"/>
        </w:rPr>
        <w:t>2.依法向人民法院起诉。</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int="eastAsia" w:hAnsi="宋体" w:cs="宋体"/>
          <w:b/>
          <w:bCs/>
          <w:color w:val="auto"/>
          <w:sz w:val="24"/>
          <w:highlight w:val="none"/>
        </w:rPr>
      </w:pPr>
      <w:r>
        <w:rPr>
          <w:rFonts w:hint="eastAsia" w:hAnsi="宋体" w:cs="宋体"/>
          <w:b/>
          <w:bCs/>
          <w:color w:val="auto"/>
          <w:sz w:val="24"/>
          <w:highlight w:val="none"/>
        </w:rPr>
        <w:t>第十三条、双方确定：本合同及相关附件中所涉及的有关名词和技术术语，其定义和解释如下：</w:t>
      </w:r>
      <w:r>
        <w:rPr>
          <w:rFonts w:hint="eastAsia" w:hAnsi="宋体" w:cs="宋体"/>
          <w:color w:val="auto"/>
          <w:sz w:val="24"/>
          <w:highlight w:val="none"/>
        </w:rPr>
        <w:t>无</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int="eastAsia" w:hAnsi="宋体" w:cs="宋体"/>
          <w:b/>
          <w:bCs/>
          <w:color w:val="auto"/>
          <w:sz w:val="24"/>
          <w:highlight w:val="none"/>
        </w:rPr>
      </w:pPr>
      <w:r>
        <w:rPr>
          <w:rFonts w:hint="eastAsia" w:hAnsi="宋体" w:cs="宋体"/>
          <w:b/>
          <w:bCs/>
          <w:color w:val="auto"/>
          <w:sz w:val="24"/>
          <w:highlight w:val="none"/>
        </w:rPr>
        <w:t>第十四条、与履行本合同有关的下列技术文件，经双方以协商方式确认后，为本合同的组成部分：</w:t>
      </w:r>
      <w:r>
        <w:rPr>
          <w:rFonts w:hint="eastAsia" w:hAnsi="宋体" w:cs="宋体"/>
          <w:b/>
          <w:bCs/>
          <w:color w:val="auto"/>
          <w:sz w:val="24"/>
          <w:highlight w:val="none"/>
          <w:u w:val="single"/>
        </w:rPr>
        <w:t>乙方的投标文件。</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int="eastAsia" w:hAnsi="宋体" w:cs="宋体"/>
          <w:b/>
          <w:bCs/>
          <w:color w:val="auto"/>
          <w:sz w:val="24"/>
          <w:highlight w:val="none"/>
        </w:rPr>
      </w:pPr>
      <w:r>
        <w:rPr>
          <w:rFonts w:hint="eastAsia" w:hAnsi="宋体" w:cs="宋体"/>
          <w:b/>
          <w:bCs/>
          <w:color w:val="auto"/>
          <w:sz w:val="24"/>
          <w:highlight w:val="none"/>
        </w:rPr>
        <w:t>第十五条、双方约定本合同其他相关事项为：合同执行过程中双方协商解决。</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Ansi="宋体" w:cs="宋体"/>
          <w:color w:val="auto"/>
          <w:sz w:val="24"/>
          <w:highlight w:val="none"/>
        </w:rPr>
      </w:pPr>
      <w:r>
        <w:rPr>
          <w:rFonts w:hint="eastAsia" w:hAnsi="宋体" w:cs="宋体"/>
          <w:b/>
          <w:bCs/>
          <w:color w:val="auto"/>
          <w:sz w:val="24"/>
          <w:highlight w:val="none"/>
        </w:rPr>
        <w:t>第十六条、</w:t>
      </w:r>
      <w:r>
        <w:rPr>
          <w:rFonts w:hint="eastAsia" w:hAnsi="宋体" w:cs="宋体"/>
          <w:color w:val="auto"/>
          <w:sz w:val="24"/>
          <w:highlight w:val="none"/>
        </w:rPr>
        <w:t>本合同一式</w:t>
      </w:r>
      <w:r>
        <w:rPr>
          <w:rFonts w:hint="eastAsia" w:hAnsi="宋体" w:cs="宋体"/>
          <w:b/>
          <w:bCs/>
          <w:color w:val="auto"/>
          <w:sz w:val="24"/>
          <w:highlight w:val="none"/>
          <w:u w:val="single"/>
        </w:rPr>
        <w:t>肆</w:t>
      </w:r>
      <w:r>
        <w:rPr>
          <w:rFonts w:hint="eastAsia" w:hAnsi="宋体" w:cs="宋体"/>
          <w:color w:val="auto"/>
          <w:sz w:val="24"/>
          <w:highlight w:val="none"/>
        </w:rPr>
        <w:t>份，其中招标人</w:t>
      </w:r>
      <w:r>
        <w:rPr>
          <w:rFonts w:hint="eastAsia" w:hAnsi="宋体" w:cs="宋体"/>
          <w:b/>
          <w:bCs/>
          <w:color w:val="auto"/>
          <w:sz w:val="24"/>
          <w:highlight w:val="none"/>
        </w:rPr>
        <w:t>贰</w:t>
      </w:r>
      <w:r>
        <w:rPr>
          <w:rFonts w:hint="eastAsia" w:hAnsi="宋体" w:cs="宋体"/>
          <w:color w:val="auto"/>
          <w:sz w:val="24"/>
          <w:highlight w:val="none"/>
        </w:rPr>
        <w:t>份、中标单位</w:t>
      </w:r>
      <w:r>
        <w:rPr>
          <w:rFonts w:hint="eastAsia" w:hAnsi="宋体" w:cs="宋体"/>
          <w:b/>
          <w:bCs/>
          <w:color w:val="auto"/>
          <w:sz w:val="24"/>
          <w:highlight w:val="none"/>
        </w:rPr>
        <w:t>贰</w:t>
      </w:r>
      <w:r>
        <w:rPr>
          <w:rFonts w:hint="eastAsia" w:hAnsi="宋体" w:cs="宋体"/>
          <w:color w:val="auto"/>
          <w:sz w:val="24"/>
          <w:highlight w:val="none"/>
        </w:rPr>
        <w:t>份，具有同等法律效力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int="eastAsia" w:hAnsi="宋体" w:cs="宋体"/>
          <w:b/>
          <w:bCs/>
          <w:color w:val="auto"/>
          <w:sz w:val="24"/>
          <w:highlight w:val="none"/>
        </w:rPr>
      </w:pPr>
      <w:r>
        <w:rPr>
          <w:rFonts w:hint="eastAsia" w:hAnsi="宋体" w:cs="宋体"/>
          <w:b/>
          <w:bCs/>
          <w:color w:val="auto"/>
          <w:sz w:val="24"/>
          <w:highlight w:val="none"/>
        </w:rPr>
        <w:t>第十七条、合同生效</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rPr>
      </w:pPr>
      <w:r>
        <w:rPr>
          <w:rFonts w:hint="eastAsia" w:hAnsi="宋体" w:cs="宋体"/>
          <w:color w:val="auto"/>
          <w:sz w:val="24"/>
          <w:highlight w:val="none"/>
        </w:rPr>
        <w:t xml:space="preserve">合同订立时间： </w:t>
      </w:r>
      <w:r>
        <w:rPr>
          <w:rFonts w:hAnsi="宋体" w:cs="宋体"/>
          <w:color w:val="auto"/>
          <w:sz w:val="24"/>
          <w:highlight w:val="none"/>
        </w:rPr>
        <w:t xml:space="preserve"> </w:t>
      </w:r>
      <w:r>
        <w:rPr>
          <w:rFonts w:hint="eastAsia" w:hAnsi="宋体" w:cs="宋体"/>
          <w:color w:val="auto"/>
          <w:sz w:val="24"/>
          <w:highlight w:val="none"/>
        </w:rPr>
        <w:t>年</w:t>
      </w:r>
      <w:r>
        <w:rPr>
          <w:rFonts w:hAnsi="宋体" w:cs="宋体"/>
          <w:color w:val="auto"/>
          <w:sz w:val="24"/>
          <w:highlight w:val="none"/>
        </w:rPr>
        <w:t xml:space="preserve"> </w:t>
      </w:r>
      <w:r>
        <w:rPr>
          <w:rFonts w:hint="eastAsia" w:hAnsi="宋体" w:cs="宋体"/>
          <w:color w:val="auto"/>
          <w:sz w:val="24"/>
          <w:highlight w:val="none"/>
        </w:rPr>
        <w:t>月</w:t>
      </w:r>
      <w:r>
        <w:rPr>
          <w:rFonts w:hAnsi="宋体" w:cs="宋体"/>
          <w:color w:val="auto"/>
          <w:sz w:val="24"/>
          <w:highlight w:val="none"/>
        </w:rPr>
        <w:t xml:space="preserve"> </w:t>
      </w:r>
      <w:r>
        <w:rPr>
          <w:rFonts w:hint="eastAsia" w:hAnsi="宋体" w:cs="宋体"/>
          <w:color w:val="auto"/>
          <w:sz w:val="24"/>
          <w:highlight w:val="none"/>
        </w:rPr>
        <w:t>日</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rPr>
      </w:pPr>
      <w:r>
        <w:rPr>
          <w:rFonts w:hint="eastAsia" w:hAnsi="宋体" w:cs="宋体"/>
          <w:color w:val="auto"/>
          <w:sz w:val="24"/>
          <w:highlight w:val="none"/>
        </w:rPr>
        <w:t>合同订立地点：</w:t>
      </w:r>
      <w:r>
        <w:rPr>
          <w:rFonts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rPr>
      </w:pPr>
      <w:r>
        <w:rPr>
          <w:rFonts w:hint="eastAsia" w:hAnsi="宋体" w:cs="宋体"/>
          <w:color w:val="auto"/>
          <w:sz w:val="24"/>
          <w:highlight w:val="none"/>
        </w:rPr>
        <w:t>本合同双方约定：</w:t>
      </w:r>
      <w:r>
        <w:rPr>
          <w:rFonts w:hAnsi="宋体" w:cs="宋体"/>
          <w:color w:val="auto"/>
          <w:sz w:val="24"/>
          <w:highlight w:val="none"/>
        </w:rPr>
        <w:t xml:space="preserve">   </w:t>
      </w:r>
      <w:r>
        <w:rPr>
          <w:rFonts w:hint="eastAsia" w:hAnsi="宋体" w:cs="宋体"/>
          <w:color w:val="auto"/>
          <w:sz w:val="24"/>
          <w:highlight w:val="none"/>
        </w:rPr>
        <w:t>年</w:t>
      </w:r>
      <w:r>
        <w:rPr>
          <w:rFonts w:hAnsi="宋体" w:cs="宋体"/>
          <w:color w:val="auto"/>
          <w:sz w:val="24"/>
          <w:highlight w:val="none"/>
        </w:rPr>
        <w:t xml:space="preserve">    </w:t>
      </w:r>
      <w:r>
        <w:rPr>
          <w:rFonts w:hint="eastAsia" w:hAnsi="宋体" w:cs="宋体"/>
          <w:color w:val="auto"/>
          <w:sz w:val="24"/>
          <w:highlight w:val="none"/>
        </w:rPr>
        <w:t xml:space="preserve">月 </w:t>
      </w:r>
      <w:r>
        <w:rPr>
          <w:rFonts w:hAnsi="宋体" w:cs="宋体"/>
          <w:color w:val="auto"/>
          <w:sz w:val="24"/>
          <w:highlight w:val="none"/>
        </w:rPr>
        <w:t xml:space="preserve">  </w:t>
      </w:r>
      <w:r>
        <w:rPr>
          <w:rFonts w:hint="eastAsia" w:hAnsi="宋体" w:cs="宋体"/>
          <w:color w:val="auto"/>
          <w:sz w:val="24"/>
          <w:highlight w:val="none"/>
        </w:rPr>
        <w:t xml:space="preserve">日 </w:t>
      </w:r>
      <w:r>
        <w:rPr>
          <w:rFonts w:hAnsi="宋体" w:cs="宋体"/>
          <w:color w:val="auto"/>
          <w:sz w:val="24"/>
          <w:highlight w:val="none"/>
        </w:rPr>
        <w:t xml:space="preserve">  </w:t>
      </w:r>
      <w:r>
        <w:rPr>
          <w:rFonts w:hint="eastAsia" w:hAnsi="宋体" w:cs="宋体"/>
          <w:color w:val="auto"/>
          <w:sz w:val="24"/>
          <w:highlight w:val="none"/>
        </w:rPr>
        <w:t xml:space="preserve">生 </w:t>
      </w:r>
      <w:r>
        <w:rPr>
          <w:rFonts w:hAnsi="宋体" w:cs="宋体"/>
          <w:color w:val="auto"/>
          <w:sz w:val="24"/>
          <w:highlight w:val="none"/>
        </w:rPr>
        <w:t xml:space="preserve">  </w:t>
      </w:r>
      <w:r>
        <w:rPr>
          <w:rFonts w:hint="eastAsia" w:hAnsi="宋体" w:cs="宋体"/>
          <w:color w:val="auto"/>
          <w:sz w:val="24"/>
          <w:highlight w:val="none"/>
        </w:rPr>
        <w:t>效 。</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rPr>
      </w:pPr>
      <w:r>
        <w:rPr>
          <w:rFonts w:hint="eastAsia" w:hAnsi="宋体" w:cs="宋体"/>
          <w:color w:val="auto"/>
          <w:sz w:val="24"/>
          <w:highlight w:val="none"/>
        </w:rPr>
        <w:t xml:space="preserve">委托人：（甲方公章） </w:t>
      </w:r>
      <w:r>
        <w:rPr>
          <w:rFonts w:hAnsi="宋体" w:cs="宋体"/>
          <w:color w:val="auto"/>
          <w:sz w:val="24"/>
          <w:highlight w:val="none"/>
        </w:rPr>
        <w:t xml:space="preserve">                     </w:t>
      </w:r>
      <w:r>
        <w:rPr>
          <w:rFonts w:hint="eastAsia" w:hAnsi="宋体" w:cs="宋体"/>
          <w:color w:val="auto"/>
          <w:sz w:val="24"/>
          <w:highlight w:val="none"/>
        </w:rPr>
        <w:t>受托人：（乙方公章）</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rPr>
      </w:pPr>
      <w:r>
        <w:rPr>
          <w:rFonts w:hint="eastAsia" w:hAnsi="宋体" w:cs="宋体"/>
          <w:color w:val="auto"/>
          <w:sz w:val="24"/>
          <w:highlight w:val="none"/>
        </w:rPr>
        <w:t>法定代表人（签字或盖章）：                法定代表人（签字或盖章）：</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rPr>
      </w:pPr>
      <w:r>
        <w:rPr>
          <w:rFonts w:hint="eastAsia" w:hAnsi="宋体" w:cs="宋体"/>
          <w:color w:val="auto"/>
          <w:sz w:val="24"/>
          <w:highlight w:val="none"/>
        </w:rPr>
        <w:t>授权代理人（签字或盖章）：                授权代理人（签字或盖章）：</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rPr>
      </w:pPr>
      <w:r>
        <w:rPr>
          <w:rFonts w:hint="eastAsia" w:hAnsi="宋体" w:cs="宋体"/>
          <w:color w:val="auto"/>
          <w:sz w:val="24"/>
          <w:highlight w:val="none"/>
        </w:rPr>
        <w:t xml:space="preserve">单位地址：                </w:t>
      </w:r>
      <w:r>
        <w:rPr>
          <w:rFonts w:hAnsi="宋体" w:cs="宋体"/>
          <w:color w:val="auto"/>
          <w:sz w:val="24"/>
          <w:highlight w:val="none"/>
        </w:rPr>
        <w:t xml:space="preserve">                </w:t>
      </w:r>
      <w:r>
        <w:rPr>
          <w:rFonts w:hint="eastAsia" w:hAnsi="宋体" w:cs="宋体"/>
          <w:color w:val="auto"/>
          <w:sz w:val="24"/>
          <w:highlight w:val="none"/>
        </w:rPr>
        <w:t>单位地址：</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rPr>
      </w:pPr>
      <w:r>
        <w:rPr>
          <w:rFonts w:hint="eastAsia" w:hAnsi="宋体" w:cs="宋体"/>
          <w:color w:val="auto"/>
          <w:sz w:val="24"/>
          <w:highlight w:val="none"/>
        </w:rPr>
        <w:t>邮政编码：</w:t>
      </w:r>
      <w:r>
        <w:rPr>
          <w:rFonts w:hAnsi="宋体" w:cs="宋体"/>
          <w:color w:val="auto"/>
          <w:sz w:val="24"/>
          <w:highlight w:val="none"/>
        </w:rPr>
        <w:t xml:space="preserve">     </w:t>
      </w:r>
      <w:r>
        <w:rPr>
          <w:rFonts w:hint="eastAsia" w:hAnsi="宋体" w:cs="宋体"/>
          <w:color w:val="auto"/>
          <w:sz w:val="24"/>
          <w:highlight w:val="none"/>
        </w:rPr>
        <w:t xml:space="preserve">                           邮政编码：</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rPr>
      </w:pPr>
      <w:r>
        <w:rPr>
          <w:rFonts w:hint="eastAsia" w:hAnsi="宋体" w:cs="宋体"/>
          <w:color w:val="auto"/>
          <w:sz w:val="24"/>
          <w:highlight w:val="none"/>
        </w:rPr>
        <w:t>联系电话：                                联系电话：</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rPr>
      </w:pPr>
      <w:r>
        <w:rPr>
          <w:rFonts w:hint="eastAsia" w:hAnsi="宋体" w:cs="宋体"/>
          <w:color w:val="auto"/>
          <w:sz w:val="24"/>
          <w:highlight w:val="none"/>
        </w:rPr>
        <w:t xml:space="preserve">开户银行：          </w:t>
      </w:r>
      <w:r>
        <w:rPr>
          <w:rFonts w:hAnsi="宋体" w:cs="宋体"/>
          <w:color w:val="auto"/>
          <w:sz w:val="24"/>
          <w:highlight w:val="none"/>
        </w:rPr>
        <w:t xml:space="preserve">                  </w:t>
      </w:r>
      <w:r>
        <w:rPr>
          <w:rFonts w:hint="eastAsia" w:hAnsi="宋体" w:cs="宋体"/>
          <w:color w:val="auto"/>
          <w:sz w:val="24"/>
          <w:highlight w:val="none"/>
        </w:rPr>
        <w:t xml:space="preserve">   </w:t>
      </w:r>
      <w:r>
        <w:rPr>
          <w:rFonts w:hAnsi="宋体" w:cs="宋体"/>
          <w:color w:val="auto"/>
          <w:sz w:val="24"/>
          <w:highlight w:val="none"/>
        </w:rPr>
        <w:t xml:space="preserve"> </w:t>
      </w:r>
      <w:r>
        <w:rPr>
          <w:rFonts w:hint="eastAsia" w:hAnsi="宋体" w:cs="宋体"/>
          <w:color w:val="auto"/>
          <w:sz w:val="24"/>
          <w:highlight w:val="none"/>
        </w:rPr>
        <w:t>开户银行：</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rPr>
      </w:pPr>
      <w:r>
        <w:rPr>
          <w:rFonts w:hint="eastAsia" w:hAnsi="宋体" w:cs="宋体"/>
          <w:color w:val="auto"/>
          <w:sz w:val="24"/>
          <w:highlight w:val="none"/>
        </w:rPr>
        <w:t>帐    号：                                帐    号：</w:t>
      </w:r>
    </w:p>
    <w:p>
      <w:pPr>
        <w:pStyle w:val="9"/>
      </w:pPr>
    </w:p>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19"/>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Theme="minorEastAsia" w:hAnsiTheme="minorEastAsia" w:cstheme="minorEastAsia"/>
          <w:b/>
          <w:bCs/>
          <w:i w:val="0"/>
          <w:iCs w:val="0"/>
          <w:color w:val="auto"/>
          <w:spacing w:val="0"/>
          <w:sz w:val="32"/>
          <w:szCs w:val="32"/>
          <w:lang w:val="en-US" w:eastAsia="zh-CN"/>
        </w:rPr>
      </w:pPr>
      <w:r>
        <w:rPr>
          <w:rFonts w:hint="eastAsia" w:asciiTheme="minorEastAsia" w:hAnsiTheme="minorEastAsia" w:cstheme="minorEastAsia"/>
          <w:b/>
          <w:bCs/>
          <w:i w:val="0"/>
          <w:iCs w:val="0"/>
          <w:color w:val="auto"/>
          <w:spacing w:val="0"/>
          <w:sz w:val="32"/>
          <w:szCs w:val="32"/>
          <w:lang w:val="en-US" w:eastAsia="zh-CN"/>
        </w:rPr>
        <w:t xml:space="preserve"> </w:t>
      </w:r>
      <w:bookmarkStart w:id="142" w:name="_Toc993"/>
      <w:bookmarkStart w:id="143" w:name="_Toc13418"/>
      <w:r>
        <w:rPr>
          <w:rFonts w:hint="eastAsia" w:asciiTheme="minorEastAsia" w:hAnsiTheme="minorEastAsia" w:cstheme="minorEastAsia"/>
          <w:b/>
          <w:bCs/>
          <w:i w:val="0"/>
          <w:iCs w:val="0"/>
          <w:color w:val="auto"/>
          <w:spacing w:val="0"/>
          <w:sz w:val="32"/>
          <w:szCs w:val="32"/>
          <w:lang w:val="en-US" w:eastAsia="zh-CN"/>
        </w:rPr>
        <w:t>技术标准和要求</w:t>
      </w:r>
      <w:bookmarkEnd w:id="142"/>
      <w:bookmarkEnd w:id="143"/>
    </w:p>
    <w:p>
      <w:pPr>
        <w:pStyle w:val="37"/>
        <w:numPr>
          <w:ilvl w:val="0"/>
          <w:numId w:val="0"/>
        </w:numPr>
        <w:tabs>
          <w:tab w:val="left" w:pos="634"/>
        </w:tabs>
        <w:spacing w:before="74"/>
        <w:ind w:left="210" w:leftChars="0"/>
        <w:rPr>
          <w:rFonts w:hint="eastAsia" w:ascii="宋体" w:cs="Microsoft YaHei UI" w:hAnsiTheme="minorHAnsi" w:eastAsiaTheme="minorEastAsia"/>
          <w:i w:val="0"/>
          <w:iCs w:val="0"/>
          <w:color w:val="auto"/>
          <w:spacing w:val="15"/>
          <w:kern w:val="0"/>
          <w:sz w:val="24"/>
          <w:szCs w:val="21"/>
          <w:lang w:val="en-US" w:eastAsia="zh-CN" w:bidi="ar-SA"/>
        </w:rPr>
      </w:pPr>
    </w:p>
    <w:p>
      <w:pPr>
        <w:spacing w:line="500" w:lineRule="exact"/>
        <w:rPr>
          <w:rFonts w:hint="eastAsia" w:eastAsiaTheme="minorEastAsia"/>
          <w:i w:val="0"/>
          <w:iCs w:val="0"/>
          <w:color w:val="auto"/>
          <w:szCs w:val="21"/>
          <w:lang w:eastAsia="zh-CN"/>
        </w:rPr>
      </w:pPr>
      <w:r>
        <w:rPr>
          <w:i w:val="0"/>
          <w:iCs w:val="0"/>
          <w:color w:val="auto"/>
          <w:szCs w:val="21"/>
        </w:rPr>
        <w:t>1.1</w:t>
      </w:r>
      <w:r>
        <w:rPr>
          <w:rFonts w:hint="eastAsia"/>
          <w:i w:val="0"/>
          <w:iCs w:val="0"/>
          <w:color w:val="auto"/>
          <w:szCs w:val="21"/>
        </w:rPr>
        <w:t>项目名称</w:t>
      </w:r>
      <w:r>
        <w:rPr>
          <w:rFonts w:hint="eastAsia"/>
          <w:i w:val="0"/>
          <w:iCs w:val="0"/>
          <w:color w:val="auto"/>
          <w:szCs w:val="21"/>
          <w:lang w:eastAsia="zh-CN"/>
        </w:rPr>
        <w:t>：</w:t>
      </w:r>
    </w:p>
    <w:p>
      <w:pPr>
        <w:spacing w:line="500" w:lineRule="exact"/>
        <w:rPr>
          <w:rFonts w:hint="eastAsia"/>
          <w:i w:val="0"/>
          <w:iCs w:val="0"/>
          <w:color w:val="auto"/>
        </w:rPr>
      </w:pPr>
      <w:r>
        <w:rPr>
          <w:rFonts w:hint="eastAsia"/>
          <w:i w:val="0"/>
          <w:iCs w:val="0"/>
          <w:color w:val="auto"/>
          <w:szCs w:val="21"/>
        </w:rPr>
        <w:t>1.</w:t>
      </w:r>
      <w:r>
        <w:rPr>
          <w:rFonts w:hint="eastAsia"/>
          <w:i w:val="0"/>
          <w:iCs w:val="0"/>
          <w:color w:val="auto"/>
          <w:szCs w:val="21"/>
          <w:lang w:val="en-US" w:eastAsia="zh-CN"/>
        </w:rPr>
        <w:t>2</w:t>
      </w:r>
      <w:r>
        <w:rPr>
          <w:rFonts w:hint="eastAsia"/>
          <w:i w:val="0"/>
          <w:iCs w:val="0"/>
          <w:color w:val="auto"/>
          <w:szCs w:val="21"/>
        </w:rPr>
        <w:t>项目概述</w:t>
      </w:r>
      <w:r>
        <w:rPr>
          <w:rFonts w:hint="eastAsia"/>
          <w:i w:val="0"/>
          <w:iCs w:val="0"/>
          <w:color w:val="auto"/>
        </w:rPr>
        <w:t xml:space="preserve"> </w:t>
      </w:r>
      <w:r>
        <w:rPr>
          <w:rFonts w:hint="eastAsia"/>
          <w:i w:val="0"/>
          <w:iCs w:val="0"/>
          <w:color w:val="auto"/>
          <w:lang w:eastAsia="zh-CN"/>
        </w:rPr>
        <w:t>：</w:t>
      </w:r>
      <w:r>
        <w:rPr>
          <w:rFonts w:hint="eastAsia"/>
          <w:i w:val="0"/>
          <w:iCs w:val="0"/>
          <w:color w:val="auto"/>
        </w:rPr>
        <w:t xml:space="preserve"> </w:t>
      </w:r>
    </w:p>
    <w:p>
      <w:pPr>
        <w:spacing w:line="480" w:lineRule="exact"/>
        <w:rPr>
          <w:rFonts w:hint="eastAsia" w:ascii="宋体" w:cs="Microsoft YaHei UI" w:hAnsiTheme="minorHAnsi" w:eastAsiaTheme="minorEastAsia"/>
          <w:i w:val="0"/>
          <w:iCs w:val="0"/>
          <w:color w:val="auto"/>
          <w:spacing w:val="15"/>
          <w:kern w:val="0"/>
          <w:sz w:val="24"/>
          <w:szCs w:val="21"/>
          <w:lang w:val="en-US" w:eastAsia="zh-CN" w:bidi="ar-SA"/>
        </w:rPr>
      </w:pPr>
      <w:r>
        <w:rPr>
          <w:rFonts w:hint="eastAsia"/>
          <w:i w:val="0"/>
          <w:iCs w:val="0"/>
          <w:color w:val="auto"/>
          <w:szCs w:val="21"/>
        </w:rPr>
        <w:t>1.</w:t>
      </w:r>
      <w:r>
        <w:rPr>
          <w:rFonts w:hint="eastAsia"/>
          <w:i w:val="0"/>
          <w:iCs w:val="0"/>
          <w:color w:val="auto"/>
          <w:szCs w:val="21"/>
          <w:lang w:val="en-US" w:eastAsia="zh-CN"/>
        </w:rPr>
        <w:t>3</w:t>
      </w:r>
      <w:r>
        <w:rPr>
          <w:rFonts w:hint="eastAsia"/>
          <w:i w:val="0"/>
          <w:iCs w:val="0"/>
          <w:color w:val="auto"/>
          <w:szCs w:val="21"/>
        </w:rPr>
        <w:t>项目设计内容</w:t>
      </w:r>
      <w:r>
        <w:rPr>
          <w:rFonts w:hint="eastAsia"/>
          <w:i w:val="0"/>
          <w:iCs w:val="0"/>
          <w:color w:val="auto"/>
          <w:szCs w:val="21"/>
          <w:lang w:eastAsia="zh-CN"/>
        </w:rPr>
        <w:t>：</w:t>
      </w:r>
    </w:p>
    <w:p>
      <w:pPr>
        <w:pStyle w:val="37"/>
        <w:numPr>
          <w:ilvl w:val="0"/>
          <w:numId w:val="0"/>
        </w:numPr>
        <w:tabs>
          <w:tab w:val="left" w:pos="634"/>
        </w:tabs>
        <w:spacing w:before="74"/>
        <w:rPr>
          <w:rFonts w:hint="eastAsia" w:ascii="宋体" w:cs="Microsoft YaHei UI" w:hAnsiTheme="minorHAnsi" w:eastAsiaTheme="minorEastAsia"/>
          <w:i w:val="0"/>
          <w:iCs w:val="0"/>
          <w:color w:val="auto"/>
          <w:spacing w:val="15"/>
          <w:kern w:val="0"/>
          <w:sz w:val="24"/>
          <w:szCs w:val="21"/>
          <w:lang w:val="en-US" w:eastAsia="zh-CN" w:bidi="ar-SA"/>
        </w:rPr>
      </w:pPr>
      <w:r>
        <w:rPr>
          <w:rFonts w:hint="eastAsia" w:ascii="宋体" w:cs="Microsoft YaHei UI"/>
          <w:i w:val="0"/>
          <w:iCs w:val="0"/>
          <w:color w:val="auto"/>
          <w:spacing w:val="15"/>
          <w:kern w:val="0"/>
          <w:sz w:val="24"/>
          <w:szCs w:val="21"/>
          <w:lang w:val="en-US" w:eastAsia="zh-CN" w:bidi="ar-SA"/>
        </w:rPr>
        <w:t>1.4</w:t>
      </w:r>
      <w:r>
        <w:rPr>
          <w:rFonts w:hint="eastAsia" w:ascii="宋体" w:cs="Microsoft YaHei UI" w:hAnsiTheme="minorHAnsi" w:eastAsiaTheme="minorEastAsia"/>
          <w:i w:val="0"/>
          <w:iCs w:val="0"/>
          <w:color w:val="auto"/>
          <w:spacing w:val="15"/>
          <w:kern w:val="0"/>
          <w:sz w:val="24"/>
          <w:szCs w:val="21"/>
          <w:lang w:val="en-US" w:eastAsia="zh-CN" w:bidi="ar-SA"/>
        </w:rPr>
        <w:t>设计技术要求</w:t>
      </w:r>
    </w:p>
    <w:p>
      <w:pPr>
        <w:pStyle w:val="37"/>
        <w:numPr>
          <w:ilvl w:val="0"/>
          <w:numId w:val="0"/>
        </w:numPr>
        <w:tabs>
          <w:tab w:val="left" w:pos="1234"/>
        </w:tabs>
        <w:spacing w:before="185" w:line="468" w:lineRule="auto"/>
        <w:ind w:left="692" w:leftChars="0" w:right="254" w:rightChars="0"/>
        <w:jc w:val="both"/>
        <w:rPr>
          <w:rFonts w:hint="eastAsia" w:ascii="宋体" w:cs="Microsoft YaHei UI" w:hAnsiTheme="minorHAnsi" w:eastAsiaTheme="minorEastAsia"/>
          <w:i w:val="0"/>
          <w:iCs w:val="0"/>
          <w:color w:val="auto"/>
          <w:spacing w:val="15"/>
          <w:kern w:val="0"/>
          <w:sz w:val="24"/>
          <w:szCs w:val="21"/>
          <w:lang w:val="en-US" w:eastAsia="zh-CN" w:bidi="ar-SA"/>
        </w:rPr>
      </w:pPr>
      <w:r>
        <w:rPr>
          <w:rFonts w:hint="eastAsia" w:ascii="宋体" w:cs="Microsoft YaHei UI"/>
          <w:i w:val="0"/>
          <w:iCs w:val="0"/>
          <w:color w:val="auto"/>
          <w:spacing w:val="15"/>
          <w:kern w:val="0"/>
          <w:sz w:val="24"/>
          <w:szCs w:val="21"/>
          <w:lang w:val="en-US" w:eastAsia="zh-CN" w:bidi="ar-SA"/>
        </w:rPr>
        <w:t>1.4.</w:t>
      </w:r>
      <w:r>
        <w:rPr>
          <w:rFonts w:hint="eastAsia" w:ascii="宋体" w:cs="Microsoft YaHei UI" w:hAnsiTheme="minorHAnsi" w:eastAsiaTheme="minorEastAsia"/>
          <w:i w:val="0"/>
          <w:iCs w:val="0"/>
          <w:color w:val="auto"/>
          <w:spacing w:val="15"/>
          <w:kern w:val="0"/>
          <w:sz w:val="24"/>
          <w:szCs w:val="21"/>
          <w:lang w:val="en-US" w:eastAsia="zh-CN" w:bidi="ar-SA"/>
        </w:rPr>
        <w:t>1工程规划应遵守国家有关法律法规，必须符合工程建设强制性标准，且标准和内容必须按照本工程项目的有关要求。</w:t>
      </w:r>
    </w:p>
    <w:p>
      <w:pPr>
        <w:pStyle w:val="37"/>
        <w:numPr>
          <w:ilvl w:val="0"/>
          <w:numId w:val="0"/>
        </w:numPr>
        <w:tabs>
          <w:tab w:val="left" w:pos="1212"/>
        </w:tabs>
        <w:spacing w:before="1" w:line="468" w:lineRule="auto"/>
        <w:ind w:left="692" w:leftChars="0" w:right="251" w:rightChars="0"/>
        <w:jc w:val="both"/>
        <w:rPr>
          <w:rFonts w:hint="eastAsia" w:ascii="宋体" w:cs="Microsoft YaHei UI" w:hAnsiTheme="minorHAnsi" w:eastAsiaTheme="minorEastAsia"/>
          <w:i w:val="0"/>
          <w:iCs w:val="0"/>
          <w:color w:val="auto"/>
          <w:spacing w:val="15"/>
          <w:kern w:val="0"/>
          <w:sz w:val="24"/>
          <w:szCs w:val="21"/>
          <w:lang w:val="en-US" w:eastAsia="zh-CN" w:bidi="ar-SA"/>
        </w:rPr>
      </w:pPr>
      <w:r>
        <w:rPr>
          <w:rFonts w:hint="eastAsia" w:ascii="宋体" w:cs="Microsoft YaHei UI"/>
          <w:i w:val="0"/>
          <w:iCs w:val="0"/>
          <w:color w:val="auto"/>
          <w:spacing w:val="15"/>
          <w:kern w:val="0"/>
          <w:sz w:val="24"/>
          <w:szCs w:val="21"/>
          <w:lang w:val="en-US" w:eastAsia="zh-CN" w:bidi="ar-SA"/>
        </w:rPr>
        <w:t>1.4.</w:t>
      </w:r>
      <w:r>
        <w:rPr>
          <w:rFonts w:hint="eastAsia" w:ascii="宋体" w:cs="Microsoft YaHei UI" w:hAnsiTheme="minorHAnsi" w:eastAsiaTheme="minorEastAsia"/>
          <w:i w:val="0"/>
          <w:iCs w:val="0"/>
          <w:color w:val="auto"/>
          <w:spacing w:val="15"/>
          <w:kern w:val="0"/>
          <w:sz w:val="24"/>
          <w:szCs w:val="21"/>
          <w:lang w:val="en-US" w:eastAsia="zh-CN" w:bidi="ar-SA"/>
        </w:rPr>
        <w:t>2中标单位的工作范围包括本项目水位勘察设计工作和其他按有关规定需要承担及配合的相关工作。</w:t>
      </w:r>
    </w:p>
    <w:p>
      <w:pPr>
        <w:pStyle w:val="37"/>
        <w:numPr>
          <w:ilvl w:val="0"/>
          <w:numId w:val="0"/>
        </w:numPr>
        <w:tabs>
          <w:tab w:val="left" w:pos="1212"/>
        </w:tabs>
        <w:spacing w:before="1" w:line="468" w:lineRule="auto"/>
        <w:ind w:left="692" w:leftChars="0" w:right="252" w:rightChars="0"/>
        <w:jc w:val="both"/>
        <w:rPr>
          <w:rFonts w:hint="eastAsia" w:ascii="宋体" w:cs="Microsoft YaHei UI" w:hAnsiTheme="minorHAnsi" w:eastAsiaTheme="minorEastAsia"/>
          <w:i w:val="0"/>
          <w:iCs w:val="0"/>
          <w:color w:val="auto"/>
          <w:spacing w:val="15"/>
          <w:kern w:val="0"/>
          <w:sz w:val="24"/>
          <w:szCs w:val="21"/>
          <w:lang w:val="en-US" w:eastAsia="zh-CN" w:bidi="ar-SA"/>
        </w:rPr>
      </w:pPr>
      <w:r>
        <w:rPr>
          <w:rFonts w:hint="eastAsia" w:ascii="宋体" w:cs="Microsoft YaHei UI"/>
          <w:i w:val="0"/>
          <w:iCs w:val="0"/>
          <w:color w:val="auto"/>
          <w:spacing w:val="15"/>
          <w:kern w:val="0"/>
          <w:sz w:val="24"/>
          <w:szCs w:val="21"/>
          <w:lang w:val="en-US" w:eastAsia="zh-CN" w:bidi="ar-SA"/>
        </w:rPr>
        <w:t>1.4.</w:t>
      </w:r>
      <w:r>
        <w:rPr>
          <w:rFonts w:hint="eastAsia" w:ascii="宋体" w:cs="Microsoft YaHei UI" w:hAnsiTheme="minorHAnsi" w:eastAsiaTheme="minorEastAsia"/>
          <w:i w:val="0"/>
          <w:iCs w:val="0"/>
          <w:color w:val="auto"/>
          <w:spacing w:val="15"/>
          <w:kern w:val="0"/>
          <w:sz w:val="24"/>
          <w:szCs w:val="21"/>
          <w:lang w:val="en-US" w:eastAsia="zh-CN" w:bidi="ar-SA"/>
        </w:rPr>
        <w:t>3投标人在其工作范围内应确保其各自独立准备的全部规划报告在中国境内外都没有且也不会侵犯任何第三方的知识产权（包括但不限于著作权、商标权、专利权）或专有技术或商业秘密；投标人如果在其规划报告中使用或包含任何其他人的知识产权或专有技术或商业秘密，应保证已经获得权利人的合法、有效、充分的授权；招标人拥有中标人所提交的全部规划报告的使用权和受益权，并使用于招标项目。</w:t>
      </w:r>
    </w:p>
    <w:p>
      <w:pPr>
        <w:pStyle w:val="37"/>
        <w:numPr>
          <w:ilvl w:val="0"/>
          <w:numId w:val="0"/>
        </w:numPr>
        <w:tabs>
          <w:tab w:val="left" w:pos="1234"/>
        </w:tabs>
        <w:spacing w:before="3"/>
        <w:ind w:left="692" w:leftChars="0"/>
        <w:jc w:val="both"/>
        <w:rPr>
          <w:rFonts w:hint="eastAsia" w:ascii="宋体" w:cs="Microsoft YaHei UI" w:hAnsiTheme="minorHAnsi" w:eastAsiaTheme="minorEastAsia"/>
          <w:i w:val="0"/>
          <w:iCs w:val="0"/>
          <w:color w:val="auto"/>
          <w:spacing w:val="15"/>
          <w:kern w:val="0"/>
          <w:sz w:val="24"/>
          <w:szCs w:val="21"/>
          <w:lang w:val="en-US" w:eastAsia="zh-CN" w:bidi="ar-SA"/>
        </w:rPr>
      </w:pPr>
      <w:r>
        <w:rPr>
          <w:rFonts w:hint="eastAsia" w:ascii="宋体" w:cs="Microsoft YaHei UI"/>
          <w:i w:val="0"/>
          <w:iCs w:val="0"/>
          <w:color w:val="auto"/>
          <w:spacing w:val="15"/>
          <w:kern w:val="0"/>
          <w:sz w:val="24"/>
          <w:szCs w:val="21"/>
          <w:lang w:val="en-US" w:eastAsia="zh-CN" w:bidi="ar-SA"/>
        </w:rPr>
        <w:t>1.4.</w:t>
      </w:r>
      <w:r>
        <w:rPr>
          <w:rFonts w:hint="eastAsia" w:ascii="宋体" w:cs="Microsoft YaHei UI" w:hAnsiTheme="minorHAnsi" w:eastAsiaTheme="minorEastAsia"/>
          <w:i w:val="0"/>
          <w:iCs w:val="0"/>
          <w:color w:val="auto"/>
          <w:spacing w:val="15"/>
          <w:kern w:val="0"/>
          <w:sz w:val="24"/>
          <w:szCs w:val="21"/>
          <w:lang w:val="en-US" w:eastAsia="zh-CN" w:bidi="ar-SA"/>
        </w:rPr>
        <w:t>4未尽事宜按有关规定执行。</w:t>
      </w:r>
    </w:p>
    <w:p>
      <w:pPr>
        <w:jc w:val="both"/>
        <w:rPr>
          <w:rFonts w:hint="eastAsia" w:ascii="宋体" w:cs="Microsoft YaHei UI" w:hAnsiTheme="minorHAnsi" w:eastAsiaTheme="minorEastAsia"/>
          <w:i w:val="0"/>
          <w:iCs w:val="0"/>
          <w:color w:val="0000FF"/>
          <w:spacing w:val="15"/>
          <w:kern w:val="0"/>
          <w:sz w:val="24"/>
          <w:szCs w:val="21"/>
          <w:lang w:val="en-US" w:eastAsia="zh-CN" w:bidi="ar-SA"/>
        </w:rPr>
        <w:sectPr>
          <w:pgSz w:w="11910" w:h="16840"/>
          <w:pgMar w:top="1580" w:right="880" w:bottom="1420" w:left="920" w:header="0" w:footer="1231" w:gutter="0"/>
          <w:cols w:space="720" w:num="1"/>
        </w:sect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19"/>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Theme="minorEastAsia" w:hAnsiTheme="minorEastAsia" w:cstheme="minorEastAsia"/>
          <w:b/>
          <w:bCs/>
          <w:i w:val="0"/>
          <w:iCs w:val="0"/>
          <w:color w:val="auto"/>
          <w:spacing w:val="0"/>
          <w:sz w:val="32"/>
          <w:szCs w:val="32"/>
          <w:lang w:val="en-US" w:eastAsia="zh-CN"/>
        </w:rPr>
      </w:pPr>
      <w:r>
        <w:rPr>
          <w:rFonts w:hint="eastAsia" w:asciiTheme="minorEastAsia" w:hAnsiTheme="minorEastAsia" w:cstheme="minorEastAsia"/>
          <w:b/>
          <w:bCs/>
          <w:i w:val="0"/>
          <w:iCs w:val="0"/>
          <w:color w:val="auto"/>
          <w:spacing w:val="0"/>
          <w:sz w:val="32"/>
          <w:szCs w:val="32"/>
          <w:lang w:val="en-US" w:eastAsia="zh-CN"/>
        </w:rPr>
        <w:t xml:space="preserve"> </w:t>
      </w:r>
      <w:bookmarkStart w:id="144" w:name="_Toc9867"/>
      <w:bookmarkStart w:id="145" w:name="_Toc5598"/>
      <w:bookmarkStart w:id="146" w:name="_Toc26190"/>
      <w:r>
        <w:rPr>
          <w:rFonts w:hint="eastAsia" w:asciiTheme="minorEastAsia" w:hAnsiTheme="minorEastAsia" w:cstheme="minorEastAsia"/>
          <w:b/>
          <w:bCs/>
          <w:i w:val="0"/>
          <w:iCs w:val="0"/>
          <w:color w:val="auto"/>
          <w:spacing w:val="0"/>
          <w:sz w:val="32"/>
          <w:szCs w:val="32"/>
          <w:lang w:val="en-US" w:eastAsia="zh-CN"/>
        </w:rPr>
        <w:t>投标文件格式</w:t>
      </w:r>
      <w:bookmarkEnd w:id="144"/>
      <w:bookmarkEnd w:id="145"/>
      <w:bookmarkEnd w:id="146"/>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0"/>
        <w:rPr>
          <w:rFonts w:hint="eastAsia" w:asciiTheme="minorEastAsia" w:hAnsiTheme="minorEastAsia" w:cstheme="minorEastAsia"/>
          <w:b w:val="0"/>
          <w:bCs w:val="0"/>
          <w:i w:val="0"/>
          <w:iCs w:val="0"/>
          <w:color w:val="auto"/>
          <w:spacing w:val="0"/>
          <w:sz w:val="28"/>
          <w:szCs w:val="28"/>
          <w:u w:val="none"/>
          <w:lang w:val="en-US" w:eastAsia="zh-CN"/>
        </w:rPr>
      </w:pPr>
      <w:r>
        <w:rPr>
          <w:rFonts w:hint="eastAsia" w:asciiTheme="minorEastAsia" w:hAnsiTheme="minorEastAsia" w:cstheme="minorEastAsia"/>
          <w:b w:val="0"/>
          <w:bCs w:val="0"/>
          <w:i w:val="0"/>
          <w:iCs w:val="0"/>
          <w:color w:val="auto"/>
          <w:spacing w:val="0"/>
          <w:sz w:val="28"/>
          <w:szCs w:val="28"/>
          <w:u w:val="single"/>
          <w:lang w:val="en-US" w:eastAsia="zh-CN"/>
        </w:rPr>
        <w:t xml:space="preserve">           </w:t>
      </w:r>
      <w:bookmarkStart w:id="147" w:name="_Toc20198"/>
      <w:r>
        <w:rPr>
          <w:rFonts w:hint="eastAsia" w:asciiTheme="minorEastAsia" w:hAnsiTheme="minorEastAsia" w:cstheme="minorEastAsia"/>
          <w:b w:val="0"/>
          <w:bCs w:val="0"/>
          <w:i w:val="0"/>
          <w:iCs w:val="0"/>
          <w:color w:val="auto"/>
          <w:spacing w:val="0"/>
          <w:sz w:val="28"/>
          <w:szCs w:val="28"/>
          <w:u w:val="single"/>
          <w:lang w:val="en-US" w:eastAsia="zh-CN"/>
        </w:rPr>
        <w:t>（</w:t>
      </w:r>
      <w:r>
        <w:rPr>
          <w:rFonts w:hint="eastAsia" w:asciiTheme="minorEastAsia" w:hAnsiTheme="minorEastAsia" w:cstheme="minorEastAsia"/>
          <w:b w:val="0"/>
          <w:bCs w:val="0"/>
          <w:i w:val="0"/>
          <w:iCs w:val="0"/>
          <w:color w:val="auto"/>
          <w:spacing w:val="0"/>
          <w:sz w:val="28"/>
          <w:szCs w:val="28"/>
          <w:u w:val="none"/>
          <w:lang w:val="en-US" w:eastAsia="zh-CN"/>
        </w:rPr>
        <w:t>项目名称）</w:t>
      </w:r>
      <w:bookmarkEnd w:id="14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0"/>
        <w:rPr>
          <w:rFonts w:hint="eastAsia" w:asciiTheme="minorEastAsia" w:hAnsiTheme="minorEastAsia" w:cstheme="minorEastAsia"/>
          <w:b/>
          <w:bCs/>
          <w:i w:val="0"/>
          <w:iCs w:val="0"/>
          <w:color w:val="auto"/>
          <w:spacing w:val="0"/>
          <w:sz w:val="96"/>
          <w:szCs w:val="96"/>
          <w:lang w:val="en-US" w:eastAsia="zh-CN"/>
        </w:rPr>
      </w:pPr>
      <w:bookmarkStart w:id="148" w:name="_Toc26884"/>
      <w:r>
        <w:rPr>
          <w:rFonts w:hint="eastAsia" w:asciiTheme="minorEastAsia" w:hAnsiTheme="minorEastAsia" w:cstheme="minorEastAsia"/>
          <w:b/>
          <w:bCs/>
          <w:i w:val="0"/>
          <w:iCs w:val="0"/>
          <w:color w:val="auto"/>
          <w:spacing w:val="0"/>
          <w:sz w:val="32"/>
          <w:szCs w:val="32"/>
          <w:lang w:val="en-US" w:eastAsia="zh-CN"/>
        </w:rPr>
        <w:t>投 标 文 件</w:t>
      </w:r>
      <w:bookmarkEnd w:id="148"/>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96"/>
          <w:szCs w:val="9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投标人：</w:t>
      </w:r>
      <w:r>
        <w:rPr>
          <w:rFonts w:hint="eastAsia" w:asciiTheme="minorEastAsia" w:hAnsiTheme="minorEastAsia" w:cstheme="minorEastAsia"/>
          <w:b w:val="0"/>
          <w:bCs w:val="0"/>
          <w:i w:val="0"/>
          <w:iCs w:val="0"/>
          <w:color w:val="auto"/>
          <w:spacing w:val="0"/>
          <w:sz w:val="24"/>
          <w:szCs w:val="24"/>
          <w:u w:val="single"/>
          <w:lang w:val="en-US" w:eastAsia="zh-CN"/>
        </w:rPr>
        <w:t xml:space="preserve">                          </w:t>
      </w:r>
      <w:r>
        <w:rPr>
          <w:rFonts w:hint="eastAsia" w:asciiTheme="minorEastAsia" w:hAnsiTheme="minorEastAsia" w:cstheme="minorEastAsia"/>
          <w:b w:val="0"/>
          <w:bCs w:val="0"/>
          <w:i w:val="0"/>
          <w:iCs w:val="0"/>
          <w:color w:val="auto"/>
          <w:spacing w:val="0"/>
          <w:sz w:val="24"/>
          <w:szCs w:val="24"/>
          <w:u w:val="none"/>
          <w:lang w:val="en-US" w:eastAsia="zh-CN"/>
        </w:rPr>
        <w:t>（盖单位章）</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法定代表人（单位负责人）或其委托代理人：</w:t>
      </w:r>
      <w:r>
        <w:rPr>
          <w:rFonts w:hint="eastAsia" w:asciiTheme="minorEastAsia" w:hAnsiTheme="minorEastAsia" w:cstheme="minorEastAsia"/>
          <w:b w:val="0"/>
          <w:bCs w:val="0"/>
          <w:i w:val="0"/>
          <w:iCs w:val="0"/>
          <w:color w:val="auto"/>
          <w:spacing w:val="0"/>
          <w:sz w:val="24"/>
          <w:szCs w:val="24"/>
          <w:u w:val="single"/>
          <w:lang w:val="en-US" w:eastAsia="zh-CN"/>
        </w:rPr>
        <w:t xml:space="preserve">           （</w:t>
      </w:r>
      <w:r>
        <w:rPr>
          <w:rFonts w:hint="eastAsia" w:asciiTheme="minorEastAsia" w:hAnsiTheme="minorEastAsia" w:cstheme="minorEastAsia"/>
          <w:b w:val="0"/>
          <w:bCs w:val="0"/>
          <w:i w:val="0"/>
          <w:iCs w:val="0"/>
          <w:color w:val="auto"/>
          <w:spacing w:val="0"/>
          <w:sz w:val="24"/>
          <w:szCs w:val="24"/>
          <w:u w:val="none"/>
          <w:lang w:val="en-US" w:eastAsia="zh-CN"/>
        </w:rPr>
        <w:t>签字）</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single"/>
          <w:lang w:val="en-US" w:eastAsia="zh-CN"/>
        </w:rPr>
        <w:t xml:space="preserve">        </w:t>
      </w:r>
      <w:r>
        <w:rPr>
          <w:rFonts w:hint="eastAsia" w:asciiTheme="minorEastAsia" w:hAnsiTheme="minorEastAsia" w:cstheme="minorEastAsia"/>
          <w:b w:val="0"/>
          <w:bCs w:val="0"/>
          <w:i w:val="0"/>
          <w:iCs w:val="0"/>
          <w:color w:val="auto"/>
          <w:spacing w:val="0"/>
          <w:sz w:val="24"/>
          <w:szCs w:val="24"/>
          <w:u w:val="none"/>
          <w:lang w:val="en-US" w:eastAsia="zh-CN"/>
        </w:rPr>
        <w:t>年</w:t>
      </w:r>
      <w:r>
        <w:rPr>
          <w:rFonts w:hint="eastAsia" w:asciiTheme="minorEastAsia" w:hAnsiTheme="minorEastAsia" w:cstheme="minorEastAsia"/>
          <w:b w:val="0"/>
          <w:bCs w:val="0"/>
          <w:i w:val="0"/>
          <w:iCs w:val="0"/>
          <w:color w:val="auto"/>
          <w:spacing w:val="0"/>
          <w:sz w:val="24"/>
          <w:szCs w:val="24"/>
          <w:u w:val="single"/>
          <w:lang w:val="en-US" w:eastAsia="zh-CN"/>
        </w:rPr>
        <w:t xml:space="preserve">      </w:t>
      </w:r>
      <w:r>
        <w:rPr>
          <w:rFonts w:hint="eastAsia" w:asciiTheme="minorEastAsia" w:hAnsiTheme="minorEastAsia" w:cstheme="minorEastAsia"/>
          <w:b w:val="0"/>
          <w:bCs w:val="0"/>
          <w:i w:val="0"/>
          <w:iCs w:val="0"/>
          <w:color w:val="auto"/>
          <w:spacing w:val="0"/>
          <w:sz w:val="24"/>
          <w:szCs w:val="24"/>
          <w:u w:val="none"/>
          <w:lang w:val="en-US" w:eastAsia="zh-CN"/>
        </w:rPr>
        <w:t>月</w:t>
      </w:r>
      <w:r>
        <w:rPr>
          <w:rFonts w:hint="eastAsia" w:asciiTheme="minorEastAsia" w:hAnsiTheme="minorEastAsia" w:cstheme="minorEastAsia"/>
          <w:b w:val="0"/>
          <w:bCs w:val="0"/>
          <w:i w:val="0"/>
          <w:iCs w:val="0"/>
          <w:color w:val="auto"/>
          <w:spacing w:val="0"/>
          <w:sz w:val="24"/>
          <w:szCs w:val="24"/>
          <w:u w:val="single"/>
          <w:lang w:val="en-US" w:eastAsia="zh-CN"/>
        </w:rPr>
        <w:t xml:space="preserve">     </w:t>
      </w:r>
      <w:r>
        <w:rPr>
          <w:rFonts w:hint="eastAsia" w:asciiTheme="minorEastAsia" w:hAnsiTheme="minorEastAsia" w:cstheme="minorEastAsia"/>
          <w:b w:val="0"/>
          <w:bCs w:val="0"/>
          <w:i w:val="0"/>
          <w:iCs w:val="0"/>
          <w:color w:val="auto"/>
          <w:spacing w:val="0"/>
          <w:sz w:val="24"/>
          <w:szCs w:val="24"/>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黑体" w:hAnsi="黑体" w:eastAsia="黑体" w:cs="黑体"/>
          <w:b w:val="0"/>
          <w:bCs w:val="0"/>
          <w:i w:val="0"/>
          <w:iCs w:val="0"/>
          <w:color w:val="auto"/>
          <w:spacing w:val="0"/>
          <w:sz w:val="44"/>
          <w:szCs w:val="4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黑体" w:hAnsi="黑体" w:eastAsia="黑体" w:cs="黑体"/>
          <w:b w:val="0"/>
          <w:bCs w:val="0"/>
          <w:i w:val="0"/>
          <w:iCs w:val="0"/>
          <w:color w:val="auto"/>
          <w:spacing w:val="0"/>
          <w:sz w:val="44"/>
          <w:szCs w:val="44"/>
          <w:u w:val="none"/>
          <w:lang w:val="en-US" w:eastAsia="zh-CN"/>
        </w:rPr>
      </w:pPr>
      <w:bookmarkStart w:id="149" w:name="_Toc27080"/>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黑体" w:hAnsi="黑体" w:eastAsia="黑体" w:cs="黑体"/>
          <w:b w:val="0"/>
          <w:bCs w:val="0"/>
          <w:i w:val="0"/>
          <w:iCs w:val="0"/>
          <w:color w:val="auto"/>
          <w:spacing w:val="0"/>
          <w:sz w:val="44"/>
          <w:szCs w:val="44"/>
          <w:u w:val="none"/>
          <w:lang w:val="en-US" w:eastAsia="zh-CN"/>
        </w:rPr>
      </w:pPr>
    </w:p>
    <w:p>
      <w:pPr>
        <w:pStyle w:val="5"/>
        <w:outlineLvl w:val="9"/>
        <w:rPr>
          <w:rFonts w:hint="eastAsia"/>
          <w:i w:val="0"/>
          <w:iCs w:val="0"/>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黑体" w:hAnsi="黑体" w:eastAsia="黑体" w:cs="黑体"/>
          <w:b w:val="0"/>
          <w:bCs w:val="0"/>
          <w:i w:val="0"/>
          <w:iCs w:val="0"/>
          <w:color w:val="auto"/>
          <w:spacing w:val="0"/>
          <w:sz w:val="44"/>
          <w:szCs w:val="44"/>
          <w:u w:val="none"/>
          <w:lang w:val="en-US" w:eastAsia="zh-CN"/>
        </w:rPr>
      </w:pPr>
      <w:bookmarkStart w:id="150" w:name="_Toc14616"/>
      <w:r>
        <w:rPr>
          <w:rFonts w:hint="eastAsia" w:ascii="黑体" w:hAnsi="黑体" w:eastAsia="黑体" w:cs="黑体"/>
          <w:b w:val="0"/>
          <w:bCs w:val="0"/>
          <w:i w:val="0"/>
          <w:iCs w:val="0"/>
          <w:color w:val="auto"/>
          <w:spacing w:val="0"/>
          <w:sz w:val="44"/>
          <w:szCs w:val="44"/>
          <w:u w:val="none"/>
          <w:lang w:val="en-US" w:eastAsia="zh-CN"/>
        </w:rPr>
        <w:t>目  录</w:t>
      </w:r>
      <w:bookmarkEnd w:id="149"/>
      <w:bookmarkEnd w:id="150"/>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一、投标函；</w:t>
      </w: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二、定代表人身份证明或授权委托书；</w:t>
      </w: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三、资格审查资料</w:t>
      </w: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四、项目管理机构表</w:t>
      </w: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五、企业类似项目情况</w:t>
      </w: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六、近三年财务状况表</w:t>
      </w: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七、企业信誉要求</w:t>
      </w: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八、技术文件（项目服务方案）</w:t>
      </w: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九、其他资料</w:t>
      </w:r>
    </w:p>
    <w:p>
      <w:pPr>
        <w:pStyle w:val="9"/>
        <w:rPr>
          <w:rFonts w:hint="eastAsia"/>
          <w:i w:val="0"/>
          <w:iCs w:val="0"/>
          <w:color w:val="auto"/>
          <w:lang w:val="en-US" w:eastAsia="zh-CN"/>
        </w:rPr>
      </w:pPr>
    </w:p>
    <w:p>
      <w:pPr>
        <w:pStyle w:val="9"/>
        <w:rPr>
          <w:rFonts w:hint="eastAsia"/>
          <w:i w:val="0"/>
          <w:iCs w:val="0"/>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bidi w:val="0"/>
        <w:rPr>
          <w:rFonts w:hint="eastAsia"/>
          <w:i w:val="0"/>
          <w:iCs w:val="0"/>
          <w:color w:val="auto"/>
          <w:lang w:val="en-US" w:eastAsia="zh-CN"/>
        </w:rPr>
      </w:pPr>
    </w:p>
    <w:p>
      <w:pPr>
        <w:pStyle w:val="5"/>
        <w:outlineLvl w:val="9"/>
        <w:rPr>
          <w:rFonts w:hint="eastAsia"/>
          <w:i w:val="0"/>
          <w:iCs w:val="0"/>
          <w:color w:val="auto"/>
          <w:lang w:val="en-US" w:eastAsia="zh-CN"/>
        </w:rPr>
      </w:pPr>
    </w:p>
    <w:p>
      <w:pPr>
        <w:rPr>
          <w:rFonts w:hint="eastAsia"/>
          <w:i w:val="0"/>
          <w:iCs w:val="0"/>
          <w:color w:val="auto"/>
          <w:lang w:val="en-US" w:eastAsia="zh-CN"/>
        </w:rPr>
      </w:pPr>
    </w:p>
    <w:p>
      <w:pPr>
        <w:pStyle w:val="5"/>
        <w:outlineLvl w:val="9"/>
        <w:rPr>
          <w:rFonts w:hint="eastAsia"/>
          <w:i w:val="0"/>
          <w:iCs w:val="0"/>
          <w:color w:val="auto"/>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pStyle w:val="2"/>
        <w:bidi w:val="0"/>
        <w:rPr>
          <w:rFonts w:hint="eastAsia"/>
          <w:i w:val="0"/>
          <w:iCs w:val="0"/>
          <w:color w:val="auto"/>
          <w:lang w:val="en-US" w:eastAsia="zh-CN"/>
        </w:rPr>
      </w:pPr>
    </w:p>
    <w:p>
      <w:pPr>
        <w:pStyle w:val="2"/>
        <w:bidi w:val="0"/>
        <w:ind w:left="0" w:leftChars="0" w:firstLine="0" w:firstLineChars="0"/>
        <w:rPr>
          <w:rFonts w:hint="eastAsia"/>
          <w:i w:val="0"/>
          <w:iCs w:val="0"/>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p>
    <w:p>
      <w:pPr>
        <w:pStyle w:val="3"/>
        <w:numPr>
          <w:ilvl w:val="0"/>
          <w:numId w:val="20"/>
        </w:numPr>
        <w:bidi w:val="0"/>
        <w:rPr>
          <w:rFonts w:hint="eastAsia"/>
          <w:b/>
          <w:bCs/>
          <w:i w:val="0"/>
          <w:iCs w:val="0"/>
          <w:color w:val="auto"/>
          <w:lang w:val="en-US" w:eastAsia="zh-CN"/>
        </w:rPr>
      </w:pPr>
      <w:bookmarkStart w:id="151" w:name="_Toc5275"/>
      <w:bookmarkStart w:id="152" w:name="_Toc13301"/>
      <w:bookmarkStart w:id="153" w:name="_Toc21630"/>
      <w:r>
        <w:rPr>
          <w:rFonts w:hint="eastAsia"/>
          <w:b/>
          <w:bCs/>
          <w:i w:val="0"/>
          <w:iCs w:val="0"/>
          <w:color w:val="auto"/>
          <w:lang w:val="en-US" w:eastAsia="zh-CN"/>
        </w:rPr>
        <w:t>投标函</w:t>
      </w:r>
      <w:bookmarkEnd w:id="151"/>
      <w:bookmarkEnd w:id="152"/>
      <w:bookmarkEnd w:id="15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60" w:lineRule="exact"/>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招标人名称）：</w:t>
      </w:r>
    </w:p>
    <w:p>
      <w:pPr>
        <w:keepNext w:val="0"/>
        <w:keepLines w:val="0"/>
        <w:pageBreakBefore w:val="0"/>
        <w:widowControl w:val="0"/>
        <w:numPr>
          <w:ilvl w:val="0"/>
          <w:numId w:val="21"/>
        </w:numPr>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我方己仔细研究了</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（项目名称）采购招标项目招标文件的全部内容，愿意以人民币（大写）</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)的投标总报价，并按合同约定履行义务。</w:t>
      </w:r>
    </w:p>
    <w:p>
      <w:pPr>
        <w:keepNext w:val="0"/>
        <w:keepLines w:val="0"/>
        <w:pageBreakBefore w:val="0"/>
        <w:widowControl w:val="0"/>
        <w:numPr>
          <w:ilvl w:val="0"/>
          <w:numId w:val="21"/>
        </w:numPr>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color w:val="auto"/>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我方的投标文件包括下列内容：</w:t>
      </w:r>
    </w:p>
    <w:p>
      <w:pPr>
        <w:pStyle w:val="36"/>
        <w:numPr>
          <w:ilvl w:val="0"/>
          <w:numId w:val="8"/>
        </w:numPr>
        <w:spacing w:line="360" w:lineRule="auto"/>
        <w:ind w:left="540" w:leftChars="200" w:firstLine="0" w:firstLineChars="0"/>
        <w:rPr>
          <w:rFonts w:hint="eastAsia" w:eastAsia="Times New Roman" w:asciiTheme="minorEastAsia" w:hAnsiTheme="minorEastAsia" w:cstheme="minorEastAsia"/>
          <w:b w:val="0"/>
          <w:bCs w:val="0"/>
          <w:i w:val="0"/>
          <w:iCs w:val="0"/>
          <w:color w:val="auto"/>
          <w:spacing w:val="0"/>
          <w:sz w:val="21"/>
          <w:szCs w:val="21"/>
          <w:u w:val="none"/>
          <w:lang w:val="en-US" w:eastAsia="zh-CN"/>
        </w:rPr>
      </w:pPr>
      <w:r>
        <w:rPr>
          <w:rFonts w:hint="eastAsia" w:eastAsia="Times New Roman" w:asciiTheme="minorEastAsia" w:hAnsiTheme="minorEastAsia" w:cstheme="minorEastAsia"/>
          <w:b w:val="0"/>
          <w:bCs w:val="0"/>
          <w:i w:val="0"/>
          <w:iCs w:val="0"/>
          <w:color w:val="auto"/>
          <w:spacing w:val="0"/>
          <w:sz w:val="21"/>
          <w:szCs w:val="21"/>
          <w:u w:val="none"/>
          <w:lang w:val="en-US" w:eastAsia="zh-CN"/>
        </w:rPr>
        <w:t>投标函；</w:t>
      </w:r>
    </w:p>
    <w:p>
      <w:pPr>
        <w:pStyle w:val="36"/>
        <w:numPr>
          <w:ilvl w:val="0"/>
          <w:numId w:val="8"/>
        </w:numPr>
        <w:spacing w:line="360" w:lineRule="auto"/>
        <w:ind w:left="540" w:leftChars="200" w:firstLine="0" w:firstLineChars="0"/>
        <w:rPr>
          <w:rFonts w:hint="eastAsia" w:eastAsia="Times New Roman" w:asciiTheme="minorEastAsia" w:hAnsiTheme="minorEastAsia" w:cstheme="minorEastAsia"/>
          <w:b w:val="0"/>
          <w:bCs w:val="0"/>
          <w:i w:val="0"/>
          <w:iCs w:val="0"/>
          <w:color w:val="auto"/>
          <w:spacing w:val="0"/>
          <w:sz w:val="21"/>
          <w:szCs w:val="21"/>
          <w:u w:val="none"/>
          <w:lang w:val="en-US" w:eastAsia="zh-CN"/>
        </w:rPr>
      </w:pPr>
      <w:r>
        <w:rPr>
          <w:rFonts w:hint="eastAsia" w:eastAsia="Times New Roman" w:asciiTheme="minorEastAsia" w:hAnsiTheme="minorEastAsia" w:cstheme="minorEastAsia"/>
          <w:b w:val="0"/>
          <w:bCs w:val="0"/>
          <w:i w:val="0"/>
          <w:iCs w:val="0"/>
          <w:color w:val="auto"/>
          <w:spacing w:val="0"/>
          <w:sz w:val="21"/>
          <w:szCs w:val="21"/>
          <w:u w:val="none"/>
          <w:lang w:val="en-US" w:eastAsia="zh-CN"/>
        </w:rPr>
        <w:t>定代表人身份证明或授权委托书；</w:t>
      </w:r>
    </w:p>
    <w:p>
      <w:pPr>
        <w:pStyle w:val="36"/>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资格审查资料</w:t>
      </w:r>
    </w:p>
    <w:p>
      <w:pPr>
        <w:pStyle w:val="36"/>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项目管理机构表</w:t>
      </w:r>
    </w:p>
    <w:p>
      <w:pPr>
        <w:pStyle w:val="36"/>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企业类似项目情况</w:t>
      </w:r>
    </w:p>
    <w:p>
      <w:pPr>
        <w:pStyle w:val="36"/>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近三年财务状况表</w:t>
      </w:r>
    </w:p>
    <w:p>
      <w:pPr>
        <w:pStyle w:val="36"/>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企业信誉要求</w:t>
      </w:r>
    </w:p>
    <w:p>
      <w:pPr>
        <w:pStyle w:val="36"/>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技术文件（项目服务方案）</w:t>
      </w:r>
    </w:p>
    <w:p>
      <w:pPr>
        <w:pStyle w:val="36"/>
        <w:numPr>
          <w:ilvl w:val="0"/>
          <w:numId w:val="8"/>
        </w:numPr>
        <w:spacing w:line="360" w:lineRule="auto"/>
        <w:ind w:left="540" w:leftChars="200" w:firstLine="0" w:firstLineChars="0"/>
        <w:rPr>
          <w:rFonts w:hint="eastAsia"/>
          <w:color w:val="auto"/>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其他资料</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投标文件的上述组成部分如存在内容不一致的，以投标函为准。</w:t>
      </w:r>
    </w:p>
    <w:p>
      <w:pPr>
        <w:keepNext w:val="0"/>
        <w:keepLines w:val="0"/>
        <w:pageBreakBefore w:val="0"/>
        <w:widowControl w:val="0"/>
        <w:numPr>
          <w:ilvl w:val="0"/>
          <w:numId w:val="22"/>
        </w:numPr>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我方承诺除商务和技术偏差表列出的偏差外，我方响应招标文件的全部要求。</w:t>
      </w:r>
    </w:p>
    <w:p>
      <w:pPr>
        <w:keepNext w:val="0"/>
        <w:keepLines w:val="0"/>
        <w:pageBreakBefore w:val="0"/>
        <w:widowControl w:val="0"/>
        <w:numPr>
          <w:ilvl w:val="0"/>
          <w:numId w:val="22"/>
        </w:numPr>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我方同意按招标文件中的规定，</w:t>
      </w:r>
      <w:r>
        <w:rPr>
          <w:rFonts w:hint="eastAsia" w:asciiTheme="minorEastAsia" w:hAnsiTheme="minorEastAsia" w:cstheme="minorEastAsia"/>
          <w:b/>
          <w:bCs/>
          <w:i w:val="0"/>
          <w:iCs w:val="0"/>
          <w:color w:val="auto"/>
          <w:spacing w:val="0"/>
          <w:sz w:val="21"/>
          <w:szCs w:val="21"/>
          <w:u w:val="none"/>
          <w:lang w:val="en-US" w:eastAsia="zh-CN"/>
        </w:rPr>
        <w:t>投标有限期为：</w:t>
      </w:r>
      <w:r>
        <w:rPr>
          <w:rFonts w:hint="eastAsia" w:asciiTheme="minorEastAsia" w:hAnsiTheme="minorEastAsia" w:cstheme="minorEastAsia"/>
          <w:b/>
          <w:bCs/>
          <w:i w:val="0"/>
          <w:iCs w:val="0"/>
          <w:color w:val="auto"/>
          <w:spacing w:val="0"/>
          <w:sz w:val="21"/>
          <w:szCs w:val="21"/>
          <w:u w:val="single"/>
          <w:lang w:val="en-US" w:eastAsia="zh-CN"/>
        </w:rPr>
        <w:t xml:space="preserve">      </w:t>
      </w:r>
      <w:r>
        <w:rPr>
          <w:rFonts w:hint="eastAsia" w:asciiTheme="minorEastAsia" w:hAnsiTheme="minorEastAsia" w:cstheme="minorEastAsia"/>
          <w:b/>
          <w:bCs/>
          <w:i w:val="0"/>
          <w:iCs w:val="0"/>
          <w:color w:val="auto"/>
          <w:spacing w:val="0"/>
          <w:sz w:val="21"/>
          <w:szCs w:val="21"/>
          <w:u w:val="none"/>
          <w:lang w:val="en-US" w:eastAsia="zh-CN"/>
        </w:rPr>
        <w:t>天</w:t>
      </w:r>
      <w:r>
        <w:rPr>
          <w:rFonts w:hint="eastAsia" w:asciiTheme="minorEastAsia" w:hAnsiTheme="minorEastAsia" w:cstheme="minorEastAsia"/>
          <w:b w:val="0"/>
          <w:bCs w:val="0"/>
          <w:i w:val="0"/>
          <w:iCs w:val="0"/>
          <w:color w:val="auto"/>
          <w:spacing w:val="0"/>
          <w:sz w:val="21"/>
          <w:szCs w:val="21"/>
          <w:u w:val="none"/>
          <w:lang w:val="en-US" w:eastAsia="zh-CN"/>
        </w:rPr>
        <w:t xml:space="preserve">。 </w:t>
      </w:r>
    </w:p>
    <w:p>
      <w:pPr>
        <w:keepNext w:val="0"/>
        <w:keepLines w:val="0"/>
        <w:pageBreakBefore w:val="0"/>
        <w:widowControl w:val="0"/>
        <w:numPr>
          <w:ilvl w:val="0"/>
          <w:numId w:val="22"/>
        </w:numPr>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如我方中标，我方承诺：</w:t>
      </w:r>
    </w:p>
    <w:p>
      <w:pPr>
        <w:keepNext w:val="0"/>
        <w:keepLines w:val="0"/>
        <w:pageBreakBefore w:val="0"/>
        <w:widowControl w:val="0"/>
        <w:numPr>
          <w:ilvl w:val="0"/>
          <w:numId w:val="23"/>
        </w:numPr>
        <w:tabs>
          <w:tab w:val="clear" w:pos="312"/>
        </w:tabs>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在收到中标通知书后，在中标通知书规定的期限内与你方签订合同；</w:t>
      </w:r>
    </w:p>
    <w:p>
      <w:pPr>
        <w:keepNext w:val="0"/>
        <w:keepLines w:val="0"/>
        <w:pageBreakBefore w:val="0"/>
        <w:widowControl w:val="0"/>
        <w:numPr>
          <w:ilvl w:val="0"/>
          <w:numId w:val="23"/>
        </w:numPr>
        <w:tabs>
          <w:tab w:val="clear" w:pos="312"/>
        </w:tabs>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在签订合同时不向你方提出附加条件；</w:t>
      </w:r>
    </w:p>
    <w:p>
      <w:pPr>
        <w:keepNext w:val="0"/>
        <w:keepLines w:val="0"/>
        <w:pageBreakBefore w:val="0"/>
        <w:widowControl w:val="0"/>
        <w:numPr>
          <w:ilvl w:val="0"/>
          <w:numId w:val="23"/>
        </w:numPr>
        <w:tabs>
          <w:tab w:val="clear" w:pos="312"/>
        </w:tabs>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按照招标文件要求提交履约保证金；</w:t>
      </w:r>
    </w:p>
    <w:p>
      <w:pPr>
        <w:keepNext w:val="0"/>
        <w:keepLines w:val="0"/>
        <w:pageBreakBefore w:val="0"/>
        <w:widowControl w:val="0"/>
        <w:numPr>
          <w:ilvl w:val="0"/>
          <w:numId w:val="23"/>
        </w:numPr>
        <w:tabs>
          <w:tab w:val="clear" w:pos="312"/>
        </w:tabs>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在合同约定的期限内完成合同规定的全部义务。</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60" w:lineRule="exact"/>
        <w:ind w:left="0" w:leftChars="0" w:right="0" w:rightChars="0" w:firstLine="539" w:firstLineChars="257"/>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6.我方在此声明，所递交的投标文件及有关资料内容完整、真实和准确，且不存在第二章“投标人须知”第1.4.3项规定的任何一种情形。</w:t>
      </w:r>
    </w:p>
    <w:p>
      <w:pPr>
        <w:keepNext w:val="0"/>
        <w:keepLines w:val="0"/>
        <w:pageBreakBefore w:val="0"/>
        <w:widowControl w:val="0"/>
        <w:numPr>
          <w:ilvl w:val="0"/>
          <w:numId w:val="24"/>
        </w:numPr>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（其他补充说明）。</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60" w:lineRule="exact"/>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投标人：</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（盖单位章）</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60" w:lineRule="exact"/>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法定代表人（单位负责人）及其委托代理人:</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（签字）</w:t>
      </w:r>
    </w:p>
    <w:p>
      <w:pPr>
        <w:keepNext w:val="0"/>
        <w:keepLines w:val="0"/>
        <w:pageBreakBefore w:val="0"/>
        <w:widowControl w:val="0"/>
        <w:numPr>
          <w:ilvl w:val="0"/>
          <w:numId w:val="0"/>
        </w:numPr>
        <w:kinsoku/>
        <w:wordWrap w:val="0"/>
        <w:overflowPunct/>
        <w:topLinePunct w:val="0"/>
        <w:autoSpaceDE/>
        <w:autoSpaceDN/>
        <w:bidi w:val="0"/>
        <w:adjustRightInd/>
        <w:snapToGrid/>
        <w:spacing w:after="126" w:afterLines="40" w:line="260" w:lineRule="exact"/>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地    址：</w:t>
      </w:r>
      <w:r>
        <w:rPr>
          <w:rFonts w:hint="eastAsia" w:asciiTheme="minorEastAsia" w:hAnsiTheme="minorEastAsia" w:cstheme="minorEastAsia"/>
          <w:b w:val="0"/>
          <w:bCs w:val="0"/>
          <w:i w:val="0"/>
          <w:iCs w:val="0"/>
          <w:color w:val="auto"/>
          <w:spacing w:val="0"/>
          <w:sz w:val="21"/>
          <w:szCs w:val="21"/>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after="126" w:afterLines="40" w:line="260" w:lineRule="exact"/>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电    话：</w:t>
      </w:r>
      <w:r>
        <w:rPr>
          <w:rFonts w:hint="eastAsia" w:asciiTheme="minorEastAsia" w:hAnsiTheme="minorEastAsia" w:cstheme="minorEastAsia"/>
          <w:b w:val="0"/>
          <w:bCs w:val="0"/>
          <w:i w:val="0"/>
          <w:iCs w:val="0"/>
          <w:color w:val="auto"/>
          <w:spacing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60" w:lineRule="exact"/>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年</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月</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日</w:t>
      </w:r>
    </w:p>
    <w:p>
      <w:pPr>
        <w:pStyle w:val="5"/>
        <w:outlineLvl w:val="9"/>
        <w:rPr>
          <w:rFonts w:hint="eastAsia" w:asciiTheme="minorEastAsia" w:hAnsiTheme="minorEastAsia" w:cstheme="minorEastAsia"/>
          <w:b w:val="0"/>
          <w:bCs w:val="0"/>
          <w:i w:val="0"/>
          <w:iCs w:val="0"/>
          <w:color w:val="auto"/>
          <w:spacing w:val="0"/>
          <w:sz w:val="21"/>
          <w:szCs w:val="21"/>
          <w:u w:val="none"/>
          <w:lang w:val="en-US" w:eastAsia="zh-CN"/>
        </w:rPr>
      </w:pPr>
    </w:p>
    <w:p>
      <w:pPr>
        <w:rPr>
          <w:rFonts w:hint="eastAsia" w:asciiTheme="minorEastAsia" w:hAnsiTheme="minorEastAsia" w:cstheme="minorEastAsia"/>
          <w:b w:val="0"/>
          <w:bCs w:val="0"/>
          <w:i w:val="0"/>
          <w:iCs w:val="0"/>
          <w:color w:val="auto"/>
          <w:spacing w:val="0"/>
          <w:sz w:val="21"/>
          <w:szCs w:val="21"/>
          <w:u w:val="none"/>
          <w:lang w:val="en-US" w:eastAsia="zh-CN"/>
        </w:rPr>
      </w:pPr>
    </w:p>
    <w:p>
      <w:pPr>
        <w:pStyle w:val="5"/>
        <w:outlineLvl w:val="9"/>
        <w:rPr>
          <w:rFonts w:hint="eastAsia"/>
          <w:i w:val="0"/>
          <w:iCs w:val="0"/>
          <w:lang w:val="en-US" w:eastAsia="zh-CN"/>
        </w:rPr>
      </w:pPr>
    </w:p>
    <w:p>
      <w:pPr>
        <w:pStyle w:val="9"/>
        <w:bidi w:val="0"/>
        <w:ind w:left="0" w:leftChars="0" w:firstLine="0" w:firstLineChars="0"/>
        <w:rPr>
          <w:rFonts w:hint="eastAsia"/>
          <w:i w:val="0"/>
          <w:iCs w:val="0"/>
          <w:color w:val="auto"/>
          <w:lang w:val="en-US" w:eastAsia="zh-CN"/>
        </w:rPr>
      </w:pPr>
    </w:p>
    <w:p>
      <w:pPr>
        <w:pStyle w:val="9"/>
        <w:ind w:left="0" w:leftChars="0" w:firstLine="0" w:firstLineChars="0"/>
        <w:rPr>
          <w:rFonts w:hint="eastAsia" w:asciiTheme="minorEastAsia" w:hAnsiTheme="minorEastAsia" w:cstheme="minorEastAsia"/>
          <w:b w:val="0"/>
          <w:bCs w:val="0"/>
          <w:i w:val="0"/>
          <w:iCs w:val="0"/>
          <w:color w:val="auto"/>
          <w:spacing w:val="0"/>
          <w:sz w:val="21"/>
          <w:szCs w:val="21"/>
          <w:u w:val="none"/>
          <w:lang w:val="en-US" w:eastAsia="zh-CN"/>
        </w:rPr>
      </w:pPr>
    </w:p>
    <w:p>
      <w:pPr>
        <w:ind w:left="462"/>
        <w:jc w:val="center"/>
        <w:rPr>
          <w:rFonts w:hint="eastAsia" w:ascii="宋体"/>
          <w:i w:val="0"/>
          <w:iCs w:val="0"/>
          <w:sz w:val="30"/>
          <w:szCs w:val="30"/>
        </w:rPr>
      </w:pPr>
      <w:r>
        <w:rPr>
          <w:rFonts w:hint="eastAsia" w:ascii="宋体"/>
          <w:i w:val="0"/>
          <w:iCs w:val="0"/>
          <w:sz w:val="30"/>
          <w:szCs w:val="30"/>
          <w:lang w:val="en-US" w:eastAsia="zh-CN"/>
        </w:rPr>
        <w:t>1</w:t>
      </w:r>
      <w:r>
        <w:rPr>
          <w:rFonts w:hint="eastAsia" w:ascii="宋体"/>
          <w:i w:val="0"/>
          <w:iCs w:val="0"/>
          <w:sz w:val="30"/>
          <w:szCs w:val="30"/>
        </w:rPr>
        <w:t>、报价函附表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704" w:type="dxa"/>
            <w:noWrap w:val="0"/>
            <w:vAlign w:val="center"/>
          </w:tcPr>
          <w:p>
            <w:pPr>
              <w:spacing w:line="440" w:lineRule="exact"/>
              <w:jc w:val="center"/>
              <w:rPr>
                <w:rFonts w:hint="eastAsia"/>
                <w:i w:val="0"/>
                <w:iCs w:val="0"/>
                <w:szCs w:val="21"/>
              </w:rPr>
            </w:pPr>
            <w:r>
              <w:rPr>
                <w:rFonts w:hint="eastAsia"/>
                <w:i w:val="0"/>
                <w:iCs w:val="0"/>
                <w:szCs w:val="21"/>
              </w:rPr>
              <w:t>项目名称</w:t>
            </w:r>
          </w:p>
        </w:tc>
        <w:tc>
          <w:tcPr>
            <w:tcW w:w="6818" w:type="dxa"/>
            <w:noWrap w:val="0"/>
            <w:vAlign w:val="center"/>
          </w:tcPr>
          <w:p>
            <w:pPr>
              <w:spacing w:line="440" w:lineRule="exact"/>
              <w:jc w:val="center"/>
              <w:rPr>
                <w:rFonts w:hint="eastAsia"/>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704" w:type="dxa"/>
            <w:noWrap w:val="0"/>
            <w:vAlign w:val="center"/>
          </w:tcPr>
          <w:p>
            <w:pPr>
              <w:spacing w:line="440" w:lineRule="exact"/>
              <w:jc w:val="center"/>
              <w:rPr>
                <w:rFonts w:hint="eastAsia"/>
                <w:i w:val="0"/>
                <w:iCs w:val="0"/>
                <w:szCs w:val="21"/>
              </w:rPr>
            </w:pPr>
            <w:r>
              <w:rPr>
                <w:rFonts w:hint="eastAsia"/>
                <w:i w:val="0"/>
                <w:iCs w:val="0"/>
                <w:szCs w:val="21"/>
              </w:rPr>
              <w:t>投标人名称</w:t>
            </w:r>
          </w:p>
        </w:tc>
        <w:tc>
          <w:tcPr>
            <w:tcW w:w="6818" w:type="dxa"/>
            <w:noWrap w:val="0"/>
            <w:vAlign w:val="top"/>
          </w:tcPr>
          <w:p>
            <w:pPr>
              <w:spacing w:line="440" w:lineRule="exact"/>
              <w:jc w:val="center"/>
              <w:rPr>
                <w:rFonts w:hint="eastAsia"/>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704" w:type="dxa"/>
            <w:noWrap w:val="0"/>
            <w:vAlign w:val="center"/>
          </w:tcPr>
          <w:p>
            <w:pPr>
              <w:spacing w:line="440" w:lineRule="exact"/>
              <w:jc w:val="center"/>
              <w:rPr>
                <w:rFonts w:hint="eastAsia"/>
                <w:i w:val="0"/>
                <w:iCs w:val="0"/>
                <w:szCs w:val="21"/>
              </w:rPr>
            </w:pPr>
            <w:r>
              <w:rPr>
                <w:rFonts w:hint="eastAsia"/>
                <w:i w:val="0"/>
                <w:iCs w:val="0"/>
                <w:szCs w:val="21"/>
                <w:lang w:val="en-US" w:eastAsia="zh-CN"/>
              </w:rPr>
              <w:t>勘察、</w:t>
            </w:r>
            <w:r>
              <w:rPr>
                <w:rFonts w:hint="eastAsia"/>
                <w:i w:val="0"/>
                <w:iCs w:val="0"/>
                <w:szCs w:val="21"/>
              </w:rPr>
              <w:t>设计费报价</w:t>
            </w:r>
          </w:p>
        </w:tc>
        <w:tc>
          <w:tcPr>
            <w:tcW w:w="6818" w:type="dxa"/>
            <w:noWrap w:val="0"/>
            <w:vAlign w:val="center"/>
          </w:tcPr>
          <w:p>
            <w:pPr>
              <w:spacing w:line="440" w:lineRule="exact"/>
              <w:rPr>
                <w:rFonts w:hint="eastAsia"/>
                <w:i w:val="0"/>
                <w:iCs w:val="0"/>
                <w:szCs w:val="21"/>
                <w:u w:val="single"/>
              </w:rPr>
            </w:pPr>
            <w:r>
              <w:rPr>
                <w:rFonts w:hint="eastAsia"/>
                <w:i w:val="0"/>
                <w:iCs w:val="0"/>
                <w:szCs w:val="21"/>
              </w:rPr>
              <w:t>小写（单位：元）：____________________________</w:t>
            </w:r>
          </w:p>
          <w:p>
            <w:pPr>
              <w:spacing w:line="440" w:lineRule="exact"/>
              <w:rPr>
                <w:rFonts w:hint="eastAsia"/>
                <w:i w:val="0"/>
                <w:iCs w:val="0"/>
                <w:szCs w:val="21"/>
              </w:rPr>
            </w:pPr>
            <w:r>
              <w:rPr>
                <w:rFonts w:hint="eastAsia"/>
                <w:i w:val="0"/>
                <w:iCs w:val="0"/>
                <w:szCs w:val="21"/>
              </w:rPr>
              <w:t>大          写：_____________________________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1704" w:type="dxa"/>
            <w:noWrap w:val="0"/>
            <w:vAlign w:val="center"/>
          </w:tcPr>
          <w:p>
            <w:pPr>
              <w:spacing w:line="440" w:lineRule="exact"/>
              <w:jc w:val="center"/>
              <w:rPr>
                <w:rFonts w:hint="eastAsia"/>
                <w:i w:val="0"/>
                <w:iCs w:val="0"/>
                <w:szCs w:val="21"/>
              </w:rPr>
            </w:pPr>
            <w:r>
              <w:rPr>
                <w:rFonts w:hint="eastAsia"/>
                <w:i w:val="0"/>
                <w:iCs w:val="0"/>
                <w:szCs w:val="21"/>
                <w:lang w:val="en-US" w:eastAsia="zh-CN"/>
              </w:rPr>
              <w:t>规划（设计）周期</w:t>
            </w:r>
          </w:p>
        </w:tc>
        <w:tc>
          <w:tcPr>
            <w:tcW w:w="6818" w:type="dxa"/>
            <w:noWrap w:val="0"/>
            <w:vAlign w:val="center"/>
          </w:tcPr>
          <w:p>
            <w:pPr>
              <w:spacing w:line="440" w:lineRule="exact"/>
              <w:rPr>
                <w:rFonts w:hint="eastAsia"/>
                <w:i w:val="0"/>
                <w:iCs w:val="0"/>
                <w:szCs w:val="21"/>
                <w:u w:val="single"/>
              </w:rPr>
            </w:pPr>
            <w:r>
              <w:rPr>
                <w:rFonts w:hint="eastAsia"/>
                <w:i w:val="0"/>
                <w:iCs w:val="0"/>
                <w:szCs w:val="21"/>
                <w:u w:val="single"/>
              </w:rPr>
              <w:t xml:space="preserve">           （天）日历日</w:t>
            </w:r>
          </w:p>
          <w:p>
            <w:pPr>
              <w:spacing w:line="440" w:lineRule="exact"/>
              <w:rPr>
                <w:rFonts w:hint="eastAsia"/>
                <w:i w:val="0"/>
                <w:iCs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704" w:type="dxa"/>
            <w:noWrap w:val="0"/>
            <w:vAlign w:val="center"/>
          </w:tcPr>
          <w:p>
            <w:pPr>
              <w:spacing w:line="440" w:lineRule="exact"/>
              <w:jc w:val="center"/>
              <w:rPr>
                <w:rFonts w:hint="eastAsia"/>
                <w:i w:val="0"/>
                <w:iCs w:val="0"/>
                <w:szCs w:val="21"/>
              </w:rPr>
            </w:pPr>
            <w:r>
              <w:rPr>
                <w:rFonts w:hint="eastAsia"/>
                <w:i w:val="0"/>
                <w:iCs w:val="0"/>
                <w:szCs w:val="21"/>
              </w:rPr>
              <w:t>备注</w:t>
            </w:r>
          </w:p>
        </w:tc>
        <w:tc>
          <w:tcPr>
            <w:tcW w:w="6818" w:type="dxa"/>
            <w:noWrap w:val="0"/>
            <w:vAlign w:val="top"/>
          </w:tcPr>
          <w:p>
            <w:pPr>
              <w:spacing w:line="440" w:lineRule="exact"/>
              <w:jc w:val="center"/>
              <w:rPr>
                <w:rFonts w:hint="eastAsia"/>
                <w:i w:val="0"/>
                <w:iCs w:val="0"/>
                <w:szCs w:val="21"/>
              </w:rPr>
            </w:pPr>
          </w:p>
        </w:tc>
      </w:tr>
    </w:tbl>
    <w:p>
      <w:pPr>
        <w:spacing w:line="440" w:lineRule="exact"/>
        <w:rPr>
          <w:rFonts w:hint="eastAsia"/>
          <w:i w:val="0"/>
          <w:iCs w:val="0"/>
          <w:szCs w:val="21"/>
        </w:rPr>
      </w:pPr>
      <w:r>
        <w:rPr>
          <w:rFonts w:hint="eastAsia"/>
          <w:i w:val="0"/>
          <w:iCs w:val="0"/>
          <w:szCs w:val="21"/>
        </w:rPr>
        <w:t>注：1、表中设计报价应执行国家发展计划委员会、建设部制定的《工程设计收费标准》（计价格【2002】10号）的取费标准。设计费计算基数按投标须知前附表内投资规模来计算。</w:t>
      </w:r>
    </w:p>
    <w:p>
      <w:pPr>
        <w:spacing w:line="440" w:lineRule="exact"/>
        <w:ind w:left="462"/>
        <w:rPr>
          <w:rFonts w:hint="eastAsia"/>
          <w:i w:val="0"/>
          <w:iCs w:val="0"/>
          <w:szCs w:val="21"/>
        </w:rPr>
      </w:pPr>
      <w:r>
        <w:rPr>
          <w:rFonts w:hint="eastAsia"/>
          <w:i w:val="0"/>
          <w:iCs w:val="0"/>
          <w:szCs w:val="21"/>
        </w:rPr>
        <w:t>2、表中内容可以根据项目实际情况进行增减。</w:t>
      </w:r>
    </w:p>
    <w:p>
      <w:pPr>
        <w:spacing w:line="440" w:lineRule="exact"/>
        <w:ind w:left="462"/>
        <w:rPr>
          <w:rFonts w:hint="eastAsia"/>
          <w:i w:val="0"/>
          <w:iCs w:val="0"/>
          <w:szCs w:val="21"/>
        </w:rPr>
      </w:pPr>
      <w:r>
        <w:rPr>
          <w:rFonts w:hint="eastAsia"/>
          <w:i w:val="0"/>
          <w:iCs w:val="0"/>
          <w:szCs w:val="21"/>
        </w:rPr>
        <w:t>3、表中位置不够另行附页。</w:t>
      </w:r>
    </w:p>
    <w:p>
      <w:pPr>
        <w:pStyle w:val="41"/>
        <w:rPr>
          <w:i w:val="0"/>
          <w:iCs w:val="0"/>
          <w:color w:val="auto"/>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投标人：</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（盖单位章）</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法定代表人（单位负责人）及其委托代理人:</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（签字）</w:t>
      </w:r>
    </w:p>
    <w:p>
      <w:pPr>
        <w:keepNext w:val="0"/>
        <w:keepLines w:val="0"/>
        <w:pageBreakBefore w:val="0"/>
        <w:widowControl w:val="0"/>
        <w:numPr>
          <w:ilvl w:val="0"/>
          <w:numId w:val="0"/>
        </w:numPr>
        <w:kinsoku/>
        <w:wordWrap w:val="0"/>
        <w:overflowPunct/>
        <w:topLinePunct w:val="0"/>
        <w:autoSpaceDE/>
        <w:autoSpaceDN/>
        <w:bidi w:val="0"/>
        <w:adjustRightInd/>
        <w:snapToGrid/>
        <w:spacing w:after="126" w:afterLines="40" w:line="240" w:lineRule="auto"/>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地    址：</w:t>
      </w:r>
      <w:r>
        <w:rPr>
          <w:rFonts w:hint="eastAsia" w:asciiTheme="minorEastAsia" w:hAnsiTheme="minorEastAsia" w:cstheme="minorEastAsia"/>
          <w:b w:val="0"/>
          <w:bCs w:val="0"/>
          <w:i w:val="0"/>
          <w:iCs w:val="0"/>
          <w:color w:val="auto"/>
          <w:spacing w:val="0"/>
          <w:sz w:val="21"/>
          <w:szCs w:val="21"/>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after="126" w:afterLines="40" w:line="240" w:lineRule="auto"/>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电    话：</w:t>
      </w:r>
      <w:r>
        <w:rPr>
          <w:rFonts w:hint="eastAsia" w:asciiTheme="minorEastAsia" w:hAnsiTheme="minorEastAsia" w:cstheme="minorEastAsia"/>
          <w:b w:val="0"/>
          <w:bCs w:val="0"/>
          <w:i w:val="0"/>
          <w:iCs w:val="0"/>
          <w:color w:val="auto"/>
          <w:spacing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single"/>
          <w:lang w:val="en-US" w:eastAsia="zh-CN"/>
        </w:rPr>
      </w:pP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年</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月</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日</w:t>
      </w:r>
    </w:p>
    <w:p>
      <w:pPr>
        <w:pStyle w:val="9"/>
        <w:rPr>
          <w:rFonts w:hint="eastAsia" w:asciiTheme="minorEastAsia" w:hAnsiTheme="minorEastAsia" w:cstheme="minorEastAsia"/>
          <w:b w:val="0"/>
          <w:bCs w:val="0"/>
          <w:i w:val="0"/>
          <w:iCs w:val="0"/>
          <w:color w:val="auto"/>
          <w:spacing w:val="0"/>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bCs/>
          <w:i w:val="0"/>
          <w:iCs w:val="0"/>
          <w:color w:val="auto"/>
          <w:spacing w:val="0"/>
          <w:sz w:val="24"/>
          <w:szCs w:val="24"/>
          <w:lang w:val="en-US" w:eastAsia="zh-CN"/>
        </w:rPr>
      </w:pPr>
    </w:p>
    <w:p>
      <w:pPr>
        <w:pStyle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bCs/>
          <w:i w:val="0"/>
          <w:iCs w:val="0"/>
          <w:color w:val="auto"/>
          <w:spacing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bCs/>
          <w:i w:val="0"/>
          <w:iCs w:val="0"/>
          <w:color w:val="auto"/>
          <w:spacing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0"/>
        <w:rPr>
          <w:rFonts w:hint="default" w:asciiTheme="minorEastAsia" w:hAnsiTheme="minorEastAsia" w:cstheme="minorEastAsia"/>
          <w:b/>
          <w:bCs/>
          <w:i w:val="0"/>
          <w:iCs w:val="0"/>
          <w:color w:val="auto"/>
          <w:spacing w:val="0"/>
          <w:sz w:val="28"/>
          <w:szCs w:val="28"/>
          <w:lang w:val="en-US" w:eastAsia="zh-CN"/>
        </w:rPr>
      </w:pPr>
      <w:bookmarkStart w:id="154" w:name="_Toc2111"/>
      <w:r>
        <w:rPr>
          <w:rFonts w:hint="eastAsia" w:asciiTheme="minorEastAsia" w:hAnsiTheme="minorEastAsia" w:cstheme="minorEastAsia"/>
          <w:b/>
          <w:bCs/>
          <w:i w:val="0"/>
          <w:iCs w:val="0"/>
          <w:color w:val="auto"/>
          <w:spacing w:val="0"/>
          <w:sz w:val="28"/>
          <w:szCs w:val="28"/>
          <w:lang w:val="en-US" w:eastAsia="zh-CN"/>
        </w:rPr>
        <w:t>二、定代表人身份证明或授权委托书</w:t>
      </w:r>
      <w:bookmarkEnd w:id="154"/>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1"/>
        <w:rPr>
          <w:rFonts w:hint="eastAsia" w:asciiTheme="minorEastAsia" w:hAnsiTheme="minorEastAsia" w:cstheme="minorEastAsia"/>
          <w:b/>
          <w:bCs/>
          <w:i w:val="0"/>
          <w:iCs w:val="0"/>
          <w:color w:val="auto"/>
          <w:spacing w:val="0"/>
          <w:sz w:val="28"/>
          <w:szCs w:val="28"/>
          <w:lang w:val="en-US" w:eastAsia="zh-CN"/>
        </w:rPr>
      </w:pPr>
      <w:bookmarkStart w:id="155" w:name="_Toc21756"/>
      <w:r>
        <w:rPr>
          <w:rFonts w:hint="eastAsia" w:asciiTheme="minorEastAsia" w:hAnsiTheme="minorEastAsia" w:cstheme="minorEastAsia"/>
          <w:b/>
          <w:bCs/>
          <w:i w:val="0"/>
          <w:iCs w:val="0"/>
          <w:color w:val="auto"/>
          <w:spacing w:val="0"/>
          <w:sz w:val="28"/>
          <w:szCs w:val="28"/>
          <w:lang w:val="en-US" w:eastAsia="zh-CN"/>
        </w:rPr>
        <w:t>2.1、法定代表人（单位负责人）身份证明</w:t>
      </w:r>
      <w:bookmarkEnd w:id="155"/>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bCs/>
          <w:i w:val="0"/>
          <w:iCs w:val="0"/>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投标人名称：</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姓名：</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性别：</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年龄：</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 xml:space="preserve"> 职务：</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系</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（投标人名称）的法定代表人（单位负责人）。</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399" w:firstLineChars="19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399" w:firstLineChars="19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附：法定代表人（单位负责人）身份证复印件。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注：本身份证明需由投标人加盖单位公章。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firstLine="3570" w:firstLineChars="17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（盖单位章）</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年</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月</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5"/>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5"/>
        <w:outlineLvl w:val="9"/>
        <w:rPr>
          <w:rFonts w:hint="eastAsia"/>
          <w:i w:val="0"/>
          <w:i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36"/>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36"/>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both"/>
        <w:textAlignment w:val="auto"/>
        <w:outlineLvl w:val="9"/>
        <w:rPr>
          <w:rFonts w:hint="eastAsia" w:asciiTheme="minorEastAsia" w:hAnsiTheme="minorEastAsia" w:cstheme="minorEastAsia"/>
          <w:b/>
          <w:bCs/>
          <w:i w:val="0"/>
          <w:iCs w:val="0"/>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1"/>
        <w:rPr>
          <w:rFonts w:hint="eastAsia" w:asciiTheme="minorEastAsia" w:hAnsiTheme="minorEastAsia" w:cstheme="minorEastAsia"/>
          <w:b/>
          <w:bCs/>
          <w:i w:val="0"/>
          <w:iCs w:val="0"/>
          <w:color w:val="auto"/>
          <w:spacing w:val="0"/>
          <w:sz w:val="28"/>
          <w:szCs w:val="28"/>
          <w:lang w:val="en-US" w:eastAsia="zh-CN"/>
        </w:rPr>
      </w:pPr>
      <w:bookmarkStart w:id="156" w:name="_Toc11354"/>
      <w:bookmarkStart w:id="157" w:name="_Toc59"/>
      <w:r>
        <w:rPr>
          <w:rFonts w:hint="eastAsia" w:asciiTheme="minorEastAsia" w:hAnsiTheme="minorEastAsia" w:cstheme="minorEastAsia"/>
          <w:b/>
          <w:bCs/>
          <w:i w:val="0"/>
          <w:iCs w:val="0"/>
          <w:color w:val="auto"/>
          <w:spacing w:val="0"/>
          <w:sz w:val="28"/>
          <w:szCs w:val="28"/>
          <w:lang w:val="en-US" w:eastAsia="zh-CN"/>
        </w:rPr>
        <w:t>2.2授权委托书</w:t>
      </w:r>
      <w:bookmarkEnd w:id="156"/>
      <w:bookmarkEnd w:id="15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bCs/>
          <w:i w:val="0"/>
          <w:iCs w:val="0"/>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本人</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（姓名）系</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（投标人名称）的法定代表人（单位负责人），现委托</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（姓名）为我方代理人。代理人根据授权，以我方名义签署、澄清确认、递交、撤回、修改采购招标项目投标文件、签订合同和处理有关事宜，其法律后果由我方承担。</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委托期限</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代理人无转委托权。</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附：法定代表人（单位负责人）身份证复印件及委托代理人身份证复印件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注：本授权委托书需由投标人加盖单位公章并由其法定代表人（单位负责人）和委托代理人签字。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both"/>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（盖单位章）</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法定代表人（单位负责人）：</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（签字）</w:t>
      </w:r>
    </w:p>
    <w:p>
      <w:pPr>
        <w:keepNext w:val="0"/>
        <w:keepLines w:val="0"/>
        <w:pageBreakBefore w:val="0"/>
        <w:widowControl w:val="0"/>
        <w:numPr>
          <w:ilvl w:val="0"/>
          <w:numId w:val="0"/>
        </w:numPr>
        <w:kinsoku/>
        <w:wordWrap w:val="0"/>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u w:val="single"/>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身份证号码：</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委托代理人：</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（签字）</w:t>
      </w:r>
    </w:p>
    <w:p>
      <w:pPr>
        <w:keepNext w:val="0"/>
        <w:keepLines w:val="0"/>
        <w:pageBreakBefore w:val="0"/>
        <w:widowControl w:val="0"/>
        <w:numPr>
          <w:ilvl w:val="0"/>
          <w:numId w:val="0"/>
        </w:numPr>
        <w:kinsoku/>
        <w:wordWrap w:val="0"/>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u w:val="single"/>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身份证号码：</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u w:val="singl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年</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月</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5"/>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rPr>
          <w:rFonts w:hint="eastAsia"/>
          <w:i w:val="0"/>
          <w:i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5"/>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5"/>
        <w:outlineLvl w:val="9"/>
        <w:rPr>
          <w:rFonts w:hint="eastAsia"/>
          <w:i w:val="0"/>
          <w:iCs w:val="0"/>
          <w:lang w:val="en-US" w:eastAsia="zh-CN"/>
        </w:rPr>
      </w:pPr>
    </w:p>
    <w:p>
      <w:pPr>
        <w:pStyle w:val="9"/>
        <w:ind w:left="0" w:leftChars="0" w:firstLine="0" w:firstLineChars="0"/>
        <w:rPr>
          <w:rFonts w:hint="eastAsia" w:asciiTheme="minorEastAsia" w:hAnsiTheme="minorEastAsia" w:cstheme="minorEastAsia"/>
          <w:b w:val="0"/>
          <w:bCs w:val="0"/>
          <w:i w:val="0"/>
          <w:iCs w:val="0"/>
          <w:color w:val="auto"/>
          <w:spacing w:val="0"/>
          <w:sz w:val="21"/>
          <w:szCs w:val="21"/>
          <w:vertAlign w:val="baseline"/>
          <w:lang w:val="en-US" w:eastAsia="zh-CN"/>
        </w:rPr>
      </w:pPr>
    </w:p>
    <w:p>
      <w:pPr>
        <w:rPr>
          <w:rFonts w:hint="eastAsia"/>
          <w:lang w:val="en-US" w:eastAsia="zh-CN"/>
        </w:rPr>
      </w:pPr>
    </w:p>
    <w:p>
      <w:pPr>
        <w:pStyle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0"/>
        <w:rPr>
          <w:rFonts w:hint="eastAsia" w:asciiTheme="minorEastAsia" w:hAnsiTheme="minorEastAsia" w:cstheme="minorEastAsia"/>
          <w:b/>
          <w:bCs/>
          <w:i w:val="0"/>
          <w:iCs w:val="0"/>
          <w:color w:val="auto"/>
          <w:spacing w:val="0"/>
          <w:sz w:val="28"/>
          <w:szCs w:val="28"/>
          <w:lang w:val="en-US" w:eastAsia="zh-CN"/>
        </w:rPr>
      </w:pPr>
      <w:bookmarkStart w:id="158" w:name="_Toc17437"/>
      <w:bookmarkStart w:id="159" w:name="_Toc11390"/>
      <w:r>
        <w:rPr>
          <w:rFonts w:hint="eastAsia" w:asciiTheme="minorEastAsia" w:hAnsiTheme="minorEastAsia" w:cstheme="minorEastAsia"/>
          <w:b/>
          <w:bCs/>
          <w:i w:val="0"/>
          <w:iCs w:val="0"/>
          <w:color w:val="auto"/>
          <w:spacing w:val="0"/>
          <w:sz w:val="28"/>
          <w:szCs w:val="28"/>
          <w:lang w:val="en-US" w:eastAsia="zh-CN"/>
        </w:rPr>
        <w:t>三、资格审查资料</w:t>
      </w:r>
      <w:bookmarkEnd w:id="158"/>
      <w:bookmarkEnd w:id="159"/>
    </w:p>
    <w:p>
      <w:pPr>
        <w:spacing w:before="156" w:beforeLines="50" w:after="312" w:afterLines="100" w:line="440" w:lineRule="exact"/>
        <w:rPr>
          <w:i w:val="0"/>
          <w:iCs w:val="0"/>
          <w:sz w:val="21"/>
        </w:rPr>
      </w:pPr>
      <w:r>
        <w:rPr>
          <w:rFonts w:hint="eastAsia" w:ascii="黑体" w:eastAsia="黑体"/>
          <w:i w:val="0"/>
          <w:iCs w:val="0"/>
          <w:sz w:val="24"/>
        </w:rPr>
        <w:t>（一）</w:t>
      </w:r>
      <w:r>
        <w:rPr>
          <w:b/>
          <w:i w:val="0"/>
          <w:iCs w:val="0"/>
          <w:sz w:val="24"/>
        </w:rPr>
        <w:t>投标人基本情况</w:t>
      </w:r>
    </w:p>
    <w:tbl>
      <w:tblPr>
        <w:tblStyle w:val="22"/>
        <w:tblW w:w="9659" w:type="dxa"/>
        <w:tblInd w:w="2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018"/>
        <w:gridCol w:w="821"/>
        <w:gridCol w:w="476"/>
        <w:gridCol w:w="635"/>
        <w:gridCol w:w="664"/>
        <w:gridCol w:w="447"/>
        <w:gridCol w:w="354"/>
        <w:gridCol w:w="534"/>
        <w:gridCol w:w="3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573" w:type="dxa"/>
          </w:tcPr>
          <w:p>
            <w:pPr>
              <w:pStyle w:val="47"/>
              <w:spacing w:before="122"/>
              <w:ind w:left="131" w:right="122"/>
              <w:jc w:val="center"/>
              <w:rPr>
                <w:i w:val="0"/>
                <w:iCs w:val="0"/>
                <w:sz w:val="24"/>
              </w:rPr>
            </w:pPr>
            <w:r>
              <w:rPr>
                <w:i w:val="0"/>
                <w:iCs w:val="0"/>
                <w:sz w:val="24"/>
              </w:rPr>
              <w:t>单位名称</w:t>
            </w:r>
          </w:p>
        </w:tc>
        <w:tc>
          <w:tcPr>
            <w:tcW w:w="8086" w:type="dxa"/>
            <w:gridSpan w:val="9"/>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8" w:hRule="atLeast"/>
        </w:trPr>
        <w:tc>
          <w:tcPr>
            <w:tcW w:w="1573" w:type="dxa"/>
          </w:tcPr>
          <w:p>
            <w:pPr>
              <w:pStyle w:val="47"/>
              <w:spacing w:before="122"/>
              <w:ind w:left="131" w:right="122"/>
              <w:jc w:val="center"/>
              <w:rPr>
                <w:i w:val="0"/>
                <w:iCs w:val="0"/>
                <w:sz w:val="24"/>
              </w:rPr>
            </w:pPr>
            <w:r>
              <w:rPr>
                <w:i w:val="0"/>
                <w:iCs w:val="0"/>
                <w:sz w:val="24"/>
              </w:rPr>
              <w:t>单位地址</w:t>
            </w:r>
          </w:p>
        </w:tc>
        <w:tc>
          <w:tcPr>
            <w:tcW w:w="8086" w:type="dxa"/>
            <w:gridSpan w:val="9"/>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1" w:hRule="atLeast"/>
        </w:trPr>
        <w:tc>
          <w:tcPr>
            <w:tcW w:w="1573" w:type="dxa"/>
          </w:tcPr>
          <w:p>
            <w:pPr>
              <w:pStyle w:val="47"/>
              <w:spacing w:before="125"/>
              <w:ind w:left="131" w:right="122"/>
              <w:jc w:val="center"/>
              <w:rPr>
                <w:i w:val="0"/>
                <w:iCs w:val="0"/>
                <w:sz w:val="24"/>
              </w:rPr>
            </w:pPr>
            <w:r>
              <w:rPr>
                <w:i w:val="0"/>
                <w:iCs w:val="0"/>
                <w:sz w:val="24"/>
              </w:rPr>
              <w:t>主管部门</w:t>
            </w:r>
          </w:p>
        </w:tc>
        <w:tc>
          <w:tcPr>
            <w:tcW w:w="8086" w:type="dxa"/>
            <w:gridSpan w:val="9"/>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8" w:hRule="atLeast"/>
        </w:trPr>
        <w:tc>
          <w:tcPr>
            <w:tcW w:w="1573" w:type="dxa"/>
          </w:tcPr>
          <w:p>
            <w:pPr>
              <w:pStyle w:val="47"/>
              <w:spacing w:before="122"/>
              <w:ind w:left="131" w:right="122"/>
              <w:jc w:val="center"/>
              <w:rPr>
                <w:i w:val="0"/>
                <w:iCs w:val="0"/>
                <w:sz w:val="24"/>
              </w:rPr>
            </w:pPr>
            <w:r>
              <w:rPr>
                <w:i w:val="0"/>
                <w:iCs w:val="0"/>
                <w:sz w:val="24"/>
              </w:rPr>
              <w:t>成立时间</w:t>
            </w:r>
          </w:p>
        </w:tc>
        <w:tc>
          <w:tcPr>
            <w:tcW w:w="1839" w:type="dxa"/>
            <w:gridSpan w:val="2"/>
          </w:tcPr>
          <w:p>
            <w:pPr>
              <w:pStyle w:val="47"/>
              <w:rPr>
                <w:rFonts w:ascii="Times New Roman"/>
                <w:i w:val="0"/>
                <w:iCs w:val="0"/>
                <w:sz w:val="24"/>
              </w:rPr>
            </w:pPr>
          </w:p>
        </w:tc>
        <w:tc>
          <w:tcPr>
            <w:tcW w:w="2222" w:type="dxa"/>
            <w:gridSpan w:val="4"/>
          </w:tcPr>
          <w:p>
            <w:pPr>
              <w:pStyle w:val="47"/>
              <w:spacing w:before="122"/>
              <w:ind w:left="206"/>
              <w:rPr>
                <w:i w:val="0"/>
                <w:iCs w:val="0"/>
                <w:sz w:val="24"/>
              </w:rPr>
            </w:pPr>
            <w:r>
              <w:rPr>
                <w:i w:val="0"/>
                <w:iCs w:val="0"/>
                <w:sz w:val="24"/>
              </w:rPr>
              <w:t>注册资金（万元）</w:t>
            </w:r>
          </w:p>
        </w:tc>
        <w:tc>
          <w:tcPr>
            <w:tcW w:w="4025" w:type="dxa"/>
            <w:gridSpan w:val="3"/>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8" w:hRule="atLeast"/>
        </w:trPr>
        <w:tc>
          <w:tcPr>
            <w:tcW w:w="1573" w:type="dxa"/>
          </w:tcPr>
          <w:p>
            <w:pPr>
              <w:pStyle w:val="47"/>
              <w:spacing w:before="122"/>
              <w:ind w:left="131" w:right="122"/>
              <w:jc w:val="center"/>
              <w:rPr>
                <w:i w:val="0"/>
                <w:iCs w:val="0"/>
                <w:sz w:val="24"/>
              </w:rPr>
            </w:pPr>
            <w:r>
              <w:rPr>
                <w:i w:val="0"/>
                <w:iCs w:val="0"/>
                <w:sz w:val="24"/>
              </w:rPr>
              <w:t>单位性质</w:t>
            </w:r>
          </w:p>
        </w:tc>
        <w:tc>
          <w:tcPr>
            <w:tcW w:w="8086" w:type="dxa"/>
            <w:gridSpan w:val="9"/>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6" w:hRule="atLeast"/>
        </w:trPr>
        <w:tc>
          <w:tcPr>
            <w:tcW w:w="1573" w:type="dxa"/>
          </w:tcPr>
          <w:p>
            <w:pPr>
              <w:pStyle w:val="47"/>
              <w:spacing w:before="7" w:line="310" w:lineRule="atLeast"/>
              <w:ind w:left="271" w:right="139" w:hanging="120"/>
              <w:rPr>
                <w:i w:val="0"/>
                <w:iCs w:val="0"/>
                <w:sz w:val="24"/>
              </w:rPr>
            </w:pPr>
            <w:r>
              <w:rPr>
                <w:i w:val="0"/>
                <w:iCs w:val="0"/>
                <w:sz w:val="24"/>
              </w:rPr>
              <w:t>投标期间联系人</w:t>
            </w:r>
          </w:p>
        </w:tc>
        <w:tc>
          <w:tcPr>
            <w:tcW w:w="1018" w:type="dxa"/>
          </w:tcPr>
          <w:p>
            <w:pPr>
              <w:pStyle w:val="47"/>
              <w:rPr>
                <w:rFonts w:ascii="Times New Roman"/>
                <w:i w:val="0"/>
                <w:iCs w:val="0"/>
                <w:sz w:val="24"/>
              </w:rPr>
            </w:pPr>
          </w:p>
        </w:tc>
        <w:tc>
          <w:tcPr>
            <w:tcW w:w="1297" w:type="dxa"/>
            <w:gridSpan w:val="2"/>
          </w:tcPr>
          <w:p>
            <w:pPr>
              <w:pStyle w:val="47"/>
              <w:spacing w:before="165"/>
              <w:ind w:left="383"/>
              <w:rPr>
                <w:i w:val="0"/>
                <w:iCs w:val="0"/>
                <w:sz w:val="24"/>
              </w:rPr>
            </w:pPr>
            <w:r>
              <w:rPr>
                <w:i w:val="0"/>
                <w:iCs w:val="0"/>
                <w:sz w:val="24"/>
              </w:rPr>
              <w:t>电 话</w:t>
            </w:r>
          </w:p>
        </w:tc>
        <w:tc>
          <w:tcPr>
            <w:tcW w:w="1299" w:type="dxa"/>
            <w:gridSpan w:val="2"/>
          </w:tcPr>
          <w:p>
            <w:pPr>
              <w:pStyle w:val="47"/>
              <w:rPr>
                <w:rFonts w:ascii="Times New Roman"/>
                <w:i w:val="0"/>
                <w:iCs w:val="0"/>
                <w:sz w:val="24"/>
              </w:rPr>
            </w:pPr>
          </w:p>
        </w:tc>
        <w:tc>
          <w:tcPr>
            <w:tcW w:w="1335" w:type="dxa"/>
            <w:gridSpan w:val="3"/>
          </w:tcPr>
          <w:p>
            <w:pPr>
              <w:pStyle w:val="47"/>
              <w:spacing w:before="165"/>
              <w:ind w:left="395"/>
              <w:rPr>
                <w:i w:val="0"/>
                <w:iCs w:val="0"/>
                <w:sz w:val="24"/>
              </w:rPr>
            </w:pPr>
            <w:r>
              <w:rPr>
                <w:i w:val="0"/>
                <w:iCs w:val="0"/>
                <w:sz w:val="24"/>
              </w:rPr>
              <w:t>传 真</w:t>
            </w:r>
          </w:p>
        </w:tc>
        <w:tc>
          <w:tcPr>
            <w:tcW w:w="3137"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573" w:type="dxa"/>
            <w:vMerge w:val="restart"/>
          </w:tcPr>
          <w:p>
            <w:pPr>
              <w:pStyle w:val="47"/>
              <w:rPr>
                <w:i w:val="0"/>
                <w:iCs w:val="0"/>
                <w:sz w:val="24"/>
              </w:rPr>
            </w:pPr>
          </w:p>
          <w:p>
            <w:pPr>
              <w:pStyle w:val="47"/>
              <w:rPr>
                <w:i w:val="0"/>
                <w:iCs w:val="0"/>
                <w:sz w:val="24"/>
              </w:rPr>
            </w:pPr>
          </w:p>
          <w:p>
            <w:pPr>
              <w:pStyle w:val="47"/>
              <w:rPr>
                <w:i w:val="0"/>
                <w:iCs w:val="0"/>
                <w:sz w:val="24"/>
              </w:rPr>
            </w:pPr>
          </w:p>
          <w:p>
            <w:pPr>
              <w:pStyle w:val="47"/>
              <w:spacing w:before="9"/>
              <w:rPr>
                <w:i w:val="0"/>
                <w:iCs w:val="0"/>
                <w:sz w:val="23"/>
              </w:rPr>
            </w:pPr>
          </w:p>
          <w:p>
            <w:pPr>
              <w:pStyle w:val="47"/>
              <w:spacing w:line="458" w:lineRule="auto"/>
              <w:ind w:left="511" w:right="499"/>
              <w:jc w:val="both"/>
              <w:rPr>
                <w:i w:val="0"/>
                <w:iCs w:val="0"/>
                <w:sz w:val="24"/>
              </w:rPr>
            </w:pPr>
            <w:r>
              <w:rPr>
                <w:i w:val="0"/>
                <w:iCs w:val="0"/>
                <w:sz w:val="24"/>
              </w:rPr>
              <w:t>职工概况</w:t>
            </w:r>
          </w:p>
        </w:tc>
        <w:tc>
          <w:tcPr>
            <w:tcW w:w="1018" w:type="dxa"/>
          </w:tcPr>
          <w:p>
            <w:pPr>
              <w:pStyle w:val="47"/>
              <w:spacing w:before="122"/>
              <w:ind w:left="114" w:right="106"/>
              <w:jc w:val="center"/>
              <w:rPr>
                <w:i w:val="0"/>
                <w:iCs w:val="0"/>
                <w:sz w:val="24"/>
              </w:rPr>
            </w:pPr>
            <w:r>
              <w:rPr>
                <w:i w:val="0"/>
                <w:iCs w:val="0"/>
                <w:sz w:val="24"/>
              </w:rPr>
              <w:t>职工总数</w:t>
            </w:r>
          </w:p>
        </w:tc>
        <w:tc>
          <w:tcPr>
            <w:tcW w:w="1297" w:type="dxa"/>
            <w:gridSpan w:val="2"/>
          </w:tcPr>
          <w:p>
            <w:pPr>
              <w:pStyle w:val="47"/>
              <w:rPr>
                <w:rFonts w:ascii="Times New Roman"/>
                <w:i w:val="0"/>
                <w:iCs w:val="0"/>
                <w:sz w:val="24"/>
              </w:rPr>
            </w:pPr>
          </w:p>
        </w:tc>
        <w:tc>
          <w:tcPr>
            <w:tcW w:w="2100" w:type="dxa"/>
            <w:gridSpan w:val="4"/>
          </w:tcPr>
          <w:p>
            <w:pPr>
              <w:pStyle w:val="47"/>
              <w:spacing w:before="122"/>
              <w:ind w:left="140"/>
              <w:rPr>
                <w:i w:val="0"/>
                <w:iCs w:val="0"/>
                <w:sz w:val="24"/>
              </w:rPr>
            </w:pPr>
            <w:r>
              <w:rPr>
                <w:i w:val="0"/>
                <w:iCs w:val="0"/>
                <w:sz w:val="24"/>
              </w:rPr>
              <w:t>其中：技术人员数</w:t>
            </w:r>
          </w:p>
        </w:tc>
        <w:tc>
          <w:tcPr>
            <w:tcW w:w="3671" w:type="dxa"/>
            <w:gridSpan w:val="2"/>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9" w:hRule="atLeast"/>
        </w:trPr>
        <w:tc>
          <w:tcPr>
            <w:tcW w:w="1573" w:type="dxa"/>
            <w:vMerge w:val="continue"/>
            <w:tcBorders>
              <w:top w:val="nil"/>
            </w:tcBorders>
          </w:tcPr>
          <w:p>
            <w:pPr>
              <w:rPr>
                <w:i w:val="0"/>
                <w:iCs w:val="0"/>
                <w:sz w:val="2"/>
                <w:szCs w:val="2"/>
              </w:rPr>
            </w:pPr>
          </w:p>
        </w:tc>
        <w:tc>
          <w:tcPr>
            <w:tcW w:w="1018" w:type="dxa"/>
          </w:tcPr>
          <w:p>
            <w:pPr>
              <w:pStyle w:val="47"/>
              <w:spacing w:before="122"/>
              <w:ind w:left="114" w:right="106"/>
              <w:jc w:val="center"/>
              <w:rPr>
                <w:i w:val="0"/>
                <w:iCs w:val="0"/>
                <w:sz w:val="24"/>
              </w:rPr>
            </w:pPr>
            <w:r>
              <w:rPr>
                <w:i w:val="0"/>
                <w:iCs w:val="0"/>
                <w:sz w:val="24"/>
              </w:rPr>
              <w:t>高级工程师</w:t>
            </w:r>
          </w:p>
        </w:tc>
        <w:tc>
          <w:tcPr>
            <w:tcW w:w="1297" w:type="dxa"/>
            <w:gridSpan w:val="2"/>
          </w:tcPr>
          <w:p>
            <w:pPr>
              <w:pStyle w:val="47"/>
              <w:rPr>
                <w:rFonts w:ascii="Times New Roman"/>
                <w:i w:val="0"/>
                <w:iCs w:val="0"/>
                <w:sz w:val="24"/>
              </w:rPr>
            </w:pPr>
          </w:p>
        </w:tc>
        <w:tc>
          <w:tcPr>
            <w:tcW w:w="2100" w:type="dxa"/>
            <w:gridSpan w:val="4"/>
          </w:tcPr>
          <w:p>
            <w:pPr>
              <w:pStyle w:val="47"/>
              <w:spacing w:before="122"/>
              <w:ind w:left="722" w:right="722"/>
              <w:jc w:val="center"/>
              <w:rPr>
                <w:i w:val="0"/>
                <w:iCs w:val="0"/>
                <w:sz w:val="24"/>
              </w:rPr>
            </w:pPr>
            <w:r>
              <w:rPr>
                <w:i w:val="0"/>
                <w:iCs w:val="0"/>
                <w:sz w:val="24"/>
              </w:rPr>
              <w:t>工程师</w:t>
            </w:r>
          </w:p>
        </w:tc>
        <w:tc>
          <w:tcPr>
            <w:tcW w:w="3671" w:type="dxa"/>
            <w:gridSpan w:val="2"/>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9" w:hRule="atLeast"/>
        </w:trPr>
        <w:tc>
          <w:tcPr>
            <w:tcW w:w="1573" w:type="dxa"/>
            <w:vMerge w:val="continue"/>
            <w:tcBorders>
              <w:top w:val="nil"/>
            </w:tcBorders>
          </w:tcPr>
          <w:p>
            <w:pPr>
              <w:rPr>
                <w:i w:val="0"/>
                <w:iCs w:val="0"/>
                <w:sz w:val="2"/>
                <w:szCs w:val="2"/>
              </w:rPr>
            </w:pPr>
          </w:p>
        </w:tc>
        <w:tc>
          <w:tcPr>
            <w:tcW w:w="1018" w:type="dxa"/>
          </w:tcPr>
          <w:p>
            <w:pPr>
              <w:pStyle w:val="47"/>
              <w:spacing w:before="122"/>
              <w:ind w:left="114" w:right="106"/>
              <w:jc w:val="center"/>
              <w:rPr>
                <w:i w:val="0"/>
                <w:iCs w:val="0"/>
                <w:sz w:val="24"/>
              </w:rPr>
            </w:pPr>
            <w:r>
              <w:rPr>
                <w:i w:val="0"/>
                <w:iCs w:val="0"/>
                <w:sz w:val="24"/>
              </w:rPr>
              <w:t>助理工程师</w:t>
            </w:r>
          </w:p>
        </w:tc>
        <w:tc>
          <w:tcPr>
            <w:tcW w:w="1297" w:type="dxa"/>
            <w:gridSpan w:val="2"/>
          </w:tcPr>
          <w:p>
            <w:pPr>
              <w:pStyle w:val="47"/>
              <w:rPr>
                <w:rFonts w:ascii="Times New Roman"/>
                <w:i w:val="0"/>
                <w:iCs w:val="0"/>
                <w:sz w:val="24"/>
              </w:rPr>
            </w:pPr>
          </w:p>
        </w:tc>
        <w:tc>
          <w:tcPr>
            <w:tcW w:w="2100" w:type="dxa"/>
            <w:gridSpan w:val="4"/>
          </w:tcPr>
          <w:p>
            <w:pPr>
              <w:pStyle w:val="47"/>
              <w:spacing w:before="122"/>
              <w:ind w:left="722" w:right="722"/>
              <w:jc w:val="center"/>
              <w:rPr>
                <w:i w:val="0"/>
                <w:iCs w:val="0"/>
                <w:sz w:val="24"/>
              </w:rPr>
            </w:pPr>
            <w:r>
              <w:rPr>
                <w:i w:val="0"/>
                <w:iCs w:val="0"/>
                <w:sz w:val="24"/>
              </w:rPr>
              <w:t>技术员</w:t>
            </w:r>
          </w:p>
        </w:tc>
        <w:tc>
          <w:tcPr>
            <w:tcW w:w="3671" w:type="dxa"/>
            <w:gridSpan w:val="2"/>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trPr>
        <w:tc>
          <w:tcPr>
            <w:tcW w:w="1573" w:type="dxa"/>
            <w:vMerge w:val="continue"/>
            <w:tcBorders>
              <w:top w:val="nil"/>
            </w:tcBorders>
          </w:tcPr>
          <w:p>
            <w:pPr>
              <w:rPr>
                <w:i w:val="0"/>
                <w:iCs w:val="0"/>
                <w:sz w:val="2"/>
                <w:szCs w:val="2"/>
              </w:rPr>
            </w:pPr>
          </w:p>
        </w:tc>
        <w:tc>
          <w:tcPr>
            <w:tcW w:w="8086" w:type="dxa"/>
            <w:gridSpan w:val="9"/>
          </w:tcPr>
          <w:p>
            <w:pPr>
              <w:pStyle w:val="47"/>
              <w:spacing w:before="124"/>
              <w:ind w:left="2981" w:right="2985"/>
              <w:jc w:val="center"/>
              <w:rPr>
                <w:i w:val="0"/>
                <w:iCs w:val="0"/>
                <w:sz w:val="24"/>
              </w:rPr>
            </w:pPr>
            <w:r>
              <w:rPr>
                <w:i w:val="0"/>
                <w:iCs w:val="0"/>
                <w:sz w:val="24"/>
              </w:rPr>
              <w:t>单位行政和技术负责人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73" w:type="dxa"/>
            <w:vMerge w:val="continue"/>
            <w:tcBorders>
              <w:top w:val="nil"/>
            </w:tcBorders>
          </w:tcPr>
          <w:p>
            <w:pPr>
              <w:rPr>
                <w:i w:val="0"/>
                <w:iCs w:val="0"/>
                <w:sz w:val="2"/>
                <w:szCs w:val="2"/>
              </w:rPr>
            </w:pPr>
          </w:p>
        </w:tc>
        <w:tc>
          <w:tcPr>
            <w:tcW w:w="1018" w:type="dxa"/>
          </w:tcPr>
          <w:p>
            <w:pPr>
              <w:pStyle w:val="47"/>
              <w:spacing w:before="122"/>
              <w:ind w:left="114" w:right="106"/>
              <w:jc w:val="center"/>
              <w:rPr>
                <w:i w:val="0"/>
                <w:iCs w:val="0"/>
                <w:sz w:val="24"/>
              </w:rPr>
            </w:pPr>
            <w:r>
              <w:rPr>
                <w:i w:val="0"/>
                <w:iCs w:val="0"/>
                <w:sz w:val="24"/>
              </w:rPr>
              <w:t>姓 名</w:t>
            </w:r>
          </w:p>
        </w:tc>
        <w:tc>
          <w:tcPr>
            <w:tcW w:w="1932" w:type="dxa"/>
            <w:gridSpan w:val="3"/>
          </w:tcPr>
          <w:p>
            <w:pPr>
              <w:pStyle w:val="47"/>
              <w:spacing w:before="122"/>
              <w:ind w:left="503"/>
              <w:rPr>
                <w:i w:val="0"/>
                <w:iCs w:val="0"/>
                <w:sz w:val="24"/>
              </w:rPr>
            </w:pPr>
            <w:r>
              <w:rPr>
                <w:i w:val="0"/>
                <w:iCs w:val="0"/>
                <w:sz w:val="24"/>
              </w:rPr>
              <w:t>职务</w:t>
            </w:r>
            <w:r>
              <w:rPr>
                <w:rFonts w:ascii="Times New Roman" w:eastAsia="Times New Roman"/>
                <w:i w:val="0"/>
                <w:iCs w:val="0"/>
                <w:sz w:val="24"/>
              </w:rPr>
              <w:t>/</w:t>
            </w:r>
            <w:r>
              <w:rPr>
                <w:i w:val="0"/>
                <w:iCs w:val="0"/>
                <w:sz w:val="24"/>
              </w:rPr>
              <w:t>职称</w:t>
            </w:r>
          </w:p>
        </w:tc>
        <w:tc>
          <w:tcPr>
            <w:tcW w:w="1465" w:type="dxa"/>
            <w:gridSpan w:val="3"/>
          </w:tcPr>
          <w:p>
            <w:pPr>
              <w:pStyle w:val="47"/>
              <w:spacing w:before="122"/>
              <w:ind w:left="463"/>
              <w:rPr>
                <w:i w:val="0"/>
                <w:iCs w:val="0"/>
                <w:sz w:val="24"/>
              </w:rPr>
            </w:pPr>
            <w:r>
              <w:rPr>
                <w:i w:val="0"/>
                <w:iCs w:val="0"/>
                <w:sz w:val="24"/>
              </w:rPr>
              <w:t>年 龄</w:t>
            </w:r>
          </w:p>
        </w:tc>
        <w:tc>
          <w:tcPr>
            <w:tcW w:w="3671" w:type="dxa"/>
            <w:gridSpan w:val="2"/>
          </w:tcPr>
          <w:p>
            <w:pPr>
              <w:pStyle w:val="47"/>
              <w:tabs>
                <w:tab w:val="left" w:pos="480"/>
              </w:tabs>
              <w:spacing w:before="122"/>
              <w:ind w:right="15"/>
              <w:jc w:val="center"/>
              <w:rPr>
                <w:i w:val="0"/>
                <w:iCs w:val="0"/>
                <w:sz w:val="24"/>
              </w:rPr>
            </w:pPr>
            <w:r>
              <w:rPr>
                <w:i w:val="0"/>
                <w:iCs w:val="0"/>
                <w:sz w:val="24"/>
              </w:rPr>
              <w:t>专</w:t>
            </w:r>
            <w:r>
              <w:rPr>
                <w:i w:val="0"/>
                <w:iCs w:val="0"/>
                <w:sz w:val="24"/>
              </w:rPr>
              <w:tab/>
            </w:r>
            <w:r>
              <w:rPr>
                <w:i w:val="0"/>
                <w:iCs w:val="0"/>
                <w:sz w:val="24"/>
              </w:rPr>
              <w:t>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73" w:type="dxa"/>
            <w:vMerge w:val="continue"/>
            <w:tcBorders>
              <w:top w:val="nil"/>
            </w:tcBorders>
          </w:tcPr>
          <w:p>
            <w:pPr>
              <w:rPr>
                <w:i w:val="0"/>
                <w:iCs w:val="0"/>
                <w:sz w:val="2"/>
                <w:szCs w:val="2"/>
              </w:rPr>
            </w:pPr>
          </w:p>
        </w:tc>
        <w:tc>
          <w:tcPr>
            <w:tcW w:w="1018" w:type="dxa"/>
          </w:tcPr>
          <w:p>
            <w:pPr>
              <w:pStyle w:val="47"/>
              <w:rPr>
                <w:rFonts w:ascii="Times New Roman"/>
                <w:i w:val="0"/>
                <w:iCs w:val="0"/>
                <w:sz w:val="24"/>
              </w:rPr>
            </w:pPr>
          </w:p>
        </w:tc>
        <w:tc>
          <w:tcPr>
            <w:tcW w:w="1932" w:type="dxa"/>
            <w:gridSpan w:val="3"/>
          </w:tcPr>
          <w:p>
            <w:pPr>
              <w:pStyle w:val="47"/>
              <w:rPr>
                <w:rFonts w:ascii="Times New Roman"/>
                <w:i w:val="0"/>
                <w:iCs w:val="0"/>
                <w:sz w:val="24"/>
              </w:rPr>
            </w:pPr>
          </w:p>
        </w:tc>
        <w:tc>
          <w:tcPr>
            <w:tcW w:w="1465" w:type="dxa"/>
            <w:gridSpan w:val="3"/>
          </w:tcPr>
          <w:p>
            <w:pPr>
              <w:pStyle w:val="47"/>
              <w:rPr>
                <w:rFonts w:ascii="Times New Roman"/>
                <w:i w:val="0"/>
                <w:iCs w:val="0"/>
                <w:sz w:val="24"/>
              </w:rPr>
            </w:pPr>
          </w:p>
        </w:tc>
        <w:tc>
          <w:tcPr>
            <w:tcW w:w="3671" w:type="dxa"/>
            <w:gridSpan w:val="2"/>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73" w:type="dxa"/>
            <w:vMerge w:val="continue"/>
            <w:tcBorders>
              <w:top w:val="nil"/>
            </w:tcBorders>
          </w:tcPr>
          <w:p>
            <w:pPr>
              <w:rPr>
                <w:i w:val="0"/>
                <w:iCs w:val="0"/>
                <w:sz w:val="2"/>
                <w:szCs w:val="2"/>
              </w:rPr>
            </w:pPr>
          </w:p>
        </w:tc>
        <w:tc>
          <w:tcPr>
            <w:tcW w:w="1018" w:type="dxa"/>
          </w:tcPr>
          <w:p>
            <w:pPr>
              <w:pStyle w:val="47"/>
              <w:rPr>
                <w:rFonts w:ascii="Times New Roman"/>
                <w:i w:val="0"/>
                <w:iCs w:val="0"/>
                <w:sz w:val="24"/>
              </w:rPr>
            </w:pPr>
          </w:p>
        </w:tc>
        <w:tc>
          <w:tcPr>
            <w:tcW w:w="1932" w:type="dxa"/>
            <w:gridSpan w:val="3"/>
          </w:tcPr>
          <w:p>
            <w:pPr>
              <w:pStyle w:val="47"/>
              <w:rPr>
                <w:rFonts w:ascii="Times New Roman"/>
                <w:i w:val="0"/>
                <w:iCs w:val="0"/>
                <w:sz w:val="24"/>
              </w:rPr>
            </w:pPr>
          </w:p>
        </w:tc>
        <w:tc>
          <w:tcPr>
            <w:tcW w:w="1465" w:type="dxa"/>
            <w:gridSpan w:val="3"/>
          </w:tcPr>
          <w:p>
            <w:pPr>
              <w:pStyle w:val="47"/>
              <w:rPr>
                <w:rFonts w:ascii="Times New Roman"/>
                <w:i w:val="0"/>
                <w:iCs w:val="0"/>
                <w:sz w:val="24"/>
              </w:rPr>
            </w:pPr>
          </w:p>
        </w:tc>
        <w:tc>
          <w:tcPr>
            <w:tcW w:w="3671" w:type="dxa"/>
            <w:gridSpan w:val="2"/>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573" w:type="dxa"/>
            <w:vMerge w:val="continue"/>
            <w:tcBorders>
              <w:top w:val="nil"/>
            </w:tcBorders>
          </w:tcPr>
          <w:p>
            <w:pPr>
              <w:rPr>
                <w:i w:val="0"/>
                <w:iCs w:val="0"/>
                <w:sz w:val="2"/>
                <w:szCs w:val="2"/>
              </w:rPr>
            </w:pPr>
          </w:p>
        </w:tc>
        <w:tc>
          <w:tcPr>
            <w:tcW w:w="1018" w:type="dxa"/>
          </w:tcPr>
          <w:p>
            <w:pPr>
              <w:pStyle w:val="47"/>
              <w:rPr>
                <w:rFonts w:ascii="Times New Roman"/>
                <w:i w:val="0"/>
                <w:iCs w:val="0"/>
                <w:sz w:val="24"/>
              </w:rPr>
            </w:pPr>
          </w:p>
        </w:tc>
        <w:tc>
          <w:tcPr>
            <w:tcW w:w="1932" w:type="dxa"/>
            <w:gridSpan w:val="3"/>
          </w:tcPr>
          <w:p>
            <w:pPr>
              <w:pStyle w:val="47"/>
              <w:rPr>
                <w:rFonts w:ascii="Times New Roman"/>
                <w:i w:val="0"/>
                <w:iCs w:val="0"/>
                <w:sz w:val="24"/>
              </w:rPr>
            </w:pPr>
          </w:p>
        </w:tc>
        <w:tc>
          <w:tcPr>
            <w:tcW w:w="1465" w:type="dxa"/>
            <w:gridSpan w:val="3"/>
          </w:tcPr>
          <w:p>
            <w:pPr>
              <w:pStyle w:val="47"/>
              <w:rPr>
                <w:rFonts w:ascii="Times New Roman"/>
                <w:i w:val="0"/>
                <w:iCs w:val="0"/>
                <w:sz w:val="24"/>
              </w:rPr>
            </w:pPr>
          </w:p>
        </w:tc>
        <w:tc>
          <w:tcPr>
            <w:tcW w:w="3671" w:type="dxa"/>
            <w:gridSpan w:val="2"/>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1573" w:type="dxa"/>
          </w:tcPr>
          <w:p>
            <w:pPr>
              <w:pStyle w:val="47"/>
              <w:rPr>
                <w:i w:val="0"/>
                <w:iCs w:val="0"/>
                <w:sz w:val="24"/>
              </w:rPr>
            </w:pPr>
          </w:p>
          <w:p>
            <w:pPr>
              <w:pStyle w:val="47"/>
              <w:rPr>
                <w:i w:val="0"/>
                <w:iCs w:val="0"/>
                <w:sz w:val="24"/>
              </w:rPr>
            </w:pPr>
          </w:p>
          <w:p>
            <w:pPr>
              <w:pStyle w:val="47"/>
              <w:rPr>
                <w:i w:val="0"/>
                <w:iCs w:val="0"/>
                <w:sz w:val="25"/>
              </w:rPr>
            </w:pPr>
          </w:p>
          <w:p>
            <w:pPr>
              <w:pStyle w:val="47"/>
              <w:spacing w:line="242" w:lineRule="auto"/>
              <w:ind w:left="511" w:right="499"/>
              <w:jc w:val="both"/>
              <w:rPr>
                <w:i w:val="0"/>
                <w:iCs w:val="0"/>
                <w:sz w:val="24"/>
              </w:rPr>
            </w:pPr>
            <w:r>
              <w:rPr>
                <w:i w:val="0"/>
                <w:iCs w:val="0"/>
                <w:sz w:val="24"/>
              </w:rPr>
              <w:t>单位概况</w:t>
            </w:r>
          </w:p>
        </w:tc>
        <w:tc>
          <w:tcPr>
            <w:tcW w:w="8086" w:type="dxa"/>
            <w:gridSpan w:val="9"/>
          </w:tcPr>
          <w:p>
            <w:pPr>
              <w:pStyle w:val="47"/>
              <w:rPr>
                <w:rFonts w:ascii="Times New Roman"/>
                <w:i w:val="0"/>
                <w:iCs w:val="0"/>
                <w:sz w:val="24"/>
              </w:rPr>
            </w:pPr>
          </w:p>
        </w:tc>
      </w:tr>
    </w:tbl>
    <w:p>
      <w:pPr>
        <w:pStyle w:val="9"/>
        <w:ind w:left="212"/>
        <w:rPr>
          <w:i w:val="0"/>
          <w:iCs w:val="0"/>
        </w:rPr>
        <w:sectPr>
          <w:pgSz w:w="11910" w:h="16840"/>
          <w:pgMar w:top="1380" w:right="880" w:bottom="1180" w:left="920" w:header="0" w:footer="989" w:gutter="0"/>
          <w:cols w:space="720" w:num="1"/>
        </w:sectPr>
      </w:pPr>
      <w:r>
        <w:rPr>
          <w:i w:val="0"/>
          <w:iCs w:val="0"/>
        </w:rPr>
        <w:t>注：</w:t>
      </w:r>
      <w:r>
        <w:rPr>
          <w:rFonts w:hint="eastAsia" w:ascii="宋体" w:hAnsi="宋体" w:eastAsia="宋体" w:cs="宋体"/>
          <w:b w:val="0"/>
          <w:bCs/>
          <w:spacing w:val="20"/>
          <w:sz w:val="21"/>
          <w:szCs w:val="21"/>
          <w:lang w:val="en-US" w:eastAsia="zh-CN"/>
        </w:rPr>
        <w:t>投标供应商应根据第二章供应商须知1.4.1项要求在本表后附营业执照、资质证书、</w:t>
      </w:r>
      <w:r>
        <w:rPr>
          <w:rFonts w:hint="eastAsia" w:ascii="宋体" w:hAnsi="宋体" w:eastAsia="宋体" w:cs="宋体"/>
          <w:b w:val="0"/>
          <w:bCs/>
          <w:color w:val="0000FF"/>
          <w:spacing w:val="20"/>
          <w:sz w:val="21"/>
          <w:szCs w:val="21"/>
          <w:lang w:val="en-US" w:eastAsia="zh-CN"/>
        </w:rPr>
        <w:t>企业近六个月社保缴纳凭证、企业近六个月完税证明</w:t>
      </w:r>
      <w:r>
        <w:rPr>
          <w:rFonts w:hint="eastAsia" w:ascii="宋体" w:hAnsi="宋体" w:eastAsia="宋体" w:cs="宋体"/>
          <w:b w:val="0"/>
          <w:bCs/>
          <w:spacing w:val="20"/>
          <w:sz w:val="21"/>
          <w:szCs w:val="21"/>
          <w:lang w:val="en-US" w:eastAsia="zh-CN"/>
        </w:rPr>
        <w:t>等相关证明材料。</w:t>
      </w:r>
    </w:p>
    <w:p>
      <w:pPr>
        <w:spacing w:before="59"/>
        <w:ind w:right="222"/>
        <w:jc w:val="both"/>
        <w:rPr>
          <w:rFonts w:hint="eastAsia" w:asciiTheme="minorEastAsia" w:hAnsiTheme="minorEastAsia" w:cstheme="minorEastAsia"/>
          <w:b/>
          <w:bCs/>
          <w:i w:val="0"/>
          <w:iCs w:val="0"/>
          <w:color w:val="auto"/>
          <w:spacing w:val="0"/>
          <w:sz w:val="28"/>
          <w:szCs w:val="28"/>
          <w:lang w:val="en-US" w:eastAsia="zh-CN"/>
        </w:rPr>
      </w:pPr>
    </w:p>
    <w:p>
      <w:pPr>
        <w:numPr>
          <w:ilvl w:val="0"/>
          <w:numId w:val="0"/>
        </w:numPr>
        <w:spacing w:before="59"/>
        <w:ind w:right="222" w:rightChars="0"/>
        <w:jc w:val="center"/>
        <w:outlineLvl w:val="0"/>
        <w:rPr>
          <w:b/>
          <w:i w:val="0"/>
          <w:iCs w:val="0"/>
          <w:sz w:val="28"/>
        </w:rPr>
      </w:pPr>
      <w:bookmarkStart w:id="160" w:name="_Toc21513"/>
      <w:bookmarkStart w:id="161" w:name="_Toc9990"/>
      <w:r>
        <w:rPr>
          <w:rFonts w:hint="eastAsia"/>
          <w:b/>
          <w:i w:val="0"/>
          <w:iCs w:val="0"/>
          <w:sz w:val="28"/>
          <w:lang w:val="en-US" w:eastAsia="zh-CN"/>
        </w:rPr>
        <w:t>四、</w:t>
      </w:r>
      <w:r>
        <w:rPr>
          <w:b/>
          <w:i w:val="0"/>
          <w:iCs w:val="0"/>
          <w:sz w:val="28"/>
        </w:rPr>
        <w:t>项目管理机构表</w:t>
      </w:r>
      <w:bookmarkEnd w:id="160"/>
      <w:bookmarkEnd w:id="161"/>
    </w:p>
    <w:p>
      <w:pPr>
        <w:spacing w:line="450" w:lineRule="atLeast"/>
        <w:jc w:val="left"/>
        <w:outlineLvl w:val="9"/>
        <w:rPr>
          <w:rFonts w:hint="eastAsia" w:ascii="宋体" w:hAnsi="宋体" w:eastAsia="宋体" w:cs="宋体"/>
          <w:b/>
          <w:sz w:val="28"/>
          <w:szCs w:val="28"/>
          <w:lang w:val="en-US" w:eastAsia="zh-CN"/>
        </w:rPr>
      </w:pPr>
      <w:r>
        <w:rPr>
          <w:rFonts w:hint="eastAsia"/>
          <w:b/>
          <w:i w:val="0"/>
          <w:iCs w:val="0"/>
          <w:sz w:val="24"/>
          <w:lang w:eastAsia="zh-CN"/>
        </w:rPr>
        <w:t>（</w:t>
      </w:r>
      <w:r>
        <w:rPr>
          <w:rFonts w:hint="eastAsia"/>
          <w:b/>
          <w:i w:val="0"/>
          <w:iCs w:val="0"/>
          <w:sz w:val="24"/>
          <w:lang w:val="en-US" w:eastAsia="zh-CN"/>
        </w:rPr>
        <w:t>一</w:t>
      </w:r>
      <w:r>
        <w:rPr>
          <w:rFonts w:hint="eastAsia"/>
          <w:b/>
          <w:i w:val="0"/>
          <w:iCs w:val="0"/>
          <w:sz w:val="24"/>
          <w:lang w:eastAsia="zh-CN"/>
        </w:rPr>
        <w:t>）</w:t>
      </w:r>
      <w:r>
        <w:rPr>
          <w:rFonts w:hint="eastAsia" w:ascii="宋体" w:hAnsi="宋体" w:eastAsia="宋体" w:cs="宋体"/>
          <w:b/>
          <w:sz w:val="28"/>
          <w:szCs w:val="28"/>
          <w:lang w:val="en-US" w:eastAsia="zh-CN"/>
        </w:rPr>
        <w:t>项目负责人情况表</w:t>
      </w:r>
    </w:p>
    <w:p>
      <w:pPr>
        <w:spacing w:line="450" w:lineRule="atLeast"/>
        <w:jc w:val="center"/>
        <w:outlineLvl w:val="9"/>
        <w:rPr>
          <w:rFonts w:hint="eastAsia" w:ascii="宋体" w:hAnsi="宋体" w:eastAsia="宋体" w:cs="宋体"/>
          <w:b/>
          <w:sz w:val="28"/>
          <w:szCs w:val="28"/>
          <w:lang w:val="en-US" w:eastAsia="zh-CN"/>
        </w:rPr>
      </w:pPr>
      <w:bookmarkStart w:id="162" w:name="_Toc21437_WPSOffice_Level2"/>
      <w:bookmarkStart w:id="163" w:name="_Toc19230_WPSOffice_Level2"/>
      <w:bookmarkStart w:id="164" w:name="_Toc14531_WPSOffice_Level2"/>
      <w:bookmarkStart w:id="165" w:name="_Toc24782_WPSOffice_Level2"/>
      <w:r>
        <w:rPr>
          <w:rFonts w:hint="eastAsia" w:ascii="宋体" w:hAnsi="宋体" w:eastAsia="宋体" w:cs="宋体"/>
          <w:b/>
          <w:sz w:val="28"/>
          <w:szCs w:val="28"/>
          <w:lang w:val="en-US" w:eastAsia="zh-CN"/>
        </w:rPr>
        <w:t>（附相关执业资格证书及技术职称证书）</w:t>
      </w:r>
      <w:bookmarkEnd w:id="162"/>
      <w:bookmarkEnd w:id="163"/>
      <w:bookmarkEnd w:id="164"/>
      <w:bookmarkEnd w:id="165"/>
    </w:p>
    <w:tbl>
      <w:tblPr>
        <w:tblStyle w:val="22"/>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4"/>
        <w:gridCol w:w="1542"/>
        <w:gridCol w:w="1134"/>
        <w:gridCol w:w="768"/>
        <w:gridCol w:w="507"/>
        <w:gridCol w:w="1336"/>
        <w:gridCol w:w="50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姓  名</w:t>
            </w:r>
          </w:p>
        </w:tc>
        <w:tc>
          <w:tcPr>
            <w:tcW w:w="1596" w:type="dxa"/>
            <w:gridSpan w:val="2"/>
            <w:noWrap w:val="0"/>
            <w:vAlign w:val="center"/>
          </w:tcPr>
          <w:p>
            <w:pPr>
              <w:jc w:val="center"/>
              <w:outlineLvl w:val="9"/>
              <w:rPr>
                <w:rFonts w:hint="eastAsia" w:ascii="宋体" w:hAnsi="宋体" w:eastAsia="宋体" w:cs="宋体"/>
                <w:sz w:val="28"/>
                <w:szCs w:val="28"/>
              </w:rPr>
            </w:pPr>
          </w:p>
        </w:tc>
        <w:tc>
          <w:tcPr>
            <w:tcW w:w="1134" w:type="dxa"/>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年  龄</w:t>
            </w:r>
          </w:p>
        </w:tc>
        <w:tc>
          <w:tcPr>
            <w:tcW w:w="1275" w:type="dxa"/>
            <w:gridSpan w:val="2"/>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学历</w:t>
            </w:r>
          </w:p>
        </w:tc>
        <w:tc>
          <w:tcPr>
            <w:tcW w:w="2126" w:type="dxa"/>
            <w:noWrap w:val="0"/>
            <w:vAlign w:val="center"/>
          </w:tcPr>
          <w:p>
            <w:pPr>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01" w:type="dxa"/>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职  称</w:t>
            </w:r>
          </w:p>
        </w:tc>
        <w:tc>
          <w:tcPr>
            <w:tcW w:w="1596" w:type="dxa"/>
            <w:gridSpan w:val="2"/>
            <w:noWrap w:val="0"/>
            <w:vAlign w:val="center"/>
          </w:tcPr>
          <w:p>
            <w:pPr>
              <w:jc w:val="center"/>
              <w:outlineLvl w:val="9"/>
              <w:rPr>
                <w:rFonts w:hint="eastAsia" w:ascii="宋体" w:hAnsi="宋体" w:eastAsia="宋体" w:cs="宋体"/>
                <w:sz w:val="28"/>
                <w:szCs w:val="28"/>
              </w:rPr>
            </w:pPr>
          </w:p>
        </w:tc>
        <w:tc>
          <w:tcPr>
            <w:tcW w:w="1134" w:type="dxa"/>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职  务</w:t>
            </w:r>
          </w:p>
        </w:tc>
        <w:tc>
          <w:tcPr>
            <w:tcW w:w="1275" w:type="dxa"/>
            <w:gridSpan w:val="2"/>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拟在本工程任职</w:t>
            </w:r>
          </w:p>
        </w:tc>
        <w:tc>
          <w:tcPr>
            <w:tcW w:w="2126" w:type="dxa"/>
            <w:noWrap w:val="0"/>
            <w:vAlign w:val="center"/>
          </w:tcPr>
          <w:p>
            <w:pPr>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5" w:type="dxa"/>
            <w:gridSpan w:val="9"/>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gridSpan w:val="2"/>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时  间</w:t>
            </w:r>
          </w:p>
        </w:tc>
        <w:tc>
          <w:tcPr>
            <w:tcW w:w="3444" w:type="dxa"/>
            <w:gridSpan w:val="3"/>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参加过的类似项目名称</w:t>
            </w:r>
          </w:p>
        </w:tc>
        <w:tc>
          <w:tcPr>
            <w:tcW w:w="1843" w:type="dxa"/>
            <w:gridSpan w:val="2"/>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工程概况说明</w:t>
            </w:r>
          </w:p>
        </w:tc>
        <w:tc>
          <w:tcPr>
            <w:tcW w:w="2633" w:type="dxa"/>
            <w:gridSpan w:val="2"/>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pPr>
              <w:jc w:val="center"/>
              <w:outlineLvl w:val="9"/>
              <w:rPr>
                <w:rFonts w:hint="eastAsia" w:ascii="宋体" w:hAnsi="宋体" w:eastAsia="宋体" w:cs="宋体"/>
                <w:sz w:val="28"/>
                <w:szCs w:val="28"/>
              </w:rPr>
            </w:pPr>
          </w:p>
        </w:tc>
        <w:tc>
          <w:tcPr>
            <w:tcW w:w="3444" w:type="dxa"/>
            <w:gridSpan w:val="3"/>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p>
        </w:tc>
        <w:tc>
          <w:tcPr>
            <w:tcW w:w="2633" w:type="dxa"/>
            <w:gridSpan w:val="2"/>
            <w:noWrap w:val="0"/>
            <w:vAlign w:val="center"/>
          </w:tcPr>
          <w:p>
            <w:pPr>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pPr>
              <w:jc w:val="center"/>
              <w:outlineLvl w:val="9"/>
              <w:rPr>
                <w:rFonts w:hint="eastAsia" w:ascii="宋体" w:hAnsi="宋体" w:eastAsia="宋体" w:cs="宋体"/>
                <w:sz w:val="28"/>
                <w:szCs w:val="28"/>
              </w:rPr>
            </w:pPr>
          </w:p>
        </w:tc>
        <w:tc>
          <w:tcPr>
            <w:tcW w:w="3444" w:type="dxa"/>
            <w:gridSpan w:val="3"/>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p>
        </w:tc>
        <w:tc>
          <w:tcPr>
            <w:tcW w:w="2633" w:type="dxa"/>
            <w:gridSpan w:val="2"/>
            <w:noWrap w:val="0"/>
            <w:vAlign w:val="center"/>
          </w:tcPr>
          <w:p>
            <w:pPr>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pPr>
              <w:jc w:val="both"/>
              <w:outlineLvl w:val="9"/>
              <w:rPr>
                <w:rFonts w:hint="eastAsia" w:ascii="宋体" w:hAnsi="宋体" w:eastAsia="宋体" w:cs="宋体"/>
                <w:sz w:val="28"/>
                <w:szCs w:val="28"/>
              </w:rPr>
            </w:pPr>
          </w:p>
        </w:tc>
        <w:tc>
          <w:tcPr>
            <w:tcW w:w="3444" w:type="dxa"/>
            <w:gridSpan w:val="3"/>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p>
        </w:tc>
        <w:tc>
          <w:tcPr>
            <w:tcW w:w="2633" w:type="dxa"/>
            <w:gridSpan w:val="2"/>
            <w:noWrap w:val="0"/>
            <w:vAlign w:val="center"/>
          </w:tcPr>
          <w:p>
            <w:pPr>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pPr>
              <w:jc w:val="both"/>
              <w:outlineLvl w:val="9"/>
              <w:rPr>
                <w:rFonts w:hint="eastAsia" w:ascii="宋体" w:hAnsi="宋体" w:eastAsia="宋体" w:cs="宋体"/>
                <w:sz w:val="28"/>
                <w:szCs w:val="28"/>
              </w:rPr>
            </w:pPr>
          </w:p>
        </w:tc>
        <w:tc>
          <w:tcPr>
            <w:tcW w:w="3444" w:type="dxa"/>
            <w:gridSpan w:val="3"/>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p>
        </w:tc>
        <w:tc>
          <w:tcPr>
            <w:tcW w:w="2633" w:type="dxa"/>
            <w:gridSpan w:val="2"/>
            <w:noWrap w:val="0"/>
            <w:vAlign w:val="center"/>
          </w:tcPr>
          <w:p>
            <w:pPr>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pPr>
              <w:jc w:val="both"/>
              <w:outlineLvl w:val="9"/>
              <w:rPr>
                <w:rFonts w:hint="eastAsia" w:ascii="宋体" w:hAnsi="宋体" w:eastAsia="宋体" w:cs="宋体"/>
                <w:sz w:val="28"/>
                <w:szCs w:val="28"/>
              </w:rPr>
            </w:pPr>
          </w:p>
        </w:tc>
        <w:tc>
          <w:tcPr>
            <w:tcW w:w="3444" w:type="dxa"/>
            <w:gridSpan w:val="3"/>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p>
        </w:tc>
        <w:tc>
          <w:tcPr>
            <w:tcW w:w="2633" w:type="dxa"/>
            <w:gridSpan w:val="2"/>
            <w:noWrap w:val="0"/>
            <w:vAlign w:val="center"/>
          </w:tcPr>
          <w:p>
            <w:pPr>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pPr>
              <w:jc w:val="both"/>
              <w:outlineLvl w:val="9"/>
              <w:rPr>
                <w:rFonts w:hint="eastAsia" w:ascii="宋体" w:hAnsi="宋体" w:eastAsia="宋体" w:cs="宋体"/>
                <w:sz w:val="28"/>
                <w:szCs w:val="28"/>
              </w:rPr>
            </w:pPr>
          </w:p>
        </w:tc>
        <w:tc>
          <w:tcPr>
            <w:tcW w:w="3444" w:type="dxa"/>
            <w:gridSpan w:val="3"/>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p>
        </w:tc>
        <w:tc>
          <w:tcPr>
            <w:tcW w:w="2633" w:type="dxa"/>
            <w:gridSpan w:val="2"/>
            <w:noWrap w:val="0"/>
            <w:vAlign w:val="center"/>
          </w:tcPr>
          <w:p>
            <w:pPr>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pPr>
              <w:jc w:val="both"/>
              <w:outlineLvl w:val="9"/>
              <w:rPr>
                <w:rFonts w:hint="eastAsia" w:ascii="宋体" w:hAnsi="宋体" w:eastAsia="宋体" w:cs="宋体"/>
                <w:sz w:val="28"/>
                <w:szCs w:val="28"/>
              </w:rPr>
            </w:pPr>
          </w:p>
        </w:tc>
        <w:tc>
          <w:tcPr>
            <w:tcW w:w="3444" w:type="dxa"/>
            <w:gridSpan w:val="3"/>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p>
        </w:tc>
        <w:tc>
          <w:tcPr>
            <w:tcW w:w="2633" w:type="dxa"/>
            <w:gridSpan w:val="2"/>
            <w:noWrap w:val="0"/>
            <w:vAlign w:val="center"/>
          </w:tcPr>
          <w:p>
            <w:pPr>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pPr>
              <w:jc w:val="both"/>
              <w:outlineLvl w:val="9"/>
              <w:rPr>
                <w:rFonts w:hint="eastAsia" w:ascii="宋体" w:hAnsi="宋体" w:eastAsia="宋体" w:cs="宋体"/>
                <w:sz w:val="28"/>
                <w:szCs w:val="28"/>
              </w:rPr>
            </w:pPr>
          </w:p>
        </w:tc>
        <w:tc>
          <w:tcPr>
            <w:tcW w:w="3444" w:type="dxa"/>
            <w:gridSpan w:val="3"/>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p>
        </w:tc>
        <w:tc>
          <w:tcPr>
            <w:tcW w:w="2633" w:type="dxa"/>
            <w:gridSpan w:val="2"/>
            <w:noWrap w:val="0"/>
            <w:vAlign w:val="center"/>
          </w:tcPr>
          <w:p>
            <w:pPr>
              <w:jc w:val="center"/>
              <w:outlineLvl w:val="9"/>
              <w:rPr>
                <w:rFonts w:hint="eastAsia" w:ascii="宋体" w:hAnsi="宋体" w:eastAsia="宋体" w:cs="宋体"/>
                <w:sz w:val="28"/>
                <w:szCs w:val="28"/>
              </w:rPr>
            </w:pPr>
          </w:p>
        </w:tc>
      </w:tr>
    </w:tbl>
    <w:p>
      <w:pPr>
        <w:pStyle w:val="2"/>
        <w:bidi w:val="0"/>
        <w:ind w:left="0" w:leftChars="0" w:firstLine="0" w:firstLineChars="0"/>
        <w:rPr>
          <w:rFonts w:hint="eastAsia"/>
          <w:i w:val="0"/>
          <w:iCs w:val="0"/>
          <w:color w:val="auto"/>
          <w:lang w:val="en-US" w:eastAsia="zh-CN"/>
        </w:rPr>
      </w:pPr>
    </w:p>
    <w:p>
      <w:pPr>
        <w:rPr>
          <w:rFonts w:hint="eastAsia"/>
          <w:i w:val="0"/>
          <w:iCs w:val="0"/>
          <w:color w:val="auto"/>
          <w:lang w:val="en-US" w:eastAsia="zh-CN"/>
        </w:rPr>
      </w:pPr>
    </w:p>
    <w:p>
      <w:pPr>
        <w:pStyle w:val="9"/>
        <w:ind w:left="0" w:leftChars="0" w:firstLine="0" w:firstLineChars="0"/>
        <w:rPr>
          <w:b/>
          <w:i w:val="0"/>
          <w:iCs w:val="0"/>
          <w:sz w:val="23"/>
        </w:rPr>
      </w:pPr>
    </w:p>
    <w:p>
      <w:pPr>
        <w:pStyle w:val="9"/>
        <w:ind w:left="0" w:leftChars="0" w:firstLine="0" w:firstLineChars="0"/>
        <w:rPr>
          <w:b/>
          <w:i w:val="0"/>
          <w:iCs w:val="0"/>
          <w:sz w:val="23"/>
        </w:rPr>
      </w:pPr>
    </w:p>
    <w:p>
      <w:pPr>
        <w:pStyle w:val="9"/>
        <w:ind w:left="0" w:leftChars="0" w:firstLine="0" w:firstLineChars="0"/>
        <w:rPr>
          <w:b/>
          <w:i w:val="0"/>
          <w:iCs w:val="0"/>
          <w:sz w:val="23"/>
        </w:rPr>
      </w:pPr>
    </w:p>
    <w:p>
      <w:pPr>
        <w:pStyle w:val="9"/>
        <w:ind w:left="0" w:leftChars="0" w:firstLine="0" w:firstLineChars="0"/>
        <w:rPr>
          <w:b/>
          <w:i w:val="0"/>
          <w:iCs w:val="0"/>
          <w:sz w:val="23"/>
        </w:rPr>
      </w:pPr>
    </w:p>
    <w:p>
      <w:pPr>
        <w:pStyle w:val="9"/>
        <w:ind w:left="0" w:leftChars="0" w:firstLine="0" w:firstLineChars="0"/>
        <w:rPr>
          <w:b/>
          <w:i w:val="0"/>
          <w:iCs w:val="0"/>
          <w:sz w:val="23"/>
        </w:rPr>
      </w:pPr>
    </w:p>
    <w:p>
      <w:pPr>
        <w:pStyle w:val="9"/>
        <w:ind w:left="0" w:leftChars="0" w:firstLine="0" w:firstLineChars="0"/>
        <w:rPr>
          <w:b/>
          <w:i w:val="0"/>
          <w:iCs w:val="0"/>
          <w:sz w:val="23"/>
        </w:rPr>
      </w:pPr>
    </w:p>
    <w:p>
      <w:pPr>
        <w:pStyle w:val="9"/>
        <w:ind w:left="0" w:leftChars="0" w:firstLine="0" w:firstLineChars="0"/>
        <w:rPr>
          <w:b/>
          <w:i w:val="0"/>
          <w:iCs w:val="0"/>
          <w:sz w:val="23"/>
        </w:rPr>
      </w:pPr>
    </w:p>
    <w:p>
      <w:pPr>
        <w:pStyle w:val="9"/>
        <w:ind w:left="0" w:leftChars="0" w:firstLine="0" w:firstLineChars="0"/>
        <w:rPr>
          <w:b/>
          <w:i w:val="0"/>
          <w:iCs w:val="0"/>
          <w:sz w:val="23"/>
        </w:rPr>
      </w:pPr>
    </w:p>
    <w:p>
      <w:pPr>
        <w:pStyle w:val="9"/>
        <w:ind w:left="0" w:leftChars="0" w:firstLine="0" w:firstLineChars="0"/>
        <w:rPr>
          <w:b/>
          <w:i w:val="0"/>
          <w:iCs w:val="0"/>
          <w:sz w:val="23"/>
        </w:rPr>
      </w:pPr>
    </w:p>
    <w:p>
      <w:pPr>
        <w:pStyle w:val="9"/>
        <w:ind w:left="0" w:leftChars="0" w:firstLine="0" w:firstLineChars="0"/>
        <w:rPr>
          <w:b/>
          <w:i w:val="0"/>
          <w:iCs w:val="0"/>
          <w:sz w:val="23"/>
        </w:rPr>
      </w:pPr>
    </w:p>
    <w:p>
      <w:pPr>
        <w:pStyle w:val="37"/>
        <w:numPr>
          <w:ilvl w:val="0"/>
          <w:numId w:val="0"/>
        </w:numPr>
        <w:tabs>
          <w:tab w:val="left" w:pos="574"/>
        </w:tabs>
        <w:spacing w:before="74"/>
        <w:ind w:left="211" w:leftChars="0"/>
        <w:rPr>
          <w:b/>
          <w:i w:val="0"/>
          <w:iCs w:val="0"/>
          <w:sz w:val="24"/>
        </w:rPr>
      </w:pPr>
      <w:r>
        <w:rPr>
          <w:rFonts w:hint="eastAsia"/>
          <w:b/>
          <w:i w:val="0"/>
          <w:iCs w:val="0"/>
          <w:sz w:val="24"/>
          <w:lang w:eastAsia="zh-CN"/>
        </w:rPr>
        <w:t>（</w:t>
      </w:r>
      <w:r>
        <w:rPr>
          <w:rFonts w:hint="eastAsia"/>
          <w:b/>
          <w:i w:val="0"/>
          <w:iCs w:val="0"/>
          <w:sz w:val="24"/>
          <w:lang w:val="en-US" w:eastAsia="zh-CN"/>
        </w:rPr>
        <w:t>二</w:t>
      </w:r>
      <w:r>
        <w:rPr>
          <w:rFonts w:hint="eastAsia"/>
          <w:b/>
          <w:i w:val="0"/>
          <w:iCs w:val="0"/>
          <w:sz w:val="24"/>
          <w:lang w:eastAsia="zh-CN"/>
        </w:rPr>
        <w:t>）</w:t>
      </w:r>
      <w:r>
        <w:rPr>
          <w:b/>
          <w:i w:val="0"/>
          <w:iCs w:val="0"/>
          <w:sz w:val="24"/>
        </w:rPr>
        <w:t>项目管理机构组成表</w:t>
      </w:r>
    </w:p>
    <w:p>
      <w:pPr>
        <w:pStyle w:val="9"/>
        <w:spacing w:before="5"/>
        <w:rPr>
          <w:b/>
          <w:i w:val="0"/>
          <w:iCs w:val="0"/>
          <w:sz w:val="27"/>
        </w:rPr>
      </w:pPr>
    </w:p>
    <w:p>
      <w:pPr>
        <w:spacing w:before="66"/>
        <w:ind w:left="183" w:right="222"/>
        <w:jc w:val="center"/>
        <w:rPr>
          <w:b/>
          <w:i w:val="0"/>
          <w:iCs w:val="0"/>
          <w:sz w:val="24"/>
        </w:rPr>
      </w:pPr>
      <w:r>
        <w:rPr>
          <w:b/>
          <w:i w:val="0"/>
          <w:iCs w:val="0"/>
          <w:sz w:val="24"/>
        </w:rPr>
        <w:t>拟投入本次项目人员汇总表</w:t>
      </w:r>
    </w:p>
    <w:p>
      <w:pPr>
        <w:pStyle w:val="9"/>
        <w:spacing w:before="11" w:after="1"/>
        <w:rPr>
          <w:b/>
          <w:i w:val="0"/>
          <w:iCs w:val="0"/>
          <w:sz w:val="21"/>
        </w:rPr>
      </w:pPr>
    </w:p>
    <w:tbl>
      <w:tblPr>
        <w:tblStyle w:val="22"/>
        <w:tblW w:w="9458" w:type="dxa"/>
        <w:tblInd w:w="3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708"/>
        <w:gridCol w:w="711"/>
        <w:gridCol w:w="1135"/>
        <w:gridCol w:w="852"/>
        <w:gridCol w:w="800"/>
        <w:gridCol w:w="1289"/>
        <w:gridCol w:w="133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63" w:type="dxa"/>
            <w:vMerge w:val="restart"/>
          </w:tcPr>
          <w:p>
            <w:pPr>
              <w:pStyle w:val="47"/>
              <w:rPr>
                <w:b/>
                <w:i w:val="0"/>
                <w:iCs w:val="0"/>
                <w:sz w:val="24"/>
              </w:rPr>
            </w:pPr>
          </w:p>
          <w:p>
            <w:pPr>
              <w:pStyle w:val="47"/>
              <w:spacing w:before="7"/>
              <w:rPr>
                <w:b/>
                <w:i w:val="0"/>
                <w:iCs w:val="0"/>
                <w:sz w:val="20"/>
              </w:rPr>
            </w:pPr>
          </w:p>
          <w:p>
            <w:pPr>
              <w:pStyle w:val="47"/>
              <w:ind w:left="127" w:right="120"/>
              <w:jc w:val="center"/>
              <w:rPr>
                <w:i w:val="0"/>
                <w:iCs w:val="0"/>
                <w:sz w:val="24"/>
              </w:rPr>
            </w:pPr>
            <w:r>
              <w:rPr>
                <w:i w:val="0"/>
                <w:iCs w:val="0"/>
                <w:sz w:val="24"/>
              </w:rPr>
              <w:t>职务</w:t>
            </w:r>
          </w:p>
        </w:tc>
        <w:tc>
          <w:tcPr>
            <w:tcW w:w="708" w:type="dxa"/>
            <w:vMerge w:val="restart"/>
          </w:tcPr>
          <w:p>
            <w:pPr>
              <w:pStyle w:val="47"/>
              <w:rPr>
                <w:b/>
                <w:i w:val="0"/>
                <w:iCs w:val="0"/>
                <w:sz w:val="24"/>
              </w:rPr>
            </w:pPr>
          </w:p>
          <w:p>
            <w:pPr>
              <w:pStyle w:val="47"/>
              <w:spacing w:before="7"/>
              <w:rPr>
                <w:b/>
                <w:i w:val="0"/>
                <w:iCs w:val="0"/>
                <w:sz w:val="20"/>
              </w:rPr>
            </w:pPr>
          </w:p>
          <w:p>
            <w:pPr>
              <w:pStyle w:val="47"/>
              <w:ind w:left="112"/>
              <w:rPr>
                <w:i w:val="0"/>
                <w:iCs w:val="0"/>
                <w:sz w:val="24"/>
              </w:rPr>
            </w:pPr>
            <w:r>
              <w:rPr>
                <w:i w:val="0"/>
                <w:iCs w:val="0"/>
                <w:sz w:val="24"/>
              </w:rPr>
              <w:t>姓名</w:t>
            </w:r>
          </w:p>
        </w:tc>
        <w:tc>
          <w:tcPr>
            <w:tcW w:w="711" w:type="dxa"/>
            <w:vMerge w:val="restart"/>
          </w:tcPr>
          <w:p>
            <w:pPr>
              <w:pStyle w:val="47"/>
              <w:rPr>
                <w:b/>
                <w:i w:val="0"/>
                <w:iCs w:val="0"/>
                <w:sz w:val="24"/>
              </w:rPr>
            </w:pPr>
          </w:p>
          <w:p>
            <w:pPr>
              <w:pStyle w:val="47"/>
              <w:spacing w:before="7"/>
              <w:rPr>
                <w:b/>
                <w:i w:val="0"/>
                <w:iCs w:val="0"/>
                <w:sz w:val="20"/>
              </w:rPr>
            </w:pPr>
          </w:p>
          <w:p>
            <w:pPr>
              <w:pStyle w:val="47"/>
              <w:ind w:left="117"/>
              <w:rPr>
                <w:i w:val="0"/>
                <w:iCs w:val="0"/>
                <w:sz w:val="24"/>
              </w:rPr>
            </w:pPr>
            <w:r>
              <w:rPr>
                <w:i w:val="0"/>
                <w:iCs w:val="0"/>
                <w:sz w:val="24"/>
              </w:rPr>
              <w:t>职称</w:t>
            </w:r>
          </w:p>
        </w:tc>
        <w:tc>
          <w:tcPr>
            <w:tcW w:w="5406" w:type="dxa"/>
            <w:gridSpan w:val="5"/>
          </w:tcPr>
          <w:p>
            <w:pPr>
              <w:pStyle w:val="47"/>
              <w:spacing w:before="204"/>
              <w:ind w:left="1622"/>
              <w:rPr>
                <w:i w:val="0"/>
                <w:iCs w:val="0"/>
                <w:sz w:val="24"/>
              </w:rPr>
            </w:pPr>
            <w:r>
              <w:rPr>
                <w:i w:val="0"/>
                <w:iCs w:val="0"/>
                <w:sz w:val="24"/>
              </w:rPr>
              <w:t>执业或职业资格证明</w:t>
            </w:r>
          </w:p>
        </w:tc>
        <w:tc>
          <w:tcPr>
            <w:tcW w:w="1070" w:type="dxa"/>
            <w:vMerge w:val="restart"/>
          </w:tcPr>
          <w:p>
            <w:pPr>
              <w:pStyle w:val="47"/>
              <w:rPr>
                <w:b/>
                <w:i w:val="0"/>
                <w:iCs w:val="0"/>
                <w:sz w:val="24"/>
              </w:rPr>
            </w:pPr>
          </w:p>
          <w:p>
            <w:pPr>
              <w:pStyle w:val="47"/>
              <w:spacing w:before="7"/>
              <w:rPr>
                <w:b/>
                <w:i w:val="0"/>
                <w:iCs w:val="0"/>
                <w:sz w:val="20"/>
              </w:rPr>
            </w:pPr>
          </w:p>
          <w:p>
            <w:pPr>
              <w:pStyle w:val="47"/>
              <w:ind w:left="296"/>
              <w:rPr>
                <w:i w:val="0"/>
                <w:iCs w:val="0"/>
                <w:sz w:val="24"/>
              </w:rPr>
            </w:pPr>
            <w:r>
              <w:rPr>
                <w:i w:val="0"/>
                <w:iCs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563" w:type="dxa"/>
            <w:vMerge w:val="continue"/>
            <w:tcBorders>
              <w:top w:val="nil"/>
            </w:tcBorders>
          </w:tcPr>
          <w:p>
            <w:pPr>
              <w:rPr>
                <w:i w:val="0"/>
                <w:iCs w:val="0"/>
                <w:sz w:val="2"/>
                <w:szCs w:val="2"/>
              </w:rPr>
            </w:pPr>
          </w:p>
        </w:tc>
        <w:tc>
          <w:tcPr>
            <w:tcW w:w="708" w:type="dxa"/>
            <w:vMerge w:val="continue"/>
            <w:tcBorders>
              <w:top w:val="nil"/>
            </w:tcBorders>
          </w:tcPr>
          <w:p>
            <w:pPr>
              <w:rPr>
                <w:i w:val="0"/>
                <w:iCs w:val="0"/>
                <w:sz w:val="2"/>
                <w:szCs w:val="2"/>
              </w:rPr>
            </w:pPr>
          </w:p>
        </w:tc>
        <w:tc>
          <w:tcPr>
            <w:tcW w:w="711" w:type="dxa"/>
            <w:vMerge w:val="continue"/>
            <w:tcBorders>
              <w:top w:val="nil"/>
            </w:tcBorders>
          </w:tcPr>
          <w:p>
            <w:pPr>
              <w:rPr>
                <w:i w:val="0"/>
                <w:iCs w:val="0"/>
                <w:sz w:val="2"/>
                <w:szCs w:val="2"/>
              </w:rPr>
            </w:pPr>
          </w:p>
        </w:tc>
        <w:tc>
          <w:tcPr>
            <w:tcW w:w="1135" w:type="dxa"/>
          </w:tcPr>
          <w:p>
            <w:pPr>
              <w:pStyle w:val="47"/>
              <w:spacing w:before="50" w:line="244" w:lineRule="auto"/>
              <w:ind w:left="326" w:right="318"/>
              <w:rPr>
                <w:i w:val="0"/>
                <w:iCs w:val="0"/>
                <w:sz w:val="24"/>
              </w:rPr>
            </w:pPr>
            <w:r>
              <w:rPr>
                <w:i w:val="0"/>
                <w:iCs w:val="0"/>
                <w:sz w:val="24"/>
              </w:rPr>
              <w:t>证书名称</w:t>
            </w:r>
          </w:p>
        </w:tc>
        <w:tc>
          <w:tcPr>
            <w:tcW w:w="852" w:type="dxa"/>
          </w:tcPr>
          <w:p>
            <w:pPr>
              <w:pStyle w:val="47"/>
              <w:spacing w:before="207"/>
              <w:ind w:left="187"/>
              <w:rPr>
                <w:i w:val="0"/>
                <w:iCs w:val="0"/>
                <w:sz w:val="24"/>
              </w:rPr>
            </w:pPr>
            <w:r>
              <w:rPr>
                <w:i w:val="0"/>
                <w:iCs w:val="0"/>
                <w:sz w:val="24"/>
              </w:rPr>
              <w:t>级别</w:t>
            </w:r>
          </w:p>
        </w:tc>
        <w:tc>
          <w:tcPr>
            <w:tcW w:w="800" w:type="dxa"/>
          </w:tcPr>
          <w:p>
            <w:pPr>
              <w:pStyle w:val="47"/>
              <w:spacing w:before="207"/>
              <w:ind w:left="160"/>
              <w:rPr>
                <w:i w:val="0"/>
                <w:iCs w:val="0"/>
                <w:sz w:val="24"/>
              </w:rPr>
            </w:pPr>
            <w:r>
              <w:rPr>
                <w:i w:val="0"/>
                <w:iCs w:val="0"/>
                <w:sz w:val="24"/>
              </w:rPr>
              <w:t>证号</w:t>
            </w:r>
          </w:p>
        </w:tc>
        <w:tc>
          <w:tcPr>
            <w:tcW w:w="1289" w:type="dxa"/>
          </w:tcPr>
          <w:p>
            <w:pPr>
              <w:pStyle w:val="47"/>
              <w:spacing w:before="207"/>
              <w:ind w:left="405"/>
              <w:rPr>
                <w:i w:val="0"/>
                <w:iCs w:val="0"/>
                <w:sz w:val="24"/>
              </w:rPr>
            </w:pPr>
            <w:r>
              <w:rPr>
                <w:i w:val="0"/>
                <w:iCs w:val="0"/>
                <w:sz w:val="24"/>
              </w:rPr>
              <w:t>专业</w:t>
            </w:r>
          </w:p>
        </w:tc>
        <w:tc>
          <w:tcPr>
            <w:tcW w:w="1330" w:type="dxa"/>
          </w:tcPr>
          <w:p>
            <w:pPr>
              <w:pStyle w:val="47"/>
              <w:spacing w:before="207"/>
              <w:ind w:left="183"/>
              <w:rPr>
                <w:i w:val="0"/>
                <w:iCs w:val="0"/>
                <w:sz w:val="24"/>
              </w:rPr>
            </w:pPr>
            <w:r>
              <w:rPr>
                <w:i w:val="0"/>
                <w:iCs w:val="0"/>
                <w:sz w:val="24"/>
              </w:rPr>
              <w:t>养老保险</w:t>
            </w:r>
          </w:p>
        </w:tc>
        <w:tc>
          <w:tcPr>
            <w:tcW w:w="1070" w:type="dxa"/>
            <w:vMerge w:val="continue"/>
            <w:tcBorders>
              <w:top w:val="nil"/>
            </w:tcBorders>
          </w:tcPr>
          <w:p>
            <w:pPr>
              <w:rPr>
                <w:i w:val="0"/>
                <w:iCs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9458" w:type="dxa"/>
            <w:gridSpan w:val="9"/>
          </w:tcPr>
          <w:p>
            <w:pPr>
              <w:pStyle w:val="47"/>
              <w:spacing w:before="38"/>
              <w:ind w:left="3985" w:right="3976"/>
              <w:jc w:val="center"/>
              <w:rPr>
                <w:b/>
                <w:i w:val="0"/>
                <w:iCs w:val="0"/>
                <w:sz w:val="24"/>
              </w:rPr>
            </w:pPr>
            <w:r>
              <w:rPr>
                <w:b/>
                <w:i w:val="0"/>
                <w:iCs w:val="0"/>
                <w:sz w:val="24"/>
              </w:rPr>
              <w:t>主要管理人员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47"/>
              <w:spacing w:before="92"/>
              <w:ind w:left="130" w:right="120"/>
              <w:jc w:val="center"/>
              <w:rPr>
                <w:i w:val="0"/>
                <w:iCs w:val="0"/>
                <w:sz w:val="21"/>
              </w:rPr>
            </w:pPr>
            <w:r>
              <w:rPr>
                <w:i w:val="0"/>
                <w:iCs w:val="0"/>
                <w:sz w:val="21"/>
              </w:rPr>
              <w:t>项目负责人</w:t>
            </w:r>
          </w:p>
        </w:tc>
        <w:tc>
          <w:tcPr>
            <w:tcW w:w="708" w:type="dxa"/>
          </w:tcPr>
          <w:p>
            <w:pPr>
              <w:pStyle w:val="47"/>
              <w:rPr>
                <w:rFonts w:ascii="Times New Roman"/>
                <w:i w:val="0"/>
                <w:iCs w:val="0"/>
              </w:rPr>
            </w:pPr>
          </w:p>
        </w:tc>
        <w:tc>
          <w:tcPr>
            <w:tcW w:w="711" w:type="dxa"/>
          </w:tcPr>
          <w:p>
            <w:pPr>
              <w:pStyle w:val="47"/>
              <w:rPr>
                <w:rFonts w:ascii="Times New Roman"/>
                <w:i w:val="0"/>
                <w:iCs w:val="0"/>
              </w:rPr>
            </w:pPr>
          </w:p>
        </w:tc>
        <w:tc>
          <w:tcPr>
            <w:tcW w:w="1135" w:type="dxa"/>
          </w:tcPr>
          <w:p>
            <w:pPr>
              <w:pStyle w:val="47"/>
              <w:rPr>
                <w:rFonts w:ascii="Times New Roman"/>
                <w:i w:val="0"/>
                <w:iCs w:val="0"/>
              </w:rPr>
            </w:pPr>
          </w:p>
        </w:tc>
        <w:tc>
          <w:tcPr>
            <w:tcW w:w="852" w:type="dxa"/>
          </w:tcPr>
          <w:p>
            <w:pPr>
              <w:pStyle w:val="47"/>
              <w:rPr>
                <w:rFonts w:ascii="Times New Roman"/>
                <w:i w:val="0"/>
                <w:iCs w:val="0"/>
              </w:rPr>
            </w:pPr>
          </w:p>
        </w:tc>
        <w:tc>
          <w:tcPr>
            <w:tcW w:w="800" w:type="dxa"/>
          </w:tcPr>
          <w:p>
            <w:pPr>
              <w:pStyle w:val="47"/>
              <w:rPr>
                <w:rFonts w:ascii="Times New Roman"/>
                <w:i w:val="0"/>
                <w:iCs w:val="0"/>
              </w:rPr>
            </w:pPr>
          </w:p>
        </w:tc>
        <w:tc>
          <w:tcPr>
            <w:tcW w:w="1289" w:type="dxa"/>
          </w:tcPr>
          <w:p>
            <w:pPr>
              <w:pStyle w:val="47"/>
              <w:rPr>
                <w:rFonts w:ascii="Times New Roman"/>
                <w:i w:val="0"/>
                <w:iCs w:val="0"/>
              </w:rPr>
            </w:pPr>
          </w:p>
        </w:tc>
        <w:tc>
          <w:tcPr>
            <w:tcW w:w="1330" w:type="dxa"/>
          </w:tcPr>
          <w:p>
            <w:pPr>
              <w:pStyle w:val="47"/>
              <w:rPr>
                <w:rFonts w:ascii="Times New Roman"/>
                <w:i w:val="0"/>
                <w:iCs w:val="0"/>
              </w:rPr>
            </w:pPr>
          </w:p>
        </w:tc>
        <w:tc>
          <w:tcPr>
            <w:tcW w:w="1070" w:type="dxa"/>
          </w:tcPr>
          <w:p>
            <w:pPr>
              <w:pStyle w:val="47"/>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47"/>
              <w:rPr>
                <w:rFonts w:ascii="Times New Roman"/>
                <w:i w:val="0"/>
                <w:iCs w:val="0"/>
              </w:rPr>
            </w:pPr>
          </w:p>
        </w:tc>
        <w:tc>
          <w:tcPr>
            <w:tcW w:w="708" w:type="dxa"/>
          </w:tcPr>
          <w:p>
            <w:pPr>
              <w:pStyle w:val="47"/>
              <w:rPr>
                <w:rFonts w:ascii="Times New Roman"/>
                <w:i w:val="0"/>
                <w:iCs w:val="0"/>
              </w:rPr>
            </w:pPr>
          </w:p>
        </w:tc>
        <w:tc>
          <w:tcPr>
            <w:tcW w:w="711" w:type="dxa"/>
          </w:tcPr>
          <w:p>
            <w:pPr>
              <w:pStyle w:val="47"/>
              <w:rPr>
                <w:rFonts w:ascii="Times New Roman"/>
                <w:i w:val="0"/>
                <w:iCs w:val="0"/>
              </w:rPr>
            </w:pPr>
          </w:p>
        </w:tc>
        <w:tc>
          <w:tcPr>
            <w:tcW w:w="1135" w:type="dxa"/>
          </w:tcPr>
          <w:p>
            <w:pPr>
              <w:pStyle w:val="47"/>
              <w:rPr>
                <w:rFonts w:ascii="Times New Roman"/>
                <w:i w:val="0"/>
                <w:iCs w:val="0"/>
              </w:rPr>
            </w:pPr>
          </w:p>
        </w:tc>
        <w:tc>
          <w:tcPr>
            <w:tcW w:w="852" w:type="dxa"/>
          </w:tcPr>
          <w:p>
            <w:pPr>
              <w:pStyle w:val="47"/>
              <w:rPr>
                <w:rFonts w:ascii="Times New Roman"/>
                <w:i w:val="0"/>
                <w:iCs w:val="0"/>
              </w:rPr>
            </w:pPr>
          </w:p>
        </w:tc>
        <w:tc>
          <w:tcPr>
            <w:tcW w:w="800" w:type="dxa"/>
          </w:tcPr>
          <w:p>
            <w:pPr>
              <w:pStyle w:val="47"/>
              <w:rPr>
                <w:rFonts w:ascii="Times New Roman"/>
                <w:i w:val="0"/>
                <w:iCs w:val="0"/>
              </w:rPr>
            </w:pPr>
          </w:p>
        </w:tc>
        <w:tc>
          <w:tcPr>
            <w:tcW w:w="1289" w:type="dxa"/>
          </w:tcPr>
          <w:p>
            <w:pPr>
              <w:pStyle w:val="47"/>
              <w:rPr>
                <w:rFonts w:ascii="Times New Roman"/>
                <w:i w:val="0"/>
                <w:iCs w:val="0"/>
              </w:rPr>
            </w:pPr>
          </w:p>
        </w:tc>
        <w:tc>
          <w:tcPr>
            <w:tcW w:w="1330" w:type="dxa"/>
          </w:tcPr>
          <w:p>
            <w:pPr>
              <w:pStyle w:val="47"/>
              <w:rPr>
                <w:rFonts w:ascii="Times New Roman"/>
                <w:i w:val="0"/>
                <w:iCs w:val="0"/>
              </w:rPr>
            </w:pPr>
          </w:p>
        </w:tc>
        <w:tc>
          <w:tcPr>
            <w:tcW w:w="1070" w:type="dxa"/>
          </w:tcPr>
          <w:p>
            <w:pPr>
              <w:pStyle w:val="47"/>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47"/>
              <w:rPr>
                <w:rFonts w:ascii="Times New Roman"/>
                <w:i w:val="0"/>
                <w:iCs w:val="0"/>
              </w:rPr>
            </w:pPr>
          </w:p>
        </w:tc>
        <w:tc>
          <w:tcPr>
            <w:tcW w:w="708" w:type="dxa"/>
          </w:tcPr>
          <w:p>
            <w:pPr>
              <w:pStyle w:val="47"/>
              <w:rPr>
                <w:rFonts w:ascii="Times New Roman"/>
                <w:i w:val="0"/>
                <w:iCs w:val="0"/>
              </w:rPr>
            </w:pPr>
          </w:p>
        </w:tc>
        <w:tc>
          <w:tcPr>
            <w:tcW w:w="711" w:type="dxa"/>
          </w:tcPr>
          <w:p>
            <w:pPr>
              <w:pStyle w:val="47"/>
              <w:rPr>
                <w:rFonts w:ascii="Times New Roman"/>
                <w:i w:val="0"/>
                <w:iCs w:val="0"/>
              </w:rPr>
            </w:pPr>
          </w:p>
        </w:tc>
        <w:tc>
          <w:tcPr>
            <w:tcW w:w="1135" w:type="dxa"/>
          </w:tcPr>
          <w:p>
            <w:pPr>
              <w:pStyle w:val="47"/>
              <w:rPr>
                <w:rFonts w:ascii="Times New Roman"/>
                <w:i w:val="0"/>
                <w:iCs w:val="0"/>
              </w:rPr>
            </w:pPr>
          </w:p>
        </w:tc>
        <w:tc>
          <w:tcPr>
            <w:tcW w:w="852" w:type="dxa"/>
          </w:tcPr>
          <w:p>
            <w:pPr>
              <w:pStyle w:val="47"/>
              <w:rPr>
                <w:rFonts w:ascii="Times New Roman"/>
                <w:i w:val="0"/>
                <w:iCs w:val="0"/>
              </w:rPr>
            </w:pPr>
          </w:p>
        </w:tc>
        <w:tc>
          <w:tcPr>
            <w:tcW w:w="800" w:type="dxa"/>
          </w:tcPr>
          <w:p>
            <w:pPr>
              <w:pStyle w:val="47"/>
              <w:rPr>
                <w:rFonts w:ascii="Times New Roman"/>
                <w:i w:val="0"/>
                <w:iCs w:val="0"/>
              </w:rPr>
            </w:pPr>
          </w:p>
        </w:tc>
        <w:tc>
          <w:tcPr>
            <w:tcW w:w="1289" w:type="dxa"/>
          </w:tcPr>
          <w:p>
            <w:pPr>
              <w:pStyle w:val="47"/>
              <w:rPr>
                <w:rFonts w:ascii="Times New Roman"/>
                <w:i w:val="0"/>
                <w:iCs w:val="0"/>
              </w:rPr>
            </w:pPr>
          </w:p>
        </w:tc>
        <w:tc>
          <w:tcPr>
            <w:tcW w:w="1330" w:type="dxa"/>
          </w:tcPr>
          <w:p>
            <w:pPr>
              <w:pStyle w:val="47"/>
              <w:rPr>
                <w:rFonts w:ascii="Times New Roman"/>
                <w:i w:val="0"/>
                <w:iCs w:val="0"/>
              </w:rPr>
            </w:pPr>
          </w:p>
        </w:tc>
        <w:tc>
          <w:tcPr>
            <w:tcW w:w="1070" w:type="dxa"/>
          </w:tcPr>
          <w:p>
            <w:pPr>
              <w:pStyle w:val="47"/>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47"/>
              <w:rPr>
                <w:rFonts w:ascii="Times New Roman"/>
                <w:i w:val="0"/>
                <w:iCs w:val="0"/>
              </w:rPr>
            </w:pPr>
          </w:p>
        </w:tc>
        <w:tc>
          <w:tcPr>
            <w:tcW w:w="708" w:type="dxa"/>
          </w:tcPr>
          <w:p>
            <w:pPr>
              <w:pStyle w:val="47"/>
              <w:rPr>
                <w:rFonts w:ascii="Times New Roman"/>
                <w:i w:val="0"/>
                <w:iCs w:val="0"/>
              </w:rPr>
            </w:pPr>
          </w:p>
        </w:tc>
        <w:tc>
          <w:tcPr>
            <w:tcW w:w="711" w:type="dxa"/>
          </w:tcPr>
          <w:p>
            <w:pPr>
              <w:pStyle w:val="47"/>
              <w:rPr>
                <w:rFonts w:ascii="Times New Roman"/>
                <w:i w:val="0"/>
                <w:iCs w:val="0"/>
              </w:rPr>
            </w:pPr>
          </w:p>
        </w:tc>
        <w:tc>
          <w:tcPr>
            <w:tcW w:w="1135" w:type="dxa"/>
          </w:tcPr>
          <w:p>
            <w:pPr>
              <w:pStyle w:val="47"/>
              <w:rPr>
                <w:rFonts w:ascii="Times New Roman"/>
                <w:i w:val="0"/>
                <w:iCs w:val="0"/>
              </w:rPr>
            </w:pPr>
          </w:p>
        </w:tc>
        <w:tc>
          <w:tcPr>
            <w:tcW w:w="852" w:type="dxa"/>
          </w:tcPr>
          <w:p>
            <w:pPr>
              <w:pStyle w:val="47"/>
              <w:rPr>
                <w:rFonts w:ascii="Times New Roman"/>
                <w:i w:val="0"/>
                <w:iCs w:val="0"/>
              </w:rPr>
            </w:pPr>
          </w:p>
        </w:tc>
        <w:tc>
          <w:tcPr>
            <w:tcW w:w="800" w:type="dxa"/>
          </w:tcPr>
          <w:p>
            <w:pPr>
              <w:pStyle w:val="47"/>
              <w:rPr>
                <w:rFonts w:ascii="Times New Roman"/>
                <w:i w:val="0"/>
                <w:iCs w:val="0"/>
              </w:rPr>
            </w:pPr>
          </w:p>
        </w:tc>
        <w:tc>
          <w:tcPr>
            <w:tcW w:w="1289" w:type="dxa"/>
          </w:tcPr>
          <w:p>
            <w:pPr>
              <w:pStyle w:val="47"/>
              <w:rPr>
                <w:rFonts w:ascii="Times New Roman"/>
                <w:i w:val="0"/>
                <w:iCs w:val="0"/>
              </w:rPr>
            </w:pPr>
          </w:p>
        </w:tc>
        <w:tc>
          <w:tcPr>
            <w:tcW w:w="1330" w:type="dxa"/>
          </w:tcPr>
          <w:p>
            <w:pPr>
              <w:pStyle w:val="47"/>
              <w:rPr>
                <w:rFonts w:ascii="Times New Roman"/>
                <w:i w:val="0"/>
                <w:iCs w:val="0"/>
              </w:rPr>
            </w:pPr>
          </w:p>
        </w:tc>
        <w:tc>
          <w:tcPr>
            <w:tcW w:w="1070" w:type="dxa"/>
          </w:tcPr>
          <w:p>
            <w:pPr>
              <w:pStyle w:val="47"/>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47"/>
              <w:rPr>
                <w:rFonts w:ascii="Times New Roman"/>
                <w:i w:val="0"/>
                <w:iCs w:val="0"/>
              </w:rPr>
            </w:pPr>
          </w:p>
        </w:tc>
        <w:tc>
          <w:tcPr>
            <w:tcW w:w="708" w:type="dxa"/>
          </w:tcPr>
          <w:p>
            <w:pPr>
              <w:pStyle w:val="47"/>
              <w:rPr>
                <w:rFonts w:ascii="Times New Roman"/>
                <w:i w:val="0"/>
                <w:iCs w:val="0"/>
              </w:rPr>
            </w:pPr>
          </w:p>
        </w:tc>
        <w:tc>
          <w:tcPr>
            <w:tcW w:w="711" w:type="dxa"/>
          </w:tcPr>
          <w:p>
            <w:pPr>
              <w:pStyle w:val="47"/>
              <w:rPr>
                <w:rFonts w:ascii="Times New Roman"/>
                <w:i w:val="0"/>
                <w:iCs w:val="0"/>
              </w:rPr>
            </w:pPr>
          </w:p>
        </w:tc>
        <w:tc>
          <w:tcPr>
            <w:tcW w:w="1135" w:type="dxa"/>
          </w:tcPr>
          <w:p>
            <w:pPr>
              <w:pStyle w:val="47"/>
              <w:rPr>
                <w:rFonts w:ascii="Times New Roman"/>
                <w:i w:val="0"/>
                <w:iCs w:val="0"/>
              </w:rPr>
            </w:pPr>
          </w:p>
        </w:tc>
        <w:tc>
          <w:tcPr>
            <w:tcW w:w="852" w:type="dxa"/>
          </w:tcPr>
          <w:p>
            <w:pPr>
              <w:pStyle w:val="47"/>
              <w:rPr>
                <w:rFonts w:ascii="Times New Roman"/>
                <w:i w:val="0"/>
                <w:iCs w:val="0"/>
              </w:rPr>
            </w:pPr>
          </w:p>
        </w:tc>
        <w:tc>
          <w:tcPr>
            <w:tcW w:w="800" w:type="dxa"/>
          </w:tcPr>
          <w:p>
            <w:pPr>
              <w:pStyle w:val="47"/>
              <w:rPr>
                <w:rFonts w:ascii="Times New Roman"/>
                <w:i w:val="0"/>
                <w:iCs w:val="0"/>
              </w:rPr>
            </w:pPr>
          </w:p>
        </w:tc>
        <w:tc>
          <w:tcPr>
            <w:tcW w:w="1289" w:type="dxa"/>
          </w:tcPr>
          <w:p>
            <w:pPr>
              <w:pStyle w:val="47"/>
              <w:rPr>
                <w:rFonts w:ascii="Times New Roman"/>
                <w:i w:val="0"/>
                <w:iCs w:val="0"/>
              </w:rPr>
            </w:pPr>
          </w:p>
        </w:tc>
        <w:tc>
          <w:tcPr>
            <w:tcW w:w="1330" w:type="dxa"/>
          </w:tcPr>
          <w:p>
            <w:pPr>
              <w:pStyle w:val="47"/>
              <w:rPr>
                <w:rFonts w:ascii="Times New Roman"/>
                <w:i w:val="0"/>
                <w:iCs w:val="0"/>
              </w:rPr>
            </w:pPr>
          </w:p>
        </w:tc>
        <w:tc>
          <w:tcPr>
            <w:tcW w:w="1070" w:type="dxa"/>
          </w:tcPr>
          <w:p>
            <w:pPr>
              <w:pStyle w:val="47"/>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563" w:type="dxa"/>
          </w:tcPr>
          <w:p>
            <w:pPr>
              <w:pStyle w:val="47"/>
              <w:spacing w:before="101"/>
              <w:ind w:left="7"/>
              <w:jc w:val="center"/>
              <w:rPr>
                <w:rFonts w:ascii="Times New Roman" w:hAnsi="Times New Roman"/>
                <w:i w:val="0"/>
                <w:iCs w:val="0"/>
                <w:sz w:val="21"/>
              </w:rPr>
            </w:pPr>
            <w:r>
              <w:rPr>
                <w:rFonts w:ascii="Times New Roman" w:hAnsi="Times New Roman"/>
                <w:i w:val="0"/>
                <w:iCs w:val="0"/>
                <w:sz w:val="21"/>
              </w:rPr>
              <w:t>…</w:t>
            </w:r>
          </w:p>
        </w:tc>
        <w:tc>
          <w:tcPr>
            <w:tcW w:w="708" w:type="dxa"/>
          </w:tcPr>
          <w:p>
            <w:pPr>
              <w:pStyle w:val="47"/>
              <w:rPr>
                <w:rFonts w:ascii="Times New Roman"/>
                <w:i w:val="0"/>
                <w:iCs w:val="0"/>
              </w:rPr>
            </w:pPr>
          </w:p>
        </w:tc>
        <w:tc>
          <w:tcPr>
            <w:tcW w:w="711" w:type="dxa"/>
          </w:tcPr>
          <w:p>
            <w:pPr>
              <w:pStyle w:val="47"/>
              <w:rPr>
                <w:rFonts w:ascii="Times New Roman"/>
                <w:i w:val="0"/>
                <w:iCs w:val="0"/>
              </w:rPr>
            </w:pPr>
          </w:p>
        </w:tc>
        <w:tc>
          <w:tcPr>
            <w:tcW w:w="1135" w:type="dxa"/>
          </w:tcPr>
          <w:p>
            <w:pPr>
              <w:pStyle w:val="47"/>
              <w:rPr>
                <w:rFonts w:ascii="Times New Roman"/>
                <w:i w:val="0"/>
                <w:iCs w:val="0"/>
              </w:rPr>
            </w:pPr>
          </w:p>
        </w:tc>
        <w:tc>
          <w:tcPr>
            <w:tcW w:w="852" w:type="dxa"/>
          </w:tcPr>
          <w:p>
            <w:pPr>
              <w:pStyle w:val="47"/>
              <w:rPr>
                <w:rFonts w:ascii="Times New Roman"/>
                <w:i w:val="0"/>
                <w:iCs w:val="0"/>
              </w:rPr>
            </w:pPr>
          </w:p>
        </w:tc>
        <w:tc>
          <w:tcPr>
            <w:tcW w:w="800" w:type="dxa"/>
          </w:tcPr>
          <w:p>
            <w:pPr>
              <w:pStyle w:val="47"/>
              <w:rPr>
                <w:rFonts w:ascii="Times New Roman"/>
                <w:i w:val="0"/>
                <w:iCs w:val="0"/>
              </w:rPr>
            </w:pPr>
          </w:p>
        </w:tc>
        <w:tc>
          <w:tcPr>
            <w:tcW w:w="1289" w:type="dxa"/>
          </w:tcPr>
          <w:p>
            <w:pPr>
              <w:pStyle w:val="47"/>
              <w:rPr>
                <w:rFonts w:ascii="Times New Roman"/>
                <w:i w:val="0"/>
                <w:iCs w:val="0"/>
              </w:rPr>
            </w:pPr>
          </w:p>
        </w:tc>
        <w:tc>
          <w:tcPr>
            <w:tcW w:w="1330" w:type="dxa"/>
          </w:tcPr>
          <w:p>
            <w:pPr>
              <w:pStyle w:val="47"/>
              <w:rPr>
                <w:rFonts w:ascii="Times New Roman"/>
                <w:i w:val="0"/>
                <w:iCs w:val="0"/>
              </w:rPr>
            </w:pPr>
          </w:p>
        </w:tc>
        <w:tc>
          <w:tcPr>
            <w:tcW w:w="1070" w:type="dxa"/>
          </w:tcPr>
          <w:p>
            <w:pPr>
              <w:pStyle w:val="47"/>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458" w:type="dxa"/>
            <w:gridSpan w:val="9"/>
          </w:tcPr>
          <w:p>
            <w:pPr>
              <w:pStyle w:val="47"/>
              <w:spacing w:before="71"/>
              <w:ind w:left="3985" w:right="3976"/>
              <w:jc w:val="center"/>
              <w:rPr>
                <w:b/>
                <w:i w:val="0"/>
                <w:iCs w:val="0"/>
                <w:sz w:val="24"/>
              </w:rPr>
            </w:pPr>
            <w:r>
              <w:rPr>
                <w:b/>
                <w:i w:val="0"/>
                <w:iCs w:val="0"/>
                <w:sz w:val="24"/>
              </w:rPr>
              <w:t>专业技术人员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47"/>
              <w:spacing w:before="92"/>
              <w:ind w:left="132" w:right="120"/>
              <w:jc w:val="center"/>
              <w:rPr>
                <w:i w:val="0"/>
                <w:iCs w:val="0"/>
                <w:sz w:val="21"/>
              </w:rPr>
            </w:pPr>
            <w:r>
              <w:rPr>
                <w:rFonts w:ascii="Times New Roman" w:hAnsi="Times New Roman" w:eastAsia="Times New Roman"/>
                <w:i w:val="0"/>
                <w:iCs w:val="0"/>
                <w:sz w:val="21"/>
              </w:rPr>
              <w:t>…</w:t>
            </w:r>
            <w:r>
              <w:rPr>
                <w:i w:val="0"/>
                <w:iCs w:val="0"/>
                <w:sz w:val="21"/>
              </w:rPr>
              <w:t>专业负责人</w:t>
            </w:r>
          </w:p>
        </w:tc>
        <w:tc>
          <w:tcPr>
            <w:tcW w:w="708" w:type="dxa"/>
          </w:tcPr>
          <w:p>
            <w:pPr>
              <w:pStyle w:val="47"/>
              <w:rPr>
                <w:rFonts w:ascii="Times New Roman"/>
                <w:i w:val="0"/>
                <w:iCs w:val="0"/>
              </w:rPr>
            </w:pPr>
          </w:p>
        </w:tc>
        <w:tc>
          <w:tcPr>
            <w:tcW w:w="711" w:type="dxa"/>
          </w:tcPr>
          <w:p>
            <w:pPr>
              <w:pStyle w:val="47"/>
              <w:rPr>
                <w:rFonts w:ascii="Times New Roman"/>
                <w:i w:val="0"/>
                <w:iCs w:val="0"/>
              </w:rPr>
            </w:pPr>
          </w:p>
        </w:tc>
        <w:tc>
          <w:tcPr>
            <w:tcW w:w="1135" w:type="dxa"/>
          </w:tcPr>
          <w:p>
            <w:pPr>
              <w:pStyle w:val="47"/>
              <w:rPr>
                <w:rFonts w:ascii="Times New Roman"/>
                <w:i w:val="0"/>
                <w:iCs w:val="0"/>
              </w:rPr>
            </w:pPr>
          </w:p>
        </w:tc>
        <w:tc>
          <w:tcPr>
            <w:tcW w:w="852" w:type="dxa"/>
          </w:tcPr>
          <w:p>
            <w:pPr>
              <w:pStyle w:val="47"/>
              <w:rPr>
                <w:rFonts w:ascii="Times New Roman"/>
                <w:i w:val="0"/>
                <w:iCs w:val="0"/>
              </w:rPr>
            </w:pPr>
          </w:p>
        </w:tc>
        <w:tc>
          <w:tcPr>
            <w:tcW w:w="800" w:type="dxa"/>
          </w:tcPr>
          <w:p>
            <w:pPr>
              <w:pStyle w:val="47"/>
              <w:rPr>
                <w:rFonts w:ascii="Times New Roman"/>
                <w:i w:val="0"/>
                <w:iCs w:val="0"/>
              </w:rPr>
            </w:pPr>
          </w:p>
        </w:tc>
        <w:tc>
          <w:tcPr>
            <w:tcW w:w="1289" w:type="dxa"/>
          </w:tcPr>
          <w:p>
            <w:pPr>
              <w:pStyle w:val="47"/>
              <w:rPr>
                <w:rFonts w:ascii="Times New Roman"/>
                <w:i w:val="0"/>
                <w:iCs w:val="0"/>
              </w:rPr>
            </w:pPr>
          </w:p>
        </w:tc>
        <w:tc>
          <w:tcPr>
            <w:tcW w:w="1330" w:type="dxa"/>
          </w:tcPr>
          <w:p>
            <w:pPr>
              <w:pStyle w:val="47"/>
              <w:rPr>
                <w:rFonts w:ascii="Times New Roman"/>
                <w:i w:val="0"/>
                <w:iCs w:val="0"/>
              </w:rPr>
            </w:pPr>
          </w:p>
        </w:tc>
        <w:tc>
          <w:tcPr>
            <w:tcW w:w="1070" w:type="dxa"/>
          </w:tcPr>
          <w:p>
            <w:pPr>
              <w:pStyle w:val="47"/>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47"/>
              <w:spacing w:before="92"/>
              <w:ind w:left="132" w:right="120"/>
              <w:jc w:val="center"/>
              <w:rPr>
                <w:i w:val="0"/>
                <w:iCs w:val="0"/>
                <w:sz w:val="21"/>
              </w:rPr>
            </w:pPr>
            <w:r>
              <w:rPr>
                <w:rFonts w:ascii="Times New Roman" w:hAnsi="Times New Roman" w:eastAsia="Times New Roman"/>
                <w:i w:val="0"/>
                <w:iCs w:val="0"/>
                <w:sz w:val="21"/>
              </w:rPr>
              <w:t>…</w:t>
            </w:r>
            <w:r>
              <w:rPr>
                <w:i w:val="0"/>
                <w:iCs w:val="0"/>
                <w:sz w:val="21"/>
              </w:rPr>
              <w:t>专业负责人</w:t>
            </w:r>
          </w:p>
        </w:tc>
        <w:tc>
          <w:tcPr>
            <w:tcW w:w="708" w:type="dxa"/>
          </w:tcPr>
          <w:p>
            <w:pPr>
              <w:pStyle w:val="47"/>
              <w:rPr>
                <w:rFonts w:ascii="Times New Roman"/>
                <w:i w:val="0"/>
                <w:iCs w:val="0"/>
              </w:rPr>
            </w:pPr>
          </w:p>
        </w:tc>
        <w:tc>
          <w:tcPr>
            <w:tcW w:w="711" w:type="dxa"/>
          </w:tcPr>
          <w:p>
            <w:pPr>
              <w:pStyle w:val="47"/>
              <w:rPr>
                <w:rFonts w:ascii="Times New Roman"/>
                <w:i w:val="0"/>
                <w:iCs w:val="0"/>
              </w:rPr>
            </w:pPr>
          </w:p>
        </w:tc>
        <w:tc>
          <w:tcPr>
            <w:tcW w:w="1135" w:type="dxa"/>
          </w:tcPr>
          <w:p>
            <w:pPr>
              <w:pStyle w:val="47"/>
              <w:rPr>
                <w:rFonts w:ascii="Times New Roman"/>
                <w:i w:val="0"/>
                <w:iCs w:val="0"/>
              </w:rPr>
            </w:pPr>
          </w:p>
        </w:tc>
        <w:tc>
          <w:tcPr>
            <w:tcW w:w="852" w:type="dxa"/>
          </w:tcPr>
          <w:p>
            <w:pPr>
              <w:pStyle w:val="47"/>
              <w:rPr>
                <w:rFonts w:ascii="Times New Roman"/>
                <w:i w:val="0"/>
                <w:iCs w:val="0"/>
              </w:rPr>
            </w:pPr>
          </w:p>
        </w:tc>
        <w:tc>
          <w:tcPr>
            <w:tcW w:w="800" w:type="dxa"/>
          </w:tcPr>
          <w:p>
            <w:pPr>
              <w:pStyle w:val="47"/>
              <w:rPr>
                <w:rFonts w:ascii="Times New Roman"/>
                <w:i w:val="0"/>
                <w:iCs w:val="0"/>
              </w:rPr>
            </w:pPr>
          </w:p>
        </w:tc>
        <w:tc>
          <w:tcPr>
            <w:tcW w:w="1289" w:type="dxa"/>
          </w:tcPr>
          <w:p>
            <w:pPr>
              <w:pStyle w:val="47"/>
              <w:rPr>
                <w:rFonts w:ascii="Times New Roman"/>
                <w:i w:val="0"/>
                <w:iCs w:val="0"/>
              </w:rPr>
            </w:pPr>
          </w:p>
        </w:tc>
        <w:tc>
          <w:tcPr>
            <w:tcW w:w="1330" w:type="dxa"/>
          </w:tcPr>
          <w:p>
            <w:pPr>
              <w:pStyle w:val="47"/>
              <w:rPr>
                <w:rFonts w:ascii="Times New Roman"/>
                <w:i w:val="0"/>
                <w:iCs w:val="0"/>
              </w:rPr>
            </w:pPr>
          </w:p>
        </w:tc>
        <w:tc>
          <w:tcPr>
            <w:tcW w:w="1070" w:type="dxa"/>
          </w:tcPr>
          <w:p>
            <w:pPr>
              <w:pStyle w:val="47"/>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47"/>
              <w:spacing w:before="83"/>
              <w:ind w:left="7"/>
              <w:jc w:val="center"/>
              <w:rPr>
                <w:rFonts w:ascii="Times New Roman" w:hAnsi="Times New Roman"/>
                <w:i w:val="0"/>
                <w:iCs w:val="0"/>
                <w:sz w:val="24"/>
              </w:rPr>
            </w:pPr>
            <w:r>
              <w:rPr>
                <w:rFonts w:ascii="Times New Roman" w:hAnsi="Times New Roman"/>
                <w:i w:val="0"/>
                <w:iCs w:val="0"/>
                <w:sz w:val="24"/>
              </w:rPr>
              <w:t>…</w:t>
            </w:r>
          </w:p>
        </w:tc>
        <w:tc>
          <w:tcPr>
            <w:tcW w:w="708" w:type="dxa"/>
          </w:tcPr>
          <w:p>
            <w:pPr>
              <w:pStyle w:val="47"/>
              <w:rPr>
                <w:rFonts w:ascii="Times New Roman"/>
                <w:i w:val="0"/>
                <w:iCs w:val="0"/>
              </w:rPr>
            </w:pPr>
          </w:p>
        </w:tc>
        <w:tc>
          <w:tcPr>
            <w:tcW w:w="711" w:type="dxa"/>
          </w:tcPr>
          <w:p>
            <w:pPr>
              <w:pStyle w:val="47"/>
              <w:rPr>
                <w:rFonts w:ascii="Times New Roman"/>
                <w:i w:val="0"/>
                <w:iCs w:val="0"/>
              </w:rPr>
            </w:pPr>
          </w:p>
        </w:tc>
        <w:tc>
          <w:tcPr>
            <w:tcW w:w="1135" w:type="dxa"/>
          </w:tcPr>
          <w:p>
            <w:pPr>
              <w:pStyle w:val="47"/>
              <w:rPr>
                <w:rFonts w:ascii="Times New Roman"/>
                <w:i w:val="0"/>
                <w:iCs w:val="0"/>
              </w:rPr>
            </w:pPr>
          </w:p>
        </w:tc>
        <w:tc>
          <w:tcPr>
            <w:tcW w:w="852" w:type="dxa"/>
          </w:tcPr>
          <w:p>
            <w:pPr>
              <w:pStyle w:val="47"/>
              <w:rPr>
                <w:rFonts w:ascii="Times New Roman"/>
                <w:i w:val="0"/>
                <w:iCs w:val="0"/>
              </w:rPr>
            </w:pPr>
          </w:p>
        </w:tc>
        <w:tc>
          <w:tcPr>
            <w:tcW w:w="800" w:type="dxa"/>
          </w:tcPr>
          <w:p>
            <w:pPr>
              <w:pStyle w:val="47"/>
              <w:rPr>
                <w:rFonts w:ascii="Times New Roman"/>
                <w:i w:val="0"/>
                <w:iCs w:val="0"/>
              </w:rPr>
            </w:pPr>
          </w:p>
        </w:tc>
        <w:tc>
          <w:tcPr>
            <w:tcW w:w="1289" w:type="dxa"/>
          </w:tcPr>
          <w:p>
            <w:pPr>
              <w:pStyle w:val="47"/>
              <w:rPr>
                <w:rFonts w:ascii="Times New Roman"/>
                <w:i w:val="0"/>
                <w:iCs w:val="0"/>
              </w:rPr>
            </w:pPr>
          </w:p>
        </w:tc>
        <w:tc>
          <w:tcPr>
            <w:tcW w:w="1330" w:type="dxa"/>
          </w:tcPr>
          <w:p>
            <w:pPr>
              <w:pStyle w:val="47"/>
              <w:rPr>
                <w:rFonts w:ascii="Times New Roman"/>
                <w:i w:val="0"/>
                <w:iCs w:val="0"/>
              </w:rPr>
            </w:pPr>
          </w:p>
        </w:tc>
        <w:tc>
          <w:tcPr>
            <w:tcW w:w="1070" w:type="dxa"/>
          </w:tcPr>
          <w:p>
            <w:pPr>
              <w:pStyle w:val="47"/>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47"/>
              <w:rPr>
                <w:rFonts w:ascii="Times New Roman"/>
                <w:i w:val="0"/>
                <w:iCs w:val="0"/>
              </w:rPr>
            </w:pPr>
          </w:p>
        </w:tc>
        <w:tc>
          <w:tcPr>
            <w:tcW w:w="708" w:type="dxa"/>
          </w:tcPr>
          <w:p>
            <w:pPr>
              <w:pStyle w:val="47"/>
              <w:rPr>
                <w:rFonts w:ascii="Times New Roman"/>
                <w:i w:val="0"/>
                <w:iCs w:val="0"/>
              </w:rPr>
            </w:pPr>
          </w:p>
        </w:tc>
        <w:tc>
          <w:tcPr>
            <w:tcW w:w="711" w:type="dxa"/>
          </w:tcPr>
          <w:p>
            <w:pPr>
              <w:pStyle w:val="47"/>
              <w:rPr>
                <w:rFonts w:ascii="Times New Roman"/>
                <w:i w:val="0"/>
                <w:iCs w:val="0"/>
              </w:rPr>
            </w:pPr>
          </w:p>
        </w:tc>
        <w:tc>
          <w:tcPr>
            <w:tcW w:w="1135" w:type="dxa"/>
          </w:tcPr>
          <w:p>
            <w:pPr>
              <w:pStyle w:val="47"/>
              <w:rPr>
                <w:rFonts w:ascii="Times New Roman"/>
                <w:i w:val="0"/>
                <w:iCs w:val="0"/>
              </w:rPr>
            </w:pPr>
          </w:p>
        </w:tc>
        <w:tc>
          <w:tcPr>
            <w:tcW w:w="852" w:type="dxa"/>
          </w:tcPr>
          <w:p>
            <w:pPr>
              <w:pStyle w:val="47"/>
              <w:rPr>
                <w:rFonts w:ascii="Times New Roman"/>
                <w:i w:val="0"/>
                <w:iCs w:val="0"/>
              </w:rPr>
            </w:pPr>
          </w:p>
        </w:tc>
        <w:tc>
          <w:tcPr>
            <w:tcW w:w="800" w:type="dxa"/>
          </w:tcPr>
          <w:p>
            <w:pPr>
              <w:pStyle w:val="47"/>
              <w:rPr>
                <w:rFonts w:ascii="Times New Roman"/>
                <w:i w:val="0"/>
                <w:iCs w:val="0"/>
              </w:rPr>
            </w:pPr>
          </w:p>
        </w:tc>
        <w:tc>
          <w:tcPr>
            <w:tcW w:w="1289" w:type="dxa"/>
          </w:tcPr>
          <w:p>
            <w:pPr>
              <w:pStyle w:val="47"/>
              <w:rPr>
                <w:rFonts w:ascii="Times New Roman"/>
                <w:i w:val="0"/>
                <w:iCs w:val="0"/>
              </w:rPr>
            </w:pPr>
          </w:p>
        </w:tc>
        <w:tc>
          <w:tcPr>
            <w:tcW w:w="1330" w:type="dxa"/>
          </w:tcPr>
          <w:p>
            <w:pPr>
              <w:pStyle w:val="47"/>
              <w:rPr>
                <w:rFonts w:ascii="Times New Roman"/>
                <w:i w:val="0"/>
                <w:iCs w:val="0"/>
              </w:rPr>
            </w:pPr>
          </w:p>
        </w:tc>
        <w:tc>
          <w:tcPr>
            <w:tcW w:w="1070" w:type="dxa"/>
          </w:tcPr>
          <w:p>
            <w:pPr>
              <w:pStyle w:val="47"/>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563" w:type="dxa"/>
          </w:tcPr>
          <w:p>
            <w:pPr>
              <w:pStyle w:val="47"/>
              <w:spacing w:before="74"/>
              <w:ind w:left="127" w:right="120"/>
              <w:jc w:val="center"/>
              <w:rPr>
                <w:i w:val="0"/>
                <w:iCs w:val="0"/>
                <w:sz w:val="24"/>
              </w:rPr>
            </w:pPr>
            <w:r>
              <w:rPr>
                <w:i w:val="0"/>
                <w:iCs w:val="0"/>
                <w:sz w:val="24"/>
              </w:rPr>
              <w:t>技术员</w:t>
            </w:r>
          </w:p>
        </w:tc>
        <w:tc>
          <w:tcPr>
            <w:tcW w:w="708" w:type="dxa"/>
          </w:tcPr>
          <w:p>
            <w:pPr>
              <w:pStyle w:val="47"/>
              <w:rPr>
                <w:rFonts w:ascii="Times New Roman"/>
                <w:i w:val="0"/>
                <w:iCs w:val="0"/>
              </w:rPr>
            </w:pPr>
          </w:p>
        </w:tc>
        <w:tc>
          <w:tcPr>
            <w:tcW w:w="711" w:type="dxa"/>
          </w:tcPr>
          <w:p>
            <w:pPr>
              <w:pStyle w:val="47"/>
              <w:rPr>
                <w:rFonts w:ascii="Times New Roman"/>
                <w:i w:val="0"/>
                <w:iCs w:val="0"/>
              </w:rPr>
            </w:pPr>
          </w:p>
        </w:tc>
        <w:tc>
          <w:tcPr>
            <w:tcW w:w="1135" w:type="dxa"/>
          </w:tcPr>
          <w:p>
            <w:pPr>
              <w:pStyle w:val="47"/>
              <w:rPr>
                <w:rFonts w:ascii="Times New Roman"/>
                <w:i w:val="0"/>
                <w:iCs w:val="0"/>
              </w:rPr>
            </w:pPr>
          </w:p>
        </w:tc>
        <w:tc>
          <w:tcPr>
            <w:tcW w:w="852" w:type="dxa"/>
          </w:tcPr>
          <w:p>
            <w:pPr>
              <w:pStyle w:val="47"/>
              <w:rPr>
                <w:rFonts w:ascii="Times New Roman"/>
                <w:i w:val="0"/>
                <w:iCs w:val="0"/>
              </w:rPr>
            </w:pPr>
          </w:p>
        </w:tc>
        <w:tc>
          <w:tcPr>
            <w:tcW w:w="800" w:type="dxa"/>
          </w:tcPr>
          <w:p>
            <w:pPr>
              <w:pStyle w:val="47"/>
              <w:rPr>
                <w:rFonts w:ascii="Times New Roman"/>
                <w:i w:val="0"/>
                <w:iCs w:val="0"/>
              </w:rPr>
            </w:pPr>
          </w:p>
        </w:tc>
        <w:tc>
          <w:tcPr>
            <w:tcW w:w="1289" w:type="dxa"/>
          </w:tcPr>
          <w:p>
            <w:pPr>
              <w:pStyle w:val="47"/>
              <w:rPr>
                <w:rFonts w:ascii="Times New Roman"/>
                <w:i w:val="0"/>
                <w:iCs w:val="0"/>
              </w:rPr>
            </w:pPr>
          </w:p>
        </w:tc>
        <w:tc>
          <w:tcPr>
            <w:tcW w:w="1330" w:type="dxa"/>
          </w:tcPr>
          <w:p>
            <w:pPr>
              <w:pStyle w:val="47"/>
              <w:rPr>
                <w:rFonts w:ascii="Times New Roman"/>
                <w:i w:val="0"/>
                <w:iCs w:val="0"/>
              </w:rPr>
            </w:pPr>
          </w:p>
        </w:tc>
        <w:tc>
          <w:tcPr>
            <w:tcW w:w="1070" w:type="dxa"/>
          </w:tcPr>
          <w:p>
            <w:pPr>
              <w:pStyle w:val="47"/>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563" w:type="dxa"/>
          </w:tcPr>
          <w:p>
            <w:pPr>
              <w:pStyle w:val="47"/>
              <w:rPr>
                <w:rFonts w:ascii="Times New Roman"/>
                <w:i w:val="0"/>
                <w:iCs w:val="0"/>
              </w:rPr>
            </w:pPr>
          </w:p>
        </w:tc>
        <w:tc>
          <w:tcPr>
            <w:tcW w:w="708" w:type="dxa"/>
          </w:tcPr>
          <w:p>
            <w:pPr>
              <w:pStyle w:val="47"/>
              <w:rPr>
                <w:rFonts w:ascii="Times New Roman"/>
                <w:i w:val="0"/>
                <w:iCs w:val="0"/>
              </w:rPr>
            </w:pPr>
          </w:p>
        </w:tc>
        <w:tc>
          <w:tcPr>
            <w:tcW w:w="711" w:type="dxa"/>
          </w:tcPr>
          <w:p>
            <w:pPr>
              <w:pStyle w:val="47"/>
              <w:rPr>
                <w:rFonts w:ascii="Times New Roman"/>
                <w:i w:val="0"/>
                <w:iCs w:val="0"/>
              </w:rPr>
            </w:pPr>
          </w:p>
        </w:tc>
        <w:tc>
          <w:tcPr>
            <w:tcW w:w="1135" w:type="dxa"/>
          </w:tcPr>
          <w:p>
            <w:pPr>
              <w:pStyle w:val="47"/>
              <w:rPr>
                <w:rFonts w:ascii="Times New Roman"/>
                <w:i w:val="0"/>
                <w:iCs w:val="0"/>
              </w:rPr>
            </w:pPr>
          </w:p>
        </w:tc>
        <w:tc>
          <w:tcPr>
            <w:tcW w:w="852" w:type="dxa"/>
          </w:tcPr>
          <w:p>
            <w:pPr>
              <w:pStyle w:val="47"/>
              <w:rPr>
                <w:rFonts w:ascii="Times New Roman"/>
                <w:i w:val="0"/>
                <w:iCs w:val="0"/>
              </w:rPr>
            </w:pPr>
          </w:p>
        </w:tc>
        <w:tc>
          <w:tcPr>
            <w:tcW w:w="800" w:type="dxa"/>
          </w:tcPr>
          <w:p>
            <w:pPr>
              <w:pStyle w:val="47"/>
              <w:rPr>
                <w:rFonts w:ascii="Times New Roman"/>
                <w:i w:val="0"/>
                <w:iCs w:val="0"/>
              </w:rPr>
            </w:pPr>
          </w:p>
        </w:tc>
        <w:tc>
          <w:tcPr>
            <w:tcW w:w="1289" w:type="dxa"/>
          </w:tcPr>
          <w:p>
            <w:pPr>
              <w:pStyle w:val="47"/>
              <w:rPr>
                <w:rFonts w:ascii="Times New Roman"/>
                <w:i w:val="0"/>
                <w:iCs w:val="0"/>
              </w:rPr>
            </w:pPr>
          </w:p>
        </w:tc>
        <w:tc>
          <w:tcPr>
            <w:tcW w:w="1330" w:type="dxa"/>
          </w:tcPr>
          <w:p>
            <w:pPr>
              <w:pStyle w:val="47"/>
              <w:rPr>
                <w:rFonts w:ascii="Times New Roman"/>
                <w:i w:val="0"/>
                <w:iCs w:val="0"/>
              </w:rPr>
            </w:pPr>
          </w:p>
        </w:tc>
        <w:tc>
          <w:tcPr>
            <w:tcW w:w="1070" w:type="dxa"/>
          </w:tcPr>
          <w:p>
            <w:pPr>
              <w:pStyle w:val="47"/>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47"/>
              <w:rPr>
                <w:rFonts w:ascii="Times New Roman"/>
                <w:i w:val="0"/>
                <w:iCs w:val="0"/>
              </w:rPr>
            </w:pPr>
          </w:p>
        </w:tc>
        <w:tc>
          <w:tcPr>
            <w:tcW w:w="708" w:type="dxa"/>
          </w:tcPr>
          <w:p>
            <w:pPr>
              <w:pStyle w:val="47"/>
              <w:rPr>
                <w:rFonts w:ascii="Times New Roman"/>
                <w:i w:val="0"/>
                <w:iCs w:val="0"/>
              </w:rPr>
            </w:pPr>
          </w:p>
        </w:tc>
        <w:tc>
          <w:tcPr>
            <w:tcW w:w="711" w:type="dxa"/>
          </w:tcPr>
          <w:p>
            <w:pPr>
              <w:pStyle w:val="47"/>
              <w:rPr>
                <w:rFonts w:ascii="Times New Roman"/>
                <w:i w:val="0"/>
                <w:iCs w:val="0"/>
              </w:rPr>
            </w:pPr>
          </w:p>
        </w:tc>
        <w:tc>
          <w:tcPr>
            <w:tcW w:w="1135" w:type="dxa"/>
          </w:tcPr>
          <w:p>
            <w:pPr>
              <w:pStyle w:val="47"/>
              <w:rPr>
                <w:rFonts w:ascii="Times New Roman"/>
                <w:i w:val="0"/>
                <w:iCs w:val="0"/>
              </w:rPr>
            </w:pPr>
          </w:p>
        </w:tc>
        <w:tc>
          <w:tcPr>
            <w:tcW w:w="852" w:type="dxa"/>
          </w:tcPr>
          <w:p>
            <w:pPr>
              <w:pStyle w:val="47"/>
              <w:rPr>
                <w:rFonts w:ascii="Times New Roman"/>
                <w:i w:val="0"/>
                <w:iCs w:val="0"/>
              </w:rPr>
            </w:pPr>
          </w:p>
        </w:tc>
        <w:tc>
          <w:tcPr>
            <w:tcW w:w="800" w:type="dxa"/>
          </w:tcPr>
          <w:p>
            <w:pPr>
              <w:pStyle w:val="47"/>
              <w:rPr>
                <w:rFonts w:ascii="Times New Roman"/>
                <w:i w:val="0"/>
                <w:iCs w:val="0"/>
              </w:rPr>
            </w:pPr>
          </w:p>
        </w:tc>
        <w:tc>
          <w:tcPr>
            <w:tcW w:w="1289" w:type="dxa"/>
          </w:tcPr>
          <w:p>
            <w:pPr>
              <w:pStyle w:val="47"/>
              <w:rPr>
                <w:rFonts w:ascii="Times New Roman"/>
                <w:i w:val="0"/>
                <w:iCs w:val="0"/>
              </w:rPr>
            </w:pPr>
          </w:p>
        </w:tc>
        <w:tc>
          <w:tcPr>
            <w:tcW w:w="1330" w:type="dxa"/>
          </w:tcPr>
          <w:p>
            <w:pPr>
              <w:pStyle w:val="47"/>
              <w:rPr>
                <w:rFonts w:ascii="Times New Roman"/>
                <w:i w:val="0"/>
                <w:iCs w:val="0"/>
              </w:rPr>
            </w:pPr>
          </w:p>
        </w:tc>
        <w:tc>
          <w:tcPr>
            <w:tcW w:w="1070" w:type="dxa"/>
          </w:tcPr>
          <w:p>
            <w:pPr>
              <w:pStyle w:val="47"/>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47"/>
              <w:spacing w:before="83"/>
              <w:ind w:left="7"/>
              <w:jc w:val="center"/>
              <w:rPr>
                <w:rFonts w:ascii="Times New Roman" w:hAnsi="Times New Roman"/>
                <w:i w:val="0"/>
                <w:iCs w:val="0"/>
                <w:color w:val="auto"/>
                <w:sz w:val="24"/>
              </w:rPr>
            </w:pPr>
            <w:r>
              <w:rPr>
                <w:rFonts w:ascii="Times New Roman" w:hAnsi="Times New Roman"/>
                <w:i w:val="0"/>
                <w:iCs w:val="0"/>
                <w:color w:val="auto"/>
                <w:sz w:val="24"/>
              </w:rPr>
              <w:t>…</w:t>
            </w:r>
          </w:p>
        </w:tc>
        <w:tc>
          <w:tcPr>
            <w:tcW w:w="708" w:type="dxa"/>
          </w:tcPr>
          <w:p>
            <w:pPr>
              <w:pStyle w:val="47"/>
              <w:rPr>
                <w:rFonts w:ascii="Times New Roman"/>
                <w:i w:val="0"/>
                <w:iCs w:val="0"/>
                <w:color w:val="auto"/>
              </w:rPr>
            </w:pPr>
          </w:p>
        </w:tc>
        <w:tc>
          <w:tcPr>
            <w:tcW w:w="711" w:type="dxa"/>
          </w:tcPr>
          <w:p>
            <w:pPr>
              <w:pStyle w:val="47"/>
              <w:rPr>
                <w:rFonts w:ascii="Times New Roman"/>
                <w:i w:val="0"/>
                <w:iCs w:val="0"/>
                <w:color w:val="auto"/>
              </w:rPr>
            </w:pPr>
          </w:p>
        </w:tc>
        <w:tc>
          <w:tcPr>
            <w:tcW w:w="1135" w:type="dxa"/>
          </w:tcPr>
          <w:p>
            <w:pPr>
              <w:pStyle w:val="47"/>
              <w:rPr>
                <w:rFonts w:ascii="Times New Roman"/>
                <w:i w:val="0"/>
                <w:iCs w:val="0"/>
                <w:color w:val="auto"/>
              </w:rPr>
            </w:pPr>
          </w:p>
        </w:tc>
        <w:tc>
          <w:tcPr>
            <w:tcW w:w="852" w:type="dxa"/>
          </w:tcPr>
          <w:p>
            <w:pPr>
              <w:pStyle w:val="47"/>
              <w:rPr>
                <w:rFonts w:ascii="Times New Roman"/>
                <w:i w:val="0"/>
                <w:iCs w:val="0"/>
                <w:color w:val="auto"/>
              </w:rPr>
            </w:pPr>
          </w:p>
        </w:tc>
        <w:tc>
          <w:tcPr>
            <w:tcW w:w="800" w:type="dxa"/>
          </w:tcPr>
          <w:p>
            <w:pPr>
              <w:pStyle w:val="47"/>
              <w:rPr>
                <w:rFonts w:ascii="Times New Roman"/>
                <w:i w:val="0"/>
                <w:iCs w:val="0"/>
                <w:color w:val="auto"/>
              </w:rPr>
            </w:pPr>
          </w:p>
        </w:tc>
        <w:tc>
          <w:tcPr>
            <w:tcW w:w="1289" w:type="dxa"/>
          </w:tcPr>
          <w:p>
            <w:pPr>
              <w:pStyle w:val="47"/>
              <w:rPr>
                <w:rFonts w:ascii="Times New Roman"/>
                <w:i w:val="0"/>
                <w:iCs w:val="0"/>
                <w:color w:val="auto"/>
              </w:rPr>
            </w:pPr>
          </w:p>
        </w:tc>
        <w:tc>
          <w:tcPr>
            <w:tcW w:w="1330" w:type="dxa"/>
          </w:tcPr>
          <w:p>
            <w:pPr>
              <w:pStyle w:val="47"/>
              <w:rPr>
                <w:rFonts w:ascii="Times New Roman"/>
                <w:i w:val="0"/>
                <w:iCs w:val="0"/>
                <w:color w:val="auto"/>
              </w:rPr>
            </w:pPr>
          </w:p>
        </w:tc>
        <w:tc>
          <w:tcPr>
            <w:tcW w:w="1070" w:type="dxa"/>
          </w:tcPr>
          <w:p>
            <w:pPr>
              <w:pStyle w:val="47"/>
              <w:rPr>
                <w:rFonts w:ascii="Times New Roman"/>
                <w:i w:val="0"/>
                <w:i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563" w:type="dxa"/>
          </w:tcPr>
          <w:p>
            <w:pPr>
              <w:pStyle w:val="47"/>
              <w:rPr>
                <w:rFonts w:ascii="Times New Roman"/>
                <w:i w:val="0"/>
                <w:iCs w:val="0"/>
                <w:color w:val="auto"/>
              </w:rPr>
            </w:pPr>
          </w:p>
        </w:tc>
        <w:tc>
          <w:tcPr>
            <w:tcW w:w="708" w:type="dxa"/>
          </w:tcPr>
          <w:p>
            <w:pPr>
              <w:pStyle w:val="47"/>
              <w:rPr>
                <w:rFonts w:ascii="Times New Roman"/>
                <w:i w:val="0"/>
                <w:iCs w:val="0"/>
                <w:color w:val="auto"/>
              </w:rPr>
            </w:pPr>
          </w:p>
        </w:tc>
        <w:tc>
          <w:tcPr>
            <w:tcW w:w="711" w:type="dxa"/>
          </w:tcPr>
          <w:p>
            <w:pPr>
              <w:pStyle w:val="47"/>
              <w:rPr>
                <w:rFonts w:ascii="Times New Roman"/>
                <w:i w:val="0"/>
                <w:iCs w:val="0"/>
                <w:color w:val="auto"/>
              </w:rPr>
            </w:pPr>
          </w:p>
        </w:tc>
        <w:tc>
          <w:tcPr>
            <w:tcW w:w="1135" w:type="dxa"/>
          </w:tcPr>
          <w:p>
            <w:pPr>
              <w:pStyle w:val="47"/>
              <w:rPr>
                <w:rFonts w:ascii="Times New Roman"/>
                <w:i w:val="0"/>
                <w:iCs w:val="0"/>
                <w:color w:val="auto"/>
              </w:rPr>
            </w:pPr>
          </w:p>
        </w:tc>
        <w:tc>
          <w:tcPr>
            <w:tcW w:w="852" w:type="dxa"/>
          </w:tcPr>
          <w:p>
            <w:pPr>
              <w:pStyle w:val="47"/>
              <w:rPr>
                <w:rFonts w:ascii="Times New Roman"/>
                <w:i w:val="0"/>
                <w:iCs w:val="0"/>
                <w:color w:val="auto"/>
              </w:rPr>
            </w:pPr>
          </w:p>
        </w:tc>
        <w:tc>
          <w:tcPr>
            <w:tcW w:w="800" w:type="dxa"/>
          </w:tcPr>
          <w:p>
            <w:pPr>
              <w:pStyle w:val="47"/>
              <w:rPr>
                <w:rFonts w:ascii="Times New Roman"/>
                <w:i w:val="0"/>
                <w:iCs w:val="0"/>
                <w:color w:val="auto"/>
              </w:rPr>
            </w:pPr>
          </w:p>
        </w:tc>
        <w:tc>
          <w:tcPr>
            <w:tcW w:w="1289" w:type="dxa"/>
          </w:tcPr>
          <w:p>
            <w:pPr>
              <w:pStyle w:val="47"/>
              <w:rPr>
                <w:rFonts w:ascii="Times New Roman"/>
                <w:i w:val="0"/>
                <w:iCs w:val="0"/>
                <w:color w:val="auto"/>
              </w:rPr>
            </w:pPr>
          </w:p>
        </w:tc>
        <w:tc>
          <w:tcPr>
            <w:tcW w:w="1330" w:type="dxa"/>
          </w:tcPr>
          <w:p>
            <w:pPr>
              <w:pStyle w:val="47"/>
              <w:rPr>
                <w:rFonts w:ascii="Times New Roman"/>
                <w:i w:val="0"/>
                <w:iCs w:val="0"/>
                <w:color w:val="auto"/>
              </w:rPr>
            </w:pPr>
          </w:p>
        </w:tc>
        <w:tc>
          <w:tcPr>
            <w:tcW w:w="1070" w:type="dxa"/>
          </w:tcPr>
          <w:p>
            <w:pPr>
              <w:pStyle w:val="47"/>
              <w:rPr>
                <w:rFonts w:ascii="Times New Roman"/>
                <w:i w:val="0"/>
                <w:iCs w:val="0"/>
                <w:color w:val="auto"/>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注：1．投标人应根据招标文件要求在本表后附项目人员执业或职称等相关证明材料。</w:t>
      </w:r>
    </w:p>
    <w:p>
      <w:pPr>
        <w:rPr>
          <w:rFonts w:ascii="Times New Roman"/>
          <w:i w:val="0"/>
          <w:iCs w:val="0"/>
        </w:rPr>
        <w:sectPr>
          <w:pgSz w:w="11910" w:h="16840"/>
          <w:pgMar w:top="1380" w:right="880" w:bottom="1180" w:left="920" w:header="0" w:footer="989" w:gutter="0"/>
          <w:cols w:space="720" w:num="1"/>
        </w:sectPr>
      </w:pPr>
    </w:p>
    <w:p>
      <w:pPr>
        <w:pStyle w:val="2"/>
        <w:bidi w:val="0"/>
        <w:ind w:left="0" w:leftChars="0" w:firstLine="0" w:firstLineChars="0"/>
        <w:jc w:val="center"/>
        <w:outlineLvl w:val="0"/>
        <w:rPr>
          <w:rFonts w:hint="eastAsia" w:asciiTheme="minorEastAsia" w:hAnsiTheme="minorEastAsia" w:eastAsiaTheme="minorEastAsia" w:cstheme="minorEastAsia"/>
          <w:b/>
          <w:bCs/>
          <w:i w:val="0"/>
          <w:iCs w:val="0"/>
          <w:color w:val="auto"/>
          <w:spacing w:val="0"/>
          <w:kern w:val="0"/>
          <w:sz w:val="28"/>
          <w:szCs w:val="28"/>
          <w:lang w:val="en-US" w:eastAsia="zh-CN" w:bidi="ar-SA"/>
        </w:rPr>
      </w:pPr>
      <w:bookmarkStart w:id="166" w:name="_Toc5222"/>
      <w:bookmarkStart w:id="167" w:name="_Toc13404"/>
      <w:r>
        <w:rPr>
          <w:rFonts w:hint="eastAsia" w:asciiTheme="minorEastAsia" w:hAnsiTheme="minorEastAsia" w:cstheme="minorEastAsia"/>
          <w:b/>
          <w:bCs/>
          <w:i w:val="0"/>
          <w:iCs w:val="0"/>
          <w:color w:val="auto"/>
          <w:spacing w:val="0"/>
          <w:kern w:val="0"/>
          <w:sz w:val="28"/>
          <w:szCs w:val="28"/>
          <w:lang w:val="en-US" w:eastAsia="zh-CN" w:bidi="ar-SA"/>
        </w:rPr>
        <w:t>五</w:t>
      </w:r>
      <w:r>
        <w:rPr>
          <w:rFonts w:hint="eastAsia" w:asciiTheme="minorEastAsia" w:hAnsiTheme="minorEastAsia" w:eastAsiaTheme="minorEastAsia" w:cstheme="minorEastAsia"/>
          <w:b/>
          <w:bCs/>
          <w:i w:val="0"/>
          <w:iCs w:val="0"/>
          <w:color w:val="auto"/>
          <w:spacing w:val="0"/>
          <w:kern w:val="0"/>
          <w:sz w:val="28"/>
          <w:szCs w:val="28"/>
          <w:lang w:val="en-US" w:eastAsia="zh-CN" w:bidi="ar-SA"/>
        </w:rPr>
        <w:t>、</w:t>
      </w:r>
      <w:r>
        <w:rPr>
          <w:rFonts w:hint="eastAsia" w:asciiTheme="minorEastAsia" w:hAnsiTheme="minorEastAsia" w:cstheme="minorEastAsia"/>
          <w:b/>
          <w:bCs/>
          <w:i w:val="0"/>
          <w:iCs w:val="0"/>
          <w:color w:val="auto"/>
          <w:spacing w:val="0"/>
          <w:kern w:val="0"/>
          <w:sz w:val="28"/>
          <w:szCs w:val="28"/>
          <w:lang w:val="en-US" w:eastAsia="zh-CN" w:bidi="ar-SA"/>
        </w:rPr>
        <w:t>企业</w:t>
      </w:r>
      <w:r>
        <w:rPr>
          <w:rFonts w:hint="eastAsia" w:asciiTheme="minorEastAsia" w:hAnsiTheme="minorEastAsia" w:eastAsiaTheme="minorEastAsia" w:cstheme="minorEastAsia"/>
          <w:b/>
          <w:bCs/>
          <w:i w:val="0"/>
          <w:iCs w:val="0"/>
          <w:color w:val="auto"/>
          <w:spacing w:val="0"/>
          <w:kern w:val="0"/>
          <w:sz w:val="28"/>
          <w:szCs w:val="28"/>
          <w:lang w:val="en-US" w:eastAsia="zh-CN" w:bidi="ar-SA"/>
        </w:rPr>
        <w:t>类似项目情况</w:t>
      </w:r>
      <w:bookmarkEnd w:id="166"/>
      <w:bookmarkEnd w:id="167"/>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bCs/>
          <w:i w:val="0"/>
          <w:iCs w:val="0"/>
          <w:color w:val="auto"/>
          <w:spacing w:val="0"/>
          <w:sz w:val="24"/>
          <w:szCs w:val="24"/>
          <w:lang w:val="en-US" w:eastAsia="zh-CN"/>
        </w:rPr>
      </w:pPr>
      <w:bookmarkStart w:id="168" w:name="_Toc7453"/>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2"/>
        <w:rPr>
          <w:rFonts w:hint="eastAsia" w:asciiTheme="minorEastAsia" w:hAnsiTheme="minorEastAsia" w:cstheme="minorEastAsia"/>
          <w:b/>
          <w:bCs/>
          <w:i w:val="0"/>
          <w:iCs w:val="0"/>
          <w:color w:val="auto"/>
          <w:spacing w:val="0"/>
          <w:sz w:val="24"/>
          <w:szCs w:val="24"/>
          <w:lang w:val="en-US" w:eastAsia="zh-CN"/>
        </w:rPr>
      </w:pPr>
      <w:bookmarkStart w:id="169" w:name="_Toc8141"/>
      <w:r>
        <w:rPr>
          <w:rFonts w:hint="eastAsia" w:asciiTheme="minorEastAsia" w:hAnsiTheme="minorEastAsia" w:cstheme="minorEastAsia"/>
          <w:b/>
          <w:bCs/>
          <w:i w:val="0"/>
          <w:iCs w:val="0"/>
          <w:color w:val="auto"/>
          <w:spacing w:val="0"/>
          <w:sz w:val="24"/>
          <w:szCs w:val="24"/>
          <w:lang w:val="en-US" w:eastAsia="zh-CN"/>
        </w:rPr>
        <w:t>（一）近三年完成的类似项目情况表</w:t>
      </w:r>
      <w:bookmarkEnd w:id="168"/>
      <w:bookmarkEnd w:id="169"/>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bCs/>
          <w:i w:val="0"/>
          <w:iCs w:val="0"/>
          <w:color w:val="auto"/>
          <w:spacing w:val="0"/>
          <w:sz w:val="24"/>
          <w:szCs w:val="24"/>
          <w:lang w:val="en-US" w:eastAsia="zh-CN"/>
        </w:rPr>
      </w:pPr>
    </w:p>
    <w:tbl>
      <w:tblPr>
        <w:tblStyle w:val="22"/>
        <w:tblW w:w="88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663"/>
        <w:gridCol w:w="1808"/>
        <w:gridCol w:w="1349"/>
        <w:gridCol w:w="1373"/>
        <w:gridCol w:w="945"/>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466" w:type="dxa"/>
          </w:tcPr>
          <w:p>
            <w:pPr>
              <w:pStyle w:val="47"/>
              <w:spacing w:before="96" w:line="242" w:lineRule="auto"/>
              <w:ind w:left="112" w:right="101"/>
              <w:rPr>
                <w:b/>
                <w:i w:val="0"/>
                <w:iCs w:val="0"/>
                <w:sz w:val="24"/>
              </w:rPr>
            </w:pPr>
            <w:r>
              <w:rPr>
                <w:b/>
                <w:i w:val="0"/>
                <w:iCs w:val="0"/>
                <w:sz w:val="24"/>
              </w:rPr>
              <w:t>序号</w:t>
            </w:r>
          </w:p>
        </w:tc>
        <w:tc>
          <w:tcPr>
            <w:tcW w:w="1663" w:type="dxa"/>
            <w:vAlign w:val="center"/>
          </w:tcPr>
          <w:p>
            <w:pPr>
              <w:pStyle w:val="47"/>
              <w:jc w:val="center"/>
              <w:rPr>
                <w:b/>
                <w:i w:val="0"/>
                <w:iCs w:val="0"/>
                <w:sz w:val="21"/>
                <w:szCs w:val="21"/>
              </w:rPr>
            </w:pPr>
            <w:r>
              <w:rPr>
                <w:b/>
                <w:i w:val="0"/>
                <w:iCs w:val="0"/>
                <w:sz w:val="21"/>
                <w:szCs w:val="21"/>
              </w:rPr>
              <w:t>使用单位全称</w:t>
            </w:r>
          </w:p>
        </w:tc>
        <w:tc>
          <w:tcPr>
            <w:tcW w:w="1808" w:type="dxa"/>
            <w:vAlign w:val="center"/>
          </w:tcPr>
          <w:p>
            <w:pPr>
              <w:pStyle w:val="47"/>
              <w:spacing w:before="4"/>
              <w:ind w:left="265"/>
              <w:jc w:val="center"/>
              <w:rPr>
                <w:rFonts w:hint="default" w:eastAsiaTheme="minorEastAsia"/>
                <w:b/>
                <w:i w:val="0"/>
                <w:iCs w:val="0"/>
                <w:sz w:val="21"/>
                <w:szCs w:val="21"/>
                <w:lang w:val="en-US" w:eastAsia="zh-CN"/>
              </w:rPr>
            </w:pPr>
            <w:r>
              <w:rPr>
                <w:rFonts w:hint="eastAsia"/>
                <w:b/>
                <w:i w:val="0"/>
                <w:iCs w:val="0"/>
                <w:sz w:val="21"/>
                <w:szCs w:val="21"/>
                <w:lang w:val="en-US" w:eastAsia="zh-CN"/>
              </w:rPr>
              <w:t>项目名称</w:t>
            </w:r>
          </w:p>
        </w:tc>
        <w:tc>
          <w:tcPr>
            <w:tcW w:w="1349" w:type="dxa"/>
            <w:vAlign w:val="center"/>
          </w:tcPr>
          <w:p>
            <w:pPr>
              <w:pStyle w:val="47"/>
              <w:spacing w:before="96"/>
              <w:ind w:left="191"/>
              <w:jc w:val="center"/>
              <w:rPr>
                <w:b/>
                <w:i w:val="0"/>
                <w:iCs w:val="0"/>
                <w:sz w:val="21"/>
                <w:szCs w:val="21"/>
              </w:rPr>
            </w:pPr>
            <w:r>
              <w:rPr>
                <w:b/>
                <w:i w:val="0"/>
                <w:iCs w:val="0"/>
                <w:sz w:val="21"/>
                <w:szCs w:val="21"/>
              </w:rPr>
              <w:t>合同金额</w:t>
            </w:r>
          </w:p>
          <w:p>
            <w:pPr>
              <w:pStyle w:val="47"/>
              <w:spacing w:before="4"/>
              <w:ind w:left="191"/>
              <w:jc w:val="center"/>
              <w:rPr>
                <w:b/>
                <w:i w:val="0"/>
                <w:iCs w:val="0"/>
                <w:sz w:val="21"/>
                <w:szCs w:val="21"/>
              </w:rPr>
            </w:pPr>
            <w:r>
              <w:rPr>
                <w:b/>
                <w:i w:val="0"/>
                <w:iCs w:val="0"/>
                <w:sz w:val="21"/>
                <w:szCs w:val="21"/>
              </w:rPr>
              <w:t>（元）</w:t>
            </w:r>
          </w:p>
        </w:tc>
        <w:tc>
          <w:tcPr>
            <w:tcW w:w="1373" w:type="dxa"/>
            <w:vAlign w:val="center"/>
          </w:tcPr>
          <w:p>
            <w:pPr>
              <w:pStyle w:val="47"/>
              <w:spacing w:before="96" w:line="242" w:lineRule="auto"/>
              <w:ind w:left="333" w:right="319"/>
              <w:jc w:val="center"/>
              <w:rPr>
                <w:b/>
                <w:i w:val="0"/>
                <w:iCs w:val="0"/>
                <w:sz w:val="21"/>
                <w:szCs w:val="21"/>
              </w:rPr>
            </w:pPr>
            <w:r>
              <w:rPr>
                <w:b/>
                <w:i w:val="0"/>
                <w:iCs w:val="0"/>
                <w:sz w:val="21"/>
                <w:szCs w:val="21"/>
              </w:rPr>
              <w:t>完成时间</w:t>
            </w:r>
          </w:p>
        </w:tc>
        <w:tc>
          <w:tcPr>
            <w:tcW w:w="945" w:type="dxa"/>
            <w:vAlign w:val="center"/>
          </w:tcPr>
          <w:p>
            <w:pPr>
              <w:pStyle w:val="47"/>
              <w:jc w:val="center"/>
              <w:rPr>
                <w:b/>
                <w:i w:val="0"/>
                <w:iCs w:val="0"/>
                <w:sz w:val="21"/>
                <w:szCs w:val="21"/>
              </w:rPr>
            </w:pPr>
            <w:r>
              <w:rPr>
                <w:b/>
                <w:i w:val="0"/>
                <w:iCs w:val="0"/>
                <w:sz w:val="21"/>
                <w:szCs w:val="21"/>
              </w:rPr>
              <w:t>联系人</w:t>
            </w:r>
          </w:p>
        </w:tc>
        <w:tc>
          <w:tcPr>
            <w:tcW w:w="1198" w:type="dxa"/>
            <w:vAlign w:val="center"/>
          </w:tcPr>
          <w:p>
            <w:pPr>
              <w:pStyle w:val="47"/>
              <w:jc w:val="center"/>
              <w:rPr>
                <w:b/>
                <w:i w:val="0"/>
                <w:iCs w:val="0"/>
                <w:sz w:val="21"/>
                <w:szCs w:val="21"/>
              </w:rPr>
            </w:pPr>
            <w:r>
              <w:rPr>
                <w:b/>
                <w:i w:val="0"/>
                <w:iCs w:val="0"/>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66" w:type="dxa"/>
          </w:tcPr>
          <w:p>
            <w:pPr>
              <w:pStyle w:val="47"/>
              <w:spacing w:before="162"/>
              <w:ind w:right="161"/>
              <w:jc w:val="right"/>
              <w:rPr>
                <w:rFonts w:ascii="Times New Roman"/>
                <w:i w:val="0"/>
                <w:iCs w:val="0"/>
                <w:sz w:val="24"/>
              </w:rPr>
            </w:pPr>
            <w:r>
              <w:rPr>
                <w:rFonts w:ascii="Times New Roman"/>
                <w:i w:val="0"/>
                <w:iCs w:val="0"/>
                <w:sz w:val="24"/>
              </w:rPr>
              <w:t>1</w:t>
            </w:r>
          </w:p>
        </w:tc>
        <w:tc>
          <w:tcPr>
            <w:tcW w:w="1663" w:type="dxa"/>
          </w:tcPr>
          <w:p>
            <w:pPr>
              <w:pStyle w:val="47"/>
              <w:rPr>
                <w:rFonts w:ascii="Times New Roman"/>
                <w:i w:val="0"/>
                <w:iCs w:val="0"/>
                <w:sz w:val="24"/>
              </w:rPr>
            </w:pPr>
          </w:p>
        </w:tc>
        <w:tc>
          <w:tcPr>
            <w:tcW w:w="1808" w:type="dxa"/>
          </w:tcPr>
          <w:p>
            <w:pPr>
              <w:pStyle w:val="47"/>
              <w:rPr>
                <w:rFonts w:ascii="Times New Roman"/>
                <w:i w:val="0"/>
                <w:iCs w:val="0"/>
                <w:sz w:val="24"/>
              </w:rPr>
            </w:pPr>
          </w:p>
        </w:tc>
        <w:tc>
          <w:tcPr>
            <w:tcW w:w="1349" w:type="dxa"/>
          </w:tcPr>
          <w:p>
            <w:pPr>
              <w:pStyle w:val="47"/>
              <w:rPr>
                <w:rFonts w:ascii="Times New Roman"/>
                <w:i w:val="0"/>
                <w:iCs w:val="0"/>
                <w:sz w:val="24"/>
              </w:rPr>
            </w:pPr>
          </w:p>
        </w:tc>
        <w:tc>
          <w:tcPr>
            <w:tcW w:w="1373" w:type="dxa"/>
          </w:tcPr>
          <w:p>
            <w:pPr>
              <w:pStyle w:val="47"/>
              <w:rPr>
                <w:rFonts w:ascii="Times New Roman"/>
                <w:i w:val="0"/>
                <w:iCs w:val="0"/>
                <w:sz w:val="24"/>
              </w:rPr>
            </w:pPr>
          </w:p>
        </w:tc>
        <w:tc>
          <w:tcPr>
            <w:tcW w:w="945" w:type="dxa"/>
          </w:tcPr>
          <w:p>
            <w:pPr>
              <w:pStyle w:val="47"/>
              <w:rPr>
                <w:rFonts w:ascii="Times New Roman"/>
                <w:i w:val="0"/>
                <w:iCs w:val="0"/>
                <w:sz w:val="24"/>
              </w:rPr>
            </w:pPr>
          </w:p>
        </w:tc>
        <w:tc>
          <w:tcPr>
            <w:tcW w:w="1198"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466" w:type="dxa"/>
          </w:tcPr>
          <w:p>
            <w:pPr>
              <w:pStyle w:val="47"/>
              <w:spacing w:before="164"/>
              <w:ind w:right="161"/>
              <w:jc w:val="right"/>
              <w:rPr>
                <w:rFonts w:ascii="Times New Roman"/>
                <w:i w:val="0"/>
                <w:iCs w:val="0"/>
                <w:sz w:val="24"/>
              </w:rPr>
            </w:pPr>
            <w:r>
              <w:rPr>
                <w:rFonts w:ascii="Times New Roman"/>
                <w:i w:val="0"/>
                <w:iCs w:val="0"/>
                <w:sz w:val="24"/>
              </w:rPr>
              <w:t>2</w:t>
            </w:r>
          </w:p>
        </w:tc>
        <w:tc>
          <w:tcPr>
            <w:tcW w:w="1663" w:type="dxa"/>
          </w:tcPr>
          <w:p>
            <w:pPr>
              <w:pStyle w:val="47"/>
              <w:rPr>
                <w:rFonts w:ascii="Times New Roman"/>
                <w:i w:val="0"/>
                <w:iCs w:val="0"/>
                <w:sz w:val="24"/>
              </w:rPr>
            </w:pPr>
          </w:p>
        </w:tc>
        <w:tc>
          <w:tcPr>
            <w:tcW w:w="1808" w:type="dxa"/>
          </w:tcPr>
          <w:p>
            <w:pPr>
              <w:pStyle w:val="47"/>
              <w:rPr>
                <w:rFonts w:ascii="Times New Roman"/>
                <w:i w:val="0"/>
                <w:iCs w:val="0"/>
                <w:sz w:val="24"/>
              </w:rPr>
            </w:pPr>
          </w:p>
        </w:tc>
        <w:tc>
          <w:tcPr>
            <w:tcW w:w="1349" w:type="dxa"/>
          </w:tcPr>
          <w:p>
            <w:pPr>
              <w:pStyle w:val="47"/>
              <w:rPr>
                <w:rFonts w:ascii="Times New Roman"/>
                <w:i w:val="0"/>
                <w:iCs w:val="0"/>
                <w:sz w:val="24"/>
              </w:rPr>
            </w:pPr>
          </w:p>
        </w:tc>
        <w:tc>
          <w:tcPr>
            <w:tcW w:w="1373" w:type="dxa"/>
          </w:tcPr>
          <w:p>
            <w:pPr>
              <w:pStyle w:val="47"/>
              <w:rPr>
                <w:rFonts w:ascii="Times New Roman"/>
                <w:i w:val="0"/>
                <w:iCs w:val="0"/>
                <w:sz w:val="24"/>
              </w:rPr>
            </w:pPr>
          </w:p>
        </w:tc>
        <w:tc>
          <w:tcPr>
            <w:tcW w:w="945" w:type="dxa"/>
          </w:tcPr>
          <w:p>
            <w:pPr>
              <w:pStyle w:val="47"/>
              <w:rPr>
                <w:rFonts w:ascii="Times New Roman"/>
                <w:i w:val="0"/>
                <w:iCs w:val="0"/>
                <w:sz w:val="24"/>
              </w:rPr>
            </w:pPr>
          </w:p>
        </w:tc>
        <w:tc>
          <w:tcPr>
            <w:tcW w:w="1198"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466" w:type="dxa"/>
          </w:tcPr>
          <w:p>
            <w:pPr>
              <w:pStyle w:val="47"/>
              <w:spacing w:before="150"/>
              <w:ind w:right="161"/>
              <w:jc w:val="right"/>
              <w:rPr>
                <w:rFonts w:ascii="Times New Roman"/>
                <w:i w:val="0"/>
                <w:iCs w:val="0"/>
                <w:sz w:val="24"/>
              </w:rPr>
            </w:pPr>
            <w:r>
              <w:rPr>
                <w:rFonts w:ascii="Times New Roman"/>
                <w:i w:val="0"/>
                <w:iCs w:val="0"/>
                <w:sz w:val="24"/>
              </w:rPr>
              <w:t>3</w:t>
            </w:r>
          </w:p>
        </w:tc>
        <w:tc>
          <w:tcPr>
            <w:tcW w:w="1663" w:type="dxa"/>
          </w:tcPr>
          <w:p>
            <w:pPr>
              <w:pStyle w:val="47"/>
              <w:rPr>
                <w:rFonts w:ascii="Times New Roman"/>
                <w:i w:val="0"/>
                <w:iCs w:val="0"/>
                <w:sz w:val="24"/>
              </w:rPr>
            </w:pPr>
          </w:p>
        </w:tc>
        <w:tc>
          <w:tcPr>
            <w:tcW w:w="1808" w:type="dxa"/>
          </w:tcPr>
          <w:p>
            <w:pPr>
              <w:pStyle w:val="47"/>
              <w:rPr>
                <w:rFonts w:ascii="Times New Roman"/>
                <w:i w:val="0"/>
                <w:iCs w:val="0"/>
                <w:sz w:val="24"/>
              </w:rPr>
            </w:pPr>
          </w:p>
        </w:tc>
        <w:tc>
          <w:tcPr>
            <w:tcW w:w="1349" w:type="dxa"/>
          </w:tcPr>
          <w:p>
            <w:pPr>
              <w:pStyle w:val="47"/>
              <w:rPr>
                <w:rFonts w:ascii="Times New Roman"/>
                <w:i w:val="0"/>
                <w:iCs w:val="0"/>
                <w:sz w:val="24"/>
              </w:rPr>
            </w:pPr>
          </w:p>
        </w:tc>
        <w:tc>
          <w:tcPr>
            <w:tcW w:w="1373" w:type="dxa"/>
          </w:tcPr>
          <w:p>
            <w:pPr>
              <w:pStyle w:val="47"/>
              <w:rPr>
                <w:rFonts w:ascii="Times New Roman"/>
                <w:i w:val="0"/>
                <w:iCs w:val="0"/>
                <w:sz w:val="24"/>
              </w:rPr>
            </w:pPr>
          </w:p>
        </w:tc>
        <w:tc>
          <w:tcPr>
            <w:tcW w:w="945" w:type="dxa"/>
          </w:tcPr>
          <w:p>
            <w:pPr>
              <w:pStyle w:val="47"/>
              <w:rPr>
                <w:rFonts w:ascii="Times New Roman"/>
                <w:i w:val="0"/>
                <w:iCs w:val="0"/>
                <w:sz w:val="24"/>
              </w:rPr>
            </w:pPr>
          </w:p>
        </w:tc>
        <w:tc>
          <w:tcPr>
            <w:tcW w:w="1198"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466" w:type="dxa"/>
          </w:tcPr>
          <w:p>
            <w:pPr>
              <w:pStyle w:val="47"/>
              <w:spacing w:before="159"/>
              <w:ind w:right="161"/>
              <w:jc w:val="right"/>
              <w:rPr>
                <w:rFonts w:ascii="Times New Roman"/>
                <w:i w:val="0"/>
                <w:iCs w:val="0"/>
                <w:sz w:val="24"/>
              </w:rPr>
            </w:pPr>
            <w:r>
              <w:rPr>
                <w:rFonts w:ascii="Times New Roman"/>
                <w:i w:val="0"/>
                <w:iCs w:val="0"/>
                <w:sz w:val="24"/>
              </w:rPr>
              <w:t>4</w:t>
            </w:r>
          </w:p>
        </w:tc>
        <w:tc>
          <w:tcPr>
            <w:tcW w:w="1663" w:type="dxa"/>
          </w:tcPr>
          <w:p>
            <w:pPr>
              <w:pStyle w:val="47"/>
              <w:rPr>
                <w:rFonts w:ascii="Times New Roman"/>
                <w:i w:val="0"/>
                <w:iCs w:val="0"/>
                <w:sz w:val="24"/>
              </w:rPr>
            </w:pPr>
          </w:p>
        </w:tc>
        <w:tc>
          <w:tcPr>
            <w:tcW w:w="1808" w:type="dxa"/>
          </w:tcPr>
          <w:p>
            <w:pPr>
              <w:pStyle w:val="47"/>
              <w:rPr>
                <w:rFonts w:ascii="Times New Roman"/>
                <w:i w:val="0"/>
                <w:iCs w:val="0"/>
                <w:sz w:val="24"/>
              </w:rPr>
            </w:pPr>
          </w:p>
        </w:tc>
        <w:tc>
          <w:tcPr>
            <w:tcW w:w="1349" w:type="dxa"/>
          </w:tcPr>
          <w:p>
            <w:pPr>
              <w:pStyle w:val="47"/>
              <w:rPr>
                <w:rFonts w:ascii="Times New Roman"/>
                <w:i w:val="0"/>
                <w:iCs w:val="0"/>
                <w:sz w:val="24"/>
              </w:rPr>
            </w:pPr>
          </w:p>
        </w:tc>
        <w:tc>
          <w:tcPr>
            <w:tcW w:w="1373" w:type="dxa"/>
          </w:tcPr>
          <w:p>
            <w:pPr>
              <w:pStyle w:val="47"/>
              <w:rPr>
                <w:rFonts w:ascii="Times New Roman"/>
                <w:i w:val="0"/>
                <w:iCs w:val="0"/>
                <w:sz w:val="24"/>
              </w:rPr>
            </w:pPr>
          </w:p>
        </w:tc>
        <w:tc>
          <w:tcPr>
            <w:tcW w:w="945" w:type="dxa"/>
          </w:tcPr>
          <w:p>
            <w:pPr>
              <w:pStyle w:val="47"/>
              <w:rPr>
                <w:rFonts w:ascii="Times New Roman"/>
                <w:i w:val="0"/>
                <w:iCs w:val="0"/>
                <w:sz w:val="24"/>
              </w:rPr>
            </w:pPr>
          </w:p>
        </w:tc>
        <w:tc>
          <w:tcPr>
            <w:tcW w:w="1198"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8" w:hRule="atLeast"/>
          <w:jc w:val="center"/>
        </w:trPr>
        <w:tc>
          <w:tcPr>
            <w:tcW w:w="466" w:type="dxa"/>
          </w:tcPr>
          <w:p>
            <w:pPr>
              <w:pStyle w:val="47"/>
              <w:spacing w:before="162"/>
              <w:ind w:right="161"/>
              <w:jc w:val="right"/>
              <w:rPr>
                <w:rFonts w:ascii="Times New Roman"/>
                <w:i w:val="0"/>
                <w:iCs w:val="0"/>
                <w:sz w:val="24"/>
              </w:rPr>
            </w:pPr>
            <w:r>
              <w:rPr>
                <w:rFonts w:ascii="Times New Roman"/>
                <w:i w:val="0"/>
                <w:iCs w:val="0"/>
                <w:sz w:val="24"/>
              </w:rPr>
              <w:t>5</w:t>
            </w:r>
          </w:p>
        </w:tc>
        <w:tc>
          <w:tcPr>
            <w:tcW w:w="1663" w:type="dxa"/>
          </w:tcPr>
          <w:p>
            <w:pPr>
              <w:pStyle w:val="47"/>
              <w:rPr>
                <w:rFonts w:ascii="Times New Roman"/>
                <w:i w:val="0"/>
                <w:iCs w:val="0"/>
                <w:sz w:val="24"/>
              </w:rPr>
            </w:pPr>
          </w:p>
        </w:tc>
        <w:tc>
          <w:tcPr>
            <w:tcW w:w="1808" w:type="dxa"/>
          </w:tcPr>
          <w:p>
            <w:pPr>
              <w:pStyle w:val="47"/>
              <w:rPr>
                <w:rFonts w:ascii="Times New Roman"/>
                <w:i w:val="0"/>
                <w:iCs w:val="0"/>
                <w:sz w:val="24"/>
              </w:rPr>
            </w:pPr>
          </w:p>
        </w:tc>
        <w:tc>
          <w:tcPr>
            <w:tcW w:w="1349" w:type="dxa"/>
          </w:tcPr>
          <w:p>
            <w:pPr>
              <w:pStyle w:val="47"/>
              <w:rPr>
                <w:rFonts w:ascii="Times New Roman"/>
                <w:i w:val="0"/>
                <w:iCs w:val="0"/>
                <w:sz w:val="24"/>
              </w:rPr>
            </w:pPr>
          </w:p>
        </w:tc>
        <w:tc>
          <w:tcPr>
            <w:tcW w:w="1373" w:type="dxa"/>
          </w:tcPr>
          <w:p>
            <w:pPr>
              <w:pStyle w:val="47"/>
              <w:rPr>
                <w:rFonts w:ascii="Times New Roman"/>
                <w:i w:val="0"/>
                <w:iCs w:val="0"/>
                <w:sz w:val="24"/>
              </w:rPr>
            </w:pPr>
          </w:p>
        </w:tc>
        <w:tc>
          <w:tcPr>
            <w:tcW w:w="945" w:type="dxa"/>
          </w:tcPr>
          <w:p>
            <w:pPr>
              <w:pStyle w:val="47"/>
              <w:rPr>
                <w:rFonts w:ascii="Times New Roman"/>
                <w:i w:val="0"/>
                <w:iCs w:val="0"/>
                <w:sz w:val="24"/>
              </w:rPr>
            </w:pPr>
          </w:p>
        </w:tc>
        <w:tc>
          <w:tcPr>
            <w:tcW w:w="1198"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66" w:type="dxa"/>
          </w:tcPr>
          <w:p>
            <w:pPr>
              <w:pStyle w:val="47"/>
              <w:spacing w:before="159"/>
              <w:ind w:right="161"/>
              <w:jc w:val="right"/>
              <w:rPr>
                <w:rFonts w:ascii="Times New Roman"/>
                <w:i w:val="0"/>
                <w:iCs w:val="0"/>
                <w:sz w:val="24"/>
              </w:rPr>
            </w:pPr>
            <w:r>
              <w:rPr>
                <w:rFonts w:ascii="Times New Roman"/>
                <w:i w:val="0"/>
                <w:iCs w:val="0"/>
                <w:sz w:val="24"/>
              </w:rPr>
              <w:t>6</w:t>
            </w:r>
          </w:p>
        </w:tc>
        <w:tc>
          <w:tcPr>
            <w:tcW w:w="1663" w:type="dxa"/>
          </w:tcPr>
          <w:p>
            <w:pPr>
              <w:pStyle w:val="47"/>
              <w:rPr>
                <w:rFonts w:ascii="Times New Roman"/>
                <w:i w:val="0"/>
                <w:iCs w:val="0"/>
                <w:sz w:val="24"/>
              </w:rPr>
            </w:pPr>
          </w:p>
        </w:tc>
        <w:tc>
          <w:tcPr>
            <w:tcW w:w="1808" w:type="dxa"/>
          </w:tcPr>
          <w:p>
            <w:pPr>
              <w:pStyle w:val="47"/>
              <w:rPr>
                <w:rFonts w:ascii="Times New Roman"/>
                <w:i w:val="0"/>
                <w:iCs w:val="0"/>
                <w:sz w:val="24"/>
              </w:rPr>
            </w:pPr>
          </w:p>
        </w:tc>
        <w:tc>
          <w:tcPr>
            <w:tcW w:w="1349" w:type="dxa"/>
          </w:tcPr>
          <w:p>
            <w:pPr>
              <w:pStyle w:val="47"/>
              <w:rPr>
                <w:rFonts w:ascii="Times New Roman"/>
                <w:i w:val="0"/>
                <w:iCs w:val="0"/>
                <w:sz w:val="24"/>
              </w:rPr>
            </w:pPr>
          </w:p>
        </w:tc>
        <w:tc>
          <w:tcPr>
            <w:tcW w:w="1373" w:type="dxa"/>
          </w:tcPr>
          <w:p>
            <w:pPr>
              <w:pStyle w:val="47"/>
              <w:rPr>
                <w:rFonts w:ascii="Times New Roman"/>
                <w:i w:val="0"/>
                <w:iCs w:val="0"/>
                <w:sz w:val="24"/>
              </w:rPr>
            </w:pPr>
          </w:p>
        </w:tc>
        <w:tc>
          <w:tcPr>
            <w:tcW w:w="945" w:type="dxa"/>
          </w:tcPr>
          <w:p>
            <w:pPr>
              <w:pStyle w:val="47"/>
              <w:rPr>
                <w:rFonts w:ascii="Times New Roman"/>
                <w:i w:val="0"/>
                <w:iCs w:val="0"/>
                <w:sz w:val="24"/>
              </w:rPr>
            </w:pPr>
          </w:p>
        </w:tc>
        <w:tc>
          <w:tcPr>
            <w:tcW w:w="1198"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466" w:type="dxa"/>
          </w:tcPr>
          <w:p>
            <w:pPr>
              <w:pStyle w:val="47"/>
              <w:spacing w:before="162"/>
              <w:ind w:right="161"/>
              <w:jc w:val="right"/>
              <w:rPr>
                <w:rFonts w:ascii="Times New Roman"/>
                <w:i w:val="0"/>
                <w:iCs w:val="0"/>
                <w:sz w:val="24"/>
              </w:rPr>
            </w:pPr>
            <w:r>
              <w:rPr>
                <w:rFonts w:ascii="Times New Roman"/>
                <w:i w:val="0"/>
                <w:iCs w:val="0"/>
                <w:sz w:val="24"/>
              </w:rPr>
              <w:t>7</w:t>
            </w:r>
          </w:p>
        </w:tc>
        <w:tc>
          <w:tcPr>
            <w:tcW w:w="1663" w:type="dxa"/>
          </w:tcPr>
          <w:p>
            <w:pPr>
              <w:pStyle w:val="47"/>
              <w:rPr>
                <w:rFonts w:ascii="Times New Roman"/>
                <w:i w:val="0"/>
                <w:iCs w:val="0"/>
                <w:sz w:val="24"/>
              </w:rPr>
            </w:pPr>
          </w:p>
        </w:tc>
        <w:tc>
          <w:tcPr>
            <w:tcW w:w="1808" w:type="dxa"/>
          </w:tcPr>
          <w:p>
            <w:pPr>
              <w:pStyle w:val="47"/>
              <w:rPr>
                <w:rFonts w:ascii="Times New Roman"/>
                <w:i w:val="0"/>
                <w:iCs w:val="0"/>
                <w:sz w:val="24"/>
              </w:rPr>
            </w:pPr>
          </w:p>
        </w:tc>
        <w:tc>
          <w:tcPr>
            <w:tcW w:w="1349" w:type="dxa"/>
          </w:tcPr>
          <w:p>
            <w:pPr>
              <w:pStyle w:val="47"/>
              <w:rPr>
                <w:rFonts w:ascii="Times New Roman"/>
                <w:i w:val="0"/>
                <w:iCs w:val="0"/>
                <w:sz w:val="24"/>
              </w:rPr>
            </w:pPr>
          </w:p>
        </w:tc>
        <w:tc>
          <w:tcPr>
            <w:tcW w:w="1373" w:type="dxa"/>
          </w:tcPr>
          <w:p>
            <w:pPr>
              <w:pStyle w:val="47"/>
              <w:rPr>
                <w:rFonts w:ascii="Times New Roman"/>
                <w:i w:val="0"/>
                <w:iCs w:val="0"/>
                <w:sz w:val="24"/>
              </w:rPr>
            </w:pPr>
          </w:p>
        </w:tc>
        <w:tc>
          <w:tcPr>
            <w:tcW w:w="945" w:type="dxa"/>
          </w:tcPr>
          <w:p>
            <w:pPr>
              <w:pStyle w:val="47"/>
              <w:rPr>
                <w:rFonts w:ascii="Times New Roman"/>
                <w:i w:val="0"/>
                <w:iCs w:val="0"/>
                <w:sz w:val="24"/>
              </w:rPr>
            </w:pPr>
          </w:p>
        </w:tc>
        <w:tc>
          <w:tcPr>
            <w:tcW w:w="1198"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466" w:type="dxa"/>
          </w:tcPr>
          <w:p>
            <w:pPr>
              <w:pStyle w:val="47"/>
              <w:spacing w:before="159"/>
              <w:ind w:right="161"/>
              <w:jc w:val="right"/>
              <w:rPr>
                <w:rFonts w:ascii="Times New Roman"/>
                <w:i w:val="0"/>
                <w:iCs w:val="0"/>
                <w:sz w:val="24"/>
              </w:rPr>
            </w:pPr>
            <w:r>
              <w:rPr>
                <w:rFonts w:ascii="Times New Roman"/>
                <w:i w:val="0"/>
                <w:iCs w:val="0"/>
                <w:sz w:val="24"/>
              </w:rPr>
              <w:t>8</w:t>
            </w:r>
          </w:p>
        </w:tc>
        <w:tc>
          <w:tcPr>
            <w:tcW w:w="1663" w:type="dxa"/>
          </w:tcPr>
          <w:p>
            <w:pPr>
              <w:pStyle w:val="47"/>
              <w:rPr>
                <w:rFonts w:ascii="Times New Roman"/>
                <w:i w:val="0"/>
                <w:iCs w:val="0"/>
                <w:sz w:val="24"/>
              </w:rPr>
            </w:pPr>
          </w:p>
        </w:tc>
        <w:tc>
          <w:tcPr>
            <w:tcW w:w="1808" w:type="dxa"/>
          </w:tcPr>
          <w:p>
            <w:pPr>
              <w:pStyle w:val="47"/>
              <w:rPr>
                <w:rFonts w:ascii="Times New Roman"/>
                <w:i w:val="0"/>
                <w:iCs w:val="0"/>
                <w:sz w:val="24"/>
              </w:rPr>
            </w:pPr>
          </w:p>
        </w:tc>
        <w:tc>
          <w:tcPr>
            <w:tcW w:w="1349" w:type="dxa"/>
          </w:tcPr>
          <w:p>
            <w:pPr>
              <w:pStyle w:val="47"/>
              <w:rPr>
                <w:rFonts w:ascii="Times New Roman"/>
                <w:i w:val="0"/>
                <w:iCs w:val="0"/>
                <w:sz w:val="24"/>
              </w:rPr>
            </w:pPr>
          </w:p>
        </w:tc>
        <w:tc>
          <w:tcPr>
            <w:tcW w:w="1373" w:type="dxa"/>
          </w:tcPr>
          <w:p>
            <w:pPr>
              <w:pStyle w:val="47"/>
              <w:rPr>
                <w:rFonts w:ascii="Times New Roman"/>
                <w:i w:val="0"/>
                <w:iCs w:val="0"/>
                <w:sz w:val="24"/>
              </w:rPr>
            </w:pPr>
          </w:p>
        </w:tc>
        <w:tc>
          <w:tcPr>
            <w:tcW w:w="945" w:type="dxa"/>
          </w:tcPr>
          <w:p>
            <w:pPr>
              <w:pStyle w:val="47"/>
              <w:rPr>
                <w:rFonts w:ascii="Times New Roman"/>
                <w:i w:val="0"/>
                <w:iCs w:val="0"/>
                <w:sz w:val="24"/>
              </w:rPr>
            </w:pPr>
          </w:p>
        </w:tc>
        <w:tc>
          <w:tcPr>
            <w:tcW w:w="1198"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466" w:type="dxa"/>
          </w:tcPr>
          <w:p>
            <w:pPr>
              <w:pStyle w:val="47"/>
              <w:spacing w:before="162"/>
              <w:ind w:right="161"/>
              <w:jc w:val="right"/>
              <w:rPr>
                <w:rFonts w:ascii="Times New Roman"/>
                <w:i w:val="0"/>
                <w:iCs w:val="0"/>
                <w:sz w:val="24"/>
              </w:rPr>
            </w:pPr>
            <w:r>
              <w:rPr>
                <w:rFonts w:ascii="Times New Roman"/>
                <w:i w:val="0"/>
                <w:iCs w:val="0"/>
                <w:sz w:val="24"/>
              </w:rPr>
              <w:t>9</w:t>
            </w:r>
          </w:p>
        </w:tc>
        <w:tc>
          <w:tcPr>
            <w:tcW w:w="1663" w:type="dxa"/>
          </w:tcPr>
          <w:p>
            <w:pPr>
              <w:pStyle w:val="47"/>
              <w:rPr>
                <w:rFonts w:ascii="Times New Roman"/>
                <w:i w:val="0"/>
                <w:iCs w:val="0"/>
                <w:sz w:val="24"/>
              </w:rPr>
            </w:pPr>
          </w:p>
        </w:tc>
        <w:tc>
          <w:tcPr>
            <w:tcW w:w="1808" w:type="dxa"/>
          </w:tcPr>
          <w:p>
            <w:pPr>
              <w:pStyle w:val="47"/>
              <w:rPr>
                <w:rFonts w:ascii="Times New Roman"/>
                <w:i w:val="0"/>
                <w:iCs w:val="0"/>
                <w:sz w:val="24"/>
              </w:rPr>
            </w:pPr>
          </w:p>
        </w:tc>
        <w:tc>
          <w:tcPr>
            <w:tcW w:w="1349" w:type="dxa"/>
          </w:tcPr>
          <w:p>
            <w:pPr>
              <w:pStyle w:val="47"/>
              <w:rPr>
                <w:rFonts w:ascii="Times New Roman"/>
                <w:i w:val="0"/>
                <w:iCs w:val="0"/>
                <w:sz w:val="24"/>
              </w:rPr>
            </w:pPr>
          </w:p>
        </w:tc>
        <w:tc>
          <w:tcPr>
            <w:tcW w:w="1373" w:type="dxa"/>
          </w:tcPr>
          <w:p>
            <w:pPr>
              <w:pStyle w:val="47"/>
              <w:rPr>
                <w:rFonts w:ascii="Times New Roman"/>
                <w:i w:val="0"/>
                <w:iCs w:val="0"/>
                <w:sz w:val="24"/>
              </w:rPr>
            </w:pPr>
          </w:p>
        </w:tc>
        <w:tc>
          <w:tcPr>
            <w:tcW w:w="945" w:type="dxa"/>
          </w:tcPr>
          <w:p>
            <w:pPr>
              <w:pStyle w:val="47"/>
              <w:rPr>
                <w:rFonts w:ascii="Times New Roman"/>
                <w:i w:val="0"/>
                <w:iCs w:val="0"/>
                <w:sz w:val="24"/>
              </w:rPr>
            </w:pPr>
          </w:p>
        </w:tc>
        <w:tc>
          <w:tcPr>
            <w:tcW w:w="1198"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jc w:val="center"/>
        </w:trPr>
        <w:tc>
          <w:tcPr>
            <w:tcW w:w="466" w:type="dxa"/>
          </w:tcPr>
          <w:p>
            <w:pPr>
              <w:pStyle w:val="47"/>
              <w:spacing w:before="159"/>
              <w:ind w:right="101"/>
              <w:jc w:val="right"/>
              <w:rPr>
                <w:rFonts w:ascii="Times New Roman"/>
                <w:i w:val="0"/>
                <w:iCs w:val="0"/>
                <w:sz w:val="24"/>
              </w:rPr>
            </w:pPr>
            <w:r>
              <w:rPr>
                <w:rFonts w:ascii="Times New Roman"/>
                <w:i w:val="0"/>
                <w:iCs w:val="0"/>
                <w:sz w:val="24"/>
              </w:rPr>
              <w:t>10</w:t>
            </w:r>
          </w:p>
        </w:tc>
        <w:tc>
          <w:tcPr>
            <w:tcW w:w="1663" w:type="dxa"/>
          </w:tcPr>
          <w:p>
            <w:pPr>
              <w:pStyle w:val="47"/>
              <w:rPr>
                <w:rFonts w:ascii="Times New Roman"/>
                <w:i w:val="0"/>
                <w:iCs w:val="0"/>
                <w:sz w:val="24"/>
              </w:rPr>
            </w:pPr>
          </w:p>
        </w:tc>
        <w:tc>
          <w:tcPr>
            <w:tcW w:w="1808" w:type="dxa"/>
          </w:tcPr>
          <w:p>
            <w:pPr>
              <w:pStyle w:val="47"/>
              <w:rPr>
                <w:rFonts w:ascii="Times New Roman"/>
                <w:i w:val="0"/>
                <w:iCs w:val="0"/>
                <w:sz w:val="24"/>
              </w:rPr>
            </w:pPr>
          </w:p>
        </w:tc>
        <w:tc>
          <w:tcPr>
            <w:tcW w:w="1349" w:type="dxa"/>
          </w:tcPr>
          <w:p>
            <w:pPr>
              <w:pStyle w:val="47"/>
              <w:rPr>
                <w:rFonts w:ascii="Times New Roman"/>
                <w:i w:val="0"/>
                <w:iCs w:val="0"/>
                <w:sz w:val="24"/>
              </w:rPr>
            </w:pPr>
          </w:p>
        </w:tc>
        <w:tc>
          <w:tcPr>
            <w:tcW w:w="1373" w:type="dxa"/>
          </w:tcPr>
          <w:p>
            <w:pPr>
              <w:pStyle w:val="47"/>
              <w:rPr>
                <w:rFonts w:ascii="Times New Roman"/>
                <w:i w:val="0"/>
                <w:iCs w:val="0"/>
                <w:sz w:val="24"/>
              </w:rPr>
            </w:pPr>
          </w:p>
        </w:tc>
        <w:tc>
          <w:tcPr>
            <w:tcW w:w="945" w:type="dxa"/>
          </w:tcPr>
          <w:p>
            <w:pPr>
              <w:pStyle w:val="47"/>
              <w:rPr>
                <w:rFonts w:ascii="Times New Roman"/>
                <w:i w:val="0"/>
                <w:iCs w:val="0"/>
                <w:sz w:val="24"/>
              </w:rPr>
            </w:pPr>
          </w:p>
        </w:tc>
        <w:tc>
          <w:tcPr>
            <w:tcW w:w="1198"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2129" w:type="dxa"/>
            <w:gridSpan w:val="2"/>
          </w:tcPr>
          <w:p>
            <w:pPr>
              <w:pStyle w:val="47"/>
              <w:spacing w:before="151"/>
              <w:ind w:left="107" w:right="-29"/>
              <w:rPr>
                <w:i w:val="0"/>
                <w:iCs w:val="0"/>
                <w:sz w:val="24"/>
              </w:rPr>
            </w:pPr>
            <w:r>
              <w:rPr>
                <w:i w:val="0"/>
                <w:iCs w:val="0"/>
                <w:spacing w:val="-10"/>
                <w:sz w:val="24"/>
              </w:rPr>
              <w:t>合同金额合计</w:t>
            </w:r>
            <w:r>
              <w:rPr>
                <w:i w:val="0"/>
                <w:iCs w:val="0"/>
                <w:sz w:val="24"/>
              </w:rPr>
              <w:t>（万元</w:t>
            </w:r>
            <w:r>
              <w:rPr>
                <w:i w:val="0"/>
                <w:iCs w:val="0"/>
                <w:spacing w:val="-11"/>
                <w:sz w:val="24"/>
              </w:rPr>
              <w:t>）</w:t>
            </w:r>
          </w:p>
        </w:tc>
        <w:tc>
          <w:tcPr>
            <w:tcW w:w="1808" w:type="dxa"/>
          </w:tcPr>
          <w:p>
            <w:pPr>
              <w:pStyle w:val="47"/>
              <w:rPr>
                <w:rFonts w:ascii="Times New Roman"/>
                <w:i w:val="0"/>
                <w:iCs w:val="0"/>
                <w:sz w:val="24"/>
              </w:rPr>
            </w:pPr>
          </w:p>
        </w:tc>
        <w:tc>
          <w:tcPr>
            <w:tcW w:w="1349" w:type="dxa"/>
          </w:tcPr>
          <w:p>
            <w:pPr>
              <w:pStyle w:val="47"/>
              <w:rPr>
                <w:rFonts w:ascii="Times New Roman"/>
                <w:i w:val="0"/>
                <w:iCs w:val="0"/>
                <w:sz w:val="24"/>
              </w:rPr>
            </w:pPr>
          </w:p>
        </w:tc>
        <w:tc>
          <w:tcPr>
            <w:tcW w:w="3516" w:type="dxa"/>
            <w:gridSpan w:val="3"/>
          </w:tcPr>
          <w:p>
            <w:pPr>
              <w:pStyle w:val="47"/>
              <w:rPr>
                <w:rFonts w:ascii="Times New Roman"/>
                <w:i w:val="0"/>
                <w:iCs w:val="0"/>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注：1．投标人应根据招标文件要求在本表后附中标通知书或业绩合同等相关证明材料。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9"/>
        <w:bidi w:val="0"/>
        <w:rPr>
          <w:rFonts w:hint="eastAsia"/>
          <w:i w:val="0"/>
          <w:i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2"/>
        <w:rPr>
          <w:rFonts w:hint="eastAsia" w:asciiTheme="minorEastAsia" w:hAnsiTheme="minorEastAsia" w:cstheme="minorEastAsia"/>
          <w:b/>
          <w:bCs/>
          <w:i w:val="0"/>
          <w:iCs w:val="0"/>
          <w:color w:val="auto"/>
          <w:spacing w:val="0"/>
          <w:sz w:val="24"/>
          <w:szCs w:val="24"/>
          <w:lang w:val="en-US" w:eastAsia="zh-CN"/>
        </w:rPr>
      </w:pPr>
      <w:bookmarkStart w:id="170" w:name="_Toc944"/>
      <w:bookmarkStart w:id="171" w:name="_Toc28980"/>
      <w:r>
        <w:rPr>
          <w:rFonts w:hint="eastAsia" w:asciiTheme="minorEastAsia" w:hAnsiTheme="minorEastAsia" w:cstheme="minorEastAsia"/>
          <w:b/>
          <w:bCs/>
          <w:i w:val="0"/>
          <w:iCs w:val="0"/>
          <w:color w:val="auto"/>
          <w:spacing w:val="0"/>
          <w:sz w:val="24"/>
          <w:szCs w:val="24"/>
          <w:lang w:val="en-US" w:eastAsia="zh-CN"/>
        </w:rPr>
        <w:t>（二）在建项目和新承接的项目情况表</w:t>
      </w:r>
      <w:bookmarkEnd w:id="170"/>
      <w:bookmarkEnd w:id="171"/>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bCs/>
          <w:i w:val="0"/>
          <w:iCs w:val="0"/>
          <w:color w:val="auto"/>
          <w:spacing w:val="0"/>
          <w:sz w:val="24"/>
          <w:szCs w:val="24"/>
          <w:lang w:val="en-US" w:eastAsia="zh-CN"/>
        </w:rPr>
      </w:pPr>
    </w:p>
    <w:tbl>
      <w:tblPr>
        <w:tblStyle w:val="22"/>
        <w:tblW w:w="8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2194"/>
        <w:gridCol w:w="1669"/>
        <w:gridCol w:w="1491"/>
        <w:gridCol w:w="1103"/>
        <w:gridCol w:w="1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518" w:type="dxa"/>
          </w:tcPr>
          <w:p>
            <w:pPr>
              <w:pStyle w:val="47"/>
              <w:spacing w:before="96" w:line="242" w:lineRule="auto"/>
              <w:ind w:left="112" w:right="101"/>
              <w:rPr>
                <w:b/>
                <w:i w:val="0"/>
                <w:iCs w:val="0"/>
                <w:sz w:val="24"/>
              </w:rPr>
            </w:pPr>
            <w:r>
              <w:rPr>
                <w:b/>
                <w:i w:val="0"/>
                <w:iCs w:val="0"/>
                <w:sz w:val="24"/>
              </w:rPr>
              <w:t>序号</w:t>
            </w:r>
          </w:p>
        </w:tc>
        <w:tc>
          <w:tcPr>
            <w:tcW w:w="2194" w:type="dxa"/>
            <w:vAlign w:val="center"/>
          </w:tcPr>
          <w:p>
            <w:pPr>
              <w:pStyle w:val="47"/>
              <w:ind w:left="260"/>
              <w:jc w:val="center"/>
              <w:rPr>
                <w:b/>
                <w:i w:val="0"/>
                <w:iCs w:val="0"/>
                <w:sz w:val="21"/>
                <w:szCs w:val="21"/>
              </w:rPr>
            </w:pPr>
            <w:r>
              <w:rPr>
                <w:b/>
                <w:i w:val="0"/>
                <w:iCs w:val="0"/>
                <w:sz w:val="21"/>
                <w:szCs w:val="21"/>
              </w:rPr>
              <w:t>使用单位全称</w:t>
            </w:r>
          </w:p>
        </w:tc>
        <w:tc>
          <w:tcPr>
            <w:tcW w:w="1669" w:type="dxa"/>
            <w:vAlign w:val="center"/>
          </w:tcPr>
          <w:p>
            <w:pPr>
              <w:pStyle w:val="47"/>
              <w:spacing w:before="4"/>
              <w:ind w:left="265"/>
              <w:jc w:val="center"/>
              <w:rPr>
                <w:b/>
                <w:i w:val="0"/>
                <w:iCs w:val="0"/>
                <w:sz w:val="21"/>
                <w:szCs w:val="21"/>
              </w:rPr>
            </w:pPr>
            <w:r>
              <w:rPr>
                <w:rFonts w:hint="eastAsia"/>
                <w:b/>
                <w:i w:val="0"/>
                <w:iCs w:val="0"/>
                <w:sz w:val="21"/>
                <w:szCs w:val="21"/>
                <w:lang w:val="en-US" w:eastAsia="zh-CN"/>
              </w:rPr>
              <w:t>项目名称</w:t>
            </w:r>
          </w:p>
        </w:tc>
        <w:tc>
          <w:tcPr>
            <w:tcW w:w="1491" w:type="dxa"/>
            <w:vAlign w:val="center"/>
          </w:tcPr>
          <w:p>
            <w:pPr>
              <w:pStyle w:val="47"/>
              <w:spacing w:before="96"/>
              <w:ind w:left="191"/>
              <w:jc w:val="center"/>
              <w:rPr>
                <w:b/>
                <w:i w:val="0"/>
                <w:iCs w:val="0"/>
                <w:sz w:val="21"/>
                <w:szCs w:val="21"/>
              </w:rPr>
            </w:pPr>
            <w:r>
              <w:rPr>
                <w:b/>
                <w:i w:val="0"/>
                <w:iCs w:val="0"/>
                <w:sz w:val="21"/>
                <w:szCs w:val="21"/>
              </w:rPr>
              <w:t>合同金额</w:t>
            </w:r>
          </w:p>
          <w:p>
            <w:pPr>
              <w:pStyle w:val="47"/>
              <w:spacing w:before="4"/>
              <w:ind w:left="191"/>
              <w:jc w:val="center"/>
              <w:rPr>
                <w:b/>
                <w:i w:val="0"/>
                <w:iCs w:val="0"/>
                <w:sz w:val="21"/>
                <w:szCs w:val="21"/>
              </w:rPr>
            </w:pPr>
            <w:r>
              <w:rPr>
                <w:b/>
                <w:i w:val="0"/>
                <w:iCs w:val="0"/>
                <w:sz w:val="21"/>
                <w:szCs w:val="21"/>
              </w:rPr>
              <w:t>（元）</w:t>
            </w:r>
          </w:p>
        </w:tc>
        <w:tc>
          <w:tcPr>
            <w:tcW w:w="1103" w:type="dxa"/>
            <w:vAlign w:val="center"/>
          </w:tcPr>
          <w:p>
            <w:pPr>
              <w:pStyle w:val="47"/>
              <w:ind w:left="127"/>
              <w:jc w:val="center"/>
              <w:rPr>
                <w:b/>
                <w:i w:val="0"/>
                <w:iCs w:val="0"/>
                <w:sz w:val="21"/>
                <w:szCs w:val="21"/>
              </w:rPr>
            </w:pPr>
            <w:r>
              <w:rPr>
                <w:b/>
                <w:i w:val="0"/>
                <w:iCs w:val="0"/>
                <w:sz w:val="21"/>
                <w:szCs w:val="21"/>
              </w:rPr>
              <w:t>联系人</w:t>
            </w:r>
          </w:p>
        </w:tc>
        <w:tc>
          <w:tcPr>
            <w:tcW w:w="1542" w:type="dxa"/>
            <w:vAlign w:val="center"/>
          </w:tcPr>
          <w:p>
            <w:pPr>
              <w:pStyle w:val="47"/>
              <w:ind w:left="209"/>
              <w:jc w:val="center"/>
              <w:rPr>
                <w:b/>
                <w:i w:val="0"/>
                <w:iCs w:val="0"/>
                <w:sz w:val="21"/>
                <w:szCs w:val="21"/>
              </w:rPr>
            </w:pPr>
            <w:r>
              <w:rPr>
                <w:b/>
                <w:i w:val="0"/>
                <w:iCs w:val="0"/>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518" w:type="dxa"/>
          </w:tcPr>
          <w:p>
            <w:pPr>
              <w:pStyle w:val="47"/>
              <w:spacing w:before="162"/>
              <w:ind w:right="161"/>
              <w:jc w:val="right"/>
              <w:rPr>
                <w:rFonts w:ascii="Times New Roman"/>
                <w:i w:val="0"/>
                <w:iCs w:val="0"/>
                <w:sz w:val="24"/>
              </w:rPr>
            </w:pPr>
            <w:r>
              <w:rPr>
                <w:rFonts w:ascii="Times New Roman"/>
                <w:i w:val="0"/>
                <w:iCs w:val="0"/>
                <w:sz w:val="24"/>
              </w:rPr>
              <w:t>1</w:t>
            </w:r>
          </w:p>
        </w:tc>
        <w:tc>
          <w:tcPr>
            <w:tcW w:w="2194" w:type="dxa"/>
          </w:tcPr>
          <w:p>
            <w:pPr>
              <w:pStyle w:val="47"/>
              <w:rPr>
                <w:rFonts w:ascii="Times New Roman"/>
                <w:i w:val="0"/>
                <w:iCs w:val="0"/>
                <w:sz w:val="24"/>
              </w:rPr>
            </w:pPr>
          </w:p>
        </w:tc>
        <w:tc>
          <w:tcPr>
            <w:tcW w:w="1669" w:type="dxa"/>
          </w:tcPr>
          <w:p>
            <w:pPr>
              <w:pStyle w:val="47"/>
              <w:rPr>
                <w:rFonts w:ascii="Times New Roman"/>
                <w:i w:val="0"/>
                <w:iCs w:val="0"/>
                <w:sz w:val="24"/>
              </w:rPr>
            </w:pPr>
          </w:p>
        </w:tc>
        <w:tc>
          <w:tcPr>
            <w:tcW w:w="1491" w:type="dxa"/>
          </w:tcPr>
          <w:p>
            <w:pPr>
              <w:pStyle w:val="47"/>
              <w:rPr>
                <w:rFonts w:ascii="Times New Roman"/>
                <w:i w:val="0"/>
                <w:iCs w:val="0"/>
                <w:sz w:val="24"/>
              </w:rPr>
            </w:pPr>
          </w:p>
        </w:tc>
        <w:tc>
          <w:tcPr>
            <w:tcW w:w="1103" w:type="dxa"/>
          </w:tcPr>
          <w:p>
            <w:pPr>
              <w:pStyle w:val="47"/>
              <w:rPr>
                <w:rFonts w:ascii="Times New Roman"/>
                <w:i w:val="0"/>
                <w:iCs w:val="0"/>
                <w:sz w:val="24"/>
              </w:rPr>
            </w:pPr>
          </w:p>
        </w:tc>
        <w:tc>
          <w:tcPr>
            <w:tcW w:w="1542"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18" w:type="dxa"/>
          </w:tcPr>
          <w:p>
            <w:pPr>
              <w:pStyle w:val="47"/>
              <w:spacing w:before="164"/>
              <w:ind w:right="161"/>
              <w:jc w:val="right"/>
              <w:rPr>
                <w:rFonts w:ascii="Times New Roman"/>
                <w:i w:val="0"/>
                <w:iCs w:val="0"/>
                <w:sz w:val="24"/>
              </w:rPr>
            </w:pPr>
            <w:r>
              <w:rPr>
                <w:rFonts w:ascii="Times New Roman"/>
                <w:i w:val="0"/>
                <w:iCs w:val="0"/>
                <w:sz w:val="24"/>
              </w:rPr>
              <w:t>2</w:t>
            </w:r>
          </w:p>
        </w:tc>
        <w:tc>
          <w:tcPr>
            <w:tcW w:w="2194" w:type="dxa"/>
          </w:tcPr>
          <w:p>
            <w:pPr>
              <w:pStyle w:val="47"/>
              <w:rPr>
                <w:rFonts w:ascii="Times New Roman"/>
                <w:i w:val="0"/>
                <w:iCs w:val="0"/>
                <w:sz w:val="24"/>
              </w:rPr>
            </w:pPr>
          </w:p>
        </w:tc>
        <w:tc>
          <w:tcPr>
            <w:tcW w:w="1669" w:type="dxa"/>
          </w:tcPr>
          <w:p>
            <w:pPr>
              <w:pStyle w:val="47"/>
              <w:rPr>
                <w:rFonts w:ascii="Times New Roman"/>
                <w:i w:val="0"/>
                <w:iCs w:val="0"/>
                <w:sz w:val="24"/>
              </w:rPr>
            </w:pPr>
          </w:p>
        </w:tc>
        <w:tc>
          <w:tcPr>
            <w:tcW w:w="1491" w:type="dxa"/>
          </w:tcPr>
          <w:p>
            <w:pPr>
              <w:pStyle w:val="47"/>
              <w:rPr>
                <w:rFonts w:ascii="Times New Roman"/>
                <w:i w:val="0"/>
                <w:iCs w:val="0"/>
                <w:sz w:val="24"/>
              </w:rPr>
            </w:pPr>
          </w:p>
        </w:tc>
        <w:tc>
          <w:tcPr>
            <w:tcW w:w="1103" w:type="dxa"/>
          </w:tcPr>
          <w:p>
            <w:pPr>
              <w:pStyle w:val="47"/>
              <w:rPr>
                <w:rFonts w:ascii="Times New Roman"/>
                <w:i w:val="0"/>
                <w:iCs w:val="0"/>
                <w:sz w:val="24"/>
              </w:rPr>
            </w:pPr>
          </w:p>
        </w:tc>
        <w:tc>
          <w:tcPr>
            <w:tcW w:w="1542"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8" w:type="dxa"/>
          </w:tcPr>
          <w:p>
            <w:pPr>
              <w:pStyle w:val="47"/>
              <w:spacing w:before="150"/>
              <w:ind w:right="161"/>
              <w:jc w:val="right"/>
              <w:rPr>
                <w:rFonts w:ascii="Times New Roman"/>
                <w:i w:val="0"/>
                <w:iCs w:val="0"/>
                <w:sz w:val="24"/>
              </w:rPr>
            </w:pPr>
            <w:r>
              <w:rPr>
                <w:rFonts w:ascii="Times New Roman"/>
                <w:i w:val="0"/>
                <w:iCs w:val="0"/>
                <w:sz w:val="24"/>
              </w:rPr>
              <w:t>3</w:t>
            </w:r>
          </w:p>
        </w:tc>
        <w:tc>
          <w:tcPr>
            <w:tcW w:w="2194" w:type="dxa"/>
          </w:tcPr>
          <w:p>
            <w:pPr>
              <w:pStyle w:val="47"/>
              <w:rPr>
                <w:rFonts w:ascii="Times New Roman"/>
                <w:i w:val="0"/>
                <w:iCs w:val="0"/>
                <w:sz w:val="24"/>
              </w:rPr>
            </w:pPr>
          </w:p>
        </w:tc>
        <w:tc>
          <w:tcPr>
            <w:tcW w:w="1669" w:type="dxa"/>
          </w:tcPr>
          <w:p>
            <w:pPr>
              <w:pStyle w:val="47"/>
              <w:rPr>
                <w:rFonts w:ascii="Times New Roman"/>
                <w:i w:val="0"/>
                <w:iCs w:val="0"/>
                <w:sz w:val="24"/>
              </w:rPr>
            </w:pPr>
          </w:p>
        </w:tc>
        <w:tc>
          <w:tcPr>
            <w:tcW w:w="1491" w:type="dxa"/>
          </w:tcPr>
          <w:p>
            <w:pPr>
              <w:pStyle w:val="47"/>
              <w:rPr>
                <w:rFonts w:ascii="Times New Roman"/>
                <w:i w:val="0"/>
                <w:iCs w:val="0"/>
                <w:sz w:val="24"/>
              </w:rPr>
            </w:pPr>
          </w:p>
        </w:tc>
        <w:tc>
          <w:tcPr>
            <w:tcW w:w="1103" w:type="dxa"/>
          </w:tcPr>
          <w:p>
            <w:pPr>
              <w:pStyle w:val="47"/>
              <w:rPr>
                <w:rFonts w:ascii="Times New Roman"/>
                <w:i w:val="0"/>
                <w:iCs w:val="0"/>
                <w:sz w:val="24"/>
              </w:rPr>
            </w:pPr>
          </w:p>
        </w:tc>
        <w:tc>
          <w:tcPr>
            <w:tcW w:w="1542"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518" w:type="dxa"/>
          </w:tcPr>
          <w:p>
            <w:pPr>
              <w:pStyle w:val="47"/>
              <w:spacing w:before="159"/>
              <w:ind w:right="161"/>
              <w:jc w:val="right"/>
              <w:rPr>
                <w:rFonts w:ascii="Times New Roman"/>
                <w:i w:val="0"/>
                <w:iCs w:val="0"/>
                <w:sz w:val="24"/>
              </w:rPr>
            </w:pPr>
            <w:r>
              <w:rPr>
                <w:rFonts w:ascii="Times New Roman"/>
                <w:i w:val="0"/>
                <w:iCs w:val="0"/>
                <w:sz w:val="24"/>
              </w:rPr>
              <w:t>4</w:t>
            </w:r>
          </w:p>
        </w:tc>
        <w:tc>
          <w:tcPr>
            <w:tcW w:w="2194" w:type="dxa"/>
          </w:tcPr>
          <w:p>
            <w:pPr>
              <w:pStyle w:val="47"/>
              <w:rPr>
                <w:rFonts w:ascii="Times New Roman"/>
                <w:i w:val="0"/>
                <w:iCs w:val="0"/>
                <w:sz w:val="24"/>
              </w:rPr>
            </w:pPr>
          </w:p>
        </w:tc>
        <w:tc>
          <w:tcPr>
            <w:tcW w:w="1669" w:type="dxa"/>
          </w:tcPr>
          <w:p>
            <w:pPr>
              <w:pStyle w:val="47"/>
              <w:rPr>
                <w:rFonts w:ascii="Times New Roman"/>
                <w:i w:val="0"/>
                <w:iCs w:val="0"/>
                <w:sz w:val="24"/>
              </w:rPr>
            </w:pPr>
          </w:p>
        </w:tc>
        <w:tc>
          <w:tcPr>
            <w:tcW w:w="1491" w:type="dxa"/>
          </w:tcPr>
          <w:p>
            <w:pPr>
              <w:pStyle w:val="47"/>
              <w:rPr>
                <w:rFonts w:ascii="Times New Roman"/>
                <w:i w:val="0"/>
                <w:iCs w:val="0"/>
                <w:sz w:val="24"/>
              </w:rPr>
            </w:pPr>
          </w:p>
        </w:tc>
        <w:tc>
          <w:tcPr>
            <w:tcW w:w="1103" w:type="dxa"/>
          </w:tcPr>
          <w:p>
            <w:pPr>
              <w:pStyle w:val="47"/>
              <w:rPr>
                <w:rFonts w:ascii="Times New Roman"/>
                <w:i w:val="0"/>
                <w:iCs w:val="0"/>
                <w:sz w:val="24"/>
              </w:rPr>
            </w:pPr>
          </w:p>
        </w:tc>
        <w:tc>
          <w:tcPr>
            <w:tcW w:w="1542"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518" w:type="dxa"/>
          </w:tcPr>
          <w:p>
            <w:pPr>
              <w:pStyle w:val="47"/>
              <w:spacing w:before="162"/>
              <w:ind w:right="161"/>
              <w:jc w:val="right"/>
              <w:rPr>
                <w:rFonts w:ascii="Times New Roman"/>
                <w:i w:val="0"/>
                <w:iCs w:val="0"/>
                <w:sz w:val="24"/>
              </w:rPr>
            </w:pPr>
            <w:r>
              <w:rPr>
                <w:rFonts w:ascii="Times New Roman"/>
                <w:i w:val="0"/>
                <w:iCs w:val="0"/>
                <w:sz w:val="24"/>
              </w:rPr>
              <w:t>5</w:t>
            </w:r>
          </w:p>
        </w:tc>
        <w:tc>
          <w:tcPr>
            <w:tcW w:w="2194" w:type="dxa"/>
          </w:tcPr>
          <w:p>
            <w:pPr>
              <w:pStyle w:val="47"/>
              <w:rPr>
                <w:rFonts w:ascii="Times New Roman"/>
                <w:i w:val="0"/>
                <w:iCs w:val="0"/>
                <w:sz w:val="24"/>
              </w:rPr>
            </w:pPr>
          </w:p>
        </w:tc>
        <w:tc>
          <w:tcPr>
            <w:tcW w:w="1669" w:type="dxa"/>
          </w:tcPr>
          <w:p>
            <w:pPr>
              <w:pStyle w:val="47"/>
              <w:rPr>
                <w:rFonts w:ascii="Times New Roman"/>
                <w:i w:val="0"/>
                <w:iCs w:val="0"/>
                <w:sz w:val="24"/>
              </w:rPr>
            </w:pPr>
          </w:p>
        </w:tc>
        <w:tc>
          <w:tcPr>
            <w:tcW w:w="1491" w:type="dxa"/>
          </w:tcPr>
          <w:p>
            <w:pPr>
              <w:pStyle w:val="47"/>
              <w:rPr>
                <w:rFonts w:ascii="Times New Roman"/>
                <w:i w:val="0"/>
                <w:iCs w:val="0"/>
                <w:sz w:val="24"/>
              </w:rPr>
            </w:pPr>
          </w:p>
        </w:tc>
        <w:tc>
          <w:tcPr>
            <w:tcW w:w="1103" w:type="dxa"/>
          </w:tcPr>
          <w:p>
            <w:pPr>
              <w:pStyle w:val="47"/>
              <w:rPr>
                <w:rFonts w:ascii="Times New Roman"/>
                <w:i w:val="0"/>
                <w:iCs w:val="0"/>
                <w:sz w:val="24"/>
              </w:rPr>
            </w:pPr>
          </w:p>
        </w:tc>
        <w:tc>
          <w:tcPr>
            <w:tcW w:w="1542"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518" w:type="dxa"/>
          </w:tcPr>
          <w:p>
            <w:pPr>
              <w:pStyle w:val="47"/>
              <w:spacing w:before="159"/>
              <w:ind w:right="161"/>
              <w:jc w:val="right"/>
              <w:rPr>
                <w:rFonts w:ascii="Times New Roman"/>
                <w:i w:val="0"/>
                <w:iCs w:val="0"/>
                <w:sz w:val="24"/>
              </w:rPr>
            </w:pPr>
            <w:r>
              <w:rPr>
                <w:rFonts w:ascii="Times New Roman"/>
                <w:i w:val="0"/>
                <w:iCs w:val="0"/>
                <w:sz w:val="24"/>
              </w:rPr>
              <w:t>6</w:t>
            </w:r>
          </w:p>
        </w:tc>
        <w:tc>
          <w:tcPr>
            <w:tcW w:w="2194" w:type="dxa"/>
          </w:tcPr>
          <w:p>
            <w:pPr>
              <w:pStyle w:val="47"/>
              <w:rPr>
                <w:rFonts w:ascii="Times New Roman"/>
                <w:i w:val="0"/>
                <w:iCs w:val="0"/>
                <w:sz w:val="24"/>
              </w:rPr>
            </w:pPr>
          </w:p>
        </w:tc>
        <w:tc>
          <w:tcPr>
            <w:tcW w:w="1669" w:type="dxa"/>
          </w:tcPr>
          <w:p>
            <w:pPr>
              <w:pStyle w:val="47"/>
              <w:rPr>
                <w:rFonts w:ascii="Times New Roman"/>
                <w:i w:val="0"/>
                <w:iCs w:val="0"/>
                <w:sz w:val="24"/>
              </w:rPr>
            </w:pPr>
          </w:p>
        </w:tc>
        <w:tc>
          <w:tcPr>
            <w:tcW w:w="1491" w:type="dxa"/>
          </w:tcPr>
          <w:p>
            <w:pPr>
              <w:pStyle w:val="47"/>
              <w:rPr>
                <w:rFonts w:ascii="Times New Roman"/>
                <w:i w:val="0"/>
                <w:iCs w:val="0"/>
                <w:sz w:val="24"/>
              </w:rPr>
            </w:pPr>
          </w:p>
        </w:tc>
        <w:tc>
          <w:tcPr>
            <w:tcW w:w="1103" w:type="dxa"/>
          </w:tcPr>
          <w:p>
            <w:pPr>
              <w:pStyle w:val="47"/>
              <w:rPr>
                <w:rFonts w:ascii="Times New Roman"/>
                <w:i w:val="0"/>
                <w:iCs w:val="0"/>
                <w:sz w:val="24"/>
              </w:rPr>
            </w:pPr>
          </w:p>
        </w:tc>
        <w:tc>
          <w:tcPr>
            <w:tcW w:w="1542"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18" w:type="dxa"/>
          </w:tcPr>
          <w:p>
            <w:pPr>
              <w:pStyle w:val="47"/>
              <w:spacing w:before="162"/>
              <w:ind w:right="161"/>
              <w:jc w:val="right"/>
              <w:rPr>
                <w:rFonts w:ascii="Times New Roman"/>
                <w:i w:val="0"/>
                <w:iCs w:val="0"/>
                <w:sz w:val="24"/>
              </w:rPr>
            </w:pPr>
            <w:r>
              <w:rPr>
                <w:rFonts w:ascii="Times New Roman"/>
                <w:i w:val="0"/>
                <w:iCs w:val="0"/>
                <w:sz w:val="24"/>
              </w:rPr>
              <w:t>7</w:t>
            </w:r>
          </w:p>
        </w:tc>
        <w:tc>
          <w:tcPr>
            <w:tcW w:w="2194" w:type="dxa"/>
          </w:tcPr>
          <w:p>
            <w:pPr>
              <w:pStyle w:val="47"/>
              <w:rPr>
                <w:rFonts w:ascii="Times New Roman"/>
                <w:i w:val="0"/>
                <w:iCs w:val="0"/>
                <w:sz w:val="24"/>
              </w:rPr>
            </w:pPr>
          </w:p>
        </w:tc>
        <w:tc>
          <w:tcPr>
            <w:tcW w:w="1669" w:type="dxa"/>
          </w:tcPr>
          <w:p>
            <w:pPr>
              <w:pStyle w:val="47"/>
              <w:rPr>
                <w:rFonts w:ascii="Times New Roman"/>
                <w:i w:val="0"/>
                <w:iCs w:val="0"/>
                <w:sz w:val="24"/>
              </w:rPr>
            </w:pPr>
          </w:p>
        </w:tc>
        <w:tc>
          <w:tcPr>
            <w:tcW w:w="1491" w:type="dxa"/>
          </w:tcPr>
          <w:p>
            <w:pPr>
              <w:pStyle w:val="47"/>
              <w:rPr>
                <w:rFonts w:ascii="Times New Roman"/>
                <w:i w:val="0"/>
                <w:iCs w:val="0"/>
                <w:sz w:val="24"/>
              </w:rPr>
            </w:pPr>
          </w:p>
        </w:tc>
        <w:tc>
          <w:tcPr>
            <w:tcW w:w="1103" w:type="dxa"/>
          </w:tcPr>
          <w:p>
            <w:pPr>
              <w:pStyle w:val="47"/>
              <w:rPr>
                <w:rFonts w:ascii="Times New Roman"/>
                <w:i w:val="0"/>
                <w:iCs w:val="0"/>
                <w:sz w:val="24"/>
              </w:rPr>
            </w:pPr>
          </w:p>
        </w:tc>
        <w:tc>
          <w:tcPr>
            <w:tcW w:w="1542"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518" w:type="dxa"/>
          </w:tcPr>
          <w:p>
            <w:pPr>
              <w:pStyle w:val="47"/>
              <w:spacing w:before="159"/>
              <w:ind w:right="161"/>
              <w:jc w:val="right"/>
              <w:rPr>
                <w:rFonts w:ascii="Times New Roman"/>
                <w:i w:val="0"/>
                <w:iCs w:val="0"/>
                <w:sz w:val="24"/>
              </w:rPr>
            </w:pPr>
            <w:r>
              <w:rPr>
                <w:rFonts w:ascii="Times New Roman"/>
                <w:i w:val="0"/>
                <w:iCs w:val="0"/>
                <w:sz w:val="24"/>
              </w:rPr>
              <w:t>8</w:t>
            </w:r>
          </w:p>
        </w:tc>
        <w:tc>
          <w:tcPr>
            <w:tcW w:w="2194" w:type="dxa"/>
          </w:tcPr>
          <w:p>
            <w:pPr>
              <w:pStyle w:val="47"/>
              <w:rPr>
                <w:rFonts w:ascii="Times New Roman"/>
                <w:i w:val="0"/>
                <w:iCs w:val="0"/>
                <w:sz w:val="24"/>
              </w:rPr>
            </w:pPr>
          </w:p>
        </w:tc>
        <w:tc>
          <w:tcPr>
            <w:tcW w:w="1669" w:type="dxa"/>
          </w:tcPr>
          <w:p>
            <w:pPr>
              <w:pStyle w:val="47"/>
              <w:rPr>
                <w:rFonts w:ascii="Times New Roman"/>
                <w:i w:val="0"/>
                <w:iCs w:val="0"/>
                <w:sz w:val="24"/>
              </w:rPr>
            </w:pPr>
          </w:p>
        </w:tc>
        <w:tc>
          <w:tcPr>
            <w:tcW w:w="1491" w:type="dxa"/>
          </w:tcPr>
          <w:p>
            <w:pPr>
              <w:pStyle w:val="47"/>
              <w:rPr>
                <w:rFonts w:ascii="Times New Roman"/>
                <w:i w:val="0"/>
                <w:iCs w:val="0"/>
                <w:sz w:val="24"/>
              </w:rPr>
            </w:pPr>
          </w:p>
        </w:tc>
        <w:tc>
          <w:tcPr>
            <w:tcW w:w="1103" w:type="dxa"/>
          </w:tcPr>
          <w:p>
            <w:pPr>
              <w:pStyle w:val="47"/>
              <w:rPr>
                <w:rFonts w:ascii="Times New Roman"/>
                <w:i w:val="0"/>
                <w:iCs w:val="0"/>
                <w:sz w:val="24"/>
              </w:rPr>
            </w:pPr>
          </w:p>
        </w:tc>
        <w:tc>
          <w:tcPr>
            <w:tcW w:w="1542"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18" w:type="dxa"/>
          </w:tcPr>
          <w:p>
            <w:pPr>
              <w:pStyle w:val="47"/>
              <w:spacing w:before="162"/>
              <w:ind w:right="161"/>
              <w:jc w:val="right"/>
              <w:rPr>
                <w:rFonts w:ascii="Times New Roman"/>
                <w:i w:val="0"/>
                <w:iCs w:val="0"/>
                <w:sz w:val="24"/>
              </w:rPr>
            </w:pPr>
            <w:r>
              <w:rPr>
                <w:rFonts w:ascii="Times New Roman"/>
                <w:i w:val="0"/>
                <w:iCs w:val="0"/>
                <w:sz w:val="24"/>
              </w:rPr>
              <w:t>9</w:t>
            </w:r>
          </w:p>
        </w:tc>
        <w:tc>
          <w:tcPr>
            <w:tcW w:w="2194" w:type="dxa"/>
          </w:tcPr>
          <w:p>
            <w:pPr>
              <w:pStyle w:val="47"/>
              <w:rPr>
                <w:rFonts w:ascii="Times New Roman"/>
                <w:i w:val="0"/>
                <w:iCs w:val="0"/>
                <w:sz w:val="24"/>
              </w:rPr>
            </w:pPr>
          </w:p>
        </w:tc>
        <w:tc>
          <w:tcPr>
            <w:tcW w:w="1669" w:type="dxa"/>
          </w:tcPr>
          <w:p>
            <w:pPr>
              <w:pStyle w:val="47"/>
              <w:rPr>
                <w:rFonts w:ascii="Times New Roman"/>
                <w:i w:val="0"/>
                <w:iCs w:val="0"/>
                <w:sz w:val="24"/>
              </w:rPr>
            </w:pPr>
          </w:p>
        </w:tc>
        <w:tc>
          <w:tcPr>
            <w:tcW w:w="1491" w:type="dxa"/>
          </w:tcPr>
          <w:p>
            <w:pPr>
              <w:pStyle w:val="47"/>
              <w:rPr>
                <w:rFonts w:ascii="Times New Roman"/>
                <w:i w:val="0"/>
                <w:iCs w:val="0"/>
                <w:sz w:val="24"/>
              </w:rPr>
            </w:pPr>
          </w:p>
        </w:tc>
        <w:tc>
          <w:tcPr>
            <w:tcW w:w="1103" w:type="dxa"/>
          </w:tcPr>
          <w:p>
            <w:pPr>
              <w:pStyle w:val="47"/>
              <w:rPr>
                <w:rFonts w:ascii="Times New Roman"/>
                <w:i w:val="0"/>
                <w:iCs w:val="0"/>
                <w:sz w:val="24"/>
              </w:rPr>
            </w:pPr>
          </w:p>
        </w:tc>
        <w:tc>
          <w:tcPr>
            <w:tcW w:w="1542"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18" w:type="dxa"/>
          </w:tcPr>
          <w:p>
            <w:pPr>
              <w:pStyle w:val="47"/>
              <w:spacing w:before="159"/>
              <w:ind w:right="101"/>
              <w:jc w:val="right"/>
              <w:rPr>
                <w:rFonts w:ascii="Times New Roman"/>
                <w:i w:val="0"/>
                <w:iCs w:val="0"/>
                <w:sz w:val="24"/>
              </w:rPr>
            </w:pPr>
            <w:r>
              <w:rPr>
                <w:rFonts w:ascii="Times New Roman"/>
                <w:i w:val="0"/>
                <w:iCs w:val="0"/>
                <w:sz w:val="24"/>
              </w:rPr>
              <w:t>10</w:t>
            </w:r>
          </w:p>
        </w:tc>
        <w:tc>
          <w:tcPr>
            <w:tcW w:w="2194" w:type="dxa"/>
          </w:tcPr>
          <w:p>
            <w:pPr>
              <w:pStyle w:val="47"/>
              <w:rPr>
                <w:rFonts w:ascii="Times New Roman"/>
                <w:i w:val="0"/>
                <w:iCs w:val="0"/>
                <w:sz w:val="24"/>
              </w:rPr>
            </w:pPr>
          </w:p>
        </w:tc>
        <w:tc>
          <w:tcPr>
            <w:tcW w:w="1669" w:type="dxa"/>
          </w:tcPr>
          <w:p>
            <w:pPr>
              <w:pStyle w:val="47"/>
              <w:rPr>
                <w:rFonts w:ascii="Times New Roman"/>
                <w:i w:val="0"/>
                <w:iCs w:val="0"/>
                <w:sz w:val="24"/>
              </w:rPr>
            </w:pPr>
          </w:p>
        </w:tc>
        <w:tc>
          <w:tcPr>
            <w:tcW w:w="1491" w:type="dxa"/>
          </w:tcPr>
          <w:p>
            <w:pPr>
              <w:pStyle w:val="47"/>
              <w:rPr>
                <w:rFonts w:ascii="Times New Roman"/>
                <w:i w:val="0"/>
                <w:iCs w:val="0"/>
                <w:sz w:val="24"/>
              </w:rPr>
            </w:pPr>
          </w:p>
        </w:tc>
        <w:tc>
          <w:tcPr>
            <w:tcW w:w="1103" w:type="dxa"/>
          </w:tcPr>
          <w:p>
            <w:pPr>
              <w:pStyle w:val="47"/>
              <w:rPr>
                <w:rFonts w:ascii="Times New Roman"/>
                <w:i w:val="0"/>
                <w:iCs w:val="0"/>
                <w:sz w:val="24"/>
              </w:rPr>
            </w:pPr>
          </w:p>
        </w:tc>
        <w:tc>
          <w:tcPr>
            <w:tcW w:w="1542" w:type="dxa"/>
          </w:tcPr>
          <w:p>
            <w:pPr>
              <w:pStyle w:val="47"/>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2712" w:type="dxa"/>
            <w:gridSpan w:val="2"/>
            <w:vAlign w:val="center"/>
          </w:tcPr>
          <w:p>
            <w:pPr>
              <w:pStyle w:val="47"/>
              <w:jc w:val="center"/>
              <w:rPr>
                <w:rFonts w:ascii="Times New Roman"/>
                <w:i w:val="0"/>
                <w:iCs w:val="0"/>
                <w:sz w:val="24"/>
              </w:rPr>
            </w:pPr>
            <w:r>
              <w:rPr>
                <w:i w:val="0"/>
                <w:iCs w:val="0"/>
                <w:spacing w:val="-10"/>
                <w:sz w:val="24"/>
              </w:rPr>
              <w:t>合同金额合计</w:t>
            </w:r>
            <w:r>
              <w:rPr>
                <w:i w:val="0"/>
                <w:iCs w:val="0"/>
                <w:sz w:val="24"/>
              </w:rPr>
              <w:t>（万元</w:t>
            </w:r>
            <w:r>
              <w:rPr>
                <w:i w:val="0"/>
                <w:iCs w:val="0"/>
                <w:spacing w:val="-11"/>
                <w:sz w:val="24"/>
              </w:rPr>
              <w:t>）</w:t>
            </w:r>
          </w:p>
        </w:tc>
        <w:tc>
          <w:tcPr>
            <w:tcW w:w="1669" w:type="dxa"/>
          </w:tcPr>
          <w:p>
            <w:pPr>
              <w:pStyle w:val="47"/>
              <w:rPr>
                <w:rFonts w:ascii="Times New Roman"/>
                <w:i w:val="0"/>
                <w:iCs w:val="0"/>
                <w:sz w:val="24"/>
              </w:rPr>
            </w:pPr>
          </w:p>
        </w:tc>
        <w:tc>
          <w:tcPr>
            <w:tcW w:w="1491" w:type="dxa"/>
          </w:tcPr>
          <w:p>
            <w:pPr>
              <w:pStyle w:val="47"/>
              <w:rPr>
                <w:rFonts w:ascii="Times New Roman"/>
                <w:i w:val="0"/>
                <w:iCs w:val="0"/>
                <w:sz w:val="24"/>
              </w:rPr>
            </w:pPr>
          </w:p>
        </w:tc>
        <w:tc>
          <w:tcPr>
            <w:tcW w:w="1103" w:type="dxa"/>
          </w:tcPr>
          <w:p>
            <w:pPr>
              <w:pStyle w:val="47"/>
              <w:rPr>
                <w:rFonts w:ascii="Times New Roman"/>
                <w:i w:val="0"/>
                <w:iCs w:val="0"/>
                <w:sz w:val="24"/>
              </w:rPr>
            </w:pPr>
          </w:p>
        </w:tc>
        <w:tc>
          <w:tcPr>
            <w:tcW w:w="1542" w:type="dxa"/>
          </w:tcPr>
          <w:p>
            <w:pPr>
              <w:pStyle w:val="47"/>
              <w:rPr>
                <w:rFonts w:ascii="Times New Roman"/>
                <w:i w:val="0"/>
                <w:iCs w:val="0"/>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注：1．投标人应根据招标文件要求在本表后附中标通知书或业绩合同等相关证明材料。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5"/>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rPr>
          <w:rFonts w:hint="eastAsia"/>
          <w:lang w:val="en-US" w:eastAsia="zh-CN"/>
        </w:rPr>
      </w:pPr>
    </w:p>
    <w:p>
      <w:pPr>
        <w:pStyle w:val="36"/>
        <w:rPr>
          <w:rFonts w:hint="eastAsia"/>
          <w:lang w:val="en-US" w:eastAsia="zh-CN"/>
        </w:rPr>
      </w:pPr>
    </w:p>
    <w:p>
      <w:pPr>
        <w:pStyle w:val="36"/>
        <w:rPr>
          <w:rFonts w:hint="eastAsia"/>
          <w:lang w:val="en-US" w:eastAsia="zh-CN"/>
        </w:rPr>
      </w:pPr>
    </w:p>
    <w:p>
      <w:pPr>
        <w:pStyle w:val="36"/>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0"/>
        <w:rPr>
          <w:b/>
          <w:i w:val="0"/>
          <w:iCs w:val="0"/>
          <w:sz w:val="28"/>
        </w:rPr>
      </w:pPr>
      <w:bookmarkStart w:id="172" w:name="_Toc7118"/>
      <w:bookmarkStart w:id="173" w:name="_Toc8107"/>
      <w:bookmarkStart w:id="174" w:name="_Toc948"/>
      <w:bookmarkStart w:id="175" w:name="_Toc17167"/>
      <w:r>
        <w:rPr>
          <w:rFonts w:hint="eastAsia" w:asciiTheme="minorEastAsia" w:hAnsiTheme="minorEastAsia" w:cstheme="minorEastAsia"/>
          <w:b/>
          <w:bCs/>
          <w:i w:val="0"/>
          <w:iCs w:val="0"/>
          <w:color w:val="auto"/>
          <w:spacing w:val="0"/>
          <w:sz w:val="28"/>
          <w:szCs w:val="28"/>
          <w:lang w:val="en-US" w:eastAsia="zh-CN"/>
        </w:rPr>
        <w:t>六、近三年财务状况表</w:t>
      </w:r>
      <w:bookmarkEnd w:id="172"/>
      <w:bookmarkEnd w:id="173"/>
      <w:bookmarkEnd w:id="174"/>
      <w:bookmarkEnd w:id="175"/>
    </w:p>
    <w:p>
      <w:pPr>
        <w:spacing w:before="59"/>
        <w:ind w:left="182" w:right="222"/>
        <w:jc w:val="center"/>
        <w:rPr>
          <w:b/>
          <w:i w:val="0"/>
          <w:iCs w:val="0"/>
          <w:color w:val="auto"/>
          <w:sz w:val="28"/>
        </w:rPr>
      </w:pPr>
      <w:r>
        <w:rPr>
          <w:rFonts w:hint="default" w:asciiTheme="minorEastAsia" w:hAnsiTheme="minorEastAsia" w:cstheme="minorEastAsia"/>
          <w:b w:val="0"/>
          <w:bCs w:val="0"/>
          <w:i w:val="0"/>
          <w:iCs w:val="0"/>
          <w:color w:val="auto"/>
          <w:spacing w:val="0"/>
          <w:sz w:val="21"/>
          <w:szCs w:val="21"/>
          <w:vertAlign w:val="baseline"/>
          <w:lang w:val="en-US" w:eastAsia="zh-CN"/>
        </w:rPr>
        <w:t>近</w:t>
      </w:r>
      <w:r>
        <w:rPr>
          <w:rFonts w:hint="eastAsia" w:asciiTheme="minorEastAsia" w:hAnsiTheme="minorEastAsia" w:cstheme="minorEastAsia"/>
          <w:b w:val="0"/>
          <w:bCs w:val="0"/>
          <w:i w:val="0"/>
          <w:iCs w:val="0"/>
          <w:color w:val="auto"/>
          <w:spacing w:val="0"/>
          <w:sz w:val="21"/>
          <w:szCs w:val="21"/>
          <w:vertAlign w:val="baseline"/>
          <w:lang w:val="en-US" w:eastAsia="zh-CN"/>
        </w:rPr>
        <w:t>三</w:t>
      </w:r>
      <w:r>
        <w:rPr>
          <w:rFonts w:hint="default" w:asciiTheme="minorEastAsia" w:hAnsiTheme="minorEastAsia" w:cstheme="minorEastAsia"/>
          <w:b w:val="0"/>
          <w:bCs w:val="0"/>
          <w:i w:val="0"/>
          <w:iCs w:val="0"/>
          <w:color w:val="auto"/>
          <w:spacing w:val="0"/>
          <w:sz w:val="21"/>
          <w:szCs w:val="21"/>
          <w:vertAlign w:val="baseline"/>
          <w:lang w:val="en-US" w:eastAsia="zh-CN"/>
        </w:rPr>
        <w:t>年（201</w:t>
      </w:r>
      <w:r>
        <w:rPr>
          <w:rFonts w:hint="eastAsia" w:asciiTheme="minorEastAsia" w:hAnsiTheme="minorEastAsia" w:cstheme="minorEastAsia"/>
          <w:b w:val="0"/>
          <w:bCs w:val="0"/>
          <w:i w:val="0"/>
          <w:iCs w:val="0"/>
          <w:color w:val="auto"/>
          <w:spacing w:val="0"/>
          <w:sz w:val="21"/>
          <w:szCs w:val="21"/>
          <w:vertAlign w:val="baseline"/>
          <w:lang w:val="en-US" w:eastAsia="zh-CN"/>
        </w:rPr>
        <w:t>9</w:t>
      </w:r>
      <w:r>
        <w:rPr>
          <w:rFonts w:hint="default" w:asciiTheme="minorEastAsia" w:hAnsiTheme="minorEastAsia" w:cstheme="minorEastAsia"/>
          <w:b w:val="0"/>
          <w:bCs w:val="0"/>
          <w:i w:val="0"/>
          <w:iCs w:val="0"/>
          <w:color w:val="auto"/>
          <w:spacing w:val="0"/>
          <w:sz w:val="21"/>
          <w:szCs w:val="21"/>
          <w:vertAlign w:val="baseline"/>
          <w:lang w:val="en-US" w:eastAsia="zh-CN"/>
        </w:rPr>
        <w:t>年度</w:t>
      </w:r>
      <w:r>
        <w:rPr>
          <w:rFonts w:hint="eastAsia" w:asciiTheme="minorEastAsia" w:hAnsiTheme="minorEastAsia" w:cstheme="minorEastAsia"/>
          <w:b w:val="0"/>
          <w:bCs w:val="0"/>
          <w:i w:val="0"/>
          <w:iCs w:val="0"/>
          <w:color w:val="auto"/>
          <w:spacing w:val="0"/>
          <w:sz w:val="21"/>
          <w:szCs w:val="21"/>
          <w:vertAlign w:val="baseline"/>
          <w:lang w:val="en-US" w:eastAsia="zh-CN"/>
        </w:rPr>
        <w:t>、</w:t>
      </w:r>
      <w:r>
        <w:rPr>
          <w:rFonts w:hint="default" w:asciiTheme="minorEastAsia" w:hAnsiTheme="minorEastAsia" w:cstheme="minorEastAsia"/>
          <w:b w:val="0"/>
          <w:bCs w:val="0"/>
          <w:i w:val="0"/>
          <w:iCs w:val="0"/>
          <w:color w:val="auto"/>
          <w:spacing w:val="0"/>
          <w:sz w:val="21"/>
          <w:szCs w:val="21"/>
          <w:vertAlign w:val="baseline"/>
          <w:lang w:val="en-US" w:eastAsia="zh-CN"/>
        </w:rPr>
        <w:t>20</w:t>
      </w:r>
      <w:r>
        <w:rPr>
          <w:rFonts w:hint="eastAsia" w:asciiTheme="minorEastAsia" w:hAnsiTheme="minorEastAsia" w:cstheme="minorEastAsia"/>
          <w:b w:val="0"/>
          <w:bCs w:val="0"/>
          <w:i w:val="0"/>
          <w:iCs w:val="0"/>
          <w:color w:val="auto"/>
          <w:spacing w:val="0"/>
          <w:sz w:val="21"/>
          <w:szCs w:val="21"/>
          <w:vertAlign w:val="baseline"/>
          <w:lang w:val="en-US" w:eastAsia="zh-CN"/>
        </w:rPr>
        <w:t>20</w:t>
      </w:r>
      <w:r>
        <w:rPr>
          <w:rFonts w:hint="default" w:asciiTheme="minorEastAsia" w:hAnsiTheme="minorEastAsia" w:cstheme="minorEastAsia"/>
          <w:b w:val="0"/>
          <w:bCs w:val="0"/>
          <w:i w:val="0"/>
          <w:iCs w:val="0"/>
          <w:color w:val="auto"/>
          <w:spacing w:val="0"/>
          <w:sz w:val="21"/>
          <w:szCs w:val="21"/>
          <w:vertAlign w:val="baseline"/>
          <w:lang w:val="en-US" w:eastAsia="zh-CN"/>
        </w:rPr>
        <w:t>年度</w:t>
      </w:r>
      <w:r>
        <w:rPr>
          <w:rFonts w:hint="eastAsia" w:asciiTheme="minorEastAsia" w:hAnsiTheme="minorEastAsia" w:cstheme="minorEastAsia"/>
          <w:b w:val="0"/>
          <w:bCs w:val="0"/>
          <w:i w:val="0"/>
          <w:iCs w:val="0"/>
          <w:color w:val="auto"/>
          <w:spacing w:val="0"/>
          <w:sz w:val="21"/>
          <w:szCs w:val="21"/>
          <w:vertAlign w:val="baseline"/>
          <w:lang w:val="en-US" w:eastAsia="zh-CN"/>
        </w:rPr>
        <w:t>、</w:t>
      </w:r>
      <w:r>
        <w:rPr>
          <w:rFonts w:hint="default" w:asciiTheme="minorEastAsia" w:hAnsiTheme="minorEastAsia" w:cstheme="minorEastAsia"/>
          <w:b w:val="0"/>
          <w:bCs w:val="0"/>
          <w:i w:val="0"/>
          <w:iCs w:val="0"/>
          <w:color w:val="auto"/>
          <w:spacing w:val="0"/>
          <w:sz w:val="21"/>
          <w:szCs w:val="21"/>
          <w:vertAlign w:val="baseline"/>
          <w:lang w:val="en-US" w:eastAsia="zh-CN"/>
        </w:rPr>
        <w:t>20</w:t>
      </w:r>
      <w:r>
        <w:rPr>
          <w:rFonts w:hint="eastAsia" w:asciiTheme="minorEastAsia" w:hAnsiTheme="minorEastAsia" w:cstheme="minorEastAsia"/>
          <w:b w:val="0"/>
          <w:bCs w:val="0"/>
          <w:i w:val="0"/>
          <w:iCs w:val="0"/>
          <w:color w:val="auto"/>
          <w:spacing w:val="0"/>
          <w:sz w:val="21"/>
          <w:szCs w:val="21"/>
          <w:vertAlign w:val="baseline"/>
          <w:lang w:val="en-US" w:eastAsia="zh-CN"/>
        </w:rPr>
        <w:t>21</w:t>
      </w:r>
      <w:r>
        <w:rPr>
          <w:rFonts w:hint="default" w:asciiTheme="minorEastAsia" w:hAnsiTheme="minorEastAsia" w:cstheme="minorEastAsia"/>
          <w:b w:val="0"/>
          <w:bCs w:val="0"/>
          <w:i w:val="0"/>
          <w:iCs w:val="0"/>
          <w:color w:val="auto"/>
          <w:spacing w:val="0"/>
          <w:sz w:val="21"/>
          <w:szCs w:val="21"/>
          <w:vertAlign w:val="baseline"/>
          <w:lang w:val="en-US" w:eastAsia="zh-CN"/>
        </w:rPr>
        <w:t>年度）</w:t>
      </w:r>
      <w:r>
        <w:rPr>
          <w:rFonts w:hint="eastAsia" w:asciiTheme="minorEastAsia" w:hAnsiTheme="minorEastAsia" w:cstheme="minorEastAsia"/>
          <w:b w:val="0"/>
          <w:bCs w:val="0"/>
          <w:i w:val="0"/>
          <w:iCs w:val="0"/>
          <w:color w:val="auto"/>
          <w:spacing w:val="0"/>
          <w:sz w:val="21"/>
          <w:szCs w:val="21"/>
          <w:vertAlign w:val="baseline"/>
          <w:lang w:val="en-US" w:eastAsia="zh-CN"/>
        </w:rPr>
        <w:t>审计报告</w:t>
      </w:r>
      <w:r>
        <w:rPr>
          <w:rFonts w:hint="default" w:asciiTheme="minorEastAsia" w:hAnsiTheme="minorEastAsia" w:cstheme="minorEastAsia"/>
          <w:b w:val="0"/>
          <w:bCs w:val="0"/>
          <w:i w:val="0"/>
          <w:iCs w:val="0"/>
          <w:color w:val="auto"/>
          <w:spacing w:val="0"/>
          <w:sz w:val="21"/>
          <w:szCs w:val="21"/>
          <w:vertAlign w:val="baseline"/>
          <w:lang w:val="en-US" w:eastAsia="zh-CN"/>
        </w:rPr>
        <w:t>。企业成立不足</w:t>
      </w:r>
      <w:r>
        <w:rPr>
          <w:rFonts w:hint="eastAsia" w:asciiTheme="minorEastAsia" w:hAnsiTheme="minorEastAsia" w:cstheme="minorEastAsia"/>
          <w:b w:val="0"/>
          <w:bCs w:val="0"/>
          <w:i w:val="0"/>
          <w:iCs w:val="0"/>
          <w:color w:val="auto"/>
          <w:spacing w:val="0"/>
          <w:sz w:val="21"/>
          <w:szCs w:val="21"/>
          <w:vertAlign w:val="baseline"/>
          <w:lang w:val="en-US" w:eastAsia="zh-CN"/>
        </w:rPr>
        <w:t>三</w:t>
      </w:r>
      <w:r>
        <w:rPr>
          <w:rFonts w:hint="default" w:asciiTheme="minorEastAsia" w:hAnsiTheme="minorEastAsia" w:cstheme="minorEastAsia"/>
          <w:b w:val="0"/>
          <w:bCs w:val="0"/>
          <w:i w:val="0"/>
          <w:iCs w:val="0"/>
          <w:color w:val="auto"/>
          <w:spacing w:val="0"/>
          <w:sz w:val="21"/>
          <w:szCs w:val="21"/>
          <w:vertAlign w:val="baseline"/>
          <w:lang w:val="en-US" w:eastAsia="zh-CN"/>
        </w:rPr>
        <w:t>年的，需提供企业成立以来的财务报表。</w:t>
      </w:r>
    </w:p>
    <w:p>
      <w:pPr>
        <w:pStyle w:val="5"/>
        <w:outlineLvl w:val="9"/>
        <w:rPr>
          <w:b/>
          <w:i w:val="0"/>
          <w:iCs w:val="0"/>
          <w:color w:val="auto"/>
          <w:sz w:val="28"/>
        </w:rPr>
      </w:pPr>
    </w:p>
    <w:p>
      <w:pPr>
        <w:rPr>
          <w:b/>
          <w:i w:val="0"/>
          <w:iCs w:val="0"/>
          <w:sz w:val="28"/>
        </w:rPr>
      </w:pPr>
    </w:p>
    <w:p>
      <w:pPr>
        <w:pStyle w:val="5"/>
        <w:outlineLvl w:val="9"/>
        <w:rPr>
          <w:b/>
          <w:i w:val="0"/>
          <w:iCs w:val="0"/>
          <w:sz w:val="28"/>
        </w:rPr>
      </w:pPr>
    </w:p>
    <w:p>
      <w:pPr>
        <w:rPr>
          <w:b/>
          <w:i w:val="0"/>
          <w:iCs w:val="0"/>
          <w:sz w:val="28"/>
        </w:rPr>
      </w:pPr>
    </w:p>
    <w:p>
      <w:pPr>
        <w:pStyle w:val="5"/>
        <w:outlineLvl w:val="9"/>
        <w:rPr>
          <w:b/>
          <w:i w:val="0"/>
          <w:iCs w:val="0"/>
          <w:sz w:val="28"/>
        </w:rPr>
      </w:pPr>
    </w:p>
    <w:p>
      <w:pPr>
        <w:rPr>
          <w:b/>
          <w:i w:val="0"/>
          <w:iCs w:val="0"/>
          <w:sz w:val="28"/>
        </w:rPr>
      </w:pPr>
    </w:p>
    <w:p>
      <w:pPr>
        <w:pStyle w:val="5"/>
        <w:outlineLvl w:val="9"/>
        <w:rPr>
          <w:b/>
          <w:i w:val="0"/>
          <w:iCs w:val="0"/>
          <w:sz w:val="28"/>
        </w:rPr>
      </w:pPr>
    </w:p>
    <w:p>
      <w:pPr>
        <w:rPr>
          <w:b/>
          <w:i w:val="0"/>
          <w:iCs w:val="0"/>
          <w:sz w:val="28"/>
        </w:rPr>
      </w:pPr>
    </w:p>
    <w:p>
      <w:pPr>
        <w:pStyle w:val="5"/>
        <w:outlineLvl w:val="9"/>
        <w:rPr>
          <w:b/>
          <w:i w:val="0"/>
          <w:iCs w:val="0"/>
          <w:sz w:val="28"/>
        </w:rPr>
      </w:pPr>
    </w:p>
    <w:p>
      <w:pPr>
        <w:rPr>
          <w:b/>
          <w:i w:val="0"/>
          <w:iCs w:val="0"/>
          <w:sz w:val="28"/>
        </w:rPr>
      </w:pPr>
    </w:p>
    <w:p>
      <w:pPr>
        <w:pStyle w:val="5"/>
        <w:outlineLvl w:val="9"/>
        <w:rPr>
          <w:b/>
          <w:i w:val="0"/>
          <w:iCs w:val="0"/>
          <w:sz w:val="28"/>
        </w:rPr>
      </w:pPr>
    </w:p>
    <w:p/>
    <w:p>
      <w:pPr>
        <w:pStyle w:val="36"/>
      </w:pPr>
    </w:p>
    <w:p>
      <w:pPr>
        <w:pStyle w:val="36"/>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2"/>
        <w:bidi w:val="0"/>
        <w:rPr>
          <w:rFonts w:hint="eastAsia"/>
          <w:i w:val="0"/>
          <w:iCs w:val="0"/>
          <w:color w:val="auto"/>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0"/>
        <w:rPr>
          <w:rFonts w:hint="eastAsia" w:asciiTheme="minorEastAsia" w:hAnsiTheme="minorEastAsia" w:cstheme="minorEastAsia"/>
          <w:b/>
          <w:bCs/>
          <w:i w:val="0"/>
          <w:iCs w:val="0"/>
          <w:color w:val="auto"/>
          <w:spacing w:val="0"/>
          <w:sz w:val="24"/>
          <w:szCs w:val="24"/>
          <w:lang w:val="en-US" w:eastAsia="zh-CN"/>
        </w:rPr>
      </w:pPr>
      <w:bookmarkStart w:id="176" w:name="_Toc1748"/>
      <w:bookmarkStart w:id="177" w:name="_Toc10279"/>
      <w:r>
        <w:rPr>
          <w:rFonts w:hint="eastAsia" w:asciiTheme="minorEastAsia" w:hAnsiTheme="minorEastAsia" w:cstheme="minorEastAsia"/>
          <w:b/>
          <w:bCs/>
          <w:i w:val="0"/>
          <w:iCs w:val="0"/>
          <w:color w:val="auto"/>
          <w:spacing w:val="0"/>
          <w:sz w:val="24"/>
          <w:szCs w:val="24"/>
          <w:lang w:val="en-US" w:eastAsia="zh-CN"/>
        </w:rPr>
        <w:t>八、企业信誉要求</w:t>
      </w:r>
      <w:bookmarkEnd w:id="176"/>
      <w:bookmarkEnd w:id="177"/>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bCs/>
          <w:i w:val="0"/>
          <w:iCs w:val="0"/>
          <w:color w:val="auto"/>
          <w:spacing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注：投标人应根据投标人须知前附表第3.5.5项的要求附相关证明材料及签署《无重大违法记录声明书》、《诚信投标承诺书》。</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45"/>
        <w:jc w:val="left"/>
        <w:outlineLvl w:val="9"/>
        <w:rPr>
          <w:rFonts w:hint="eastAsia" w:ascii="宋体" w:hAnsi="宋体" w:eastAsia="宋体" w:cs="宋体"/>
          <w:i w:val="0"/>
          <w:iCs w:val="0"/>
          <w:color w:val="auto"/>
          <w:sz w:val="28"/>
          <w:szCs w:val="28"/>
          <w:lang w:val="en-US" w:eastAsia="zh-CN"/>
        </w:rPr>
      </w:pPr>
      <w:bookmarkStart w:id="178" w:name="_Toc8543"/>
    </w:p>
    <w:p>
      <w:pPr>
        <w:pStyle w:val="45"/>
        <w:jc w:val="left"/>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附件1</w:t>
      </w:r>
    </w:p>
    <w:p>
      <w:pPr>
        <w:pStyle w:val="45"/>
        <w:jc w:val="center"/>
        <w:rPr>
          <w:rFonts w:hint="eastAsia" w:ascii="宋体" w:hAnsi="宋体" w:eastAsia="宋体" w:cs="宋体"/>
          <w:b w:val="0"/>
          <w:bCs w:val="0"/>
          <w:i w:val="0"/>
          <w:iCs w:val="0"/>
          <w:color w:val="auto"/>
          <w:sz w:val="28"/>
          <w:szCs w:val="28"/>
        </w:rPr>
      </w:pPr>
      <w:r>
        <w:rPr>
          <w:rFonts w:hint="eastAsia" w:ascii="宋体" w:hAnsi="宋体" w:eastAsia="宋体" w:cs="宋体"/>
          <w:i w:val="0"/>
          <w:iCs w:val="0"/>
          <w:color w:val="auto"/>
          <w:sz w:val="28"/>
          <w:szCs w:val="28"/>
        </w:rPr>
        <w:t>无重大违法记录声明书</w:t>
      </w:r>
      <w:bookmarkEnd w:id="178"/>
    </w:p>
    <w:p>
      <w:pPr>
        <w:spacing w:line="460" w:lineRule="exact"/>
        <w:ind w:right="-197" w:rightChars="-73"/>
        <w:rPr>
          <w:rFonts w:hint="eastAsia" w:ascii="宋体" w:hAnsi="宋体" w:eastAsia="宋体" w:cs="宋体"/>
          <w:bCs/>
          <w:i w:val="0"/>
          <w:iCs w:val="0"/>
          <w:color w:val="auto"/>
          <w:sz w:val="28"/>
          <w:szCs w:val="28"/>
        </w:rPr>
      </w:pPr>
    </w:p>
    <w:p>
      <w:pPr>
        <w:spacing w:line="360" w:lineRule="auto"/>
        <w:ind w:right="-197" w:rightChars="-73"/>
        <w:rPr>
          <w:rFonts w:hint="eastAsia" w:ascii="宋体" w:hAnsi="宋体" w:eastAsia="宋体" w:cs="宋体"/>
          <w:bCs/>
          <w:i w:val="0"/>
          <w:iCs w:val="0"/>
          <w:color w:val="auto"/>
          <w:sz w:val="28"/>
          <w:szCs w:val="28"/>
        </w:rPr>
      </w:pPr>
      <w:r>
        <w:rPr>
          <w:rFonts w:hint="eastAsia" w:ascii="宋体" w:hAnsi="宋体" w:eastAsia="宋体" w:cs="宋体"/>
          <w:bCs/>
          <w:i w:val="0"/>
          <w:iCs w:val="0"/>
          <w:color w:val="auto"/>
          <w:sz w:val="28"/>
          <w:szCs w:val="28"/>
          <w:lang w:eastAsia="zh-CN"/>
        </w:rPr>
        <w:t>库车市农业农村局</w:t>
      </w:r>
      <w:r>
        <w:rPr>
          <w:rFonts w:hint="eastAsia" w:ascii="宋体" w:hAnsi="宋体" w:eastAsia="宋体" w:cs="宋体"/>
          <w:bCs/>
          <w:i w:val="0"/>
          <w:iCs w:val="0"/>
          <w:color w:val="auto"/>
          <w:sz w:val="28"/>
          <w:szCs w:val="28"/>
        </w:rPr>
        <w:t>：</w:t>
      </w:r>
    </w:p>
    <w:p>
      <w:pPr>
        <w:spacing w:line="360" w:lineRule="auto"/>
        <w:ind w:firstLine="620" w:firstLineChars="200"/>
        <w:rPr>
          <w:rFonts w:hint="eastAsia" w:ascii="宋体" w:hAnsi="宋体" w:eastAsia="宋体" w:cs="宋体"/>
          <w:bCs/>
          <w:i w:val="0"/>
          <w:iCs w:val="0"/>
          <w:color w:val="auto"/>
          <w:sz w:val="28"/>
          <w:szCs w:val="28"/>
        </w:rPr>
      </w:pPr>
      <w:r>
        <w:rPr>
          <w:rFonts w:hint="eastAsia" w:ascii="宋体" w:hAnsi="宋体" w:eastAsia="宋体" w:cs="宋体"/>
          <w:bCs/>
          <w:i w:val="0"/>
          <w:iCs w:val="0"/>
          <w:color w:val="auto"/>
          <w:sz w:val="28"/>
          <w:szCs w:val="28"/>
        </w:rPr>
        <w:t>我公司参与</w:t>
      </w:r>
      <w:r>
        <w:rPr>
          <w:rFonts w:hint="eastAsia" w:ascii="宋体" w:hAnsi="宋体" w:eastAsia="宋体" w:cs="宋体"/>
          <w:bCs/>
          <w:i w:val="0"/>
          <w:iCs w:val="0"/>
          <w:color w:val="auto"/>
          <w:sz w:val="28"/>
          <w:szCs w:val="28"/>
          <w:u w:val="single"/>
        </w:rPr>
        <w:t xml:space="preserve">                          </w:t>
      </w:r>
      <w:r>
        <w:rPr>
          <w:rFonts w:hint="eastAsia" w:ascii="宋体" w:hAnsi="宋体" w:eastAsia="宋体" w:cs="宋体"/>
          <w:bCs/>
          <w:i w:val="0"/>
          <w:iCs w:val="0"/>
          <w:color w:val="auto"/>
          <w:sz w:val="28"/>
          <w:szCs w:val="28"/>
        </w:rPr>
        <w:t>（项目名称、编号）投标，本公司郑重声明，我方参加本项目政府采购活动前三年内无重大违法记录，符合《政府采购法》规定的供应商条件。若贵中心在本项目采购过程中发现我方政府采购活动前三年内有重大违法记录，我公司将无条件退出本项目的投标，并承担因引起的一切后果。我方对此声明负全部法律责任。</w:t>
      </w:r>
    </w:p>
    <w:p>
      <w:pPr>
        <w:spacing w:line="360" w:lineRule="auto"/>
        <w:ind w:firstLine="620" w:firstLineChars="200"/>
        <w:rPr>
          <w:rFonts w:hint="eastAsia" w:ascii="宋体" w:hAnsi="宋体" w:eastAsia="宋体" w:cs="宋体"/>
          <w:bCs/>
          <w:i w:val="0"/>
          <w:iCs w:val="0"/>
          <w:color w:val="auto"/>
          <w:sz w:val="28"/>
          <w:szCs w:val="28"/>
        </w:rPr>
      </w:pPr>
      <w:r>
        <w:rPr>
          <w:rFonts w:hint="eastAsia" w:ascii="宋体" w:hAnsi="宋体" w:eastAsia="宋体" w:cs="宋体"/>
          <w:bCs/>
          <w:i w:val="0"/>
          <w:iCs w:val="0"/>
          <w:color w:val="auto"/>
          <w:sz w:val="28"/>
          <w:szCs w:val="28"/>
        </w:rPr>
        <w:t xml:space="preserve">特此声明  </w:t>
      </w:r>
    </w:p>
    <w:p>
      <w:pPr>
        <w:spacing w:line="360" w:lineRule="auto"/>
        <w:ind w:firstLine="620" w:firstLineChars="200"/>
        <w:rPr>
          <w:rFonts w:hint="eastAsia" w:ascii="宋体" w:hAnsi="宋体" w:eastAsia="宋体" w:cs="宋体"/>
          <w:bCs/>
          <w:i w:val="0"/>
          <w:iCs w:val="0"/>
          <w:color w:val="auto"/>
          <w:sz w:val="28"/>
          <w:szCs w:val="28"/>
        </w:rPr>
      </w:pPr>
    </w:p>
    <w:p>
      <w:pPr>
        <w:spacing w:line="360" w:lineRule="auto"/>
        <w:ind w:firstLine="620" w:firstLineChars="200"/>
        <w:rPr>
          <w:rFonts w:hint="eastAsia" w:ascii="宋体" w:hAnsi="宋体" w:eastAsia="宋体" w:cs="宋体"/>
          <w:bCs/>
          <w:i w:val="0"/>
          <w:iCs w:val="0"/>
          <w:color w:val="auto"/>
          <w:sz w:val="28"/>
          <w:szCs w:val="28"/>
        </w:rPr>
      </w:pPr>
    </w:p>
    <w:p>
      <w:pPr>
        <w:spacing w:line="360" w:lineRule="auto"/>
        <w:jc w:val="left"/>
        <w:rPr>
          <w:rFonts w:hint="eastAsia" w:ascii="宋体" w:hAnsi="宋体" w:eastAsia="宋体" w:cs="宋体"/>
          <w:bCs/>
          <w:i w:val="0"/>
          <w:iCs w:val="0"/>
          <w:color w:val="auto"/>
          <w:sz w:val="28"/>
          <w:szCs w:val="28"/>
        </w:rPr>
      </w:pPr>
      <w:r>
        <w:rPr>
          <w:rFonts w:hint="eastAsia" w:ascii="宋体" w:hAnsi="宋体" w:eastAsia="宋体" w:cs="宋体"/>
          <w:bCs/>
          <w:i w:val="0"/>
          <w:iCs w:val="0"/>
          <w:color w:val="auto"/>
          <w:sz w:val="28"/>
          <w:szCs w:val="28"/>
        </w:rPr>
        <w:t>声明</w:t>
      </w:r>
      <w:r>
        <w:rPr>
          <w:rFonts w:hint="eastAsia" w:ascii="宋体" w:hAnsi="宋体" w:eastAsia="宋体" w:cs="宋体"/>
          <w:bCs/>
          <w:i w:val="0"/>
          <w:iCs w:val="0"/>
          <w:color w:val="auto"/>
          <w:sz w:val="28"/>
          <w:szCs w:val="28"/>
          <w:lang w:val="en-US" w:eastAsia="zh-CN"/>
        </w:rPr>
        <w:t>投标人</w:t>
      </w:r>
      <w:r>
        <w:rPr>
          <w:rFonts w:hint="eastAsia" w:ascii="宋体" w:hAnsi="宋体" w:eastAsia="宋体" w:cs="宋体"/>
          <w:bCs/>
          <w:i w:val="0"/>
          <w:iCs w:val="0"/>
          <w:color w:val="auto"/>
          <w:sz w:val="28"/>
          <w:szCs w:val="28"/>
        </w:rPr>
        <w:t>全称（公章）：</w:t>
      </w:r>
    </w:p>
    <w:p>
      <w:pPr>
        <w:spacing w:line="360" w:lineRule="auto"/>
        <w:jc w:val="left"/>
        <w:rPr>
          <w:rFonts w:hint="eastAsia" w:ascii="宋体" w:hAnsi="宋体" w:eastAsia="宋体" w:cs="宋体"/>
          <w:bCs/>
          <w:i w:val="0"/>
          <w:iCs w:val="0"/>
          <w:color w:val="auto"/>
          <w:sz w:val="28"/>
          <w:szCs w:val="28"/>
        </w:rPr>
      </w:pPr>
      <w:r>
        <w:rPr>
          <w:rFonts w:hint="eastAsia" w:ascii="宋体" w:hAnsi="宋体" w:eastAsia="宋体" w:cs="宋体"/>
          <w:bCs/>
          <w:i w:val="0"/>
          <w:iCs w:val="0"/>
          <w:color w:val="auto"/>
          <w:sz w:val="28"/>
          <w:szCs w:val="28"/>
        </w:rPr>
        <w:t>法定代表人或授权代表（签字）：</w:t>
      </w:r>
    </w:p>
    <w:p>
      <w:pPr>
        <w:spacing w:line="360" w:lineRule="auto"/>
        <w:jc w:val="left"/>
        <w:rPr>
          <w:rFonts w:hint="eastAsia" w:ascii="宋体" w:hAnsi="宋体" w:eastAsia="宋体" w:cs="宋体"/>
          <w:bCs/>
          <w:i w:val="0"/>
          <w:iCs w:val="0"/>
          <w:color w:val="auto"/>
          <w:sz w:val="28"/>
          <w:szCs w:val="28"/>
        </w:rPr>
      </w:pPr>
      <w:r>
        <w:rPr>
          <w:rFonts w:hint="eastAsia" w:ascii="宋体" w:hAnsi="宋体" w:eastAsia="宋体" w:cs="宋体"/>
          <w:bCs/>
          <w:i w:val="0"/>
          <w:iCs w:val="0"/>
          <w:color w:val="auto"/>
          <w:sz w:val="28"/>
          <w:szCs w:val="28"/>
        </w:rPr>
        <w:t xml:space="preserve">日期：  年   月  日  </w:t>
      </w:r>
    </w:p>
    <w:p>
      <w:pPr>
        <w:spacing w:line="460" w:lineRule="exact"/>
        <w:rPr>
          <w:rFonts w:hint="eastAsia" w:ascii="宋体" w:hAnsi="宋体" w:eastAsia="宋体" w:cs="宋体"/>
          <w:bCs/>
          <w:i w:val="0"/>
          <w:iCs w:val="0"/>
          <w:color w:val="auto"/>
          <w:sz w:val="28"/>
          <w:szCs w:val="28"/>
        </w:rPr>
      </w:pPr>
    </w:p>
    <w:p>
      <w:pPr>
        <w:spacing w:line="460" w:lineRule="exact"/>
        <w:rPr>
          <w:rFonts w:hint="eastAsia" w:ascii="宋体" w:hAnsi="宋体" w:eastAsia="宋体" w:cs="宋体"/>
          <w:b/>
          <w:i w:val="0"/>
          <w:iCs w:val="0"/>
          <w:color w:val="auto"/>
          <w:sz w:val="28"/>
          <w:szCs w:val="28"/>
        </w:rPr>
      </w:pPr>
      <w:r>
        <w:rPr>
          <w:rFonts w:hint="eastAsia" w:ascii="宋体" w:hAnsi="宋体" w:eastAsia="宋体" w:cs="宋体"/>
          <w:bCs/>
          <w:i w:val="0"/>
          <w:iCs w:val="0"/>
          <w:color w:val="auto"/>
          <w:sz w:val="28"/>
          <w:szCs w:val="28"/>
        </w:rPr>
        <w:t>附注</w:t>
      </w:r>
      <w:r>
        <w:rPr>
          <w:rFonts w:hint="eastAsia" w:ascii="宋体" w:hAnsi="宋体" w:eastAsia="宋体" w:cs="宋体"/>
          <w:i w:val="0"/>
          <w:iCs w:val="0"/>
          <w:color w:val="auto"/>
          <w:sz w:val="28"/>
          <w:szCs w:val="28"/>
        </w:rPr>
        <w:t>：</w:t>
      </w:r>
      <w:r>
        <w:rPr>
          <w:rFonts w:hint="eastAsia" w:ascii="宋体" w:hAnsi="宋体" w:eastAsia="宋体" w:cs="宋体"/>
          <w:i w:val="0"/>
          <w:iCs w:val="0"/>
          <w:color w:val="auto"/>
          <w:sz w:val="28"/>
          <w:szCs w:val="28"/>
          <w:u w:val="single"/>
        </w:rPr>
        <w:t>▲本声明书格式不得修改。</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45"/>
        <w:jc w:val="left"/>
        <w:rPr>
          <w:rFonts w:hint="default" w:ascii="宋体" w:hAnsi="宋体" w:eastAsia="宋体" w:cs="宋体"/>
          <w:i w:val="0"/>
          <w:iCs w:val="0"/>
          <w:color w:val="auto"/>
          <w:sz w:val="28"/>
          <w:szCs w:val="28"/>
          <w:lang w:val="en-US" w:eastAsia="zh-CN"/>
        </w:rPr>
      </w:pPr>
      <w:bookmarkStart w:id="179" w:name="_Toc7599"/>
      <w:r>
        <w:rPr>
          <w:rFonts w:hint="eastAsia" w:ascii="宋体" w:hAnsi="宋体" w:eastAsia="宋体" w:cs="宋体"/>
          <w:i w:val="0"/>
          <w:iCs w:val="0"/>
          <w:color w:val="auto"/>
          <w:sz w:val="28"/>
          <w:szCs w:val="28"/>
          <w:lang w:val="en-US" w:eastAsia="zh-CN"/>
        </w:rPr>
        <w:t>附件2</w:t>
      </w:r>
    </w:p>
    <w:p>
      <w:pPr>
        <w:pStyle w:val="45"/>
        <w:jc w:val="center"/>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诚信投标承诺书</w:t>
      </w:r>
      <w:bookmarkEnd w:id="179"/>
    </w:p>
    <w:p>
      <w:pPr>
        <w:spacing w:line="360" w:lineRule="auto"/>
        <w:ind w:right="-197" w:rightChars="-73"/>
        <w:rPr>
          <w:rFonts w:hint="eastAsia" w:ascii="宋体" w:hAnsi="宋体" w:eastAsia="宋体" w:cs="宋体"/>
          <w:i w:val="0"/>
          <w:iCs w:val="0"/>
          <w:color w:val="auto"/>
          <w:sz w:val="28"/>
          <w:szCs w:val="28"/>
        </w:rPr>
      </w:pPr>
    </w:p>
    <w:p>
      <w:pPr>
        <w:spacing w:line="360" w:lineRule="auto"/>
        <w:ind w:right="-197" w:rightChars="-73"/>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lang w:eastAsia="zh-CN"/>
        </w:rPr>
        <w:t>库车市农业农村局</w:t>
      </w:r>
      <w:r>
        <w:rPr>
          <w:rFonts w:hint="eastAsia" w:ascii="宋体" w:hAnsi="宋体" w:eastAsia="宋体" w:cs="宋体"/>
          <w:i w:val="0"/>
          <w:iCs w:val="0"/>
          <w:color w:val="auto"/>
          <w:sz w:val="28"/>
          <w:szCs w:val="28"/>
        </w:rPr>
        <w:t>：</w:t>
      </w:r>
    </w:p>
    <w:p>
      <w:pPr>
        <w:spacing w:line="360" w:lineRule="auto"/>
        <w:ind w:right="-197" w:rightChars="-73" w:firstLine="62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我公司参与</w:t>
      </w:r>
      <w:r>
        <w:rPr>
          <w:rFonts w:hint="eastAsia" w:ascii="宋体" w:hAnsi="宋体" w:eastAsia="宋体" w:cs="宋体"/>
          <w:i w:val="0"/>
          <w:iCs w:val="0"/>
          <w:color w:val="auto"/>
          <w:sz w:val="28"/>
          <w:szCs w:val="28"/>
          <w:u w:val="single"/>
        </w:rPr>
        <w:t xml:space="preserve">                          </w:t>
      </w:r>
      <w:r>
        <w:rPr>
          <w:rFonts w:hint="eastAsia" w:ascii="宋体" w:hAnsi="宋体" w:eastAsia="宋体" w:cs="宋体"/>
          <w:i w:val="0"/>
          <w:iCs w:val="0"/>
          <w:color w:val="auto"/>
          <w:sz w:val="28"/>
          <w:szCs w:val="28"/>
        </w:rPr>
        <w:t>（项目名称、编号）投标，本公司郑重承诺：</w:t>
      </w:r>
    </w:p>
    <w:p>
      <w:pPr>
        <w:spacing w:line="360" w:lineRule="auto"/>
        <w:ind w:firstLine="62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1、自觉遵守《中华人民共和国政府采购法》等法律法规的规定；</w:t>
      </w:r>
    </w:p>
    <w:p>
      <w:pPr>
        <w:snapToGrid w:val="0"/>
        <w:spacing w:line="360" w:lineRule="auto"/>
        <w:ind w:firstLine="62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2、报价文件中所提供的材料及技术参数真实有效，不存在虚假应标；</w:t>
      </w:r>
    </w:p>
    <w:p>
      <w:pPr>
        <w:snapToGrid w:val="0"/>
        <w:spacing w:line="360" w:lineRule="auto"/>
        <w:ind w:firstLine="62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3、我司提供的所有产品均为原厂生产的正规渠道产品。</w:t>
      </w:r>
    </w:p>
    <w:p>
      <w:pPr>
        <w:snapToGrid w:val="0"/>
        <w:spacing w:line="360" w:lineRule="auto"/>
        <w:ind w:firstLine="62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我公司若违反上述承诺，愿接受取消报价（成交）资格及其他任何形式的处理。</w:t>
      </w:r>
    </w:p>
    <w:p>
      <w:pPr>
        <w:snapToGrid w:val="0"/>
        <w:spacing w:line="360" w:lineRule="auto"/>
        <w:ind w:firstLine="542" w:firstLineChars="175"/>
        <w:rPr>
          <w:rFonts w:hint="eastAsia" w:ascii="宋体" w:hAnsi="宋体" w:eastAsia="宋体" w:cs="宋体"/>
          <w:i w:val="0"/>
          <w:iCs w:val="0"/>
          <w:color w:val="auto"/>
          <w:sz w:val="28"/>
          <w:szCs w:val="28"/>
        </w:rPr>
      </w:pPr>
    </w:p>
    <w:p>
      <w:pPr>
        <w:spacing w:line="360" w:lineRule="auto"/>
        <w:jc w:val="left"/>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lang w:val="en-US" w:eastAsia="zh-CN"/>
        </w:rPr>
        <w:t>投标人</w:t>
      </w:r>
      <w:r>
        <w:rPr>
          <w:rFonts w:hint="eastAsia" w:ascii="宋体" w:hAnsi="宋体" w:eastAsia="宋体" w:cs="宋体"/>
          <w:i w:val="0"/>
          <w:iCs w:val="0"/>
          <w:color w:val="auto"/>
          <w:sz w:val="28"/>
          <w:szCs w:val="28"/>
        </w:rPr>
        <w:t>全称（公章）：</w:t>
      </w:r>
    </w:p>
    <w:p>
      <w:pPr>
        <w:spacing w:line="360" w:lineRule="auto"/>
        <w:jc w:val="left"/>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法定代表人或授权代表（签名）：</w:t>
      </w:r>
    </w:p>
    <w:p>
      <w:pPr>
        <w:spacing w:line="360" w:lineRule="auto"/>
        <w:jc w:val="left"/>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日 期：  年  月  日</w:t>
      </w:r>
    </w:p>
    <w:p>
      <w:pPr>
        <w:spacing w:line="360" w:lineRule="auto"/>
        <w:rPr>
          <w:rFonts w:ascii="楷体_GB2312" w:hAnsi="宋体" w:eastAsia="楷体_GB2312"/>
          <w:b/>
          <w:bCs/>
          <w:i w:val="0"/>
          <w:iCs w:val="0"/>
          <w:color w:val="auto"/>
          <w:sz w:val="28"/>
          <w:szCs w:val="28"/>
        </w:rPr>
      </w:pPr>
    </w:p>
    <w:p>
      <w:pPr>
        <w:spacing w:line="460" w:lineRule="exact"/>
        <w:rPr>
          <w:rFonts w:ascii="楷体_GB2312" w:hAnsi="宋体" w:eastAsia="楷体_GB2312"/>
          <w:bCs/>
          <w:i w:val="0"/>
          <w:iCs w:val="0"/>
          <w:color w:val="auto"/>
          <w:szCs w:val="21"/>
        </w:rPr>
      </w:pPr>
    </w:p>
    <w:p>
      <w:pPr>
        <w:spacing w:line="460" w:lineRule="exact"/>
        <w:rPr>
          <w:rFonts w:ascii="楷体_GB2312" w:hAnsi="宋体" w:eastAsia="楷体_GB2312"/>
          <w:bCs/>
          <w:i w:val="0"/>
          <w:iCs w:val="0"/>
          <w:color w:val="auto"/>
          <w:szCs w:val="21"/>
        </w:rPr>
      </w:pPr>
    </w:p>
    <w:p>
      <w:pPr>
        <w:spacing w:line="460" w:lineRule="exact"/>
        <w:rPr>
          <w:rFonts w:ascii="楷体_GB2312" w:hAnsi="宋体" w:eastAsia="楷体_GB2312"/>
          <w:bCs/>
          <w:i w:val="0"/>
          <w:iCs w:val="0"/>
          <w:color w:val="auto"/>
          <w:szCs w:val="21"/>
        </w:rPr>
      </w:pPr>
    </w:p>
    <w:p>
      <w:pPr>
        <w:spacing w:line="460" w:lineRule="exact"/>
        <w:rPr>
          <w:rFonts w:ascii="楷体_GB2312" w:hAnsi="宋体" w:eastAsia="楷体_GB2312"/>
          <w:i w:val="0"/>
          <w:iCs w:val="0"/>
          <w:color w:val="auto"/>
          <w:szCs w:val="21"/>
          <w:u w:val="single"/>
        </w:rPr>
      </w:pPr>
      <w:r>
        <w:rPr>
          <w:rFonts w:hint="eastAsia" w:ascii="楷体_GB2312" w:hAnsi="宋体" w:eastAsia="楷体_GB2312"/>
          <w:bCs/>
          <w:i w:val="0"/>
          <w:iCs w:val="0"/>
          <w:color w:val="auto"/>
          <w:szCs w:val="21"/>
        </w:rPr>
        <w:t>附注</w:t>
      </w:r>
      <w:r>
        <w:rPr>
          <w:rFonts w:hint="eastAsia" w:ascii="楷体_GB2312" w:hAnsi="宋体" w:eastAsia="楷体_GB2312"/>
          <w:i w:val="0"/>
          <w:iCs w:val="0"/>
          <w:color w:val="auto"/>
          <w:szCs w:val="21"/>
        </w:rPr>
        <w:t>：</w:t>
      </w:r>
      <w:r>
        <w:rPr>
          <w:rFonts w:hint="eastAsia" w:ascii="楷体_GB2312" w:hAnsi="宋体" w:eastAsia="楷体_GB2312"/>
          <w:i w:val="0"/>
          <w:iCs w:val="0"/>
          <w:color w:val="auto"/>
          <w:szCs w:val="21"/>
          <w:u w:val="single"/>
        </w:rPr>
        <w:t>▲本承诺书格式不得修改。</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spacing w:before="59"/>
        <w:ind w:left="182" w:right="222"/>
        <w:jc w:val="center"/>
        <w:rPr>
          <w:rFonts w:hint="eastAsia" w:eastAsia="宋体"/>
          <w:b/>
          <w:i w:val="0"/>
          <w:iCs w:val="0"/>
          <w:sz w:val="28"/>
          <w:lang w:val="en-US" w:eastAsia="zh-CN"/>
        </w:rPr>
      </w:pPr>
    </w:p>
    <w:p>
      <w:pPr>
        <w:spacing w:before="59"/>
        <w:ind w:right="222"/>
        <w:jc w:val="both"/>
        <w:rPr>
          <w:rFonts w:hint="eastAsia" w:eastAsia="宋体"/>
          <w:b/>
          <w:i w:val="0"/>
          <w:iCs w:val="0"/>
          <w:sz w:val="28"/>
          <w:lang w:val="en-US" w:eastAsia="zh-CN"/>
        </w:rPr>
      </w:pPr>
    </w:p>
    <w:p>
      <w:pPr>
        <w:spacing w:line="440" w:lineRule="exact"/>
        <w:jc w:val="center"/>
        <w:outlineLvl w:val="0"/>
        <w:rPr>
          <w:rFonts w:hint="default" w:hAnsi="宋体" w:cs="宋体"/>
          <w:b/>
          <w:bCs/>
          <w:color w:val="auto"/>
          <w:sz w:val="36"/>
          <w:szCs w:val="24"/>
          <w:highlight w:val="none"/>
          <w:lang w:val="en-US" w:eastAsia="zh-CN"/>
        </w:rPr>
      </w:pPr>
      <w:bookmarkStart w:id="180" w:name="_Toc24025"/>
      <w:bookmarkStart w:id="181" w:name="_Toc9403"/>
      <w:r>
        <w:rPr>
          <w:rFonts w:hint="eastAsia" w:hAnsi="宋体" w:cs="宋体"/>
          <w:b/>
          <w:bCs/>
          <w:color w:val="auto"/>
          <w:sz w:val="36"/>
          <w:szCs w:val="24"/>
          <w:highlight w:val="none"/>
          <w:lang w:val="en-US" w:eastAsia="zh-CN"/>
        </w:rPr>
        <w:t>九、技术文件（项目服务方案）</w:t>
      </w:r>
      <w:bookmarkEnd w:id="180"/>
      <w:bookmarkEnd w:id="181"/>
    </w:p>
    <w:p>
      <w:pPr>
        <w:spacing w:line="440" w:lineRule="exact"/>
        <w:jc w:val="center"/>
        <w:outlineLvl w:val="0"/>
        <w:rPr>
          <w:rFonts w:hAnsi="宋体" w:cs="宋体"/>
          <w:b/>
          <w:bCs/>
          <w:color w:val="auto"/>
          <w:sz w:val="32"/>
          <w:szCs w:val="22"/>
          <w:highlight w:val="none"/>
        </w:rPr>
      </w:pPr>
      <w:bookmarkStart w:id="182" w:name="_Toc19736"/>
      <w:r>
        <w:rPr>
          <w:rFonts w:hAnsi="宋体" w:cs="宋体"/>
          <w:b/>
          <w:bCs/>
          <w:color w:val="auto"/>
          <w:sz w:val="32"/>
          <w:szCs w:val="22"/>
          <w:highlight w:val="none"/>
        </w:rPr>
        <w:t>（根据需要编写，格式自制）</w:t>
      </w:r>
      <w:bookmarkEnd w:id="182"/>
    </w:p>
    <w:p>
      <w:pPr>
        <w:pStyle w:val="9"/>
        <w:ind w:left="0" w:leftChars="0" w:firstLine="0" w:firstLineChars="0"/>
        <w:rPr>
          <w:b/>
          <w:i w:val="0"/>
          <w:iCs w:val="0"/>
          <w:sz w:val="20"/>
        </w:rPr>
      </w:pPr>
    </w:p>
    <w:p>
      <w:pPr>
        <w:pStyle w:val="37"/>
        <w:numPr>
          <w:ilvl w:val="0"/>
          <w:numId w:val="0"/>
        </w:numPr>
        <w:tabs>
          <w:tab w:val="left" w:pos="574"/>
        </w:tabs>
        <w:spacing w:before="232"/>
        <w:rPr>
          <w:rFonts w:hint="eastAsia"/>
          <w:b/>
          <w:i w:val="0"/>
          <w:iCs w:val="0"/>
          <w:sz w:val="24"/>
          <w:lang w:val="en-US" w:eastAsia="zh-CN"/>
        </w:rPr>
      </w:pPr>
      <w:r>
        <w:rPr>
          <w:rFonts w:hint="eastAsia"/>
          <w:b/>
          <w:i w:val="0"/>
          <w:iCs w:val="0"/>
          <w:sz w:val="24"/>
          <w:lang w:val="en-US" w:eastAsia="zh-CN"/>
        </w:rPr>
        <w:t>（一）勘察设计方案总体规划和实施细则</w:t>
      </w:r>
      <w:r>
        <w:rPr>
          <w:rFonts w:hint="eastAsia"/>
          <w:b w:val="0"/>
          <w:bCs/>
          <w:i w:val="0"/>
          <w:iCs w:val="0"/>
          <w:sz w:val="24"/>
          <w:lang w:val="en-US" w:eastAsia="zh-CN"/>
        </w:rPr>
        <w:t>（自拟格式）</w:t>
      </w:r>
    </w:p>
    <w:p>
      <w:pPr>
        <w:pStyle w:val="9"/>
        <w:spacing w:before="7"/>
        <w:ind w:left="0" w:leftChars="0" w:firstLine="0" w:firstLineChars="0"/>
        <w:rPr>
          <w:b/>
          <w:i w:val="0"/>
          <w:iCs w:val="0"/>
          <w:sz w:val="31"/>
        </w:rPr>
      </w:pPr>
    </w:p>
    <w:p>
      <w:pPr>
        <w:pStyle w:val="37"/>
        <w:numPr>
          <w:ilvl w:val="0"/>
          <w:numId w:val="0"/>
        </w:numPr>
        <w:tabs>
          <w:tab w:val="left" w:pos="574"/>
        </w:tabs>
        <w:rPr>
          <w:rFonts w:hint="eastAsia"/>
          <w:b/>
          <w:i w:val="0"/>
          <w:iCs w:val="0"/>
          <w:sz w:val="24"/>
          <w:lang w:eastAsia="zh-CN"/>
        </w:rPr>
      </w:pPr>
      <w:r>
        <w:rPr>
          <w:rFonts w:hint="eastAsia"/>
          <w:b/>
          <w:i w:val="0"/>
          <w:iCs w:val="0"/>
          <w:sz w:val="24"/>
          <w:lang w:eastAsia="zh-CN"/>
        </w:rPr>
        <w:t>（</w:t>
      </w:r>
      <w:r>
        <w:rPr>
          <w:rFonts w:hint="eastAsia"/>
          <w:b/>
          <w:i w:val="0"/>
          <w:iCs w:val="0"/>
          <w:sz w:val="24"/>
          <w:lang w:val="en-US" w:eastAsia="zh-CN"/>
        </w:rPr>
        <w:t>二</w:t>
      </w:r>
      <w:r>
        <w:rPr>
          <w:rFonts w:hint="eastAsia"/>
          <w:b/>
          <w:i w:val="0"/>
          <w:iCs w:val="0"/>
          <w:sz w:val="24"/>
          <w:lang w:eastAsia="zh-CN"/>
        </w:rPr>
        <w:t>）</w:t>
      </w:r>
      <w:r>
        <w:rPr>
          <w:rFonts w:hint="eastAsia"/>
          <w:b/>
          <w:i w:val="0"/>
          <w:iCs w:val="0"/>
          <w:sz w:val="24"/>
          <w:lang w:val="en-US" w:eastAsia="zh-CN"/>
        </w:rPr>
        <w:t>进度安排</w:t>
      </w:r>
      <w:r>
        <w:rPr>
          <w:rFonts w:hint="eastAsia"/>
          <w:b w:val="0"/>
          <w:bCs/>
          <w:i w:val="0"/>
          <w:iCs w:val="0"/>
          <w:sz w:val="24"/>
          <w:lang w:eastAsia="zh-CN"/>
        </w:rPr>
        <w:t>（自拟格式）</w:t>
      </w:r>
    </w:p>
    <w:p>
      <w:pPr>
        <w:pStyle w:val="9"/>
        <w:spacing w:before="9"/>
        <w:ind w:left="0" w:leftChars="0" w:firstLine="0" w:firstLineChars="0"/>
        <w:rPr>
          <w:b/>
          <w:i w:val="0"/>
          <w:iCs w:val="0"/>
          <w:sz w:val="28"/>
        </w:rPr>
      </w:pPr>
    </w:p>
    <w:p>
      <w:pPr>
        <w:pStyle w:val="37"/>
        <w:numPr>
          <w:ilvl w:val="0"/>
          <w:numId w:val="25"/>
        </w:numPr>
        <w:tabs>
          <w:tab w:val="left" w:pos="634"/>
        </w:tabs>
        <w:spacing w:before="1"/>
        <w:rPr>
          <w:rFonts w:hint="eastAsia"/>
          <w:b/>
          <w:i w:val="0"/>
          <w:iCs w:val="0"/>
          <w:sz w:val="24"/>
          <w:lang w:eastAsia="zh-CN"/>
        </w:rPr>
      </w:pPr>
      <w:r>
        <w:rPr>
          <w:rFonts w:hint="eastAsia"/>
          <w:b/>
          <w:i w:val="0"/>
          <w:iCs w:val="0"/>
          <w:sz w:val="24"/>
          <w:lang w:val="en-US" w:eastAsia="zh-CN"/>
        </w:rPr>
        <w:t>质量保证措施</w:t>
      </w:r>
      <w:r>
        <w:rPr>
          <w:rFonts w:hint="eastAsia"/>
          <w:b w:val="0"/>
          <w:bCs/>
          <w:i w:val="0"/>
          <w:iCs w:val="0"/>
          <w:sz w:val="24"/>
          <w:lang w:eastAsia="zh-CN"/>
        </w:rPr>
        <w:t>自拟格式）</w:t>
      </w:r>
    </w:p>
    <w:p>
      <w:pPr>
        <w:pStyle w:val="37"/>
        <w:widowControl w:val="0"/>
        <w:numPr>
          <w:ilvl w:val="0"/>
          <w:numId w:val="0"/>
        </w:numPr>
        <w:tabs>
          <w:tab w:val="left" w:pos="634"/>
        </w:tabs>
        <w:spacing w:before="1"/>
        <w:contextualSpacing/>
        <w:jc w:val="both"/>
        <w:rPr>
          <w:rFonts w:hint="eastAsia"/>
          <w:b/>
          <w:i w:val="0"/>
          <w:iCs w:val="0"/>
          <w:sz w:val="24"/>
          <w:lang w:eastAsia="zh-CN"/>
        </w:rPr>
      </w:pPr>
    </w:p>
    <w:p>
      <w:pPr>
        <w:pStyle w:val="37"/>
        <w:widowControl w:val="0"/>
        <w:numPr>
          <w:ilvl w:val="0"/>
          <w:numId w:val="0"/>
        </w:numPr>
        <w:tabs>
          <w:tab w:val="left" w:pos="634"/>
        </w:tabs>
        <w:spacing w:before="1"/>
        <w:contextualSpacing/>
        <w:jc w:val="both"/>
        <w:rPr>
          <w:rFonts w:hint="eastAsia"/>
          <w:b/>
          <w:i w:val="0"/>
          <w:iCs w:val="0"/>
          <w:sz w:val="24"/>
          <w:lang w:eastAsia="zh-CN"/>
        </w:rPr>
      </w:pPr>
    </w:p>
    <w:p>
      <w:pPr>
        <w:pStyle w:val="37"/>
        <w:numPr>
          <w:ilvl w:val="0"/>
          <w:numId w:val="25"/>
        </w:numPr>
        <w:tabs>
          <w:tab w:val="left" w:pos="634"/>
        </w:tabs>
        <w:spacing w:before="1"/>
        <w:rPr>
          <w:rFonts w:hint="eastAsia"/>
          <w:b/>
          <w:i w:val="0"/>
          <w:iCs w:val="0"/>
          <w:sz w:val="24"/>
          <w:lang w:eastAsia="zh-CN"/>
        </w:rPr>
      </w:pPr>
      <w:r>
        <w:rPr>
          <w:rFonts w:hint="eastAsia"/>
          <w:b/>
          <w:i w:val="0"/>
          <w:iCs w:val="0"/>
          <w:sz w:val="24"/>
          <w:lang w:val="en-US" w:eastAsia="zh-CN"/>
        </w:rPr>
        <w:t>组织管理</w:t>
      </w:r>
      <w:r>
        <w:rPr>
          <w:rFonts w:hint="eastAsia"/>
          <w:b w:val="0"/>
          <w:bCs/>
          <w:i w:val="0"/>
          <w:iCs w:val="0"/>
          <w:sz w:val="24"/>
          <w:lang w:val="en-US" w:eastAsia="zh-CN"/>
        </w:rPr>
        <w:t>（自拟格式）</w:t>
      </w:r>
    </w:p>
    <w:p>
      <w:pPr>
        <w:pStyle w:val="37"/>
        <w:numPr>
          <w:ilvl w:val="0"/>
          <w:numId w:val="0"/>
        </w:numPr>
        <w:tabs>
          <w:tab w:val="left" w:pos="634"/>
        </w:tabs>
        <w:spacing w:before="1"/>
        <w:rPr>
          <w:rFonts w:hint="eastAsia"/>
          <w:b/>
          <w:i w:val="0"/>
          <w:iCs w:val="0"/>
          <w:sz w:val="24"/>
          <w:lang w:eastAsia="zh-CN"/>
        </w:rPr>
      </w:pPr>
    </w:p>
    <w:p>
      <w:pPr>
        <w:pStyle w:val="37"/>
        <w:numPr>
          <w:ilvl w:val="0"/>
          <w:numId w:val="0"/>
        </w:numPr>
        <w:tabs>
          <w:tab w:val="left" w:pos="634"/>
        </w:tabs>
        <w:spacing w:before="1"/>
        <w:rPr>
          <w:rFonts w:hint="eastAsia"/>
          <w:b/>
          <w:bCs w:val="0"/>
          <w:i w:val="0"/>
          <w:iCs w:val="0"/>
          <w:sz w:val="24"/>
          <w:lang w:eastAsia="zh-CN"/>
        </w:rPr>
      </w:pPr>
    </w:p>
    <w:p>
      <w:pPr>
        <w:pStyle w:val="37"/>
        <w:numPr>
          <w:ilvl w:val="0"/>
          <w:numId w:val="25"/>
        </w:numPr>
        <w:tabs>
          <w:tab w:val="left" w:pos="634"/>
        </w:tabs>
        <w:spacing w:before="1"/>
        <w:rPr>
          <w:rFonts w:hint="eastAsia"/>
          <w:b/>
          <w:i w:val="0"/>
          <w:iCs w:val="0"/>
          <w:sz w:val="24"/>
          <w:lang w:eastAsia="zh-CN"/>
        </w:rPr>
      </w:pPr>
      <w:r>
        <w:rPr>
          <w:rFonts w:hint="eastAsia"/>
          <w:b/>
          <w:bCs w:val="0"/>
          <w:i w:val="0"/>
          <w:iCs w:val="0"/>
          <w:sz w:val="24"/>
          <w:lang w:val="en-US" w:eastAsia="zh-CN"/>
        </w:rPr>
        <w:t>安全、保密措施</w:t>
      </w:r>
      <w:r>
        <w:rPr>
          <w:rFonts w:hint="eastAsia"/>
          <w:b w:val="0"/>
          <w:bCs/>
          <w:i w:val="0"/>
          <w:iCs w:val="0"/>
          <w:sz w:val="24"/>
          <w:lang w:val="en-US" w:eastAsia="zh-CN"/>
        </w:rPr>
        <w:t>（自拟格式）</w:t>
      </w:r>
    </w:p>
    <w:p>
      <w:pPr>
        <w:pStyle w:val="37"/>
        <w:numPr>
          <w:ilvl w:val="0"/>
          <w:numId w:val="0"/>
        </w:numPr>
        <w:tabs>
          <w:tab w:val="left" w:pos="634"/>
        </w:tabs>
        <w:spacing w:before="1"/>
        <w:rPr>
          <w:rFonts w:hint="eastAsia"/>
          <w:b/>
          <w:i w:val="0"/>
          <w:iCs w:val="0"/>
          <w:sz w:val="24"/>
          <w:lang w:eastAsia="zh-CN"/>
        </w:rPr>
      </w:pPr>
    </w:p>
    <w:p>
      <w:pPr>
        <w:pStyle w:val="37"/>
        <w:numPr>
          <w:ilvl w:val="0"/>
          <w:numId w:val="0"/>
        </w:numPr>
        <w:tabs>
          <w:tab w:val="left" w:pos="634"/>
        </w:tabs>
        <w:spacing w:before="1"/>
        <w:rPr>
          <w:rFonts w:hint="eastAsia"/>
          <w:b/>
          <w:i w:val="0"/>
          <w:iCs w:val="0"/>
          <w:sz w:val="24"/>
          <w:lang w:eastAsia="zh-CN"/>
        </w:rPr>
      </w:pPr>
    </w:p>
    <w:p>
      <w:pPr>
        <w:pStyle w:val="37"/>
        <w:numPr>
          <w:ilvl w:val="0"/>
          <w:numId w:val="25"/>
        </w:numPr>
        <w:tabs>
          <w:tab w:val="left" w:pos="634"/>
        </w:tabs>
        <w:spacing w:before="1"/>
        <w:rPr>
          <w:rFonts w:hint="eastAsia"/>
          <w:b/>
          <w:i w:val="0"/>
          <w:iCs w:val="0"/>
          <w:sz w:val="24"/>
          <w:lang w:eastAsia="zh-CN"/>
        </w:rPr>
      </w:pPr>
      <w:r>
        <w:rPr>
          <w:rFonts w:hint="eastAsia"/>
          <w:b/>
          <w:bCs w:val="0"/>
          <w:i w:val="0"/>
          <w:iCs w:val="0"/>
          <w:sz w:val="24"/>
          <w:lang w:val="en-US" w:eastAsia="zh-CN"/>
        </w:rPr>
        <w:t>服务承诺</w:t>
      </w:r>
      <w:r>
        <w:rPr>
          <w:rFonts w:hint="eastAsia"/>
          <w:b w:val="0"/>
          <w:bCs/>
          <w:i w:val="0"/>
          <w:iCs w:val="0"/>
          <w:sz w:val="24"/>
          <w:lang w:val="en-US" w:eastAsia="zh-CN"/>
        </w:rPr>
        <w:t>（自拟格式）</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spacing w:line="440" w:lineRule="exact"/>
        <w:ind w:firstLine="540" w:firstLineChars="200"/>
        <w:rPr>
          <w:rFonts w:hAnsi="宋体" w:cs="宋体"/>
          <w:color w:val="auto"/>
          <w:sz w:val="24"/>
          <w:highlight w:val="none"/>
        </w:rPr>
      </w:pPr>
      <w:r>
        <w:rPr>
          <w:rFonts w:hAnsi="宋体" w:cs="宋体"/>
          <w:color w:val="auto"/>
          <w:sz w:val="24"/>
          <w:highlight w:val="none"/>
        </w:rPr>
        <w:t>上述内容仅供参考，如有不足，请自行补充提供。</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sectPr>
          <w:pgSz w:w="11906" w:h="16838"/>
          <w:pgMar w:top="1440" w:right="1800" w:bottom="873" w:left="1800" w:header="851" w:footer="992" w:gutter="0"/>
          <w:pgNumType w:fmt="decimal"/>
          <w:cols w:space="0" w:num="1"/>
          <w:rtlGutter w:val="0"/>
          <w:docGrid w:type="lines" w:linePitch="312" w:charSpace="0"/>
        </w:sectPr>
      </w:pPr>
    </w:p>
    <w:p>
      <w:pPr>
        <w:pStyle w:val="5"/>
        <w:jc w:val="left"/>
        <w:rPr>
          <w:rFonts w:ascii="宋体" w:hAnsi="宋体" w:cs="宋体"/>
          <w:bCs w:val="0"/>
          <w:i w:val="0"/>
          <w:iCs w:val="0"/>
          <w:color w:val="auto"/>
          <w:highlight w:val="white"/>
        </w:rPr>
      </w:pPr>
      <w:bookmarkStart w:id="183" w:name="_Toc29497"/>
      <w:r>
        <w:rPr>
          <w:rFonts w:hint="eastAsia" w:ascii="宋体" w:hAnsi="宋体" w:cs="宋体"/>
          <w:bCs w:val="0"/>
          <w:i w:val="0"/>
          <w:iCs w:val="0"/>
          <w:color w:val="auto"/>
          <w:lang w:val="en-US" w:eastAsia="zh-CN"/>
        </w:rPr>
        <w:t>附件：</w:t>
      </w:r>
      <w:r>
        <w:rPr>
          <w:rFonts w:hint="eastAsia" w:ascii="宋体" w:hAnsi="宋体" w:cs="宋体"/>
          <w:bCs w:val="0"/>
          <w:i w:val="0"/>
          <w:iCs w:val="0"/>
          <w:color w:val="auto"/>
        </w:rPr>
        <w:t>享受政府采购优惠政策证明材料（如有）</w:t>
      </w:r>
      <w:bookmarkEnd w:id="183"/>
    </w:p>
    <w:p>
      <w:pPr>
        <w:pStyle w:val="3"/>
        <w:bidi w:val="0"/>
        <w:jc w:val="center"/>
        <w:rPr>
          <w:rFonts w:hint="eastAsia"/>
          <w:i w:val="0"/>
          <w:iCs w:val="0"/>
          <w:color w:val="auto"/>
          <w:lang w:eastAsia="zh-CN"/>
        </w:rPr>
      </w:pPr>
      <w:bookmarkStart w:id="184" w:name="_Toc4593"/>
      <w:bookmarkStart w:id="185" w:name="_Toc21668"/>
      <w:r>
        <w:rPr>
          <w:rFonts w:hint="eastAsia"/>
          <w:i w:val="0"/>
          <w:iCs w:val="0"/>
          <w:color w:val="auto"/>
          <w:lang w:eastAsia="zh-CN"/>
        </w:rPr>
        <w:t>中小企业声明函（</w:t>
      </w:r>
      <w:r>
        <w:rPr>
          <w:rFonts w:hint="eastAsia"/>
          <w:i w:val="0"/>
          <w:iCs w:val="0"/>
          <w:color w:val="auto"/>
          <w:lang w:val="en-US" w:eastAsia="zh-CN"/>
        </w:rPr>
        <w:t>服务</w:t>
      </w:r>
      <w:r>
        <w:rPr>
          <w:rFonts w:hint="eastAsia"/>
          <w:i w:val="0"/>
          <w:iCs w:val="0"/>
          <w:color w:val="auto"/>
          <w:lang w:eastAsia="zh-CN"/>
        </w:rPr>
        <w:t>）</w:t>
      </w:r>
      <w:bookmarkEnd w:id="184"/>
      <w:bookmarkEnd w:id="185"/>
    </w:p>
    <w:p>
      <w:pPr>
        <w:spacing w:line="360" w:lineRule="auto"/>
        <w:ind w:firstLine="540" w:firstLineChars="200"/>
        <w:rPr>
          <w:rFonts w:hint="eastAsia"/>
          <w:i w:val="0"/>
          <w:iCs w:val="0"/>
          <w:color w:val="auto"/>
          <w:sz w:val="24"/>
          <w:szCs w:val="24"/>
          <w:u w:val="none"/>
          <w:lang w:val="en-US" w:eastAsia="zh-CN"/>
        </w:rPr>
      </w:pPr>
      <w:r>
        <w:rPr>
          <w:rFonts w:hint="eastAsia"/>
          <w:i w:val="0"/>
          <w:iCs w:val="0"/>
          <w:color w:val="auto"/>
          <w:sz w:val="24"/>
          <w:szCs w:val="24"/>
          <w:lang w:val="en-US" w:eastAsia="zh-CN"/>
        </w:rPr>
        <w:t>本公司（联合体）郑重声明，根据《政府采购促进中小企业发展管理办法》（财库（2020）46号）的规定，本公司（联合体）参加</w:t>
      </w:r>
      <w:r>
        <w:rPr>
          <w:rFonts w:hint="eastAsia"/>
          <w:i w:val="0"/>
          <w:iCs w:val="0"/>
          <w:color w:val="auto"/>
          <w:sz w:val="24"/>
          <w:szCs w:val="24"/>
          <w:u w:val="single"/>
          <w:lang w:val="en-US" w:eastAsia="zh-CN"/>
        </w:rPr>
        <w:t xml:space="preserve">                    （单位名称）</w:t>
      </w:r>
      <w:r>
        <w:rPr>
          <w:rFonts w:hint="eastAsia"/>
          <w:i w:val="0"/>
          <w:iCs w:val="0"/>
          <w:color w:val="auto"/>
          <w:sz w:val="24"/>
          <w:szCs w:val="24"/>
          <w:u w:val="none"/>
          <w:lang w:val="en-US" w:eastAsia="zh-CN"/>
        </w:rPr>
        <w:t>的</w:t>
      </w:r>
      <w:r>
        <w:rPr>
          <w:rFonts w:hint="eastAsia"/>
          <w:i w:val="0"/>
          <w:iCs w:val="0"/>
          <w:color w:val="auto"/>
          <w:sz w:val="24"/>
          <w:szCs w:val="24"/>
          <w:u w:val="single"/>
          <w:lang w:val="en-US" w:eastAsia="zh-CN"/>
        </w:rPr>
        <w:t xml:space="preserve">                  （项目名称）</w:t>
      </w:r>
      <w:r>
        <w:rPr>
          <w:rFonts w:hint="eastAsia"/>
          <w:i w:val="0"/>
          <w:iCs w:val="0"/>
          <w:color w:val="auto"/>
          <w:sz w:val="24"/>
          <w:szCs w:val="24"/>
          <w:u w:val="none"/>
          <w:lang w:val="en-US" w:eastAsia="zh-CN"/>
        </w:rPr>
        <w:t>采购活动，提供的货物全部由符合政策要求的中小企业制造。相关企业（含联合体中的中小企业、签订分包意向协议的中小企业）的具体情况如下：</w:t>
      </w:r>
    </w:p>
    <w:p>
      <w:pPr>
        <w:numPr>
          <w:ilvl w:val="0"/>
          <w:numId w:val="26"/>
        </w:numPr>
        <w:spacing w:line="360" w:lineRule="auto"/>
        <w:ind w:firstLine="540" w:firstLineChars="200"/>
        <w:rPr>
          <w:rFonts w:hint="default"/>
          <w:i w:val="0"/>
          <w:iCs w:val="0"/>
          <w:sz w:val="24"/>
          <w:szCs w:val="24"/>
          <w:u w:val="none"/>
          <w:lang w:val="en-US" w:eastAsia="zh-CN"/>
        </w:rPr>
      </w:pPr>
      <w:r>
        <w:rPr>
          <w:rFonts w:hint="eastAsia"/>
          <w:i w:val="0"/>
          <w:iCs w:val="0"/>
          <w:sz w:val="24"/>
          <w:szCs w:val="24"/>
          <w:u w:val="single"/>
          <w:lang w:val="en-US" w:eastAsia="zh-CN"/>
        </w:rPr>
        <w:t xml:space="preserve">                 （标的名称）</w:t>
      </w:r>
      <w:r>
        <w:rPr>
          <w:rFonts w:hint="eastAsia"/>
          <w:i w:val="0"/>
          <w:iCs w:val="0"/>
          <w:sz w:val="24"/>
          <w:szCs w:val="24"/>
          <w:u w:val="none"/>
          <w:lang w:val="en-US" w:eastAsia="zh-CN"/>
        </w:rPr>
        <w:t>，属于</w:t>
      </w:r>
      <w:r>
        <w:rPr>
          <w:rFonts w:hint="eastAsia"/>
          <w:i w:val="0"/>
          <w:iCs w:val="0"/>
          <w:sz w:val="24"/>
          <w:szCs w:val="24"/>
          <w:u w:val="single"/>
          <w:lang w:val="en-US" w:eastAsia="zh-CN"/>
        </w:rPr>
        <w:t xml:space="preserve">                 （采购文件中明确的所属行业）行业；</w:t>
      </w:r>
      <w:r>
        <w:rPr>
          <w:rFonts w:hint="eastAsia"/>
          <w:i w:val="0"/>
          <w:iCs w:val="0"/>
          <w:sz w:val="24"/>
          <w:szCs w:val="24"/>
          <w:u w:val="none"/>
          <w:lang w:val="en-US" w:eastAsia="zh-CN"/>
        </w:rPr>
        <w:t>制造商为</w:t>
      </w:r>
      <w:r>
        <w:rPr>
          <w:rFonts w:hint="eastAsia"/>
          <w:i w:val="0"/>
          <w:iCs w:val="0"/>
          <w:sz w:val="24"/>
          <w:szCs w:val="24"/>
          <w:u w:val="single"/>
          <w:lang w:val="en-US" w:eastAsia="zh-CN"/>
        </w:rPr>
        <w:t xml:space="preserve">                    （企业名称）</w:t>
      </w:r>
      <w:r>
        <w:rPr>
          <w:rFonts w:hint="eastAsia"/>
          <w:i w:val="0"/>
          <w:iCs w:val="0"/>
          <w:sz w:val="24"/>
          <w:szCs w:val="24"/>
          <w:u w:val="none"/>
          <w:lang w:val="en-US" w:eastAsia="zh-CN"/>
        </w:rPr>
        <w:t>，从业人员</w:t>
      </w:r>
      <w:r>
        <w:rPr>
          <w:rFonts w:hint="eastAsia"/>
          <w:i w:val="0"/>
          <w:iCs w:val="0"/>
          <w:sz w:val="24"/>
          <w:szCs w:val="24"/>
          <w:u w:val="single"/>
          <w:lang w:val="en-US" w:eastAsia="zh-CN"/>
        </w:rPr>
        <w:t xml:space="preserve">       </w:t>
      </w:r>
      <w:r>
        <w:rPr>
          <w:rFonts w:hint="eastAsia"/>
          <w:i w:val="0"/>
          <w:iCs w:val="0"/>
          <w:sz w:val="24"/>
          <w:szCs w:val="24"/>
          <w:u w:val="none"/>
          <w:lang w:val="en-US" w:eastAsia="zh-CN"/>
        </w:rPr>
        <w:t>人，营业收入为</w:t>
      </w:r>
      <w:r>
        <w:rPr>
          <w:rFonts w:hint="eastAsia"/>
          <w:i w:val="0"/>
          <w:iCs w:val="0"/>
          <w:sz w:val="24"/>
          <w:szCs w:val="24"/>
          <w:u w:val="single"/>
          <w:lang w:val="en-US" w:eastAsia="zh-CN"/>
        </w:rPr>
        <w:t xml:space="preserve">         </w:t>
      </w:r>
      <w:r>
        <w:rPr>
          <w:rFonts w:hint="eastAsia"/>
          <w:i w:val="0"/>
          <w:iCs w:val="0"/>
          <w:sz w:val="24"/>
          <w:szCs w:val="24"/>
          <w:u w:val="none"/>
          <w:lang w:val="en-US" w:eastAsia="zh-CN"/>
        </w:rPr>
        <w:t>万元，资产总额为</w:t>
      </w:r>
      <w:r>
        <w:rPr>
          <w:rFonts w:hint="eastAsia"/>
          <w:i w:val="0"/>
          <w:iCs w:val="0"/>
          <w:sz w:val="24"/>
          <w:szCs w:val="24"/>
          <w:u w:val="single"/>
          <w:lang w:val="en-US" w:eastAsia="zh-CN"/>
        </w:rPr>
        <w:t xml:space="preserve">             </w:t>
      </w:r>
      <w:r>
        <w:rPr>
          <w:rFonts w:hint="eastAsia"/>
          <w:i w:val="0"/>
          <w:iCs w:val="0"/>
          <w:sz w:val="24"/>
          <w:szCs w:val="24"/>
          <w:u w:val="none"/>
          <w:lang w:val="en-US" w:eastAsia="zh-CN"/>
        </w:rPr>
        <w:t>万元，属于</w:t>
      </w:r>
      <w:r>
        <w:rPr>
          <w:rFonts w:hint="eastAsia"/>
          <w:i w:val="0"/>
          <w:iCs w:val="0"/>
          <w:sz w:val="24"/>
          <w:szCs w:val="24"/>
          <w:u w:val="single"/>
          <w:lang w:val="en-US" w:eastAsia="zh-CN"/>
        </w:rPr>
        <w:t>（中型企业、小型企业、微型企业）</w:t>
      </w:r>
      <w:r>
        <w:rPr>
          <w:rFonts w:hint="eastAsia"/>
          <w:i w:val="0"/>
          <w:iCs w:val="0"/>
          <w:sz w:val="24"/>
          <w:szCs w:val="24"/>
          <w:u w:val="none"/>
          <w:lang w:val="en-US" w:eastAsia="zh-CN"/>
        </w:rPr>
        <w:t>；</w:t>
      </w:r>
    </w:p>
    <w:p>
      <w:pPr>
        <w:numPr>
          <w:ilvl w:val="0"/>
          <w:numId w:val="26"/>
        </w:numPr>
        <w:spacing w:line="360" w:lineRule="auto"/>
        <w:ind w:firstLine="540" w:firstLineChars="200"/>
        <w:rPr>
          <w:rFonts w:hint="default"/>
          <w:i w:val="0"/>
          <w:iCs w:val="0"/>
          <w:sz w:val="24"/>
          <w:szCs w:val="24"/>
          <w:u w:val="none"/>
          <w:lang w:val="en-US" w:eastAsia="zh-CN"/>
        </w:rPr>
      </w:pPr>
      <w:r>
        <w:rPr>
          <w:rFonts w:hint="eastAsia"/>
          <w:i w:val="0"/>
          <w:iCs w:val="0"/>
          <w:sz w:val="24"/>
          <w:szCs w:val="24"/>
          <w:u w:val="single"/>
          <w:lang w:val="en-US" w:eastAsia="zh-CN"/>
        </w:rPr>
        <w:t xml:space="preserve">                 （标的名称）</w:t>
      </w:r>
      <w:r>
        <w:rPr>
          <w:rFonts w:hint="eastAsia"/>
          <w:i w:val="0"/>
          <w:iCs w:val="0"/>
          <w:sz w:val="24"/>
          <w:szCs w:val="24"/>
          <w:u w:val="none"/>
          <w:lang w:val="en-US" w:eastAsia="zh-CN"/>
        </w:rPr>
        <w:t>，属于</w:t>
      </w:r>
      <w:r>
        <w:rPr>
          <w:rFonts w:hint="eastAsia"/>
          <w:i w:val="0"/>
          <w:iCs w:val="0"/>
          <w:sz w:val="24"/>
          <w:szCs w:val="24"/>
          <w:u w:val="single"/>
          <w:lang w:val="en-US" w:eastAsia="zh-CN"/>
        </w:rPr>
        <w:t xml:space="preserve">                 （采购文件中明确的所属行业）行业；</w:t>
      </w:r>
      <w:r>
        <w:rPr>
          <w:rFonts w:hint="eastAsia"/>
          <w:i w:val="0"/>
          <w:iCs w:val="0"/>
          <w:sz w:val="24"/>
          <w:szCs w:val="24"/>
          <w:u w:val="none"/>
          <w:lang w:val="en-US" w:eastAsia="zh-CN"/>
        </w:rPr>
        <w:t>制造商为</w:t>
      </w:r>
      <w:r>
        <w:rPr>
          <w:rFonts w:hint="eastAsia"/>
          <w:i w:val="0"/>
          <w:iCs w:val="0"/>
          <w:sz w:val="24"/>
          <w:szCs w:val="24"/>
          <w:u w:val="single"/>
          <w:lang w:val="en-US" w:eastAsia="zh-CN"/>
        </w:rPr>
        <w:t xml:space="preserve">                    （企业名称）</w:t>
      </w:r>
      <w:r>
        <w:rPr>
          <w:rFonts w:hint="eastAsia"/>
          <w:i w:val="0"/>
          <w:iCs w:val="0"/>
          <w:sz w:val="24"/>
          <w:szCs w:val="24"/>
          <w:u w:val="none"/>
          <w:lang w:val="en-US" w:eastAsia="zh-CN"/>
        </w:rPr>
        <w:t>，从业人员</w:t>
      </w:r>
      <w:r>
        <w:rPr>
          <w:rFonts w:hint="eastAsia"/>
          <w:i w:val="0"/>
          <w:iCs w:val="0"/>
          <w:sz w:val="24"/>
          <w:szCs w:val="24"/>
          <w:u w:val="single"/>
          <w:lang w:val="en-US" w:eastAsia="zh-CN"/>
        </w:rPr>
        <w:t xml:space="preserve">       </w:t>
      </w:r>
      <w:r>
        <w:rPr>
          <w:rFonts w:hint="eastAsia"/>
          <w:i w:val="0"/>
          <w:iCs w:val="0"/>
          <w:sz w:val="24"/>
          <w:szCs w:val="24"/>
          <w:u w:val="none"/>
          <w:lang w:val="en-US" w:eastAsia="zh-CN"/>
        </w:rPr>
        <w:t>人，营业收入为</w:t>
      </w:r>
      <w:r>
        <w:rPr>
          <w:rFonts w:hint="eastAsia"/>
          <w:i w:val="0"/>
          <w:iCs w:val="0"/>
          <w:sz w:val="24"/>
          <w:szCs w:val="24"/>
          <w:u w:val="single"/>
          <w:lang w:val="en-US" w:eastAsia="zh-CN"/>
        </w:rPr>
        <w:t xml:space="preserve">         </w:t>
      </w:r>
      <w:r>
        <w:rPr>
          <w:rFonts w:hint="eastAsia"/>
          <w:i w:val="0"/>
          <w:iCs w:val="0"/>
          <w:sz w:val="24"/>
          <w:szCs w:val="24"/>
          <w:u w:val="none"/>
          <w:lang w:val="en-US" w:eastAsia="zh-CN"/>
        </w:rPr>
        <w:t>万元，资产总额为</w:t>
      </w:r>
      <w:r>
        <w:rPr>
          <w:rFonts w:hint="eastAsia"/>
          <w:i w:val="0"/>
          <w:iCs w:val="0"/>
          <w:sz w:val="24"/>
          <w:szCs w:val="24"/>
          <w:u w:val="single"/>
          <w:lang w:val="en-US" w:eastAsia="zh-CN"/>
        </w:rPr>
        <w:t xml:space="preserve">             </w:t>
      </w:r>
      <w:r>
        <w:rPr>
          <w:rFonts w:hint="eastAsia"/>
          <w:i w:val="0"/>
          <w:iCs w:val="0"/>
          <w:sz w:val="24"/>
          <w:szCs w:val="24"/>
          <w:u w:val="none"/>
          <w:lang w:val="en-US" w:eastAsia="zh-CN"/>
        </w:rPr>
        <w:t>万元，属于</w:t>
      </w:r>
      <w:r>
        <w:rPr>
          <w:rFonts w:hint="eastAsia"/>
          <w:i w:val="0"/>
          <w:iCs w:val="0"/>
          <w:sz w:val="24"/>
          <w:szCs w:val="24"/>
          <w:u w:val="single"/>
          <w:lang w:val="en-US" w:eastAsia="zh-CN"/>
        </w:rPr>
        <w:t>（中型企业、小型企业、微型企业）</w:t>
      </w:r>
      <w:r>
        <w:rPr>
          <w:rFonts w:hint="eastAsia"/>
          <w:i w:val="0"/>
          <w:iCs w:val="0"/>
          <w:sz w:val="24"/>
          <w:szCs w:val="24"/>
          <w:u w:val="none"/>
          <w:lang w:val="en-US" w:eastAsia="zh-CN"/>
        </w:rPr>
        <w:t>；</w:t>
      </w:r>
    </w:p>
    <w:p>
      <w:pPr>
        <w:numPr>
          <w:ilvl w:val="0"/>
          <w:numId w:val="0"/>
        </w:numPr>
        <w:spacing w:line="360" w:lineRule="auto"/>
        <w:ind w:firstLine="540" w:firstLineChars="200"/>
        <w:rPr>
          <w:rFonts w:hint="eastAsia"/>
          <w:i w:val="0"/>
          <w:iCs w:val="0"/>
          <w:sz w:val="24"/>
          <w:szCs w:val="24"/>
          <w:u w:val="none"/>
          <w:lang w:val="en-US" w:eastAsia="zh-CN"/>
        </w:rPr>
      </w:pPr>
      <w:r>
        <w:rPr>
          <w:rFonts w:hint="eastAsia"/>
          <w:i w:val="0"/>
          <w:iCs w:val="0"/>
          <w:sz w:val="24"/>
          <w:szCs w:val="24"/>
          <w:u w:val="none"/>
          <w:lang w:val="en-US" w:eastAsia="zh-CN"/>
        </w:rPr>
        <w:t>........</w:t>
      </w:r>
    </w:p>
    <w:p>
      <w:pPr>
        <w:numPr>
          <w:ilvl w:val="0"/>
          <w:numId w:val="0"/>
        </w:numPr>
        <w:spacing w:line="360" w:lineRule="auto"/>
        <w:ind w:firstLine="540" w:firstLineChars="200"/>
        <w:rPr>
          <w:rFonts w:hint="eastAsia"/>
          <w:i w:val="0"/>
          <w:iCs w:val="0"/>
          <w:sz w:val="24"/>
          <w:szCs w:val="24"/>
          <w:u w:val="none"/>
          <w:lang w:val="en-US" w:eastAsia="zh-CN"/>
        </w:rPr>
      </w:pPr>
      <w:r>
        <w:rPr>
          <w:rFonts w:hint="eastAsia"/>
          <w:i w:val="0"/>
          <w:iCs w:val="0"/>
          <w:sz w:val="24"/>
          <w:szCs w:val="24"/>
          <w:u w:val="none"/>
          <w:lang w:val="en-US" w:eastAsia="zh-CN"/>
        </w:rPr>
        <w:t>以上企业，不属于大企业的分支机构，不存在控股股东为大企业的情形，也不存在于大企业的负责人为同一人的情况。</w:t>
      </w:r>
    </w:p>
    <w:p>
      <w:pPr>
        <w:numPr>
          <w:ilvl w:val="0"/>
          <w:numId w:val="0"/>
        </w:numPr>
        <w:spacing w:line="360" w:lineRule="auto"/>
        <w:ind w:firstLine="540" w:firstLineChars="200"/>
        <w:rPr>
          <w:rFonts w:hint="eastAsia"/>
          <w:i w:val="0"/>
          <w:iCs w:val="0"/>
          <w:sz w:val="24"/>
          <w:szCs w:val="24"/>
          <w:u w:val="none"/>
          <w:lang w:val="en-US" w:eastAsia="zh-CN"/>
        </w:rPr>
      </w:pPr>
      <w:r>
        <w:rPr>
          <w:rFonts w:hint="eastAsia"/>
          <w:i w:val="0"/>
          <w:iCs w:val="0"/>
          <w:sz w:val="24"/>
          <w:szCs w:val="24"/>
          <w:u w:val="none"/>
          <w:lang w:val="en-US" w:eastAsia="zh-CN"/>
        </w:rPr>
        <w:t>本企业对上述声明内容的真实性负责。如有虚假，将依法承担相应责任。</w:t>
      </w:r>
    </w:p>
    <w:p>
      <w:pPr>
        <w:numPr>
          <w:ilvl w:val="0"/>
          <w:numId w:val="0"/>
        </w:numPr>
        <w:spacing w:line="360" w:lineRule="auto"/>
        <w:ind w:firstLine="540" w:firstLineChars="200"/>
        <w:rPr>
          <w:rFonts w:hint="eastAsia"/>
          <w:i w:val="0"/>
          <w:iCs w:val="0"/>
          <w:sz w:val="24"/>
          <w:szCs w:val="24"/>
          <w:u w:val="none"/>
          <w:lang w:val="en-US" w:eastAsia="zh-CN"/>
        </w:rPr>
      </w:pPr>
    </w:p>
    <w:p>
      <w:pPr>
        <w:numPr>
          <w:ilvl w:val="0"/>
          <w:numId w:val="0"/>
        </w:numPr>
        <w:spacing w:line="360" w:lineRule="auto"/>
        <w:ind w:firstLine="540" w:firstLineChars="200"/>
        <w:rPr>
          <w:rFonts w:hint="eastAsia"/>
          <w:i w:val="0"/>
          <w:iCs w:val="0"/>
          <w:sz w:val="24"/>
          <w:szCs w:val="24"/>
          <w:u w:val="none"/>
          <w:lang w:val="en-US" w:eastAsia="zh-CN"/>
        </w:rPr>
      </w:pPr>
    </w:p>
    <w:p>
      <w:pPr>
        <w:numPr>
          <w:ilvl w:val="0"/>
          <w:numId w:val="0"/>
        </w:numPr>
        <w:spacing w:line="360" w:lineRule="auto"/>
        <w:ind w:firstLine="540" w:firstLineChars="200"/>
        <w:rPr>
          <w:rFonts w:hint="eastAsia"/>
          <w:i w:val="0"/>
          <w:iCs w:val="0"/>
          <w:sz w:val="24"/>
          <w:szCs w:val="24"/>
          <w:u w:val="none"/>
          <w:lang w:val="en-US" w:eastAsia="zh-CN"/>
        </w:rPr>
      </w:pPr>
    </w:p>
    <w:p>
      <w:pPr>
        <w:numPr>
          <w:ilvl w:val="0"/>
          <w:numId w:val="0"/>
        </w:numPr>
        <w:spacing w:line="360" w:lineRule="auto"/>
        <w:ind w:firstLine="540" w:firstLineChars="200"/>
        <w:rPr>
          <w:rFonts w:hint="eastAsia"/>
          <w:i w:val="0"/>
          <w:iCs w:val="0"/>
          <w:sz w:val="24"/>
          <w:szCs w:val="24"/>
          <w:u w:val="none"/>
          <w:lang w:val="en-US" w:eastAsia="zh-CN"/>
        </w:rPr>
      </w:pPr>
    </w:p>
    <w:p>
      <w:pPr>
        <w:numPr>
          <w:ilvl w:val="0"/>
          <w:numId w:val="0"/>
        </w:numPr>
        <w:spacing w:line="360" w:lineRule="auto"/>
        <w:rPr>
          <w:rFonts w:hint="eastAsia"/>
          <w:i w:val="0"/>
          <w:iCs w:val="0"/>
          <w:sz w:val="24"/>
          <w:szCs w:val="24"/>
          <w:u w:val="none"/>
          <w:lang w:val="en-US" w:eastAsia="zh-CN"/>
        </w:rPr>
      </w:pPr>
    </w:p>
    <w:p>
      <w:pPr>
        <w:numPr>
          <w:ilvl w:val="0"/>
          <w:numId w:val="0"/>
        </w:numPr>
        <w:spacing w:line="360" w:lineRule="auto"/>
        <w:ind w:firstLine="540" w:firstLineChars="200"/>
        <w:rPr>
          <w:rFonts w:hint="eastAsia"/>
          <w:i w:val="0"/>
          <w:iCs w:val="0"/>
          <w:sz w:val="24"/>
          <w:szCs w:val="24"/>
          <w:u w:val="none"/>
          <w:lang w:val="en-US" w:eastAsia="zh-CN"/>
        </w:rPr>
      </w:pPr>
    </w:p>
    <w:p>
      <w:pPr>
        <w:numPr>
          <w:ilvl w:val="0"/>
          <w:numId w:val="0"/>
        </w:numPr>
        <w:spacing w:line="360" w:lineRule="auto"/>
        <w:ind w:firstLine="540" w:firstLineChars="200"/>
        <w:jc w:val="center"/>
        <w:rPr>
          <w:rFonts w:hint="eastAsia"/>
          <w:i w:val="0"/>
          <w:iCs w:val="0"/>
          <w:sz w:val="24"/>
          <w:szCs w:val="24"/>
          <w:u w:val="none"/>
          <w:lang w:val="en-US" w:eastAsia="zh-CN"/>
        </w:rPr>
      </w:pPr>
      <w:r>
        <w:rPr>
          <w:rFonts w:hint="eastAsia"/>
          <w:i w:val="0"/>
          <w:iCs w:val="0"/>
          <w:sz w:val="24"/>
          <w:szCs w:val="24"/>
          <w:u w:val="none"/>
          <w:lang w:val="en-US" w:eastAsia="zh-CN"/>
        </w:rPr>
        <w:t xml:space="preserve">                企业名称（盖章）：</w:t>
      </w:r>
    </w:p>
    <w:p>
      <w:pPr>
        <w:numPr>
          <w:ilvl w:val="0"/>
          <w:numId w:val="0"/>
        </w:numPr>
        <w:spacing w:line="360" w:lineRule="auto"/>
        <w:ind w:firstLine="4860" w:firstLineChars="1800"/>
        <w:jc w:val="both"/>
        <w:rPr>
          <w:rFonts w:hint="eastAsia"/>
          <w:i w:val="0"/>
          <w:iCs w:val="0"/>
          <w:sz w:val="24"/>
          <w:szCs w:val="24"/>
          <w:u w:val="none"/>
          <w:lang w:val="en-US" w:eastAsia="zh-CN"/>
        </w:rPr>
      </w:pPr>
      <w:r>
        <w:rPr>
          <w:rFonts w:hint="eastAsia"/>
          <w:i w:val="0"/>
          <w:iCs w:val="0"/>
          <w:sz w:val="24"/>
          <w:szCs w:val="24"/>
          <w:u w:val="none"/>
          <w:lang w:val="en-US" w:eastAsia="zh-CN"/>
        </w:rPr>
        <w:t>日期：</w:t>
      </w:r>
    </w:p>
    <w:p>
      <w:pPr>
        <w:pStyle w:val="5"/>
        <w:outlineLvl w:val="9"/>
        <w:rPr>
          <w:rFonts w:hint="default"/>
          <w:lang w:val="en-US" w:eastAsia="zh-CN"/>
        </w:rPr>
      </w:pPr>
    </w:p>
    <w:p>
      <w:pPr>
        <w:pStyle w:val="45"/>
        <w:jc w:val="center"/>
        <w:outlineLvl w:val="0"/>
        <w:rPr>
          <w:rFonts w:hint="eastAsia"/>
          <w:color w:val="auto"/>
          <w:sz w:val="30"/>
          <w:szCs w:val="30"/>
          <w:lang w:val="en-US" w:eastAsia="zh-CN"/>
        </w:rPr>
      </w:pPr>
      <w:bookmarkStart w:id="186" w:name="_Toc27466"/>
      <w:bookmarkStart w:id="187" w:name="_Toc14322"/>
      <w:r>
        <w:rPr>
          <w:rFonts w:hint="eastAsia"/>
          <w:color w:val="auto"/>
          <w:sz w:val="30"/>
          <w:szCs w:val="30"/>
          <w:lang w:val="en-US" w:eastAsia="zh-CN"/>
        </w:rPr>
        <w:t>十、其他资料</w:t>
      </w:r>
      <w:bookmarkEnd w:id="186"/>
      <w:bookmarkEnd w:id="187"/>
    </w:p>
    <w:p>
      <w:pPr>
        <w:pStyle w:val="16"/>
        <w:bidi w:val="0"/>
        <w:jc w:val="left"/>
        <w:outlineLvl w:val="0"/>
        <w:rPr>
          <w:rFonts w:hint="default"/>
          <w:lang w:val="en-US" w:eastAsia="zh-CN"/>
        </w:rPr>
      </w:pPr>
      <w:bookmarkStart w:id="188" w:name="_Toc20968"/>
      <w:r>
        <w:rPr>
          <w:rFonts w:hint="eastAsia"/>
          <w:lang w:val="en-US" w:eastAsia="zh-CN"/>
        </w:rPr>
        <w:t>注：投标人认为需要提供的其他证明资料</w:t>
      </w:r>
      <w:bookmarkEnd w:id="188"/>
    </w:p>
    <w:p>
      <w:pPr>
        <w:numPr>
          <w:ilvl w:val="0"/>
          <w:numId w:val="0"/>
        </w:numPr>
        <w:spacing w:line="360" w:lineRule="auto"/>
        <w:ind w:firstLine="4860" w:firstLineChars="1800"/>
        <w:jc w:val="both"/>
        <w:rPr>
          <w:rFonts w:hint="default"/>
          <w:i w:val="0"/>
          <w:iCs w:val="0"/>
          <w:color w:val="0000FF"/>
          <w:lang w:val="en-US" w:eastAsia="zh-CN"/>
        </w:rPr>
      </w:pPr>
    </w:p>
    <w:sectPr>
      <w:pgSz w:w="11907" w:h="16840"/>
      <w:pgMar w:top="1418" w:right="1134" w:bottom="1418" w:left="1134"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124C3"/>
    <w:multiLevelType w:val="singleLevel"/>
    <w:tmpl w:val="80F124C3"/>
    <w:lvl w:ilvl="0" w:tentative="0">
      <w:start w:val="1"/>
      <w:numFmt w:val="chineseCounting"/>
      <w:suff w:val="space"/>
      <w:lvlText w:val="第%1章"/>
      <w:lvlJc w:val="left"/>
      <w:rPr>
        <w:rFonts w:hint="eastAsia"/>
      </w:rPr>
    </w:lvl>
  </w:abstractNum>
  <w:abstractNum w:abstractNumId="1">
    <w:nsid w:val="509CCF3A"/>
    <w:multiLevelType w:val="singleLevel"/>
    <w:tmpl w:val="509CCF3A"/>
    <w:lvl w:ilvl="0" w:tentative="0">
      <w:start w:val="1"/>
      <w:numFmt w:val="decimal"/>
      <w:suff w:val="nothing"/>
      <w:lvlText w:val="（%1）"/>
      <w:lvlJc w:val="left"/>
    </w:lvl>
  </w:abstractNum>
  <w:abstractNum w:abstractNumId="2">
    <w:nsid w:val="59E82278"/>
    <w:multiLevelType w:val="singleLevel"/>
    <w:tmpl w:val="59E82278"/>
    <w:lvl w:ilvl="0" w:tentative="0">
      <w:start w:val="2"/>
      <w:numFmt w:val="chineseCounting"/>
      <w:suff w:val="nothing"/>
      <w:lvlText w:val="第%1章"/>
      <w:lvlJc w:val="left"/>
    </w:lvl>
  </w:abstractNum>
  <w:abstractNum w:abstractNumId="3">
    <w:nsid w:val="59E834B7"/>
    <w:multiLevelType w:val="multilevel"/>
    <w:tmpl w:val="59E834B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59E83552"/>
    <w:multiLevelType w:val="singleLevel"/>
    <w:tmpl w:val="59E83552"/>
    <w:lvl w:ilvl="0" w:tentative="0">
      <w:start w:val="1"/>
      <w:numFmt w:val="decimal"/>
      <w:lvlText w:val="(%1)"/>
      <w:lvlJc w:val="left"/>
      <w:pPr>
        <w:tabs>
          <w:tab w:val="left" w:pos="312"/>
        </w:tabs>
      </w:pPr>
    </w:lvl>
  </w:abstractNum>
  <w:abstractNum w:abstractNumId="5">
    <w:nsid w:val="59E836A1"/>
    <w:multiLevelType w:val="singleLevel"/>
    <w:tmpl w:val="59E836A1"/>
    <w:lvl w:ilvl="0" w:tentative="0">
      <w:start w:val="1"/>
      <w:numFmt w:val="decimal"/>
      <w:suff w:val="nothing"/>
      <w:lvlText w:val="（%1）"/>
      <w:lvlJc w:val="left"/>
    </w:lvl>
  </w:abstractNum>
  <w:abstractNum w:abstractNumId="6">
    <w:nsid w:val="59E836BA"/>
    <w:multiLevelType w:val="singleLevel"/>
    <w:tmpl w:val="59E836BA"/>
    <w:lvl w:ilvl="0" w:tentative="0">
      <w:start w:val="1"/>
      <w:numFmt w:val="decimal"/>
      <w:suff w:val="nothing"/>
      <w:lvlText w:val="（%1）"/>
      <w:lvlJc w:val="left"/>
    </w:lvl>
  </w:abstractNum>
  <w:abstractNum w:abstractNumId="7">
    <w:nsid w:val="59E83889"/>
    <w:multiLevelType w:val="singleLevel"/>
    <w:tmpl w:val="59E83889"/>
    <w:lvl w:ilvl="0" w:tentative="0">
      <w:start w:val="1"/>
      <w:numFmt w:val="decimal"/>
      <w:suff w:val="nothing"/>
      <w:lvlText w:val="（%1）"/>
      <w:lvlJc w:val="left"/>
    </w:lvl>
  </w:abstractNum>
  <w:abstractNum w:abstractNumId="8">
    <w:nsid w:val="59E856AA"/>
    <w:multiLevelType w:val="singleLevel"/>
    <w:tmpl w:val="59E856AA"/>
    <w:lvl w:ilvl="0" w:tentative="0">
      <w:start w:val="1"/>
      <w:numFmt w:val="decimal"/>
      <w:suff w:val="nothing"/>
      <w:lvlText w:val="（%1）"/>
      <w:lvlJc w:val="left"/>
    </w:lvl>
  </w:abstractNum>
  <w:abstractNum w:abstractNumId="9">
    <w:nsid w:val="59E85C57"/>
    <w:multiLevelType w:val="singleLevel"/>
    <w:tmpl w:val="59E85C57"/>
    <w:lvl w:ilvl="0" w:tentative="0">
      <w:start w:val="1"/>
      <w:numFmt w:val="decimal"/>
      <w:lvlText w:val="(%1)"/>
      <w:lvlJc w:val="left"/>
      <w:pPr>
        <w:tabs>
          <w:tab w:val="left" w:pos="312"/>
        </w:tabs>
      </w:pPr>
    </w:lvl>
  </w:abstractNum>
  <w:abstractNum w:abstractNumId="10">
    <w:nsid w:val="59E86F2F"/>
    <w:multiLevelType w:val="singleLevel"/>
    <w:tmpl w:val="59E86F2F"/>
    <w:lvl w:ilvl="0" w:tentative="0">
      <w:start w:val="1"/>
      <w:numFmt w:val="decimal"/>
      <w:lvlText w:val="%1."/>
      <w:lvlJc w:val="left"/>
      <w:pPr>
        <w:tabs>
          <w:tab w:val="left" w:pos="312"/>
        </w:tabs>
      </w:pPr>
    </w:lvl>
  </w:abstractNum>
  <w:abstractNum w:abstractNumId="11">
    <w:nsid w:val="59E86FAC"/>
    <w:multiLevelType w:val="singleLevel"/>
    <w:tmpl w:val="59E86FAC"/>
    <w:lvl w:ilvl="0" w:tentative="0">
      <w:start w:val="1"/>
      <w:numFmt w:val="decimal"/>
      <w:suff w:val="nothing"/>
      <w:lvlText w:val="（%1）"/>
      <w:lvlJc w:val="left"/>
    </w:lvl>
  </w:abstractNum>
  <w:abstractNum w:abstractNumId="12">
    <w:nsid w:val="59E86FC9"/>
    <w:multiLevelType w:val="singleLevel"/>
    <w:tmpl w:val="59E86FC9"/>
    <w:lvl w:ilvl="0" w:tentative="0">
      <w:start w:val="1"/>
      <w:numFmt w:val="decimal"/>
      <w:lvlText w:val="(%1)"/>
      <w:lvlJc w:val="left"/>
      <w:pPr>
        <w:tabs>
          <w:tab w:val="left" w:pos="312"/>
        </w:tabs>
      </w:pPr>
    </w:lvl>
  </w:abstractNum>
  <w:abstractNum w:abstractNumId="13">
    <w:nsid w:val="59E8708D"/>
    <w:multiLevelType w:val="singleLevel"/>
    <w:tmpl w:val="59E8708D"/>
    <w:lvl w:ilvl="0" w:tentative="0">
      <w:start w:val="1"/>
      <w:numFmt w:val="decimal"/>
      <w:lvlText w:val="(%1)"/>
      <w:lvlJc w:val="left"/>
      <w:pPr>
        <w:tabs>
          <w:tab w:val="left" w:pos="312"/>
        </w:tabs>
      </w:pPr>
    </w:lvl>
  </w:abstractNum>
  <w:abstractNum w:abstractNumId="14">
    <w:nsid w:val="59E870C0"/>
    <w:multiLevelType w:val="singleLevel"/>
    <w:tmpl w:val="59E870C0"/>
    <w:lvl w:ilvl="0" w:tentative="0">
      <w:start w:val="1"/>
      <w:numFmt w:val="decimal"/>
      <w:lvlText w:val="(%1)"/>
      <w:lvlJc w:val="left"/>
      <w:pPr>
        <w:tabs>
          <w:tab w:val="left" w:pos="312"/>
        </w:tabs>
      </w:pPr>
    </w:lvl>
  </w:abstractNum>
  <w:abstractNum w:abstractNumId="15">
    <w:nsid w:val="59E870EF"/>
    <w:multiLevelType w:val="singleLevel"/>
    <w:tmpl w:val="59E870EF"/>
    <w:lvl w:ilvl="0" w:tentative="0">
      <w:start w:val="1"/>
      <w:numFmt w:val="decimal"/>
      <w:lvlText w:val="(%1)"/>
      <w:lvlJc w:val="left"/>
      <w:pPr>
        <w:tabs>
          <w:tab w:val="left" w:pos="312"/>
        </w:tabs>
      </w:pPr>
    </w:lvl>
  </w:abstractNum>
  <w:abstractNum w:abstractNumId="16">
    <w:nsid w:val="59E963D6"/>
    <w:multiLevelType w:val="singleLevel"/>
    <w:tmpl w:val="59E963D6"/>
    <w:lvl w:ilvl="0" w:tentative="0">
      <w:start w:val="5"/>
      <w:numFmt w:val="chineseCounting"/>
      <w:suff w:val="space"/>
      <w:lvlText w:val="第%1章"/>
      <w:lvlJc w:val="left"/>
    </w:lvl>
  </w:abstractNum>
  <w:abstractNum w:abstractNumId="17">
    <w:nsid w:val="59E96886"/>
    <w:multiLevelType w:val="singleLevel"/>
    <w:tmpl w:val="59E96886"/>
    <w:lvl w:ilvl="0" w:tentative="0">
      <w:start w:val="1"/>
      <w:numFmt w:val="decimal"/>
      <w:suff w:val="nothing"/>
      <w:lvlText w:val="%1．"/>
      <w:lvlJc w:val="left"/>
    </w:lvl>
  </w:abstractNum>
  <w:abstractNum w:abstractNumId="18">
    <w:nsid w:val="59E968E6"/>
    <w:multiLevelType w:val="singleLevel"/>
    <w:tmpl w:val="59E968E6"/>
    <w:lvl w:ilvl="0" w:tentative="0">
      <w:start w:val="1"/>
      <w:numFmt w:val="decimal"/>
      <w:lvlText w:val="(%1)"/>
      <w:lvlJc w:val="left"/>
      <w:pPr>
        <w:tabs>
          <w:tab w:val="left" w:pos="312"/>
        </w:tabs>
      </w:pPr>
    </w:lvl>
  </w:abstractNum>
  <w:abstractNum w:abstractNumId="19">
    <w:nsid w:val="59E96908"/>
    <w:multiLevelType w:val="singleLevel"/>
    <w:tmpl w:val="59E96908"/>
    <w:lvl w:ilvl="0" w:tentative="0">
      <w:start w:val="5"/>
      <w:numFmt w:val="decimal"/>
      <w:suff w:val="nothing"/>
      <w:lvlText w:val="%1．"/>
      <w:lvlJc w:val="left"/>
    </w:lvl>
  </w:abstractNum>
  <w:abstractNum w:abstractNumId="20">
    <w:nsid w:val="59E96AFA"/>
    <w:multiLevelType w:val="singleLevel"/>
    <w:tmpl w:val="59E96AFA"/>
    <w:lvl w:ilvl="0" w:tentative="0">
      <w:start w:val="1"/>
      <w:numFmt w:val="chineseCounting"/>
      <w:suff w:val="nothing"/>
      <w:lvlText w:val="%1、"/>
      <w:lvlJc w:val="left"/>
    </w:lvl>
  </w:abstractNum>
  <w:abstractNum w:abstractNumId="21">
    <w:nsid w:val="59EEFA64"/>
    <w:multiLevelType w:val="singleLevel"/>
    <w:tmpl w:val="59EEFA64"/>
    <w:lvl w:ilvl="0" w:tentative="0">
      <w:start w:val="1"/>
      <w:numFmt w:val="decimal"/>
      <w:lvlText w:val="(%1)"/>
      <w:lvlJc w:val="left"/>
      <w:pPr>
        <w:tabs>
          <w:tab w:val="left" w:pos="312"/>
        </w:tabs>
      </w:pPr>
    </w:lvl>
  </w:abstractNum>
  <w:abstractNum w:abstractNumId="22">
    <w:nsid w:val="59EEFC7D"/>
    <w:multiLevelType w:val="singleLevel"/>
    <w:tmpl w:val="59EEFC7D"/>
    <w:lvl w:ilvl="0" w:tentative="0">
      <w:start w:val="2"/>
      <w:numFmt w:val="decimal"/>
      <w:lvlText w:val="(%1)"/>
      <w:lvlJc w:val="left"/>
      <w:pPr>
        <w:tabs>
          <w:tab w:val="left" w:pos="312"/>
        </w:tabs>
      </w:pPr>
    </w:lvl>
  </w:abstractNum>
  <w:abstractNum w:abstractNumId="23">
    <w:nsid w:val="59F00A86"/>
    <w:multiLevelType w:val="singleLevel"/>
    <w:tmpl w:val="59F00A86"/>
    <w:lvl w:ilvl="0" w:tentative="0">
      <w:start w:val="3"/>
      <w:numFmt w:val="decimal"/>
      <w:lvlText w:val="%1."/>
      <w:lvlJc w:val="left"/>
      <w:pPr>
        <w:tabs>
          <w:tab w:val="left" w:pos="312"/>
        </w:tabs>
      </w:pPr>
    </w:lvl>
  </w:abstractNum>
  <w:abstractNum w:abstractNumId="24">
    <w:nsid w:val="5AA41CC7"/>
    <w:multiLevelType w:val="singleLevel"/>
    <w:tmpl w:val="5AA41CC7"/>
    <w:lvl w:ilvl="0" w:tentative="0">
      <w:start w:val="1"/>
      <w:numFmt w:val="decimal"/>
      <w:suff w:val="space"/>
      <w:lvlText w:val="%1."/>
      <w:lvlJc w:val="left"/>
    </w:lvl>
  </w:abstractNum>
  <w:abstractNum w:abstractNumId="25">
    <w:nsid w:val="5D281199"/>
    <w:multiLevelType w:val="singleLevel"/>
    <w:tmpl w:val="5D281199"/>
    <w:lvl w:ilvl="0" w:tentative="0">
      <w:start w:val="3"/>
      <w:numFmt w:val="chineseCounting"/>
      <w:suff w:val="nothing"/>
      <w:lvlText w:val="（%1）"/>
      <w:lvlJc w:val="left"/>
      <w:rPr>
        <w:rFonts w:hint="eastAsia"/>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 w:numId="9">
    <w:abstractNumId w:val="8"/>
  </w:num>
  <w:num w:numId="10">
    <w:abstractNumId w:val="21"/>
  </w:num>
  <w:num w:numId="11">
    <w:abstractNumId w:val="22"/>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20"/>
  </w:num>
  <w:num w:numId="21">
    <w:abstractNumId w:val="17"/>
  </w:num>
  <w:num w:numId="22">
    <w:abstractNumId w:val="23"/>
  </w:num>
  <w:num w:numId="23">
    <w:abstractNumId w:val="18"/>
  </w:num>
  <w:num w:numId="24">
    <w:abstractNumId w:val="19"/>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jAzZGM5NzRkZjg3NTQyYmRlNWVlZDJiNTRmOTIifQ=="/>
  </w:docVars>
  <w:rsids>
    <w:rsidRoot w:val="392859DB"/>
    <w:rsid w:val="00321419"/>
    <w:rsid w:val="00410096"/>
    <w:rsid w:val="005B002B"/>
    <w:rsid w:val="00636A0E"/>
    <w:rsid w:val="007D42C2"/>
    <w:rsid w:val="00A344BC"/>
    <w:rsid w:val="00A346D0"/>
    <w:rsid w:val="01141165"/>
    <w:rsid w:val="011B40BF"/>
    <w:rsid w:val="01343672"/>
    <w:rsid w:val="013717F4"/>
    <w:rsid w:val="01371A06"/>
    <w:rsid w:val="013A48AE"/>
    <w:rsid w:val="013B0349"/>
    <w:rsid w:val="013D43AA"/>
    <w:rsid w:val="01573029"/>
    <w:rsid w:val="019415B1"/>
    <w:rsid w:val="01E2606B"/>
    <w:rsid w:val="01F372FD"/>
    <w:rsid w:val="02203BC2"/>
    <w:rsid w:val="02311696"/>
    <w:rsid w:val="02366010"/>
    <w:rsid w:val="024C374F"/>
    <w:rsid w:val="02837536"/>
    <w:rsid w:val="02890615"/>
    <w:rsid w:val="028F40CC"/>
    <w:rsid w:val="02953056"/>
    <w:rsid w:val="02B93844"/>
    <w:rsid w:val="02E82D31"/>
    <w:rsid w:val="03093762"/>
    <w:rsid w:val="030A0A72"/>
    <w:rsid w:val="031348EE"/>
    <w:rsid w:val="032D4760"/>
    <w:rsid w:val="032D4957"/>
    <w:rsid w:val="033272EC"/>
    <w:rsid w:val="0344764C"/>
    <w:rsid w:val="03AA0E0C"/>
    <w:rsid w:val="03E2354E"/>
    <w:rsid w:val="03E6188F"/>
    <w:rsid w:val="03EE0087"/>
    <w:rsid w:val="041B1A47"/>
    <w:rsid w:val="0428019F"/>
    <w:rsid w:val="044161EF"/>
    <w:rsid w:val="04702B56"/>
    <w:rsid w:val="04813131"/>
    <w:rsid w:val="049E20B1"/>
    <w:rsid w:val="04D40428"/>
    <w:rsid w:val="04E60431"/>
    <w:rsid w:val="04F33621"/>
    <w:rsid w:val="051F3D58"/>
    <w:rsid w:val="053911A0"/>
    <w:rsid w:val="05473EFB"/>
    <w:rsid w:val="056106F1"/>
    <w:rsid w:val="057B448E"/>
    <w:rsid w:val="058C4348"/>
    <w:rsid w:val="059F22C5"/>
    <w:rsid w:val="05AA12FB"/>
    <w:rsid w:val="05C9264E"/>
    <w:rsid w:val="05CC5EB9"/>
    <w:rsid w:val="05CC674E"/>
    <w:rsid w:val="05DA7C39"/>
    <w:rsid w:val="06642E5C"/>
    <w:rsid w:val="066C1251"/>
    <w:rsid w:val="06776913"/>
    <w:rsid w:val="067A5488"/>
    <w:rsid w:val="068D5082"/>
    <w:rsid w:val="069934DC"/>
    <w:rsid w:val="070544FC"/>
    <w:rsid w:val="071F4F94"/>
    <w:rsid w:val="07204DAE"/>
    <w:rsid w:val="073F7CCC"/>
    <w:rsid w:val="074F6047"/>
    <w:rsid w:val="07653186"/>
    <w:rsid w:val="077D6FCE"/>
    <w:rsid w:val="077F6D95"/>
    <w:rsid w:val="07815E7C"/>
    <w:rsid w:val="0782519E"/>
    <w:rsid w:val="07DE4149"/>
    <w:rsid w:val="07E74DDB"/>
    <w:rsid w:val="07F20103"/>
    <w:rsid w:val="07F35155"/>
    <w:rsid w:val="080C19EC"/>
    <w:rsid w:val="08150EC7"/>
    <w:rsid w:val="08250095"/>
    <w:rsid w:val="082E4AB7"/>
    <w:rsid w:val="08622D4C"/>
    <w:rsid w:val="089B1DF9"/>
    <w:rsid w:val="08A5259E"/>
    <w:rsid w:val="08AD24B1"/>
    <w:rsid w:val="08BD6586"/>
    <w:rsid w:val="08D87465"/>
    <w:rsid w:val="08E572A7"/>
    <w:rsid w:val="08F60A2C"/>
    <w:rsid w:val="0944513C"/>
    <w:rsid w:val="095C4D70"/>
    <w:rsid w:val="09610F4E"/>
    <w:rsid w:val="09A30DEC"/>
    <w:rsid w:val="09B167B8"/>
    <w:rsid w:val="0A1A6D1E"/>
    <w:rsid w:val="0A3203C0"/>
    <w:rsid w:val="0A324452"/>
    <w:rsid w:val="0A39537C"/>
    <w:rsid w:val="0A6A79AC"/>
    <w:rsid w:val="0A730A09"/>
    <w:rsid w:val="0AAC0660"/>
    <w:rsid w:val="0AB27DCA"/>
    <w:rsid w:val="0ADA3C18"/>
    <w:rsid w:val="0AE4524B"/>
    <w:rsid w:val="0AE64039"/>
    <w:rsid w:val="0B271F8A"/>
    <w:rsid w:val="0B2D499E"/>
    <w:rsid w:val="0B5F59C3"/>
    <w:rsid w:val="0B606ADA"/>
    <w:rsid w:val="0B652CC2"/>
    <w:rsid w:val="0B894E8B"/>
    <w:rsid w:val="0B9A670B"/>
    <w:rsid w:val="0BBE117F"/>
    <w:rsid w:val="0C5A3572"/>
    <w:rsid w:val="0C690EAE"/>
    <w:rsid w:val="0C6A0146"/>
    <w:rsid w:val="0C7157DE"/>
    <w:rsid w:val="0C937C80"/>
    <w:rsid w:val="0C9535C9"/>
    <w:rsid w:val="0CD7018B"/>
    <w:rsid w:val="0CEC2F96"/>
    <w:rsid w:val="0CEE540F"/>
    <w:rsid w:val="0D034AFD"/>
    <w:rsid w:val="0D0402E6"/>
    <w:rsid w:val="0D195E07"/>
    <w:rsid w:val="0D2C2EE1"/>
    <w:rsid w:val="0D4C1D6D"/>
    <w:rsid w:val="0D55746C"/>
    <w:rsid w:val="0D7D5C1D"/>
    <w:rsid w:val="0DA47E34"/>
    <w:rsid w:val="0DB71146"/>
    <w:rsid w:val="0DE93473"/>
    <w:rsid w:val="0E0D4CDE"/>
    <w:rsid w:val="0E3858F3"/>
    <w:rsid w:val="0E3F20CA"/>
    <w:rsid w:val="0E4368CE"/>
    <w:rsid w:val="0E80235C"/>
    <w:rsid w:val="0E8F2F01"/>
    <w:rsid w:val="0EA1768F"/>
    <w:rsid w:val="0EC629D9"/>
    <w:rsid w:val="0EE908AB"/>
    <w:rsid w:val="0F081BD7"/>
    <w:rsid w:val="0F0D403A"/>
    <w:rsid w:val="0F1848A6"/>
    <w:rsid w:val="0F1D7A9B"/>
    <w:rsid w:val="0F355D4D"/>
    <w:rsid w:val="0F3737FB"/>
    <w:rsid w:val="0F41571F"/>
    <w:rsid w:val="0F480F6B"/>
    <w:rsid w:val="0F7C710E"/>
    <w:rsid w:val="0F81636A"/>
    <w:rsid w:val="0FA3639E"/>
    <w:rsid w:val="0FBB6F70"/>
    <w:rsid w:val="0FC230F2"/>
    <w:rsid w:val="0FD31133"/>
    <w:rsid w:val="0FD47228"/>
    <w:rsid w:val="0FD676CA"/>
    <w:rsid w:val="0FE75626"/>
    <w:rsid w:val="1044603F"/>
    <w:rsid w:val="106310DC"/>
    <w:rsid w:val="107061C3"/>
    <w:rsid w:val="10D753EC"/>
    <w:rsid w:val="10E50980"/>
    <w:rsid w:val="10E66E93"/>
    <w:rsid w:val="10F06A18"/>
    <w:rsid w:val="1107173B"/>
    <w:rsid w:val="11252D20"/>
    <w:rsid w:val="11405910"/>
    <w:rsid w:val="11454CCF"/>
    <w:rsid w:val="1149124D"/>
    <w:rsid w:val="114B3613"/>
    <w:rsid w:val="11591C35"/>
    <w:rsid w:val="115C2D6C"/>
    <w:rsid w:val="1169195C"/>
    <w:rsid w:val="1171572B"/>
    <w:rsid w:val="11983034"/>
    <w:rsid w:val="11EB669A"/>
    <w:rsid w:val="11EC6138"/>
    <w:rsid w:val="11FE4945"/>
    <w:rsid w:val="12085567"/>
    <w:rsid w:val="12112F71"/>
    <w:rsid w:val="121652BA"/>
    <w:rsid w:val="121F7F1E"/>
    <w:rsid w:val="1220021C"/>
    <w:rsid w:val="123C2D64"/>
    <w:rsid w:val="123F5735"/>
    <w:rsid w:val="124531B1"/>
    <w:rsid w:val="12500E4E"/>
    <w:rsid w:val="12585EB8"/>
    <w:rsid w:val="12620A9A"/>
    <w:rsid w:val="12676E84"/>
    <w:rsid w:val="12793C4B"/>
    <w:rsid w:val="12CE7A4C"/>
    <w:rsid w:val="12D86518"/>
    <w:rsid w:val="13020B9E"/>
    <w:rsid w:val="13180164"/>
    <w:rsid w:val="13352713"/>
    <w:rsid w:val="13524CC4"/>
    <w:rsid w:val="135D39F4"/>
    <w:rsid w:val="137D75F9"/>
    <w:rsid w:val="138E15E2"/>
    <w:rsid w:val="13A805AF"/>
    <w:rsid w:val="13CB4669"/>
    <w:rsid w:val="13D07777"/>
    <w:rsid w:val="13E6511C"/>
    <w:rsid w:val="13FA4B00"/>
    <w:rsid w:val="14052726"/>
    <w:rsid w:val="142A74FF"/>
    <w:rsid w:val="143C3002"/>
    <w:rsid w:val="144E2C77"/>
    <w:rsid w:val="146C2EB6"/>
    <w:rsid w:val="147600E3"/>
    <w:rsid w:val="14945671"/>
    <w:rsid w:val="14A64C87"/>
    <w:rsid w:val="14B03EEA"/>
    <w:rsid w:val="14C63040"/>
    <w:rsid w:val="14C82AE2"/>
    <w:rsid w:val="14CB75A7"/>
    <w:rsid w:val="14D60870"/>
    <w:rsid w:val="153E1431"/>
    <w:rsid w:val="15586B86"/>
    <w:rsid w:val="156336CD"/>
    <w:rsid w:val="158531B2"/>
    <w:rsid w:val="158D2192"/>
    <w:rsid w:val="15994FAE"/>
    <w:rsid w:val="15AE46C5"/>
    <w:rsid w:val="15B17A69"/>
    <w:rsid w:val="15FB1BD1"/>
    <w:rsid w:val="162428A5"/>
    <w:rsid w:val="162A4A48"/>
    <w:rsid w:val="16361EDA"/>
    <w:rsid w:val="165C12CC"/>
    <w:rsid w:val="16603685"/>
    <w:rsid w:val="16633E86"/>
    <w:rsid w:val="167522F5"/>
    <w:rsid w:val="169279EF"/>
    <w:rsid w:val="169C2B2C"/>
    <w:rsid w:val="16D16BF9"/>
    <w:rsid w:val="16DD2ACC"/>
    <w:rsid w:val="16EA0B20"/>
    <w:rsid w:val="17373D48"/>
    <w:rsid w:val="173C27EA"/>
    <w:rsid w:val="178048D2"/>
    <w:rsid w:val="179A0DBE"/>
    <w:rsid w:val="179F694D"/>
    <w:rsid w:val="17A503E2"/>
    <w:rsid w:val="17DA45E3"/>
    <w:rsid w:val="17E43C21"/>
    <w:rsid w:val="17EC6CBA"/>
    <w:rsid w:val="17F334F1"/>
    <w:rsid w:val="17F67560"/>
    <w:rsid w:val="18072E4B"/>
    <w:rsid w:val="1814425F"/>
    <w:rsid w:val="18222BBA"/>
    <w:rsid w:val="184111E5"/>
    <w:rsid w:val="18597EE5"/>
    <w:rsid w:val="187C751F"/>
    <w:rsid w:val="189A59A5"/>
    <w:rsid w:val="18DC611F"/>
    <w:rsid w:val="18FB7B8C"/>
    <w:rsid w:val="191420E3"/>
    <w:rsid w:val="193D0A05"/>
    <w:rsid w:val="195A4494"/>
    <w:rsid w:val="19743396"/>
    <w:rsid w:val="19775766"/>
    <w:rsid w:val="19781423"/>
    <w:rsid w:val="197B5744"/>
    <w:rsid w:val="19872DFF"/>
    <w:rsid w:val="198A434F"/>
    <w:rsid w:val="199826D4"/>
    <w:rsid w:val="19A11E23"/>
    <w:rsid w:val="19B64A83"/>
    <w:rsid w:val="1A281E6D"/>
    <w:rsid w:val="1A476E4A"/>
    <w:rsid w:val="1A5C79F2"/>
    <w:rsid w:val="1A7D7AFA"/>
    <w:rsid w:val="1A8B3005"/>
    <w:rsid w:val="1A9C7D13"/>
    <w:rsid w:val="1AD105DB"/>
    <w:rsid w:val="1B007A9E"/>
    <w:rsid w:val="1B4E3977"/>
    <w:rsid w:val="1B4F2F31"/>
    <w:rsid w:val="1B6A2DC4"/>
    <w:rsid w:val="1B856612"/>
    <w:rsid w:val="1B8B2ECB"/>
    <w:rsid w:val="1B8C6CB2"/>
    <w:rsid w:val="1BB30E0B"/>
    <w:rsid w:val="1BCA49E9"/>
    <w:rsid w:val="1BCC030B"/>
    <w:rsid w:val="1BD6352A"/>
    <w:rsid w:val="1C0321BA"/>
    <w:rsid w:val="1C4468A8"/>
    <w:rsid w:val="1C4C7D6C"/>
    <w:rsid w:val="1C505E2D"/>
    <w:rsid w:val="1C726F3D"/>
    <w:rsid w:val="1C9254AB"/>
    <w:rsid w:val="1CAA2CED"/>
    <w:rsid w:val="1CC97E0E"/>
    <w:rsid w:val="1CDD5AAF"/>
    <w:rsid w:val="1CE1632C"/>
    <w:rsid w:val="1D1D540D"/>
    <w:rsid w:val="1D2C137B"/>
    <w:rsid w:val="1D4305D3"/>
    <w:rsid w:val="1D65745A"/>
    <w:rsid w:val="1D8A79A4"/>
    <w:rsid w:val="1DBC3FE8"/>
    <w:rsid w:val="1DC91E80"/>
    <w:rsid w:val="1DE1107D"/>
    <w:rsid w:val="1DE961E6"/>
    <w:rsid w:val="1E15061C"/>
    <w:rsid w:val="1E4F7BB4"/>
    <w:rsid w:val="1E5479C6"/>
    <w:rsid w:val="1E777A39"/>
    <w:rsid w:val="1EB44586"/>
    <w:rsid w:val="1EB8757E"/>
    <w:rsid w:val="1EC11A7E"/>
    <w:rsid w:val="1EC304F7"/>
    <w:rsid w:val="1EC744FB"/>
    <w:rsid w:val="1EDB3AC4"/>
    <w:rsid w:val="1F370A24"/>
    <w:rsid w:val="1F3B69A7"/>
    <w:rsid w:val="1F4A6FB2"/>
    <w:rsid w:val="1F555D29"/>
    <w:rsid w:val="1F5C3D19"/>
    <w:rsid w:val="1F6B03E4"/>
    <w:rsid w:val="1F704F4E"/>
    <w:rsid w:val="1FB651F8"/>
    <w:rsid w:val="1FCD0FB0"/>
    <w:rsid w:val="200313D8"/>
    <w:rsid w:val="20065BD8"/>
    <w:rsid w:val="200A0E2B"/>
    <w:rsid w:val="2018386E"/>
    <w:rsid w:val="20317AFA"/>
    <w:rsid w:val="203930B8"/>
    <w:rsid w:val="204122EC"/>
    <w:rsid w:val="208B4DD2"/>
    <w:rsid w:val="20950DA5"/>
    <w:rsid w:val="20CE4739"/>
    <w:rsid w:val="20D41589"/>
    <w:rsid w:val="212740F0"/>
    <w:rsid w:val="2129153F"/>
    <w:rsid w:val="212E5CC3"/>
    <w:rsid w:val="213D1100"/>
    <w:rsid w:val="21421605"/>
    <w:rsid w:val="215900B3"/>
    <w:rsid w:val="216A0830"/>
    <w:rsid w:val="21766268"/>
    <w:rsid w:val="21777576"/>
    <w:rsid w:val="21AF5E24"/>
    <w:rsid w:val="21D649DB"/>
    <w:rsid w:val="21E07019"/>
    <w:rsid w:val="22223193"/>
    <w:rsid w:val="222E0095"/>
    <w:rsid w:val="22530A5E"/>
    <w:rsid w:val="22590364"/>
    <w:rsid w:val="226E769C"/>
    <w:rsid w:val="22984652"/>
    <w:rsid w:val="229858AC"/>
    <w:rsid w:val="22C323ED"/>
    <w:rsid w:val="22EA472C"/>
    <w:rsid w:val="23103468"/>
    <w:rsid w:val="23482044"/>
    <w:rsid w:val="237622F9"/>
    <w:rsid w:val="23785E6A"/>
    <w:rsid w:val="238F74DA"/>
    <w:rsid w:val="2396303E"/>
    <w:rsid w:val="239D63E2"/>
    <w:rsid w:val="23B1241E"/>
    <w:rsid w:val="23B211B7"/>
    <w:rsid w:val="23CC291D"/>
    <w:rsid w:val="23F310F3"/>
    <w:rsid w:val="23F85D0E"/>
    <w:rsid w:val="23FD1FEB"/>
    <w:rsid w:val="24024F28"/>
    <w:rsid w:val="24084A29"/>
    <w:rsid w:val="242B469D"/>
    <w:rsid w:val="24657D2D"/>
    <w:rsid w:val="24AE121B"/>
    <w:rsid w:val="24BF5CE5"/>
    <w:rsid w:val="24D77EFE"/>
    <w:rsid w:val="24E10FDD"/>
    <w:rsid w:val="24E53EE5"/>
    <w:rsid w:val="24F7757A"/>
    <w:rsid w:val="25351250"/>
    <w:rsid w:val="25536DA3"/>
    <w:rsid w:val="25B20FF9"/>
    <w:rsid w:val="25DC1E0E"/>
    <w:rsid w:val="2624129A"/>
    <w:rsid w:val="26645964"/>
    <w:rsid w:val="266F4BED"/>
    <w:rsid w:val="26764D47"/>
    <w:rsid w:val="267B7449"/>
    <w:rsid w:val="267C2208"/>
    <w:rsid w:val="26824BC9"/>
    <w:rsid w:val="268E3ED1"/>
    <w:rsid w:val="269F5C1D"/>
    <w:rsid w:val="26A51995"/>
    <w:rsid w:val="26B01A77"/>
    <w:rsid w:val="26B66882"/>
    <w:rsid w:val="26B917AD"/>
    <w:rsid w:val="26BD1D21"/>
    <w:rsid w:val="26D92B1A"/>
    <w:rsid w:val="26E40E88"/>
    <w:rsid w:val="271A38BB"/>
    <w:rsid w:val="27220D61"/>
    <w:rsid w:val="272676C6"/>
    <w:rsid w:val="2727543A"/>
    <w:rsid w:val="2729477F"/>
    <w:rsid w:val="2740366D"/>
    <w:rsid w:val="2744029E"/>
    <w:rsid w:val="27650798"/>
    <w:rsid w:val="277537D1"/>
    <w:rsid w:val="27CB57A5"/>
    <w:rsid w:val="27D55F3B"/>
    <w:rsid w:val="27DE17CF"/>
    <w:rsid w:val="27F26231"/>
    <w:rsid w:val="2811263D"/>
    <w:rsid w:val="281E1092"/>
    <w:rsid w:val="28425D7C"/>
    <w:rsid w:val="286561C6"/>
    <w:rsid w:val="286C6724"/>
    <w:rsid w:val="28796020"/>
    <w:rsid w:val="288059F1"/>
    <w:rsid w:val="28966065"/>
    <w:rsid w:val="289B4171"/>
    <w:rsid w:val="289F721E"/>
    <w:rsid w:val="28B42FE8"/>
    <w:rsid w:val="28C641BF"/>
    <w:rsid w:val="28DA4864"/>
    <w:rsid w:val="291178A0"/>
    <w:rsid w:val="296F3D56"/>
    <w:rsid w:val="29896F7F"/>
    <w:rsid w:val="298B1BFA"/>
    <w:rsid w:val="29B01652"/>
    <w:rsid w:val="29C557BA"/>
    <w:rsid w:val="29E7300B"/>
    <w:rsid w:val="29F0343D"/>
    <w:rsid w:val="29F75B90"/>
    <w:rsid w:val="2A084E28"/>
    <w:rsid w:val="2A1F637F"/>
    <w:rsid w:val="2A203242"/>
    <w:rsid w:val="2A3A1E20"/>
    <w:rsid w:val="2A64328B"/>
    <w:rsid w:val="2A734A68"/>
    <w:rsid w:val="2A862B15"/>
    <w:rsid w:val="2A9F5CF0"/>
    <w:rsid w:val="2AAD2AE7"/>
    <w:rsid w:val="2AD3321F"/>
    <w:rsid w:val="2ADB04AD"/>
    <w:rsid w:val="2B306FF7"/>
    <w:rsid w:val="2B642A1E"/>
    <w:rsid w:val="2B6B2B18"/>
    <w:rsid w:val="2B6B34C1"/>
    <w:rsid w:val="2B9458DD"/>
    <w:rsid w:val="2BA11265"/>
    <w:rsid w:val="2BAA167B"/>
    <w:rsid w:val="2BCA6081"/>
    <w:rsid w:val="2BD05501"/>
    <w:rsid w:val="2BDC3482"/>
    <w:rsid w:val="2C055883"/>
    <w:rsid w:val="2C095025"/>
    <w:rsid w:val="2C174952"/>
    <w:rsid w:val="2C26129A"/>
    <w:rsid w:val="2C3C7236"/>
    <w:rsid w:val="2C3D4A35"/>
    <w:rsid w:val="2C4E3ABA"/>
    <w:rsid w:val="2C656DA2"/>
    <w:rsid w:val="2C7030FF"/>
    <w:rsid w:val="2C7B33AD"/>
    <w:rsid w:val="2C8B7D26"/>
    <w:rsid w:val="2C957385"/>
    <w:rsid w:val="2CB13A51"/>
    <w:rsid w:val="2CB17968"/>
    <w:rsid w:val="2CF45CFF"/>
    <w:rsid w:val="2D243949"/>
    <w:rsid w:val="2D334065"/>
    <w:rsid w:val="2D38498B"/>
    <w:rsid w:val="2D475B9B"/>
    <w:rsid w:val="2D6B7427"/>
    <w:rsid w:val="2D767358"/>
    <w:rsid w:val="2DA04012"/>
    <w:rsid w:val="2DA34B86"/>
    <w:rsid w:val="2DA614B9"/>
    <w:rsid w:val="2DBC5F8A"/>
    <w:rsid w:val="2DBC688D"/>
    <w:rsid w:val="2DD21D12"/>
    <w:rsid w:val="2DD555FB"/>
    <w:rsid w:val="2DDC2373"/>
    <w:rsid w:val="2DF77F9A"/>
    <w:rsid w:val="2E085AFB"/>
    <w:rsid w:val="2E0C6B3D"/>
    <w:rsid w:val="2E1D7501"/>
    <w:rsid w:val="2E2310E4"/>
    <w:rsid w:val="2E2F793F"/>
    <w:rsid w:val="2E3A5165"/>
    <w:rsid w:val="2E65570F"/>
    <w:rsid w:val="2E77411C"/>
    <w:rsid w:val="2E827F1A"/>
    <w:rsid w:val="2E887598"/>
    <w:rsid w:val="2EA37FF7"/>
    <w:rsid w:val="2EB66494"/>
    <w:rsid w:val="2EB7190D"/>
    <w:rsid w:val="2EC14C73"/>
    <w:rsid w:val="2ECB070A"/>
    <w:rsid w:val="2ED07B3D"/>
    <w:rsid w:val="2EDE1B79"/>
    <w:rsid w:val="2EE839B7"/>
    <w:rsid w:val="2EFA399E"/>
    <w:rsid w:val="2F372CA2"/>
    <w:rsid w:val="2F4A5362"/>
    <w:rsid w:val="2F5556F5"/>
    <w:rsid w:val="2F771BC8"/>
    <w:rsid w:val="2F8A0EBB"/>
    <w:rsid w:val="30042D4A"/>
    <w:rsid w:val="30047C5B"/>
    <w:rsid w:val="30346C4A"/>
    <w:rsid w:val="303D3E5E"/>
    <w:rsid w:val="30571D12"/>
    <w:rsid w:val="305B3315"/>
    <w:rsid w:val="30845754"/>
    <w:rsid w:val="30A47513"/>
    <w:rsid w:val="30B03939"/>
    <w:rsid w:val="30D117CD"/>
    <w:rsid w:val="30FB382C"/>
    <w:rsid w:val="316C2169"/>
    <w:rsid w:val="317C13FF"/>
    <w:rsid w:val="319A6A05"/>
    <w:rsid w:val="31B37C6A"/>
    <w:rsid w:val="31B55264"/>
    <w:rsid w:val="31CB64E1"/>
    <w:rsid w:val="31D663F6"/>
    <w:rsid w:val="32576010"/>
    <w:rsid w:val="32C03510"/>
    <w:rsid w:val="32C27A11"/>
    <w:rsid w:val="32E838F5"/>
    <w:rsid w:val="33006E48"/>
    <w:rsid w:val="33197F85"/>
    <w:rsid w:val="33371891"/>
    <w:rsid w:val="333C5FCC"/>
    <w:rsid w:val="334455BC"/>
    <w:rsid w:val="334E168E"/>
    <w:rsid w:val="337779F6"/>
    <w:rsid w:val="339069A8"/>
    <w:rsid w:val="33A2188D"/>
    <w:rsid w:val="33AB1653"/>
    <w:rsid w:val="33B35F7B"/>
    <w:rsid w:val="33B859DF"/>
    <w:rsid w:val="33BD3163"/>
    <w:rsid w:val="33D07C3B"/>
    <w:rsid w:val="33F54814"/>
    <w:rsid w:val="340C11EB"/>
    <w:rsid w:val="3418742B"/>
    <w:rsid w:val="34671B49"/>
    <w:rsid w:val="347F6EEB"/>
    <w:rsid w:val="34821871"/>
    <w:rsid w:val="348B16D8"/>
    <w:rsid w:val="348D2EC0"/>
    <w:rsid w:val="34A02C91"/>
    <w:rsid w:val="34B014D7"/>
    <w:rsid w:val="34DE3335"/>
    <w:rsid w:val="34EB381B"/>
    <w:rsid w:val="34F54802"/>
    <w:rsid w:val="3546687E"/>
    <w:rsid w:val="35581A10"/>
    <w:rsid w:val="357A59BA"/>
    <w:rsid w:val="357E63CD"/>
    <w:rsid w:val="35841F96"/>
    <w:rsid w:val="359217CC"/>
    <w:rsid w:val="35A50A78"/>
    <w:rsid w:val="35B742DF"/>
    <w:rsid w:val="35D119AF"/>
    <w:rsid w:val="35F23FCA"/>
    <w:rsid w:val="36181DDB"/>
    <w:rsid w:val="361973DE"/>
    <w:rsid w:val="3621342D"/>
    <w:rsid w:val="36291F9C"/>
    <w:rsid w:val="3630051A"/>
    <w:rsid w:val="363D4304"/>
    <w:rsid w:val="365F190C"/>
    <w:rsid w:val="367C008E"/>
    <w:rsid w:val="368455C6"/>
    <w:rsid w:val="369E19AA"/>
    <w:rsid w:val="36A05709"/>
    <w:rsid w:val="36A85AA1"/>
    <w:rsid w:val="36BB39BD"/>
    <w:rsid w:val="36BD767C"/>
    <w:rsid w:val="36C65896"/>
    <w:rsid w:val="36EB6607"/>
    <w:rsid w:val="370259D5"/>
    <w:rsid w:val="37220DA7"/>
    <w:rsid w:val="37330427"/>
    <w:rsid w:val="373C03BD"/>
    <w:rsid w:val="37436E5B"/>
    <w:rsid w:val="37513D62"/>
    <w:rsid w:val="37561CE9"/>
    <w:rsid w:val="37900CE7"/>
    <w:rsid w:val="37913EAA"/>
    <w:rsid w:val="37DA352C"/>
    <w:rsid w:val="381449D4"/>
    <w:rsid w:val="381C3A3F"/>
    <w:rsid w:val="381E75B6"/>
    <w:rsid w:val="38327049"/>
    <w:rsid w:val="384B4F4D"/>
    <w:rsid w:val="384E4FD5"/>
    <w:rsid w:val="385C1675"/>
    <w:rsid w:val="385D174B"/>
    <w:rsid w:val="387204C2"/>
    <w:rsid w:val="38820B99"/>
    <w:rsid w:val="38E14CC0"/>
    <w:rsid w:val="38F07B67"/>
    <w:rsid w:val="38FD7B8B"/>
    <w:rsid w:val="38FF52C1"/>
    <w:rsid w:val="39091E70"/>
    <w:rsid w:val="39247840"/>
    <w:rsid w:val="392859DB"/>
    <w:rsid w:val="392C4597"/>
    <w:rsid w:val="39622E28"/>
    <w:rsid w:val="3968145C"/>
    <w:rsid w:val="396F509D"/>
    <w:rsid w:val="397044F8"/>
    <w:rsid w:val="39875A22"/>
    <w:rsid w:val="39B96AC9"/>
    <w:rsid w:val="39FD63FC"/>
    <w:rsid w:val="3A196CA0"/>
    <w:rsid w:val="3A285B36"/>
    <w:rsid w:val="3A351ABB"/>
    <w:rsid w:val="3A432047"/>
    <w:rsid w:val="3A630269"/>
    <w:rsid w:val="3A6B67F8"/>
    <w:rsid w:val="3A8D0D4E"/>
    <w:rsid w:val="3A9557D8"/>
    <w:rsid w:val="3AAD772D"/>
    <w:rsid w:val="3AC87A57"/>
    <w:rsid w:val="3ACE6072"/>
    <w:rsid w:val="3AE50CC4"/>
    <w:rsid w:val="3AF45601"/>
    <w:rsid w:val="3AF87801"/>
    <w:rsid w:val="3B0C548B"/>
    <w:rsid w:val="3BCD03AF"/>
    <w:rsid w:val="3BF81510"/>
    <w:rsid w:val="3C45604D"/>
    <w:rsid w:val="3CA4546A"/>
    <w:rsid w:val="3CDE3014"/>
    <w:rsid w:val="3CE11D7D"/>
    <w:rsid w:val="3D192874"/>
    <w:rsid w:val="3D197722"/>
    <w:rsid w:val="3D2311AD"/>
    <w:rsid w:val="3D2660BE"/>
    <w:rsid w:val="3D5F08BD"/>
    <w:rsid w:val="3D7E237D"/>
    <w:rsid w:val="3D81397F"/>
    <w:rsid w:val="3DB428AB"/>
    <w:rsid w:val="3DBB0AE3"/>
    <w:rsid w:val="3DE16A91"/>
    <w:rsid w:val="3E032343"/>
    <w:rsid w:val="3E19256E"/>
    <w:rsid w:val="3E2F6CAA"/>
    <w:rsid w:val="3E465004"/>
    <w:rsid w:val="3E606D2F"/>
    <w:rsid w:val="3E8C5F14"/>
    <w:rsid w:val="3E903DBB"/>
    <w:rsid w:val="3EBD1DA3"/>
    <w:rsid w:val="3EDA7489"/>
    <w:rsid w:val="3EDE4A9F"/>
    <w:rsid w:val="3EE91DB1"/>
    <w:rsid w:val="3F024E46"/>
    <w:rsid w:val="3F6858E1"/>
    <w:rsid w:val="3F8D28F8"/>
    <w:rsid w:val="3F8D66B7"/>
    <w:rsid w:val="3F922EAE"/>
    <w:rsid w:val="3F9F0ED4"/>
    <w:rsid w:val="3FA06585"/>
    <w:rsid w:val="3FA6264E"/>
    <w:rsid w:val="3FBA3E2E"/>
    <w:rsid w:val="40042CE3"/>
    <w:rsid w:val="4025507C"/>
    <w:rsid w:val="403D0BD3"/>
    <w:rsid w:val="404D455C"/>
    <w:rsid w:val="406C1198"/>
    <w:rsid w:val="407608B9"/>
    <w:rsid w:val="40855F5A"/>
    <w:rsid w:val="40977FC8"/>
    <w:rsid w:val="40A150F2"/>
    <w:rsid w:val="40CA37A7"/>
    <w:rsid w:val="40D211E4"/>
    <w:rsid w:val="40E44555"/>
    <w:rsid w:val="412152C2"/>
    <w:rsid w:val="41BC0CFF"/>
    <w:rsid w:val="41C077BE"/>
    <w:rsid w:val="41C57FBB"/>
    <w:rsid w:val="41D808C8"/>
    <w:rsid w:val="41F02850"/>
    <w:rsid w:val="42235AA9"/>
    <w:rsid w:val="422D2E7F"/>
    <w:rsid w:val="423F1EDF"/>
    <w:rsid w:val="42454806"/>
    <w:rsid w:val="428670C3"/>
    <w:rsid w:val="429B10BF"/>
    <w:rsid w:val="42A06CD0"/>
    <w:rsid w:val="42AB3189"/>
    <w:rsid w:val="42B4162C"/>
    <w:rsid w:val="42F93620"/>
    <w:rsid w:val="43004023"/>
    <w:rsid w:val="43175A82"/>
    <w:rsid w:val="432953EB"/>
    <w:rsid w:val="433C1975"/>
    <w:rsid w:val="43417B39"/>
    <w:rsid w:val="43500243"/>
    <w:rsid w:val="43942C3B"/>
    <w:rsid w:val="43AF3CD9"/>
    <w:rsid w:val="43B21359"/>
    <w:rsid w:val="43CC28C2"/>
    <w:rsid w:val="43DA05C4"/>
    <w:rsid w:val="44514353"/>
    <w:rsid w:val="44910D57"/>
    <w:rsid w:val="449B2B16"/>
    <w:rsid w:val="44A351D6"/>
    <w:rsid w:val="44D64B81"/>
    <w:rsid w:val="450028DE"/>
    <w:rsid w:val="456A1365"/>
    <w:rsid w:val="45871383"/>
    <w:rsid w:val="459F278D"/>
    <w:rsid w:val="45AE6FC0"/>
    <w:rsid w:val="45BA2049"/>
    <w:rsid w:val="45D971C9"/>
    <w:rsid w:val="46002B34"/>
    <w:rsid w:val="46096053"/>
    <w:rsid w:val="461749D1"/>
    <w:rsid w:val="4622281C"/>
    <w:rsid w:val="46523374"/>
    <w:rsid w:val="46681C33"/>
    <w:rsid w:val="466B0324"/>
    <w:rsid w:val="46886011"/>
    <w:rsid w:val="469A196D"/>
    <w:rsid w:val="46BF78BC"/>
    <w:rsid w:val="46CC1725"/>
    <w:rsid w:val="46E33707"/>
    <w:rsid w:val="47125EC3"/>
    <w:rsid w:val="47253310"/>
    <w:rsid w:val="476B0980"/>
    <w:rsid w:val="47702B1D"/>
    <w:rsid w:val="47921E1D"/>
    <w:rsid w:val="479B31AE"/>
    <w:rsid w:val="47BC4B33"/>
    <w:rsid w:val="47CA470F"/>
    <w:rsid w:val="47F27BB3"/>
    <w:rsid w:val="47FF7913"/>
    <w:rsid w:val="48063731"/>
    <w:rsid w:val="481108B6"/>
    <w:rsid w:val="481B6175"/>
    <w:rsid w:val="482C5B41"/>
    <w:rsid w:val="48334A8D"/>
    <w:rsid w:val="48484A82"/>
    <w:rsid w:val="48757BC0"/>
    <w:rsid w:val="48782FC9"/>
    <w:rsid w:val="489D063B"/>
    <w:rsid w:val="48A212F8"/>
    <w:rsid w:val="48A6440B"/>
    <w:rsid w:val="48AB1B43"/>
    <w:rsid w:val="48B555E6"/>
    <w:rsid w:val="48C41002"/>
    <w:rsid w:val="48C72697"/>
    <w:rsid w:val="48D34D59"/>
    <w:rsid w:val="48D55B59"/>
    <w:rsid w:val="48D94365"/>
    <w:rsid w:val="48EF4E34"/>
    <w:rsid w:val="490C053C"/>
    <w:rsid w:val="49114568"/>
    <w:rsid w:val="491F4626"/>
    <w:rsid w:val="492D4570"/>
    <w:rsid w:val="493D1112"/>
    <w:rsid w:val="499949C9"/>
    <w:rsid w:val="499B4FA0"/>
    <w:rsid w:val="49B61F02"/>
    <w:rsid w:val="49BE6A76"/>
    <w:rsid w:val="49C95E0D"/>
    <w:rsid w:val="49EF756C"/>
    <w:rsid w:val="4A1179B6"/>
    <w:rsid w:val="4A344CCC"/>
    <w:rsid w:val="4A4D0C27"/>
    <w:rsid w:val="4A991FC0"/>
    <w:rsid w:val="4AB13E59"/>
    <w:rsid w:val="4AC640D0"/>
    <w:rsid w:val="4AD15D13"/>
    <w:rsid w:val="4AE97370"/>
    <w:rsid w:val="4B27282C"/>
    <w:rsid w:val="4B4D5F5C"/>
    <w:rsid w:val="4B5137F1"/>
    <w:rsid w:val="4B515244"/>
    <w:rsid w:val="4B6F408C"/>
    <w:rsid w:val="4BB276F6"/>
    <w:rsid w:val="4BC42D07"/>
    <w:rsid w:val="4BD53DD7"/>
    <w:rsid w:val="4BE66230"/>
    <w:rsid w:val="4BF67A81"/>
    <w:rsid w:val="4BF71C21"/>
    <w:rsid w:val="4C18297A"/>
    <w:rsid w:val="4C213B0F"/>
    <w:rsid w:val="4C305908"/>
    <w:rsid w:val="4C332BAF"/>
    <w:rsid w:val="4C4E1952"/>
    <w:rsid w:val="4C517D22"/>
    <w:rsid w:val="4C5A7582"/>
    <w:rsid w:val="4C5D2C60"/>
    <w:rsid w:val="4C6113D2"/>
    <w:rsid w:val="4C7B53CD"/>
    <w:rsid w:val="4CB33E70"/>
    <w:rsid w:val="4D074609"/>
    <w:rsid w:val="4D3E07D1"/>
    <w:rsid w:val="4D6D27E2"/>
    <w:rsid w:val="4DA84339"/>
    <w:rsid w:val="4DBB4583"/>
    <w:rsid w:val="4DD747DC"/>
    <w:rsid w:val="4E076AD2"/>
    <w:rsid w:val="4E0C5A37"/>
    <w:rsid w:val="4E434541"/>
    <w:rsid w:val="4EA90E6E"/>
    <w:rsid w:val="4EAE4331"/>
    <w:rsid w:val="4EBD3A6C"/>
    <w:rsid w:val="4EC46967"/>
    <w:rsid w:val="4F014367"/>
    <w:rsid w:val="4F0E1C58"/>
    <w:rsid w:val="4F1772A2"/>
    <w:rsid w:val="4F7E7550"/>
    <w:rsid w:val="4F8B48A2"/>
    <w:rsid w:val="4F931027"/>
    <w:rsid w:val="4FB90E13"/>
    <w:rsid w:val="4FC66266"/>
    <w:rsid w:val="4FEC1878"/>
    <w:rsid w:val="503B2446"/>
    <w:rsid w:val="504F45B8"/>
    <w:rsid w:val="50645052"/>
    <w:rsid w:val="506E205B"/>
    <w:rsid w:val="508105C9"/>
    <w:rsid w:val="509F6DBC"/>
    <w:rsid w:val="50D22A70"/>
    <w:rsid w:val="50E4433B"/>
    <w:rsid w:val="51432772"/>
    <w:rsid w:val="514B494D"/>
    <w:rsid w:val="516F1893"/>
    <w:rsid w:val="517C5CA2"/>
    <w:rsid w:val="51E42BA4"/>
    <w:rsid w:val="51EA48E3"/>
    <w:rsid w:val="51EA6A05"/>
    <w:rsid w:val="51F327FF"/>
    <w:rsid w:val="51FF572C"/>
    <w:rsid w:val="520A73BF"/>
    <w:rsid w:val="522A4C97"/>
    <w:rsid w:val="528709A6"/>
    <w:rsid w:val="52B42315"/>
    <w:rsid w:val="52C9129F"/>
    <w:rsid w:val="52CB67AB"/>
    <w:rsid w:val="52CE1D6A"/>
    <w:rsid w:val="52CF6192"/>
    <w:rsid w:val="52E2018B"/>
    <w:rsid w:val="52EF22F6"/>
    <w:rsid w:val="52F257AF"/>
    <w:rsid w:val="530F6E7D"/>
    <w:rsid w:val="533302AA"/>
    <w:rsid w:val="53461736"/>
    <w:rsid w:val="53493374"/>
    <w:rsid w:val="534C6F06"/>
    <w:rsid w:val="53746901"/>
    <w:rsid w:val="53A61988"/>
    <w:rsid w:val="53AA1B10"/>
    <w:rsid w:val="53AC65F3"/>
    <w:rsid w:val="53C85A1A"/>
    <w:rsid w:val="53EE3061"/>
    <w:rsid w:val="53FF7F65"/>
    <w:rsid w:val="543316AB"/>
    <w:rsid w:val="544600E2"/>
    <w:rsid w:val="546D0DAC"/>
    <w:rsid w:val="549263B5"/>
    <w:rsid w:val="5498185F"/>
    <w:rsid w:val="54A51E3F"/>
    <w:rsid w:val="54E84FFB"/>
    <w:rsid w:val="553774BF"/>
    <w:rsid w:val="553A1D5C"/>
    <w:rsid w:val="55AF7C9A"/>
    <w:rsid w:val="55D22F5A"/>
    <w:rsid w:val="55EC189B"/>
    <w:rsid w:val="56046451"/>
    <w:rsid w:val="562C1566"/>
    <w:rsid w:val="563E1F76"/>
    <w:rsid w:val="56811311"/>
    <w:rsid w:val="56BB755A"/>
    <w:rsid w:val="57322288"/>
    <w:rsid w:val="573A2676"/>
    <w:rsid w:val="57601B83"/>
    <w:rsid w:val="57795B20"/>
    <w:rsid w:val="578B75C4"/>
    <w:rsid w:val="578C0BCA"/>
    <w:rsid w:val="57C67D7E"/>
    <w:rsid w:val="57DE5757"/>
    <w:rsid w:val="57DF3682"/>
    <w:rsid w:val="57EF3A42"/>
    <w:rsid w:val="57F97590"/>
    <w:rsid w:val="581307E2"/>
    <w:rsid w:val="583552D6"/>
    <w:rsid w:val="58367359"/>
    <w:rsid w:val="58555F56"/>
    <w:rsid w:val="586445B2"/>
    <w:rsid w:val="58653422"/>
    <w:rsid w:val="58AC1766"/>
    <w:rsid w:val="58C30D33"/>
    <w:rsid w:val="58C75120"/>
    <w:rsid w:val="58F837B9"/>
    <w:rsid w:val="591D2E34"/>
    <w:rsid w:val="594B5F8E"/>
    <w:rsid w:val="594C06A1"/>
    <w:rsid w:val="5962376C"/>
    <w:rsid w:val="59625074"/>
    <w:rsid w:val="59637D43"/>
    <w:rsid w:val="5973779D"/>
    <w:rsid w:val="597C58C9"/>
    <w:rsid w:val="59A77E5C"/>
    <w:rsid w:val="59AD756C"/>
    <w:rsid w:val="59BD4E78"/>
    <w:rsid w:val="59CA0E97"/>
    <w:rsid w:val="5A03377B"/>
    <w:rsid w:val="5A227DCE"/>
    <w:rsid w:val="5A23019A"/>
    <w:rsid w:val="5A2B5AF1"/>
    <w:rsid w:val="5A351B38"/>
    <w:rsid w:val="5A420166"/>
    <w:rsid w:val="5A542FC6"/>
    <w:rsid w:val="5A814A4C"/>
    <w:rsid w:val="5A8E47F1"/>
    <w:rsid w:val="5AAE390F"/>
    <w:rsid w:val="5AF77C50"/>
    <w:rsid w:val="5AF800A7"/>
    <w:rsid w:val="5B20262C"/>
    <w:rsid w:val="5B2B2C36"/>
    <w:rsid w:val="5B352DB2"/>
    <w:rsid w:val="5B445969"/>
    <w:rsid w:val="5B4619D4"/>
    <w:rsid w:val="5B5E0477"/>
    <w:rsid w:val="5B623A2B"/>
    <w:rsid w:val="5B774200"/>
    <w:rsid w:val="5B797781"/>
    <w:rsid w:val="5B7A655D"/>
    <w:rsid w:val="5B815EFF"/>
    <w:rsid w:val="5BAD5FDE"/>
    <w:rsid w:val="5BB17BCF"/>
    <w:rsid w:val="5BB9169B"/>
    <w:rsid w:val="5BBA245F"/>
    <w:rsid w:val="5BEB4149"/>
    <w:rsid w:val="5BF66706"/>
    <w:rsid w:val="5C1631F5"/>
    <w:rsid w:val="5C5A1082"/>
    <w:rsid w:val="5C7C13E7"/>
    <w:rsid w:val="5C8F4848"/>
    <w:rsid w:val="5CC95B86"/>
    <w:rsid w:val="5CD0349E"/>
    <w:rsid w:val="5CD6488D"/>
    <w:rsid w:val="5CE567E5"/>
    <w:rsid w:val="5CF5314E"/>
    <w:rsid w:val="5D13794F"/>
    <w:rsid w:val="5D33498F"/>
    <w:rsid w:val="5D473DF7"/>
    <w:rsid w:val="5D681052"/>
    <w:rsid w:val="5D853AF5"/>
    <w:rsid w:val="5D9072C3"/>
    <w:rsid w:val="5D987DE4"/>
    <w:rsid w:val="5D9F4FEC"/>
    <w:rsid w:val="5DD634AE"/>
    <w:rsid w:val="5DE65A4E"/>
    <w:rsid w:val="5DF2415A"/>
    <w:rsid w:val="5DF3162C"/>
    <w:rsid w:val="5DF61690"/>
    <w:rsid w:val="5DFE66D7"/>
    <w:rsid w:val="5E1A538D"/>
    <w:rsid w:val="5E520704"/>
    <w:rsid w:val="5E57050C"/>
    <w:rsid w:val="5E71567F"/>
    <w:rsid w:val="5E7A0126"/>
    <w:rsid w:val="5E8D73F0"/>
    <w:rsid w:val="5EB370C5"/>
    <w:rsid w:val="5EBF0402"/>
    <w:rsid w:val="5EC01298"/>
    <w:rsid w:val="5ECF3B88"/>
    <w:rsid w:val="5EE15BBB"/>
    <w:rsid w:val="5F0B1720"/>
    <w:rsid w:val="5F222A9E"/>
    <w:rsid w:val="5F265B3D"/>
    <w:rsid w:val="5F4D7749"/>
    <w:rsid w:val="5F6059A3"/>
    <w:rsid w:val="5F6118FE"/>
    <w:rsid w:val="5F7424F5"/>
    <w:rsid w:val="5F7E7716"/>
    <w:rsid w:val="5F855115"/>
    <w:rsid w:val="5F9A1711"/>
    <w:rsid w:val="5FD54F78"/>
    <w:rsid w:val="5FD70BE3"/>
    <w:rsid w:val="5FF37D3A"/>
    <w:rsid w:val="60005946"/>
    <w:rsid w:val="60092BF9"/>
    <w:rsid w:val="600F16AA"/>
    <w:rsid w:val="60451EA1"/>
    <w:rsid w:val="604A6028"/>
    <w:rsid w:val="607F235D"/>
    <w:rsid w:val="6085703A"/>
    <w:rsid w:val="60886F8A"/>
    <w:rsid w:val="608A1077"/>
    <w:rsid w:val="60A92694"/>
    <w:rsid w:val="60BF123C"/>
    <w:rsid w:val="60DF4E37"/>
    <w:rsid w:val="60E123DB"/>
    <w:rsid w:val="60EF4BF9"/>
    <w:rsid w:val="61117AE2"/>
    <w:rsid w:val="61174C9C"/>
    <w:rsid w:val="611F11B0"/>
    <w:rsid w:val="613E7518"/>
    <w:rsid w:val="61490800"/>
    <w:rsid w:val="615A31C2"/>
    <w:rsid w:val="6173217D"/>
    <w:rsid w:val="6180719F"/>
    <w:rsid w:val="619134D8"/>
    <w:rsid w:val="619E7E7D"/>
    <w:rsid w:val="61E73BB7"/>
    <w:rsid w:val="62085E0B"/>
    <w:rsid w:val="6262789C"/>
    <w:rsid w:val="62671CB6"/>
    <w:rsid w:val="6283185B"/>
    <w:rsid w:val="62AA51AF"/>
    <w:rsid w:val="62BA6783"/>
    <w:rsid w:val="62C16282"/>
    <w:rsid w:val="62C42B5D"/>
    <w:rsid w:val="62E0253C"/>
    <w:rsid w:val="62F00915"/>
    <w:rsid w:val="62FF4383"/>
    <w:rsid w:val="63045AFA"/>
    <w:rsid w:val="63344D46"/>
    <w:rsid w:val="633A1E27"/>
    <w:rsid w:val="633E307C"/>
    <w:rsid w:val="6368065A"/>
    <w:rsid w:val="63724215"/>
    <w:rsid w:val="639F5965"/>
    <w:rsid w:val="63AD6799"/>
    <w:rsid w:val="63E459D3"/>
    <w:rsid w:val="63FF40C8"/>
    <w:rsid w:val="64082662"/>
    <w:rsid w:val="644B4C17"/>
    <w:rsid w:val="64971B74"/>
    <w:rsid w:val="649E750F"/>
    <w:rsid w:val="64B421DA"/>
    <w:rsid w:val="64C04742"/>
    <w:rsid w:val="650B56C5"/>
    <w:rsid w:val="65255945"/>
    <w:rsid w:val="653353B7"/>
    <w:rsid w:val="654B24A8"/>
    <w:rsid w:val="655C25F0"/>
    <w:rsid w:val="65A43B78"/>
    <w:rsid w:val="65F31DF6"/>
    <w:rsid w:val="66134265"/>
    <w:rsid w:val="66144E17"/>
    <w:rsid w:val="664C6F7A"/>
    <w:rsid w:val="666B4FD1"/>
    <w:rsid w:val="66755418"/>
    <w:rsid w:val="667F037B"/>
    <w:rsid w:val="66953FA4"/>
    <w:rsid w:val="66BE60F6"/>
    <w:rsid w:val="66C14D46"/>
    <w:rsid w:val="66D234BD"/>
    <w:rsid w:val="66D40577"/>
    <w:rsid w:val="670B6DEF"/>
    <w:rsid w:val="67654ACC"/>
    <w:rsid w:val="67677EE1"/>
    <w:rsid w:val="67725462"/>
    <w:rsid w:val="67984210"/>
    <w:rsid w:val="67A041FE"/>
    <w:rsid w:val="67C0558E"/>
    <w:rsid w:val="67EC13E8"/>
    <w:rsid w:val="68251ED1"/>
    <w:rsid w:val="682951F0"/>
    <w:rsid w:val="684A5E49"/>
    <w:rsid w:val="68593A94"/>
    <w:rsid w:val="686606C8"/>
    <w:rsid w:val="687372E9"/>
    <w:rsid w:val="687A0C2F"/>
    <w:rsid w:val="6885068C"/>
    <w:rsid w:val="689E1B2A"/>
    <w:rsid w:val="68CF70D2"/>
    <w:rsid w:val="68D65527"/>
    <w:rsid w:val="68E40B57"/>
    <w:rsid w:val="69054E87"/>
    <w:rsid w:val="690A7FF8"/>
    <w:rsid w:val="69582A31"/>
    <w:rsid w:val="696D6371"/>
    <w:rsid w:val="69A35952"/>
    <w:rsid w:val="69A404A2"/>
    <w:rsid w:val="69A57637"/>
    <w:rsid w:val="6A130A1B"/>
    <w:rsid w:val="6A903B8E"/>
    <w:rsid w:val="6AA20324"/>
    <w:rsid w:val="6AA37EA9"/>
    <w:rsid w:val="6AA87586"/>
    <w:rsid w:val="6AB413A4"/>
    <w:rsid w:val="6AC06823"/>
    <w:rsid w:val="6AD42F06"/>
    <w:rsid w:val="6AD745AB"/>
    <w:rsid w:val="6ADF3BD0"/>
    <w:rsid w:val="6AF72F84"/>
    <w:rsid w:val="6B341324"/>
    <w:rsid w:val="6B6966B8"/>
    <w:rsid w:val="6B9F1DBB"/>
    <w:rsid w:val="6BA46458"/>
    <w:rsid w:val="6BD32A9D"/>
    <w:rsid w:val="6C296A16"/>
    <w:rsid w:val="6C386757"/>
    <w:rsid w:val="6C6327E0"/>
    <w:rsid w:val="6C697CAD"/>
    <w:rsid w:val="6C706BD3"/>
    <w:rsid w:val="6CBF424A"/>
    <w:rsid w:val="6CD86B3D"/>
    <w:rsid w:val="6CDC350E"/>
    <w:rsid w:val="6D1A4F14"/>
    <w:rsid w:val="6D2C2624"/>
    <w:rsid w:val="6D4325B3"/>
    <w:rsid w:val="6D594E47"/>
    <w:rsid w:val="6D5B63B0"/>
    <w:rsid w:val="6D774660"/>
    <w:rsid w:val="6D9607AD"/>
    <w:rsid w:val="6D9A7F72"/>
    <w:rsid w:val="6D9B575D"/>
    <w:rsid w:val="6DA7147A"/>
    <w:rsid w:val="6DC71486"/>
    <w:rsid w:val="6DDD7DFC"/>
    <w:rsid w:val="6DE71481"/>
    <w:rsid w:val="6DF043A2"/>
    <w:rsid w:val="6E1A2365"/>
    <w:rsid w:val="6E3F51ED"/>
    <w:rsid w:val="6E462C50"/>
    <w:rsid w:val="6E9A2CE4"/>
    <w:rsid w:val="6ED7647D"/>
    <w:rsid w:val="6EE24B43"/>
    <w:rsid w:val="6EE278DC"/>
    <w:rsid w:val="6EE44E77"/>
    <w:rsid w:val="6EE51C3A"/>
    <w:rsid w:val="6EF31F6B"/>
    <w:rsid w:val="6EF54821"/>
    <w:rsid w:val="6F254F37"/>
    <w:rsid w:val="6F280E37"/>
    <w:rsid w:val="6F38595A"/>
    <w:rsid w:val="6F860812"/>
    <w:rsid w:val="6FAC4372"/>
    <w:rsid w:val="6FAD0DBA"/>
    <w:rsid w:val="6FB560BA"/>
    <w:rsid w:val="6FC63E08"/>
    <w:rsid w:val="6FC8782C"/>
    <w:rsid w:val="6FD30D94"/>
    <w:rsid w:val="6FEC69B0"/>
    <w:rsid w:val="70111019"/>
    <w:rsid w:val="703A496C"/>
    <w:rsid w:val="703E78A7"/>
    <w:rsid w:val="706669FF"/>
    <w:rsid w:val="707A6B13"/>
    <w:rsid w:val="707E60C0"/>
    <w:rsid w:val="708A3B31"/>
    <w:rsid w:val="70F6609E"/>
    <w:rsid w:val="70F86C1C"/>
    <w:rsid w:val="70FB62CB"/>
    <w:rsid w:val="713710CB"/>
    <w:rsid w:val="715D0679"/>
    <w:rsid w:val="71704D92"/>
    <w:rsid w:val="71866CCD"/>
    <w:rsid w:val="71BB3F5C"/>
    <w:rsid w:val="71CD0E96"/>
    <w:rsid w:val="720B1B5F"/>
    <w:rsid w:val="72143724"/>
    <w:rsid w:val="72143AF9"/>
    <w:rsid w:val="72271BD1"/>
    <w:rsid w:val="722F68C6"/>
    <w:rsid w:val="7275449D"/>
    <w:rsid w:val="727A4E15"/>
    <w:rsid w:val="729E1CB9"/>
    <w:rsid w:val="72A05BB4"/>
    <w:rsid w:val="72BE2004"/>
    <w:rsid w:val="72BF2452"/>
    <w:rsid w:val="72D07FD1"/>
    <w:rsid w:val="734233F7"/>
    <w:rsid w:val="73432269"/>
    <w:rsid w:val="73A94FE1"/>
    <w:rsid w:val="73B4416B"/>
    <w:rsid w:val="73B52DBC"/>
    <w:rsid w:val="73E232BE"/>
    <w:rsid w:val="740A38D7"/>
    <w:rsid w:val="74194377"/>
    <w:rsid w:val="743177D8"/>
    <w:rsid w:val="74794210"/>
    <w:rsid w:val="7490025E"/>
    <w:rsid w:val="74936F97"/>
    <w:rsid w:val="74967587"/>
    <w:rsid w:val="74971E70"/>
    <w:rsid w:val="7498434B"/>
    <w:rsid w:val="74C423BC"/>
    <w:rsid w:val="74CB3A47"/>
    <w:rsid w:val="750D2FA2"/>
    <w:rsid w:val="752C7754"/>
    <w:rsid w:val="756920F3"/>
    <w:rsid w:val="7579689C"/>
    <w:rsid w:val="757A2BC8"/>
    <w:rsid w:val="757D3663"/>
    <w:rsid w:val="759A202E"/>
    <w:rsid w:val="759A7657"/>
    <w:rsid w:val="75AD28C5"/>
    <w:rsid w:val="75BB074B"/>
    <w:rsid w:val="75C268F5"/>
    <w:rsid w:val="761A19EC"/>
    <w:rsid w:val="761A6A08"/>
    <w:rsid w:val="7645022F"/>
    <w:rsid w:val="764D029A"/>
    <w:rsid w:val="764D570C"/>
    <w:rsid w:val="765F7514"/>
    <w:rsid w:val="767C28C0"/>
    <w:rsid w:val="768E7059"/>
    <w:rsid w:val="768F55DD"/>
    <w:rsid w:val="76AB5775"/>
    <w:rsid w:val="771451EB"/>
    <w:rsid w:val="775C0844"/>
    <w:rsid w:val="777664E7"/>
    <w:rsid w:val="777F5B94"/>
    <w:rsid w:val="77965AFB"/>
    <w:rsid w:val="77AF1BE8"/>
    <w:rsid w:val="77B30CE2"/>
    <w:rsid w:val="77C1408E"/>
    <w:rsid w:val="77D1365C"/>
    <w:rsid w:val="77D53163"/>
    <w:rsid w:val="77EA7C9B"/>
    <w:rsid w:val="780A717D"/>
    <w:rsid w:val="78467C00"/>
    <w:rsid w:val="785B3552"/>
    <w:rsid w:val="78691008"/>
    <w:rsid w:val="786E038E"/>
    <w:rsid w:val="78766870"/>
    <w:rsid w:val="787B6160"/>
    <w:rsid w:val="788163FD"/>
    <w:rsid w:val="78877363"/>
    <w:rsid w:val="78DF3849"/>
    <w:rsid w:val="790143B0"/>
    <w:rsid w:val="791E5895"/>
    <w:rsid w:val="79334B61"/>
    <w:rsid w:val="794369BC"/>
    <w:rsid w:val="794B57F4"/>
    <w:rsid w:val="795D184B"/>
    <w:rsid w:val="795F2218"/>
    <w:rsid w:val="79645338"/>
    <w:rsid w:val="79774237"/>
    <w:rsid w:val="79901C85"/>
    <w:rsid w:val="79BC1509"/>
    <w:rsid w:val="79C31017"/>
    <w:rsid w:val="79D80E93"/>
    <w:rsid w:val="79DF3FF2"/>
    <w:rsid w:val="79EA1D8C"/>
    <w:rsid w:val="79EC0EFF"/>
    <w:rsid w:val="7A050FCC"/>
    <w:rsid w:val="7A051367"/>
    <w:rsid w:val="7A161564"/>
    <w:rsid w:val="7A35706D"/>
    <w:rsid w:val="7A621891"/>
    <w:rsid w:val="7A706324"/>
    <w:rsid w:val="7AAC1E29"/>
    <w:rsid w:val="7AEF0E9D"/>
    <w:rsid w:val="7B0C1557"/>
    <w:rsid w:val="7B262AF5"/>
    <w:rsid w:val="7B3A6566"/>
    <w:rsid w:val="7B4200F8"/>
    <w:rsid w:val="7B4C6967"/>
    <w:rsid w:val="7B4F00FD"/>
    <w:rsid w:val="7B592721"/>
    <w:rsid w:val="7B865025"/>
    <w:rsid w:val="7B8E66AD"/>
    <w:rsid w:val="7B9C4EE4"/>
    <w:rsid w:val="7BA00DB2"/>
    <w:rsid w:val="7BAD743E"/>
    <w:rsid w:val="7BB17D03"/>
    <w:rsid w:val="7BC00EAA"/>
    <w:rsid w:val="7BDB725D"/>
    <w:rsid w:val="7BE9010C"/>
    <w:rsid w:val="7C092A70"/>
    <w:rsid w:val="7C113EB4"/>
    <w:rsid w:val="7C117EAB"/>
    <w:rsid w:val="7C28503A"/>
    <w:rsid w:val="7C3C052F"/>
    <w:rsid w:val="7CAC7DBD"/>
    <w:rsid w:val="7CAD766E"/>
    <w:rsid w:val="7CB82C5F"/>
    <w:rsid w:val="7CBD500D"/>
    <w:rsid w:val="7CC04228"/>
    <w:rsid w:val="7CE91062"/>
    <w:rsid w:val="7CF96FD8"/>
    <w:rsid w:val="7D097416"/>
    <w:rsid w:val="7D1C14D2"/>
    <w:rsid w:val="7D250D40"/>
    <w:rsid w:val="7D284677"/>
    <w:rsid w:val="7D4014CE"/>
    <w:rsid w:val="7D574EDE"/>
    <w:rsid w:val="7D801E38"/>
    <w:rsid w:val="7E1977F5"/>
    <w:rsid w:val="7E320456"/>
    <w:rsid w:val="7E3378BA"/>
    <w:rsid w:val="7E722515"/>
    <w:rsid w:val="7EA40BC8"/>
    <w:rsid w:val="7EB82FB7"/>
    <w:rsid w:val="7EF825AD"/>
    <w:rsid w:val="7F1840DE"/>
    <w:rsid w:val="7F503B56"/>
    <w:rsid w:val="7F506859"/>
    <w:rsid w:val="7F59417B"/>
    <w:rsid w:val="7F6528D1"/>
    <w:rsid w:val="7F694DB6"/>
    <w:rsid w:val="7F976606"/>
    <w:rsid w:val="7FB748D8"/>
    <w:rsid w:val="7FD15D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Microsoft YaHei UI" w:asciiTheme="minorHAnsi" w:hAnsiTheme="minorHAnsi" w:eastAsiaTheme="minorEastAsia"/>
      <w:spacing w:val="15"/>
      <w:kern w:val="0"/>
      <w:sz w:val="24"/>
      <w:szCs w:val="24"/>
      <w:lang w:val="en-US" w:eastAsia="zh-CN" w:bidi="ar-SA"/>
    </w:rPr>
  </w:style>
  <w:style w:type="paragraph" w:styleId="3">
    <w:name w:val="heading 1"/>
    <w:basedOn w:val="1"/>
    <w:next w:val="1"/>
    <w:qFormat/>
    <w:uiPriority w:val="0"/>
    <w:pPr>
      <w:spacing w:line="360" w:lineRule="auto"/>
      <w:jc w:val="center"/>
      <w:outlineLvl w:val="0"/>
    </w:pPr>
    <w:rPr>
      <w:rFonts w:ascii="Microsoft JhengHei" w:hAnsi="Microsoft JhengHei" w:eastAsia="宋体" w:cs="Microsoft JhengHei"/>
      <w:sz w:val="36"/>
      <w:szCs w:val="44"/>
    </w:rPr>
  </w:style>
  <w:style w:type="paragraph" w:styleId="4">
    <w:name w:val="heading 2"/>
    <w:basedOn w:val="1"/>
    <w:next w:val="1"/>
    <w:unhideWhenUsed/>
    <w:qFormat/>
    <w:uiPriority w:val="0"/>
    <w:pPr>
      <w:spacing w:before="120" w:beforeLines="50" w:after="120" w:afterLines="50" w:line="360" w:lineRule="auto"/>
      <w:ind w:firstLine="700" w:firstLineChars="250"/>
      <w:jc w:val="both"/>
      <w:outlineLvl w:val="1"/>
    </w:pPr>
    <w:rPr>
      <w:rFonts w:asciiTheme="majorHAnsi" w:hAnsiTheme="majorHAnsi" w:cstheme="majorBidi"/>
      <w:b/>
      <w:bCs/>
      <w:caps/>
      <w:color w:val="FA0F1C"/>
      <w:sz w:val="28"/>
      <w:szCs w:val="26"/>
      <w:lang w:val="en-US" w:eastAsia="ja-JP"/>
    </w:rPr>
  </w:style>
  <w:style w:type="paragraph" w:styleId="5">
    <w:name w:val="heading 3"/>
    <w:basedOn w:val="1"/>
    <w:next w:val="1"/>
    <w:unhideWhenUsed/>
    <w:qFormat/>
    <w:uiPriority w:val="0"/>
    <w:pPr>
      <w:keepNext/>
      <w:keepLines/>
      <w:spacing w:before="317" w:after="317"/>
      <w:contextualSpacing/>
      <w:outlineLvl w:val="2"/>
    </w:pPr>
    <w:rPr>
      <w:rFonts w:asciiTheme="majorHAnsi" w:hAnsiTheme="majorHAnsi" w:eastAsiaTheme="majorEastAsia" w:cstheme="majorBidi"/>
      <w:b/>
      <w:color w:val="5B9BD5" w:themeColor="accent1"/>
      <w14:textFill>
        <w14:solidFill>
          <w14:schemeClr w14:val="accent1"/>
        </w14:solidFill>
      </w14:textFill>
    </w:rPr>
  </w:style>
  <w:style w:type="paragraph" w:styleId="6">
    <w:name w:val="heading 4"/>
    <w:basedOn w:val="1"/>
    <w:next w:val="1"/>
    <w:unhideWhenUsed/>
    <w:qFormat/>
    <w:uiPriority w:val="0"/>
    <w:pPr>
      <w:keepNext/>
      <w:keepLines/>
      <w:spacing w:before="317" w:after="317"/>
      <w:contextualSpacing/>
      <w:outlineLvl w:val="3"/>
    </w:pPr>
    <w:rPr>
      <w:rFonts w:asciiTheme="majorHAnsi" w:hAnsiTheme="majorHAnsi" w:eastAsiaTheme="majorEastAsia" w:cstheme="majorBidi"/>
      <w:b/>
      <w:i/>
      <w:iCs/>
      <w:color w:val="44546A" w:themeColor="text2"/>
      <w14:textFill>
        <w14:solidFill>
          <w14:schemeClr w14:val="tx2"/>
        </w14:solidFill>
      </w14:textFill>
    </w:rPr>
  </w:style>
  <w:style w:type="paragraph" w:styleId="7">
    <w:name w:val="heading 5"/>
    <w:basedOn w:val="1"/>
    <w:next w:val="1"/>
    <w:qFormat/>
    <w:uiPriority w:val="1"/>
    <w:pPr>
      <w:spacing w:before="39"/>
      <w:ind w:left="181" w:right="222"/>
      <w:jc w:val="center"/>
      <w:outlineLvl w:val="4"/>
    </w:pPr>
    <w:rPr>
      <w:b/>
      <w:bCs/>
      <w:sz w:val="30"/>
      <w:szCs w:val="30"/>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8">
    <w:name w:val="Normal Indent"/>
    <w:basedOn w:val="1"/>
    <w:qFormat/>
    <w:uiPriority w:val="0"/>
    <w:pPr>
      <w:ind w:firstLine="420" w:firstLineChars="200"/>
    </w:pPr>
  </w:style>
  <w:style w:type="paragraph" w:styleId="9">
    <w:name w:val="Body Text"/>
    <w:basedOn w:val="1"/>
    <w:next w:val="1"/>
    <w:qFormat/>
    <w:uiPriority w:val="0"/>
    <w:pPr>
      <w:autoSpaceDE w:val="0"/>
      <w:autoSpaceDN w:val="0"/>
      <w:adjustRightInd w:val="0"/>
      <w:spacing w:before="40" w:beforeLines="0" w:after="40" w:afterLines="0" w:line="320" w:lineRule="atLeast"/>
      <w:ind w:firstLine="357"/>
      <w:textAlignment w:val="baseline"/>
    </w:pPr>
    <w:rPr>
      <w:sz w:val="18"/>
    </w:rPr>
  </w:style>
  <w:style w:type="paragraph" w:styleId="10">
    <w:name w:val="Body Text Indent"/>
    <w:basedOn w:val="1"/>
    <w:next w:val="6"/>
    <w:unhideWhenUsed/>
    <w:qFormat/>
    <w:uiPriority w:val="0"/>
    <w:pPr>
      <w:ind w:firstLine="630"/>
    </w:pPr>
    <w:rPr>
      <w:rFonts w:ascii="Times New Roman"/>
      <w:kern w:val="2"/>
      <w:sz w:val="32"/>
    </w:rPr>
  </w:style>
  <w:style w:type="paragraph" w:styleId="11">
    <w:name w:val="List 2"/>
    <w:basedOn w:val="1"/>
    <w:qFormat/>
    <w:uiPriority w:val="0"/>
    <w:pPr>
      <w:ind w:left="100" w:leftChars="200" w:hanging="200" w:hangingChars="200"/>
      <w:contextualSpacing/>
    </w:pPr>
  </w:style>
  <w:style w:type="paragraph" w:styleId="12">
    <w:name w:val="toc 3"/>
    <w:basedOn w:val="1"/>
    <w:next w:val="1"/>
    <w:qFormat/>
    <w:uiPriority w:val="0"/>
    <w:pPr>
      <w:ind w:left="840" w:leftChars="4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Body Text 2"/>
    <w:basedOn w:val="1"/>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Title"/>
    <w:basedOn w:val="11"/>
    <w:next w:val="1"/>
    <w:qFormat/>
    <w:uiPriority w:val="0"/>
    <w:pPr>
      <w:spacing w:before="240" w:after="60" w:line="360" w:lineRule="auto"/>
      <w:jc w:val="center"/>
      <w:outlineLvl w:val="0"/>
    </w:pPr>
    <w:rPr>
      <w:rFonts w:ascii="Cambria" w:hAnsi="Cambria" w:eastAsia="宋体" w:cs="Times New Roman"/>
      <w:b/>
      <w:bCs/>
      <w:sz w:val="36"/>
      <w:szCs w:val="32"/>
    </w:rPr>
  </w:style>
  <w:style w:type="paragraph" w:styleId="21">
    <w:name w:val="Body Text First Indent 2"/>
    <w:basedOn w:val="10"/>
    <w:qFormat/>
    <w:uiPriority w:val="0"/>
    <w:pPr>
      <w:spacing w:after="120" w:line="240" w:lineRule="auto"/>
      <w:ind w:left="200" w:leftChars="200" w:firstLine="20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FollowedHyperlink"/>
    <w:basedOn w:val="24"/>
    <w:qFormat/>
    <w:uiPriority w:val="0"/>
    <w:rPr>
      <w:color w:val="800080"/>
      <w:u w:val="none"/>
    </w:rPr>
  </w:style>
  <w:style w:type="character" w:styleId="27">
    <w:name w:val="HTML Definition"/>
    <w:basedOn w:val="24"/>
    <w:qFormat/>
    <w:uiPriority w:val="0"/>
  </w:style>
  <w:style w:type="character" w:styleId="28">
    <w:name w:val="HTML Typewriter"/>
    <w:basedOn w:val="24"/>
    <w:qFormat/>
    <w:uiPriority w:val="0"/>
    <w:rPr>
      <w:rFonts w:ascii="monospace" w:hAnsi="monospace" w:eastAsia="monospace" w:cs="monospace"/>
      <w:sz w:val="20"/>
    </w:rPr>
  </w:style>
  <w:style w:type="character" w:styleId="29">
    <w:name w:val="HTML Acronym"/>
    <w:basedOn w:val="24"/>
    <w:qFormat/>
    <w:uiPriority w:val="0"/>
  </w:style>
  <w:style w:type="character" w:styleId="30">
    <w:name w:val="HTML Variable"/>
    <w:basedOn w:val="24"/>
    <w:qFormat/>
    <w:uiPriority w:val="0"/>
  </w:style>
  <w:style w:type="character" w:styleId="31">
    <w:name w:val="Hyperlink"/>
    <w:basedOn w:val="24"/>
    <w:qFormat/>
    <w:uiPriority w:val="0"/>
    <w:rPr>
      <w:color w:val="0000FF"/>
      <w:u w:val="none"/>
    </w:rPr>
  </w:style>
  <w:style w:type="character" w:styleId="32">
    <w:name w:val="HTML Code"/>
    <w:basedOn w:val="24"/>
    <w:qFormat/>
    <w:uiPriority w:val="0"/>
    <w:rPr>
      <w:rFonts w:hint="default" w:ascii="monospace" w:hAnsi="monospace" w:eastAsia="monospace" w:cs="monospace"/>
      <w:sz w:val="20"/>
    </w:rPr>
  </w:style>
  <w:style w:type="character" w:styleId="33">
    <w:name w:val="HTML Cite"/>
    <w:basedOn w:val="24"/>
    <w:qFormat/>
    <w:uiPriority w:val="0"/>
  </w:style>
  <w:style w:type="character" w:styleId="34">
    <w:name w:val="HTML Keyboard"/>
    <w:basedOn w:val="24"/>
    <w:qFormat/>
    <w:uiPriority w:val="0"/>
    <w:rPr>
      <w:rFonts w:hint="default" w:ascii="monospace" w:hAnsi="monospace" w:eastAsia="monospace" w:cs="monospace"/>
      <w:sz w:val="20"/>
    </w:rPr>
  </w:style>
  <w:style w:type="character" w:styleId="35">
    <w:name w:val="HTML Sample"/>
    <w:basedOn w:val="24"/>
    <w:qFormat/>
    <w:uiPriority w:val="0"/>
    <w:rPr>
      <w:rFonts w:hint="default" w:ascii="monospace" w:hAnsi="monospace" w:eastAsia="monospace" w:cs="monospace"/>
    </w:rPr>
  </w:style>
  <w:style w:type="paragraph" w:styleId="36">
    <w:name w:val="No Spacing"/>
    <w:qFormat/>
    <w:uiPriority w:val="0"/>
    <w:pPr>
      <w:widowControl w:val="0"/>
      <w:jc w:val="both"/>
    </w:pPr>
    <w:rPr>
      <w:rFonts w:ascii="Times New Roman" w:hAnsi="Times New Roman" w:eastAsia="Times New Roman" w:cs="Times New Roman"/>
      <w:kern w:val="2"/>
      <w:sz w:val="21"/>
      <w:lang w:val="en-US" w:eastAsia="zh-CN" w:bidi="ar-SA"/>
    </w:rPr>
  </w:style>
  <w:style w:type="paragraph" w:styleId="37">
    <w:name w:val="List Paragraph"/>
    <w:basedOn w:val="1"/>
    <w:unhideWhenUsed/>
    <w:qFormat/>
    <w:uiPriority w:val="99"/>
    <w:pPr>
      <w:contextualSpacing/>
    </w:pPr>
    <w:rPr>
      <w:i/>
    </w:rPr>
  </w:style>
  <w:style w:type="character" w:customStyle="1" w:styleId="38">
    <w:name w:val="Intense Reference"/>
    <w:basedOn w:val="24"/>
    <w:unhideWhenUsed/>
    <w:qFormat/>
    <w:uiPriority w:val="32"/>
    <w:rPr>
      <w:b/>
      <w:bCs/>
      <w:caps/>
      <w:color w:val="51647E" w:themeColor="text2" w:themeTint="E6"/>
      <w:spacing w:val="0"/>
      <w14:textFill>
        <w14:solidFill>
          <w14:schemeClr w14:val="tx2">
            <w14:lumMod w14:val="90000"/>
            <w14:lumOff w14:val="10000"/>
          </w14:schemeClr>
        </w14:solidFill>
      </w14:textFill>
    </w:rPr>
  </w:style>
  <w:style w:type="character" w:customStyle="1" w:styleId="39">
    <w:name w:val="unit"/>
    <w:qFormat/>
    <w:uiPriority w:val="0"/>
  </w:style>
  <w:style w:type="paragraph" w:customStyle="1" w:styleId="40">
    <w:name w:val="_Style 2"/>
    <w:basedOn w:val="1"/>
    <w:qFormat/>
    <w:uiPriority w:val="34"/>
    <w:pPr>
      <w:ind w:firstLine="420" w:firstLineChars="200"/>
    </w:pPr>
    <w:rPr>
      <w:rFonts w:ascii="Calibri" w:hAnsi="Calibri" w:eastAsia="宋体" w:cs="Times New Roman"/>
      <w:szCs w:val="22"/>
    </w:rPr>
  </w:style>
  <w:style w:type="paragraph" w:customStyle="1" w:styleId="41">
    <w:name w:val="样式 仿宋 行距: 1.5 倍行距"/>
    <w:basedOn w:val="1"/>
    <w:qFormat/>
    <w:uiPriority w:val="0"/>
    <w:pPr>
      <w:spacing w:line="360" w:lineRule="auto"/>
    </w:pPr>
    <w:rPr>
      <w:rFonts w:ascii="仿宋" w:hAnsi="仿宋" w:eastAsia="仿宋" w:cs="宋体"/>
      <w:sz w:val="24"/>
      <w:szCs w:val="20"/>
    </w:rPr>
  </w:style>
  <w:style w:type="paragraph" w:customStyle="1" w:styleId="42">
    <w:name w:val="p0"/>
    <w:basedOn w:val="1"/>
    <w:qFormat/>
    <w:uiPriority w:val="0"/>
    <w:pPr>
      <w:widowControl/>
    </w:pPr>
    <w:rPr>
      <w:kern w:val="0"/>
      <w:szCs w:val="21"/>
    </w:rPr>
  </w:style>
  <w:style w:type="paragraph" w:customStyle="1" w:styleId="43">
    <w:name w:val="样式1"/>
    <w:qFormat/>
    <w:uiPriority w:val="0"/>
    <w:rPr>
      <w:rFonts w:ascii="Times New Roman" w:hAnsi="Times New Roman" w:eastAsia="宋体" w:cs="Times New Roman"/>
    </w:rPr>
  </w:style>
  <w:style w:type="paragraph" w:customStyle="1" w:styleId="44">
    <w:name w:val="样式2"/>
    <w:basedOn w:val="17"/>
    <w:qFormat/>
    <w:uiPriority w:val="0"/>
  </w:style>
  <w:style w:type="paragraph" w:customStyle="1" w:styleId="45">
    <w:name w:val="标题3 附件1"/>
    <w:basedOn w:val="1"/>
    <w:qFormat/>
    <w:uiPriority w:val="99"/>
    <w:pPr>
      <w:keepNext/>
      <w:keepLines/>
      <w:spacing w:before="340" w:after="330" w:line="360" w:lineRule="exact"/>
      <w:jc w:val="left"/>
      <w:outlineLvl w:val="2"/>
    </w:pPr>
    <w:rPr>
      <w:b/>
      <w:bCs/>
      <w:kern w:val="44"/>
      <w:szCs w:val="21"/>
    </w:rPr>
  </w:style>
  <w:style w:type="paragraph" w:customStyle="1" w:styleId="46">
    <w:name w:val="标题1"/>
    <w:basedOn w:val="3"/>
    <w:qFormat/>
    <w:uiPriority w:val="99"/>
    <w:pPr>
      <w:spacing w:line="360" w:lineRule="exact"/>
    </w:pPr>
    <w:rPr>
      <w:spacing w:val="0"/>
      <w:szCs w:val="36"/>
    </w:rPr>
  </w:style>
  <w:style w:type="paragraph" w:customStyle="1" w:styleId="47">
    <w:name w:val="Table Paragraph"/>
    <w:basedOn w:val="1"/>
    <w:qFormat/>
    <w:uiPriority w:val="1"/>
  </w:style>
  <w:style w:type="paragraph" w:customStyle="1" w:styleId="4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19694</Words>
  <Characters>20947</Characters>
  <Lines>0</Lines>
  <Paragraphs>0</Paragraphs>
  <TotalTime>6</TotalTime>
  <ScaleCrop>false</ScaleCrop>
  <LinksUpToDate>false</LinksUpToDate>
  <CharactersWithSpaces>22894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2017-10-19T02:29:00Z</dcterms:created>
  <dc:creator>Administrator</dc:creator>
  <cp:lastModifiedBy>丹儿༦Ꮿོ࿆ 新疆印象</cp:lastModifiedBy>
  <cp:lastPrinted>2022-01-02T05:30:00Z</cp:lastPrinted>
  <dcterms:modified xsi:type="dcterms:W3CDTF">2022-05-16T04:07:50Z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D414FB647BF0410D8AD5232508D5C3BB</vt:lpwstr>
  </property>
</Properties>
</file>