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cs="宋体"/>
          <w:b/>
          <w:spacing w:val="140"/>
          <w:kern w:val="0"/>
          <w:sz w:val="44"/>
          <w:szCs w:val="44"/>
        </w:rPr>
      </w:pPr>
      <w:bookmarkStart w:id="0" w:name="_Toc129962434"/>
      <w:bookmarkStart w:id="1" w:name="_Toc65031407"/>
      <w:bookmarkStart w:id="2" w:name="_Toc65045385"/>
      <w:bookmarkStart w:id="3" w:name="_Toc64365742"/>
    </w:p>
    <w:p>
      <w:pPr>
        <w:spacing w:before="312" w:beforeLines="100" w:after="156" w:afterLines="50"/>
        <w:jc w:val="center"/>
        <w:textAlignment w:val="baseline"/>
        <w:rPr>
          <w:rFonts w:ascii="宋体" w:cs="宋体"/>
          <w:sz w:val="52"/>
          <w:u w:val="double"/>
        </w:rPr>
      </w:pPr>
      <w:r>
        <w:rPr>
          <w:rFonts w:hint="eastAsia" w:ascii="宋体" w:hAnsi="宋体" w:cs="宋体"/>
          <w:spacing w:val="40"/>
          <w:sz w:val="52"/>
          <w:u w:val="double"/>
        </w:rPr>
        <w:t>库车市政府集中采购</w:t>
      </w:r>
    </w:p>
    <w:p>
      <w:pPr>
        <w:jc w:val="center"/>
        <w:rPr>
          <w:rFonts w:ascii="宋体" w:cs="宋体"/>
          <w:w w:val="110"/>
          <w:sz w:val="96"/>
        </w:rPr>
      </w:pPr>
      <w:r>
        <w:rPr>
          <w:rFonts w:hint="eastAsia" w:ascii="宋体" w:hAnsi="宋体" w:cs="宋体"/>
          <w:w w:val="110"/>
          <w:sz w:val="96"/>
        </w:rPr>
        <w:t>招</w:t>
      </w:r>
      <w:r>
        <w:rPr>
          <w:rFonts w:ascii="宋体" w:hAnsi="宋体" w:cs="宋体"/>
          <w:w w:val="110"/>
          <w:sz w:val="96"/>
        </w:rPr>
        <w:t xml:space="preserve"> </w:t>
      </w:r>
      <w:r>
        <w:rPr>
          <w:rFonts w:hint="eastAsia" w:ascii="宋体" w:hAnsi="宋体" w:cs="宋体"/>
          <w:w w:val="110"/>
          <w:sz w:val="96"/>
        </w:rPr>
        <w:t>标</w:t>
      </w:r>
      <w:r>
        <w:rPr>
          <w:rFonts w:ascii="宋体" w:hAnsi="宋体" w:cs="宋体"/>
          <w:w w:val="110"/>
          <w:sz w:val="96"/>
        </w:rPr>
        <w:t xml:space="preserve"> </w:t>
      </w:r>
      <w:r>
        <w:rPr>
          <w:rFonts w:hint="eastAsia" w:ascii="宋体" w:hAnsi="宋体" w:cs="宋体"/>
          <w:w w:val="110"/>
          <w:sz w:val="96"/>
        </w:rPr>
        <w:t>文</w:t>
      </w:r>
      <w:r>
        <w:rPr>
          <w:rFonts w:ascii="宋体" w:hAnsi="宋体" w:cs="宋体"/>
          <w:w w:val="110"/>
          <w:sz w:val="96"/>
        </w:rPr>
        <w:t xml:space="preserve"> </w:t>
      </w:r>
      <w:r>
        <w:rPr>
          <w:rFonts w:hint="eastAsia" w:ascii="宋体" w:hAnsi="宋体" w:cs="宋体"/>
          <w:w w:val="110"/>
          <w:sz w:val="96"/>
        </w:rPr>
        <w:t>件</w:t>
      </w:r>
    </w:p>
    <w:p>
      <w:pPr>
        <w:pStyle w:val="11"/>
        <w:ind w:firstLine="1484" w:firstLineChars="336"/>
        <w:jc w:val="left"/>
        <w:rPr>
          <w:rFonts w:ascii="宋体" w:cs="宋体"/>
          <w:b/>
          <w:sz w:val="44"/>
        </w:rPr>
      </w:pPr>
    </w:p>
    <w:p>
      <w:pPr>
        <w:pStyle w:val="11"/>
        <w:ind w:firstLine="1484" w:firstLineChars="336"/>
        <w:jc w:val="left"/>
        <w:rPr>
          <w:rFonts w:ascii="宋体" w:cs="宋体"/>
          <w:b/>
          <w:sz w:val="44"/>
        </w:rPr>
      </w:pPr>
    </w:p>
    <w:p>
      <w:pPr>
        <w:pStyle w:val="11"/>
        <w:ind w:firstLine="1484" w:firstLineChars="336"/>
        <w:jc w:val="left"/>
        <w:rPr>
          <w:rFonts w:ascii="宋体" w:cs="宋体"/>
          <w:b/>
          <w:sz w:val="44"/>
        </w:rPr>
      </w:pPr>
    </w:p>
    <w:p>
      <w:pPr>
        <w:pStyle w:val="11"/>
        <w:ind w:firstLine="1484" w:firstLineChars="336"/>
        <w:jc w:val="left"/>
        <w:rPr>
          <w:rFonts w:ascii="宋体" w:cs="宋体"/>
          <w:b/>
          <w:sz w:val="44"/>
        </w:rPr>
      </w:pPr>
    </w:p>
    <w:p>
      <w:pPr>
        <w:pStyle w:val="11"/>
        <w:spacing w:line="560" w:lineRule="exact"/>
        <w:jc w:val="center"/>
        <w:rPr>
          <w:rFonts w:ascii="宋体" w:hAnsi="宋体" w:cs="宋体"/>
          <w:sz w:val="44"/>
        </w:rPr>
      </w:pPr>
      <w:r>
        <w:rPr>
          <w:rFonts w:hint="eastAsia" w:ascii="宋体" w:hAnsi="宋体" w:cs="宋体"/>
          <w:sz w:val="44"/>
        </w:rPr>
        <w:t xml:space="preserve">    项目编号：</w:t>
      </w:r>
      <w:r>
        <w:rPr>
          <w:rFonts w:ascii="宋体" w:hAnsi="宋体" w:cs="宋体"/>
          <w:sz w:val="44"/>
        </w:rPr>
        <w:t>KC</w:t>
      </w:r>
      <w:r>
        <w:rPr>
          <w:rFonts w:hint="eastAsia" w:ascii="宋体" w:hAnsi="宋体" w:cs="宋体"/>
          <w:sz w:val="44"/>
        </w:rPr>
        <w:t>-</w:t>
      </w:r>
      <w:r>
        <w:rPr>
          <w:rFonts w:ascii="宋体" w:hAnsi="宋体" w:cs="宋体"/>
          <w:sz w:val="44"/>
        </w:rPr>
        <w:t>ZFCG</w:t>
      </w:r>
      <w:r>
        <w:rPr>
          <w:rFonts w:hint="eastAsia" w:ascii="宋体" w:hAnsi="宋体" w:cs="宋体"/>
          <w:sz w:val="44"/>
        </w:rPr>
        <w:t xml:space="preserve">-2023-G010     </w:t>
      </w:r>
    </w:p>
    <w:p>
      <w:pPr>
        <w:pStyle w:val="11"/>
        <w:jc w:val="center"/>
        <w:rPr>
          <w:rFonts w:ascii="宋体" w:hAnsi="宋体" w:cs="宋体"/>
          <w:kern w:val="4"/>
          <w:sz w:val="44"/>
        </w:rPr>
      </w:pPr>
      <w:r>
        <w:rPr>
          <w:rFonts w:hint="eastAsia" w:hAnsi="宋体" w:cs="宋体"/>
          <w:sz w:val="44"/>
        </w:rPr>
        <w:t xml:space="preserve">      </w:t>
      </w:r>
      <w:r>
        <w:rPr>
          <w:rFonts w:hint="eastAsia" w:ascii="宋体" w:hAnsi="宋体" w:cs="宋体"/>
          <w:sz w:val="44"/>
        </w:rPr>
        <w:t xml:space="preserve"> </w:t>
      </w:r>
      <w:r>
        <w:rPr>
          <w:rFonts w:hint="eastAsia" w:hAnsi="宋体" w:cs="宋体"/>
          <w:sz w:val="44"/>
        </w:rPr>
        <w:t xml:space="preserve"> </w:t>
      </w:r>
      <w:r>
        <w:rPr>
          <w:rFonts w:hint="eastAsia" w:ascii="宋体" w:hAnsi="宋体" w:cs="宋体"/>
          <w:sz w:val="44"/>
        </w:rPr>
        <w:t>项目名称：</w:t>
      </w:r>
      <w:r>
        <w:rPr>
          <w:rFonts w:hint="eastAsia" w:hAnsi="宋体" w:cs="宋体"/>
          <w:sz w:val="44"/>
        </w:rPr>
        <w:t>库车市平安城市八期建设项目一标段施工</w:t>
      </w:r>
    </w:p>
    <w:p>
      <w:pPr>
        <w:rPr>
          <w:rFonts w:ascii="宋体" w:cs="宋体"/>
          <w:b/>
          <w:sz w:val="44"/>
        </w:rPr>
      </w:pPr>
    </w:p>
    <w:p>
      <w:pPr>
        <w:rPr>
          <w:rFonts w:ascii="宋体" w:cs="宋体"/>
          <w:b/>
          <w:sz w:val="44"/>
        </w:rPr>
      </w:pPr>
    </w:p>
    <w:p>
      <w:pPr>
        <w:jc w:val="center"/>
        <w:rPr>
          <w:rFonts w:ascii="宋体" w:cs="宋体"/>
          <w:b/>
          <w:sz w:val="44"/>
        </w:rPr>
      </w:pPr>
    </w:p>
    <w:p>
      <w:pPr>
        <w:spacing w:before="156" w:beforeLines="50" w:after="156" w:afterLines="50"/>
        <w:jc w:val="center"/>
        <w:textAlignment w:val="baseline"/>
        <w:rPr>
          <w:rFonts w:ascii="宋体" w:cs="宋体"/>
          <w:sz w:val="44"/>
        </w:rPr>
      </w:pPr>
      <w:r>
        <w:rPr>
          <w:rFonts w:hint="eastAsia" w:ascii="宋体" w:hAnsi="宋体" w:cs="宋体"/>
          <w:sz w:val="44"/>
        </w:rPr>
        <w:t>库车市政务服务和公共资源交易中心</w:t>
      </w:r>
    </w:p>
    <w:p>
      <w:pPr>
        <w:spacing w:before="156" w:beforeLines="50" w:after="156" w:afterLines="50"/>
        <w:jc w:val="center"/>
        <w:textAlignment w:val="baseline"/>
        <w:rPr>
          <w:rFonts w:hint="eastAsia" w:ascii="宋体" w:hAnsi="宋体" w:eastAsia="宋体" w:cs="宋体"/>
          <w:sz w:val="44"/>
        </w:rPr>
      </w:pPr>
      <w:r>
        <w:rPr>
          <w:rFonts w:hint="eastAsia" w:ascii="宋体" w:hAnsi="宋体" w:eastAsia="宋体" w:cs="宋体"/>
          <w:sz w:val="44"/>
        </w:rPr>
        <w:t>二0二三年六月</w:t>
      </w:r>
    </w:p>
    <w:p>
      <w:pPr>
        <w:spacing w:before="624" w:beforeLines="200" w:line="520" w:lineRule="atLeast"/>
        <w:rPr>
          <w:rFonts w:ascii="仿宋_GB2312" w:hAnsi="宋体" w:eastAsia="仿宋_GB2312" w:cs="宋体"/>
          <w:b/>
          <w:sz w:val="52"/>
          <w:szCs w:val="52"/>
        </w:rPr>
      </w:pPr>
    </w:p>
    <w:p>
      <w:pPr>
        <w:spacing w:before="624" w:beforeLines="200" w:line="520" w:lineRule="atLeast"/>
        <w:jc w:val="center"/>
        <w:rPr>
          <w:rFonts w:ascii="仿宋_GB2312" w:eastAsia="仿宋_GB2312" w:cs="宋体"/>
          <w:b/>
          <w:sz w:val="52"/>
          <w:szCs w:val="52"/>
        </w:rPr>
      </w:pPr>
      <w:r>
        <w:rPr>
          <w:rFonts w:hint="eastAsia" w:ascii="仿宋_GB2312" w:hAnsi="宋体" w:eastAsia="仿宋_GB2312" w:cs="宋体"/>
          <w:b/>
          <w:sz w:val="52"/>
          <w:szCs w:val="52"/>
        </w:rPr>
        <w:t>目      录</w:t>
      </w:r>
    </w:p>
    <w:p>
      <w:pPr>
        <w:spacing w:before="624" w:beforeLines="200" w:line="360" w:lineRule="atLeast"/>
        <w:rPr>
          <w:rFonts w:ascii="仿宋_GB2312" w:eastAsia="仿宋_GB2312" w:cs="宋体"/>
          <w:sz w:val="36"/>
        </w:rPr>
      </w:pPr>
      <w:r>
        <w:rPr>
          <w:rFonts w:hint="eastAsia" w:ascii="仿宋_GB2312" w:hAnsi="宋体" w:eastAsia="仿宋_GB2312" w:cs="宋体"/>
          <w:sz w:val="36"/>
        </w:rPr>
        <w:t xml:space="preserve">       </w: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spacing w:line="520" w:lineRule="atLeast"/>
        <w:textAlignment w:val="auto"/>
        <w:rPr>
          <w:rFonts w:ascii="仿宋_GB2312" w:eastAsia="仿宋_GB2312" w:cs="宋体"/>
          <w:sz w:val="28"/>
        </w:rPr>
      </w:pPr>
      <w:r>
        <w:rPr>
          <w:rFonts w:hint="eastAsia" w:ascii="仿宋_GB2312" w:hAnsi="宋体" w:eastAsia="仿宋_GB2312" w:cs="宋体"/>
          <w:sz w:val="28"/>
        </w:rPr>
        <w:t>第一章：招标书·················································</w:t>
      </w:r>
    </w:p>
    <w:p>
      <w:pPr>
        <w:keepNext w:val="0"/>
        <w:keepLines w:val="0"/>
        <w:pageBreakBefore w:val="0"/>
        <w:widowControl w:val="0"/>
        <w:kinsoku/>
        <w:wordWrap/>
        <w:overflowPunct/>
        <w:topLinePunct w:val="0"/>
        <w:autoSpaceDE/>
        <w:autoSpaceDN/>
        <w:bidi w:val="0"/>
        <w:adjustRightInd/>
        <w:snapToGrid/>
        <w:spacing w:line="520" w:lineRule="atLeast"/>
        <w:textAlignment w:val="auto"/>
        <w:rPr>
          <w:rFonts w:ascii="仿宋_GB2312" w:eastAsia="仿宋_GB2312" w:cs="宋体"/>
          <w:sz w:val="28"/>
        </w:rPr>
      </w:pPr>
      <w:r>
        <w:rPr>
          <w:rFonts w:hint="eastAsia" w:ascii="仿宋_GB2312" w:hAnsi="宋体" w:eastAsia="仿宋_GB2312" w:cs="宋体"/>
          <w:sz w:val="28"/>
        </w:rPr>
        <w:t>第二章：投标须知···············································</w:t>
      </w:r>
    </w:p>
    <w:p>
      <w:pPr>
        <w:pStyle w:val="71"/>
        <w:keepNext w:val="0"/>
        <w:keepLines w:val="0"/>
        <w:pageBreakBefore w:val="0"/>
        <w:widowControl w:val="0"/>
        <w:kinsoku/>
        <w:wordWrap/>
        <w:overflowPunct/>
        <w:topLinePunct w:val="0"/>
        <w:autoSpaceDE/>
        <w:autoSpaceDN/>
        <w:bidi w:val="0"/>
        <w:adjustRightInd/>
        <w:snapToGrid/>
        <w:spacing w:line="520" w:lineRule="atLeast"/>
        <w:ind w:firstLine="0" w:firstLineChars="0"/>
        <w:textAlignment w:val="auto"/>
        <w:rPr>
          <w:rFonts w:hAnsi="宋体" w:cs="宋体"/>
        </w:rPr>
      </w:pPr>
      <w:r>
        <w:rPr>
          <w:rFonts w:hint="eastAsia"/>
        </w:rPr>
        <w:t>第三章：招标采购内容及规格技术要求··························</w:t>
      </w:r>
    </w:p>
    <w:p>
      <w:pPr>
        <w:keepNext w:val="0"/>
        <w:keepLines w:val="0"/>
        <w:pageBreakBefore w:val="0"/>
        <w:widowControl w:val="0"/>
        <w:kinsoku/>
        <w:wordWrap/>
        <w:overflowPunct/>
        <w:topLinePunct w:val="0"/>
        <w:autoSpaceDE/>
        <w:autoSpaceDN/>
        <w:bidi w:val="0"/>
        <w:adjustRightInd/>
        <w:snapToGrid/>
        <w:spacing w:line="520" w:lineRule="atLeast"/>
        <w:textAlignment w:val="auto"/>
        <w:rPr>
          <w:rFonts w:ascii="仿宋_GB2312" w:eastAsia="仿宋_GB2312" w:cs="宋体"/>
          <w:sz w:val="28"/>
        </w:rPr>
      </w:pPr>
      <w:r>
        <w:rPr>
          <w:rFonts w:hint="eastAsia" w:ascii="仿宋_GB2312" w:hAnsi="宋体" w:eastAsia="仿宋_GB2312" w:cs="宋体"/>
          <w:sz w:val="28"/>
        </w:rPr>
        <w:t>第四章：附件··············································</w:t>
      </w:r>
    </w:p>
    <w:p>
      <w:pPr>
        <w:keepNext w:val="0"/>
        <w:keepLines w:val="0"/>
        <w:pageBreakBefore w:val="0"/>
        <w:widowControl w:val="0"/>
        <w:kinsoku/>
        <w:wordWrap/>
        <w:overflowPunct/>
        <w:topLinePunct w:val="0"/>
        <w:autoSpaceDE/>
        <w:autoSpaceDN/>
        <w:bidi w:val="0"/>
        <w:adjustRightInd/>
        <w:snapToGrid/>
        <w:spacing w:line="520" w:lineRule="atLeast"/>
        <w:ind w:firstLine="113"/>
        <w:textAlignment w:val="auto"/>
        <w:rPr>
          <w:rFonts w:ascii="仿宋_GB2312" w:eastAsia="仿宋_GB2312" w:cs="宋体"/>
          <w:sz w:val="28"/>
        </w:rPr>
      </w:pPr>
      <w:r>
        <w:rPr>
          <w:rFonts w:hint="eastAsia" w:ascii="仿宋_GB2312" w:hAnsi="宋体" w:eastAsia="仿宋_GB2312" w:cs="宋体"/>
          <w:sz w:val="28"/>
        </w:rPr>
        <w:t>附件：（投标书格式）</w:t>
      </w:r>
    </w:p>
    <w:p>
      <w:pPr>
        <w:keepNext w:val="0"/>
        <w:keepLines w:val="0"/>
        <w:pageBreakBefore w:val="0"/>
        <w:widowControl w:val="0"/>
        <w:kinsoku/>
        <w:wordWrap/>
        <w:overflowPunct/>
        <w:topLinePunct w:val="0"/>
        <w:autoSpaceDE/>
        <w:autoSpaceDN/>
        <w:bidi w:val="0"/>
        <w:adjustRightInd/>
        <w:snapToGrid/>
        <w:spacing w:line="520" w:lineRule="atLeast"/>
        <w:ind w:firstLine="113"/>
        <w:textAlignment w:val="auto"/>
        <w:rPr>
          <w:rFonts w:ascii="仿宋_GB2312" w:eastAsia="仿宋_GB2312" w:cs="宋体"/>
          <w:sz w:val="28"/>
        </w:rPr>
      </w:pPr>
      <w:r>
        <w:rPr>
          <w:rFonts w:hint="eastAsia" w:ascii="仿宋_GB2312" w:hAnsi="宋体" w:eastAsia="仿宋_GB2312" w:cs="宋体"/>
          <w:sz w:val="28"/>
        </w:rPr>
        <w:t>1、投标书</w:t>
      </w:r>
    </w:p>
    <w:p>
      <w:pPr>
        <w:keepNext w:val="0"/>
        <w:keepLines w:val="0"/>
        <w:pageBreakBefore w:val="0"/>
        <w:widowControl w:val="0"/>
        <w:kinsoku/>
        <w:wordWrap/>
        <w:overflowPunct/>
        <w:topLinePunct w:val="0"/>
        <w:autoSpaceDE/>
        <w:autoSpaceDN/>
        <w:bidi w:val="0"/>
        <w:adjustRightInd/>
        <w:snapToGrid/>
        <w:spacing w:line="520" w:lineRule="atLeast"/>
        <w:ind w:firstLine="113"/>
        <w:textAlignment w:val="auto"/>
        <w:rPr>
          <w:rFonts w:ascii="仿宋_GB2312" w:eastAsia="仿宋_GB2312" w:cs="宋体"/>
          <w:sz w:val="28"/>
        </w:rPr>
      </w:pPr>
      <w:r>
        <w:rPr>
          <w:rFonts w:hint="eastAsia" w:ascii="仿宋_GB2312" w:hAnsi="宋体" w:eastAsia="仿宋_GB2312" w:cs="宋体"/>
          <w:sz w:val="28"/>
        </w:rPr>
        <w:t>2、法定代表人（负责人）授权委托书</w:t>
      </w:r>
    </w:p>
    <w:p>
      <w:pPr>
        <w:keepNext w:val="0"/>
        <w:keepLines w:val="0"/>
        <w:pageBreakBefore w:val="0"/>
        <w:widowControl w:val="0"/>
        <w:kinsoku/>
        <w:wordWrap/>
        <w:overflowPunct/>
        <w:topLinePunct w:val="0"/>
        <w:autoSpaceDE/>
        <w:autoSpaceDN/>
        <w:bidi w:val="0"/>
        <w:adjustRightInd/>
        <w:snapToGrid/>
        <w:spacing w:line="520" w:lineRule="atLeast"/>
        <w:ind w:firstLine="113"/>
        <w:textAlignment w:val="auto"/>
        <w:rPr>
          <w:rFonts w:ascii="仿宋_GB2312" w:eastAsia="仿宋_GB2312" w:cs="宋体"/>
          <w:sz w:val="28"/>
        </w:rPr>
      </w:pPr>
      <w:r>
        <w:rPr>
          <w:rFonts w:hint="eastAsia" w:ascii="仿宋_GB2312" w:hAnsi="宋体" w:eastAsia="仿宋_GB2312" w:cs="宋体"/>
          <w:sz w:val="28"/>
        </w:rPr>
        <w:t>3、开标一览表</w:t>
      </w:r>
    </w:p>
    <w:p>
      <w:pPr>
        <w:keepNext w:val="0"/>
        <w:keepLines w:val="0"/>
        <w:pageBreakBefore w:val="0"/>
        <w:widowControl w:val="0"/>
        <w:kinsoku/>
        <w:wordWrap/>
        <w:overflowPunct/>
        <w:topLinePunct w:val="0"/>
        <w:autoSpaceDE/>
        <w:autoSpaceDN/>
        <w:bidi w:val="0"/>
        <w:adjustRightInd/>
        <w:snapToGrid/>
        <w:spacing w:line="520" w:lineRule="atLeast"/>
        <w:ind w:firstLine="113"/>
        <w:textAlignment w:val="auto"/>
        <w:rPr>
          <w:rFonts w:ascii="仿宋_GB2312" w:eastAsia="仿宋_GB2312" w:cs="宋体"/>
          <w:sz w:val="28"/>
        </w:rPr>
      </w:pPr>
      <w:r>
        <w:rPr>
          <w:rFonts w:hint="eastAsia" w:ascii="仿宋_GB2312" w:hAnsi="宋体" w:eastAsia="仿宋_GB2312" w:cs="宋体"/>
          <w:sz w:val="28"/>
        </w:rPr>
        <w:t>4、投标产品名称、数量、规格及报价明细表</w:t>
      </w:r>
    </w:p>
    <w:p>
      <w:pPr>
        <w:keepNext w:val="0"/>
        <w:keepLines w:val="0"/>
        <w:pageBreakBefore w:val="0"/>
        <w:widowControl w:val="0"/>
        <w:kinsoku/>
        <w:wordWrap/>
        <w:overflowPunct/>
        <w:topLinePunct w:val="0"/>
        <w:autoSpaceDE/>
        <w:autoSpaceDN/>
        <w:bidi w:val="0"/>
        <w:adjustRightInd/>
        <w:snapToGrid/>
        <w:spacing w:line="520" w:lineRule="atLeast"/>
        <w:ind w:firstLine="113"/>
        <w:textAlignment w:val="auto"/>
        <w:rPr>
          <w:rFonts w:ascii="仿宋_GB2312" w:eastAsia="仿宋_GB2312" w:cs="宋体"/>
          <w:sz w:val="28"/>
        </w:rPr>
      </w:pPr>
      <w:r>
        <w:rPr>
          <w:rFonts w:hint="eastAsia" w:ascii="仿宋_GB2312" w:hAnsi="宋体" w:eastAsia="仿宋_GB2312" w:cs="宋体"/>
          <w:sz w:val="28"/>
        </w:rPr>
        <w:t>5、技术规格偏离表</w:t>
      </w:r>
    </w:p>
    <w:p>
      <w:pPr>
        <w:keepNext w:val="0"/>
        <w:keepLines w:val="0"/>
        <w:pageBreakBefore w:val="0"/>
        <w:widowControl w:val="0"/>
        <w:kinsoku/>
        <w:wordWrap/>
        <w:overflowPunct/>
        <w:topLinePunct w:val="0"/>
        <w:autoSpaceDE/>
        <w:autoSpaceDN/>
        <w:bidi w:val="0"/>
        <w:adjustRightInd/>
        <w:snapToGrid/>
        <w:spacing w:line="520" w:lineRule="atLeast"/>
        <w:ind w:firstLine="113"/>
        <w:textAlignment w:val="auto"/>
        <w:rPr>
          <w:rFonts w:ascii="仿宋_GB2312" w:eastAsia="仿宋_GB2312" w:cs="宋体"/>
          <w:sz w:val="28"/>
          <w:highlight w:val="none"/>
        </w:rPr>
      </w:pPr>
      <w:r>
        <w:rPr>
          <w:rFonts w:hint="eastAsia" w:ascii="仿宋_GB2312" w:hAnsi="宋体" w:eastAsia="仿宋_GB2312" w:cs="宋体"/>
          <w:sz w:val="28"/>
          <w:highlight w:val="none"/>
        </w:rPr>
        <w:t>6、合同条款偏离表</w:t>
      </w:r>
    </w:p>
    <w:p>
      <w:pPr>
        <w:keepNext w:val="0"/>
        <w:keepLines w:val="0"/>
        <w:pageBreakBefore w:val="0"/>
        <w:widowControl w:val="0"/>
        <w:kinsoku/>
        <w:wordWrap/>
        <w:overflowPunct/>
        <w:topLinePunct w:val="0"/>
        <w:autoSpaceDE/>
        <w:autoSpaceDN/>
        <w:bidi w:val="0"/>
        <w:adjustRightInd/>
        <w:snapToGrid/>
        <w:spacing w:line="520" w:lineRule="atLeast"/>
        <w:ind w:firstLine="140" w:firstLineChars="50"/>
        <w:textAlignment w:val="auto"/>
        <w:rPr>
          <w:rFonts w:ascii="仿宋_GB2312" w:eastAsia="仿宋_GB2312" w:cs="宋体"/>
          <w:sz w:val="28"/>
          <w:highlight w:val="none"/>
        </w:rPr>
      </w:pPr>
      <w:r>
        <w:rPr>
          <w:rFonts w:hint="eastAsia" w:ascii="仿宋_GB2312" w:hAnsi="宋体" w:eastAsia="仿宋_GB2312" w:cs="宋体"/>
          <w:sz w:val="28"/>
          <w:highlight w:val="none"/>
        </w:rPr>
        <w:t>7、代表性项目业绩表</w:t>
      </w:r>
    </w:p>
    <w:p>
      <w:pPr>
        <w:keepNext w:val="0"/>
        <w:keepLines w:val="0"/>
        <w:pageBreakBefore w:val="0"/>
        <w:widowControl w:val="0"/>
        <w:kinsoku/>
        <w:wordWrap/>
        <w:overflowPunct/>
        <w:topLinePunct w:val="0"/>
        <w:autoSpaceDE/>
        <w:autoSpaceDN/>
        <w:bidi w:val="0"/>
        <w:adjustRightInd/>
        <w:snapToGrid/>
        <w:spacing w:line="520" w:lineRule="atLeast"/>
        <w:ind w:firstLine="140" w:firstLineChars="50"/>
        <w:textAlignment w:val="auto"/>
        <w:rPr>
          <w:rFonts w:ascii="仿宋_GB2312" w:hAnsi="宋体" w:eastAsia="仿宋_GB2312" w:cs="宋体"/>
          <w:sz w:val="28"/>
          <w:highlight w:val="none"/>
        </w:rPr>
      </w:pPr>
      <w:r>
        <w:rPr>
          <w:rFonts w:hint="eastAsia" w:ascii="仿宋_GB2312" w:hAnsi="宋体" w:eastAsia="仿宋_GB2312" w:cs="宋体"/>
          <w:sz w:val="28"/>
          <w:highlight w:val="none"/>
        </w:rPr>
        <w:t>8、售后服务承诺</w:t>
      </w:r>
    </w:p>
    <w:p>
      <w:pPr>
        <w:keepNext w:val="0"/>
        <w:keepLines w:val="0"/>
        <w:pageBreakBefore w:val="0"/>
        <w:widowControl w:val="0"/>
        <w:kinsoku/>
        <w:wordWrap/>
        <w:overflowPunct/>
        <w:topLinePunct w:val="0"/>
        <w:autoSpaceDE/>
        <w:autoSpaceDN/>
        <w:bidi w:val="0"/>
        <w:adjustRightInd/>
        <w:snapToGrid/>
        <w:spacing w:line="520" w:lineRule="atLeast"/>
        <w:ind w:firstLine="140" w:firstLineChars="50"/>
        <w:textAlignment w:val="auto"/>
        <w:rPr>
          <w:rFonts w:ascii="仿宋_GB2312" w:hAnsi="宋体" w:eastAsia="仿宋_GB2312" w:cs="宋体"/>
          <w:sz w:val="28"/>
          <w:highlight w:val="none"/>
        </w:rPr>
      </w:pPr>
      <w:r>
        <w:rPr>
          <w:rFonts w:hint="eastAsia" w:ascii="仿宋_GB2312" w:hAnsi="宋体" w:eastAsia="仿宋_GB2312" w:cs="宋体"/>
          <w:sz w:val="28"/>
          <w:highlight w:val="none"/>
        </w:rPr>
        <w:t>9、承诺函</w:t>
      </w:r>
    </w:p>
    <w:p>
      <w:pPr>
        <w:keepNext w:val="0"/>
        <w:keepLines w:val="0"/>
        <w:pageBreakBefore w:val="0"/>
        <w:widowControl w:val="0"/>
        <w:kinsoku/>
        <w:wordWrap/>
        <w:overflowPunct/>
        <w:topLinePunct w:val="0"/>
        <w:autoSpaceDE/>
        <w:autoSpaceDN/>
        <w:bidi w:val="0"/>
        <w:adjustRightInd/>
        <w:snapToGrid/>
        <w:spacing w:line="520" w:lineRule="atLeast"/>
        <w:ind w:firstLine="140" w:firstLineChars="50"/>
        <w:textAlignment w:val="auto"/>
        <w:rPr>
          <w:rFonts w:ascii="仿宋_GB2312" w:hAnsi="宋体" w:eastAsia="仿宋_GB2312" w:cs="宋体"/>
          <w:sz w:val="28"/>
          <w:highlight w:val="none"/>
        </w:rPr>
      </w:pPr>
      <w:r>
        <w:rPr>
          <w:rFonts w:hint="eastAsia" w:ascii="仿宋_GB2312" w:hAnsi="宋体" w:eastAsia="仿宋_GB2312" w:cs="宋体"/>
          <w:sz w:val="28"/>
          <w:highlight w:val="none"/>
        </w:rPr>
        <w:t>10、享受优惠政策情况</w:t>
      </w:r>
    </w:p>
    <w:p>
      <w:pPr>
        <w:keepNext w:val="0"/>
        <w:keepLines w:val="0"/>
        <w:pageBreakBefore w:val="0"/>
        <w:widowControl w:val="0"/>
        <w:kinsoku/>
        <w:wordWrap/>
        <w:overflowPunct/>
        <w:topLinePunct w:val="0"/>
        <w:autoSpaceDE/>
        <w:autoSpaceDN/>
        <w:bidi w:val="0"/>
        <w:adjustRightInd/>
        <w:snapToGrid/>
        <w:spacing w:line="520" w:lineRule="atLeast"/>
        <w:ind w:firstLine="140" w:firstLineChars="50"/>
        <w:textAlignment w:val="auto"/>
        <w:rPr>
          <w:rFonts w:ascii="仿宋_GB2312" w:hAnsi="宋体" w:eastAsia="仿宋_GB2312" w:cs="宋体"/>
          <w:sz w:val="28"/>
        </w:rPr>
      </w:pPr>
      <w:r>
        <w:rPr>
          <w:rFonts w:hint="eastAsia" w:ascii="仿宋_GB2312" w:hAnsi="宋体" w:eastAsia="仿宋_GB2312" w:cs="宋体"/>
          <w:sz w:val="28"/>
        </w:rPr>
        <w:t>11、其他资料</w:t>
      </w:r>
    </w:p>
    <w:p>
      <w:pPr>
        <w:rPr>
          <w:rFonts w:ascii="仿宋_GB2312" w:hAnsi="宋体" w:eastAsia="仿宋_GB2312" w:cs="宋体"/>
          <w:sz w:val="28"/>
        </w:rPr>
      </w:pPr>
    </w:p>
    <w:p>
      <w:pPr>
        <w:pStyle w:val="23"/>
      </w:pPr>
    </w:p>
    <w:p>
      <w:pPr>
        <w:pStyle w:val="14"/>
        <w:widowControl w:val="0"/>
      </w:pPr>
    </w:p>
    <w:p/>
    <w:p>
      <w:pPr>
        <w:spacing w:before="312" w:beforeLines="100" w:after="156" w:afterLines="50"/>
        <w:ind w:firstLine="3213" w:firstLineChars="1000"/>
        <w:rPr>
          <w:rFonts w:ascii="仿宋_GB2312" w:eastAsia="仿宋_GB2312" w:cs="宋体"/>
          <w:b/>
          <w:sz w:val="32"/>
          <w:szCs w:val="32"/>
        </w:rPr>
      </w:pPr>
      <w:r>
        <w:rPr>
          <w:rFonts w:hint="eastAsia" w:ascii="仿宋_GB2312" w:hAnsi="宋体" w:eastAsia="仿宋_GB2312" w:cs="宋体"/>
          <w:b/>
          <w:sz w:val="32"/>
          <w:szCs w:val="32"/>
        </w:rPr>
        <w:t>投标人须知前附表</w:t>
      </w:r>
    </w:p>
    <w:tbl>
      <w:tblPr>
        <w:tblStyle w:val="24"/>
        <w:tblW w:w="9884" w:type="dxa"/>
        <w:tblInd w:w="-36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41"/>
        <w:gridCol w:w="74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条款名称</w:t>
            </w:r>
          </w:p>
        </w:tc>
        <w:tc>
          <w:tcPr>
            <w:tcW w:w="7443"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     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招标人</w:t>
            </w:r>
          </w:p>
        </w:tc>
        <w:tc>
          <w:tcPr>
            <w:tcW w:w="7443"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库车市公安局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招标机构</w:t>
            </w:r>
          </w:p>
        </w:tc>
        <w:tc>
          <w:tcPr>
            <w:tcW w:w="7443"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库车市政务服务和公共资源交易中心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项目编号</w:t>
            </w: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KC-ZFCG-2023-G010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p>
        </w:tc>
        <w:tc>
          <w:tcPr>
            <w:tcW w:w="7443" w:type="dxa"/>
            <w:tcBorders>
              <w:tl2br w:val="nil"/>
              <w:tr2bl w:val="nil"/>
            </w:tcBorders>
            <w:vAlign w:val="center"/>
          </w:tcPr>
          <w:p>
            <w:pPr>
              <w:pStyle w:val="15"/>
              <w:keepNext w:val="0"/>
              <w:keepLines w:val="0"/>
              <w:pageBreakBefore w:val="0"/>
              <w:widowControl w:val="0"/>
              <w:kinsoku/>
              <w:wordWrap/>
              <w:overflowPunct/>
              <w:topLinePunct w:val="0"/>
              <w:bidi w:val="0"/>
              <w:adjustRightInd w:val="0"/>
              <w:snapToGrid w:val="0"/>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库车市平安城市八期建设项目一标段施工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8"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招标内容</w:t>
            </w:r>
          </w:p>
        </w:tc>
        <w:tc>
          <w:tcPr>
            <w:tcW w:w="7443"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按图纸施工内容施工，城区智慧交通信号控制系统，智慧交通交警智慧系统，电子警察抓拍系统，不礼让行人抓拍系统，国道卡口系统等。（详见工程量清单）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最高限价</w:t>
            </w: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4227.620995万元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交货/施工地点</w:t>
            </w: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库车市（以合同签订为准）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采购方式</w:t>
            </w: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公开招标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标书售价</w:t>
            </w:r>
          </w:p>
        </w:tc>
        <w:tc>
          <w:tcPr>
            <w:tcW w:w="7443" w:type="dxa"/>
            <w:tcBorders>
              <w:tl2br w:val="nil"/>
              <w:tr2bl w:val="nil"/>
            </w:tcBorders>
            <w:vAlign w:val="center"/>
          </w:tcPr>
          <w:p>
            <w:pPr>
              <w:pStyle w:val="71"/>
              <w:keepNext w:val="0"/>
              <w:keepLines w:val="0"/>
              <w:pageBreakBefore w:val="0"/>
              <w:widowControl w:val="0"/>
              <w:kinsoku/>
              <w:wordWrap/>
              <w:overflowPunct/>
              <w:topLinePunct w:val="0"/>
              <w:bidi w:val="0"/>
              <w:spacing w:line="44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标书售价每包：</w:t>
            </w:r>
            <w:r>
              <w:rPr>
                <w:rFonts w:hint="eastAsia" w:ascii="仿宋_GB2312" w:hAnsi="仿宋_GB2312" w:eastAsia="仿宋_GB2312" w:cs="仿宋_GB2312"/>
                <w:b/>
                <w:sz w:val="28"/>
                <w:szCs w:val="28"/>
                <w:u w:val="single"/>
              </w:rPr>
              <w:t>免费</w:t>
            </w:r>
            <w:r>
              <w:rPr>
                <w:rFonts w:hint="eastAsia" w:ascii="仿宋_GB2312" w:hAnsi="仿宋_GB2312" w:eastAsia="仿宋_GB2312" w:cs="仿宋_GB2312"/>
                <w:sz w:val="28"/>
                <w:szCs w:val="2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交货期</w:t>
            </w: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甲方单位签订合同为准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5"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ind w:firstLine="280" w:firstLineChars="1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投标保证金</w:t>
            </w: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投标保证金金额：400000元</w:t>
            </w:r>
          </w:p>
          <w:p>
            <w:pPr>
              <w:pStyle w:val="42"/>
              <w:keepNext w:val="0"/>
              <w:keepLines w:val="0"/>
              <w:pageBreakBefore w:val="0"/>
              <w:widowControl w:val="0"/>
              <w:kinsoku/>
              <w:wordWrap/>
              <w:overflowPunct/>
              <w:topLinePunct w:val="0"/>
              <w:bidi w:val="0"/>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投标保证金提交方式：</w:t>
            </w:r>
            <w:r>
              <w:rPr>
                <w:rFonts w:hint="eastAsia" w:ascii="仿宋_GB2312" w:hAnsi="仿宋_GB2312" w:eastAsia="仿宋_GB2312" w:cs="仿宋_GB2312"/>
                <w:b/>
                <w:bCs/>
                <w:color w:val="auto"/>
                <w:sz w:val="28"/>
                <w:szCs w:val="28"/>
              </w:rPr>
              <w:t>投标保证金应当以支票、汇票、本票或者金融机构、担保机构出具的保函等非现金形式提交，投标人未按招标要求提交投标保证金的，作投标无效处理。</w:t>
            </w:r>
          </w:p>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收款户名：库车市人民政府办公室</w:t>
            </w:r>
          </w:p>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收款账号：3014120109026409338</w:t>
            </w:r>
          </w:p>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开户银行：中国工商银行股份有限公司库车支行营业部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ind w:firstLine="280" w:firstLineChars="1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投标文件要求</w:t>
            </w: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本项目拟采用政采云不见面开标系统进行开评标，投标人制作电子投标文件时须进行加密。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44"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是否面向中小微</w:t>
            </w:r>
          </w:p>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企业</w:t>
            </w:r>
          </w:p>
        </w:tc>
        <w:tc>
          <w:tcPr>
            <w:tcW w:w="7443" w:type="dxa"/>
            <w:tcBorders>
              <w:tl2br w:val="nil"/>
              <w:tr2bl w:val="nil"/>
            </w:tcBorders>
            <w:vAlign w:val="center"/>
          </w:tcPr>
          <w:p>
            <w:pPr>
              <w:pStyle w:val="15"/>
              <w:keepNext w:val="0"/>
              <w:keepLines w:val="0"/>
              <w:pageBreakBefore w:val="0"/>
              <w:widowControl w:val="0"/>
              <w:kinsoku/>
              <w:wordWrap/>
              <w:overflowPunct/>
              <w:topLinePunct w:val="0"/>
              <w:bidi w:val="0"/>
              <w:adjustRightInd w:val="0"/>
              <w:snapToGrid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根据《新疆维吾尔自治区政府采购促进中小企业发展管理实施办法》（新财规〔2021〕6号）规定，本项目是否专门面向中小企业采购： </w:t>
            </w:r>
            <w:r>
              <w:rPr>
                <w:rFonts w:hint="eastAsia" w:ascii="仿宋_GB2312" w:hAnsi="仿宋_GB2312" w:eastAsia="仿宋_GB2312" w:cs="仿宋_GB2312"/>
                <w:sz w:val="28"/>
                <w:szCs w:val="28"/>
                <w:u w:val="single"/>
              </w:rPr>
              <w:t xml:space="preserve">否 </w:t>
            </w:r>
            <w:r>
              <w:rPr>
                <w:rFonts w:hint="eastAsia" w:ascii="仿宋_GB2312" w:hAnsi="仿宋_GB2312" w:eastAsia="仿宋_GB2312" w:cs="仿宋_GB2312"/>
                <w:sz w:val="28"/>
                <w:szCs w:val="28"/>
              </w:rPr>
              <w:t>，具体内容为：</w:t>
            </w:r>
            <w:r>
              <w:rPr>
                <w:rFonts w:hint="eastAsia" w:ascii="仿宋_GB2312" w:hAnsi="仿宋_GB2312" w:eastAsia="仿宋_GB2312" w:cs="仿宋_GB2312"/>
                <w:sz w:val="28"/>
                <w:szCs w:val="28"/>
                <w:u w:val="single"/>
              </w:rPr>
              <w:t>库车市平安城市八期建设项目一标</w:t>
            </w:r>
            <w:r>
              <w:rPr>
                <w:rFonts w:hint="eastAsia" w:ascii="仿宋_GB2312" w:hAnsi="仿宋_GB2312" w:eastAsia="仿宋_GB2312" w:cs="仿宋_GB2312"/>
                <w:sz w:val="28"/>
                <w:szCs w:val="28"/>
              </w:rPr>
              <w:t>段施工。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ind w:firstLine="280" w:firstLineChars="1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资格要求</w:t>
            </w: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供应商须承诺：在“信用中国”网站（www.creditchina.gov.cn）、中国政府采购网（www.ccgp.gov.cn）等渠道查询中未被列入失信被执行人名单、重大税收违法案件当事人名单、政府采购严重违法失信行为记录名单中，如被列入失信被执行人、重大税收违法案件当事人名单、政府采购严重违法失信行为记录名单中的供应商取消其投标资格，并承担由此造成的一切法律责任及后果。</w:t>
            </w:r>
          </w:p>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2、本项目不接受联合体投标。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获取标书地点</w:t>
            </w: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sz w:val="28"/>
                <w:szCs w:val="28"/>
              </w:rPr>
              <w:t>政采云平台下载获取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获取采购文件</w:t>
            </w:r>
          </w:p>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时间</w:t>
            </w:r>
          </w:p>
        </w:tc>
        <w:tc>
          <w:tcPr>
            <w:tcW w:w="7443"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2023年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日至2023年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 xml:space="preserve"> 月</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日，每天上午10：00至14：00，下午16：00至20：00（北京时间，法定节假日除外）</w:t>
            </w:r>
          </w:p>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（详见新疆政府采购网本项目采购公告）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开标时间</w:t>
            </w:r>
          </w:p>
        </w:tc>
        <w:tc>
          <w:tcPr>
            <w:tcW w:w="7443"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2023年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17</w:t>
            </w:r>
            <w:r>
              <w:rPr>
                <w:rFonts w:hint="eastAsia" w:ascii="仿宋_GB2312" w:hAnsi="仿宋_GB2312" w:eastAsia="仿宋_GB2312" w:cs="仿宋_GB2312"/>
                <w:color w:val="auto"/>
                <w:sz w:val="28"/>
                <w:szCs w:val="28"/>
              </w:rPr>
              <w:t>日上午11：00（北京时间）</w:t>
            </w:r>
          </w:p>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（详见新疆政府采购网本项目采购公告）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开标地点</w:t>
            </w:r>
          </w:p>
        </w:tc>
        <w:tc>
          <w:tcPr>
            <w:tcW w:w="7443"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新疆政府采购网政采云不见面开标系统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vMerge w:val="restart"/>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需要补充的其他</w:t>
            </w:r>
          </w:p>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内容</w:t>
            </w: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采用新疆政府采购网政采云不见面开标系统进行开评标，各投标人须及时办理CA锁，不见面开标系统中上传的投标文件须进行CA加密上传。各投标人须在开标时及时对所上传投标文件进行远程解密；投标人在制作投标文件时须相关评审点，如因此原因出现废标、扣分等情况，各投标人自行负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vMerge w:val="continue"/>
            <w:tcBorders>
              <w:tl2br w:val="nil"/>
              <w:tr2bl w:val="nil"/>
            </w:tcBorders>
          </w:tcPr>
          <w:p>
            <w:pPr>
              <w:pStyle w:val="42"/>
              <w:keepNext w:val="0"/>
              <w:keepLines w:val="0"/>
              <w:pageBreakBefore w:val="0"/>
              <w:widowControl w:val="0"/>
              <w:kinsoku/>
              <w:wordWrap/>
              <w:overflowPunct/>
              <w:topLinePunct w:val="0"/>
              <w:bidi w:val="0"/>
              <w:spacing w:line="440" w:lineRule="exact"/>
              <w:textAlignment w:val="auto"/>
              <w:rPr>
                <w:rFonts w:hint="eastAsia" w:ascii="仿宋_GB2312" w:hAnsi="仿宋_GB2312" w:eastAsia="仿宋_GB2312" w:cs="仿宋_GB2312"/>
                <w:color w:val="auto"/>
                <w:sz w:val="28"/>
                <w:szCs w:val="28"/>
              </w:rPr>
            </w:pP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本项目招标文件所有开、评标时间均以新疆政府采购网本项目招标公告时间为准，如有异议请及时联系库车市政务服务和公共资源交易中心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0" w:hRule="atLeast"/>
        </w:trPr>
        <w:tc>
          <w:tcPr>
            <w:tcW w:w="2441" w:type="dxa"/>
            <w:tcBorders>
              <w:tl2br w:val="nil"/>
              <w:tr2bl w:val="nil"/>
            </w:tcBorders>
            <w:vAlign w:val="center"/>
          </w:tcPr>
          <w:p>
            <w:pPr>
              <w:pStyle w:val="42"/>
              <w:keepNext w:val="0"/>
              <w:keepLines w:val="0"/>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c>
          <w:tcPr>
            <w:tcW w:w="7443" w:type="dxa"/>
            <w:tcBorders>
              <w:tl2br w:val="nil"/>
              <w:tr2bl w:val="nil"/>
            </w:tcBorders>
            <w:vAlign w:val="center"/>
          </w:tcPr>
          <w:p>
            <w:pPr>
              <w:keepNext w:val="0"/>
              <w:keepLines w:val="0"/>
              <w:pageBreakBefore w:val="0"/>
              <w:widowControl w:val="0"/>
              <w:kinsoku/>
              <w:wordWrap/>
              <w:overflowPunct/>
              <w:topLinePunct w:val="0"/>
              <w:bidi w:val="0"/>
              <w:spacing w:line="440" w:lineRule="exact"/>
              <w:jc w:val="left"/>
              <w:textAlignment w:val="auto"/>
              <w:rPr>
                <w:rFonts w:hint="eastAsia" w:ascii="仿宋_GB2312" w:hAnsi="仿宋_GB2312" w:eastAsia="仿宋_GB2312" w:cs="仿宋_GB2312"/>
                <w:sz w:val="28"/>
                <w:szCs w:val="28"/>
              </w:rPr>
            </w:pPr>
          </w:p>
        </w:tc>
      </w:tr>
    </w:tbl>
    <w:p>
      <w:pPr>
        <w:rPr>
          <w:rFonts w:hAnsi="宋体" w:cs="宋体"/>
          <w:color w:val="auto"/>
          <w:sz w:val="32"/>
          <w:szCs w:val="32"/>
        </w:rPr>
      </w:pPr>
      <w:r>
        <w:rPr>
          <w:rFonts w:hAnsi="宋体" w:cs="宋体"/>
          <w:color w:val="auto"/>
          <w:sz w:val="32"/>
          <w:szCs w:val="32"/>
        </w:rPr>
        <w:br w:type="page"/>
      </w:r>
    </w:p>
    <w:p>
      <w:pPr>
        <w:pStyle w:val="67"/>
        <w:spacing w:beforeLines="0" w:afterLines="0"/>
        <w:rPr>
          <w:rFonts w:hAnsi="宋体" w:cs="宋体"/>
          <w:color w:val="auto"/>
          <w:sz w:val="32"/>
          <w:szCs w:val="32"/>
        </w:rPr>
      </w:pPr>
      <w:r>
        <w:rPr>
          <w:rFonts w:hint="eastAsia" w:hAnsi="宋体" w:cs="宋体"/>
          <w:color w:val="auto"/>
          <w:sz w:val="32"/>
          <w:szCs w:val="32"/>
        </w:rPr>
        <w:t>第一章  招  标  书</w:t>
      </w:r>
    </w:p>
    <w:p>
      <w:pPr>
        <w:pStyle w:val="71"/>
        <w:ind w:firstLine="560"/>
        <w:rPr>
          <w:rFonts w:hAnsi="仿宋_GB2312" w:cs="仿宋_GB2312"/>
          <w:szCs w:val="22"/>
        </w:rPr>
      </w:pPr>
      <w:r>
        <w:rPr>
          <w:rFonts w:hint="eastAsia" w:ascii="黑体" w:hAnsi="黑体" w:eastAsia="黑体" w:cs="黑体"/>
          <w:szCs w:val="28"/>
        </w:rPr>
        <w:t>一、项目编号：</w:t>
      </w:r>
      <w:r>
        <w:rPr>
          <w:rFonts w:hint="eastAsia" w:hAnsi="仿宋_GB2312" w:cs="仿宋_GB2312"/>
          <w:szCs w:val="22"/>
        </w:rPr>
        <w:t xml:space="preserve"> KC-ZFCG-2023-G010</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二、招标内容：</w:t>
      </w:r>
    </w:p>
    <w:p>
      <w:pPr>
        <w:pStyle w:val="71"/>
        <w:spacing w:line="560" w:lineRule="exact"/>
        <w:ind w:firstLine="560"/>
        <w:rPr>
          <w:rFonts w:hAnsi="仿宋_GB2312" w:cs="仿宋_GB2312"/>
          <w:szCs w:val="28"/>
        </w:rPr>
      </w:pPr>
      <w:r>
        <w:rPr>
          <w:rFonts w:hint="eastAsia" w:hAnsi="宋体" w:cs="宋体"/>
          <w:szCs w:val="28"/>
        </w:rPr>
        <w:t>1.标书中载明的</w:t>
      </w:r>
      <w:r>
        <w:rPr>
          <w:rFonts w:hint="eastAsia" w:cs="宋体"/>
          <w:szCs w:val="28"/>
        </w:rPr>
        <w:t>库车市平安城市八期建设项目一标段施工</w:t>
      </w:r>
      <w:r>
        <w:rPr>
          <w:rFonts w:hint="eastAsia" w:hAnsi="宋体" w:cs="宋体"/>
          <w:szCs w:val="28"/>
        </w:rPr>
        <w:t>。各投标商投标时应提供供货范围清单。招标设备、数量、技术规格要求见</w:t>
      </w:r>
      <w:r>
        <w:rPr>
          <w:rFonts w:hint="eastAsia" w:hAnsi="宋体" w:cs="宋体"/>
          <w:szCs w:val="28"/>
          <w:highlight w:val="none"/>
        </w:rPr>
        <w:t>第三章《货物需求一览表及技术规格》</w:t>
      </w:r>
    </w:p>
    <w:p>
      <w:pPr>
        <w:pStyle w:val="71"/>
        <w:spacing w:line="560" w:lineRule="exact"/>
        <w:ind w:firstLine="560"/>
        <w:rPr>
          <w:rFonts w:hAnsi="宋体" w:cs="宋体"/>
          <w:szCs w:val="28"/>
        </w:rPr>
      </w:pPr>
      <w:r>
        <w:rPr>
          <w:rFonts w:hint="eastAsia" w:hAnsi="宋体" w:cs="宋体"/>
          <w:szCs w:val="28"/>
        </w:rPr>
        <w:t>2.招标人：库车市公安局</w:t>
      </w:r>
    </w:p>
    <w:p>
      <w:pPr>
        <w:pStyle w:val="71"/>
        <w:spacing w:line="560" w:lineRule="exact"/>
        <w:ind w:firstLine="560"/>
        <w:rPr>
          <w:rFonts w:hAnsi="宋体" w:cs="宋体"/>
          <w:szCs w:val="28"/>
        </w:rPr>
      </w:pPr>
      <w:r>
        <w:rPr>
          <w:rFonts w:hint="eastAsia" w:hAnsi="宋体" w:cs="宋体"/>
          <w:szCs w:val="28"/>
        </w:rPr>
        <w:t>3.招标机构：</w:t>
      </w:r>
      <w:r>
        <w:rPr>
          <w:rFonts w:hint="eastAsia" w:cs="宋体"/>
          <w:szCs w:val="28"/>
        </w:rPr>
        <w:t>库车市政务服务和公共资源交易中心</w:t>
      </w:r>
    </w:p>
    <w:p>
      <w:pPr>
        <w:pStyle w:val="71"/>
        <w:spacing w:line="560" w:lineRule="exact"/>
        <w:ind w:firstLine="560"/>
        <w:rPr>
          <w:rFonts w:cs="宋体"/>
          <w:szCs w:val="28"/>
        </w:rPr>
      </w:pPr>
      <w:r>
        <w:rPr>
          <w:rFonts w:hint="eastAsia" w:cs="宋体"/>
          <w:szCs w:val="28"/>
        </w:rPr>
        <w:t>4.招标项目名称：库车市平安城市八期建设项目一标段施工</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三、申请人的资格要求：</w:t>
      </w:r>
    </w:p>
    <w:p>
      <w:pPr>
        <w:wordWrap w:val="0"/>
        <w:spacing w:line="520" w:lineRule="exact"/>
        <w:ind w:firstLine="560" w:firstLineChars="200"/>
        <w:rPr>
          <w:rFonts w:ascii="仿宋" w:hAnsi="仿宋" w:eastAsia="仿宋" w:cs="仿宋"/>
          <w:sz w:val="28"/>
          <w:szCs w:val="28"/>
        </w:rPr>
      </w:pPr>
      <w:r>
        <w:rPr>
          <w:rFonts w:hint="eastAsia" w:ascii="仿宋" w:hAnsi="仿宋" w:eastAsia="仿宋"/>
          <w:sz w:val="28"/>
          <w:szCs w:val="28"/>
        </w:rPr>
        <w:t>1.</w:t>
      </w:r>
      <w:r>
        <w:rPr>
          <w:rFonts w:hint="eastAsia" w:ascii="仿宋" w:hAnsi="仿宋" w:eastAsia="仿宋" w:cs="仿宋"/>
          <w:sz w:val="28"/>
          <w:szCs w:val="28"/>
        </w:rPr>
        <w:t>上传以下材料：</w:t>
      </w:r>
    </w:p>
    <w:p>
      <w:pPr>
        <w:wordWrap w:val="0"/>
        <w:spacing w:line="520" w:lineRule="exact"/>
        <w:ind w:firstLine="540" w:firstLineChars="200"/>
        <w:rPr>
          <w:rFonts w:ascii="仿宋" w:hAnsi="仿宋" w:eastAsia="仿宋"/>
          <w:sz w:val="28"/>
          <w:szCs w:val="28"/>
        </w:rPr>
      </w:pPr>
      <w:r>
        <w:rPr>
          <w:rFonts w:hint="eastAsia" w:ascii="仿宋" w:hAnsi="仿宋" w:eastAsia="仿宋" w:cs="仿宋"/>
          <w:sz w:val="27"/>
          <w:szCs w:val="27"/>
        </w:rPr>
        <w:t>（1）</w:t>
      </w:r>
      <w:r>
        <w:rPr>
          <w:rFonts w:ascii="仿宋" w:hAnsi="仿宋" w:eastAsia="仿宋" w:cs="仿宋"/>
          <w:sz w:val="27"/>
          <w:szCs w:val="27"/>
        </w:rPr>
        <w:t>营业执照</w:t>
      </w:r>
      <w:r>
        <w:rPr>
          <w:rFonts w:hint="eastAsia" w:ascii="仿宋" w:hAnsi="仿宋" w:eastAsia="仿宋" w:cs="仿宋"/>
          <w:sz w:val="27"/>
          <w:szCs w:val="27"/>
        </w:rPr>
        <w:t>正本或副本</w:t>
      </w:r>
      <w:r>
        <w:rPr>
          <w:rFonts w:hint="eastAsia" w:ascii="仿宋" w:hAnsi="仿宋" w:eastAsia="仿宋" w:cs="仿宋"/>
          <w:sz w:val="28"/>
          <w:szCs w:val="28"/>
        </w:rPr>
        <w:t>原件扫描件</w:t>
      </w:r>
      <w:r>
        <w:rPr>
          <w:rFonts w:hint="eastAsia" w:ascii="仿宋" w:hAnsi="仿宋" w:eastAsia="仿宋"/>
          <w:sz w:val="28"/>
          <w:szCs w:val="28"/>
        </w:rPr>
        <w:t>。</w:t>
      </w:r>
    </w:p>
    <w:p>
      <w:pPr>
        <w:wordWrap w:val="0"/>
        <w:spacing w:line="520" w:lineRule="exact"/>
        <w:ind w:firstLine="540" w:firstLineChars="200"/>
        <w:rPr>
          <w:rFonts w:ascii="仿宋" w:hAnsi="仿宋" w:eastAsia="仿宋"/>
          <w:sz w:val="28"/>
          <w:szCs w:val="28"/>
        </w:rPr>
      </w:pPr>
      <w:r>
        <w:rPr>
          <w:rFonts w:hint="eastAsia" w:ascii="仿宋" w:hAnsi="仿宋" w:eastAsia="仿宋" w:cs="仿宋"/>
          <w:sz w:val="27"/>
          <w:szCs w:val="27"/>
        </w:rPr>
        <w:t>（2）</w:t>
      </w:r>
      <w:r>
        <w:rPr>
          <w:rFonts w:hint="eastAsia" w:ascii="仿宋" w:hAnsi="仿宋" w:eastAsia="仿宋"/>
          <w:sz w:val="28"/>
          <w:szCs w:val="28"/>
        </w:rPr>
        <w:t>供应商须具有良好的信誉，未在“信用中国”网站（www.creditchina.gov.cn）、中国政府采购网（www.ccgp.gov.cn）被列入失信被执行人、重大税收违法案件当事人名单、政府采购违法失信名单且在处罚期内（需提供截图，专家评委并通过系统查询进行资格</w:t>
      </w:r>
      <w:r>
        <w:rPr>
          <w:rFonts w:ascii="仿宋" w:hAnsi="仿宋" w:eastAsia="仿宋"/>
          <w:sz w:val="28"/>
          <w:szCs w:val="28"/>
        </w:rPr>
        <w:t>核查</w:t>
      </w:r>
      <w:r>
        <w:rPr>
          <w:rFonts w:hint="eastAsia" w:ascii="仿宋" w:hAnsi="仿宋" w:eastAsia="仿宋"/>
          <w:sz w:val="28"/>
          <w:szCs w:val="28"/>
        </w:rPr>
        <w:t>）。</w:t>
      </w:r>
    </w:p>
    <w:p>
      <w:pPr>
        <w:wordWrap w:val="0"/>
        <w:spacing w:line="520" w:lineRule="exact"/>
        <w:ind w:firstLine="560" w:firstLineChars="200"/>
        <w:rPr>
          <w:rFonts w:ascii="仿宋" w:hAnsi="仿宋" w:eastAsia="仿宋"/>
          <w:sz w:val="28"/>
          <w:szCs w:val="28"/>
        </w:rPr>
      </w:pPr>
      <w:r>
        <w:rPr>
          <w:rFonts w:hint="eastAsia" w:ascii="仿宋" w:hAnsi="仿宋" w:eastAsia="仿宋"/>
          <w:sz w:val="28"/>
          <w:szCs w:val="28"/>
        </w:rPr>
        <w:t>（3）法定代表人（负责人）应上传《法定代表人（负责人）资格证明文件》原件扫描件，或者委托全权代理人上传《法定代表人（负责人）授权委托书》原件扫描件。</w:t>
      </w:r>
    </w:p>
    <w:p>
      <w:pPr>
        <w:wordWrap w:val="0"/>
        <w:spacing w:line="520" w:lineRule="exact"/>
        <w:ind w:firstLine="560" w:firstLineChars="200"/>
        <w:rPr>
          <w:rFonts w:ascii="仿宋" w:hAnsi="仿宋" w:eastAsia="仿宋"/>
          <w:sz w:val="28"/>
          <w:szCs w:val="28"/>
        </w:rPr>
      </w:pPr>
      <w:r>
        <w:rPr>
          <w:rFonts w:hint="eastAsia" w:ascii="仿宋" w:hAnsi="仿宋" w:eastAsia="仿宋"/>
          <w:sz w:val="28"/>
          <w:szCs w:val="28"/>
        </w:rPr>
        <w:t>（4）投标供应商</w:t>
      </w:r>
      <w:r>
        <w:rPr>
          <w:rFonts w:ascii="仿宋" w:hAnsi="仿宋" w:eastAsia="仿宋" w:cs="仿宋"/>
          <w:sz w:val="28"/>
          <w:szCs w:val="28"/>
        </w:rPr>
        <w:t>需提供</w:t>
      </w:r>
      <w:r>
        <w:rPr>
          <w:rFonts w:hint="eastAsia" w:ascii="仿宋" w:hAnsi="仿宋" w:eastAsia="仿宋"/>
          <w:sz w:val="28"/>
          <w:szCs w:val="28"/>
        </w:rPr>
        <w:t>年度财务审计报告（2019年-2021年新成立企业按企业实际注册时间提供）、完税证明、社保缴纳证明等材料的原件扫描件（或提供《政府采购诚信承诺函》原件扫描件），</w:t>
      </w:r>
      <w:r>
        <w:rPr>
          <w:rFonts w:hint="eastAsia" w:ascii="仿宋_GB2312" w:hAnsi="宋体" w:eastAsia="仿宋_GB2312" w:cs="宋体"/>
          <w:sz w:val="28"/>
        </w:rPr>
        <w:t>分公司可经授权使用总公司财务审计报告</w:t>
      </w:r>
      <w:r>
        <w:rPr>
          <w:rFonts w:hint="eastAsia" w:ascii="仿宋" w:hAnsi="仿宋" w:eastAsia="仿宋"/>
          <w:sz w:val="28"/>
          <w:szCs w:val="28"/>
        </w:rPr>
        <w:t>。</w:t>
      </w:r>
    </w:p>
    <w:p>
      <w:pPr>
        <w:wordWrap w:val="0"/>
        <w:spacing w:line="520" w:lineRule="exact"/>
        <w:ind w:firstLine="560" w:firstLineChars="200"/>
        <w:rPr>
          <w:rFonts w:ascii="仿宋" w:hAnsi="仿宋" w:eastAsia="仿宋"/>
          <w:sz w:val="28"/>
          <w:szCs w:val="28"/>
        </w:rPr>
      </w:pPr>
      <w:r>
        <w:rPr>
          <w:rFonts w:hint="eastAsia" w:ascii="仿宋" w:hAnsi="仿宋" w:eastAsia="仿宋"/>
          <w:sz w:val="28"/>
          <w:szCs w:val="28"/>
        </w:rPr>
        <w:t>2.需落实的政府采购政策：</w:t>
      </w:r>
    </w:p>
    <w:p>
      <w:pPr>
        <w:wordWrap w:val="0"/>
        <w:topLinePunct/>
        <w:spacing w:line="520" w:lineRule="exact"/>
        <w:ind w:firstLine="560" w:firstLineChars="200"/>
        <w:rPr>
          <w:rFonts w:ascii="仿宋" w:hAnsi="仿宋" w:eastAsia="仿宋"/>
          <w:sz w:val="28"/>
          <w:szCs w:val="28"/>
        </w:rPr>
      </w:pPr>
      <w:r>
        <w:rPr>
          <w:rFonts w:hint="eastAsia" w:ascii="仿宋" w:hAnsi="仿宋" w:eastAsia="仿宋"/>
          <w:sz w:val="28"/>
          <w:szCs w:val="28"/>
        </w:rPr>
        <w:t>（1）《政府采购促进中小企业发展管理办法》（财库〔2020〕46号）。</w:t>
      </w:r>
    </w:p>
    <w:p>
      <w:pPr>
        <w:wordWrap w:val="0"/>
        <w:topLinePunct/>
        <w:spacing w:line="520" w:lineRule="exact"/>
        <w:ind w:firstLine="560" w:firstLineChars="200"/>
        <w:rPr>
          <w:rFonts w:ascii="仿宋" w:hAnsi="仿宋" w:eastAsia="仿宋"/>
          <w:sz w:val="28"/>
          <w:szCs w:val="28"/>
        </w:rPr>
      </w:pPr>
      <w:r>
        <w:rPr>
          <w:rFonts w:hint="eastAsia" w:ascii="仿宋" w:hAnsi="仿宋" w:eastAsia="仿宋"/>
          <w:sz w:val="28"/>
          <w:szCs w:val="28"/>
        </w:rPr>
        <w:t>（2）《财政部、司法部关于政府采购支持监狱企业发展有关问题的通知》（财库〔2014〕68号）。</w:t>
      </w:r>
    </w:p>
    <w:p>
      <w:pPr>
        <w:wordWrap w:val="0"/>
        <w:topLinePunct/>
        <w:spacing w:line="520" w:lineRule="exact"/>
        <w:ind w:firstLine="560" w:firstLineChars="200"/>
        <w:rPr>
          <w:rFonts w:ascii="仿宋" w:hAnsi="仿宋" w:eastAsia="仿宋"/>
          <w:sz w:val="28"/>
          <w:szCs w:val="28"/>
        </w:rPr>
      </w:pPr>
      <w:r>
        <w:rPr>
          <w:rFonts w:hint="eastAsia" w:ascii="仿宋" w:hAnsi="仿宋" w:eastAsia="仿宋"/>
          <w:sz w:val="28"/>
          <w:szCs w:val="28"/>
        </w:rPr>
        <w:t>（3）《国务院办公厅关于建立政府强制采购节能产品制度的通知》  （国办发〔2008〕51号）。</w:t>
      </w:r>
    </w:p>
    <w:p>
      <w:pPr>
        <w:wordWrap w:val="0"/>
        <w:topLinePunct/>
        <w:spacing w:line="520" w:lineRule="exact"/>
        <w:ind w:firstLine="560" w:firstLineChars="200"/>
        <w:rPr>
          <w:rFonts w:ascii="仿宋" w:hAnsi="仿宋" w:eastAsia="仿宋"/>
          <w:sz w:val="28"/>
          <w:szCs w:val="28"/>
        </w:rPr>
      </w:pPr>
      <w:r>
        <w:rPr>
          <w:rFonts w:hint="eastAsia" w:ascii="仿宋" w:hAnsi="仿宋" w:eastAsia="仿宋"/>
          <w:sz w:val="28"/>
          <w:szCs w:val="28"/>
        </w:rPr>
        <w:t>（4）《财政部 民政部 中国残疾人联合会关于促进残疾人就业政府采购政策的通知》（财库〔2017〕141号）。</w:t>
      </w:r>
    </w:p>
    <w:p>
      <w:pPr>
        <w:wordWrap w:val="0"/>
        <w:spacing w:line="520" w:lineRule="exact"/>
        <w:ind w:firstLine="560" w:firstLineChars="200"/>
        <w:rPr>
          <w:rFonts w:ascii="仿宋" w:hAnsi="仿宋" w:eastAsia="仿宋"/>
          <w:sz w:val="28"/>
          <w:szCs w:val="28"/>
        </w:rPr>
      </w:pPr>
      <w:r>
        <w:rPr>
          <w:rFonts w:hint="eastAsia" w:ascii="仿宋" w:hAnsi="仿宋" w:eastAsia="仿宋"/>
          <w:sz w:val="28"/>
          <w:szCs w:val="28"/>
        </w:rPr>
        <w:t>（5）执行国家规定的其他政府采购政策。</w:t>
      </w:r>
    </w:p>
    <w:p>
      <w:pPr>
        <w:pStyle w:val="10"/>
        <w:ind w:left="0" w:firstLine="560" w:firstLineChars="200"/>
      </w:pPr>
      <w:r>
        <w:rPr>
          <w:rFonts w:hint="eastAsia" w:ascii="仿宋" w:hAnsi="仿宋" w:eastAsia="仿宋"/>
          <w:sz w:val="28"/>
          <w:szCs w:val="28"/>
        </w:rPr>
        <w:t>3.本项目的特定资格要求：无。</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四、获取采购文件时间、地点和方式：</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时间：2023年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25</w:t>
      </w:r>
      <w:r>
        <w:rPr>
          <w:rFonts w:hint="eastAsia" w:ascii="仿宋" w:hAnsi="仿宋" w:eastAsia="仿宋" w:cs="仿宋"/>
          <w:sz w:val="28"/>
          <w:szCs w:val="28"/>
        </w:rPr>
        <w:t>日至2023年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5</w:t>
      </w:r>
      <w:r>
        <w:rPr>
          <w:rFonts w:hint="eastAsia" w:ascii="仿宋" w:hAnsi="仿宋" w:eastAsia="仿宋" w:cs="仿宋"/>
          <w:sz w:val="28"/>
          <w:szCs w:val="28"/>
        </w:rPr>
        <w:t>日（法定节假日除外）。</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地点：政府采购云平台。</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方式：供应商登录政采云平台https://www.zcygov.cn/在线申请获取采购文件（进入“项目采购”应用，在获取采购文件菜单中选择项目，申请获取采购文件）</w:t>
      </w:r>
      <w:r>
        <w:rPr>
          <w:rFonts w:hint="eastAsia" w:ascii="仿宋" w:hAnsi="仿宋" w:eastAsia="仿宋" w:cs="仿宋"/>
          <w:sz w:val="28"/>
          <w:szCs w:val="28"/>
        </w:rPr>
        <w:t>。</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五、响应文件提交截止时间、地点：</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截止时间：2023年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17</w:t>
      </w:r>
      <w:r>
        <w:rPr>
          <w:rFonts w:hint="eastAsia" w:ascii="仿宋" w:hAnsi="仿宋" w:eastAsia="仿宋" w:cs="仿宋"/>
          <w:sz w:val="28"/>
          <w:szCs w:val="28"/>
        </w:rPr>
        <w:t>日11:00前。</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响应文件提交地点及格式：电子加密响应文件（PDF格式）上传至政府采购云平台投标客户端</w:t>
      </w:r>
      <w:r>
        <w:rPr>
          <w:rFonts w:hint="eastAsia" w:ascii="仿宋" w:hAnsi="仿宋" w:eastAsia="仿宋" w:cs="仿宋"/>
          <w:sz w:val="28"/>
          <w:szCs w:val="28"/>
        </w:rPr>
        <w:t>。</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六、开标时间、地点及响应文件解密时长：</w:t>
      </w:r>
    </w:p>
    <w:p>
      <w:pPr>
        <w:spacing w:line="520" w:lineRule="exact"/>
        <w:ind w:firstLine="560" w:firstLineChars="200"/>
        <w:rPr>
          <w:rFonts w:hint="eastAsia" w:ascii="仿宋" w:hAnsi="仿宋" w:eastAsia="仿宋" w:cs="仿宋"/>
          <w:sz w:val="28"/>
          <w:szCs w:val="28"/>
        </w:rPr>
      </w:pPr>
      <w:bookmarkStart w:id="4" w:name="_Toc28359017"/>
      <w:bookmarkStart w:id="5" w:name="_Toc35393803"/>
      <w:bookmarkStart w:id="6" w:name="_Toc35393634"/>
      <w:bookmarkStart w:id="7" w:name="_Toc28359094"/>
      <w:r>
        <w:rPr>
          <w:rFonts w:hint="eastAsia" w:ascii="仿宋" w:hAnsi="仿宋" w:eastAsia="仿宋" w:cs="仿宋"/>
          <w:sz w:val="28"/>
          <w:szCs w:val="28"/>
        </w:rPr>
        <w:t>开标时</w:t>
      </w:r>
      <w:r>
        <w:rPr>
          <w:rFonts w:hint="eastAsia" w:ascii="仿宋" w:hAnsi="仿宋" w:eastAsia="仿宋" w:cs="仿宋"/>
          <w:sz w:val="28"/>
          <w:szCs w:val="28"/>
        </w:rPr>
        <w:t>间：2023年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17</w:t>
      </w:r>
      <w:r>
        <w:rPr>
          <w:rFonts w:hint="eastAsia" w:ascii="仿宋" w:hAnsi="仿宋" w:eastAsia="仿宋" w:cs="仿宋"/>
          <w:sz w:val="28"/>
          <w:szCs w:val="28"/>
        </w:rPr>
        <w:t>日11:00。</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地点：政府采购云平台。</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响应文件解密时长：30分钟。</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七、公告期限</w:t>
      </w:r>
      <w:bookmarkEnd w:id="4"/>
      <w:bookmarkEnd w:id="5"/>
      <w:bookmarkEnd w:id="6"/>
      <w:bookmarkEnd w:id="7"/>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自本公告发布之日起5个工作日。</w:t>
      </w:r>
    </w:p>
    <w:p>
      <w:pPr>
        <w:spacing w:line="520" w:lineRule="exact"/>
        <w:ind w:firstLine="560" w:firstLineChars="200"/>
        <w:rPr>
          <w:rFonts w:ascii="黑体" w:hAnsi="黑体" w:eastAsia="黑体" w:cs="黑体"/>
          <w:sz w:val="28"/>
          <w:szCs w:val="28"/>
        </w:rPr>
      </w:pPr>
      <w:bookmarkStart w:id="8" w:name="_Toc35393804"/>
      <w:bookmarkStart w:id="9" w:name="_Toc35393635"/>
      <w:r>
        <w:rPr>
          <w:rFonts w:hint="eastAsia" w:ascii="黑体" w:hAnsi="黑体" w:eastAsia="黑体" w:cs="黑体"/>
          <w:sz w:val="28"/>
          <w:szCs w:val="28"/>
        </w:rPr>
        <w:t>八、其它补充事宜</w:t>
      </w:r>
      <w:bookmarkEnd w:id="8"/>
      <w:bookmarkEnd w:id="9"/>
    </w:p>
    <w:p>
      <w:pPr>
        <w:spacing w:line="520" w:lineRule="exact"/>
        <w:ind w:firstLine="560" w:firstLineChars="200"/>
        <w:rPr>
          <w:rFonts w:ascii="仿宋" w:hAnsi="仿宋" w:eastAsia="仿宋"/>
          <w:sz w:val="28"/>
          <w:szCs w:val="28"/>
        </w:rPr>
      </w:pPr>
      <w:r>
        <w:rPr>
          <w:rFonts w:hint="eastAsia" w:ascii="仿宋" w:hAnsi="仿宋" w:eastAsia="仿宋"/>
          <w:sz w:val="28"/>
          <w:szCs w:val="28"/>
        </w:rPr>
        <w:t>（1）相互关联的存在实际控制、管理关系的两个企业，不得同时参加同一项目的投标。</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供应商应仔细阅读招标公告的所有内容，按公告的要求制作投标文件，并保证所提供全部资料的真实性，以使其对货物（服务）参数作出实质性响应。否则，视为不响应招标文件，将拒绝其投标。开标时，供应商对招标公告要求提供的资质证明文件缺项或不真实，将拒绝其投标。</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（3）本项目实行不见面开标（网上投标，网上开标、评标），投标人需办理CA锁。已办理CA锁的，需添加在政府采购云平台使用的功能。潜在投标人自行登录新疆数字认证中心网站</w:t>
      </w:r>
      <w:r>
        <w:fldChar w:fldCharType="begin"/>
      </w:r>
      <w:r>
        <w:instrText xml:space="preserve"> HYPERLINK "https://www.xjca.com.cn/" </w:instrText>
      </w:r>
      <w:r>
        <w:fldChar w:fldCharType="separate"/>
      </w:r>
      <w:r>
        <w:rPr>
          <w:rStyle w:val="30"/>
          <w:rFonts w:hint="eastAsia" w:ascii="仿宋" w:hAnsi="仿宋" w:eastAsia="仿宋"/>
          <w:color w:val="auto"/>
          <w:sz w:val="28"/>
          <w:szCs w:val="28"/>
        </w:rPr>
        <w:t>https://www.xjca.com.cn/</w:t>
      </w:r>
      <w:r>
        <w:rPr>
          <w:rStyle w:val="30"/>
          <w:rFonts w:hint="eastAsia" w:ascii="仿宋" w:hAnsi="仿宋" w:eastAsia="仿宋"/>
          <w:color w:val="auto"/>
          <w:sz w:val="28"/>
          <w:szCs w:val="28"/>
        </w:rPr>
        <w:fldChar w:fldCharType="end"/>
      </w:r>
      <w:r>
        <w:rPr>
          <w:rFonts w:hint="eastAsia" w:ascii="仿宋" w:hAnsi="仿宋" w:eastAsia="仿宋"/>
          <w:sz w:val="28"/>
          <w:szCs w:val="28"/>
        </w:rPr>
        <w:t>办理。</w:t>
      </w:r>
      <w:r>
        <w:rPr>
          <w:rFonts w:hint="eastAsia" w:ascii="仿宋" w:hAnsi="仿宋" w:eastAsia="仿宋" w:cs="仿宋"/>
          <w:sz w:val="28"/>
          <w:szCs w:val="28"/>
        </w:rPr>
        <w:t>供应商因未注册入</w:t>
      </w:r>
      <w:r>
        <w:rPr>
          <w:rFonts w:hint="eastAsia" w:ascii="仿宋" w:hAnsi="仿宋" w:eastAsia="仿宋"/>
          <w:sz w:val="28"/>
          <w:szCs w:val="28"/>
        </w:rPr>
        <w:t>政府采购云平台“供应商</w:t>
      </w:r>
      <w:r>
        <w:rPr>
          <w:rFonts w:hint="eastAsia" w:ascii="仿宋" w:hAnsi="仿宋" w:eastAsia="仿宋" w:cs="仿宋"/>
          <w:sz w:val="28"/>
          <w:szCs w:val="28"/>
        </w:rPr>
        <w:t>库</w:t>
      </w:r>
      <w:r>
        <w:rPr>
          <w:rFonts w:hint="eastAsia" w:ascii="仿宋" w:hAnsi="仿宋" w:eastAsia="仿宋"/>
          <w:sz w:val="28"/>
          <w:szCs w:val="28"/>
        </w:rPr>
        <w:t>”</w:t>
      </w:r>
      <w:r>
        <w:rPr>
          <w:rFonts w:hint="eastAsia" w:ascii="仿宋" w:hAnsi="仿宋" w:eastAsia="仿宋" w:cs="仿宋"/>
          <w:sz w:val="28"/>
          <w:szCs w:val="28"/>
        </w:rPr>
        <w:t>、或未办理CA数字证书等原因造成无法投标或投标失败等后果由供应商自行承担。</w:t>
      </w:r>
    </w:p>
    <w:p>
      <w:pPr>
        <w:wordWrap w:val="0"/>
        <w:topLinePunct/>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供应商在政府采购云平台实行不见面开标操作指南：请潜在供应商登录https://edu.zcygov.cn/live/hall/detail?id=afe2a098c89c426097379094cf6fec6f&amp;type=vod，观看政府采购云平台供应商电子标培训视频教程。如因供应商自身原因导致在规定时间内无法正常解密的（如：浏览器故障、未安装相关驱动、网络故障、加密CA与解密CA不一致等），视为供应商自动弃标。</w:t>
      </w:r>
    </w:p>
    <w:p>
      <w:pPr>
        <w:spacing w:line="520" w:lineRule="exact"/>
        <w:ind w:firstLine="560" w:firstLineChars="200"/>
        <w:rPr>
          <w:rFonts w:ascii="仿宋" w:hAnsi="仿宋" w:eastAsia="仿宋" w:cs="仿宋"/>
          <w:sz w:val="28"/>
          <w:szCs w:val="28"/>
        </w:rPr>
      </w:pPr>
      <w:r>
        <w:rPr>
          <w:rFonts w:hint="eastAsia" w:ascii="仿宋" w:hAnsi="仿宋" w:eastAsia="仿宋"/>
          <w:sz w:val="28"/>
          <w:szCs w:val="28"/>
        </w:rPr>
        <w:t>（5）开标当天，</w:t>
      </w:r>
      <w:r>
        <w:rPr>
          <w:rFonts w:hint="eastAsia" w:ascii="仿宋" w:hAnsi="仿宋" w:eastAsia="仿宋" w:cs="仿宋"/>
          <w:sz w:val="28"/>
          <w:szCs w:val="28"/>
        </w:rPr>
        <w:t>投标人应在开标前登录并在评标结束后才能退出政府采购云平台投标客户端，因投标文件在线解密、报价文件开标记录在线确认、评审专家在线提问等都需要投标人在政府采购云平台投标客户端操作响应，如投标人</w:t>
      </w:r>
      <w:r>
        <w:rPr>
          <w:rFonts w:ascii="仿宋" w:hAnsi="仿宋" w:eastAsia="仿宋" w:cs="仿宋"/>
          <w:sz w:val="28"/>
          <w:szCs w:val="28"/>
        </w:rPr>
        <w:t>迟登或</w:t>
      </w:r>
      <w:r>
        <w:rPr>
          <w:rFonts w:hint="eastAsia" w:ascii="仿宋" w:hAnsi="仿宋" w:eastAsia="仿宋" w:cs="仿宋"/>
          <w:sz w:val="28"/>
          <w:szCs w:val="28"/>
        </w:rPr>
        <w:t>提前退出政府采购云平台投标客户端，后果自负。</w:t>
      </w:r>
    </w:p>
    <w:p>
      <w:pPr>
        <w:pStyle w:val="23"/>
        <w:ind w:left="0" w:leftChars="0" w:firstLine="0" w:firstLineChars="0"/>
        <w:rPr>
          <w:rFonts w:ascii="仿宋" w:hAnsi="仿宋" w:eastAsia="仿宋" w:cs="仿宋"/>
          <w:sz w:val="28"/>
          <w:szCs w:val="28"/>
        </w:rPr>
      </w:pPr>
    </w:p>
    <w:p>
      <w:pPr>
        <w:pStyle w:val="44"/>
        <w:spacing w:before="312" w:beforeLines="100" w:after="156" w:afterLines="50" w:line="400" w:lineRule="exact"/>
        <w:ind w:firstLine="2891" w:firstLineChars="900"/>
        <w:jc w:val="both"/>
        <w:rPr>
          <w:rFonts w:hAnsi="宋体" w:cs="宋体"/>
          <w:sz w:val="32"/>
          <w:szCs w:val="32"/>
        </w:rPr>
      </w:pPr>
      <w:r>
        <w:rPr>
          <w:rFonts w:hint="eastAsia" w:hAnsi="宋体" w:cs="宋体"/>
          <w:sz w:val="32"/>
          <w:szCs w:val="32"/>
        </w:rPr>
        <w:t>第二章  投 标 须 知</w:t>
      </w:r>
    </w:p>
    <w:p>
      <w:pPr>
        <w:pStyle w:val="42"/>
        <w:spacing w:line="400" w:lineRule="exact"/>
        <w:jc w:val="center"/>
        <w:outlineLvl w:val="0"/>
        <w:rPr>
          <w:rFonts w:ascii="仿宋_GB2312" w:eastAsia="仿宋_GB2312" w:cs="宋体"/>
          <w:b/>
          <w:color w:val="auto"/>
          <w:sz w:val="28"/>
          <w:szCs w:val="28"/>
        </w:rPr>
      </w:pPr>
      <w:r>
        <w:rPr>
          <w:rFonts w:hint="eastAsia" w:ascii="仿宋_GB2312" w:hAnsi="宋体" w:eastAsia="仿宋_GB2312" w:cs="宋体"/>
          <w:b/>
          <w:color w:val="auto"/>
          <w:sz w:val="28"/>
          <w:szCs w:val="28"/>
        </w:rPr>
        <w:t>一、总 则</w:t>
      </w:r>
    </w:p>
    <w:p>
      <w:pPr>
        <w:pStyle w:val="4"/>
        <w:bidi w:val="0"/>
      </w:pPr>
      <w:r>
        <w:rPr>
          <w:rFonts w:hint="eastAsia"/>
        </w:rPr>
        <w:t>1. 合格的投标人</w:t>
      </w:r>
    </w:p>
    <w:p>
      <w:pPr>
        <w:pStyle w:val="42"/>
        <w:spacing w:line="560" w:lineRule="exact"/>
        <w:ind w:firstLine="560" w:firstLineChars="200"/>
        <w:jc w:val="both"/>
        <w:rPr>
          <w:rFonts w:ascii="仿宋_GB2312" w:hAnsi="宋体" w:eastAsia="仿宋_GB2312" w:cs="宋体"/>
          <w:color w:val="auto"/>
          <w:sz w:val="28"/>
        </w:rPr>
      </w:pPr>
      <w:r>
        <w:rPr>
          <w:rFonts w:hint="eastAsia" w:ascii="仿宋_GB2312" w:hAnsi="宋体" w:eastAsia="仿宋_GB2312" w:cs="宋体"/>
          <w:color w:val="auto"/>
          <w:sz w:val="28"/>
        </w:rPr>
        <w:t>1.1 凡在中国境内注册并具有法人（负责人）资格或其他组织、并具有有效的营业执照，具备承担本项目的相应能力，承认和履行招标文件中的各项规定者，均可参加投标。</w:t>
      </w:r>
    </w:p>
    <w:p>
      <w:pPr>
        <w:pStyle w:val="42"/>
        <w:spacing w:line="560" w:lineRule="exact"/>
        <w:ind w:firstLine="560" w:firstLineChars="200"/>
        <w:jc w:val="both"/>
        <w:rPr>
          <w:rFonts w:ascii="仿宋_GB2312" w:eastAsia="仿宋_GB2312" w:cs="宋体"/>
          <w:color w:val="auto"/>
          <w:sz w:val="28"/>
        </w:rPr>
      </w:pPr>
      <w:r>
        <w:rPr>
          <w:rFonts w:hint="eastAsia" w:ascii="仿宋_GB2312" w:hAnsi="宋体" w:eastAsia="仿宋_GB2312" w:cs="宋体"/>
          <w:color w:val="auto"/>
          <w:sz w:val="28"/>
        </w:rPr>
        <w:t>1.2 凡参加投标的供应商必须信誉可靠，且应具有履行本招标文件规定的有关义务的能力。</w:t>
      </w:r>
    </w:p>
    <w:p>
      <w:pPr>
        <w:pStyle w:val="42"/>
        <w:spacing w:line="560" w:lineRule="exact"/>
        <w:ind w:firstLine="560" w:firstLineChars="200"/>
        <w:jc w:val="both"/>
        <w:rPr>
          <w:rFonts w:ascii="仿宋_GB2312" w:hAnsi="宋体" w:eastAsia="仿宋_GB2312" w:cs="宋体"/>
          <w:color w:val="auto"/>
          <w:sz w:val="28"/>
        </w:rPr>
      </w:pPr>
      <w:r>
        <w:rPr>
          <w:rFonts w:hint="eastAsia" w:ascii="仿宋_GB2312" w:hAnsi="宋体" w:eastAsia="仿宋_GB2312" w:cs="宋体"/>
          <w:color w:val="auto"/>
          <w:sz w:val="28"/>
        </w:rPr>
        <w:t>1.3 投标人在本次招标活动中，必须遵循《中华人民共和国招标投标法》的规定。</w:t>
      </w:r>
    </w:p>
    <w:p>
      <w:pPr>
        <w:pStyle w:val="42"/>
        <w:spacing w:line="560" w:lineRule="exact"/>
        <w:ind w:firstLine="560" w:firstLineChars="200"/>
        <w:jc w:val="both"/>
        <w:rPr>
          <w:rFonts w:ascii="仿宋_GB2312" w:hAnsi="宋体" w:eastAsia="仿宋_GB2312" w:cs="宋体"/>
          <w:color w:val="auto"/>
          <w:sz w:val="28"/>
        </w:rPr>
      </w:pPr>
      <w:r>
        <w:rPr>
          <w:rFonts w:hint="eastAsia" w:ascii="仿宋_GB2312" w:hAnsi="宋体" w:eastAsia="仿宋_GB2312" w:cs="宋体"/>
          <w:color w:val="auto"/>
          <w:sz w:val="28"/>
        </w:rPr>
        <w:t>1.4供应商须具有良好的信誉，未在“信用中国”网站（www.creditchina.gov.cn）、中国政府采购网（www.ccgp.gov.cn）被列入失信被执行人、重大税收违法案件当事人名单、政府采购违法失信名单且在处罚期内。</w:t>
      </w:r>
    </w:p>
    <w:p>
      <w:pPr>
        <w:pStyle w:val="4"/>
        <w:bidi w:val="0"/>
      </w:pPr>
      <w:r>
        <w:rPr>
          <w:rFonts w:hint="eastAsia"/>
        </w:rPr>
        <w:t>2. 定义</w:t>
      </w:r>
    </w:p>
    <w:p>
      <w:pPr>
        <w:pStyle w:val="42"/>
        <w:spacing w:line="560" w:lineRule="exact"/>
        <w:ind w:firstLine="560" w:firstLineChars="200"/>
        <w:jc w:val="both"/>
        <w:rPr>
          <w:rFonts w:ascii="仿宋_GB2312" w:hAnsi="宋体" w:eastAsia="仿宋_GB2312" w:cs="宋体"/>
          <w:color w:val="auto"/>
          <w:sz w:val="28"/>
        </w:rPr>
      </w:pPr>
      <w:r>
        <w:rPr>
          <w:rFonts w:hint="eastAsia" w:ascii="仿宋_GB2312" w:hAnsi="宋体" w:eastAsia="仿宋_GB2312" w:cs="宋体"/>
          <w:color w:val="auto"/>
          <w:sz w:val="28"/>
        </w:rPr>
        <w:t>2.1“招标单位”库车市公安局</w:t>
      </w:r>
    </w:p>
    <w:p>
      <w:pPr>
        <w:pStyle w:val="42"/>
        <w:spacing w:line="500" w:lineRule="exact"/>
        <w:ind w:firstLine="567"/>
        <w:jc w:val="both"/>
        <w:rPr>
          <w:rFonts w:ascii="仿宋_GB2312" w:eastAsia="仿宋_GB2312" w:cs="宋体"/>
          <w:color w:val="auto"/>
          <w:sz w:val="28"/>
        </w:rPr>
      </w:pPr>
      <w:r>
        <w:rPr>
          <w:rFonts w:hint="eastAsia" w:ascii="仿宋_GB2312" w:hAnsi="宋体" w:eastAsia="仿宋_GB2312" w:cs="宋体"/>
          <w:color w:val="auto"/>
          <w:sz w:val="28"/>
        </w:rPr>
        <w:t>2.2“投标人”系指向招标单位提交投标文件的供应商。</w:t>
      </w:r>
    </w:p>
    <w:p>
      <w:pPr>
        <w:pStyle w:val="4"/>
        <w:bidi w:val="0"/>
        <w:rPr>
          <w:rFonts w:hint="eastAsia"/>
        </w:rPr>
      </w:pPr>
      <w:r>
        <w:rPr>
          <w:rFonts w:hint="eastAsia"/>
        </w:rPr>
        <w:t>3.投标要求</w:t>
      </w:r>
    </w:p>
    <w:p>
      <w:pPr>
        <w:pStyle w:val="42"/>
        <w:spacing w:line="500" w:lineRule="exact"/>
        <w:ind w:firstLine="567"/>
        <w:jc w:val="both"/>
        <w:rPr>
          <w:rFonts w:ascii="仿宋_GB2312" w:eastAsia="仿宋_GB2312" w:cs="宋体"/>
          <w:color w:val="auto"/>
          <w:sz w:val="28"/>
        </w:rPr>
      </w:pPr>
      <w:r>
        <w:rPr>
          <w:rFonts w:hint="eastAsia" w:ascii="仿宋_GB2312" w:hAnsi="宋体" w:eastAsia="仿宋_GB2312" w:cs="宋体"/>
          <w:color w:val="auto"/>
          <w:sz w:val="28"/>
        </w:rPr>
        <w:t>3.1 投标人应自行承担所有与本次招标投标有关的费用，而不论投标的结果如何。</w:t>
      </w:r>
    </w:p>
    <w:p>
      <w:pPr>
        <w:pStyle w:val="42"/>
        <w:spacing w:line="500" w:lineRule="exact"/>
        <w:ind w:firstLine="567"/>
        <w:jc w:val="both"/>
        <w:rPr>
          <w:rFonts w:ascii="仿宋_GB2312" w:hAnsi="宋体" w:eastAsia="仿宋_GB2312" w:cs="宋体"/>
          <w:b/>
          <w:color w:val="auto"/>
          <w:sz w:val="28"/>
        </w:rPr>
      </w:pPr>
      <w:r>
        <w:rPr>
          <w:rFonts w:hint="eastAsia" w:ascii="仿宋_GB2312" w:hAnsi="宋体" w:eastAsia="仿宋_GB2312" w:cs="宋体"/>
          <w:color w:val="auto"/>
          <w:sz w:val="28"/>
        </w:rPr>
        <w:t>3.2 项目中涉及到材料、产品及货物使用时，必须优先使用节能环保产品。系指向招标单位提交投标文件的设备生产供应商、经销商或承包人。</w:t>
      </w:r>
    </w:p>
    <w:p>
      <w:pPr>
        <w:pStyle w:val="42"/>
        <w:spacing w:before="312" w:beforeLines="100" w:after="156" w:afterLines="50" w:line="540" w:lineRule="exact"/>
        <w:ind w:firstLine="3092" w:firstLineChars="1100"/>
        <w:jc w:val="both"/>
        <w:outlineLvl w:val="0"/>
        <w:rPr>
          <w:rFonts w:ascii="仿宋_GB2312" w:eastAsia="仿宋_GB2312" w:cs="宋体"/>
          <w:b/>
          <w:color w:val="auto"/>
          <w:sz w:val="28"/>
        </w:rPr>
      </w:pPr>
      <w:r>
        <w:rPr>
          <w:rFonts w:hint="eastAsia" w:ascii="仿宋_GB2312" w:hAnsi="宋体" w:eastAsia="仿宋_GB2312" w:cs="宋体"/>
          <w:b/>
          <w:color w:val="auto"/>
          <w:sz w:val="28"/>
        </w:rPr>
        <w:t>二、 招 标 文 件</w:t>
      </w:r>
    </w:p>
    <w:p>
      <w:pPr>
        <w:pStyle w:val="4"/>
        <w:bidi w:val="0"/>
      </w:pPr>
      <w:r>
        <w:rPr>
          <w:rFonts w:hint="eastAsia"/>
          <w:lang w:val="en-US" w:eastAsia="zh-CN"/>
        </w:rPr>
        <w:t>4</w:t>
      </w:r>
      <w:r>
        <w:rPr>
          <w:rFonts w:hint="eastAsia"/>
        </w:rPr>
        <w:t>. 招标文件</w:t>
      </w:r>
    </w:p>
    <w:p>
      <w:pPr>
        <w:pStyle w:val="42"/>
        <w:spacing w:line="45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4</w:t>
      </w:r>
      <w:r>
        <w:rPr>
          <w:rFonts w:hint="eastAsia" w:ascii="仿宋_GB2312" w:hAnsi="宋体" w:eastAsia="仿宋_GB2312" w:cs="宋体"/>
          <w:color w:val="auto"/>
          <w:sz w:val="28"/>
        </w:rPr>
        <w:t>.1 招标文件用以阐明所需货物和服务、招标投标程序和合同条款。包括：</w:t>
      </w:r>
    </w:p>
    <w:p>
      <w:pPr>
        <w:pStyle w:val="42"/>
        <w:spacing w:line="45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4</w:t>
      </w:r>
      <w:r>
        <w:rPr>
          <w:rFonts w:hint="eastAsia" w:ascii="仿宋_GB2312" w:hAnsi="宋体" w:eastAsia="仿宋_GB2312" w:cs="宋体"/>
          <w:color w:val="auto"/>
          <w:sz w:val="28"/>
        </w:rPr>
        <w:t>.1.1 招标书</w:t>
      </w:r>
    </w:p>
    <w:p>
      <w:pPr>
        <w:pStyle w:val="42"/>
        <w:spacing w:line="45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4</w:t>
      </w:r>
      <w:r>
        <w:rPr>
          <w:rFonts w:hint="eastAsia" w:ascii="仿宋_GB2312" w:hAnsi="宋体" w:eastAsia="仿宋_GB2312" w:cs="宋体"/>
          <w:color w:val="auto"/>
          <w:sz w:val="28"/>
        </w:rPr>
        <w:t>.1.2 投标须知</w:t>
      </w:r>
    </w:p>
    <w:p>
      <w:pPr>
        <w:pStyle w:val="42"/>
        <w:spacing w:line="45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4</w:t>
      </w:r>
      <w:r>
        <w:rPr>
          <w:rFonts w:hint="eastAsia" w:ascii="仿宋_GB2312" w:hAnsi="宋体" w:eastAsia="仿宋_GB2312" w:cs="宋体"/>
          <w:color w:val="auto"/>
          <w:sz w:val="28"/>
        </w:rPr>
        <w:t>.1.3 招标货物内容、技术规范及要求</w:t>
      </w:r>
    </w:p>
    <w:p>
      <w:pPr>
        <w:pStyle w:val="42"/>
        <w:spacing w:line="45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4</w:t>
      </w:r>
      <w:r>
        <w:rPr>
          <w:rFonts w:hint="eastAsia" w:ascii="仿宋_GB2312" w:hAnsi="宋体" w:eastAsia="仿宋_GB2312" w:cs="宋体"/>
          <w:color w:val="auto"/>
          <w:sz w:val="28"/>
        </w:rPr>
        <w:t>.1.4 合同条款</w:t>
      </w:r>
    </w:p>
    <w:p>
      <w:pPr>
        <w:pStyle w:val="42"/>
        <w:spacing w:line="450" w:lineRule="exact"/>
        <w:ind w:firstLine="567"/>
        <w:jc w:val="both"/>
        <w:rPr>
          <w:rFonts w:ascii="仿宋_GB2312" w:eastAsia="仿宋_GB2312" w:cs="宋体"/>
          <w:color w:val="auto"/>
          <w:sz w:val="28"/>
        </w:rPr>
      </w:pPr>
      <w:r>
        <w:rPr>
          <w:rFonts w:hint="eastAsia" w:ascii="仿宋_GB2312" w:hAnsi="宋体" w:eastAsia="仿宋_GB2312" w:cs="宋体"/>
          <w:color w:val="auto"/>
          <w:sz w:val="28"/>
        </w:rPr>
        <w:t>附件：（投标书格式）</w:t>
      </w:r>
    </w:p>
    <w:p>
      <w:pPr>
        <w:pStyle w:val="42"/>
        <w:spacing w:line="450" w:lineRule="exact"/>
        <w:ind w:firstLine="1361"/>
        <w:jc w:val="both"/>
        <w:rPr>
          <w:rFonts w:ascii="仿宋_GB2312" w:eastAsia="仿宋_GB2312" w:cs="宋体"/>
          <w:color w:val="auto"/>
          <w:sz w:val="28"/>
        </w:rPr>
      </w:pPr>
      <w:r>
        <w:rPr>
          <w:rFonts w:hint="eastAsia" w:ascii="仿宋_GB2312" w:hAnsi="宋体" w:eastAsia="仿宋_GB2312" w:cs="宋体"/>
          <w:color w:val="auto"/>
          <w:sz w:val="28"/>
        </w:rPr>
        <w:t>1、投标书</w:t>
      </w:r>
    </w:p>
    <w:p>
      <w:pPr>
        <w:pStyle w:val="42"/>
        <w:spacing w:line="450" w:lineRule="exact"/>
        <w:ind w:firstLine="1361"/>
        <w:jc w:val="both"/>
        <w:rPr>
          <w:rFonts w:ascii="仿宋_GB2312" w:eastAsia="仿宋_GB2312" w:cs="宋体"/>
          <w:color w:val="auto"/>
          <w:sz w:val="28"/>
        </w:rPr>
      </w:pPr>
      <w:r>
        <w:rPr>
          <w:rFonts w:hint="eastAsia" w:ascii="仿宋_GB2312" w:hAnsi="宋体" w:eastAsia="仿宋_GB2312" w:cs="宋体"/>
          <w:color w:val="auto"/>
          <w:sz w:val="28"/>
        </w:rPr>
        <w:t>2、法定代表人（负责人）授权委托书</w:t>
      </w:r>
    </w:p>
    <w:p>
      <w:pPr>
        <w:pStyle w:val="42"/>
        <w:spacing w:line="450" w:lineRule="exact"/>
        <w:ind w:firstLine="1361"/>
        <w:jc w:val="both"/>
        <w:rPr>
          <w:rFonts w:ascii="仿宋_GB2312" w:eastAsia="仿宋_GB2312" w:cs="宋体"/>
          <w:color w:val="auto"/>
          <w:sz w:val="28"/>
        </w:rPr>
      </w:pPr>
      <w:r>
        <w:rPr>
          <w:rFonts w:hint="eastAsia" w:ascii="仿宋_GB2312" w:hAnsi="宋体" w:eastAsia="仿宋_GB2312" w:cs="宋体"/>
          <w:color w:val="auto"/>
          <w:sz w:val="28"/>
        </w:rPr>
        <w:t>3、开标一览表</w:t>
      </w:r>
    </w:p>
    <w:p>
      <w:pPr>
        <w:pStyle w:val="42"/>
        <w:spacing w:line="450" w:lineRule="exact"/>
        <w:ind w:firstLine="1361"/>
        <w:jc w:val="both"/>
        <w:rPr>
          <w:rFonts w:ascii="仿宋_GB2312" w:eastAsia="仿宋_GB2312" w:cs="宋体"/>
          <w:color w:val="auto"/>
          <w:sz w:val="28"/>
        </w:rPr>
      </w:pPr>
      <w:r>
        <w:rPr>
          <w:rFonts w:hint="eastAsia" w:ascii="仿宋_GB2312" w:hAnsi="宋体" w:eastAsia="仿宋_GB2312" w:cs="宋体"/>
          <w:color w:val="auto"/>
          <w:sz w:val="28"/>
        </w:rPr>
        <w:t>4、投标产品名称、数量、规格及报价明细表</w:t>
      </w:r>
    </w:p>
    <w:p>
      <w:pPr>
        <w:pStyle w:val="42"/>
        <w:spacing w:line="450" w:lineRule="exact"/>
        <w:ind w:firstLine="1361"/>
        <w:jc w:val="both"/>
        <w:rPr>
          <w:rFonts w:ascii="仿宋_GB2312" w:eastAsia="仿宋_GB2312" w:cs="宋体"/>
          <w:color w:val="auto"/>
          <w:sz w:val="28"/>
        </w:rPr>
      </w:pPr>
      <w:r>
        <w:rPr>
          <w:rFonts w:hint="eastAsia" w:ascii="仿宋_GB2312" w:hAnsi="宋体" w:eastAsia="仿宋_GB2312" w:cs="宋体"/>
          <w:color w:val="auto"/>
          <w:sz w:val="28"/>
        </w:rPr>
        <w:t>5、技术规格偏离表</w:t>
      </w:r>
    </w:p>
    <w:p>
      <w:pPr>
        <w:pStyle w:val="42"/>
        <w:spacing w:line="450" w:lineRule="exact"/>
        <w:ind w:firstLine="1361"/>
        <w:jc w:val="both"/>
        <w:rPr>
          <w:rFonts w:hint="eastAsia" w:ascii="仿宋_GB2312" w:hAnsi="宋体" w:eastAsia="仿宋_GB2312" w:cs="宋体"/>
          <w:color w:val="auto"/>
          <w:sz w:val="28"/>
        </w:rPr>
      </w:pPr>
      <w:r>
        <w:rPr>
          <w:rFonts w:hint="eastAsia" w:ascii="仿宋_GB2312" w:hAnsi="宋体" w:eastAsia="仿宋_GB2312" w:cs="宋体"/>
          <w:color w:val="auto"/>
          <w:sz w:val="28"/>
        </w:rPr>
        <w:t>6、合同条款偏离表</w:t>
      </w:r>
    </w:p>
    <w:p>
      <w:pPr>
        <w:pStyle w:val="42"/>
        <w:spacing w:line="450" w:lineRule="exact"/>
        <w:ind w:firstLine="1361"/>
        <w:jc w:val="both"/>
        <w:rPr>
          <w:rFonts w:hint="eastAsia" w:ascii="仿宋_GB2312" w:hAnsi="宋体" w:eastAsia="仿宋_GB2312" w:cs="宋体"/>
          <w:color w:val="auto"/>
          <w:sz w:val="28"/>
        </w:rPr>
      </w:pPr>
      <w:r>
        <w:rPr>
          <w:rFonts w:hint="eastAsia" w:ascii="仿宋_GB2312" w:hAnsi="宋体" w:eastAsia="仿宋_GB2312" w:cs="宋体"/>
          <w:color w:val="auto"/>
          <w:sz w:val="28"/>
        </w:rPr>
        <w:t>7、投标方主要业绩表</w:t>
      </w:r>
    </w:p>
    <w:p>
      <w:pPr>
        <w:pStyle w:val="42"/>
        <w:spacing w:line="450" w:lineRule="exact"/>
        <w:ind w:firstLine="1361"/>
        <w:jc w:val="both"/>
        <w:rPr>
          <w:rFonts w:hint="eastAsia" w:ascii="仿宋_GB2312" w:hAnsi="宋体" w:eastAsia="仿宋_GB2312" w:cs="宋体"/>
          <w:color w:val="auto"/>
          <w:sz w:val="28"/>
        </w:rPr>
      </w:pPr>
      <w:r>
        <w:rPr>
          <w:rFonts w:hint="eastAsia" w:ascii="仿宋_GB2312" w:hAnsi="宋体" w:eastAsia="仿宋_GB2312" w:cs="宋体"/>
          <w:color w:val="auto"/>
          <w:sz w:val="28"/>
        </w:rPr>
        <w:t>8、售后服务承诺</w:t>
      </w:r>
    </w:p>
    <w:p>
      <w:pPr>
        <w:pStyle w:val="42"/>
        <w:spacing w:line="450" w:lineRule="exact"/>
        <w:ind w:firstLine="1361"/>
        <w:jc w:val="both"/>
        <w:rPr>
          <w:rFonts w:hint="eastAsia" w:ascii="仿宋_GB2312" w:hAnsi="宋体" w:eastAsia="仿宋_GB2312" w:cs="宋体"/>
          <w:color w:val="auto"/>
          <w:sz w:val="28"/>
        </w:rPr>
      </w:pPr>
      <w:r>
        <w:rPr>
          <w:rFonts w:hint="eastAsia" w:ascii="仿宋_GB2312" w:hAnsi="宋体" w:eastAsia="仿宋_GB2312" w:cs="宋体"/>
          <w:color w:val="auto"/>
          <w:sz w:val="28"/>
        </w:rPr>
        <w:t>9、承诺函</w:t>
      </w:r>
    </w:p>
    <w:p>
      <w:pPr>
        <w:pStyle w:val="42"/>
        <w:spacing w:line="450" w:lineRule="exact"/>
        <w:ind w:firstLine="1361"/>
        <w:jc w:val="both"/>
        <w:rPr>
          <w:rFonts w:hint="eastAsia" w:ascii="仿宋_GB2312" w:hAnsi="宋体" w:eastAsia="仿宋_GB2312" w:cs="宋体"/>
          <w:color w:val="auto"/>
          <w:sz w:val="28"/>
        </w:rPr>
      </w:pPr>
      <w:r>
        <w:rPr>
          <w:rFonts w:hint="eastAsia" w:ascii="仿宋_GB2312" w:hAnsi="宋体" w:eastAsia="仿宋_GB2312" w:cs="宋体"/>
          <w:color w:val="auto"/>
          <w:sz w:val="28"/>
        </w:rPr>
        <w:t>10、享受优惠政策情况</w:t>
      </w:r>
    </w:p>
    <w:p>
      <w:pPr>
        <w:pStyle w:val="42"/>
        <w:spacing w:line="450" w:lineRule="exact"/>
        <w:ind w:firstLine="1361"/>
        <w:jc w:val="both"/>
        <w:rPr>
          <w:rFonts w:ascii="仿宋_GB2312" w:hAnsi="宋体" w:eastAsia="仿宋_GB2312" w:cs="宋体"/>
          <w:color w:val="auto"/>
          <w:sz w:val="28"/>
        </w:rPr>
      </w:pPr>
      <w:r>
        <w:rPr>
          <w:rFonts w:hint="eastAsia" w:ascii="仿宋_GB2312" w:hAnsi="宋体" w:eastAsia="仿宋_GB2312" w:cs="宋体"/>
          <w:color w:val="auto"/>
          <w:sz w:val="28"/>
        </w:rPr>
        <w:t>11、其他资料</w:t>
      </w:r>
    </w:p>
    <w:p>
      <w:pPr>
        <w:pStyle w:val="42"/>
        <w:spacing w:line="45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4</w:t>
      </w:r>
      <w:r>
        <w:rPr>
          <w:rFonts w:hint="eastAsia" w:ascii="仿宋_GB2312" w:hAnsi="宋体" w:eastAsia="仿宋_GB2312" w:cs="宋体"/>
          <w:color w:val="auto"/>
          <w:sz w:val="28"/>
        </w:rPr>
        <w:t>.2  投标人应认真阅读招标文件中所有的事项、格式、条款和规范等要求。如果没有按照招标文件要求提交全部资料或者投标文件没有对招标文件做出实质性响应，其投标文件有可能被拒绝。</w:t>
      </w:r>
    </w:p>
    <w:p>
      <w:pPr>
        <w:pStyle w:val="4"/>
        <w:bidi w:val="0"/>
      </w:pPr>
      <w:r>
        <w:rPr>
          <w:rFonts w:hint="eastAsia"/>
          <w:lang w:val="en-US" w:eastAsia="zh-CN"/>
        </w:rPr>
        <w:t>5</w:t>
      </w:r>
      <w:r>
        <w:rPr>
          <w:rFonts w:hint="eastAsia"/>
        </w:rPr>
        <w:t>.  招标文件的澄清</w:t>
      </w:r>
    </w:p>
    <w:p>
      <w:pPr>
        <w:pStyle w:val="42"/>
        <w:spacing w:line="45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5</w:t>
      </w:r>
      <w:r>
        <w:rPr>
          <w:rFonts w:hint="eastAsia" w:ascii="仿宋_GB2312" w:hAnsi="宋体" w:eastAsia="仿宋_GB2312" w:cs="宋体"/>
          <w:color w:val="auto"/>
          <w:sz w:val="28"/>
        </w:rPr>
        <w:t>.1  任何要求澄清招标文件的投标人，均应在投标截止日期前15天以书面形式通知招标单位。招标单位将以书面形式予以答复，同时将书面答复通知每个购买招标文件的投标人，但不指明问题的来源。</w:t>
      </w:r>
    </w:p>
    <w:p>
      <w:pPr>
        <w:pStyle w:val="4"/>
        <w:bidi w:val="0"/>
      </w:pPr>
      <w:r>
        <w:rPr>
          <w:rFonts w:hint="eastAsia"/>
          <w:lang w:val="en-US" w:eastAsia="zh-CN"/>
        </w:rPr>
        <w:t>6</w:t>
      </w:r>
      <w:r>
        <w:rPr>
          <w:rFonts w:hint="eastAsia"/>
        </w:rPr>
        <w:t>.  招标文件的修改</w:t>
      </w:r>
    </w:p>
    <w:p>
      <w:pPr>
        <w:pStyle w:val="42"/>
        <w:spacing w:line="45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6</w:t>
      </w:r>
      <w:r>
        <w:rPr>
          <w:rFonts w:hint="eastAsia" w:ascii="仿宋_GB2312" w:hAnsi="宋体" w:eastAsia="仿宋_GB2312" w:cs="宋体"/>
          <w:color w:val="auto"/>
          <w:sz w:val="28"/>
        </w:rPr>
        <w:t>.1  在投标截止日期15天前的任何时候，无论出于何种原因，招标单位可主动地或在解答投标人提出的问题时对招标文件进行修改。</w:t>
      </w:r>
    </w:p>
    <w:p>
      <w:pPr>
        <w:pStyle w:val="42"/>
        <w:spacing w:line="450" w:lineRule="exact"/>
        <w:ind w:firstLine="567"/>
        <w:jc w:val="both"/>
        <w:rPr>
          <w:rFonts w:ascii="仿宋_GB2312" w:eastAsia="仿宋_GB2312" w:cs="宋体"/>
          <w:b/>
          <w:color w:val="auto"/>
          <w:sz w:val="28"/>
        </w:rPr>
      </w:pPr>
      <w:r>
        <w:rPr>
          <w:rFonts w:hint="eastAsia" w:ascii="仿宋_GB2312" w:hAnsi="宋体" w:eastAsia="仿宋_GB2312" w:cs="宋体"/>
          <w:color w:val="auto"/>
          <w:sz w:val="28"/>
          <w:lang w:val="en-US" w:eastAsia="zh-CN"/>
        </w:rPr>
        <w:t>6</w:t>
      </w:r>
      <w:r>
        <w:rPr>
          <w:rFonts w:hint="eastAsia" w:ascii="仿宋_GB2312" w:hAnsi="宋体" w:eastAsia="仿宋_GB2312" w:cs="宋体"/>
          <w:color w:val="auto"/>
          <w:sz w:val="28"/>
        </w:rPr>
        <w:t>.2  招标文件的修改将以电子文件或书面形式通知所有购买招标文件的投标人，并对他们具有约束力。</w:t>
      </w:r>
    </w:p>
    <w:p>
      <w:pPr>
        <w:pStyle w:val="42"/>
        <w:spacing w:before="312" w:beforeLines="100" w:after="156" w:afterLines="50" w:line="540" w:lineRule="exact"/>
        <w:jc w:val="center"/>
        <w:outlineLvl w:val="0"/>
        <w:rPr>
          <w:rFonts w:ascii="仿宋_GB2312" w:eastAsia="仿宋_GB2312" w:cs="宋体"/>
          <w:b/>
          <w:color w:val="auto"/>
          <w:sz w:val="28"/>
        </w:rPr>
      </w:pPr>
      <w:r>
        <w:rPr>
          <w:rFonts w:hint="eastAsia" w:ascii="仿宋_GB2312" w:hAnsi="宋体" w:eastAsia="仿宋_GB2312" w:cs="宋体"/>
          <w:b/>
          <w:color w:val="auto"/>
          <w:sz w:val="28"/>
        </w:rPr>
        <w:t>三、投标文件的编制</w:t>
      </w:r>
    </w:p>
    <w:p>
      <w:pPr>
        <w:pStyle w:val="4"/>
        <w:bidi w:val="0"/>
        <w:rPr>
          <w:rFonts w:hint="eastAsia"/>
          <w:lang w:val="en-US" w:eastAsia="zh-CN"/>
        </w:rPr>
      </w:pPr>
      <w:r>
        <w:rPr>
          <w:rFonts w:hint="eastAsia"/>
          <w:lang w:val="en-US" w:eastAsia="zh-CN"/>
        </w:rPr>
        <w:t>7.  投标文件的编写</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lang w:val="en-US" w:eastAsia="zh-CN"/>
        </w:rPr>
        <w:t>7</w:t>
      </w:r>
      <w:r>
        <w:rPr>
          <w:rFonts w:hint="eastAsia" w:ascii="仿宋_GB2312" w:hAnsi="宋体" w:eastAsia="仿宋_GB2312" w:cs="宋体"/>
          <w:color w:val="auto"/>
          <w:sz w:val="28"/>
        </w:rPr>
        <w:t>.1  投标人应仔细阅读招标文件, 了解招标文件的要求，并在充分理解招标文件提出的设备技术规范、设备配套、服务和商务条款后的基础上制作投标文件。</w:t>
      </w:r>
    </w:p>
    <w:p>
      <w:pPr>
        <w:pStyle w:val="4"/>
        <w:bidi w:val="0"/>
        <w:rPr>
          <w:rFonts w:hint="eastAsia"/>
          <w:lang w:val="en-US" w:eastAsia="zh-CN"/>
        </w:rPr>
      </w:pPr>
      <w:r>
        <w:rPr>
          <w:rFonts w:hint="eastAsia"/>
          <w:lang w:val="en-US" w:eastAsia="zh-CN"/>
        </w:rPr>
        <w:t>8.  投标的语言及计量单位</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lang w:val="en-US" w:eastAsia="zh-CN"/>
        </w:rPr>
        <w:t>8</w:t>
      </w:r>
      <w:r>
        <w:rPr>
          <w:rFonts w:hint="eastAsia" w:ascii="仿宋_GB2312" w:hAnsi="宋体" w:eastAsia="仿宋_GB2312" w:cs="宋体"/>
          <w:color w:val="auto"/>
          <w:sz w:val="28"/>
        </w:rPr>
        <w:t>.1  投标人的投标文件以及投标人与政府采购中心就有关招标活动的所有来往函电均应使用中文。如果投标文件或与投标有关的其它文件、信件及来往函电以其它语言书写的，投标人应将其译成中文。</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lang w:val="en-US" w:eastAsia="zh-CN"/>
        </w:rPr>
        <w:t>8</w:t>
      </w:r>
      <w:r>
        <w:rPr>
          <w:rFonts w:hint="eastAsia" w:ascii="仿宋_GB2312" w:hAnsi="宋体" w:eastAsia="仿宋_GB2312" w:cs="宋体"/>
          <w:color w:val="auto"/>
          <w:sz w:val="28"/>
        </w:rPr>
        <w:t>.2  投标文件中所使用的计量单位除招标文件中有特殊规定外，一律使用法定计量单位。</w:t>
      </w:r>
    </w:p>
    <w:p>
      <w:pPr>
        <w:pStyle w:val="4"/>
        <w:bidi w:val="0"/>
        <w:rPr>
          <w:rFonts w:hint="eastAsia"/>
          <w:lang w:val="en-US" w:eastAsia="zh-CN"/>
        </w:rPr>
      </w:pPr>
      <w:r>
        <w:rPr>
          <w:rFonts w:hint="eastAsia"/>
          <w:lang w:val="en-US" w:eastAsia="zh-CN"/>
        </w:rPr>
        <w:t>9.  投标文件构成</w:t>
      </w:r>
    </w:p>
    <w:p>
      <w:pPr>
        <w:pStyle w:val="42"/>
        <w:spacing w:line="560" w:lineRule="exact"/>
        <w:ind w:firstLine="560" w:firstLineChars="200"/>
        <w:jc w:val="both"/>
        <w:rPr>
          <w:rFonts w:ascii="仿宋_GB2312" w:eastAsia="仿宋_GB2312" w:cs="宋体"/>
          <w:color w:val="auto"/>
          <w:sz w:val="28"/>
        </w:rPr>
      </w:pPr>
      <w:r>
        <w:rPr>
          <w:rFonts w:hint="eastAsia" w:ascii="仿宋_GB2312" w:hAnsi="宋体" w:eastAsia="仿宋_GB2312" w:cs="宋体"/>
          <w:color w:val="auto"/>
          <w:sz w:val="28"/>
          <w:lang w:val="en-US" w:eastAsia="zh-CN"/>
        </w:rPr>
        <w:t>9</w:t>
      </w:r>
      <w:r>
        <w:rPr>
          <w:rFonts w:hint="eastAsia" w:ascii="仿宋_GB2312" w:hAnsi="宋体" w:eastAsia="仿宋_GB2312" w:cs="宋体"/>
          <w:color w:val="auto"/>
          <w:sz w:val="28"/>
        </w:rPr>
        <w:t>.1  投标人编写的投标文件应按下列顺序及内容提供:</w:t>
      </w:r>
    </w:p>
    <w:p>
      <w:pPr>
        <w:pStyle w:val="42"/>
        <w:spacing w:line="560" w:lineRule="exact"/>
        <w:ind w:firstLine="562" w:firstLineChars="200"/>
        <w:jc w:val="both"/>
        <w:rPr>
          <w:rFonts w:ascii="仿宋_GB2312" w:eastAsia="仿宋_GB2312" w:cs="宋体"/>
          <w:b/>
          <w:bCs/>
          <w:color w:val="auto"/>
          <w:sz w:val="28"/>
        </w:rPr>
      </w:pPr>
      <w:r>
        <w:rPr>
          <w:rFonts w:hint="eastAsia" w:ascii="仿宋_GB2312" w:hAnsi="宋体" w:eastAsia="仿宋_GB2312" w:cs="宋体"/>
          <w:b/>
          <w:bCs/>
          <w:color w:val="auto"/>
          <w:sz w:val="28"/>
          <w:lang w:val="en-US" w:eastAsia="zh-CN"/>
        </w:rPr>
        <w:t>9</w:t>
      </w:r>
      <w:r>
        <w:rPr>
          <w:rFonts w:hint="eastAsia" w:ascii="仿宋_GB2312" w:hAnsi="宋体" w:eastAsia="仿宋_GB2312" w:cs="宋体"/>
          <w:b/>
          <w:bCs/>
          <w:color w:val="auto"/>
          <w:sz w:val="28"/>
        </w:rPr>
        <w:t>.1.1资格证明文件(以下文件必须在有效期内)</w:t>
      </w:r>
    </w:p>
    <w:p>
      <w:pPr>
        <w:pStyle w:val="42"/>
        <w:spacing w:line="560" w:lineRule="exact"/>
        <w:ind w:firstLine="560" w:firstLineChars="200"/>
        <w:jc w:val="both"/>
        <w:rPr>
          <w:rFonts w:ascii="仿宋_GB2312" w:hAnsi="宋体" w:eastAsia="仿宋_GB2312" w:cs="宋体"/>
          <w:color w:val="auto"/>
          <w:sz w:val="28"/>
        </w:rPr>
      </w:pPr>
      <w:r>
        <w:rPr>
          <w:rFonts w:hint="eastAsia" w:ascii="仿宋_GB2312" w:hAnsi="宋体" w:eastAsia="仿宋_GB2312" w:cs="宋体"/>
          <w:color w:val="auto"/>
          <w:sz w:val="28"/>
        </w:rPr>
        <w:t>(1) 加盖投标企业公章的企业法人（负责人）营业执照副本复印件。</w:t>
      </w:r>
    </w:p>
    <w:p>
      <w:pPr>
        <w:pStyle w:val="42"/>
        <w:spacing w:line="560" w:lineRule="exact"/>
        <w:ind w:firstLine="560" w:firstLineChars="200"/>
        <w:jc w:val="both"/>
        <w:rPr>
          <w:rFonts w:ascii="仿宋_GB2312" w:eastAsia="仿宋_GB2312" w:cs="宋体"/>
          <w:color w:val="FF0000"/>
          <w:sz w:val="28"/>
        </w:rPr>
      </w:pPr>
      <w:r>
        <w:rPr>
          <w:rFonts w:hint="eastAsia" w:ascii="仿宋_GB2312" w:hAnsi="宋体" w:eastAsia="仿宋_GB2312" w:cs="宋体"/>
          <w:color w:val="auto"/>
          <w:sz w:val="28"/>
        </w:rPr>
        <w:t>(2) 法人（负责人）代表授权书及被授权人身份证。</w:t>
      </w:r>
    </w:p>
    <w:p>
      <w:pPr>
        <w:pStyle w:val="42"/>
        <w:spacing w:line="560" w:lineRule="exact"/>
        <w:ind w:firstLine="560" w:firstLineChars="200"/>
        <w:jc w:val="both"/>
        <w:rPr>
          <w:rFonts w:ascii="仿宋_GB2312" w:hAnsi="宋体" w:eastAsia="仿宋_GB2312" w:cs="宋体"/>
          <w:color w:val="auto"/>
          <w:sz w:val="28"/>
        </w:rPr>
      </w:pPr>
      <w:r>
        <w:rPr>
          <w:rFonts w:hint="eastAsia" w:ascii="仿宋_GB2312" w:hAnsi="宋体" w:eastAsia="仿宋_GB2312" w:cs="宋体"/>
          <w:color w:val="auto"/>
          <w:sz w:val="28"/>
        </w:rPr>
        <w:t>(3) 投标人认为有必要提供的声明及文件资料。</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lang w:val="en-US" w:eastAsia="zh-CN"/>
        </w:rPr>
        <w:t>9</w:t>
      </w:r>
      <w:r>
        <w:rPr>
          <w:rFonts w:hint="eastAsia" w:ascii="仿宋_GB2312" w:hAnsi="宋体" w:eastAsia="仿宋_GB2312" w:cs="宋体"/>
          <w:color w:val="auto"/>
          <w:sz w:val="28"/>
        </w:rPr>
        <w:t>.1.2商务投标书内容</w:t>
      </w:r>
    </w:p>
    <w:p>
      <w:pPr>
        <w:pStyle w:val="42"/>
        <w:keepNext w:val="0"/>
        <w:keepLines w:val="0"/>
        <w:pageBreakBefore w:val="0"/>
        <w:widowControl w:val="0"/>
        <w:kinsoku/>
        <w:wordWrap/>
        <w:overflowPunct/>
        <w:topLinePunct w:val="0"/>
        <w:autoSpaceDE w:val="0"/>
        <w:autoSpaceDN w:val="0"/>
        <w:bidi w:val="0"/>
        <w:adjustRightInd w:val="0"/>
        <w:snapToGrid/>
        <w:spacing w:line="520" w:lineRule="exact"/>
        <w:ind w:firstLine="567"/>
        <w:jc w:val="both"/>
        <w:textAlignment w:val="auto"/>
        <w:rPr>
          <w:rFonts w:ascii="仿宋_GB2312" w:hAnsi="宋体" w:eastAsia="仿宋_GB2312" w:cs="宋体"/>
          <w:color w:val="auto"/>
          <w:sz w:val="28"/>
        </w:rPr>
      </w:pPr>
      <w:r>
        <w:rPr>
          <w:rFonts w:hint="eastAsia" w:ascii="仿宋_GB2312" w:hAnsi="宋体" w:eastAsia="仿宋_GB2312" w:cs="宋体"/>
          <w:color w:val="auto"/>
          <w:sz w:val="28"/>
        </w:rPr>
        <w:t>(1) 开标一览表。</w:t>
      </w:r>
    </w:p>
    <w:p>
      <w:pPr>
        <w:pStyle w:val="42"/>
        <w:keepNext w:val="0"/>
        <w:keepLines w:val="0"/>
        <w:pageBreakBefore w:val="0"/>
        <w:widowControl w:val="0"/>
        <w:kinsoku/>
        <w:wordWrap/>
        <w:overflowPunct/>
        <w:topLinePunct w:val="0"/>
        <w:autoSpaceDE w:val="0"/>
        <w:autoSpaceDN w:val="0"/>
        <w:bidi w:val="0"/>
        <w:adjustRightInd w:val="0"/>
        <w:snapToGrid/>
        <w:spacing w:line="520" w:lineRule="exact"/>
        <w:ind w:firstLine="567"/>
        <w:jc w:val="both"/>
        <w:textAlignment w:val="auto"/>
        <w:rPr>
          <w:rFonts w:hint="eastAsia" w:ascii="仿宋_GB2312" w:hAnsi="宋体" w:eastAsia="仿宋_GB2312" w:cs="宋体"/>
          <w:color w:val="auto"/>
          <w:sz w:val="28"/>
        </w:rPr>
      </w:pPr>
      <w:r>
        <w:rPr>
          <w:rFonts w:hint="eastAsia" w:ascii="仿宋_GB2312" w:hAnsi="宋体" w:eastAsia="仿宋_GB2312" w:cs="宋体"/>
          <w:color w:val="auto"/>
          <w:sz w:val="28"/>
        </w:rPr>
        <w:t>(2) 投标产品名称、数量、规格及报价明细表。</w:t>
      </w:r>
    </w:p>
    <w:p>
      <w:pPr>
        <w:pStyle w:val="42"/>
        <w:keepNext w:val="0"/>
        <w:keepLines w:val="0"/>
        <w:pageBreakBefore w:val="0"/>
        <w:widowControl w:val="0"/>
        <w:kinsoku/>
        <w:wordWrap/>
        <w:overflowPunct/>
        <w:topLinePunct w:val="0"/>
        <w:autoSpaceDE w:val="0"/>
        <w:autoSpaceDN w:val="0"/>
        <w:bidi w:val="0"/>
        <w:adjustRightInd w:val="0"/>
        <w:snapToGrid/>
        <w:spacing w:line="520" w:lineRule="exact"/>
        <w:ind w:firstLine="567"/>
        <w:jc w:val="both"/>
        <w:textAlignment w:val="auto"/>
        <w:rPr>
          <w:rFonts w:hint="eastAsia" w:ascii="仿宋_GB2312" w:hAnsi="宋体" w:eastAsia="仿宋_GB2312" w:cs="宋体"/>
          <w:color w:val="auto"/>
          <w:sz w:val="28"/>
        </w:rPr>
      </w:pPr>
      <w:r>
        <w:rPr>
          <w:rFonts w:hint="eastAsia" w:ascii="仿宋_GB2312" w:hAnsi="宋体" w:eastAsia="仿宋_GB2312" w:cs="宋体"/>
          <w:color w:val="auto"/>
          <w:sz w:val="28"/>
        </w:rPr>
        <w:t>(3) 合同条款偏离表。</w:t>
      </w:r>
    </w:p>
    <w:p>
      <w:pPr>
        <w:pStyle w:val="42"/>
        <w:keepNext w:val="0"/>
        <w:keepLines w:val="0"/>
        <w:pageBreakBefore w:val="0"/>
        <w:widowControl w:val="0"/>
        <w:kinsoku/>
        <w:wordWrap/>
        <w:overflowPunct/>
        <w:topLinePunct w:val="0"/>
        <w:autoSpaceDE w:val="0"/>
        <w:autoSpaceDN w:val="0"/>
        <w:bidi w:val="0"/>
        <w:adjustRightInd w:val="0"/>
        <w:snapToGrid/>
        <w:spacing w:line="520" w:lineRule="exact"/>
        <w:ind w:firstLine="567"/>
        <w:jc w:val="both"/>
        <w:textAlignment w:val="auto"/>
        <w:rPr>
          <w:rFonts w:hint="eastAsia" w:ascii="仿宋_GB2312" w:hAnsi="宋体" w:eastAsia="仿宋_GB2312" w:cs="宋体"/>
          <w:color w:val="auto"/>
          <w:sz w:val="28"/>
        </w:rPr>
      </w:pPr>
      <w:r>
        <w:rPr>
          <w:rFonts w:hint="eastAsia" w:ascii="仿宋_GB2312" w:hAnsi="宋体" w:eastAsia="仿宋_GB2312" w:cs="宋体"/>
          <w:color w:val="auto"/>
          <w:sz w:val="28"/>
        </w:rPr>
        <w:t>(4) 近三年的业绩证明（复印件）或中标通知书。</w:t>
      </w:r>
    </w:p>
    <w:p>
      <w:pPr>
        <w:pStyle w:val="42"/>
        <w:keepNext w:val="0"/>
        <w:keepLines w:val="0"/>
        <w:pageBreakBefore w:val="0"/>
        <w:widowControl w:val="0"/>
        <w:kinsoku/>
        <w:wordWrap/>
        <w:overflowPunct/>
        <w:topLinePunct w:val="0"/>
        <w:autoSpaceDE w:val="0"/>
        <w:autoSpaceDN w:val="0"/>
        <w:bidi w:val="0"/>
        <w:adjustRightInd w:val="0"/>
        <w:snapToGrid/>
        <w:spacing w:line="520" w:lineRule="exact"/>
        <w:ind w:firstLine="567"/>
        <w:jc w:val="both"/>
        <w:textAlignment w:val="auto"/>
        <w:rPr>
          <w:rFonts w:ascii="仿宋_GB2312" w:hAnsi="宋体" w:eastAsia="仿宋_GB2312" w:cs="宋体"/>
          <w:color w:val="auto"/>
          <w:sz w:val="28"/>
        </w:rPr>
      </w:pPr>
      <w:r>
        <w:rPr>
          <w:rFonts w:hint="eastAsia" w:ascii="仿宋_GB2312" w:hAnsi="宋体" w:eastAsia="仿宋_GB2312" w:cs="宋体"/>
          <w:color w:val="auto"/>
          <w:sz w:val="28"/>
        </w:rPr>
        <w:t>(5) 售后服务承诺书。</w:t>
      </w:r>
    </w:p>
    <w:p>
      <w:pPr>
        <w:pStyle w:val="42"/>
        <w:keepNext w:val="0"/>
        <w:keepLines w:val="0"/>
        <w:pageBreakBefore w:val="0"/>
        <w:widowControl w:val="0"/>
        <w:kinsoku/>
        <w:wordWrap/>
        <w:overflowPunct/>
        <w:topLinePunct w:val="0"/>
        <w:autoSpaceDE w:val="0"/>
        <w:autoSpaceDN w:val="0"/>
        <w:bidi w:val="0"/>
        <w:adjustRightInd w:val="0"/>
        <w:snapToGrid/>
        <w:spacing w:line="520" w:lineRule="exact"/>
        <w:ind w:firstLine="567"/>
        <w:jc w:val="both"/>
        <w:textAlignment w:val="auto"/>
        <w:rPr>
          <w:rFonts w:ascii="仿宋_GB2312" w:hAnsi="宋体" w:eastAsia="仿宋_GB2312" w:cs="宋体"/>
          <w:color w:val="auto"/>
          <w:sz w:val="28"/>
        </w:rPr>
      </w:pPr>
      <w:r>
        <w:rPr>
          <w:rFonts w:hint="eastAsia" w:ascii="仿宋_GB2312" w:hAnsi="宋体" w:eastAsia="仿宋_GB2312" w:cs="宋体"/>
          <w:color w:val="auto"/>
          <w:sz w:val="28"/>
        </w:rPr>
        <w:t>(6) 货物清单及报价。</w:t>
      </w:r>
    </w:p>
    <w:p>
      <w:pPr>
        <w:pStyle w:val="42"/>
        <w:keepNext w:val="0"/>
        <w:keepLines w:val="0"/>
        <w:pageBreakBefore w:val="0"/>
        <w:widowControl w:val="0"/>
        <w:kinsoku/>
        <w:wordWrap/>
        <w:overflowPunct/>
        <w:topLinePunct w:val="0"/>
        <w:autoSpaceDE w:val="0"/>
        <w:autoSpaceDN w:val="0"/>
        <w:bidi w:val="0"/>
        <w:adjustRightInd w:val="0"/>
        <w:snapToGrid/>
        <w:spacing w:line="520" w:lineRule="exact"/>
        <w:ind w:firstLine="567"/>
        <w:jc w:val="both"/>
        <w:textAlignment w:val="auto"/>
        <w:rPr>
          <w:rFonts w:ascii="仿宋_GB2312" w:hAnsi="宋体" w:eastAsia="仿宋_GB2312" w:cs="宋体"/>
          <w:color w:val="auto"/>
          <w:sz w:val="28"/>
        </w:rPr>
      </w:pPr>
      <w:r>
        <w:rPr>
          <w:rFonts w:hint="eastAsia" w:ascii="仿宋_GB2312" w:hAnsi="宋体" w:eastAsia="仿宋_GB2312" w:cs="宋体"/>
          <w:color w:val="auto"/>
          <w:sz w:val="28"/>
        </w:rPr>
        <w:t>(7) 有关的产品样本、图纸和资料。（如有）</w:t>
      </w:r>
    </w:p>
    <w:p>
      <w:pPr>
        <w:pStyle w:val="42"/>
        <w:keepNext w:val="0"/>
        <w:keepLines w:val="0"/>
        <w:pageBreakBefore w:val="0"/>
        <w:widowControl w:val="0"/>
        <w:kinsoku/>
        <w:wordWrap/>
        <w:overflowPunct/>
        <w:topLinePunct w:val="0"/>
        <w:autoSpaceDE w:val="0"/>
        <w:autoSpaceDN w:val="0"/>
        <w:bidi w:val="0"/>
        <w:adjustRightInd w:val="0"/>
        <w:snapToGrid/>
        <w:spacing w:line="520" w:lineRule="exact"/>
        <w:ind w:firstLine="567"/>
        <w:jc w:val="both"/>
        <w:textAlignment w:val="auto"/>
        <w:rPr>
          <w:rFonts w:ascii="仿宋_GB2312" w:hAnsi="宋体" w:eastAsia="仿宋_GB2312" w:cs="宋体"/>
          <w:color w:val="auto"/>
          <w:sz w:val="28"/>
        </w:rPr>
      </w:pPr>
      <w:r>
        <w:rPr>
          <w:rFonts w:hint="eastAsia" w:ascii="仿宋_GB2312" w:hAnsi="宋体" w:eastAsia="仿宋_GB2312" w:cs="宋体"/>
          <w:color w:val="auto"/>
          <w:sz w:val="28"/>
        </w:rPr>
        <w:t>(8) 投标人认为有必要提供的声明及文件资料。</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lang w:val="en-US" w:eastAsia="zh-CN"/>
        </w:rPr>
        <w:t>9</w:t>
      </w:r>
      <w:r>
        <w:rPr>
          <w:rFonts w:hint="eastAsia" w:ascii="仿宋_GB2312" w:hAnsi="宋体" w:eastAsia="仿宋_GB2312" w:cs="宋体"/>
          <w:color w:val="auto"/>
          <w:sz w:val="28"/>
        </w:rPr>
        <w:t>.1.3技术投标书：格式自拟</w:t>
      </w:r>
    </w:p>
    <w:p>
      <w:pPr>
        <w:pStyle w:val="4"/>
        <w:bidi w:val="0"/>
        <w:rPr>
          <w:rFonts w:hint="eastAsia"/>
          <w:lang w:val="en-US" w:eastAsia="zh-CN"/>
        </w:rPr>
      </w:pPr>
      <w:r>
        <w:rPr>
          <w:rFonts w:hint="eastAsia"/>
          <w:lang w:val="en-US" w:eastAsia="zh-CN"/>
        </w:rPr>
        <w:t>10.  投标书格式</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lang w:val="en-US" w:eastAsia="zh-CN"/>
        </w:rPr>
        <w:t>10</w:t>
      </w:r>
      <w:r>
        <w:rPr>
          <w:rFonts w:hint="eastAsia" w:ascii="仿宋_GB2312" w:hAnsi="宋体" w:eastAsia="仿宋_GB2312" w:cs="宋体"/>
          <w:color w:val="auto"/>
          <w:sz w:val="28"/>
        </w:rPr>
        <w:t>.1  投标人应按招标文件提供的格式完整地填写所提供的货物、服务、数量及价格。未提供附件格式的由投标人自拟。</w:t>
      </w:r>
    </w:p>
    <w:p>
      <w:pPr>
        <w:pStyle w:val="4"/>
        <w:bidi w:val="0"/>
        <w:rPr>
          <w:rFonts w:hint="eastAsia"/>
          <w:lang w:val="en-US" w:eastAsia="zh-CN"/>
        </w:rPr>
      </w:pPr>
      <w:r>
        <w:rPr>
          <w:rFonts w:hint="eastAsia"/>
          <w:lang w:val="en-US" w:eastAsia="zh-CN"/>
        </w:rPr>
        <w:t>11.  投标报价</w:t>
      </w:r>
    </w:p>
    <w:p>
      <w:pPr>
        <w:pStyle w:val="42"/>
        <w:keepNext w:val="0"/>
        <w:keepLines w:val="0"/>
        <w:pageBreakBefore w:val="0"/>
        <w:widowControl w:val="0"/>
        <w:kinsoku/>
        <w:wordWrap/>
        <w:overflowPunct/>
        <w:topLinePunct w:val="0"/>
        <w:autoSpaceDE w:val="0"/>
        <w:autoSpaceDN w:val="0"/>
        <w:bidi w:val="0"/>
        <w:adjustRightInd w:val="0"/>
        <w:snapToGrid/>
        <w:spacing w:line="520" w:lineRule="exact"/>
        <w:ind w:firstLine="567"/>
        <w:jc w:val="both"/>
        <w:textAlignment w:val="auto"/>
        <w:rPr>
          <w:rFonts w:ascii="仿宋_GB2312" w:hAnsi="宋体" w:eastAsia="仿宋_GB2312" w:cs="宋体"/>
          <w:color w:val="auto"/>
          <w:sz w:val="28"/>
        </w:rPr>
      </w:pPr>
      <w:r>
        <w:rPr>
          <w:rFonts w:hint="eastAsia" w:ascii="仿宋_GB2312" w:hAnsi="宋体" w:eastAsia="仿宋_GB2312" w:cs="宋体"/>
          <w:color w:val="auto"/>
          <w:sz w:val="28"/>
          <w:lang w:val="en-US" w:eastAsia="zh-CN"/>
        </w:rPr>
        <w:t>11</w:t>
      </w:r>
      <w:r>
        <w:rPr>
          <w:rFonts w:hint="eastAsia" w:ascii="仿宋_GB2312" w:hAnsi="宋体" w:eastAsia="仿宋_GB2312" w:cs="宋体"/>
          <w:color w:val="auto"/>
          <w:sz w:val="28"/>
        </w:rPr>
        <w:t>.1  投标人应按招标文件所附的《开标一览表》和《投标产品名称、数量、规格及报价明细表》中的项目，标明拟提供货物和服务的单价和总价。如单价和总价不符，以单价累计为准。</w:t>
      </w:r>
    </w:p>
    <w:p>
      <w:pPr>
        <w:pStyle w:val="42"/>
        <w:keepNext w:val="0"/>
        <w:keepLines w:val="0"/>
        <w:pageBreakBefore w:val="0"/>
        <w:widowControl w:val="0"/>
        <w:kinsoku/>
        <w:wordWrap/>
        <w:overflowPunct/>
        <w:topLinePunct w:val="0"/>
        <w:autoSpaceDE w:val="0"/>
        <w:autoSpaceDN w:val="0"/>
        <w:bidi w:val="0"/>
        <w:adjustRightInd w:val="0"/>
        <w:snapToGrid/>
        <w:spacing w:line="520" w:lineRule="exact"/>
        <w:ind w:firstLine="567"/>
        <w:jc w:val="both"/>
        <w:textAlignment w:val="auto"/>
        <w:rPr>
          <w:rFonts w:ascii="仿宋_GB2312" w:hAnsi="宋体" w:eastAsia="仿宋_GB2312" w:cs="宋体"/>
          <w:color w:val="auto"/>
          <w:sz w:val="28"/>
        </w:rPr>
      </w:pPr>
      <w:r>
        <w:rPr>
          <w:rFonts w:hint="eastAsia" w:ascii="仿宋_GB2312" w:hAnsi="宋体" w:eastAsia="仿宋_GB2312" w:cs="宋体"/>
          <w:color w:val="auto"/>
          <w:sz w:val="28"/>
          <w:lang w:val="en-US" w:eastAsia="zh-CN"/>
        </w:rPr>
        <w:t>11</w:t>
      </w:r>
      <w:r>
        <w:rPr>
          <w:rFonts w:hint="eastAsia" w:ascii="仿宋_GB2312" w:hAnsi="宋体" w:eastAsia="仿宋_GB2312" w:cs="宋体"/>
          <w:color w:val="auto"/>
          <w:sz w:val="28"/>
        </w:rPr>
        <w:t>.2  本标只接受一个投标方案的一个报价。任何有选择性的报价将不予接受。</w:t>
      </w:r>
    </w:p>
    <w:p>
      <w:pPr>
        <w:pStyle w:val="42"/>
        <w:keepNext w:val="0"/>
        <w:keepLines w:val="0"/>
        <w:pageBreakBefore w:val="0"/>
        <w:widowControl w:val="0"/>
        <w:kinsoku/>
        <w:wordWrap/>
        <w:overflowPunct/>
        <w:topLinePunct w:val="0"/>
        <w:autoSpaceDE w:val="0"/>
        <w:autoSpaceDN w:val="0"/>
        <w:bidi w:val="0"/>
        <w:adjustRightInd w:val="0"/>
        <w:snapToGrid/>
        <w:spacing w:line="520" w:lineRule="exact"/>
        <w:ind w:firstLine="567"/>
        <w:jc w:val="both"/>
        <w:textAlignment w:val="auto"/>
        <w:rPr>
          <w:rFonts w:hint="eastAsia" w:ascii="仿宋_GB2312" w:hAnsi="宋体" w:eastAsia="仿宋_GB2312" w:cs="宋体"/>
          <w:color w:val="auto"/>
          <w:sz w:val="28"/>
        </w:rPr>
      </w:pPr>
      <w:r>
        <w:rPr>
          <w:rFonts w:hint="eastAsia" w:ascii="仿宋_GB2312" w:hAnsi="宋体" w:eastAsia="仿宋_GB2312" w:cs="宋体"/>
          <w:color w:val="auto"/>
          <w:sz w:val="28"/>
          <w:lang w:val="en-US" w:eastAsia="zh-CN"/>
        </w:rPr>
        <w:t>11</w:t>
      </w:r>
      <w:r>
        <w:rPr>
          <w:rFonts w:hint="eastAsia" w:ascii="仿宋_GB2312" w:hAnsi="宋体" w:eastAsia="仿宋_GB2312" w:cs="宋体"/>
          <w:color w:val="auto"/>
          <w:sz w:val="28"/>
        </w:rPr>
        <w:t>.3  投标人应按招标文件的要求对有关设计、设备及其配套服务的全部内容进行报价。投标报价应包括：清单内所包含所有内容、税金。</w:t>
      </w:r>
    </w:p>
    <w:p>
      <w:pPr>
        <w:pStyle w:val="4"/>
        <w:bidi w:val="0"/>
        <w:rPr>
          <w:rFonts w:hint="eastAsia"/>
          <w:lang w:val="en-US" w:eastAsia="zh-CN"/>
        </w:rPr>
      </w:pPr>
      <w:r>
        <w:rPr>
          <w:rFonts w:hint="eastAsia"/>
          <w:lang w:val="en-US" w:eastAsia="zh-CN"/>
        </w:rPr>
        <w:t>12.   投标货币</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lang w:val="en-US" w:eastAsia="zh-CN"/>
        </w:rPr>
        <w:t>12</w:t>
      </w:r>
      <w:r>
        <w:rPr>
          <w:rFonts w:hint="eastAsia" w:ascii="仿宋_GB2312" w:hAnsi="宋体" w:eastAsia="仿宋_GB2312" w:cs="宋体"/>
          <w:color w:val="auto"/>
          <w:sz w:val="28"/>
        </w:rPr>
        <w:t>.1  投标应以人民币报价。</w:t>
      </w:r>
    </w:p>
    <w:p>
      <w:pPr>
        <w:pStyle w:val="4"/>
        <w:bidi w:val="0"/>
        <w:rPr>
          <w:rFonts w:hint="eastAsia"/>
          <w:lang w:val="en-US" w:eastAsia="zh-CN"/>
        </w:rPr>
      </w:pPr>
      <w:r>
        <w:rPr>
          <w:rFonts w:hint="eastAsia"/>
          <w:lang w:val="en-US" w:eastAsia="zh-CN"/>
        </w:rPr>
        <w:t>13.  证明投标人合格和资格的文件</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lang w:val="en-US" w:eastAsia="zh-CN"/>
        </w:rPr>
        <w:t>13</w:t>
      </w:r>
      <w:r>
        <w:rPr>
          <w:rFonts w:hint="eastAsia" w:ascii="仿宋_GB2312" w:hAnsi="宋体" w:eastAsia="仿宋_GB2312" w:cs="宋体"/>
          <w:color w:val="auto"/>
          <w:sz w:val="28"/>
        </w:rPr>
        <w:t>.1  按照第9条规定，投标人应提交证明其有资格参加投标和一旦其投标被接受则有能力履行合同的文件，并作为其投标文件的一部分。</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lang w:val="en-US" w:eastAsia="zh-CN"/>
        </w:rPr>
        <w:t>13</w:t>
      </w:r>
      <w:r>
        <w:rPr>
          <w:rFonts w:hint="eastAsia" w:ascii="仿宋_GB2312" w:hAnsi="宋体" w:eastAsia="仿宋_GB2312" w:cs="宋体"/>
          <w:color w:val="auto"/>
          <w:sz w:val="28"/>
        </w:rPr>
        <w:t>.2 投标人应填写并提交招标文件所要求的资格证明类文件。</w:t>
      </w:r>
    </w:p>
    <w:p>
      <w:pPr>
        <w:pStyle w:val="4"/>
        <w:bidi w:val="0"/>
        <w:rPr>
          <w:rFonts w:hint="eastAsia"/>
          <w:lang w:val="en-US" w:eastAsia="zh-CN"/>
        </w:rPr>
      </w:pPr>
      <w:r>
        <w:rPr>
          <w:rFonts w:hint="eastAsia"/>
          <w:lang w:val="en-US" w:eastAsia="zh-CN"/>
        </w:rPr>
        <w:t>14.  证明货物的合格性和符合招标文件规定的文件</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4</w:t>
      </w:r>
      <w:r>
        <w:rPr>
          <w:rFonts w:hint="eastAsia" w:ascii="仿宋_GB2312" w:hAnsi="宋体" w:eastAsia="仿宋_GB2312" w:cs="宋体"/>
          <w:color w:val="auto"/>
          <w:sz w:val="28"/>
        </w:rPr>
        <w:t>.1  按照第9条规定，投标人应提交招标文件要求的货物及其服务的合格性及符合招标文件规定的证明文件。证明文件可以是手册、图纸和资料，并作为投标文件的一部分。</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4</w:t>
      </w:r>
      <w:r>
        <w:rPr>
          <w:rFonts w:hint="eastAsia" w:ascii="仿宋_GB2312" w:hAnsi="宋体" w:eastAsia="仿宋_GB2312" w:cs="宋体"/>
          <w:color w:val="auto"/>
          <w:sz w:val="28"/>
        </w:rPr>
        <w:t>.2  投标人应逐条阅读招标文件要求的技术规格条款要求，指出自己提供的货物和服务是否对招标文件做出实质性的响应，并认真填写招标文件所附的“技术规格偏离表”和“合同条款偏离表”。</w:t>
      </w:r>
    </w:p>
    <w:p>
      <w:pPr>
        <w:pStyle w:val="4"/>
        <w:bidi w:val="0"/>
        <w:rPr>
          <w:rFonts w:hint="eastAsia"/>
          <w:lang w:val="en-US" w:eastAsia="zh-CN"/>
        </w:rPr>
      </w:pPr>
      <w:r>
        <w:rPr>
          <w:rFonts w:hint="eastAsia"/>
          <w:lang w:val="en-US" w:eastAsia="zh-CN"/>
        </w:rPr>
        <w:t>15.  投标文件的有效期</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5</w:t>
      </w:r>
      <w:r>
        <w:rPr>
          <w:rFonts w:hint="eastAsia" w:ascii="仿宋_GB2312" w:hAnsi="宋体" w:eastAsia="仿宋_GB2312" w:cs="宋体"/>
          <w:color w:val="auto"/>
          <w:sz w:val="28"/>
        </w:rPr>
        <w:t>.1  投标文件从实际开标之日起 90天内有效。</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5</w:t>
      </w:r>
      <w:r>
        <w:rPr>
          <w:rFonts w:hint="eastAsia" w:ascii="仿宋_GB2312" w:hAnsi="宋体" w:eastAsia="仿宋_GB2312" w:cs="宋体"/>
          <w:color w:val="auto"/>
          <w:sz w:val="28"/>
        </w:rPr>
        <w:t>.2  在特殊情况下, 在原投标有效期届满之前，招标单位可与投标单位协商延长投标文件的有效期，并经投标方确认。</w:t>
      </w:r>
    </w:p>
    <w:p>
      <w:pPr>
        <w:pStyle w:val="4"/>
        <w:bidi w:val="0"/>
        <w:rPr>
          <w:rFonts w:hint="eastAsia"/>
          <w:lang w:val="en-US" w:eastAsia="zh-CN"/>
        </w:rPr>
      </w:pPr>
      <w:r>
        <w:rPr>
          <w:rFonts w:hint="eastAsia"/>
          <w:lang w:val="en-US" w:eastAsia="zh-CN"/>
        </w:rPr>
        <w:t>16.  投标文件的书写要求、签署及份数。</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6</w:t>
      </w:r>
      <w:r>
        <w:rPr>
          <w:rFonts w:hint="eastAsia" w:ascii="仿宋_GB2312" w:hAnsi="宋体" w:eastAsia="仿宋_GB2312" w:cs="宋体"/>
          <w:color w:val="auto"/>
          <w:sz w:val="28"/>
        </w:rPr>
        <w:t>.1  投标文件正本须用不褪色的墨水笔书写或打印。</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6</w:t>
      </w:r>
      <w:r>
        <w:rPr>
          <w:rFonts w:hint="eastAsia" w:ascii="仿宋_GB2312" w:hAnsi="宋体" w:eastAsia="仿宋_GB2312" w:cs="宋体"/>
          <w:color w:val="auto"/>
          <w:sz w:val="28"/>
        </w:rPr>
        <w:t>.2  投标文件的书写应清楚工整，修改处应由投标人授权代表签字或盖章。</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6</w:t>
      </w:r>
      <w:r>
        <w:rPr>
          <w:rFonts w:hint="eastAsia" w:ascii="仿宋_GB2312" w:hAnsi="宋体" w:eastAsia="仿宋_GB2312" w:cs="宋体"/>
          <w:color w:val="auto"/>
          <w:sz w:val="28"/>
        </w:rPr>
        <w:t>.3  未实质性响应招标文件、或者关键字迹潦草、关键内容表达不清、或者未按要求填写或可能导致非唯一理解的投标文件将被定为废标。</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6</w:t>
      </w:r>
      <w:r>
        <w:rPr>
          <w:rFonts w:hint="eastAsia" w:ascii="仿宋_GB2312" w:hAnsi="宋体" w:eastAsia="仿宋_GB2312" w:cs="宋体"/>
          <w:color w:val="auto"/>
          <w:sz w:val="28"/>
        </w:rPr>
        <w:t>.4  投标文件应由企业法人（负责人）或法人（负责人）授权代表在所有规定签章处逐一签章及加盖单位的公章。</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6</w:t>
      </w:r>
      <w:r>
        <w:rPr>
          <w:rFonts w:hint="eastAsia" w:ascii="仿宋_GB2312" w:hAnsi="宋体" w:eastAsia="仿宋_GB2312" w:cs="宋体"/>
          <w:color w:val="auto"/>
          <w:sz w:val="28"/>
        </w:rPr>
        <w:t>.5  投标文件的份数：详见《投标人须知前附表》。</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6</w:t>
      </w:r>
      <w:r>
        <w:rPr>
          <w:rFonts w:hint="eastAsia" w:ascii="仿宋_GB2312" w:hAnsi="宋体" w:eastAsia="仿宋_GB2312" w:cs="宋体"/>
          <w:color w:val="auto"/>
          <w:sz w:val="28"/>
        </w:rPr>
        <w:t>.6  投标人可根据需要自行编制其它附件。</w:t>
      </w:r>
    </w:p>
    <w:p>
      <w:pPr>
        <w:pStyle w:val="4"/>
        <w:bidi w:val="0"/>
        <w:rPr>
          <w:rFonts w:hint="eastAsia"/>
          <w:lang w:val="en-US" w:eastAsia="zh-CN"/>
        </w:rPr>
      </w:pPr>
      <w:r>
        <w:rPr>
          <w:rFonts w:hint="eastAsia"/>
          <w:lang w:val="en-US" w:eastAsia="zh-CN"/>
        </w:rPr>
        <w:t>17.  投标保证金</w:t>
      </w:r>
    </w:p>
    <w:p>
      <w:pPr>
        <w:spacing w:line="500" w:lineRule="exact"/>
        <w:ind w:firstLine="560" w:firstLineChars="200"/>
        <w:jc w:val="left"/>
        <w:rPr>
          <w:rFonts w:ascii="仿宋_GB2312" w:eastAsia="仿宋_GB2312" w:cs="宋体"/>
          <w:sz w:val="28"/>
          <w:szCs w:val="28"/>
        </w:rPr>
      </w:pPr>
      <w:r>
        <w:rPr>
          <w:rFonts w:hint="eastAsia" w:ascii="仿宋_GB2312" w:hAnsi="宋体" w:eastAsia="仿宋_GB2312" w:cs="宋体"/>
          <w:sz w:val="28"/>
        </w:rPr>
        <w:t>1</w:t>
      </w:r>
      <w:r>
        <w:rPr>
          <w:rFonts w:hint="eastAsia" w:ascii="仿宋_GB2312" w:hAnsi="宋体" w:eastAsia="仿宋_GB2312" w:cs="宋体"/>
          <w:sz w:val="28"/>
          <w:lang w:val="en-US" w:eastAsia="zh-CN"/>
        </w:rPr>
        <w:t>7</w:t>
      </w:r>
      <w:r>
        <w:rPr>
          <w:rFonts w:hint="eastAsia" w:ascii="仿宋_GB2312" w:hAnsi="宋体" w:eastAsia="仿宋_GB2312" w:cs="宋体"/>
          <w:sz w:val="28"/>
        </w:rPr>
        <w:t>.1  投标保证金金额：</w:t>
      </w:r>
      <w:r>
        <w:rPr>
          <w:rFonts w:hint="eastAsia" w:ascii="仿宋_GB2312" w:eastAsia="仿宋_GB2312" w:cs="宋体"/>
          <w:sz w:val="28"/>
          <w:szCs w:val="28"/>
        </w:rPr>
        <w:t>400000元</w:t>
      </w:r>
    </w:p>
    <w:p>
      <w:pPr>
        <w:spacing w:line="500" w:lineRule="exact"/>
        <w:ind w:firstLine="560" w:firstLineChars="200"/>
        <w:jc w:val="left"/>
        <w:rPr>
          <w:rFonts w:ascii="仿宋_GB2312" w:eastAsia="仿宋_GB2312" w:cs="宋体"/>
          <w:sz w:val="28"/>
          <w:szCs w:val="28"/>
        </w:rPr>
      </w:pPr>
      <w:r>
        <w:rPr>
          <w:rFonts w:hint="eastAsia" w:ascii="仿宋_GB2312" w:eastAsia="仿宋_GB2312" w:cs="宋体"/>
          <w:sz w:val="28"/>
          <w:szCs w:val="28"/>
        </w:rPr>
        <w:t>收款户名：库车市人民政府办公室</w:t>
      </w:r>
    </w:p>
    <w:p>
      <w:pPr>
        <w:spacing w:line="500" w:lineRule="exact"/>
        <w:ind w:firstLine="560" w:firstLineChars="200"/>
        <w:jc w:val="left"/>
        <w:rPr>
          <w:rFonts w:ascii="仿宋_GB2312" w:eastAsia="仿宋_GB2312" w:cs="宋体"/>
          <w:sz w:val="28"/>
          <w:szCs w:val="28"/>
        </w:rPr>
      </w:pPr>
      <w:r>
        <w:rPr>
          <w:rFonts w:hint="eastAsia" w:ascii="仿宋_GB2312" w:eastAsia="仿宋_GB2312" w:cs="宋体"/>
          <w:sz w:val="28"/>
          <w:szCs w:val="28"/>
        </w:rPr>
        <w:t>收款账号：3014120109026409338</w:t>
      </w:r>
    </w:p>
    <w:p>
      <w:pPr>
        <w:spacing w:line="500" w:lineRule="exact"/>
        <w:ind w:firstLine="560" w:firstLineChars="200"/>
        <w:jc w:val="left"/>
        <w:rPr>
          <w:rFonts w:ascii="仿宋_GB2312" w:eastAsia="仿宋_GB2312" w:cs="宋体"/>
          <w:sz w:val="28"/>
          <w:szCs w:val="28"/>
        </w:rPr>
      </w:pPr>
      <w:r>
        <w:rPr>
          <w:rFonts w:hint="eastAsia" w:ascii="仿宋_GB2312" w:eastAsia="仿宋_GB2312" w:cs="宋体"/>
          <w:sz w:val="28"/>
          <w:szCs w:val="28"/>
        </w:rPr>
        <w:t xml:space="preserve">开户银行：中国工商银行股份有限公司库车支行营业部 </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7</w:t>
      </w:r>
      <w:r>
        <w:rPr>
          <w:rFonts w:hint="eastAsia" w:ascii="仿宋_GB2312" w:hAnsi="宋体" w:eastAsia="仿宋_GB2312" w:cs="宋体"/>
          <w:color w:val="auto"/>
          <w:sz w:val="28"/>
        </w:rPr>
        <w:t>.2  投标保证金用于保护本次招标免受投标人的违规、违约行为而引起的风险。</w:t>
      </w:r>
    </w:p>
    <w:p>
      <w:pPr>
        <w:pStyle w:val="42"/>
        <w:spacing w:line="450" w:lineRule="exact"/>
        <w:ind w:firstLine="567"/>
        <w:jc w:val="both"/>
        <w:rPr>
          <w:rFonts w:ascii="仿宋_GB2312" w:hAnsi="宋体" w:eastAsia="仿宋_GB2312" w:cs="宋体"/>
          <w:b/>
          <w:bCs/>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7</w:t>
      </w:r>
      <w:r>
        <w:rPr>
          <w:rFonts w:hint="eastAsia" w:ascii="仿宋_GB2312" w:hAnsi="宋体" w:eastAsia="仿宋_GB2312" w:cs="宋体"/>
          <w:color w:val="auto"/>
          <w:sz w:val="28"/>
        </w:rPr>
        <w:t xml:space="preserve">.3  </w:t>
      </w:r>
      <w:r>
        <w:rPr>
          <w:rFonts w:hint="eastAsia" w:ascii="仿宋_GB2312" w:hAnsi="宋体" w:eastAsia="仿宋_GB2312" w:cs="宋体"/>
          <w:b/>
          <w:bCs/>
          <w:color w:val="auto"/>
          <w:sz w:val="28"/>
        </w:rPr>
        <w:t>投标保证金应当以支票、汇票、本票或者金融机构、担保机构出具的保函等非现金形式提交，投标人未按招标要求提交投标保证金的，作投标无效处理。</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7</w:t>
      </w:r>
      <w:r>
        <w:rPr>
          <w:rFonts w:hint="eastAsia" w:ascii="仿宋_GB2312" w:hAnsi="宋体" w:eastAsia="仿宋_GB2312" w:cs="宋体"/>
          <w:color w:val="auto"/>
          <w:sz w:val="28"/>
        </w:rPr>
        <w:t>.4   未中标单位的投标保证金，予以退还，不计利息。</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7</w:t>
      </w:r>
      <w:r>
        <w:rPr>
          <w:rFonts w:hint="eastAsia" w:ascii="仿宋_GB2312" w:hAnsi="宋体" w:eastAsia="仿宋_GB2312" w:cs="宋体"/>
          <w:color w:val="auto"/>
          <w:sz w:val="28"/>
        </w:rPr>
        <w:t>.5  发生以下情况投标保证金可能被没收：</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7</w:t>
      </w:r>
      <w:r>
        <w:rPr>
          <w:rFonts w:hint="eastAsia" w:ascii="仿宋_GB2312" w:hAnsi="宋体" w:eastAsia="仿宋_GB2312" w:cs="宋体"/>
          <w:color w:val="auto"/>
          <w:sz w:val="28"/>
        </w:rPr>
        <w:t>.6  如果投标人在投标有效期内撤回投标；</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7</w:t>
      </w:r>
      <w:r>
        <w:rPr>
          <w:rFonts w:hint="eastAsia" w:ascii="仿宋_GB2312" w:hAnsi="宋体" w:eastAsia="仿宋_GB2312" w:cs="宋体"/>
          <w:color w:val="auto"/>
          <w:sz w:val="28"/>
        </w:rPr>
        <w:t>.7  如果中标单位未能做到：</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a. 按29条规定签定合同；</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b. 有关缴纳中标服务费的规定；</w:t>
      </w:r>
    </w:p>
    <w:p>
      <w:pPr>
        <w:pStyle w:val="42"/>
        <w:spacing w:line="45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c. 如招标文件要求提交合同履约保证金，而中标单位未按规定提交的。</w:t>
      </w:r>
    </w:p>
    <w:p>
      <w:pPr>
        <w:pStyle w:val="42"/>
        <w:spacing w:line="450" w:lineRule="exact"/>
        <w:ind w:firstLine="567"/>
        <w:jc w:val="both"/>
        <w:rPr>
          <w:rFonts w:ascii="仿宋_GB2312" w:hAnsi="宋体" w:eastAsia="仿宋_GB2312" w:cs="宋体"/>
          <w:b/>
          <w:bCs/>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7</w:t>
      </w:r>
      <w:r>
        <w:rPr>
          <w:rFonts w:hint="eastAsia" w:ascii="仿宋_GB2312" w:hAnsi="宋体" w:eastAsia="仿宋_GB2312" w:cs="宋体"/>
          <w:color w:val="auto"/>
          <w:sz w:val="28"/>
        </w:rPr>
        <w:t xml:space="preserve">.8  </w:t>
      </w:r>
      <w:r>
        <w:rPr>
          <w:rFonts w:hint="eastAsia" w:ascii="仿宋_GB2312" w:hAnsi="宋体" w:eastAsia="仿宋_GB2312" w:cs="宋体"/>
          <w:b/>
          <w:bCs/>
          <w:color w:val="auto"/>
          <w:sz w:val="28"/>
        </w:rPr>
        <w:t>中标人在招标结果公告发布后三个工作日内，应主动将投标保证金票据原件送至库车市政务服务和公共资源交易中心经办人。</w:t>
      </w:r>
    </w:p>
    <w:p>
      <w:pPr>
        <w:pStyle w:val="42"/>
        <w:spacing w:line="450" w:lineRule="exact"/>
        <w:ind w:firstLine="567"/>
        <w:jc w:val="both"/>
        <w:rPr>
          <w:rFonts w:ascii="仿宋_GB2312" w:hAnsi="宋体" w:eastAsia="仿宋_GB2312" w:cs="宋体"/>
          <w:b/>
          <w:bCs/>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7</w:t>
      </w:r>
      <w:r>
        <w:rPr>
          <w:rFonts w:hint="eastAsia" w:ascii="仿宋_GB2312" w:hAnsi="宋体" w:eastAsia="仿宋_GB2312" w:cs="宋体"/>
          <w:color w:val="auto"/>
          <w:sz w:val="28"/>
        </w:rPr>
        <w:t xml:space="preserve">.9  </w:t>
      </w:r>
      <w:r>
        <w:rPr>
          <w:rFonts w:hint="eastAsia" w:ascii="仿宋_GB2312" w:hAnsi="宋体" w:eastAsia="仿宋_GB2312" w:cs="宋体"/>
          <w:b/>
          <w:bCs/>
          <w:color w:val="auto"/>
          <w:sz w:val="28"/>
        </w:rPr>
        <w:t>中标人在招标结果公告发布后，应主动与采购单位联系，及时签订合同，并持双方签订合同的原件及复印件到库车市政务服务和公共资源交易中心办理退还投标保证金票据。</w:t>
      </w:r>
    </w:p>
    <w:p>
      <w:pPr>
        <w:pStyle w:val="42"/>
        <w:spacing w:line="450" w:lineRule="exact"/>
        <w:ind w:firstLine="567"/>
        <w:jc w:val="both"/>
        <w:rPr>
          <w:rFonts w:ascii="仿宋_GB2312" w:hAnsi="宋体" w:eastAsia="仿宋_GB2312" w:cs="宋体"/>
          <w:b/>
          <w:bCs/>
          <w:color w:val="auto"/>
          <w:sz w:val="28"/>
        </w:rPr>
      </w:pPr>
    </w:p>
    <w:p>
      <w:pPr>
        <w:rPr>
          <w:rFonts w:ascii="仿宋_GB2312" w:hAnsi="宋体" w:eastAsia="仿宋_GB2312" w:cs="宋体"/>
          <w:b/>
          <w:bCs/>
          <w:color w:val="auto"/>
          <w:sz w:val="28"/>
        </w:rPr>
      </w:pPr>
      <w:r>
        <w:rPr>
          <w:rFonts w:ascii="仿宋_GB2312" w:hAnsi="宋体" w:eastAsia="仿宋_GB2312" w:cs="宋体"/>
          <w:b/>
          <w:bCs/>
          <w:color w:val="auto"/>
          <w:sz w:val="28"/>
        </w:rPr>
        <w:br w:type="page"/>
      </w:r>
    </w:p>
    <w:p>
      <w:pPr>
        <w:pStyle w:val="42"/>
        <w:spacing w:before="312" w:beforeLines="100" w:after="156" w:afterLines="50" w:line="540" w:lineRule="exact"/>
        <w:jc w:val="center"/>
        <w:outlineLvl w:val="0"/>
        <w:rPr>
          <w:rFonts w:ascii="仿宋_GB2312" w:eastAsia="仿宋_GB2312" w:cs="宋体"/>
          <w:color w:val="auto"/>
          <w:sz w:val="28"/>
        </w:rPr>
      </w:pPr>
      <w:r>
        <w:rPr>
          <w:rFonts w:hint="eastAsia" w:ascii="仿宋_GB2312" w:hAnsi="宋体" w:eastAsia="仿宋_GB2312" w:cs="宋体"/>
          <w:b/>
          <w:color w:val="auto"/>
          <w:sz w:val="28"/>
        </w:rPr>
        <w:t>四、投标文件的递交</w:t>
      </w:r>
    </w:p>
    <w:p>
      <w:pPr>
        <w:pStyle w:val="4"/>
        <w:bidi w:val="0"/>
      </w:pPr>
      <w:r>
        <w:rPr>
          <w:rFonts w:hint="eastAsia"/>
          <w:lang w:val="en-US" w:eastAsia="zh-CN"/>
        </w:rPr>
        <w:t>18</w:t>
      </w:r>
      <w:r>
        <w:rPr>
          <w:rFonts w:hint="eastAsia"/>
        </w:rPr>
        <w:t>.  投标文件的密封与标记</w:t>
      </w:r>
    </w:p>
    <w:p>
      <w:pPr>
        <w:pStyle w:val="42"/>
        <w:spacing w:line="500" w:lineRule="exact"/>
        <w:ind w:firstLine="567"/>
        <w:jc w:val="both"/>
        <w:rPr>
          <w:rFonts w:ascii="仿宋_GB2312" w:eastAsia="仿宋_GB2312" w:cs="宋体"/>
          <w:color w:val="auto"/>
          <w:sz w:val="28"/>
        </w:rPr>
      </w:pPr>
      <w:r>
        <w:rPr>
          <w:rFonts w:hint="eastAsia" w:ascii="仿宋_GB2312" w:hAnsi="宋体" w:eastAsia="仿宋_GB2312" w:cs="宋体"/>
          <w:color w:val="auto"/>
          <w:sz w:val="28"/>
        </w:rPr>
        <w:t>1</w:t>
      </w:r>
      <w:r>
        <w:rPr>
          <w:rFonts w:hint="eastAsia" w:ascii="仿宋_GB2312" w:hAnsi="宋体" w:eastAsia="仿宋_GB2312" w:cs="宋体"/>
          <w:color w:val="auto"/>
          <w:sz w:val="28"/>
          <w:lang w:val="en-US" w:eastAsia="zh-CN"/>
        </w:rPr>
        <w:t>8</w:t>
      </w:r>
      <w:r>
        <w:rPr>
          <w:rFonts w:hint="eastAsia" w:ascii="仿宋_GB2312" w:hAnsi="宋体" w:eastAsia="仿宋_GB2312" w:cs="宋体"/>
          <w:color w:val="auto"/>
          <w:sz w:val="28"/>
        </w:rPr>
        <w:t>.1  投标人须将加密的投标文件在截止时间前上传至政采云不见面开标系统。</w:t>
      </w:r>
    </w:p>
    <w:p>
      <w:pPr>
        <w:pStyle w:val="4"/>
        <w:bidi w:val="0"/>
        <w:rPr>
          <w:rFonts w:hint="eastAsia"/>
          <w:lang w:val="en-US" w:eastAsia="zh-CN"/>
        </w:rPr>
      </w:pPr>
      <w:r>
        <w:rPr>
          <w:rFonts w:hint="eastAsia"/>
          <w:lang w:val="en-US" w:eastAsia="zh-CN"/>
        </w:rPr>
        <w:t>19.  投标文件递交的截止日期</w:t>
      </w:r>
    </w:p>
    <w:p>
      <w:pPr>
        <w:pStyle w:val="42"/>
        <w:spacing w:line="500" w:lineRule="exact"/>
        <w:ind w:firstLine="567"/>
        <w:jc w:val="both"/>
        <w:rPr>
          <w:rFonts w:hint="eastAsia" w:ascii="仿宋_GB2312" w:hAnsi="宋体" w:eastAsia="仿宋_GB2312" w:cs="宋体"/>
          <w:color w:val="auto"/>
          <w:sz w:val="28"/>
        </w:rPr>
      </w:pPr>
      <w:r>
        <w:rPr>
          <w:rFonts w:hint="eastAsia" w:ascii="仿宋_GB2312" w:hAnsi="宋体" w:eastAsia="仿宋_GB2312" w:cs="宋体"/>
          <w:color w:val="auto"/>
          <w:sz w:val="28"/>
          <w:lang w:val="en-US" w:eastAsia="zh-CN"/>
        </w:rPr>
        <w:t>19</w:t>
      </w:r>
      <w:r>
        <w:rPr>
          <w:rFonts w:hint="eastAsia" w:ascii="仿宋_GB2312" w:hAnsi="宋体" w:eastAsia="仿宋_GB2312" w:cs="宋体"/>
          <w:color w:val="auto"/>
          <w:sz w:val="28"/>
        </w:rPr>
        <w:t>.1  投标人必须在《投标人须知前附表》中规定的时间之前将加密的投标文件上传至政采云不见面开标系统。</w:t>
      </w:r>
    </w:p>
    <w:p>
      <w:pPr>
        <w:pStyle w:val="42"/>
        <w:spacing w:line="500" w:lineRule="exact"/>
        <w:ind w:firstLine="567"/>
        <w:jc w:val="both"/>
        <w:rPr>
          <w:rFonts w:hint="eastAsia" w:ascii="仿宋_GB2312" w:hAnsi="宋体" w:eastAsia="仿宋_GB2312" w:cs="宋体"/>
          <w:color w:val="auto"/>
          <w:sz w:val="28"/>
        </w:rPr>
      </w:pPr>
      <w:r>
        <w:rPr>
          <w:rFonts w:hint="eastAsia" w:ascii="仿宋_GB2312" w:hAnsi="宋体" w:eastAsia="仿宋_GB2312" w:cs="宋体"/>
          <w:color w:val="auto"/>
          <w:sz w:val="28"/>
          <w:lang w:val="en-US" w:eastAsia="zh-CN"/>
        </w:rPr>
        <w:t>19</w:t>
      </w:r>
      <w:r>
        <w:rPr>
          <w:rFonts w:hint="eastAsia" w:ascii="仿宋_GB2312" w:hAnsi="宋体" w:eastAsia="仿宋_GB2312" w:cs="宋体"/>
          <w:color w:val="auto"/>
          <w:sz w:val="28"/>
        </w:rPr>
        <w:t>.2  超过招标文件规定的投标截止时间送达的投标文件将不予接受。</w:t>
      </w:r>
    </w:p>
    <w:p>
      <w:pPr>
        <w:pStyle w:val="4"/>
        <w:bidi w:val="0"/>
        <w:rPr>
          <w:rFonts w:hint="eastAsia"/>
          <w:lang w:val="en-US" w:eastAsia="zh-CN"/>
        </w:rPr>
      </w:pPr>
      <w:r>
        <w:rPr>
          <w:rFonts w:hint="eastAsia"/>
          <w:lang w:val="en-US" w:eastAsia="zh-CN"/>
        </w:rPr>
        <w:t>20.  投标文件的修改和撤销</w:t>
      </w:r>
    </w:p>
    <w:p>
      <w:pPr>
        <w:pStyle w:val="42"/>
        <w:spacing w:line="500" w:lineRule="exact"/>
        <w:ind w:firstLine="567"/>
        <w:jc w:val="both"/>
        <w:rPr>
          <w:rFonts w:hint="eastAsia" w:ascii="仿宋_GB2312" w:hAnsi="宋体" w:eastAsia="仿宋_GB2312" w:cs="宋体"/>
          <w:color w:val="auto"/>
          <w:sz w:val="28"/>
          <w:lang w:val="en-US" w:eastAsia="zh-CN"/>
        </w:rPr>
      </w:pPr>
      <w:r>
        <w:rPr>
          <w:rFonts w:hint="eastAsia" w:ascii="仿宋_GB2312" w:hAnsi="宋体" w:eastAsia="仿宋_GB2312" w:cs="宋体"/>
          <w:color w:val="auto"/>
          <w:sz w:val="28"/>
          <w:lang w:val="en-US" w:eastAsia="zh-CN"/>
        </w:rPr>
        <w:t>20.1  投标截止时间以后，不允许对投标文件进行修改。</w:t>
      </w:r>
    </w:p>
    <w:p>
      <w:pPr>
        <w:pStyle w:val="42"/>
        <w:spacing w:line="500" w:lineRule="exact"/>
        <w:ind w:firstLine="567"/>
        <w:jc w:val="both"/>
        <w:rPr>
          <w:rFonts w:hint="eastAsia" w:ascii="仿宋_GB2312" w:hAnsi="宋体" w:eastAsia="仿宋_GB2312" w:cs="宋体"/>
          <w:color w:val="auto"/>
          <w:sz w:val="28"/>
          <w:lang w:val="en-US" w:eastAsia="zh-CN"/>
        </w:rPr>
      </w:pPr>
      <w:r>
        <w:rPr>
          <w:rFonts w:hint="eastAsia" w:ascii="仿宋_GB2312" w:hAnsi="宋体" w:eastAsia="仿宋_GB2312" w:cs="宋体"/>
          <w:color w:val="auto"/>
          <w:sz w:val="28"/>
          <w:lang w:val="en-US" w:eastAsia="zh-CN"/>
        </w:rPr>
        <w:t>20.2  投标人不得在投标截止时间起至投标文件有效期满前撤销投标文件，否则其投标保证金将被没收。</w:t>
      </w:r>
    </w:p>
    <w:p>
      <w:pPr>
        <w:pStyle w:val="42"/>
        <w:spacing w:before="312" w:beforeLines="100" w:after="156" w:afterLines="50" w:line="540" w:lineRule="exact"/>
        <w:ind w:firstLine="3373" w:firstLineChars="1200"/>
        <w:jc w:val="both"/>
        <w:outlineLvl w:val="0"/>
        <w:rPr>
          <w:rFonts w:ascii="仿宋_GB2312" w:eastAsia="仿宋_GB2312" w:cs="宋体"/>
          <w:b/>
          <w:color w:val="auto"/>
          <w:sz w:val="28"/>
        </w:rPr>
      </w:pPr>
      <w:r>
        <w:rPr>
          <w:rFonts w:hint="eastAsia" w:ascii="仿宋_GB2312" w:hAnsi="宋体" w:eastAsia="仿宋_GB2312" w:cs="宋体"/>
          <w:b/>
          <w:color w:val="auto"/>
          <w:sz w:val="28"/>
        </w:rPr>
        <w:t>五、开  标</w:t>
      </w:r>
    </w:p>
    <w:p>
      <w:pPr>
        <w:pStyle w:val="4"/>
        <w:bidi w:val="0"/>
        <w:rPr>
          <w:rFonts w:hint="eastAsia"/>
          <w:lang w:val="en-US" w:eastAsia="zh-CN"/>
        </w:rPr>
      </w:pPr>
      <w:r>
        <w:rPr>
          <w:rFonts w:hint="eastAsia"/>
          <w:lang w:val="en-US" w:eastAsia="zh-CN"/>
        </w:rPr>
        <w:t>21.  开标</w:t>
      </w:r>
    </w:p>
    <w:p>
      <w:pPr>
        <w:pStyle w:val="42"/>
        <w:spacing w:line="540" w:lineRule="exact"/>
        <w:ind w:left="1" w:firstLine="562" w:firstLineChars="201"/>
        <w:jc w:val="both"/>
        <w:rPr>
          <w:rFonts w:ascii="仿宋_GB2312" w:eastAsia="仿宋_GB2312" w:cs="宋体"/>
          <w:color w:val="auto"/>
          <w:sz w:val="28"/>
          <w:u w:val="single"/>
        </w:rPr>
      </w:pPr>
      <w:r>
        <w:rPr>
          <w:rFonts w:hint="eastAsia" w:ascii="仿宋_GB2312" w:hAnsi="宋体" w:eastAsia="仿宋_GB2312" w:cs="宋体"/>
          <w:color w:val="auto"/>
          <w:sz w:val="28"/>
          <w:lang w:val="en-US" w:eastAsia="zh-CN"/>
        </w:rPr>
        <w:t>21</w:t>
      </w:r>
      <w:r>
        <w:rPr>
          <w:rFonts w:hint="eastAsia" w:ascii="仿宋_GB2312" w:hAnsi="宋体" w:eastAsia="仿宋_GB2312" w:cs="宋体"/>
          <w:color w:val="auto"/>
          <w:sz w:val="28"/>
        </w:rPr>
        <w:t>.1  除非政府采购中心另外书面通知，本标将按本招标文件《投标人须知前附表》中规定的时间和地点开标。</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21</w:t>
      </w:r>
      <w:r>
        <w:rPr>
          <w:rFonts w:hint="eastAsia" w:ascii="仿宋_GB2312" w:hAnsi="宋体" w:eastAsia="仿宋_GB2312" w:cs="宋体"/>
          <w:color w:val="auto"/>
          <w:sz w:val="28"/>
        </w:rPr>
        <w:t>.2 开标时，有关行政监督部门或公证处的工作人员将对投标人进行资格审查。</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21</w:t>
      </w:r>
      <w:r>
        <w:rPr>
          <w:rFonts w:hint="eastAsia" w:ascii="仿宋_GB2312" w:hAnsi="宋体" w:eastAsia="仿宋_GB2312" w:cs="宋体"/>
          <w:color w:val="auto"/>
          <w:sz w:val="28"/>
        </w:rPr>
        <w:t>.3 唱标完毕后，如果投标人对所唱《开标一览表》内容有异议，应当场立即提出。经现场监标人员确认，认为有必要重新唱标的，由唱标员重新唱标，无异议请在不见面开标平台进行签章确认。</w:t>
      </w:r>
    </w:p>
    <w:p>
      <w:pPr>
        <w:pStyle w:val="42"/>
        <w:spacing w:line="54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lang w:val="en-US" w:eastAsia="zh-CN"/>
        </w:rPr>
        <w:t>21</w:t>
      </w:r>
      <w:r>
        <w:rPr>
          <w:rFonts w:hint="eastAsia" w:ascii="仿宋_GB2312" w:hAnsi="宋体" w:eastAsia="仿宋_GB2312" w:cs="宋体"/>
          <w:color w:val="auto"/>
          <w:sz w:val="28"/>
        </w:rPr>
        <w:t>.4 所有唱标均记录在案，并经监标人员的签字，作为各投标人投标文件的组成部分。</w:t>
      </w:r>
    </w:p>
    <w:p>
      <w:pPr>
        <w:pStyle w:val="42"/>
        <w:spacing w:line="540" w:lineRule="exact"/>
        <w:ind w:firstLine="567"/>
        <w:jc w:val="center"/>
        <w:rPr>
          <w:rFonts w:ascii="仿宋_GB2312" w:hAnsi="宋体" w:eastAsia="仿宋_GB2312" w:cs="宋体"/>
          <w:b/>
          <w:color w:val="auto"/>
          <w:sz w:val="28"/>
        </w:rPr>
      </w:pPr>
    </w:p>
    <w:p>
      <w:pPr>
        <w:pStyle w:val="42"/>
        <w:spacing w:before="312" w:beforeLines="100" w:after="156" w:afterLines="50" w:line="540" w:lineRule="exact"/>
        <w:ind w:firstLine="3373" w:firstLineChars="1200"/>
        <w:jc w:val="both"/>
        <w:outlineLvl w:val="0"/>
        <w:rPr>
          <w:rFonts w:ascii="仿宋_GB2312" w:eastAsia="仿宋_GB2312" w:cs="宋体"/>
          <w:b/>
          <w:color w:val="auto"/>
          <w:sz w:val="28"/>
        </w:rPr>
      </w:pPr>
      <w:r>
        <w:rPr>
          <w:rFonts w:hint="eastAsia" w:ascii="仿宋_GB2312" w:hAnsi="宋体" w:eastAsia="仿宋_GB2312" w:cs="宋体"/>
          <w:b/>
          <w:color w:val="auto"/>
          <w:sz w:val="28"/>
        </w:rPr>
        <w:t>六、评标和定标</w:t>
      </w:r>
    </w:p>
    <w:p>
      <w:pPr>
        <w:pStyle w:val="4"/>
        <w:bidi w:val="0"/>
        <w:rPr>
          <w:rFonts w:hint="eastAsia"/>
          <w:lang w:val="en-US" w:eastAsia="zh-CN"/>
        </w:rPr>
      </w:pPr>
      <w:r>
        <w:rPr>
          <w:rFonts w:hint="eastAsia"/>
          <w:lang w:val="en-US" w:eastAsia="zh-CN"/>
        </w:rPr>
        <w:t>22. 评标原则</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22</w:t>
      </w:r>
      <w:r>
        <w:rPr>
          <w:rFonts w:hint="eastAsia" w:ascii="仿宋_GB2312" w:hAnsi="宋体" w:eastAsia="仿宋_GB2312" w:cs="宋体"/>
          <w:color w:val="auto"/>
          <w:sz w:val="28"/>
        </w:rPr>
        <w:t>.1本标的评标遵循公平、公正、科学、择优的原则。</w:t>
      </w:r>
    </w:p>
    <w:p>
      <w:pPr>
        <w:pStyle w:val="42"/>
        <w:spacing w:line="540" w:lineRule="exact"/>
        <w:ind w:firstLine="567"/>
        <w:jc w:val="both"/>
        <w:rPr>
          <w:rFonts w:ascii="仿宋_GB2312" w:eastAsia="仿宋_GB2312" w:cs="宋体"/>
          <w:color w:val="auto"/>
          <w:sz w:val="28"/>
          <w:szCs w:val="28"/>
        </w:rPr>
      </w:pPr>
      <w:r>
        <w:rPr>
          <w:rFonts w:hint="eastAsia" w:ascii="仿宋_GB2312" w:hAnsi="宋体" w:eastAsia="仿宋_GB2312" w:cs="宋体"/>
          <w:color w:val="auto"/>
          <w:sz w:val="28"/>
          <w:szCs w:val="28"/>
          <w:lang w:val="en-US" w:eastAsia="zh-CN"/>
        </w:rPr>
        <w:t>22</w:t>
      </w:r>
      <w:r>
        <w:rPr>
          <w:rFonts w:hint="eastAsia" w:ascii="仿宋_GB2312" w:hAnsi="宋体" w:eastAsia="仿宋_GB2312" w:cs="宋体"/>
          <w:color w:val="auto"/>
          <w:sz w:val="28"/>
          <w:szCs w:val="28"/>
        </w:rPr>
        <w:t>.2评标委员会将严格按照《中华人民共和国招标投标法》、《评标委员会和评标方法暂行规定》（国家发改委第12号令）、</w:t>
      </w:r>
      <w:r>
        <w:rPr>
          <w:rFonts w:hint="eastAsia" w:ascii="仿宋_GB2312" w:hAnsi="宋体" w:eastAsia="仿宋_GB2312" w:cs="宋体"/>
          <w:b/>
          <w:bCs/>
          <w:color w:val="auto"/>
          <w:sz w:val="28"/>
          <w:szCs w:val="28"/>
        </w:rPr>
        <w:t>《工程建设项目货物招标投标办法》（国家七部委第27号令）等相关法律法规的规定依法</w:t>
      </w:r>
      <w:r>
        <w:rPr>
          <w:rFonts w:hint="eastAsia" w:ascii="仿宋_GB2312" w:hAnsi="宋体" w:eastAsia="仿宋_GB2312" w:cs="宋体"/>
          <w:color w:val="auto"/>
          <w:sz w:val="28"/>
          <w:szCs w:val="28"/>
        </w:rPr>
        <w:t>评标，维护招标投标各方当事人的合法权益。评标工作由招标人依法组建的评标委员会负责。本项目评标委员会由</w:t>
      </w:r>
      <w:r>
        <w:rPr>
          <w:rFonts w:hint="eastAsia" w:ascii="仿宋_GB2312" w:hAnsi="宋体" w:eastAsia="仿宋_GB2312" w:cs="宋体"/>
          <w:color w:val="auto"/>
          <w:sz w:val="28"/>
          <w:szCs w:val="28"/>
          <w:u w:val="single"/>
        </w:rPr>
        <w:t>7</w:t>
      </w:r>
      <w:r>
        <w:rPr>
          <w:rFonts w:hint="eastAsia" w:ascii="仿宋_GB2312" w:hAnsi="宋体" w:eastAsia="仿宋_GB2312" w:cs="宋体"/>
          <w:color w:val="auto"/>
          <w:sz w:val="28"/>
          <w:szCs w:val="28"/>
        </w:rPr>
        <w:t>人组成，其中：随机抽取专家</w:t>
      </w:r>
      <w:r>
        <w:rPr>
          <w:rFonts w:hint="eastAsia" w:ascii="仿宋_GB2312" w:hAnsi="宋体" w:eastAsia="仿宋_GB2312" w:cs="宋体"/>
          <w:color w:val="auto"/>
          <w:sz w:val="28"/>
          <w:szCs w:val="28"/>
          <w:u w:val="single"/>
        </w:rPr>
        <w:t>7</w:t>
      </w:r>
      <w:r>
        <w:rPr>
          <w:rFonts w:hint="eastAsia" w:ascii="仿宋_GB2312" w:hAnsi="宋体" w:eastAsia="仿宋_GB2312" w:cs="宋体"/>
          <w:color w:val="auto"/>
          <w:sz w:val="28"/>
          <w:szCs w:val="28"/>
        </w:rPr>
        <w:t>人。</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22</w:t>
      </w:r>
      <w:r>
        <w:rPr>
          <w:rFonts w:hint="eastAsia" w:ascii="仿宋_GB2312" w:hAnsi="宋体" w:eastAsia="仿宋_GB2312" w:cs="宋体"/>
          <w:color w:val="auto"/>
          <w:sz w:val="28"/>
        </w:rPr>
        <w:t>.3不徇私情，不明招暗定。</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22</w:t>
      </w:r>
      <w:r>
        <w:rPr>
          <w:rFonts w:hint="eastAsia" w:ascii="仿宋_GB2312" w:hAnsi="宋体" w:eastAsia="仿宋_GB2312" w:cs="宋体"/>
          <w:color w:val="auto"/>
          <w:sz w:val="28"/>
        </w:rPr>
        <w:t>.4资格审查合格的投标人，均有同等机会参加竞争。</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22</w:t>
      </w:r>
      <w:r>
        <w:rPr>
          <w:rFonts w:hint="eastAsia" w:ascii="仿宋_GB2312" w:hAnsi="宋体" w:eastAsia="仿宋_GB2312" w:cs="宋体"/>
          <w:color w:val="auto"/>
          <w:sz w:val="28"/>
        </w:rPr>
        <w:t>.5评标人员不得私自泄露评标内容，不得进行旨在影响评标结果公正、公平的任何活动。</w:t>
      </w:r>
    </w:p>
    <w:p>
      <w:pPr>
        <w:pStyle w:val="4"/>
        <w:bidi w:val="0"/>
        <w:rPr>
          <w:rFonts w:hint="eastAsia"/>
          <w:lang w:val="en-US" w:eastAsia="zh-CN"/>
        </w:rPr>
      </w:pPr>
      <w:r>
        <w:rPr>
          <w:rFonts w:hint="eastAsia"/>
          <w:lang w:val="en-US" w:eastAsia="zh-CN"/>
        </w:rPr>
        <w:t>23. 评标方法</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23</w:t>
      </w:r>
      <w:r>
        <w:rPr>
          <w:rFonts w:hint="eastAsia" w:ascii="仿宋_GB2312" w:hAnsi="宋体" w:eastAsia="仿宋_GB2312" w:cs="宋体"/>
          <w:color w:val="auto"/>
          <w:sz w:val="28"/>
        </w:rPr>
        <w:t>.1  本次招标的评标委员会将根据有关法律法规的规定组建。评标委员会成员由招标人代表以及本行业相关技术、经济等方面的专家组成。其中，技术、经济等方面的专家不少于成员总人数的三分之二。</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23</w:t>
      </w:r>
      <w:r>
        <w:rPr>
          <w:rFonts w:hint="eastAsia" w:ascii="仿宋_GB2312" w:hAnsi="宋体" w:eastAsia="仿宋_GB2312" w:cs="宋体"/>
          <w:color w:val="auto"/>
          <w:sz w:val="28"/>
        </w:rPr>
        <w:t>.2  评标的依据为招标文件和投标文件。根据相关法律法规的规定，评标委员会不以任何外部证据作为其评标的依据或标准。</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rPr>
        <w:t>2</w:t>
      </w:r>
      <w:r>
        <w:rPr>
          <w:rFonts w:hint="eastAsia" w:ascii="仿宋_GB2312" w:hAnsi="宋体" w:eastAsia="仿宋_GB2312" w:cs="宋体"/>
          <w:color w:val="auto"/>
          <w:sz w:val="28"/>
          <w:lang w:val="en-US" w:eastAsia="zh-CN"/>
        </w:rPr>
        <w:t>3</w:t>
      </w:r>
      <w:r>
        <w:rPr>
          <w:rFonts w:hint="eastAsia" w:ascii="仿宋_GB2312" w:hAnsi="宋体" w:eastAsia="仿宋_GB2312" w:cs="宋体"/>
          <w:color w:val="auto"/>
          <w:sz w:val="28"/>
        </w:rPr>
        <w:t>.3  评标过程将严格保密。开标后直到授予中标单位合同止，凡是属于审查、澄清、评价和比较的有关评标资料以及授标建议等均不得向投标人或其他无关的人员透露。</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rPr>
        <w:t>2</w:t>
      </w:r>
      <w:r>
        <w:rPr>
          <w:rFonts w:hint="eastAsia" w:ascii="仿宋_GB2312" w:hAnsi="宋体" w:eastAsia="仿宋_GB2312" w:cs="宋体"/>
          <w:color w:val="auto"/>
          <w:sz w:val="28"/>
          <w:lang w:val="en-US" w:eastAsia="zh-CN"/>
        </w:rPr>
        <w:t>3</w:t>
      </w:r>
      <w:r>
        <w:rPr>
          <w:rFonts w:hint="eastAsia" w:ascii="仿宋_GB2312" w:hAnsi="宋体" w:eastAsia="仿宋_GB2312" w:cs="宋体"/>
          <w:color w:val="auto"/>
          <w:sz w:val="28"/>
        </w:rPr>
        <w:t>.4  在评标的整个过程中，投标人所进行的旨在影响评标结果的活动，可能导致其投标被拒绝，或者被取消中标资格。</w:t>
      </w:r>
    </w:p>
    <w:p>
      <w:pPr>
        <w:pStyle w:val="42"/>
        <w:spacing w:line="54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2</w:t>
      </w:r>
      <w:r>
        <w:rPr>
          <w:rFonts w:hint="eastAsia" w:ascii="仿宋_GB2312" w:hAnsi="宋体" w:eastAsia="仿宋_GB2312" w:cs="宋体"/>
          <w:color w:val="auto"/>
          <w:sz w:val="28"/>
          <w:lang w:val="en-US" w:eastAsia="zh-CN"/>
        </w:rPr>
        <w:t>3</w:t>
      </w:r>
      <w:r>
        <w:rPr>
          <w:rFonts w:hint="eastAsia" w:ascii="仿宋_GB2312" w:hAnsi="宋体" w:eastAsia="仿宋_GB2312" w:cs="宋体"/>
          <w:color w:val="auto"/>
          <w:sz w:val="28"/>
        </w:rPr>
        <w:t>.5  本标采用资格后审的方式确定合格的投标人。</w:t>
      </w:r>
    </w:p>
    <w:p>
      <w:pPr>
        <w:pStyle w:val="42"/>
        <w:spacing w:line="540" w:lineRule="exact"/>
        <w:ind w:firstLine="567"/>
        <w:jc w:val="both"/>
        <w:rPr>
          <w:rFonts w:ascii="仿宋_GB2312" w:hAnsi="宋体" w:eastAsia="仿宋_GB2312" w:cs="宋体"/>
          <w:color w:val="auto"/>
          <w:sz w:val="28"/>
          <w:highlight w:val="none"/>
        </w:rPr>
      </w:pPr>
      <w:r>
        <w:rPr>
          <w:rFonts w:hint="eastAsia" w:ascii="仿宋_GB2312" w:hAnsi="宋体" w:eastAsia="仿宋_GB2312" w:cs="宋体"/>
          <w:color w:val="auto"/>
          <w:sz w:val="28"/>
          <w:highlight w:val="none"/>
        </w:rPr>
        <w:t>2</w:t>
      </w:r>
      <w:r>
        <w:rPr>
          <w:rFonts w:hint="eastAsia" w:ascii="仿宋_GB2312" w:hAnsi="宋体" w:eastAsia="仿宋_GB2312" w:cs="宋体"/>
          <w:color w:val="auto"/>
          <w:sz w:val="28"/>
          <w:highlight w:val="none"/>
          <w:lang w:val="en-US" w:eastAsia="zh-CN"/>
        </w:rPr>
        <w:t>3</w:t>
      </w:r>
      <w:r>
        <w:rPr>
          <w:rFonts w:hint="eastAsia" w:ascii="仿宋_GB2312" w:hAnsi="宋体" w:eastAsia="仿宋_GB2312" w:cs="宋体"/>
          <w:color w:val="auto"/>
          <w:sz w:val="28"/>
          <w:highlight w:val="none"/>
        </w:rPr>
        <w:t>.5.1 当采用资格后审方式时，投标人在提交的投标文件中必须提供第9.1条款要求的声明和文件。</w:t>
      </w:r>
    </w:p>
    <w:p>
      <w:pPr>
        <w:pStyle w:val="42"/>
        <w:spacing w:line="54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2</w:t>
      </w:r>
      <w:r>
        <w:rPr>
          <w:rFonts w:hint="eastAsia" w:ascii="仿宋_GB2312" w:hAnsi="宋体" w:eastAsia="仿宋_GB2312" w:cs="宋体"/>
          <w:color w:val="auto"/>
          <w:sz w:val="28"/>
          <w:lang w:val="en-US" w:eastAsia="zh-CN"/>
        </w:rPr>
        <w:t>3</w:t>
      </w:r>
      <w:r>
        <w:rPr>
          <w:rFonts w:hint="eastAsia" w:ascii="仿宋_GB2312" w:hAnsi="宋体" w:eastAsia="仿宋_GB2312" w:cs="宋体"/>
          <w:color w:val="auto"/>
          <w:sz w:val="28"/>
        </w:rPr>
        <w:t>.5.2 资格后审不合格的投标人的投标将被拒绝。</w:t>
      </w:r>
    </w:p>
    <w:p>
      <w:pPr>
        <w:pStyle w:val="42"/>
        <w:spacing w:line="54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rPr>
        <w:t>2</w:t>
      </w:r>
      <w:r>
        <w:rPr>
          <w:rFonts w:hint="eastAsia" w:ascii="仿宋_GB2312" w:hAnsi="宋体" w:eastAsia="仿宋_GB2312" w:cs="宋体"/>
          <w:color w:val="auto"/>
          <w:sz w:val="28"/>
          <w:lang w:val="en-US" w:eastAsia="zh-CN"/>
        </w:rPr>
        <w:t>3</w:t>
      </w:r>
      <w:r>
        <w:rPr>
          <w:rFonts w:hint="eastAsia" w:ascii="仿宋_GB2312" w:hAnsi="宋体" w:eastAsia="仿宋_GB2312" w:cs="宋体"/>
          <w:color w:val="auto"/>
          <w:sz w:val="28"/>
        </w:rPr>
        <w:t>.6 本次招标采用综合评估法进行评标。评标分初步评审和详细评审两个阶段。其中，详细评审为投标报价评审、商务标评审和技术标评审三部分。只有通过初步评审的投标文件才可进入详细评审阶段。</w:t>
      </w:r>
    </w:p>
    <w:p>
      <w:pPr>
        <w:pStyle w:val="42"/>
        <w:spacing w:line="540" w:lineRule="exact"/>
        <w:ind w:firstLine="567"/>
        <w:jc w:val="both"/>
        <w:rPr>
          <w:rFonts w:ascii="仿宋_GB2312" w:eastAsia="仿宋_GB2312" w:cs="宋体"/>
          <w:b/>
          <w:color w:val="auto"/>
          <w:sz w:val="28"/>
        </w:rPr>
      </w:pPr>
      <w:r>
        <w:rPr>
          <w:rFonts w:hint="eastAsia" w:ascii="仿宋_GB2312" w:hAnsi="宋体" w:eastAsia="仿宋_GB2312" w:cs="宋体"/>
          <w:color w:val="auto"/>
          <w:sz w:val="28"/>
        </w:rPr>
        <w:t>2</w:t>
      </w:r>
      <w:r>
        <w:rPr>
          <w:rFonts w:hint="eastAsia" w:ascii="仿宋_GB2312" w:hAnsi="宋体" w:eastAsia="仿宋_GB2312" w:cs="宋体"/>
          <w:color w:val="auto"/>
          <w:sz w:val="28"/>
          <w:lang w:val="en-US" w:eastAsia="zh-CN"/>
        </w:rPr>
        <w:t>3</w:t>
      </w:r>
      <w:r>
        <w:rPr>
          <w:rFonts w:hint="eastAsia" w:ascii="仿宋_GB2312" w:hAnsi="宋体" w:eastAsia="仿宋_GB2312" w:cs="宋体"/>
          <w:color w:val="auto"/>
          <w:sz w:val="28"/>
        </w:rPr>
        <w:t>.7 初步评审是指对投标文件的符合性检查，以判定其内容是否真实可靠，是否满足招标文件的最基本的实质性要求，是否存在重大偏离。重大偏离系指投标文件的有效性、真实性、合同的供货范围、质量、性能和规格等内容在实质上与招标文件形成了重大的不一致，而这种不一致可能限制了买方的权力和投标人的义务，纠正或承认这些偏离将会对该投标人和其它投标人合理的竞争地位产生不公正的影响。与招标文件有重大偏离的投标文件将被拒绝。具体评审内容系指：</w:t>
      </w:r>
    </w:p>
    <w:p>
      <w:pPr>
        <w:pStyle w:val="21"/>
        <w:widowControl w:val="0"/>
        <w:spacing w:beforeAutospacing="0" w:afterAutospacing="0" w:line="540" w:lineRule="exact"/>
        <w:ind w:firstLine="560" w:firstLineChars="20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.7.1投标人不满足本招标文件关于对投标人资格证明文件的规定；</w:t>
      </w:r>
    </w:p>
    <w:p>
      <w:pPr>
        <w:pStyle w:val="21"/>
        <w:widowControl w:val="0"/>
        <w:spacing w:beforeAutospacing="0" w:afterAutospacing="0" w:line="540" w:lineRule="exact"/>
        <w:ind w:firstLine="560" w:firstLineChars="20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.7.2投标文件组成不完整，主要内容未能按招标文件规定的内容、格式填写、装订；</w:t>
      </w:r>
    </w:p>
    <w:p>
      <w:pPr>
        <w:pStyle w:val="21"/>
        <w:widowControl w:val="0"/>
        <w:spacing w:beforeAutospacing="0" w:afterAutospacing="0" w:line="540" w:lineRule="exact"/>
        <w:ind w:firstLine="560" w:firstLineChars="20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.7.3投标人没有按照招标文件的要求提供投标保证金，或者所提供的投标保证金有瑕疵；</w:t>
      </w:r>
    </w:p>
    <w:p>
      <w:pPr>
        <w:pStyle w:val="21"/>
        <w:widowControl w:val="0"/>
        <w:spacing w:beforeAutospacing="0" w:afterAutospacing="0" w:line="540" w:lineRule="exact"/>
        <w:ind w:firstLine="560" w:firstLineChars="20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.7.4投标文件的有效期不满足招标文件的规定；</w:t>
      </w:r>
    </w:p>
    <w:p>
      <w:pPr>
        <w:pStyle w:val="21"/>
        <w:widowControl w:val="0"/>
        <w:spacing w:beforeAutospacing="0" w:afterAutospacing="0" w:line="540" w:lineRule="exact"/>
        <w:ind w:firstLine="560" w:firstLineChars="20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.7.5投标文件没有投标人授权代表签字和加盖公章；</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rPr>
        <w:t>2</w:t>
      </w:r>
      <w:r>
        <w:rPr>
          <w:rFonts w:hint="eastAsia" w:ascii="仿宋_GB2312" w:hAnsi="宋体" w:eastAsia="仿宋_GB2312" w:cs="宋体"/>
          <w:color w:val="auto"/>
          <w:sz w:val="28"/>
          <w:lang w:val="en-US" w:eastAsia="zh-CN"/>
        </w:rPr>
        <w:t>3</w:t>
      </w:r>
      <w:r>
        <w:rPr>
          <w:rFonts w:hint="eastAsia" w:ascii="仿宋_GB2312" w:hAnsi="宋体" w:eastAsia="仿宋_GB2312" w:cs="宋体"/>
          <w:color w:val="auto"/>
          <w:sz w:val="28"/>
        </w:rPr>
        <w:t>.7.6投标文件没有按照规定在应由企业法人（负责人）或法人（负责人）授权代表在所有规定签章处逐一签章及加盖单位公章的。</w:t>
      </w:r>
    </w:p>
    <w:p>
      <w:pPr>
        <w:pStyle w:val="21"/>
        <w:widowControl w:val="0"/>
        <w:spacing w:beforeAutospacing="0" w:afterAutospacing="0" w:line="540" w:lineRule="exact"/>
        <w:ind w:firstLine="560" w:firstLineChars="20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.7.7投标代表授权书未能由法定代表人（负责人）签章；</w:t>
      </w:r>
    </w:p>
    <w:p>
      <w:pPr>
        <w:pStyle w:val="21"/>
        <w:widowControl w:val="0"/>
        <w:spacing w:beforeAutospacing="0" w:afterAutospacing="0" w:line="540" w:lineRule="exact"/>
        <w:ind w:firstLine="560" w:firstLineChars="20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.7.8投标文件针对每一种货物出现了两个或两个以上的报价；</w:t>
      </w:r>
    </w:p>
    <w:p>
      <w:pPr>
        <w:pStyle w:val="21"/>
        <w:widowControl w:val="0"/>
        <w:spacing w:beforeAutospacing="0" w:afterAutospacing="0" w:line="540" w:lineRule="exact"/>
        <w:ind w:firstLine="560" w:firstLineChars="20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.7.9明显不符合招标文件关于对招标设备技术规格和标准的要求；</w:t>
      </w:r>
    </w:p>
    <w:p>
      <w:pPr>
        <w:pStyle w:val="21"/>
        <w:widowControl w:val="0"/>
        <w:spacing w:beforeAutospacing="0" w:afterAutospacing="0" w:line="520" w:lineRule="exact"/>
        <w:ind w:firstLine="560" w:firstLineChars="20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.7.10投标文件载明的招标项目交货期限超过招标文件规定的期限；</w:t>
      </w:r>
    </w:p>
    <w:p>
      <w:pPr>
        <w:pStyle w:val="21"/>
        <w:widowControl w:val="0"/>
        <w:spacing w:beforeAutospacing="0" w:afterAutospacing="0" w:line="520" w:lineRule="exact"/>
        <w:ind w:firstLine="560" w:firstLineChars="20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.7.11投标文件载明的供货范围、货物包装方式、检验标准和方法等不符合招标文件的要求；</w:t>
      </w:r>
    </w:p>
    <w:p>
      <w:pPr>
        <w:pStyle w:val="21"/>
        <w:widowControl w:val="0"/>
        <w:spacing w:beforeAutospacing="0" w:afterAutospacing="0" w:line="520" w:lineRule="exact"/>
        <w:ind w:firstLine="560" w:firstLineChars="20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.7.12投标价格高于或等于预算价的。</w:t>
      </w:r>
    </w:p>
    <w:p>
      <w:pPr>
        <w:pStyle w:val="21"/>
        <w:widowControl w:val="0"/>
        <w:spacing w:beforeAutospacing="0" w:afterAutospacing="0" w:line="520" w:lineRule="exact"/>
        <w:ind w:firstLine="57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.7.13投标人近三年</w:t>
      </w:r>
      <w:r>
        <w:rPr>
          <w:rFonts w:hint="eastAsia" w:ascii="仿宋_GB2312" w:hAnsi="宋体" w:eastAsia="仿宋_GB2312" w:cs="宋体"/>
          <w:sz w:val="28"/>
          <w:lang w:eastAsia="zh-CN"/>
        </w:rPr>
        <w:t>（</w:t>
      </w:r>
      <w:r>
        <w:rPr>
          <w:rFonts w:hint="eastAsia" w:ascii="仿宋_GB2312" w:hAnsi="宋体" w:eastAsia="仿宋_GB2312" w:cs="宋体"/>
          <w:sz w:val="28"/>
          <w:lang w:val="en-US" w:eastAsia="zh-CN"/>
        </w:rPr>
        <w:t>2019年-2021年</w:t>
      </w:r>
      <w:r>
        <w:rPr>
          <w:rFonts w:hint="eastAsia" w:ascii="仿宋_GB2312" w:hAnsi="宋体" w:eastAsia="仿宋_GB2312" w:cs="宋体"/>
          <w:sz w:val="28"/>
          <w:lang w:eastAsia="zh-CN"/>
        </w:rPr>
        <w:t>）</w:t>
      </w:r>
      <w:r>
        <w:rPr>
          <w:rFonts w:hint="eastAsia" w:ascii="仿宋_GB2312" w:hAnsi="宋体" w:eastAsia="仿宋_GB2312" w:cs="宋体"/>
          <w:sz w:val="28"/>
        </w:rPr>
        <w:t>的财务报表出现连续亏损，且其亏损数额较大，对其履约存在潜在重大影响的；</w:t>
      </w:r>
    </w:p>
    <w:p>
      <w:pPr>
        <w:pStyle w:val="21"/>
        <w:widowControl w:val="0"/>
        <w:spacing w:beforeAutospacing="0" w:afterAutospacing="0" w:line="520" w:lineRule="exact"/>
        <w:ind w:firstLine="57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.7.14投标文件附有招标人不能接受的其他条件；</w:t>
      </w:r>
    </w:p>
    <w:p>
      <w:pPr>
        <w:pStyle w:val="21"/>
        <w:widowControl w:val="0"/>
        <w:spacing w:beforeAutospacing="0" w:afterAutospacing="0" w:line="520" w:lineRule="exact"/>
        <w:ind w:firstLine="570"/>
        <w:rPr>
          <w:rFonts w:ascii="仿宋_GB2312" w:hAnsi="宋体" w:eastAsia="仿宋_GB2312" w:cs="宋体"/>
          <w:b/>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.7.15不符合招标文件中规定的其他实质性要求。</w:t>
      </w:r>
    </w:p>
    <w:p>
      <w:pPr>
        <w:pStyle w:val="21"/>
        <w:widowControl w:val="0"/>
        <w:spacing w:beforeAutospacing="0" w:afterAutospacing="0" w:line="520" w:lineRule="exact"/>
        <w:ind w:firstLine="570"/>
        <w:rPr>
          <w:rFonts w:ascii="仿宋_GB2312" w:hAnsi="宋体" w:eastAsia="仿宋_GB2312" w:cs="宋体"/>
          <w:sz w:val="28"/>
        </w:rPr>
      </w:pPr>
      <w:r>
        <w:rPr>
          <w:rFonts w:hint="eastAsia" w:ascii="仿宋_GB2312" w:hAnsi="宋体" w:eastAsia="仿宋_GB2312" w:cs="宋体"/>
          <w:sz w:val="28"/>
        </w:rPr>
        <w:t>2</w:t>
      </w:r>
      <w:r>
        <w:rPr>
          <w:rFonts w:hint="eastAsia" w:ascii="仿宋_GB2312" w:hAnsi="宋体" w:eastAsia="仿宋_GB2312" w:cs="宋体"/>
          <w:sz w:val="28"/>
          <w:lang w:val="en-US" w:eastAsia="zh-CN"/>
        </w:rPr>
        <w:t>3</w:t>
      </w:r>
      <w:r>
        <w:rPr>
          <w:rFonts w:hint="eastAsia" w:ascii="仿宋_GB2312" w:hAnsi="宋体" w:eastAsia="仿宋_GB2312" w:cs="宋体"/>
          <w:sz w:val="28"/>
        </w:rPr>
        <w:t>.8 对通过初步评审的投标文件，评标委员会将对其进行算术性修正。算术性修正是指对投标文件的报价明细进行校核，并对其算术上和运算上的差错给予修正。修正的原则如下：</w:t>
      </w:r>
    </w:p>
    <w:p>
      <w:pPr>
        <w:pStyle w:val="21"/>
        <w:widowControl w:val="0"/>
        <w:spacing w:beforeAutospacing="0" w:afterAutospacing="0" w:line="520" w:lineRule="exact"/>
        <w:ind w:firstLine="570"/>
        <w:rPr>
          <w:rFonts w:ascii="仿宋_GB2312" w:hAnsi="宋体" w:eastAsia="仿宋_GB2312" w:cs="宋体"/>
          <w:sz w:val="28"/>
          <w:highlight w:val="none"/>
        </w:rPr>
      </w:pPr>
      <w:r>
        <w:rPr>
          <w:rFonts w:hint="eastAsia" w:ascii="仿宋_GB2312" w:hAnsi="宋体" w:eastAsia="仿宋_GB2312" w:cs="宋体"/>
          <w:sz w:val="28"/>
          <w:highlight w:val="none"/>
        </w:rPr>
        <w:t>2</w:t>
      </w:r>
      <w:r>
        <w:rPr>
          <w:rFonts w:hint="eastAsia" w:ascii="仿宋_GB2312" w:hAnsi="宋体" w:eastAsia="仿宋_GB2312" w:cs="宋体"/>
          <w:sz w:val="28"/>
          <w:highlight w:val="none"/>
          <w:lang w:val="en-US" w:eastAsia="zh-CN"/>
        </w:rPr>
        <w:t>3</w:t>
      </w:r>
      <w:r>
        <w:rPr>
          <w:rFonts w:hint="eastAsia" w:ascii="仿宋_GB2312" w:hAnsi="宋体" w:eastAsia="仿宋_GB2312" w:cs="宋体"/>
          <w:sz w:val="28"/>
          <w:highlight w:val="none"/>
        </w:rPr>
        <w:t>.8.1 当以数字表示的金额与文字表示的金额有差异时，以文字表示的金额为准（有明细报价和单价的，应以23.8.2条和23.8.3条的表述为准）；</w:t>
      </w:r>
    </w:p>
    <w:p>
      <w:pPr>
        <w:pStyle w:val="21"/>
        <w:widowControl w:val="0"/>
        <w:spacing w:beforeAutospacing="0" w:afterAutospacing="0" w:line="520" w:lineRule="exact"/>
        <w:ind w:firstLine="570"/>
        <w:rPr>
          <w:rFonts w:ascii="仿宋_GB2312" w:hAnsi="宋体" w:eastAsia="仿宋_GB2312" w:cs="宋体"/>
          <w:sz w:val="28"/>
          <w:highlight w:val="none"/>
        </w:rPr>
      </w:pPr>
      <w:r>
        <w:rPr>
          <w:rFonts w:hint="eastAsia" w:ascii="仿宋_GB2312" w:hAnsi="宋体" w:eastAsia="仿宋_GB2312" w:cs="宋体"/>
          <w:sz w:val="28"/>
          <w:highlight w:val="none"/>
        </w:rPr>
        <w:t>2</w:t>
      </w:r>
      <w:r>
        <w:rPr>
          <w:rFonts w:hint="eastAsia" w:ascii="仿宋_GB2312" w:hAnsi="宋体" w:eastAsia="仿宋_GB2312" w:cs="宋体"/>
          <w:sz w:val="28"/>
          <w:highlight w:val="none"/>
          <w:lang w:val="en-US" w:eastAsia="zh-CN"/>
        </w:rPr>
        <w:t>3</w:t>
      </w:r>
      <w:r>
        <w:rPr>
          <w:rFonts w:hint="eastAsia" w:ascii="仿宋_GB2312" w:hAnsi="宋体" w:eastAsia="仿宋_GB2312" w:cs="宋体"/>
          <w:sz w:val="28"/>
          <w:highlight w:val="none"/>
        </w:rPr>
        <w:t>.8.2 当单价与数量相乘不等于合价时，以单价计算为准。如果单价有明显的小数点位置差错，应以标出的合价为准，同时对单价予以修正；</w:t>
      </w:r>
    </w:p>
    <w:p>
      <w:pPr>
        <w:pStyle w:val="21"/>
        <w:widowControl w:val="0"/>
        <w:spacing w:beforeAutospacing="0" w:afterAutospacing="0" w:line="520" w:lineRule="exact"/>
        <w:ind w:firstLine="570"/>
        <w:rPr>
          <w:rFonts w:ascii="仿宋_GB2312" w:hAnsi="宋体" w:eastAsia="仿宋_GB2312" w:cs="宋体"/>
          <w:sz w:val="28"/>
          <w:highlight w:val="none"/>
        </w:rPr>
      </w:pPr>
      <w:r>
        <w:rPr>
          <w:rFonts w:hint="eastAsia" w:ascii="仿宋_GB2312" w:hAnsi="宋体" w:eastAsia="仿宋_GB2312" w:cs="宋体"/>
          <w:sz w:val="28"/>
          <w:highlight w:val="none"/>
        </w:rPr>
        <w:t>2</w:t>
      </w:r>
      <w:r>
        <w:rPr>
          <w:rFonts w:hint="eastAsia" w:ascii="仿宋_GB2312" w:hAnsi="宋体" w:eastAsia="仿宋_GB2312" w:cs="宋体"/>
          <w:sz w:val="28"/>
          <w:highlight w:val="none"/>
          <w:lang w:val="en-US" w:eastAsia="zh-CN"/>
        </w:rPr>
        <w:t>3</w:t>
      </w:r>
      <w:r>
        <w:rPr>
          <w:rFonts w:hint="eastAsia" w:ascii="仿宋_GB2312" w:hAnsi="宋体" w:eastAsia="仿宋_GB2312" w:cs="宋体"/>
          <w:sz w:val="28"/>
          <w:highlight w:val="none"/>
        </w:rPr>
        <w:t>.8.3 当各明细部分的价格累计不等于合价时，应以各明细的累计计数为准，修正合价。</w:t>
      </w:r>
    </w:p>
    <w:p>
      <w:pPr>
        <w:pStyle w:val="44"/>
        <w:spacing w:line="520" w:lineRule="exact"/>
        <w:ind w:firstLine="560"/>
        <w:jc w:val="both"/>
        <w:rPr>
          <w:rFonts w:hAnsi="宋体" w:cs="宋体"/>
          <w:b w:val="0"/>
          <w:kern w:val="0"/>
          <w:sz w:val="28"/>
        </w:rPr>
      </w:pPr>
      <w:r>
        <w:rPr>
          <w:rFonts w:hint="eastAsia" w:hAnsi="宋体" w:cs="宋体"/>
          <w:b w:val="0"/>
          <w:kern w:val="0"/>
          <w:sz w:val="28"/>
        </w:rPr>
        <w:t>2</w:t>
      </w:r>
      <w:r>
        <w:rPr>
          <w:rFonts w:hint="eastAsia" w:hAnsi="宋体" w:cs="宋体"/>
          <w:b w:val="0"/>
          <w:kern w:val="0"/>
          <w:sz w:val="28"/>
          <w:lang w:val="en-US" w:eastAsia="zh-CN"/>
        </w:rPr>
        <w:t>3</w:t>
      </w:r>
      <w:r>
        <w:rPr>
          <w:rFonts w:hint="eastAsia" w:hAnsi="宋体" w:cs="宋体"/>
          <w:b w:val="0"/>
          <w:kern w:val="0"/>
          <w:sz w:val="28"/>
        </w:rPr>
        <w:t>.8.4 按以上原则对算术性差错的修正，应取得投标人的同意，并确认修正后的最终投标价。如果投标人拒绝确认，则其投标文件将不予以评审并按废标处理，没收其投标担保。</w:t>
      </w:r>
    </w:p>
    <w:p>
      <w:pPr>
        <w:pStyle w:val="44"/>
        <w:spacing w:line="520" w:lineRule="exact"/>
        <w:ind w:firstLine="560"/>
        <w:jc w:val="both"/>
        <w:rPr>
          <w:rFonts w:hAnsi="宋体" w:cs="宋体"/>
          <w:b w:val="0"/>
          <w:kern w:val="0"/>
          <w:sz w:val="28"/>
        </w:rPr>
      </w:pPr>
      <w:r>
        <w:rPr>
          <w:rFonts w:hint="eastAsia" w:hAnsi="宋体" w:cs="宋体"/>
          <w:b w:val="0"/>
          <w:kern w:val="0"/>
          <w:sz w:val="28"/>
        </w:rPr>
        <w:t>2</w:t>
      </w:r>
      <w:r>
        <w:rPr>
          <w:rFonts w:hint="eastAsia" w:hAnsi="宋体" w:cs="宋体"/>
          <w:b w:val="0"/>
          <w:kern w:val="0"/>
          <w:sz w:val="28"/>
          <w:lang w:val="en-US" w:eastAsia="zh-CN"/>
        </w:rPr>
        <w:t>3</w:t>
      </w:r>
      <w:r>
        <w:rPr>
          <w:rFonts w:hint="eastAsia" w:hAnsi="宋体" w:cs="宋体"/>
          <w:b w:val="0"/>
          <w:kern w:val="0"/>
          <w:sz w:val="28"/>
        </w:rPr>
        <w:t>.8.5评标委员会将拒绝被定为实质上非响应性的投标，投标人不能通过修正或撤销不符之处而使其投标成为响应性投标。</w:t>
      </w:r>
    </w:p>
    <w:p>
      <w:pPr>
        <w:pStyle w:val="44"/>
        <w:spacing w:line="520" w:lineRule="exact"/>
        <w:ind w:firstLine="560"/>
        <w:jc w:val="both"/>
        <w:rPr>
          <w:rFonts w:hAnsi="宋体" w:cs="宋体"/>
          <w:b w:val="0"/>
          <w:kern w:val="0"/>
          <w:sz w:val="28"/>
        </w:rPr>
      </w:pPr>
      <w:r>
        <w:rPr>
          <w:rFonts w:hint="eastAsia" w:hAnsi="宋体" w:cs="宋体"/>
          <w:b w:val="0"/>
          <w:kern w:val="0"/>
          <w:sz w:val="28"/>
        </w:rPr>
        <w:t>2</w:t>
      </w:r>
      <w:r>
        <w:rPr>
          <w:rFonts w:hint="eastAsia" w:hAnsi="宋体" w:cs="宋体"/>
          <w:b w:val="0"/>
          <w:kern w:val="0"/>
          <w:sz w:val="28"/>
          <w:lang w:val="en-US" w:eastAsia="zh-CN"/>
        </w:rPr>
        <w:t>3</w:t>
      </w:r>
      <w:r>
        <w:rPr>
          <w:rFonts w:hint="eastAsia" w:hAnsi="宋体" w:cs="宋体"/>
          <w:b w:val="0"/>
          <w:kern w:val="0"/>
          <w:sz w:val="28"/>
        </w:rPr>
        <w:t>.8.6 评标委员会将允许投标中有微小的不正规、不一致或不规则，而该微小之处不构成重大偏离。</w:t>
      </w:r>
    </w:p>
    <w:p>
      <w:pPr>
        <w:pStyle w:val="44"/>
        <w:spacing w:line="520" w:lineRule="exact"/>
        <w:ind w:firstLine="560"/>
        <w:jc w:val="both"/>
        <w:rPr>
          <w:rFonts w:hAnsi="宋体" w:cs="宋体"/>
          <w:b w:val="0"/>
          <w:bCs/>
          <w:kern w:val="0"/>
          <w:sz w:val="28"/>
        </w:rPr>
      </w:pPr>
      <w:r>
        <w:rPr>
          <w:rFonts w:hint="eastAsia" w:hAnsi="宋体" w:cs="宋体"/>
          <w:b w:val="0"/>
          <w:bCs/>
          <w:kern w:val="0"/>
          <w:sz w:val="28"/>
        </w:rPr>
        <w:t>2</w:t>
      </w:r>
      <w:r>
        <w:rPr>
          <w:rFonts w:hint="eastAsia" w:hAnsi="宋体" w:cs="宋体"/>
          <w:b w:val="0"/>
          <w:bCs/>
          <w:kern w:val="0"/>
          <w:sz w:val="28"/>
          <w:lang w:val="en-US" w:eastAsia="zh-CN"/>
        </w:rPr>
        <w:t>3</w:t>
      </w:r>
      <w:r>
        <w:rPr>
          <w:rFonts w:hint="eastAsia" w:hAnsi="宋体" w:cs="宋体"/>
          <w:b w:val="0"/>
          <w:bCs/>
          <w:kern w:val="0"/>
          <w:sz w:val="28"/>
        </w:rPr>
        <w:t>.9 通过初步评审及算术性修正的投标文件将进入详细评审阶段。</w:t>
      </w:r>
    </w:p>
    <w:p>
      <w:pPr>
        <w:pStyle w:val="44"/>
        <w:spacing w:line="520" w:lineRule="exact"/>
        <w:ind w:firstLine="560"/>
        <w:jc w:val="both"/>
        <w:rPr>
          <w:rFonts w:hAnsi="宋体" w:cs="宋体"/>
          <w:b w:val="0"/>
          <w:bCs/>
          <w:kern w:val="0"/>
          <w:sz w:val="28"/>
        </w:rPr>
      </w:pPr>
      <w:r>
        <w:rPr>
          <w:rFonts w:hint="eastAsia" w:hAnsi="宋体" w:cs="宋体"/>
          <w:b w:val="0"/>
          <w:bCs/>
          <w:kern w:val="0"/>
          <w:sz w:val="28"/>
        </w:rPr>
        <w:t>2</w:t>
      </w:r>
      <w:r>
        <w:rPr>
          <w:rFonts w:hint="eastAsia" w:hAnsi="宋体" w:cs="宋体"/>
          <w:b w:val="0"/>
          <w:bCs/>
          <w:kern w:val="0"/>
          <w:sz w:val="28"/>
          <w:lang w:val="en-US" w:eastAsia="zh-CN"/>
        </w:rPr>
        <w:t>3</w:t>
      </w:r>
      <w:r>
        <w:rPr>
          <w:rFonts w:hint="eastAsia" w:hAnsi="宋体" w:cs="宋体"/>
          <w:b w:val="0"/>
          <w:bCs/>
          <w:kern w:val="0"/>
          <w:sz w:val="28"/>
        </w:rPr>
        <w:t>.9.1 最低报价不作为评标的唯一依据。招标人不承诺将合同授予报价最低的投标人。</w:t>
      </w:r>
    </w:p>
    <w:p>
      <w:pPr>
        <w:pStyle w:val="4"/>
        <w:bidi w:val="0"/>
        <w:rPr>
          <w:rFonts w:hint="eastAsia"/>
          <w:lang w:val="en-US" w:eastAsia="zh-CN"/>
        </w:rPr>
      </w:pPr>
      <w:r>
        <w:rPr>
          <w:rFonts w:hint="eastAsia"/>
          <w:lang w:val="en-US" w:eastAsia="zh-CN"/>
        </w:rPr>
        <w:t>24 投标文件的澄清</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24</w:t>
      </w:r>
      <w:r>
        <w:rPr>
          <w:rFonts w:hint="eastAsia" w:hAnsi="宋体" w:cs="宋体"/>
          <w:b w:val="0"/>
          <w:bCs/>
          <w:kern w:val="0"/>
          <w:sz w:val="28"/>
        </w:rPr>
        <w:t>.1  评标委员会在评标过程中有权随时请投标人就投标文件中含混之处加以澄清或答疑。</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24</w:t>
      </w:r>
      <w:r>
        <w:rPr>
          <w:rFonts w:hint="eastAsia" w:hAnsi="宋体" w:cs="宋体"/>
          <w:b w:val="0"/>
          <w:bCs/>
          <w:kern w:val="0"/>
          <w:sz w:val="28"/>
        </w:rPr>
        <w:t>.2  投标人对要求澄清的问题应以书面形式明确答复，并应有法人（负责人）授权代表的签章。</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24</w:t>
      </w:r>
      <w:r>
        <w:rPr>
          <w:rFonts w:hint="eastAsia" w:hAnsi="宋体" w:cs="宋体"/>
          <w:b w:val="0"/>
          <w:bCs/>
          <w:kern w:val="0"/>
          <w:sz w:val="28"/>
        </w:rPr>
        <w:t>.3  投标人的澄清文件是投标文件的组成部分，并取代投标文件中被澄清的部分。</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24</w:t>
      </w:r>
      <w:r>
        <w:rPr>
          <w:rFonts w:hint="eastAsia" w:hAnsi="宋体" w:cs="宋体"/>
          <w:b w:val="0"/>
          <w:bCs/>
          <w:kern w:val="0"/>
          <w:sz w:val="28"/>
        </w:rPr>
        <w:t>.4  投标文件的澄清不得改变投标的实质内容。</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24</w:t>
      </w:r>
      <w:r>
        <w:rPr>
          <w:rFonts w:hint="eastAsia" w:hAnsi="宋体" w:cs="宋体"/>
          <w:b w:val="0"/>
          <w:bCs/>
          <w:kern w:val="0"/>
          <w:sz w:val="28"/>
        </w:rPr>
        <w:t>.5  如果投标人在投标文件中未对招标文件中的条款或参数要求提出偏离意见或澄清，将视同投标人同意、确认或接受招标文件的全部或相应部分的要求。</w:t>
      </w:r>
    </w:p>
    <w:p>
      <w:pPr>
        <w:pStyle w:val="4"/>
        <w:bidi w:val="0"/>
        <w:rPr>
          <w:rFonts w:hint="eastAsia"/>
          <w:lang w:val="en-US" w:eastAsia="zh-CN"/>
        </w:rPr>
      </w:pPr>
      <w:r>
        <w:rPr>
          <w:rFonts w:hint="eastAsia"/>
          <w:lang w:val="en-US" w:eastAsia="zh-CN"/>
        </w:rPr>
        <w:t>25  中标单位的确定</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25</w:t>
      </w:r>
      <w:r>
        <w:rPr>
          <w:rFonts w:hint="eastAsia" w:hAnsi="宋体" w:cs="宋体"/>
          <w:b w:val="0"/>
          <w:bCs/>
          <w:kern w:val="0"/>
          <w:sz w:val="28"/>
        </w:rPr>
        <w:t>.1  评标委员会按照招标文件的评标办法负责向招标人推荐中标候选人。评标委员会有权推荐一家或者一至三家投标人为中标候选人、或者拒绝所有的投标人的投标。评标委员会成员无义务向投标人做出有关对评标的任何解释工作。</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25</w:t>
      </w:r>
      <w:r>
        <w:rPr>
          <w:rFonts w:hint="eastAsia" w:hAnsi="宋体" w:cs="宋体"/>
          <w:b w:val="0"/>
          <w:bCs/>
          <w:kern w:val="0"/>
          <w:sz w:val="28"/>
        </w:rPr>
        <w:t>.2  排名第一的中标候选人放弃中标、因不可抗力提出不能履行合同，或者招标文件规定应当提交合同履约保证金而在规定的期限内未能提交的，招标人可以确定排名第二的中标候选人为中标单位。排名第二的中标候选人因前款规定的同样原因不能签定合同的，招标人可以确定排名第三的中标候选人为中标单位。</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25</w:t>
      </w:r>
      <w:r>
        <w:rPr>
          <w:rFonts w:hint="eastAsia" w:hAnsi="宋体" w:cs="宋体"/>
          <w:b w:val="0"/>
          <w:bCs/>
          <w:kern w:val="0"/>
          <w:sz w:val="28"/>
        </w:rPr>
        <w:t>.3  投标方三年内无重大安全事故，无拖欠农民工工资及其它不良记录，如有投标过程中瞒报不良记录，则招标人有权终止合同内容并视为弃标。</w:t>
      </w:r>
    </w:p>
    <w:p>
      <w:pPr>
        <w:pStyle w:val="4"/>
        <w:bidi w:val="0"/>
        <w:rPr>
          <w:rFonts w:hint="eastAsia"/>
          <w:lang w:val="en-US" w:eastAsia="zh-CN"/>
        </w:rPr>
      </w:pPr>
      <w:r>
        <w:rPr>
          <w:rFonts w:hint="eastAsia"/>
          <w:lang w:val="en-US" w:eastAsia="zh-CN"/>
        </w:rPr>
        <w:t>26  中标的标准</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26</w:t>
      </w:r>
      <w:r>
        <w:rPr>
          <w:rFonts w:hint="eastAsia" w:hAnsi="宋体" w:cs="宋体"/>
          <w:b w:val="0"/>
          <w:bCs/>
          <w:kern w:val="0"/>
          <w:sz w:val="28"/>
        </w:rPr>
        <w:t>.1  资格审查文件完整无缺；</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26</w:t>
      </w:r>
      <w:r>
        <w:rPr>
          <w:rFonts w:hint="eastAsia" w:hAnsi="宋体" w:cs="宋体"/>
          <w:b w:val="0"/>
          <w:bCs/>
          <w:kern w:val="0"/>
          <w:sz w:val="28"/>
        </w:rPr>
        <w:t>.2  报价合理;</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26</w:t>
      </w:r>
      <w:r>
        <w:rPr>
          <w:rFonts w:hint="eastAsia" w:hAnsi="宋体" w:cs="宋体"/>
          <w:b w:val="0"/>
          <w:bCs/>
          <w:kern w:val="0"/>
          <w:sz w:val="28"/>
        </w:rPr>
        <w:t>.3  满足采购单位要求材料和产品功能，技术规格与招标文件无重大偏离；</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26</w:t>
      </w:r>
      <w:r>
        <w:rPr>
          <w:rFonts w:hint="eastAsia" w:hAnsi="宋体" w:cs="宋体"/>
          <w:b w:val="0"/>
          <w:bCs/>
          <w:kern w:val="0"/>
          <w:sz w:val="28"/>
        </w:rPr>
        <w:t>.4  能保证产品质量，保证交货期；</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26</w:t>
      </w:r>
      <w:r>
        <w:rPr>
          <w:rFonts w:hint="eastAsia" w:hAnsi="宋体" w:cs="宋体"/>
          <w:b w:val="0"/>
          <w:bCs/>
          <w:kern w:val="0"/>
          <w:sz w:val="28"/>
        </w:rPr>
        <w:t>.5  能提供优质的服务，有良好的社会信誉。</w:t>
      </w:r>
    </w:p>
    <w:p>
      <w:pPr>
        <w:pStyle w:val="4"/>
        <w:bidi w:val="0"/>
        <w:rPr>
          <w:rFonts w:hint="eastAsia"/>
          <w:lang w:val="en-US" w:eastAsia="zh-CN"/>
        </w:rPr>
      </w:pPr>
      <w:r>
        <w:rPr>
          <w:rFonts w:hint="eastAsia"/>
          <w:lang w:val="en-US" w:eastAsia="zh-CN"/>
        </w:rPr>
        <w:t>27.  中标通知</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27</w:t>
      </w:r>
      <w:r>
        <w:rPr>
          <w:rFonts w:hint="eastAsia" w:hAnsi="宋体" w:cs="宋体"/>
          <w:b w:val="0"/>
          <w:bCs/>
          <w:kern w:val="0"/>
          <w:sz w:val="28"/>
        </w:rPr>
        <w:t>.1  政府采购中心根据评委会的评标报告和招标人的定标结果，以书面形式向中标单位发出《中标通知书》。</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27</w:t>
      </w:r>
      <w:r>
        <w:rPr>
          <w:rFonts w:hint="eastAsia" w:hAnsi="宋体" w:cs="宋体"/>
          <w:b w:val="0"/>
          <w:bCs/>
          <w:kern w:val="0"/>
          <w:sz w:val="28"/>
        </w:rPr>
        <w:t>.2  在定标或《中标通知书》发出的同时，政府采购中心将通知未中标单位，并于7日内退回投标保证金。政府采购中心无义务解释落标原因，对于所有投标人的投标文件均不予以退还，但对其承担保密责任。</w:t>
      </w:r>
    </w:p>
    <w:p>
      <w:pPr>
        <w:pStyle w:val="4"/>
        <w:bidi w:val="0"/>
        <w:rPr>
          <w:rFonts w:hint="eastAsia"/>
          <w:lang w:val="en-US" w:eastAsia="zh-CN"/>
        </w:rPr>
      </w:pPr>
      <w:r>
        <w:rPr>
          <w:rFonts w:hint="eastAsia"/>
          <w:lang w:val="en-US" w:eastAsia="zh-CN"/>
        </w:rPr>
        <w:t>28 拒绝某些或所有投标的权力。</w:t>
      </w:r>
    </w:p>
    <w:p>
      <w:pPr>
        <w:pStyle w:val="44"/>
        <w:spacing w:line="520" w:lineRule="exact"/>
        <w:ind w:firstLine="560"/>
        <w:jc w:val="both"/>
        <w:rPr>
          <w:rFonts w:hAnsi="宋体" w:cs="宋体"/>
          <w:b w:val="0"/>
          <w:bCs/>
          <w:kern w:val="0"/>
          <w:sz w:val="28"/>
        </w:rPr>
      </w:pPr>
      <w:r>
        <w:rPr>
          <w:rFonts w:hint="eastAsia" w:hAnsi="宋体" w:cs="宋体"/>
          <w:b w:val="0"/>
          <w:bCs/>
          <w:kern w:val="0"/>
          <w:sz w:val="28"/>
          <w:lang w:val="en-US" w:eastAsia="zh-CN"/>
        </w:rPr>
        <w:t>28</w:t>
      </w:r>
      <w:r>
        <w:rPr>
          <w:rFonts w:hint="eastAsia" w:hAnsi="宋体" w:cs="宋体"/>
          <w:b w:val="0"/>
          <w:bCs/>
          <w:kern w:val="0"/>
          <w:sz w:val="28"/>
        </w:rPr>
        <w:t>.1招标人或政府采购中心有权在《中标通知书》发放之前的任何时候拒绝任何有不正当行为或扰乱正常招标工作的投标人，由此对相关投标人造成的损失不负责任。</w:t>
      </w:r>
    </w:p>
    <w:p>
      <w:pPr>
        <w:spacing w:line="560" w:lineRule="exact"/>
        <w:jc w:val="center"/>
        <w:rPr>
          <w:rFonts w:ascii="宋体" w:hAnsi="宋体" w:cs="宋体"/>
          <w:b/>
          <w:sz w:val="28"/>
          <w:szCs w:val="28"/>
        </w:rPr>
      </w:pPr>
      <w:r>
        <w:rPr>
          <w:rFonts w:hint="eastAsia" w:ascii="宋体" w:hAnsi="宋体" w:cs="宋体"/>
          <w:b/>
          <w:sz w:val="28"/>
          <w:szCs w:val="28"/>
        </w:rPr>
        <w:t>评分表</w:t>
      </w:r>
    </w:p>
    <w:tbl>
      <w:tblPr>
        <w:tblStyle w:val="24"/>
        <w:tblW w:w="5124" w:type="pct"/>
        <w:tblInd w:w="0" w:type="dxa"/>
        <w:tblLayout w:type="fixed"/>
        <w:tblCellMar>
          <w:top w:w="0" w:type="dxa"/>
          <w:left w:w="108" w:type="dxa"/>
          <w:bottom w:w="0" w:type="dxa"/>
          <w:right w:w="108" w:type="dxa"/>
        </w:tblCellMar>
      </w:tblPr>
      <w:tblGrid>
        <w:gridCol w:w="1294"/>
        <w:gridCol w:w="1219"/>
        <w:gridCol w:w="6389"/>
        <w:gridCol w:w="536"/>
      </w:tblGrid>
      <w:tr>
        <w:tblPrEx>
          <w:tblCellMar>
            <w:top w:w="0" w:type="dxa"/>
            <w:left w:w="108" w:type="dxa"/>
            <w:bottom w:w="0" w:type="dxa"/>
            <w:right w:w="108" w:type="dxa"/>
          </w:tblCellMar>
        </w:tblPrEx>
        <w:tc>
          <w:tcPr>
            <w:tcW w:w="68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评分项目</w:t>
            </w:r>
          </w:p>
        </w:tc>
        <w:tc>
          <w:tcPr>
            <w:tcW w:w="6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评审内容</w:t>
            </w:r>
          </w:p>
        </w:tc>
        <w:tc>
          <w:tcPr>
            <w:tcW w:w="33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评审要求</w:t>
            </w:r>
          </w:p>
        </w:tc>
        <w:tc>
          <w:tcPr>
            <w:tcW w:w="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分值</w:t>
            </w:r>
          </w:p>
        </w:tc>
      </w:tr>
      <w:tr>
        <w:tc>
          <w:tcPr>
            <w:tcW w:w="68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价格部分（30分）</w:t>
            </w:r>
          </w:p>
        </w:tc>
        <w:tc>
          <w:tcPr>
            <w:tcW w:w="6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投标报价</w:t>
            </w:r>
          </w:p>
        </w:tc>
        <w:tc>
          <w:tcPr>
            <w:tcW w:w="338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在价格评分时，满足招标文件要求且最终报价最低的供应商的价格为投标基准价，其价格分为满分。其他供应商的价格分统一按照下列公式计算：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投标报价得分=（投标基准价/最终投标报价）×价格权值（30%）×100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因落实政府采购政策进行价格调整的，以调整后的价格计算投标基准价和投标报价。</w:t>
            </w:r>
          </w:p>
        </w:tc>
        <w:tc>
          <w:tcPr>
            <w:tcW w:w="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r>
      <w:tr>
        <w:tblPrEx>
          <w:tblCellMar>
            <w:top w:w="0" w:type="dxa"/>
            <w:left w:w="108" w:type="dxa"/>
            <w:bottom w:w="0" w:type="dxa"/>
            <w:right w:w="108" w:type="dxa"/>
          </w:tblCellMar>
        </w:tblPrEx>
        <w:tc>
          <w:tcPr>
            <w:tcW w:w="68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商务部分（25分）</w:t>
            </w:r>
          </w:p>
        </w:tc>
        <w:tc>
          <w:tcPr>
            <w:tcW w:w="6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同类业绩</w:t>
            </w:r>
          </w:p>
        </w:tc>
        <w:tc>
          <w:tcPr>
            <w:tcW w:w="338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sz w:val="24"/>
              </w:rPr>
              <w:t>提供近三年（2020年1月1日至今）的类似业绩，提供1项得1分，最多得2分，不提供不得分。（分公司同一系统内业绩有效。</w:t>
            </w:r>
            <w:r>
              <w:rPr>
                <w:rFonts w:hint="eastAsia" w:ascii="仿宋" w:hAnsi="仿宋" w:eastAsia="仿宋" w:cs="仿宋"/>
                <w:color w:val="000000"/>
                <w:kern w:val="0"/>
                <w:sz w:val="24"/>
                <w:lang w:bidi="ar"/>
              </w:rPr>
              <w:t>须提供中标通知书或合同扫描件（包含首页、合同标的、合同金额、签字页等关键页））</w:t>
            </w:r>
          </w:p>
        </w:tc>
        <w:tc>
          <w:tcPr>
            <w:tcW w:w="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r>
      <w:tr>
        <w:tblPrEx>
          <w:tblCellMar>
            <w:top w:w="0" w:type="dxa"/>
            <w:left w:w="108" w:type="dxa"/>
            <w:bottom w:w="0" w:type="dxa"/>
            <w:right w:w="108" w:type="dxa"/>
          </w:tblCellMar>
        </w:tblPrEx>
        <w:tc>
          <w:tcPr>
            <w:tcW w:w="68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6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供应商实力</w:t>
            </w:r>
          </w:p>
        </w:tc>
        <w:tc>
          <w:tcPr>
            <w:tcW w:w="3383" w:type="pct"/>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4"/>
              </w:rPr>
            </w:pPr>
            <w:r>
              <w:rPr>
                <w:rFonts w:hint="eastAsia" w:ascii="仿宋" w:hAnsi="仿宋" w:eastAsia="仿宋" w:cs="仿宋"/>
                <w:sz w:val="24"/>
              </w:rPr>
              <w:t>具备安防工程企业设计施工维护能力证书(壹级)得2分，壹级以下得1分，不提供不得分。</w:t>
            </w:r>
          </w:p>
          <w:p>
            <w:pPr>
              <w:jc w:val="left"/>
              <w:rPr>
                <w:rFonts w:ascii="仿宋" w:hAnsi="仿宋" w:eastAsia="仿宋" w:cs="仿宋"/>
                <w:sz w:val="24"/>
                <w:highlight w:val="yellow"/>
              </w:rPr>
            </w:pPr>
            <w:r>
              <w:rPr>
                <w:rFonts w:hint="eastAsia" w:ascii="仿宋" w:hAnsi="仿宋" w:eastAsia="仿宋" w:cs="仿宋"/>
                <w:sz w:val="24"/>
              </w:rPr>
              <w:t>具备软件能力成熟度CMMI(5级)得2分，4级及以下得1分，不提供不得分。</w:t>
            </w:r>
          </w:p>
          <w:p>
            <w:pPr>
              <w:pStyle w:val="11"/>
              <w:rPr>
                <w:rFonts w:ascii="仿宋" w:hAnsi="仿宋" w:eastAsia="仿宋" w:cs="仿宋"/>
                <w:sz w:val="24"/>
              </w:rPr>
            </w:pPr>
            <w:r>
              <w:rPr>
                <w:rFonts w:hint="eastAsia" w:ascii="仿宋" w:hAnsi="仿宋" w:eastAsia="仿宋" w:cs="仿宋"/>
                <w:sz w:val="24"/>
              </w:rPr>
              <w:t>具有信息系统服务交付能力一级（CCID）资质得2分，二级及以下得1分，没有不得分。</w:t>
            </w:r>
          </w:p>
          <w:p>
            <w:pPr>
              <w:widowControl/>
              <w:jc w:val="left"/>
              <w:textAlignment w:val="center"/>
              <w:rPr>
                <w:rFonts w:ascii="仿宋" w:hAnsi="仿宋" w:eastAsia="仿宋" w:cs="仿宋"/>
                <w:color w:val="000000"/>
                <w:sz w:val="24"/>
              </w:rPr>
            </w:pPr>
            <w:r>
              <w:rPr>
                <w:rFonts w:hint="eastAsia" w:ascii="仿宋" w:hAnsi="仿宋" w:eastAsia="仿宋" w:cs="仿宋"/>
                <w:sz w:val="24"/>
              </w:rPr>
              <w:t>（需提供证书复印件，并加盖投标人公章，分公司同一系统内资质有效）。</w:t>
            </w:r>
          </w:p>
        </w:tc>
        <w:tc>
          <w:tcPr>
            <w:tcW w:w="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r>
      <w:tr>
        <w:tblPrEx>
          <w:tblCellMar>
            <w:top w:w="0" w:type="dxa"/>
            <w:left w:w="108" w:type="dxa"/>
            <w:bottom w:w="0" w:type="dxa"/>
            <w:right w:w="108" w:type="dxa"/>
          </w:tblCellMar>
        </w:tblPrEx>
        <w:tc>
          <w:tcPr>
            <w:tcW w:w="68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6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实施及保障团队</w:t>
            </w:r>
          </w:p>
        </w:tc>
        <w:tc>
          <w:tcPr>
            <w:tcW w:w="3383" w:type="pct"/>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4"/>
              </w:rPr>
            </w:pPr>
            <w:r>
              <w:rPr>
                <w:rFonts w:hint="eastAsia" w:ascii="仿宋" w:hAnsi="仿宋" w:eastAsia="仿宋" w:cs="仿宋"/>
                <w:sz w:val="24"/>
              </w:rPr>
              <w:t>投标人需根据项目特点配备项目服务人员，就人员的专业能力、人员数量、工作经验等方面进行评价。</w:t>
            </w:r>
          </w:p>
          <w:p>
            <w:pPr>
              <w:jc w:val="left"/>
              <w:rPr>
                <w:rFonts w:ascii="仿宋" w:hAnsi="仿宋" w:eastAsia="仿宋" w:cs="仿宋"/>
                <w:sz w:val="24"/>
              </w:rPr>
            </w:pPr>
            <w:r>
              <w:rPr>
                <w:rFonts w:hint="eastAsia" w:ascii="仿宋" w:hAnsi="仿宋" w:eastAsia="仿宋" w:cs="仿宋"/>
                <w:sz w:val="24"/>
              </w:rPr>
              <w:t>投标人项目经理同时具有：信息系统项目管理师证、系统规划与管理师证和系统架构设计师证得5分，不全的得2分，不提供不得分。</w:t>
            </w:r>
          </w:p>
          <w:p>
            <w:pPr>
              <w:jc w:val="left"/>
              <w:rPr>
                <w:rFonts w:ascii="仿宋" w:hAnsi="仿宋" w:eastAsia="仿宋" w:cs="仿宋"/>
                <w:sz w:val="24"/>
              </w:rPr>
            </w:pPr>
            <w:r>
              <w:rPr>
                <w:rFonts w:hint="eastAsia" w:ascii="仿宋" w:hAnsi="仿宋" w:eastAsia="仿宋" w:cs="仿宋"/>
                <w:sz w:val="24"/>
              </w:rPr>
              <w:t>项目技术负责人同时具有：软件设计师证和系统架构设计师证得3分，不全的得1分，不提供不得分。</w:t>
            </w:r>
          </w:p>
          <w:p>
            <w:pPr>
              <w:jc w:val="left"/>
              <w:rPr>
                <w:rFonts w:ascii="仿宋" w:hAnsi="仿宋" w:eastAsia="仿宋" w:cs="仿宋"/>
                <w:sz w:val="24"/>
              </w:rPr>
            </w:pPr>
            <w:r>
              <w:rPr>
                <w:rFonts w:hint="eastAsia" w:ascii="仿宋" w:hAnsi="仿宋" w:eastAsia="仿宋" w:cs="仿宋"/>
                <w:sz w:val="24"/>
              </w:rPr>
              <w:t>团队其他成员具有IT服务项目经理证、软件设计师证，每提供一个得1分，最高得2分。不提供不得分。</w:t>
            </w:r>
          </w:p>
          <w:p>
            <w:pPr>
              <w:jc w:val="left"/>
              <w:rPr>
                <w:rFonts w:ascii="仿宋" w:hAnsi="仿宋" w:eastAsia="仿宋" w:cs="仿宋"/>
                <w:sz w:val="24"/>
              </w:rPr>
            </w:pPr>
            <w:r>
              <w:rPr>
                <w:rFonts w:hint="eastAsia" w:ascii="仿宋" w:hAnsi="仿宋" w:eastAsia="仿宋" w:cs="仿宋"/>
                <w:sz w:val="24"/>
              </w:rPr>
              <w:t>（需提供人员近一年任意6个月社保证明）</w:t>
            </w:r>
          </w:p>
          <w:p>
            <w:pPr>
              <w:widowControl/>
              <w:jc w:val="left"/>
              <w:textAlignment w:val="center"/>
              <w:rPr>
                <w:rFonts w:ascii="仿宋" w:hAnsi="仿宋" w:eastAsia="仿宋" w:cs="仿宋"/>
                <w:color w:val="000000"/>
                <w:sz w:val="24"/>
              </w:rPr>
            </w:pPr>
            <w:r>
              <w:rPr>
                <w:rFonts w:hint="eastAsia" w:ascii="仿宋" w:hAnsi="仿宋" w:eastAsia="仿宋" w:cs="仿宋"/>
                <w:sz w:val="24"/>
              </w:rPr>
              <w:t>（提供证书复印件，并加盖投标人公章，分公司同一系统内人员资质有效）。</w:t>
            </w:r>
          </w:p>
        </w:tc>
        <w:tc>
          <w:tcPr>
            <w:tcW w:w="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r>
      <w:tr>
        <w:tblPrEx>
          <w:tblCellMar>
            <w:top w:w="0" w:type="dxa"/>
            <w:left w:w="108" w:type="dxa"/>
            <w:bottom w:w="0" w:type="dxa"/>
            <w:right w:w="108" w:type="dxa"/>
          </w:tblCellMar>
        </w:tblPrEx>
        <w:tc>
          <w:tcPr>
            <w:tcW w:w="68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645"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r>
              <w:rPr>
                <w:rFonts w:hint="eastAsia" w:ascii="仿宋" w:hAnsi="仿宋" w:eastAsia="仿宋" w:cs="仿宋"/>
                <w:sz w:val="24"/>
              </w:rPr>
              <w:t>技术能力</w:t>
            </w:r>
          </w:p>
        </w:tc>
        <w:tc>
          <w:tcPr>
            <w:tcW w:w="3383" w:type="pct"/>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4"/>
              </w:rPr>
            </w:pPr>
            <w:r>
              <w:rPr>
                <w:rFonts w:hint="eastAsia" w:ascii="仿宋" w:hAnsi="仿宋" w:eastAsia="仿宋" w:cs="仿宋"/>
                <w:sz w:val="24"/>
              </w:rPr>
              <w:t>为保证系统管理的稳定性与规范性，投标人具有交通规划管理、交通科技信息化、交通综合业务管理、交通基础设施智慧化、交通资源智慧化管理、交通导引集成指挥、交通综合运行协调与应急指挥等与本项目相关的软件著作权证书，每提供1个得1分，最高得7分，不提供不得分。</w:t>
            </w:r>
          </w:p>
          <w:p>
            <w:pPr>
              <w:rPr>
                <w:rFonts w:ascii="仿宋" w:hAnsi="仿宋" w:eastAsia="仿宋" w:cs="仿宋"/>
                <w:sz w:val="24"/>
              </w:rPr>
            </w:pPr>
            <w:r>
              <w:rPr>
                <w:rFonts w:hint="eastAsia" w:ascii="仿宋" w:hAnsi="仿宋" w:eastAsia="仿宋" w:cs="仿宋"/>
                <w:sz w:val="24"/>
              </w:rPr>
              <w:t>（提供证书复印件，并加盖投标人公章，证书取得日期为招标公告发布之日前，否则不得分，分公司同一系统内证书有效）。</w:t>
            </w:r>
          </w:p>
        </w:tc>
        <w:tc>
          <w:tcPr>
            <w:tcW w:w="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r>
      <w:tr>
        <w:tblPrEx>
          <w:tblCellMar>
            <w:top w:w="0" w:type="dxa"/>
            <w:left w:w="108" w:type="dxa"/>
            <w:bottom w:w="0" w:type="dxa"/>
            <w:right w:w="108" w:type="dxa"/>
          </w:tblCellMar>
        </w:tblPrEx>
        <w:tc>
          <w:tcPr>
            <w:tcW w:w="68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技术部分（45分）</w:t>
            </w:r>
          </w:p>
        </w:tc>
        <w:tc>
          <w:tcPr>
            <w:tcW w:w="6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产品性能指标响应</w:t>
            </w:r>
          </w:p>
        </w:tc>
        <w:tc>
          <w:tcPr>
            <w:tcW w:w="338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left"/>
              <w:textAlignment w:val="center"/>
              <w:rPr>
                <w:rFonts w:ascii="仿宋" w:hAnsi="仿宋" w:eastAsia="仿宋" w:cs="仿宋"/>
                <w:sz w:val="24"/>
              </w:rPr>
            </w:pPr>
            <w:r>
              <w:rPr>
                <w:rFonts w:hint="eastAsia" w:ascii="仿宋" w:hAnsi="仿宋" w:eastAsia="仿宋" w:cs="仿宋"/>
                <w:sz w:val="24"/>
              </w:rPr>
              <w:t>投标人须对照《技术参数》中全部内容逐条在《技术参数偏离表》中列明响应内容及是否偏离等情况，要求提供相关证明资料。</w:t>
            </w:r>
          </w:p>
          <w:p>
            <w:pPr>
              <w:widowControl/>
              <w:numPr>
                <w:ilvl w:val="0"/>
                <w:numId w:val="2"/>
              </w:numPr>
              <w:jc w:val="left"/>
              <w:textAlignment w:val="center"/>
              <w:rPr>
                <w:rFonts w:ascii="仿宋" w:hAnsi="仿宋" w:eastAsia="仿宋" w:cs="仿宋"/>
                <w:sz w:val="24"/>
              </w:rPr>
            </w:pPr>
            <w:r>
              <w:rPr>
                <w:rFonts w:hint="eastAsia" w:ascii="仿宋" w:hAnsi="仿宋" w:eastAsia="仿宋" w:cs="仿宋"/>
                <w:sz w:val="24"/>
              </w:rPr>
              <w:t>《技术参数》中的技术规格要求，全部满足得18分，每一条带“★”标记的条款不满足采购文件要求扣1分，每一条非“★”标记的条款不满足采购文件要求扣0.5分，扣完为止。</w:t>
            </w:r>
          </w:p>
          <w:p>
            <w:pPr>
              <w:widowControl/>
              <w:numPr>
                <w:ilvl w:val="0"/>
                <w:numId w:val="2"/>
              </w:numPr>
              <w:jc w:val="left"/>
              <w:textAlignment w:val="center"/>
              <w:rPr>
                <w:rFonts w:ascii="仿宋" w:hAnsi="仿宋" w:eastAsia="仿宋" w:cs="仿宋"/>
                <w:sz w:val="24"/>
              </w:rPr>
            </w:pPr>
            <w:r>
              <w:rPr>
                <w:rFonts w:hint="eastAsia" w:ascii="仿宋" w:hAnsi="仿宋" w:eastAsia="仿宋" w:cs="仿宋"/>
                <w:sz w:val="24"/>
              </w:rPr>
              <w:t>投标人须对本采购文件技术要求进行点对点应答，必须在引用本采购文件的基础上,进行逐条逐项答复、说明和解释,特别对有具体参数要求的指标，投标人必须提供要求的检测报告复印件并加盖原厂公章进行佐证。</w:t>
            </w:r>
          </w:p>
        </w:tc>
        <w:tc>
          <w:tcPr>
            <w:tcW w:w="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r>
      <w:tr>
        <w:tblPrEx>
          <w:tblCellMar>
            <w:top w:w="0" w:type="dxa"/>
            <w:left w:w="108" w:type="dxa"/>
            <w:bottom w:w="0" w:type="dxa"/>
            <w:right w:w="108" w:type="dxa"/>
          </w:tblCellMar>
        </w:tblPrEx>
        <w:trPr>
          <w:trHeight w:val="1061" w:hRule="atLeast"/>
        </w:trPr>
        <w:tc>
          <w:tcPr>
            <w:tcW w:w="685" w:type="pct"/>
            <w:vMerge w:val="continue"/>
            <w:tcBorders>
              <w:left w:val="single" w:color="000000" w:sz="4" w:space="0"/>
              <w:right w:val="single" w:color="000000" w:sz="4" w:space="0"/>
            </w:tcBorders>
            <w:vAlign w:val="center"/>
          </w:tcPr>
          <w:p>
            <w:pPr>
              <w:widowControl/>
              <w:jc w:val="center"/>
              <w:textAlignment w:val="center"/>
              <w:rPr>
                <w:rFonts w:ascii="仿宋" w:hAnsi="仿宋" w:eastAsia="仿宋" w:cs="仿宋"/>
                <w:b/>
                <w:bCs/>
                <w:color w:val="000000"/>
                <w:kern w:val="0"/>
                <w:sz w:val="24"/>
                <w:lang w:bidi="ar"/>
              </w:rPr>
            </w:pPr>
          </w:p>
        </w:tc>
        <w:tc>
          <w:tcPr>
            <w:tcW w:w="6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产品选型</w:t>
            </w:r>
          </w:p>
        </w:tc>
        <w:tc>
          <w:tcPr>
            <w:tcW w:w="3383" w:type="pct"/>
            <w:tcBorders>
              <w:top w:val="single" w:color="000000" w:sz="4" w:space="0"/>
              <w:left w:val="single" w:color="000000" w:sz="4" w:space="0"/>
              <w:bottom w:val="single" w:color="000000" w:sz="4" w:space="0"/>
              <w:right w:val="single" w:color="000000" w:sz="4" w:space="0"/>
            </w:tcBorders>
            <w:vAlign w:val="center"/>
          </w:tcPr>
          <w:p>
            <w:pPr>
              <w:pStyle w:val="2"/>
              <w:spacing w:after="0"/>
              <w:ind w:left="0" w:leftChars="0" w:right="0" w:rightChars="0"/>
              <w:jc w:val="left"/>
              <w:rPr>
                <w:rFonts w:ascii="仿宋" w:hAnsi="仿宋" w:eastAsia="仿宋" w:cs="仿宋"/>
                <w:color w:val="000000"/>
                <w:kern w:val="0"/>
                <w:sz w:val="24"/>
                <w:lang w:bidi="ar"/>
              </w:rPr>
            </w:pPr>
            <w:r>
              <w:rPr>
                <w:rFonts w:hint="eastAsia" w:ascii="仿宋" w:hAnsi="仿宋" w:eastAsia="仿宋" w:cs="仿宋"/>
                <w:color w:val="000000"/>
                <w:kern w:val="0"/>
                <w:sz w:val="24"/>
                <w:lang w:bidi="ar"/>
              </w:rPr>
              <w:t>产品选型科学、技术先进、整体配套性强、设备稳定性强得2分；产品选型合理、技术科学、整体配套合理、设备稳定得1分；产品选型不合理不得分。</w:t>
            </w:r>
          </w:p>
        </w:tc>
        <w:tc>
          <w:tcPr>
            <w:tcW w:w="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r>
      <w:tr>
        <w:tblPrEx>
          <w:tblCellMar>
            <w:top w:w="0" w:type="dxa"/>
            <w:left w:w="108" w:type="dxa"/>
            <w:bottom w:w="0" w:type="dxa"/>
            <w:right w:w="108" w:type="dxa"/>
          </w:tblCellMar>
        </w:tblPrEx>
        <w:tc>
          <w:tcPr>
            <w:tcW w:w="68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6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技术方案</w:t>
            </w:r>
          </w:p>
        </w:tc>
        <w:tc>
          <w:tcPr>
            <w:tcW w:w="3383" w:type="pct"/>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4"/>
              </w:rPr>
            </w:pPr>
            <w:r>
              <w:rPr>
                <w:rFonts w:hint="eastAsia" w:ascii="仿宋" w:hAnsi="仿宋" w:eastAsia="仿宋" w:cs="仿宋"/>
                <w:sz w:val="24"/>
              </w:rPr>
              <w:t>评标人对投标人设计方案从需求分析</w:t>
            </w:r>
            <w:r>
              <w:rPr>
                <w:rFonts w:hint="eastAsia" w:ascii="仿宋" w:hAnsi="仿宋" w:eastAsia="仿宋" w:cs="仿宋"/>
                <w:sz w:val="24"/>
                <w:lang w:eastAsia="zh-CN"/>
              </w:rPr>
              <w:t>、</w:t>
            </w:r>
            <w:r>
              <w:rPr>
                <w:rFonts w:hint="eastAsia" w:ascii="仿宋" w:hAnsi="仿宋" w:eastAsia="仿宋" w:cs="仿宋"/>
                <w:sz w:val="24"/>
              </w:rPr>
              <w:t>总体设计、功能设计、系统建设</w:t>
            </w:r>
            <w:r>
              <w:rPr>
                <w:rFonts w:hint="eastAsia" w:ascii="仿宋" w:hAnsi="仿宋" w:eastAsia="仿宋" w:cs="仿宋"/>
                <w:sz w:val="24"/>
                <w:lang w:val="en-US" w:eastAsia="zh-CN"/>
              </w:rPr>
              <w:t>等</w:t>
            </w:r>
            <w:r>
              <w:rPr>
                <w:rFonts w:hint="eastAsia" w:ascii="仿宋" w:hAnsi="仿宋" w:eastAsia="仿宋" w:cs="仿宋"/>
                <w:sz w:val="24"/>
              </w:rPr>
              <w:t>方面进行综合评价打分。</w:t>
            </w:r>
          </w:p>
          <w:p>
            <w:pPr>
              <w:jc w:val="left"/>
              <w:rPr>
                <w:rFonts w:ascii="仿宋" w:hAnsi="仿宋" w:eastAsia="仿宋" w:cs="仿宋"/>
                <w:sz w:val="24"/>
              </w:rPr>
            </w:pPr>
            <w:r>
              <w:rPr>
                <w:rFonts w:hint="eastAsia" w:ascii="仿宋" w:hAnsi="仿宋" w:eastAsia="仿宋" w:cs="仿宋"/>
                <w:sz w:val="24"/>
              </w:rPr>
              <w:t>方案先进、思路完整，原则、特点、技术要求清晰，符合国家相关标准和规范，方案内容充分结合项目的实际情况，完全满足采购需求的，根据评委评审得11-15分；</w:t>
            </w:r>
          </w:p>
          <w:p>
            <w:pPr>
              <w:jc w:val="left"/>
              <w:rPr>
                <w:rFonts w:ascii="仿宋" w:hAnsi="仿宋" w:eastAsia="仿宋" w:cs="仿宋"/>
                <w:sz w:val="24"/>
              </w:rPr>
            </w:pPr>
            <w:r>
              <w:rPr>
                <w:rFonts w:hint="eastAsia" w:ascii="仿宋" w:hAnsi="仿宋" w:eastAsia="仿宋" w:cs="仿宋"/>
                <w:sz w:val="24"/>
              </w:rPr>
              <w:t>方案先进性一般、思路基本完整，原则、特点、技术要求基本清晰，符合国家相关标准和规范，方案能结合项目实际情况，满足采购需求的，根据评委评审得6-10分；</w:t>
            </w:r>
          </w:p>
          <w:p>
            <w:pPr>
              <w:jc w:val="left"/>
              <w:rPr>
                <w:rFonts w:ascii="仿宋" w:hAnsi="仿宋" w:eastAsia="仿宋" w:cs="仿宋"/>
                <w:sz w:val="24"/>
              </w:rPr>
            </w:pPr>
            <w:r>
              <w:rPr>
                <w:rFonts w:hint="eastAsia" w:ascii="仿宋" w:hAnsi="仿宋" w:eastAsia="仿宋" w:cs="仿宋"/>
                <w:sz w:val="24"/>
              </w:rPr>
              <w:t>方案思路不完善，有明显瑕疵，不完全符合国家相关标准和规范，方案未能结合项目实际情况，基本满足采购需求的，根据评委评审得1-5分；</w:t>
            </w:r>
          </w:p>
          <w:p>
            <w:pPr>
              <w:widowControl/>
              <w:jc w:val="left"/>
              <w:textAlignment w:val="center"/>
              <w:rPr>
                <w:rFonts w:ascii="仿宋" w:hAnsi="仿宋" w:eastAsia="仿宋" w:cs="仿宋"/>
                <w:color w:val="000000"/>
                <w:sz w:val="24"/>
              </w:rPr>
            </w:pPr>
            <w:r>
              <w:rPr>
                <w:rFonts w:hint="eastAsia" w:ascii="仿宋" w:hAnsi="仿宋" w:eastAsia="仿宋" w:cs="仿宋"/>
                <w:sz w:val="24"/>
              </w:rPr>
              <w:t>方案存在重大缺陷，不能满足采购需求的或不提供的，根据评委评审不得分。</w:t>
            </w:r>
          </w:p>
        </w:tc>
        <w:tc>
          <w:tcPr>
            <w:tcW w:w="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r>
      <w:tr>
        <w:tblPrEx>
          <w:tblCellMar>
            <w:top w:w="0" w:type="dxa"/>
            <w:left w:w="108" w:type="dxa"/>
            <w:bottom w:w="0" w:type="dxa"/>
            <w:right w:w="108" w:type="dxa"/>
          </w:tblCellMar>
        </w:tblPrEx>
        <w:tc>
          <w:tcPr>
            <w:tcW w:w="68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6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sz w:val="24"/>
              </w:rPr>
              <w:t>项目实施</w:t>
            </w:r>
          </w:p>
        </w:tc>
        <w:tc>
          <w:tcPr>
            <w:tcW w:w="338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sz w:val="24"/>
              </w:rPr>
            </w:pPr>
            <w:r>
              <w:rPr>
                <w:rFonts w:hint="eastAsia" w:ascii="仿宋" w:hAnsi="仿宋" w:eastAsia="仿宋" w:cs="仿宋"/>
                <w:sz w:val="24"/>
              </w:rPr>
              <w:t>根据投标人针对本项目制定的项目实施方案、工期总体进度安排进行综合评审，根据评委评审内容完整，合理可行、科学、及时有效的得3-4分，内容完整，较合理可行、较科学、较及时有效的得1-2分，内容不合理的不得分。</w:t>
            </w:r>
          </w:p>
        </w:tc>
        <w:tc>
          <w:tcPr>
            <w:tcW w:w="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r>
      <w:tr>
        <w:tblPrEx>
          <w:tblCellMar>
            <w:top w:w="0" w:type="dxa"/>
            <w:left w:w="108" w:type="dxa"/>
            <w:bottom w:w="0" w:type="dxa"/>
            <w:right w:w="108" w:type="dxa"/>
          </w:tblCellMar>
        </w:tblPrEx>
        <w:tc>
          <w:tcPr>
            <w:tcW w:w="68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p>
        </w:tc>
        <w:tc>
          <w:tcPr>
            <w:tcW w:w="6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售后服务</w:t>
            </w:r>
          </w:p>
        </w:tc>
        <w:tc>
          <w:tcPr>
            <w:tcW w:w="338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sz w:val="24"/>
              </w:rPr>
            </w:pPr>
            <w:r>
              <w:rPr>
                <w:rFonts w:hint="eastAsia" w:ascii="仿宋" w:hAnsi="仿宋" w:eastAsia="仿宋" w:cs="仿宋"/>
                <w:sz w:val="24"/>
              </w:rPr>
              <w:t>根据各投标人对本项目所提出的质保期与售后服务方案(包括但不限于：质保期、售后人员、售后体系、售后保障、日常维护、响应时间、响应方式等与售后有关内容)的优越性进行综合评分。</w:t>
            </w:r>
          </w:p>
          <w:p>
            <w:pPr>
              <w:widowControl/>
              <w:jc w:val="left"/>
              <w:textAlignment w:val="center"/>
              <w:rPr>
                <w:rFonts w:ascii="仿宋" w:hAnsi="仿宋" w:eastAsia="仿宋" w:cs="仿宋"/>
                <w:sz w:val="24"/>
              </w:rPr>
            </w:pPr>
            <w:r>
              <w:rPr>
                <w:rFonts w:hint="eastAsia" w:ascii="仿宋" w:hAnsi="仿宋" w:eastAsia="仿宋" w:cs="仿宋"/>
                <w:sz w:val="24"/>
              </w:rPr>
              <w:t>1、提供可行的售后服务方案，能保障本地化技术服务及售后服务的协调性、及时性。提供售后服务内容、服务响应方式及响应时间，提供故障处理流程、维护保障流程及组织架构、拟投入本项目的维护人员配置等内容详实、完整、准确的根据评委评审得5-6分；</w:t>
            </w:r>
          </w:p>
          <w:p>
            <w:pPr>
              <w:widowControl/>
              <w:jc w:val="left"/>
              <w:textAlignment w:val="center"/>
              <w:rPr>
                <w:rFonts w:ascii="仿宋" w:hAnsi="仿宋" w:eastAsia="仿宋" w:cs="仿宋"/>
                <w:sz w:val="24"/>
              </w:rPr>
            </w:pPr>
            <w:r>
              <w:rPr>
                <w:rFonts w:hint="eastAsia" w:ascii="仿宋" w:hAnsi="仿宋" w:eastAsia="仿宋" w:cs="仿宋"/>
                <w:sz w:val="24"/>
              </w:rPr>
              <w:t>2、提供的售后服务方案一般，基本能保障本地化技术服务及售后服务的协调性、及时性。提供售后服务内容、服务响应方式及响应时间，提供故障处理流程、维护保障流程及组织架构、拟投入本项目的维护人员配置等内容不够详实、不够完整、不够准确的根据评委评审得2-4分；</w:t>
            </w:r>
          </w:p>
          <w:p>
            <w:pPr>
              <w:widowControl/>
              <w:jc w:val="left"/>
              <w:textAlignment w:val="center"/>
              <w:rPr>
                <w:rFonts w:ascii="仿宋" w:hAnsi="仿宋" w:eastAsia="仿宋" w:cs="仿宋"/>
                <w:sz w:val="24"/>
              </w:rPr>
            </w:pPr>
            <w:r>
              <w:rPr>
                <w:rFonts w:hint="eastAsia" w:ascii="仿宋" w:hAnsi="仿宋" w:eastAsia="仿宋" w:cs="仿宋"/>
                <w:sz w:val="24"/>
              </w:rPr>
              <w:t>3、提供的售后服务方案较差，本地化技术服务及售后服务不足。缺失售后服务内容、服务响应方式及响应时间、故障处理流程、维护保障流程及组织架构、拟投入本项目的维护人员配置等内容，根据评委评审得0-1分；</w:t>
            </w:r>
          </w:p>
          <w:p>
            <w:pPr>
              <w:pStyle w:val="2"/>
              <w:spacing w:after="0"/>
              <w:ind w:left="1470" w:right="1470"/>
              <w:rPr>
                <w:rFonts w:ascii="仿宋" w:hAnsi="仿宋" w:eastAsia="仿宋" w:cs="仿宋"/>
                <w:sz w:val="24"/>
              </w:rPr>
            </w:pPr>
          </w:p>
        </w:tc>
        <w:tc>
          <w:tcPr>
            <w:tcW w:w="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r>
    </w:tbl>
    <w:p>
      <w:pPr>
        <w:pStyle w:val="17"/>
        <w:jc w:val="both"/>
        <w:rPr>
          <w:rFonts w:ascii="仿宋_GB2312" w:hAnsi="宋体" w:eastAsia="仿宋_GB2312"/>
          <w:b/>
          <w:sz w:val="24"/>
          <w:szCs w:val="24"/>
        </w:rPr>
      </w:pPr>
    </w:p>
    <w:p>
      <w:pPr>
        <w:pStyle w:val="57"/>
        <w:spacing w:line="560" w:lineRule="exact"/>
        <w:ind w:firstLine="274" w:firstLineChars="98"/>
        <w:rPr>
          <w:rFonts w:ascii="仿宋_GB2312" w:hAnsi="宋体" w:eastAsia="仿宋_GB2312" w:cs="宋体"/>
          <w:bCs/>
          <w:kern w:val="0"/>
          <w:sz w:val="28"/>
          <w:szCs w:val="20"/>
        </w:rPr>
      </w:pPr>
      <w:r>
        <w:rPr>
          <w:rFonts w:hint="eastAsia" w:ascii="仿宋_GB2312" w:hAnsi="宋体" w:eastAsia="仿宋_GB2312"/>
          <w:sz w:val="28"/>
          <w:szCs w:val="28"/>
        </w:rPr>
        <w:t xml:space="preserve">  </w:t>
      </w:r>
      <w:r>
        <w:rPr>
          <w:rFonts w:hint="eastAsia" w:ascii="仿宋_GB2312" w:hAnsi="宋体" w:eastAsia="仿宋_GB2312" w:cs="宋体"/>
          <w:bCs/>
          <w:kern w:val="0"/>
          <w:sz w:val="28"/>
          <w:szCs w:val="20"/>
        </w:rPr>
        <w:t xml:space="preserve"> 1） 以上分项由评委根据各投标单位的投标文件优劣进行综合评价、独立打分。</w:t>
      </w:r>
    </w:p>
    <w:p>
      <w:pPr>
        <w:pStyle w:val="57"/>
        <w:spacing w:line="560" w:lineRule="exact"/>
        <w:ind w:firstLine="274" w:firstLineChars="98"/>
        <w:rPr>
          <w:rFonts w:ascii="仿宋_GB2312" w:hAnsi="宋体" w:eastAsia="仿宋_GB2312" w:cs="宋体"/>
          <w:bCs/>
          <w:kern w:val="0"/>
          <w:sz w:val="28"/>
          <w:szCs w:val="20"/>
        </w:rPr>
      </w:pPr>
      <w:r>
        <w:rPr>
          <w:rFonts w:hint="eastAsia" w:ascii="仿宋_GB2312" w:hAnsi="宋体" w:eastAsia="仿宋_GB2312" w:cs="宋体"/>
          <w:bCs/>
          <w:kern w:val="0"/>
          <w:sz w:val="28"/>
          <w:szCs w:val="20"/>
        </w:rPr>
        <w:t xml:space="preserve">   2）评委打分超过得分界限或未按本表规定赋分时，该评委的打分作废，不计入汇总分。</w:t>
      </w:r>
    </w:p>
    <w:p>
      <w:pPr>
        <w:pStyle w:val="57"/>
        <w:spacing w:line="560" w:lineRule="exact"/>
        <w:ind w:firstLine="274" w:firstLineChars="98"/>
        <w:rPr>
          <w:rFonts w:ascii="仿宋_GB2312" w:hAnsi="宋体" w:eastAsia="仿宋_GB2312" w:cs="宋体"/>
          <w:bCs/>
          <w:kern w:val="0"/>
          <w:sz w:val="28"/>
          <w:szCs w:val="20"/>
        </w:rPr>
      </w:pPr>
      <w:r>
        <w:rPr>
          <w:rFonts w:hint="eastAsia" w:ascii="仿宋_GB2312" w:hAnsi="宋体" w:eastAsia="仿宋_GB2312" w:cs="宋体"/>
          <w:bCs/>
          <w:kern w:val="0"/>
          <w:sz w:val="28"/>
          <w:szCs w:val="20"/>
        </w:rPr>
        <w:t xml:space="preserve">   3）若出现综合得分并列时，比较技术得分，此分项得分高者排序在前；若技术得分仍相同，比较价格得分，此分项得分高者排序在前；若投标报价得分仍相同，则由全体评委成员无记名投票，得票高者排序在前。</w:t>
      </w:r>
    </w:p>
    <w:p>
      <w:pPr>
        <w:pStyle w:val="57"/>
        <w:spacing w:line="560" w:lineRule="exact"/>
        <w:ind w:firstLine="274" w:firstLineChars="98"/>
        <w:rPr>
          <w:rFonts w:ascii="仿宋_GB2312" w:hAnsi="宋体" w:eastAsia="仿宋_GB2312" w:cs="宋体"/>
          <w:bCs/>
          <w:kern w:val="0"/>
          <w:sz w:val="28"/>
          <w:szCs w:val="20"/>
        </w:rPr>
      </w:pPr>
      <w:r>
        <w:rPr>
          <w:rFonts w:hint="eastAsia" w:ascii="仿宋_GB2312" w:hAnsi="宋体" w:eastAsia="仿宋_GB2312" w:cs="宋体"/>
          <w:bCs/>
          <w:kern w:val="0"/>
          <w:sz w:val="28"/>
          <w:szCs w:val="20"/>
        </w:rPr>
        <w:t xml:space="preserve">   4）由于投标文件有矛盾，造成对投标人不利的评标结果，由投标人自负。</w:t>
      </w:r>
    </w:p>
    <w:p>
      <w:pPr>
        <w:pStyle w:val="57"/>
        <w:spacing w:line="560" w:lineRule="exact"/>
        <w:ind w:firstLine="274" w:firstLineChars="98"/>
        <w:rPr>
          <w:rFonts w:ascii="仿宋_GB2312" w:hAnsi="宋体" w:eastAsia="仿宋_GB2312" w:cs="宋体"/>
          <w:bCs/>
          <w:kern w:val="0"/>
          <w:sz w:val="28"/>
          <w:szCs w:val="20"/>
        </w:rPr>
      </w:pPr>
      <w:r>
        <w:rPr>
          <w:rFonts w:hint="eastAsia" w:ascii="仿宋_GB2312" w:hAnsi="宋体" w:eastAsia="仿宋_GB2312" w:cs="宋体"/>
          <w:bCs/>
          <w:kern w:val="0"/>
          <w:sz w:val="28"/>
          <w:szCs w:val="20"/>
        </w:rPr>
        <w:t xml:space="preserve">   5）评标过程中，若出现特殊情况时，由评标委员会决定暂停评标，并提出具体处理意见。</w:t>
      </w:r>
    </w:p>
    <w:p>
      <w:pPr>
        <w:pStyle w:val="57"/>
        <w:spacing w:line="560" w:lineRule="exact"/>
        <w:ind w:firstLine="274" w:firstLineChars="98"/>
        <w:rPr>
          <w:rFonts w:ascii="仿宋_GB2312" w:hAnsi="宋体" w:eastAsia="仿宋_GB2312" w:cs="宋体"/>
          <w:bCs/>
          <w:kern w:val="0"/>
          <w:sz w:val="28"/>
          <w:szCs w:val="20"/>
        </w:rPr>
      </w:pPr>
      <w:r>
        <w:rPr>
          <w:rFonts w:hint="eastAsia" w:ascii="仿宋_GB2312" w:hAnsi="宋体" w:eastAsia="仿宋_GB2312" w:cs="宋体"/>
          <w:bCs/>
          <w:kern w:val="0"/>
          <w:sz w:val="28"/>
          <w:szCs w:val="20"/>
        </w:rPr>
        <w:t xml:space="preserve">   6）各种计算采用插入法，数字均保留两位小数，第三位“ 四舍五入”。</w:t>
      </w:r>
    </w:p>
    <w:p>
      <w:pPr>
        <w:spacing w:line="560" w:lineRule="exact"/>
        <w:ind w:left="1" w:firstLine="630" w:firstLineChars="225"/>
        <w:rPr>
          <w:rFonts w:ascii="仿宋_GB2312" w:hAnsi="宋体" w:eastAsia="仿宋_GB2312" w:cs="宋体"/>
          <w:bCs/>
          <w:kern w:val="0"/>
          <w:sz w:val="28"/>
          <w:szCs w:val="20"/>
        </w:rPr>
      </w:pPr>
      <w:r>
        <w:rPr>
          <w:rFonts w:hint="eastAsia" w:ascii="仿宋_GB2312" w:hAnsi="宋体" w:eastAsia="仿宋_GB2312" w:cs="宋体"/>
          <w:bCs/>
          <w:kern w:val="0"/>
          <w:sz w:val="28"/>
          <w:szCs w:val="20"/>
        </w:rPr>
        <w:t>评标委员会每位评委根据上述评标办法对投标文件进行评审，评标委员会在此基础上出具评标委员会评标结论意见，根据综合得分由高到低确认前三名并向招标人出具三名中标候选人及个人根据综合得分高低进行排序。</w:t>
      </w:r>
    </w:p>
    <w:p>
      <w:pPr>
        <w:pStyle w:val="23"/>
      </w:pPr>
    </w:p>
    <w:p>
      <w:pPr>
        <w:pStyle w:val="42"/>
        <w:spacing w:before="312" w:beforeLines="100" w:after="156" w:afterLines="50" w:line="540" w:lineRule="exact"/>
        <w:jc w:val="center"/>
        <w:outlineLvl w:val="0"/>
        <w:rPr>
          <w:rFonts w:ascii="仿宋_GB2312" w:eastAsia="仿宋_GB2312" w:cs="宋体"/>
          <w:b/>
          <w:color w:val="auto"/>
          <w:sz w:val="28"/>
        </w:rPr>
      </w:pPr>
      <w:r>
        <w:rPr>
          <w:rFonts w:hint="eastAsia" w:ascii="仿宋_GB2312" w:hAnsi="宋体" w:eastAsia="仿宋_GB2312" w:cs="宋体"/>
          <w:b/>
          <w:color w:val="auto"/>
          <w:sz w:val="28"/>
        </w:rPr>
        <w:t>七、授予合同</w:t>
      </w:r>
    </w:p>
    <w:p>
      <w:pPr>
        <w:pStyle w:val="4"/>
        <w:bidi w:val="0"/>
        <w:rPr>
          <w:rFonts w:hint="eastAsia"/>
          <w:lang w:val="en-US" w:eastAsia="zh-CN"/>
        </w:rPr>
      </w:pPr>
      <w:r>
        <w:rPr>
          <w:rFonts w:hint="eastAsia"/>
          <w:lang w:val="en-US" w:eastAsia="zh-CN"/>
        </w:rPr>
        <w:t>29.  签定合同</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29</w:t>
      </w:r>
      <w:r>
        <w:rPr>
          <w:rFonts w:hint="eastAsia" w:ascii="仿宋_GB2312" w:hAnsi="宋体" w:eastAsia="仿宋_GB2312" w:cs="宋体"/>
          <w:color w:val="auto"/>
          <w:sz w:val="28"/>
        </w:rPr>
        <w:t>.1  中标单位收到《中标通知书》后，须按有关规定与招标方签定经济合同。合同的签定一般在《中标通知书》发出后7天内进行，但招标人事先约定的情况除外。</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29</w:t>
      </w:r>
      <w:r>
        <w:rPr>
          <w:rFonts w:hint="eastAsia" w:ascii="仿宋_GB2312" w:hAnsi="宋体" w:eastAsia="仿宋_GB2312" w:cs="宋体"/>
          <w:color w:val="auto"/>
          <w:sz w:val="28"/>
        </w:rPr>
        <w:t>.2  合同签定后，卖方应按合同的规定履行合同，未按规定履约的，招标人有权取消合同，并且不退还中标单位的投标保证金。</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29</w:t>
      </w:r>
      <w:r>
        <w:rPr>
          <w:rFonts w:hint="eastAsia" w:ascii="仿宋_GB2312" w:hAnsi="宋体" w:eastAsia="仿宋_GB2312" w:cs="宋体"/>
          <w:color w:val="auto"/>
          <w:sz w:val="28"/>
        </w:rPr>
        <w:t>.3  中标合同不得转让或分包。如需对合同的非主体部分进行转让或分包，投标人必须在投标文件中予以说明，并需经招标人同意。否则，招标人有权取消中标单位的中标资格。</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29</w:t>
      </w:r>
      <w:r>
        <w:rPr>
          <w:rFonts w:hint="eastAsia" w:ascii="仿宋_GB2312" w:hAnsi="宋体" w:eastAsia="仿宋_GB2312" w:cs="宋体"/>
          <w:color w:val="auto"/>
          <w:sz w:val="28"/>
        </w:rPr>
        <w:t>.4  如中标单位未按有关规定与招标人签定合同或提交合同履约保证金的, 招标人可以选择其他中标候选人为中标单位，并组织中标单位和招标人签定经济合同。</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29</w:t>
      </w:r>
      <w:r>
        <w:rPr>
          <w:rFonts w:hint="eastAsia" w:ascii="仿宋_GB2312" w:hAnsi="宋体" w:eastAsia="仿宋_GB2312" w:cs="宋体"/>
          <w:color w:val="auto"/>
          <w:sz w:val="28"/>
        </w:rPr>
        <w:t>.5  合同履约保证金的形式为电汇、汇票、承兑支票或现金等，另有约定的，按照约定条件执行。</w:t>
      </w:r>
    </w:p>
    <w:p>
      <w:pPr>
        <w:pStyle w:val="4"/>
        <w:bidi w:val="0"/>
        <w:rPr>
          <w:rFonts w:hint="eastAsia"/>
          <w:lang w:val="en-US" w:eastAsia="zh-CN"/>
        </w:rPr>
      </w:pPr>
      <w:r>
        <w:rPr>
          <w:rFonts w:hint="eastAsia"/>
          <w:lang w:val="en-US" w:eastAsia="zh-CN"/>
        </w:rPr>
        <w:t>30.  合同的组成</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30</w:t>
      </w:r>
      <w:r>
        <w:rPr>
          <w:rFonts w:hint="eastAsia" w:ascii="仿宋_GB2312" w:hAnsi="宋体" w:eastAsia="仿宋_GB2312" w:cs="宋体"/>
          <w:color w:val="auto"/>
          <w:sz w:val="28"/>
        </w:rPr>
        <w:t>.1  下列文件均为经济合同不可分割的组成部分：</w:t>
      </w:r>
    </w:p>
    <w:p>
      <w:pPr>
        <w:pStyle w:val="42"/>
        <w:spacing w:line="540" w:lineRule="exact"/>
        <w:ind w:firstLine="567"/>
        <w:jc w:val="both"/>
        <w:rPr>
          <w:rFonts w:ascii="仿宋_GB2312" w:eastAsia="仿宋_GB2312" w:cs="宋体"/>
          <w:color w:val="auto"/>
          <w:sz w:val="28"/>
        </w:rPr>
      </w:pPr>
      <w:r>
        <w:rPr>
          <w:rFonts w:hint="eastAsia" w:ascii="仿宋_GB2312" w:hAnsi="宋体" w:eastAsia="仿宋_GB2312" w:cs="宋体"/>
          <w:color w:val="auto"/>
          <w:sz w:val="28"/>
          <w:lang w:val="en-US" w:eastAsia="zh-CN"/>
        </w:rPr>
        <w:t>30</w:t>
      </w:r>
      <w:r>
        <w:rPr>
          <w:rFonts w:hint="eastAsia" w:ascii="仿宋_GB2312" w:hAnsi="宋体" w:eastAsia="仿宋_GB2312" w:cs="宋体"/>
          <w:color w:val="auto"/>
          <w:sz w:val="28"/>
        </w:rPr>
        <w:t>.1.1  经确认的答疑记录；</w:t>
      </w:r>
    </w:p>
    <w:p>
      <w:pPr>
        <w:pStyle w:val="42"/>
        <w:spacing w:line="540" w:lineRule="exact"/>
        <w:ind w:firstLine="567"/>
        <w:jc w:val="both"/>
        <w:rPr>
          <w:rFonts w:ascii="仿宋_GB2312" w:hAnsi="宋体" w:eastAsia="仿宋_GB2312" w:cs="宋体"/>
          <w:color w:val="auto"/>
          <w:sz w:val="28"/>
        </w:rPr>
      </w:pPr>
      <w:r>
        <w:rPr>
          <w:rFonts w:hint="eastAsia" w:ascii="仿宋_GB2312" w:hAnsi="宋体" w:eastAsia="仿宋_GB2312" w:cs="宋体"/>
          <w:color w:val="auto"/>
          <w:sz w:val="28"/>
          <w:lang w:val="en-US" w:eastAsia="zh-CN"/>
        </w:rPr>
        <w:t>30</w:t>
      </w:r>
      <w:r>
        <w:rPr>
          <w:rFonts w:hint="eastAsia" w:ascii="仿宋_GB2312" w:hAnsi="宋体" w:eastAsia="仿宋_GB2312" w:cs="宋体"/>
          <w:color w:val="auto"/>
          <w:sz w:val="28"/>
        </w:rPr>
        <w:t>.1.2  中标通知书。</w:t>
      </w:r>
    </w:p>
    <w:p>
      <w:pPr>
        <w:pStyle w:val="71"/>
        <w:numPr>
          <w:ilvl w:val="0"/>
          <w:numId w:val="3"/>
        </w:numPr>
        <w:spacing w:before="312" w:beforeLines="100" w:after="156" w:afterLines="50" w:line="460" w:lineRule="exact"/>
        <w:ind w:firstLine="723"/>
        <w:jc w:val="center"/>
        <w:rPr>
          <w:rFonts w:hAnsi="宋体" w:cs="宋体"/>
          <w:b/>
          <w:sz w:val="36"/>
        </w:rPr>
      </w:pPr>
      <w:r>
        <w:rPr>
          <w:rFonts w:hint="eastAsia" w:hAnsi="宋体" w:cs="宋体"/>
          <w:b/>
          <w:sz w:val="36"/>
        </w:rPr>
        <w:t>招标采购内容要求</w:t>
      </w:r>
    </w:p>
    <w:p>
      <w:pPr>
        <w:pStyle w:val="42"/>
        <w:spacing w:line="540" w:lineRule="exact"/>
        <w:ind w:firstLine="567"/>
        <w:jc w:val="both"/>
        <w:rPr>
          <w:rFonts w:hint="eastAsia" w:ascii="仿宋_GB2312" w:hAnsi="宋体" w:eastAsia="仿宋_GB2312" w:cs="宋体"/>
          <w:color w:val="auto"/>
          <w:sz w:val="28"/>
          <w:lang w:val="en-US" w:eastAsia="zh-CN"/>
        </w:rPr>
      </w:pPr>
      <w:r>
        <w:rPr>
          <w:rFonts w:hint="eastAsia" w:ascii="仿宋_GB2312" w:hAnsi="宋体" w:eastAsia="仿宋_GB2312" w:cs="宋体"/>
          <w:color w:val="auto"/>
          <w:sz w:val="28"/>
          <w:lang w:val="en-US" w:eastAsia="zh-CN"/>
        </w:rPr>
        <w:t>1、项目名称：库车市平安城市八期建设项目一标段施工；</w:t>
      </w:r>
    </w:p>
    <w:p>
      <w:pPr>
        <w:pStyle w:val="42"/>
        <w:spacing w:line="540" w:lineRule="exact"/>
        <w:ind w:firstLine="567"/>
        <w:jc w:val="both"/>
        <w:rPr>
          <w:rFonts w:hint="eastAsia" w:ascii="仿宋_GB2312" w:hAnsi="宋体" w:eastAsia="仿宋_GB2312" w:cs="宋体"/>
          <w:color w:val="auto"/>
          <w:sz w:val="28"/>
          <w:lang w:val="en-US" w:eastAsia="zh-CN"/>
        </w:rPr>
      </w:pPr>
      <w:r>
        <w:rPr>
          <w:rFonts w:hint="eastAsia" w:ascii="仿宋_GB2312" w:hAnsi="宋体" w:eastAsia="仿宋_GB2312" w:cs="宋体"/>
          <w:color w:val="auto"/>
          <w:sz w:val="28"/>
          <w:lang w:val="en-US" w:eastAsia="zh-CN"/>
        </w:rPr>
        <w:t>2、项目地点：库车市</w:t>
      </w:r>
    </w:p>
    <w:p>
      <w:pPr>
        <w:pStyle w:val="42"/>
        <w:spacing w:line="540" w:lineRule="exact"/>
        <w:ind w:firstLine="567"/>
        <w:jc w:val="both"/>
        <w:rPr>
          <w:rFonts w:hint="eastAsia" w:ascii="仿宋_GB2312" w:hAnsi="宋体" w:eastAsia="仿宋_GB2312" w:cs="宋体"/>
          <w:color w:val="auto"/>
          <w:sz w:val="28"/>
          <w:lang w:val="en-US" w:eastAsia="zh-CN"/>
        </w:rPr>
      </w:pPr>
      <w:r>
        <w:rPr>
          <w:rFonts w:hint="eastAsia" w:ascii="仿宋_GB2312" w:hAnsi="宋体" w:eastAsia="仿宋_GB2312" w:cs="宋体"/>
          <w:color w:val="auto"/>
          <w:sz w:val="28"/>
          <w:lang w:val="en-US" w:eastAsia="zh-CN"/>
        </w:rPr>
        <w:t>3、项目单位：库车市公安局</w:t>
      </w:r>
    </w:p>
    <w:p>
      <w:pPr>
        <w:pStyle w:val="42"/>
        <w:spacing w:line="540" w:lineRule="exact"/>
        <w:ind w:firstLine="567"/>
        <w:jc w:val="both"/>
        <w:rPr>
          <w:rFonts w:hint="eastAsia" w:ascii="仿宋_GB2312" w:hAnsi="宋体" w:eastAsia="仿宋_GB2312" w:cs="宋体"/>
          <w:color w:val="auto"/>
          <w:sz w:val="28"/>
          <w:lang w:val="en-US" w:eastAsia="zh-CN"/>
        </w:rPr>
      </w:pPr>
      <w:r>
        <w:rPr>
          <w:rFonts w:hint="eastAsia" w:ascii="仿宋_GB2312" w:hAnsi="宋体" w:eastAsia="仿宋_GB2312" w:cs="宋体"/>
          <w:color w:val="auto"/>
          <w:sz w:val="28"/>
          <w:lang w:val="en-US" w:eastAsia="zh-CN"/>
        </w:rPr>
        <w:t>4、工期：签订合同后30个工作日内完成图纸内施工，并符合验收标准，验收合格达到使用条件。</w:t>
      </w:r>
    </w:p>
    <w:p>
      <w:pPr>
        <w:pStyle w:val="42"/>
        <w:spacing w:line="540" w:lineRule="exact"/>
        <w:ind w:firstLine="567"/>
        <w:jc w:val="both"/>
        <w:rPr>
          <w:rFonts w:hint="eastAsia" w:ascii="仿宋_GB2312" w:hAnsi="宋体" w:eastAsia="仿宋_GB2312" w:cs="宋体"/>
          <w:color w:val="auto"/>
          <w:sz w:val="28"/>
          <w:lang w:val="en-US" w:eastAsia="zh-CN"/>
        </w:rPr>
      </w:pPr>
      <w:r>
        <w:rPr>
          <w:rFonts w:hint="eastAsia" w:ascii="仿宋_GB2312" w:hAnsi="宋体" w:eastAsia="仿宋_GB2312" w:cs="宋体"/>
          <w:color w:val="auto"/>
          <w:sz w:val="28"/>
          <w:lang w:val="en-US" w:eastAsia="zh-CN"/>
        </w:rPr>
        <w:t>5、采购范围：详见采购清单。</w:t>
      </w:r>
    </w:p>
    <w:p>
      <w:pPr>
        <w:pStyle w:val="42"/>
        <w:spacing w:line="540" w:lineRule="exact"/>
        <w:ind w:firstLine="567"/>
        <w:jc w:val="both"/>
        <w:rPr>
          <w:rFonts w:hint="eastAsia" w:ascii="仿宋_GB2312" w:hAnsi="宋体" w:eastAsia="仿宋_GB2312" w:cs="宋体"/>
          <w:color w:val="auto"/>
          <w:sz w:val="28"/>
          <w:lang w:val="en-US" w:eastAsia="zh-CN"/>
        </w:rPr>
      </w:pPr>
      <w:r>
        <w:rPr>
          <w:rFonts w:hint="eastAsia" w:ascii="仿宋_GB2312" w:hAnsi="宋体" w:eastAsia="仿宋_GB2312" w:cs="宋体"/>
          <w:color w:val="auto"/>
          <w:sz w:val="28"/>
          <w:lang w:val="en-US" w:eastAsia="zh-CN"/>
        </w:rPr>
        <w:t>6、预算金额及付款方式：以双方签订合同金额及约定付款方式为准。</w:t>
      </w:r>
    </w:p>
    <w:p>
      <w:pPr>
        <w:pStyle w:val="42"/>
        <w:spacing w:line="540" w:lineRule="exact"/>
        <w:ind w:firstLine="567"/>
        <w:jc w:val="both"/>
        <w:rPr>
          <w:rFonts w:hint="eastAsia" w:ascii="仿宋_GB2312" w:hAnsi="宋体" w:eastAsia="仿宋_GB2312" w:cs="宋体"/>
          <w:color w:val="auto"/>
          <w:sz w:val="28"/>
          <w:lang w:val="en-US" w:eastAsia="zh-CN"/>
        </w:rPr>
      </w:pPr>
      <w:r>
        <w:rPr>
          <w:rFonts w:hint="eastAsia" w:ascii="仿宋_GB2312" w:hAnsi="宋体" w:eastAsia="仿宋_GB2312" w:cs="宋体"/>
          <w:color w:val="auto"/>
          <w:sz w:val="28"/>
          <w:lang w:val="en-US" w:eastAsia="zh-CN"/>
        </w:rPr>
        <w:t>7、技术服务要求：中标结果产生合同签订后，采购人与中标人形成融资租赁法律关系，即为期60个月的服务期，服务期结束后资产归采购人所有。按图纸内容施工，城区智慧交通信号控制系统，智慧交通交警智慧系统，电子警察抓拍系统，不礼让行人抓拍系统，国道卡口系统等。</w:t>
      </w:r>
    </w:p>
    <w:p>
      <w:pPr>
        <w:rPr>
          <w:rFonts w:hint="eastAsia" w:ascii="仿宋_GB2312" w:hAnsi="宋体" w:eastAsia="仿宋_GB2312" w:cs="宋体"/>
          <w:color w:val="auto"/>
          <w:sz w:val="28"/>
          <w:lang w:val="en-US" w:eastAsia="zh-CN"/>
        </w:rPr>
      </w:pPr>
      <w:r>
        <w:rPr>
          <w:rFonts w:hint="eastAsia" w:ascii="仿宋_GB2312" w:hAnsi="宋体" w:eastAsia="仿宋_GB2312" w:cs="宋体"/>
          <w:color w:val="auto"/>
          <w:sz w:val="28"/>
          <w:lang w:val="en-US" w:eastAsia="zh-CN"/>
        </w:rPr>
        <w:br w:type="page"/>
      </w:r>
    </w:p>
    <w:p>
      <w:pPr>
        <w:pStyle w:val="42"/>
        <w:spacing w:line="540" w:lineRule="exact"/>
        <w:ind w:firstLine="567"/>
        <w:jc w:val="both"/>
        <w:rPr>
          <w:rFonts w:hint="eastAsia" w:ascii="仿宋_GB2312" w:hAnsi="宋体" w:eastAsia="仿宋_GB2312" w:cs="宋体"/>
          <w:color w:val="auto"/>
          <w:sz w:val="28"/>
          <w:lang w:val="en-US" w:eastAsia="zh-CN"/>
        </w:rPr>
      </w:pPr>
      <w:r>
        <w:rPr>
          <w:rFonts w:hint="eastAsia" w:ascii="仿宋_GB2312" w:hAnsi="宋体" w:eastAsia="仿宋_GB2312" w:cs="宋体"/>
          <w:color w:val="auto"/>
          <w:sz w:val="28"/>
          <w:lang w:val="en-US" w:eastAsia="zh-CN"/>
        </w:rPr>
        <w:t>8、技术参数要求</w:t>
      </w:r>
    </w:p>
    <w:tbl>
      <w:tblPr>
        <w:tblStyle w:val="24"/>
        <w:tblW w:w="0" w:type="auto"/>
        <w:tblInd w:w="98" w:type="dxa"/>
        <w:shd w:val="clear" w:color="auto" w:fill="FFFFFF"/>
        <w:tblLayout w:type="autofit"/>
        <w:tblCellMar>
          <w:top w:w="0" w:type="dxa"/>
          <w:left w:w="108" w:type="dxa"/>
          <w:bottom w:w="0" w:type="dxa"/>
          <w:right w:w="108" w:type="dxa"/>
        </w:tblCellMar>
      </w:tblPr>
      <w:tblGrid>
        <w:gridCol w:w="597"/>
        <w:gridCol w:w="1177"/>
        <w:gridCol w:w="5589"/>
        <w:gridCol w:w="416"/>
        <w:gridCol w:w="716"/>
        <w:gridCol w:w="617"/>
      </w:tblGrid>
      <w:tr>
        <w:tblPrEx>
          <w:shd w:val="clear" w:color="auto" w:fill="FFFFFF"/>
          <w:tblCellMar>
            <w:top w:w="0" w:type="dxa"/>
            <w:left w:w="108" w:type="dxa"/>
            <w:bottom w:w="0" w:type="dxa"/>
            <w:right w:w="108" w:type="dxa"/>
          </w:tblCellMar>
        </w:tblPrEx>
        <w:trPr>
          <w:trHeight w:val="320" w:hRule="atLeast"/>
        </w:trPr>
        <w:tc>
          <w:tcPr>
            <w:tcW w:w="6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设备名称</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备注</w:t>
            </w:r>
          </w:p>
        </w:tc>
      </w:tr>
      <w:tr>
        <w:tblPrEx>
          <w:shd w:val="clear" w:color="auto" w:fill="FFFFFF"/>
          <w:tblCellMar>
            <w:top w:w="0" w:type="dxa"/>
            <w:left w:w="108" w:type="dxa"/>
            <w:bottom w:w="0" w:type="dxa"/>
            <w:right w:w="108" w:type="dxa"/>
          </w:tblCellMar>
        </w:tblPrEx>
        <w:trPr>
          <w:trHeight w:val="31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电警抓拍单元</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像素900万，全局曝光CMOS智能高清环保电警抓拍单元；</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图像分辨率≥4096×2160像素；</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3.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支持低延时功能，视频图像传输至客户端的延时时间≤90ms。（</w:t>
            </w:r>
            <w:r>
              <w:rPr>
                <w:rFonts w:hint="eastAsia" w:ascii="仿宋_GB2312" w:hAnsi="仿宋_GB2312" w:eastAsia="仿宋_GB2312" w:cs="仿宋_GB2312"/>
                <w:color w:val="000000"/>
                <w:kern w:val="0"/>
                <w:sz w:val="20"/>
                <w:highlight w:val="none"/>
                <w:lang w:val="en-US" w:eastAsia="zh-CN" w:bidi="ar"/>
              </w:rPr>
              <w:t>提</w:t>
            </w:r>
            <w:r>
              <w:rPr>
                <w:rFonts w:hint="eastAsia" w:ascii="仿宋_GB2312" w:hAnsi="仿宋_GB2312" w:eastAsia="仿宋_GB2312" w:cs="仿宋_GB2312"/>
                <w:color w:val="000000"/>
                <w:kern w:val="0"/>
                <w:sz w:val="20"/>
                <w:highlight w:val="none"/>
                <w:lang w:bidi="ar"/>
              </w:rPr>
              <w:t>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4. 可识别 7 种车牌颜色，包括蓝、黄、黑、白、绿、黄绿双色、渐变绿色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5.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支持机动车闯红灯、压线、不礼让行人、未按导向车道行驶、逆行、占用非机动车道、占用紧急车道、占用公交车道等多种违法，捕获率≥99%，识别准确率≥99%（</w:t>
            </w:r>
            <w:r>
              <w:rPr>
                <w:rFonts w:hint="eastAsia" w:ascii="仿宋_GB2312" w:hAnsi="仿宋_GB2312" w:eastAsia="仿宋_GB2312" w:cs="仿宋_GB2312"/>
                <w:color w:val="000000"/>
                <w:kern w:val="0"/>
                <w:sz w:val="20"/>
                <w:highlight w:val="none"/>
                <w:lang w:val="en-US" w:eastAsia="zh-CN" w:bidi="ar"/>
              </w:rPr>
              <w:t>提</w:t>
            </w:r>
            <w:r>
              <w:rPr>
                <w:rFonts w:hint="eastAsia" w:ascii="仿宋_GB2312" w:hAnsi="仿宋_GB2312" w:eastAsia="仿宋_GB2312" w:cs="仿宋_GB2312"/>
                <w:color w:val="000000"/>
                <w:kern w:val="0"/>
                <w:sz w:val="20"/>
                <w:highlight w:val="none"/>
                <w:lang w:bidi="ar"/>
              </w:rPr>
              <w:t>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工作温度-40℃～+85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外壳防护等级应不低于IP67</w:t>
            </w:r>
          </w:p>
          <w:p>
            <w:pPr>
              <w:widowControl/>
              <w:jc w:val="left"/>
              <w:textAlignment w:val="center"/>
              <w:rPr>
                <w:rFonts w:hint="eastAsia" w:ascii="仿宋_GB2312" w:hAnsi="仿宋_GB2312" w:eastAsia="仿宋_GB2312" w:cs="仿宋_GB2312"/>
                <w:color w:val="000000"/>
                <w:sz w:val="20"/>
                <w:highlight w:val="none"/>
                <w:lang w:val="en-US" w:eastAsia="zh-CN"/>
              </w:rPr>
            </w:pPr>
            <w:r>
              <w:rPr>
                <w:rFonts w:hint="eastAsia" w:ascii="仿宋_GB2312" w:hAnsi="仿宋_GB2312" w:eastAsia="仿宋_GB2312" w:cs="仿宋_GB2312"/>
                <w:color w:val="000000"/>
                <w:kern w:val="0"/>
                <w:sz w:val="20"/>
                <w:highlight w:val="none"/>
                <w:lang w:val="en-US" w:eastAsia="zh-CN" w:bidi="ar"/>
              </w:rPr>
              <w:t>8.</w:t>
            </w:r>
            <w:r>
              <w:rPr>
                <w:rFonts w:hint="eastAsia" w:ascii="仿宋_GB2312" w:hAnsi="仿宋_GB2312" w:eastAsia="仿宋_GB2312" w:cs="仿宋_GB2312"/>
                <w:color w:val="000000"/>
                <w:kern w:val="0"/>
                <w:sz w:val="20"/>
                <w:highlight w:val="none"/>
                <w:lang w:eastAsia="zh-CN" w:bidi="ar"/>
              </w:rPr>
              <w:t>11-40mm P-Iris C接口镜头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73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484"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电警抓拍单元</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rPr>
              <w:t>1. 600万像素图像传感器，靶面尺寸不小于1英寸</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rPr>
              <w:t>2. 支持过车监控、违法记录、车牌识别等多项智能业务</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rPr>
              <w:t xml:space="preserve">3.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sz w:val="20"/>
                <w:highlight w:val="none"/>
              </w:rPr>
              <w:t>前端抓拍设备支持网络串接，支持电口或者SFP口接入网络（</w:t>
            </w:r>
            <w:r>
              <w:rPr>
                <w:rFonts w:hint="eastAsia" w:ascii="仿宋_GB2312" w:hAnsi="仿宋_GB2312" w:eastAsia="仿宋_GB2312" w:cs="仿宋_GB2312"/>
                <w:color w:val="000000"/>
                <w:kern w:val="0"/>
                <w:sz w:val="20"/>
                <w:highlight w:val="none"/>
                <w:lang w:val="en-US" w:eastAsia="zh-CN" w:bidi="ar"/>
              </w:rPr>
              <w:t>提</w:t>
            </w:r>
            <w:r>
              <w:rPr>
                <w:rFonts w:hint="eastAsia" w:ascii="仿宋_GB2312" w:hAnsi="仿宋_GB2312" w:eastAsia="仿宋_GB2312" w:cs="仿宋_GB2312"/>
                <w:color w:val="000000"/>
                <w:kern w:val="0"/>
                <w:sz w:val="20"/>
                <w:highlight w:val="none"/>
                <w:lang w:bidi="ar"/>
              </w:rPr>
              <w:t>供相关权威机构检测报告为证</w:t>
            </w:r>
            <w:r>
              <w:rPr>
                <w:rFonts w:hint="eastAsia" w:ascii="仿宋_GB2312" w:hAnsi="仿宋_GB2312" w:eastAsia="仿宋_GB2312" w:cs="仿宋_GB2312"/>
                <w:color w:val="000000"/>
                <w:sz w:val="20"/>
                <w:highlight w:val="none"/>
              </w:rPr>
              <w:t>）</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rPr>
              <w:t>4. 包含新能源车牌前提下,车辆号牌白天、晚上识别准确率不小于99.5%</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rPr>
              <w:t xml:space="preserve">5. 前端抓拍设备应支持超速、逆行、闯红灯等违法图片合成； </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rPr>
              <w:t>6. 支持机动车占用非机动车道抓拍，捕获率≥99%</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rPr>
              <w:t xml:space="preserve">7.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sz w:val="20"/>
                <w:highlight w:val="none"/>
              </w:rPr>
              <w:t>支持斑马线未礼让行人违法抓拍功能（</w:t>
            </w:r>
            <w:r>
              <w:rPr>
                <w:rFonts w:hint="eastAsia" w:ascii="仿宋_GB2312" w:hAnsi="仿宋_GB2312" w:eastAsia="仿宋_GB2312" w:cs="仿宋_GB2312"/>
                <w:color w:val="000000"/>
                <w:kern w:val="0"/>
                <w:sz w:val="20"/>
                <w:highlight w:val="none"/>
                <w:lang w:val="en-US" w:eastAsia="zh-CN" w:bidi="ar"/>
              </w:rPr>
              <w:t>提</w:t>
            </w:r>
            <w:r>
              <w:rPr>
                <w:rFonts w:hint="eastAsia" w:ascii="仿宋_GB2312" w:hAnsi="仿宋_GB2312" w:eastAsia="仿宋_GB2312" w:cs="仿宋_GB2312"/>
                <w:color w:val="000000"/>
                <w:kern w:val="0"/>
                <w:sz w:val="20"/>
                <w:highlight w:val="none"/>
                <w:lang w:bidi="ar"/>
              </w:rPr>
              <w:t>供相关权威机构检测报告为证</w:t>
            </w:r>
            <w:r>
              <w:rPr>
                <w:rFonts w:hint="eastAsia" w:ascii="仿宋_GB2312" w:hAnsi="仿宋_GB2312" w:eastAsia="仿宋_GB2312" w:cs="仿宋_GB2312"/>
                <w:color w:val="000000"/>
                <w:sz w:val="20"/>
                <w:highlight w:val="none"/>
              </w:rPr>
              <w:t>）</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rPr>
              <w:t>8. 支持危险品车辆识别功能</w:t>
            </w:r>
          </w:p>
          <w:p>
            <w:pPr>
              <w:widowControl/>
              <w:jc w:val="left"/>
              <w:textAlignment w:val="center"/>
              <w:rPr>
                <w:rFonts w:hint="eastAsia" w:ascii="仿宋_GB2312" w:hAnsi="仿宋_GB2312" w:eastAsia="仿宋_GB2312" w:cs="仿宋_GB2312"/>
                <w:color w:val="000000"/>
                <w:sz w:val="20"/>
                <w:highlight w:val="none"/>
                <w:lang w:val="en-US" w:eastAsia="zh-CN"/>
              </w:rPr>
            </w:pPr>
            <w:r>
              <w:rPr>
                <w:rFonts w:hint="eastAsia" w:ascii="仿宋_GB2312" w:hAnsi="仿宋_GB2312" w:eastAsia="仿宋_GB2312" w:cs="仿宋_GB2312"/>
                <w:color w:val="000000"/>
                <w:sz w:val="20"/>
                <w:highlight w:val="none"/>
              </w:rPr>
              <w:t>9. 防护等级不低于IP67</w:t>
            </w:r>
            <w:r>
              <w:rPr>
                <w:rFonts w:hint="eastAsia" w:ascii="仿宋_GB2312" w:hAnsi="仿宋_GB2312" w:eastAsia="仿宋_GB2312" w:cs="仿宋_GB2312"/>
                <w:color w:val="000000"/>
                <w:sz w:val="20"/>
                <w:highlight w:val="none"/>
                <w:lang w:val="en-US" w:eastAsia="zh-CN"/>
              </w:rPr>
              <w:t xml:space="preserve"> </w:t>
            </w:r>
          </w:p>
          <w:p>
            <w:pPr>
              <w:widowControl/>
              <w:jc w:val="left"/>
              <w:textAlignment w:val="center"/>
              <w:rPr>
                <w:rFonts w:hint="eastAsia" w:ascii="仿宋_GB2312" w:hAnsi="仿宋_GB2312" w:eastAsia="仿宋_GB2312" w:cs="仿宋_GB2312"/>
                <w:color w:val="000000"/>
                <w:sz w:val="20"/>
                <w:highlight w:val="none"/>
                <w:lang w:val="en-US" w:eastAsia="zh-CN"/>
              </w:rPr>
            </w:pPr>
            <w:r>
              <w:rPr>
                <w:rFonts w:hint="eastAsia" w:ascii="仿宋_GB2312" w:hAnsi="仿宋_GB2312" w:eastAsia="仿宋_GB2312" w:cs="仿宋_GB2312"/>
                <w:color w:val="000000"/>
                <w:sz w:val="20"/>
                <w:highlight w:val="none"/>
                <w:lang w:val="en-US" w:eastAsia="zh-CN"/>
              </w:rPr>
              <w:t>10.</w:t>
            </w:r>
            <w:r>
              <w:rPr>
                <w:rFonts w:hint="eastAsia" w:ascii="仿宋_GB2312" w:hAnsi="仿宋_GB2312" w:eastAsia="仿宋_GB2312" w:cs="仿宋_GB2312"/>
                <w:color w:val="000000"/>
                <w:kern w:val="0"/>
                <w:sz w:val="20"/>
                <w:highlight w:val="none"/>
                <w:lang w:eastAsia="zh-CN" w:bidi="ar"/>
              </w:rPr>
              <w:t>11-40mm P-Iris C接口镜头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LED频闪灯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高品质LED灯珠，数量≥16颗</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色温≤3500k</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 光通量≥1400lm</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最佳补光距离16-26米</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补光功率＜30W</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触发方式：电平量触发</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电源范围AC220±20%</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8. 可在-40℃～70℃温度环境正常工作</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9. 防护等级达到IP67</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10. 寿命≥50000小时</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11.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基准轴上的峰值光照度应≤300lx，平均光照度应≤50lx；在制造商标称的补光区域内，峰值光照度应大于等于基准轴上峰值光照度的50%（</w:t>
            </w:r>
            <w:r>
              <w:rPr>
                <w:rFonts w:hint="eastAsia" w:ascii="仿宋_GB2312" w:hAnsi="仿宋_GB2312" w:eastAsia="仿宋_GB2312" w:cs="仿宋_GB2312"/>
                <w:color w:val="000000"/>
                <w:kern w:val="0"/>
                <w:sz w:val="20"/>
                <w:highlight w:val="none"/>
                <w:lang w:val="en-US" w:eastAsia="zh-CN" w:bidi="ar"/>
              </w:rPr>
              <w:t>提</w:t>
            </w:r>
            <w:r>
              <w:rPr>
                <w:rFonts w:hint="eastAsia" w:ascii="仿宋_GB2312" w:hAnsi="仿宋_GB2312" w:eastAsia="仿宋_GB2312" w:cs="仿宋_GB2312"/>
                <w:color w:val="000000"/>
                <w:kern w:val="0"/>
                <w:sz w:val="20"/>
                <w:highlight w:val="none"/>
                <w:lang w:bidi="ar"/>
              </w:rPr>
              <w:t>供相关权威机构检测报告为证）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294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38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反向车辆人脸卡口</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900万像素图像传感器，靶面尺寸≥1英寸</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图像分辨率≥4096×2160，帧率1-25帧可调</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3.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支持采用不可见光或不可见光与可见光联合方式进行补光，内置双图像传感器（提供相关权威机构检测报告为证）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≥4个RS485接口，≥1个SFP接口，≥8个同步信号控制接口</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支持未悬挂机动车号牌车辆捕获，捕获率≥99％</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支持遮挡机动车号牌车辆捕获，记录有效率≥99％</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支持识别车9辆品牌，种类≥350种</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8.</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 xml:space="preserve"> 支持车辆状态上报状态信息，状态信息更新间隔≤0.05S（提供相关权威机构检测报告为证）</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 工作温度-45℃～+90℃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34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LED频闪白光爆闪一体灯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LED色温≤4000K</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≥24颗LED灯珠</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 支持白光爆闪红外爆闪切换</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补光距离18-32米</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可在-40℃～70℃温度环境正常工作</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防护等级达到IP67</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连续两次补光之间最小时间间隔≤50ms8. 滤光片未遮挡情况下，遮挡面积占爆闪灯总面积＜15％</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9.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支持连闪功能，可在一秒内闪光4次（提供相关权威机构检测报告）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119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4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终端服务器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应具有显示主机工作状态的灯光指示，可显示电口、光口、硬盘、报警、加热等工作状态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2.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可以接入≥16路分辨率不低于4096×2160的网络摄像机（提供相关权威机构检测报告为证）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 支持4个硬盘槽位，支持硬盘S.M.A.R.T检测、坏道检测功能，支持RAID0、RAID1、RAID5等磁盘阵列，支持手动录像、定时录像、计划录像，支持图像质量检测功能</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支持区间测速功能、断网续传功能、关联录像功能</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支持图片OSD叠加及视频OSD叠加功能，支持图片合成功能，可将卡口电警抓拍的图片进行合成，支持将相机上传的2、3、4、6张图片合成1张，并可配置合成图顺序</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支持图片检索功能，可按卡口、时间、车牌、车速、车身颜色、车辆类型、行驶方向、无牌车等进行检索查询</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支持网络延时诊断功能，可进行网络延时及丢包测试，并可设置测试地址和测试包大小；具有网络抓包功能，并可根据IP地址和端口对抓到的报文进行过滤，支持网络流量动态显示及查询功能</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8. 支持NTP校时功能，可自定义NTP服务器IP地址、端口及更新时间间隔等信息</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9. 支持IP地址过滤、Telnet开关自定义、802.1x认证、ARP防攻击、视频水印等安全防护功能，具备强密码管理功能</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 工作温度-40℃～70℃，最大功耗低于80W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45"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交通灯信号检测器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红绿灯检测准确率100%</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红绿灯网络上报时间≤1s</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 红绿灯检测时间≤1ms</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≥1路电源指示灯、≥16路检测状态指示灯、≥1路升级指示灯</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RJ45网口≥1个、RS485接口≥1个、≥16路信号输入接口</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信号灯信号检测器可接收信号灯状态信息，并可将实时状态上报至联动的网络摄像机</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信号传输支持网络RJ45接口传输</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8. 工作电压DC12V±10%</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9. 功耗≤1W</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10. 工作环境-30℃～+70℃</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val="en-US" w:eastAsia="zh-CN" w:bidi="ar"/>
              </w:rPr>
              <w:t>11.</w:t>
            </w:r>
            <w:r>
              <w:rPr>
                <w:rFonts w:hint="eastAsia" w:ascii="仿宋_GB2312" w:hAnsi="仿宋_GB2312" w:eastAsia="仿宋_GB2312" w:cs="仿宋_GB2312"/>
                <w:color w:val="000000"/>
                <w:sz w:val="20"/>
                <w:highlight w:val="none"/>
              </w:rPr>
              <w:t>DC12V/24W电源适配器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135"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球机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400万星光级33倍红外球型网络摄像机</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1/1.8 ”逐行扫描400万像素CMOS图像传感器；6~198mm电动变焦，33倍光学变倍；</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 支持内置GPU芯片，8GB eMMC芯片，具≥有1个RJ45接口、1个BNC接口、2个报警输入接口，1个报警输出接口、1个RS485接口、1个音频输入接口、1个音频输出接口、1个SD卡槽</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最低照度检验，彩色：≤0.001lx,黑白：≤0.0001lx</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支持人脸检测，越界检测、区域入侵、进入区域、离开区域，运动检测、遮挡检测、声音检测、报警输入、报警输出；</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6.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支持同时检测≥40个人脸目标；（提供相关权威机构检测报告为证）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支持人脸、人体抓拍，支持人脸属性提取；</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8. 人脸属性：性别、年龄段、戴眼镜、戴口罩；</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9.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红外灯开启时，支持根据被摄物的距离自动调节红外光功率密度（提供相关权威机构检测报告为证）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10. 支持对设定区域内的运动目标进行自动或手动跟踪</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11. 预置位数目≥1024个，存预置位和调用预置位功能应正常</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12. 供电方式：AC24V±25%， DC24V±25%；</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13. 工作环境：–40°C ~ 70°C</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 防护等级：≥IP66；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球机电源</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AC220V转DC24V</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37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抱杆机柜</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尺寸：450mmX500mmX600mm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双路10A空气开关三个 ，3芯插座一个，抱杆安装</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结构：整体结构采用拼焊镀锌结构 ，牢固、钢性好、牢固可靠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防护等级≥IP55 ，保护内部设备不受外界恶劣环境的干扰</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机柜采用主体焊接、部分拼装的结构 ，保证了防护性</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采用的是专用户外柜锁 ，具有良好的防水、防盗性能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环境适应性好 ，能最大限度地降低设备对环境的要求接地系统安全可靠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机柜底部进出线缆 ，有效实现防水、防尘</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机柜采用抱杆安装方式 ，具有防虫、防鼠功效</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一般规范</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工作湿度：湿度5%~95%@40℃ ，无凝结</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工作温度：温度-40℃~70℃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安装支架</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三维鸭嘴头-钢铁材质 ，100mm*100mm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622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抱箍</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val="en-US" w:eastAsia="zh-CN" w:bidi="ar"/>
              </w:rPr>
              <w:t>5</w:t>
            </w:r>
            <w:r>
              <w:rPr>
                <w:rFonts w:hint="eastAsia" w:ascii="仿宋_GB2312" w:hAnsi="仿宋_GB2312" w:eastAsia="仿宋_GB2312" w:cs="仿宋_GB2312"/>
                <w:color w:val="000000"/>
                <w:kern w:val="0"/>
                <w:sz w:val="20"/>
                <w:highlight w:val="none"/>
                <w:lang w:bidi="ar"/>
              </w:rPr>
              <w:t>0cm抱箍圈，不锈钢材质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1244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6m(φ219)，主杆厚度≥6mm ，直径219mm；热镀锌、喷塑；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85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6m(φ273)，主杆厚度≥8mm ，直径273mm；热镀锌、喷塑；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6m(φ325)，主杆厚度≥10mm ，直径325mm；热镀锌、喷塑；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横臂长度5米，横壁厚5mm。整体热镀锌后喷塑。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横臂长度6米，横壁厚5mm。整体热镀锌后喷塑。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横臂长度7米，横壁厚5mm。整体热镀锌后喷塑。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横臂长度8米，横壁厚6mm。整体热镀锌后喷塑。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横臂长度9米，横壁厚6mm。整体热镀锌后喷塑。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横臂长度10米，横壁厚6mm。整体热镀锌后喷塑。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横臂长度11米，横壁厚6mm。整体热镀锌后喷塑。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横臂长度12米，横壁厚8mm。整体热镀锌后喷塑。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横臂长度13米，横壁厚8mm。整体热镀锌后喷塑。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横臂长度14米，横壁厚8mm。整体热镀锌后喷塑。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3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千兆交换机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工业级网管型以太网交换机，≥8个千兆电口，≥2个千兆SFP插槽（需另配光模块），支持VLAN、端口聚合、环网冗余保护、组播、广播风暴控制、SNMP、IEEE 802.1X、HTTPS、Telnet、SSH等软件功能 ，电源支持过载保护、反接保护、冗余保护等防护特性 ，防护等级≥IP40金属外壳 ，工业宽温-40~85℃ ，电源电压24VDC&amp;24VAC（冗余电源）。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光模块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单模单纤、1.25G、1310nm、LC接口、10km、工业级、DDM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226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光缆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GYTS-12B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7867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尾纤</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满足现场光纤成端需求，与光纤收发器端口匹配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条</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512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网线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室外超五类四对非屏蔽双绞线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4338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终端盒</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≥8口终端盒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光缆熔接</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光缆熔接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512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国标RVV3*2.5mm2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10433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国标RVV1*4mm2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456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国标RVV2*1.5mm2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10772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穿线管</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sz w:val="20"/>
                <w:highlight w:val="none"/>
              </w:rPr>
            </w:pPr>
            <w:r>
              <w:rPr>
                <w:rFonts w:hint="eastAsia" w:ascii="仿宋_GB2312" w:hAnsi="仿宋_GB2312" w:eastAsia="仿宋_GB2312" w:cs="仿宋_GB2312"/>
                <w:kern w:val="0"/>
                <w:sz w:val="20"/>
                <w:highlight w:val="none"/>
                <w:lang w:bidi="ar"/>
              </w:rPr>
              <w:t>直径50 PE管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22800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钢管</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焊管 圆管 焊接钢管 6米/根 DN100壁厚4mm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1020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接地扁铁</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4cm镀锌扁铁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285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开挖及恢复</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沿线开挖、恢复费用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3291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水泥基础（φ219型）</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含接地、混凝土、预埋件材料 ，基础规格1200mmx1200mmx2000mm。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85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水泥基础（φ273型）</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含接地、混凝土、预埋件材料 ，基础规格1500mmx1500mmx2100mm。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水泥基础（φ325型）</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含接地、混凝土、预埋件材料 ，基础规格1800mmx1800mmx2300mm。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lang w:val="en-US"/>
              </w:rPr>
            </w:pPr>
            <w:r>
              <w:rPr>
                <w:rFonts w:hint="eastAsia" w:ascii="仿宋_GB2312" w:hAnsi="仿宋_GB2312" w:eastAsia="仿宋_GB2312" w:cs="仿宋_GB2312"/>
                <w:color w:val="000000"/>
                <w:kern w:val="0"/>
                <w:sz w:val="20"/>
                <w:highlight w:val="none"/>
                <w:lang w:val="en-US" w:eastAsia="zh-CN" w:bidi="ar"/>
              </w:rPr>
              <w:t>电力引入</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lang w:eastAsia="zh-CN"/>
              </w:rPr>
            </w:pPr>
            <w:r>
              <w:rPr>
                <w:rFonts w:hint="eastAsia" w:ascii="仿宋_GB2312" w:hAnsi="仿宋_GB2312" w:eastAsia="仿宋_GB2312" w:cs="仿宋_GB2312"/>
                <w:color w:val="000000"/>
                <w:kern w:val="0"/>
                <w:sz w:val="20"/>
                <w:highlight w:val="none"/>
                <w:lang w:bidi="ar"/>
              </w:rPr>
              <w:t>含引电手续、电表</w:t>
            </w:r>
            <w:r>
              <w:rPr>
                <w:rFonts w:hint="eastAsia" w:ascii="仿宋_GB2312" w:hAnsi="仿宋_GB2312" w:eastAsia="仿宋_GB2312" w:cs="仿宋_GB2312"/>
                <w:color w:val="000000"/>
                <w:kern w:val="0"/>
                <w:sz w:val="20"/>
                <w:highlight w:val="none"/>
                <w:lang w:val="en-US" w:eastAsia="zh-CN" w:bidi="ar"/>
              </w:rPr>
              <w:t>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处</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63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水晶头</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RJ45网络接头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盒</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包塑金属软管</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PA尼龙阻燃软管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726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辅材</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标签、胶布、扎带、波纹管、水晶头等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批</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1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环保高清卡口抓拍单元</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900万像素图像传感器，靶面尺寸≥1英寸</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图像分辨率≥4096×2160，帧率1-25帧可调</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3.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支持采用不可见光或不可见光与可见光联合方式进行补光，内置双图像传感器（提供相关权威机构检测报告为证）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≥4个RS485接口，≥1个SFP接口，≥8个同步信号控制接口</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支持未悬挂机动车号牌车辆捕获，捕获率≥99％</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支持遮挡机动车号牌车辆捕获，记录有效率≥99％</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支持识别车9辆品牌，种类≥350种</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8.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支持车辆状态上报状态信息，状态信息更新间隔≤0.05S（提供相关权威机构检测报告为证）</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 工作温度-45℃～+90℃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5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四合一爆闪灯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LED色温≤4000K</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≥24颗LED灯珠</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 支持白光爆闪红外爆闪切换</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补光距离18-32米</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可在-40℃～70℃温度环境正常工作</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防护等级达到IP67</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连续两次补光之间最小时间间隔≤50ms</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8. 滤光片未遮挡情况下，遮挡面积占爆闪灯总面积＜15％</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9.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支持连闪功能，可在一秒内闪光4次（提供相关权威机构检测报告）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675"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终端服务器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应具有显示主机工作状态的灯光指示，可显示电口、光口、硬盘、报警、加热等工作状态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2.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可以接入≥16路分辨率不低于4096×2160的网络摄像机（提供相关权威机构检测报告为证）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 支持4个硬盘槽位，支持硬盘S.M.A.R.T检测、坏道检测功能，支持RAID0、RAID1、RAID5等磁盘阵列，支持手动录像、定时录像、计划录像，支持图像质量检测功能</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支持区间测速功能、断网续传功能、关联录像功能</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支持图片OSD叠加及视频OSD叠加功能，支持图片合成功能，可将卡口电警抓拍的图片进行合成，支持将相机上传的2、3、4、6张图片合成1张，并可配置合成图顺序</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支持图片检索功能，可按卡口、时间、车牌、车速、车身颜色、车辆类型、行驶方向、无牌车等进行检索查询</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支持网络延时诊断功能，可进行网络延时及丢包测试，并可设置测试地址和测试包大小；具有网络抓包功能，并可根据IP地址和端口对抓到的报文进行过滤，支持网络流量动态显示及查询功能</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8. 支持NTP校时功能，可自定义NTP服务器IP地址、端口及更新时间间隔等信息</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9. 支持IP地址过滤、Telnet开关自定义、802.1x认证、ARP防攻击、视频水印等安全防护功能，具备强密码管理功能</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10. 工作温度-40℃～70℃，最大功耗低于80W</w:t>
            </w:r>
          </w:p>
          <w:p>
            <w:pPr>
              <w:widowControl/>
              <w:jc w:val="left"/>
              <w:textAlignment w:val="center"/>
              <w:rPr>
                <w:rFonts w:hint="eastAsia" w:ascii="仿宋_GB2312" w:hAnsi="仿宋_GB2312" w:eastAsia="仿宋_GB2312" w:cs="仿宋_GB2312"/>
                <w:lang w:eastAsia="zh-CN"/>
              </w:rPr>
            </w:pPr>
            <w:r>
              <w:rPr>
                <w:rFonts w:hint="eastAsia" w:ascii="仿宋_GB2312" w:hAnsi="仿宋_GB2312" w:eastAsia="仿宋_GB2312" w:cs="仿宋_GB2312"/>
                <w:color w:val="000000"/>
                <w:kern w:val="0"/>
                <w:sz w:val="20"/>
                <w:highlight w:val="none"/>
                <w:lang w:val="en-US" w:eastAsia="zh-CN" w:bidi="ar"/>
              </w:rPr>
              <w:t xml:space="preserve">11. </w:t>
            </w:r>
            <w:r>
              <w:rPr>
                <w:rFonts w:hint="eastAsia" w:ascii="仿宋_GB2312" w:hAnsi="仿宋_GB2312" w:eastAsia="仿宋_GB2312" w:cs="仿宋_GB2312"/>
                <w:color w:val="000000"/>
                <w:kern w:val="0"/>
                <w:sz w:val="20"/>
                <w:highlight w:val="none"/>
                <w:lang w:eastAsia="zh-CN" w:bidi="ar"/>
              </w:rPr>
              <w:t>视频监控系列监控级3.5英寸</w:t>
            </w:r>
            <w:r>
              <w:rPr>
                <w:rFonts w:hint="eastAsia" w:ascii="仿宋_GB2312" w:hAnsi="仿宋_GB2312" w:eastAsia="仿宋_GB2312" w:cs="仿宋_GB2312"/>
                <w:color w:val="000000"/>
                <w:kern w:val="0"/>
                <w:sz w:val="20"/>
                <w:highlight w:val="none"/>
                <w:lang w:bidi="ar"/>
              </w:rPr>
              <w:t>≥</w:t>
            </w:r>
            <w:r>
              <w:rPr>
                <w:rFonts w:hint="eastAsia" w:ascii="仿宋_GB2312" w:hAnsi="仿宋_GB2312" w:eastAsia="仿宋_GB2312" w:cs="仿宋_GB2312"/>
                <w:color w:val="000000"/>
                <w:kern w:val="0"/>
                <w:sz w:val="20"/>
                <w:highlight w:val="none"/>
                <w:lang w:eastAsia="zh-CN" w:bidi="ar"/>
              </w:rPr>
              <w:t>4T硬盘</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光伏电站</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满足卡口需求的光伏电站，总功率：</w:t>
            </w:r>
            <w:r>
              <w:rPr>
                <w:rFonts w:hint="eastAsia" w:ascii="仿宋_GB2312" w:hAnsi="仿宋_GB2312" w:eastAsia="仿宋_GB2312" w:cs="仿宋_GB2312"/>
                <w:color w:val="000000"/>
                <w:kern w:val="0"/>
                <w:sz w:val="20"/>
                <w:highlight w:val="none"/>
                <w:lang w:bidi="ar"/>
              </w:rPr>
              <w:t>≥</w:t>
            </w:r>
            <w:r>
              <w:rPr>
                <w:rFonts w:hint="eastAsia" w:ascii="仿宋_GB2312" w:hAnsi="仿宋_GB2312" w:eastAsia="仿宋_GB2312" w:cs="仿宋_GB2312"/>
                <w:i w:val="0"/>
                <w:iCs w:val="0"/>
                <w:color w:val="000000"/>
                <w:kern w:val="0"/>
                <w:sz w:val="20"/>
                <w:szCs w:val="20"/>
                <w:u w:val="none"/>
                <w:lang w:val="en-US" w:eastAsia="zh-CN" w:bidi="ar"/>
              </w:rPr>
              <w:t>4.65KW，满足设备5个阴雨天正常供电，</w:t>
            </w:r>
          </w:p>
          <w:p>
            <w:pPr>
              <w:widowControl/>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支架采用加厚热镀锌C型钢材料、抗腐蚀不生锈，强度高；采用倾斜角度45-70度可调节设计；标准型可组装支架、C型钢不小于41mm*41mm*20mm规格、抗风等级不小于12级，支架可拆卸组装、便于运输携带、（标配含螺丝、中压、边压、地锚等全套）也可更据现场单独设计出图制作支架；</w:t>
            </w:r>
          </w:p>
          <w:p>
            <w:pPr>
              <w:pStyle w:val="11"/>
              <w:rPr>
                <w:rFonts w:hint="eastAsia" w:ascii="仿宋_GB2312" w:hAnsi="仿宋_GB2312" w:eastAsia="仿宋_GB2312" w:cs="仿宋_GB2312"/>
                <w:lang w:eastAsia="zh-CN"/>
              </w:rPr>
            </w:pPr>
            <w:r>
              <w:rPr>
                <w:rFonts w:hint="eastAsia" w:ascii="仿宋_GB2312" w:hAnsi="仿宋_GB2312" w:eastAsia="仿宋_GB2312" w:cs="仿宋_GB2312"/>
                <w:i w:val="0"/>
                <w:iCs w:val="0"/>
                <w:color w:val="000000"/>
                <w:kern w:val="0"/>
                <w:sz w:val="20"/>
                <w:szCs w:val="20"/>
                <w:u w:val="none"/>
                <w:lang w:val="en-US" w:eastAsia="zh-CN" w:bidi="ar"/>
              </w:rPr>
              <w:t>控制器高效MPPT、自动最大功率点追踪、效率</w:t>
            </w:r>
            <w:r>
              <w:rPr>
                <w:rFonts w:hint="eastAsia" w:ascii="仿宋_GB2312" w:hAnsi="仿宋_GB2312" w:eastAsia="仿宋_GB2312" w:cs="仿宋_GB2312"/>
                <w:color w:val="000000"/>
                <w:kern w:val="0"/>
                <w:sz w:val="20"/>
                <w:highlight w:val="none"/>
                <w:lang w:bidi="ar"/>
              </w:rPr>
              <w:t>≥</w:t>
            </w:r>
            <w:r>
              <w:rPr>
                <w:rFonts w:hint="eastAsia" w:ascii="仿宋_GB2312" w:hAnsi="仿宋_GB2312" w:eastAsia="仿宋_GB2312" w:cs="仿宋_GB2312"/>
                <w:i w:val="0"/>
                <w:iCs w:val="0"/>
                <w:color w:val="000000"/>
                <w:kern w:val="0"/>
                <w:sz w:val="20"/>
                <w:szCs w:val="20"/>
                <w:u w:val="none"/>
                <w:lang w:val="en-US" w:eastAsia="zh-CN" w:bidi="ar"/>
              </w:rPr>
              <w:t>98%，支持发电量、电流、电压、功率等参数查询、电池电压等参数设置，多阶段充电管理，100A输入、48V自动识别电瓶电压、带短路保护、开路保护、过流保护、过冲保护、过放保护、反接保护、支持手动设置参数、铅酸、胶体与锂电池均可使用；支持控流与锂电池激活功能；逆变器：</w:t>
            </w:r>
            <w:r>
              <w:rPr>
                <w:rFonts w:hint="eastAsia" w:ascii="仿宋_GB2312" w:hAnsi="仿宋_GB2312" w:eastAsia="仿宋_GB2312" w:cs="仿宋_GB2312"/>
                <w:color w:val="000000"/>
                <w:kern w:val="0"/>
                <w:sz w:val="20"/>
                <w:highlight w:val="none"/>
                <w:lang w:bidi="ar"/>
              </w:rPr>
              <w:t>≥</w:t>
            </w:r>
            <w:r>
              <w:rPr>
                <w:rFonts w:hint="eastAsia" w:ascii="仿宋_GB2312" w:hAnsi="仿宋_GB2312" w:eastAsia="仿宋_GB2312" w:cs="仿宋_GB2312"/>
                <w:i w:val="0"/>
                <w:iCs w:val="0"/>
                <w:color w:val="000000"/>
                <w:kern w:val="0"/>
                <w:sz w:val="20"/>
                <w:szCs w:val="20"/>
                <w:u w:val="none"/>
                <w:lang w:val="en-US" w:eastAsia="zh-CN" w:bidi="ar"/>
              </w:rPr>
              <w:t>48v（含48V） 高效逆变器， 带多功能保护，效率不小于92%；采用全新A品三元抗低温方铝锂电芯、循环寿命不小于1500次，内置过欠压保护、短路保护、65度高温保护、过流充电保护等功能； 电池电压：48V250AH，工作温度：-40℃-60℃、冬季低温放电效率大于90%，体积小、重量轻、可直接放设备箱内、无需预埋盒与地埋施工挖坑；输出电压</w:t>
            </w:r>
            <w:r>
              <w:rPr>
                <w:rFonts w:hint="eastAsia" w:ascii="仿宋_GB2312" w:hAnsi="仿宋_GB2312" w:eastAsia="仿宋_GB2312" w:cs="仿宋_GB2312"/>
                <w:color w:val="000000"/>
                <w:kern w:val="0"/>
                <w:sz w:val="20"/>
                <w:highlight w:val="none"/>
                <w:lang w:bidi="ar"/>
              </w:rPr>
              <w:t>≥</w:t>
            </w:r>
            <w:r>
              <w:rPr>
                <w:rFonts w:hint="eastAsia" w:ascii="仿宋_GB2312" w:hAnsi="仿宋_GB2312" w:eastAsia="仿宋_GB2312" w:cs="仿宋_GB2312"/>
                <w:i w:val="0"/>
                <w:iCs w:val="0"/>
                <w:color w:val="000000"/>
                <w:kern w:val="0"/>
                <w:sz w:val="20"/>
                <w:szCs w:val="20"/>
                <w:u w:val="none"/>
                <w:lang w:val="en-US" w:eastAsia="zh-CN" w:bidi="ar"/>
              </w:rPr>
              <w:t>48V；室外落地柜</w:t>
            </w:r>
            <w:r>
              <w:rPr>
                <w:rFonts w:hint="eastAsia" w:ascii="仿宋_GB2312" w:hAnsi="仿宋_GB2312" w:eastAsia="仿宋_GB2312" w:cs="仿宋_GB2312"/>
                <w:color w:val="000000"/>
                <w:kern w:val="0"/>
                <w:sz w:val="20"/>
                <w:highlight w:val="none"/>
                <w:lang w:bidi="ar"/>
              </w:rPr>
              <w:t>≥</w:t>
            </w:r>
            <w:r>
              <w:rPr>
                <w:rFonts w:hint="eastAsia" w:ascii="仿宋_GB2312" w:hAnsi="仿宋_GB2312" w:eastAsia="仿宋_GB2312" w:cs="仿宋_GB2312"/>
                <w:i w:val="0"/>
                <w:iCs w:val="0"/>
                <w:color w:val="000000"/>
                <w:kern w:val="0"/>
                <w:sz w:val="20"/>
                <w:szCs w:val="20"/>
                <w:u w:val="none"/>
                <w:lang w:val="en-US" w:eastAsia="zh-CN" w:bidi="ar"/>
              </w:rPr>
              <w:t>1000*600*600，内置温控系统；不小于500**600加厚箱、底板带设备开孔、支持空开、控制器、内置温控传感器、风扇、接线排设备、带恒压保护器孔位固定；箱内控温范围40度内；支持壁装与立杆抱装方式；可保证系统长期稳定工作，延长设备、电池使用寿命；</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测速卡口标识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厚度≥2.5mm，铝合金材质，标牌尺寸符合《道路交通标志和标线》GB5768.2第2部分：道路交通标志。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道路标识牌杆体</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钢管直径≥100mm，钢管杆内外表面均采用热浸镀锌防腐，镀锌层厚度≥86um。标志牌整体抗风速十级。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nil"/>
              <w:left w:val="nil"/>
              <w:bottom w:val="nil"/>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金属主杆（6米杆）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6m(φ219)，主杆厚度≥6.0mm ，直径219mm；热镀锌、喷塑；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横臂长度9米，横壁厚≥6mm。整体热镀锌后喷塑。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401"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抱杆机柜</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450mmX500mmX600mm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双路10A空气开关三个，3芯插座一个 ，抱杆安装</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结构：整体结构采用拼焊镀锌结构 ，牢固、钢性好、牢固可靠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防护等级≥IP55 ，保护内部设备不受外界恶劣环境的干扰</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机柜采用主体焊接、部分拼装的结构 ，保证了防护性</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采用的是专用户外柜锁 ，具有良好的防水、防盗性能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环境适应性好 ，能最大限度地降低设备对环境的要求接地系统安全可靠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机柜底部进出线缆 ，有效实现防水、防尘</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机柜采用抱杆安装方式 ，具有防虫、防鼠功效</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一般规范</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工作湿度：湿度5%~95%@40℃ ，无凝结</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工作温度：温度-40℃~70℃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像素智能网络摄像机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枪型双镜头智能摄像机，具有≥2个镜头通道，细节通道传感器尺寸≥1/1.8英寸，≥8-32mm电动变焦镜头，最大分辨率和帧率≥3840×2160@25fps；全景通道镜头焦距≤5mm、光圈≥F1.0（即F值≤1.0），最大分辨率和帧率≥1920×1080@25fps；双通道最低照度均满足彩色≤0.0005 Lux、黑白≤0.0001 Lux；支持35114安全加密；</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摄像机支持不少于四种智能资源模式切换，至少包括：全结构化、人脸比对、人脸抓拍；全结构化模式至少支持人体结构化（至少具有上衣颜色、下装颜色、性别、戴眼镜、背包、拎东西、戴帽子、戴口罩、长短袖、裤裙、发型属性识别）、非机动车结构化（至少具有上衣颜色、性别、戴眼镜、背包、戴帽子、戴口罩、长短袖、发型、骑车类型、骑车人数属性识别）、机动车结构化（至少具有车牌、车牌颜色、车身颜色、车型、车辆子品牌属性识别）功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3.摄像机支持同时检测≥60张人脸，比对模式支持前端人脸比对，支持≥10个人脸库，支持≥15万张人脸名单导入，支持不同人脸库不同时间布防；</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摄像机内置≥双镜头、≥1个GPU芯片、≥2个麦克风、≥1个扬声器，内置≥6颗混合补光灯（均由红外灯、白光灯组成），支持自动、手动亮度调节模式，在开启白光灯或混合补光灯补光时，可输出彩色视频图像；（提供相关权威机构检测报告并加盖原厂公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摄像机支持采集不少于两路不同场景的音视频码流，包括细节和全景采集，支持双通道同时开启智能分析功能，且不同通道抓拍可关联去重，支持一个通道抓拍人脸，一个通道抓拍人体，支持关联显示同一行人的人脸/人体图片；</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6.摄像机支持设备重启和布防动态报警数据感知与记录功能，正常重启支持记录重启的时间、服务类型、用户名、IP/域名等信息，异常重启支持记录重启时间、异常类型信息；布防动态报警支持异常掉线、历史布防、实时布防，支持记录报警的开始时间、结束时间、布防类型、报警链路地址、端口、链路续传等；</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7.摄像机支持监控场景无目标时，补光灯低亮，检测到目标后，自动将补光灯调节至高亮，支持目标检测、跟踪、筛选、抓拍、分析属性信息及上报；</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8.摄像机应能分别对行人、非机动车、机动车目标设置曝光参数，对不同速度、明亮度、反光度的行人、非机动车、机动车分类曝光，抓拍的人脸和车牌号码图片应清晰可辨，无过曝、过暗情况；</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9.摄像机具有不少于1个1000M以太网口，具有≥2路音频输入、1路音频输出、≥3路报警输入、≥2路报警输出接口，≥1个DC 12V 电源输出接口，≥1个存储卡插槽，细节通道补光距离≥50米，全景通道补光距离≥30米，防护等级≥IP67。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像素全结构化球机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 红外智能球形摄像机，图像传感器尺寸需≥1/1.9英寸，内置GPU芯片，分辨率和帧率≥2560×1440@25fps，最低照度彩色≤0.0005lx，黑白≤0.0001lx，支持120dB超宽动态、光学透雾、强光抑制、电子防抖；</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 摄像机需支持≥24倍光学变倍，最大焦距不小于150mm,支持水平及垂直电动旋转，支持水平360°连续旋转，垂直旋转范围≥90°，支持自动翻转；</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 摄像机支持≥3种智能资源模式切换，支持人脸、人体、车辆混合抓拍，支持人脸和人体关联输出，人脸抓拍模式支持同时抓拍≥30张人脸；</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4.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摄像机支持双路视频融合功能，内置≥2个图像传感器，可分别输出黑白及彩色图像，并对视频图像进行融合输出；（提供相关权威机构检测报告）</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 摄像机支持补光自动模式，具有亮度限制调节功能，限制等级不低于100级可调，支持白光增强设置，在夜晚模式下可开启白光灯，白光亮度等级不低于100级可调；</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6. 摄像机支持补光手动模式，支持同时调整近光灯、中光灯、远光灯的红外灯和白光灯功率（不低于0~100之间可调），支持仅开启白光灯/红外灯进行补光，在仅开启白光灯进行补光时，可输出彩色视频图像；</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7. 为保证补光效果，摄像机支持光斑控制功能，在近光灯、中光灯开启后，在变焦过程中红外光斑形状为矩形，长宽比为16:9，红外光利用率不低于80%；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8. 摄像机具有≥1对音频输入/输出接口、≥5路报警输入、≥2路报警输出、≥1个RS485接口、≥1个存储卡接口，内置混合补光（由红外灯和白光灯组成），补光距离≥200米，防水防尘等级≥IP67，含电源适配器。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风光一体式电站</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1、水平轴风力发电机，叶片直径≥1.6米，启动风速≤2.5米/秒，切入风速≤3米/秒；最大安全风速≥25米/秒；</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2、额定功率≤600W；输出电压支持24V/48V；</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3、叶片材质玻璃尼龙纤维复合材料；镶嵌式结构，机身全铝合金，SKF耐低温进口轴承，60mm钢管连接；</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val="en-US" w:eastAsia="zh-CN" w:bidi="ar"/>
              </w:rPr>
              <w:t>4</w:t>
            </w:r>
            <w:r>
              <w:rPr>
                <w:rFonts w:hint="eastAsia" w:ascii="仿宋_GB2312" w:hAnsi="仿宋_GB2312" w:eastAsia="仿宋_GB2312" w:cs="仿宋_GB2312"/>
                <w:color w:val="000000"/>
                <w:kern w:val="0"/>
                <w:sz w:val="20"/>
                <w:highlight w:val="none"/>
                <w:lang w:bidi="ar"/>
              </w:rPr>
              <w:t>、太阳能板，太阳能转换效率16.5%以上。高透光率钢化玻璃、EVA及抗UV背板材料。</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val="en-US" w:eastAsia="zh-CN" w:bidi="ar"/>
              </w:rPr>
              <w:t>5</w:t>
            </w:r>
            <w:r>
              <w:rPr>
                <w:rFonts w:hint="eastAsia" w:ascii="仿宋_GB2312" w:hAnsi="仿宋_GB2312" w:eastAsia="仿宋_GB2312" w:cs="仿宋_GB2312"/>
                <w:color w:val="000000"/>
                <w:kern w:val="0"/>
                <w:sz w:val="20"/>
                <w:highlight w:val="none"/>
                <w:lang w:bidi="ar"/>
              </w:rPr>
              <w:t>、需满足最大功率：250W/块；工作电压 36.2V；工作电流 6.91A；电池效率 17.8%；组件尺寸≥1640*982*40mm；</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val="en-US" w:eastAsia="zh-CN" w:bidi="ar"/>
              </w:rPr>
              <w:t>6</w:t>
            </w:r>
            <w:r>
              <w:rPr>
                <w:rFonts w:hint="eastAsia" w:ascii="仿宋_GB2312" w:hAnsi="仿宋_GB2312" w:eastAsia="仿宋_GB2312" w:cs="仿宋_GB2312"/>
                <w:color w:val="000000"/>
                <w:kern w:val="0"/>
                <w:sz w:val="20"/>
                <w:highlight w:val="none"/>
                <w:lang w:bidi="ar"/>
              </w:rPr>
              <w:t>、需满足冷却剂温度系数 +0.05%/℃；挥发性有机化合物温度系数 -0.34%/℃；功率温度系数 -0.5%/℃；脉波调变温度系数 +0.05%/℃；电压计温度系数 -0.34%/℃；工作温度 -40℃~+85℃；</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val="en-US" w:eastAsia="zh-CN" w:bidi="ar"/>
              </w:rPr>
              <w:t>7</w:t>
            </w:r>
            <w:r>
              <w:rPr>
                <w:rFonts w:hint="eastAsia" w:ascii="仿宋_GB2312" w:hAnsi="仿宋_GB2312" w:eastAsia="仿宋_GB2312" w:cs="仿宋_GB2312"/>
                <w:color w:val="000000"/>
                <w:kern w:val="0"/>
                <w:sz w:val="20"/>
                <w:highlight w:val="none"/>
                <w:lang w:bidi="ar"/>
              </w:rPr>
              <w:t>、风光互补控制器需满足蓄电池额定电压：48V；风机输入功率：300W-600W；太阳能输入功率：3000W；</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val="en-US" w:eastAsia="zh-CN" w:bidi="ar"/>
              </w:rPr>
              <w:t>8</w:t>
            </w:r>
            <w:r>
              <w:rPr>
                <w:rFonts w:hint="eastAsia" w:ascii="仿宋_GB2312" w:hAnsi="仿宋_GB2312" w:eastAsia="仿宋_GB2312" w:cs="仿宋_GB2312"/>
                <w:color w:val="000000"/>
                <w:kern w:val="0"/>
                <w:sz w:val="20"/>
                <w:highlight w:val="none"/>
                <w:lang w:bidi="ar"/>
              </w:rPr>
              <w:t>、通讯方式支持RS485 ；工作温度：-20℃~+55℃；</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val="en-US" w:eastAsia="zh-CN" w:bidi="ar"/>
              </w:rPr>
              <w:t>9</w:t>
            </w:r>
            <w:r>
              <w:rPr>
                <w:rFonts w:hint="eastAsia" w:ascii="仿宋_GB2312" w:hAnsi="仿宋_GB2312" w:eastAsia="仿宋_GB2312" w:cs="仿宋_GB2312"/>
                <w:color w:val="000000"/>
                <w:kern w:val="0"/>
                <w:sz w:val="20"/>
                <w:highlight w:val="none"/>
                <w:lang w:bidi="ar"/>
              </w:rPr>
              <w:t>、具备LCD液晶显示系统工作数据，限压、限流充电方式，各完善的系统保护功能；</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rPr>
              <w:t>1</w:t>
            </w:r>
            <w:r>
              <w:rPr>
                <w:rFonts w:hint="eastAsia" w:ascii="仿宋_GB2312" w:hAnsi="仿宋_GB2312" w:eastAsia="仿宋_GB2312" w:cs="仿宋_GB2312"/>
                <w:color w:val="000000"/>
                <w:sz w:val="20"/>
                <w:highlight w:val="none"/>
                <w:lang w:val="en-US" w:eastAsia="zh-CN"/>
              </w:rPr>
              <w:t>0</w:t>
            </w:r>
            <w:r>
              <w:rPr>
                <w:rFonts w:hint="eastAsia" w:ascii="仿宋_GB2312" w:hAnsi="仿宋_GB2312" w:eastAsia="仿宋_GB2312" w:cs="仿宋_GB2312"/>
                <w:color w:val="000000"/>
                <w:sz w:val="20"/>
                <w:highlight w:val="none"/>
              </w:rPr>
              <w:t>、太阳能控制器需满足系统电压：12V/24V/36V/48V自动切换；额定充电电流：60A；MPPT太阳能控制器追踪效率：</w:t>
            </w:r>
            <w:r>
              <w:rPr>
                <w:rFonts w:hint="eastAsia" w:ascii="仿宋_GB2312" w:hAnsi="仿宋_GB2312" w:eastAsia="仿宋_GB2312" w:cs="仿宋_GB2312"/>
                <w:color w:val="000000"/>
                <w:kern w:val="0"/>
                <w:sz w:val="20"/>
                <w:highlight w:val="none"/>
                <w:lang w:bidi="ar"/>
              </w:rPr>
              <w:t>≥</w:t>
            </w:r>
            <w:r>
              <w:rPr>
                <w:rFonts w:hint="eastAsia" w:ascii="仿宋_GB2312" w:hAnsi="仿宋_GB2312" w:eastAsia="仿宋_GB2312" w:cs="仿宋_GB2312"/>
                <w:color w:val="000000"/>
                <w:sz w:val="20"/>
                <w:highlight w:val="none"/>
              </w:rPr>
              <w:t>99.9%；</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lang w:val="en-US" w:eastAsia="zh-CN"/>
              </w:rPr>
              <w:t>11</w:t>
            </w:r>
            <w:r>
              <w:rPr>
                <w:rFonts w:hint="eastAsia" w:ascii="仿宋_GB2312" w:hAnsi="仿宋_GB2312" w:eastAsia="仿宋_GB2312" w:cs="仿宋_GB2312"/>
                <w:color w:val="000000"/>
                <w:sz w:val="20"/>
                <w:highlight w:val="none"/>
              </w:rPr>
              <w:t>、自带LCD屏显示功能，可查看设备运行数据和状态，支持控制器参数更改，支持标准modebus协议，满足不同场合通讯需求；</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lang w:val="en-US" w:eastAsia="zh-CN"/>
              </w:rPr>
              <w:t>12</w:t>
            </w:r>
            <w:r>
              <w:rPr>
                <w:rFonts w:hint="eastAsia" w:ascii="仿宋_GB2312" w:hAnsi="仿宋_GB2312" w:eastAsia="仿宋_GB2312" w:cs="仿宋_GB2312"/>
                <w:color w:val="000000"/>
                <w:sz w:val="20"/>
                <w:highlight w:val="none"/>
              </w:rPr>
              <w:t>、工作温度：-35℃-+45℃；</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rPr>
              <w:t>1</w:t>
            </w:r>
            <w:r>
              <w:rPr>
                <w:rFonts w:hint="eastAsia" w:ascii="仿宋_GB2312" w:hAnsi="仿宋_GB2312" w:eastAsia="仿宋_GB2312" w:cs="仿宋_GB2312"/>
                <w:color w:val="000000"/>
                <w:sz w:val="20"/>
                <w:highlight w:val="none"/>
                <w:lang w:val="en-US" w:eastAsia="zh-CN"/>
              </w:rPr>
              <w:t>3</w:t>
            </w:r>
            <w:r>
              <w:rPr>
                <w:rFonts w:hint="eastAsia" w:ascii="仿宋_GB2312" w:hAnsi="仿宋_GB2312" w:eastAsia="仿宋_GB2312" w:cs="仿宋_GB2312"/>
                <w:color w:val="000000"/>
                <w:sz w:val="20"/>
                <w:highlight w:val="none"/>
              </w:rPr>
              <w:t>、工频逆变器需满足输入额定电压：24V；输入电压范围：21-32V；额定负载持续功率：</w:t>
            </w:r>
            <w:r>
              <w:rPr>
                <w:rFonts w:hint="eastAsia" w:ascii="仿宋_GB2312" w:hAnsi="仿宋_GB2312" w:eastAsia="仿宋_GB2312" w:cs="仿宋_GB2312"/>
                <w:color w:val="000000"/>
                <w:kern w:val="0"/>
                <w:sz w:val="20"/>
                <w:highlight w:val="none"/>
                <w:lang w:bidi="ar"/>
              </w:rPr>
              <w:t>≥</w:t>
            </w:r>
            <w:r>
              <w:rPr>
                <w:rFonts w:hint="eastAsia" w:ascii="仿宋_GB2312" w:hAnsi="仿宋_GB2312" w:eastAsia="仿宋_GB2312" w:cs="仿宋_GB2312"/>
                <w:color w:val="000000"/>
                <w:sz w:val="20"/>
                <w:highlight w:val="none"/>
              </w:rPr>
              <w:t>300VA；</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lang w:val="en-US" w:eastAsia="zh-CN"/>
              </w:rPr>
              <w:t>14</w:t>
            </w:r>
            <w:r>
              <w:rPr>
                <w:rFonts w:hint="eastAsia" w:ascii="仿宋_GB2312" w:hAnsi="仿宋_GB2312" w:eastAsia="仿宋_GB2312" w:cs="仿宋_GB2312"/>
                <w:color w:val="000000"/>
                <w:sz w:val="20"/>
                <w:highlight w:val="none"/>
              </w:rPr>
              <w:t>、满足工作温度-20℃~+50℃，防护等级≥IP30；</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sz w:val="20"/>
                <w:highlight w:val="none"/>
                <w:lang w:val="en-US" w:eastAsia="zh-CN"/>
              </w:rPr>
              <w:t>15</w:t>
            </w:r>
            <w:r>
              <w:rPr>
                <w:rFonts w:hint="eastAsia" w:ascii="仿宋_GB2312" w:hAnsi="仿宋_GB2312" w:eastAsia="仿宋_GB2312" w:cs="仿宋_GB2312"/>
                <w:color w:val="000000"/>
                <w:sz w:val="20"/>
                <w:highlight w:val="none"/>
              </w:rPr>
              <w:t>、支持完全隔离型逆变技术，采用先进的SPWM技术，纯正弦波输出，频率50Hz±0.2%,自损耗≤5W，最大效率≥89%，具有电子反接保护；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抱箍</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50cm抱箍圈，不锈钢材质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安装支架</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三维鸭嘴头-钢铁材质，100mm*100mm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617"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摄像机电源</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DC12V电源适配器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颜色: 黑色</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输入规格: ≥ AC176V~260V，50Hz，0.8A</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输出规格:≥  DC12V/2A</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输入效率≥85.00%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负载调整率: ±5%</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纹波/噪声: 150mVp-p</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输出功率:≥ 24W Max</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输入接口: 3C插头</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输出接口形式: 裸线输出</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线长:≥  800mm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工作温度和湿度: ≥ 0℃~40℃,湿度10%~90%(无凝结)</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产品尺寸（mm）: ≥ 75.0(L)*35.0(W)*28.0(H)</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nil"/>
              <w:left w:val="nil"/>
              <w:bottom w:val="nil"/>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金属主杆（6米杆，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6m(φ165)，主杆厚度≥6.0mm ，直径165mm；热镀锌、喷塑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金属主杆（6米杆，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6m(φ219)，主杆厚度≥6.0mm ，直径219mm；热镀锌、喷塑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杆体横臂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横臂长度3m，壁厚≥5mm、热镀锌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五金配件</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抱箍，螺母、锣丝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78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抱杆机柜</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450mmX500mmX600mm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双路10A空气开关三个，3芯插座一个 ，抱杆安装</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结构：整体结构采用拼焊镀锌结构 ，牢固、钢性好、牢固可靠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防护等级≥IP55 ，保护内部设备不受外界恶劣环境的干扰</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机柜采用主体焊接、部分拼装的结构 ，保证了防护性</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采用的是专用户外柜锁 ，具有良好的防水、防盗性能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环境适应性好 ，能最大限度地降低设备对环境的要求接地系统安全可靠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机柜底部进出线缆 ，有效实现防水、防尘</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机柜采用抱杆安装方式 ，具有防虫、防鼠功效</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一般规范</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工作湿度：湿度5%~95%@40℃ ，无凝结</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工作温度：温度-40℃~70℃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千兆交换机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工业级网管型以太网交换机，≥8个千兆电口，IP40金属外壳，工业宽温≥-40~85℃，电源电压24VDC&amp;24VAC。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网线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室外超五类四对非屏蔽双绞线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国标RVV3*2.5mm2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国标RVV2*1.5mm2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国标RVV1*4mm2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接地扁铁</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4cm镀锌扁铁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水泥基础（φ219型）</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含接地、混凝土、预埋件材料 ，基础规格</w:t>
            </w:r>
            <w:r>
              <w:rPr>
                <w:rFonts w:hint="eastAsia" w:ascii="仿宋_GB2312" w:hAnsi="仿宋_GB2312" w:eastAsia="仿宋_GB2312" w:cs="仿宋_GB2312"/>
                <w:color w:val="000000"/>
                <w:kern w:val="0"/>
                <w:sz w:val="20"/>
                <w:highlight w:val="none"/>
                <w:lang w:val="en-US" w:eastAsia="zh-CN" w:bidi="ar"/>
              </w:rPr>
              <w:t>不小于</w:t>
            </w:r>
            <w:r>
              <w:rPr>
                <w:rFonts w:hint="eastAsia" w:ascii="仿宋_GB2312" w:hAnsi="仿宋_GB2312" w:eastAsia="仿宋_GB2312" w:cs="仿宋_GB2312"/>
                <w:color w:val="000000"/>
                <w:kern w:val="0"/>
                <w:sz w:val="20"/>
                <w:highlight w:val="none"/>
                <w:lang w:bidi="ar"/>
              </w:rPr>
              <w:t xml:space="preserve">1200mmx1200mmx2000mm。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水泥基础（φ165型）</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含接地、混凝土、预埋件材料 ，基础规格</w:t>
            </w:r>
            <w:r>
              <w:rPr>
                <w:rFonts w:hint="eastAsia" w:ascii="仿宋_GB2312" w:hAnsi="仿宋_GB2312" w:eastAsia="仿宋_GB2312" w:cs="仿宋_GB2312"/>
                <w:color w:val="000000"/>
                <w:kern w:val="0"/>
                <w:sz w:val="20"/>
                <w:highlight w:val="none"/>
                <w:lang w:val="en-US" w:eastAsia="zh-CN" w:bidi="ar"/>
              </w:rPr>
              <w:t>不小于</w:t>
            </w:r>
            <w:r>
              <w:rPr>
                <w:rFonts w:hint="eastAsia" w:ascii="仿宋_GB2312" w:hAnsi="仿宋_GB2312" w:eastAsia="仿宋_GB2312" w:cs="仿宋_GB2312"/>
                <w:color w:val="000000"/>
                <w:kern w:val="0"/>
                <w:sz w:val="20"/>
                <w:highlight w:val="none"/>
                <w:lang w:bidi="ar"/>
              </w:rPr>
              <w:t>1200mmx1200mmx1800mm。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水晶头</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 RJ45网络接头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盒</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包塑金属软管</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PA尼龙阻燃软管，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辅材</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标签、胶布、扎带、水晶头等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批</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智能一体化行人信号灯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1、智能一体化行人信号灯应由正面行人抓拍摄像机、正面LCD显示屏、双侧面LED灯带、正反面LED灯带、正面行人红绿灯等组成；</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2、LCD显示屏尺寸应≥37英寸，显示区域≥904*254 mm，分辨率≥1920*540，可同屏显示文字提示信息、闯红灯违法过程图片、闯红灯违法人员面部特写图片、实时监控画面。</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3、信号灯面罩规格：φ300mm ；支持静态红人、动态绿人、双8倒计时；计时方式支持学习/触发/RS485通信；人行灯不低于红90，绿90；倒计时：红168，绿168；可视距离：＞300m；可视角度：＞30°；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4、行人闯红灯相机≥900W像素；分辨率≥4096*2160；镜头≤30mm，存储最大支持≥64G TF卡；音柱≥15W MAX，可自定义播报内容；</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5、信号灯四周（正面、背面、双侧面）应有双色倒计时灯带；支持显示红色或绿色灯带，灯带颜色与灯带方向红绿灯颜色同步，灯带随倒计时可渐变减少。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6、</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信号灯支持抓拍行人闯红灯行为并进行语音提示，语音提示内容可设置。支持在正面LCD显示屏上展示行人闯红灯抓拍图片。行人闯红灯抓拍图片包括：3张全景图片、1张全景图片放大图并叠加人脸特写图片、1张人脸特写图片；</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7、信号灯支持行人闯红灯预警功能，在红灯状态下，可对越线的行人进行语音告警。语音告警内容可设置；</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8、信号灯正面LCD显示屏支持播报自定义文字、图片或视频。当导入多个图片和视频时，支持循环播放，播放间隔可设置。文字颜色与正面行人红绿灯颜色同步；</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9、信号灯LCD显示屏亮度可按时间段进行调节，时间段和亮度等级可设置；播报音量大小可按时间段调节，时间段和音量大小可设置；</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10、信号灯支持显示红色或绿色灯带，灯带颜色与灯带方向红绿灯颜色同步，灯带随倒计时可渐变减少；</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11、防护等级不小于IP54；功率：≤200W；电压范围：AC220V±20%；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工作温度：-30℃~70℃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5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交通灯信号检测器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1、红绿灯信号检测器，采用工业级嵌入式微控制器；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检测器具有≥6路RS485、≥16路AC220V信号灯输入接口、≥16路信号状态指示灯，≥1路RS485数据收发状态指示灯；（提供相关权威机构检测报告）</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3、检测信号灯电压范围AC110V~274V，信号灯输入端口有信号输入时，RS485端口会上传该端口的状态信息；</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4、工作温度：-30℃～+70℃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终端服务器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 设备采用嵌入式linux实时操作系统，内存容量≥2GB，全机身散热，内部无风扇；</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 设备支持≥4块3.5或2.5英寸硬盘接入，最大兼容6TB硬盘，支持硬盘自动切换，当块硬盘损坏后，能自动切换至其它硬盘进行存储，内置≥4T监控级硬盘；</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 设备具有≥16个10M/100M/1000M 自适应RJ45接口，≥2个1000M SFP光口，≥1个USB3.0接口；</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 设备支持不少于12路抓拍机接入，支持12路抓拍机进行违章图片合成，设备内的录像、图片文件无法直接删除或者修改，只能通过循环覆盖和硬盘格式化操作；</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5.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设备支持卡口和违法图片的接收、合成、转发、存储功能，图片类型至少支持卡口、闯红灯、压白线、逆行、欠速、超速、违法左转、违法右转、违法掉头、违法停车、交通拥堵、不按导向箭头行驶、违法变道、压黄线、未礼让行人、不按车道行驶、压停止线、闯黄灯、黄网格违法停车、受限车牌、主驾驶员不系安全带、驾驶员抽烟、驾驶员打电话等；</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6. 设备支持套牌车检测，可将抓拍图片与本地历史数据进行车辆特征比对分析，检测出套牌车辆，同时给出告警提示；</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7. 设备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8. 设备对于在记录过程中出现的系统死机或意外故障，设备能够在规定的时间内自动恢复其正常工作状态并使故障前的信息不丢失；</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信息发布播放盒</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1、信息发布盒，操作系统≥Android 8；物理分辨率支持1920 × 1080@30 Hz，1920 × 1080@50 Hz，1920 × 1080@60 Hz，1280 × 720@30 Hz，1280 × 720@50 Hz，1280 × 720@60 Hz，3840 × 2160@30 Hz，3840 × 2160@50 Hz，3840 × 2160@60 Hz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2、CPU不低于四核Cortex-A17，4核，主频≥1.6 GHz ；内存≥2G，储存空间≥16GB（EMMC）；</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3、设备具有HDMI OUT≥1，AUDIO IN≥1,AUDIO OUT≥1,LAN口≥1，Wi-Fi；USB 2.0≥2，TF Card≥1，蓝牙（BT 4.2）；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4、设备支持素材列表视图（可视化窗口）显示和列表显示，支持素材模糊搜索，或者按照查询条件精确搜索；</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5、设备支持窗口大小/坐标自定义设置，支持窗口对齐，窗口自动吸附，支持节目窗口按实际尺寸显示和窗口尺寸显示；支持在线文本编辑；</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6、设备支持节目自定义分辨率，横/竖屏转换，节目支持最大≥32个页面，单个页面最多包含≥16个窗口；</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7、功耗：≤ 10 W ，工作温度：0 ℃~40 ℃ ，工作湿度：10%~80%；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34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LED户外园区屏</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1、LED户外园区屏，整机面积≥6㎡；像素间距≤4mm；模组平整度：＜0.6mm；表贴三合一；像素密度≥62500点/㎡；整机分辨率≥800× 480；刷新率：≥3840Hz；</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2、屏幕显示颜色≥16777216种；白平衡亮度≥5500cd/m²；色度均匀性：±0.003   Cx，Cy之内；亮度均匀性：≥97％；色温范围≥1000K-10000K可调；对比度≥5000:1；可视角：水平≥140°，垂直≥120°；灰度等级：红、绿、蓝各14bits。</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3、1/10恒流驱动；换帧频率：≥60Hz；系统支持即时编辑即时播放，定时播放，播放记录，实时监控，多屏联播等功能。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4、峰值功耗≤1000W/㎡；平均功耗≤300W/㎡；工作湿度：10%~ 80%RH；工作温度：-20℃~ 50℃；后维护；防护等级正面≥IP65；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立柱支架</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1、LED屏户外支架；双立柱，无雨棚结构；离地高度≥2000mm；立柱跨度≥1650mm；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78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落地机柜</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1、落地机柜尺寸≥600mm（宽）× 800mm（高）× 450mm（深）；</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2、机柜至少包含双路220V防雷，双路空气开关1个，单路空气开关8个，三芯维护插座1个；防护等级≥IP55；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38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不礼让行人电警抓拍单元</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像素900万，全局曝光CMOS智能高清环保电警抓拍单元；</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图像分辨率≥4096×2160像素；</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3.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支持低延时功能，视频图像传输至客户端的延时时间≤90ms。（</w:t>
            </w:r>
            <w:r>
              <w:rPr>
                <w:rFonts w:hint="eastAsia" w:ascii="仿宋_GB2312" w:hAnsi="仿宋_GB2312" w:eastAsia="仿宋_GB2312" w:cs="仿宋_GB2312"/>
                <w:color w:val="000000"/>
                <w:kern w:val="0"/>
                <w:sz w:val="20"/>
                <w:highlight w:val="none"/>
                <w:lang w:val="en-US" w:eastAsia="zh-CN" w:bidi="ar"/>
              </w:rPr>
              <w:t>提</w:t>
            </w:r>
            <w:r>
              <w:rPr>
                <w:rFonts w:hint="eastAsia" w:ascii="仿宋_GB2312" w:hAnsi="仿宋_GB2312" w:eastAsia="仿宋_GB2312" w:cs="仿宋_GB2312"/>
                <w:color w:val="000000"/>
                <w:kern w:val="0"/>
                <w:sz w:val="20"/>
                <w:highlight w:val="none"/>
                <w:lang w:bidi="ar"/>
              </w:rPr>
              <w:t>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4. 可识别 7 种车牌颜色，包括蓝、黄、黑、白、绿、黄绿双色、渐变绿色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5.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支持机动车闯红灯、压线、不礼让行人、未按导向车道行驶、逆行、占用非机动车道、占用紧急车道、占用公交车道等多种违法，捕获率≥99%，识别准确率≥99%（</w:t>
            </w:r>
            <w:r>
              <w:rPr>
                <w:rFonts w:hint="eastAsia" w:ascii="仿宋_GB2312" w:hAnsi="仿宋_GB2312" w:eastAsia="仿宋_GB2312" w:cs="仿宋_GB2312"/>
                <w:color w:val="000000"/>
                <w:kern w:val="0"/>
                <w:sz w:val="20"/>
                <w:highlight w:val="none"/>
                <w:lang w:val="en-US" w:eastAsia="zh-CN" w:bidi="ar"/>
              </w:rPr>
              <w:t>提</w:t>
            </w:r>
            <w:r>
              <w:rPr>
                <w:rFonts w:hint="eastAsia" w:ascii="仿宋_GB2312" w:hAnsi="仿宋_GB2312" w:eastAsia="仿宋_GB2312" w:cs="仿宋_GB2312"/>
                <w:color w:val="000000"/>
                <w:kern w:val="0"/>
                <w:sz w:val="20"/>
                <w:highlight w:val="none"/>
                <w:lang w:bidi="ar"/>
              </w:rPr>
              <w:t>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工作温度-40℃～+85 ℃</w:t>
            </w:r>
          </w:p>
          <w:p>
            <w:pPr>
              <w:widowControl/>
              <w:jc w:val="left"/>
              <w:textAlignment w:val="center"/>
              <w:rPr>
                <w:rFonts w:hint="eastAsia" w:ascii="仿宋_GB2312" w:hAnsi="仿宋_GB2312" w:eastAsia="仿宋_GB2312" w:cs="仿宋_GB2312"/>
                <w:color w:val="000000"/>
                <w:kern w:val="0"/>
                <w:sz w:val="20"/>
                <w:highlight w:val="none"/>
                <w:lang w:eastAsia="zh-CN" w:bidi="ar"/>
              </w:rPr>
            </w:pPr>
            <w:r>
              <w:rPr>
                <w:rFonts w:hint="eastAsia" w:ascii="仿宋_GB2312" w:hAnsi="仿宋_GB2312" w:eastAsia="仿宋_GB2312" w:cs="仿宋_GB2312"/>
                <w:color w:val="000000"/>
                <w:kern w:val="0"/>
                <w:sz w:val="20"/>
                <w:highlight w:val="none"/>
                <w:lang w:bidi="ar"/>
              </w:rPr>
              <w:t>7. 外壳防护等级应不低于IP67</w:t>
            </w:r>
            <w:r>
              <w:rPr>
                <w:rFonts w:hint="eastAsia" w:ascii="仿宋_GB2312" w:hAnsi="仿宋_GB2312" w:eastAsia="仿宋_GB2312" w:cs="仿宋_GB2312"/>
                <w:color w:val="000000"/>
                <w:kern w:val="0"/>
                <w:sz w:val="20"/>
                <w:highlight w:val="none"/>
                <w:lang w:eastAsia="zh-CN" w:bidi="ar"/>
              </w:rPr>
              <w:t xml:space="preserve">， </w:t>
            </w:r>
          </w:p>
          <w:p>
            <w:pPr>
              <w:widowControl/>
              <w:jc w:val="left"/>
              <w:textAlignment w:val="center"/>
              <w:rPr>
                <w:rFonts w:hint="eastAsia" w:ascii="仿宋_GB2312" w:hAnsi="仿宋_GB2312" w:eastAsia="仿宋_GB2312" w:cs="仿宋_GB2312"/>
                <w:color w:val="000000"/>
                <w:sz w:val="20"/>
                <w:highlight w:val="none"/>
                <w:lang w:eastAsia="zh-CN"/>
              </w:rPr>
            </w:pPr>
            <w:r>
              <w:rPr>
                <w:rFonts w:hint="eastAsia" w:ascii="仿宋_GB2312" w:hAnsi="仿宋_GB2312" w:eastAsia="仿宋_GB2312" w:cs="仿宋_GB2312"/>
                <w:color w:val="000000"/>
                <w:kern w:val="0"/>
                <w:sz w:val="20"/>
                <w:highlight w:val="none"/>
                <w:lang w:val="en-US" w:eastAsia="zh-CN" w:bidi="ar"/>
              </w:rPr>
              <w:t>8.</w:t>
            </w:r>
            <w:r>
              <w:rPr>
                <w:rFonts w:hint="eastAsia" w:ascii="仿宋_GB2312" w:hAnsi="仿宋_GB2312" w:eastAsia="仿宋_GB2312" w:cs="仿宋_GB2312"/>
                <w:color w:val="000000"/>
                <w:kern w:val="0"/>
                <w:sz w:val="20"/>
                <w:highlight w:val="none"/>
                <w:lang w:eastAsia="zh-CN" w:bidi="ar"/>
              </w:rPr>
              <w:t>11-40mm P-Iris C接口镜头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安装支架</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三维鸭嘴头-钢铁材质 ，100mm*100mm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抱箍</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50cm抱箍圈，不锈钢材质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64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8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抱杆机柜</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450mmX500mmX600mm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双路10A空气开关≥</w:t>
            </w:r>
            <w:r>
              <w:rPr>
                <w:rFonts w:hint="eastAsia" w:ascii="仿宋_GB2312" w:hAnsi="仿宋_GB2312" w:eastAsia="仿宋_GB2312" w:cs="仿宋_GB2312"/>
                <w:color w:val="000000"/>
                <w:kern w:val="0"/>
                <w:sz w:val="20"/>
                <w:highlight w:val="none"/>
                <w:lang w:val="en-US" w:eastAsia="zh-CN" w:bidi="ar"/>
              </w:rPr>
              <w:t>3</w:t>
            </w:r>
            <w:r>
              <w:rPr>
                <w:rFonts w:hint="eastAsia" w:ascii="仿宋_GB2312" w:hAnsi="仿宋_GB2312" w:eastAsia="仿宋_GB2312" w:cs="仿宋_GB2312"/>
                <w:color w:val="000000"/>
                <w:kern w:val="0"/>
                <w:sz w:val="20"/>
                <w:highlight w:val="none"/>
                <w:lang w:bidi="ar"/>
              </w:rPr>
              <w:t>个 ， 3芯插座一个 ，抱杆安装</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结构：整体结构采用拼焊镀锌结构 ，牢固、钢性好、牢固可靠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防护等级≥IP55 ，保护内部设备不受外界恶劣环境的干扰</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机柜采用主体焊接、部分拼装的结构 ，保证了防护性</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采用的是专用户外柜锁 ，具有良好的防水、防盗性能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环境适应性好 ，能最大限度地降低设备对环境的要求接地系统安全可靠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机柜底部进出线缆 ，有效实现防水、防尘</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机柜采用抱杆安装方式 ，具有防虫、防鼠功效</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一般规范</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工作湿度：湿度5%~95%@40℃ ，无凝结</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工作温度：温度-40℃~70℃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6m(φ219)，壁厚8mm，直径219mm；热镀锌、喷塑；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6m(φ325)，主杆厚度≥10mm ，直径325mm；热镀锌、喷塑；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杆体横臂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横臂长度6m，壁厚≥5mm、热镀锌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杆体横臂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横臂长度7米，横壁厚≥5mm。整体热镀锌后喷塑。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杆体横臂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横臂长度8m，壁厚≥6mm、热镀锌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杆体横臂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横臂长度9m，壁厚≥6mm、热镀锌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杆体横臂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横臂长度13米，横壁厚≥8mm。整体热镀锌后喷塑。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千兆交换机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工业级网管型以太网交换机，≥8个千兆电口，IP40金属外壳，工业宽温-40~85℃，电源电压24VDC&amp;24VAC（冗余电源）。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网线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室外超五类四对非屏蔽双绞线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国标RVV3*2.5mm</w:t>
            </w:r>
            <w:r>
              <w:rPr>
                <w:rFonts w:hint="eastAsia" w:ascii="仿宋_GB2312" w:hAnsi="仿宋_GB2312" w:eastAsia="仿宋_GB2312" w:cs="仿宋_GB2312"/>
                <w:color w:val="000000"/>
                <w:kern w:val="0"/>
                <w:sz w:val="20"/>
                <w:highlight w:val="none"/>
                <w:vertAlign w:val="superscript"/>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2472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99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国标RVV2*1.5mm</w:t>
            </w:r>
            <w:r>
              <w:rPr>
                <w:rFonts w:hint="eastAsia" w:ascii="仿宋_GB2312" w:hAnsi="仿宋_GB2312" w:eastAsia="仿宋_GB2312" w:cs="仿宋_GB2312"/>
                <w:color w:val="000000"/>
                <w:kern w:val="0"/>
                <w:sz w:val="20"/>
                <w:highlight w:val="none"/>
                <w:vertAlign w:val="superscript"/>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576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国标RVV1*4mm</w:t>
            </w:r>
            <w:r>
              <w:rPr>
                <w:rFonts w:hint="eastAsia" w:ascii="仿宋_GB2312" w:hAnsi="仿宋_GB2312" w:eastAsia="仿宋_GB2312" w:cs="仿宋_GB2312"/>
                <w:color w:val="000000"/>
                <w:kern w:val="0"/>
                <w:sz w:val="20"/>
                <w:highlight w:val="none"/>
                <w:vertAlign w:val="superscript"/>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穿线管</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直径50 PE管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接地扁铁</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4cm镀锌扁铁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102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开挖及恢复</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沿线开挖</w:t>
            </w:r>
            <w:r>
              <w:rPr>
                <w:rFonts w:hint="eastAsia" w:ascii="仿宋_GB2312" w:hAnsi="仿宋_GB2312" w:eastAsia="仿宋_GB2312" w:cs="仿宋_GB2312"/>
                <w:color w:val="000000"/>
                <w:kern w:val="0"/>
                <w:sz w:val="20"/>
                <w:highlight w:val="none"/>
                <w:lang w:val="en-US" w:eastAsia="zh-CN" w:bidi="ar"/>
              </w:rPr>
              <w:t>及</w:t>
            </w:r>
            <w:r>
              <w:rPr>
                <w:rFonts w:hint="eastAsia" w:ascii="仿宋_GB2312" w:hAnsi="仿宋_GB2312" w:eastAsia="仿宋_GB2312" w:cs="仿宋_GB2312"/>
                <w:color w:val="000000"/>
                <w:kern w:val="0"/>
                <w:sz w:val="20"/>
                <w:highlight w:val="none"/>
                <w:lang w:bidi="ar"/>
              </w:rPr>
              <w:t>恢复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2824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水泥基础（φ219型）</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含接地、混凝土、预埋件材料 ，基础规格</w:t>
            </w:r>
            <w:r>
              <w:rPr>
                <w:rFonts w:hint="eastAsia" w:ascii="仿宋_GB2312" w:hAnsi="仿宋_GB2312" w:eastAsia="仿宋_GB2312" w:cs="仿宋_GB2312"/>
                <w:color w:val="000000"/>
                <w:kern w:val="0"/>
                <w:sz w:val="20"/>
                <w:highlight w:val="none"/>
                <w:lang w:val="en-US" w:eastAsia="zh-CN" w:bidi="ar"/>
              </w:rPr>
              <w:t>不小于</w:t>
            </w:r>
            <w:r>
              <w:rPr>
                <w:rFonts w:hint="eastAsia" w:ascii="仿宋_GB2312" w:hAnsi="仿宋_GB2312" w:eastAsia="仿宋_GB2312" w:cs="仿宋_GB2312"/>
                <w:color w:val="000000"/>
                <w:kern w:val="0"/>
                <w:sz w:val="20"/>
                <w:highlight w:val="none"/>
                <w:lang w:bidi="ar"/>
              </w:rPr>
              <w:t>1200mmx1200mmx2000mm。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水泥基础（φ325型）</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含接地、混凝土、预埋件材料 ，基础规格</w:t>
            </w:r>
            <w:r>
              <w:rPr>
                <w:rFonts w:hint="eastAsia" w:ascii="仿宋_GB2312" w:hAnsi="仿宋_GB2312" w:eastAsia="仿宋_GB2312" w:cs="仿宋_GB2312"/>
                <w:color w:val="000000"/>
                <w:kern w:val="0"/>
                <w:sz w:val="20"/>
                <w:highlight w:val="none"/>
                <w:lang w:val="en-US" w:eastAsia="zh-CN" w:bidi="ar"/>
              </w:rPr>
              <w:t>不小于</w:t>
            </w:r>
            <w:r>
              <w:rPr>
                <w:rFonts w:hint="eastAsia" w:ascii="仿宋_GB2312" w:hAnsi="仿宋_GB2312" w:eastAsia="仿宋_GB2312" w:cs="仿宋_GB2312"/>
                <w:color w:val="000000"/>
                <w:kern w:val="0"/>
                <w:sz w:val="20"/>
                <w:highlight w:val="none"/>
                <w:lang w:bidi="ar"/>
              </w:rPr>
              <w:t>1800mmx1800mmx2300mm。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lang w:eastAsia="zh-CN"/>
              </w:rPr>
            </w:pPr>
            <w:r>
              <w:rPr>
                <w:rFonts w:hint="eastAsia" w:ascii="仿宋_GB2312" w:hAnsi="仿宋_GB2312" w:eastAsia="仿宋_GB2312" w:cs="仿宋_GB2312"/>
                <w:color w:val="000000"/>
                <w:kern w:val="0"/>
                <w:sz w:val="20"/>
                <w:highlight w:val="none"/>
                <w:lang w:val="en-US" w:eastAsia="zh-CN" w:bidi="ar"/>
              </w:rPr>
              <w:t>电力引入</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lang w:eastAsia="zh-CN"/>
              </w:rPr>
            </w:pPr>
            <w:r>
              <w:rPr>
                <w:rFonts w:hint="eastAsia" w:ascii="仿宋_GB2312" w:hAnsi="仿宋_GB2312" w:eastAsia="仿宋_GB2312" w:cs="仿宋_GB2312"/>
                <w:color w:val="000000"/>
                <w:kern w:val="0"/>
                <w:sz w:val="20"/>
                <w:highlight w:val="none"/>
                <w:lang w:bidi="ar"/>
              </w:rPr>
              <w:t>含引电手续、电表</w:t>
            </w:r>
            <w:r>
              <w:rPr>
                <w:rFonts w:hint="eastAsia" w:ascii="仿宋_GB2312" w:hAnsi="仿宋_GB2312" w:eastAsia="仿宋_GB2312" w:cs="仿宋_GB2312"/>
                <w:color w:val="000000"/>
                <w:kern w:val="0"/>
                <w:sz w:val="20"/>
                <w:highlight w:val="none"/>
                <w:lang w:val="en-US" w:eastAsia="zh-CN" w:bidi="ar"/>
              </w:rPr>
              <w:t>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处</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水晶头</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 RJ45网络接头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盒</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 包塑金属软管</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PA尼龙阻燃软管，φ20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辅材</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标签、胶布、扎带、波纹管、水晶头等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批</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619"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违停抓拍球机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相机焦距范围≥5.7-216.5mm，≥38倍光学变倍；</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具有1个10M/100M/1000M自适应以太网RJ45接口、1路RS485接口，1个SFP接口，1路BNC；2路告警输入接口，1路告警输出接口；</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 视频最大分辨率≥2576×1520，最大帧率≥60；</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支持透雾功能，透雾等级可设。</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≥4种时钟同步方式。</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违法停车白天有效检测距离≥300m；</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支持违法停车、压线、违法变道（越线）、逆行、违法倒车等行为检测，支持同时记录以上几种违法。</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8.</w:t>
            </w:r>
            <w:r>
              <w:rPr>
                <w:rFonts w:hint="eastAsia" w:ascii="仿宋_GB2312" w:hAnsi="仿宋_GB2312" w:eastAsia="仿宋_GB2312" w:cs="仿宋_GB2312"/>
                <w:color w:val="000000"/>
                <w:kern w:val="0"/>
                <w:sz w:val="20"/>
                <w:highlight w:val="none"/>
                <w:lang w:val="en-US" w:eastAsia="zh-CN" w:bidi="ar"/>
              </w:rPr>
              <w:t xml:space="preserve">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违法停车捕获率，白天、夜间≥99%。（提供相关权威机构检测报告为证）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9.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对识别为违法停车的同一辆车支持抓拍间隔1-1440分钟可调。（提供相关权威机构检测报告为证）</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10. 设备工作温度范围≥-40～+70℃</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 防护等级≥IP66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1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抱杆机柜</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450mmX500mmX600mm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双路10A空气开关三个 ， 3芯插座一个 ，抱杆安装</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结构：整体结构采用拼焊镀锌结构 ，牢固、钢性好、牢固可靠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防护等级IP55 ，保护内部设备不受外界恶劣环境的干扰</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机柜采用主体焊接、部分拼装的结构 ，保证了防护性</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采用的是专用户外柜锁 ，具有良好的防水、防盗性能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环境适应性好 ，能最大限度地降低设备对环境的要求接地系统安全可靠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机柜底部进出线缆 ，有效实现防水、防尘</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机柜采用抱杆安装方式 ，具有防虫、防鼠功效</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一般规范</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工作湿度：湿度5%~95%@40℃ ，无凝结</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工作温度：温度-40℃~70℃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球机电源适配器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违停球机配套电源适配器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安装支架</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三维鸭嘴头-钢铁材质 ，100mm*100mm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抱箍</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val="en-US" w:eastAsia="zh-CN" w:bidi="ar"/>
              </w:rPr>
              <w:t>5</w:t>
            </w:r>
            <w:r>
              <w:rPr>
                <w:rFonts w:hint="eastAsia" w:ascii="仿宋_GB2312" w:hAnsi="仿宋_GB2312" w:eastAsia="仿宋_GB2312" w:cs="仿宋_GB2312"/>
                <w:color w:val="000000"/>
                <w:kern w:val="0"/>
                <w:sz w:val="20"/>
                <w:highlight w:val="none"/>
                <w:lang w:bidi="ar"/>
              </w:rPr>
              <w:t>0cm抱箍圈，不锈钢材质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6m(φ219)，壁厚≥8mm，直径219mm；热镀锌、喷塑；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6m(φ273)，主杆厚度≥8mm ，直径273mm；热镀锌、喷塑；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横臂长度7米，横壁厚≥5mm。整体热镀锌后喷塑。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横臂长度9米，横壁厚≥6mm。整体热镀锌后喷塑。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119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杆体横臂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横臂长度10m，壁厚≥6mm、热镀锌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标识牌</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违章停车标识牌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04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千兆交换机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工业级网管型以太网交换机，≥8个千兆电口，≥2个千兆SFP插槽（需另配光模块），交换容量：≥56Gbps，交换延迟：＜5μs，1个Console口（RJ45形态），支持VLAN、端口聚合、环网冗余保护、组播、广播风暴控制、SNMP、IEEE 802.1X、HTTPS、Telnet、SSH等软件功能，电源支持过载保护、反接保护、冗余保护等防护特性，IP40金属外壳，工业宽温-40~85℃，电源电压24VDC&amp;24VAC（冗余电源）。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网线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室外超五类四对非屏蔽双绞线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国标RVV3*2.5mm</w:t>
            </w:r>
            <w:r>
              <w:rPr>
                <w:rFonts w:hint="eastAsia" w:ascii="仿宋_GB2312" w:hAnsi="仿宋_GB2312" w:eastAsia="仿宋_GB2312" w:cs="仿宋_GB2312"/>
                <w:color w:val="000000"/>
                <w:kern w:val="0"/>
                <w:sz w:val="20"/>
                <w:highlight w:val="none"/>
                <w:vertAlign w:val="superscript"/>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1052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国标RVV2*1.5mm</w:t>
            </w:r>
            <w:r>
              <w:rPr>
                <w:rFonts w:hint="eastAsia" w:ascii="仿宋_GB2312" w:hAnsi="仿宋_GB2312" w:eastAsia="仿宋_GB2312" w:cs="仿宋_GB2312"/>
                <w:color w:val="000000"/>
                <w:kern w:val="0"/>
                <w:sz w:val="20"/>
                <w:highlight w:val="none"/>
                <w:vertAlign w:val="superscript"/>
                <w:lang w:bidi="ar"/>
              </w:rPr>
              <w:t>2</w:t>
            </w:r>
            <w:r>
              <w:rPr>
                <w:rFonts w:hint="eastAsia" w:ascii="仿宋_GB2312" w:hAnsi="仿宋_GB2312" w:eastAsia="仿宋_GB2312" w:cs="仿宋_GB2312"/>
                <w:color w:val="000000"/>
                <w:kern w:val="0"/>
                <w:sz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324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国标RVV1*4mm</w:t>
            </w:r>
            <w:r>
              <w:rPr>
                <w:rFonts w:hint="eastAsia" w:ascii="仿宋_GB2312" w:hAnsi="仿宋_GB2312" w:eastAsia="仿宋_GB2312" w:cs="仿宋_GB2312"/>
                <w:color w:val="000000"/>
                <w:kern w:val="0"/>
                <w:sz w:val="20"/>
                <w:highlight w:val="none"/>
                <w:vertAlign w:val="superscript"/>
                <w:lang w:bidi="ar"/>
              </w:rPr>
              <w:t>2</w:t>
            </w:r>
            <w:r>
              <w:rPr>
                <w:rFonts w:hint="eastAsia" w:ascii="仿宋_GB2312" w:hAnsi="仿宋_GB2312" w:eastAsia="仿宋_GB2312" w:cs="仿宋_GB2312"/>
                <w:color w:val="000000"/>
                <w:kern w:val="0"/>
                <w:sz w:val="20"/>
                <w:highlight w:val="none"/>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穿线管</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直径50 PE管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1150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接地扁铁</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4cm镀锌扁铁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开挖及恢复</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沿线开挖</w:t>
            </w:r>
            <w:r>
              <w:rPr>
                <w:rFonts w:hint="eastAsia" w:ascii="仿宋_GB2312" w:hAnsi="仿宋_GB2312" w:eastAsia="仿宋_GB2312" w:cs="仿宋_GB2312"/>
                <w:color w:val="000000"/>
                <w:kern w:val="0"/>
                <w:sz w:val="20"/>
                <w:highlight w:val="none"/>
                <w:lang w:val="en-US" w:eastAsia="zh-CN" w:bidi="ar"/>
              </w:rPr>
              <w:t>及</w:t>
            </w:r>
            <w:r>
              <w:rPr>
                <w:rFonts w:hint="eastAsia" w:ascii="仿宋_GB2312" w:hAnsi="仿宋_GB2312" w:eastAsia="仿宋_GB2312" w:cs="仿宋_GB2312"/>
                <w:color w:val="000000"/>
                <w:kern w:val="0"/>
                <w:sz w:val="20"/>
                <w:highlight w:val="none"/>
                <w:lang w:bidi="ar"/>
              </w:rPr>
              <w:t>恢复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952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1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水泥基础（φ219型）</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含接地、混凝土、预埋件材料 ，基础规格</w:t>
            </w:r>
            <w:r>
              <w:rPr>
                <w:rFonts w:hint="eastAsia" w:ascii="仿宋_GB2312" w:hAnsi="仿宋_GB2312" w:eastAsia="仿宋_GB2312" w:cs="仿宋_GB2312"/>
                <w:color w:val="000000"/>
                <w:kern w:val="0"/>
                <w:sz w:val="20"/>
                <w:highlight w:val="none"/>
                <w:lang w:val="en-US" w:eastAsia="zh-CN" w:bidi="ar"/>
              </w:rPr>
              <w:t>不小于</w:t>
            </w:r>
            <w:r>
              <w:rPr>
                <w:rFonts w:hint="eastAsia" w:ascii="仿宋_GB2312" w:hAnsi="仿宋_GB2312" w:eastAsia="仿宋_GB2312" w:cs="仿宋_GB2312"/>
                <w:color w:val="000000"/>
                <w:kern w:val="0"/>
                <w:sz w:val="20"/>
                <w:highlight w:val="none"/>
                <w:lang w:bidi="ar"/>
              </w:rPr>
              <w:t xml:space="preserve">1200mmx1200mmx2000mm。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130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水泥基础（φ273型）</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含接地、混凝土、预埋件材料 ，基础规格</w:t>
            </w:r>
            <w:r>
              <w:rPr>
                <w:rFonts w:hint="eastAsia" w:ascii="仿宋_GB2312" w:hAnsi="仿宋_GB2312" w:eastAsia="仿宋_GB2312" w:cs="仿宋_GB2312"/>
                <w:color w:val="000000"/>
                <w:kern w:val="0"/>
                <w:sz w:val="20"/>
                <w:highlight w:val="none"/>
                <w:lang w:val="en-US" w:eastAsia="zh-CN" w:bidi="ar"/>
              </w:rPr>
              <w:t>不小于</w:t>
            </w:r>
            <w:r>
              <w:rPr>
                <w:rFonts w:hint="eastAsia" w:ascii="仿宋_GB2312" w:hAnsi="仿宋_GB2312" w:eastAsia="仿宋_GB2312" w:cs="仿宋_GB2312"/>
                <w:color w:val="000000"/>
                <w:kern w:val="0"/>
                <w:sz w:val="20"/>
                <w:highlight w:val="none"/>
                <w:lang w:bidi="ar"/>
              </w:rPr>
              <w:t xml:space="preserve">1500mmx1500mmx2100mm。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131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lang w:val="en-US" w:eastAsia="zh-CN"/>
              </w:rPr>
            </w:pPr>
            <w:r>
              <w:rPr>
                <w:rFonts w:hint="eastAsia" w:ascii="仿宋_GB2312" w:hAnsi="仿宋_GB2312" w:eastAsia="仿宋_GB2312" w:cs="仿宋_GB2312"/>
                <w:color w:val="000000"/>
                <w:sz w:val="20"/>
                <w:highlight w:val="none"/>
                <w:lang w:val="en-US" w:eastAsia="zh-CN"/>
              </w:rPr>
              <w:t>电力引入</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lang w:eastAsia="zh-CN"/>
              </w:rPr>
            </w:pPr>
            <w:r>
              <w:rPr>
                <w:rFonts w:hint="eastAsia" w:ascii="仿宋_GB2312" w:hAnsi="仿宋_GB2312" w:eastAsia="仿宋_GB2312" w:cs="仿宋_GB2312"/>
                <w:color w:val="000000"/>
                <w:kern w:val="0"/>
                <w:sz w:val="20"/>
                <w:highlight w:val="none"/>
                <w:lang w:bidi="ar"/>
              </w:rPr>
              <w:t>含引电手续、电表</w:t>
            </w:r>
            <w:r>
              <w:rPr>
                <w:rFonts w:hint="eastAsia" w:ascii="仿宋_GB2312" w:hAnsi="仿宋_GB2312" w:eastAsia="仿宋_GB2312" w:cs="仿宋_GB2312"/>
                <w:color w:val="000000"/>
                <w:kern w:val="0"/>
                <w:sz w:val="20"/>
                <w:highlight w:val="none"/>
                <w:lang w:val="en-US" w:eastAsia="zh-CN" w:bidi="ar"/>
              </w:rPr>
              <w:t>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处</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132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水晶头</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RJ45网络接头 镀金水晶头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盒</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133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包塑金属软管</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PA尼龙阻燃软管，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134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辅材</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标签、胶布、扎带、波纹管、水晶头等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批</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135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标定</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卡口测速标定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车道</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136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标定</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电子警察正向标定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车道</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137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标定</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车辆违停标定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138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标定</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不礼让行人标定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71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139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满屏信号灯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1、满屏信号灯包含：灯具、帽檐、装饰边、横连杆抱箍（直径≥180mm）；面罩规格：直径≥400mm；</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2、信号灯需满足LED数量：红156，黄156，绿156；LED波长：红：625nm；黄：590nm；绿：505nm；LED灯珠直径：≥5mm；</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3、信号灯需满足单管电流：＜18mA；LED寿命：≥70000小时；绝缘电阻：≥500MΩ；介电强度：≥1440V；</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4、信号灯需满足中心光强：400 ~1000 cd；可视距离：≥450m；可视角度：＞30°；</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5、信号灯需满足工作电压：AC 180V~260V；功率：功率≤20W；工作温度：-40 ~ +80℃ ；防护等级：≥IP53。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34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左转箭头灯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1、横装左转箭头灯包含：灯具、帽檐、装饰边、横连杆抱箍（直径≥110mm）；产品尺寸≥1380×450×130mm（铝壳灯体）；面罩规格≥φ400mm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2、箭头灯需满足LED数量：红90，黄90，绿90；LED波长：红：625nm；黄：590nm；绿：505nm；LED直径：φ5mm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3、箭头灯需满足单管电流：＜18mA；LED寿命：≥70000小时；绝缘电阻：≥500MΩ；介电强度：≥1440V；</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4、箭头灯需满足中心亮度：5000 ~15000 cd/m2；可视距离：≥450m；可视角度：＞30°；</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5、箭头灯需满足工作电压：AC 220V±44V，50HZ   ；功率≤20W；工作温度：-40 ~ +80℃ ；相对湿度：≤93%；防护等级≥IP53；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605"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直行箭头灯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1、横装直行箭头灯包含：灯具、帽檐、装饰边、横连杆抱箍（直径≥180mm）；产品尺寸≥1380×450×130mm（铝壳灯体）；面罩规格≥φ400mm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2、箭头灯需满足LED数量：红90，黄90，绿90；LED波长：红：625nm；黄：590nm；绿：505nm；LED直径：φ5mm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3、箭头灯需满足单管电流：＜18mA；LED寿命：≥70000小时；绝缘电阻：≥500MΩ；介电强度：≥1440V；</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4、箭头灯需满足中心亮度：5000 ~15000 cd/m2；可视距离：≥450m，可视角度：＞30°；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5、箭头灯需满足工作电压：AC 220V±44V，50HZ ；功率≤20W；工作温度：-40 ~ +80℃ ，相对湿度：≤93%；防护等级≥IP53；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右转箭头灯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1、横装右转箭头灯包含：灯具、帽檐、装饰边、横连杆抱箍（直径≥230mm）；产品尺寸≥1380×450×130mm（铝壳灯体）；面罩规格≥φ400mm；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2、箭头灯需满足LED数量：红90，黄90，绿90；LED波长：红：625nm；黄：590nm；绿：505nm；LED直径：φ5mm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3、箭头灯需满足单管电流：＜18mA；LED寿命：≥70000小时；绝缘电阻：≥500MΩ；介电强度：≥1440V；</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4、箭头灯需满足中心亮度：5000 ~15000 cd/m2；可视距离：＞450m；可视角度：＞30°；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5、箭头灯需满足工作电压：AC 220V±44V，50HZ   ；功率≤20W；工作温度：-40 ~ +80℃ ，相对湿度：≤93%；防护等级≥IP53；</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重量：29kg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41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左转箭头灯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面罩规格：直径≥400mm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LED数量：红90，黄90，绿90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LED波长：红：625nm；黄：590nm；绿：505nm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LED灯珠直径：≥5mm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单管电流：＜18mA</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LED寿命：≥70000小时</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绝缘电阻：≥500MΩ</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介电强度：≥1440V</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中心亮度：5000 ~15000 cd/m2</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可视距离：＞450m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可视角度：＞30°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工作电压：AC 180V~260V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功率：功率≤20W</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工作温度：-40 ~ +80℃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防护等级：≥IP53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4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直行箭头灯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面罩规格：直径≥400mm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LED数量：红90，黄90，绿90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LED波长：红：625nm；黄：590nm；绿：505nm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LED灯珠直径：≥5mm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单管电流：＜18mA</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LED寿命：≥70000小时</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绝缘电阻：≥500MΩ</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介电强度：≥1440V</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中心亮度：5000 ~15000 cd/m2</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可视距离：≥450m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可视角度：＞30°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工作电压：AC 180V~260V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功率：功率≤20W</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工作温度：-40 ~ +80℃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防护等级：≥IP53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右转箭头灯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面罩规格：直径≥400mm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LED数量：红90，黄90，绿90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LED波长：红：625nm；黄：590nm；绿：505nm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LED灯珠直径：≥5mm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单管电流：＜18mA</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LED寿命：≥70000小时</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绝缘电阻：≥500MΩ</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介电强度：≥1440V</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中心亮度：5000 ~15000 cd/m2</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可视距离：≥450m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可视角度：＞30°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工作电压：AC 180V~260V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功率：功率≤20W</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工作温度：-40 ~ +80℃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防护等级：≥IP53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44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交通行人红绿灯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面罩规格：直径≥300mm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计时方式    学习/触发/RS485通信</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LED数量：人行灯：红60，绿56；倒计时：红140，绿140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LED波长：红：625nm；绿：505nm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LED灯珠直径：≥5mm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单管电流：＜18mA</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LED寿命：≥70000小时</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绝缘电阻：≥500MΩ</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介电强度：≥1440V</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中心光强：150~400 cd</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可视距离：＞300m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可视角度：＞30°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工作电压：AC 180V~260V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功率：功率≤15W</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工作温度：-40 ~ +80℃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防护等级：≥IP53</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含一体式立柱</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142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994"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交通行人红绿灯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面罩规格：直径≥300mm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计时方式    学习/触发/RS485通信</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LED数量：人行灯：红60，绿56；倒计时：红140，绿140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LED波长：红：625nm；绿：505nm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LED灯珠直径：≥5mm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单管电流：＜18mA</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LED寿命：≥70000小时</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绝缘电阻：≥500MΩ</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介电强度：≥1440V</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中心光强：150~400 cd</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可视距离：≥300m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可视角度：＞30°</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工作电压：AC 180V~260V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功率：功率≤15W</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工作温度：-40 ~ +80℃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防护等级：≥IP53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交通行人红绿灯杆体</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交通行人红绿灯杆体，高度≥3米，直径≥DN90，壁厚≥3mm，含法兰，全镀锌，喷塑漆面。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90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149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联网信号控制机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 道路交通信号控制机，需包含控制主机、配电单元、机柜、无线遥控器、GPS等模块，符合《道路交通信号控制机》GB25280-2016要求，支持NTCIP协议；</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 信号控制机支持16主相位+16跟随相位，≥44路灯控输出，单通道负载≥750W；</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3.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信号控制机具有自适应感应控制功能，支持在自适应感应控制方案中，动态调整最大绿时长；（提供相关权威机构检测报告）</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 信号控制机具有行人过街自适应控制功能，支持接入行人检测器，根据行人检测器的数据动态调整行人等待时间，支持配置过街人数及对应的通行时间；</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 信号控制机具有路口图形化配置功能，支持通过平台软件图形化配置路口方案、检测器、信号灯连接关系、配时方案与时段信息等；</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6. 信号控制机具有潮汐车道控制功能，支持按参数配置（执行时段、潮汐车道通行方向、清空时间）完成潮汐车道方向定时切换，支持人工实时切换方案，支持进行潮汐车道状态监控；</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7. 信号控制机不少于1个RJ45接口、1个RS232接口、2个RS485接口、1个USB接口、 8路行人按钮输入，工作温度范围不低于-40℃～+70℃，防护等级≥IP65。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109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150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双8倒计时</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包含：灯具、帽檐、装饰边、横连杆抱箍（直径：140mm）</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面罩规格：800×600×420mm（带帽檐）</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产品尺寸：770×581×120mm</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数字尺寸：500×260mm</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计时方式：跟随/触发/RS485通信</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显示数值：红99~1；绿99~1；黄9~1</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面罩材质：PC</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外壳材质：铝、黑色喷塑</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LED数量：红420，黄210，绿420</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LED波长：红：625nm；黄：590nm；绿：505nm</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LED直径：φ5mm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单管电流：＜18mA</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LED寿命：≥70000小时</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中心亮度：红＞5000 cd/m2；黄＞5000 cd/m2；绿＞5000 cd/m2</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可视距离：≥500m</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可视角度：＞30°</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工作电压：AC 220V±44V，50HZ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功率：≤25W</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工作温度：-40 ~ +80℃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相对湿度：≤93%</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防护等级：IP53</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重量：13kg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96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151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安装支架</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三维鸭嘴头-钢铁材质 ，100mm*100mm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203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152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抱箍</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val="en-US" w:eastAsia="zh-CN" w:bidi="ar"/>
              </w:rPr>
              <w:t>5</w:t>
            </w:r>
            <w:r>
              <w:rPr>
                <w:rFonts w:hint="eastAsia" w:ascii="仿宋_GB2312" w:hAnsi="仿宋_GB2312" w:eastAsia="仿宋_GB2312" w:cs="仿宋_GB2312"/>
                <w:color w:val="000000"/>
                <w:kern w:val="0"/>
                <w:sz w:val="20"/>
                <w:highlight w:val="none"/>
                <w:lang w:bidi="ar"/>
              </w:rPr>
              <w:t>0cm抱箍圈，不锈钢材质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406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685"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153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雷达视频一体机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雷达+视频复合型交通信息采集设备，不小于1/1.8 星光级传感器，支持H.265、H.264、M-JPEG，支持2688×1520@25fps视频图像输出；采用高频段毫米波雷达，频率≥70 GHz，支持全天候环境下工作，不受雨雪、雾、大风、灰尘、光照等影响；</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设备内置深度学习算法，支持智能识别功能，支持车牌识别及目标全结构化，支持雷达检测与视频分析融合处理；</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 设备支持五码流并发输出，主码流分辨率≥2688×1520，子码流、第三码流、第四码流和第五码流最大支持分辨率均≥1920×1080；</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设备支持查看实时视频图像、查看抓拍参数信息，并可对网络配置、视频参数、图像参数、串口参数、报警参数等进行设置和修改；图像参数包括饱和度、亮度、对比度、锐度、增益、白平衡、灰度范围等；</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设备支持双向不少于10车道的多个移动目标进行检测跟踪，支持检测≥240米处的机动车，支持联动雷达数据功能，支持在预览画面中实时显示雷达检测车辆的红色目标框、雷达测速信息等；（需提供权威检验机构出具的检测报告复印件证明）</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设备支持≥8个检测断面的交通信息（速度、流量、时间占有率等）进行检测并显示，支持显示排队区域内一定统计时间内的排队长度、各车道车辆数、平均排队时间、周期停车次数等信息；</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设备支持雷达和视频同时检测到目标，通过雷达坐标标定（标定方式可设置为自动/手动），实现雷达检测数据和视频检测数据的融合，支持查看雷达检测目标、视频检测目标，以及同一个目标ID关联的雷达检测速度、位置和视频检测的车牌、车型、车身颜色等信息；</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8. 设备支持通过雷达数据列表显示编号、位置坐标、车道号、速度、航向角、经纬度、角度等；支持对雷达参数进行设置，包括：检测速度、原点坐标、车道数、车道宽度、方向、架设高度、距离修正参数、角度修正参数等；</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9. 设备支持目标轨迹跟踪和显示，可在监控界面显示目标的实时轨迹，视频预览画面内可叠加车辆跟踪框，实时显示每个目标的运行情况，包含车牌号码、速度、车型、位置坐标等；</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 设备具有≥2个1000M网口，≥1个RS-485接口，≥1路补光灯控制接口，≥1个存储卡接口；防护等级不低于IP66，工作温度范围不低于-30℃~70℃。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203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154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信号灯主杆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（250*206），壁厚6mm，H6.5m；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71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155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（200*100*），壁厚4.5mm，L8m；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71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156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6.5m(φ219)，主杆厚度≥6.</w:t>
            </w:r>
            <w:r>
              <w:rPr>
                <w:rFonts w:hint="eastAsia" w:ascii="仿宋_GB2312" w:hAnsi="仿宋_GB2312" w:eastAsia="仿宋_GB2312" w:cs="仿宋_GB2312"/>
                <w:color w:val="000000"/>
                <w:kern w:val="0"/>
                <w:sz w:val="20"/>
                <w:highlight w:val="none"/>
                <w:lang w:val="en-US" w:eastAsia="zh-CN" w:bidi="ar"/>
              </w:rPr>
              <w:t>5</w:t>
            </w:r>
            <w:r>
              <w:rPr>
                <w:rFonts w:hint="eastAsia" w:ascii="仿宋_GB2312" w:hAnsi="仿宋_GB2312" w:eastAsia="仿宋_GB2312" w:cs="仿宋_GB2312"/>
                <w:color w:val="000000"/>
                <w:kern w:val="0"/>
                <w:sz w:val="20"/>
                <w:highlight w:val="none"/>
                <w:lang w:bidi="ar"/>
              </w:rPr>
              <w:t>mm ，直径219mm；热镀锌、喷塑；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157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横臂长度7米，横壁厚5mm。整体热镀锌后喷塑。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158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金属主杆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6.5m(φ273)，主杆厚度≥6.</w:t>
            </w:r>
            <w:r>
              <w:rPr>
                <w:rFonts w:hint="eastAsia" w:ascii="仿宋_GB2312" w:hAnsi="仿宋_GB2312" w:eastAsia="仿宋_GB2312" w:cs="仿宋_GB2312"/>
                <w:color w:val="000000"/>
                <w:kern w:val="0"/>
                <w:sz w:val="20"/>
                <w:highlight w:val="none"/>
                <w:lang w:val="en-US" w:eastAsia="zh-CN" w:bidi="ar"/>
              </w:rPr>
              <w:t>5</w:t>
            </w:r>
            <w:r>
              <w:rPr>
                <w:rFonts w:hint="eastAsia" w:ascii="仿宋_GB2312" w:hAnsi="仿宋_GB2312" w:eastAsia="仿宋_GB2312" w:cs="仿宋_GB2312"/>
                <w:color w:val="000000"/>
                <w:kern w:val="0"/>
                <w:sz w:val="20"/>
                <w:highlight w:val="none"/>
                <w:lang w:bidi="ar"/>
              </w:rPr>
              <w:t>mm ，直径273mm；热镀锌、喷塑；双挑臂法兰接口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159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横臂长度8米，横壁厚5mm。整体热镀锌后喷塑。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人行灯水泥基础</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val="en-US" w:eastAsia="zh-CN" w:bidi="ar"/>
              </w:rPr>
              <w:t>不小于</w:t>
            </w:r>
            <w:r>
              <w:rPr>
                <w:rFonts w:hint="eastAsia" w:ascii="仿宋_GB2312" w:hAnsi="仿宋_GB2312" w:eastAsia="仿宋_GB2312" w:cs="仿宋_GB2312"/>
                <w:color w:val="000000"/>
                <w:kern w:val="0"/>
                <w:sz w:val="20"/>
                <w:highlight w:val="none"/>
                <w:lang w:bidi="ar"/>
              </w:rPr>
              <w:t>500mm*500mm*800mm，含地笼、预埋管、接地材料等。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192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含接地、防雷、混凝土、预埋件材料,基础规格</w:t>
            </w:r>
            <w:r>
              <w:rPr>
                <w:rFonts w:hint="eastAsia" w:ascii="仿宋_GB2312" w:hAnsi="仿宋_GB2312" w:eastAsia="仿宋_GB2312" w:cs="仿宋_GB2312"/>
                <w:color w:val="000000"/>
                <w:kern w:val="0"/>
                <w:sz w:val="20"/>
                <w:highlight w:val="none"/>
                <w:lang w:val="en-US" w:eastAsia="zh-CN" w:bidi="ar"/>
              </w:rPr>
              <w:t>不小于</w:t>
            </w:r>
            <w:r>
              <w:rPr>
                <w:rFonts w:hint="eastAsia" w:ascii="仿宋_GB2312" w:hAnsi="仿宋_GB2312" w:eastAsia="仿宋_GB2312" w:cs="仿宋_GB2312"/>
                <w:color w:val="000000"/>
                <w:kern w:val="0"/>
                <w:sz w:val="20"/>
                <w:highlight w:val="none"/>
                <w:lang w:bidi="ar"/>
              </w:rPr>
              <w:t>1600mmx1800mmx1800mm。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71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水泥基础（φ219型）</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含接地、混凝土、预埋件材料 ，基础规格</w:t>
            </w:r>
            <w:r>
              <w:rPr>
                <w:rFonts w:hint="eastAsia" w:ascii="仿宋_GB2312" w:hAnsi="仿宋_GB2312" w:eastAsia="仿宋_GB2312" w:cs="仿宋_GB2312"/>
                <w:color w:val="000000"/>
                <w:kern w:val="0"/>
                <w:sz w:val="20"/>
                <w:highlight w:val="none"/>
                <w:lang w:val="en-US" w:eastAsia="zh-CN" w:bidi="ar"/>
              </w:rPr>
              <w:t>不小于</w:t>
            </w:r>
            <w:r>
              <w:rPr>
                <w:rFonts w:hint="eastAsia" w:ascii="仿宋_GB2312" w:hAnsi="仿宋_GB2312" w:eastAsia="仿宋_GB2312" w:cs="仿宋_GB2312"/>
                <w:color w:val="000000"/>
                <w:kern w:val="0"/>
                <w:sz w:val="20"/>
                <w:highlight w:val="none"/>
                <w:lang w:bidi="ar"/>
              </w:rPr>
              <w:t xml:space="preserve">1200mmx1200mmx2000mm。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水泥基础（φ273型）</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含接地、混凝土、预埋件材料 ，基础规格</w:t>
            </w:r>
            <w:r>
              <w:rPr>
                <w:rFonts w:hint="eastAsia" w:ascii="仿宋_GB2312" w:hAnsi="仿宋_GB2312" w:eastAsia="仿宋_GB2312" w:cs="仿宋_GB2312"/>
                <w:color w:val="000000"/>
                <w:kern w:val="0"/>
                <w:sz w:val="20"/>
                <w:highlight w:val="none"/>
                <w:lang w:val="en-US" w:eastAsia="zh-CN" w:bidi="ar"/>
              </w:rPr>
              <w:t>不小于</w:t>
            </w:r>
            <w:r>
              <w:rPr>
                <w:rFonts w:hint="eastAsia" w:ascii="仿宋_GB2312" w:hAnsi="仿宋_GB2312" w:eastAsia="仿宋_GB2312" w:cs="仿宋_GB2312"/>
                <w:color w:val="000000"/>
                <w:kern w:val="0"/>
                <w:sz w:val="20"/>
                <w:highlight w:val="none"/>
                <w:lang w:bidi="ar"/>
              </w:rPr>
              <w:t>1500mmx1500mmx2100mm。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信号控制电缆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Style w:val="74"/>
                <w:rFonts w:hint="eastAsia" w:ascii="仿宋_GB2312" w:hAnsi="仿宋_GB2312" w:eastAsia="仿宋_GB2312" w:cs="仿宋_GB2312"/>
                <w:highlight w:val="none"/>
                <w:lang w:bidi="ar"/>
              </w:rPr>
              <w:t>国标KVV16*1.0mm</w:t>
            </w:r>
            <w:r>
              <w:rPr>
                <w:rStyle w:val="75"/>
                <w:rFonts w:hint="eastAsia" w:ascii="仿宋_GB2312" w:hAnsi="仿宋_GB2312" w:eastAsia="仿宋_GB2312" w:cs="仿宋_GB231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2440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红绿灯信号控制线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Style w:val="74"/>
                <w:rFonts w:hint="eastAsia" w:ascii="仿宋_GB2312" w:hAnsi="仿宋_GB2312" w:eastAsia="仿宋_GB2312" w:cs="仿宋_GB2312"/>
                <w:highlight w:val="none"/>
                <w:lang w:bidi="ar"/>
              </w:rPr>
              <w:t>国标KVV16*1.0mm</w:t>
            </w:r>
            <w:r>
              <w:rPr>
                <w:rStyle w:val="75"/>
                <w:rFonts w:hint="eastAsia" w:ascii="仿宋_GB2312" w:hAnsi="仿宋_GB2312" w:eastAsia="仿宋_GB2312" w:cs="仿宋_GB231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11385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信号线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国标KVV4*1.0mm2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4680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红绿灯电源线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Style w:val="74"/>
                <w:rFonts w:hint="eastAsia" w:ascii="仿宋_GB2312" w:hAnsi="仿宋_GB2312" w:eastAsia="仿宋_GB2312" w:cs="仿宋_GB2312"/>
                <w:highlight w:val="none"/>
                <w:lang w:bidi="ar"/>
              </w:rPr>
              <w:t>国标RVV2*4.0mm</w:t>
            </w:r>
            <w:r>
              <w:rPr>
                <w:rStyle w:val="75"/>
                <w:rFonts w:hint="eastAsia" w:ascii="仿宋_GB2312" w:hAnsi="仿宋_GB2312" w:eastAsia="仿宋_GB2312" w:cs="仿宋_GB231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9900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人行信号线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Style w:val="74"/>
                <w:rFonts w:hint="eastAsia" w:ascii="仿宋_GB2312" w:hAnsi="仿宋_GB2312" w:eastAsia="仿宋_GB2312" w:cs="仿宋_GB2312"/>
                <w:highlight w:val="none"/>
                <w:lang w:bidi="ar"/>
              </w:rPr>
              <w:t>国标KVV3*1.0mm</w:t>
            </w:r>
            <w:r>
              <w:rPr>
                <w:rStyle w:val="75"/>
                <w:rFonts w:hint="eastAsia" w:ascii="仿宋_GB2312" w:hAnsi="仿宋_GB2312" w:eastAsia="仿宋_GB2312" w:cs="仿宋_GB231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13365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国标RVV1*4mm</w:t>
            </w:r>
            <w:r>
              <w:rPr>
                <w:rFonts w:hint="eastAsia" w:ascii="仿宋_GB2312" w:hAnsi="仿宋_GB2312" w:eastAsia="仿宋_GB2312" w:cs="仿宋_GB2312"/>
                <w:color w:val="000000"/>
                <w:kern w:val="0"/>
                <w:sz w:val="20"/>
                <w:highlight w:val="none"/>
                <w:vertAlign w:val="superscript"/>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609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832"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170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抱杆机柜</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尺寸：400mmX300mmX500mm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内含双路220V电源防雷 ，双路10A空气开关一个 ， 3芯插座一个 ，抱杆安装</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结构：整体结构采用拼焊镀锌结构 ，牢固、钢性好、牢固可靠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防护等级≥IP55 ，保护内部设备不受外界恶劣环境的干扰</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机柜采用主体焊接、部分拼装的结构 ，保证了防护性</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采用的是专用户外柜锁 ，具有良好的防水、防盗性能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环境适应性好 ，能最大限度地降低设备对环境的要求接地系统安全可靠</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机柜底部进出线缆 ，有效实现防水、防尘</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机柜采用抱杆安装方式 ，具有防虫、防鼠功效</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一般规范</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工作湿度：湿度5%~95%@40℃ ，无凝结</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工作温度：温度-40℃~70℃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203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171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光缆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GYTS-12B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172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尾纤</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满足现场光纤成端需求，与光纤收发器端口匹配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条</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192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173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终端盒</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8口终端盒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64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174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光缆熔接</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光缆熔接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192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175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接地扁铁</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≥4cm镀锌扁铁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176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穿线管</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直径50PE管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177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开挖及恢复</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沿线开挖、恢复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2199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178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lang w:val="en-US" w:eastAsia="zh-CN"/>
              </w:rPr>
            </w:pPr>
            <w:r>
              <w:rPr>
                <w:rFonts w:hint="eastAsia" w:ascii="仿宋_GB2312" w:hAnsi="仿宋_GB2312" w:eastAsia="仿宋_GB2312" w:cs="仿宋_GB2312"/>
                <w:color w:val="000000"/>
                <w:sz w:val="20"/>
                <w:highlight w:val="none"/>
                <w:lang w:val="en-US" w:eastAsia="zh-CN"/>
              </w:rPr>
              <w:t>电力引入</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lang w:eastAsia="zh-CN"/>
              </w:rPr>
            </w:pPr>
            <w:r>
              <w:rPr>
                <w:rFonts w:hint="eastAsia" w:ascii="仿宋_GB2312" w:hAnsi="仿宋_GB2312" w:eastAsia="仿宋_GB2312" w:cs="仿宋_GB2312"/>
                <w:color w:val="000000"/>
                <w:kern w:val="0"/>
                <w:sz w:val="20"/>
                <w:highlight w:val="none"/>
                <w:lang w:bidi="ar"/>
              </w:rPr>
              <w:t>含引电手续、电表</w:t>
            </w:r>
            <w:r>
              <w:rPr>
                <w:rFonts w:hint="eastAsia" w:ascii="仿宋_GB2312" w:hAnsi="仿宋_GB2312" w:eastAsia="仿宋_GB2312" w:cs="仿宋_GB2312"/>
                <w:color w:val="000000"/>
                <w:kern w:val="0"/>
                <w:sz w:val="20"/>
                <w:highlight w:val="none"/>
                <w:lang w:val="en-US" w:eastAsia="zh-CN" w:bidi="ar"/>
              </w:rPr>
              <w:t>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处</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65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179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8口交换机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工业级网管型以太网交换机，≥8个千兆电口，≥2个千兆SFP插槽（需另配光模块），支持VLAN、端口聚合、环网冗余保护、组播、广播风暴控制、SNMP、IEEE 802.1X、HTTPS、Telnet、SSH等软件功能 ，电源支持过载保护、反接保护、冗余保护等防护特性 ，防护等级≥IP40金属外壳 ，工业宽温-40~85℃ ，电源电压24VDC&amp;24VAC（冗余电源）。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296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光模块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单模单纤、1.25G、1310nm、LC接口、≥10km、工业级、DDM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592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网线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室外超五类四对非屏蔽双绞线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4199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电源线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国标RVV2*1.5mm2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3654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过路钢管</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钢管 6米/根  DN100壁厚≥4mm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包塑金属软管</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PA尼龙阻燃软管，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检查井</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不小于400*400*450mm检查手井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261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水晶头</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RJ45网络接头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盒</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辅材</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标签、胶布、扎带、波纹管、水晶头等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批</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95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7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DB9500E到DB9500F升级包（50亿级别）</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大数据升级包，主要用于车辆大数据系统升级。</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2.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接收外来数据平均值≥1030万条/秒。（需提供公安部权威机构检测报告证明）</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 软件有扩展性，支持千亿级数据，可扩展为万亿级数据。</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升级后支持结构化数据10亿条升级至50亿条</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半结构化动态人脸数据500万条升级至1亿条</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半结构化静态人脸数据5000万条升级至1.5亿条</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7. 半结构化视频人数据2500万条升级至5亿条</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8. 升级后支持结构化数据10亿条升级至50亿条</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9. 半结构化动态人脸数据500万条升级至1亿条</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10. 半结构化静态人脸数据5000万条升级至1.5亿条</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11. 半结构化视频人数据2500万条升级至5亿条</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12. 支持各类结构化与半结构化数据混存，比例可配置。</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13. 支持两个人脸库之间的人脸交叉比对任务，任务执行结果中将成对展示两个库中满足相似度阈值的人脸照片组。</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14. 支持实时机动车布控业务和大数据分析任务，满足各类大数据业务应用需求。</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15. 优秀的相关度算法提供亿级数据的秒级检索服务。</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16. 支持丰富的机动车、MAC、人碰撞等技战法业务。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08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189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图片接入服务器（含软硬件）</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Style w:val="76"/>
                <w:rFonts w:hint="eastAsia" w:ascii="仿宋_GB2312" w:hAnsi="仿宋_GB2312" w:eastAsia="仿宋_GB2312" w:cs="仿宋_GB2312"/>
                <w:highlight w:val="none"/>
                <w:lang w:bidi="ar"/>
              </w:rPr>
            </w:pPr>
            <w:r>
              <w:rPr>
                <w:rStyle w:val="76"/>
                <w:rFonts w:hint="eastAsia" w:ascii="仿宋_GB2312" w:hAnsi="仿宋_GB2312" w:eastAsia="仿宋_GB2312" w:cs="仿宋_GB2312"/>
                <w:highlight w:val="none"/>
                <w:lang w:bidi="ar"/>
              </w:rPr>
              <w:t>1. 数据对接推送系统</w:t>
            </w:r>
          </w:p>
          <w:p>
            <w:pPr>
              <w:widowControl/>
              <w:jc w:val="left"/>
              <w:textAlignment w:val="center"/>
              <w:rPr>
                <w:rStyle w:val="76"/>
                <w:rFonts w:hint="eastAsia" w:ascii="仿宋_GB2312" w:hAnsi="仿宋_GB2312" w:eastAsia="仿宋_GB2312" w:cs="仿宋_GB2312"/>
                <w:highlight w:val="none"/>
                <w:lang w:bidi="ar"/>
              </w:rPr>
            </w:pPr>
            <w:r>
              <w:rPr>
                <w:rStyle w:val="76"/>
                <w:rFonts w:hint="eastAsia" w:ascii="仿宋_GB2312" w:hAnsi="仿宋_GB2312" w:eastAsia="仿宋_GB2312" w:cs="仿宋_GB2312"/>
                <w:highlight w:val="none"/>
                <w:lang w:bidi="ar"/>
              </w:rPr>
              <w:t>2. 对接集成指挥平台（无锡所）</w:t>
            </w:r>
          </w:p>
          <w:p>
            <w:pPr>
              <w:widowControl/>
              <w:jc w:val="left"/>
              <w:textAlignment w:val="center"/>
              <w:rPr>
                <w:rStyle w:val="76"/>
                <w:rFonts w:hint="eastAsia" w:ascii="仿宋_GB2312" w:hAnsi="仿宋_GB2312" w:eastAsia="仿宋_GB2312" w:cs="仿宋_GB2312"/>
                <w:highlight w:val="none"/>
                <w:lang w:bidi="ar"/>
              </w:rPr>
            </w:pPr>
            <w:r>
              <w:rPr>
                <w:rStyle w:val="76"/>
                <w:rFonts w:hint="eastAsia" w:ascii="仿宋_GB2312" w:hAnsi="仿宋_GB2312" w:eastAsia="仿宋_GB2312" w:cs="仿宋_GB2312"/>
                <w:highlight w:val="none"/>
                <w:lang w:bidi="ar"/>
              </w:rPr>
              <w:t>3. 对接地区数据解析平台（熙菱）</w:t>
            </w:r>
          </w:p>
          <w:p>
            <w:pPr>
              <w:widowControl/>
              <w:jc w:val="left"/>
              <w:textAlignment w:val="center"/>
              <w:rPr>
                <w:rStyle w:val="76"/>
                <w:rFonts w:hint="eastAsia" w:ascii="仿宋_GB2312" w:hAnsi="仿宋_GB2312" w:eastAsia="仿宋_GB2312" w:cs="仿宋_GB2312"/>
                <w:highlight w:val="none"/>
                <w:lang w:bidi="ar"/>
              </w:rPr>
            </w:pPr>
            <w:r>
              <w:rPr>
                <w:rStyle w:val="76"/>
                <w:rFonts w:hint="eastAsia" w:ascii="仿宋_GB2312" w:hAnsi="仿宋_GB2312" w:eastAsia="仿宋_GB2312" w:cs="仿宋_GB2312"/>
                <w:highlight w:val="none"/>
                <w:lang w:bidi="ar"/>
              </w:rPr>
              <w:t>4. 支持接入第三方卡口、电警相机或平台。</w:t>
            </w:r>
          </w:p>
          <w:p>
            <w:pPr>
              <w:widowControl/>
              <w:jc w:val="left"/>
              <w:textAlignment w:val="center"/>
              <w:rPr>
                <w:rStyle w:val="76"/>
                <w:rFonts w:hint="eastAsia" w:ascii="仿宋_GB2312" w:hAnsi="仿宋_GB2312" w:eastAsia="仿宋_GB2312" w:cs="仿宋_GB2312"/>
                <w:highlight w:val="none"/>
                <w:lang w:bidi="ar"/>
              </w:rPr>
            </w:pPr>
            <w:r>
              <w:rPr>
                <w:rStyle w:val="76"/>
                <w:rFonts w:hint="eastAsia" w:ascii="仿宋_GB2312" w:hAnsi="仿宋_GB2312" w:eastAsia="仿宋_GB2312" w:cs="仿宋_GB2312"/>
                <w:highlight w:val="none"/>
                <w:lang w:bidi="ar"/>
              </w:rPr>
              <w:t>5. 支持将本域平台中的图片、数据上传至第三方平台。</w:t>
            </w:r>
          </w:p>
          <w:p>
            <w:pPr>
              <w:widowControl/>
              <w:jc w:val="left"/>
              <w:textAlignment w:val="center"/>
              <w:rPr>
                <w:rStyle w:val="76"/>
                <w:rFonts w:hint="eastAsia" w:ascii="仿宋_GB2312" w:hAnsi="仿宋_GB2312" w:eastAsia="仿宋_GB2312" w:cs="仿宋_GB2312"/>
                <w:highlight w:val="none"/>
                <w:lang w:bidi="ar"/>
              </w:rPr>
            </w:pPr>
            <w:r>
              <w:rPr>
                <w:rStyle w:val="76"/>
                <w:rFonts w:hint="eastAsia" w:ascii="仿宋_GB2312" w:hAnsi="仿宋_GB2312" w:eastAsia="仿宋_GB2312" w:cs="仿宋_GB2312"/>
                <w:highlight w:val="none"/>
                <w:lang w:bidi="ar"/>
              </w:rPr>
              <w:t>6. 支持对接交通集成指挥平台，上传过车图片、过车数据、违法图片、违法数据等信息。</w:t>
            </w:r>
          </w:p>
          <w:p>
            <w:pPr>
              <w:widowControl/>
              <w:jc w:val="left"/>
              <w:textAlignment w:val="center"/>
              <w:rPr>
                <w:rStyle w:val="76"/>
                <w:rFonts w:hint="eastAsia" w:ascii="仿宋_GB2312" w:hAnsi="仿宋_GB2312" w:eastAsia="仿宋_GB2312" w:cs="仿宋_GB2312"/>
                <w:highlight w:val="none"/>
                <w:lang w:bidi="ar"/>
              </w:rPr>
            </w:pPr>
            <w:r>
              <w:rPr>
                <w:rStyle w:val="76"/>
                <w:rFonts w:hint="eastAsia" w:ascii="仿宋_GB2312" w:hAnsi="仿宋_GB2312" w:eastAsia="仿宋_GB2312" w:cs="仿宋_GB2312"/>
                <w:highlight w:val="none"/>
                <w:lang w:bidi="ar"/>
              </w:rPr>
              <w:t>7. 单设备支持接入第三方卡口、电警数量≥300个。</w:t>
            </w:r>
          </w:p>
          <w:p>
            <w:pPr>
              <w:widowControl/>
              <w:jc w:val="left"/>
              <w:textAlignment w:val="center"/>
              <w:rPr>
                <w:rFonts w:hint="eastAsia" w:ascii="仿宋_GB2312" w:hAnsi="仿宋_GB2312" w:eastAsia="仿宋_GB2312" w:cs="仿宋_GB2312"/>
                <w:color w:val="000000"/>
                <w:sz w:val="20"/>
                <w:highlight w:val="none"/>
              </w:rPr>
            </w:pPr>
            <w:r>
              <w:rPr>
                <w:rStyle w:val="76"/>
                <w:rFonts w:hint="eastAsia" w:ascii="仿宋_GB2312" w:hAnsi="仿宋_GB2312" w:eastAsia="仿宋_GB2312" w:cs="仿宋_GB2312"/>
                <w:highlight w:val="none"/>
                <w:lang w:bidi="ar"/>
              </w:rPr>
              <w:t>8. 接入数据规格≥400条/秒（不含图片），或≥100条/秒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412"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190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视图多维数据服务器（含软硬件）</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承载视图库A接口，支持采集装备或采集系统按照GA/T 1400标准A接口接入平台并上报相关人脸、车辆等数据；</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2. 承载视图库B/C/D接口；支持GA/T 1400标准针对人、车、案事件所规定的相关业务功能；</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3. 承载WA3011协议，支持wifi采集设备、RFID采集设备接入平台并上报相关MAC/RFID等数据；</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人脸大图/车辆大图接入及转发能力：入口带宽： 512Mbps，出口带宽： 1024Mbps</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5. 人脸/车辆大图URL、MAC/RFID数据接入及转发性能：1500条/秒。</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6. 人脸跨域布控：新增支持人脸布控告警功能，并支持跨域布控</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7. </w:t>
            </w:r>
            <w:r>
              <w:rPr>
                <w:rFonts w:hint="eastAsia" w:ascii="仿宋_GB2312" w:hAnsi="仿宋_GB2312" w:eastAsia="仿宋_GB2312" w:cs="仿宋_GB2312"/>
                <w:color w:val="000000"/>
                <w:kern w:val="0"/>
                <w:sz w:val="24"/>
                <w:highlight w:val="none"/>
                <w:lang w:bidi="ar"/>
              </w:rPr>
              <w:t>★</w:t>
            </w:r>
            <w:r>
              <w:rPr>
                <w:rFonts w:hint="eastAsia" w:ascii="仿宋_GB2312" w:hAnsi="仿宋_GB2312" w:eastAsia="仿宋_GB2312" w:cs="仿宋_GB2312"/>
                <w:color w:val="000000"/>
                <w:kern w:val="0"/>
                <w:sz w:val="20"/>
                <w:highlight w:val="none"/>
                <w:lang w:bidi="ar"/>
              </w:rPr>
              <w:t>车辆跨域布控：新增支持过车布控告警功能，并支持跨域布控（需提供公安部权威机构检测报告证明）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191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云存储设备</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 4U高度48盘位存储设备，控制器架构，多核处理器</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2. 支持≥3个GE接口，2个USB3.0接口，1个RS232接口，1个VGA接口，1个PCIE插槽。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3. 支持PCIE扩展插槽，可接入4端口万兆以太网卡、4端口千兆以太网卡。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4. 支持冗余电源可热插拔，支持BBU电池模块。</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5. 支持JBOD，RAID5,RAID0,RAID1,RAID6, RAID阵列即建即用。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6. RAID阵列中硬盘发生故障时，设备中空白硬盘可自动转换为热备盘以替换故障硬盘并重建RAID阵列。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7. 当RAID阵列中的一块硬盘拔掉后，10分钟之内再插上，该硬盘能恢复到原有RAID中，RAID阵列恢复正常。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8. RAID重建过程中设备重启或异常掉电，供电恢复后，重建过程应继续，根据业务压力不同，设备RAID阵列可自动动态调整重建速率。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9. RAID中磁盘发生故障，导致RAID阵列处于降级、重建状态并不影响数据写入。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10. 设备支持磁盘漫游功能，硬盘更换槽位后可在图形界面上显示硬盘新的所在槽位，且不影响RAID使用。  </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11. 设备启动时，磁盘可按预设顺序加电。</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12. 设备异常掉电，供电恢复后业务可自动恢复。</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13. 设备可将不使用的硬盘进行休眠。</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14. 设备支持网口聚合、负载均衡；支持多个网口设置同一IP地址，实现数据链路冗余，当其中一条链路失效，不影响数据存储。</w:t>
            </w:r>
          </w:p>
          <w:p>
            <w:pPr>
              <w:widowControl/>
              <w:jc w:val="left"/>
              <w:textAlignment w:val="center"/>
              <w:rPr>
                <w:rFonts w:hint="eastAsia" w:ascii="仿宋_GB2312" w:hAnsi="仿宋_GB2312" w:eastAsia="仿宋_GB2312" w:cs="仿宋_GB2312"/>
                <w:color w:val="000000"/>
                <w:kern w:val="0"/>
                <w:sz w:val="20"/>
                <w:highlight w:val="none"/>
                <w:lang w:bidi="ar"/>
              </w:rPr>
            </w:pPr>
            <w:r>
              <w:rPr>
                <w:rFonts w:hint="eastAsia" w:ascii="仿宋_GB2312" w:hAnsi="仿宋_GB2312" w:eastAsia="仿宋_GB2312" w:cs="仿宋_GB2312"/>
                <w:color w:val="000000"/>
                <w:kern w:val="0"/>
                <w:sz w:val="20"/>
                <w:highlight w:val="none"/>
                <w:lang w:bidi="ar"/>
              </w:rPr>
              <w:t xml:space="preserve">15. 设备异常掉电后存储在缓存中的数据应不丢失，可通过数码管显示缓存数据的保存进度，可查看断电前1秒的视频录像。    </w:t>
            </w:r>
          </w:p>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16. 设备支持CPU在不同业务压力下智能调频，支持风扇在不同温度下智能调速。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192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700W电源模块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≥700W电源模块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193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电池模块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电池模块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30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194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云存储专用硬盘</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企业级硬盘</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容量：≥10TB*2</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接口：SATA</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转速：≥7200rpm</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缓存：≥256MB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635"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195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交通综合管控平台</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1、平台需支持目录基础信息的增删改查、导入、导出等功能；支持配置多个业务目录。</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2、平台需支持用户所在部门基础信息的增删改查、导入、导出等功能。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3、平台需支持用户信息的增删改查、导入、导出；支持用户安全管理，可绑定用户mac地址及IP，可自行修改用户密码或者管理员重置密码；</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4、平台需提供设备统一接入管理，包括：视频设备、卡口设备、报警设备</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5、平台需支持用户自定义快捷入口；支持支持自定义菜单内容；支持页面元素设置，支持上传页面logo图标、修改网站标题、设置并添加网站外部链接；</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6、平台需支持所有设备统一校时；提供账户安全设置，支持账户密码有效期设置。支持登录类型（Web端、PC客户端、移动端）和认证方式（密码、PKI）的配置。</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7、平台需支持人脸、车辆感知数据的采集、存储；支持人员、车辆名单信息管理能力，支持车辆红名单管理；支持名单下发到前端或者后端比对设备；支持名单标签管理，支持名单按照关联的标签自动分类归档到对应名单库中。</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8、平台需支持根据过车类型、车辆颜色、车辆类型等属性查询匹配的过车数据。</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9、平台需支持通过车辆图片为条件，在过车数据中根据车辆外形特征检索出与其最相似的车辆，同时支持分析结果按照车牌分组展示。支持查询结果与目标查询车辆对比功能。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10、平台需支持按卡口、时间、归属地、车型、品牌、区域分析某个卡口某段时间的车流量数据，并可以以日报表，月报表的形式提供分析结果。</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11、平台需支持昼伏夜出、区域碰撞、初次入城、车辆落脚点、频繁过车、行车规律分析、同行车辆、夜间面部遮挡、隐匿车、一车一档等车辆研判技战法；</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12、平台需支持区间配置、字符叠加，以及以车辆区间属性（车牌号码、车牌颜色 、违法时间、区间名称、超速比）搜索区间违法超速数据，查询区间违法超速数据的超速比、平均速度等超速信息。</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13、平台需支持在用户选择的时段、点位范围、方向及车道，根据车牌号码 、结果关联、车辆颜色、车辆品牌、车辆类型、车牌类型、车牌颜色进行红名单过车记录检索。</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14、平台需支持视频通用标准协议（GB/T28181-2011,GB/T28181-2016）与外域平台互联互通，实现上级平台对下级平台视频资源点位的操作控制。</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15、平台需支持上下级域注册管理能力，实现平台数据级联；支持资源同步能力；</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16、平台需支持级联视频点位实时预览、录像回放、录像下载、语音对讲能力；支持级联视频点位设备操作控制能力；支持下级平台推送到本级平台视频点位路数控制能力，通过级联点位授权路数控制；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196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本级监控通道数</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卡口、电警、违停球，视频监控设备的接入管理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路</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197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本级车道接入数</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卡口、电警、违停球等设备的接入车道数管理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车道</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5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198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视频监控应用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1、支持监控点数量≥10W个；</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2、支持并发取流带宽≥2000M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3、解码能力：解码H264、720P的视频≥36路；</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3、支持电视墙最大场景数128个；</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4、单个电视墙最大支持数量25*25个；</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5、单个窗口最大分割数量16个。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78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199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视频级联通道数</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1、最大级联监控点数量≥20W个；</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2、单个NCG信令节点：支持≥5个上级域平台、≥15个下级域平台；</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3、单台支持并发取流带宽≥600M。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路</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474"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视频国标级联网关</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视频级联应用主要为视频监控业务提供级联服务，用于平台域间视频联网，基于视频通用标准协议（GB/T28181-2011,GB/T28181-2016）与外域平台互联互通，实现上级平台对下级平台视频资源点位的操作控制。</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1、支持上下级域注册管理能力，实现平台数据级联；</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2、支持资源同步能力；</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3、支持级联视频点位实时预览、录像回放、录像下载、语音对讲能力；</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4、支持级联视频点位设备操作控制能力；</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5、支持下级平台推送到本级平台视频点位路数控制能力，通过级联点位授权路数控制；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34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视频运维应用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视频运维提供了设备运行状态采集、视频质量检测、录像质量检测、运维告警查询与处理、运维报表等功能。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一、 设备运行状态采集：支持对设备在线情况进行检测。</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二、视频质量检测：支持对视频的图像质量进行检测。</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三、录像质量检测：支持对录像的完整性进行检测。</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四、运维告警查询与处理：支持运维告警的查询和处理。</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五、运维结果报表展示：支持按月、时间区间对各区域监控点在线率、图像正常率、录像完整率进行统计考核（区域运维、视频质量、录像完整性、取流情况、监控点、录像保存情况、监控点离线时长、云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30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地图应用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电子地图提供了业务资源图上展示、业务资源检索、定位、轨迹等功能。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一、业务资源图上展示：支持监控点、卡口资源、单兵、车载、无人机、探针、报警设备及报警输入/输出在地图上的显示与隐藏。</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二、定位：支持查看选中目标的</w:t>
            </w:r>
            <w:r>
              <w:rPr>
                <w:rFonts w:hint="eastAsia" w:ascii="仿宋_GB2312" w:hAnsi="仿宋_GB2312" w:eastAsia="仿宋_GB2312" w:cs="仿宋_GB2312"/>
                <w:color w:val="000000"/>
                <w:kern w:val="0"/>
                <w:sz w:val="20"/>
                <w:highlight w:val="none"/>
                <w:lang w:val="en-US" w:eastAsia="zh-CN" w:bidi="ar"/>
              </w:rPr>
              <w:t>定位</w:t>
            </w:r>
            <w:r>
              <w:rPr>
                <w:rFonts w:hint="eastAsia" w:ascii="仿宋_GB2312" w:hAnsi="仿宋_GB2312" w:eastAsia="仿宋_GB2312" w:cs="仿宋_GB2312"/>
                <w:color w:val="000000"/>
                <w:kern w:val="0"/>
                <w:sz w:val="20"/>
                <w:highlight w:val="none"/>
                <w:lang w:bidi="ar"/>
              </w:rPr>
              <w:t>详情（编号、速度、方向及经纬度），可进行视频预览。</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三、</w:t>
            </w:r>
            <w:r>
              <w:rPr>
                <w:rFonts w:hint="eastAsia" w:ascii="仿宋_GB2312" w:hAnsi="仿宋_GB2312" w:eastAsia="仿宋_GB2312" w:cs="仿宋_GB2312"/>
                <w:color w:val="000000"/>
                <w:kern w:val="0"/>
                <w:sz w:val="20"/>
                <w:highlight w:val="none"/>
                <w:lang w:val="en-US" w:eastAsia="zh-CN" w:bidi="ar"/>
              </w:rPr>
              <w:t>定位</w:t>
            </w:r>
            <w:r>
              <w:rPr>
                <w:rFonts w:hint="eastAsia" w:ascii="仿宋_GB2312" w:hAnsi="仿宋_GB2312" w:eastAsia="仿宋_GB2312" w:cs="仿宋_GB2312"/>
                <w:color w:val="000000"/>
                <w:kern w:val="0"/>
                <w:sz w:val="20"/>
                <w:highlight w:val="none"/>
                <w:lang w:bidi="ar"/>
              </w:rPr>
              <w:t>轨迹：按时间查询单兵、车载、无人机等在地图上的经过的</w:t>
            </w:r>
            <w:r>
              <w:rPr>
                <w:rFonts w:hint="eastAsia" w:ascii="仿宋_GB2312" w:hAnsi="仿宋_GB2312" w:eastAsia="仿宋_GB2312" w:cs="仿宋_GB2312"/>
                <w:color w:val="000000"/>
                <w:kern w:val="0"/>
                <w:sz w:val="20"/>
                <w:highlight w:val="none"/>
                <w:lang w:val="en-US" w:eastAsia="zh-CN" w:bidi="ar"/>
              </w:rPr>
              <w:t>定位</w:t>
            </w:r>
            <w:r>
              <w:rPr>
                <w:rFonts w:hint="eastAsia" w:ascii="仿宋_GB2312" w:hAnsi="仿宋_GB2312" w:eastAsia="仿宋_GB2312" w:cs="仿宋_GB2312"/>
                <w:color w:val="000000"/>
                <w:kern w:val="0"/>
                <w:sz w:val="20"/>
                <w:highlight w:val="none"/>
                <w:lang w:bidi="ar"/>
              </w:rPr>
              <w:t>位置，将轨迹展示在地图上。</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30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地图引擎模块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1、提供浏览器端二次开发接口，支持矢量切片地图，三维实景地图、BIM模型的快速渲染，支持三维模型拾取、标绘，兼容echarts和three.js，并提供简单的空间运算功能。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2、支持符合TMS、WMTS、WMS标准的地图服务，其中TMS地图包含在线（高德、天地图</w:t>
            </w:r>
            <w:r>
              <w:rPr>
                <w:rFonts w:hint="eastAsia" w:ascii="仿宋_GB2312" w:hAnsi="仿宋_GB2312" w:eastAsia="仿宋_GB2312" w:cs="仿宋_GB2312"/>
                <w:color w:val="000000"/>
                <w:kern w:val="0"/>
                <w:sz w:val="20"/>
                <w:highlight w:val="none"/>
                <w:lang w:val="en-US" w:eastAsia="zh-CN" w:bidi="ar"/>
              </w:rPr>
              <w:t>等主流地图</w:t>
            </w:r>
            <w:r>
              <w:rPr>
                <w:rFonts w:hint="eastAsia" w:ascii="仿宋_GB2312" w:hAnsi="仿宋_GB2312" w:eastAsia="仿宋_GB2312" w:cs="仿宋_GB2312"/>
                <w:color w:val="000000"/>
                <w:kern w:val="0"/>
                <w:sz w:val="20"/>
                <w:highlight w:val="none"/>
                <w:lang w:bidi="ar"/>
              </w:rPr>
              <w:t>）、离线GIS地图（高德、天地图</w:t>
            </w:r>
            <w:r>
              <w:rPr>
                <w:rFonts w:hint="eastAsia" w:ascii="仿宋_GB2312" w:hAnsi="仿宋_GB2312" w:eastAsia="仿宋_GB2312" w:cs="仿宋_GB2312"/>
                <w:color w:val="000000"/>
                <w:kern w:val="0"/>
                <w:sz w:val="20"/>
                <w:highlight w:val="none"/>
                <w:lang w:val="en-US" w:eastAsia="zh-CN" w:bidi="ar"/>
              </w:rPr>
              <w:t>等主流地图</w:t>
            </w:r>
            <w:r>
              <w:rPr>
                <w:rFonts w:hint="eastAsia" w:ascii="仿宋_GB2312" w:hAnsi="仿宋_GB2312" w:eastAsia="仿宋_GB2312" w:cs="仿宋_GB2312"/>
                <w:color w:val="000000"/>
                <w:kern w:val="0"/>
                <w:sz w:val="20"/>
                <w:highlight w:val="none"/>
                <w:lang w:bidi="ar"/>
              </w:rPr>
              <w:t>）</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3、支持基础地理资源的全图搜索、路径分析，矢量切片的切图和配图。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30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平台接口开放</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1、提供人脸应用、人体应用、车辆应用等服务供第三方使用；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2、提供图像识别及图像比对等服务供第三方使用；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3、提供取流解码、视频预览、录像回放的能力供第三方使用；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 xml:space="preserve">4、提供区域信息、视频监控点信息、车辆卡口信息的获取服务供第三方使用；       </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5、提供用户服务、事件订阅、数据字典服务供第三方使用。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75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交通信号控制业务模块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1、平台需支持针对多个信控路口的运行状态进行监控，可以支持 1,4,9,16分割画面预览；</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2、平台需支支持信号机路口和监控设备的关联，实现同时查看实时信号灯放行状态和路口运行情况的需求；</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3、平台需支支持对信号机进行批量分组控制和历史运行方案查询功能；路口运行监测（检测器故障、灯控板故障、通道故障、数据诊断故障）进行查询导出。</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4、平台需支持对信号机的操作记录查询导出。支持对信号机的步进操作进行查询导出。支持对信号机的历史在线离线状态进行查询导出。支持对信号机的离线异常次数和离线时间统计导出。</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5、平台需支持手机端监控信号机在线状态和方案灯态、支持流量查询。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信号机接入模块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红绿灯信号机接入管理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路</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单点自适应路口个数</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最少支持1个路口，支持对≥1500个信号机路口进行单点自适应优化的赋能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04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车辆畅行保障应用模块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1、平台需支持车辆畅行保障应用，支持通过时间计划或gps定位信息对特勤车辆进行准确的放行优先控制，并及时对执行完的任务路口路线进行恢复，保障特勤车队的畅行：</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2、平台需含有自动特勤、手动特勤等信号控制业务功能。支持自动特勤、手动特勤配置、执行及监控；支持通过手机端APP进行特勤任务管理和监控。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363"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绿波带应用模块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绿波带管理应用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支持绿波带的增删改及列表展示。</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绿波带监控应用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支持展示实时干线指标和时距图。</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绿波故障监测应用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对平台配置的以及算法引擎自动规划的绿波进行故障监测，展示绿波的状态（方案生成成功、失败、方案下发成功、失败、降级）。</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绿波带演练APP应用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支持对绿波带的效果通过APP进行跟踪演练得到指标，观察绿波带的效果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5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交通评价应用模块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1、平台需支持绿波带管理应用；支持绿波带的增删改及列表展示。</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2、平台需支持绿波带监控应用；支持展示实时干线指标和时距图。</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3、平台需支持绿波故障监测应用；对平台配置的以及算法引擎自动规划的绿波进行故障监测，展示绿波的状态（方案生成成功、失败、方案下发成功、失败、降级）。；</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4、平台需支持绿波带演练APP应用；支持对绿波带的效果通过APP进行跟踪演练得到指标，观察绿波带的效果。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大数据基础平台</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1、平台需提供基础大数据HBP能力；提供感知数据以图搜图能力；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6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行人闯红灯管控</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应用于交警对行人不按照红绿灯指示过马路的行为进行整治的场景。对该违法行为进行识别，上屏曝光警示，以达到减少行人闯红灯违法行为目的，提供了行人闯红灯违法人员研判、违法审核、违法查询、统计分析、数据监测、撤销上屏等功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一、身份确认：支持平台+人脸比对部署和平台+第三方人脸比对系统两种建设模式；</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二、上屏曝光：支持按最新违法自动上屏和选定违法上屏两种模式，且支持手动撤屏；</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三、隐私保护：上屏曝光支持隐私保护（姓名和身份证号牌部分遮挡）和年龄段过滤（例如设置小于18岁未成年人、大于60岁老年人不上屏曝光）；</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四、自动审核：支持设置人脸比对相似度阈值来实现自动审核。</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注：项目中可能存在需要对接第三方人脸比对接口，遇到此类需求请按定制工作量评估。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04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信息发布管理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交通诱导发布提供了节目管理、预案管理、交通诱导等功能。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一、节目管理：支持诱导屏节目单管理、支持节目类型优先级设置。</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二、预案管理：支持预案名称可编辑、播放模式、下发开始时间、下发结束时间可设置。</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三、交通诱导：将预案下发给交通诱导屏设备。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227"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融合大数据服务平台</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数据应用：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1、人脸数据应用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属性检索、以图搜图、区域碰撞、频繁过人分析、落脚点分析、同行人分析、数据统计、人员布控；</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支持使用单张或多张图片进行以人搜人，选择时间段、监控点（支持树形选点和地图选点），结果按照相似度降序排序；支持本地上传图片进行以人搜人，系统可自动识别人体；支持从搜索结果中选择图片进行以人搜人，或将搜索结果中的图片添加到多图搜索，可以添加不少于5张图片；</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2、车辆数据应用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过车查询、轨迹查询、夜间面部遮挡、卡口流量预测、初次入城、频繁出入、区域碰撞、跟车关联；</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落脚点、隐匿车、昼伏夜出、空降车、车辆分组统计、以图搜图、套牌车分析、一车一档、模型布控、红名单</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支持关联人脸、人体、车辆进行综合查询；</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支持查询一车一档信息包含车牌号码、车牌颜色、车牌归属地、车牌类型、车牌状态、车辆类型、品牌、型号、年款、车辆颜色、颜色深度、黄标车、危化品、是否有装饰、过车记录、落脚点卡口、套牌次数、活跃区域、活跃卡口、危险行为统计等。</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3、人体数据应用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属性检索、统计分析、以图搜图</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4、WIFI数据应用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属性查询、区域碰撞、伴随分析、轨迹查询、数据统计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89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215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通用大数据服务器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1、2U机架式服务器，CPU≥2颗 (≥32核，主频≥2.0GHz)；内存≥128G 16*8 DDR4，16根内存插槽，最大支持扩展至2TB内存；硬盘≥4块2T 7.2K SAS硬盘。</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2、阵列卡支持RAID_2G；PCIE扩展可支持≥5个PCI -E扩展插槽；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3、网口≥2个千兆电口,≥2个万兆光口；≥1个千兆RJ-45管理接口；≥4个USB接口，≥2个位于机箱后部，≥2个位于机箱前部；≥1个VGA接口，位于机箱后部；</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4、设备具有550W（1+1）高效铂金CRPS冗余电源 ；含操作系统。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18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216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双路通用服务器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1、2U双路标准机架式服务器；CPU≥2颗，核数≥10核，主频≥2.4GHz；</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2、内存≥128G DDR4，≥16根内存插槽，最大支持扩展至2TB内存；硬盘≥2块600G 10K 2.5寸 SAS硬盘；</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3、阵列卡支持SAS_HBA卡, 支持RAID 0/1/10；PCIE扩展最大可支持≥6个PCIE扩展插槽；</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4、网口≥2个千兆电口；≥1个RJ45管理接口，后置≥2个USB 3.0接口，前置≥2个USB2.0接口，≥1个VGA接口；</w:t>
            </w:r>
            <w:r>
              <w:rPr>
                <w:rFonts w:hint="eastAsia" w:ascii="仿宋_GB2312" w:hAnsi="仿宋_GB2312" w:eastAsia="仿宋_GB2312" w:cs="仿宋_GB2312"/>
                <w:color w:val="000000"/>
                <w:kern w:val="0"/>
                <w:sz w:val="20"/>
                <w:highlight w:val="none"/>
                <w:lang w:bidi="ar"/>
              </w:rPr>
              <w:br w:type="textWrapping"/>
            </w:r>
            <w:r>
              <w:rPr>
                <w:rFonts w:hint="eastAsia" w:ascii="仿宋_GB2312" w:hAnsi="仿宋_GB2312" w:eastAsia="仿宋_GB2312" w:cs="仿宋_GB2312"/>
                <w:color w:val="000000"/>
                <w:kern w:val="0"/>
                <w:sz w:val="20"/>
                <w:highlight w:val="none"/>
                <w:lang w:bidi="ar"/>
              </w:rPr>
              <w:t>5、设备具有550W（1+1）高效铂金CRPS冗余电源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217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千兆汇聚交换机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≥12光+12电交换机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218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千兆光模块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千兆多模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shd w:val="clear" w:color="auto" w:fill="FFFFFF"/>
          <w:tblCellMar>
            <w:top w:w="0" w:type="dxa"/>
            <w:left w:w="108" w:type="dxa"/>
            <w:bottom w:w="0" w:type="dxa"/>
            <w:right w:w="108" w:type="dxa"/>
          </w:tblCellMar>
        </w:tblPrEx>
        <w:trPr>
          <w:trHeight w:val="52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219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核心交换机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≥48个千兆电口，≥4个万兆光口，交换容量：≥1.28 Tbps/12.8 Tbps，包转发率：≥252/402 Mpps，≥双电源插槽，默认含单电源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220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防火墙</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≥8个千兆电口防火墙，≥2个光口，单电源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台</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221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万兆光模块</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万兆多模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个</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222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网线</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六类网线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米</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223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尾纤</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满足现场光纤成端需求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条</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r>
        <w:tblPrEx>
          <w:tblCellMar>
            <w:top w:w="0" w:type="dxa"/>
            <w:left w:w="108" w:type="dxa"/>
            <w:bottom w:w="0" w:type="dxa"/>
            <w:right w:w="108" w:type="dxa"/>
          </w:tblCellMar>
        </w:tblPrEx>
        <w:trPr>
          <w:trHeight w:val="260" w:hRule="atLeast"/>
        </w:trPr>
        <w:tc>
          <w:tcPr>
            <w:tcW w:w="618" w:type="dxa"/>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224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辅材</w:t>
            </w:r>
          </w:p>
        </w:tc>
        <w:tc>
          <w:tcPr>
            <w:tcW w:w="6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标签、胶布、扎带、波纹管等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套</w:t>
            </w:r>
          </w:p>
        </w:tc>
        <w:tc>
          <w:tcPr>
            <w:tcW w:w="0" w:type="auto"/>
            <w:tcBorders>
              <w:top w:val="single" w:color="000000" w:sz="4" w:space="0"/>
              <w:left w:val="single" w:color="000000" w:sz="4" w:space="0"/>
              <w:bottom w:val="single" w:color="000000" w:sz="4" w:space="0"/>
              <w:right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0"/>
                <w:highlight w:val="none"/>
              </w:rPr>
            </w:pPr>
            <w:r>
              <w:rPr>
                <w:rFonts w:hint="eastAsia" w:ascii="仿宋_GB2312" w:hAnsi="仿宋_GB2312" w:eastAsia="仿宋_GB2312" w:cs="仿宋_GB2312"/>
                <w:color w:val="000000"/>
                <w:kern w:val="0"/>
                <w:sz w:val="20"/>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仿宋_GB2312" w:eastAsia="仿宋_GB2312" w:cs="仿宋_GB2312"/>
                <w:color w:val="000000"/>
                <w:sz w:val="20"/>
                <w:highlight w:val="none"/>
              </w:rPr>
            </w:pPr>
          </w:p>
        </w:tc>
      </w:tr>
    </w:tbl>
    <w:p>
      <w:pPr>
        <w:pStyle w:val="42"/>
        <w:spacing w:line="540" w:lineRule="exact"/>
        <w:ind w:firstLine="567"/>
        <w:jc w:val="both"/>
        <w:rPr>
          <w:rFonts w:ascii="仿宋_GB2312" w:hAnsi="宋体" w:eastAsia="仿宋_GB2312" w:cs="宋体"/>
          <w:b/>
          <w:bCs/>
          <w:color w:val="FF0000"/>
          <w:sz w:val="28"/>
        </w:rPr>
      </w:pPr>
    </w:p>
    <w:p>
      <w:pPr>
        <w:pStyle w:val="42"/>
        <w:spacing w:line="540" w:lineRule="exact"/>
        <w:ind w:firstLine="567"/>
        <w:jc w:val="both"/>
        <w:rPr>
          <w:rFonts w:ascii="仿宋_GB2312" w:hAnsi="宋体" w:eastAsia="仿宋_GB2312" w:cs="宋体"/>
          <w:b/>
          <w:bCs/>
          <w:color w:val="FF0000"/>
          <w:sz w:val="28"/>
        </w:rPr>
      </w:pPr>
    </w:p>
    <w:p>
      <w:pPr>
        <w:pStyle w:val="42"/>
        <w:spacing w:line="540" w:lineRule="exact"/>
        <w:jc w:val="both"/>
        <w:rPr>
          <w:rFonts w:ascii="宋体" w:cs="宋体"/>
          <w:color w:val="auto"/>
          <w:sz w:val="72"/>
        </w:rPr>
      </w:pPr>
      <w:r>
        <w:rPr>
          <w:rFonts w:hint="eastAsia" w:ascii="宋体" w:hAnsi="宋体" w:cs="宋体"/>
          <w:b/>
          <w:color w:val="auto"/>
          <w:sz w:val="36"/>
        </w:rPr>
        <w:br w:type="page"/>
      </w:r>
    </w:p>
    <w:p>
      <w:pPr>
        <w:pStyle w:val="67"/>
        <w:spacing w:beforeLines="0" w:afterLines="0"/>
        <w:rPr>
          <w:rFonts w:hAnsi="宋体" w:cs="宋体"/>
          <w:color w:val="auto"/>
          <w:sz w:val="32"/>
          <w:szCs w:val="32"/>
        </w:rPr>
      </w:pPr>
      <w:r>
        <w:rPr>
          <w:rFonts w:hint="eastAsia" w:hAnsi="宋体" w:cs="宋体"/>
          <w:color w:val="auto"/>
          <w:sz w:val="32"/>
          <w:szCs w:val="32"/>
        </w:rPr>
        <w:t>第一章  招  标  书</w:t>
      </w:r>
    </w:p>
    <w:p>
      <w:pPr>
        <w:pStyle w:val="42"/>
        <w:spacing w:before="312" w:beforeLines="100" w:after="156" w:afterLines="50" w:line="540" w:lineRule="exact"/>
        <w:jc w:val="center"/>
        <w:outlineLvl w:val="0"/>
        <w:rPr>
          <w:rFonts w:hint="eastAsia" w:ascii="仿宋_GB2312" w:hAnsi="宋体" w:eastAsia="仿宋_GB2312" w:cs="宋体"/>
          <w:b/>
          <w:color w:val="auto"/>
          <w:sz w:val="28"/>
        </w:rPr>
      </w:pPr>
      <w:r>
        <w:rPr>
          <w:rFonts w:hint="eastAsia" w:ascii="仿宋_GB2312" w:hAnsi="宋体" w:eastAsia="仿宋_GB2312" w:cs="宋体"/>
          <w:b/>
          <w:color w:val="auto"/>
          <w:sz w:val="28"/>
        </w:rPr>
        <w:t>附件：投标书格式</w:t>
      </w:r>
    </w:p>
    <w:p>
      <w:pPr>
        <w:spacing w:line="520" w:lineRule="exact"/>
        <w:jc w:val="center"/>
        <w:rPr>
          <w:rFonts w:ascii="宋体" w:cs="宋体"/>
          <w:sz w:val="30"/>
        </w:rPr>
      </w:pPr>
      <w:r>
        <w:rPr>
          <w:rFonts w:hint="eastAsia" w:ascii="宋体" w:hAnsi="宋体" w:cs="宋体"/>
          <w:sz w:val="32"/>
        </w:rPr>
        <w:t>（附：投标书参考格式）</w:t>
      </w:r>
    </w:p>
    <w:p>
      <w:pPr>
        <w:jc w:val="center"/>
        <w:rPr>
          <w:rFonts w:ascii="宋体" w:cs="宋体"/>
          <w:sz w:val="44"/>
        </w:rPr>
      </w:pPr>
    </w:p>
    <w:p>
      <w:pPr>
        <w:jc w:val="center"/>
        <w:rPr>
          <w:rFonts w:ascii="宋体" w:cs="宋体"/>
          <w:sz w:val="44"/>
        </w:rPr>
      </w:pPr>
    </w:p>
    <w:p>
      <w:pPr>
        <w:spacing w:before="312" w:beforeLines="100" w:after="156" w:afterLines="50"/>
        <w:jc w:val="center"/>
        <w:textAlignment w:val="baseline"/>
        <w:rPr>
          <w:rFonts w:ascii="宋体" w:cs="宋体"/>
          <w:sz w:val="52"/>
          <w:u w:val="double"/>
        </w:rPr>
      </w:pPr>
      <w:r>
        <w:rPr>
          <w:rFonts w:hint="eastAsia" w:ascii="宋体" w:hAnsi="宋体" w:cs="宋体"/>
          <w:spacing w:val="40"/>
          <w:sz w:val="52"/>
          <w:u w:val="double"/>
        </w:rPr>
        <w:t>库车市政府集中采购</w:t>
      </w:r>
    </w:p>
    <w:p>
      <w:pPr>
        <w:jc w:val="center"/>
      </w:pPr>
      <w:r>
        <w:rPr>
          <w:rFonts w:hint="eastAsia" w:ascii="宋体" w:hAnsi="宋体" w:cs="宋体"/>
          <w:w w:val="110"/>
          <w:sz w:val="96"/>
        </w:rPr>
        <w:t>投</w:t>
      </w:r>
      <w:r>
        <w:rPr>
          <w:rFonts w:ascii="宋体" w:hAnsi="宋体" w:cs="宋体"/>
          <w:w w:val="110"/>
          <w:sz w:val="96"/>
        </w:rPr>
        <w:t xml:space="preserve"> </w:t>
      </w:r>
      <w:r>
        <w:rPr>
          <w:rFonts w:hint="eastAsia" w:ascii="宋体" w:hAnsi="宋体" w:cs="宋体"/>
          <w:w w:val="110"/>
          <w:sz w:val="96"/>
        </w:rPr>
        <w:t>标</w:t>
      </w:r>
      <w:r>
        <w:rPr>
          <w:rFonts w:ascii="宋体" w:hAnsi="宋体" w:cs="宋体"/>
          <w:w w:val="110"/>
          <w:sz w:val="96"/>
        </w:rPr>
        <w:t xml:space="preserve"> </w:t>
      </w:r>
      <w:r>
        <w:rPr>
          <w:rFonts w:hint="eastAsia" w:ascii="宋体" w:hAnsi="宋体" w:cs="宋体"/>
          <w:w w:val="110"/>
          <w:sz w:val="96"/>
        </w:rPr>
        <w:t>文</w:t>
      </w:r>
      <w:r>
        <w:rPr>
          <w:rFonts w:ascii="宋体" w:hAnsi="宋体" w:cs="宋体"/>
          <w:w w:val="110"/>
          <w:sz w:val="96"/>
        </w:rPr>
        <w:t xml:space="preserve"> </w:t>
      </w:r>
      <w:r>
        <w:rPr>
          <w:rFonts w:hint="eastAsia" w:ascii="宋体" w:hAnsi="宋体" w:cs="宋体"/>
          <w:w w:val="110"/>
          <w:sz w:val="96"/>
        </w:rPr>
        <w:t>件</w:t>
      </w:r>
    </w:p>
    <w:p>
      <w:pPr>
        <w:pStyle w:val="22"/>
        <w:ind w:firstLine="210"/>
      </w:pPr>
    </w:p>
    <w:p>
      <w:pPr>
        <w:pStyle w:val="11"/>
        <w:ind w:firstLine="880" w:firstLineChars="200"/>
        <w:jc w:val="left"/>
        <w:rPr>
          <w:rFonts w:ascii="宋体" w:hAnsi="宋体" w:cs="宋体"/>
          <w:sz w:val="44"/>
        </w:rPr>
      </w:pPr>
    </w:p>
    <w:p>
      <w:pPr>
        <w:pStyle w:val="11"/>
        <w:jc w:val="center"/>
        <w:rPr>
          <w:rFonts w:ascii="宋体" w:hAnsi="宋体" w:cs="宋体"/>
          <w:sz w:val="44"/>
        </w:rPr>
      </w:pPr>
      <w:r>
        <w:rPr>
          <w:rFonts w:hint="eastAsia" w:ascii="宋体" w:hAnsi="宋体" w:cs="宋体"/>
          <w:sz w:val="44"/>
        </w:rPr>
        <w:t xml:space="preserve">    项目名称：KC-ZFCG-2023-G010</w:t>
      </w:r>
    </w:p>
    <w:p>
      <w:pPr>
        <w:pStyle w:val="11"/>
        <w:ind w:left="2042" w:leftChars="836" w:hanging="286" w:hangingChars="65"/>
        <w:jc w:val="left"/>
        <w:rPr>
          <w:rFonts w:ascii="宋体" w:hAnsi="宋体" w:cs="宋体"/>
          <w:kern w:val="4"/>
          <w:sz w:val="44"/>
        </w:rPr>
      </w:pPr>
      <w:r>
        <w:rPr>
          <w:rFonts w:hint="eastAsia" w:ascii="宋体" w:hAnsi="宋体" w:cs="宋体"/>
          <w:kern w:val="4"/>
          <w:sz w:val="44"/>
        </w:rPr>
        <w:t>项目名称：库车市平安城市八期建设项目一标段施工</w:t>
      </w:r>
    </w:p>
    <w:p>
      <w:pPr>
        <w:pStyle w:val="21"/>
        <w:widowControl w:val="0"/>
        <w:spacing w:beforeAutospacing="0" w:afterAutospacing="0"/>
        <w:rPr>
          <w:rFonts w:hAnsi="宋体" w:cs="宋体"/>
          <w:sz w:val="44"/>
        </w:rPr>
      </w:pPr>
    </w:p>
    <w:p>
      <w:pPr>
        <w:rPr>
          <w:rFonts w:ascii="宋体" w:cs="宋体"/>
          <w:b/>
          <w:sz w:val="44"/>
        </w:rPr>
      </w:pPr>
    </w:p>
    <w:p>
      <w:pPr>
        <w:spacing w:before="156" w:beforeLines="50" w:after="156" w:afterLines="50"/>
        <w:jc w:val="center"/>
        <w:textAlignment w:val="baseline"/>
        <w:rPr>
          <w:rFonts w:ascii="宋体" w:cs="宋体"/>
          <w:sz w:val="44"/>
        </w:rPr>
      </w:pPr>
      <w:r>
        <w:rPr>
          <w:rFonts w:hint="eastAsia" w:ascii="宋体" w:hAnsi="宋体" w:cs="宋体"/>
          <w:sz w:val="44"/>
        </w:rPr>
        <w:t>投标单位：××××××</w:t>
      </w:r>
    </w:p>
    <w:p>
      <w:pPr>
        <w:spacing w:before="156" w:beforeLines="50" w:after="156" w:afterLines="50"/>
        <w:jc w:val="center"/>
        <w:textAlignment w:val="baseline"/>
        <w:rPr>
          <w:rFonts w:ascii="宋体" w:hAnsi="宋体" w:cs="宋体"/>
          <w:sz w:val="44"/>
        </w:rPr>
      </w:pPr>
      <w:r>
        <w:rPr>
          <w:rFonts w:hint="eastAsia" w:ascii="宋体" w:hAnsi="宋体" w:cs="宋体"/>
          <w:sz w:val="44"/>
        </w:rPr>
        <w:t>法定代表人（负责人）</w:t>
      </w:r>
      <w:r>
        <w:rPr>
          <w:rFonts w:ascii="宋体" w:hAnsi="宋体" w:cs="宋体"/>
          <w:sz w:val="44"/>
        </w:rPr>
        <w:t>:</w:t>
      </w:r>
      <w:r>
        <w:rPr>
          <w:rFonts w:hint="eastAsia" w:ascii="宋体" w:hAnsi="宋体" w:cs="宋体"/>
          <w:sz w:val="44"/>
        </w:rPr>
        <w:t>××××××</w:t>
      </w:r>
    </w:p>
    <w:p>
      <w:pPr>
        <w:pStyle w:val="22"/>
        <w:ind w:firstLine="210"/>
      </w:pPr>
    </w:p>
    <w:p>
      <w:pPr>
        <w:pStyle w:val="11"/>
        <w:spacing w:before="156" w:beforeLines="50" w:after="156" w:afterLines="50" w:line="400" w:lineRule="exact"/>
        <w:jc w:val="center"/>
        <w:textAlignment w:val="baseline"/>
        <w:rPr>
          <w:rFonts w:ascii="宋体" w:cs="宋体"/>
          <w:sz w:val="44"/>
        </w:rPr>
        <w:sectPr>
          <w:footerReference r:id="rId3" w:type="default"/>
          <w:footerReference r:id="rId4" w:type="even"/>
          <w:pgSz w:w="11906" w:h="16838"/>
          <w:pgMar w:top="1428" w:right="1456" w:bottom="1439" w:left="1456" w:header="851" w:footer="794"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宋体" w:hAnsi="宋体" w:cs="宋体"/>
          <w:sz w:val="44"/>
        </w:rPr>
        <w:t>二○二三年×月××日</w:t>
      </w:r>
    </w:p>
    <w:p>
      <w:pPr>
        <w:pStyle w:val="11"/>
        <w:rPr>
          <w:rFonts w:ascii="仿宋_GB2312" w:hAnsi="仿宋_GB2312" w:eastAsia="仿宋_GB2312" w:cs="仿宋_GB2312"/>
          <w:sz w:val="30"/>
        </w:rPr>
      </w:pPr>
      <w:r>
        <w:rPr>
          <w:rFonts w:hint="eastAsia" w:ascii="仿宋_GB2312" w:hAnsi="仿宋_GB2312" w:eastAsia="仿宋_GB2312" w:cs="仿宋_GB2312"/>
          <w:sz w:val="30"/>
        </w:rPr>
        <w:t>附件一</w:t>
      </w: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投 标 函 格 式</w:t>
      </w:r>
    </w:p>
    <w:p>
      <w:pP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致：库车市政务服务和公共资源交易中心</w:t>
      </w:r>
    </w:p>
    <w:p>
      <w:pPr>
        <w:pStyle w:val="11"/>
        <w:ind w:left="439" w:leftChars="209" w:firstLine="658" w:firstLineChars="235"/>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根据贵方</w:t>
      </w:r>
      <w:r>
        <w:rPr>
          <w:rFonts w:hint="eastAsia" w:ascii="仿宋_GB2312" w:hAnsi="仿宋_GB2312" w:eastAsia="仿宋_GB2312" w:cs="仿宋_GB2312"/>
          <w:spacing w:val="-20"/>
          <w:sz w:val="28"/>
          <w:szCs w:val="28"/>
        </w:rPr>
        <w:t>就库车市平安城市八期建设项目一标段施工，</w:t>
      </w:r>
      <w:r>
        <w:rPr>
          <w:rFonts w:hint="eastAsia" w:ascii="仿宋_GB2312" w:hAnsi="仿宋_GB2312" w:eastAsia="仿宋_GB2312" w:cs="仿宋_GB2312"/>
          <w:sz w:val="28"/>
          <w:szCs w:val="28"/>
        </w:rPr>
        <w:t>标书编号</w:t>
      </w:r>
      <w:r>
        <w:rPr>
          <w:rFonts w:hint="eastAsia" w:ascii="仿宋_GB2312" w:hAnsi="仿宋_GB2312" w:eastAsia="仿宋_GB2312" w:cs="仿宋_GB2312"/>
          <w:kern w:val="0"/>
          <w:sz w:val="28"/>
          <w:szCs w:val="28"/>
        </w:rPr>
        <w:t>KC-ZFCG-2023-G010</w:t>
      </w:r>
      <w:r>
        <w:rPr>
          <w:rFonts w:hint="eastAsia" w:ascii="仿宋_GB2312" w:hAnsi="仿宋_GB2312" w:eastAsia="仿宋_GB2312" w:cs="仿宋_GB2312"/>
          <w:spacing w:val="-20"/>
          <w:sz w:val="28"/>
          <w:szCs w:val="28"/>
        </w:rPr>
        <w:t>号招标文件，正式授权下述签字人</w:t>
      </w:r>
      <w:r>
        <w:rPr>
          <w:rFonts w:hint="eastAsia" w:ascii="仿宋_GB2312" w:hAnsi="仿宋_GB2312" w:eastAsia="仿宋_GB2312" w:cs="仿宋_GB2312"/>
          <w:spacing w:val="-20"/>
          <w:sz w:val="28"/>
          <w:szCs w:val="28"/>
          <w:u w:val="single"/>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pacing w:val="-20"/>
          <w:sz w:val="28"/>
          <w:szCs w:val="28"/>
          <w:u w:val="single"/>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pacing w:val="-20"/>
          <w:sz w:val="28"/>
          <w:szCs w:val="28"/>
        </w:rPr>
        <w:t>(姓名和职务)代表投标人</w:t>
      </w:r>
      <w:r>
        <w:rPr>
          <w:rFonts w:hint="eastAsia" w:ascii="仿宋_GB2312" w:hAnsi="仿宋_GB2312" w:eastAsia="仿宋_GB2312" w:cs="仿宋_GB2312"/>
          <w:sz w:val="28"/>
          <w:szCs w:val="28"/>
        </w:rPr>
        <w:t>(投标单位的名称)，提交下述文件。（除2、5）</w:t>
      </w:r>
    </w:p>
    <w:p>
      <w:pPr>
        <w:numPr>
          <w:ilvl w:val="0"/>
          <w:numId w:val="4"/>
        </w:num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投标报价表;</w:t>
      </w:r>
    </w:p>
    <w:p>
      <w:pPr>
        <w:numPr>
          <w:ilvl w:val="0"/>
          <w:numId w:val="4"/>
        </w:num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开标一览表（一份）</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3、售后服务承诺书及计划;</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4、经营业绩一览表;</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5、投标保证金;（一份）</w:t>
      </w:r>
    </w:p>
    <w:p>
      <w:pPr>
        <w:ind w:firstLine="537" w:firstLineChars="192"/>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据此函，签字人兹宣布同意如下:</w:t>
      </w:r>
    </w:p>
    <w:p>
      <w:pPr>
        <w:ind w:left="134" w:leftChars="64" w:firstLine="280" w:firstLineChars="100"/>
        <w:jc w:val="left"/>
        <w:textAlignment w:val="baseline"/>
        <w:rPr>
          <w:rFonts w:ascii="仿宋_GB2312" w:hAnsi="仿宋_GB2312" w:eastAsia="仿宋_GB2312" w:cs="仿宋_GB2312"/>
          <w:b/>
          <w:sz w:val="28"/>
          <w:szCs w:val="28"/>
          <w:u w:val="single"/>
        </w:rPr>
      </w:pPr>
      <w:r>
        <w:rPr>
          <w:rFonts w:hint="eastAsia" w:ascii="仿宋_GB2312" w:hAnsi="仿宋_GB2312" w:eastAsia="仿宋_GB2312" w:cs="仿宋_GB2312"/>
          <w:sz w:val="28"/>
          <w:szCs w:val="28"/>
        </w:rPr>
        <w:t>（1）按招标文件规定提供交付货物的投标总价为</w:t>
      </w:r>
      <w:r>
        <w:rPr>
          <w:rFonts w:hint="eastAsia" w:ascii="仿宋_GB2312" w:hAnsi="仿宋_GB2312" w:eastAsia="仿宋_GB2312" w:cs="仿宋_GB2312"/>
          <w:b/>
          <w:sz w:val="28"/>
          <w:szCs w:val="28"/>
        </w:rPr>
        <w:t>人民币(大写)</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元。</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（2）我们完全理解贵方不一定要接受最低报价的投标或收到的任何投标。</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（3）我们已详细审核全部招标文件及其有效补充文件，我们同意从规定的开标日期起遵循本投标书，并在规定的投标有效期满之前均具有约束力。</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（4）同意贵方没收投标保证金的有关条款。</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（5）同意向贵方提供贵方可能要求的与投标有关的任何证据或资料。</w:t>
      </w:r>
    </w:p>
    <w:p>
      <w:pPr>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（6）一旦我方中标，我方将根据招标文件的规定，严格履行合同的责任和义务，并保证按合同约定的产品配置标准、供货时间、交货地点及时交货，并完成交付买方验收、使用。</w:t>
      </w:r>
    </w:p>
    <w:p>
      <w:pPr>
        <w:ind w:left="6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（7）与本次投标有关的正式通讯地址为：</w:t>
      </w:r>
    </w:p>
    <w:p>
      <w:pPr>
        <w:ind w:left="600"/>
        <w:textAlignment w:val="baseline"/>
        <w:rPr>
          <w:rFonts w:ascii="仿宋_GB2312" w:hAnsi="仿宋_GB2312" w:eastAsia="仿宋_GB2312" w:cs="仿宋_GB2312"/>
          <w:sz w:val="28"/>
          <w:szCs w:val="28"/>
        </w:rPr>
      </w:pPr>
    </w:p>
    <w:p>
      <w:pPr>
        <w:ind w:firstLine="635" w:firstLineChars="227"/>
        <w:jc w:val="left"/>
        <w:textAlignment w:val="baseline"/>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p>
    <w:p>
      <w:pPr>
        <w:ind w:firstLine="635" w:firstLineChars="227"/>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（手机）</w:t>
      </w:r>
    </w:p>
    <w:p>
      <w:pPr>
        <w:ind w:firstLine="635" w:firstLineChars="227"/>
        <w:jc w:val="left"/>
        <w:textAlignment w:val="baseline"/>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投标单位代表姓名（签字）</w:t>
      </w:r>
      <w:r>
        <w:rPr>
          <w:rFonts w:hint="eastAsia" w:ascii="仿宋_GB2312" w:hAnsi="仿宋_GB2312" w:eastAsia="仿宋_GB2312" w:cs="仿宋_GB2312"/>
          <w:sz w:val="28"/>
          <w:szCs w:val="28"/>
          <w:u w:val="single"/>
        </w:rPr>
        <w:t xml:space="preserve">                   </w:t>
      </w:r>
    </w:p>
    <w:p>
      <w:pPr>
        <w:ind w:firstLine="635" w:firstLineChars="227"/>
        <w:jc w:val="left"/>
        <w:textAlignment w:val="baseline"/>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投标单位名称</w:t>
      </w:r>
      <w:r>
        <w:rPr>
          <w:rFonts w:hint="eastAsia" w:ascii="仿宋_GB2312" w:hAnsi="仿宋_GB2312" w:eastAsia="仿宋_GB2312" w:cs="仿宋_GB2312"/>
          <w:sz w:val="28"/>
          <w:szCs w:val="28"/>
          <w:u w:val="single"/>
        </w:rPr>
        <w:t xml:space="preserve">                               </w:t>
      </w:r>
    </w:p>
    <w:p>
      <w:pPr>
        <w:ind w:firstLine="635" w:firstLineChars="227"/>
        <w:jc w:val="left"/>
        <w:textAlignment w:val="baseline"/>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公  章：</w:t>
      </w:r>
      <w:r>
        <w:rPr>
          <w:rFonts w:hint="eastAsia" w:ascii="仿宋_GB2312" w:hAnsi="仿宋_GB2312" w:eastAsia="仿宋_GB2312" w:cs="仿宋_GB2312"/>
          <w:sz w:val="28"/>
          <w:szCs w:val="28"/>
          <w:u w:val="single"/>
        </w:rPr>
        <w:t xml:space="preserve">                          </w:t>
      </w:r>
    </w:p>
    <w:p>
      <w:pPr>
        <w:ind w:firstLine="635" w:firstLineChars="227"/>
        <w:jc w:val="left"/>
        <w:textAlignment w:val="baseline"/>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日 期： </w:t>
      </w:r>
      <w:r>
        <w:rPr>
          <w:rFonts w:hint="eastAsia" w:ascii="仿宋_GB2312" w:hAnsi="仿宋_GB2312" w:eastAsia="仿宋_GB2312" w:cs="仿宋_GB2312"/>
          <w:sz w:val="28"/>
          <w:szCs w:val="28"/>
          <w:u w:val="single"/>
        </w:rPr>
        <w:t xml:space="preserve">               </w:t>
      </w:r>
    </w:p>
    <w:p>
      <w:pPr>
        <w:jc w:val="center"/>
        <w:textAlignment w:val="baseline"/>
        <w:rPr>
          <w:rFonts w:ascii="仿宋_GB2312" w:hAnsi="仿宋_GB2312" w:eastAsia="仿宋_GB2312" w:cs="仿宋_GB2312"/>
          <w:b/>
          <w:sz w:val="28"/>
          <w:szCs w:val="28"/>
        </w:rPr>
      </w:pPr>
    </w:p>
    <w:p>
      <w:pPr>
        <w:jc w:val="center"/>
        <w:textAlignment w:val="baseline"/>
        <w:rPr>
          <w:rFonts w:ascii="仿宋_GB2312" w:hAnsi="仿宋_GB2312" w:eastAsia="仿宋_GB2312" w:cs="仿宋_GB2312"/>
          <w:b/>
          <w:sz w:val="28"/>
          <w:szCs w:val="28"/>
        </w:rPr>
      </w:pPr>
    </w:p>
    <w:p>
      <w:pPr>
        <w:jc w:val="center"/>
        <w:textAlignment w:val="baseline"/>
        <w:rPr>
          <w:rFonts w:ascii="仿宋_GB2312" w:hAnsi="仿宋_GB2312" w:eastAsia="仿宋_GB2312" w:cs="仿宋_GB2312"/>
          <w:b/>
          <w:sz w:val="28"/>
          <w:szCs w:val="28"/>
        </w:rPr>
      </w:pPr>
    </w:p>
    <w:p>
      <w:pPr>
        <w:jc w:val="center"/>
        <w:textAlignment w:val="baseline"/>
        <w:rPr>
          <w:rFonts w:ascii="仿宋_GB2312" w:hAnsi="仿宋_GB2312" w:eastAsia="仿宋_GB2312" w:cs="仿宋_GB2312"/>
          <w:b/>
          <w:sz w:val="28"/>
          <w:szCs w:val="28"/>
        </w:rPr>
      </w:pPr>
    </w:p>
    <w:p>
      <w:pPr>
        <w:jc w:val="center"/>
        <w:textAlignment w:val="baseline"/>
        <w:rPr>
          <w:rFonts w:ascii="仿宋_GB2312" w:hAnsi="仿宋_GB2312" w:eastAsia="仿宋_GB2312" w:cs="仿宋_GB2312"/>
          <w:b/>
          <w:sz w:val="28"/>
          <w:szCs w:val="28"/>
        </w:rPr>
      </w:pPr>
    </w:p>
    <w:p>
      <w:pPr>
        <w:jc w:val="center"/>
        <w:textAlignment w:val="baseline"/>
        <w:rPr>
          <w:rFonts w:ascii="仿宋_GB2312" w:hAnsi="仿宋_GB2312" w:eastAsia="仿宋_GB2312" w:cs="仿宋_GB2312"/>
          <w:b/>
          <w:sz w:val="40"/>
        </w:rPr>
      </w:pPr>
    </w:p>
    <w:p>
      <w:pPr>
        <w:jc w:val="center"/>
        <w:textAlignment w:val="baseline"/>
        <w:rPr>
          <w:rFonts w:ascii="仿宋_GB2312" w:hAnsi="仿宋_GB2312" w:eastAsia="仿宋_GB2312" w:cs="仿宋_GB2312"/>
          <w:b/>
          <w:sz w:val="40"/>
        </w:rPr>
      </w:pPr>
    </w:p>
    <w:p>
      <w:pPr>
        <w:jc w:val="center"/>
        <w:textAlignment w:val="baseline"/>
        <w:rPr>
          <w:rFonts w:ascii="仿宋_GB2312" w:hAnsi="仿宋_GB2312" w:eastAsia="仿宋_GB2312" w:cs="仿宋_GB2312"/>
          <w:b/>
          <w:sz w:val="40"/>
        </w:rPr>
      </w:pPr>
    </w:p>
    <w:p>
      <w:pPr>
        <w:snapToGrid w:val="0"/>
        <w:spacing w:line="600" w:lineRule="exact"/>
        <w:rPr>
          <w:rFonts w:ascii="仿宋_GB2312" w:hAnsi="仿宋_GB2312" w:eastAsia="仿宋_GB2312" w:cs="仿宋_GB2312"/>
          <w:b/>
          <w:bCs/>
          <w:spacing w:val="20"/>
          <w:kern w:val="0"/>
          <w:sz w:val="28"/>
          <w:szCs w:val="28"/>
        </w:rPr>
      </w:pPr>
    </w:p>
    <w:p>
      <w:pPr>
        <w:pStyle w:val="23"/>
        <w:ind w:firstLine="642"/>
        <w:rPr>
          <w:rFonts w:ascii="仿宋_GB2312" w:hAnsi="仿宋_GB2312" w:eastAsia="仿宋_GB2312" w:cs="仿宋_GB2312"/>
          <w:b/>
          <w:bCs/>
          <w:spacing w:val="20"/>
          <w:kern w:val="0"/>
          <w:sz w:val="28"/>
          <w:szCs w:val="28"/>
        </w:rPr>
      </w:pPr>
    </w:p>
    <w:p>
      <w:pPr>
        <w:pStyle w:val="23"/>
        <w:ind w:firstLine="642"/>
        <w:rPr>
          <w:rFonts w:ascii="仿宋_GB2312" w:hAnsi="仿宋_GB2312" w:eastAsia="仿宋_GB2312" w:cs="仿宋_GB2312"/>
          <w:b/>
          <w:bCs/>
          <w:spacing w:val="20"/>
          <w:kern w:val="0"/>
          <w:sz w:val="28"/>
          <w:szCs w:val="28"/>
        </w:rPr>
      </w:pPr>
    </w:p>
    <w:p>
      <w:pPr>
        <w:snapToGrid w:val="0"/>
        <w:spacing w:line="600" w:lineRule="exact"/>
        <w:rPr>
          <w:rFonts w:ascii="仿宋_GB2312" w:hAnsi="仿宋_GB2312" w:eastAsia="仿宋_GB2312" w:cs="仿宋_GB2312"/>
          <w:b/>
          <w:bCs/>
          <w:spacing w:val="20"/>
          <w:kern w:val="0"/>
          <w:sz w:val="28"/>
          <w:szCs w:val="28"/>
        </w:rPr>
      </w:pPr>
      <w:r>
        <w:rPr>
          <w:rFonts w:hint="eastAsia" w:ascii="仿宋_GB2312" w:hAnsi="仿宋_GB2312" w:eastAsia="仿宋_GB2312" w:cs="仿宋_GB2312"/>
          <w:b/>
          <w:bCs/>
          <w:spacing w:val="20"/>
          <w:kern w:val="0"/>
          <w:sz w:val="28"/>
          <w:szCs w:val="28"/>
        </w:rPr>
        <w:t>附件二</w:t>
      </w: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委托授权书</w:t>
      </w:r>
    </w:p>
    <w:p>
      <w:pPr>
        <w:snapToGrid w:val="0"/>
        <w:spacing w:line="600" w:lineRule="exact"/>
        <w:ind w:firstLine="645"/>
        <w:jc w:val="left"/>
        <w:rPr>
          <w:rFonts w:ascii="仿宋_GB2312" w:hAnsi="仿宋_GB2312" w:eastAsia="仿宋_GB2312" w:cs="仿宋_GB2312"/>
          <w:kern w:val="0"/>
          <w:sz w:val="28"/>
          <w:szCs w:val="28"/>
        </w:rPr>
      </w:pPr>
      <w:r>
        <w:rPr>
          <w:rFonts w:hint="eastAsia" w:ascii="仿宋_GB2312" w:hAnsi="仿宋_GB2312" w:eastAsia="仿宋_GB2312" w:cs="仿宋_GB2312"/>
          <w:spacing w:val="20"/>
          <w:kern w:val="0"/>
          <w:sz w:val="28"/>
          <w:szCs w:val="28"/>
        </w:rPr>
        <w:t>本授权书声明：</w:t>
      </w:r>
      <w:r>
        <w:rPr>
          <w:rFonts w:hint="eastAsia" w:ascii="仿宋_GB2312" w:hAnsi="仿宋_GB2312" w:eastAsia="仿宋_GB2312" w:cs="仿宋_GB2312"/>
          <w:spacing w:val="20"/>
          <w:kern w:val="0"/>
          <w:sz w:val="28"/>
          <w:szCs w:val="28"/>
          <w:u w:val="single"/>
        </w:rPr>
        <w:t xml:space="preserve">       </w:t>
      </w:r>
      <w:r>
        <w:rPr>
          <w:rFonts w:hint="eastAsia" w:ascii="仿宋_GB2312" w:hAnsi="仿宋_GB2312" w:eastAsia="仿宋_GB2312" w:cs="仿宋_GB2312"/>
          <w:spacing w:val="20"/>
          <w:kern w:val="0"/>
          <w:sz w:val="28"/>
          <w:szCs w:val="28"/>
        </w:rPr>
        <w:t>（谈判人名称）的</w:t>
      </w:r>
      <w:r>
        <w:rPr>
          <w:rFonts w:hint="eastAsia" w:ascii="仿宋_GB2312" w:hAnsi="仿宋_GB2312" w:eastAsia="仿宋_GB2312" w:cs="仿宋_GB2312"/>
          <w:spacing w:val="20"/>
          <w:kern w:val="0"/>
          <w:sz w:val="28"/>
          <w:szCs w:val="28"/>
          <w:u w:val="single"/>
        </w:rPr>
        <w:t xml:space="preserve">       </w:t>
      </w:r>
      <w:r>
        <w:rPr>
          <w:rFonts w:hint="eastAsia" w:ascii="仿宋_GB2312" w:hAnsi="仿宋_GB2312" w:eastAsia="仿宋_GB2312" w:cs="仿宋_GB2312"/>
          <w:spacing w:val="20"/>
          <w:kern w:val="0"/>
          <w:sz w:val="28"/>
          <w:szCs w:val="28"/>
        </w:rPr>
        <w:t>（法人（负责人）代表姓名、职务）授权</w:t>
      </w:r>
      <w:r>
        <w:rPr>
          <w:rFonts w:hint="eastAsia" w:ascii="仿宋_GB2312" w:hAnsi="仿宋_GB2312" w:eastAsia="仿宋_GB2312" w:cs="仿宋_GB2312"/>
          <w:spacing w:val="20"/>
          <w:kern w:val="0"/>
          <w:sz w:val="28"/>
          <w:szCs w:val="28"/>
          <w:u w:val="single"/>
        </w:rPr>
        <w:t xml:space="preserve">      </w:t>
      </w:r>
      <w:r>
        <w:rPr>
          <w:rFonts w:hint="eastAsia" w:ascii="仿宋_GB2312" w:hAnsi="仿宋_GB2312" w:eastAsia="仿宋_GB2312" w:cs="仿宋_GB2312"/>
          <w:spacing w:val="20"/>
          <w:kern w:val="0"/>
          <w:sz w:val="28"/>
          <w:szCs w:val="28"/>
        </w:rPr>
        <w:t>（被授权人的姓名、职务）为我方就“</w:t>
      </w:r>
      <w:r>
        <w:rPr>
          <w:rFonts w:hint="eastAsia" w:ascii="仿宋_GB2312" w:hAnsi="仿宋_GB2312" w:eastAsia="仿宋_GB2312" w:cs="仿宋_GB2312"/>
          <w:spacing w:val="20"/>
          <w:kern w:val="0"/>
          <w:sz w:val="28"/>
          <w:szCs w:val="28"/>
          <w:u w:val="single"/>
        </w:rPr>
        <w:t xml:space="preserve">        </w:t>
      </w:r>
      <w:r>
        <w:rPr>
          <w:rFonts w:hint="eastAsia" w:ascii="仿宋_GB2312" w:hAnsi="仿宋_GB2312" w:eastAsia="仿宋_GB2312" w:cs="仿宋_GB2312"/>
          <w:spacing w:val="20"/>
          <w:kern w:val="0"/>
          <w:sz w:val="28"/>
          <w:szCs w:val="28"/>
        </w:rPr>
        <w:t>”项目谈判活动的合法代理人，以我方名义全权处理与该项目谈判、签订合同以及合同执行有关的一切事务。</w:t>
      </w:r>
    </w:p>
    <w:p>
      <w:pPr>
        <w:snapToGrid w:val="0"/>
        <w:spacing w:line="600" w:lineRule="exact"/>
        <w:ind w:firstLine="645"/>
        <w:jc w:val="left"/>
        <w:rPr>
          <w:rFonts w:ascii="仿宋_GB2312" w:hAnsi="仿宋_GB2312" w:eastAsia="仿宋_GB2312" w:cs="仿宋_GB2312"/>
          <w:kern w:val="0"/>
          <w:sz w:val="28"/>
          <w:szCs w:val="28"/>
        </w:rPr>
      </w:pPr>
      <w:r>
        <w:rPr>
          <w:rFonts w:hint="eastAsia" w:ascii="仿宋_GB2312" w:hAnsi="仿宋_GB2312" w:eastAsia="仿宋_GB2312" w:cs="仿宋_GB2312"/>
          <w:spacing w:val="20"/>
          <w:kern w:val="0"/>
          <w:sz w:val="28"/>
          <w:szCs w:val="28"/>
        </w:rPr>
        <w:t>特此声明。</w:t>
      </w:r>
    </w:p>
    <w:p>
      <w:pPr>
        <w:snapToGrid w:val="0"/>
        <w:spacing w:line="600" w:lineRule="exact"/>
        <w:ind w:firstLine="480"/>
        <w:jc w:val="left"/>
        <w:rPr>
          <w:rFonts w:ascii="仿宋_GB2312" w:hAnsi="仿宋_GB2312" w:eastAsia="仿宋_GB2312" w:cs="仿宋_GB2312"/>
          <w:kern w:val="0"/>
          <w:sz w:val="28"/>
          <w:szCs w:val="28"/>
        </w:rPr>
      </w:pPr>
      <w:r>
        <w:rPr>
          <w:rFonts w:hint="eastAsia" w:ascii="仿宋_GB2312" w:hAnsi="仿宋_GB2312" w:eastAsia="仿宋_GB2312" w:cs="仿宋_GB2312"/>
          <w:spacing w:val="20"/>
          <w:kern w:val="0"/>
          <w:sz w:val="28"/>
          <w:szCs w:val="28"/>
        </w:rPr>
        <w:t>法定代表人（负责人）签字盖章：</w:t>
      </w:r>
      <w:r>
        <w:rPr>
          <w:rFonts w:hint="eastAsia" w:ascii="仿宋_GB2312" w:hAnsi="仿宋_GB2312" w:eastAsia="仿宋_GB2312" w:cs="仿宋_GB2312"/>
          <w:spacing w:val="20"/>
          <w:kern w:val="0"/>
          <w:sz w:val="28"/>
          <w:szCs w:val="28"/>
          <w:u w:val="single"/>
        </w:rPr>
        <w:t xml:space="preserve"> </w:t>
      </w:r>
    </w:p>
    <w:p>
      <w:pPr>
        <w:snapToGrid w:val="0"/>
        <w:spacing w:line="600" w:lineRule="exact"/>
        <w:ind w:firstLine="480"/>
        <w:jc w:val="left"/>
        <w:rPr>
          <w:rFonts w:ascii="仿宋_GB2312" w:hAnsi="仿宋_GB2312" w:eastAsia="仿宋_GB2312" w:cs="仿宋_GB2312"/>
          <w:kern w:val="0"/>
          <w:sz w:val="28"/>
          <w:szCs w:val="28"/>
        </w:rPr>
      </w:pPr>
      <w:r>
        <w:rPr>
          <w:rFonts w:hint="eastAsia" w:ascii="仿宋_GB2312" w:hAnsi="仿宋_GB2312" w:eastAsia="仿宋_GB2312" w:cs="仿宋_GB2312"/>
          <w:spacing w:val="20"/>
          <w:kern w:val="0"/>
          <w:sz w:val="28"/>
          <w:szCs w:val="28"/>
        </w:rPr>
        <w:t>职 务：</w:t>
      </w:r>
      <w:r>
        <w:rPr>
          <w:rFonts w:hint="eastAsia" w:ascii="仿宋_GB2312" w:hAnsi="仿宋_GB2312" w:eastAsia="仿宋_GB2312" w:cs="仿宋_GB2312"/>
          <w:spacing w:val="20"/>
          <w:kern w:val="0"/>
          <w:sz w:val="28"/>
          <w:szCs w:val="28"/>
          <w:u w:val="single"/>
        </w:rPr>
        <w:t xml:space="preserve"> </w:t>
      </w:r>
    </w:p>
    <w:p>
      <w:pPr>
        <w:snapToGrid w:val="0"/>
        <w:spacing w:line="600" w:lineRule="exact"/>
        <w:ind w:firstLine="480"/>
        <w:jc w:val="left"/>
        <w:rPr>
          <w:rFonts w:ascii="仿宋_GB2312" w:hAnsi="仿宋_GB2312" w:eastAsia="仿宋_GB2312" w:cs="仿宋_GB2312"/>
          <w:kern w:val="0"/>
          <w:sz w:val="28"/>
          <w:szCs w:val="28"/>
        </w:rPr>
      </w:pPr>
      <w:r>
        <w:rPr>
          <w:rFonts w:hint="eastAsia" w:ascii="仿宋_GB2312" w:hAnsi="仿宋_GB2312" w:eastAsia="仿宋_GB2312" w:cs="仿宋_GB2312"/>
          <w:spacing w:val="20"/>
          <w:kern w:val="0"/>
          <w:sz w:val="28"/>
          <w:szCs w:val="28"/>
        </w:rPr>
        <w:t>单位名称：</w:t>
      </w:r>
      <w:r>
        <w:rPr>
          <w:rFonts w:hint="eastAsia" w:ascii="仿宋_GB2312" w:hAnsi="仿宋_GB2312" w:eastAsia="仿宋_GB2312" w:cs="仿宋_GB2312"/>
          <w:spacing w:val="20"/>
          <w:kern w:val="0"/>
          <w:sz w:val="28"/>
          <w:szCs w:val="28"/>
          <w:u w:val="single"/>
        </w:rPr>
        <w:t xml:space="preserve"> </w:t>
      </w:r>
    </w:p>
    <w:p>
      <w:pPr>
        <w:snapToGrid w:val="0"/>
        <w:spacing w:line="600" w:lineRule="exact"/>
        <w:ind w:firstLine="480"/>
        <w:jc w:val="left"/>
        <w:rPr>
          <w:rFonts w:ascii="仿宋_GB2312" w:hAnsi="仿宋_GB2312" w:eastAsia="仿宋_GB2312" w:cs="仿宋_GB2312"/>
          <w:kern w:val="0"/>
          <w:sz w:val="28"/>
          <w:szCs w:val="28"/>
        </w:rPr>
      </w:pPr>
      <w:r>
        <w:rPr>
          <w:rFonts w:hint="eastAsia" w:ascii="仿宋_GB2312" w:hAnsi="仿宋_GB2312" w:eastAsia="仿宋_GB2312" w:cs="仿宋_GB2312"/>
          <w:spacing w:val="20"/>
          <w:kern w:val="0"/>
          <w:sz w:val="28"/>
          <w:szCs w:val="28"/>
        </w:rPr>
        <w:t>代理人（被授权人）签字盖章：</w:t>
      </w:r>
      <w:r>
        <w:rPr>
          <w:rFonts w:hint="eastAsia" w:ascii="仿宋_GB2312" w:hAnsi="仿宋_GB2312" w:eastAsia="仿宋_GB2312" w:cs="仿宋_GB2312"/>
          <w:spacing w:val="20"/>
          <w:kern w:val="0"/>
          <w:sz w:val="28"/>
          <w:szCs w:val="28"/>
          <w:u w:val="single"/>
        </w:rPr>
        <w:t xml:space="preserve"> </w:t>
      </w:r>
    </w:p>
    <w:p>
      <w:pPr>
        <w:snapToGrid w:val="0"/>
        <w:spacing w:line="600" w:lineRule="exact"/>
        <w:ind w:firstLine="480"/>
        <w:jc w:val="left"/>
        <w:rPr>
          <w:rFonts w:ascii="仿宋_GB2312" w:hAnsi="仿宋_GB2312" w:eastAsia="仿宋_GB2312" w:cs="仿宋_GB2312"/>
          <w:kern w:val="0"/>
          <w:sz w:val="28"/>
          <w:szCs w:val="28"/>
        </w:rPr>
      </w:pPr>
      <w:r>
        <w:rPr>
          <w:rFonts w:hint="eastAsia" w:ascii="仿宋_GB2312" w:hAnsi="仿宋_GB2312" w:eastAsia="仿宋_GB2312" w:cs="仿宋_GB2312"/>
          <w:spacing w:val="20"/>
          <w:kern w:val="0"/>
          <w:sz w:val="28"/>
          <w:szCs w:val="28"/>
        </w:rPr>
        <w:t>职 务：</w:t>
      </w:r>
      <w:r>
        <w:rPr>
          <w:rFonts w:hint="eastAsia" w:ascii="仿宋_GB2312" w:hAnsi="仿宋_GB2312" w:eastAsia="仿宋_GB2312" w:cs="仿宋_GB2312"/>
          <w:spacing w:val="20"/>
          <w:kern w:val="0"/>
          <w:sz w:val="28"/>
          <w:szCs w:val="28"/>
          <w:u w:val="single"/>
        </w:rPr>
        <w:t xml:space="preserve"> </w:t>
      </w:r>
    </w:p>
    <w:p>
      <w:pPr>
        <w:snapToGrid w:val="0"/>
        <w:spacing w:line="600" w:lineRule="exact"/>
        <w:ind w:firstLine="480"/>
        <w:jc w:val="left"/>
        <w:rPr>
          <w:rFonts w:ascii="仿宋_GB2312" w:hAnsi="仿宋_GB2312" w:eastAsia="仿宋_GB2312" w:cs="仿宋_GB2312"/>
          <w:kern w:val="0"/>
          <w:sz w:val="28"/>
          <w:szCs w:val="28"/>
        </w:rPr>
      </w:pPr>
      <w:r>
        <w:rPr>
          <w:rFonts w:hint="eastAsia" w:ascii="仿宋_GB2312" w:hAnsi="仿宋_GB2312" w:eastAsia="仿宋_GB2312" w:cs="仿宋_GB2312"/>
          <w:spacing w:val="20"/>
          <w:kern w:val="0"/>
          <w:sz w:val="28"/>
          <w:szCs w:val="28"/>
        </w:rPr>
        <w:t>单位名称：</w:t>
      </w:r>
      <w:r>
        <w:rPr>
          <w:rFonts w:hint="eastAsia" w:ascii="仿宋_GB2312" w:hAnsi="仿宋_GB2312" w:eastAsia="仿宋_GB2312" w:cs="仿宋_GB2312"/>
          <w:spacing w:val="20"/>
          <w:kern w:val="0"/>
          <w:sz w:val="28"/>
          <w:szCs w:val="28"/>
          <w:u w:val="single"/>
        </w:rPr>
        <w:t xml:space="preserve"> </w:t>
      </w:r>
    </w:p>
    <w:p>
      <w:pPr>
        <w:snapToGrid w:val="0"/>
        <w:spacing w:line="600" w:lineRule="exact"/>
        <w:ind w:firstLine="1540"/>
        <w:jc w:val="left"/>
        <w:rPr>
          <w:rFonts w:ascii="仿宋_GB2312" w:hAnsi="仿宋_GB2312" w:eastAsia="仿宋_GB2312" w:cs="仿宋_GB2312"/>
          <w:kern w:val="0"/>
          <w:sz w:val="28"/>
          <w:szCs w:val="28"/>
        </w:rPr>
      </w:pPr>
      <w:r>
        <w:rPr>
          <w:rFonts w:hint="eastAsia" w:ascii="仿宋_GB2312" w:hAnsi="仿宋_GB2312" w:eastAsia="仿宋_GB2312" w:cs="仿宋_GB2312"/>
          <w:spacing w:val="20"/>
          <w:kern w:val="0"/>
          <w:sz w:val="28"/>
          <w:szCs w:val="28"/>
        </w:rPr>
        <w:t>报价供应商名称：</w:t>
      </w:r>
      <w:r>
        <w:rPr>
          <w:rFonts w:hint="eastAsia" w:ascii="仿宋_GB2312" w:hAnsi="仿宋_GB2312" w:eastAsia="仿宋_GB2312" w:cs="仿宋_GB2312"/>
          <w:spacing w:val="20"/>
          <w:kern w:val="0"/>
          <w:sz w:val="28"/>
          <w:szCs w:val="28"/>
          <w:u w:val="single"/>
        </w:rPr>
        <w:t xml:space="preserve"> （公章） </w:t>
      </w:r>
    </w:p>
    <w:p>
      <w:pPr>
        <w:snapToGrid w:val="0"/>
        <w:spacing w:line="600" w:lineRule="exact"/>
        <w:ind w:firstLine="480"/>
        <w:jc w:val="left"/>
        <w:rPr>
          <w:rFonts w:ascii="仿宋_GB2312" w:hAnsi="仿宋_GB2312" w:eastAsia="仿宋_GB2312" w:cs="仿宋_GB2312"/>
          <w:b/>
          <w:bCs/>
          <w:spacing w:val="20"/>
          <w:kern w:val="0"/>
          <w:sz w:val="28"/>
          <w:szCs w:val="28"/>
        </w:rPr>
      </w:pPr>
      <w:r>
        <w:rPr>
          <w:rFonts w:hint="eastAsia" w:ascii="仿宋_GB2312" w:hAnsi="仿宋_GB2312" w:eastAsia="仿宋_GB2312" w:cs="仿宋_GB2312"/>
          <w:spacing w:val="20"/>
          <w:kern w:val="0"/>
          <w:sz w:val="28"/>
          <w:szCs w:val="28"/>
        </w:rPr>
        <w:t>日 期：</w:t>
      </w:r>
      <w:r>
        <w:rPr>
          <w:rFonts w:hint="eastAsia" w:ascii="仿宋_GB2312" w:hAnsi="仿宋_GB2312" w:eastAsia="仿宋_GB2312" w:cs="仿宋_GB2312"/>
          <w:spacing w:val="20"/>
          <w:kern w:val="0"/>
          <w:sz w:val="28"/>
          <w:szCs w:val="28"/>
          <w:u w:val="single"/>
        </w:rPr>
        <w:t xml:space="preserve"> </w:t>
      </w:r>
    </w:p>
    <w:p>
      <w:pPr>
        <w:snapToGrid w:val="0"/>
        <w:spacing w:line="600" w:lineRule="exact"/>
        <w:ind w:firstLine="480"/>
        <w:jc w:val="center"/>
        <w:rPr>
          <w:rFonts w:ascii="仿宋_GB2312" w:hAnsi="仿宋_GB2312" w:eastAsia="仿宋_GB2312" w:cs="仿宋_GB2312"/>
          <w:b/>
          <w:bCs/>
          <w:spacing w:val="20"/>
          <w:kern w:val="0"/>
          <w:sz w:val="28"/>
          <w:szCs w:val="28"/>
        </w:rPr>
      </w:pPr>
    </w:p>
    <w:p>
      <w:pPr>
        <w:snapToGrid w:val="0"/>
        <w:spacing w:line="600" w:lineRule="exact"/>
        <w:ind w:firstLine="480"/>
        <w:jc w:val="center"/>
        <w:rPr>
          <w:rFonts w:ascii="仿宋_GB2312" w:hAnsi="仿宋_GB2312" w:eastAsia="仿宋_GB2312" w:cs="仿宋_GB2312"/>
          <w:b/>
          <w:bCs/>
          <w:spacing w:val="20"/>
          <w:kern w:val="0"/>
          <w:sz w:val="28"/>
          <w:szCs w:val="28"/>
        </w:rPr>
      </w:pPr>
    </w:p>
    <w:p>
      <w:pPr>
        <w:snapToGrid w:val="0"/>
        <w:spacing w:line="600" w:lineRule="exact"/>
        <w:ind w:firstLine="480"/>
        <w:jc w:val="center"/>
        <w:rPr>
          <w:rFonts w:ascii="仿宋_GB2312" w:hAnsi="仿宋_GB2312" w:eastAsia="仿宋_GB2312" w:cs="仿宋_GB2312"/>
          <w:b/>
          <w:bCs/>
          <w:spacing w:val="20"/>
          <w:kern w:val="0"/>
          <w:sz w:val="28"/>
          <w:szCs w:val="28"/>
        </w:rPr>
      </w:pPr>
    </w:p>
    <w:p>
      <w:pPr>
        <w:snapToGrid w:val="0"/>
        <w:spacing w:line="600" w:lineRule="exact"/>
        <w:ind w:firstLine="480"/>
        <w:jc w:val="center"/>
        <w:rPr>
          <w:rFonts w:ascii="仿宋_GB2312" w:hAnsi="仿宋_GB2312" w:eastAsia="仿宋_GB2312" w:cs="仿宋_GB2312"/>
          <w:b/>
          <w:bCs/>
          <w:spacing w:val="20"/>
          <w:kern w:val="0"/>
          <w:sz w:val="28"/>
          <w:szCs w:val="28"/>
        </w:rPr>
      </w:pPr>
    </w:p>
    <w:p>
      <w:pPr>
        <w:rPr>
          <w:rFonts w:ascii="仿宋_GB2312" w:hAnsi="仿宋_GB2312" w:eastAsia="仿宋_GB2312" w:cs="仿宋_GB2312"/>
          <w:b/>
          <w:bCs/>
          <w:spacing w:val="20"/>
          <w:kern w:val="0"/>
          <w:sz w:val="28"/>
          <w:szCs w:val="28"/>
        </w:rPr>
      </w:pPr>
      <w:r>
        <w:rPr>
          <w:rFonts w:ascii="仿宋_GB2312" w:hAnsi="仿宋_GB2312" w:eastAsia="仿宋_GB2312" w:cs="仿宋_GB2312"/>
          <w:b/>
          <w:bCs/>
          <w:spacing w:val="20"/>
          <w:kern w:val="0"/>
          <w:sz w:val="28"/>
          <w:szCs w:val="28"/>
        </w:rPr>
        <w:br w:type="page"/>
      </w:r>
    </w:p>
    <w:p>
      <w:pPr>
        <w:pStyle w:val="54"/>
        <w:widowControl w:val="0"/>
        <w:spacing w:after="156" w:afterLines="50" w:line="520" w:lineRule="exact"/>
        <w:rPr>
          <w:rFonts w:ascii="仿宋_GB2312" w:hAnsi="仿宋_GB2312" w:eastAsia="仿宋_GB2312" w:cs="仿宋_GB2312"/>
          <w:sz w:val="28"/>
        </w:rPr>
      </w:pPr>
      <w:r>
        <w:rPr>
          <w:rFonts w:hint="eastAsia" w:ascii="仿宋_GB2312" w:hAnsi="仿宋_GB2312" w:eastAsia="仿宋_GB2312" w:cs="仿宋_GB2312"/>
          <w:sz w:val="28"/>
        </w:rPr>
        <w:t>附件三</w:t>
      </w: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开   标   一   览   表</w:t>
      </w:r>
    </w:p>
    <w:p>
      <w:pPr>
        <w:spacing w:line="410" w:lineRule="atLeast"/>
        <w:rPr>
          <w:rFonts w:ascii="仿宋_GB2312" w:hAnsi="仿宋_GB2312" w:eastAsia="仿宋_GB2312" w:cs="仿宋_GB2312"/>
          <w:b/>
          <w:sz w:val="28"/>
          <w:szCs w:val="28"/>
        </w:rPr>
      </w:pPr>
      <w:r>
        <w:rPr>
          <w:rFonts w:hint="eastAsia" w:ascii="仿宋_GB2312" w:hAnsi="仿宋_GB2312" w:eastAsia="仿宋_GB2312" w:cs="仿宋_GB2312"/>
          <w:sz w:val="28"/>
        </w:rPr>
        <w:t>投标人名称：                                     单位：万元</w:t>
      </w:r>
    </w:p>
    <w:p>
      <w:pPr>
        <w:tabs>
          <w:tab w:val="left" w:pos="10815"/>
        </w:tabs>
        <w:rPr>
          <w:rFonts w:ascii="仿宋_GB2312" w:hAnsi="仿宋_GB2312" w:eastAsia="仿宋_GB2312" w:cs="仿宋_GB2312"/>
          <w:bCs/>
          <w:iCs/>
          <w:sz w:val="28"/>
        </w:rPr>
      </w:pPr>
      <w:r>
        <w:rPr>
          <w:rFonts w:hint="eastAsia" w:ascii="仿宋_GB2312" w:hAnsi="仿宋_GB2312" w:eastAsia="仿宋_GB2312" w:cs="仿宋_GB2312"/>
          <w:sz w:val="28"/>
        </w:rPr>
        <w:t>项目名称：</w:t>
      </w:r>
    </w:p>
    <w:p>
      <w:pPr>
        <w:tabs>
          <w:tab w:val="left" w:pos="10815"/>
        </w:tabs>
        <w:rPr>
          <w:rFonts w:ascii="仿宋_GB2312" w:hAnsi="仿宋_GB2312" w:eastAsia="仿宋_GB2312" w:cs="仿宋_GB2312"/>
          <w:sz w:val="28"/>
        </w:rPr>
      </w:pPr>
      <w:r>
        <w:rPr>
          <w:rFonts w:hint="eastAsia" w:ascii="仿宋_GB2312" w:hAnsi="仿宋_GB2312" w:eastAsia="仿宋_GB2312" w:cs="仿宋_GB2312"/>
          <w:sz w:val="28"/>
        </w:rPr>
        <w:t>招标编号：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290"/>
        <w:gridCol w:w="388"/>
        <w:gridCol w:w="2295"/>
        <w:gridCol w:w="1538"/>
        <w:gridCol w:w="168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59" w:hRule="atLeast"/>
          <w:jc w:val="center"/>
        </w:trPr>
        <w:tc>
          <w:tcPr>
            <w:tcW w:w="805" w:type="dxa"/>
            <w:vAlign w:val="center"/>
          </w:tcPr>
          <w:p>
            <w:pPr>
              <w:spacing w:line="400" w:lineRule="exact"/>
              <w:jc w:val="center"/>
              <w:rPr>
                <w:rFonts w:ascii="仿宋_GB2312" w:hAnsi="仿宋_GB2312" w:eastAsia="仿宋_GB2312" w:cs="仿宋_GB2312"/>
                <w:sz w:val="28"/>
              </w:rPr>
            </w:pPr>
            <w:r>
              <w:rPr>
                <w:rFonts w:hint="eastAsia" w:ascii="仿宋_GB2312" w:hAnsi="仿宋_GB2312" w:eastAsia="仿宋_GB2312" w:cs="仿宋_GB2312"/>
                <w:sz w:val="28"/>
              </w:rPr>
              <w:t>招标编号</w:t>
            </w:r>
          </w:p>
        </w:tc>
        <w:tc>
          <w:tcPr>
            <w:tcW w:w="1678" w:type="dxa"/>
            <w:gridSpan w:val="2"/>
            <w:vAlign w:val="center"/>
          </w:tcPr>
          <w:p>
            <w:pPr>
              <w:spacing w:line="400" w:lineRule="exact"/>
              <w:jc w:val="center"/>
              <w:rPr>
                <w:rFonts w:ascii="仿宋_GB2312" w:hAnsi="仿宋_GB2312" w:eastAsia="仿宋_GB2312" w:cs="仿宋_GB2312"/>
                <w:sz w:val="28"/>
              </w:rPr>
            </w:pPr>
            <w:r>
              <w:rPr>
                <w:rFonts w:hint="eastAsia" w:ascii="仿宋_GB2312" w:hAnsi="仿宋_GB2312" w:eastAsia="仿宋_GB2312" w:cs="仿宋_GB2312"/>
                <w:sz w:val="28"/>
              </w:rPr>
              <w:t>项目名称</w:t>
            </w:r>
          </w:p>
        </w:tc>
        <w:tc>
          <w:tcPr>
            <w:tcW w:w="2295" w:type="dxa"/>
            <w:vAlign w:val="center"/>
          </w:tcPr>
          <w:p>
            <w:pPr>
              <w:spacing w:line="400" w:lineRule="exact"/>
              <w:jc w:val="center"/>
              <w:rPr>
                <w:rFonts w:ascii="仿宋_GB2312" w:hAnsi="仿宋_GB2312" w:eastAsia="仿宋_GB2312" w:cs="仿宋_GB2312"/>
                <w:sz w:val="28"/>
              </w:rPr>
            </w:pPr>
            <w:r>
              <w:rPr>
                <w:rFonts w:hint="eastAsia" w:ascii="仿宋_GB2312" w:hAnsi="仿宋_GB2312" w:eastAsia="仿宋_GB2312" w:cs="仿宋_GB2312"/>
                <w:sz w:val="28"/>
              </w:rPr>
              <w:t>合计价</w:t>
            </w:r>
          </w:p>
        </w:tc>
        <w:tc>
          <w:tcPr>
            <w:tcW w:w="1538" w:type="dxa"/>
            <w:vAlign w:val="center"/>
          </w:tcPr>
          <w:p>
            <w:pPr>
              <w:spacing w:line="400" w:lineRule="exact"/>
              <w:jc w:val="center"/>
              <w:rPr>
                <w:rFonts w:ascii="仿宋_GB2312" w:hAnsi="仿宋_GB2312" w:eastAsia="仿宋_GB2312" w:cs="仿宋_GB2312"/>
                <w:sz w:val="28"/>
              </w:rPr>
            </w:pPr>
            <w:r>
              <w:rPr>
                <w:rFonts w:hint="eastAsia" w:ascii="仿宋_GB2312" w:hAnsi="仿宋_GB2312" w:eastAsia="仿宋_GB2312" w:cs="仿宋_GB2312"/>
                <w:sz w:val="28"/>
              </w:rPr>
              <w:t>交货期</w:t>
            </w:r>
          </w:p>
        </w:tc>
        <w:tc>
          <w:tcPr>
            <w:tcW w:w="1680" w:type="dxa"/>
            <w:vAlign w:val="center"/>
          </w:tcPr>
          <w:p>
            <w:pPr>
              <w:spacing w:line="400" w:lineRule="exact"/>
              <w:jc w:val="center"/>
              <w:rPr>
                <w:rFonts w:ascii="仿宋_GB2312" w:hAnsi="仿宋_GB2312" w:eastAsia="仿宋_GB2312" w:cs="仿宋_GB2312"/>
                <w:sz w:val="28"/>
              </w:rPr>
            </w:pPr>
            <w:r>
              <w:rPr>
                <w:rFonts w:hint="eastAsia" w:ascii="仿宋_GB2312" w:hAnsi="仿宋_GB2312" w:eastAsia="仿宋_GB2312" w:cs="仿宋_GB2312"/>
                <w:sz w:val="28"/>
              </w:rPr>
              <w:t>售后服务</w:t>
            </w:r>
          </w:p>
          <w:p>
            <w:pPr>
              <w:spacing w:line="400" w:lineRule="exact"/>
              <w:jc w:val="center"/>
              <w:rPr>
                <w:rFonts w:ascii="仿宋_GB2312" w:hAnsi="仿宋_GB2312" w:eastAsia="仿宋_GB2312" w:cs="仿宋_GB2312"/>
                <w:sz w:val="28"/>
              </w:rPr>
            </w:pPr>
            <w:r>
              <w:rPr>
                <w:rFonts w:hint="eastAsia" w:ascii="仿宋_GB2312" w:hAnsi="仿宋_GB2312" w:eastAsia="仿宋_GB2312" w:cs="仿宋_GB2312"/>
                <w:sz w:val="28"/>
              </w:rPr>
              <w:t>时间</w:t>
            </w:r>
          </w:p>
        </w:tc>
        <w:tc>
          <w:tcPr>
            <w:tcW w:w="868" w:type="dxa"/>
            <w:vAlign w:val="center"/>
          </w:tcPr>
          <w:p>
            <w:pPr>
              <w:spacing w:line="400" w:lineRule="exact"/>
              <w:jc w:val="center"/>
              <w:rPr>
                <w:rFonts w:ascii="仿宋_GB2312" w:hAnsi="仿宋_GB2312" w:eastAsia="仿宋_GB2312" w:cs="仿宋_GB2312"/>
                <w:sz w:val="28"/>
              </w:rPr>
            </w:pPr>
            <w:r>
              <w:rPr>
                <w:rFonts w:hint="eastAsia" w:ascii="仿宋_GB2312" w:hAnsi="仿宋_GB2312" w:eastAsia="仿宋_GB2312" w:cs="仿宋_GB2312"/>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9" w:hRule="atLeast"/>
          <w:jc w:val="center"/>
        </w:trPr>
        <w:tc>
          <w:tcPr>
            <w:tcW w:w="805" w:type="dxa"/>
            <w:vAlign w:val="center"/>
          </w:tcPr>
          <w:p>
            <w:pPr>
              <w:spacing w:line="400" w:lineRule="exact"/>
              <w:jc w:val="center"/>
              <w:rPr>
                <w:rFonts w:ascii="仿宋_GB2312" w:hAnsi="仿宋_GB2312" w:eastAsia="仿宋_GB2312" w:cs="仿宋_GB2312"/>
                <w:bCs/>
                <w:sz w:val="28"/>
                <w:szCs w:val="28"/>
              </w:rPr>
            </w:pPr>
          </w:p>
        </w:tc>
        <w:tc>
          <w:tcPr>
            <w:tcW w:w="1678" w:type="dxa"/>
            <w:gridSpan w:val="2"/>
            <w:vAlign w:val="center"/>
          </w:tcPr>
          <w:p>
            <w:pPr>
              <w:spacing w:line="400" w:lineRule="exact"/>
              <w:jc w:val="center"/>
              <w:rPr>
                <w:rFonts w:ascii="仿宋_GB2312" w:hAnsi="仿宋_GB2312" w:eastAsia="仿宋_GB2312" w:cs="仿宋_GB2312"/>
                <w:sz w:val="28"/>
              </w:rPr>
            </w:pPr>
          </w:p>
        </w:tc>
        <w:tc>
          <w:tcPr>
            <w:tcW w:w="2295" w:type="dxa"/>
            <w:vAlign w:val="center"/>
          </w:tcPr>
          <w:p>
            <w:pPr>
              <w:spacing w:line="400" w:lineRule="exact"/>
              <w:jc w:val="center"/>
              <w:rPr>
                <w:rFonts w:ascii="仿宋_GB2312" w:hAnsi="仿宋_GB2312" w:eastAsia="仿宋_GB2312" w:cs="仿宋_GB2312"/>
                <w:sz w:val="28"/>
              </w:rPr>
            </w:pPr>
          </w:p>
        </w:tc>
        <w:tc>
          <w:tcPr>
            <w:tcW w:w="1538" w:type="dxa"/>
            <w:vAlign w:val="center"/>
          </w:tcPr>
          <w:p>
            <w:pPr>
              <w:spacing w:line="400" w:lineRule="exact"/>
              <w:jc w:val="center"/>
              <w:rPr>
                <w:rFonts w:ascii="仿宋_GB2312" w:hAnsi="仿宋_GB2312" w:eastAsia="仿宋_GB2312" w:cs="仿宋_GB2312"/>
                <w:sz w:val="28"/>
              </w:rPr>
            </w:pPr>
          </w:p>
        </w:tc>
        <w:tc>
          <w:tcPr>
            <w:tcW w:w="1680" w:type="dxa"/>
            <w:vAlign w:val="center"/>
          </w:tcPr>
          <w:p>
            <w:pPr>
              <w:spacing w:line="400" w:lineRule="exact"/>
              <w:jc w:val="center"/>
              <w:rPr>
                <w:rFonts w:ascii="仿宋_GB2312" w:hAnsi="仿宋_GB2312" w:eastAsia="仿宋_GB2312" w:cs="仿宋_GB2312"/>
                <w:sz w:val="28"/>
              </w:rPr>
            </w:pPr>
          </w:p>
        </w:tc>
        <w:tc>
          <w:tcPr>
            <w:tcW w:w="868" w:type="dxa"/>
            <w:vAlign w:val="center"/>
          </w:tcPr>
          <w:p>
            <w:pPr>
              <w:spacing w:line="400" w:lineRule="exact"/>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59" w:hRule="atLeast"/>
          <w:jc w:val="center"/>
        </w:trPr>
        <w:tc>
          <w:tcPr>
            <w:tcW w:w="2095" w:type="dxa"/>
            <w:gridSpan w:val="2"/>
            <w:vAlign w:val="center"/>
          </w:tcPr>
          <w:p>
            <w:pPr>
              <w:spacing w:line="400" w:lineRule="exact"/>
              <w:jc w:val="center"/>
              <w:rPr>
                <w:rFonts w:ascii="仿宋_GB2312" w:hAnsi="仿宋_GB2312" w:eastAsia="仿宋_GB2312" w:cs="仿宋_GB2312"/>
                <w:sz w:val="28"/>
              </w:rPr>
            </w:pPr>
            <w:r>
              <w:rPr>
                <w:rFonts w:hint="eastAsia" w:ascii="仿宋_GB2312" w:hAnsi="仿宋_GB2312" w:eastAsia="仿宋_GB2312" w:cs="仿宋_GB2312"/>
                <w:sz w:val="28"/>
              </w:rPr>
              <w:t>投标报价(大写)</w:t>
            </w:r>
          </w:p>
        </w:tc>
        <w:tc>
          <w:tcPr>
            <w:tcW w:w="6769" w:type="dxa"/>
            <w:gridSpan w:val="5"/>
            <w:vAlign w:val="center"/>
          </w:tcPr>
          <w:p>
            <w:pPr>
              <w:spacing w:line="400" w:lineRule="exact"/>
              <w:jc w:val="center"/>
              <w:rPr>
                <w:rFonts w:ascii="仿宋_GB2312" w:hAnsi="仿宋_GB2312" w:eastAsia="仿宋_GB2312" w:cs="仿宋_GB2312"/>
                <w:sz w:val="28"/>
              </w:rPr>
            </w:pPr>
          </w:p>
        </w:tc>
      </w:tr>
    </w:tbl>
    <w:p>
      <w:pPr>
        <w:rPr>
          <w:rFonts w:ascii="仿宋_GB2312" w:hAnsi="仿宋_GB2312" w:eastAsia="仿宋_GB2312" w:cs="仿宋_GB2312"/>
          <w:sz w:val="28"/>
        </w:rPr>
      </w:pP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投标单位法人（负责人）或授权代表签字：</w:t>
      </w:r>
    </w:p>
    <w:p>
      <w:pPr>
        <w:spacing w:line="360" w:lineRule="auto"/>
        <w:rPr>
          <w:rFonts w:ascii="仿宋_GB2312" w:hAnsi="仿宋_GB2312" w:eastAsia="仿宋_GB2312" w:cs="仿宋_GB2312"/>
          <w:sz w:val="28"/>
        </w:rPr>
      </w:pPr>
      <w:r>
        <w:rPr>
          <w:rFonts w:hint="eastAsia" w:ascii="仿宋_GB2312" w:hAnsi="仿宋_GB2312" w:eastAsia="仿宋_GB2312" w:cs="仿宋_GB2312"/>
          <w:sz w:val="28"/>
        </w:rPr>
        <w:t>投标单位公章：</w:t>
      </w:r>
    </w:p>
    <w:p>
      <w:pPr>
        <w:spacing w:before="156" w:beforeLines="50" w:line="360" w:lineRule="auto"/>
        <w:rPr>
          <w:rFonts w:ascii="仿宋_GB2312" w:hAnsi="仿宋_GB2312" w:eastAsia="仿宋_GB2312" w:cs="仿宋_GB2312"/>
          <w:b/>
          <w:sz w:val="28"/>
        </w:rPr>
      </w:pPr>
      <w:r>
        <w:rPr>
          <w:rFonts w:hint="eastAsia" w:ascii="仿宋_GB2312" w:hAnsi="仿宋_GB2312" w:eastAsia="仿宋_GB2312" w:cs="仿宋_GB2312"/>
          <w:b/>
          <w:sz w:val="28"/>
        </w:rPr>
        <w:t>注： 开标一览表需分开报价且单独密封（不见面开标不需要单独密封）。</w:t>
      </w:r>
    </w:p>
    <w:p>
      <w:pPr>
        <w:spacing w:before="156" w:beforeLines="50" w:line="360" w:lineRule="auto"/>
        <w:ind w:firstLine="413" w:firstLineChars="147"/>
        <w:rPr>
          <w:rFonts w:ascii="仿宋_GB2312" w:hAnsi="仿宋_GB2312" w:eastAsia="仿宋_GB2312" w:cs="仿宋_GB2312"/>
          <w:b/>
          <w:sz w:val="28"/>
        </w:rPr>
      </w:pPr>
      <w:r>
        <w:rPr>
          <w:rFonts w:hint="eastAsia" w:ascii="仿宋_GB2312" w:hAnsi="仿宋_GB2312" w:eastAsia="仿宋_GB2312" w:cs="仿宋_GB2312"/>
          <w:b/>
          <w:sz w:val="28"/>
        </w:rPr>
        <w:t>2、在开标一览表中，按第二章投标须知11.2条款的规定不允许出现两种报价，否则其投标书不予接受。</w:t>
      </w: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r>
        <w:rPr>
          <w:rFonts w:hint="eastAsia" w:ascii="仿宋_GB2312" w:hAnsi="仿宋_GB2312" w:eastAsia="仿宋_GB2312" w:cs="仿宋_GB2312"/>
          <w:sz w:val="28"/>
        </w:rPr>
        <w:t>附件四</w:t>
      </w: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投标报价明细表</w:t>
      </w:r>
    </w:p>
    <w:p>
      <w:pPr>
        <w:pStyle w:val="71"/>
        <w:ind w:firstLine="0" w:firstLineChars="0"/>
        <w:jc w:val="left"/>
        <w:rPr>
          <w:rFonts w:hAnsi="仿宋_GB2312" w:cs="仿宋_GB2312"/>
          <w:szCs w:val="28"/>
        </w:rPr>
      </w:pPr>
      <w:r>
        <w:rPr>
          <w:rFonts w:hint="eastAsia" w:hAnsi="仿宋_GB2312" w:cs="仿宋_GB2312"/>
          <w:szCs w:val="28"/>
        </w:rPr>
        <w:t>（此表参照下表或者由各投标人自行编制填写，须包括详细价格，含运费、服务、培训、保险等费用。）</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2684"/>
        <w:gridCol w:w="1834"/>
        <w:gridCol w:w="229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02" w:type="pct"/>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574" w:type="pct"/>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名 称</w:t>
            </w:r>
          </w:p>
        </w:tc>
        <w:tc>
          <w:tcPr>
            <w:tcW w:w="1076" w:type="pct"/>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数量</w:t>
            </w:r>
          </w:p>
        </w:tc>
        <w:tc>
          <w:tcPr>
            <w:tcW w:w="1344" w:type="pct"/>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单价（元）</w:t>
            </w:r>
          </w:p>
        </w:tc>
        <w:tc>
          <w:tcPr>
            <w:tcW w:w="501" w:type="pct"/>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02"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574" w:type="pct"/>
            <w:vAlign w:val="center"/>
          </w:tcPr>
          <w:p>
            <w:pPr>
              <w:jc w:val="center"/>
              <w:rPr>
                <w:rFonts w:ascii="仿宋_GB2312" w:hAnsi="仿宋_GB2312" w:eastAsia="仿宋_GB2312" w:cs="仿宋_GB2312"/>
                <w:sz w:val="24"/>
              </w:rPr>
            </w:pPr>
          </w:p>
        </w:tc>
        <w:tc>
          <w:tcPr>
            <w:tcW w:w="1076" w:type="pct"/>
            <w:vAlign w:val="center"/>
          </w:tcPr>
          <w:p>
            <w:pPr>
              <w:jc w:val="center"/>
              <w:rPr>
                <w:rFonts w:ascii="仿宋_GB2312" w:hAnsi="仿宋_GB2312" w:eastAsia="仿宋_GB2312" w:cs="仿宋_GB2312"/>
                <w:sz w:val="24"/>
              </w:rPr>
            </w:pPr>
          </w:p>
        </w:tc>
        <w:tc>
          <w:tcPr>
            <w:tcW w:w="1344" w:type="pct"/>
            <w:vAlign w:val="center"/>
          </w:tcPr>
          <w:p>
            <w:pPr>
              <w:jc w:val="center"/>
              <w:rPr>
                <w:rFonts w:ascii="仿宋_GB2312" w:hAnsi="仿宋_GB2312" w:eastAsia="仿宋_GB2312" w:cs="仿宋_GB2312"/>
                <w:sz w:val="24"/>
              </w:rPr>
            </w:pPr>
          </w:p>
        </w:tc>
        <w:tc>
          <w:tcPr>
            <w:tcW w:w="501" w:type="pct"/>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02"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574" w:type="pct"/>
            <w:vAlign w:val="center"/>
          </w:tcPr>
          <w:p>
            <w:pPr>
              <w:jc w:val="center"/>
              <w:rPr>
                <w:rFonts w:ascii="仿宋_GB2312" w:hAnsi="仿宋_GB2312" w:eastAsia="仿宋_GB2312" w:cs="仿宋_GB2312"/>
                <w:sz w:val="24"/>
              </w:rPr>
            </w:pPr>
          </w:p>
        </w:tc>
        <w:tc>
          <w:tcPr>
            <w:tcW w:w="1076" w:type="pct"/>
            <w:vAlign w:val="center"/>
          </w:tcPr>
          <w:p>
            <w:pPr>
              <w:jc w:val="center"/>
              <w:rPr>
                <w:rFonts w:ascii="仿宋_GB2312" w:hAnsi="仿宋_GB2312" w:eastAsia="仿宋_GB2312" w:cs="仿宋_GB2312"/>
                <w:sz w:val="24"/>
              </w:rPr>
            </w:pPr>
          </w:p>
        </w:tc>
        <w:tc>
          <w:tcPr>
            <w:tcW w:w="1344" w:type="pct"/>
            <w:vAlign w:val="center"/>
          </w:tcPr>
          <w:p>
            <w:pPr>
              <w:jc w:val="center"/>
              <w:rPr>
                <w:rFonts w:ascii="仿宋_GB2312" w:hAnsi="仿宋_GB2312" w:eastAsia="仿宋_GB2312" w:cs="仿宋_GB2312"/>
                <w:sz w:val="24"/>
              </w:rPr>
            </w:pPr>
          </w:p>
        </w:tc>
        <w:tc>
          <w:tcPr>
            <w:tcW w:w="501" w:type="pct"/>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02"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574" w:type="pct"/>
            <w:vAlign w:val="center"/>
          </w:tcPr>
          <w:p>
            <w:pPr>
              <w:jc w:val="center"/>
              <w:rPr>
                <w:rFonts w:ascii="仿宋_GB2312" w:hAnsi="仿宋_GB2312" w:eastAsia="仿宋_GB2312" w:cs="仿宋_GB2312"/>
                <w:sz w:val="24"/>
              </w:rPr>
            </w:pPr>
          </w:p>
        </w:tc>
        <w:tc>
          <w:tcPr>
            <w:tcW w:w="1076" w:type="pct"/>
            <w:vAlign w:val="center"/>
          </w:tcPr>
          <w:p>
            <w:pPr>
              <w:jc w:val="center"/>
              <w:rPr>
                <w:rFonts w:ascii="仿宋_GB2312" w:hAnsi="仿宋_GB2312" w:eastAsia="仿宋_GB2312" w:cs="仿宋_GB2312"/>
                <w:sz w:val="24"/>
              </w:rPr>
            </w:pPr>
          </w:p>
        </w:tc>
        <w:tc>
          <w:tcPr>
            <w:tcW w:w="1344" w:type="pct"/>
            <w:vAlign w:val="center"/>
          </w:tcPr>
          <w:p>
            <w:pPr>
              <w:jc w:val="center"/>
              <w:rPr>
                <w:rFonts w:ascii="仿宋_GB2312" w:hAnsi="仿宋_GB2312" w:eastAsia="仿宋_GB2312" w:cs="仿宋_GB2312"/>
                <w:sz w:val="24"/>
              </w:rPr>
            </w:pPr>
          </w:p>
        </w:tc>
        <w:tc>
          <w:tcPr>
            <w:tcW w:w="501" w:type="pct"/>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02"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574" w:type="pct"/>
            <w:vAlign w:val="center"/>
          </w:tcPr>
          <w:p>
            <w:pPr>
              <w:jc w:val="center"/>
              <w:rPr>
                <w:rFonts w:ascii="仿宋_GB2312" w:hAnsi="仿宋_GB2312" w:eastAsia="仿宋_GB2312" w:cs="仿宋_GB2312"/>
                <w:sz w:val="24"/>
              </w:rPr>
            </w:pPr>
          </w:p>
        </w:tc>
        <w:tc>
          <w:tcPr>
            <w:tcW w:w="1076" w:type="pct"/>
            <w:vAlign w:val="center"/>
          </w:tcPr>
          <w:p>
            <w:pPr>
              <w:jc w:val="center"/>
              <w:rPr>
                <w:rFonts w:ascii="仿宋_GB2312" w:hAnsi="仿宋_GB2312" w:eastAsia="仿宋_GB2312" w:cs="仿宋_GB2312"/>
                <w:sz w:val="24"/>
              </w:rPr>
            </w:pPr>
          </w:p>
        </w:tc>
        <w:tc>
          <w:tcPr>
            <w:tcW w:w="1344" w:type="pct"/>
            <w:vAlign w:val="center"/>
          </w:tcPr>
          <w:p>
            <w:pPr>
              <w:jc w:val="center"/>
              <w:rPr>
                <w:rFonts w:ascii="仿宋_GB2312" w:hAnsi="仿宋_GB2312" w:eastAsia="仿宋_GB2312" w:cs="仿宋_GB2312"/>
                <w:sz w:val="24"/>
              </w:rPr>
            </w:pPr>
          </w:p>
        </w:tc>
        <w:tc>
          <w:tcPr>
            <w:tcW w:w="501" w:type="pct"/>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502"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574" w:type="pct"/>
            <w:vAlign w:val="center"/>
          </w:tcPr>
          <w:p>
            <w:pPr>
              <w:jc w:val="center"/>
              <w:rPr>
                <w:rFonts w:ascii="仿宋_GB2312" w:hAnsi="仿宋_GB2312" w:eastAsia="仿宋_GB2312" w:cs="仿宋_GB2312"/>
                <w:sz w:val="24"/>
              </w:rPr>
            </w:pPr>
          </w:p>
        </w:tc>
        <w:tc>
          <w:tcPr>
            <w:tcW w:w="1076" w:type="pct"/>
            <w:vAlign w:val="center"/>
          </w:tcPr>
          <w:p>
            <w:pPr>
              <w:jc w:val="center"/>
              <w:rPr>
                <w:rFonts w:ascii="仿宋_GB2312" w:hAnsi="仿宋_GB2312" w:eastAsia="仿宋_GB2312" w:cs="仿宋_GB2312"/>
                <w:sz w:val="24"/>
              </w:rPr>
            </w:pPr>
          </w:p>
        </w:tc>
        <w:tc>
          <w:tcPr>
            <w:tcW w:w="1344" w:type="pct"/>
            <w:vAlign w:val="center"/>
          </w:tcPr>
          <w:p>
            <w:pPr>
              <w:jc w:val="center"/>
              <w:rPr>
                <w:rFonts w:ascii="仿宋_GB2312" w:hAnsi="仿宋_GB2312" w:eastAsia="仿宋_GB2312" w:cs="仿宋_GB2312"/>
                <w:sz w:val="24"/>
              </w:rPr>
            </w:pPr>
          </w:p>
        </w:tc>
        <w:tc>
          <w:tcPr>
            <w:tcW w:w="501" w:type="pct"/>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02"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574"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运费保险费</w:t>
            </w:r>
          </w:p>
        </w:tc>
        <w:tc>
          <w:tcPr>
            <w:tcW w:w="2922" w:type="pct"/>
            <w:gridSpan w:val="3"/>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02"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574" w:type="pct"/>
            <w:vAlign w:val="center"/>
          </w:tcPr>
          <w:p>
            <w:pPr>
              <w:jc w:val="center"/>
              <w:rPr>
                <w:rFonts w:ascii="仿宋_GB2312" w:hAnsi="仿宋_GB2312" w:eastAsia="仿宋_GB2312" w:cs="仿宋_GB2312"/>
                <w:sz w:val="24"/>
              </w:rPr>
            </w:pPr>
          </w:p>
        </w:tc>
        <w:tc>
          <w:tcPr>
            <w:tcW w:w="2922" w:type="pct"/>
            <w:gridSpan w:val="3"/>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02"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574" w:type="pct"/>
            <w:vAlign w:val="center"/>
          </w:tcPr>
          <w:p>
            <w:pPr>
              <w:jc w:val="center"/>
              <w:rPr>
                <w:rFonts w:ascii="仿宋_GB2312" w:hAnsi="仿宋_GB2312" w:eastAsia="仿宋_GB2312" w:cs="仿宋_GB2312"/>
                <w:sz w:val="24"/>
              </w:rPr>
            </w:pPr>
          </w:p>
        </w:tc>
        <w:tc>
          <w:tcPr>
            <w:tcW w:w="2922" w:type="pct"/>
            <w:gridSpan w:val="3"/>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exact"/>
          <w:jc w:val="center"/>
        </w:trPr>
        <w:tc>
          <w:tcPr>
            <w:tcW w:w="2077" w:type="pct"/>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合计总价（万元）</w:t>
            </w:r>
          </w:p>
        </w:tc>
        <w:tc>
          <w:tcPr>
            <w:tcW w:w="2922" w:type="pct"/>
            <w:gridSpan w:val="3"/>
            <w:vAlign w:val="center"/>
          </w:tcPr>
          <w:p>
            <w:pPr>
              <w:jc w:val="center"/>
              <w:rPr>
                <w:rFonts w:ascii="仿宋_GB2312" w:hAnsi="仿宋_GB2312" w:eastAsia="仿宋_GB2312" w:cs="仿宋_GB2312"/>
                <w:sz w:val="24"/>
              </w:rPr>
            </w:pPr>
          </w:p>
        </w:tc>
      </w:tr>
    </w:tbl>
    <w:p>
      <w:pPr>
        <w:spacing w:before="156" w:beforeLines="50"/>
        <w:rPr>
          <w:rFonts w:ascii="仿宋_GB2312" w:hAnsi="仿宋_GB2312" w:eastAsia="仿宋_GB2312" w:cs="仿宋_GB2312"/>
          <w:sz w:val="28"/>
        </w:rPr>
      </w:pPr>
      <w:r>
        <w:rPr>
          <w:rFonts w:hint="eastAsia" w:ascii="仿宋_GB2312" w:hAnsi="仿宋_GB2312" w:eastAsia="仿宋_GB2312" w:cs="仿宋_GB2312"/>
          <w:b/>
          <w:sz w:val="28"/>
        </w:rPr>
        <w:t>注明</w:t>
      </w:r>
      <w:r>
        <w:rPr>
          <w:rFonts w:hint="eastAsia" w:ascii="仿宋_GB2312" w:hAnsi="仿宋_GB2312" w:eastAsia="仿宋_GB2312" w:cs="仿宋_GB2312"/>
          <w:sz w:val="28"/>
        </w:rPr>
        <w:t xml:space="preserve"> ：</w:t>
      </w:r>
    </w:p>
    <w:p>
      <w:pPr>
        <w:spacing w:line="400" w:lineRule="exact"/>
        <w:ind w:firstLine="358" w:firstLineChars="128"/>
        <w:rPr>
          <w:rFonts w:ascii="仿宋_GB2312" w:hAnsi="仿宋_GB2312" w:eastAsia="仿宋_GB2312" w:cs="仿宋_GB2312"/>
          <w:sz w:val="28"/>
        </w:rPr>
      </w:pPr>
      <w:r>
        <w:rPr>
          <w:rFonts w:hint="eastAsia" w:ascii="仿宋_GB2312" w:hAnsi="仿宋_GB2312" w:eastAsia="仿宋_GB2312" w:cs="仿宋_GB2312"/>
          <w:sz w:val="28"/>
        </w:rPr>
        <w:t>1、如果按单价计算的结果与总价不一致，以单价为准修正总价。</w:t>
      </w:r>
    </w:p>
    <w:p>
      <w:pPr>
        <w:pStyle w:val="15"/>
        <w:spacing w:line="400" w:lineRule="exact"/>
        <w:ind w:right="-553" w:firstLine="358" w:firstLineChars="128"/>
        <w:rPr>
          <w:rFonts w:ascii="仿宋_GB2312" w:hAnsi="仿宋_GB2312" w:eastAsia="仿宋_GB2312" w:cs="仿宋_GB2312"/>
          <w:sz w:val="24"/>
        </w:rPr>
      </w:pPr>
      <w:r>
        <w:rPr>
          <w:rFonts w:hint="eastAsia" w:ascii="仿宋_GB2312" w:hAnsi="仿宋_GB2312" w:eastAsia="仿宋_GB2312" w:cs="仿宋_GB2312"/>
          <w:sz w:val="28"/>
        </w:rPr>
        <w:t>2、如果不提供详细分项报价将视为没有实质性响应招标文件。</w:t>
      </w: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r>
        <w:rPr>
          <w:rFonts w:hint="eastAsia" w:ascii="仿宋_GB2312" w:hAnsi="仿宋_GB2312" w:eastAsia="仿宋_GB2312" w:cs="仿宋_GB2312"/>
          <w:sz w:val="28"/>
        </w:rPr>
        <w:t>投标单位法人（负责人）或授权代表人签字：                                                  投标单位公章：</w:t>
      </w: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szCs w:val="28"/>
        </w:rPr>
      </w:pPr>
    </w:p>
    <w:p>
      <w:pPr>
        <w:pStyle w:val="54"/>
        <w:widowControl w:val="0"/>
        <w:spacing w:after="156" w:afterLines="50" w:line="520" w:lineRule="exact"/>
        <w:rPr>
          <w:rFonts w:ascii="仿宋_GB2312" w:hAnsi="仿宋_GB2312" w:eastAsia="仿宋_GB2312" w:cs="仿宋_GB2312"/>
          <w:sz w:val="28"/>
          <w:szCs w:val="28"/>
        </w:rPr>
      </w:pPr>
    </w:p>
    <w:p>
      <w:pPr>
        <w:pStyle w:val="54"/>
        <w:widowControl w:val="0"/>
        <w:spacing w:after="156" w:afterLines="50"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附件五</w:t>
      </w: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规 格 偏 离 表</w:t>
      </w:r>
    </w:p>
    <w:p>
      <w:pPr>
        <w:spacing w:line="360" w:lineRule="atLeast"/>
        <w:jc w:val="center"/>
        <w:rPr>
          <w:rFonts w:ascii="仿宋_GB2312" w:hAnsi="仿宋_GB2312" w:eastAsia="仿宋_GB2312" w:cs="仿宋_GB2312"/>
          <w:sz w:val="30"/>
          <w:szCs w:val="30"/>
        </w:rPr>
      </w:pPr>
    </w:p>
    <w:p>
      <w:pPr>
        <w:spacing w:line="360" w:lineRule="atLeast"/>
        <w:ind w:hanging="23"/>
        <w:rPr>
          <w:rFonts w:ascii="仿宋_GB2312" w:hAnsi="仿宋_GB2312" w:eastAsia="仿宋_GB2312" w:cs="仿宋_GB2312"/>
          <w:sz w:val="28"/>
        </w:rPr>
      </w:pPr>
      <w:r>
        <w:rPr>
          <w:rFonts w:hint="eastAsia" w:ascii="仿宋_GB2312" w:hAnsi="仿宋_GB2312" w:eastAsia="仿宋_GB2312" w:cs="仿宋_GB2312"/>
          <w:sz w:val="28"/>
        </w:rPr>
        <w:t>招标编号：                                      年   月   日</w:t>
      </w:r>
    </w:p>
    <w:tbl>
      <w:tblPr>
        <w:tblStyle w:val="24"/>
        <w:tblW w:w="4998" w:type="pct"/>
        <w:jc w:val="center"/>
        <w:tblLayout w:type="autofit"/>
        <w:tblCellMar>
          <w:top w:w="0" w:type="dxa"/>
          <w:left w:w="108" w:type="dxa"/>
          <w:bottom w:w="0" w:type="dxa"/>
          <w:right w:w="108" w:type="dxa"/>
        </w:tblCellMar>
      </w:tblPr>
      <w:tblGrid>
        <w:gridCol w:w="790"/>
        <w:gridCol w:w="2521"/>
        <w:gridCol w:w="2725"/>
        <w:gridCol w:w="2483"/>
      </w:tblGrid>
      <w:tr>
        <w:tblPrEx>
          <w:tblCellMar>
            <w:top w:w="0" w:type="dxa"/>
            <w:left w:w="108" w:type="dxa"/>
            <w:bottom w:w="0" w:type="dxa"/>
            <w:right w:w="108" w:type="dxa"/>
          </w:tblCellMar>
        </w:tblPrEx>
        <w:trPr>
          <w:trHeight w:val="576" w:hRule="atLeast"/>
          <w:jc w:val="center"/>
        </w:trPr>
        <w:tc>
          <w:tcPr>
            <w:tcW w:w="46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序号</w:t>
            </w:r>
          </w:p>
        </w:tc>
        <w:tc>
          <w:tcPr>
            <w:tcW w:w="147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招标规格</w:t>
            </w:r>
          </w:p>
        </w:tc>
        <w:tc>
          <w:tcPr>
            <w:tcW w:w="159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投标规格</w:t>
            </w:r>
          </w:p>
        </w:tc>
        <w:tc>
          <w:tcPr>
            <w:tcW w:w="1457"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备注</w:t>
            </w:r>
          </w:p>
        </w:tc>
      </w:tr>
      <w:tr>
        <w:tblPrEx>
          <w:tblCellMar>
            <w:top w:w="0" w:type="dxa"/>
            <w:left w:w="108" w:type="dxa"/>
            <w:bottom w:w="0" w:type="dxa"/>
            <w:right w:w="108" w:type="dxa"/>
          </w:tblCellMar>
        </w:tblPrEx>
        <w:trPr>
          <w:trHeight w:val="576" w:hRule="atLeast"/>
          <w:jc w:val="center"/>
        </w:trPr>
        <w:tc>
          <w:tcPr>
            <w:tcW w:w="46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7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59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57"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76" w:hRule="atLeast"/>
          <w:jc w:val="center"/>
        </w:trPr>
        <w:tc>
          <w:tcPr>
            <w:tcW w:w="46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7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59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57"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76" w:hRule="atLeast"/>
          <w:jc w:val="center"/>
        </w:trPr>
        <w:tc>
          <w:tcPr>
            <w:tcW w:w="46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7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59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57"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76" w:hRule="atLeast"/>
          <w:jc w:val="center"/>
        </w:trPr>
        <w:tc>
          <w:tcPr>
            <w:tcW w:w="46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7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59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57"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76" w:hRule="atLeast"/>
          <w:jc w:val="center"/>
        </w:trPr>
        <w:tc>
          <w:tcPr>
            <w:tcW w:w="46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7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59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57"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76" w:hRule="atLeast"/>
          <w:jc w:val="center"/>
        </w:trPr>
        <w:tc>
          <w:tcPr>
            <w:tcW w:w="46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7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59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57"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76" w:hRule="atLeast"/>
          <w:jc w:val="center"/>
        </w:trPr>
        <w:tc>
          <w:tcPr>
            <w:tcW w:w="46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7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59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57"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76" w:hRule="atLeast"/>
          <w:jc w:val="center"/>
        </w:trPr>
        <w:tc>
          <w:tcPr>
            <w:tcW w:w="46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7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59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57"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76" w:hRule="atLeast"/>
          <w:jc w:val="center"/>
        </w:trPr>
        <w:tc>
          <w:tcPr>
            <w:tcW w:w="46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7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59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457"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bl>
    <w:p>
      <w:pPr>
        <w:ind w:firstLine="9520"/>
        <w:rPr>
          <w:rFonts w:ascii="仿宋_GB2312" w:hAnsi="仿宋_GB2312" w:eastAsia="仿宋_GB2312" w:cs="仿宋_GB2312"/>
          <w:kern w:val="0"/>
          <w:sz w:val="24"/>
        </w:rPr>
      </w:pPr>
    </w:p>
    <w:p>
      <w:pPr>
        <w:pStyle w:val="54"/>
        <w:widowControl w:val="0"/>
        <w:spacing w:after="156" w:afterLines="50" w:line="520" w:lineRule="exact"/>
        <w:rPr>
          <w:rFonts w:ascii="仿宋_GB2312" w:hAnsi="仿宋_GB2312" w:eastAsia="仿宋_GB2312" w:cs="仿宋_GB2312"/>
          <w:sz w:val="28"/>
        </w:rPr>
      </w:pPr>
      <w:r>
        <w:rPr>
          <w:rFonts w:hint="eastAsia" w:ascii="仿宋_GB2312" w:hAnsi="仿宋_GB2312" w:eastAsia="仿宋_GB2312" w:cs="仿宋_GB2312"/>
          <w:sz w:val="28"/>
        </w:rPr>
        <w:t xml:space="preserve">投标单位法人（负责人）或授权代表人签字： </w:t>
      </w:r>
    </w:p>
    <w:p>
      <w:pPr>
        <w:pStyle w:val="54"/>
        <w:widowControl w:val="0"/>
        <w:spacing w:after="156" w:afterLines="50" w:line="520" w:lineRule="exact"/>
        <w:rPr>
          <w:rFonts w:ascii="仿宋_GB2312" w:hAnsi="仿宋_GB2312" w:eastAsia="仿宋_GB2312" w:cs="仿宋_GB2312"/>
          <w:sz w:val="28"/>
        </w:rPr>
      </w:pPr>
      <w:r>
        <w:rPr>
          <w:rFonts w:hint="eastAsia" w:ascii="仿宋_GB2312" w:hAnsi="仿宋_GB2312" w:eastAsia="仿宋_GB2312" w:cs="仿宋_GB2312"/>
          <w:sz w:val="28"/>
        </w:rPr>
        <w:t>投标单位公章：</w:t>
      </w: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rPr>
          <w:rFonts w:ascii="仿宋_GB2312" w:hAnsi="仿宋_GB2312" w:eastAsia="仿宋_GB2312" w:cs="仿宋_GB2312"/>
          <w:sz w:val="28"/>
        </w:rPr>
      </w:pPr>
      <w:r>
        <w:rPr>
          <w:rFonts w:ascii="仿宋_GB2312" w:hAnsi="仿宋_GB2312" w:eastAsia="仿宋_GB2312" w:cs="仿宋_GB2312"/>
          <w:sz w:val="28"/>
        </w:rPr>
        <w:br w:type="page"/>
      </w: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r>
        <w:rPr>
          <w:rFonts w:hint="eastAsia" w:ascii="仿宋_GB2312" w:hAnsi="仿宋_GB2312" w:eastAsia="仿宋_GB2312" w:cs="仿宋_GB2312"/>
          <w:sz w:val="28"/>
        </w:rPr>
        <w:t>附件六</w:t>
      </w: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合 同 条 款 偏 离 表</w:t>
      </w:r>
    </w:p>
    <w:p>
      <w:pPr>
        <w:spacing w:line="360" w:lineRule="atLeast"/>
        <w:jc w:val="center"/>
        <w:rPr>
          <w:rFonts w:ascii="仿宋_GB2312" w:hAnsi="仿宋_GB2312" w:eastAsia="仿宋_GB2312" w:cs="仿宋_GB2312"/>
          <w:sz w:val="30"/>
          <w:szCs w:val="30"/>
        </w:rPr>
      </w:pPr>
    </w:p>
    <w:p>
      <w:pPr>
        <w:spacing w:line="360" w:lineRule="atLeast"/>
        <w:ind w:right="352" w:hanging="23"/>
        <w:jc w:val="distribute"/>
        <w:rPr>
          <w:rFonts w:ascii="仿宋_GB2312" w:hAnsi="仿宋_GB2312" w:eastAsia="仿宋_GB2312" w:cs="仿宋_GB2312"/>
          <w:sz w:val="28"/>
        </w:rPr>
      </w:pPr>
      <w:r>
        <w:rPr>
          <w:rFonts w:hint="eastAsia" w:ascii="仿宋_GB2312" w:hAnsi="仿宋_GB2312" w:eastAsia="仿宋_GB2312" w:cs="仿宋_GB2312"/>
          <w:sz w:val="28"/>
        </w:rPr>
        <w:t>招标编号：                    年   月   日</w:t>
      </w:r>
    </w:p>
    <w:tbl>
      <w:tblPr>
        <w:tblStyle w:val="24"/>
        <w:tblW w:w="4998" w:type="pct"/>
        <w:jc w:val="center"/>
        <w:tblLayout w:type="autofit"/>
        <w:tblCellMar>
          <w:top w:w="0" w:type="dxa"/>
          <w:left w:w="108" w:type="dxa"/>
          <w:bottom w:w="0" w:type="dxa"/>
          <w:right w:w="108" w:type="dxa"/>
        </w:tblCellMar>
      </w:tblPr>
      <w:tblGrid>
        <w:gridCol w:w="782"/>
        <w:gridCol w:w="2035"/>
        <w:gridCol w:w="1860"/>
        <w:gridCol w:w="2304"/>
        <w:gridCol w:w="1538"/>
      </w:tblGrid>
      <w:tr>
        <w:tblPrEx>
          <w:tblCellMar>
            <w:top w:w="0" w:type="dxa"/>
            <w:left w:w="108" w:type="dxa"/>
            <w:bottom w:w="0" w:type="dxa"/>
            <w:right w:w="108" w:type="dxa"/>
          </w:tblCellMar>
        </w:tblPrEx>
        <w:trPr>
          <w:trHeight w:val="624" w:hRule="atLeast"/>
          <w:jc w:val="center"/>
        </w:trPr>
        <w:tc>
          <w:tcPr>
            <w:tcW w:w="45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序号</w:t>
            </w:r>
          </w:p>
        </w:tc>
        <w:tc>
          <w:tcPr>
            <w:tcW w:w="119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条款序号</w:t>
            </w:r>
          </w:p>
        </w:tc>
        <w:tc>
          <w:tcPr>
            <w:tcW w:w="109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招标条款</w:t>
            </w:r>
          </w:p>
        </w:tc>
        <w:tc>
          <w:tcPr>
            <w:tcW w:w="135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投标条款</w:t>
            </w:r>
          </w:p>
        </w:tc>
        <w:tc>
          <w:tcPr>
            <w:tcW w:w="90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备    注</w:t>
            </w:r>
          </w:p>
        </w:tc>
      </w:tr>
      <w:tr>
        <w:tblPrEx>
          <w:tblCellMar>
            <w:top w:w="0" w:type="dxa"/>
            <w:left w:w="108" w:type="dxa"/>
            <w:bottom w:w="0" w:type="dxa"/>
            <w:right w:w="108" w:type="dxa"/>
          </w:tblCellMar>
        </w:tblPrEx>
        <w:trPr>
          <w:trHeight w:val="624" w:hRule="atLeast"/>
          <w:jc w:val="center"/>
        </w:trPr>
        <w:tc>
          <w:tcPr>
            <w:tcW w:w="45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19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35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0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624" w:hRule="atLeast"/>
          <w:jc w:val="center"/>
        </w:trPr>
        <w:tc>
          <w:tcPr>
            <w:tcW w:w="45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19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35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0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624" w:hRule="atLeast"/>
          <w:jc w:val="center"/>
        </w:trPr>
        <w:tc>
          <w:tcPr>
            <w:tcW w:w="45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19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35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0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624" w:hRule="atLeast"/>
          <w:jc w:val="center"/>
        </w:trPr>
        <w:tc>
          <w:tcPr>
            <w:tcW w:w="45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19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35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0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624" w:hRule="atLeast"/>
          <w:jc w:val="center"/>
        </w:trPr>
        <w:tc>
          <w:tcPr>
            <w:tcW w:w="45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19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35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0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624" w:hRule="atLeast"/>
          <w:jc w:val="center"/>
        </w:trPr>
        <w:tc>
          <w:tcPr>
            <w:tcW w:w="45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19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35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0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624" w:hRule="atLeast"/>
          <w:jc w:val="center"/>
        </w:trPr>
        <w:tc>
          <w:tcPr>
            <w:tcW w:w="45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19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35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0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624" w:hRule="atLeast"/>
          <w:jc w:val="center"/>
        </w:trPr>
        <w:tc>
          <w:tcPr>
            <w:tcW w:w="459"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19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35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0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bl>
    <w:p>
      <w:pPr>
        <w:rPr>
          <w:rFonts w:ascii="仿宋_GB2312" w:hAnsi="仿宋_GB2312" w:eastAsia="仿宋_GB2312" w:cs="仿宋_GB2312"/>
          <w:sz w:val="31"/>
        </w:rPr>
      </w:pPr>
    </w:p>
    <w:p>
      <w:pPr>
        <w:pStyle w:val="54"/>
        <w:widowControl w:val="0"/>
        <w:spacing w:after="156" w:afterLines="50" w:line="520" w:lineRule="exact"/>
        <w:rPr>
          <w:rFonts w:ascii="仿宋_GB2312" w:hAnsi="仿宋_GB2312" w:eastAsia="仿宋_GB2312" w:cs="仿宋_GB2312"/>
          <w:sz w:val="28"/>
        </w:rPr>
      </w:pPr>
      <w:r>
        <w:rPr>
          <w:rFonts w:hint="eastAsia" w:ascii="仿宋_GB2312" w:hAnsi="仿宋_GB2312" w:eastAsia="仿宋_GB2312" w:cs="仿宋_GB2312"/>
          <w:sz w:val="28"/>
        </w:rPr>
        <w:t>投标单位法人（负责人）或授权代表人签字：</w:t>
      </w:r>
    </w:p>
    <w:p>
      <w:pPr>
        <w:pStyle w:val="54"/>
        <w:widowControl w:val="0"/>
        <w:spacing w:after="156" w:afterLines="50" w:line="520" w:lineRule="exact"/>
        <w:rPr>
          <w:rFonts w:ascii="仿宋_GB2312" w:hAnsi="仿宋_GB2312" w:eastAsia="仿宋_GB2312" w:cs="仿宋_GB2312"/>
          <w:sz w:val="28"/>
        </w:rPr>
      </w:pPr>
      <w:r>
        <w:rPr>
          <w:rFonts w:hint="eastAsia" w:ascii="仿宋_GB2312" w:hAnsi="仿宋_GB2312" w:eastAsia="仿宋_GB2312" w:cs="仿宋_GB2312"/>
          <w:sz w:val="28"/>
        </w:rPr>
        <w:t>投标单位公章：</w:t>
      </w: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r>
        <w:rPr>
          <w:rFonts w:hint="eastAsia" w:ascii="仿宋_GB2312" w:hAnsi="仿宋_GB2312" w:eastAsia="仿宋_GB2312" w:cs="仿宋_GB2312"/>
          <w:sz w:val="28"/>
        </w:rPr>
        <w:t>附件七</w:t>
      </w: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代表性项目业绩表</w:t>
      </w:r>
    </w:p>
    <w:p>
      <w:pPr>
        <w:spacing w:line="360" w:lineRule="atLeast"/>
        <w:jc w:val="center"/>
        <w:rPr>
          <w:rFonts w:ascii="仿宋_GB2312" w:hAnsi="仿宋_GB2312" w:eastAsia="仿宋_GB2312" w:cs="仿宋_GB2312"/>
          <w:sz w:val="30"/>
          <w:szCs w:val="30"/>
        </w:rPr>
      </w:pPr>
    </w:p>
    <w:p>
      <w:pPr>
        <w:spacing w:line="360" w:lineRule="atLeast"/>
        <w:rPr>
          <w:rFonts w:ascii="仿宋_GB2312" w:hAnsi="仿宋_GB2312" w:eastAsia="仿宋_GB2312" w:cs="仿宋_GB2312"/>
          <w:sz w:val="28"/>
        </w:rPr>
      </w:pPr>
      <w:r>
        <w:rPr>
          <w:rFonts w:hint="eastAsia" w:ascii="仿宋_GB2312" w:hAnsi="仿宋_GB2312" w:eastAsia="仿宋_GB2312" w:cs="仿宋_GB2312"/>
          <w:sz w:val="28"/>
        </w:rPr>
        <w:t>招标编号：                                     年   月   日</w:t>
      </w:r>
    </w:p>
    <w:tbl>
      <w:tblPr>
        <w:tblStyle w:val="24"/>
        <w:tblW w:w="4998" w:type="pct"/>
        <w:jc w:val="center"/>
        <w:tblLayout w:type="autofit"/>
        <w:tblCellMar>
          <w:top w:w="0" w:type="dxa"/>
          <w:left w:w="108" w:type="dxa"/>
          <w:bottom w:w="0" w:type="dxa"/>
          <w:right w:w="108" w:type="dxa"/>
        </w:tblCellMar>
      </w:tblPr>
      <w:tblGrid>
        <w:gridCol w:w="2019"/>
        <w:gridCol w:w="2099"/>
        <w:gridCol w:w="1867"/>
        <w:gridCol w:w="979"/>
        <w:gridCol w:w="1555"/>
      </w:tblGrid>
      <w:tr>
        <w:tblPrEx>
          <w:tblCellMar>
            <w:top w:w="0" w:type="dxa"/>
            <w:left w:w="108" w:type="dxa"/>
            <w:bottom w:w="0" w:type="dxa"/>
            <w:right w:w="108" w:type="dxa"/>
          </w:tblCellMar>
        </w:tblPrEx>
        <w:trPr>
          <w:trHeight w:val="528" w:hRule="atLeast"/>
          <w:jc w:val="center"/>
        </w:trPr>
        <w:tc>
          <w:tcPr>
            <w:tcW w:w="118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地区</w:t>
            </w:r>
          </w:p>
        </w:tc>
        <w:tc>
          <w:tcPr>
            <w:tcW w:w="123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项目名称</w:t>
            </w:r>
          </w:p>
        </w:tc>
        <w:tc>
          <w:tcPr>
            <w:tcW w:w="109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竣工日期</w:t>
            </w:r>
          </w:p>
        </w:tc>
        <w:tc>
          <w:tcPr>
            <w:tcW w:w="57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数量</w:t>
            </w:r>
          </w:p>
        </w:tc>
        <w:tc>
          <w:tcPr>
            <w:tcW w:w="91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备注</w:t>
            </w:r>
          </w:p>
        </w:tc>
      </w:tr>
      <w:tr>
        <w:tblPrEx>
          <w:tblCellMar>
            <w:top w:w="0" w:type="dxa"/>
            <w:left w:w="108" w:type="dxa"/>
            <w:bottom w:w="0" w:type="dxa"/>
            <w:right w:w="108" w:type="dxa"/>
          </w:tblCellMar>
        </w:tblPrEx>
        <w:trPr>
          <w:trHeight w:val="528" w:hRule="atLeast"/>
          <w:jc w:val="center"/>
        </w:trPr>
        <w:tc>
          <w:tcPr>
            <w:tcW w:w="118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23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57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1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28" w:hRule="atLeast"/>
          <w:jc w:val="center"/>
        </w:trPr>
        <w:tc>
          <w:tcPr>
            <w:tcW w:w="118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23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57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1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28" w:hRule="atLeast"/>
          <w:jc w:val="center"/>
        </w:trPr>
        <w:tc>
          <w:tcPr>
            <w:tcW w:w="118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23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57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1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28" w:hRule="atLeast"/>
          <w:jc w:val="center"/>
        </w:trPr>
        <w:tc>
          <w:tcPr>
            <w:tcW w:w="118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23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57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1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28" w:hRule="atLeast"/>
          <w:jc w:val="center"/>
        </w:trPr>
        <w:tc>
          <w:tcPr>
            <w:tcW w:w="118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23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57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1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28" w:hRule="atLeast"/>
          <w:jc w:val="center"/>
        </w:trPr>
        <w:tc>
          <w:tcPr>
            <w:tcW w:w="118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23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57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1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28" w:hRule="atLeast"/>
          <w:jc w:val="center"/>
        </w:trPr>
        <w:tc>
          <w:tcPr>
            <w:tcW w:w="118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23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57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1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28" w:hRule="atLeast"/>
          <w:jc w:val="center"/>
        </w:trPr>
        <w:tc>
          <w:tcPr>
            <w:tcW w:w="118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23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57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1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r>
        <w:tblPrEx>
          <w:tblCellMar>
            <w:top w:w="0" w:type="dxa"/>
            <w:left w:w="108" w:type="dxa"/>
            <w:bottom w:w="0" w:type="dxa"/>
            <w:right w:w="108" w:type="dxa"/>
          </w:tblCellMar>
        </w:tblPrEx>
        <w:trPr>
          <w:trHeight w:val="528" w:hRule="atLeast"/>
          <w:jc w:val="center"/>
        </w:trPr>
        <w:tc>
          <w:tcPr>
            <w:tcW w:w="118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231"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1095"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574"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c>
          <w:tcPr>
            <w:tcW w:w="912" w:type="pc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rPr>
            </w:pPr>
          </w:p>
        </w:tc>
      </w:tr>
    </w:tbl>
    <w:p>
      <w:pPr>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r>
        <w:rPr>
          <w:rFonts w:hint="eastAsia" w:ascii="仿宋_GB2312" w:hAnsi="仿宋_GB2312" w:eastAsia="仿宋_GB2312" w:cs="仿宋_GB2312"/>
          <w:sz w:val="28"/>
        </w:rPr>
        <w:t>投标单位法人（负责人）或授权代表人签字：                                                   投标单位公章：</w:t>
      </w: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54"/>
        <w:widowControl w:val="0"/>
        <w:spacing w:after="156" w:afterLines="50" w:line="520" w:lineRule="exact"/>
        <w:rPr>
          <w:rFonts w:ascii="仿宋_GB2312" w:hAnsi="仿宋_GB2312" w:eastAsia="仿宋_GB2312" w:cs="仿宋_GB2312"/>
          <w:sz w:val="28"/>
        </w:rPr>
      </w:pPr>
    </w:p>
    <w:p>
      <w:pPr>
        <w:pStyle w:val="42"/>
        <w:spacing w:line="360" w:lineRule="atLeast"/>
        <w:jc w:val="both"/>
        <w:rPr>
          <w:rFonts w:ascii="仿宋_GB2312" w:hAnsi="仿宋_GB2312" w:eastAsia="仿宋_GB2312" w:cs="仿宋_GB2312"/>
          <w:b/>
          <w:bCs/>
          <w:color w:val="auto"/>
          <w:sz w:val="28"/>
          <w:szCs w:val="28"/>
        </w:rPr>
      </w:pPr>
    </w:p>
    <w:p>
      <w:pPr>
        <w:pStyle w:val="54"/>
        <w:widowControl w:val="0"/>
        <w:spacing w:after="156" w:afterLines="50" w:line="520" w:lineRule="exact"/>
        <w:rPr>
          <w:rFonts w:ascii="仿宋_GB2312" w:hAnsi="仿宋_GB2312" w:eastAsia="仿宋_GB2312" w:cs="仿宋_GB2312"/>
          <w:sz w:val="28"/>
        </w:rPr>
      </w:pPr>
      <w:r>
        <w:rPr>
          <w:rFonts w:hint="eastAsia" w:ascii="仿宋_GB2312" w:hAnsi="仿宋_GB2312" w:eastAsia="仿宋_GB2312" w:cs="仿宋_GB2312"/>
          <w:sz w:val="28"/>
        </w:rPr>
        <w:t>附件八</w:t>
      </w: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售后服务承诺书</w:t>
      </w:r>
    </w:p>
    <w:p>
      <w:pPr>
        <w:pStyle w:val="42"/>
        <w:spacing w:line="360" w:lineRule="atLeas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该承诺书格式由投标商自行确定：</w:t>
      </w:r>
    </w:p>
    <w:p>
      <w:pPr>
        <w:pStyle w:val="42"/>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1.投标商报价应含其成本和相关的一切费用 ；</w:t>
      </w:r>
    </w:p>
    <w:p>
      <w:pPr>
        <w:pStyle w:val="42"/>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2.提供免费培训操作人员达到能够顺利操作；</w:t>
      </w:r>
    </w:p>
    <w:p>
      <w:pPr>
        <w:pStyle w:val="42"/>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3.按照采购方要求，执行一些政策性任务；</w:t>
      </w:r>
    </w:p>
    <w:p>
      <w:pPr>
        <w:pStyle w:val="42"/>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4.其他投标商认为必要的承诺内容。</w:t>
      </w:r>
    </w:p>
    <w:p>
      <w:pPr>
        <w:pStyle w:val="42"/>
        <w:spacing w:line="360" w:lineRule="atLeast"/>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请提供一份详细的售后服务承诺书和计划书。</w:t>
      </w:r>
    </w:p>
    <w:p>
      <w:pPr>
        <w:pStyle w:val="16"/>
        <w:spacing w:line="360" w:lineRule="auto"/>
        <w:ind w:firstLine="0"/>
        <w:rPr>
          <w:rFonts w:ascii="仿宋_GB2312" w:hAnsi="仿宋_GB2312" w:eastAsia="仿宋_GB2312" w:cs="仿宋_GB2312"/>
          <w:b/>
          <w:kern w:val="0"/>
          <w:szCs w:val="28"/>
        </w:rPr>
      </w:pPr>
    </w:p>
    <w:p>
      <w:pPr>
        <w:pStyle w:val="16"/>
        <w:spacing w:line="360" w:lineRule="auto"/>
        <w:ind w:firstLine="0"/>
        <w:rPr>
          <w:rFonts w:ascii="仿宋_GB2312" w:hAnsi="仿宋_GB2312" w:eastAsia="仿宋_GB2312" w:cs="仿宋_GB2312"/>
          <w:kern w:val="0"/>
          <w:szCs w:val="28"/>
        </w:rPr>
      </w:pPr>
    </w:p>
    <w:p>
      <w:pPr>
        <w:pStyle w:val="16"/>
        <w:spacing w:line="360" w:lineRule="auto"/>
        <w:ind w:firstLine="0"/>
        <w:rPr>
          <w:rFonts w:ascii="仿宋_GB2312" w:hAnsi="仿宋_GB2312" w:eastAsia="仿宋_GB2312" w:cs="仿宋_GB2312"/>
          <w:kern w:val="0"/>
          <w:szCs w:val="28"/>
        </w:rPr>
      </w:pPr>
    </w:p>
    <w:p>
      <w:pPr>
        <w:pStyle w:val="16"/>
        <w:spacing w:line="360" w:lineRule="auto"/>
        <w:ind w:firstLine="0"/>
        <w:rPr>
          <w:rFonts w:ascii="仿宋_GB2312" w:hAnsi="仿宋_GB2312" w:eastAsia="仿宋_GB2312" w:cs="仿宋_GB2312"/>
          <w:szCs w:val="28"/>
        </w:rPr>
      </w:pPr>
      <w:r>
        <w:rPr>
          <w:rFonts w:hint="eastAsia" w:ascii="仿宋_GB2312" w:hAnsi="仿宋_GB2312" w:eastAsia="仿宋_GB2312" w:cs="仿宋_GB2312"/>
          <w:kern w:val="0"/>
          <w:szCs w:val="28"/>
        </w:rPr>
        <w:t xml:space="preserve">投标单位法人（负责人）或授权代表签字：                </w:t>
      </w:r>
      <w:r>
        <w:rPr>
          <w:rFonts w:hint="eastAsia" w:ascii="仿宋_GB2312" w:hAnsi="仿宋_GB2312" w:eastAsia="仿宋_GB2312" w:cs="仿宋_GB2312"/>
          <w:szCs w:val="28"/>
        </w:rPr>
        <w:t xml:space="preserve"> </w:t>
      </w:r>
    </w:p>
    <w:p>
      <w:pPr>
        <w:pStyle w:val="16"/>
        <w:spacing w:line="360" w:lineRule="auto"/>
        <w:ind w:firstLine="0"/>
        <w:rPr>
          <w:rFonts w:ascii="仿宋_GB2312" w:hAnsi="仿宋_GB2312" w:eastAsia="仿宋_GB2312" w:cs="仿宋_GB2312"/>
          <w:kern w:val="0"/>
          <w:szCs w:val="28"/>
        </w:rPr>
      </w:pPr>
      <w:r>
        <w:rPr>
          <w:rFonts w:hint="eastAsia" w:ascii="仿宋_GB2312" w:hAnsi="仿宋_GB2312" w:eastAsia="仿宋_GB2312" w:cs="仿宋_GB2312"/>
          <w:szCs w:val="28"/>
        </w:rPr>
        <w:t>投标单位盖章：</w:t>
      </w:r>
    </w:p>
    <w:p>
      <w:pPr>
        <w:pStyle w:val="16"/>
        <w:spacing w:line="360" w:lineRule="auto"/>
        <w:rPr>
          <w:rFonts w:ascii="仿宋_GB2312" w:hAnsi="仿宋_GB2312" w:eastAsia="仿宋_GB2312" w:cs="仿宋_GB2312"/>
          <w:kern w:val="0"/>
          <w:sz w:val="24"/>
        </w:rPr>
      </w:pPr>
    </w:p>
    <w:p>
      <w:pPr>
        <w:pStyle w:val="54"/>
        <w:widowControl w:val="0"/>
        <w:spacing w:after="156" w:afterLines="50" w:line="520" w:lineRule="exact"/>
        <w:rPr>
          <w:rFonts w:ascii="仿宋_GB2312" w:hAnsi="仿宋_GB2312" w:eastAsia="仿宋_GB2312" w:cs="仿宋_GB2312"/>
          <w:sz w:val="28"/>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9"/>
        <w:rPr>
          <w:rFonts w:ascii="仿宋_GB2312" w:hAnsi="仿宋_GB2312" w:eastAsia="仿宋_GB2312" w:cs="仿宋_GB2312"/>
        </w:rPr>
      </w:pPr>
    </w:p>
    <w:p>
      <w:pPr>
        <w:rPr>
          <w:rFonts w:ascii="仿宋_GB2312" w:hAnsi="仿宋_GB2312" w:eastAsia="仿宋_GB2312" w:cs="仿宋_GB2312"/>
        </w:rPr>
      </w:pPr>
    </w:p>
    <w:p>
      <w:pPr>
        <w:pStyle w:val="9"/>
        <w:rPr>
          <w:rFonts w:ascii="仿宋_GB2312" w:hAnsi="仿宋_GB2312" w:eastAsia="仿宋_GB2312" w:cs="仿宋_GB2312"/>
        </w:rPr>
      </w:pPr>
    </w:p>
    <w:p>
      <w:pPr>
        <w:pStyle w:val="54"/>
        <w:widowControl w:val="0"/>
        <w:spacing w:after="156" w:afterLines="50" w:line="520" w:lineRule="exact"/>
        <w:rPr>
          <w:rFonts w:ascii="仿宋_GB2312" w:hAnsi="仿宋_GB2312" w:eastAsia="仿宋_GB2312" w:cs="仿宋_GB2312"/>
          <w:sz w:val="28"/>
        </w:rPr>
      </w:pPr>
      <w:bookmarkStart w:id="10" w:name="_Toc14322"/>
      <w:r>
        <w:rPr>
          <w:rFonts w:hint="eastAsia" w:ascii="仿宋_GB2312" w:hAnsi="仿宋_GB2312" w:eastAsia="仿宋_GB2312" w:cs="仿宋_GB2312"/>
          <w:sz w:val="28"/>
        </w:rPr>
        <w:t xml:space="preserve">附件九    </w:t>
      </w:r>
    </w:p>
    <w:p>
      <w:pPr>
        <w:rPr>
          <w:rFonts w:ascii="仿宋" w:hAnsi="仿宋" w:eastAsia="仿宋" w:cs="仿宋"/>
          <w:sz w:val="30"/>
          <w:szCs w:val="30"/>
        </w:rPr>
      </w:pP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政府采购诚信承诺函</w:t>
      </w:r>
    </w:p>
    <w:p>
      <w:pPr>
        <w:rPr>
          <w:rFonts w:ascii="仿宋" w:hAnsi="仿宋" w:eastAsia="仿宋" w:cs="仿宋"/>
          <w:sz w:val="36"/>
          <w:szCs w:val="36"/>
        </w:rPr>
      </w:pPr>
    </w:p>
    <w:p>
      <w:pPr>
        <w:spacing w:line="560" w:lineRule="exact"/>
        <w:rPr>
          <w:rFonts w:ascii="仿宋" w:hAnsi="仿宋" w:eastAsia="仿宋" w:cs="仿宋"/>
          <w:sz w:val="28"/>
          <w:szCs w:val="28"/>
        </w:rPr>
      </w:pPr>
      <w:r>
        <w:rPr>
          <w:rFonts w:hint="eastAsia" w:ascii="仿宋" w:hAnsi="仿宋" w:eastAsia="仿宋" w:cs="仿宋"/>
          <w:sz w:val="28"/>
          <w:szCs w:val="28"/>
        </w:rPr>
        <w:t>库车市政务服务和公共资源交易中心：</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我是</w:t>
      </w:r>
      <w:r>
        <w:rPr>
          <w:rFonts w:hint="eastAsia" w:ascii="仿宋" w:hAnsi="仿宋" w:eastAsia="仿宋" w:cs="仿宋"/>
          <w:sz w:val="28"/>
          <w:szCs w:val="28"/>
          <w:u w:val="single"/>
        </w:rPr>
        <w:t xml:space="preserve">                                </w:t>
      </w:r>
      <w:r>
        <w:rPr>
          <w:rFonts w:hint="eastAsia" w:ascii="仿宋" w:hAnsi="仿宋" w:eastAsia="仿宋" w:cs="仿宋"/>
          <w:sz w:val="28"/>
          <w:szCs w:val="28"/>
        </w:rPr>
        <w:t>公司的法定代表人（负责人）</w:t>
      </w:r>
      <w:r>
        <w:rPr>
          <w:rFonts w:hint="eastAsia" w:ascii="仿宋" w:hAnsi="仿宋" w:eastAsia="仿宋" w:cs="仿宋"/>
          <w:sz w:val="28"/>
          <w:szCs w:val="28"/>
          <w:u w:val="single"/>
        </w:rPr>
        <w:t xml:space="preserve">                   </w:t>
      </w:r>
      <w:r>
        <w:rPr>
          <w:rFonts w:hint="eastAsia" w:ascii="仿宋" w:hAnsi="仿宋" w:eastAsia="仿宋" w:cs="仿宋"/>
          <w:sz w:val="28"/>
          <w:szCs w:val="28"/>
        </w:rPr>
        <w:t>，我代表本公司郑重承诺：在库车市</w:t>
      </w:r>
      <w:r>
        <w:rPr>
          <w:rFonts w:hint="eastAsia" w:ascii="仿宋" w:hAnsi="仿宋" w:eastAsia="仿宋" w:cs="仿宋"/>
          <w:sz w:val="28"/>
          <w:szCs w:val="28"/>
          <w:u w:val="single"/>
        </w:rPr>
        <w:t xml:space="preserve">         </w:t>
      </w:r>
      <w:r>
        <w:rPr>
          <w:rFonts w:hint="eastAsia" w:ascii="仿宋" w:hAnsi="仿宋" w:eastAsia="仿宋" w:cs="仿宋"/>
          <w:sz w:val="28"/>
          <w:szCs w:val="28"/>
        </w:rPr>
        <w:t>项目实施中,近三年来的财务状况和近三个月来的缴纳税收和社会保障金记录良好。如本承诺内容不真实，我公司愿承担由此产生的一切后果和法律责任（被废标、被列入政府采购失信名单或承担由此造成利益相关方经济损失的赔偿责任）。</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ind w:firstLine="1600" w:firstLineChars="500"/>
        <w:rPr>
          <w:rFonts w:ascii="仿宋" w:hAnsi="仿宋" w:eastAsia="仿宋" w:cs="仿宋"/>
          <w:sz w:val="32"/>
          <w:szCs w:val="32"/>
        </w:rPr>
      </w:pPr>
    </w:p>
    <w:p>
      <w:pPr>
        <w:ind w:firstLine="4200" w:firstLineChars="1500"/>
        <w:rPr>
          <w:rFonts w:ascii="仿宋" w:hAnsi="仿宋" w:eastAsia="仿宋"/>
          <w:sz w:val="28"/>
          <w:szCs w:val="28"/>
        </w:rPr>
      </w:pPr>
    </w:p>
    <w:p>
      <w:pPr>
        <w:spacing w:line="560" w:lineRule="exact"/>
        <w:ind w:firstLine="3130" w:firstLineChars="1118"/>
        <w:rPr>
          <w:rFonts w:ascii="仿宋" w:hAnsi="仿宋" w:eastAsia="仿宋" w:cs="仿宋"/>
          <w:sz w:val="28"/>
          <w:szCs w:val="28"/>
        </w:rPr>
      </w:pPr>
      <w:r>
        <w:rPr>
          <w:rFonts w:hint="eastAsia" w:ascii="仿宋" w:hAnsi="仿宋" w:eastAsia="仿宋" w:cs="仿宋"/>
          <w:sz w:val="28"/>
          <w:szCs w:val="28"/>
        </w:rPr>
        <w:t>法定代表人（负责人）：（签字）</w:t>
      </w:r>
    </w:p>
    <w:p>
      <w:pPr>
        <w:spacing w:line="560" w:lineRule="exact"/>
        <w:ind w:firstLine="3130" w:firstLineChars="1118"/>
        <w:rPr>
          <w:rFonts w:ascii="仿宋" w:hAnsi="仿宋" w:eastAsia="仿宋" w:cs="仿宋"/>
          <w:sz w:val="28"/>
          <w:szCs w:val="28"/>
        </w:rPr>
      </w:pPr>
      <w:r>
        <w:rPr>
          <w:rFonts w:hint="eastAsia" w:ascii="仿宋" w:hAnsi="仿宋" w:eastAsia="仿宋" w:cs="仿宋"/>
          <w:sz w:val="28"/>
          <w:szCs w:val="28"/>
        </w:rPr>
        <w:t>或</w:t>
      </w:r>
    </w:p>
    <w:p>
      <w:pPr>
        <w:spacing w:line="560" w:lineRule="exact"/>
        <w:ind w:firstLine="3130" w:firstLineChars="1118"/>
        <w:rPr>
          <w:rFonts w:ascii="仿宋" w:hAnsi="仿宋" w:eastAsia="仿宋" w:cs="仿宋"/>
          <w:sz w:val="28"/>
          <w:szCs w:val="28"/>
        </w:rPr>
      </w:pPr>
      <w:r>
        <w:rPr>
          <w:rFonts w:hint="eastAsia" w:ascii="仿宋" w:hAnsi="仿宋" w:eastAsia="仿宋" w:cs="仿宋"/>
          <w:sz w:val="28"/>
          <w:szCs w:val="28"/>
        </w:rPr>
        <w:t>委托全权代理人：（签字）</w:t>
      </w:r>
    </w:p>
    <w:p>
      <w:pPr>
        <w:spacing w:line="560" w:lineRule="exact"/>
        <w:ind w:firstLine="3130" w:firstLineChars="1118"/>
        <w:jc w:val="center"/>
        <w:rPr>
          <w:rFonts w:ascii="仿宋" w:hAnsi="仿宋" w:eastAsia="仿宋" w:cs="仿宋"/>
          <w:sz w:val="28"/>
          <w:szCs w:val="28"/>
        </w:rPr>
      </w:pPr>
    </w:p>
    <w:p>
      <w:pPr>
        <w:spacing w:line="560" w:lineRule="exact"/>
        <w:ind w:firstLine="3130" w:firstLineChars="1118"/>
        <w:rPr>
          <w:rFonts w:ascii="仿宋" w:hAnsi="仿宋" w:eastAsia="仿宋" w:cs="仿宋"/>
          <w:sz w:val="28"/>
          <w:szCs w:val="28"/>
        </w:rPr>
      </w:pPr>
      <w:r>
        <w:rPr>
          <w:rFonts w:hint="eastAsia" w:ascii="仿宋" w:hAnsi="仿宋" w:eastAsia="仿宋" w:cs="仿宋"/>
          <w:sz w:val="28"/>
          <w:szCs w:val="28"/>
        </w:rPr>
        <w:t>签署日期：  年   月   日</w:t>
      </w:r>
    </w:p>
    <w:p>
      <w:pPr>
        <w:spacing w:before="156" w:beforeLines="50" w:after="156" w:afterLines="50"/>
        <w:ind w:firstLine="602"/>
        <w:rPr>
          <w:rFonts w:ascii="宋体" w:hAnsi="宋体" w:cs="宋体"/>
          <w:b/>
          <w:sz w:val="28"/>
          <w:szCs w:val="28"/>
        </w:rPr>
      </w:pPr>
    </w:p>
    <w:p>
      <w:pPr>
        <w:spacing w:before="156" w:beforeLines="50" w:after="156" w:afterLines="50"/>
        <w:rPr>
          <w:rFonts w:ascii="宋体" w:hAnsi="宋体" w:cs="宋体"/>
          <w:b/>
          <w:sz w:val="30"/>
          <w:szCs w:val="30"/>
        </w:rPr>
      </w:pPr>
    </w:p>
    <w:p>
      <w:pPr>
        <w:spacing w:line="360" w:lineRule="auto"/>
        <w:jc w:val="left"/>
        <w:rPr>
          <w:rFonts w:ascii="仿宋_GB2312" w:hAnsi="仿宋_GB2312" w:eastAsia="仿宋_GB2312" w:cs="仿宋_GB2312"/>
          <w:kern w:val="0"/>
          <w:sz w:val="28"/>
          <w:szCs w:val="28"/>
          <w:lang w:bidi="ar"/>
        </w:rPr>
      </w:pPr>
    </w:p>
    <w:p>
      <w:pPr>
        <w:spacing w:line="360" w:lineRule="auto"/>
        <w:jc w:val="lef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附件十 享受优惠政策情况</w:t>
      </w:r>
    </w:p>
    <w:p>
      <w:pPr>
        <w:spacing w:line="360" w:lineRule="auto"/>
        <w:jc w:val="lef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1.中小企业声明函（格式如下）</w:t>
      </w: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中小企业声明函（</w:t>
      </w:r>
      <w:r>
        <w:rPr>
          <w:rFonts w:hint="eastAsia" w:ascii="方正小标宋简体" w:hAnsi="方正小标宋简体" w:eastAsia="方正小标宋简体" w:cs="方正小标宋简体"/>
          <w:bCs/>
          <w:sz w:val="40"/>
          <w:lang w:eastAsia="zh-CN"/>
        </w:rPr>
        <w:t>货物</w:t>
      </w:r>
      <w:bookmarkStart w:id="11" w:name="_GoBack"/>
      <w:bookmarkEnd w:id="11"/>
      <w:r>
        <w:rPr>
          <w:rFonts w:hint="eastAsia" w:ascii="方正小标宋简体" w:hAnsi="方正小标宋简体" w:eastAsia="方正小标宋简体" w:cs="方正小标宋简体"/>
          <w:bCs/>
          <w:sz w:val="40"/>
        </w:rPr>
        <w:t>）</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本公司（联合体）郑重声明，根据《政府采购促进中小企业发展管理办法》（财库﹝2020﹞46号）的规定，本公司（联合体）参加</w:t>
      </w:r>
      <w:r>
        <w:rPr>
          <w:rFonts w:hint="eastAsia" w:ascii="仿宋_GB2312" w:hAnsi="仿宋_GB2312" w:eastAsia="仿宋_GB2312" w:cs="仿宋_GB2312"/>
          <w:i/>
          <w:kern w:val="0"/>
          <w:sz w:val="28"/>
          <w:szCs w:val="28"/>
          <w:u w:val="single"/>
          <w:lang w:bidi="ar"/>
        </w:rPr>
        <w:t>（单位名称）</w:t>
      </w:r>
      <w:r>
        <w:rPr>
          <w:rFonts w:hint="eastAsia" w:ascii="仿宋_GB2312" w:hAnsi="仿宋_GB2312" w:eastAsia="仿宋_GB2312" w:cs="仿宋_GB2312"/>
          <w:kern w:val="0"/>
          <w:sz w:val="28"/>
          <w:szCs w:val="28"/>
          <w:lang w:bidi="ar"/>
        </w:rPr>
        <w:t>的</w:t>
      </w:r>
      <w:r>
        <w:rPr>
          <w:rFonts w:hint="eastAsia" w:ascii="仿宋_GB2312" w:hAnsi="仿宋_GB2312" w:eastAsia="仿宋_GB2312" w:cs="仿宋_GB2312"/>
          <w:i/>
          <w:kern w:val="0"/>
          <w:sz w:val="28"/>
          <w:szCs w:val="28"/>
          <w:u w:val="single"/>
          <w:lang w:bidi="ar"/>
        </w:rPr>
        <w:t>（项目名称）</w:t>
      </w:r>
      <w:r>
        <w:rPr>
          <w:rFonts w:hint="eastAsia" w:ascii="仿宋_GB2312" w:hAnsi="仿宋_GB2312" w:eastAsia="仿宋_GB2312" w:cs="仿宋_GB2312"/>
          <w:kern w:val="0"/>
          <w:sz w:val="28"/>
          <w:szCs w:val="28"/>
          <w:lang w:bidi="ar"/>
        </w:rPr>
        <w:t>采购活动，工程的施工单位全部为符合政策要求的中小企业。相关企业（含联合体中的中小企业、签订分包意向协议的中小企业）的具体情况如下：</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w:t>
      </w:r>
      <w:r>
        <w:rPr>
          <w:rFonts w:hint="eastAsia" w:ascii="仿宋_GB2312" w:hAnsi="仿宋_GB2312" w:eastAsia="仿宋_GB2312" w:cs="仿宋_GB2312"/>
          <w:i/>
          <w:kern w:val="0"/>
          <w:sz w:val="28"/>
          <w:szCs w:val="28"/>
          <w:u w:val="single"/>
          <w:lang w:bidi="ar"/>
        </w:rPr>
        <w:t>（标的名称）</w:t>
      </w:r>
      <w:r>
        <w:rPr>
          <w:rFonts w:hint="eastAsia" w:ascii="仿宋_GB2312" w:hAnsi="仿宋_GB2312" w:eastAsia="仿宋_GB2312" w:cs="仿宋_GB2312"/>
          <w:kern w:val="0"/>
          <w:sz w:val="28"/>
          <w:szCs w:val="28"/>
          <w:lang w:bidi="ar"/>
        </w:rPr>
        <w:t>，属于</w:t>
      </w:r>
      <w:r>
        <w:rPr>
          <w:rFonts w:hint="eastAsia" w:ascii="仿宋_GB2312" w:hAnsi="仿宋_GB2312" w:eastAsia="仿宋_GB2312" w:cs="仿宋_GB2312"/>
          <w:i/>
          <w:kern w:val="0"/>
          <w:sz w:val="28"/>
          <w:szCs w:val="28"/>
          <w:u w:val="single"/>
          <w:lang w:bidi="ar"/>
        </w:rPr>
        <w:t>（采购文件中明确的所属行业）</w:t>
      </w:r>
      <w:r>
        <w:rPr>
          <w:rFonts w:hint="eastAsia" w:ascii="仿宋_GB2312" w:hAnsi="仿宋_GB2312" w:eastAsia="仿宋_GB2312" w:cs="仿宋_GB2312"/>
          <w:kern w:val="0"/>
          <w:sz w:val="28"/>
          <w:szCs w:val="28"/>
          <w:lang w:bidi="ar"/>
        </w:rPr>
        <w:t>；承建（承接）企业为</w:t>
      </w:r>
      <w:r>
        <w:rPr>
          <w:rFonts w:hint="eastAsia" w:ascii="仿宋_GB2312" w:hAnsi="仿宋_GB2312" w:eastAsia="仿宋_GB2312" w:cs="仿宋_GB2312"/>
          <w:i/>
          <w:kern w:val="0"/>
          <w:sz w:val="28"/>
          <w:szCs w:val="28"/>
          <w:u w:val="single"/>
          <w:lang w:bidi="ar"/>
        </w:rPr>
        <w:t>（企业名称）</w:t>
      </w:r>
      <w:r>
        <w:rPr>
          <w:rFonts w:hint="eastAsia" w:ascii="仿宋_GB2312" w:hAnsi="仿宋_GB2312" w:eastAsia="仿宋_GB2312" w:cs="仿宋_GB2312"/>
          <w:kern w:val="0"/>
          <w:sz w:val="28"/>
          <w:szCs w:val="28"/>
          <w:lang w:bidi="ar"/>
        </w:rPr>
        <w:t>，从业人员人，营业收入为万元，资产总额为万元¹，属于</w:t>
      </w:r>
      <w:r>
        <w:rPr>
          <w:rFonts w:hint="eastAsia" w:ascii="仿宋_GB2312" w:hAnsi="仿宋_GB2312" w:eastAsia="仿宋_GB2312" w:cs="仿宋_GB2312"/>
          <w:i/>
          <w:kern w:val="0"/>
          <w:sz w:val="28"/>
          <w:szCs w:val="28"/>
          <w:u w:val="single"/>
          <w:lang w:bidi="ar"/>
        </w:rPr>
        <w:t>（中型企业、小型企业、微型企业）</w:t>
      </w:r>
      <w:r>
        <w:rPr>
          <w:rFonts w:hint="eastAsia" w:ascii="仿宋_GB2312" w:hAnsi="仿宋_GB2312" w:eastAsia="仿宋_GB2312" w:cs="仿宋_GB2312"/>
          <w:kern w:val="0"/>
          <w:sz w:val="28"/>
          <w:szCs w:val="28"/>
          <w:lang w:bidi="ar"/>
        </w:rPr>
        <w:t>；</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以上企业，不属于大企业的分支机构，不存在控股股东为大企业的情形，也不存在与大企业的负责人为同一人的情形。</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本企业对上述声明内容的真实性负责。如有虚假，将依法承担相应责任。</w:t>
      </w:r>
    </w:p>
    <w:p>
      <w:pPr>
        <w:spacing w:line="360" w:lineRule="auto"/>
        <w:jc w:val="center"/>
        <w:rPr>
          <w:rFonts w:ascii="仿宋_GB2312" w:hAnsi="仿宋_GB2312" w:eastAsia="仿宋_GB2312" w:cs="仿宋_GB2312"/>
          <w:kern w:val="0"/>
          <w:sz w:val="28"/>
          <w:szCs w:val="28"/>
          <w:lang w:bidi="ar"/>
        </w:rPr>
      </w:pPr>
    </w:p>
    <w:p>
      <w:pPr>
        <w:spacing w:line="360" w:lineRule="auto"/>
        <w:rPr>
          <w:rFonts w:ascii="仿宋_GB2312" w:hAnsi="仿宋_GB2312" w:eastAsia="仿宋_GB2312" w:cs="仿宋_GB2312"/>
          <w:kern w:val="0"/>
          <w:sz w:val="28"/>
          <w:szCs w:val="28"/>
          <w:lang w:bidi="ar"/>
        </w:rPr>
      </w:pPr>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xml:space="preserve">                  企业名称（盖章）：</w:t>
      </w:r>
    </w:p>
    <w:p>
      <w:pPr>
        <w:spacing w:line="360" w:lineRule="auto"/>
        <w:ind w:firstLine="5320" w:firstLineChars="1900"/>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日期：</w:t>
      </w:r>
    </w:p>
    <w:p>
      <w:pPr>
        <w:spacing w:line="360" w:lineRule="auto"/>
        <w:rPr>
          <w:rFonts w:ascii="宋体" w:hAnsi="宋体" w:cs="宋体"/>
          <w:sz w:val="24"/>
        </w:rPr>
      </w:pPr>
    </w:p>
    <w:p>
      <w:pPr>
        <w:spacing w:line="0" w:lineRule="atLeast"/>
        <w:rPr>
          <w:rFonts w:ascii="微软雅黑" w:hAnsi="微软雅黑" w:eastAsia="微软雅黑" w:cs="微软雅黑"/>
          <w:kern w:val="0"/>
          <w:sz w:val="18"/>
          <w:szCs w:val="18"/>
          <w:u w:val="single"/>
          <w:lang w:bidi="ar"/>
        </w:rPr>
      </w:pPr>
      <w:r>
        <w:rPr>
          <w:rFonts w:hint="eastAsia" w:ascii="微软雅黑" w:hAnsi="微软雅黑" w:eastAsia="微软雅黑" w:cs="微软雅黑"/>
          <w:kern w:val="0"/>
          <w:sz w:val="18"/>
          <w:szCs w:val="18"/>
          <w:u w:val="single"/>
          <w:lang w:bidi="ar"/>
        </w:rPr>
        <w:t xml:space="preserve">               </w:t>
      </w:r>
    </w:p>
    <w:p>
      <w:pPr>
        <w:spacing w:line="0" w:lineRule="atLeast"/>
        <w:rPr>
          <w:rFonts w:ascii="宋体" w:hAnsi="宋体" w:cs="宋体"/>
          <w:sz w:val="28"/>
          <w:szCs w:val="28"/>
        </w:rPr>
      </w:pPr>
      <w:r>
        <w:rPr>
          <w:rFonts w:hint="eastAsia" w:ascii="微软雅黑" w:hAnsi="微软雅黑" w:eastAsia="微软雅黑" w:cs="微软雅黑"/>
          <w:kern w:val="0"/>
          <w:sz w:val="20"/>
          <w:szCs w:val="20"/>
          <w:lang w:bidi="ar"/>
        </w:rPr>
        <w:t>¹</w:t>
      </w:r>
      <w:r>
        <w:rPr>
          <w:rFonts w:hint="eastAsia" w:ascii="宋体" w:hAnsi="宋体" w:cs="宋体"/>
          <w:kern w:val="0"/>
          <w:sz w:val="20"/>
          <w:szCs w:val="20"/>
          <w:lang w:bidi="ar"/>
        </w:rPr>
        <w:t>从业人员、营业收入、资产总额填报上一年度数据，无上一年度数据的新成立企业可不填报。</w:t>
      </w:r>
    </w:p>
    <w:p>
      <w:pPr>
        <w:spacing w:line="240" w:lineRule="atLeast"/>
        <w:rPr>
          <w:rFonts w:ascii="宋体" w:hAnsi="宋体" w:cs="宋体"/>
          <w:szCs w:val="21"/>
        </w:rPr>
      </w:pPr>
    </w:p>
    <w:p>
      <w:pPr>
        <w:spacing w:line="360" w:lineRule="auto"/>
        <w:jc w:val="left"/>
        <w:rPr>
          <w:rFonts w:ascii="仿宋_GB2312" w:hAnsi="仿宋_GB2312" w:eastAsia="仿宋_GB2312" w:cs="仿宋_GB2312"/>
          <w:kern w:val="0"/>
          <w:sz w:val="28"/>
          <w:szCs w:val="28"/>
          <w:lang w:bidi="ar"/>
        </w:rPr>
      </w:pPr>
    </w:p>
    <w:p>
      <w:pPr>
        <w:spacing w:line="360" w:lineRule="auto"/>
        <w:jc w:val="lef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2.残疾人福利性单位声明函（格式如下）</w:t>
      </w: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残疾人福利性单位声明函（如有）</w:t>
      </w:r>
    </w:p>
    <w:p>
      <w:pPr>
        <w:spacing w:line="400" w:lineRule="exact"/>
        <w:ind w:firstLine="726"/>
        <w:jc w:val="center"/>
        <w:rPr>
          <w:rFonts w:ascii="宋体" w:hAnsi="宋体" w:cs="宋体"/>
          <w:b/>
          <w:kern w:val="0"/>
          <w:sz w:val="36"/>
          <w:szCs w:val="36"/>
        </w:rPr>
      </w:pPr>
    </w:p>
    <w:p>
      <w:pPr>
        <w:spacing w:line="360" w:lineRule="auto"/>
        <w:ind w:firstLine="560" w:firstLineChars="200"/>
        <w:jc w:val="lef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jc w:val="lef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本单位对上述声明的真实性负责。如有虚假，将依法承担相应责任。</w:t>
      </w:r>
    </w:p>
    <w:p>
      <w:pPr>
        <w:spacing w:line="360" w:lineRule="auto"/>
        <w:jc w:val="left"/>
        <w:rPr>
          <w:rFonts w:ascii="仿宋_GB2312" w:hAnsi="仿宋_GB2312" w:eastAsia="仿宋_GB2312" w:cs="仿宋_GB2312"/>
          <w:kern w:val="0"/>
          <w:sz w:val="28"/>
          <w:szCs w:val="28"/>
          <w:lang w:bidi="ar"/>
        </w:rPr>
      </w:pPr>
    </w:p>
    <w:p>
      <w:pPr>
        <w:spacing w:line="360" w:lineRule="auto"/>
        <w:jc w:val="left"/>
        <w:rPr>
          <w:rFonts w:ascii="仿宋_GB2312" w:hAnsi="仿宋_GB2312" w:eastAsia="仿宋_GB2312" w:cs="仿宋_GB2312"/>
          <w:kern w:val="0"/>
          <w:sz w:val="28"/>
          <w:szCs w:val="28"/>
          <w:lang w:bidi="ar"/>
        </w:rPr>
      </w:pPr>
    </w:p>
    <w:p>
      <w:pPr>
        <w:spacing w:line="360" w:lineRule="auto"/>
        <w:jc w:val="lef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                                 单位名称（盖章）：</w:t>
      </w:r>
    </w:p>
    <w:p>
      <w:pPr>
        <w:spacing w:line="360" w:lineRule="auto"/>
        <w:ind w:firstLine="5320" w:firstLineChars="1900"/>
        <w:jc w:val="lef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日  期：</w:t>
      </w:r>
    </w:p>
    <w:p>
      <w:pPr>
        <w:ind w:firstLine="482"/>
        <w:jc w:val="right"/>
        <w:rPr>
          <w:rFonts w:ascii="宋体" w:hAnsi="宋体" w:cs="宋体"/>
          <w:b/>
        </w:rPr>
      </w:pPr>
    </w:p>
    <w:p>
      <w:pPr>
        <w:ind w:firstLine="482"/>
        <w:jc w:val="center"/>
        <w:rPr>
          <w:rFonts w:ascii="宋体" w:hAnsi="宋体" w:cs="宋体"/>
          <w:b/>
        </w:rPr>
      </w:pPr>
    </w:p>
    <w:p>
      <w:pPr>
        <w:ind w:firstLine="482"/>
        <w:jc w:val="center"/>
        <w:rPr>
          <w:rFonts w:ascii="宋体" w:hAnsi="宋体" w:cs="宋体"/>
          <w:b/>
        </w:rPr>
      </w:pPr>
    </w:p>
    <w:p>
      <w:pPr>
        <w:ind w:firstLine="482"/>
        <w:jc w:val="center"/>
        <w:rPr>
          <w:rFonts w:ascii="宋体" w:hAnsi="宋体" w:cs="宋体"/>
          <w:b/>
        </w:rPr>
      </w:pPr>
    </w:p>
    <w:p>
      <w:pPr>
        <w:ind w:firstLine="482"/>
        <w:jc w:val="center"/>
        <w:rPr>
          <w:rFonts w:ascii="宋体" w:hAnsi="宋体" w:cs="宋体"/>
          <w:b/>
        </w:rPr>
      </w:pPr>
    </w:p>
    <w:p>
      <w:pPr>
        <w:ind w:firstLine="482"/>
        <w:jc w:val="center"/>
        <w:rPr>
          <w:rFonts w:ascii="宋体" w:hAnsi="宋体" w:cs="宋体"/>
          <w:b/>
        </w:rPr>
      </w:pPr>
    </w:p>
    <w:p>
      <w:pPr>
        <w:ind w:firstLine="482"/>
        <w:jc w:val="center"/>
        <w:rPr>
          <w:rFonts w:ascii="宋体" w:hAnsi="宋体" w:cs="宋体"/>
          <w:b/>
        </w:rPr>
      </w:pPr>
    </w:p>
    <w:p>
      <w:pPr>
        <w:ind w:firstLine="482"/>
        <w:jc w:val="center"/>
        <w:rPr>
          <w:rFonts w:ascii="宋体" w:hAnsi="宋体" w:cs="宋体"/>
          <w:b/>
        </w:rPr>
      </w:pPr>
    </w:p>
    <w:p>
      <w:pPr>
        <w:ind w:firstLine="482"/>
        <w:jc w:val="center"/>
        <w:rPr>
          <w:rFonts w:ascii="宋体" w:hAnsi="宋体" w:cs="宋体"/>
          <w:b/>
        </w:rPr>
      </w:pPr>
    </w:p>
    <w:p>
      <w:pPr>
        <w:ind w:firstLine="482"/>
        <w:jc w:val="center"/>
        <w:rPr>
          <w:rFonts w:ascii="宋体" w:hAnsi="宋体" w:cs="宋体"/>
          <w:b/>
        </w:rPr>
      </w:pPr>
    </w:p>
    <w:p>
      <w:pPr>
        <w:ind w:firstLine="482"/>
        <w:jc w:val="center"/>
        <w:rPr>
          <w:rFonts w:ascii="宋体" w:hAnsi="宋体" w:cs="宋体"/>
          <w:b/>
        </w:rPr>
      </w:pPr>
    </w:p>
    <w:p>
      <w:pPr>
        <w:pStyle w:val="20"/>
        <w:spacing w:after="156"/>
      </w:pPr>
    </w:p>
    <w:p>
      <w:pPr>
        <w:ind w:firstLine="482"/>
        <w:jc w:val="center"/>
        <w:rPr>
          <w:rFonts w:ascii="宋体" w:hAnsi="宋体" w:cs="宋体"/>
          <w:b/>
        </w:rPr>
      </w:pPr>
    </w:p>
    <w:p>
      <w:pPr>
        <w:rPr>
          <w:rFonts w:ascii="宋体" w:hAnsi="宋体" w:cs="宋体"/>
          <w:b/>
        </w:rPr>
      </w:pPr>
    </w:p>
    <w:p>
      <w:pPr>
        <w:ind w:firstLine="482"/>
        <w:jc w:val="center"/>
        <w:rPr>
          <w:rFonts w:ascii="宋体" w:hAnsi="宋体" w:cs="宋体"/>
          <w:b/>
        </w:rPr>
      </w:pPr>
    </w:p>
    <w:p>
      <w:pPr>
        <w:spacing w:line="360" w:lineRule="auto"/>
        <w:jc w:val="lef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3.监狱企业声明函</w:t>
      </w:r>
    </w:p>
    <w:p>
      <w:pPr>
        <w:ind w:firstLine="480"/>
        <w:rPr>
          <w:rFonts w:ascii="宋体" w:hAnsi="宋体" w:cs="宋体"/>
          <w:b/>
        </w:rPr>
      </w:pPr>
      <w:r>
        <w:rPr>
          <w:rFonts w:hint="eastAsia" w:ascii="宋体" w:hAnsi="宋体" w:cs="宋体"/>
          <w:b/>
        </w:rPr>
        <w:t xml:space="preserve">      </w:t>
      </w:r>
    </w:p>
    <w:p>
      <w:pPr>
        <w:jc w:val="center"/>
        <w:textAlignment w:val="baseline"/>
        <w:rPr>
          <w:rFonts w:ascii="方正小标宋简体" w:hAnsi="方正小标宋简体" w:eastAsia="方正小标宋简体" w:cs="方正小标宋简体"/>
          <w:bCs/>
          <w:sz w:val="40"/>
        </w:rPr>
      </w:pPr>
      <w:r>
        <w:rPr>
          <w:rFonts w:hint="eastAsia" w:ascii="方正小标宋简体" w:hAnsi="方正小标宋简体" w:eastAsia="方正小标宋简体" w:cs="方正小标宋简体"/>
          <w:bCs/>
          <w:sz w:val="40"/>
        </w:rPr>
        <w:t>监狱性单位声明函（如有）</w:t>
      </w:r>
    </w:p>
    <w:p>
      <w:pPr>
        <w:spacing w:line="588" w:lineRule="exact"/>
        <w:ind w:firstLine="480"/>
        <w:rPr>
          <w:rFonts w:ascii="宋体" w:hAnsi="宋体" w:cs="宋体"/>
          <w:kern w:val="0"/>
        </w:rPr>
      </w:pPr>
    </w:p>
    <w:p>
      <w:pPr>
        <w:spacing w:line="360" w:lineRule="auto"/>
        <w:ind w:firstLine="560" w:firstLineChars="200"/>
        <w:jc w:val="lef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本单位郑重声明，根据《财政部 司法部关于政府采购支持监狱企业发展有关问题的通知》(财库〔2014〕68号)的规定，本单位为符合条件的监狱性单位，且本单位参加______单位的______项目采购活动提供本单位制造的货物（由本单位承担工程/提供服务），享受预留份额、评审中价格扣除等政府采购促进中小企业发展的政府采购政策。</w:t>
      </w:r>
    </w:p>
    <w:p>
      <w:pPr>
        <w:spacing w:line="360" w:lineRule="auto"/>
        <w:ind w:firstLine="560" w:firstLineChars="200"/>
        <w:jc w:val="lef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本单位对上述声明的真实性负责。如有虚假，将依法承担相应责任。</w:t>
      </w:r>
    </w:p>
    <w:p>
      <w:pPr>
        <w:spacing w:line="588" w:lineRule="exact"/>
        <w:ind w:firstLine="480"/>
        <w:rPr>
          <w:rFonts w:ascii="宋体" w:hAnsi="宋体" w:cs="宋体"/>
          <w:kern w:val="0"/>
        </w:rPr>
      </w:pPr>
    </w:p>
    <w:p>
      <w:pPr>
        <w:spacing w:line="360" w:lineRule="auto"/>
        <w:ind w:firstLine="420" w:firstLineChars="200"/>
        <w:jc w:val="left"/>
        <w:rPr>
          <w:rFonts w:ascii="仿宋_GB2312" w:hAnsi="仿宋_GB2312" w:eastAsia="仿宋_GB2312" w:cs="仿宋_GB2312"/>
          <w:kern w:val="0"/>
          <w:sz w:val="28"/>
          <w:szCs w:val="28"/>
          <w:lang w:bidi="ar"/>
        </w:rPr>
      </w:pPr>
      <w:r>
        <w:rPr>
          <w:rFonts w:ascii="宋体" w:hAnsi="宋体" w:cs="宋体"/>
          <w:kern w:val="0"/>
        </w:rPr>
        <w:t xml:space="preserve">              </w:t>
      </w:r>
      <w:r>
        <w:rPr>
          <w:rFonts w:hint="eastAsia" w:ascii="仿宋_GB2312" w:hAnsi="仿宋_GB2312" w:eastAsia="仿宋_GB2312" w:cs="仿宋_GB2312"/>
          <w:kern w:val="0"/>
          <w:sz w:val="28"/>
          <w:szCs w:val="28"/>
          <w:lang w:bidi="ar"/>
        </w:rPr>
        <w:t xml:space="preserve">                     单位名称（盖章）：</w:t>
      </w:r>
    </w:p>
    <w:p>
      <w:pPr>
        <w:spacing w:line="360" w:lineRule="auto"/>
        <w:ind w:firstLine="5320" w:firstLineChars="1900"/>
        <w:jc w:val="left"/>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日  期：</w:t>
      </w:r>
    </w:p>
    <w:p>
      <w:pPr>
        <w:spacing w:line="360" w:lineRule="auto"/>
        <w:ind w:firstLine="560" w:firstLineChars="200"/>
        <w:jc w:val="left"/>
        <w:rPr>
          <w:rFonts w:ascii="仿宋_GB2312" w:hAnsi="仿宋_GB2312" w:eastAsia="仿宋_GB2312" w:cs="仿宋_GB2312"/>
          <w:kern w:val="0"/>
          <w:sz w:val="28"/>
          <w:szCs w:val="28"/>
          <w:lang w:bidi="ar"/>
        </w:rPr>
      </w:pPr>
    </w:p>
    <w:p>
      <w:pPr>
        <w:pStyle w:val="20"/>
        <w:spacing w:after="156"/>
        <w:rPr>
          <w:rFonts w:ascii="仿宋_GB2312" w:hAnsi="仿宋_GB2312" w:eastAsia="仿宋_GB2312" w:cs="仿宋_GB2312"/>
          <w:sz w:val="28"/>
          <w:szCs w:val="28"/>
          <w:lang w:bidi="ar"/>
        </w:rPr>
      </w:pPr>
    </w:p>
    <w:p>
      <w:pPr>
        <w:pStyle w:val="20"/>
        <w:spacing w:after="156"/>
        <w:rPr>
          <w:rFonts w:ascii="仿宋_GB2312" w:hAnsi="仿宋_GB2312" w:eastAsia="仿宋_GB2312" w:cs="仿宋_GB2312"/>
          <w:sz w:val="28"/>
          <w:szCs w:val="28"/>
          <w:lang w:bidi="ar"/>
        </w:rPr>
      </w:pPr>
    </w:p>
    <w:p>
      <w:pPr>
        <w:pStyle w:val="20"/>
        <w:spacing w:after="156"/>
        <w:rPr>
          <w:rFonts w:ascii="仿宋_GB2312" w:hAnsi="仿宋_GB2312" w:eastAsia="仿宋_GB2312" w:cs="仿宋_GB2312"/>
          <w:sz w:val="28"/>
          <w:szCs w:val="28"/>
          <w:lang w:bidi="ar"/>
        </w:rPr>
      </w:pPr>
    </w:p>
    <w:p>
      <w:pPr>
        <w:rPr>
          <w:rFonts w:ascii="宋体" w:hAnsi="宋体" w:cs="宋体"/>
          <w:kern w:val="0"/>
        </w:rPr>
      </w:pPr>
    </w:p>
    <w:p>
      <w:pPr>
        <w:spacing w:line="0" w:lineRule="atLeast"/>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附件：监狱企业参加政府采购活动时，应当提供由省级以上监狱管理局、戒毒管理局（含新疆生产建设兵团）出具的属于监狱企业的证明文件</w:t>
      </w:r>
    </w:p>
    <w:p>
      <w:pPr>
        <w:pStyle w:val="11"/>
      </w:pPr>
    </w:p>
    <w:p>
      <w:pPr>
        <w:pStyle w:val="42"/>
        <w:spacing w:line="360" w:lineRule="atLeast"/>
        <w:jc w:val="both"/>
        <w:rPr>
          <w:rFonts w:ascii="宋体" w:hAnsi="宋体" w:cs="宋体"/>
          <w:color w:val="auto"/>
          <w:sz w:val="28"/>
          <w:szCs w:val="28"/>
        </w:rPr>
      </w:pPr>
      <w:r>
        <w:rPr>
          <w:rFonts w:hint="eastAsia" w:ascii="宋体" w:hAnsi="宋体" w:cs="宋体"/>
          <w:color w:val="auto"/>
          <w:sz w:val="28"/>
          <w:szCs w:val="28"/>
        </w:rPr>
        <w:t xml:space="preserve">附件十一 </w:t>
      </w:r>
    </w:p>
    <w:p>
      <w:pPr>
        <w:pStyle w:val="42"/>
        <w:spacing w:line="360" w:lineRule="atLeast"/>
        <w:jc w:val="both"/>
        <w:rPr>
          <w:rFonts w:ascii="宋体" w:hAnsi="宋体" w:cs="宋体"/>
          <w:color w:val="auto"/>
          <w:sz w:val="28"/>
          <w:szCs w:val="28"/>
        </w:rPr>
      </w:pPr>
    </w:p>
    <w:p>
      <w:pPr>
        <w:pStyle w:val="42"/>
        <w:spacing w:line="360" w:lineRule="atLeast"/>
        <w:jc w:val="center"/>
        <w:rPr>
          <w:rFonts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其他有利于投标的资料</w:t>
      </w:r>
    </w:p>
    <w:p>
      <w:pPr>
        <w:pStyle w:val="16"/>
        <w:spacing w:line="360" w:lineRule="auto"/>
        <w:ind w:firstLine="0"/>
        <w:rPr>
          <w:rFonts w:hAnsi="宋体" w:cs="宋体"/>
          <w:szCs w:val="28"/>
        </w:rPr>
      </w:pPr>
      <w:r>
        <w:rPr>
          <w:rFonts w:hint="eastAsia" w:hAnsi="宋体" w:cs="宋体"/>
          <w:szCs w:val="36"/>
        </w:rPr>
        <w:t xml:space="preserve"> </w:t>
      </w:r>
      <w:r>
        <w:rPr>
          <w:rFonts w:hint="eastAsia" w:ascii="仿宋_GB2312" w:hAnsi="宋体" w:eastAsia="仿宋_GB2312" w:cs="宋体"/>
        </w:rPr>
        <w:t>投标人认为有必要提供的声明及文件资料</w:t>
      </w:r>
      <w:r>
        <w:rPr>
          <w:rFonts w:hint="eastAsia" w:hAnsi="宋体" w:cs="宋体"/>
          <w:szCs w:val="36"/>
        </w:rPr>
        <w:t>（</w:t>
      </w:r>
      <w:r>
        <w:rPr>
          <w:rFonts w:hint="eastAsia" w:ascii="仿宋_GB2312" w:hAnsi="宋体" w:eastAsia="仿宋_GB2312" w:cs="宋体"/>
        </w:rPr>
        <w:t>如有，须原件扫描件</w:t>
      </w:r>
      <w:r>
        <w:rPr>
          <w:rFonts w:hint="eastAsia" w:hAnsi="宋体" w:cs="宋体"/>
          <w:szCs w:val="36"/>
        </w:rPr>
        <w:t xml:space="preserve"> ）   </w:t>
      </w:r>
    </w:p>
    <w:p>
      <w:pPr>
        <w:pStyle w:val="16"/>
        <w:spacing w:line="360" w:lineRule="auto"/>
        <w:rPr>
          <w:rFonts w:hAnsi="宋体" w:cs="宋体"/>
          <w:kern w:val="0"/>
          <w:sz w:val="24"/>
        </w:rPr>
      </w:pPr>
    </w:p>
    <w:p>
      <w:pPr>
        <w:pStyle w:val="54"/>
        <w:widowControl w:val="0"/>
        <w:spacing w:after="156" w:afterLines="50" w:line="520" w:lineRule="exact"/>
        <w:rPr>
          <w:rFonts w:hAnsi="宋体" w:cs="宋体"/>
          <w:sz w:val="28"/>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bookmarkEnd w:id="10"/>
    <w:p>
      <w:pPr>
        <w:rPr>
          <w:rFonts w:ascii="仿宋_GB2312" w:hAnsi="仿宋_GB2312" w:eastAsia="仿宋_GB2312" w:cs="仿宋_GB2312"/>
        </w:rPr>
      </w:pPr>
    </w:p>
    <w:p>
      <w:pPr>
        <w:rPr>
          <w:rFonts w:ascii="仿宋_GB2312" w:hAnsi="仿宋_GB2312" w:eastAsia="仿宋_GB2312" w:cs="仿宋_GB2312"/>
        </w:rPr>
      </w:pPr>
    </w:p>
    <w:p>
      <w:pPr>
        <w:pStyle w:val="39"/>
        <w:rPr>
          <w:rFonts w:ascii="仿宋_GB2312" w:hAnsi="仿宋_GB2312" w:eastAsia="仿宋_GB2312" w:cs="仿宋_GB2312"/>
          <w:color w:val="auto"/>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E75772-4E54-40ED-8E13-6CD233040D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DE2EC2B-7351-467C-B938-BA48008797F7}"/>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AF3E1D79-81BD-4E2E-B80D-AE51756DD195}"/>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4" w:fontKey="{98514CAF-ECAE-4289-852F-C029EE392190}"/>
  </w:font>
  <w:font w:name="微软雅黑">
    <w:panose1 w:val="020B0503020204020204"/>
    <w:charset w:val="86"/>
    <w:family w:val="swiss"/>
    <w:pitch w:val="default"/>
    <w:sig w:usb0="80000287" w:usb1="280F3C52" w:usb2="00000016" w:usb3="00000000" w:csb0="0004001F" w:csb1="00000000"/>
    <w:embedRegular r:id="rId5" w:fontKey="{BD885183-72DC-4111-85C5-81870EBEB54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7"/>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4vdRNAAAAACAQAADwAAAAAAAAABACAAAAAiAAAAZHJz&#10;L2Rvd25yZXYueG1sUEsBAhQAFAAAAAgAh07iQFaC1m8MAgAABAQAAA4AAAAAAAAAAQAgAAAAHwEA&#10;AGRycy9lMm9Eb2MueG1sUEsFBgAAAAAGAAYAWQEAAJ0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20</w:t>
                    </w:r>
                    <w:r>
                      <w:fldChar w:fldCharType="end"/>
                    </w:r>
                  </w:p>
                </w:txbxContent>
              </v:textbox>
            </v:shape>
          </w:pict>
        </mc:Fallback>
      </mc:AlternateContent>
    </w:r>
  </w:p>
  <w:p>
    <w:pPr>
      <w:pStyle w:val="17"/>
      <w:framePr w:wrap="around" w:vAnchor="text" w:hAnchor="margin" w:xAlign="center" w:y="1"/>
      <w:ind w:right="360"/>
      <w:rPr>
        <w:rStyle w:val="28"/>
      </w:rPr>
    </w:pPr>
  </w:p>
  <w:p>
    <w:pPr>
      <w:pStyle w:val="17"/>
      <w:framePr w:wrap="around" w:vAnchor="text" w:hAnchor="page" w:x="901" w:yAlign="center"/>
      <w:ind w:right="360"/>
      <w:rPr>
        <w:rStyle w:val="28"/>
      </w:rPr>
    </w:pPr>
  </w:p>
  <w:p>
    <w:pPr>
      <w:pStyle w:val="17"/>
      <w:framePr w:wrap="around" w:vAnchor="text" w:hAnchor="page" w:x="901" w:y="772"/>
      <w:ind w:right="360"/>
      <w:rPr>
        <w:rStyle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fldChar w:fldCharType="begin"/>
    </w:r>
    <w:r>
      <w:rPr>
        <w:rStyle w:val="28"/>
      </w:rPr>
      <w:instrText xml:space="preserve">PAGE  </w:instrText>
    </w:r>
    <w:r>
      <w:fldChar w:fldCharType="end"/>
    </w:r>
  </w:p>
  <w:p>
    <w:pPr>
      <w:pStyle w:val="1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134CA"/>
    <w:multiLevelType w:val="singleLevel"/>
    <w:tmpl w:val="985134CA"/>
    <w:lvl w:ilvl="0" w:tentative="0">
      <w:start w:val="1"/>
      <w:numFmt w:val="decimal"/>
      <w:suff w:val="nothing"/>
      <w:lvlText w:val="（%1）"/>
      <w:lvlJc w:val="left"/>
    </w:lvl>
  </w:abstractNum>
  <w:abstractNum w:abstractNumId="1">
    <w:nsid w:val="526F33BB"/>
    <w:multiLevelType w:val="singleLevel"/>
    <w:tmpl w:val="526F33BB"/>
    <w:lvl w:ilvl="0" w:tentative="0">
      <w:start w:val="3"/>
      <w:numFmt w:val="chineseCounting"/>
      <w:suff w:val="space"/>
      <w:lvlText w:val="第%1章"/>
      <w:lvlJc w:val="left"/>
      <w:rPr>
        <w:rFonts w:cs="Times New Roman"/>
      </w:rPr>
    </w:lvl>
  </w:abstractNum>
  <w:abstractNum w:abstractNumId="2">
    <w:nsid w:val="58EDB93B"/>
    <w:multiLevelType w:val="singleLevel"/>
    <w:tmpl w:val="58EDB93B"/>
    <w:lvl w:ilvl="0" w:tentative="0">
      <w:start w:val="1"/>
      <w:numFmt w:val="decimal"/>
      <w:suff w:val="nothing"/>
      <w:lvlText w:val="%1、"/>
      <w:lvlJc w:val="left"/>
      <w:rPr>
        <w:rFonts w:cs="Times New Roman"/>
      </w:rPr>
    </w:lvl>
  </w:abstractNum>
  <w:abstractNum w:abstractNumId="3">
    <w:nsid w:val="64487842"/>
    <w:multiLevelType w:val="multilevel"/>
    <w:tmpl w:val="64487842"/>
    <w:lvl w:ilvl="0" w:tentative="0">
      <w:start w:val="1"/>
      <w:numFmt w:val="decimal"/>
      <w:pStyle w:val="6"/>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hZmJkOTJiMWJlMjI1ZDhkZDZiZWMzNWQ0MTIwYWQifQ=="/>
  </w:docVars>
  <w:rsids>
    <w:rsidRoot w:val="083822D5"/>
    <w:rsid w:val="000413E1"/>
    <w:rsid w:val="00062AF6"/>
    <w:rsid w:val="00065DF9"/>
    <w:rsid w:val="000A05FA"/>
    <w:rsid w:val="000D0926"/>
    <w:rsid w:val="000E2D07"/>
    <w:rsid w:val="00101660"/>
    <w:rsid w:val="00112DA0"/>
    <w:rsid w:val="00133DA6"/>
    <w:rsid w:val="00145171"/>
    <w:rsid w:val="00147D17"/>
    <w:rsid w:val="00153BF5"/>
    <w:rsid w:val="001B5710"/>
    <w:rsid w:val="001F240C"/>
    <w:rsid w:val="00235B1B"/>
    <w:rsid w:val="00252E22"/>
    <w:rsid w:val="002B01B1"/>
    <w:rsid w:val="002C535A"/>
    <w:rsid w:val="0035352A"/>
    <w:rsid w:val="003666EE"/>
    <w:rsid w:val="00381204"/>
    <w:rsid w:val="003872D3"/>
    <w:rsid w:val="003954D3"/>
    <w:rsid w:val="003A4D39"/>
    <w:rsid w:val="003A64C0"/>
    <w:rsid w:val="003E7D13"/>
    <w:rsid w:val="00403D48"/>
    <w:rsid w:val="00422D74"/>
    <w:rsid w:val="00467892"/>
    <w:rsid w:val="00467F75"/>
    <w:rsid w:val="00472101"/>
    <w:rsid w:val="004801FD"/>
    <w:rsid w:val="00484629"/>
    <w:rsid w:val="004B4325"/>
    <w:rsid w:val="004C1407"/>
    <w:rsid w:val="004C54B8"/>
    <w:rsid w:val="004C6E11"/>
    <w:rsid w:val="004E4CCE"/>
    <w:rsid w:val="0050009A"/>
    <w:rsid w:val="00502820"/>
    <w:rsid w:val="005122DF"/>
    <w:rsid w:val="005344B4"/>
    <w:rsid w:val="00551F4B"/>
    <w:rsid w:val="00553C70"/>
    <w:rsid w:val="005A133C"/>
    <w:rsid w:val="005A3D97"/>
    <w:rsid w:val="005B7495"/>
    <w:rsid w:val="005F0FBD"/>
    <w:rsid w:val="005F1FD6"/>
    <w:rsid w:val="005F7DE8"/>
    <w:rsid w:val="006154FF"/>
    <w:rsid w:val="0062335B"/>
    <w:rsid w:val="00632B24"/>
    <w:rsid w:val="00683253"/>
    <w:rsid w:val="006D069D"/>
    <w:rsid w:val="006E2591"/>
    <w:rsid w:val="006F0FB6"/>
    <w:rsid w:val="006F277E"/>
    <w:rsid w:val="006F3ECA"/>
    <w:rsid w:val="00714C13"/>
    <w:rsid w:val="0072733A"/>
    <w:rsid w:val="00767CC2"/>
    <w:rsid w:val="0079231D"/>
    <w:rsid w:val="0079329F"/>
    <w:rsid w:val="007A15F3"/>
    <w:rsid w:val="007A17B9"/>
    <w:rsid w:val="007A3293"/>
    <w:rsid w:val="007D0859"/>
    <w:rsid w:val="007E6204"/>
    <w:rsid w:val="00811381"/>
    <w:rsid w:val="008256BF"/>
    <w:rsid w:val="00870463"/>
    <w:rsid w:val="00885F8D"/>
    <w:rsid w:val="0089306A"/>
    <w:rsid w:val="008B7FA8"/>
    <w:rsid w:val="009C1D62"/>
    <w:rsid w:val="009D570D"/>
    <w:rsid w:val="009E0D3F"/>
    <w:rsid w:val="009F177E"/>
    <w:rsid w:val="009F5C14"/>
    <w:rsid w:val="00A07F2E"/>
    <w:rsid w:val="00A11D4B"/>
    <w:rsid w:val="00A15B92"/>
    <w:rsid w:val="00A3434F"/>
    <w:rsid w:val="00A52C82"/>
    <w:rsid w:val="00A5725A"/>
    <w:rsid w:val="00A85171"/>
    <w:rsid w:val="00A9526F"/>
    <w:rsid w:val="00AA2EDF"/>
    <w:rsid w:val="00B50845"/>
    <w:rsid w:val="00B55686"/>
    <w:rsid w:val="00B60F27"/>
    <w:rsid w:val="00B83821"/>
    <w:rsid w:val="00B935B3"/>
    <w:rsid w:val="00BA5D21"/>
    <w:rsid w:val="00BC1F74"/>
    <w:rsid w:val="00BD2425"/>
    <w:rsid w:val="00C131B9"/>
    <w:rsid w:val="00C13825"/>
    <w:rsid w:val="00C61BFC"/>
    <w:rsid w:val="00C81F9F"/>
    <w:rsid w:val="00C86244"/>
    <w:rsid w:val="00CB5716"/>
    <w:rsid w:val="00CE61E4"/>
    <w:rsid w:val="00CF3E12"/>
    <w:rsid w:val="00D174A0"/>
    <w:rsid w:val="00D2044F"/>
    <w:rsid w:val="00D45AAA"/>
    <w:rsid w:val="00DC134E"/>
    <w:rsid w:val="00DC4827"/>
    <w:rsid w:val="00DF1A7E"/>
    <w:rsid w:val="00E32E76"/>
    <w:rsid w:val="00E345AC"/>
    <w:rsid w:val="00E363CF"/>
    <w:rsid w:val="00E944AC"/>
    <w:rsid w:val="00EB3866"/>
    <w:rsid w:val="00EB75E3"/>
    <w:rsid w:val="00F91CF3"/>
    <w:rsid w:val="00FD581D"/>
    <w:rsid w:val="00FE03DC"/>
    <w:rsid w:val="016043AA"/>
    <w:rsid w:val="016A642B"/>
    <w:rsid w:val="02100C1E"/>
    <w:rsid w:val="024C3EB0"/>
    <w:rsid w:val="02977B5E"/>
    <w:rsid w:val="02EB4D0F"/>
    <w:rsid w:val="02F254D6"/>
    <w:rsid w:val="03CF4E44"/>
    <w:rsid w:val="03F31506"/>
    <w:rsid w:val="04DE2BC8"/>
    <w:rsid w:val="058C5D28"/>
    <w:rsid w:val="059542A2"/>
    <w:rsid w:val="05B83E65"/>
    <w:rsid w:val="06B534D2"/>
    <w:rsid w:val="07F137EE"/>
    <w:rsid w:val="083822D5"/>
    <w:rsid w:val="08607511"/>
    <w:rsid w:val="08A85052"/>
    <w:rsid w:val="096868F1"/>
    <w:rsid w:val="09AF4226"/>
    <w:rsid w:val="09E1371C"/>
    <w:rsid w:val="0A14667A"/>
    <w:rsid w:val="0A194AA2"/>
    <w:rsid w:val="0AB3379D"/>
    <w:rsid w:val="0AC21C32"/>
    <w:rsid w:val="0B837231"/>
    <w:rsid w:val="0C3D752B"/>
    <w:rsid w:val="0CE83C58"/>
    <w:rsid w:val="0DE138CB"/>
    <w:rsid w:val="0E353DFE"/>
    <w:rsid w:val="0EF2490B"/>
    <w:rsid w:val="0F1E7653"/>
    <w:rsid w:val="0F906256"/>
    <w:rsid w:val="0FB37836"/>
    <w:rsid w:val="0FC3422E"/>
    <w:rsid w:val="0FCD1D50"/>
    <w:rsid w:val="10A10ED2"/>
    <w:rsid w:val="115738B1"/>
    <w:rsid w:val="118539B9"/>
    <w:rsid w:val="12D36C31"/>
    <w:rsid w:val="12F42BA4"/>
    <w:rsid w:val="139B2E86"/>
    <w:rsid w:val="14246F26"/>
    <w:rsid w:val="143771ED"/>
    <w:rsid w:val="14EE0253"/>
    <w:rsid w:val="14FD740B"/>
    <w:rsid w:val="158C5F1E"/>
    <w:rsid w:val="161275BA"/>
    <w:rsid w:val="16A13043"/>
    <w:rsid w:val="17014792"/>
    <w:rsid w:val="173D458F"/>
    <w:rsid w:val="18003D99"/>
    <w:rsid w:val="191643D8"/>
    <w:rsid w:val="19327ABD"/>
    <w:rsid w:val="19756950"/>
    <w:rsid w:val="19C20AE8"/>
    <w:rsid w:val="19F12DB2"/>
    <w:rsid w:val="1A551F26"/>
    <w:rsid w:val="1A9817ED"/>
    <w:rsid w:val="1B27533D"/>
    <w:rsid w:val="1B310542"/>
    <w:rsid w:val="1BC75FE3"/>
    <w:rsid w:val="1BD11912"/>
    <w:rsid w:val="1C2D266E"/>
    <w:rsid w:val="1CA473E9"/>
    <w:rsid w:val="1D922013"/>
    <w:rsid w:val="1DBF309F"/>
    <w:rsid w:val="1E01086B"/>
    <w:rsid w:val="1E2043A5"/>
    <w:rsid w:val="1EA30180"/>
    <w:rsid w:val="1EE660B3"/>
    <w:rsid w:val="1FAA7CE6"/>
    <w:rsid w:val="20506343"/>
    <w:rsid w:val="20AF7C3B"/>
    <w:rsid w:val="20B146E0"/>
    <w:rsid w:val="20EE5931"/>
    <w:rsid w:val="2190386B"/>
    <w:rsid w:val="21D23FC9"/>
    <w:rsid w:val="22E1314B"/>
    <w:rsid w:val="23823D62"/>
    <w:rsid w:val="23DC3640"/>
    <w:rsid w:val="24940802"/>
    <w:rsid w:val="24E56E4C"/>
    <w:rsid w:val="268B152B"/>
    <w:rsid w:val="27F33744"/>
    <w:rsid w:val="28FD379D"/>
    <w:rsid w:val="297543A3"/>
    <w:rsid w:val="297D4F57"/>
    <w:rsid w:val="299402B9"/>
    <w:rsid w:val="2A4653CF"/>
    <w:rsid w:val="2A5648DF"/>
    <w:rsid w:val="2A973325"/>
    <w:rsid w:val="2B456D12"/>
    <w:rsid w:val="2CE003F3"/>
    <w:rsid w:val="2CE3158D"/>
    <w:rsid w:val="2DC61ED8"/>
    <w:rsid w:val="2DEC125E"/>
    <w:rsid w:val="2E344345"/>
    <w:rsid w:val="2EB84AEB"/>
    <w:rsid w:val="2EE34578"/>
    <w:rsid w:val="2F083808"/>
    <w:rsid w:val="2F095585"/>
    <w:rsid w:val="2FE142B3"/>
    <w:rsid w:val="2FE8149F"/>
    <w:rsid w:val="2FF63BF6"/>
    <w:rsid w:val="303940CB"/>
    <w:rsid w:val="309A7798"/>
    <w:rsid w:val="30A21A3A"/>
    <w:rsid w:val="31C854D0"/>
    <w:rsid w:val="31CD6FE7"/>
    <w:rsid w:val="32011C80"/>
    <w:rsid w:val="336E51C8"/>
    <w:rsid w:val="34746F3B"/>
    <w:rsid w:val="358123D0"/>
    <w:rsid w:val="362F1A56"/>
    <w:rsid w:val="365E3E33"/>
    <w:rsid w:val="3663618A"/>
    <w:rsid w:val="36823DC2"/>
    <w:rsid w:val="36CC7811"/>
    <w:rsid w:val="36D4570A"/>
    <w:rsid w:val="38B16CBE"/>
    <w:rsid w:val="38FA093B"/>
    <w:rsid w:val="38FF1F68"/>
    <w:rsid w:val="391D26CC"/>
    <w:rsid w:val="3991627D"/>
    <w:rsid w:val="39AC06BD"/>
    <w:rsid w:val="3A2F6FF3"/>
    <w:rsid w:val="3A557B1D"/>
    <w:rsid w:val="3AAF5E0A"/>
    <w:rsid w:val="3AB50038"/>
    <w:rsid w:val="3AC57B03"/>
    <w:rsid w:val="3AF00C45"/>
    <w:rsid w:val="3B046CD5"/>
    <w:rsid w:val="3B5D4C42"/>
    <w:rsid w:val="3D324146"/>
    <w:rsid w:val="3D5F0962"/>
    <w:rsid w:val="3D725D3C"/>
    <w:rsid w:val="3DB6139A"/>
    <w:rsid w:val="3DE372E8"/>
    <w:rsid w:val="3E6447D3"/>
    <w:rsid w:val="3E8D446D"/>
    <w:rsid w:val="3E8F1D97"/>
    <w:rsid w:val="3F592E2A"/>
    <w:rsid w:val="3FFE29E3"/>
    <w:rsid w:val="40154EC4"/>
    <w:rsid w:val="40D734D2"/>
    <w:rsid w:val="417A4855"/>
    <w:rsid w:val="419B27BB"/>
    <w:rsid w:val="421A40E3"/>
    <w:rsid w:val="42D124A7"/>
    <w:rsid w:val="43293305"/>
    <w:rsid w:val="434C7137"/>
    <w:rsid w:val="437B488C"/>
    <w:rsid w:val="43AA20D6"/>
    <w:rsid w:val="43EA05D0"/>
    <w:rsid w:val="4478785E"/>
    <w:rsid w:val="462A2F95"/>
    <w:rsid w:val="472F071C"/>
    <w:rsid w:val="47FF55E1"/>
    <w:rsid w:val="48004D23"/>
    <w:rsid w:val="480E3D3C"/>
    <w:rsid w:val="48315725"/>
    <w:rsid w:val="48797692"/>
    <w:rsid w:val="488C32A4"/>
    <w:rsid w:val="48D042C6"/>
    <w:rsid w:val="48E12595"/>
    <w:rsid w:val="4965473F"/>
    <w:rsid w:val="496C72A1"/>
    <w:rsid w:val="49EB2C01"/>
    <w:rsid w:val="4A4C6847"/>
    <w:rsid w:val="4B364762"/>
    <w:rsid w:val="4BFF5B3B"/>
    <w:rsid w:val="4E8A7D26"/>
    <w:rsid w:val="4E977014"/>
    <w:rsid w:val="4EA03C6D"/>
    <w:rsid w:val="4F1E3311"/>
    <w:rsid w:val="50624272"/>
    <w:rsid w:val="50D57EE4"/>
    <w:rsid w:val="50D82123"/>
    <w:rsid w:val="51AC6470"/>
    <w:rsid w:val="529A0DFF"/>
    <w:rsid w:val="53277E51"/>
    <w:rsid w:val="536A2DFC"/>
    <w:rsid w:val="53CA2913"/>
    <w:rsid w:val="544F62D6"/>
    <w:rsid w:val="54AA1E1C"/>
    <w:rsid w:val="55E0201E"/>
    <w:rsid w:val="56A417B8"/>
    <w:rsid w:val="56CD06C7"/>
    <w:rsid w:val="57E706B6"/>
    <w:rsid w:val="58015E26"/>
    <w:rsid w:val="581F559B"/>
    <w:rsid w:val="589E12C2"/>
    <w:rsid w:val="58A84277"/>
    <w:rsid w:val="58B96A42"/>
    <w:rsid w:val="59382660"/>
    <w:rsid w:val="59712F8D"/>
    <w:rsid w:val="59B950B8"/>
    <w:rsid w:val="59F91E1B"/>
    <w:rsid w:val="5A085AFA"/>
    <w:rsid w:val="5A5812EB"/>
    <w:rsid w:val="5AC03E87"/>
    <w:rsid w:val="5ADB14D1"/>
    <w:rsid w:val="5B3A5718"/>
    <w:rsid w:val="5B515D57"/>
    <w:rsid w:val="5BA50D90"/>
    <w:rsid w:val="5CF76911"/>
    <w:rsid w:val="5D36645C"/>
    <w:rsid w:val="5E5A4ED5"/>
    <w:rsid w:val="5E64136C"/>
    <w:rsid w:val="5E8A5738"/>
    <w:rsid w:val="5E8B0721"/>
    <w:rsid w:val="5EB26201"/>
    <w:rsid w:val="5F2E72D1"/>
    <w:rsid w:val="5F623982"/>
    <w:rsid w:val="5F8302C6"/>
    <w:rsid w:val="5FE2642A"/>
    <w:rsid w:val="5FF82AA3"/>
    <w:rsid w:val="604060A0"/>
    <w:rsid w:val="6100032E"/>
    <w:rsid w:val="626E1ED2"/>
    <w:rsid w:val="62BA7550"/>
    <w:rsid w:val="62D84CC4"/>
    <w:rsid w:val="62E96D22"/>
    <w:rsid w:val="634C4C13"/>
    <w:rsid w:val="635B14A4"/>
    <w:rsid w:val="63646951"/>
    <w:rsid w:val="643363A8"/>
    <w:rsid w:val="64692B72"/>
    <w:rsid w:val="648336D6"/>
    <w:rsid w:val="648A5F80"/>
    <w:rsid w:val="648C10A2"/>
    <w:rsid w:val="64AF347C"/>
    <w:rsid w:val="64E135AB"/>
    <w:rsid w:val="655230FA"/>
    <w:rsid w:val="67435E67"/>
    <w:rsid w:val="67D23C9A"/>
    <w:rsid w:val="67DB1A38"/>
    <w:rsid w:val="68372274"/>
    <w:rsid w:val="683907C5"/>
    <w:rsid w:val="68B444C2"/>
    <w:rsid w:val="69404F0F"/>
    <w:rsid w:val="69722AED"/>
    <w:rsid w:val="69823BDB"/>
    <w:rsid w:val="6A110913"/>
    <w:rsid w:val="6A246A40"/>
    <w:rsid w:val="6A3A37BA"/>
    <w:rsid w:val="6A436FFE"/>
    <w:rsid w:val="6AA13B08"/>
    <w:rsid w:val="6B297B04"/>
    <w:rsid w:val="6B574BF4"/>
    <w:rsid w:val="6BA05B41"/>
    <w:rsid w:val="6BCB5A6E"/>
    <w:rsid w:val="6D040D87"/>
    <w:rsid w:val="6D1A0D6E"/>
    <w:rsid w:val="6D370DDE"/>
    <w:rsid w:val="6D3A657B"/>
    <w:rsid w:val="6D5C4743"/>
    <w:rsid w:val="6DB366A7"/>
    <w:rsid w:val="6DCD73EF"/>
    <w:rsid w:val="6DFD7276"/>
    <w:rsid w:val="6E4D07F6"/>
    <w:rsid w:val="6E926836"/>
    <w:rsid w:val="6EB25BF5"/>
    <w:rsid w:val="6F1D3742"/>
    <w:rsid w:val="6F3041A1"/>
    <w:rsid w:val="6F623EC0"/>
    <w:rsid w:val="6FB53298"/>
    <w:rsid w:val="702933E2"/>
    <w:rsid w:val="715C2C3D"/>
    <w:rsid w:val="724759C2"/>
    <w:rsid w:val="72872C39"/>
    <w:rsid w:val="72A6406D"/>
    <w:rsid w:val="74422E9C"/>
    <w:rsid w:val="747A7850"/>
    <w:rsid w:val="74BB07A4"/>
    <w:rsid w:val="753360E5"/>
    <w:rsid w:val="758E56B6"/>
    <w:rsid w:val="7674114D"/>
    <w:rsid w:val="767707B8"/>
    <w:rsid w:val="77575CBF"/>
    <w:rsid w:val="778D40F1"/>
    <w:rsid w:val="79110301"/>
    <w:rsid w:val="79443213"/>
    <w:rsid w:val="79564CE0"/>
    <w:rsid w:val="799E65A7"/>
    <w:rsid w:val="7A2C61F5"/>
    <w:rsid w:val="7A61783D"/>
    <w:rsid w:val="7A8006A9"/>
    <w:rsid w:val="7B3145D7"/>
    <w:rsid w:val="7BAB0D70"/>
    <w:rsid w:val="7BB8348D"/>
    <w:rsid w:val="7C6D236B"/>
    <w:rsid w:val="7D48407C"/>
    <w:rsid w:val="7D7446D5"/>
    <w:rsid w:val="7DC46119"/>
    <w:rsid w:val="7E186464"/>
    <w:rsid w:val="7E295F57"/>
    <w:rsid w:val="7E84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nhideWhenUsed="0" w:uiPriority="9"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qFormat="1" w:unhideWhenUsed="0" w:uiPriority="99"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qFormat="1" w:unhideWhenUsed="0" w:uiPriority="0" w:semiHidden="0" w:name="toc 2"/>
    <w:lsdException w:qFormat="1" w:uiPriority="9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ocked="1"/>
    <w:lsdException w:unhideWhenUsed="0" w:uiPriority="0" w:semiHidden="0" w:name="annotation text" w:locked="1"/>
    <w:lsdException w:qFormat="1" w:unhideWhenUsed="0" w:uiPriority="0" w:semiHidden="0" w:name="header"/>
    <w:lsdException w:qFormat="1"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qFormat="1"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qFormat="1" w:unhideWhenUsed="0" w:uiPriority="99"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11" w:semiHidden="0" w:name="Subtitle" w:locked="1"/>
    <w:lsdException w:unhideWhenUsed="0" w:uiPriority="0" w:semiHidden="0" w:name="Salutation" w:locked="1"/>
    <w:lsdException w:unhideWhenUsed="0" w:uiPriority="0" w:semiHidden="0" w:name="Date" w:locked="1"/>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99" w:semiHidden="0" w:name="Body Text 2" w:locked="1"/>
    <w:lsdException w:unhideWhenUsed="0" w:uiPriority="0" w:semiHidden="0" w:name="Body Text 3" w:locked="1"/>
    <w:lsdException w:qFormat="1" w:unhideWhenUsed="0" w:uiPriority="0" w:semiHidden="0" w:name="Body Text Indent 2"/>
    <w:lsdException w:unhideWhenUsed="0" w:uiPriority="0" w:semiHidden="0" w:name="Body Text Indent 3" w:locked="1"/>
    <w:lsdException w:qFormat="1" w:unhideWhenUsed="0" w:uiPriority="0" w:semiHidden="0" w:name="Block Text" w:locked="1"/>
    <w:lsdException w:qFormat="1" w:unhideWhenUsed="0" w:uiPriority="0" w:semiHidden="0" w:name="Hyperlink"/>
    <w:lsdException w:qFormat="1" w:unhideWhenUsed="0" w:uiPriority="0" w:semiHidden="0" w:name="FollowedHyperlink" w:locked="1"/>
    <w:lsdException w:qFormat="1" w:unhideWhenUsed="0" w:uiPriority="0" w:semiHidden="0" w:name="Strong"/>
    <w:lsdException w:qFormat="1" w:unhideWhenUsed="0" w:uiPriority="0" w:semiHidden="0" w:name="Emphasis" w:locked="1"/>
    <w:lsdException w:unhideWhenUsed="0" w:uiPriority="0" w:semiHidden="0" w:name="Document Map" w:locked="1"/>
    <w:lsdException w:qFormat="1" w:unhideWhenUsed="0" w:uiPriority="0" w:semiHidden="0" w:name="Plain Text"/>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semiHidden="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ocked="1"/>
    <w:lsdException w:qFormat="1" w:unhideWhenUsed="0" w:uiPriority="0" w:semiHidden="0" w:name="Table Grid" w:locked="1"/>
    <w:lsdException w:uiPriority="0"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31"/>
    <w:qFormat/>
    <w:uiPriority w:val="0"/>
    <w:pPr>
      <w:keepNext/>
      <w:keepLines/>
      <w:tabs>
        <w:tab w:val="left" w:pos="0"/>
      </w:tabs>
      <w:autoSpaceDE w:val="0"/>
      <w:autoSpaceDN w:val="0"/>
      <w:adjustRightInd w:val="0"/>
      <w:snapToGrid w:val="0"/>
      <w:spacing w:line="520" w:lineRule="exact"/>
      <w:ind w:firstLine="1443" w:firstLineChars="200"/>
      <w:jc w:val="left"/>
      <w:outlineLvl w:val="1"/>
    </w:pPr>
    <w:rPr>
      <w:rFonts w:ascii="宋体" w:hAnsi="宋体" w:eastAsia="仿宋_GB2312"/>
      <w:bCs/>
      <w:color w:val="000000"/>
      <w:sz w:val="28"/>
    </w:rPr>
  </w:style>
  <w:style w:type="paragraph" w:styleId="5">
    <w:name w:val="heading 3"/>
    <w:basedOn w:val="1"/>
    <w:next w:val="1"/>
    <w:qFormat/>
    <w:locked/>
    <w:uiPriority w:val="9"/>
    <w:pPr>
      <w:keepNext/>
      <w:keepLines/>
      <w:spacing w:before="260" w:after="260" w:line="416" w:lineRule="auto"/>
      <w:outlineLvl w:val="2"/>
    </w:pPr>
    <w:rPr>
      <w:b/>
      <w:bCs/>
      <w:sz w:val="32"/>
      <w:szCs w:val="32"/>
    </w:rPr>
  </w:style>
  <w:style w:type="paragraph" w:styleId="6">
    <w:name w:val="heading 4"/>
    <w:basedOn w:val="1"/>
    <w:next w:val="1"/>
    <w:link w:val="32"/>
    <w:qFormat/>
    <w:locked/>
    <w:uiPriority w:val="0"/>
    <w:pPr>
      <w:keepNext/>
      <w:keepLines/>
      <w:numPr>
        <w:ilvl w:val="0"/>
        <w:numId w:val="1"/>
      </w:numPr>
      <w:spacing w:before="280" w:line="377" w:lineRule="auto"/>
      <w:outlineLvl w:val="3"/>
    </w:pPr>
    <w:rPr>
      <w:rFonts w:ascii="Calibri Light" w:hAnsi="Calibri Light"/>
      <w:b/>
      <w:bCs/>
      <w:sz w:val="28"/>
      <w:szCs w:val="28"/>
    </w:rPr>
  </w:style>
  <w:style w:type="paragraph" w:styleId="7">
    <w:name w:val="heading 5"/>
    <w:basedOn w:val="1"/>
    <w:next w:val="1"/>
    <w:qFormat/>
    <w:locked/>
    <w:uiPriority w:val="0"/>
    <w:pPr>
      <w:spacing w:before="198" w:line="223" w:lineRule="auto"/>
      <w:ind w:left="400" w:leftChars="400"/>
      <w:outlineLvl w:val="4"/>
    </w:pPr>
    <w:rPr>
      <w:rFonts w:ascii="仿宋" w:hAnsi="仿宋" w:eastAsia="仿宋" w:cs="仿宋"/>
      <w:spacing w:val="-1"/>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locked/>
    <w:uiPriority w:val="0"/>
    <w:pPr>
      <w:spacing w:after="120"/>
      <w:ind w:left="1440" w:leftChars="700" w:right="1440" w:rightChars="700"/>
    </w:pPr>
  </w:style>
  <w:style w:type="paragraph" w:styleId="8">
    <w:name w:val="Normal Indent"/>
    <w:basedOn w:val="1"/>
    <w:qFormat/>
    <w:uiPriority w:val="0"/>
    <w:pPr>
      <w:autoSpaceDE w:val="0"/>
      <w:autoSpaceDN w:val="0"/>
      <w:adjustRightInd w:val="0"/>
      <w:snapToGrid w:val="0"/>
      <w:spacing w:line="360" w:lineRule="exact"/>
      <w:ind w:firstLine="420"/>
    </w:pPr>
    <w:rPr>
      <w:kern w:val="0"/>
      <w:sz w:val="24"/>
      <w:szCs w:val="20"/>
    </w:rPr>
  </w:style>
  <w:style w:type="paragraph" w:styleId="9">
    <w:name w:val="toa heading"/>
    <w:basedOn w:val="1"/>
    <w:next w:val="1"/>
    <w:semiHidden/>
    <w:qFormat/>
    <w:locked/>
    <w:uiPriority w:val="99"/>
    <w:pPr>
      <w:spacing w:before="120"/>
    </w:pPr>
    <w:rPr>
      <w:rFonts w:ascii="Arial" w:hAnsi="Arial" w:cs="Arial"/>
      <w:sz w:val="24"/>
    </w:rPr>
  </w:style>
  <w:style w:type="paragraph" w:styleId="10">
    <w:name w:val="index 6"/>
    <w:basedOn w:val="1"/>
    <w:next w:val="1"/>
    <w:qFormat/>
    <w:locked/>
    <w:uiPriority w:val="99"/>
    <w:pPr>
      <w:ind w:left="2100"/>
    </w:pPr>
  </w:style>
  <w:style w:type="paragraph" w:styleId="11">
    <w:name w:val="Body Text"/>
    <w:basedOn w:val="1"/>
    <w:next w:val="12"/>
    <w:link w:val="33"/>
    <w:qFormat/>
    <w:uiPriority w:val="0"/>
  </w:style>
  <w:style w:type="paragraph" w:styleId="12">
    <w:name w:val="Subtitle"/>
    <w:basedOn w:val="1"/>
    <w:next w:val="1"/>
    <w:qFormat/>
    <w:locked/>
    <w:uiPriority w:val="11"/>
    <w:pPr>
      <w:spacing w:before="240" w:after="60" w:line="312" w:lineRule="atLeast"/>
      <w:outlineLvl w:val="1"/>
    </w:pPr>
    <w:rPr>
      <w:rFonts w:ascii="Cambria" w:hAnsi="Cambria"/>
      <w:b/>
      <w:bCs/>
      <w:kern w:val="28"/>
      <w:sz w:val="32"/>
      <w:szCs w:val="32"/>
    </w:rPr>
  </w:style>
  <w:style w:type="paragraph" w:styleId="13">
    <w:name w:val="Body Text Indent"/>
    <w:basedOn w:val="1"/>
    <w:qFormat/>
    <w:locked/>
    <w:uiPriority w:val="0"/>
    <w:pPr>
      <w:spacing w:after="120"/>
      <w:ind w:left="420" w:leftChars="200"/>
    </w:pPr>
  </w:style>
  <w:style w:type="paragraph" w:styleId="14">
    <w:name w:val="toc 3"/>
    <w:basedOn w:val="1"/>
    <w:next w:val="1"/>
    <w:unhideWhenUsed/>
    <w:qFormat/>
    <w:locked/>
    <w:uiPriority w:val="99"/>
    <w:pPr>
      <w:widowControl/>
      <w:spacing w:after="100" w:line="276" w:lineRule="auto"/>
      <w:ind w:left="440"/>
      <w:jc w:val="left"/>
    </w:pPr>
    <w:rPr>
      <w:rFonts w:ascii="Calibri" w:hAnsi="Calibri"/>
      <w:kern w:val="0"/>
      <w:sz w:val="22"/>
      <w:szCs w:val="22"/>
    </w:rPr>
  </w:style>
  <w:style w:type="paragraph" w:styleId="15">
    <w:name w:val="Plain Text"/>
    <w:basedOn w:val="1"/>
    <w:next w:val="1"/>
    <w:link w:val="34"/>
    <w:qFormat/>
    <w:uiPriority w:val="0"/>
    <w:rPr>
      <w:rFonts w:ascii="宋体" w:cs="Courier New"/>
      <w:szCs w:val="21"/>
    </w:rPr>
  </w:style>
  <w:style w:type="paragraph" w:styleId="16">
    <w:name w:val="Body Text Indent 2"/>
    <w:basedOn w:val="1"/>
    <w:link w:val="35"/>
    <w:qFormat/>
    <w:uiPriority w:val="0"/>
    <w:pPr>
      <w:adjustRightInd w:val="0"/>
      <w:snapToGrid w:val="0"/>
      <w:spacing w:line="320" w:lineRule="exact"/>
      <w:ind w:firstLine="540"/>
    </w:pPr>
    <w:rPr>
      <w:rFonts w:ascii="宋体"/>
      <w:sz w:val="28"/>
    </w:rPr>
  </w:style>
  <w:style w:type="paragraph" w:styleId="17">
    <w:name w:val="footer"/>
    <w:basedOn w:val="1"/>
    <w:link w:val="36"/>
    <w:qFormat/>
    <w:uiPriority w:val="0"/>
    <w:pPr>
      <w:tabs>
        <w:tab w:val="center" w:pos="4153"/>
        <w:tab w:val="right" w:pos="8306"/>
      </w:tabs>
      <w:snapToGrid w:val="0"/>
      <w:jc w:val="left"/>
    </w:pPr>
    <w:rPr>
      <w:sz w:val="18"/>
      <w:szCs w:val="18"/>
    </w:rPr>
  </w:style>
  <w:style w:type="paragraph" w:styleId="18">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9">
    <w:name w:val="toc 2"/>
    <w:basedOn w:val="1"/>
    <w:next w:val="1"/>
    <w:qFormat/>
    <w:uiPriority w:val="0"/>
    <w:pPr>
      <w:ind w:left="420" w:leftChars="200"/>
    </w:pPr>
  </w:style>
  <w:style w:type="paragraph" w:styleId="20">
    <w:name w:val="Body Text 2"/>
    <w:basedOn w:val="1"/>
    <w:qFormat/>
    <w:locked/>
    <w:uiPriority w:val="99"/>
    <w:pPr>
      <w:autoSpaceDE w:val="0"/>
      <w:autoSpaceDN w:val="0"/>
      <w:spacing w:afterLines="50" w:line="480" w:lineRule="auto"/>
      <w:jc w:val="center"/>
      <w:textAlignment w:val="baseline"/>
    </w:pPr>
    <w:rPr>
      <w:rFonts w:ascii="宋体" w:hAnsi="宋体"/>
      <w:kern w:val="0"/>
      <w:sz w:val="20"/>
      <w:szCs w:val="21"/>
    </w:rPr>
  </w:style>
  <w:style w:type="paragraph" w:styleId="21">
    <w:name w:val="Normal (Web)"/>
    <w:basedOn w:val="1"/>
    <w:next w:val="18"/>
    <w:qFormat/>
    <w:uiPriority w:val="0"/>
    <w:pPr>
      <w:widowControl/>
      <w:spacing w:beforeAutospacing="1" w:afterAutospacing="1"/>
      <w:jc w:val="left"/>
    </w:pPr>
    <w:rPr>
      <w:rFonts w:ascii="宋体"/>
      <w:kern w:val="0"/>
      <w:sz w:val="24"/>
    </w:rPr>
  </w:style>
  <w:style w:type="paragraph" w:styleId="22">
    <w:name w:val="Body Text First Indent"/>
    <w:basedOn w:val="11"/>
    <w:qFormat/>
    <w:locked/>
    <w:uiPriority w:val="0"/>
    <w:pPr>
      <w:ind w:firstLine="420" w:firstLineChars="100"/>
    </w:pPr>
    <w:rPr>
      <w:rFonts w:ascii="Arial" w:hAnsi="Arial"/>
    </w:rPr>
  </w:style>
  <w:style w:type="paragraph" w:styleId="23">
    <w:name w:val="Body Text First Indent 2"/>
    <w:basedOn w:val="13"/>
    <w:qFormat/>
    <w:locked/>
    <w:uiPriority w:val="0"/>
    <w:pPr>
      <w:ind w:firstLine="420" w:firstLineChars="200"/>
    </w:pPr>
  </w:style>
  <w:style w:type="table" w:styleId="25">
    <w:name w:val="Table Grid"/>
    <w:basedOn w:val="2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rFonts w:cs="Times New Roman"/>
      <w:b/>
      <w:bCs/>
    </w:rPr>
  </w:style>
  <w:style w:type="character" w:styleId="28">
    <w:name w:val="page number"/>
    <w:qFormat/>
    <w:uiPriority w:val="0"/>
    <w:rPr>
      <w:rFonts w:cs="Times New Roman"/>
    </w:rPr>
  </w:style>
  <w:style w:type="character" w:styleId="29">
    <w:name w:val="FollowedHyperlink"/>
    <w:qFormat/>
    <w:locked/>
    <w:uiPriority w:val="0"/>
    <w:rPr>
      <w:color w:val="800080"/>
      <w:u w:val="single"/>
    </w:rPr>
  </w:style>
  <w:style w:type="character" w:styleId="30">
    <w:name w:val="Hyperlink"/>
    <w:qFormat/>
    <w:uiPriority w:val="0"/>
    <w:rPr>
      <w:rFonts w:cs="Times New Roman"/>
      <w:color w:val="0000FF"/>
      <w:u w:val="single"/>
    </w:rPr>
  </w:style>
  <w:style w:type="character" w:customStyle="1" w:styleId="31">
    <w:name w:val="标题 2 字符"/>
    <w:link w:val="4"/>
    <w:semiHidden/>
    <w:qFormat/>
    <w:locked/>
    <w:uiPriority w:val="0"/>
    <w:rPr>
      <w:rFonts w:ascii="Cambria" w:hAnsi="宋体" w:eastAsia="仿宋_GB2312" w:cs="Times New Roman"/>
      <w:bCs/>
      <w:sz w:val="28"/>
      <w:szCs w:val="32"/>
    </w:rPr>
  </w:style>
  <w:style w:type="character" w:customStyle="1" w:styleId="32">
    <w:name w:val="标题 4 字符"/>
    <w:link w:val="6"/>
    <w:qFormat/>
    <w:uiPriority w:val="0"/>
    <w:rPr>
      <w:rFonts w:ascii="Calibri Light" w:hAnsi="Calibri Light" w:eastAsia="宋体" w:cs="Times New Roman"/>
      <w:b/>
      <w:bCs/>
      <w:sz w:val="28"/>
      <w:szCs w:val="28"/>
    </w:rPr>
  </w:style>
  <w:style w:type="character" w:customStyle="1" w:styleId="33">
    <w:name w:val="正文文本 字符"/>
    <w:link w:val="11"/>
    <w:semiHidden/>
    <w:qFormat/>
    <w:locked/>
    <w:uiPriority w:val="0"/>
    <w:rPr>
      <w:rFonts w:ascii="Calibri" w:hAnsi="Calibri" w:cs="Times New Roman"/>
      <w:sz w:val="24"/>
      <w:szCs w:val="24"/>
    </w:rPr>
  </w:style>
  <w:style w:type="character" w:customStyle="1" w:styleId="34">
    <w:name w:val="纯文本 字符"/>
    <w:link w:val="15"/>
    <w:semiHidden/>
    <w:qFormat/>
    <w:locked/>
    <w:uiPriority w:val="0"/>
    <w:rPr>
      <w:rFonts w:ascii="宋体" w:hAnsi="Courier New" w:cs="Courier New"/>
      <w:sz w:val="21"/>
      <w:szCs w:val="21"/>
    </w:rPr>
  </w:style>
  <w:style w:type="character" w:customStyle="1" w:styleId="35">
    <w:name w:val="正文文本缩进 2 字符"/>
    <w:link w:val="16"/>
    <w:semiHidden/>
    <w:qFormat/>
    <w:locked/>
    <w:uiPriority w:val="0"/>
    <w:rPr>
      <w:rFonts w:ascii="Calibri" w:hAnsi="Calibri" w:cs="Times New Roman"/>
      <w:sz w:val="24"/>
      <w:szCs w:val="24"/>
    </w:rPr>
  </w:style>
  <w:style w:type="character" w:customStyle="1" w:styleId="36">
    <w:name w:val="页脚 字符"/>
    <w:link w:val="17"/>
    <w:semiHidden/>
    <w:qFormat/>
    <w:locked/>
    <w:uiPriority w:val="0"/>
    <w:rPr>
      <w:rFonts w:ascii="Calibri" w:hAnsi="Calibri" w:cs="Times New Roman"/>
      <w:sz w:val="18"/>
      <w:szCs w:val="18"/>
    </w:rPr>
  </w:style>
  <w:style w:type="character" w:customStyle="1" w:styleId="37">
    <w:name w:val="页眉 字符"/>
    <w:link w:val="18"/>
    <w:semiHidden/>
    <w:qFormat/>
    <w:locked/>
    <w:uiPriority w:val="0"/>
    <w:rPr>
      <w:rFonts w:ascii="Calibri" w:hAnsi="Calibri" w:cs="Times New Roman"/>
      <w:sz w:val="18"/>
      <w:szCs w:val="18"/>
    </w:rPr>
  </w:style>
  <w:style w:type="character" w:customStyle="1" w:styleId="38">
    <w:name w:val="_Style 5"/>
    <w:qFormat/>
    <w:uiPriority w:val="0"/>
    <w:rPr>
      <w:rFonts w:cs="Times New Roman"/>
      <w:b/>
      <w:bCs/>
      <w:smallCaps/>
      <w:spacing w:val="5"/>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2"/>
      <w:szCs w:val="22"/>
    </w:rPr>
  </w:style>
  <w:style w:type="paragraph" w:customStyle="1" w:styleId="42">
    <w:name w:val="Default Tex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paragraph" w:customStyle="1" w:styleId="43">
    <w:name w:val="WPS Plain"/>
    <w:qFormat/>
    <w:uiPriority w:val="0"/>
    <w:rPr>
      <w:rFonts w:ascii="Times New Roman" w:hAnsi="Times New Roman" w:eastAsia="宋体" w:cs="Times New Roman"/>
      <w:lang w:val="en-US" w:eastAsia="zh-CN" w:bidi="ar-SA"/>
    </w:rPr>
  </w:style>
  <w:style w:type="paragraph" w:customStyle="1" w:styleId="44">
    <w:name w:val="标书正文"/>
    <w:basedOn w:val="1"/>
    <w:qFormat/>
    <w:uiPriority w:val="0"/>
    <w:pPr>
      <w:spacing w:line="560" w:lineRule="exact"/>
      <w:ind w:firstLine="200" w:firstLineChars="200"/>
      <w:jc w:val="center"/>
    </w:pPr>
    <w:rPr>
      <w:rFonts w:ascii="仿宋_GB2312" w:eastAsia="仿宋_GB2312"/>
      <w:b/>
      <w:sz w:val="36"/>
      <w:szCs w:val="20"/>
    </w:rPr>
  </w:style>
  <w:style w:type="paragraph" w:customStyle="1" w:styleId="45">
    <w:name w:val="TOC2"/>
    <w:basedOn w:val="1"/>
    <w:next w:val="1"/>
    <w:qFormat/>
    <w:uiPriority w:val="0"/>
    <w:pPr>
      <w:spacing w:line="413" w:lineRule="auto"/>
      <w:ind w:left="240" w:leftChars="100"/>
      <w:textAlignment w:val="baseline"/>
    </w:pPr>
    <w:rPr>
      <w:rFonts w:ascii="Calibri" w:hAnsi="Calibri" w:eastAsia="仿宋"/>
      <w:sz w:val="24"/>
    </w:rPr>
  </w:style>
  <w:style w:type="paragraph" w:customStyle="1" w:styleId="46">
    <w:name w:val="1"/>
    <w:basedOn w:val="1"/>
    <w:next w:val="47"/>
    <w:qFormat/>
    <w:uiPriority w:val="0"/>
    <w:pPr>
      <w:ind w:left="420" w:leftChars="200"/>
    </w:pPr>
    <w:rPr>
      <w:sz w:val="16"/>
      <w:szCs w:val="16"/>
    </w:rPr>
  </w:style>
  <w:style w:type="paragraph" w:customStyle="1" w:styleId="47">
    <w:name w:val="标题 3 New New New New"/>
    <w:basedOn w:val="48"/>
    <w:next w:val="48"/>
    <w:qFormat/>
    <w:uiPriority w:val="0"/>
    <w:pPr>
      <w:keepNext/>
      <w:keepLines/>
      <w:adjustRightInd w:val="0"/>
      <w:snapToGrid w:val="0"/>
      <w:spacing w:line="360" w:lineRule="auto"/>
      <w:jc w:val="left"/>
      <w:outlineLvl w:val="2"/>
    </w:pPr>
    <w:rPr>
      <w:rFonts w:ascii="宋体" w:hAnsi="宋体"/>
      <w:b/>
      <w:bCs/>
      <w:kern w:val="0"/>
      <w:sz w:val="24"/>
      <w:szCs w:val="32"/>
      <w:shd w:val="clear" w:color="auto" w:fill="FFFFFF"/>
    </w:rPr>
  </w:style>
  <w:style w:type="paragraph" w:customStyle="1" w:styleId="48">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表名"/>
    <w:basedOn w:val="50"/>
    <w:qFormat/>
    <w:uiPriority w:val="0"/>
    <w:pPr>
      <w:spacing w:before="0" w:after="0" w:line="360" w:lineRule="auto"/>
    </w:pPr>
    <w:rPr>
      <w:sz w:val="28"/>
    </w:rPr>
  </w:style>
  <w:style w:type="paragraph" w:customStyle="1" w:styleId="50">
    <w:name w:val="表格"/>
    <w:qFormat/>
    <w:uiPriority w:val="0"/>
    <w:pPr>
      <w:adjustRightInd w:val="0"/>
      <w:snapToGrid w:val="0"/>
      <w:spacing w:before="40" w:after="40"/>
      <w:jc w:val="center"/>
    </w:pPr>
    <w:rPr>
      <w:rFonts w:ascii="仿宋_GB2312" w:hAnsi="Times New Roman" w:eastAsia="仿宋_GB2312" w:cs="Times New Roman"/>
      <w:sz w:val="24"/>
      <w:szCs w:val="22"/>
      <w:lang w:val="en-US" w:eastAsia="zh-CN" w:bidi="ar-SA"/>
    </w:rPr>
  </w:style>
  <w:style w:type="paragraph" w:customStyle="1" w:styleId="51">
    <w:name w:val="_Style 4"/>
    <w:basedOn w:val="1"/>
    <w:qFormat/>
    <w:uiPriority w:val="0"/>
    <w:pPr>
      <w:ind w:firstLine="420" w:firstLineChars="200"/>
    </w:pPr>
  </w:style>
  <w:style w:type="paragraph" w:customStyle="1" w:styleId="52">
    <w:name w:val="缺省文本"/>
    <w:qFormat/>
    <w:uiPriority w:val="0"/>
    <w:pPr>
      <w:widowControl w:val="0"/>
      <w:autoSpaceDE w:val="0"/>
      <w:autoSpaceDN w:val="0"/>
      <w:adjustRightInd w:val="0"/>
    </w:pPr>
    <w:rPr>
      <w:rFonts w:ascii="Times New Roman" w:hAnsi="Times New Roman" w:eastAsia="宋体" w:cs="Times New Roman"/>
      <w:color w:val="000000"/>
      <w:sz w:val="21"/>
      <w:szCs w:val="22"/>
      <w:lang w:val="en-US" w:eastAsia="zh-CN" w:bidi="ar-SA"/>
    </w:rPr>
  </w:style>
  <w:style w:type="paragraph" w:customStyle="1" w:styleId="5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4">
    <w:name w:val="目录文字"/>
    <w:basedOn w:val="1"/>
    <w:qFormat/>
    <w:uiPriority w:val="0"/>
    <w:pPr>
      <w:widowControl/>
      <w:spacing w:line="480" w:lineRule="auto"/>
      <w:jc w:val="left"/>
    </w:pPr>
    <w:rPr>
      <w:rFonts w:ascii="宋体"/>
      <w:kern w:val="0"/>
      <w:sz w:val="24"/>
      <w:szCs w:val="20"/>
    </w:rPr>
  </w:style>
  <w:style w:type="paragraph" w:customStyle="1" w:styleId="55">
    <w:name w:val="Normal_0"/>
    <w:next w:val="56"/>
    <w:qFormat/>
    <w:uiPriority w:val="0"/>
    <w:rPr>
      <w:rFonts w:ascii="Times New Roman" w:hAnsi="Times New Roman" w:eastAsia="Times New Roman" w:cs="Times New Roman"/>
      <w:sz w:val="24"/>
      <w:szCs w:val="24"/>
      <w:lang w:val="en-US" w:eastAsia="zh-CN" w:bidi="ar-SA"/>
    </w:rPr>
  </w:style>
  <w:style w:type="paragraph" w:customStyle="1" w:styleId="56">
    <w:name w:val="无间隔1_0"/>
    <w:basedOn w:val="55"/>
    <w:qFormat/>
    <w:uiPriority w:val="1"/>
    <w:pPr>
      <w:spacing w:line="400" w:lineRule="exact"/>
    </w:pPr>
    <w:rPr>
      <w:rFonts w:eastAsia="宋体"/>
    </w:rPr>
  </w:style>
  <w:style w:type="paragraph" w:customStyle="1" w:styleId="57">
    <w:name w:val="正文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60">
    <w:name w:val="BodyText"/>
    <w:basedOn w:val="1"/>
    <w:next w:val="45"/>
    <w:qFormat/>
    <w:uiPriority w:val="0"/>
    <w:pPr>
      <w:spacing w:line="300" w:lineRule="auto"/>
      <w:jc w:val="center"/>
      <w:textAlignment w:val="baseline"/>
    </w:pPr>
    <w:rPr>
      <w:rFonts w:ascii="宋体" w:hAnsi="宋体"/>
      <w:sz w:val="24"/>
    </w:rPr>
  </w:style>
  <w:style w:type="paragraph" w:customStyle="1" w:styleId="6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2">
    <w:name w:val="无间隔1"/>
    <w:basedOn w:val="55"/>
    <w:qFormat/>
    <w:uiPriority w:val="1"/>
    <w:pPr>
      <w:spacing w:line="400" w:lineRule="exact"/>
    </w:pPr>
  </w:style>
  <w:style w:type="paragraph" w:customStyle="1" w:styleId="63">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Char Char2 Char"/>
    <w:basedOn w:val="1"/>
    <w:qFormat/>
    <w:uiPriority w:val="0"/>
    <w:rPr>
      <w:rFonts w:ascii="宋体" w:hAnsi="宋体"/>
      <w:b/>
      <w:sz w:val="28"/>
      <w:szCs w:val="28"/>
    </w:rPr>
  </w:style>
  <w:style w:type="paragraph" w:styleId="65">
    <w:name w:val="No Spacing"/>
    <w:qFormat/>
    <w:uiPriority w:val="0"/>
    <w:pPr>
      <w:widowControl w:val="0"/>
      <w:jc w:val="both"/>
    </w:pPr>
    <w:rPr>
      <w:rFonts w:ascii="Times New Roman" w:hAnsi="Times New Roman" w:eastAsia="Times New Roman" w:cs="Times New Roman"/>
      <w:kern w:val="2"/>
      <w:sz w:val="21"/>
      <w:lang w:val="en-US" w:eastAsia="zh-CN" w:bidi="ar-SA"/>
    </w:rPr>
  </w:style>
  <w:style w:type="paragraph" w:customStyle="1" w:styleId="6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
    <w:name w:val="2）二级标题 段前分页"/>
    <w:basedOn w:val="1"/>
    <w:qFormat/>
    <w:uiPriority w:val="0"/>
    <w:pPr>
      <w:spacing w:beforeLines="100" w:afterLines="50" w:line="400" w:lineRule="exact"/>
      <w:jc w:val="center"/>
    </w:pPr>
    <w:rPr>
      <w:rFonts w:ascii="仿宋_GB2312" w:eastAsia="仿宋_GB2312"/>
      <w:b/>
      <w:color w:val="000000"/>
      <w:sz w:val="36"/>
      <w:szCs w:val="20"/>
    </w:rPr>
  </w:style>
  <w:style w:type="paragraph" w:customStyle="1" w:styleId="68">
    <w:name w:val="标题3 附件1"/>
    <w:basedOn w:val="1"/>
    <w:qFormat/>
    <w:uiPriority w:val="99"/>
    <w:pPr>
      <w:keepNext/>
      <w:keepLines/>
      <w:spacing w:before="340" w:after="330" w:line="360" w:lineRule="exact"/>
      <w:jc w:val="left"/>
      <w:outlineLvl w:val="2"/>
    </w:pPr>
    <w:rPr>
      <w:b/>
      <w:bCs/>
      <w:kern w:val="44"/>
      <w:szCs w:val="21"/>
    </w:rPr>
  </w:style>
  <w:style w:type="paragraph" w:customStyle="1" w:styleId="69">
    <w:name w:val="正文2"/>
    <w:basedOn w:val="1"/>
    <w:qFormat/>
    <w:uiPriority w:val="0"/>
    <w:pPr>
      <w:spacing w:line="360" w:lineRule="auto"/>
      <w:ind w:firstLine="510" w:firstLineChars="200"/>
    </w:pPr>
    <w:rPr>
      <w:sz w:val="24"/>
      <w:szCs w:val="20"/>
    </w:rPr>
  </w:style>
  <w:style w:type="paragraph" w:customStyle="1" w:styleId="70">
    <w:name w:val="正文表格"/>
    <w:basedOn w:val="1"/>
    <w:qFormat/>
    <w:uiPriority w:val="0"/>
    <w:pPr>
      <w:keepNext/>
      <w:keepLines/>
      <w:overflowPunct w:val="0"/>
      <w:adjustRightInd w:val="0"/>
      <w:spacing w:before="80"/>
      <w:jc w:val="center"/>
      <w:textAlignment w:val="bottom"/>
    </w:pPr>
    <w:rPr>
      <w:kern w:val="0"/>
      <w:sz w:val="28"/>
    </w:rPr>
  </w:style>
  <w:style w:type="paragraph" w:customStyle="1" w:styleId="71">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72">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样式 样式 样式 左侧:  2 字符1 + 首行缩进:  2 字符1 + 首行缩进:  2 字符"/>
    <w:basedOn w:val="1"/>
    <w:qFormat/>
    <w:uiPriority w:val="0"/>
    <w:pPr>
      <w:widowControl/>
      <w:spacing w:before="60" w:after="120" w:line="440" w:lineRule="atLeast"/>
      <w:ind w:firstLine="480"/>
    </w:pPr>
    <w:rPr>
      <w:rFonts w:hint="eastAsia"/>
      <w:sz w:val="24"/>
    </w:rPr>
  </w:style>
  <w:style w:type="character" w:customStyle="1" w:styleId="74">
    <w:name w:val="font61"/>
    <w:qFormat/>
    <w:uiPriority w:val="0"/>
    <w:rPr>
      <w:rFonts w:hint="eastAsia" w:ascii="宋体" w:hAnsi="宋体" w:eastAsia="宋体" w:cs="宋体"/>
      <w:color w:val="000000"/>
      <w:sz w:val="20"/>
      <w:szCs w:val="20"/>
      <w:u w:val="none"/>
    </w:rPr>
  </w:style>
  <w:style w:type="character" w:customStyle="1" w:styleId="75">
    <w:name w:val="font71"/>
    <w:qFormat/>
    <w:uiPriority w:val="0"/>
    <w:rPr>
      <w:rFonts w:hint="eastAsia" w:ascii="宋体" w:hAnsi="宋体" w:eastAsia="宋体" w:cs="宋体"/>
      <w:color w:val="000000"/>
      <w:sz w:val="20"/>
      <w:szCs w:val="20"/>
      <w:u w:val="none"/>
      <w:vertAlign w:val="superscript"/>
    </w:rPr>
  </w:style>
  <w:style w:type="character" w:customStyle="1" w:styleId="76">
    <w:name w:val="font0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36633</Words>
  <Characters>42815</Characters>
  <Lines>339</Lines>
  <Paragraphs>95</Paragraphs>
  <TotalTime>165</TotalTime>
  <ScaleCrop>false</ScaleCrop>
  <LinksUpToDate>false</LinksUpToDate>
  <CharactersWithSpaces>44736</CharactersWithSpaces>
  <Application>WPS Office_11.1.0.14309_F1E327BC-269C-435d-A152-05C5408002CA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2023-06-05T14:02:00Z</dcterms:created>
  <cp:lastPrinted>2020-04-29T03:06:00Z</cp:lastPrinted>
  <dcterms:modified xsi:type="dcterms:W3CDTF">2023-06-21T12:00:24Z</dcterms:modified>
  <dc:title>库车县政府集中采购</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0E0E73C66CF9483E88C6880D845040A7</vt:lpwstr>
  </property>
</Properties>
</file>