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5E7614">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both"/>
        <w:textAlignment w:val="auto"/>
        <w:outlineLvl w:val="9"/>
        <w:rPr>
          <w:rFonts w:hint="eastAsia" w:ascii="宋体" w:hAnsi="宋体" w:eastAsia="宋体" w:cs="宋体"/>
          <w:i w:val="0"/>
          <w:iCs w:val="0"/>
          <w:color w:val="auto"/>
          <w:spacing w:val="0"/>
          <w:sz w:val="36"/>
          <w:szCs w:val="36"/>
          <w:lang w:val="en-US" w:eastAsia="zh-CN"/>
        </w:rPr>
      </w:pPr>
    </w:p>
    <w:p w14:paraId="28D4CC93">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left="0" w:leftChars="0" w:right="0" w:rightChars="0" w:firstLine="0" w:firstLineChars="0"/>
        <w:jc w:val="center"/>
        <w:textAlignment w:val="auto"/>
        <w:outlineLvl w:val="0"/>
        <w:rPr>
          <w:rFonts w:hint="eastAsia" w:ascii="宋体" w:hAnsi="宋体" w:eastAsia="宋体" w:cs="宋体"/>
          <w:b/>
          <w:bCs/>
          <w:i w:val="0"/>
          <w:iCs w:val="0"/>
          <w:color w:val="auto"/>
          <w:spacing w:val="0"/>
          <w:sz w:val="28"/>
          <w:szCs w:val="28"/>
        </w:rPr>
      </w:pPr>
      <w:r>
        <w:rPr>
          <w:rFonts w:hint="eastAsia" w:ascii="宋体" w:hAnsi="宋体" w:eastAsia="宋体" w:cs="宋体"/>
          <w:b/>
          <w:bCs/>
          <w:i w:val="0"/>
          <w:iCs w:val="0"/>
          <w:color w:val="auto"/>
          <w:sz w:val="36"/>
          <w:szCs w:val="36"/>
          <w:lang w:val="en-US" w:eastAsia="zh-CN"/>
        </w:rPr>
        <w:t>“双珠”计划·库车市文化艺术精品创作项目-媒体平台运维安全保障</w:t>
      </w:r>
    </w:p>
    <w:p w14:paraId="0727B9B8">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left="0" w:leftChars="0" w:right="0" w:rightChars="0" w:firstLine="0" w:firstLineChars="0"/>
        <w:jc w:val="both"/>
        <w:textAlignment w:val="auto"/>
        <w:outlineLvl w:val="9"/>
        <w:rPr>
          <w:rFonts w:hint="eastAsia" w:ascii="宋体" w:hAnsi="宋体" w:eastAsia="宋体" w:cs="宋体"/>
          <w:i w:val="0"/>
          <w:iCs w:val="0"/>
          <w:color w:val="auto"/>
          <w:spacing w:val="0"/>
          <w:sz w:val="24"/>
          <w:szCs w:val="24"/>
        </w:rPr>
      </w:pPr>
    </w:p>
    <w:p w14:paraId="70D591D0">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left="0" w:leftChars="0" w:right="0" w:rightChars="0" w:firstLine="0" w:firstLineChars="0"/>
        <w:jc w:val="both"/>
        <w:textAlignment w:val="auto"/>
        <w:outlineLvl w:val="9"/>
        <w:rPr>
          <w:rFonts w:hint="eastAsia" w:ascii="宋体" w:hAnsi="宋体" w:eastAsia="宋体" w:cs="宋体"/>
          <w:i w:val="0"/>
          <w:iCs w:val="0"/>
          <w:color w:val="auto"/>
          <w:spacing w:val="0"/>
          <w:sz w:val="24"/>
          <w:szCs w:val="24"/>
        </w:rPr>
      </w:pPr>
    </w:p>
    <w:p w14:paraId="11CC69CA">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left="0" w:leftChars="0" w:right="0" w:rightChars="0" w:firstLine="0" w:firstLineChars="0"/>
        <w:jc w:val="both"/>
        <w:textAlignment w:val="auto"/>
        <w:outlineLvl w:val="9"/>
        <w:rPr>
          <w:rFonts w:hint="eastAsia" w:ascii="宋体" w:hAnsi="宋体" w:eastAsia="宋体" w:cs="宋体"/>
          <w:i w:val="0"/>
          <w:iCs w:val="0"/>
          <w:color w:val="auto"/>
          <w:spacing w:val="0"/>
          <w:sz w:val="24"/>
          <w:szCs w:val="24"/>
        </w:rPr>
      </w:pPr>
    </w:p>
    <w:p w14:paraId="08D7AF25">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left="0" w:leftChars="0" w:right="0" w:rightChars="0" w:firstLine="0" w:firstLineChars="0"/>
        <w:jc w:val="both"/>
        <w:textAlignment w:val="auto"/>
        <w:outlineLvl w:val="9"/>
        <w:rPr>
          <w:rFonts w:hint="eastAsia" w:ascii="宋体" w:hAnsi="宋体" w:eastAsia="宋体" w:cs="宋体"/>
          <w:i w:val="0"/>
          <w:iCs w:val="0"/>
          <w:color w:val="auto"/>
          <w:spacing w:val="0"/>
          <w:sz w:val="24"/>
          <w:szCs w:val="24"/>
        </w:rPr>
      </w:pPr>
    </w:p>
    <w:p w14:paraId="642879A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i w:val="0"/>
          <w:iCs w:val="0"/>
          <w:color w:val="auto"/>
          <w:spacing w:val="0"/>
          <w:sz w:val="72"/>
          <w:szCs w:val="72"/>
        </w:rPr>
      </w:pPr>
      <w:r>
        <w:rPr>
          <w:rFonts w:hint="eastAsia" w:ascii="宋体" w:hAnsi="宋体" w:eastAsia="宋体" w:cs="宋体"/>
          <w:i w:val="0"/>
          <w:iCs w:val="0"/>
          <w:color w:val="auto"/>
          <w:spacing w:val="0"/>
          <w:sz w:val="72"/>
          <w:szCs w:val="72"/>
          <w:lang w:val="en-US" w:eastAsia="zh-CN"/>
        </w:rPr>
        <w:t xml:space="preserve">磋 商 </w:t>
      </w:r>
      <w:r>
        <w:rPr>
          <w:rFonts w:hint="eastAsia" w:ascii="宋体" w:hAnsi="宋体" w:eastAsia="宋体" w:cs="宋体"/>
          <w:i w:val="0"/>
          <w:iCs w:val="0"/>
          <w:color w:val="auto"/>
          <w:spacing w:val="0"/>
          <w:sz w:val="72"/>
          <w:szCs w:val="72"/>
        </w:rPr>
        <w:t>文</w:t>
      </w:r>
      <w:r>
        <w:rPr>
          <w:rFonts w:hint="eastAsia" w:ascii="宋体" w:hAnsi="宋体" w:eastAsia="宋体" w:cs="宋体"/>
          <w:i w:val="0"/>
          <w:iCs w:val="0"/>
          <w:color w:val="auto"/>
          <w:spacing w:val="0"/>
          <w:sz w:val="72"/>
          <w:szCs w:val="72"/>
          <w:lang w:val="en-US" w:eastAsia="zh-CN"/>
        </w:rPr>
        <w:t xml:space="preserve"> </w:t>
      </w:r>
      <w:r>
        <w:rPr>
          <w:rFonts w:hint="eastAsia" w:ascii="宋体" w:hAnsi="宋体" w:eastAsia="宋体" w:cs="宋体"/>
          <w:i w:val="0"/>
          <w:iCs w:val="0"/>
          <w:color w:val="auto"/>
          <w:spacing w:val="0"/>
          <w:sz w:val="72"/>
          <w:szCs w:val="72"/>
        </w:rPr>
        <w:t>件</w:t>
      </w:r>
    </w:p>
    <w:p w14:paraId="76BA02AE">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left="0" w:leftChars="0" w:right="0" w:rightChars="0" w:firstLine="0" w:firstLineChars="0"/>
        <w:jc w:val="both"/>
        <w:textAlignment w:val="auto"/>
        <w:outlineLvl w:val="9"/>
        <w:rPr>
          <w:rFonts w:hint="eastAsia" w:ascii="宋体" w:hAnsi="宋体" w:eastAsia="宋体" w:cs="宋体"/>
          <w:i w:val="0"/>
          <w:iCs w:val="0"/>
          <w:color w:val="auto"/>
          <w:spacing w:val="0"/>
          <w:sz w:val="24"/>
          <w:szCs w:val="24"/>
        </w:rPr>
      </w:pPr>
    </w:p>
    <w:p w14:paraId="34081620">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left="0" w:leftChars="0" w:right="0" w:rightChars="0" w:firstLine="0" w:firstLineChars="0"/>
        <w:jc w:val="both"/>
        <w:textAlignment w:val="auto"/>
        <w:outlineLvl w:val="9"/>
        <w:rPr>
          <w:rFonts w:hint="eastAsia" w:ascii="宋体" w:hAnsi="宋体" w:eastAsia="宋体" w:cs="宋体"/>
          <w:i w:val="0"/>
          <w:iCs w:val="0"/>
          <w:color w:val="auto"/>
          <w:spacing w:val="0"/>
          <w:sz w:val="24"/>
          <w:szCs w:val="24"/>
        </w:rPr>
      </w:pPr>
    </w:p>
    <w:p w14:paraId="632B6F1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i w:val="0"/>
          <w:iCs w:val="0"/>
          <w:color w:val="auto"/>
          <w:spacing w:val="0"/>
          <w:sz w:val="32"/>
          <w:szCs w:val="32"/>
          <w:lang w:val="en-US" w:eastAsia="zh-CN"/>
        </w:rPr>
      </w:pPr>
    </w:p>
    <w:p w14:paraId="3876C3E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i w:val="0"/>
          <w:iCs w:val="0"/>
          <w:color w:val="auto"/>
          <w:spacing w:val="0"/>
          <w:sz w:val="32"/>
          <w:szCs w:val="32"/>
          <w:lang w:val="en-US" w:eastAsia="zh-CN"/>
        </w:rPr>
      </w:pPr>
    </w:p>
    <w:p w14:paraId="16D553D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i w:val="0"/>
          <w:iCs w:val="0"/>
          <w:color w:val="auto"/>
          <w:spacing w:val="0"/>
          <w:sz w:val="32"/>
          <w:szCs w:val="32"/>
          <w:lang w:val="en-US" w:eastAsia="zh-CN"/>
        </w:rPr>
      </w:pPr>
    </w:p>
    <w:p w14:paraId="5E2099C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宋体" w:hAnsi="宋体" w:eastAsia="宋体" w:cs="宋体"/>
          <w:i w:val="0"/>
          <w:iCs w:val="0"/>
          <w:color w:val="auto"/>
          <w:spacing w:val="0"/>
          <w:sz w:val="32"/>
          <w:szCs w:val="32"/>
          <w:lang w:val="en-US" w:eastAsia="zh-CN"/>
        </w:rPr>
      </w:pPr>
      <w:r>
        <w:rPr>
          <w:rFonts w:hint="eastAsia" w:ascii="宋体" w:hAnsi="宋体" w:eastAsia="宋体" w:cs="宋体"/>
          <w:i w:val="0"/>
          <w:iCs w:val="0"/>
          <w:color w:val="auto"/>
          <w:spacing w:val="0"/>
          <w:sz w:val="32"/>
          <w:szCs w:val="32"/>
          <w:lang w:val="en-US" w:eastAsia="zh-CN"/>
        </w:rPr>
        <w:t>项目编号：</w:t>
      </w:r>
      <w:r>
        <w:rPr>
          <w:rFonts w:hint="eastAsia" w:ascii="宋体" w:hAnsi="宋体" w:eastAsia="宋体" w:cs="宋体"/>
          <w:i w:val="0"/>
          <w:iCs w:val="0"/>
          <w:color w:val="auto"/>
          <w:spacing w:val="0"/>
          <w:sz w:val="32"/>
          <w:szCs w:val="32"/>
          <w:u w:val="single"/>
          <w:lang w:val="en-US" w:eastAsia="zh-CN"/>
        </w:rPr>
        <w:t>KCS2025-WT165</w:t>
      </w:r>
    </w:p>
    <w:p w14:paraId="19D2A90A">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left="637" w:leftChars="236" w:right="0" w:rightChars="0" w:firstLine="0" w:firstLineChars="0"/>
        <w:jc w:val="both"/>
        <w:textAlignment w:val="auto"/>
        <w:outlineLvl w:val="9"/>
        <w:rPr>
          <w:rFonts w:hint="eastAsia" w:ascii="宋体" w:hAnsi="宋体" w:eastAsia="宋体" w:cs="宋体"/>
          <w:i w:val="0"/>
          <w:iCs w:val="0"/>
          <w:color w:val="auto"/>
          <w:spacing w:val="0"/>
          <w:sz w:val="32"/>
          <w:szCs w:val="32"/>
          <w:u w:val="single"/>
          <w:lang w:val="en-US" w:eastAsia="zh-CN"/>
        </w:rPr>
      </w:pPr>
      <w:r>
        <w:rPr>
          <w:rFonts w:hint="eastAsia" w:ascii="宋体" w:hAnsi="宋体" w:eastAsia="宋体" w:cs="宋体"/>
          <w:i w:val="0"/>
          <w:iCs w:val="0"/>
          <w:color w:val="auto"/>
          <w:spacing w:val="0"/>
          <w:sz w:val="32"/>
          <w:szCs w:val="32"/>
        </w:rPr>
        <w:t>招标人：</w:t>
      </w:r>
      <w:r>
        <w:rPr>
          <w:rFonts w:hint="eastAsia" w:ascii="宋体" w:hAnsi="宋体" w:eastAsia="宋体" w:cs="宋体"/>
          <w:i w:val="0"/>
          <w:iCs w:val="0"/>
          <w:color w:val="auto"/>
          <w:spacing w:val="0"/>
          <w:sz w:val="32"/>
          <w:szCs w:val="32"/>
          <w:u w:val="single"/>
          <w:lang w:val="en-US" w:eastAsia="zh-CN"/>
        </w:rPr>
        <w:t>库车市融媒体中心</w:t>
      </w:r>
      <w:r>
        <w:drawing>
          <wp:anchor distT="0" distB="0" distL="114300" distR="114300" simplePos="0" relativeHeight="251659264" behindDoc="1" locked="0" layoutInCell="1" allowOverlap="1">
            <wp:simplePos x="0" y="0"/>
            <wp:positionH relativeFrom="column">
              <wp:posOffset>1883410</wp:posOffset>
            </wp:positionH>
            <wp:positionV relativeFrom="paragraph">
              <wp:posOffset>7204075</wp:posOffset>
            </wp:positionV>
            <wp:extent cx="1524000" cy="1524000"/>
            <wp:effectExtent l="0" t="0" r="0" b="0"/>
            <wp:wrapNone/>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6"/>
                    <a:stretch>
                      <a:fillRect/>
                    </a:stretch>
                  </pic:blipFill>
                  <pic:spPr>
                    <a:xfrm>
                      <a:off x="0" y="0"/>
                      <a:ext cx="1524000" cy="1524000"/>
                    </a:xfrm>
                    <a:prstGeom prst="rect">
                      <a:avLst/>
                    </a:prstGeom>
                    <a:noFill/>
                    <a:ln>
                      <a:noFill/>
                    </a:ln>
                  </pic:spPr>
                </pic:pic>
              </a:graphicData>
            </a:graphic>
          </wp:anchor>
        </w:drawing>
      </w:r>
      <w:r>
        <w:rPr>
          <w:rFonts w:hint="eastAsia" w:ascii="宋体" w:hAnsi="宋体" w:eastAsia="宋体" w:cs="宋体"/>
          <w:i w:val="0"/>
          <w:iCs w:val="0"/>
          <w:color w:val="auto"/>
          <w:spacing w:val="0"/>
          <w:sz w:val="32"/>
          <w:szCs w:val="32"/>
          <w:u w:val="single"/>
          <w:lang w:val="en-US" w:eastAsia="zh-CN"/>
        </w:rPr>
        <w:br w:type="textWrapping"/>
      </w:r>
      <w:r>
        <w:rPr>
          <w:rFonts w:hint="eastAsia" w:ascii="宋体" w:hAnsi="宋体" w:eastAsia="宋体" w:cs="宋体"/>
          <w:i w:val="0"/>
          <w:iCs w:val="0"/>
          <w:color w:val="auto"/>
          <w:spacing w:val="0"/>
          <w:sz w:val="32"/>
          <w:szCs w:val="32"/>
        </w:rPr>
        <w:t>代理机构：</w:t>
      </w:r>
      <w:r>
        <w:rPr>
          <w:rFonts w:hint="eastAsia" w:ascii="宋体" w:hAnsi="宋体" w:eastAsia="宋体" w:cs="宋体"/>
          <w:i w:val="0"/>
          <w:iCs w:val="0"/>
          <w:color w:val="auto"/>
          <w:spacing w:val="0"/>
          <w:sz w:val="32"/>
          <w:szCs w:val="32"/>
          <w:u w:val="single"/>
          <w:lang w:val="en-US" w:eastAsia="zh-CN"/>
        </w:rPr>
        <w:t>新疆天跃中达项目管理有限责任公司</w:t>
      </w:r>
    </w:p>
    <w:p w14:paraId="17A1DEBE">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left="0" w:leftChars="0" w:right="0" w:rightChars="0" w:firstLine="0" w:firstLineChars="0"/>
        <w:jc w:val="center"/>
        <w:textAlignment w:val="auto"/>
        <w:outlineLvl w:val="9"/>
        <w:rPr>
          <w:rFonts w:hint="eastAsia" w:ascii="宋体" w:hAnsi="宋体" w:eastAsia="宋体" w:cs="宋体"/>
          <w:i w:val="0"/>
          <w:iCs w:val="0"/>
          <w:color w:val="auto"/>
          <w:spacing w:val="0"/>
          <w:sz w:val="32"/>
          <w:szCs w:val="32"/>
          <w:lang w:val="en-US" w:eastAsia="zh-CN"/>
        </w:rPr>
      </w:pPr>
      <w:r>
        <w:rPr>
          <w:rFonts w:hint="eastAsia" w:ascii="宋体" w:hAnsi="宋体" w:eastAsia="宋体" w:cs="宋体"/>
          <w:i w:val="0"/>
          <w:iCs w:val="0"/>
          <w:color w:val="auto"/>
          <w:spacing w:val="0"/>
          <w:sz w:val="32"/>
          <w:szCs w:val="32"/>
          <w:u w:val="single"/>
          <w:lang w:val="en-US" w:eastAsia="zh-CN"/>
        </w:rPr>
        <w:t>2025</w:t>
      </w:r>
      <w:r>
        <w:rPr>
          <w:rFonts w:hint="eastAsia" w:ascii="宋体" w:hAnsi="宋体" w:eastAsia="宋体" w:cs="宋体"/>
          <w:i w:val="0"/>
          <w:iCs w:val="0"/>
          <w:color w:val="auto"/>
          <w:spacing w:val="0"/>
          <w:sz w:val="32"/>
          <w:szCs w:val="32"/>
          <w:lang w:val="en-US" w:eastAsia="zh-CN"/>
        </w:rPr>
        <w:t>年</w:t>
      </w:r>
      <w:r>
        <w:rPr>
          <w:rFonts w:hint="eastAsia" w:ascii="宋体" w:hAnsi="宋体" w:eastAsia="宋体" w:cs="宋体"/>
          <w:i w:val="0"/>
          <w:iCs w:val="0"/>
          <w:color w:val="auto"/>
          <w:spacing w:val="0"/>
          <w:sz w:val="32"/>
          <w:szCs w:val="32"/>
          <w:u w:val="single"/>
          <w:lang w:val="en-US" w:eastAsia="zh-CN"/>
        </w:rPr>
        <w:t>7</w:t>
      </w:r>
      <w:r>
        <w:rPr>
          <w:rFonts w:hint="eastAsia" w:ascii="宋体" w:hAnsi="宋体" w:eastAsia="宋体" w:cs="宋体"/>
          <w:i w:val="0"/>
          <w:iCs w:val="0"/>
          <w:color w:val="auto"/>
          <w:spacing w:val="0"/>
          <w:sz w:val="32"/>
          <w:szCs w:val="32"/>
          <w:lang w:val="en-US" w:eastAsia="zh-CN"/>
        </w:rPr>
        <w:t>月</w:t>
      </w:r>
    </w:p>
    <w:p w14:paraId="433F03AD">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left="0" w:leftChars="0" w:right="0" w:rightChars="0" w:firstLine="0" w:firstLineChars="0"/>
        <w:jc w:val="center"/>
        <w:textAlignment w:val="auto"/>
        <w:outlineLvl w:val="9"/>
        <w:rPr>
          <w:rFonts w:hint="eastAsia" w:ascii="宋体" w:hAnsi="宋体" w:eastAsia="宋体" w:cs="宋体"/>
          <w:i w:val="0"/>
          <w:iCs w:val="0"/>
          <w:color w:val="auto"/>
          <w:spacing w:val="0"/>
          <w:sz w:val="32"/>
          <w:szCs w:val="32"/>
          <w:lang w:val="en-US" w:eastAsia="zh-CN"/>
        </w:rPr>
      </w:pPr>
    </w:p>
    <w:p w14:paraId="5B6C85DC">
      <w:pPr>
        <w:jc w:val="center"/>
        <w:outlineLvl w:val="9"/>
        <w:rPr>
          <w:rFonts w:hint="eastAsia" w:ascii="宋体" w:hAnsi="宋体" w:eastAsia="宋体" w:cs="宋体"/>
          <w:i w:val="0"/>
          <w:iCs w:val="0"/>
          <w:color w:val="auto"/>
          <w:sz w:val="52"/>
          <w:szCs w:val="84"/>
        </w:rPr>
      </w:pPr>
      <w:r>
        <w:rPr>
          <w:rFonts w:hint="eastAsia" w:ascii="宋体" w:hAnsi="宋体" w:eastAsia="宋体" w:cs="宋体"/>
          <w:i w:val="0"/>
          <w:iCs w:val="0"/>
          <w:color w:val="auto"/>
          <w:sz w:val="52"/>
          <w:szCs w:val="84"/>
          <w:lang w:val="en-US" w:eastAsia="zh-CN"/>
        </w:rPr>
        <w:t>磋商</w:t>
      </w:r>
      <w:r>
        <w:rPr>
          <w:rFonts w:hint="eastAsia" w:ascii="宋体" w:hAnsi="宋体" w:eastAsia="宋体" w:cs="宋体"/>
          <w:i w:val="0"/>
          <w:iCs w:val="0"/>
          <w:color w:val="auto"/>
          <w:sz w:val="52"/>
          <w:szCs w:val="84"/>
        </w:rPr>
        <w:t>文件</w:t>
      </w:r>
    </w:p>
    <w:p w14:paraId="3E9B58C4">
      <w:pPr>
        <w:pStyle w:val="16"/>
        <w:bidi w:val="0"/>
        <w:rPr>
          <w:rFonts w:hint="eastAsia" w:ascii="宋体" w:hAnsi="宋体" w:eastAsia="宋体" w:cs="宋体"/>
          <w:i w:val="0"/>
          <w:iCs w:val="0"/>
          <w:color w:val="auto"/>
        </w:rPr>
      </w:pPr>
    </w:p>
    <w:p w14:paraId="65B6B084">
      <w:pPr>
        <w:rPr>
          <w:rFonts w:hint="eastAsia"/>
          <w:color w:val="auto"/>
        </w:rPr>
      </w:pPr>
    </w:p>
    <w:p w14:paraId="3253D348">
      <w:pPr>
        <w:rPr>
          <w:rFonts w:hint="eastAsia" w:ascii="宋体" w:hAnsi="宋体" w:eastAsia="宋体" w:cs="宋体"/>
          <w:i w:val="0"/>
          <w:iCs w:val="0"/>
          <w:color w:val="auto"/>
        </w:rPr>
      </w:pPr>
    </w:p>
    <w:p w14:paraId="13D84B41">
      <w:pPr>
        <w:spacing w:line="360" w:lineRule="auto"/>
        <w:ind w:left="1845" w:leftChars="165" w:hanging="1400" w:hangingChars="400"/>
        <w:jc w:val="both"/>
        <w:outlineLvl w:val="9"/>
        <w:rPr>
          <w:rFonts w:hint="eastAsia" w:ascii="宋体" w:hAnsi="宋体" w:eastAsia="宋体" w:cs="宋体"/>
          <w:i w:val="0"/>
          <w:iCs w:val="0"/>
          <w:color w:val="auto"/>
          <w:sz w:val="32"/>
          <w:szCs w:val="32"/>
          <w:lang w:val="en-US" w:eastAsia="zh-CN"/>
        </w:rPr>
      </w:pPr>
      <w:r>
        <w:rPr>
          <w:rFonts w:hint="eastAsia" w:ascii="宋体" w:hAnsi="宋体" w:eastAsia="宋体" w:cs="宋体"/>
          <w:i w:val="0"/>
          <w:iCs w:val="0"/>
          <w:color w:val="auto"/>
          <w:sz w:val="32"/>
          <w:szCs w:val="32"/>
        </w:rPr>
        <w:t>项目名称：</w:t>
      </w:r>
      <w:r>
        <w:rPr>
          <w:rFonts w:hint="eastAsia" w:ascii="宋体" w:hAnsi="宋体" w:eastAsia="宋体" w:cs="宋体"/>
          <w:i w:val="0"/>
          <w:iCs w:val="0"/>
          <w:color w:val="auto"/>
          <w:sz w:val="32"/>
          <w:szCs w:val="32"/>
          <w:lang w:val="en-US" w:eastAsia="zh-CN"/>
        </w:rPr>
        <w:t>“双珠”计划·库车市文化艺术精品创作项目-媒体平台运维安全保障</w:t>
      </w:r>
    </w:p>
    <w:p w14:paraId="7ED61980">
      <w:pPr>
        <w:spacing w:line="360" w:lineRule="auto"/>
        <w:ind w:left="338" w:leftChars="125" w:firstLine="63" w:firstLineChars="18"/>
        <w:outlineLvl w:val="9"/>
        <w:rPr>
          <w:rFonts w:hint="eastAsia" w:ascii="宋体" w:hAnsi="宋体" w:eastAsia="宋体" w:cs="宋体"/>
          <w:i w:val="0"/>
          <w:iCs w:val="0"/>
          <w:color w:val="auto"/>
          <w:sz w:val="32"/>
          <w:szCs w:val="32"/>
          <w:lang w:eastAsia="zh-CN"/>
        </w:rPr>
      </w:pPr>
      <w:r>
        <w:rPr>
          <w:rFonts w:hint="eastAsia" w:ascii="宋体" w:hAnsi="宋体" w:eastAsia="宋体" w:cs="宋体"/>
          <w:i w:val="0"/>
          <w:iCs w:val="0"/>
          <w:color w:val="auto"/>
          <w:sz w:val="32"/>
          <w:szCs w:val="32"/>
        </w:rPr>
        <w:t>招 标 人：</w:t>
      </w:r>
      <w:r>
        <w:rPr>
          <w:rFonts w:hint="eastAsia" w:ascii="宋体" w:hAnsi="宋体" w:eastAsia="宋体" w:cs="宋体"/>
          <w:i w:val="0"/>
          <w:iCs w:val="0"/>
          <w:color w:val="auto"/>
          <w:sz w:val="32"/>
          <w:szCs w:val="32"/>
          <w:lang w:val="en-US" w:eastAsia="zh-CN"/>
        </w:rPr>
        <w:t xml:space="preserve">库车市融媒体中心 </w:t>
      </w:r>
    </w:p>
    <w:p w14:paraId="1DB64B00">
      <w:pPr>
        <w:spacing w:line="360" w:lineRule="auto"/>
        <w:ind w:left="338" w:leftChars="125" w:firstLine="63" w:firstLineChars="18"/>
        <w:jc w:val="left"/>
        <w:outlineLvl w:val="9"/>
        <w:rPr>
          <w:rFonts w:hint="eastAsia" w:ascii="宋体" w:hAnsi="宋体" w:eastAsia="宋体" w:cs="宋体"/>
          <w:i w:val="0"/>
          <w:iCs w:val="0"/>
          <w:color w:val="auto"/>
          <w:sz w:val="32"/>
          <w:szCs w:val="32"/>
        </w:rPr>
      </w:pPr>
      <w:r>
        <w:rPr>
          <w:rFonts w:hint="eastAsia" w:ascii="宋体" w:hAnsi="宋体" w:eastAsia="宋体" w:cs="宋体"/>
          <w:i w:val="0"/>
          <w:iCs w:val="0"/>
          <w:color w:val="auto"/>
          <w:sz w:val="32"/>
          <w:szCs w:val="32"/>
        </w:rPr>
        <w:t xml:space="preserve">法定代表人（签章）： </w:t>
      </w:r>
    </w:p>
    <w:p w14:paraId="2E9180F6">
      <w:pPr>
        <w:spacing w:line="360" w:lineRule="auto"/>
        <w:ind w:firstLine="350" w:firstLineChars="100"/>
        <w:jc w:val="left"/>
        <w:outlineLvl w:val="9"/>
        <w:rPr>
          <w:rFonts w:hint="default" w:ascii="宋体" w:hAnsi="宋体" w:eastAsia="宋体" w:cs="宋体"/>
          <w:i w:val="0"/>
          <w:iCs w:val="0"/>
          <w:color w:val="auto"/>
          <w:sz w:val="32"/>
          <w:szCs w:val="32"/>
          <w:lang w:val="en-US" w:eastAsia="zh-CN"/>
        </w:rPr>
      </w:pPr>
      <w:r>
        <w:rPr>
          <w:rFonts w:hint="eastAsia" w:ascii="宋体" w:hAnsi="宋体" w:eastAsia="宋体" w:cs="宋体"/>
          <w:i w:val="0"/>
          <w:iCs w:val="0"/>
          <w:color w:val="auto"/>
          <w:sz w:val="32"/>
          <w:szCs w:val="32"/>
        </w:rPr>
        <w:t>联 系 人：</w:t>
      </w:r>
      <w:r>
        <w:rPr>
          <w:rFonts w:hint="eastAsia" w:ascii="宋体" w:hAnsi="宋体" w:eastAsia="宋体" w:cs="宋体"/>
          <w:i w:val="0"/>
          <w:iCs w:val="0"/>
          <w:color w:val="auto"/>
          <w:sz w:val="32"/>
          <w:szCs w:val="32"/>
          <w:lang w:val="en-US" w:eastAsia="zh-CN"/>
        </w:rPr>
        <w:t>古丽波斯坦·艾买尔</w:t>
      </w:r>
    </w:p>
    <w:p w14:paraId="1F9B514C">
      <w:pPr>
        <w:adjustRightInd w:val="0"/>
        <w:snapToGrid w:val="0"/>
        <w:spacing w:line="360" w:lineRule="auto"/>
        <w:ind w:left="338" w:leftChars="125" w:firstLine="63" w:firstLineChars="18"/>
        <w:outlineLvl w:val="9"/>
        <w:rPr>
          <w:rFonts w:hint="default" w:ascii="宋体" w:hAnsi="宋体" w:eastAsia="宋体" w:cs="宋体"/>
          <w:i w:val="0"/>
          <w:iCs w:val="0"/>
          <w:color w:val="auto"/>
          <w:sz w:val="32"/>
          <w:szCs w:val="32"/>
          <w:lang w:val="en-US" w:eastAsia="zh-CN"/>
        </w:rPr>
      </w:pPr>
      <w:r>
        <w:rPr>
          <w:rFonts w:hint="eastAsia" w:ascii="宋体" w:hAnsi="宋体" w:eastAsia="宋体" w:cs="宋体"/>
          <w:i w:val="0"/>
          <w:iCs w:val="0"/>
          <w:color w:val="auto"/>
          <w:sz w:val="32"/>
          <w:szCs w:val="32"/>
        </w:rPr>
        <w:t>电  话：</w:t>
      </w:r>
      <w:r>
        <w:rPr>
          <w:rFonts w:hint="eastAsia" w:ascii="宋体" w:hAnsi="宋体" w:eastAsia="宋体" w:cs="宋体"/>
          <w:i w:val="0"/>
          <w:iCs w:val="0"/>
          <w:color w:val="auto"/>
          <w:sz w:val="32"/>
          <w:szCs w:val="32"/>
          <w:lang w:val="en-US" w:eastAsia="zh-CN"/>
        </w:rPr>
        <w:t>0997-7120128</w:t>
      </w:r>
    </w:p>
    <w:p w14:paraId="138D3204">
      <w:pPr>
        <w:spacing w:line="360" w:lineRule="auto"/>
        <w:ind w:firstLine="525" w:firstLineChars="150"/>
        <w:jc w:val="left"/>
        <w:outlineLvl w:val="9"/>
        <w:rPr>
          <w:rFonts w:hint="eastAsia" w:ascii="宋体" w:hAnsi="宋体" w:eastAsia="宋体" w:cs="宋体"/>
          <w:i w:val="0"/>
          <w:iCs w:val="0"/>
          <w:color w:val="auto"/>
          <w:sz w:val="32"/>
          <w:szCs w:val="32"/>
        </w:rPr>
      </w:pPr>
      <w:r>
        <w:rPr>
          <w:rFonts w:hint="eastAsia" w:ascii="宋体" w:hAnsi="宋体" w:eastAsia="宋体" w:cs="宋体"/>
          <w:i w:val="0"/>
          <w:iCs w:val="0"/>
          <w:color w:val="auto"/>
          <w:sz w:val="32"/>
          <w:szCs w:val="32"/>
        </w:rPr>
        <w:t xml:space="preserve">   </w:t>
      </w:r>
    </w:p>
    <w:p w14:paraId="6FF5B5D8">
      <w:pPr>
        <w:spacing w:line="480" w:lineRule="auto"/>
        <w:ind w:firstLine="525" w:firstLineChars="150"/>
        <w:jc w:val="left"/>
        <w:outlineLvl w:val="9"/>
        <w:rPr>
          <w:rFonts w:hint="eastAsia" w:ascii="宋体" w:hAnsi="宋体" w:eastAsia="宋体" w:cs="宋体"/>
          <w:i w:val="0"/>
          <w:iCs w:val="0"/>
          <w:color w:val="auto"/>
          <w:sz w:val="32"/>
          <w:szCs w:val="32"/>
        </w:rPr>
      </w:pPr>
    </w:p>
    <w:p w14:paraId="03A12648">
      <w:pPr>
        <w:spacing w:line="480" w:lineRule="auto"/>
        <w:ind w:firstLine="525" w:firstLineChars="150"/>
        <w:jc w:val="left"/>
        <w:outlineLvl w:val="9"/>
        <w:rPr>
          <w:rFonts w:hint="eastAsia" w:ascii="宋体" w:hAnsi="宋体" w:eastAsia="宋体" w:cs="宋体"/>
          <w:i w:val="0"/>
          <w:iCs w:val="0"/>
          <w:color w:val="auto"/>
          <w:sz w:val="32"/>
          <w:szCs w:val="32"/>
        </w:rPr>
      </w:pPr>
    </w:p>
    <w:p w14:paraId="037BEA1B">
      <w:pPr>
        <w:spacing w:line="480" w:lineRule="auto"/>
        <w:ind w:firstLine="525" w:firstLineChars="150"/>
        <w:jc w:val="left"/>
        <w:outlineLvl w:val="9"/>
        <w:rPr>
          <w:rFonts w:hint="eastAsia" w:ascii="宋体" w:hAnsi="宋体" w:eastAsia="宋体" w:cs="宋体"/>
          <w:i w:val="0"/>
          <w:iCs w:val="0"/>
          <w:color w:val="auto"/>
          <w:sz w:val="32"/>
          <w:szCs w:val="32"/>
        </w:rPr>
      </w:pPr>
    </w:p>
    <w:p w14:paraId="4C5BB0B0">
      <w:pPr>
        <w:spacing w:line="480" w:lineRule="auto"/>
        <w:jc w:val="left"/>
        <w:outlineLvl w:val="9"/>
        <w:rPr>
          <w:rFonts w:hint="eastAsia" w:ascii="宋体" w:hAnsi="宋体" w:eastAsia="宋体" w:cs="宋体"/>
          <w:i w:val="0"/>
          <w:iCs w:val="0"/>
          <w:color w:val="auto"/>
          <w:sz w:val="32"/>
          <w:szCs w:val="32"/>
        </w:rPr>
      </w:pPr>
    </w:p>
    <w:p w14:paraId="7B9E358F">
      <w:pPr>
        <w:spacing w:line="360" w:lineRule="auto"/>
        <w:ind w:left="0" w:leftChars="0" w:firstLine="350" w:firstLineChars="100"/>
        <w:jc w:val="left"/>
        <w:outlineLvl w:val="9"/>
        <w:rPr>
          <w:rFonts w:hint="eastAsia" w:ascii="宋体" w:hAnsi="宋体" w:eastAsia="宋体" w:cs="宋体"/>
          <w:i w:val="0"/>
          <w:iCs w:val="0"/>
          <w:color w:val="auto"/>
          <w:sz w:val="32"/>
          <w:szCs w:val="32"/>
          <w:lang w:val="en-US" w:eastAsia="zh-CN"/>
        </w:rPr>
      </w:pPr>
      <w:r>
        <w:rPr>
          <w:rFonts w:hint="eastAsia" w:ascii="宋体" w:hAnsi="宋体" w:eastAsia="宋体" w:cs="宋体"/>
          <w:i w:val="0"/>
          <w:iCs w:val="0"/>
          <w:color w:val="auto"/>
          <w:sz w:val="32"/>
          <w:szCs w:val="32"/>
          <w:lang w:val="en-US" w:eastAsia="zh-CN"/>
        </w:rPr>
        <w:t>招</w:t>
      </w:r>
      <w:r>
        <w:rPr>
          <w:rFonts w:hint="eastAsia" w:ascii="宋体" w:hAnsi="宋体" w:eastAsia="宋体" w:cs="宋体"/>
          <w:i w:val="0"/>
          <w:iCs w:val="0"/>
          <w:color w:val="auto"/>
          <w:sz w:val="32"/>
          <w:szCs w:val="32"/>
        </w:rPr>
        <w:t>标代理机构：</w:t>
      </w:r>
      <w:r>
        <w:rPr>
          <w:rFonts w:hint="eastAsia" w:ascii="宋体" w:hAnsi="宋体" w:eastAsia="宋体" w:cs="宋体"/>
          <w:i w:val="0"/>
          <w:iCs w:val="0"/>
          <w:color w:val="auto"/>
          <w:sz w:val="32"/>
          <w:szCs w:val="32"/>
          <w:lang w:val="en-US" w:eastAsia="zh-CN"/>
        </w:rPr>
        <w:t>新疆天跃中达项目管理有限责任公司</w:t>
      </w:r>
    </w:p>
    <w:p w14:paraId="72628373">
      <w:pPr>
        <w:spacing w:line="360" w:lineRule="auto"/>
        <w:ind w:left="0" w:leftChars="0" w:firstLine="350" w:firstLineChars="100"/>
        <w:jc w:val="left"/>
        <w:outlineLvl w:val="9"/>
        <w:rPr>
          <w:rFonts w:hint="eastAsia" w:ascii="宋体" w:hAnsi="宋体" w:eastAsia="宋体" w:cs="宋体"/>
          <w:i w:val="0"/>
          <w:iCs w:val="0"/>
          <w:color w:val="auto"/>
          <w:sz w:val="32"/>
          <w:szCs w:val="32"/>
        </w:rPr>
      </w:pPr>
      <w:r>
        <w:rPr>
          <w:rFonts w:hint="eastAsia" w:ascii="宋体" w:hAnsi="宋体" w:eastAsia="宋体" w:cs="宋体"/>
          <w:i w:val="0"/>
          <w:iCs w:val="0"/>
          <w:color w:val="auto"/>
          <w:sz w:val="32"/>
          <w:szCs w:val="32"/>
        </w:rPr>
        <w:t>法定代表人（签章）</w:t>
      </w:r>
      <w:r>
        <w:drawing>
          <wp:anchor distT="0" distB="0" distL="114300" distR="114300" simplePos="0" relativeHeight="251660288" behindDoc="1" locked="0" layoutInCell="1" allowOverlap="1">
            <wp:simplePos x="0" y="0"/>
            <wp:positionH relativeFrom="column">
              <wp:posOffset>1635125</wp:posOffset>
            </wp:positionH>
            <wp:positionV relativeFrom="paragraph">
              <wp:posOffset>5753100</wp:posOffset>
            </wp:positionV>
            <wp:extent cx="1524000" cy="1524000"/>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7"/>
                    <a:stretch>
                      <a:fillRect/>
                    </a:stretch>
                  </pic:blipFill>
                  <pic:spPr>
                    <a:xfrm>
                      <a:off x="0" y="0"/>
                      <a:ext cx="1524000" cy="1524000"/>
                    </a:xfrm>
                    <a:prstGeom prst="rect">
                      <a:avLst/>
                    </a:prstGeom>
                    <a:noFill/>
                    <a:ln>
                      <a:noFill/>
                    </a:ln>
                  </pic:spPr>
                </pic:pic>
              </a:graphicData>
            </a:graphic>
          </wp:anchor>
        </w:drawing>
      </w:r>
      <w:r>
        <w:rPr>
          <w:rFonts w:hint="eastAsia" w:ascii="宋体" w:hAnsi="宋体" w:eastAsia="宋体" w:cs="宋体"/>
          <w:i w:val="0"/>
          <w:iCs w:val="0"/>
          <w:color w:val="auto"/>
          <w:sz w:val="32"/>
          <w:szCs w:val="32"/>
        </w:rPr>
        <w:t xml:space="preserve"> </w:t>
      </w:r>
    </w:p>
    <w:p w14:paraId="301408A1">
      <w:pPr>
        <w:spacing w:line="360" w:lineRule="auto"/>
        <w:ind w:left="0" w:leftChars="0" w:firstLine="350" w:firstLineChars="100"/>
        <w:jc w:val="left"/>
        <w:outlineLvl w:val="9"/>
        <w:rPr>
          <w:rFonts w:hint="eastAsia" w:ascii="宋体" w:hAnsi="宋体" w:eastAsia="宋体" w:cs="宋体"/>
          <w:i w:val="0"/>
          <w:iCs w:val="0"/>
          <w:color w:val="auto"/>
          <w:sz w:val="32"/>
          <w:szCs w:val="32"/>
          <w:lang w:val="en-US" w:eastAsia="zh-CN"/>
        </w:rPr>
      </w:pPr>
      <w:r>
        <w:rPr>
          <w:rFonts w:hint="eastAsia" w:ascii="宋体" w:hAnsi="宋体" w:eastAsia="宋体" w:cs="宋体"/>
          <w:i w:val="0"/>
          <w:iCs w:val="0"/>
          <w:color w:val="auto"/>
          <w:sz w:val="32"/>
          <w:szCs w:val="32"/>
        </w:rPr>
        <w:t>联 系 人：</w:t>
      </w:r>
      <w:r>
        <w:rPr>
          <w:rFonts w:hint="eastAsia" w:ascii="宋体" w:hAnsi="宋体" w:eastAsia="宋体" w:cs="宋体"/>
          <w:i w:val="0"/>
          <w:iCs w:val="0"/>
          <w:color w:val="auto"/>
          <w:sz w:val="32"/>
          <w:szCs w:val="32"/>
          <w:lang w:val="en-US" w:eastAsia="zh-CN"/>
        </w:rPr>
        <w:t>陈明芳</w:t>
      </w:r>
      <w:r>
        <w:drawing>
          <wp:anchor distT="0" distB="0" distL="114300" distR="114300" simplePos="0" relativeHeight="251661312" behindDoc="1" locked="0" layoutInCell="1" allowOverlap="1">
            <wp:simplePos x="0" y="0"/>
            <wp:positionH relativeFrom="column">
              <wp:posOffset>1635125</wp:posOffset>
            </wp:positionH>
            <wp:positionV relativeFrom="paragraph">
              <wp:posOffset>5753100</wp:posOffset>
            </wp:positionV>
            <wp:extent cx="1524000" cy="1524000"/>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7"/>
                    <a:stretch>
                      <a:fillRect/>
                    </a:stretch>
                  </pic:blipFill>
                  <pic:spPr>
                    <a:xfrm>
                      <a:off x="0" y="0"/>
                      <a:ext cx="1524000" cy="1524000"/>
                    </a:xfrm>
                    <a:prstGeom prst="rect">
                      <a:avLst/>
                    </a:prstGeom>
                    <a:noFill/>
                    <a:ln>
                      <a:noFill/>
                    </a:ln>
                  </pic:spPr>
                </pic:pic>
              </a:graphicData>
            </a:graphic>
          </wp:anchor>
        </w:drawing>
      </w:r>
    </w:p>
    <w:p w14:paraId="1ABC8327">
      <w:pPr>
        <w:spacing w:line="360" w:lineRule="auto"/>
        <w:ind w:left="0" w:leftChars="0" w:firstLine="350" w:firstLineChars="100"/>
        <w:jc w:val="left"/>
        <w:outlineLvl w:val="9"/>
        <w:rPr>
          <w:rFonts w:hint="default" w:ascii="宋体" w:hAnsi="宋体" w:eastAsia="宋体" w:cs="宋体"/>
          <w:i w:val="0"/>
          <w:iCs w:val="0"/>
          <w:color w:val="auto"/>
          <w:sz w:val="32"/>
          <w:szCs w:val="32"/>
          <w:lang w:val="en-US"/>
        </w:rPr>
      </w:pPr>
      <w:r>
        <w:rPr>
          <w:rFonts w:hint="eastAsia" w:ascii="宋体" w:hAnsi="宋体" w:eastAsia="宋体" w:cs="宋体"/>
          <w:i w:val="0"/>
          <w:iCs w:val="0"/>
          <w:color w:val="auto"/>
          <w:sz w:val="32"/>
          <w:szCs w:val="32"/>
        </w:rPr>
        <w:t>电  话：</w:t>
      </w:r>
      <w:r>
        <w:rPr>
          <w:rFonts w:hint="eastAsia" w:ascii="宋体" w:hAnsi="宋体" w:eastAsia="宋体" w:cs="宋体"/>
          <w:i w:val="0"/>
          <w:iCs w:val="0"/>
          <w:color w:val="auto"/>
          <w:sz w:val="32"/>
          <w:szCs w:val="32"/>
          <w:lang w:val="en-US" w:eastAsia="zh-CN"/>
        </w:rPr>
        <w:t>0997-7888767</w:t>
      </w:r>
      <w:r>
        <w:drawing>
          <wp:anchor distT="0" distB="0" distL="114300" distR="114300" simplePos="0" relativeHeight="251665408" behindDoc="1" locked="0" layoutInCell="1" allowOverlap="1">
            <wp:simplePos x="0" y="0"/>
            <wp:positionH relativeFrom="column">
              <wp:posOffset>3511550</wp:posOffset>
            </wp:positionH>
            <wp:positionV relativeFrom="paragraph">
              <wp:posOffset>6529070</wp:posOffset>
            </wp:positionV>
            <wp:extent cx="590550" cy="590550"/>
            <wp:effectExtent l="0" t="0" r="0" b="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8"/>
                    <a:stretch>
                      <a:fillRect/>
                    </a:stretch>
                  </pic:blipFill>
                  <pic:spPr>
                    <a:xfrm>
                      <a:off x="0" y="0"/>
                      <a:ext cx="590550" cy="590550"/>
                    </a:xfrm>
                    <a:prstGeom prst="rect">
                      <a:avLst/>
                    </a:prstGeom>
                    <a:noFill/>
                    <a:ln>
                      <a:noFill/>
                    </a:ln>
                  </pic:spPr>
                </pic:pic>
              </a:graphicData>
            </a:graphic>
          </wp:anchor>
        </w:drawing>
      </w:r>
      <w:r>
        <w:drawing>
          <wp:anchor distT="0" distB="0" distL="114300" distR="114300" simplePos="0" relativeHeight="251663360" behindDoc="1" locked="0" layoutInCell="1" allowOverlap="1">
            <wp:simplePos x="0" y="0"/>
            <wp:positionH relativeFrom="column">
              <wp:posOffset>1635125</wp:posOffset>
            </wp:positionH>
            <wp:positionV relativeFrom="paragraph">
              <wp:posOffset>5753100</wp:posOffset>
            </wp:positionV>
            <wp:extent cx="1524000" cy="1524000"/>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7"/>
                    <a:stretch>
                      <a:fillRect/>
                    </a:stretch>
                  </pic:blipFill>
                  <pic:spPr>
                    <a:xfrm>
                      <a:off x="0" y="0"/>
                      <a:ext cx="1524000" cy="1524000"/>
                    </a:xfrm>
                    <a:prstGeom prst="rect">
                      <a:avLst/>
                    </a:prstGeom>
                    <a:noFill/>
                    <a:ln>
                      <a:noFill/>
                    </a:ln>
                  </pic:spPr>
                </pic:pic>
              </a:graphicData>
            </a:graphic>
          </wp:anchor>
        </w:drawing>
      </w:r>
    </w:p>
    <w:p w14:paraId="016FDD2A">
      <w:pPr>
        <w:spacing w:line="360" w:lineRule="auto"/>
        <w:ind w:left="0" w:leftChars="0" w:firstLine="350" w:firstLineChars="100"/>
        <w:jc w:val="left"/>
        <w:outlineLvl w:val="9"/>
        <w:rPr>
          <w:rFonts w:hint="eastAsia" w:ascii="宋体" w:hAnsi="宋体" w:eastAsia="宋体" w:cs="宋体"/>
          <w:i w:val="0"/>
          <w:iCs w:val="0"/>
          <w:color w:val="auto"/>
          <w:sz w:val="32"/>
          <w:szCs w:val="32"/>
          <w:lang w:val="en-US" w:eastAsia="zh-CN"/>
        </w:rPr>
      </w:pPr>
      <w:r>
        <w:rPr>
          <w:rFonts w:hint="eastAsia" w:ascii="宋体" w:hAnsi="宋体" w:eastAsia="宋体" w:cs="宋体"/>
          <w:i w:val="0"/>
          <w:iCs w:val="0"/>
          <w:color w:val="auto"/>
          <w:sz w:val="32"/>
          <w:szCs w:val="32"/>
        </w:rPr>
        <w:t>联系地址：</w:t>
      </w:r>
      <w:r>
        <w:rPr>
          <w:rFonts w:hint="eastAsia" w:ascii="宋体" w:hAnsi="宋体" w:eastAsia="宋体" w:cs="宋体"/>
          <w:i w:val="0"/>
          <w:iCs w:val="0"/>
          <w:color w:val="auto"/>
          <w:sz w:val="32"/>
          <w:szCs w:val="32"/>
          <w:lang w:val="en-US" w:eastAsia="zh-CN"/>
        </w:rPr>
        <w:t>阿克苏地区库车市天河新城1栋07号商铺</w:t>
      </w:r>
    </w:p>
    <w:p w14:paraId="0E36EF31">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left="0" w:leftChars="0" w:right="0" w:rightChars="0" w:firstLine="0" w:firstLineChars="0"/>
        <w:jc w:val="center"/>
        <w:textAlignment w:val="auto"/>
        <w:outlineLvl w:val="9"/>
        <w:rPr>
          <w:rFonts w:hint="eastAsia" w:ascii="宋体" w:hAnsi="宋体" w:eastAsia="宋体" w:cs="宋体"/>
          <w:b/>
          <w:bCs/>
          <w:i w:val="0"/>
          <w:iCs w:val="0"/>
          <w:color w:val="auto"/>
          <w:spacing w:val="0"/>
          <w:sz w:val="40"/>
          <w:szCs w:val="40"/>
          <w:lang w:val="en-US" w:eastAsia="zh-CN"/>
        </w:rPr>
      </w:pPr>
      <w:r>
        <w:drawing>
          <wp:anchor distT="0" distB="0" distL="114300" distR="114300" simplePos="0" relativeHeight="251664384" behindDoc="1" locked="0" layoutInCell="1" allowOverlap="1">
            <wp:simplePos x="0" y="0"/>
            <wp:positionH relativeFrom="column">
              <wp:posOffset>1787525</wp:posOffset>
            </wp:positionH>
            <wp:positionV relativeFrom="paragraph">
              <wp:posOffset>5905500</wp:posOffset>
            </wp:positionV>
            <wp:extent cx="1524000" cy="1524000"/>
            <wp:effectExtent l="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7"/>
                    <a:stretch>
                      <a:fillRect/>
                    </a:stretch>
                  </pic:blipFill>
                  <pic:spPr>
                    <a:xfrm>
                      <a:off x="0" y="0"/>
                      <a:ext cx="1524000" cy="1524000"/>
                    </a:xfrm>
                    <a:prstGeom prst="rect">
                      <a:avLst/>
                    </a:prstGeom>
                    <a:noFill/>
                    <a:ln>
                      <a:noFill/>
                    </a:ln>
                  </pic:spPr>
                </pic:pic>
              </a:graphicData>
            </a:graphic>
          </wp:anchor>
        </w:drawing>
      </w:r>
      <w:r>
        <w:drawing>
          <wp:anchor distT="0" distB="0" distL="114300" distR="114300" simplePos="0" relativeHeight="251662336" behindDoc="1" locked="0" layoutInCell="1" allowOverlap="1">
            <wp:simplePos x="0" y="0"/>
            <wp:positionH relativeFrom="column">
              <wp:posOffset>1635125</wp:posOffset>
            </wp:positionH>
            <wp:positionV relativeFrom="paragraph">
              <wp:posOffset>5753100</wp:posOffset>
            </wp:positionV>
            <wp:extent cx="1524000" cy="1524000"/>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7"/>
                    <a:stretch>
                      <a:fillRect/>
                    </a:stretch>
                  </pic:blipFill>
                  <pic:spPr>
                    <a:xfrm>
                      <a:off x="0" y="0"/>
                      <a:ext cx="1524000" cy="1524000"/>
                    </a:xfrm>
                    <a:prstGeom prst="rect">
                      <a:avLst/>
                    </a:prstGeom>
                    <a:noFill/>
                    <a:ln>
                      <a:noFill/>
                    </a:ln>
                  </pic:spPr>
                </pic:pic>
              </a:graphicData>
            </a:graphic>
          </wp:anchor>
        </w:drawing>
      </w:r>
    </w:p>
    <w:p w14:paraId="76206B97">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left="0" w:leftChars="0" w:right="0" w:rightChars="0" w:firstLine="0" w:firstLineChars="0"/>
        <w:jc w:val="center"/>
        <w:textAlignment w:val="auto"/>
        <w:outlineLvl w:val="9"/>
        <w:rPr>
          <w:rFonts w:hint="eastAsia" w:ascii="宋体" w:hAnsi="宋体" w:eastAsia="宋体" w:cs="宋体"/>
          <w:b/>
          <w:bCs/>
          <w:i w:val="0"/>
          <w:iCs w:val="0"/>
          <w:color w:val="auto"/>
          <w:spacing w:val="0"/>
          <w:sz w:val="40"/>
          <w:szCs w:val="40"/>
          <w:lang w:val="en-US" w:eastAsia="zh-CN"/>
        </w:rPr>
      </w:pPr>
    </w:p>
    <w:p w14:paraId="52D4F033">
      <w:pPr>
        <w:keepNext w:val="0"/>
        <w:keepLines w:val="0"/>
        <w:pageBreakBefore w:val="0"/>
        <w:widowControl w:val="0"/>
        <w:numPr>
          <w:ilvl w:val="0"/>
          <w:numId w:val="0"/>
        </w:numPr>
        <w:kinsoku/>
        <w:wordWrap/>
        <w:overflowPunct/>
        <w:topLinePunct w:val="0"/>
        <w:autoSpaceDE/>
        <w:autoSpaceDN/>
        <w:bidi w:val="0"/>
        <w:adjustRightInd/>
        <w:snapToGrid/>
        <w:spacing w:after="469" w:afterLines="150" w:line="312" w:lineRule="auto"/>
        <w:ind w:left="0" w:leftChars="0" w:right="0" w:rightChars="0" w:firstLine="0" w:firstLineChars="0"/>
        <w:jc w:val="center"/>
        <w:textAlignment w:val="auto"/>
        <w:outlineLvl w:val="9"/>
        <w:rPr>
          <w:rFonts w:hint="eastAsia" w:ascii="宋体" w:hAnsi="宋体" w:eastAsia="宋体" w:cs="宋体"/>
          <w:b/>
          <w:bCs/>
          <w:i w:val="0"/>
          <w:iCs w:val="0"/>
          <w:color w:val="auto"/>
          <w:spacing w:val="0"/>
          <w:sz w:val="40"/>
          <w:szCs w:val="40"/>
          <w:lang w:val="en-US" w:eastAsia="zh-CN"/>
        </w:rPr>
      </w:pPr>
      <w:r>
        <w:rPr>
          <w:rFonts w:hint="eastAsia" w:ascii="宋体" w:hAnsi="宋体" w:eastAsia="宋体" w:cs="宋体"/>
          <w:b/>
          <w:bCs/>
          <w:i w:val="0"/>
          <w:iCs w:val="0"/>
          <w:color w:val="auto"/>
          <w:spacing w:val="0"/>
          <w:sz w:val="40"/>
          <w:szCs w:val="40"/>
          <w:lang w:val="en-US" w:eastAsia="zh-CN"/>
        </w:rPr>
        <w:t>目  录</w:t>
      </w:r>
    </w:p>
    <w:sdt>
      <w:sdtPr>
        <w:rPr>
          <w:rFonts w:ascii="宋体" w:hAnsi="宋体" w:eastAsia="宋体" w:cs="Microsoft YaHei UI"/>
          <w:color w:val="auto"/>
          <w:spacing w:val="15"/>
          <w:kern w:val="0"/>
          <w:sz w:val="21"/>
          <w:szCs w:val="24"/>
          <w:lang w:val="en-US" w:eastAsia="zh-CN" w:bidi="ar-SA"/>
        </w:rPr>
        <w:id w:val="147459075"/>
        <w15:color w:val="DBDBDB"/>
        <w:docPartObj>
          <w:docPartGallery w:val="Table of Contents"/>
          <w:docPartUnique/>
        </w:docPartObj>
      </w:sdtPr>
      <w:sdtEndPr>
        <w:rPr>
          <w:rFonts w:hint="eastAsia" w:ascii="宋体" w:hAnsi="宋体" w:eastAsia="宋体" w:cs="宋体"/>
          <w:i w:val="0"/>
          <w:iCs w:val="0"/>
          <w:color w:val="auto"/>
          <w:spacing w:val="0"/>
          <w:kern w:val="0"/>
          <w:sz w:val="24"/>
          <w:szCs w:val="32"/>
          <w:lang w:val="en-US" w:eastAsia="zh-CN" w:bidi="ar-SA"/>
        </w:rPr>
      </w:sdtEndPr>
      <w:sdtContent>
        <w:p w14:paraId="2AE6A32C">
          <w:pPr>
            <w:spacing w:before="0" w:beforeLines="0" w:after="0" w:afterLines="0" w:line="240" w:lineRule="auto"/>
            <w:ind w:left="0" w:leftChars="0" w:right="0" w:rightChars="0" w:firstLine="0" w:firstLineChars="0"/>
            <w:jc w:val="center"/>
            <w:rPr>
              <w:color w:val="auto"/>
            </w:rPr>
          </w:pPr>
        </w:p>
        <w:p w14:paraId="5514F149">
          <w:pPr>
            <w:pStyle w:val="67"/>
            <w:tabs>
              <w:tab w:val="right" w:leader="dot" w:pos="8306"/>
            </w:tabs>
            <w:rPr>
              <w:color w:val="auto"/>
            </w:rPr>
          </w:pPr>
          <w:r>
            <w:rPr>
              <w:rFonts w:hint="eastAsia" w:ascii="宋体" w:hAnsi="宋体" w:eastAsia="宋体" w:cs="宋体"/>
              <w:i w:val="0"/>
              <w:iCs w:val="0"/>
              <w:color w:val="auto"/>
              <w:spacing w:val="0"/>
              <w:sz w:val="32"/>
              <w:szCs w:val="32"/>
              <w:lang w:val="en-US" w:eastAsia="zh-CN"/>
            </w:rPr>
            <w:fldChar w:fldCharType="begin"/>
          </w:r>
          <w:r>
            <w:rPr>
              <w:rFonts w:hint="eastAsia" w:ascii="宋体" w:hAnsi="宋体" w:eastAsia="宋体" w:cs="宋体"/>
              <w:i w:val="0"/>
              <w:iCs w:val="0"/>
              <w:color w:val="auto"/>
              <w:spacing w:val="0"/>
              <w:sz w:val="32"/>
              <w:szCs w:val="32"/>
              <w:lang w:val="en-US" w:eastAsia="zh-CN"/>
            </w:rPr>
            <w:instrText xml:space="preserve">TOC \o "1-1" \h \u </w:instrText>
          </w:r>
          <w:r>
            <w:rPr>
              <w:rFonts w:hint="eastAsia" w:ascii="宋体" w:hAnsi="宋体" w:eastAsia="宋体" w:cs="宋体"/>
              <w:i w:val="0"/>
              <w:iCs w:val="0"/>
              <w:color w:val="auto"/>
              <w:spacing w:val="0"/>
              <w:sz w:val="32"/>
              <w:szCs w:val="32"/>
              <w:lang w:val="en-US" w:eastAsia="zh-CN"/>
            </w:rPr>
            <w:fldChar w:fldCharType="separate"/>
          </w:r>
          <w:r>
            <w:rPr>
              <w:rFonts w:hint="eastAsia" w:ascii="宋体" w:hAnsi="宋体" w:eastAsia="宋体" w:cs="宋体"/>
              <w:i w:val="0"/>
              <w:iCs w:val="0"/>
              <w:color w:val="auto"/>
              <w:spacing w:val="0"/>
              <w:szCs w:val="32"/>
              <w:lang w:val="en-US" w:eastAsia="zh-CN"/>
            </w:rPr>
            <w:fldChar w:fldCharType="begin"/>
          </w:r>
          <w:r>
            <w:rPr>
              <w:rFonts w:hint="eastAsia" w:ascii="宋体" w:hAnsi="宋体" w:eastAsia="宋体" w:cs="宋体"/>
              <w:i w:val="0"/>
              <w:iCs w:val="0"/>
              <w:color w:val="auto"/>
              <w:spacing w:val="0"/>
              <w:szCs w:val="32"/>
              <w:lang w:val="en-US" w:eastAsia="zh-CN"/>
            </w:rPr>
            <w:instrText xml:space="preserve"> HYPERLINK \l _Toc30399 </w:instrText>
          </w:r>
          <w:r>
            <w:rPr>
              <w:rFonts w:hint="eastAsia" w:ascii="宋体" w:hAnsi="宋体" w:eastAsia="宋体" w:cs="宋体"/>
              <w:i w:val="0"/>
              <w:iCs w:val="0"/>
              <w:color w:val="auto"/>
              <w:spacing w:val="0"/>
              <w:szCs w:val="32"/>
              <w:lang w:val="en-US" w:eastAsia="zh-CN"/>
            </w:rPr>
            <w:fldChar w:fldCharType="separate"/>
          </w:r>
          <w:r>
            <w:rPr>
              <w:rFonts w:hint="eastAsia" w:ascii="宋体" w:hAnsi="宋体" w:eastAsia="宋体" w:cs="宋体"/>
              <w:bCs/>
              <w:i w:val="0"/>
              <w:iCs w:val="0"/>
              <w:color w:val="auto"/>
              <w:spacing w:val="0"/>
              <w:szCs w:val="32"/>
              <w:lang w:val="en-US" w:eastAsia="zh-CN"/>
            </w:rPr>
            <w:t>第一章  招标公告</w:t>
          </w:r>
          <w:r>
            <w:rPr>
              <w:color w:val="auto"/>
            </w:rPr>
            <w:tab/>
          </w:r>
          <w:r>
            <w:rPr>
              <w:color w:val="auto"/>
            </w:rPr>
            <w:fldChar w:fldCharType="begin"/>
          </w:r>
          <w:r>
            <w:rPr>
              <w:color w:val="auto"/>
            </w:rPr>
            <w:instrText xml:space="preserve"> PAGEREF _Toc30399 \h </w:instrText>
          </w:r>
          <w:r>
            <w:rPr>
              <w:color w:val="auto"/>
            </w:rPr>
            <w:fldChar w:fldCharType="separate"/>
          </w:r>
          <w:r>
            <w:rPr>
              <w:color w:val="auto"/>
            </w:rPr>
            <w:t>1</w:t>
          </w:r>
          <w:r>
            <w:rPr>
              <w:color w:val="auto"/>
            </w:rPr>
            <w:fldChar w:fldCharType="end"/>
          </w:r>
          <w:r>
            <w:rPr>
              <w:rFonts w:hint="eastAsia" w:ascii="宋体" w:hAnsi="宋体" w:eastAsia="宋体" w:cs="宋体"/>
              <w:i w:val="0"/>
              <w:iCs w:val="0"/>
              <w:color w:val="auto"/>
              <w:spacing w:val="0"/>
              <w:szCs w:val="32"/>
              <w:lang w:val="en-US" w:eastAsia="zh-CN"/>
            </w:rPr>
            <w:fldChar w:fldCharType="end"/>
          </w:r>
        </w:p>
        <w:p w14:paraId="6444E51C">
          <w:pPr>
            <w:pStyle w:val="67"/>
            <w:tabs>
              <w:tab w:val="right" w:leader="dot" w:pos="8306"/>
            </w:tabs>
            <w:rPr>
              <w:color w:val="auto"/>
            </w:rPr>
          </w:pPr>
          <w:r>
            <w:rPr>
              <w:rFonts w:hint="eastAsia" w:ascii="宋体" w:hAnsi="宋体" w:eastAsia="宋体" w:cs="宋体"/>
              <w:i w:val="0"/>
              <w:iCs w:val="0"/>
              <w:color w:val="auto"/>
              <w:spacing w:val="0"/>
              <w:szCs w:val="32"/>
              <w:lang w:val="en-US" w:eastAsia="zh-CN"/>
            </w:rPr>
            <w:fldChar w:fldCharType="begin"/>
          </w:r>
          <w:r>
            <w:rPr>
              <w:rFonts w:hint="eastAsia" w:ascii="宋体" w:hAnsi="宋体" w:eastAsia="宋体" w:cs="宋体"/>
              <w:i w:val="0"/>
              <w:iCs w:val="0"/>
              <w:color w:val="auto"/>
              <w:spacing w:val="0"/>
              <w:szCs w:val="32"/>
              <w:lang w:val="en-US" w:eastAsia="zh-CN"/>
            </w:rPr>
            <w:instrText xml:space="preserve"> HYPERLINK \l _Toc30083 </w:instrText>
          </w:r>
          <w:r>
            <w:rPr>
              <w:rFonts w:hint="eastAsia" w:ascii="宋体" w:hAnsi="宋体" w:eastAsia="宋体" w:cs="宋体"/>
              <w:i w:val="0"/>
              <w:iCs w:val="0"/>
              <w:color w:val="auto"/>
              <w:spacing w:val="0"/>
              <w:szCs w:val="32"/>
              <w:lang w:val="en-US" w:eastAsia="zh-CN"/>
            </w:rPr>
            <w:fldChar w:fldCharType="separate"/>
          </w:r>
          <w:r>
            <w:rPr>
              <w:rFonts w:hint="eastAsia" w:ascii="宋体" w:hAnsi="宋体" w:eastAsia="宋体" w:cs="宋体"/>
              <w:bCs/>
              <w:i w:val="0"/>
              <w:iCs w:val="0"/>
              <w:color w:val="auto"/>
              <w:spacing w:val="0"/>
              <w:kern w:val="0"/>
              <w:szCs w:val="32"/>
              <w:lang w:val="en-US" w:eastAsia="zh-CN" w:bidi="ar-SA"/>
            </w:rPr>
            <w:t>第二章</w:t>
          </w:r>
          <w:r>
            <w:rPr>
              <w:rFonts w:hint="eastAsia" w:ascii="宋体" w:hAnsi="宋体" w:eastAsia="宋体" w:cs="宋体"/>
              <w:bCs/>
              <w:i w:val="0"/>
              <w:iCs w:val="0"/>
              <w:color w:val="auto"/>
              <w:spacing w:val="0"/>
              <w:szCs w:val="32"/>
              <w:lang w:val="en-US" w:eastAsia="zh-CN"/>
            </w:rPr>
            <w:t xml:space="preserve">  投标人须知</w:t>
          </w:r>
          <w:r>
            <w:rPr>
              <w:color w:val="auto"/>
            </w:rPr>
            <w:tab/>
          </w:r>
          <w:r>
            <w:rPr>
              <w:color w:val="auto"/>
            </w:rPr>
            <w:fldChar w:fldCharType="begin"/>
          </w:r>
          <w:r>
            <w:rPr>
              <w:color w:val="auto"/>
            </w:rPr>
            <w:instrText xml:space="preserve"> PAGEREF _Toc30083 \h </w:instrText>
          </w:r>
          <w:r>
            <w:rPr>
              <w:color w:val="auto"/>
            </w:rPr>
            <w:fldChar w:fldCharType="separate"/>
          </w:r>
          <w:r>
            <w:rPr>
              <w:color w:val="auto"/>
            </w:rPr>
            <w:t>2</w:t>
          </w:r>
          <w:r>
            <w:rPr>
              <w:color w:val="auto"/>
            </w:rPr>
            <w:fldChar w:fldCharType="end"/>
          </w:r>
          <w:r>
            <w:rPr>
              <w:rFonts w:hint="eastAsia" w:ascii="宋体" w:hAnsi="宋体" w:eastAsia="宋体" w:cs="宋体"/>
              <w:i w:val="0"/>
              <w:iCs w:val="0"/>
              <w:color w:val="auto"/>
              <w:spacing w:val="0"/>
              <w:szCs w:val="32"/>
              <w:lang w:val="en-US" w:eastAsia="zh-CN"/>
            </w:rPr>
            <w:fldChar w:fldCharType="end"/>
          </w:r>
        </w:p>
        <w:p w14:paraId="208B45C2">
          <w:pPr>
            <w:pStyle w:val="67"/>
            <w:tabs>
              <w:tab w:val="right" w:leader="dot" w:pos="8306"/>
            </w:tabs>
            <w:rPr>
              <w:color w:val="auto"/>
            </w:rPr>
          </w:pPr>
          <w:r>
            <w:rPr>
              <w:rFonts w:hint="eastAsia" w:ascii="宋体" w:hAnsi="宋体" w:eastAsia="宋体" w:cs="宋体"/>
              <w:i w:val="0"/>
              <w:iCs w:val="0"/>
              <w:color w:val="auto"/>
              <w:spacing w:val="0"/>
              <w:szCs w:val="32"/>
              <w:lang w:val="en-US" w:eastAsia="zh-CN"/>
            </w:rPr>
            <w:fldChar w:fldCharType="begin"/>
          </w:r>
          <w:r>
            <w:rPr>
              <w:rFonts w:hint="eastAsia" w:ascii="宋体" w:hAnsi="宋体" w:eastAsia="宋体" w:cs="宋体"/>
              <w:i w:val="0"/>
              <w:iCs w:val="0"/>
              <w:color w:val="auto"/>
              <w:spacing w:val="0"/>
              <w:szCs w:val="32"/>
              <w:lang w:val="en-US" w:eastAsia="zh-CN"/>
            </w:rPr>
            <w:instrText xml:space="preserve"> HYPERLINK \l _Toc21212 </w:instrText>
          </w:r>
          <w:r>
            <w:rPr>
              <w:rFonts w:hint="eastAsia" w:ascii="宋体" w:hAnsi="宋体" w:eastAsia="宋体" w:cs="宋体"/>
              <w:i w:val="0"/>
              <w:iCs w:val="0"/>
              <w:color w:val="auto"/>
              <w:spacing w:val="0"/>
              <w:szCs w:val="32"/>
              <w:lang w:val="en-US" w:eastAsia="zh-CN"/>
            </w:rPr>
            <w:fldChar w:fldCharType="separate"/>
          </w:r>
          <w:r>
            <w:rPr>
              <w:rFonts w:hint="eastAsia" w:ascii="宋体" w:hAnsi="宋体" w:eastAsia="宋体" w:cs="宋体"/>
              <w:bCs/>
              <w:i w:val="0"/>
              <w:iCs w:val="0"/>
              <w:color w:val="auto"/>
              <w:spacing w:val="0"/>
              <w:kern w:val="0"/>
              <w:szCs w:val="32"/>
              <w:lang w:val="en-US" w:eastAsia="zh-CN" w:bidi="ar-SA"/>
            </w:rPr>
            <w:t>第三章</w:t>
          </w:r>
          <w:r>
            <w:rPr>
              <w:rFonts w:hint="eastAsia" w:ascii="宋体" w:hAnsi="宋体" w:eastAsia="宋体" w:cs="宋体"/>
              <w:bCs/>
              <w:i w:val="0"/>
              <w:iCs w:val="0"/>
              <w:color w:val="auto"/>
              <w:spacing w:val="0"/>
              <w:szCs w:val="32"/>
              <w:lang w:val="en-US" w:eastAsia="zh-CN"/>
            </w:rPr>
            <w:t xml:space="preserve">  评标办法（综合评分法）</w:t>
          </w:r>
          <w:r>
            <w:rPr>
              <w:color w:val="auto"/>
            </w:rPr>
            <w:tab/>
          </w:r>
          <w:r>
            <w:rPr>
              <w:color w:val="auto"/>
            </w:rPr>
            <w:fldChar w:fldCharType="begin"/>
          </w:r>
          <w:r>
            <w:rPr>
              <w:color w:val="auto"/>
            </w:rPr>
            <w:instrText xml:space="preserve"> PAGEREF _Toc21212 \h </w:instrText>
          </w:r>
          <w:r>
            <w:rPr>
              <w:color w:val="auto"/>
            </w:rPr>
            <w:fldChar w:fldCharType="separate"/>
          </w:r>
          <w:r>
            <w:rPr>
              <w:color w:val="auto"/>
            </w:rPr>
            <w:t>18</w:t>
          </w:r>
          <w:r>
            <w:rPr>
              <w:color w:val="auto"/>
            </w:rPr>
            <w:fldChar w:fldCharType="end"/>
          </w:r>
          <w:r>
            <w:rPr>
              <w:rFonts w:hint="eastAsia" w:ascii="宋体" w:hAnsi="宋体" w:eastAsia="宋体" w:cs="宋体"/>
              <w:i w:val="0"/>
              <w:iCs w:val="0"/>
              <w:color w:val="auto"/>
              <w:spacing w:val="0"/>
              <w:szCs w:val="32"/>
              <w:lang w:val="en-US" w:eastAsia="zh-CN"/>
            </w:rPr>
            <w:fldChar w:fldCharType="end"/>
          </w:r>
        </w:p>
        <w:p w14:paraId="3E96EC62">
          <w:pPr>
            <w:pStyle w:val="67"/>
            <w:tabs>
              <w:tab w:val="right" w:leader="dot" w:pos="8306"/>
            </w:tabs>
            <w:rPr>
              <w:color w:val="auto"/>
            </w:rPr>
          </w:pPr>
          <w:r>
            <w:rPr>
              <w:rFonts w:hint="eastAsia" w:ascii="宋体" w:hAnsi="宋体" w:eastAsia="宋体" w:cs="宋体"/>
              <w:i w:val="0"/>
              <w:iCs w:val="0"/>
              <w:color w:val="auto"/>
              <w:spacing w:val="0"/>
              <w:szCs w:val="32"/>
              <w:lang w:val="en-US" w:eastAsia="zh-CN"/>
            </w:rPr>
            <w:fldChar w:fldCharType="begin"/>
          </w:r>
          <w:r>
            <w:rPr>
              <w:rFonts w:hint="eastAsia" w:ascii="宋体" w:hAnsi="宋体" w:eastAsia="宋体" w:cs="宋体"/>
              <w:i w:val="0"/>
              <w:iCs w:val="0"/>
              <w:color w:val="auto"/>
              <w:spacing w:val="0"/>
              <w:szCs w:val="32"/>
              <w:lang w:val="en-US" w:eastAsia="zh-CN"/>
            </w:rPr>
            <w:instrText xml:space="preserve"> HYPERLINK \l _Toc4497 </w:instrText>
          </w:r>
          <w:r>
            <w:rPr>
              <w:rFonts w:hint="eastAsia" w:ascii="宋体" w:hAnsi="宋体" w:eastAsia="宋体" w:cs="宋体"/>
              <w:i w:val="0"/>
              <w:iCs w:val="0"/>
              <w:color w:val="auto"/>
              <w:spacing w:val="0"/>
              <w:szCs w:val="32"/>
              <w:lang w:val="en-US" w:eastAsia="zh-CN"/>
            </w:rPr>
            <w:fldChar w:fldCharType="separate"/>
          </w:r>
          <w:r>
            <w:rPr>
              <w:rFonts w:hint="eastAsia" w:ascii="宋体" w:hAnsi="宋体" w:eastAsia="宋体" w:cs="宋体"/>
              <w:i w:val="0"/>
              <w:iCs w:val="0"/>
              <w:color w:val="auto"/>
              <w:spacing w:val="15"/>
              <w:kern w:val="0"/>
              <w:szCs w:val="32"/>
              <w:lang w:val="en-US" w:eastAsia="zh-CN" w:bidi="ar-SA"/>
            </w:rPr>
            <w:t>第四章</w:t>
          </w:r>
          <w:r>
            <w:rPr>
              <w:rFonts w:hint="eastAsia" w:ascii="宋体" w:hAnsi="宋体" w:eastAsia="宋体" w:cs="宋体"/>
              <w:bCs/>
              <w:i w:val="0"/>
              <w:iCs w:val="0"/>
              <w:color w:val="auto"/>
              <w:spacing w:val="0"/>
              <w:szCs w:val="32"/>
              <w:lang w:val="en-US" w:eastAsia="zh-CN"/>
            </w:rPr>
            <w:t xml:space="preserve"> 合同条款及格式</w:t>
          </w:r>
          <w:r>
            <w:rPr>
              <w:color w:val="auto"/>
            </w:rPr>
            <w:tab/>
          </w:r>
          <w:r>
            <w:rPr>
              <w:color w:val="auto"/>
            </w:rPr>
            <w:fldChar w:fldCharType="begin"/>
          </w:r>
          <w:r>
            <w:rPr>
              <w:color w:val="auto"/>
            </w:rPr>
            <w:instrText xml:space="preserve"> PAGEREF _Toc4497 \h </w:instrText>
          </w:r>
          <w:r>
            <w:rPr>
              <w:color w:val="auto"/>
            </w:rPr>
            <w:fldChar w:fldCharType="separate"/>
          </w:r>
          <w:r>
            <w:rPr>
              <w:color w:val="auto"/>
            </w:rPr>
            <w:t>22</w:t>
          </w:r>
          <w:r>
            <w:rPr>
              <w:color w:val="auto"/>
            </w:rPr>
            <w:fldChar w:fldCharType="end"/>
          </w:r>
          <w:r>
            <w:rPr>
              <w:rFonts w:hint="eastAsia" w:ascii="宋体" w:hAnsi="宋体" w:eastAsia="宋体" w:cs="宋体"/>
              <w:i w:val="0"/>
              <w:iCs w:val="0"/>
              <w:color w:val="auto"/>
              <w:spacing w:val="0"/>
              <w:szCs w:val="32"/>
              <w:lang w:val="en-US" w:eastAsia="zh-CN"/>
            </w:rPr>
            <w:fldChar w:fldCharType="end"/>
          </w:r>
        </w:p>
        <w:p w14:paraId="190C4F6D">
          <w:pPr>
            <w:pStyle w:val="67"/>
            <w:tabs>
              <w:tab w:val="right" w:leader="dot" w:pos="8306"/>
            </w:tabs>
            <w:rPr>
              <w:rFonts w:hint="default"/>
              <w:color w:val="auto"/>
              <w:lang w:val="en-US"/>
            </w:rPr>
          </w:pPr>
          <w:r>
            <w:rPr>
              <w:rFonts w:hint="eastAsia" w:ascii="宋体" w:hAnsi="宋体" w:eastAsia="宋体" w:cs="宋体"/>
              <w:i w:val="0"/>
              <w:iCs w:val="0"/>
              <w:color w:val="auto"/>
              <w:spacing w:val="0"/>
              <w:szCs w:val="32"/>
              <w:lang w:val="en-US" w:eastAsia="zh-CN"/>
            </w:rPr>
            <w:fldChar w:fldCharType="begin"/>
          </w:r>
          <w:r>
            <w:rPr>
              <w:rFonts w:hint="eastAsia" w:ascii="宋体" w:hAnsi="宋体" w:eastAsia="宋体" w:cs="宋体"/>
              <w:i w:val="0"/>
              <w:iCs w:val="0"/>
              <w:color w:val="auto"/>
              <w:spacing w:val="0"/>
              <w:szCs w:val="32"/>
              <w:lang w:val="en-US" w:eastAsia="zh-CN"/>
            </w:rPr>
            <w:instrText xml:space="preserve"> HYPERLINK \l _Toc26146 </w:instrText>
          </w:r>
          <w:r>
            <w:rPr>
              <w:rFonts w:hint="eastAsia" w:ascii="宋体" w:hAnsi="宋体" w:eastAsia="宋体" w:cs="宋体"/>
              <w:i w:val="0"/>
              <w:iCs w:val="0"/>
              <w:color w:val="auto"/>
              <w:spacing w:val="0"/>
              <w:szCs w:val="32"/>
              <w:lang w:val="en-US" w:eastAsia="zh-CN"/>
            </w:rPr>
            <w:fldChar w:fldCharType="separate"/>
          </w:r>
          <w:r>
            <w:rPr>
              <w:rFonts w:hint="eastAsia" w:ascii="宋体" w:hAnsi="宋体" w:eastAsia="宋体" w:cs="宋体"/>
              <w:bCs/>
              <w:i w:val="0"/>
              <w:iCs w:val="0"/>
              <w:color w:val="auto"/>
              <w:spacing w:val="0"/>
              <w:kern w:val="0"/>
              <w:szCs w:val="32"/>
              <w:lang w:val="en-US" w:eastAsia="zh-CN" w:bidi="ar-SA"/>
            </w:rPr>
            <w:t>第五章</w:t>
          </w:r>
          <w:r>
            <w:rPr>
              <w:rFonts w:hint="eastAsia" w:ascii="宋体" w:hAnsi="宋体" w:eastAsia="宋体" w:cs="宋体"/>
              <w:bCs/>
              <w:i w:val="0"/>
              <w:iCs w:val="0"/>
              <w:color w:val="auto"/>
              <w:spacing w:val="0"/>
              <w:szCs w:val="32"/>
              <w:lang w:val="en-US" w:eastAsia="zh-CN"/>
            </w:rPr>
            <w:t xml:space="preserve">  </w:t>
          </w:r>
          <w:r>
            <w:rPr>
              <w:rFonts w:hint="eastAsia" w:ascii="宋体" w:hAnsi="宋体" w:cs="宋体"/>
              <w:bCs/>
              <w:i w:val="0"/>
              <w:iCs w:val="0"/>
              <w:color w:val="auto"/>
              <w:spacing w:val="0"/>
              <w:szCs w:val="32"/>
              <w:lang w:val="en-US" w:eastAsia="zh-CN"/>
            </w:rPr>
            <w:t>采购需求</w:t>
          </w:r>
          <w:r>
            <w:rPr>
              <w:color w:val="auto"/>
            </w:rPr>
            <w:tab/>
          </w:r>
          <w:r>
            <w:rPr>
              <w:color w:val="auto"/>
            </w:rPr>
            <w:fldChar w:fldCharType="begin"/>
          </w:r>
          <w:r>
            <w:rPr>
              <w:color w:val="auto"/>
            </w:rPr>
            <w:instrText xml:space="preserve"> PAGEREF _Toc26146 \h </w:instrText>
          </w:r>
          <w:r>
            <w:rPr>
              <w:color w:val="auto"/>
            </w:rPr>
            <w:fldChar w:fldCharType="separate"/>
          </w:r>
          <w:r>
            <w:rPr>
              <w:color w:val="auto"/>
            </w:rPr>
            <w:t>2</w:t>
          </w:r>
          <w:r>
            <w:rPr>
              <w:color w:val="auto"/>
            </w:rPr>
            <w:fldChar w:fldCharType="end"/>
          </w:r>
          <w:r>
            <w:rPr>
              <w:rFonts w:hint="eastAsia" w:ascii="宋体" w:hAnsi="宋体" w:eastAsia="宋体" w:cs="宋体"/>
              <w:i w:val="0"/>
              <w:iCs w:val="0"/>
              <w:color w:val="auto"/>
              <w:spacing w:val="0"/>
              <w:szCs w:val="32"/>
              <w:lang w:val="en-US" w:eastAsia="zh-CN"/>
            </w:rPr>
            <w:fldChar w:fldCharType="end"/>
          </w:r>
          <w:r>
            <w:rPr>
              <w:rFonts w:hint="eastAsia" w:ascii="宋体" w:hAnsi="宋体" w:cs="宋体"/>
              <w:i w:val="0"/>
              <w:iCs w:val="0"/>
              <w:color w:val="auto"/>
              <w:spacing w:val="0"/>
              <w:szCs w:val="32"/>
              <w:lang w:val="en-US" w:eastAsia="zh-CN"/>
            </w:rPr>
            <w:t>9</w:t>
          </w:r>
        </w:p>
        <w:p w14:paraId="6E198EFD">
          <w:pPr>
            <w:pStyle w:val="67"/>
            <w:tabs>
              <w:tab w:val="right" w:leader="dot" w:pos="8306"/>
            </w:tabs>
            <w:rPr>
              <w:rFonts w:hint="default"/>
              <w:color w:val="auto"/>
              <w:lang w:val="en-US"/>
            </w:rPr>
          </w:pPr>
          <w:r>
            <w:rPr>
              <w:rFonts w:hint="eastAsia" w:ascii="宋体" w:hAnsi="宋体" w:eastAsia="宋体" w:cs="宋体"/>
              <w:i w:val="0"/>
              <w:iCs w:val="0"/>
              <w:color w:val="auto"/>
              <w:spacing w:val="0"/>
              <w:szCs w:val="32"/>
              <w:lang w:val="en-US" w:eastAsia="zh-CN"/>
            </w:rPr>
            <w:fldChar w:fldCharType="begin"/>
          </w:r>
          <w:r>
            <w:rPr>
              <w:rFonts w:hint="eastAsia" w:ascii="宋体" w:hAnsi="宋体" w:eastAsia="宋体" w:cs="宋体"/>
              <w:i w:val="0"/>
              <w:iCs w:val="0"/>
              <w:color w:val="auto"/>
              <w:spacing w:val="0"/>
              <w:szCs w:val="32"/>
              <w:lang w:val="en-US" w:eastAsia="zh-CN"/>
            </w:rPr>
            <w:instrText xml:space="preserve"> HYPERLINK \l _Toc14226 </w:instrText>
          </w:r>
          <w:r>
            <w:rPr>
              <w:rFonts w:hint="eastAsia" w:ascii="宋体" w:hAnsi="宋体" w:eastAsia="宋体" w:cs="宋体"/>
              <w:i w:val="0"/>
              <w:iCs w:val="0"/>
              <w:color w:val="auto"/>
              <w:spacing w:val="0"/>
              <w:szCs w:val="32"/>
              <w:lang w:val="en-US" w:eastAsia="zh-CN"/>
            </w:rPr>
            <w:fldChar w:fldCharType="separate"/>
          </w:r>
          <w:r>
            <w:rPr>
              <w:rFonts w:hint="eastAsia" w:ascii="宋体" w:hAnsi="宋体" w:eastAsia="宋体" w:cs="宋体"/>
              <w:bCs/>
              <w:i w:val="0"/>
              <w:iCs w:val="0"/>
              <w:color w:val="auto"/>
              <w:spacing w:val="0"/>
              <w:kern w:val="0"/>
              <w:szCs w:val="32"/>
              <w:lang w:val="en-US" w:eastAsia="zh-CN" w:bidi="ar-SA"/>
            </w:rPr>
            <w:t>第六章</w:t>
          </w:r>
          <w:r>
            <w:rPr>
              <w:rFonts w:hint="eastAsia" w:ascii="宋体" w:hAnsi="宋体" w:eastAsia="宋体" w:cs="宋体"/>
              <w:bCs/>
              <w:i w:val="0"/>
              <w:iCs w:val="0"/>
              <w:color w:val="auto"/>
              <w:spacing w:val="0"/>
              <w:szCs w:val="32"/>
              <w:lang w:val="en-US" w:eastAsia="zh-CN"/>
            </w:rPr>
            <w:t xml:space="preserve">  投标文件格式</w:t>
          </w:r>
          <w:r>
            <w:rPr>
              <w:color w:val="auto"/>
            </w:rPr>
            <w:tab/>
          </w:r>
          <w:r>
            <w:rPr>
              <w:color w:val="auto"/>
            </w:rPr>
            <w:fldChar w:fldCharType="begin"/>
          </w:r>
          <w:r>
            <w:rPr>
              <w:color w:val="auto"/>
            </w:rPr>
            <w:instrText xml:space="preserve"> PAGEREF _Toc14226 \h </w:instrText>
          </w:r>
          <w:r>
            <w:rPr>
              <w:color w:val="auto"/>
            </w:rPr>
            <w:fldChar w:fldCharType="separate"/>
          </w:r>
          <w:r>
            <w:rPr>
              <w:color w:val="auto"/>
            </w:rPr>
            <w:t>3</w:t>
          </w:r>
          <w:r>
            <w:rPr>
              <w:color w:val="auto"/>
            </w:rPr>
            <w:fldChar w:fldCharType="end"/>
          </w:r>
          <w:r>
            <w:rPr>
              <w:rFonts w:hint="eastAsia" w:ascii="宋体" w:hAnsi="宋体" w:eastAsia="宋体" w:cs="宋体"/>
              <w:i w:val="0"/>
              <w:iCs w:val="0"/>
              <w:color w:val="auto"/>
              <w:spacing w:val="0"/>
              <w:szCs w:val="32"/>
              <w:lang w:val="en-US" w:eastAsia="zh-CN"/>
            </w:rPr>
            <w:fldChar w:fldCharType="end"/>
          </w:r>
          <w:r>
            <w:rPr>
              <w:rFonts w:hint="eastAsia" w:ascii="宋体" w:hAnsi="宋体" w:cs="宋体"/>
              <w:i w:val="0"/>
              <w:iCs w:val="0"/>
              <w:color w:val="auto"/>
              <w:spacing w:val="0"/>
              <w:szCs w:val="32"/>
              <w:lang w:val="en-US" w:eastAsia="zh-CN"/>
            </w:rPr>
            <w:t>7</w:t>
          </w:r>
        </w:p>
        <w:p w14:paraId="1E7CE215">
          <w:pPr>
            <w:keepNext w:val="0"/>
            <w:keepLines w:val="0"/>
            <w:pageBreakBefore w:val="0"/>
            <w:widowControl w:val="0"/>
            <w:numPr>
              <w:ilvl w:val="0"/>
              <w:numId w:val="0"/>
            </w:numPr>
            <w:kinsoku/>
            <w:wordWrap/>
            <w:overflowPunct/>
            <w:topLinePunct w:val="0"/>
            <w:autoSpaceDE/>
            <w:autoSpaceDN/>
            <w:bidi w:val="0"/>
            <w:adjustRightInd/>
            <w:snapToGrid/>
            <w:spacing w:after="32" w:afterLines="10" w:line="400" w:lineRule="exact"/>
            <w:ind w:left="0" w:leftChars="0" w:right="0" w:rightChars="0" w:firstLine="0" w:firstLineChars="0"/>
            <w:jc w:val="center"/>
            <w:textAlignment w:val="auto"/>
            <w:outlineLvl w:val="9"/>
            <w:rPr>
              <w:rFonts w:hint="eastAsia" w:ascii="宋体" w:hAnsi="宋体" w:eastAsia="宋体" w:cs="宋体"/>
              <w:i w:val="0"/>
              <w:iCs w:val="0"/>
              <w:color w:val="auto"/>
              <w:spacing w:val="0"/>
              <w:sz w:val="32"/>
              <w:szCs w:val="32"/>
              <w:lang w:val="en-US" w:eastAsia="zh-CN"/>
            </w:rPr>
          </w:pPr>
          <w:r>
            <w:rPr>
              <w:rFonts w:hint="eastAsia" w:ascii="宋体" w:hAnsi="宋体" w:eastAsia="宋体" w:cs="宋体"/>
              <w:i w:val="0"/>
              <w:iCs w:val="0"/>
              <w:color w:val="auto"/>
              <w:spacing w:val="0"/>
              <w:szCs w:val="32"/>
              <w:lang w:val="en-US" w:eastAsia="zh-CN"/>
            </w:rPr>
            <w:fldChar w:fldCharType="end"/>
          </w:r>
        </w:p>
      </w:sdtContent>
    </w:sdt>
    <w:p w14:paraId="23FAFCCC">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both"/>
        <w:textAlignment w:val="auto"/>
        <w:outlineLvl w:val="9"/>
        <w:rPr>
          <w:rFonts w:hint="eastAsia" w:ascii="宋体" w:hAnsi="宋体" w:eastAsia="宋体" w:cs="宋体"/>
          <w:b w:val="0"/>
          <w:bCs w:val="0"/>
          <w:i w:val="0"/>
          <w:iCs w:val="0"/>
          <w:color w:val="auto"/>
          <w:spacing w:val="0"/>
          <w:sz w:val="96"/>
          <w:szCs w:val="96"/>
          <w:lang w:val="en-US" w:eastAsia="zh-CN"/>
        </w:rPr>
        <w:sectPr>
          <w:pgSz w:w="11906" w:h="16838"/>
          <w:pgMar w:top="1247" w:right="1247" w:bottom="1247" w:left="1247" w:header="851" w:footer="992" w:gutter="0"/>
          <w:pgNumType w:fmt="decimal"/>
          <w:cols w:space="425" w:num="1"/>
          <w:rtlGutter w:val="0"/>
          <w:docGrid w:type="lines" w:linePitch="312" w:charSpace="0"/>
        </w:sectPr>
      </w:pPr>
    </w:p>
    <w:p w14:paraId="6B24718B">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0" w:firstLineChars="0"/>
        <w:jc w:val="center"/>
        <w:textAlignment w:val="auto"/>
        <w:outlineLvl w:val="0"/>
        <w:rPr>
          <w:rFonts w:hint="eastAsia" w:ascii="宋体" w:hAnsi="宋体" w:eastAsia="宋体" w:cs="宋体"/>
          <w:i w:val="0"/>
          <w:iCs w:val="0"/>
          <w:color w:val="auto"/>
          <w:spacing w:val="0"/>
          <w:sz w:val="21"/>
          <w:szCs w:val="21"/>
          <w:lang w:eastAsia="zh-CN"/>
        </w:rPr>
      </w:pPr>
      <w:bookmarkStart w:id="0" w:name="_Toc17337"/>
      <w:bookmarkStart w:id="1" w:name="_Toc30399"/>
      <w:bookmarkStart w:id="2" w:name="_Toc11904"/>
      <w:bookmarkStart w:id="3" w:name="_Toc18767"/>
      <w:r>
        <w:rPr>
          <w:rFonts w:hint="eastAsia" w:ascii="宋体" w:hAnsi="宋体" w:eastAsia="宋体" w:cs="宋体"/>
          <w:b/>
          <w:bCs/>
          <w:i w:val="0"/>
          <w:iCs w:val="0"/>
          <w:color w:val="auto"/>
          <w:spacing w:val="0"/>
          <w:sz w:val="32"/>
          <w:szCs w:val="32"/>
          <w:lang w:val="en-US" w:eastAsia="zh-CN"/>
        </w:rPr>
        <w:t>第一章 招标公告</w:t>
      </w:r>
      <w:bookmarkEnd w:id="0"/>
      <w:bookmarkEnd w:id="1"/>
      <w:bookmarkEnd w:id="2"/>
      <w:bookmarkEnd w:id="3"/>
    </w:p>
    <w:p w14:paraId="5232A0F4">
      <w:pPr>
        <w:pStyle w:val="29"/>
        <w:keepNext w:val="0"/>
        <w:keepLines w:val="0"/>
        <w:widowControl/>
        <w:suppressLineNumbers w:val="0"/>
        <w:spacing w:before="75" w:beforeAutospacing="0" w:after="75" w:afterAutospacing="0"/>
        <w:ind w:left="0" w:right="0" w:firstLine="420"/>
        <w:jc w:val="center"/>
        <w:rPr>
          <w:rFonts w:hint="default" w:ascii="宋体" w:hAnsi="宋体" w:eastAsia="宋体" w:cs="宋体"/>
          <w:i w:val="0"/>
          <w:caps w:val="0"/>
          <w:color w:val="auto"/>
          <w:spacing w:val="0"/>
          <w:sz w:val="24"/>
          <w:szCs w:val="24"/>
          <w:lang w:val="en-US" w:eastAsia="zh-CN"/>
        </w:rPr>
      </w:pPr>
      <w:r>
        <w:rPr>
          <w:rFonts w:hint="eastAsia" w:ascii="宋体" w:hAnsi="宋体" w:eastAsia="宋体" w:cs="宋体"/>
          <w:i w:val="0"/>
          <w:caps w:val="0"/>
          <w:color w:val="auto"/>
          <w:spacing w:val="0"/>
          <w:sz w:val="24"/>
          <w:szCs w:val="24"/>
          <w:lang w:val="en-US" w:eastAsia="zh-CN"/>
        </w:rPr>
        <w:t>详见新疆政府采购网本项目公告</w:t>
      </w:r>
    </w:p>
    <w:p w14:paraId="675D49FC">
      <w:pPr>
        <w:pStyle w:val="29"/>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467AD07D">
      <w:pPr>
        <w:pStyle w:val="29"/>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2D686821">
      <w:pPr>
        <w:pStyle w:val="29"/>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10A2E83B">
      <w:pPr>
        <w:pStyle w:val="29"/>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4ADF1A13">
      <w:pPr>
        <w:pStyle w:val="29"/>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747DD0A4">
      <w:pPr>
        <w:pStyle w:val="29"/>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3A9FA5F7">
      <w:pPr>
        <w:pStyle w:val="29"/>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1A92B3E6">
      <w:pPr>
        <w:pStyle w:val="29"/>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358365A5">
      <w:pPr>
        <w:pStyle w:val="29"/>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128FF12A">
      <w:pPr>
        <w:pStyle w:val="29"/>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41B3205A">
      <w:pPr>
        <w:pStyle w:val="29"/>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53EAB188">
      <w:pPr>
        <w:pStyle w:val="29"/>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24CAB186">
      <w:pPr>
        <w:pStyle w:val="29"/>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2AB00FA6">
      <w:pPr>
        <w:pStyle w:val="29"/>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29B76C52">
      <w:pPr>
        <w:pStyle w:val="29"/>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271DA713">
      <w:pPr>
        <w:pStyle w:val="29"/>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09FE9C70">
      <w:pPr>
        <w:pStyle w:val="29"/>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22A5CBD9">
      <w:pPr>
        <w:pStyle w:val="29"/>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74DDC878">
      <w:pPr>
        <w:pStyle w:val="29"/>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2EBD302B">
      <w:pPr>
        <w:pStyle w:val="29"/>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34C5F787">
      <w:pPr>
        <w:pStyle w:val="29"/>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76D9912C">
      <w:pPr>
        <w:pStyle w:val="29"/>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26DD3DE7">
      <w:pPr>
        <w:pStyle w:val="29"/>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4FA13683">
      <w:pPr>
        <w:pStyle w:val="29"/>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566F3423">
      <w:pPr>
        <w:pStyle w:val="29"/>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358C5B1D">
      <w:pPr>
        <w:pStyle w:val="29"/>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2A14A7B4">
      <w:pPr>
        <w:pStyle w:val="29"/>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64AAC5CF">
      <w:pPr>
        <w:pStyle w:val="29"/>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1ED8F283">
      <w:pPr>
        <w:pStyle w:val="29"/>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33361A7D">
      <w:pPr>
        <w:pStyle w:val="29"/>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43A3304F">
      <w:pPr>
        <w:pStyle w:val="29"/>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6EE67ED5">
      <w:pPr>
        <w:pStyle w:val="29"/>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242DC20C">
      <w:pPr>
        <w:pStyle w:val="29"/>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auto"/>
          <w:spacing w:val="0"/>
          <w:sz w:val="24"/>
          <w:szCs w:val="24"/>
        </w:rPr>
      </w:pPr>
    </w:p>
    <w:p w14:paraId="6E64824D">
      <w:pPr>
        <w:pStyle w:val="29"/>
        <w:keepNext w:val="0"/>
        <w:keepLines w:val="0"/>
        <w:widowControl/>
        <w:suppressLineNumbers w:val="0"/>
        <w:spacing w:before="75" w:beforeAutospacing="0" w:after="75" w:afterAutospacing="0"/>
        <w:ind w:right="0"/>
        <w:rPr>
          <w:rFonts w:hint="eastAsia" w:ascii="宋体" w:hAnsi="宋体" w:eastAsia="宋体" w:cs="宋体"/>
          <w:i w:val="0"/>
          <w:caps w:val="0"/>
          <w:color w:val="auto"/>
          <w:spacing w:val="0"/>
          <w:sz w:val="24"/>
          <w:szCs w:val="24"/>
        </w:rPr>
      </w:pPr>
    </w:p>
    <w:p w14:paraId="314B375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0"/>
        <w:rPr>
          <w:rFonts w:hint="eastAsia" w:ascii="宋体" w:hAnsi="宋体" w:eastAsia="宋体" w:cs="宋体"/>
          <w:b/>
          <w:bCs/>
          <w:i w:val="0"/>
          <w:iCs w:val="0"/>
          <w:color w:val="auto"/>
          <w:spacing w:val="0"/>
          <w:sz w:val="32"/>
          <w:szCs w:val="32"/>
          <w:lang w:val="en-US" w:eastAsia="zh-CN"/>
        </w:rPr>
      </w:pPr>
      <w:bookmarkStart w:id="4" w:name="_Toc30083"/>
      <w:bookmarkStart w:id="5" w:name="_Toc11305"/>
      <w:bookmarkStart w:id="6" w:name="_Toc21178"/>
      <w:r>
        <w:rPr>
          <w:rFonts w:hint="eastAsia" w:ascii="宋体" w:hAnsi="宋体" w:eastAsia="宋体" w:cs="宋体"/>
          <w:b/>
          <w:bCs/>
          <w:i w:val="0"/>
          <w:iCs w:val="0"/>
          <w:color w:val="auto"/>
          <w:spacing w:val="0"/>
          <w:kern w:val="0"/>
          <w:sz w:val="32"/>
          <w:szCs w:val="32"/>
          <w:lang w:val="en-US" w:eastAsia="zh-CN" w:bidi="ar-SA"/>
        </w:rPr>
        <w:t>第二章</w:t>
      </w:r>
      <w:r>
        <w:rPr>
          <w:rFonts w:hint="eastAsia" w:ascii="宋体" w:hAnsi="宋体" w:eastAsia="宋体" w:cs="宋体"/>
          <w:b/>
          <w:bCs/>
          <w:i w:val="0"/>
          <w:iCs w:val="0"/>
          <w:color w:val="auto"/>
          <w:spacing w:val="0"/>
          <w:sz w:val="32"/>
          <w:szCs w:val="32"/>
          <w:lang w:val="en-US" w:eastAsia="zh-CN"/>
        </w:rPr>
        <w:t xml:space="preserve">  投标人须知</w:t>
      </w:r>
      <w:bookmarkEnd w:id="4"/>
      <w:bookmarkEnd w:id="5"/>
      <w:bookmarkEnd w:id="6"/>
    </w:p>
    <w:p w14:paraId="39FDD83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1"/>
        <w:rPr>
          <w:rFonts w:hint="eastAsia" w:ascii="宋体" w:hAnsi="宋体" w:eastAsia="宋体" w:cs="宋体"/>
          <w:b/>
          <w:bCs/>
          <w:i w:val="0"/>
          <w:iCs w:val="0"/>
          <w:color w:val="auto"/>
          <w:spacing w:val="0"/>
          <w:sz w:val="21"/>
          <w:szCs w:val="21"/>
          <w:lang w:val="en-US" w:eastAsia="zh-CN"/>
        </w:rPr>
      </w:pPr>
      <w:bookmarkStart w:id="7" w:name="_Toc30036"/>
      <w:bookmarkStart w:id="8" w:name="_Toc4259"/>
      <w:r>
        <w:rPr>
          <w:rFonts w:hint="eastAsia" w:ascii="宋体" w:hAnsi="宋体" w:eastAsia="宋体" w:cs="宋体"/>
          <w:b/>
          <w:bCs/>
          <w:i w:val="0"/>
          <w:iCs w:val="0"/>
          <w:color w:val="auto"/>
          <w:spacing w:val="0"/>
          <w:sz w:val="21"/>
          <w:szCs w:val="21"/>
          <w:lang w:val="en-US" w:eastAsia="zh-CN"/>
        </w:rPr>
        <w:t>投标人须知前附表</w:t>
      </w:r>
      <w:bookmarkEnd w:id="7"/>
      <w:bookmarkEnd w:id="8"/>
    </w:p>
    <w:tbl>
      <w:tblPr>
        <w:tblStyle w:val="41"/>
        <w:tblW w:w="9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2373"/>
        <w:gridCol w:w="6422"/>
      </w:tblGrid>
      <w:tr w14:paraId="35CA1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14:paraId="1F6DE066">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bCs/>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lang w:val="en-US" w:eastAsia="zh-CN"/>
              </w:rPr>
              <w:t>条款号</w:t>
            </w:r>
          </w:p>
        </w:tc>
        <w:tc>
          <w:tcPr>
            <w:tcW w:w="2373" w:type="dxa"/>
            <w:vAlign w:val="center"/>
          </w:tcPr>
          <w:p w14:paraId="316CA32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bCs/>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条 款 名 称</w:t>
            </w:r>
          </w:p>
        </w:tc>
        <w:tc>
          <w:tcPr>
            <w:tcW w:w="6422" w:type="dxa"/>
            <w:vAlign w:val="center"/>
          </w:tcPr>
          <w:p w14:paraId="2C58D976">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bCs/>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编 列 内 容</w:t>
            </w:r>
          </w:p>
        </w:tc>
      </w:tr>
      <w:tr w14:paraId="0199E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1067" w:type="dxa"/>
            <w:vAlign w:val="center"/>
          </w:tcPr>
          <w:p w14:paraId="5BEAD874">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1.1.2</w:t>
            </w:r>
          </w:p>
        </w:tc>
        <w:tc>
          <w:tcPr>
            <w:tcW w:w="2373" w:type="dxa"/>
            <w:vAlign w:val="center"/>
          </w:tcPr>
          <w:p w14:paraId="7F8C99E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招标人</w:t>
            </w:r>
          </w:p>
        </w:tc>
        <w:tc>
          <w:tcPr>
            <w:tcW w:w="6422" w:type="dxa"/>
            <w:vAlign w:val="center"/>
          </w:tcPr>
          <w:p w14:paraId="0086E7E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名称：库车市融媒体中心</w:t>
            </w:r>
          </w:p>
          <w:p w14:paraId="3B69D1F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地址：库车市长宁路9号</w:t>
            </w:r>
          </w:p>
          <w:p w14:paraId="17C71A9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联系人：古丽波斯坦·艾买尔</w:t>
            </w:r>
          </w:p>
          <w:p w14:paraId="049E9DC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电话：0997-7120128</w:t>
            </w:r>
          </w:p>
        </w:tc>
      </w:tr>
      <w:tr w14:paraId="64CD4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1067" w:type="dxa"/>
            <w:vAlign w:val="center"/>
          </w:tcPr>
          <w:p w14:paraId="322A95A1">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1.1.3</w:t>
            </w:r>
          </w:p>
        </w:tc>
        <w:tc>
          <w:tcPr>
            <w:tcW w:w="2373" w:type="dxa"/>
            <w:vAlign w:val="center"/>
          </w:tcPr>
          <w:p w14:paraId="4CAB7974">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招标代理机构</w:t>
            </w:r>
          </w:p>
        </w:tc>
        <w:tc>
          <w:tcPr>
            <w:tcW w:w="6422" w:type="dxa"/>
            <w:vAlign w:val="center"/>
          </w:tcPr>
          <w:p w14:paraId="23947554">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名称：新疆天跃中达项目管理有限责任公司</w:t>
            </w:r>
          </w:p>
          <w:p w14:paraId="563C2A7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地址：阿克苏地区库车市天河新城1栋07号商铺</w:t>
            </w:r>
          </w:p>
          <w:p w14:paraId="44560BB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联系人：陈明芳</w:t>
            </w:r>
          </w:p>
          <w:p w14:paraId="4A936732">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电话：0997-7888767</w:t>
            </w:r>
          </w:p>
        </w:tc>
      </w:tr>
      <w:tr w14:paraId="62C1D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67" w:type="dxa"/>
            <w:vAlign w:val="center"/>
          </w:tcPr>
          <w:p w14:paraId="77474D69">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1.1.4</w:t>
            </w:r>
          </w:p>
        </w:tc>
        <w:tc>
          <w:tcPr>
            <w:tcW w:w="2373" w:type="dxa"/>
            <w:vAlign w:val="center"/>
          </w:tcPr>
          <w:p w14:paraId="2AB719D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招标项目名称</w:t>
            </w:r>
          </w:p>
        </w:tc>
        <w:tc>
          <w:tcPr>
            <w:tcW w:w="6422" w:type="dxa"/>
            <w:vAlign w:val="center"/>
          </w:tcPr>
          <w:p w14:paraId="3761620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“双珠”计划·库车市文化艺术精品创作项目-媒体平台运维安全保障</w:t>
            </w:r>
          </w:p>
        </w:tc>
      </w:tr>
      <w:tr w14:paraId="21CD0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14:paraId="4224ADA9">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1.2.1</w:t>
            </w:r>
          </w:p>
        </w:tc>
        <w:tc>
          <w:tcPr>
            <w:tcW w:w="2373" w:type="dxa"/>
            <w:vAlign w:val="center"/>
          </w:tcPr>
          <w:p w14:paraId="5A034CC4">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资金来源</w:t>
            </w:r>
          </w:p>
        </w:tc>
        <w:tc>
          <w:tcPr>
            <w:tcW w:w="6422" w:type="dxa"/>
            <w:vAlign w:val="center"/>
          </w:tcPr>
          <w:p w14:paraId="4709F4D6">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援疆资金</w:t>
            </w:r>
          </w:p>
        </w:tc>
      </w:tr>
      <w:tr w14:paraId="124D6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67" w:type="dxa"/>
            <w:vAlign w:val="center"/>
          </w:tcPr>
          <w:p w14:paraId="2C7ED91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1.2.2</w:t>
            </w:r>
          </w:p>
        </w:tc>
        <w:tc>
          <w:tcPr>
            <w:tcW w:w="2373" w:type="dxa"/>
            <w:vAlign w:val="center"/>
          </w:tcPr>
          <w:p w14:paraId="7BAB91E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资金落实情况</w:t>
            </w:r>
          </w:p>
        </w:tc>
        <w:tc>
          <w:tcPr>
            <w:tcW w:w="6422" w:type="dxa"/>
            <w:vAlign w:val="center"/>
          </w:tcPr>
          <w:p w14:paraId="2BD6B82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已到位</w:t>
            </w:r>
          </w:p>
        </w:tc>
      </w:tr>
      <w:tr w14:paraId="2104E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14:paraId="08DD335C">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1.3.1</w:t>
            </w:r>
          </w:p>
        </w:tc>
        <w:tc>
          <w:tcPr>
            <w:tcW w:w="2373" w:type="dxa"/>
            <w:vAlign w:val="center"/>
          </w:tcPr>
          <w:p w14:paraId="64EDC092">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招标内容</w:t>
            </w:r>
          </w:p>
        </w:tc>
        <w:tc>
          <w:tcPr>
            <w:tcW w:w="6422" w:type="dxa"/>
            <w:vAlign w:val="center"/>
          </w:tcPr>
          <w:p w14:paraId="22B889A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招标内容：加强甬库两地深入开展交流交往交融，深化两地媒体融合发展，增强媒体宣传传播效果，利用库车好地方手机APP，提升融媒产品质量，打通新闻宣传共享通道，提高宁波援疆稿件在宁波后方的上稿率。需满足的要求:做好媒体平台运行维护安全保障及采稿技术运维服务保障，确保大楼机房及网络设备运维、安全服务购买和甬库情融媒平台运维安全</w:t>
            </w:r>
          </w:p>
        </w:tc>
      </w:tr>
      <w:tr w14:paraId="1F079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67" w:type="dxa"/>
            <w:vAlign w:val="center"/>
          </w:tcPr>
          <w:p w14:paraId="0CD1909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1.3.2</w:t>
            </w:r>
          </w:p>
        </w:tc>
        <w:tc>
          <w:tcPr>
            <w:tcW w:w="2373" w:type="dxa"/>
            <w:vAlign w:val="center"/>
          </w:tcPr>
          <w:p w14:paraId="045ECF4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服务期限</w:t>
            </w:r>
          </w:p>
        </w:tc>
        <w:tc>
          <w:tcPr>
            <w:tcW w:w="6422" w:type="dxa"/>
            <w:vAlign w:val="center"/>
          </w:tcPr>
          <w:p w14:paraId="0E54F80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default"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highlight w:val="none"/>
                <w:vertAlign w:val="baseline"/>
                <w:lang w:val="en-US" w:eastAsia="zh-CN"/>
              </w:rPr>
              <w:t>合同签定后一年。</w:t>
            </w:r>
          </w:p>
        </w:tc>
      </w:tr>
      <w:tr w14:paraId="1BD3B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67" w:type="dxa"/>
            <w:vAlign w:val="center"/>
          </w:tcPr>
          <w:p w14:paraId="5BCC1A9A">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1.3.3</w:t>
            </w:r>
          </w:p>
        </w:tc>
        <w:tc>
          <w:tcPr>
            <w:tcW w:w="2373" w:type="dxa"/>
            <w:vAlign w:val="center"/>
          </w:tcPr>
          <w:p w14:paraId="2CEFE46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项目地点</w:t>
            </w:r>
          </w:p>
        </w:tc>
        <w:tc>
          <w:tcPr>
            <w:tcW w:w="6422" w:type="dxa"/>
            <w:vAlign w:val="center"/>
          </w:tcPr>
          <w:p w14:paraId="689D624A">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库车市</w:t>
            </w:r>
          </w:p>
        </w:tc>
      </w:tr>
      <w:tr w14:paraId="7DFCC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67" w:type="dxa"/>
            <w:vAlign w:val="center"/>
          </w:tcPr>
          <w:p w14:paraId="4D38A294">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1.3.4</w:t>
            </w:r>
          </w:p>
        </w:tc>
        <w:tc>
          <w:tcPr>
            <w:tcW w:w="2373" w:type="dxa"/>
            <w:vAlign w:val="center"/>
          </w:tcPr>
          <w:p w14:paraId="0B21FA2C">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color w:val="auto"/>
                <w:spacing w:val="0"/>
                <w:sz w:val="21"/>
                <w:szCs w:val="21"/>
                <w:vertAlign w:val="baseline"/>
                <w:lang w:val="en-US" w:eastAsia="zh-CN"/>
              </w:rPr>
              <w:t>质量标准</w:t>
            </w:r>
          </w:p>
        </w:tc>
        <w:tc>
          <w:tcPr>
            <w:tcW w:w="6422" w:type="dxa"/>
            <w:vAlign w:val="center"/>
          </w:tcPr>
          <w:p w14:paraId="6641998C">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both"/>
              <w:textAlignment w:val="auto"/>
              <w:outlineLvl w:val="9"/>
              <w:rPr>
                <w:rFonts w:hint="eastAsia" w:ascii="宋体" w:hAnsi="宋体" w:eastAsia="宋体" w:cs="宋体"/>
                <w:color w:val="auto"/>
                <w:lang w:val="en-US" w:eastAsia="zh-CN"/>
              </w:rPr>
            </w:pPr>
            <w:r>
              <w:rPr>
                <w:rFonts w:hint="eastAsia" w:ascii="宋体" w:hAnsi="宋体" w:eastAsia="宋体" w:cs="宋体"/>
                <w:b w:val="0"/>
                <w:bCs w:val="0"/>
                <w:i w:val="0"/>
                <w:iCs w:val="0"/>
                <w:color w:val="auto"/>
                <w:spacing w:val="0"/>
                <w:sz w:val="21"/>
                <w:szCs w:val="21"/>
                <w:vertAlign w:val="baseline"/>
                <w:lang w:val="en-US" w:eastAsia="zh-CN"/>
              </w:rPr>
              <w:t>合格,符合国家质量标准要求</w:t>
            </w:r>
          </w:p>
        </w:tc>
      </w:tr>
      <w:tr w14:paraId="45545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067" w:type="dxa"/>
            <w:vAlign w:val="center"/>
          </w:tcPr>
          <w:p w14:paraId="28CC763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1.4.1</w:t>
            </w:r>
          </w:p>
        </w:tc>
        <w:tc>
          <w:tcPr>
            <w:tcW w:w="2373" w:type="dxa"/>
            <w:vAlign w:val="center"/>
          </w:tcPr>
          <w:p w14:paraId="5330DA36">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资质条件、能力和信誉要求</w:t>
            </w:r>
          </w:p>
        </w:tc>
        <w:tc>
          <w:tcPr>
            <w:tcW w:w="6422" w:type="dxa"/>
            <w:vAlign w:val="center"/>
          </w:tcPr>
          <w:p w14:paraId="04538CD2">
            <w:pPr>
              <w:widowControl/>
              <w:numPr>
                <w:ilvl w:val="0"/>
                <w:numId w:val="0"/>
              </w:numPr>
              <w:spacing w:line="3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投标单位</w:t>
            </w:r>
            <w:r>
              <w:rPr>
                <w:rFonts w:hint="eastAsia" w:ascii="宋体" w:hAnsi="宋体" w:eastAsia="宋体" w:cs="宋体"/>
                <w:color w:val="auto"/>
                <w:sz w:val="21"/>
                <w:szCs w:val="21"/>
              </w:rPr>
              <w:t>的资格要求：</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）符合《政府采购法》第二十二条规定的条件</w:t>
            </w:r>
            <w:r>
              <w:rPr>
                <w:rFonts w:hint="eastAsia" w:ascii="宋体" w:hAnsi="宋体" w:eastAsia="宋体" w:cs="宋体"/>
                <w:color w:val="auto"/>
                <w:sz w:val="21"/>
                <w:szCs w:val="21"/>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投标单位具备有效的营业执照；</w:t>
            </w:r>
          </w:p>
          <w:p w14:paraId="1EEE7EFE">
            <w:pPr>
              <w:widowControl/>
              <w:numPr>
                <w:ilvl w:val="0"/>
                <w:numId w:val="0"/>
              </w:numPr>
              <w:spacing w:line="300" w:lineRule="exac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（3）法定代表人须提供法定代表人证明书、法定代表人身份证，委托代理人投标须提供法定代表人授权委托书及委托代理人身份证；</w:t>
            </w:r>
          </w:p>
          <w:p w14:paraId="0D65E709">
            <w:pPr>
              <w:widowControl/>
              <w:spacing w:line="300" w:lineRule="exac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财务要求：近</w:t>
            </w:r>
            <w:r>
              <w:rPr>
                <w:rFonts w:hint="eastAsia" w:ascii="宋体" w:hAnsi="宋体" w:eastAsia="宋体" w:cs="宋体"/>
                <w:color w:val="auto"/>
                <w:sz w:val="21"/>
                <w:szCs w:val="21"/>
                <w:lang w:val="en-US" w:eastAsia="zh-CN"/>
              </w:rPr>
              <w:t>一</w:t>
            </w:r>
            <w:r>
              <w:rPr>
                <w:rFonts w:hint="eastAsia" w:ascii="宋体" w:hAnsi="宋体" w:eastAsia="宋体" w:cs="宋体"/>
                <w:color w:val="auto"/>
                <w:sz w:val="21"/>
                <w:szCs w:val="21"/>
              </w:rPr>
              <w:t>年（</w:t>
            </w:r>
            <w:r>
              <w:rPr>
                <w:rFonts w:hint="eastAsia" w:ascii="宋体" w:hAnsi="宋体" w:eastAsia="宋体" w:cs="宋体"/>
                <w:color w:val="auto"/>
                <w:sz w:val="21"/>
                <w:szCs w:val="21"/>
                <w:lang w:eastAsia="zh-CN"/>
              </w:rPr>
              <w:t>2024年度</w:t>
            </w:r>
            <w:r>
              <w:rPr>
                <w:rFonts w:hint="eastAsia" w:ascii="宋体" w:hAnsi="宋体" w:eastAsia="宋体" w:cs="宋体"/>
                <w:color w:val="auto"/>
                <w:sz w:val="21"/>
                <w:szCs w:val="21"/>
              </w:rPr>
              <w:t>）由第三方财务审计机构出具的财务审计报告或合法的财务报表；企业成立不足</w:t>
            </w:r>
            <w:r>
              <w:rPr>
                <w:rFonts w:hint="eastAsia" w:ascii="宋体" w:hAnsi="宋体" w:eastAsia="宋体" w:cs="宋体"/>
                <w:color w:val="auto"/>
                <w:sz w:val="21"/>
                <w:szCs w:val="21"/>
                <w:lang w:val="en-US" w:eastAsia="zh-CN"/>
              </w:rPr>
              <w:t>一</w:t>
            </w:r>
            <w:r>
              <w:rPr>
                <w:rFonts w:hint="eastAsia" w:ascii="宋体" w:hAnsi="宋体" w:eastAsia="宋体" w:cs="宋体"/>
                <w:color w:val="auto"/>
                <w:sz w:val="21"/>
                <w:szCs w:val="21"/>
              </w:rPr>
              <w:t>年的，需提供企业成立以来的。</w:t>
            </w:r>
          </w:p>
          <w:p w14:paraId="46B08452">
            <w:pPr>
              <w:widowControl/>
              <w:spacing w:line="300" w:lineRule="exact"/>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color w:val="auto"/>
                <w:kern w:val="0"/>
                <w:sz w:val="21"/>
                <w:szCs w:val="21"/>
                <w:shd w:val="clear" w:color="auto" w:fill="FFFFFF"/>
              </w:rPr>
              <w:t>（</w:t>
            </w:r>
            <w:r>
              <w:rPr>
                <w:rFonts w:hint="eastAsia" w:ascii="宋体" w:hAnsi="宋体" w:eastAsia="宋体" w:cs="宋体"/>
                <w:color w:val="auto"/>
                <w:kern w:val="0"/>
                <w:sz w:val="21"/>
                <w:szCs w:val="21"/>
                <w:shd w:val="clear" w:color="auto" w:fill="FFFFFF"/>
                <w:lang w:val="en-US" w:eastAsia="zh-CN"/>
              </w:rPr>
              <w:t>5</w:t>
            </w:r>
            <w:r>
              <w:rPr>
                <w:rFonts w:hint="eastAsia" w:ascii="宋体" w:hAnsi="宋体" w:eastAsia="宋体" w:cs="宋体"/>
                <w:color w:val="auto"/>
                <w:kern w:val="0"/>
                <w:sz w:val="21"/>
                <w:szCs w:val="21"/>
                <w:shd w:val="clear" w:color="auto" w:fill="FFFFFF"/>
              </w:rPr>
              <w:t>）</w:t>
            </w:r>
            <w:r>
              <w:rPr>
                <w:rFonts w:hint="eastAsia" w:ascii="宋体" w:hAnsi="宋体" w:eastAsia="宋体" w:cs="宋体"/>
                <w:color w:val="auto"/>
                <w:kern w:val="0"/>
                <w:sz w:val="21"/>
                <w:szCs w:val="21"/>
                <w:shd w:val="clear" w:color="auto" w:fill="FFFFFF"/>
                <w:lang w:val="en-US" w:eastAsia="zh-CN"/>
              </w:rPr>
              <w:t>投标单位</w:t>
            </w:r>
            <w:r>
              <w:rPr>
                <w:rFonts w:hint="eastAsia" w:ascii="宋体" w:hAnsi="宋体" w:eastAsia="宋体" w:cs="宋体"/>
                <w:color w:val="auto"/>
                <w:kern w:val="0"/>
                <w:sz w:val="21"/>
                <w:szCs w:val="21"/>
                <w:shd w:val="clear" w:color="auto" w:fill="FFFFFF"/>
              </w:rPr>
              <w:t>提供本单位缴纳社保，出具近三个月的缴纳社保证明；</w:t>
            </w:r>
            <w:r>
              <w:rPr>
                <w:rFonts w:hint="eastAsia" w:ascii="宋体" w:hAnsi="宋体" w:eastAsia="宋体" w:cs="宋体"/>
                <w:color w:val="auto"/>
                <w:kern w:val="0"/>
                <w:sz w:val="21"/>
                <w:szCs w:val="21"/>
                <w:shd w:val="clear" w:color="auto" w:fill="FFFFFF"/>
                <w:lang w:val="en-US" w:eastAsia="zh-CN"/>
              </w:rPr>
              <w:t>投标单位</w:t>
            </w:r>
            <w:r>
              <w:rPr>
                <w:rFonts w:hint="eastAsia" w:ascii="宋体" w:hAnsi="宋体" w:eastAsia="宋体" w:cs="宋体"/>
                <w:color w:val="auto"/>
                <w:kern w:val="0"/>
                <w:sz w:val="21"/>
                <w:szCs w:val="21"/>
                <w:shd w:val="clear" w:color="auto" w:fill="FFFFFF"/>
              </w:rPr>
              <w:t>提供税务机关出具近一个季度填报日期的完税证明</w:t>
            </w:r>
            <w:r>
              <w:rPr>
                <w:rFonts w:hint="eastAsia" w:ascii="宋体" w:hAnsi="宋体" w:eastAsia="宋体" w:cs="宋体"/>
                <w:color w:val="auto"/>
                <w:kern w:val="0"/>
                <w:sz w:val="21"/>
                <w:szCs w:val="21"/>
                <w:shd w:val="clear" w:color="auto" w:fill="FFFFFF"/>
                <w:lang w:eastAsia="zh-CN"/>
              </w:rPr>
              <w:t>；（</w:t>
            </w:r>
            <w:r>
              <w:rPr>
                <w:rFonts w:hint="eastAsia" w:ascii="宋体" w:hAnsi="宋体" w:eastAsia="宋体" w:cs="宋体"/>
                <w:color w:val="auto"/>
                <w:kern w:val="0"/>
                <w:sz w:val="21"/>
                <w:szCs w:val="21"/>
                <w:shd w:val="clear" w:color="auto" w:fill="FFFFFF"/>
                <w:lang w:val="en-US" w:eastAsia="zh-CN"/>
              </w:rPr>
              <w:t>新成立公司提供成立以来的或相关证明材料）；</w:t>
            </w:r>
            <w:r>
              <w:rPr>
                <w:rFonts w:hint="eastAsia" w:ascii="宋体" w:hAnsi="宋体" w:eastAsia="宋体" w:cs="宋体"/>
                <w:color w:val="auto"/>
                <w:kern w:val="0"/>
                <w:sz w:val="21"/>
                <w:szCs w:val="21"/>
                <w:shd w:val="clear" w:color="auto" w:fill="FFFFFF"/>
              </w:rPr>
              <w:br w:type="textWrapping"/>
            </w:r>
            <w:r>
              <w:rPr>
                <w:rFonts w:hint="eastAsia" w:ascii="宋体" w:hAnsi="宋体" w:eastAsia="宋体" w:cs="宋体"/>
                <w:color w:val="auto"/>
                <w:kern w:val="0"/>
                <w:sz w:val="21"/>
                <w:szCs w:val="21"/>
                <w:shd w:val="clear" w:color="auto" w:fill="FFFFFF"/>
              </w:rPr>
              <w:t>（</w:t>
            </w:r>
            <w:r>
              <w:rPr>
                <w:rFonts w:hint="eastAsia" w:ascii="宋体" w:hAnsi="宋体" w:eastAsia="宋体" w:cs="宋体"/>
                <w:color w:val="auto"/>
                <w:kern w:val="0"/>
                <w:sz w:val="21"/>
                <w:szCs w:val="21"/>
                <w:shd w:val="clear" w:color="auto" w:fill="FFFFFF"/>
                <w:lang w:val="en-US" w:eastAsia="zh-CN"/>
              </w:rPr>
              <w:t>6</w:t>
            </w:r>
            <w:r>
              <w:rPr>
                <w:rFonts w:hint="eastAsia" w:ascii="宋体" w:hAnsi="宋体" w:eastAsia="宋体" w:cs="宋体"/>
                <w:color w:val="auto"/>
                <w:kern w:val="0"/>
                <w:sz w:val="21"/>
                <w:szCs w:val="21"/>
                <w:shd w:val="clear" w:color="auto" w:fill="FFFFFF"/>
              </w:rPr>
              <w:t>）</w:t>
            </w:r>
            <w:r>
              <w:rPr>
                <w:rFonts w:hint="eastAsia" w:ascii="宋体" w:hAnsi="宋体" w:eastAsia="宋体" w:cs="宋体"/>
                <w:color w:val="auto"/>
                <w:kern w:val="0"/>
                <w:sz w:val="21"/>
                <w:szCs w:val="21"/>
                <w:shd w:val="clear" w:color="auto" w:fill="FFFFFF"/>
                <w:lang w:eastAsia="zh-CN"/>
              </w:rPr>
              <w:t>凡拟参加本次招标项目的</w:t>
            </w:r>
            <w:r>
              <w:rPr>
                <w:rFonts w:hint="eastAsia" w:ascii="宋体" w:hAnsi="宋体" w:eastAsia="宋体" w:cs="宋体"/>
                <w:color w:val="auto"/>
                <w:kern w:val="0"/>
                <w:sz w:val="21"/>
                <w:szCs w:val="21"/>
                <w:shd w:val="clear" w:color="auto" w:fill="FFFFFF"/>
                <w:lang w:val="en-US" w:eastAsia="zh-CN"/>
              </w:rPr>
              <w:t>投标单位</w:t>
            </w:r>
            <w:r>
              <w:rPr>
                <w:rFonts w:hint="eastAsia" w:ascii="宋体" w:hAnsi="宋体" w:eastAsia="宋体" w:cs="宋体"/>
                <w:color w:val="auto"/>
                <w:kern w:val="0"/>
                <w:sz w:val="21"/>
                <w:szCs w:val="21"/>
                <w:shd w:val="clear" w:color="auto" w:fill="FFFFFF"/>
                <w:lang w:eastAsia="zh-CN"/>
              </w:rPr>
              <w:t>，自公告发布之日起至投标文件递交截止时间止（该时间段内任一时间）。查询渠道为：“信用中国”网站（www.creditchina.gov.cn）被列入失信被执行人、重大税收违法案件当事人名单、政府采购严重违法失信名单的（尚在处罚期内的）、中国政府采购网（www.ccgp.gov.cn）被列入政府采购严重违法失信行为记录名单（尚在处罚期内的）及其他不符合《中华人民共和国政府采购法》第二十二条规定条件的供应商，其投标文件将被拒绝；</w:t>
            </w:r>
            <w:r>
              <w:rPr>
                <w:rFonts w:hint="eastAsia" w:ascii="宋体" w:hAnsi="宋体" w:eastAsia="宋体" w:cs="宋体"/>
                <w:color w:val="auto"/>
                <w:kern w:val="0"/>
                <w:sz w:val="21"/>
                <w:szCs w:val="21"/>
                <w:shd w:val="clear" w:color="auto" w:fill="FFFFFF"/>
                <w:lang w:eastAsia="zh-CN"/>
              </w:rPr>
              <w:br w:type="textWrapping"/>
            </w:r>
            <w:r>
              <w:rPr>
                <w:rFonts w:hint="eastAsia" w:ascii="宋体" w:hAnsi="宋体" w:eastAsia="宋体" w:cs="宋体"/>
                <w:color w:val="auto"/>
                <w:kern w:val="0"/>
                <w:sz w:val="21"/>
                <w:szCs w:val="21"/>
                <w:shd w:val="clear" w:color="auto" w:fill="FFFFFF"/>
                <w:lang w:eastAsia="zh-CN"/>
              </w:rPr>
              <w:t>（</w:t>
            </w:r>
            <w:r>
              <w:rPr>
                <w:rFonts w:hint="eastAsia" w:ascii="宋体" w:hAnsi="宋体" w:eastAsia="宋体" w:cs="宋体"/>
                <w:color w:val="auto"/>
                <w:kern w:val="0"/>
                <w:sz w:val="21"/>
                <w:szCs w:val="21"/>
                <w:shd w:val="clear" w:color="auto" w:fill="FFFFFF"/>
                <w:lang w:val="en-US" w:eastAsia="zh-CN"/>
              </w:rPr>
              <w:t>7</w:t>
            </w:r>
            <w:r>
              <w:rPr>
                <w:rFonts w:hint="eastAsia" w:ascii="宋体" w:hAnsi="宋体" w:eastAsia="宋体" w:cs="宋体"/>
                <w:color w:val="auto"/>
                <w:kern w:val="0"/>
                <w:sz w:val="21"/>
                <w:szCs w:val="21"/>
                <w:shd w:val="clear" w:color="auto" w:fill="FFFFFF"/>
                <w:lang w:eastAsia="zh-CN"/>
              </w:rPr>
              <w:t>）</w:t>
            </w:r>
            <w:r>
              <w:rPr>
                <w:rFonts w:hint="eastAsia" w:ascii="宋体" w:hAnsi="宋体" w:eastAsia="宋体" w:cs="宋体"/>
                <w:color w:val="auto"/>
                <w:sz w:val="21"/>
                <w:szCs w:val="21"/>
                <w:lang w:val="en-US" w:eastAsia="zh-CN"/>
              </w:rPr>
              <w:t>投标单位</w:t>
            </w:r>
            <w:r>
              <w:rPr>
                <w:rFonts w:hint="eastAsia" w:ascii="宋体" w:hAnsi="宋体" w:eastAsia="宋体" w:cs="宋体"/>
                <w:color w:val="auto"/>
                <w:kern w:val="0"/>
                <w:sz w:val="21"/>
                <w:szCs w:val="21"/>
                <w:shd w:val="clear" w:color="auto" w:fill="FFFFFF"/>
                <w:lang w:eastAsia="zh-CN"/>
              </w:rPr>
              <w:t>应为中小企业。</w:t>
            </w:r>
          </w:p>
        </w:tc>
      </w:tr>
      <w:tr w14:paraId="7E452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067" w:type="dxa"/>
            <w:vAlign w:val="center"/>
          </w:tcPr>
          <w:p w14:paraId="4231AF1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1.4.2</w:t>
            </w:r>
          </w:p>
        </w:tc>
        <w:tc>
          <w:tcPr>
            <w:tcW w:w="2373" w:type="dxa"/>
            <w:vAlign w:val="center"/>
          </w:tcPr>
          <w:p w14:paraId="7302E21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是否接受联合体</w:t>
            </w:r>
          </w:p>
        </w:tc>
        <w:tc>
          <w:tcPr>
            <w:tcW w:w="6422" w:type="dxa"/>
            <w:vAlign w:val="center"/>
          </w:tcPr>
          <w:p w14:paraId="4AA8C90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宋体" w:hAnsi="宋体" w:eastAsia="宋体" w:cs="宋体"/>
                <w:color w:val="auto"/>
                <w:kern w:val="0"/>
                <w:sz w:val="21"/>
                <w:szCs w:val="21"/>
                <w:shd w:val="clear" w:color="auto" w:fill="FFFFFF"/>
                <w:lang w:eastAsia="zh-CN"/>
              </w:rPr>
            </w:pPr>
            <w:r>
              <w:rPr>
                <w:rFonts w:hint="eastAsia" w:ascii="宋体" w:hAnsi="宋体" w:eastAsia="宋体" w:cs="宋体"/>
                <w:color w:val="auto"/>
                <w:kern w:val="0"/>
                <w:sz w:val="21"/>
                <w:szCs w:val="21"/>
                <w:shd w:val="clear" w:color="auto" w:fill="FFFFFF"/>
                <w:lang w:eastAsia="zh-CN"/>
              </w:rPr>
              <w:fldChar w:fldCharType="begin"/>
            </w:r>
            <w:r>
              <w:rPr>
                <w:rFonts w:hint="eastAsia" w:ascii="宋体" w:hAnsi="宋体" w:eastAsia="宋体" w:cs="宋体"/>
                <w:color w:val="auto"/>
                <w:kern w:val="0"/>
                <w:sz w:val="21"/>
                <w:szCs w:val="21"/>
                <w:shd w:val="clear" w:color="auto" w:fill="FFFFFF"/>
                <w:lang w:eastAsia="zh-CN"/>
              </w:rPr>
              <w:instrText xml:space="preserve"> eq \o\ac(□,√)</w:instrText>
            </w:r>
            <w:r>
              <w:rPr>
                <w:rFonts w:hint="eastAsia" w:ascii="宋体" w:hAnsi="宋体" w:eastAsia="宋体" w:cs="宋体"/>
                <w:color w:val="auto"/>
                <w:kern w:val="0"/>
                <w:sz w:val="21"/>
                <w:szCs w:val="21"/>
                <w:shd w:val="clear" w:color="auto" w:fill="FFFFFF"/>
                <w:lang w:eastAsia="zh-CN"/>
              </w:rPr>
              <w:fldChar w:fldCharType="end"/>
            </w:r>
            <w:r>
              <w:rPr>
                <w:rFonts w:hint="eastAsia" w:ascii="宋体" w:hAnsi="宋体" w:eastAsia="宋体" w:cs="宋体"/>
                <w:color w:val="auto"/>
                <w:kern w:val="0"/>
                <w:sz w:val="21"/>
                <w:szCs w:val="21"/>
                <w:shd w:val="clear" w:color="auto" w:fill="FFFFFF"/>
                <w:lang w:eastAsia="zh-CN"/>
              </w:rPr>
              <w:t>不接受</w:t>
            </w:r>
          </w:p>
          <w:p w14:paraId="52F987C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宋体" w:hAnsi="宋体" w:eastAsia="宋体" w:cs="宋体"/>
                <w:color w:val="auto"/>
                <w:kern w:val="0"/>
                <w:sz w:val="21"/>
                <w:szCs w:val="21"/>
                <w:shd w:val="clear" w:color="auto" w:fill="FFFFFF"/>
                <w:lang w:eastAsia="zh-CN"/>
              </w:rPr>
            </w:pPr>
            <w:r>
              <w:rPr>
                <w:rFonts w:hint="eastAsia" w:ascii="宋体" w:hAnsi="宋体" w:eastAsia="宋体" w:cs="宋体"/>
                <w:color w:val="auto"/>
                <w:kern w:val="0"/>
                <w:sz w:val="21"/>
                <w:szCs w:val="21"/>
                <w:shd w:val="clear" w:color="auto" w:fill="FFFFFF"/>
                <w:lang w:eastAsia="zh-CN"/>
              </w:rPr>
              <w:t>□接受，应满足下列要求：</w:t>
            </w:r>
          </w:p>
          <w:p w14:paraId="3485DFC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宋体" w:hAnsi="宋体" w:eastAsia="宋体" w:cs="宋体"/>
                <w:color w:val="auto"/>
                <w:kern w:val="0"/>
                <w:sz w:val="21"/>
                <w:szCs w:val="21"/>
                <w:shd w:val="clear" w:color="auto" w:fill="FFFFFF"/>
                <w:lang w:eastAsia="zh-CN"/>
              </w:rPr>
            </w:pPr>
            <w:r>
              <w:rPr>
                <w:rFonts w:hint="eastAsia" w:ascii="宋体" w:hAnsi="宋体" w:eastAsia="宋体" w:cs="宋体"/>
                <w:color w:val="auto"/>
                <w:kern w:val="0"/>
                <w:sz w:val="21"/>
                <w:szCs w:val="21"/>
                <w:shd w:val="clear" w:color="auto" w:fill="FFFFFF"/>
                <w:lang w:val="en-US" w:eastAsia="zh-CN"/>
              </w:rPr>
              <w:t>1、</w:t>
            </w:r>
            <w:r>
              <w:rPr>
                <w:rFonts w:hint="eastAsia" w:ascii="宋体" w:hAnsi="宋体" w:eastAsia="宋体" w:cs="宋体"/>
                <w:color w:val="auto"/>
                <w:kern w:val="0"/>
                <w:sz w:val="21"/>
                <w:szCs w:val="21"/>
                <w:shd w:val="clear" w:color="auto" w:fill="FFFFFF"/>
                <w:lang w:eastAsia="zh-CN"/>
              </w:rPr>
              <w:t>联合体各方必须向招标人提供有效的联合体协议，但联合体成员不得超过</w:t>
            </w:r>
            <w:r>
              <w:rPr>
                <w:rFonts w:hint="eastAsia" w:ascii="宋体" w:hAnsi="宋体" w:eastAsia="宋体" w:cs="宋体"/>
                <w:color w:val="auto"/>
                <w:kern w:val="0"/>
                <w:sz w:val="21"/>
                <w:szCs w:val="21"/>
                <w:shd w:val="clear" w:color="auto" w:fill="FFFFFF"/>
                <w:lang w:val="en-US" w:eastAsia="zh-CN"/>
              </w:rPr>
              <w:t>3</w:t>
            </w:r>
            <w:r>
              <w:rPr>
                <w:rFonts w:hint="eastAsia" w:ascii="宋体" w:hAnsi="宋体" w:eastAsia="宋体" w:cs="宋体"/>
                <w:color w:val="auto"/>
                <w:kern w:val="0"/>
                <w:sz w:val="21"/>
                <w:szCs w:val="21"/>
                <w:shd w:val="clear" w:color="auto" w:fill="FFFFFF"/>
                <w:lang w:eastAsia="zh-CN"/>
              </w:rPr>
              <w:t>家（含牵头单位）。①组成联合体投标应符合相关法律法规对联合体投标的有关规定，联合体各方不得再以自己名义单独或参加其他联合体在同一工程项目中投标；②以联合体方式参加本项目招标的，联合体各方之间应当签订联合体协议，明确联合体牵头人及联合体各方承担的工作和责任；③联合体中标后，联合体各方应共同与招标人签订合同，就中标项目向招标人承担连带责任。联合体牵头人负责整个合同的全面履行和接受本项目合同项下的项目款支付。</w:t>
            </w:r>
          </w:p>
          <w:p w14:paraId="3433E2B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宋体" w:hAnsi="宋体" w:eastAsia="宋体" w:cs="宋体"/>
                <w:color w:val="auto"/>
                <w:kern w:val="0"/>
                <w:sz w:val="21"/>
                <w:szCs w:val="21"/>
                <w:shd w:val="clear" w:color="auto" w:fill="FFFFFF"/>
                <w:lang w:eastAsia="zh-CN"/>
              </w:rPr>
            </w:pPr>
            <w:r>
              <w:rPr>
                <w:rFonts w:hint="eastAsia" w:ascii="宋体" w:hAnsi="宋体" w:eastAsia="宋体" w:cs="宋体"/>
                <w:color w:val="auto"/>
                <w:kern w:val="0"/>
                <w:sz w:val="21"/>
                <w:szCs w:val="21"/>
                <w:shd w:val="clear" w:color="auto" w:fill="FFFFFF"/>
                <w:lang w:val="en-US" w:eastAsia="zh-CN"/>
              </w:rPr>
              <w:t>2、</w:t>
            </w:r>
            <w:r>
              <w:rPr>
                <w:rFonts w:hint="eastAsia" w:ascii="宋体" w:hAnsi="宋体" w:eastAsia="宋体" w:cs="宋体"/>
                <w:color w:val="auto"/>
                <w:kern w:val="0"/>
                <w:sz w:val="21"/>
                <w:szCs w:val="21"/>
                <w:shd w:val="clear" w:color="auto" w:fill="FFFFFF"/>
                <w:lang w:eastAsia="zh-CN"/>
              </w:rPr>
              <w:t>联合体中中小企业承担部分达到</w:t>
            </w:r>
            <w:r>
              <w:rPr>
                <w:rFonts w:hint="eastAsia" w:ascii="宋体" w:hAnsi="宋体" w:eastAsia="宋体" w:cs="宋体"/>
                <w:color w:val="auto"/>
                <w:kern w:val="0"/>
                <w:sz w:val="21"/>
                <w:szCs w:val="21"/>
                <w:shd w:val="clear" w:color="auto" w:fill="FFFFFF"/>
                <w:lang w:val="en-US" w:eastAsia="zh-CN"/>
              </w:rPr>
              <w:t>40</w:t>
            </w:r>
            <w:r>
              <w:rPr>
                <w:rFonts w:hint="eastAsia" w:ascii="宋体" w:hAnsi="宋体" w:eastAsia="宋体" w:cs="宋体"/>
                <w:color w:val="auto"/>
                <w:kern w:val="0"/>
                <w:sz w:val="21"/>
                <w:szCs w:val="21"/>
                <w:shd w:val="clear" w:color="auto" w:fill="FFFFFF"/>
                <w:lang w:eastAsia="zh-CN"/>
              </w:rPr>
              <w:t>%，其中小微企业承担部分达到60%；</w:t>
            </w:r>
          </w:p>
          <w:p w14:paraId="54D971A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kern w:val="0"/>
                <w:sz w:val="21"/>
                <w:szCs w:val="21"/>
                <w:shd w:val="clear" w:color="auto" w:fill="FFFFFF"/>
                <w:lang w:val="en-US" w:eastAsia="zh-CN"/>
              </w:rPr>
              <w:t>3、联合体各成员均须按招标文件提供格式提供《中小企业声明函》；</w:t>
            </w:r>
          </w:p>
        </w:tc>
      </w:tr>
      <w:tr w14:paraId="313A0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14:paraId="1A2171AA">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1.4.3</w:t>
            </w:r>
          </w:p>
        </w:tc>
        <w:tc>
          <w:tcPr>
            <w:tcW w:w="2373" w:type="dxa"/>
            <w:vAlign w:val="center"/>
          </w:tcPr>
          <w:p w14:paraId="71780C2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投标人不得存在的其他情形</w:t>
            </w:r>
          </w:p>
        </w:tc>
        <w:tc>
          <w:tcPr>
            <w:tcW w:w="6422" w:type="dxa"/>
            <w:vAlign w:val="center"/>
          </w:tcPr>
          <w:p w14:paraId="4B1FC77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国家法律法规和招标文件规定的其他情形</w:t>
            </w:r>
          </w:p>
        </w:tc>
      </w:tr>
      <w:tr w14:paraId="055BD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1067" w:type="dxa"/>
            <w:vAlign w:val="center"/>
          </w:tcPr>
          <w:p w14:paraId="19E873E1">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1.9.1</w:t>
            </w:r>
          </w:p>
        </w:tc>
        <w:tc>
          <w:tcPr>
            <w:tcW w:w="2373" w:type="dxa"/>
            <w:vAlign w:val="center"/>
          </w:tcPr>
          <w:p w14:paraId="0134237E">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投标预备会</w:t>
            </w:r>
          </w:p>
        </w:tc>
        <w:tc>
          <w:tcPr>
            <w:tcW w:w="6422" w:type="dxa"/>
            <w:vAlign w:val="center"/>
          </w:tcPr>
          <w:p w14:paraId="097377DF">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i w:val="0"/>
                <w:iCs w:val="0"/>
                <w:color w:val="auto"/>
                <w:spacing w:val="0"/>
                <w:sz w:val="21"/>
                <w:szCs w:val="21"/>
                <w:vertAlign w:val="baseline"/>
                <w:lang w:eastAsia="zh-CN"/>
              </w:rPr>
            </w:pPr>
            <w:r>
              <w:rPr>
                <w:rFonts w:hint="eastAsia" w:ascii="宋体" w:hAnsi="宋体" w:eastAsia="宋体" w:cs="宋体"/>
                <w:i w:val="0"/>
                <w:iCs w:val="0"/>
                <w:color w:val="auto"/>
                <w:sz w:val="21"/>
                <w:szCs w:val="21"/>
              </w:rPr>
              <w:fldChar w:fldCharType="begin"/>
            </w:r>
            <w:r>
              <w:rPr>
                <w:rFonts w:hint="eastAsia" w:ascii="宋体" w:hAnsi="宋体" w:eastAsia="宋体" w:cs="宋体"/>
                <w:i w:val="0"/>
                <w:iCs w:val="0"/>
                <w:color w:val="auto"/>
                <w:sz w:val="21"/>
                <w:szCs w:val="21"/>
              </w:rPr>
              <w:instrText xml:space="preserve"> eq \o\ac(</w:instrText>
            </w:r>
            <w:r>
              <w:rPr>
                <w:rFonts w:hint="eastAsia" w:ascii="宋体" w:hAnsi="宋体" w:eastAsia="宋体" w:cs="宋体"/>
                <w:i w:val="0"/>
                <w:iCs w:val="0"/>
                <w:color w:val="auto"/>
                <w:position w:val="-4"/>
                <w:sz w:val="31"/>
                <w:szCs w:val="21"/>
              </w:rPr>
              <w:instrText xml:space="preserve">□</w:instrText>
            </w:r>
            <w:r>
              <w:rPr>
                <w:rFonts w:hint="eastAsia" w:ascii="宋体" w:hAnsi="宋体" w:eastAsia="宋体" w:cs="宋体"/>
                <w:i w:val="0"/>
                <w:iCs w:val="0"/>
                <w:color w:val="auto"/>
                <w:position w:val="0"/>
                <w:sz w:val="21"/>
                <w:szCs w:val="21"/>
              </w:rPr>
              <w:instrText xml:space="preserve">,√)</w:instrText>
            </w:r>
            <w:r>
              <w:rPr>
                <w:rFonts w:hint="eastAsia" w:ascii="宋体" w:hAnsi="宋体" w:eastAsia="宋体" w:cs="宋体"/>
                <w:i w:val="0"/>
                <w:iCs w:val="0"/>
                <w:color w:val="auto"/>
                <w:sz w:val="21"/>
                <w:szCs w:val="21"/>
              </w:rPr>
              <w:fldChar w:fldCharType="end"/>
            </w:r>
            <w:r>
              <w:rPr>
                <w:rFonts w:hint="eastAsia" w:ascii="宋体" w:hAnsi="宋体" w:eastAsia="宋体" w:cs="宋体"/>
                <w:i w:val="0"/>
                <w:iCs w:val="0"/>
                <w:color w:val="auto"/>
                <w:spacing w:val="0"/>
                <w:sz w:val="21"/>
                <w:szCs w:val="21"/>
                <w:vertAlign w:val="baseline"/>
                <w:lang w:val="en-US" w:eastAsia="zh-CN"/>
              </w:rPr>
              <w:t>不</w:t>
            </w:r>
            <w:r>
              <w:rPr>
                <w:rFonts w:hint="eastAsia" w:ascii="宋体" w:hAnsi="宋体" w:eastAsia="宋体" w:cs="宋体"/>
                <w:i w:val="0"/>
                <w:iCs w:val="0"/>
                <w:color w:val="auto"/>
                <w:spacing w:val="0"/>
                <w:sz w:val="21"/>
                <w:szCs w:val="21"/>
                <w:vertAlign w:val="baseline"/>
                <w:lang w:eastAsia="zh-CN"/>
              </w:rPr>
              <w:t>召开</w:t>
            </w:r>
          </w:p>
          <w:p w14:paraId="467BFF0A">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i w:val="0"/>
                <w:iCs w:val="0"/>
                <w:color w:val="auto"/>
                <w:spacing w:val="0"/>
                <w:sz w:val="21"/>
                <w:szCs w:val="21"/>
                <w:vertAlign w:val="baseline"/>
                <w:lang w:val="en-US" w:eastAsia="zh-CN"/>
              </w:rPr>
            </w:pPr>
            <w:r>
              <w:rPr>
                <w:rFonts w:hint="eastAsia" w:ascii="宋体" w:hAnsi="宋体" w:eastAsia="宋体" w:cs="宋体"/>
                <w:i w:val="0"/>
                <w:iCs w:val="0"/>
                <w:color w:val="auto"/>
                <w:spacing w:val="0"/>
                <w:sz w:val="21"/>
                <w:szCs w:val="21"/>
                <w:vertAlign w:val="baseline"/>
                <w:lang w:eastAsia="zh-CN"/>
              </w:rPr>
              <w:t>□召开，</w:t>
            </w:r>
            <w:r>
              <w:rPr>
                <w:rFonts w:hint="eastAsia" w:ascii="宋体" w:hAnsi="宋体" w:eastAsia="宋体" w:cs="宋体"/>
                <w:i w:val="0"/>
                <w:iCs w:val="0"/>
                <w:color w:val="auto"/>
                <w:spacing w:val="0"/>
                <w:sz w:val="21"/>
                <w:szCs w:val="21"/>
                <w:vertAlign w:val="baseline"/>
                <w:lang w:val="en-US" w:eastAsia="zh-CN"/>
              </w:rPr>
              <w:t>召开时间：</w:t>
            </w:r>
          </w:p>
          <w:p w14:paraId="4F33BBBE">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firstLine="840" w:firstLineChars="400"/>
              <w:jc w:val="left"/>
              <w:textAlignment w:val="auto"/>
              <w:outlineLvl w:val="9"/>
              <w:rPr>
                <w:rFonts w:hint="eastAsia" w:ascii="宋体" w:hAnsi="宋体" w:eastAsia="宋体" w:cs="宋体"/>
                <w:i w:val="0"/>
                <w:iCs w:val="0"/>
                <w:color w:val="auto"/>
                <w:spacing w:val="0"/>
                <w:sz w:val="21"/>
                <w:szCs w:val="21"/>
                <w:vertAlign w:val="baseline"/>
                <w:lang w:val="en-US" w:eastAsia="zh-CN"/>
              </w:rPr>
            </w:pPr>
            <w:r>
              <w:rPr>
                <w:rFonts w:hint="eastAsia" w:ascii="宋体" w:hAnsi="宋体" w:eastAsia="宋体" w:cs="宋体"/>
                <w:i w:val="0"/>
                <w:iCs w:val="0"/>
                <w:color w:val="auto"/>
                <w:spacing w:val="0"/>
                <w:sz w:val="21"/>
                <w:szCs w:val="21"/>
                <w:vertAlign w:val="baseline"/>
                <w:lang w:val="en-US" w:eastAsia="zh-CN"/>
              </w:rPr>
              <w:t>召开地点：</w:t>
            </w:r>
          </w:p>
        </w:tc>
      </w:tr>
      <w:tr w14:paraId="7E876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67" w:type="dxa"/>
            <w:vMerge w:val="restart"/>
            <w:vAlign w:val="center"/>
          </w:tcPr>
          <w:p w14:paraId="7C4232F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1.9.2</w:t>
            </w:r>
          </w:p>
        </w:tc>
        <w:tc>
          <w:tcPr>
            <w:tcW w:w="2373" w:type="dxa"/>
            <w:vMerge w:val="restart"/>
            <w:vAlign w:val="center"/>
          </w:tcPr>
          <w:p w14:paraId="3286CB7A">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投标人在投标预备会前提出问题</w:t>
            </w:r>
          </w:p>
        </w:tc>
        <w:tc>
          <w:tcPr>
            <w:tcW w:w="6422" w:type="dxa"/>
            <w:vAlign w:val="center"/>
          </w:tcPr>
          <w:p w14:paraId="72A3553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时间：\</w:t>
            </w:r>
          </w:p>
        </w:tc>
      </w:tr>
      <w:tr w14:paraId="2F2D3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67" w:type="dxa"/>
            <w:vMerge w:val="continue"/>
            <w:vAlign w:val="center"/>
          </w:tcPr>
          <w:p w14:paraId="5BFB0EE5">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宋体" w:hAnsi="宋体" w:eastAsia="宋体" w:cs="宋体"/>
                <w:i w:val="0"/>
                <w:iCs w:val="0"/>
                <w:color w:val="auto"/>
                <w:sz w:val="21"/>
                <w:szCs w:val="21"/>
              </w:rPr>
            </w:pPr>
          </w:p>
        </w:tc>
        <w:tc>
          <w:tcPr>
            <w:tcW w:w="2373" w:type="dxa"/>
            <w:vMerge w:val="continue"/>
            <w:vAlign w:val="center"/>
          </w:tcPr>
          <w:p w14:paraId="08DF64AA">
            <w:pPr>
              <w:keepNext w:val="0"/>
              <w:keepLines w:val="0"/>
              <w:pageBreakBefore w:val="0"/>
              <w:widowControl w:val="0"/>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i w:val="0"/>
                <w:iCs w:val="0"/>
                <w:color w:val="auto"/>
                <w:sz w:val="21"/>
                <w:szCs w:val="21"/>
              </w:rPr>
            </w:pPr>
          </w:p>
        </w:tc>
        <w:tc>
          <w:tcPr>
            <w:tcW w:w="6422" w:type="dxa"/>
            <w:vAlign w:val="center"/>
          </w:tcPr>
          <w:p w14:paraId="0A9516C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形式：\</w:t>
            </w:r>
          </w:p>
        </w:tc>
      </w:tr>
      <w:tr w14:paraId="0BDB0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14:paraId="7A07E694">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1.9.3</w:t>
            </w:r>
          </w:p>
        </w:tc>
        <w:tc>
          <w:tcPr>
            <w:tcW w:w="2373" w:type="dxa"/>
            <w:vAlign w:val="center"/>
          </w:tcPr>
          <w:p w14:paraId="423ACCFE">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招标文件澄清发出的形式</w:t>
            </w:r>
          </w:p>
        </w:tc>
        <w:tc>
          <w:tcPr>
            <w:tcW w:w="6422" w:type="dxa"/>
            <w:vAlign w:val="center"/>
          </w:tcPr>
          <w:p w14:paraId="68A80B1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电子文件或书面文件</w:t>
            </w:r>
          </w:p>
        </w:tc>
      </w:tr>
      <w:tr w14:paraId="00698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1067" w:type="dxa"/>
            <w:vAlign w:val="center"/>
          </w:tcPr>
          <w:p w14:paraId="7AF6EA8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1.10.1</w:t>
            </w:r>
          </w:p>
        </w:tc>
        <w:tc>
          <w:tcPr>
            <w:tcW w:w="2373" w:type="dxa"/>
            <w:vAlign w:val="center"/>
          </w:tcPr>
          <w:p w14:paraId="6B7242A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分包</w:t>
            </w:r>
          </w:p>
        </w:tc>
        <w:tc>
          <w:tcPr>
            <w:tcW w:w="6422" w:type="dxa"/>
            <w:vAlign w:val="center"/>
          </w:tcPr>
          <w:p w14:paraId="65EF3589">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i w:val="0"/>
                <w:iCs w:val="0"/>
                <w:color w:val="auto"/>
                <w:spacing w:val="0"/>
                <w:sz w:val="21"/>
                <w:szCs w:val="21"/>
                <w:vertAlign w:val="baseline"/>
                <w:lang w:eastAsia="zh-CN"/>
              </w:rPr>
            </w:pPr>
            <w:r>
              <w:rPr>
                <w:rFonts w:hint="eastAsia" w:ascii="宋体" w:hAnsi="宋体" w:eastAsia="宋体" w:cs="宋体"/>
                <w:i w:val="0"/>
                <w:iCs w:val="0"/>
                <w:color w:val="auto"/>
                <w:sz w:val="21"/>
                <w:szCs w:val="21"/>
              </w:rPr>
              <w:fldChar w:fldCharType="begin"/>
            </w:r>
            <w:r>
              <w:rPr>
                <w:rFonts w:hint="eastAsia" w:ascii="宋体" w:hAnsi="宋体" w:eastAsia="宋体" w:cs="宋体"/>
                <w:i w:val="0"/>
                <w:iCs w:val="0"/>
                <w:color w:val="auto"/>
                <w:sz w:val="21"/>
                <w:szCs w:val="21"/>
              </w:rPr>
              <w:instrText xml:space="preserve"> eq \o\ac(</w:instrText>
            </w:r>
            <w:r>
              <w:rPr>
                <w:rFonts w:hint="eastAsia" w:ascii="宋体" w:hAnsi="宋体" w:eastAsia="宋体" w:cs="宋体"/>
                <w:i w:val="0"/>
                <w:iCs w:val="0"/>
                <w:color w:val="auto"/>
                <w:position w:val="-4"/>
                <w:sz w:val="31"/>
                <w:szCs w:val="21"/>
              </w:rPr>
              <w:instrText xml:space="preserve">□</w:instrText>
            </w:r>
            <w:r>
              <w:rPr>
                <w:rFonts w:hint="eastAsia" w:ascii="宋体" w:hAnsi="宋体" w:eastAsia="宋体" w:cs="宋体"/>
                <w:i w:val="0"/>
                <w:iCs w:val="0"/>
                <w:color w:val="auto"/>
                <w:position w:val="0"/>
                <w:sz w:val="21"/>
                <w:szCs w:val="21"/>
              </w:rPr>
              <w:instrText xml:space="preserve">,√)</w:instrText>
            </w:r>
            <w:r>
              <w:rPr>
                <w:rFonts w:hint="eastAsia" w:ascii="宋体" w:hAnsi="宋体" w:eastAsia="宋体" w:cs="宋体"/>
                <w:i w:val="0"/>
                <w:iCs w:val="0"/>
                <w:color w:val="auto"/>
                <w:sz w:val="21"/>
                <w:szCs w:val="21"/>
              </w:rPr>
              <w:fldChar w:fldCharType="end"/>
            </w:r>
            <w:r>
              <w:rPr>
                <w:rFonts w:hint="eastAsia" w:ascii="宋体" w:hAnsi="宋体" w:eastAsia="宋体" w:cs="宋体"/>
                <w:i w:val="0"/>
                <w:iCs w:val="0"/>
                <w:color w:val="auto"/>
                <w:spacing w:val="0"/>
                <w:sz w:val="21"/>
                <w:szCs w:val="21"/>
                <w:vertAlign w:val="baseline"/>
                <w:lang w:eastAsia="zh-CN"/>
              </w:rPr>
              <w:t>不</w:t>
            </w:r>
            <w:r>
              <w:rPr>
                <w:rFonts w:hint="eastAsia" w:ascii="宋体" w:hAnsi="宋体" w:eastAsia="宋体" w:cs="宋体"/>
                <w:i w:val="0"/>
                <w:iCs w:val="0"/>
                <w:color w:val="auto"/>
                <w:spacing w:val="0"/>
                <w:sz w:val="21"/>
                <w:szCs w:val="21"/>
                <w:lang w:val="en-US" w:eastAsia="zh-CN"/>
              </w:rPr>
              <w:t>允许</w:t>
            </w:r>
          </w:p>
          <w:p w14:paraId="1958840E">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i w:val="0"/>
                <w:iCs w:val="0"/>
                <w:color w:val="auto"/>
                <w:spacing w:val="0"/>
                <w:sz w:val="21"/>
                <w:szCs w:val="21"/>
                <w:lang w:val="en-US" w:eastAsia="zh-CN"/>
              </w:rPr>
            </w:pPr>
            <w:r>
              <w:rPr>
                <w:rFonts w:hint="eastAsia" w:ascii="宋体" w:hAnsi="宋体" w:eastAsia="宋体" w:cs="宋体"/>
                <w:i w:val="0"/>
                <w:iCs w:val="0"/>
                <w:color w:val="auto"/>
                <w:spacing w:val="0"/>
                <w:sz w:val="21"/>
                <w:szCs w:val="21"/>
                <w:vertAlign w:val="baseline"/>
                <w:lang w:eastAsia="zh-CN"/>
              </w:rPr>
              <w:t>□召</w:t>
            </w:r>
            <w:r>
              <w:rPr>
                <w:rFonts w:hint="eastAsia" w:ascii="宋体" w:hAnsi="宋体" w:eastAsia="宋体" w:cs="宋体"/>
                <w:i w:val="0"/>
                <w:iCs w:val="0"/>
                <w:color w:val="auto"/>
                <w:spacing w:val="0"/>
                <w:sz w:val="21"/>
                <w:szCs w:val="21"/>
                <w:lang w:val="en-US" w:eastAsia="zh-CN"/>
              </w:rPr>
              <w:t>允，分包内容要求：</w:t>
            </w:r>
          </w:p>
          <w:p w14:paraId="4F5079B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firstLine="840" w:firstLineChars="400"/>
              <w:jc w:val="left"/>
              <w:textAlignment w:val="auto"/>
              <w:outlineLvl w:val="9"/>
              <w:rPr>
                <w:rFonts w:hint="eastAsia" w:ascii="宋体" w:hAnsi="宋体" w:eastAsia="宋体" w:cs="宋体"/>
                <w:i w:val="0"/>
                <w:iCs w:val="0"/>
                <w:color w:val="auto"/>
                <w:spacing w:val="0"/>
                <w:sz w:val="21"/>
                <w:szCs w:val="21"/>
                <w:lang w:val="en-US" w:eastAsia="zh-CN"/>
              </w:rPr>
            </w:pPr>
            <w:r>
              <w:rPr>
                <w:rFonts w:hint="eastAsia" w:ascii="宋体" w:hAnsi="宋体" w:eastAsia="宋体" w:cs="宋体"/>
                <w:i w:val="0"/>
                <w:iCs w:val="0"/>
                <w:color w:val="auto"/>
                <w:spacing w:val="0"/>
                <w:sz w:val="21"/>
                <w:szCs w:val="21"/>
                <w:lang w:val="en-US" w:eastAsia="zh-CN"/>
              </w:rPr>
              <w:t>分包金额要求：</w:t>
            </w:r>
          </w:p>
          <w:p w14:paraId="118B4C24">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firstLine="840" w:firstLineChars="400"/>
              <w:jc w:val="left"/>
              <w:textAlignment w:val="auto"/>
              <w:outlineLvl w:val="9"/>
              <w:rPr>
                <w:rFonts w:hint="eastAsia" w:ascii="宋体" w:hAnsi="宋体" w:eastAsia="宋体" w:cs="宋体"/>
                <w:i w:val="0"/>
                <w:iCs w:val="0"/>
                <w:color w:val="auto"/>
                <w:spacing w:val="0"/>
                <w:sz w:val="21"/>
                <w:szCs w:val="21"/>
                <w:lang w:val="en-US" w:eastAsia="zh-CN"/>
              </w:rPr>
            </w:pPr>
            <w:r>
              <w:rPr>
                <w:rFonts w:hint="eastAsia" w:ascii="宋体" w:hAnsi="宋体" w:eastAsia="宋体" w:cs="宋体"/>
                <w:i w:val="0"/>
                <w:iCs w:val="0"/>
                <w:color w:val="auto"/>
                <w:spacing w:val="0"/>
                <w:sz w:val="21"/>
                <w:szCs w:val="21"/>
                <w:lang w:val="en-US" w:eastAsia="zh-CN"/>
              </w:rPr>
              <w:t>对分包人的资质要求：</w:t>
            </w:r>
          </w:p>
        </w:tc>
      </w:tr>
      <w:tr w14:paraId="3CCB1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067" w:type="dxa"/>
            <w:vAlign w:val="center"/>
          </w:tcPr>
          <w:p w14:paraId="08FA48D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1.11.1</w:t>
            </w:r>
          </w:p>
        </w:tc>
        <w:tc>
          <w:tcPr>
            <w:tcW w:w="2373" w:type="dxa"/>
            <w:vAlign w:val="center"/>
          </w:tcPr>
          <w:p w14:paraId="131371B6">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实质性要求和条件</w:t>
            </w:r>
          </w:p>
        </w:tc>
        <w:tc>
          <w:tcPr>
            <w:tcW w:w="6422" w:type="dxa"/>
            <w:vAlign w:val="center"/>
          </w:tcPr>
          <w:p w14:paraId="7275971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both"/>
              <w:textAlignment w:val="auto"/>
              <w:outlineLvl w:val="9"/>
              <w:rPr>
                <w:rFonts w:hint="eastAsia" w:ascii="宋体" w:hAnsi="宋体" w:eastAsia="宋体" w:cs="宋体"/>
                <w:i w:val="0"/>
                <w:iCs w:val="0"/>
                <w:color w:val="auto"/>
                <w:spacing w:val="0"/>
                <w:sz w:val="21"/>
                <w:szCs w:val="21"/>
                <w:lang w:val="en-US" w:eastAsia="zh-CN"/>
              </w:rPr>
            </w:pPr>
            <w:r>
              <w:rPr>
                <w:rFonts w:hint="eastAsia" w:ascii="宋体" w:hAnsi="宋体" w:eastAsia="宋体" w:cs="宋体"/>
                <w:i w:val="0"/>
                <w:iCs w:val="0"/>
                <w:color w:val="auto"/>
                <w:spacing w:val="0"/>
                <w:sz w:val="21"/>
                <w:szCs w:val="21"/>
                <w:lang w:val="en-US" w:eastAsia="zh-CN"/>
              </w:rPr>
              <w:t>满足招标要求。</w:t>
            </w:r>
          </w:p>
        </w:tc>
      </w:tr>
      <w:tr w14:paraId="21D2A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067" w:type="dxa"/>
            <w:vAlign w:val="center"/>
          </w:tcPr>
          <w:p w14:paraId="3DDCBF99">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1.11.3</w:t>
            </w:r>
          </w:p>
        </w:tc>
        <w:tc>
          <w:tcPr>
            <w:tcW w:w="2373" w:type="dxa"/>
            <w:vAlign w:val="center"/>
          </w:tcPr>
          <w:p w14:paraId="1C14447A">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其他可以被接受的技术支持资料</w:t>
            </w:r>
          </w:p>
        </w:tc>
        <w:tc>
          <w:tcPr>
            <w:tcW w:w="6422" w:type="dxa"/>
            <w:vAlign w:val="center"/>
          </w:tcPr>
          <w:p w14:paraId="4FD49A94">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i w:val="0"/>
                <w:iCs w:val="0"/>
                <w:color w:val="auto"/>
                <w:spacing w:val="0"/>
                <w:sz w:val="21"/>
                <w:szCs w:val="21"/>
                <w:lang w:val="en-US" w:eastAsia="zh-CN"/>
              </w:rPr>
            </w:pPr>
            <w:r>
              <w:rPr>
                <w:rFonts w:hint="eastAsia" w:ascii="宋体" w:hAnsi="宋体" w:eastAsia="宋体" w:cs="宋体"/>
                <w:i w:val="0"/>
                <w:iCs w:val="0"/>
                <w:color w:val="auto"/>
                <w:spacing w:val="0"/>
                <w:sz w:val="21"/>
                <w:szCs w:val="21"/>
                <w:lang w:val="en-US" w:eastAsia="zh-CN"/>
              </w:rPr>
              <w:t>/</w:t>
            </w:r>
          </w:p>
        </w:tc>
      </w:tr>
      <w:tr w14:paraId="2B70C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067" w:type="dxa"/>
            <w:vAlign w:val="center"/>
          </w:tcPr>
          <w:p w14:paraId="0A35F91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1.11.4</w:t>
            </w:r>
          </w:p>
        </w:tc>
        <w:tc>
          <w:tcPr>
            <w:tcW w:w="2373" w:type="dxa"/>
            <w:vAlign w:val="center"/>
          </w:tcPr>
          <w:p w14:paraId="5B468A0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偏差</w:t>
            </w:r>
          </w:p>
        </w:tc>
        <w:tc>
          <w:tcPr>
            <w:tcW w:w="6422" w:type="dxa"/>
            <w:vAlign w:val="center"/>
          </w:tcPr>
          <w:p w14:paraId="682F00DB">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sym w:font="Wingdings" w:char="00FE"/>
            </w:r>
            <w:r>
              <w:rPr>
                <w:rFonts w:hint="eastAsia" w:ascii="宋体" w:hAnsi="宋体" w:eastAsia="宋体" w:cs="宋体"/>
                <w:b w:val="0"/>
                <w:bCs w:val="0"/>
                <w:i w:val="0"/>
                <w:iCs w:val="0"/>
                <w:color w:val="auto"/>
                <w:spacing w:val="0"/>
                <w:sz w:val="21"/>
                <w:szCs w:val="21"/>
                <w:vertAlign w:val="baseline"/>
                <w:lang w:val="en-US" w:eastAsia="zh-CN"/>
              </w:rPr>
              <w:t>不允许</w:t>
            </w:r>
          </w:p>
          <w:p w14:paraId="6D4DEC6C">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sym w:font="Wingdings" w:char="00A8"/>
            </w:r>
            <w:r>
              <w:rPr>
                <w:rFonts w:hint="eastAsia" w:ascii="宋体" w:hAnsi="宋体" w:eastAsia="宋体" w:cs="宋体"/>
                <w:b w:val="0"/>
                <w:bCs w:val="0"/>
                <w:i w:val="0"/>
                <w:iCs w:val="0"/>
                <w:color w:val="auto"/>
                <w:spacing w:val="0"/>
                <w:sz w:val="21"/>
                <w:szCs w:val="21"/>
                <w:vertAlign w:val="baseline"/>
                <w:lang w:val="en-US" w:eastAsia="zh-CN"/>
              </w:rPr>
              <w:t>允许，偏差范围：投标人投标产品优于采购要求及使用范围时允许出现偏差；</w:t>
            </w:r>
          </w:p>
        </w:tc>
      </w:tr>
      <w:tr w14:paraId="11F7B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14:paraId="21E542D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2.1</w:t>
            </w:r>
          </w:p>
        </w:tc>
        <w:tc>
          <w:tcPr>
            <w:tcW w:w="2373" w:type="dxa"/>
            <w:vAlign w:val="center"/>
          </w:tcPr>
          <w:p w14:paraId="13DFFE9A">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构成招标文件的其他资料</w:t>
            </w:r>
          </w:p>
        </w:tc>
        <w:tc>
          <w:tcPr>
            <w:tcW w:w="6422" w:type="dxa"/>
            <w:vAlign w:val="center"/>
          </w:tcPr>
          <w:p w14:paraId="270D0D0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招标文件的补充文件、澄清文件</w:t>
            </w:r>
          </w:p>
        </w:tc>
      </w:tr>
      <w:tr w14:paraId="3C6F8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067" w:type="dxa"/>
            <w:vAlign w:val="center"/>
          </w:tcPr>
          <w:p w14:paraId="556D19A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2.2.1</w:t>
            </w:r>
          </w:p>
        </w:tc>
        <w:tc>
          <w:tcPr>
            <w:tcW w:w="2373" w:type="dxa"/>
            <w:vAlign w:val="center"/>
          </w:tcPr>
          <w:p w14:paraId="2CFD58E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投标人要求澄清招标文件</w:t>
            </w:r>
          </w:p>
        </w:tc>
        <w:tc>
          <w:tcPr>
            <w:tcW w:w="6422" w:type="dxa"/>
            <w:vAlign w:val="center"/>
          </w:tcPr>
          <w:p w14:paraId="5E24031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采购人、采购代理机构可以对已发出的磋商文件进行必要的澄或者修改，采购人、采购代理机构应当在提交首次响应文件截止时间至少5日前，以书面形式通知所有获取磋商文件的供应商不足5日的，采购人、采购代理机构应当顺延提交首次响应文截止时间。磋商文件的澄清或修改将以发布澄清或变更公告为准(同招标么告发布网站)，所有投标供应商应关注网站及时查看，采购人不再进行书面或其他形式通知，未看变更或澄清公告并由此导致自一切后果均由投标供应商自负。</w:t>
            </w:r>
          </w:p>
        </w:tc>
      </w:tr>
      <w:tr w14:paraId="16A8F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14:paraId="10CB14C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2.2.2</w:t>
            </w:r>
          </w:p>
        </w:tc>
        <w:tc>
          <w:tcPr>
            <w:tcW w:w="2373" w:type="dxa"/>
            <w:vAlign w:val="center"/>
          </w:tcPr>
          <w:p w14:paraId="7A118604">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招标文件澄清发出的形式</w:t>
            </w:r>
          </w:p>
        </w:tc>
        <w:tc>
          <w:tcPr>
            <w:tcW w:w="6422" w:type="dxa"/>
            <w:vAlign w:val="center"/>
          </w:tcPr>
          <w:p w14:paraId="2A1C34D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电子文件或书面文件</w:t>
            </w:r>
          </w:p>
        </w:tc>
      </w:tr>
      <w:tr w14:paraId="450F8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067" w:type="dxa"/>
            <w:vAlign w:val="center"/>
          </w:tcPr>
          <w:p w14:paraId="4D4458A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2.2.3</w:t>
            </w:r>
          </w:p>
        </w:tc>
        <w:tc>
          <w:tcPr>
            <w:tcW w:w="2373" w:type="dxa"/>
            <w:vAlign w:val="center"/>
          </w:tcPr>
          <w:p w14:paraId="2DBD8F19">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投标人确认收到招标文件澄清</w:t>
            </w:r>
          </w:p>
        </w:tc>
        <w:tc>
          <w:tcPr>
            <w:tcW w:w="6422" w:type="dxa"/>
            <w:vAlign w:val="center"/>
          </w:tcPr>
          <w:p w14:paraId="304F2BF2">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时间：在收到相应澄清文件后 24 小时内</w:t>
            </w:r>
          </w:p>
        </w:tc>
      </w:tr>
      <w:tr w14:paraId="50932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67" w:type="dxa"/>
            <w:vAlign w:val="center"/>
          </w:tcPr>
          <w:p w14:paraId="4DD1F92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2.3.1</w:t>
            </w:r>
          </w:p>
        </w:tc>
        <w:tc>
          <w:tcPr>
            <w:tcW w:w="2373" w:type="dxa"/>
            <w:vAlign w:val="center"/>
          </w:tcPr>
          <w:p w14:paraId="4D0391C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招标文件修改发出的形式</w:t>
            </w:r>
          </w:p>
        </w:tc>
        <w:tc>
          <w:tcPr>
            <w:tcW w:w="6422" w:type="dxa"/>
            <w:vAlign w:val="center"/>
          </w:tcPr>
          <w:p w14:paraId="5A3A1EDE">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电子文件或书面文件</w:t>
            </w:r>
          </w:p>
        </w:tc>
      </w:tr>
      <w:tr w14:paraId="78DBB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067" w:type="dxa"/>
            <w:vAlign w:val="center"/>
          </w:tcPr>
          <w:p w14:paraId="179EDB5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2.3.2</w:t>
            </w:r>
          </w:p>
        </w:tc>
        <w:tc>
          <w:tcPr>
            <w:tcW w:w="2373" w:type="dxa"/>
            <w:vAlign w:val="center"/>
          </w:tcPr>
          <w:p w14:paraId="611CB17E">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投标人确认收到招标文件修改</w:t>
            </w:r>
          </w:p>
        </w:tc>
        <w:tc>
          <w:tcPr>
            <w:tcW w:w="6422" w:type="dxa"/>
            <w:vAlign w:val="center"/>
          </w:tcPr>
          <w:p w14:paraId="20AE723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时间：在收到相应澄清文件后 24 小时内</w:t>
            </w:r>
          </w:p>
        </w:tc>
      </w:tr>
      <w:tr w14:paraId="52262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14:paraId="76D92F4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3.1.1</w:t>
            </w:r>
          </w:p>
        </w:tc>
        <w:tc>
          <w:tcPr>
            <w:tcW w:w="2373" w:type="dxa"/>
            <w:vAlign w:val="center"/>
          </w:tcPr>
          <w:p w14:paraId="508C3CE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构成投标文件的其他资料</w:t>
            </w:r>
          </w:p>
        </w:tc>
        <w:tc>
          <w:tcPr>
            <w:tcW w:w="6422" w:type="dxa"/>
            <w:vAlign w:val="center"/>
          </w:tcPr>
          <w:p w14:paraId="4B3F962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投标文件的补充材料（不得更改投标文件的实质性内容）</w:t>
            </w:r>
          </w:p>
        </w:tc>
      </w:tr>
      <w:tr w14:paraId="41F55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14:paraId="22ED232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3.2.1</w:t>
            </w:r>
          </w:p>
        </w:tc>
        <w:tc>
          <w:tcPr>
            <w:tcW w:w="2373" w:type="dxa"/>
            <w:vAlign w:val="center"/>
          </w:tcPr>
          <w:p w14:paraId="48B3B10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增值税税金的计算方法</w:t>
            </w:r>
          </w:p>
        </w:tc>
        <w:tc>
          <w:tcPr>
            <w:tcW w:w="6422" w:type="dxa"/>
            <w:vAlign w:val="center"/>
          </w:tcPr>
          <w:p w14:paraId="3A5922F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lang w:val="en-US" w:eastAsia="zh-CN"/>
              </w:rPr>
              <w:t>增值税税金按一般计税方法计算，包含在投标报价中</w:t>
            </w:r>
          </w:p>
        </w:tc>
      </w:tr>
      <w:tr w14:paraId="01781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7" w:type="dxa"/>
            <w:vAlign w:val="center"/>
          </w:tcPr>
          <w:p w14:paraId="0C14ADD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3.2.4</w:t>
            </w:r>
          </w:p>
        </w:tc>
        <w:tc>
          <w:tcPr>
            <w:tcW w:w="2373" w:type="dxa"/>
            <w:vAlign w:val="center"/>
          </w:tcPr>
          <w:p w14:paraId="65D28CE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最高投标限价</w:t>
            </w:r>
          </w:p>
        </w:tc>
        <w:tc>
          <w:tcPr>
            <w:tcW w:w="6422" w:type="dxa"/>
            <w:vAlign w:val="center"/>
          </w:tcPr>
          <w:p w14:paraId="64A7DE8C">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无</w:t>
            </w:r>
          </w:p>
          <w:p w14:paraId="6232658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eq \o\ac(</w:instrText>
            </w:r>
            <w:r>
              <w:rPr>
                <w:rFonts w:hint="eastAsia" w:ascii="宋体" w:hAnsi="宋体" w:eastAsia="宋体" w:cs="宋体"/>
                <w:color w:val="auto"/>
                <w:position w:val="-4"/>
                <w:sz w:val="31"/>
                <w:szCs w:val="21"/>
              </w:rPr>
              <w:instrText xml:space="preserve">□</w:instrText>
            </w:r>
            <w:r>
              <w:rPr>
                <w:rFonts w:hint="eastAsia" w:ascii="宋体" w:hAnsi="宋体" w:eastAsia="宋体" w:cs="宋体"/>
                <w:color w:val="auto"/>
                <w:position w:val="0"/>
                <w:sz w:val="21"/>
                <w:szCs w:val="21"/>
              </w:rPr>
              <w:instrText xml:space="preserve">,√)</w:instrTex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lang w:val="en-US" w:eastAsia="zh-CN"/>
              </w:rPr>
              <w:t>有，最高投标限价</w:t>
            </w:r>
          </w:p>
          <w:p w14:paraId="099D065E">
            <w:pPr>
              <w:pStyle w:val="39"/>
              <w:ind w:left="0" w:leftChars="0" w:firstLine="0" w:firstLineChars="0"/>
              <w:rPr>
                <w:rFonts w:hint="eastAsia"/>
                <w:lang w:val="en-US" w:eastAsia="zh-CN"/>
              </w:rPr>
            </w:pPr>
            <w:r>
              <w:rPr>
                <w:rFonts w:hint="eastAsia" w:ascii="宋体" w:hAnsi="宋体" w:eastAsia="宋体" w:cs="宋体"/>
                <w:b/>
                <w:bCs/>
                <w:color w:val="auto"/>
                <w:spacing w:val="0"/>
                <w:sz w:val="21"/>
                <w:szCs w:val="21"/>
                <w:vertAlign w:val="baseline"/>
                <w:lang w:val="en-US" w:eastAsia="zh-CN"/>
              </w:rPr>
              <w:t>最高投标限价：</w:t>
            </w:r>
            <w:r>
              <w:rPr>
                <w:rFonts w:hint="eastAsia" w:ascii="宋体" w:hAnsi="宋体" w:eastAsia="宋体" w:cs="宋体"/>
                <w:b/>
                <w:bCs/>
                <w:color w:val="auto"/>
                <w:spacing w:val="0"/>
                <w:sz w:val="21"/>
                <w:szCs w:val="21"/>
                <w:u w:val="single"/>
                <w:vertAlign w:val="baseline"/>
                <w:lang w:val="en-US" w:eastAsia="zh-CN"/>
              </w:rPr>
              <w:t>800000.00元（捌拾万元整）</w:t>
            </w:r>
          </w:p>
        </w:tc>
      </w:tr>
      <w:tr w14:paraId="5CD81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14:paraId="394291D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3.2.5</w:t>
            </w:r>
          </w:p>
        </w:tc>
        <w:tc>
          <w:tcPr>
            <w:tcW w:w="2373" w:type="dxa"/>
            <w:shd w:val="clear" w:color="auto" w:fill="auto"/>
            <w:vAlign w:val="center"/>
          </w:tcPr>
          <w:p w14:paraId="3C4F5EF9">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kern w:val="0"/>
                <w:sz w:val="21"/>
                <w:szCs w:val="21"/>
                <w:vertAlign w:val="baseline"/>
                <w:lang w:val="en-US" w:eastAsia="zh-CN" w:bidi="ar-SA"/>
              </w:rPr>
            </w:pPr>
            <w:r>
              <w:rPr>
                <w:rFonts w:hint="eastAsia" w:ascii="宋体" w:hAnsi="宋体" w:eastAsia="宋体" w:cs="宋体"/>
                <w:b w:val="0"/>
                <w:bCs w:val="0"/>
                <w:i w:val="0"/>
                <w:iCs w:val="0"/>
                <w:color w:val="auto"/>
                <w:spacing w:val="0"/>
                <w:sz w:val="21"/>
                <w:szCs w:val="21"/>
                <w:vertAlign w:val="baseline"/>
                <w:lang w:val="en-US" w:eastAsia="zh-CN"/>
              </w:rPr>
              <w:t>投标报价的范围</w:t>
            </w:r>
          </w:p>
        </w:tc>
        <w:tc>
          <w:tcPr>
            <w:tcW w:w="6422" w:type="dxa"/>
            <w:shd w:val="clear" w:color="auto" w:fill="auto"/>
            <w:vAlign w:val="center"/>
          </w:tcPr>
          <w:p w14:paraId="7A632C0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 xml:space="preserve">1.本项目采购响应应以人民币报价； </w:t>
            </w:r>
          </w:p>
          <w:p w14:paraId="16D43C8E">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 xml:space="preserve">2.响应报价：最终的报价（含税全包价）； </w:t>
            </w:r>
          </w:p>
          <w:p w14:paraId="281A2BCE">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 xml:space="preserve">3.报价是成交的一个重要因素，但不是成交的唯一依据； </w:t>
            </w:r>
          </w:p>
          <w:p w14:paraId="7CC4F75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宋体" w:hAnsi="宋体" w:eastAsia="宋体" w:cs="宋体"/>
                <w:b w:val="0"/>
                <w:bCs w:val="0"/>
                <w:i w:val="0"/>
                <w:iCs w:val="0"/>
                <w:color w:val="auto"/>
                <w:spacing w:val="0"/>
                <w:kern w:val="0"/>
                <w:sz w:val="21"/>
                <w:szCs w:val="21"/>
                <w:vertAlign w:val="baseline"/>
                <w:lang w:val="en-US" w:eastAsia="zh-CN" w:bidi="ar-SA"/>
              </w:rPr>
            </w:pPr>
            <w:r>
              <w:rPr>
                <w:rFonts w:hint="eastAsia" w:ascii="宋体" w:hAnsi="宋体" w:eastAsia="宋体" w:cs="宋体"/>
                <w:b w:val="0"/>
                <w:bCs w:val="0"/>
                <w:i w:val="0"/>
                <w:iCs w:val="0"/>
                <w:color w:val="auto"/>
                <w:spacing w:val="0"/>
                <w:sz w:val="21"/>
                <w:szCs w:val="21"/>
                <w:vertAlign w:val="baseline"/>
                <w:lang w:val="en-US" w:eastAsia="zh-CN"/>
              </w:rPr>
              <w:t>4.不论采购响应结果如何，供应商均应自行承担所有与采购响应有关的全部费用。</w:t>
            </w:r>
          </w:p>
        </w:tc>
      </w:tr>
      <w:tr w14:paraId="6B58A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14:paraId="5AB47D7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default"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3.2.6</w:t>
            </w:r>
          </w:p>
        </w:tc>
        <w:tc>
          <w:tcPr>
            <w:tcW w:w="2373" w:type="dxa"/>
            <w:shd w:val="clear" w:color="auto" w:fill="auto"/>
            <w:vAlign w:val="center"/>
          </w:tcPr>
          <w:p w14:paraId="547C3F4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kern w:val="0"/>
                <w:sz w:val="21"/>
                <w:szCs w:val="21"/>
                <w:vertAlign w:val="baseline"/>
                <w:lang w:val="en-US" w:eastAsia="zh-CN" w:bidi="ar-SA"/>
              </w:rPr>
            </w:pPr>
            <w:r>
              <w:rPr>
                <w:rFonts w:hint="eastAsia" w:ascii="宋体" w:hAnsi="宋体" w:eastAsia="宋体" w:cs="宋体"/>
                <w:b w:val="0"/>
                <w:bCs w:val="0"/>
                <w:i w:val="0"/>
                <w:iCs w:val="0"/>
                <w:color w:val="auto"/>
                <w:spacing w:val="0"/>
                <w:sz w:val="21"/>
                <w:szCs w:val="21"/>
                <w:vertAlign w:val="baseline"/>
                <w:lang w:val="en-US" w:eastAsia="zh-CN"/>
              </w:rPr>
              <w:t>响应报价的次数</w:t>
            </w:r>
          </w:p>
        </w:tc>
        <w:tc>
          <w:tcPr>
            <w:tcW w:w="6422" w:type="dxa"/>
            <w:shd w:val="clear" w:color="auto" w:fill="auto"/>
            <w:vAlign w:val="center"/>
          </w:tcPr>
          <w:p w14:paraId="621A2F5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 xml:space="preserve">本次响应报价实行两轮报价，原则上第二轮报价为最终报价。 </w:t>
            </w:r>
          </w:p>
          <w:p w14:paraId="0B556702">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kern w:val="0"/>
                <w:sz w:val="21"/>
                <w:szCs w:val="21"/>
                <w:vertAlign w:val="baseline"/>
                <w:lang w:val="en-US" w:eastAsia="zh-CN" w:bidi="ar-SA"/>
              </w:rPr>
            </w:pPr>
            <w:r>
              <w:rPr>
                <w:rFonts w:hint="eastAsia" w:ascii="宋体" w:hAnsi="宋体" w:eastAsia="宋体" w:cs="宋体"/>
                <w:b w:val="0"/>
                <w:bCs w:val="0"/>
                <w:i w:val="0"/>
                <w:iCs w:val="0"/>
                <w:color w:val="auto"/>
                <w:spacing w:val="0"/>
                <w:sz w:val="21"/>
                <w:szCs w:val="21"/>
                <w:vertAlign w:val="baseline"/>
                <w:lang w:val="en-US" w:eastAsia="zh-CN"/>
              </w:rPr>
              <w:t>超过二轮报价的由磋商小组现场集体决定是否继续报价，否则磋商小组有权据此确定为无效报价，参与磋商的供应商少于三家的予以废标（除法定情形外）</w:t>
            </w:r>
          </w:p>
        </w:tc>
      </w:tr>
      <w:tr w14:paraId="49705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14:paraId="004F23E2">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3.3.1</w:t>
            </w:r>
          </w:p>
        </w:tc>
        <w:tc>
          <w:tcPr>
            <w:tcW w:w="2373" w:type="dxa"/>
            <w:vAlign w:val="center"/>
          </w:tcPr>
          <w:p w14:paraId="3908D92C">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投标有效期</w:t>
            </w:r>
          </w:p>
        </w:tc>
        <w:tc>
          <w:tcPr>
            <w:tcW w:w="6422" w:type="dxa"/>
            <w:vAlign w:val="center"/>
          </w:tcPr>
          <w:p w14:paraId="4BBC1C8A">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90日历天</w:t>
            </w:r>
          </w:p>
        </w:tc>
      </w:tr>
      <w:tr w14:paraId="1AF10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67" w:type="dxa"/>
            <w:vAlign w:val="center"/>
          </w:tcPr>
          <w:p w14:paraId="25DFE6C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3.4.1</w:t>
            </w:r>
          </w:p>
        </w:tc>
        <w:tc>
          <w:tcPr>
            <w:tcW w:w="2373" w:type="dxa"/>
            <w:vAlign w:val="center"/>
          </w:tcPr>
          <w:p w14:paraId="6C831A11">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投标保证金</w:t>
            </w:r>
          </w:p>
        </w:tc>
        <w:tc>
          <w:tcPr>
            <w:tcW w:w="6422" w:type="dxa"/>
            <w:vAlign w:val="center"/>
          </w:tcPr>
          <w:p w14:paraId="1CCA682A">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本项目不作要求</w:t>
            </w:r>
          </w:p>
        </w:tc>
      </w:tr>
      <w:tr w14:paraId="1BD83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67" w:type="dxa"/>
            <w:vAlign w:val="center"/>
          </w:tcPr>
          <w:p w14:paraId="6A07D91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3.5</w:t>
            </w:r>
          </w:p>
        </w:tc>
        <w:tc>
          <w:tcPr>
            <w:tcW w:w="2373" w:type="dxa"/>
            <w:vAlign w:val="center"/>
          </w:tcPr>
          <w:p w14:paraId="487DD34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资格审查资料的特殊要求</w:t>
            </w:r>
          </w:p>
        </w:tc>
        <w:tc>
          <w:tcPr>
            <w:tcW w:w="6422" w:type="dxa"/>
            <w:vAlign w:val="center"/>
          </w:tcPr>
          <w:p w14:paraId="4A07CD0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i w:val="0"/>
                <w:iCs w:val="0"/>
                <w:color w:val="auto"/>
                <w:spacing w:val="0"/>
                <w:sz w:val="21"/>
                <w:szCs w:val="21"/>
                <w:vertAlign w:val="baseline"/>
                <w:lang w:val="en-US" w:eastAsia="zh-CN"/>
              </w:rPr>
            </w:pPr>
            <w:r>
              <w:rPr>
                <w:rFonts w:hint="eastAsia" w:ascii="宋体" w:hAnsi="宋体" w:eastAsia="宋体" w:cs="宋体"/>
                <w:i w:val="0"/>
                <w:iCs w:val="0"/>
                <w:color w:val="auto"/>
                <w:spacing w:val="0"/>
                <w:sz w:val="21"/>
                <w:szCs w:val="21"/>
                <w:vertAlign w:val="baseline"/>
                <w:lang w:eastAsia="zh-CN"/>
              </w:rPr>
              <w:t>□</w:t>
            </w:r>
            <w:r>
              <w:rPr>
                <w:rFonts w:hint="eastAsia" w:ascii="宋体" w:hAnsi="宋体" w:eastAsia="宋体" w:cs="宋体"/>
                <w:i w:val="0"/>
                <w:iCs w:val="0"/>
                <w:color w:val="auto"/>
                <w:spacing w:val="0"/>
                <w:sz w:val="21"/>
                <w:szCs w:val="21"/>
                <w:vertAlign w:val="baseline"/>
                <w:lang w:val="en-US" w:eastAsia="zh-CN"/>
              </w:rPr>
              <w:t>无</w:t>
            </w:r>
          </w:p>
          <w:p w14:paraId="3281D90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i w:val="0"/>
                <w:iCs w:val="0"/>
                <w:color w:val="auto"/>
                <w:spacing w:val="0"/>
                <w:sz w:val="21"/>
                <w:szCs w:val="21"/>
                <w:vertAlign w:val="baseline"/>
                <w:lang w:val="en-US" w:eastAsia="zh-CN"/>
              </w:rPr>
            </w:pPr>
            <w:r>
              <w:rPr>
                <w:rFonts w:hint="eastAsia" w:ascii="宋体" w:hAnsi="宋体" w:eastAsia="宋体" w:cs="宋体"/>
                <w:i w:val="0"/>
                <w:iCs w:val="0"/>
                <w:color w:val="auto"/>
                <w:sz w:val="21"/>
                <w:szCs w:val="21"/>
              </w:rPr>
              <w:fldChar w:fldCharType="begin"/>
            </w:r>
            <w:r>
              <w:rPr>
                <w:rFonts w:hint="eastAsia" w:ascii="宋体" w:hAnsi="宋体" w:eastAsia="宋体" w:cs="宋体"/>
                <w:i w:val="0"/>
                <w:iCs w:val="0"/>
                <w:color w:val="auto"/>
                <w:sz w:val="21"/>
                <w:szCs w:val="21"/>
              </w:rPr>
              <w:instrText xml:space="preserve"> eq \o\ac(</w:instrText>
            </w:r>
            <w:r>
              <w:rPr>
                <w:rFonts w:hint="eastAsia" w:ascii="宋体" w:hAnsi="宋体" w:eastAsia="宋体" w:cs="宋体"/>
                <w:i w:val="0"/>
                <w:iCs w:val="0"/>
                <w:color w:val="auto"/>
                <w:position w:val="-4"/>
                <w:sz w:val="31"/>
                <w:szCs w:val="21"/>
              </w:rPr>
              <w:instrText xml:space="preserve">□</w:instrText>
            </w:r>
            <w:r>
              <w:rPr>
                <w:rFonts w:hint="eastAsia" w:ascii="宋体" w:hAnsi="宋体" w:eastAsia="宋体" w:cs="宋体"/>
                <w:i w:val="0"/>
                <w:iCs w:val="0"/>
                <w:color w:val="auto"/>
                <w:position w:val="0"/>
                <w:sz w:val="21"/>
                <w:szCs w:val="21"/>
              </w:rPr>
              <w:instrText xml:space="preserve">,√)</w:instrText>
            </w:r>
            <w:r>
              <w:rPr>
                <w:rFonts w:hint="eastAsia" w:ascii="宋体" w:hAnsi="宋体" w:eastAsia="宋体" w:cs="宋体"/>
                <w:i w:val="0"/>
                <w:iCs w:val="0"/>
                <w:color w:val="auto"/>
                <w:sz w:val="21"/>
                <w:szCs w:val="21"/>
              </w:rPr>
              <w:fldChar w:fldCharType="end"/>
            </w:r>
            <w:r>
              <w:rPr>
                <w:rFonts w:hint="eastAsia" w:ascii="宋体" w:hAnsi="宋体" w:eastAsia="宋体" w:cs="宋体"/>
                <w:i w:val="0"/>
                <w:iCs w:val="0"/>
                <w:color w:val="auto"/>
                <w:spacing w:val="0"/>
                <w:sz w:val="21"/>
                <w:szCs w:val="21"/>
                <w:vertAlign w:val="baseline"/>
                <w:lang w:val="en-US" w:eastAsia="zh-CN"/>
              </w:rPr>
              <w:t xml:space="preserve">有 </w:t>
            </w:r>
            <w:r>
              <w:rPr>
                <w:rFonts w:hint="eastAsia" w:ascii="宋体" w:hAnsi="宋体" w:eastAsia="宋体" w:cs="宋体"/>
                <w:b/>
                <w:bCs/>
                <w:i w:val="0"/>
                <w:iCs w:val="0"/>
                <w:color w:val="auto"/>
                <w:spacing w:val="0"/>
                <w:sz w:val="21"/>
                <w:szCs w:val="21"/>
                <w:vertAlign w:val="baseline"/>
                <w:lang w:val="en-US" w:eastAsia="zh-CN"/>
              </w:rPr>
              <w:t>投标人制作电子版投标文件时须保证投标文件中的资料、图片为原件扫描件，须严谨、清晰、完整，如因此原因出现废标、扣分等情况，各投标人自行负责</w:t>
            </w:r>
            <w:r>
              <w:rPr>
                <w:rFonts w:hint="eastAsia" w:ascii="宋体" w:hAnsi="宋体" w:eastAsia="宋体" w:cs="宋体"/>
                <w:i w:val="0"/>
                <w:iCs w:val="0"/>
                <w:color w:val="auto"/>
                <w:spacing w:val="0"/>
                <w:sz w:val="21"/>
                <w:szCs w:val="21"/>
                <w:vertAlign w:val="baseline"/>
                <w:lang w:val="en-US" w:eastAsia="zh-CN"/>
              </w:rPr>
              <w:t>。</w:t>
            </w:r>
          </w:p>
        </w:tc>
      </w:tr>
      <w:tr w14:paraId="205D4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14:paraId="61C7ACA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3.5.2</w:t>
            </w:r>
          </w:p>
        </w:tc>
        <w:tc>
          <w:tcPr>
            <w:tcW w:w="2373" w:type="dxa"/>
            <w:vAlign w:val="center"/>
          </w:tcPr>
          <w:p w14:paraId="1F4BBF71">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近年财务状况的年份要求</w:t>
            </w:r>
          </w:p>
        </w:tc>
        <w:tc>
          <w:tcPr>
            <w:tcW w:w="6422" w:type="dxa"/>
            <w:vAlign w:val="center"/>
          </w:tcPr>
          <w:p w14:paraId="40AE5B7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近一年（2024年度）由第三方财务审计机构出具的财务审计报告或合法的财务报表；企业成立不足一年的，需提供企业成立以来的。</w:t>
            </w:r>
          </w:p>
        </w:tc>
      </w:tr>
      <w:tr w14:paraId="30395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67" w:type="dxa"/>
            <w:vAlign w:val="center"/>
          </w:tcPr>
          <w:p w14:paraId="3304349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3.5.3</w:t>
            </w:r>
          </w:p>
        </w:tc>
        <w:tc>
          <w:tcPr>
            <w:tcW w:w="2373" w:type="dxa"/>
            <w:vAlign w:val="center"/>
          </w:tcPr>
          <w:p w14:paraId="4012AED2">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近年完成的类似项目情况的时间要求</w:t>
            </w:r>
          </w:p>
        </w:tc>
        <w:tc>
          <w:tcPr>
            <w:tcW w:w="6422" w:type="dxa"/>
            <w:vAlign w:val="center"/>
          </w:tcPr>
          <w:p w14:paraId="1C2265D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近三年（2022年至今）业绩中标通知书或合同原件扫描件</w:t>
            </w:r>
          </w:p>
        </w:tc>
      </w:tr>
      <w:tr w14:paraId="6D564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067" w:type="dxa"/>
            <w:vAlign w:val="center"/>
          </w:tcPr>
          <w:p w14:paraId="4CDA176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3.5.5</w:t>
            </w:r>
          </w:p>
        </w:tc>
        <w:tc>
          <w:tcPr>
            <w:tcW w:w="2373" w:type="dxa"/>
            <w:vAlign w:val="center"/>
          </w:tcPr>
          <w:p w14:paraId="34DEB44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企业信誉要求（无不良行为记录）</w:t>
            </w:r>
          </w:p>
        </w:tc>
        <w:tc>
          <w:tcPr>
            <w:tcW w:w="6422" w:type="dxa"/>
            <w:vAlign w:val="center"/>
          </w:tcPr>
          <w:p w14:paraId="05FCCBCA">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凡拟参加本次招标项目的投标单位，自公告发布之日起至投标文件递交截止时间止（该时间段内任一时间）。查询渠道为：“信用中国”网站（www.creditchina.gov.cn）被列入失信被执行人、重大税收违法案件当事人名单、政府采购严重违法失信名单的（尚在处罚期内的）、中国政府采购网（www.ccgp.gov.cn）被列入政府采购严重违法失信行为记录名单（尚在处罚期内的）及其他不符合《中华人民共和国政府采购法》第二十二条规定条件的供应商，其投标文件将被拒绝；</w:t>
            </w:r>
          </w:p>
        </w:tc>
      </w:tr>
      <w:tr w14:paraId="7482C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67" w:type="dxa"/>
            <w:vAlign w:val="center"/>
          </w:tcPr>
          <w:p w14:paraId="19E137B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3.6.1</w:t>
            </w:r>
          </w:p>
        </w:tc>
        <w:tc>
          <w:tcPr>
            <w:tcW w:w="2373" w:type="dxa"/>
            <w:vAlign w:val="center"/>
          </w:tcPr>
          <w:p w14:paraId="1F6B996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是否</w:t>
            </w:r>
            <w:r>
              <w:rPr>
                <w:rFonts w:hint="eastAsia" w:ascii="宋体" w:hAnsi="宋体" w:eastAsia="宋体" w:cs="宋体"/>
                <w:i w:val="0"/>
                <w:iCs w:val="0"/>
                <w:color w:val="auto"/>
                <w:spacing w:val="0"/>
                <w:sz w:val="21"/>
                <w:szCs w:val="21"/>
                <w:lang w:val="en-US" w:eastAsia="zh-CN"/>
              </w:rPr>
              <w:t>允许递交备选投标方案</w:t>
            </w:r>
          </w:p>
        </w:tc>
        <w:tc>
          <w:tcPr>
            <w:tcW w:w="6422" w:type="dxa"/>
            <w:vAlign w:val="center"/>
          </w:tcPr>
          <w:p w14:paraId="63E369F1">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i w:val="0"/>
                <w:iCs w:val="0"/>
                <w:color w:val="auto"/>
                <w:spacing w:val="0"/>
                <w:sz w:val="21"/>
                <w:szCs w:val="21"/>
                <w:lang w:val="en-US" w:eastAsia="zh-CN"/>
              </w:rPr>
            </w:pPr>
            <w:r>
              <w:rPr>
                <w:rFonts w:hint="eastAsia" w:ascii="宋体" w:hAnsi="宋体" w:eastAsia="宋体" w:cs="宋体"/>
                <w:i w:val="0"/>
                <w:iCs w:val="0"/>
                <w:color w:val="auto"/>
                <w:spacing w:val="0"/>
                <w:sz w:val="21"/>
                <w:szCs w:val="21"/>
                <w:vertAlign w:val="baseline"/>
                <w:lang w:eastAsia="zh-CN"/>
              </w:rPr>
              <w:t>□</w:t>
            </w:r>
            <w:r>
              <w:rPr>
                <w:rFonts w:hint="eastAsia" w:ascii="宋体" w:hAnsi="宋体" w:eastAsia="宋体" w:cs="宋体"/>
                <w:i w:val="0"/>
                <w:iCs w:val="0"/>
                <w:color w:val="auto"/>
                <w:spacing w:val="0"/>
                <w:sz w:val="21"/>
                <w:szCs w:val="21"/>
                <w:lang w:val="en-US" w:eastAsia="zh-CN"/>
              </w:rPr>
              <w:t>允许</w:t>
            </w:r>
          </w:p>
          <w:p w14:paraId="194A9F5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i w:val="0"/>
                <w:iCs w:val="0"/>
                <w:color w:val="auto"/>
                <w:spacing w:val="0"/>
                <w:sz w:val="21"/>
                <w:szCs w:val="21"/>
                <w:lang w:val="en-US" w:eastAsia="zh-CN"/>
              </w:rPr>
            </w:pPr>
            <w:r>
              <w:rPr>
                <w:rFonts w:hint="eastAsia" w:ascii="宋体" w:hAnsi="宋体" w:eastAsia="宋体" w:cs="宋体"/>
                <w:i w:val="0"/>
                <w:iCs w:val="0"/>
                <w:color w:val="auto"/>
                <w:sz w:val="21"/>
                <w:szCs w:val="21"/>
              </w:rPr>
              <w:fldChar w:fldCharType="begin"/>
            </w:r>
            <w:r>
              <w:rPr>
                <w:rFonts w:hint="eastAsia" w:ascii="宋体" w:hAnsi="宋体" w:eastAsia="宋体" w:cs="宋体"/>
                <w:i w:val="0"/>
                <w:iCs w:val="0"/>
                <w:color w:val="auto"/>
                <w:sz w:val="21"/>
                <w:szCs w:val="21"/>
              </w:rPr>
              <w:instrText xml:space="preserve"> eq \o\ac(</w:instrText>
            </w:r>
            <w:r>
              <w:rPr>
                <w:rFonts w:hint="eastAsia" w:ascii="宋体" w:hAnsi="宋体" w:eastAsia="宋体" w:cs="宋体"/>
                <w:i w:val="0"/>
                <w:iCs w:val="0"/>
                <w:color w:val="auto"/>
                <w:position w:val="-4"/>
                <w:sz w:val="31"/>
                <w:szCs w:val="21"/>
              </w:rPr>
              <w:instrText xml:space="preserve">□</w:instrText>
            </w:r>
            <w:r>
              <w:rPr>
                <w:rFonts w:hint="eastAsia" w:ascii="宋体" w:hAnsi="宋体" w:eastAsia="宋体" w:cs="宋体"/>
                <w:i w:val="0"/>
                <w:iCs w:val="0"/>
                <w:color w:val="auto"/>
                <w:position w:val="0"/>
                <w:sz w:val="21"/>
                <w:szCs w:val="21"/>
              </w:rPr>
              <w:instrText xml:space="preserve">,√)</w:instrText>
            </w:r>
            <w:r>
              <w:rPr>
                <w:rFonts w:hint="eastAsia" w:ascii="宋体" w:hAnsi="宋体" w:eastAsia="宋体" w:cs="宋体"/>
                <w:i w:val="0"/>
                <w:iCs w:val="0"/>
                <w:color w:val="auto"/>
                <w:sz w:val="21"/>
                <w:szCs w:val="21"/>
              </w:rPr>
              <w:fldChar w:fldCharType="end"/>
            </w:r>
            <w:r>
              <w:rPr>
                <w:rFonts w:hint="eastAsia" w:ascii="宋体" w:hAnsi="宋体" w:eastAsia="宋体" w:cs="宋体"/>
                <w:i w:val="0"/>
                <w:iCs w:val="0"/>
                <w:color w:val="auto"/>
                <w:spacing w:val="0"/>
                <w:sz w:val="21"/>
                <w:szCs w:val="21"/>
                <w:vertAlign w:val="baseline"/>
                <w:lang w:val="en-US" w:eastAsia="zh-CN"/>
              </w:rPr>
              <w:t>不</w:t>
            </w:r>
            <w:r>
              <w:rPr>
                <w:rFonts w:hint="eastAsia" w:ascii="宋体" w:hAnsi="宋体" w:eastAsia="宋体" w:cs="宋体"/>
                <w:i w:val="0"/>
                <w:iCs w:val="0"/>
                <w:color w:val="auto"/>
                <w:spacing w:val="0"/>
                <w:sz w:val="21"/>
                <w:szCs w:val="21"/>
                <w:lang w:val="en-US" w:eastAsia="zh-CN"/>
              </w:rPr>
              <w:t>允许</w:t>
            </w:r>
          </w:p>
        </w:tc>
      </w:tr>
      <w:tr w14:paraId="610D1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067" w:type="dxa"/>
            <w:vAlign w:val="center"/>
          </w:tcPr>
          <w:p w14:paraId="593A499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3.7.3（2）</w:t>
            </w:r>
          </w:p>
        </w:tc>
        <w:tc>
          <w:tcPr>
            <w:tcW w:w="2373" w:type="dxa"/>
            <w:vAlign w:val="center"/>
          </w:tcPr>
          <w:p w14:paraId="77DEEFBE">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投标文件副本份数及其他要求</w:t>
            </w:r>
          </w:p>
        </w:tc>
        <w:tc>
          <w:tcPr>
            <w:tcW w:w="6422" w:type="dxa"/>
            <w:vAlign w:val="center"/>
          </w:tcPr>
          <w:p w14:paraId="0A4464D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本项目拟采用政采云不见面开标系统进行开评标，不对纸质版文件进行要求；</w:t>
            </w:r>
          </w:p>
          <w:p w14:paraId="546521F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开评标结束后所有参加本项目的投标单位应在2日内将纸质版投标文件（一正三副）递交至新疆天跃中达项目管理有限责任公司 ；</w:t>
            </w:r>
          </w:p>
          <w:p w14:paraId="493E3B6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联系人：陈明芳、联系电话：0997-7888767</w:t>
            </w:r>
          </w:p>
        </w:tc>
      </w:tr>
      <w:tr w14:paraId="05B57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67" w:type="dxa"/>
            <w:vAlign w:val="center"/>
          </w:tcPr>
          <w:p w14:paraId="5883DD3E">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3.7.3（3）</w:t>
            </w:r>
          </w:p>
        </w:tc>
        <w:tc>
          <w:tcPr>
            <w:tcW w:w="2373" w:type="dxa"/>
            <w:vAlign w:val="center"/>
          </w:tcPr>
          <w:p w14:paraId="5CA8199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投标文件是否需分册装订</w:t>
            </w:r>
          </w:p>
        </w:tc>
        <w:tc>
          <w:tcPr>
            <w:tcW w:w="6422" w:type="dxa"/>
            <w:vAlign w:val="center"/>
          </w:tcPr>
          <w:p w14:paraId="00AA9CA9">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w:t>
            </w:r>
          </w:p>
        </w:tc>
      </w:tr>
      <w:tr w14:paraId="37307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67" w:type="dxa"/>
            <w:vAlign w:val="center"/>
          </w:tcPr>
          <w:p w14:paraId="4323375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3.7.4</w:t>
            </w:r>
          </w:p>
        </w:tc>
        <w:tc>
          <w:tcPr>
            <w:tcW w:w="2373" w:type="dxa"/>
            <w:vAlign w:val="center"/>
          </w:tcPr>
          <w:p w14:paraId="548A45A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投标文件签字或盖章要求</w:t>
            </w:r>
          </w:p>
        </w:tc>
        <w:tc>
          <w:tcPr>
            <w:tcW w:w="6422" w:type="dxa"/>
            <w:vAlign w:val="center"/>
          </w:tcPr>
          <w:p w14:paraId="5C4F6469">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i w:val="0"/>
                <w:iCs w:val="0"/>
                <w:color w:val="auto"/>
                <w:spacing w:val="0"/>
                <w:sz w:val="21"/>
                <w:szCs w:val="21"/>
                <w:vertAlign w:val="baseline"/>
                <w:lang w:val="en-US" w:eastAsia="zh-CN"/>
              </w:rPr>
            </w:pPr>
            <w:r>
              <w:rPr>
                <w:rFonts w:hint="eastAsia" w:ascii="宋体" w:hAnsi="宋体" w:eastAsia="宋体" w:cs="宋体"/>
                <w:i w:val="0"/>
                <w:iCs w:val="0"/>
                <w:color w:val="auto"/>
                <w:spacing w:val="0"/>
                <w:sz w:val="21"/>
                <w:szCs w:val="21"/>
                <w:vertAlign w:val="baseline"/>
                <w:lang w:val="en-US" w:eastAsia="zh-CN"/>
              </w:rPr>
              <w:t>企业公章</w:t>
            </w:r>
          </w:p>
          <w:p w14:paraId="4E591D8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pacing w:val="0"/>
                <w:sz w:val="21"/>
                <w:szCs w:val="21"/>
                <w:vertAlign w:val="baseline"/>
                <w:lang w:val="en-US" w:eastAsia="zh-CN"/>
              </w:rPr>
              <w:t>企业法定代表人签字及授权委托人签字</w:t>
            </w:r>
            <w:r>
              <w:rPr>
                <w:rFonts w:hint="eastAsia" w:ascii="宋体" w:hAnsi="宋体" w:eastAsia="宋体" w:cs="宋体"/>
                <w:i w:val="0"/>
                <w:iCs w:val="0"/>
                <w:color w:val="auto"/>
                <w:spacing w:val="0"/>
                <w:sz w:val="21"/>
                <w:szCs w:val="21"/>
                <w:vertAlign w:val="baseline"/>
                <w:lang w:val="en-US" w:eastAsia="zh-CN"/>
              </w:rPr>
              <w:br w:type="textWrapping"/>
            </w:r>
            <w:r>
              <w:rPr>
                <w:rFonts w:hint="eastAsia" w:ascii="宋体" w:hAnsi="宋体" w:eastAsia="宋体" w:cs="宋体"/>
                <w:i w:val="0"/>
                <w:iCs w:val="0"/>
                <w:color w:val="auto"/>
                <w:spacing w:val="0"/>
                <w:sz w:val="21"/>
                <w:szCs w:val="21"/>
                <w:vertAlign w:val="baseline"/>
                <w:lang w:val="en-US" w:eastAsia="zh-CN"/>
              </w:rPr>
              <w:t>应由法人代表或法人授权代表在凡规定签章处逐一签署及加盖单位公章。</w:t>
            </w:r>
          </w:p>
        </w:tc>
      </w:tr>
      <w:tr w14:paraId="02079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14:paraId="519DF33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4.1.1</w:t>
            </w:r>
          </w:p>
        </w:tc>
        <w:tc>
          <w:tcPr>
            <w:tcW w:w="2373" w:type="dxa"/>
            <w:vAlign w:val="center"/>
          </w:tcPr>
          <w:p w14:paraId="6BA9B464">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投标文件密封要求</w:t>
            </w:r>
          </w:p>
        </w:tc>
        <w:tc>
          <w:tcPr>
            <w:tcW w:w="6422" w:type="dxa"/>
            <w:vAlign w:val="center"/>
          </w:tcPr>
          <w:p w14:paraId="553B3804">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本项目拟采用政采云不见面开标系统进行开评标，投标人制作电子投标文件时须进行加密。</w:t>
            </w:r>
          </w:p>
        </w:tc>
      </w:tr>
      <w:tr w14:paraId="23D57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067" w:type="dxa"/>
            <w:vAlign w:val="center"/>
          </w:tcPr>
          <w:p w14:paraId="3E1ED31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4.1.2</w:t>
            </w:r>
          </w:p>
        </w:tc>
        <w:tc>
          <w:tcPr>
            <w:tcW w:w="2373" w:type="dxa"/>
            <w:vAlign w:val="center"/>
          </w:tcPr>
          <w:p w14:paraId="12DED72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封套上应载明的信息</w:t>
            </w:r>
          </w:p>
        </w:tc>
        <w:tc>
          <w:tcPr>
            <w:tcW w:w="6422" w:type="dxa"/>
            <w:vAlign w:val="center"/>
          </w:tcPr>
          <w:p w14:paraId="7A653731">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w:t>
            </w:r>
          </w:p>
        </w:tc>
      </w:tr>
      <w:tr w14:paraId="0AA78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67" w:type="dxa"/>
            <w:vAlign w:val="center"/>
          </w:tcPr>
          <w:p w14:paraId="4253BDA2">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4.2.1</w:t>
            </w:r>
          </w:p>
        </w:tc>
        <w:tc>
          <w:tcPr>
            <w:tcW w:w="2373" w:type="dxa"/>
            <w:vAlign w:val="center"/>
          </w:tcPr>
          <w:p w14:paraId="23814F8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bCs/>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投标截止时间</w:t>
            </w:r>
          </w:p>
        </w:tc>
        <w:tc>
          <w:tcPr>
            <w:tcW w:w="6422" w:type="dxa"/>
            <w:vAlign w:val="center"/>
          </w:tcPr>
          <w:p w14:paraId="37275DFA">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bCs/>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2025年07月28日上午10：30（北京时间）</w:t>
            </w:r>
          </w:p>
        </w:tc>
      </w:tr>
      <w:tr w14:paraId="482D5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67" w:type="dxa"/>
            <w:vAlign w:val="center"/>
          </w:tcPr>
          <w:p w14:paraId="5DBCBD9E">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4.2.2</w:t>
            </w:r>
          </w:p>
        </w:tc>
        <w:tc>
          <w:tcPr>
            <w:tcW w:w="2373" w:type="dxa"/>
            <w:vAlign w:val="center"/>
          </w:tcPr>
          <w:p w14:paraId="0CE10F1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递交投标文件地点</w:t>
            </w:r>
          </w:p>
        </w:tc>
        <w:tc>
          <w:tcPr>
            <w:tcW w:w="6422" w:type="dxa"/>
            <w:vAlign w:val="center"/>
          </w:tcPr>
          <w:p w14:paraId="70B0111C">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新疆政府采购网政采云不见面开标系统</w:t>
            </w:r>
          </w:p>
        </w:tc>
      </w:tr>
      <w:tr w14:paraId="7A2DB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67" w:type="dxa"/>
            <w:vAlign w:val="center"/>
          </w:tcPr>
          <w:p w14:paraId="02A4867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4.2.3</w:t>
            </w:r>
          </w:p>
        </w:tc>
        <w:tc>
          <w:tcPr>
            <w:tcW w:w="2373" w:type="dxa"/>
            <w:vAlign w:val="center"/>
          </w:tcPr>
          <w:p w14:paraId="73784E54">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投标文件是否退还</w:t>
            </w:r>
          </w:p>
        </w:tc>
        <w:tc>
          <w:tcPr>
            <w:tcW w:w="6422" w:type="dxa"/>
            <w:vAlign w:val="center"/>
          </w:tcPr>
          <w:p w14:paraId="20CAA622">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i w:val="0"/>
                <w:iCs w:val="0"/>
                <w:color w:val="auto"/>
                <w:spacing w:val="0"/>
                <w:sz w:val="21"/>
                <w:szCs w:val="21"/>
                <w:lang w:val="en-US" w:eastAsia="zh-CN"/>
              </w:rPr>
            </w:pPr>
            <w:r>
              <w:rPr>
                <w:rFonts w:hint="eastAsia" w:ascii="宋体" w:hAnsi="宋体" w:eastAsia="宋体" w:cs="宋体"/>
                <w:i w:val="0"/>
                <w:iCs w:val="0"/>
                <w:color w:val="auto"/>
                <w:sz w:val="21"/>
                <w:szCs w:val="21"/>
              </w:rPr>
              <w:fldChar w:fldCharType="begin"/>
            </w:r>
            <w:r>
              <w:rPr>
                <w:rFonts w:hint="eastAsia" w:ascii="宋体" w:hAnsi="宋体" w:eastAsia="宋体" w:cs="宋体"/>
                <w:i w:val="0"/>
                <w:iCs w:val="0"/>
                <w:color w:val="auto"/>
                <w:sz w:val="21"/>
                <w:szCs w:val="21"/>
              </w:rPr>
              <w:instrText xml:space="preserve"> eq \o\ac(</w:instrText>
            </w:r>
            <w:r>
              <w:rPr>
                <w:rFonts w:hint="eastAsia" w:ascii="宋体" w:hAnsi="宋体" w:eastAsia="宋体" w:cs="宋体"/>
                <w:i w:val="0"/>
                <w:iCs w:val="0"/>
                <w:color w:val="auto"/>
                <w:position w:val="-4"/>
                <w:sz w:val="31"/>
                <w:szCs w:val="21"/>
              </w:rPr>
              <w:instrText xml:space="preserve">□</w:instrText>
            </w:r>
            <w:r>
              <w:rPr>
                <w:rFonts w:hint="eastAsia" w:ascii="宋体" w:hAnsi="宋体" w:eastAsia="宋体" w:cs="宋体"/>
                <w:i w:val="0"/>
                <w:iCs w:val="0"/>
                <w:color w:val="auto"/>
                <w:position w:val="0"/>
                <w:sz w:val="21"/>
                <w:szCs w:val="21"/>
              </w:rPr>
              <w:instrText xml:space="preserve">,√)</w:instrText>
            </w:r>
            <w:r>
              <w:rPr>
                <w:rFonts w:hint="eastAsia" w:ascii="宋体" w:hAnsi="宋体" w:eastAsia="宋体" w:cs="宋体"/>
                <w:i w:val="0"/>
                <w:iCs w:val="0"/>
                <w:color w:val="auto"/>
                <w:sz w:val="21"/>
                <w:szCs w:val="21"/>
              </w:rPr>
              <w:fldChar w:fldCharType="end"/>
            </w:r>
            <w:r>
              <w:rPr>
                <w:rFonts w:hint="eastAsia" w:ascii="宋体" w:hAnsi="宋体" w:eastAsia="宋体" w:cs="宋体"/>
                <w:i w:val="0"/>
                <w:iCs w:val="0"/>
                <w:color w:val="auto"/>
                <w:spacing w:val="0"/>
                <w:sz w:val="21"/>
                <w:szCs w:val="21"/>
                <w:vertAlign w:val="baseline"/>
                <w:lang w:val="en-US" w:eastAsia="zh-CN"/>
              </w:rPr>
              <w:t>否</w:t>
            </w:r>
          </w:p>
          <w:p w14:paraId="41568A2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i w:val="0"/>
                <w:iCs w:val="0"/>
                <w:color w:val="auto"/>
                <w:spacing w:val="0"/>
                <w:sz w:val="21"/>
                <w:szCs w:val="21"/>
                <w:vertAlign w:val="baseline"/>
                <w:lang w:eastAsia="zh-CN"/>
              </w:rPr>
              <w:t>□</w:t>
            </w:r>
            <w:r>
              <w:rPr>
                <w:rFonts w:hint="eastAsia" w:ascii="宋体" w:hAnsi="宋体" w:eastAsia="宋体" w:cs="宋体"/>
                <w:i w:val="0"/>
                <w:iCs w:val="0"/>
                <w:color w:val="auto"/>
                <w:spacing w:val="0"/>
                <w:sz w:val="21"/>
                <w:szCs w:val="21"/>
                <w:vertAlign w:val="baseline"/>
                <w:lang w:val="en-US" w:eastAsia="zh-CN"/>
              </w:rPr>
              <w:t>是，退还时间：</w:t>
            </w:r>
          </w:p>
        </w:tc>
      </w:tr>
      <w:tr w14:paraId="07742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67" w:type="dxa"/>
            <w:vAlign w:val="center"/>
          </w:tcPr>
          <w:p w14:paraId="0F224274">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5.1（A）</w:t>
            </w:r>
          </w:p>
        </w:tc>
        <w:tc>
          <w:tcPr>
            <w:tcW w:w="2373" w:type="dxa"/>
            <w:vAlign w:val="center"/>
          </w:tcPr>
          <w:p w14:paraId="702512D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开标时间和地点</w:t>
            </w:r>
          </w:p>
        </w:tc>
        <w:tc>
          <w:tcPr>
            <w:tcW w:w="6422" w:type="dxa"/>
            <w:vAlign w:val="center"/>
          </w:tcPr>
          <w:p w14:paraId="5314247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开标时间：</w:t>
            </w:r>
            <w:r>
              <w:rPr>
                <w:rFonts w:hint="eastAsia" w:ascii="宋体" w:hAnsi="宋体" w:eastAsia="宋体" w:cs="宋体"/>
                <w:b w:val="0"/>
                <w:bCs w:val="0"/>
                <w:i w:val="0"/>
                <w:iCs w:val="0"/>
                <w:color w:val="auto"/>
                <w:spacing w:val="0"/>
                <w:sz w:val="21"/>
                <w:szCs w:val="21"/>
                <w:u w:val="single"/>
                <w:vertAlign w:val="baseline"/>
                <w:lang w:val="en-US" w:eastAsia="zh-CN"/>
              </w:rPr>
              <w:t>详见新疆政府采购网本项目采购公告</w:t>
            </w:r>
            <w:r>
              <w:rPr>
                <w:rFonts w:hint="eastAsia" w:ascii="宋体" w:hAnsi="宋体" w:eastAsia="宋体" w:cs="宋体"/>
                <w:b w:val="0"/>
                <w:bCs w:val="0"/>
                <w:i w:val="0"/>
                <w:iCs w:val="0"/>
                <w:color w:val="auto"/>
                <w:spacing w:val="0"/>
                <w:sz w:val="21"/>
                <w:szCs w:val="21"/>
                <w:vertAlign w:val="baseline"/>
                <w:lang w:val="en-US" w:eastAsia="zh-CN"/>
              </w:rPr>
              <w:t>（同投标截止时间）</w:t>
            </w:r>
          </w:p>
          <w:p w14:paraId="046F333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开标地点：新疆政府采购网政采云不见面开标系统</w:t>
            </w:r>
          </w:p>
        </w:tc>
      </w:tr>
      <w:tr w14:paraId="5176A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067" w:type="dxa"/>
            <w:vAlign w:val="center"/>
          </w:tcPr>
          <w:p w14:paraId="2B564B8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6.1.1</w:t>
            </w:r>
          </w:p>
        </w:tc>
        <w:tc>
          <w:tcPr>
            <w:tcW w:w="2373" w:type="dxa"/>
            <w:vAlign w:val="center"/>
          </w:tcPr>
          <w:p w14:paraId="2B405F6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评标委员会的组建</w:t>
            </w:r>
          </w:p>
        </w:tc>
        <w:tc>
          <w:tcPr>
            <w:tcW w:w="6422" w:type="dxa"/>
            <w:vAlign w:val="center"/>
          </w:tcPr>
          <w:p w14:paraId="70D887B1">
            <w:pPr>
              <w:keepNext w:val="0"/>
              <w:keepLines w:val="0"/>
              <w:pageBreakBefore w:val="0"/>
              <w:widowControl w:val="0"/>
              <w:numPr>
                <w:ilvl w:val="0"/>
                <w:numId w:val="0"/>
              </w:numPr>
              <w:tabs>
                <w:tab w:val="right" w:pos="6043"/>
              </w:tabs>
              <w:kinsoku/>
              <w:wordWrap/>
              <w:overflowPunct/>
              <w:topLinePunct w:val="0"/>
              <w:autoSpaceDE/>
              <w:autoSpaceDN/>
              <w:bidi w:val="0"/>
              <w:adjustRightInd/>
              <w:snapToGrid/>
              <w:spacing w:line="312" w:lineRule="auto"/>
              <w:ind w:right="0" w:rightChars="0"/>
              <w:jc w:val="left"/>
              <w:textAlignment w:val="auto"/>
              <w:outlineLvl w:val="9"/>
              <w:rPr>
                <w:rFonts w:hint="default" w:ascii="宋体" w:hAnsi="宋体" w:eastAsia="宋体" w:cs="宋体"/>
                <w:b w:val="0"/>
                <w:bCs w:val="0"/>
                <w:i w:val="0"/>
                <w:iCs w:val="0"/>
                <w:color w:val="auto"/>
                <w:spacing w:val="0"/>
                <w:sz w:val="21"/>
                <w:szCs w:val="21"/>
                <w:u w:val="none"/>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评标委员会构成：</w:t>
            </w:r>
            <w:r>
              <w:rPr>
                <w:rFonts w:hint="eastAsia" w:ascii="宋体" w:hAnsi="宋体" w:eastAsia="宋体" w:cs="宋体"/>
                <w:b w:val="0"/>
                <w:bCs w:val="0"/>
                <w:i w:val="0"/>
                <w:iCs w:val="0"/>
                <w:color w:val="auto"/>
                <w:spacing w:val="0"/>
                <w:sz w:val="21"/>
                <w:szCs w:val="21"/>
                <w:u w:val="single"/>
                <w:vertAlign w:val="baseline"/>
                <w:lang w:val="en-US" w:eastAsia="zh-CN"/>
              </w:rPr>
              <w:t xml:space="preserve"> 3  </w:t>
            </w:r>
            <w:r>
              <w:rPr>
                <w:rFonts w:hint="eastAsia" w:ascii="宋体" w:hAnsi="宋体" w:eastAsia="宋体" w:cs="宋体"/>
                <w:b w:val="0"/>
                <w:bCs w:val="0"/>
                <w:i w:val="0"/>
                <w:iCs w:val="0"/>
                <w:color w:val="auto"/>
                <w:spacing w:val="0"/>
                <w:sz w:val="21"/>
                <w:szCs w:val="21"/>
                <w:u w:val="none"/>
                <w:vertAlign w:val="baseline"/>
                <w:lang w:val="en-US" w:eastAsia="zh-CN"/>
              </w:rPr>
              <w:t>人</w:t>
            </w:r>
            <w:r>
              <w:rPr>
                <w:rFonts w:hint="eastAsia" w:ascii="宋体" w:hAnsi="宋体" w:eastAsia="宋体" w:cs="宋体"/>
                <w:b w:val="0"/>
                <w:bCs w:val="0"/>
                <w:i w:val="0"/>
                <w:iCs w:val="0"/>
                <w:color w:val="auto"/>
                <w:spacing w:val="0"/>
                <w:sz w:val="21"/>
                <w:szCs w:val="21"/>
                <w:u w:val="none"/>
                <w:vertAlign w:val="baseline"/>
                <w:lang w:val="en-US" w:eastAsia="zh-CN"/>
              </w:rPr>
              <w:tab/>
            </w:r>
            <w:r>
              <w:rPr>
                <w:rFonts w:hint="eastAsia" w:ascii="宋体" w:hAnsi="宋体" w:eastAsia="宋体" w:cs="宋体"/>
                <w:b w:val="0"/>
                <w:bCs w:val="0"/>
                <w:i w:val="0"/>
                <w:iCs w:val="0"/>
                <w:color w:val="auto"/>
                <w:spacing w:val="0"/>
                <w:sz w:val="21"/>
                <w:szCs w:val="21"/>
                <w:u w:val="none"/>
                <w:vertAlign w:val="baseline"/>
                <w:lang w:val="en-US" w:eastAsia="zh-CN"/>
              </w:rPr>
              <w:t xml:space="preserve"> </w:t>
            </w:r>
          </w:p>
          <w:p w14:paraId="68DE5FA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u w:val="none"/>
                <w:vertAlign w:val="baseline"/>
                <w:lang w:val="en-US" w:eastAsia="zh-CN"/>
              </w:rPr>
            </w:pPr>
            <w:r>
              <w:rPr>
                <w:rFonts w:hint="eastAsia" w:ascii="宋体" w:hAnsi="宋体" w:eastAsia="宋体" w:cs="宋体"/>
                <w:b w:val="0"/>
                <w:bCs w:val="0"/>
                <w:i w:val="0"/>
                <w:iCs w:val="0"/>
                <w:color w:val="auto"/>
                <w:spacing w:val="0"/>
                <w:sz w:val="21"/>
                <w:szCs w:val="21"/>
                <w:u w:val="none"/>
                <w:vertAlign w:val="baseline"/>
                <w:lang w:val="en-US" w:eastAsia="zh-CN"/>
              </w:rPr>
              <w:t>其中招标人代表</w:t>
            </w:r>
            <w:r>
              <w:rPr>
                <w:rFonts w:hint="eastAsia" w:ascii="宋体" w:hAnsi="宋体" w:eastAsia="宋体" w:cs="宋体"/>
                <w:b w:val="0"/>
                <w:bCs w:val="0"/>
                <w:i w:val="0"/>
                <w:iCs w:val="0"/>
                <w:color w:val="auto"/>
                <w:spacing w:val="0"/>
                <w:sz w:val="21"/>
                <w:szCs w:val="21"/>
                <w:u w:val="single"/>
                <w:vertAlign w:val="baseline"/>
                <w:lang w:val="en-US" w:eastAsia="zh-CN"/>
              </w:rPr>
              <w:t xml:space="preserve">   1  </w:t>
            </w:r>
            <w:r>
              <w:rPr>
                <w:rFonts w:hint="eastAsia" w:ascii="宋体" w:hAnsi="宋体" w:eastAsia="宋体" w:cs="宋体"/>
                <w:b w:val="0"/>
                <w:bCs w:val="0"/>
                <w:i w:val="0"/>
                <w:iCs w:val="0"/>
                <w:color w:val="auto"/>
                <w:spacing w:val="0"/>
                <w:sz w:val="21"/>
                <w:szCs w:val="21"/>
                <w:u w:val="none"/>
                <w:vertAlign w:val="baseline"/>
                <w:lang w:val="en-US" w:eastAsia="zh-CN"/>
              </w:rPr>
              <w:t>人，专家</w:t>
            </w:r>
            <w:r>
              <w:rPr>
                <w:rFonts w:hint="eastAsia" w:ascii="宋体" w:hAnsi="宋体" w:eastAsia="宋体" w:cs="宋体"/>
                <w:b w:val="0"/>
                <w:bCs w:val="0"/>
                <w:i w:val="0"/>
                <w:iCs w:val="0"/>
                <w:color w:val="auto"/>
                <w:spacing w:val="0"/>
                <w:sz w:val="21"/>
                <w:szCs w:val="21"/>
                <w:u w:val="single"/>
                <w:vertAlign w:val="baseline"/>
                <w:lang w:val="en-US" w:eastAsia="zh-CN"/>
              </w:rPr>
              <w:t xml:space="preserve">  2 </w:t>
            </w:r>
            <w:r>
              <w:rPr>
                <w:rFonts w:hint="eastAsia" w:ascii="宋体" w:hAnsi="宋体" w:eastAsia="宋体" w:cs="宋体"/>
                <w:b w:val="0"/>
                <w:bCs w:val="0"/>
                <w:i w:val="0"/>
                <w:iCs w:val="0"/>
                <w:color w:val="auto"/>
                <w:spacing w:val="0"/>
                <w:sz w:val="21"/>
                <w:szCs w:val="21"/>
                <w:u w:val="none"/>
                <w:vertAlign w:val="baseline"/>
                <w:lang w:val="en-US" w:eastAsia="zh-CN"/>
              </w:rPr>
              <w:t>人；</w:t>
            </w:r>
          </w:p>
          <w:p w14:paraId="77F890A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u w:val="none"/>
                <w:vertAlign w:val="baseline"/>
                <w:lang w:val="en-US" w:eastAsia="zh-CN"/>
              </w:rPr>
            </w:pPr>
            <w:r>
              <w:rPr>
                <w:rFonts w:hint="eastAsia" w:ascii="宋体" w:hAnsi="宋体" w:eastAsia="宋体" w:cs="宋体"/>
                <w:b w:val="0"/>
                <w:bCs w:val="0"/>
                <w:i w:val="0"/>
                <w:iCs w:val="0"/>
                <w:color w:val="auto"/>
                <w:spacing w:val="0"/>
                <w:sz w:val="21"/>
                <w:szCs w:val="21"/>
                <w:u w:val="none"/>
                <w:vertAlign w:val="baseline"/>
                <w:lang w:val="en-US" w:eastAsia="zh-CN"/>
              </w:rPr>
              <w:t>评标专家确定方式：新疆政府采购网政采云系统随机抽取</w:t>
            </w:r>
          </w:p>
        </w:tc>
      </w:tr>
      <w:tr w14:paraId="29780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67" w:type="dxa"/>
            <w:vAlign w:val="center"/>
          </w:tcPr>
          <w:p w14:paraId="58A2A2D1">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6.3.2</w:t>
            </w:r>
          </w:p>
        </w:tc>
        <w:tc>
          <w:tcPr>
            <w:tcW w:w="2373" w:type="dxa"/>
            <w:vAlign w:val="center"/>
          </w:tcPr>
          <w:p w14:paraId="326F7AE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评标委员会推荐中标候选人的人数</w:t>
            </w:r>
          </w:p>
        </w:tc>
        <w:tc>
          <w:tcPr>
            <w:tcW w:w="6422" w:type="dxa"/>
            <w:vAlign w:val="center"/>
          </w:tcPr>
          <w:p w14:paraId="5363BDA6">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由专家评审小组最终评审汇总，推荐综合排名前三的投标单位为中标候选人</w:t>
            </w:r>
          </w:p>
        </w:tc>
      </w:tr>
      <w:tr w14:paraId="29E0A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67" w:type="dxa"/>
            <w:vAlign w:val="center"/>
          </w:tcPr>
          <w:p w14:paraId="54ABC7B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7.1</w:t>
            </w:r>
          </w:p>
        </w:tc>
        <w:tc>
          <w:tcPr>
            <w:tcW w:w="2373" w:type="dxa"/>
            <w:vAlign w:val="center"/>
          </w:tcPr>
          <w:p w14:paraId="6A4B04C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中标候选人公示媒介及期限</w:t>
            </w:r>
          </w:p>
        </w:tc>
        <w:tc>
          <w:tcPr>
            <w:tcW w:w="6422" w:type="dxa"/>
            <w:vAlign w:val="center"/>
          </w:tcPr>
          <w:p w14:paraId="6AF3B65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公示媒介：新疆政府采购网、阿克苏地区公共资源电子招投标平台</w:t>
            </w:r>
          </w:p>
          <w:p w14:paraId="34D155F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公示期限</w:t>
            </w:r>
            <w:r>
              <w:rPr>
                <w:rFonts w:hint="eastAsia" w:ascii="宋体" w:hAnsi="宋体" w:eastAsia="宋体" w:cs="宋体"/>
                <w:b w:val="0"/>
                <w:bCs w:val="0"/>
                <w:i w:val="0"/>
                <w:iCs w:val="0"/>
                <w:color w:val="auto"/>
                <w:spacing w:val="0"/>
                <w:sz w:val="21"/>
                <w:szCs w:val="21"/>
                <w:u w:val="none"/>
                <w:vertAlign w:val="baseline"/>
                <w:lang w:val="en-US" w:eastAsia="zh-CN"/>
              </w:rPr>
              <w:t>：</w:t>
            </w:r>
            <w:r>
              <w:rPr>
                <w:rFonts w:hint="eastAsia" w:ascii="宋体" w:hAnsi="宋体" w:eastAsia="宋体" w:cs="宋体"/>
                <w:b w:val="0"/>
                <w:bCs w:val="0"/>
                <w:i w:val="0"/>
                <w:iCs w:val="0"/>
                <w:color w:val="auto"/>
                <w:spacing w:val="0"/>
                <w:sz w:val="21"/>
                <w:szCs w:val="21"/>
                <w:u w:val="single"/>
                <w:vertAlign w:val="baseline"/>
                <w:lang w:val="en-US" w:eastAsia="zh-CN"/>
              </w:rPr>
              <w:t xml:space="preserve">  1  </w:t>
            </w:r>
            <w:r>
              <w:rPr>
                <w:rFonts w:hint="eastAsia" w:ascii="宋体" w:hAnsi="宋体" w:eastAsia="宋体" w:cs="宋体"/>
                <w:b w:val="0"/>
                <w:bCs w:val="0"/>
                <w:i w:val="0"/>
                <w:iCs w:val="0"/>
                <w:color w:val="auto"/>
                <w:spacing w:val="0"/>
                <w:sz w:val="21"/>
                <w:szCs w:val="21"/>
                <w:u w:val="none"/>
                <w:vertAlign w:val="baseline"/>
                <w:lang w:val="en-US" w:eastAsia="zh-CN"/>
              </w:rPr>
              <w:t>工作</w:t>
            </w:r>
            <w:r>
              <w:rPr>
                <w:rFonts w:hint="eastAsia" w:ascii="宋体" w:hAnsi="宋体" w:eastAsia="宋体" w:cs="宋体"/>
                <w:b w:val="0"/>
                <w:bCs w:val="0"/>
                <w:i w:val="0"/>
                <w:iCs w:val="0"/>
                <w:color w:val="auto"/>
                <w:spacing w:val="0"/>
                <w:sz w:val="21"/>
                <w:szCs w:val="21"/>
                <w:vertAlign w:val="baseline"/>
                <w:lang w:val="en-US" w:eastAsia="zh-CN"/>
              </w:rPr>
              <w:t>日</w:t>
            </w:r>
          </w:p>
        </w:tc>
      </w:tr>
      <w:tr w14:paraId="5864B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67" w:type="dxa"/>
            <w:vAlign w:val="center"/>
          </w:tcPr>
          <w:p w14:paraId="0DCD87CA">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7.4</w:t>
            </w:r>
          </w:p>
        </w:tc>
        <w:tc>
          <w:tcPr>
            <w:tcW w:w="2373" w:type="dxa"/>
            <w:vAlign w:val="center"/>
          </w:tcPr>
          <w:p w14:paraId="7F9392C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是否授权评标委员会确定中标人</w:t>
            </w:r>
          </w:p>
        </w:tc>
        <w:tc>
          <w:tcPr>
            <w:tcW w:w="6422" w:type="dxa"/>
            <w:vAlign w:val="center"/>
          </w:tcPr>
          <w:p w14:paraId="19D3B602">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i w:val="0"/>
                <w:iCs w:val="0"/>
                <w:color w:val="auto"/>
                <w:spacing w:val="0"/>
                <w:sz w:val="21"/>
                <w:szCs w:val="21"/>
                <w:lang w:val="en-US" w:eastAsia="zh-CN"/>
              </w:rPr>
            </w:pPr>
            <w:r>
              <w:rPr>
                <w:rFonts w:hint="eastAsia" w:ascii="宋体" w:hAnsi="宋体" w:eastAsia="宋体" w:cs="宋体"/>
                <w:i w:val="0"/>
                <w:iCs w:val="0"/>
                <w:color w:val="auto"/>
                <w:sz w:val="21"/>
                <w:szCs w:val="21"/>
              </w:rPr>
              <w:fldChar w:fldCharType="begin"/>
            </w:r>
            <w:r>
              <w:rPr>
                <w:rFonts w:hint="eastAsia" w:ascii="宋体" w:hAnsi="宋体" w:eastAsia="宋体" w:cs="宋体"/>
                <w:i w:val="0"/>
                <w:iCs w:val="0"/>
                <w:color w:val="auto"/>
                <w:sz w:val="21"/>
                <w:szCs w:val="21"/>
              </w:rPr>
              <w:instrText xml:space="preserve"> eq \o\ac(</w:instrText>
            </w:r>
            <w:r>
              <w:rPr>
                <w:rFonts w:hint="eastAsia" w:ascii="宋体" w:hAnsi="宋体" w:eastAsia="宋体" w:cs="宋体"/>
                <w:i w:val="0"/>
                <w:iCs w:val="0"/>
                <w:color w:val="auto"/>
                <w:position w:val="-4"/>
                <w:sz w:val="31"/>
                <w:szCs w:val="21"/>
              </w:rPr>
              <w:instrText xml:space="preserve">□</w:instrText>
            </w:r>
            <w:r>
              <w:rPr>
                <w:rFonts w:hint="eastAsia" w:ascii="宋体" w:hAnsi="宋体" w:eastAsia="宋体" w:cs="宋体"/>
                <w:i w:val="0"/>
                <w:iCs w:val="0"/>
                <w:color w:val="auto"/>
                <w:position w:val="0"/>
                <w:sz w:val="21"/>
                <w:szCs w:val="21"/>
              </w:rPr>
              <w:instrText xml:space="preserve">)</w:instrText>
            </w:r>
            <w:r>
              <w:rPr>
                <w:rFonts w:hint="eastAsia" w:ascii="宋体" w:hAnsi="宋体" w:eastAsia="宋体" w:cs="宋体"/>
                <w:i w:val="0"/>
                <w:iCs w:val="0"/>
                <w:color w:val="auto"/>
                <w:sz w:val="21"/>
                <w:szCs w:val="21"/>
              </w:rPr>
              <w:fldChar w:fldCharType="end"/>
            </w:r>
            <w:r>
              <w:rPr>
                <w:rFonts w:hint="eastAsia" w:ascii="宋体" w:hAnsi="宋体" w:eastAsia="宋体" w:cs="宋体"/>
                <w:i w:val="0"/>
                <w:iCs w:val="0"/>
                <w:color w:val="auto"/>
                <w:spacing w:val="0"/>
                <w:sz w:val="21"/>
                <w:szCs w:val="21"/>
                <w:vertAlign w:val="baseline"/>
                <w:lang w:val="en-US" w:eastAsia="zh-CN"/>
              </w:rPr>
              <w:t>是</w:t>
            </w:r>
          </w:p>
          <w:p w14:paraId="4873BA8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i w:val="0"/>
                <w:iCs w:val="0"/>
                <w:color w:val="auto"/>
                <w:sz w:val="21"/>
                <w:szCs w:val="21"/>
              </w:rPr>
              <w:fldChar w:fldCharType="begin"/>
            </w:r>
            <w:r>
              <w:rPr>
                <w:rFonts w:hint="eastAsia" w:ascii="宋体" w:hAnsi="宋体" w:eastAsia="宋体" w:cs="宋体"/>
                <w:i w:val="0"/>
                <w:iCs w:val="0"/>
                <w:color w:val="auto"/>
                <w:sz w:val="21"/>
                <w:szCs w:val="21"/>
              </w:rPr>
              <w:instrText xml:space="preserve"> eq \o\ac(</w:instrText>
            </w:r>
            <w:r>
              <w:rPr>
                <w:rFonts w:hint="eastAsia" w:ascii="宋体" w:hAnsi="宋体" w:eastAsia="宋体" w:cs="宋体"/>
                <w:i w:val="0"/>
                <w:iCs w:val="0"/>
                <w:color w:val="auto"/>
                <w:position w:val="-4"/>
                <w:sz w:val="31"/>
                <w:szCs w:val="21"/>
              </w:rPr>
              <w:instrText xml:space="preserve">□</w:instrText>
            </w:r>
            <w:r>
              <w:rPr>
                <w:rFonts w:hint="eastAsia" w:ascii="宋体" w:hAnsi="宋体" w:eastAsia="宋体" w:cs="宋体"/>
                <w:i w:val="0"/>
                <w:iCs w:val="0"/>
                <w:color w:val="auto"/>
                <w:position w:val="0"/>
                <w:sz w:val="21"/>
                <w:szCs w:val="21"/>
                <w:lang w:eastAsia="zh-CN"/>
              </w:rPr>
              <w:instrText xml:space="preserve">,√</w:instrText>
            </w:r>
            <w:r>
              <w:rPr>
                <w:rFonts w:hint="eastAsia" w:ascii="宋体" w:hAnsi="宋体" w:eastAsia="宋体" w:cs="宋体"/>
                <w:i w:val="0"/>
                <w:iCs w:val="0"/>
                <w:color w:val="auto"/>
                <w:position w:val="0"/>
                <w:sz w:val="21"/>
                <w:szCs w:val="21"/>
              </w:rPr>
              <w:instrText xml:space="preserve">)</w:instrText>
            </w:r>
            <w:r>
              <w:rPr>
                <w:rFonts w:hint="eastAsia" w:ascii="宋体" w:hAnsi="宋体" w:eastAsia="宋体" w:cs="宋体"/>
                <w:i w:val="0"/>
                <w:iCs w:val="0"/>
                <w:color w:val="auto"/>
                <w:sz w:val="21"/>
                <w:szCs w:val="21"/>
              </w:rPr>
              <w:fldChar w:fldCharType="end"/>
            </w:r>
            <w:r>
              <w:rPr>
                <w:rFonts w:hint="eastAsia" w:ascii="宋体" w:hAnsi="宋体" w:eastAsia="宋体" w:cs="宋体"/>
                <w:i w:val="0"/>
                <w:iCs w:val="0"/>
                <w:color w:val="auto"/>
                <w:spacing w:val="0"/>
                <w:sz w:val="21"/>
                <w:szCs w:val="21"/>
                <w:vertAlign w:val="baseline"/>
                <w:lang w:val="en-US" w:eastAsia="zh-CN"/>
              </w:rPr>
              <w:t>否</w:t>
            </w:r>
          </w:p>
        </w:tc>
      </w:tr>
      <w:tr w14:paraId="7E598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067" w:type="dxa"/>
            <w:vAlign w:val="center"/>
          </w:tcPr>
          <w:p w14:paraId="53B2AED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7.6.1</w:t>
            </w:r>
          </w:p>
        </w:tc>
        <w:tc>
          <w:tcPr>
            <w:tcW w:w="2373" w:type="dxa"/>
            <w:vAlign w:val="center"/>
          </w:tcPr>
          <w:p w14:paraId="5A82C8E1">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履约保证金</w:t>
            </w:r>
          </w:p>
          <w:p w14:paraId="3F647634">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6422" w:type="dxa"/>
            <w:vAlign w:val="center"/>
          </w:tcPr>
          <w:p w14:paraId="5C4BBCA6">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履约担保的形式：中标供应商可以支票、汇票、本票或保险公司、担保公司等金融机构出具的电子保函等非现金形式提交，建议优先使用政采云电子保函，具体办理流程详见新疆政府采购网《新疆维吾尔自治区政府采购电子保函工作方案》。供应商以电子保函形式缴纳履约保证金的，应通过“新疆政府采购网”的“电子保函”模块申请购买：</w:t>
            </w:r>
          </w:p>
          <w:p w14:paraId="3F2561C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直达链接（电子保函）：</w:t>
            </w:r>
          </w:p>
          <w:p w14:paraId="785DF1CC">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https://jinrong.zcygov.cn/luban/finance/letter/xinjiang?pageModelFlag=650000</w:t>
            </w:r>
          </w:p>
          <w:p w14:paraId="18B9CD19">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金融服务支撑热线：0991-2661159；</w:t>
            </w:r>
          </w:p>
          <w:p w14:paraId="73A6963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履约担保的金额：中标合同价的</w:t>
            </w:r>
            <w:r>
              <w:rPr>
                <w:rFonts w:hint="eastAsia" w:ascii="宋体" w:hAnsi="宋体" w:eastAsia="宋体" w:cs="宋体"/>
                <w:b/>
                <w:bCs/>
                <w:color w:val="auto"/>
                <w:sz w:val="21"/>
                <w:szCs w:val="21"/>
                <w:u w:val="single"/>
                <w:lang w:val="en-US" w:eastAsia="zh-CN"/>
              </w:rPr>
              <w:t xml:space="preserve"> 双方协商  </w:t>
            </w:r>
            <w:r>
              <w:rPr>
                <w:rFonts w:hint="eastAsia" w:ascii="宋体" w:hAnsi="宋体" w:eastAsia="宋体" w:cs="宋体"/>
                <w:b/>
                <w:bCs/>
                <w:color w:val="auto"/>
                <w:sz w:val="21"/>
                <w:szCs w:val="21"/>
                <w:lang w:val="en-US" w:eastAsia="zh-CN"/>
              </w:rPr>
              <w:t>。</w:t>
            </w:r>
          </w:p>
          <w:p w14:paraId="1A2B3E17">
            <w:pPr>
              <w:pStyle w:val="16"/>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由中标人在</w:t>
            </w:r>
            <w:r>
              <w:rPr>
                <w:rFonts w:hint="eastAsia" w:ascii="宋体" w:hAnsi="宋体" w:eastAsia="宋体" w:cs="宋体"/>
                <w:color w:val="auto"/>
                <w:sz w:val="21"/>
                <w:szCs w:val="21"/>
                <w:lang w:val="en-US" w:eastAsia="zh-CN"/>
              </w:rPr>
              <w:t>合同签订</w:t>
            </w:r>
            <w:r>
              <w:rPr>
                <w:rFonts w:hint="eastAsia" w:ascii="宋体" w:hAnsi="宋体" w:eastAsia="宋体" w:cs="宋体"/>
                <w:color w:val="auto"/>
                <w:sz w:val="21"/>
                <w:szCs w:val="21"/>
              </w:rPr>
              <w:t>后24小时内缴纳至</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指定账户</w:t>
            </w:r>
            <w:r>
              <w:rPr>
                <w:rFonts w:hint="eastAsia" w:ascii="宋体" w:hAnsi="宋体" w:eastAsia="宋体" w:cs="宋体"/>
                <w:color w:val="auto"/>
                <w:sz w:val="21"/>
                <w:szCs w:val="21"/>
                <w:lang w:eastAsia="zh-CN"/>
              </w:rPr>
              <w:t>。</w:t>
            </w:r>
          </w:p>
        </w:tc>
      </w:tr>
      <w:tr w14:paraId="045A3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67" w:type="dxa"/>
            <w:vMerge w:val="restart"/>
            <w:vAlign w:val="center"/>
          </w:tcPr>
          <w:p w14:paraId="04ADF82A">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bCs/>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9.1</w:t>
            </w:r>
          </w:p>
        </w:tc>
        <w:tc>
          <w:tcPr>
            <w:tcW w:w="2373" w:type="dxa"/>
            <w:vMerge w:val="restart"/>
            <w:vAlign w:val="center"/>
          </w:tcPr>
          <w:p w14:paraId="5069D5D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bCs/>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其他</w:t>
            </w:r>
          </w:p>
        </w:tc>
        <w:tc>
          <w:tcPr>
            <w:tcW w:w="6422" w:type="dxa"/>
            <w:vAlign w:val="center"/>
          </w:tcPr>
          <w:p w14:paraId="2934D64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bCs/>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本项目采用新疆政府采购网政采云不见面开标系统进行开评标，各合格投标人须及时办理CA锁，不见面开标系统中上传的投标文件须进行CA加密上传。各投标人须在开标时及时对所上传投标文件进行解密；投标人在制作投标文件时须关联相关评审点，如因此原因出现废标、扣分等情况，各投标人自行负责</w:t>
            </w:r>
            <w:r>
              <w:rPr>
                <w:rFonts w:hint="eastAsia" w:ascii="宋体" w:hAnsi="宋体" w:eastAsia="宋体" w:cs="宋体"/>
                <w:i w:val="0"/>
                <w:iCs w:val="0"/>
                <w:color w:val="auto"/>
                <w:spacing w:val="0"/>
                <w:sz w:val="21"/>
                <w:szCs w:val="21"/>
                <w:vertAlign w:val="baseline"/>
                <w:lang w:val="en-US" w:eastAsia="zh-CN"/>
              </w:rPr>
              <w:t>。</w:t>
            </w:r>
          </w:p>
        </w:tc>
      </w:tr>
      <w:tr w14:paraId="63410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67" w:type="dxa"/>
            <w:vMerge w:val="continue"/>
            <w:vAlign w:val="center"/>
          </w:tcPr>
          <w:p w14:paraId="3B2EABB4">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bCs/>
                <w:i w:val="0"/>
                <w:iCs w:val="0"/>
                <w:color w:val="auto"/>
                <w:spacing w:val="0"/>
                <w:sz w:val="21"/>
                <w:szCs w:val="21"/>
                <w:vertAlign w:val="baseline"/>
                <w:lang w:val="en-US" w:eastAsia="zh-CN"/>
              </w:rPr>
            </w:pPr>
          </w:p>
        </w:tc>
        <w:tc>
          <w:tcPr>
            <w:tcW w:w="2373" w:type="dxa"/>
            <w:vMerge w:val="continue"/>
            <w:vAlign w:val="center"/>
          </w:tcPr>
          <w:p w14:paraId="474B530E">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bCs/>
                <w:i w:val="0"/>
                <w:iCs w:val="0"/>
                <w:color w:val="auto"/>
                <w:spacing w:val="0"/>
                <w:sz w:val="21"/>
                <w:szCs w:val="21"/>
                <w:vertAlign w:val="baseline"/>
                <w:lang w:val="en-US" w:eastAsia="zh-CN"/>
              </w:rPr>
            </w:pPr>
          </w:p>
        </w:tc>
        <w:tc>
          <w:tcPr>
            <w:tcW w:w="6422" w:type="dxa"/>
            <w:vAlign w:val="center"/>
          </w:tcPr>
          <w:p w14:paraId="45BB13E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bCs/>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本项目招标文件所有开、评标时间均以新疆政府采购网本项目招标公告时间为准，如有异议请及时联系招标代理公司。</w:t>
            </w:r>
          </w:p>
        </w:tc>
      </w:tr>
      <w:tr w14:paraId="27A35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067" w:type="dxa"/>
            <w:vMerge w:val="continue"/>
            <w:vAlign w:val="center"/>
          </w:tcPr>
          <w:p w14:paraId="3793D0A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bCs/>
                <w:i w:val="0"/>
                <w:iCs w:val="0"/>
                <w:color w:val="auto"/>
                <w:spacing w:val="0"/>
                <w:sz w:val="21"/>
                <w:szCs w:val="21"/>
                <w:vertAlign w:val="baseline"/>
                <w:lang w:val="en-US" w:eastAsia="zh-CN"/>
              </w:rPr>
            </w:pPr>
          </w:p>
        </w:tc>
        <w:tc>
          <w:tcPr>
            <w:tcW w:w="2373" w:type="dxa"/>
            <w:vMerge w:val="continue"/>
            <w:vAlign w:val="center"/>
          </w:tcPr>
          <w:p w14:paraId="64AC285E">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bCs/>
                <w:i w:val="0"/>
                <w:iCs w:val="0"/>
                <w:color w:val="auto"/>
                <w:spacing w:val="0"/>
                <w:sz w:val="21"/>
                <w:szCs w:val="21"/>
                <w:vertAlign w:val="baseline"/>
                <w:lang w:val="en-US" w:eastAsia="zh-CN"/>
              </w:rPr>
            </w:pPr>
          </w:p>
        </w:tc>
        <w:tc>
          <w:tcPr>
            <w:tcW w:w="6422" w:type="dxa"/>
            <w:vAlign w:val="center"/>
          </w:tcPr>
          <w:p w14:paraId="069BBE5A">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bCs/>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投标人应认真阅读招标文件中的每一个条款及要求，因误读招标文件而造成的后果，招标人概不负责。</w:t>
            </w:r>
          </w:p>
          <w:p w14:paraId="15956ADE">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bCs/>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文件内容若有与本表不符部分，以本表为准。</w:t>
            </w:r>
          </w:p>
        </w:tc>
      </w:tr>
      <w:tr w14:paraId="03D48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67" w:type="dxa"/>
            <w:vMerge w:val="continue"/>
            <w:vAlign w:val="center"/>
          </w:tcPr>
          <w:p w14:paraId="2C99930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bCs/>
                <w:i w:val="0"/>
                <w:iCs w:val="0"/>
                <w:color w:val="auto"/>
                <w:spacing w:val="0"/>
                <w:sz w:val="21"/>
                <w:szCs w:val="21"/>
                <w:vertAlign w:val="baseline"/>
                <w:lang w:val="en-US" w:eastAsia="zh-CN"/>
              </w:rPr>
            </w:pPr>
          </w:p>
        </w:tc>
        <w:tc>
          <w:tcPr>
            <w:tcW w:w="2373" w:type="dxa"/>
            <w:vMerge w:val="continue"/>
            <w:vAlign w:val="center"/>
          </w:tcPr>
          <w:p w14:paraId="5A7C361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bCs/>
                <w:i w:val="0"/>
                <w:iCs w:val="0"/>
                <w:color w:val="auto"/>
                <w:spacing w:val="0"/>
                <w:sz w:val="21"/>
                <w:szCs w:val="21"/>
                <w:vertAlign w:val="baseline"/>
                <w:lang w:val="en-US" w:eastAsia="zh-CN"/>
              </w:rPr>
            </w:pPr>
          </w:p>
        </w:tc>
        <w:tc>
          <w:tcPr>
            <w:tcW w:w="6422" w:type="dxa"/>
            <w:vAlign w:val="center"/>
          </w:tcPr>
          <w:p w14:paraId="5712ABD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bCs/>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中小企业声明函(服务)格式中招标文件中明确的所属行业：</w:t>
            </w:r>
            <w:r>
              <w:rPr>
                <w:rFonts w:hint="eastAsia" w:ascii="宋体" w:hAnsi="宋体" w:eastAsia="宋体" w:cs="宋体"/>
                <w:b/>
                <w:bCs/>
                <w:i w:val="0"/>
                <w:iCs w:val="0"/>
                <w:color w:val="auto"/>
                <w:spacing w:val="0"/>
                <w:sz w:val="21"/>
                <w:szCs w:val="21"/>
                <w:u w:val="single"/>
                <w:vertAlign w:val="baseline"/>
                <w:lang w:val="en-US" w:eastAsia="zh-CN"/>
              </w:rPr>
              <w:t>软件和信息技术服务业</w:t>
            </w:r>
          </w:p>
        </w:tc>
      </w:tr>
      <w:tr w14:paraId="1A343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67" w:type="dxa"/>
            <w:vAlign w:val="center"/>
          </w:tcPr>
          <w:p w14:paraId="7B57A38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bCs/>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9.2</w:t>
            </w:r>
          </w:p>
        </w:tc>
        <w:tc>
          <w:tcPr>
            <w:tcW w:w="2373" w:type="dxa"/>
            <w:vAlign w:val="center"/>
          </w:tcPr>
          <w:p w14:paraId="66B3849C">
            <w:pPr>
              <w:adjustRightInd w:val="0"/>
              <w:snapToGrid w:val="0"/>
              <w:spacing w:beforeLines="50" w:line="360" w:lineRule="auto"/>
              <w:jc w:val="center"/>
              <w:rPr>
                <w:rFonts w:hint="eastAsia" w:ascii="宋体" w:hAnsi="宋体" w:eastAsia="宋体" w:cs="宋体"/>
                <w:b w:val="0"/>
                <w:bCs w:val="0"/>
                <w:i w:val="0"/>
                <w:iCs w:val="0"/>
                <w:color w:val="auto"/>
                <w:spacing w:val="15"/>
                <w:kern w:val="2"/>
                <w:sz w:val="21"/>
                <w:szCs w:val="21"/>
                <w:highlight w:val="white"/>
                <w:lang w:val="en-US" w:eastAsia="zh-CN" w:bidi="ar-SA"/>
              </w:rPr>
            </w:pPr>
            <w:r>
              <w:rPr>
                <w:rFonts w:hint="eastAsia" w:ascii="宋体" w:hAnsi="宋体" w:eastAsia="宋体" w:cs="宋体"/>
                <w:b w:val="0"/>
                <w:bCs w:val="0"/>
                <w:i w:val="0"/>
                <w:iCs w:val="0"/>
                <w:color w:val="auto"/>
                <w:spacing w:val="0"/>
                <w:sz w:val="21"/>
                <w:szCs w:val="21"/>
                <w:vertAlign w:val="baseline"/>
                <w:lang w:val="en-US" w:eastAsia="zh-CN"/>
              </w:rPr>
              <w:t>政策优惠及政策要求</w:t>
            </w:r>
            <w:r>
              <w:rPr>
                <w:rFonts w:hint="eastAsia" w:ascii="宋体" w:hAnsi="宋体" w:eastAsia="宋体" w:cs="宋体"/>
                <w:b/>
                <w:bCs/>
                <w:i w:val="0"/>
                <w:iCs w:val="0"/>
                <w:color w:val="auto"/>
                <w:spacing w:val="0"/>
                <w:sz w:val="21"/>
                <w:szCs w:val="21"/>
                <w:vertAlign w:val="baseline"/>
                <w:lang w:val="en-US" w:eastAsia="zh-CN"/>
              </w:rPr>
              <w:t>（本项目面向中小企业不实行价格扣除）</w:t>
            </w:r>
          </w:p>
        </w:tc>
        <w:tc>
          <w:tcPr>
            <w:tcW w:w="6422" w:type="dxa"/>
            <w:vAlign w:val="center"/>
          </w:tcPr>
          <w:p w14:paraId="53AC6F3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中</w:t>
            </w:r>
            <w:bookmarkStart w:id="9" w:name="_Hlk27738727"/>
            <w:r>
              <w:rPr>
                <w:rFonts w:hint="eastAsia" w:ascii="宋体" w:hAnsi="宋体" w:eastAsia="宋体" w:cs="宋体"/>
                <w:b/>
                <w:bCs/>
                <w:i w:val="0"/>
                <w:iCs w:val="0"/>
                <w:color w:val="auto"/>
                <w:spacing w:val="0"/>
                <w:sz w:val="21"/>
                <w:szCs w:val="21"/>
                <w:vertAlign w:val="baseline"/>
                <w:lang w:val="en-US" w:eastAsia="zh-CN"/>
              </w:rPr>
              <w:t>型、小型、微型企业：</w:t>
            </w:r>
            <w:r>
              <w:rPr>
                <w:rFonts w:hint="eastAsia" w:ascii="宋体" w:hAnsi="宋体" w:eastAsia="宋体" w:cs="宋体"/>
                <w:b w:val="0"/>
                <w:bCs w:val="0"/>
                <w:i w:val="0"/>
                <w:iCs w:val="0"/>
                <w:color w:val="auto"/>
                <w:spacing w:val="0"/>
                <w:sz w:val="21"/>
                <w:szCs w:val="21"/>
                <w:vertAlign w:val="baseline"/>
                <w:lang w:val="en-US" w:eastAsia="zh-CN"/>
              </w:rPr>
              <w:t>根据《政府采购促进中小企业发展管理办法》（财库﹝2020﹞46 号）的规定</w:t>
            </w:r>
          </w:p>
          <w:p w14:paraId="746807B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（1）中小企业（含中型、小型、微型企业，下同）单独参加本项目的投标：</w:t>
            </w:r>
          </w:p>
          <w:bookmarkEnd w:id="9"/>
          <w:p w14:paraId="04082654">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1、采购限额标准以上，200万元以下的货物和服务采购项目、400万元以下的工程采购项目，适宜由中小企业提供的，招标人应当专门面向中小企业采购。</w:t>
            </w:r>
          </w:p>
          <w:p w14:paraId="0972E11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2、超过200万元的货物和服务采购项目，预留该部分采购项目预算总额的30%以上专门面向中小企业采购，其中预留给小微企业的比例不低于60%。</w:t>
            </w:r>
          </w:p>
          <w:p w14:paraId="3CE43CB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3、超过400万元的工程采购项目中适宜由中小企业提供的，预留该部分采购项目预算总额的40%以上专门面向中小企业采购，其中预留给小微企业的比例不低于60%。</w:t>
            </w:r>
          </w:p>
          <w:p w14:paraId="2DF5BC9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4、对于未预留份额专门面向中小企业的采购项目，以及预留份额项目中的非预留部分采购包，招标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C0DFD7C">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5、接受大中型企业与小微企业组成联合体或者允许大中型企业向一家或者多家小微企业分包的采购项目，对于联合协议或者分包意向协议约定小微企业的合同份额占到合同总金额30%以上的，招标人、采购代理机构应当对联合体或者大中型企业的报价给予4%（工程项目为1%）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72229A11">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监狱企业：</w:t>
            </w:r>
            <w:r>
              <w:rPr>
                <w:rFonts w:hint="eastAsia" w:ascii="宋体" w:hAnsi="宋体" w:eastAsia="宋体" w:cs="宋体"/>
                <w:b w:val="0"/>
                <w:bCs w:val="0"/>
                <w:i w:val="0"/>
                <w:iCs w:val="0"/>
                <w:color w:val="auto"/>
                <w:spacing w:val="0"/>
                <w:sz w:val="21"/>
                <w:szCs w:val="21"/>
                <w:vertAlign w:val="baseline"/>
                <w:lang w:val="en-US" w:eastAsia="zh-CN"/>
              </w:rPr>
              <w:t>监狱企业是指由司法部认定的为罪犯、戒毒人员提供生产项目和劳动对象，且全部产权属于司法部监狱管理局、戒毒管理局、直属煤矿管理局，各省、自治区、直辖市监狱管理局、戒毒管理局，各地（设区的市）监狱、强制戒毒隔离所、戒毒康复所，以及新疆生产建设兵团监狱管理局、戒毒管理局的企业。</w:t>
            </w:r>
          </w:p>
          <w:p w14:paraId="4817281E">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监狱企业视同微型企业。</w:t>
            </w:r>
          </w:p>
          <w:p w14:paraId="0243FAA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（1）监狱企业参加本项目的投标，视同微型企业投标，提供本单位生产的产品享受10%价格扣除。</w:t>
            </w:r>
          </w:p>
          <w:p w14:paraId="6BF0AF9C">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（2）参加本次采购活动的监狱企业，应当在投标文件中提供由省级以上监狱管理局、戒毒管理局（含新疆建设生产兵团）出具的属于监狱企业的证明文件，不再提供《中小企业声明函》，不重复享受政策。</w:t>
            </w:r>
          </w:p>
          <w:p w14:paraId="7A9E9FEC">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残疾人福利性单位：</w:t>
            </w:r>
            <w:r>
              <w:rPr>
                <w:rFonts w:hint="eastAsia" w:ascii="宋体" w:hAnsi="宋体" w:eastAsia="宋体" w:cs="宋体"/>
                <w:b w:val="0"/>
                <w:bCs w:val="0"/>
                <w:i w:val="0"/>
                <w:iCs w:val="0"/>
                <w:color w:val="auto"/>
                <w:spacing w:val="0"/>
                <w:sz w:val="21"/>
                <w:szCs w:val="21"/>
                <w:vertAlign w:val="baseline"/>
                <w:lang w:val="en-US" w:eastAsia="zh-CN"/>
              </w:rPr>
              <w:t>根据财政部  民政部《中国残疾人联合会关于促进残疾人就业政府采购政策的通知》（财库【2017】141号）的规定。</w:t>
            </w:r>
          </w:p>
          <w:p w14:paraId="451AECA6">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（1）残疾人福利性单位参加本项目的投标，视同小型、微型企业投标，提供本单位生产的产品享受10%的价格扣除。</w:t>
            </w:r>
          </w:p>
          <w:p w14:paraId="19D1A892">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（2）参加本次采购活动的残疾人福利性单位，应当在询价投标文件中提供由141号文规定的《残疾人福利性单位声明函》，不再提供《中小企业声明函》，不重复享受政策。</w:t>
            </w:r>
          </w:p>
          <w:p w14:paraId="54B33D7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节能及环境标志产品：</w:t>
            </w:r>
            <w:r>
              <w:rPr>
                <w:rFonts w:hint="eastAsia" w:ascii="宋体" w:hAnsi="宋体" w:eastAsia="宋体" w:cs="宋体"/>
                <w:b w:val="0"/>
                <w:bCs w:val="0"/>
                <w:i w:val="0"/>
                <w:iCs w:val="0"/>
                <w:color w:val="auto"/>
                <w:spacing w:val="0"/>
                <w:sz w:val="21"/>
                <w:szCs w:val="21"/>
                <w:vertAlign w:val="baseline"/>
                <w:lang w:val="en-US" w:eastAsia="zh-CN"/>
              </w:rPr>
              <w:t>（一）根据《国务院办公厅关于建立政府强制采购节能产品制度的通知》（国办发[2007]51号）和财政部、发展改革委发布的《节能产品政府采购实施意见》（财库[2004]185号）以及《财政部、发展改革委关于调整节能产品政府采购清单的通知》最新的规定，本次采购货物中属政府强制采购节能产品的，投标人所投产品必须是《节能产品政府采购清单》内产品，并提供清单内证明材料，否则投标无效。其他产品若属于“节能产品政府采购清单”内产品，在同等条件下，优先采购清单中的产品。</w:t>
            </w:r>
            <w:r>
              <w:rPr>
                <w:rFonts w:hint="eastAsia" w:ascii="宋体" w:hAnsi="宋体" w:eastAsia="宋体" w:cs="宋体"/>
                <w:b w:val="0"/>
                <w:bCs w:val="0"/>
                <w:i w:val="0"/>
                <w:iCs w:val="0"/>
                <w:color w:val="auto"/>
                <w:spacing w:val="0"/>
                <w:sz w:val="21"/>
                <w:szCs w:val="21"/>
                <w:vertAlign w:val="baseline"/>
                <w:lang w:val="en-US" w:eastAsia="zh-CN"/>
              </w:rPr>
              <w:br w:type="textWrapping"/>
            </w:r>
            <w:r>
              <w:rPr>
                <w:rFonts w:hint="eastAsia" w:ascii="宋体" w:hAnsi="宋体" w:eastAsia="宋体" w:cs="宋体"/>
                <w:b w:val="0"/>
                <w:bCs w:val="0"/>
                <w:i w:val="0"/>
                <w:iCs w:val="0"/>
                <w:color w:val="auto"/>
                <w:spacing w:val="0"/>
                <w:sz w:val="21"/>
                <w:szCs w:val="21"/>
                <w:vertAlign w:val="baseline"/>
                <w:lang w:val="en-US" w:eastAsia="zh-CN"/>
              </w:rPr>
              <w:t xml:space="preserve">（二）“节能产品”系指列入财政部、国家发改委最新公布《节能产品政府采购清单》的产品；“环境标志产品”系指列入财政部、环保部最新公布的《环境标志政府采购清单》的产品。同一合同包内的节能、环境标志、政府采购产品部分价格扣除只对属于清单内的非强制类产品进行价格扣除，强制类产品已作为投标时强制性要求不再给予价格扣除。若节能、环境标志清单内的产品仅是构成投标产品的部件、组件或零件的，则该投标产品不予价格加分。节能产品加分方法加分=5×[所投优先采购产品（政府强制采购节能产品除外）中的产品价格在投标报价中所占比例]，总计最高加5分。 </w:t>
            </w:r>
          </w:p>
          <w:p w14:paraId="01638744">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15"/>
                <w:kern w:val="0"/>
                <w:sz w:val="21"/>
                <w:szCs w:val="21"/>
                <w:lang w:val="en-US" w:eastAsia="zh-CN" w:bidi="ar-SA"/>
              </w:rPr>
            </w:pPr>
            <w:r>
              <w:rPr>
                <w:rFonts w:hint="eastAsia" w:ascii="宋体" w:hAnsi="宋体" w:eastAsia="宋体" w:cs="宋体"/>
                <w:b w:val="0"/>
                <w:bCs w:val="0"/>
                <w:i w:val="0"/>
                <w:iCs w:val="0"/>
                <w:color w:val="auto"/>
                <w:spacing w:val="0"/>
                <w:sz w:val="21"/>
                <w:szCs w:val="21"/>
                <w:vertAlign w:val="baseline"/>
                <w:lang w:val="en-US" w:eastAsia="zh-CN"/>
              </w:rPr>
              <w:t>须同时提供市场监管总局关于发布参与实施政府采购节能产品、环境标志产品认证机构名录的公告（附认证机构名录）电子文档和认证机构出具的、处于有效期之内的认证证书原件扫描件，否则不得分。</w:t>
            </w:r>
          </w:p>
        </w:tc>
      </w:tr>
      <w:tr w14:paraId="05BB7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067" w:type="dxa"/>
            <w:vAlign w:val="center"/>
          </w:tcPr>
          <w:p w14:paraId="341EEE8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9.3</w:t>
            </w:r>
          </w:p>
        </w:tc>
        <w:tc>
          <w:tcPr>
            <w:tcW w:w="2373" w:type="dxa"/>
            <w:vAlign w:val="center"/>
          </w:tcPr>
          <w:p w14:paraId="5A94A94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招标代理服务收费标准</w:t>
            </w:r>
          </w:p>
        </w:tc>
        <w:tc>
          <w:tcPr>
            <w:tcW w:w="6422" w:type="dxa"/>
            <w:vAlign w:val="center"/>
          </w:tcPr>
          <w:p w14:paraId="52785BB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根据中华人民共和国国家计划委员会“计价格[2002]1980号”文规定，本项目向中标人收取中标服务费。以上费用请各投标人考虑到成本费用中，由中标单位在领取中标通知书时一次性支付给代理公司。（若通过银行汇款交纳的，须由投标人的帐户汇入）。</w:t>
            </w:r>
          </w:p>
        </w:tc>
      </w:tr>
      <w:tr w14:paraId="53EB6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9862" w:type="dxa"/>
            <w:gridSpan w:val="3"/>
            <w:vAlign w:val="center"/>
          </w:tcPr>
          <w:p w14:paraId="1310077A">
            <w:pPr>
              <w:pStyle w:val="57"/>
              <w:spacing w:line="301" w:lineRule="exact"/>
              <w:ind w:left="107" w:leftChars="0"/>
              <w:jc w:val="center"/>
              <w:rPr>
                <w:rFonts w:hint="eastAsia" w:ascii="宋体" w:hAnsi="宋体" w:eastAsia="宋体" w:cs="宋体"/>
                <w:color w:val="auto"/>
                <w:sz w:val="21"/>
                <w:szCs w:val="21"/>
              </w:rPr>
            </w:pPr>
            <w:bookmarkStart w:id="10" w:name="_Toc3741"/>
            <w:r>
              <w:rPr>
                <w:rFonts w:hint="eastAsia" w:ascii="宋体" w:hAnsi="宋体" w:eastAsia="宋体" w:cs="宋体"/>
                <w:b/>
                <w:bCs/>
                <w:color w:val="auto"/>
                <w:sz w:val="21"/>
                <w:szCs w:val="21"/>
                <w:lang w:val="en-US" w:eastAsia="zh-CN"/>
              </w:rPr>
              <w:t>关于政采云平台线上电子招投标的注意事项</w:t>
            </w:r>
          </w:p>
        </w:tc>
      </w:tr>
      <w:tr w14:paraId="6D00C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jc w:val="center"/>
        </w:trPr>
        <w:tc>
          <w:tcPr>
            <w:tcW w:w="1067" w:type="dxa"/>
            <w:vAlign w:val="center"/>
          </w:tcPr>
          <w:p w14:paraId="2C72919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1</w:t>
            </w:r>
          </w:p>
        </w:tc>
        <w:tc>
          <w:tcPr>
            <w:tcW w:w="2373" w:type="dxa"/>
            <w:vAlign w:val="center"/>
          </w:tcPr>
          <w:p w14:paraId="13FFC2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pacing w:val="15"/>
                <w:kern w:val="0"/>
                <w:sz w:val="21"/>
                <w:szCs w:val="21"/>
                <w:lang w:val="en-US" w:eastAsia="zh-CN" w:bidi="ar-SA"/>
              </w:rPr>
            </w:pPr>
            <w:r>
              <w:rPr>
                <w:rFonts w:hint="eastAsia" w:ascii="宋体" w:hAnsi="宋体" w:eastAsia="宋体" w:cs="宋体"/>
                <w:b w:val="0"/>
                <w:bCs w:val="0"/>
                <w:color w:val="auto"/>
                <w:sz w:val="21"/>
                <w:szCs w:val="21"/>
                <w:lang w:val="en-US" w:eastAsia="zh-CN"/>
              </w:rPr>
              <w:t>投标文件解密时间</w:t>
            </w:r>
          </w:p>
        </w:tc>
        <w:tc>
          <w:tcPr>
            <w:tcW w:w="6422" w:type="dxa"/>
            <w:vAlign w:val="center"/>
          </w:tcPr>
          <w:p w14:paraId="7D82FB4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spacing w:val="15"/>
                <w:kern w:val="0"/>
                <w:sz w:val="21"/>
                <w:szCs w:val="21"/>
                <w:u w:val="single"/>
                <w:lang w:val="en-US" w:eastAsia="zh-CN" w:bidi="ar-SA"/>
              </w:rPr>
            </w:pPr>
            <w:r>
              <w:rPr>
                <w:rFonts w:hint="eastAsia" w:ascii="宋体" w:hAnsi="宋体" w:eastAsia="宋体" w:cs="宋体"/>
                <w:b w:val="0"/>
                <w:bCs w:val="0"/>
                <w:color w:val="auto"/>
                <w:sz w:val="21"/>
                <w:szCs w:val="21"/>
                <w:u w:val="single"/>
                <w:lang w:val="en-US" w:eastAsia="zh-CN"/>
              </w:rPr>
              <w:t>投标文件解密时间30分钟；开标前需投标单位用CA证书登录政采云平台开标大厅签到，在30分钟解密时间内输入CA证书PIN码解密投标文件。在30分钟解密时间内未进行解密的投标单位可能导致废标。（解密时间开始时政采云平台将以短信形式向供应商在政采云平台预留的手机号发送短信通知，请供应商及时关注。）</w:t>
            </w:r>
          </w:p>
        </w:tc>
      </w:tr>
      <w:tr w14:paraId="0FCE8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067" w:type="dxa"/>
            <w:vAlign w:val="center"/>
          </w:tcPr>
          <w:p w14:paraId="3728DAC6">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2</w:t>
            </w:r>
          </w:p>
        </w:tc>
        <w:tc>
          <w:tcPr>
            <w:tcW w:w="2373" w:type="dxa"/>
            <w:vAlign w:val="center"/>
          </w:tcPr>
          <w:p w14:paraId="7C5A406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pacing w:val="15"/>
                <w:kern w:val="0"/>
                <w:sz w:val="21"/>
                <w:szCs w:val="21"/>
                <w:lang w:val="en-US" w:eastAsia="zh-CN" w:bidi="ar-SA"/>
              </w:rPr>
            </w:pPr>
            <w:r>
              <w:rPr>
                <w:rFonts w:hint="eastAsia" w:ascii="宋体" w:hAnsi="宋体" w:eastAsia="宋体" w:cs="宋体"/>
                <w:b w:val="0"/>
                <w:bCs w:val="0"/>
                <w:color w:val="auto"/>
                <w:sz w:val="21"/>
                <w:szCs w:val="21"/>
                <w:lang w:val="en-US" w:eastAsia="zh-CN"/>
              </w:rPr>
              <w:t>供应商报价CA签字确认</w:t>
            </w:r>
          </w:p>
        </w:tc>
        <w:tc>
          <w:tcPr>
            <w:tcW w:w="6422" w:type="dxa"/>
            <w:vAlign w:val="center"/>
          </w:tcPr>
          <w:p w14:paraId="4797523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spacing w:val="15"/>
                <w:kern w:val="0"/>
                <w:sz w:val="21"/>
                <w:szCs w:val="21"/>
                <w:u w:val="single"/>
                <w:lang w:val="en-US" w:eastAsia="zh-CN" w:bidi="ar-SA"/>
              </w:rPr>
            </w:pPr>
            <w:r>
              <w:rPr>
                <w:rFonts w:hint="eastAsia" w:ascii="宋体" w:hAnsi="宋体" w:eastAsia="宋体" w:cs="宋体"/>
                <w:b w:val="0"/>
                <w:bCs w:val="0"/>
                <w:color w:val="auto"/>
                <w:sz w:val="21"/>
                <w:szCs w:val="21"/>
                <w:u w:val="single"/>
                <w:lang w:val="en-US" w:eastAsia="zh-CN"/>
              </w:rPr>
              <w:t>报价文件开启后将开启签字时段，供应商须在30分钟内用CA证书对报价进行签字确认。</w:t>
            </w:r>
          </w:p>
        </w:tc>
      </w:tr>
      <w:tr w14:paraId="7343A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67" w:type="dxa"/>
            <w:vAlign w:val="center"/>
          </w:tcPr>
          <w:p w14:paraId="25F6A28A">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3</w:t>
            </w:r>
          </w:p>
        </w:tc>
        <w:tc>
          <w:tcPr>
            <w:tcW w:w="2373" w:type="dxa"/>
            <w:vAlign w:val="center"/>
          </w:tcPr>
          <w:p w14:paraId="06EFF0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pacing w:val="15"/>
                <w:kern w:val="0"/>
                <w:sz w:val="21"/>
                <w:szCs w:val="21"/>
                <w:lang w:val="en-US" w:eastAsia="zh-CN" w:bidi="ar-SA"/>
              </w:rPr>
            </w:pPr>
            <w:r>
              <w:rPr>
                <w:rFonts w:hint="eastAsia" w:ascii="宋体" w:hAnsi="宋体" w:eastAsia="宋体" w:cs="宋体"/>
                <w:b w:val="0"/>
                <w:bCs w:val="0"/>
                <w:color w:val="auto"/>
                <w:sz w:val="21"/>
                <w:szCs w:val="21"/>
                <w:lang w:val="en-US" w:eastAsia="zh-CN"/>
              </w:rPr>
              <w:t>说明</w:t>
            </w:r>
          </w:p>
        </w:tc>
        <w:tc>
          <w:tcPr>
            <w:tcW w:w="6422" w:type="dxa"/>
            <w:vAlign w:val="center"/>
          </w:tcPr>
          <w:p w14:paraId="05FB0D2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sz w:val="21"/>
                <w:szCs w:val="21"/>
                <w:u w:val="single"/>
                <w:lang w:val="en-US" w:eastAsia="zh-CN"/>
              </w:rPr>
            </w:pPr>
            <w:r>
              <w:rPr>
                <w:rFonts w:hint="eastAsia" w:ascii="宋体" w:hAnsi="宋体" w:eastAsia="宋体" w:cs="宋体"/>
                <w:b w:val="0"/>
                <w:bCs w:val="0"/>
                <w:color w:val="auto"/>
                <w:sz w:val="21"/>
                <w:szCs w:val="21"/>
                <w:u w:val="single"/>
                <w:lang w:val="en-US" w:eastAsia="zh-CN"/>
              </w:rPr>
              <w:t>1.本项目采用政采云平台电子招投标，开标前应由供应商CA证书登录政采云平台提交投标文件，开标无需提供纸质版投标文件，请忽略本采购文件中纸质版标书制作及现场开标相关要求。</w:t>
            </w:r>
          </w:p>
          <w:p w14:paraId="7FC2914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spacing w:val="15"/>
                <w:kern w:val="0"/>
                <w:sz w:val="21"/>
                <w:szCs w:val="21"/>
                <w:lang w:val="en-US" w:eastAsia="zh-CN" w:bidi="ar-SA"/>
              </w:rPr>
            </w:pPr>
            <w:r>
              <w:rPr>
                <w:rFonts w:hint="eastAsia" w:ascii="宋体" w:hAnsi="宋体" w:eastAsia="宋体" w:cs="宋体"/>
                <w:b w:val="0"/>
                <w:bCs w:val="0"/>
                <w:color w:val="auto"/>
                <w:sz w:val="21"/>
                <w:szCs w:val="21"/>
                <w:u w:val="single"/>
                <w:lang w:val="en-US" w:eastAsia="zh-CN"/>
              </w:rPr>
              <w:t>2.本项目采用政采云平台电子招投标，请各供应商提前登录政采云平台，并保持政采云平台在线，开标结束前不要离开，做好投标文件解密、报价签字确认、对评标过程中投标文件的答疑澄清等工作。</w:t>
            </w:r>
          </w:p>
        </w:tc>
      </w:tr>
      <w:tr w14:paraId="1B61C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1067" w:type="dxa"/>
            <w:vAlign w:val="center"/>
          </w:tcPr>
          <w:p w14:paraId="614382D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b w:val="0"/>
                <w:bCs w:val="0"/>
                <w:i w:val="0"/>
                <w:iCs w:val="0"/>
                <w:color w:val="auto"/>
                <w:spacing w:val="0"/>
                <w:sz w:val="21"/>
                <w:szCs w:val="21"/>
                <w:vertAlign w:val="baseline"/>
                <w:lang w:val="en-US" w:eastAsia="zh-CN"/>
              </w:rPr>
              <w:t>4</w:t>
            </w:r>
          </w:p>
        </w:tc>
        <w:tc>
          <w:tcPr>
            <w:tcW w:w="2373" w:type="dxa"/>
            <w:vAlign w:val="center"/>
          </w:tcPr>
          <w:p w14:paraId="021709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pacing w:val="15"/>
                <w:kern w:val="0"/>
                <w:sz w:val="21"/>
                <w:szCs w:val="21"/>
                <w:lang w:val="en-US" w:eastAsia="zh-CN" w:bidi="ar-SA"/>
              </w:rPr>
            </w:pPr>
            <w:r>
              <w:rPr>
                <w:rFonts w:hint="eastAsia" w:ascii="宋体" w:hAnsi="宋体" w:eastAsia="宋体" w:cs="宋体"/>
                <w:b w:val="0"/>
                <w:bCs w:val="0"/>
                <w:color w:val="auto"/>
                <w:sz w:val="21"/>
                <w:szCs w:val="21"/>
                <w:lang w:val="en-US" w:eastAsia="zh-CN"/>
              </w:rPr>
              <w:t>其他说明</w:t>
            </w:r>
          </w:p>
        </w:tc>
        <w:tc>
          <w:tcPr>
            <w:tcW w:w="6422" w:type="dxa"/>
            <w:vAlign w:val="center"/>
          </w:tcPr>
          <w:p w14:paraId="38C8855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本次采购采用电子交易方式，电子交易平台为“政府采购云平台（www.zcygov.cn）”。供应商参与本项目电子交易活动前，应注册成为政府采购云平台供应商。编制电子投标文件前还需申领CA证书并绑定账号。供应商应充分考虑完成平台注册、申领CA证书等所需的时间。因未注册入库、未办理CA数字证书等原因造成无法投标或投标失败等后果由供应商自行承担。</w:t>
            </w:r>
          </w:p>
          <w:p w14:paraId="07ACFF1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spacing w:val="15"/>
                <w:kern w:val="0"/>
                <w:sz w:val="21"/>
                <w:szCs w:val="21"/>
                <w:lang w:val="en-US" w:eastAsia="zh-CN" w:bidi="ar-SA"/>
              </w:rPr>
            </w:pPr>
            <w:r>
              <w:rPr>
                <w:rFonts w:hint="eastAsia" w:ascii="宋体" w:hAnsi="宋体" w:eastAsia="宋体" w:cs="宋体"/>
                <w:b w:val="0"/>
                <w:bCs w:val="0"/>
                <w:color w:val="auto"/>
                <w:sz w:val="21"/>
                <w:szCs w:val="21"/>
                <w:lang w:val="en-US" w:eastAsia="zh-CN"/>
              </w:rPr>
              <w:t>2.各政府采购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政采云在线客服获取服务支持。</w:t>
            </w:r>
          </w:p>
        </w:tc>
      </w:tr>
    </w:tbl>
    <w:p w14:paraId="0E438884">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宋体" w:hAnsi="宋体" w:eastAsia="宋体" w:cs="宋体"/>
          <w:b/>
          <w:bCs/>
          <w:i w:val="0"/>
          <w:iCs w:val="0"/>
          <w:color w:val="auto"/>
          <w:spacing w:val="0"/>
          <w:sz w:val="40"/>
          <w:szCs w:val="40"/>
          <w:lang w:val="en-US" w:eastAsia="zh-CN"/>
        </w:rPr>
      </w:pPr>
    </w:p>
    <w:p w14:paraId="7B601852">
      <w:pPr>
        <w:rPr>
          <w:rFonts w:hint="eastAsia" w:ascii="宋体" w:hAnsi="宋体" w:eastAsia="宋体" w:cs="宋体"/>
          <w:b/>
          <w:bCs/>
          <w:i w:val="0"/>
          <w:iCs w:val="0"/>
          <w:color w:val="auto"/>
          <w:spacing w:val="0"/>
          <w:sz w:val="32"/>
          <w:szCs w:val="32"/>
          <w:lang w:val="en-US" w:eastAsia="zh-CN"/>
        </w:rPr>
      </w:pPr>
      <w:bookmarkStart w:id="11" w:name="_Toc23449"/>
      <w:r>
        <w:rPr>
          <w:rFonts w:hint="eastAsia" w:ascii="宋体" w:hAnsi="宋体" w:eastAsia="宋体" w:cs="宋体"/>
          <w:b/>
          <w:bCs/>
          <w:i w:val="0"/>
          <w:iCs w:val="0"/>
          <w:color w:val="auto"/>
          <w:spacing w:val="0"/>
          <w:sz w:val="32"/>
          <w:szCs w:val="32"/>
          <w:lang w:val="en-US" w:eastAsia="zh-CN"/>
        </w:rPr>
        <w:br w:type="page"/>
      </w:r>
    </w:p>
    <w:p w14:paraId="4A7A72AA">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1"/>
        <w:rPr>
          <w:rFonts w:hint="eastAsia" w:ascii="宋体" w:hAnsi="宋体" w:eastAsia="宋体" w:cs="宋体"/>
          <w:b/>
          <w:bCs/>
          <w:i w:val="0"/>
          <w:iCs w:val="0"/>
          <w:color w:val="auto"/>
          <w:spacing w:val="0"/>
          <w:sz w:val="32"/>
          <w:szCs w:val="32"/>
          <w:lang w:val="en-US" w:eastAsia="zh-CN"/>
        </w:rPr>
      </w:pPr>
      <w:r>
        <w:rPr>
          <w:rFonts w:hint="eastAsia" w:ascii="宋体" w:hAnsi="宋体" w:eastAsia="宋体" w:cs="宋体"/>
          <w:b/>
          <w:bCs/>
          <w:i w:val="0"/>
          <w:iCs w:val="0"/>
          <w:color w:val="auto"/>
          <w:spacing w:val="0"/>
          <w:sz w:val="32"/>
          <w:szCs w:val="32"/>
          <w:lang w:val="en-US" w:eastAsia="zh-CN"/>
        </w:rPr>
        <w:t>1.总则</w:t>
      </w:r>
      <w:bookmarkEnd w:id="10"/>
      <w:bookmarkEnd w:id="11"/>
    </w:p>
    <w:p w14:paraId="3A2CA2E8">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宋体" w:hAnsi="宋体" w:eastAsia="宋体" w:cs="宋体"/>
          <w:b/>
          <w:bCs/>
          <w:i w:val="0"/>
          <w:iCs w:val="0"/>
          <w:color w:val="auto"/>
          <w:spacing w:val="0"/>
          <w:sz w:val="21"/>
          <w:szCs w:val="21"/>
          <w:lang w:val="en-US" w:eastAsia="zh-CN"/>
        </w:rPr>
      </w:pPr>
    </w:p>
    <w:p w14:paraId="17338875">
      <w:pPr>
        <w:keepNext w:val="0"/>
        <w:keepLines w:val="0"/>
        <w:pageBreakBefore w:val="0"/>
        <w:widowControl w:val="0"/>
        <w:numPr>
          <w:ilvl w:val="1"/>
          <w:numId w:val="1"/>
        </w:numPr>
        <w:kinsoku/>
        <w:wordWrap/>
        <w:overflowPunct/>
        <w:topLinePunct w:val="0"/>
        <w:autoSpaceDE/>
        <w:autoSpaceDN/>
        <w:bidi w:val="0"/>
        <w:adjustRightInd/>
        <w:snapToGrid/>
        <w:spacing w:after="126" w:afterLines="40" w:line="240" w:lineRule="auto"/>
        <w:ind w:right="0" w:rightChars="0"/>
        <w:jc w:val="left"/>
        <w:textAlignment w:val="auto"/>
        <w:outlineLvl w:val="2"/>
        <w:rPr>
          <w:rFonts w:hint="eastAsia" w:ascii="宋体" w:hAnsi="宋体" w:eastAsia="宋体" w:cs="宋体"/>
          <w:b w:val="0"/>
          <w:bCs w:val="0"/>
          <w:i w:val="0"/>
          <w:iCs w:val="0"/>
          <w:color w:val="auto"/>
          <w:spacing w:val="0"/>
          <w:sz w:val="18"/>
          <w:szCs w:val="18"/>
          <w:lang w:val="en-US" w:eastAsia="zh-CN"/>
        </w:rPr>
      </w:pPr>
      <w:r>
        <w:rPr>
          <w:rFonts w:hint="eastAsia" w:ascii="宋体" w:hAnsi="宋体" w:eastAsia="宋体" w:cs="宋体"/>
          <w:b/>
          <w:bCs/>
          <w:i w:val="0"/>
          <w:iCs w:val="0"/>
          <w:color w:val="auto"/>
          <w:spacing w:val="0"/>
          <w:sz w:val="18"/>
          <w:szCs w:val="18"/>
          <w:lang w:val="en-US" w:eastAsia="zh-CN"/>
        </w:rPr>
        <w:t xml:space="preserve"> </w:t>
      </w:r>
      <w:bookmarkStart w:id="12" w:name="_Toc23193"/>
      <w:bookmarkStart w:id="13" w:name="_Toc29466"/>
      <w:r>
        <w:rPr>
          <w:rFonts w:hint="eastAsia" w:ascii="宋体" w:hAnsi="宋体" w:eastAsia="宋体" w:cs="宋体"/>
          <w:b/>
          <w:bCs/>
          <w:i w:val="0"/>
          <w:iCs w:val="0"/>
          <w:color w:val="auto"/>
          <w:spacing w:val="0"/>
          <w:sz w:val="18"/>
          <w:szCs w:val="18"/>
          <w:lang w:val="en-US" w:eastAsia="zh-CN"/>
        </w:rPr>
        <w:t>招标项目概况</w:t>
      </w:r>
      <w:bookmarkEnd w:id="12"/>
      <w:bookmarkEnd w:id="13"/>
    </w:p>
    <w:p w14:paraId="0FA26B13">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1.1.1根据《中华人民共和国政府采购法》、《中华人民共和国政府采购法实施条例》等有关法律法规和规章的规定，本招标项目已具备招标条件，现对项目采购进行招标。</w:t>
      </w:r>
    </w:p>
    <w:p w14:paraId="2E9AD511">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1.1.2招标人：见投标人须知前附表。</w:t>
      </w:r>
    </w:p>
    <w:p w14:paraId="3A135958">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1.1.3招标代理机构：见投标人须知前附表。</w:t>
      </w:r>
    </w:p>
    <w:p w14:paraId="575F0BDC">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1.1.4招标项目名称：见投标人须知前附表。</w:t>
      </w:r>
    </w:p>
    <w:p w14:paraId="42F26367">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18"/>
          <w:szCs w:val="18"/>
          <w:lang w:val="en-US" w:eastAsia="zh-CN"/>
        </w:rPr>
      </w:pPr>
      <w:bookmarkStart w:id="14" w:name="_Toc3211"/>
      <w:bookmarkStart w:id="15" w:name="_Toc28700"/>
      <w:r>
        <w:rPr>
          <w:rFonts w:hint="eastAsia" w:ascii="宋体" w:hAnsi="宋体" w:eastAsia="宋体" w:cs="宋体"/>
          <w:b/>
          <w:bCs/>
          <w:i w:val="0"/>
          <w:iCs w:val="0"/>
          <w:color w:val="auto"/>
          <w:spacing w:val="0"/>
          <w:sz w:val="18"/>
          <w:szCs w:val="18"/>
          <w:lang w:val="en-US" w:eastAsia="zh-CN"/>
        </w:rPr>
        <w:t>1.2招标项目的资金来源和落实情况</w:t>
      </w:r>
      <w:bookmarkEnd w:id="14"/>
      <w:bookmarkEnd w:id="15"/>
    </w:p>
    <w:p w14:paraId="459299EB">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1.2.1资金来源及比例：见投标人须知前附表。</w:t>
      </w:r>
    </w:p>
    <w:p w14:paraId="6EB69F4F">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1.2.2资金落实情况：见投标人须知前附表。</w:t>
      </w:r>
    </w:p>
    <w:p w14:paraId="70D7C475">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18"/>
          <w:szCs w:val="18"/>
          <w:lang w:val="en-US" w:eastAsia="zh-CN"/>
        </w:rPr>
      </w:pPr>
      <w:bookmarkStart w:id="16" w:name="_Toc23731"/>
      <w:bookmarkStart w:id="17" w:name="_Toc26741"/>
      <w:r>
        <w:rPr>
          <w:rFonts w:hint="eastAsia" w:ascii="宋体" w:hAnsi="宋体" w:eastAsia="宋体" w:cs="宋体"/>
          <w:b/>
          <w:bCs/>
          <w:i w:val="0"/>
          <w:iCs w:val="0"/>
          <w:color w:val="auto"/>
          <w:spacing w:val="0"/>
          <w:sz w:val="18"/>
          <w:szCs w:val="18"/>
          <w:lang w:val="en-US" w:eastAsia="zh-CN"/>
        </w:rPr>
        <w:t>1.3招标范围、</w:t>
      </w:r>
      <w:bookmarkEnd w:id="16"/>
      <w:r>
        <w:rPr>
          <w:rFonts w:hint="eastAsia" w:ascii="宋体" w:hAnsi="宋体" w:eastAsia="宋体" w:cs="宋体"/>
          <w:b/>
          <w:bCs/>
          <w:i w:val="0"/>
          <w:iCs w:val="0"/>
          <w:color w:val="auto"/>
          <w:spacing w:val="0"/>
          <w:sz w:val="18"/>
          <w:szCs w:val="18"/>
          <w:lang w:val="en-US" w:eastAsia="zh-CN"/>
        </w:rPr>
        <w:t>交货期、交货地点和技术性能指标</w:t>
      </w:r>
      <w:bookmarkEnd w:id="17"/>
    </w:p>
    <w:p w14:paraId="287B68FF">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1.3.1招标范围：见投标人须知前附表。</w:t>
      </w:r>
    </w:p>
    <w:p w14:paraId="6C26ACF8">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1.3.2工期：见投标人须知前附表。</w:t>
      </w:r>
    </w:p>
    <w:p w14:paraId="01FA84EC">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1.3.3项目地点：见投标人须知前附表。</w:t>
      </w:r>
    </w:p>
    <w:p w14:paraId="51945F08">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1.3.4质量要求准：见投标人须知前附表。</w:t>
      </w:r>
    </w:p>
    <w:p w14:paraId="73E95F7D">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18"/>
          <w:szCs w:val="18"/>
          <w:lang w:val="en-US" w:eastAsia="zh-CN"/>
        </w:rPr>
      </w:pPr>
      <w:bookmarkStart w:id="18" w:name="_Toc17277"/>
      <w:bookmarkStart w:id="19" w:name="_Toc820"/>
      <w:r>
        <w:rPr>
          <w:rFonts w:hint="eastAsia" w:ascii="宋体" w:hAnsi="宋体" w:eastAsia="宋体" w:cs="宋体"/>
          <w:b/>
          <w:bCs/>
          <w:i w:val="0"/>
          <w:iCs w:val="0"/>
          <w:color w:val="auto"/>
          <w:spacing w:val="0"/>
          <w:sz w:val="18"/>
          <w:szCs w:val="18"/>
          <w:lang w:val="en-US" w:eastAsia="zh-CN"/>
        </w:rPr>
        <w:t>1.4投标人资格要求</w:t>
      </w:r>
      <w:bookmarkEnd w:id="18"/>
      <w:bookmarkEnd w:id="19"/>
    </w:p>
    <w:p w14:paraId="460BBA48">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1.4.1投标人应具备承担本招标项目资质条件、能力和信誉：</w:t>
      </w:r>
    </w:p>
    <w:p w14:paraId="56285667">
      <w:pPr>
        <w:keepNext w:val="0"/>
        <w:keepLines w:val="0"/>
        <w:pageBreakBefore w:val="0"/>
        <w:widowControl w:val="0"/>
        <w:numPr>
          <w:ilvl w:val="0"/>
          <w:numId w:val="2"/>
        </w:numPr>
        <w:tabs>
          <w:tab w:val="clear" w:pos="312"/>
        </w:tabs>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资质要求：见投标人须知前附表；</w:t>
      </w:r>
    </w:p>
    <w:p w14:paraId="1F648CB7">
      <w:pPr>
        <w:keepNext w:val="0"/>
        <w:keepLines w:val="0"/>
        <w:pageBreakBefore w:val="0"/>
        <w:widowControl w:val="0"/>
        <w:numPr>
          <w:ilvl w:val="0"/>
          <w:numId w:val="2"/>
        </w:numPr>
        <w:tabs>
          <w:tab w:val="clear" w:pos="312"/>
        </w:tabs>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财务要求：见投标人须知前附表；</w:t>
      </w:r>
    </w:p>
    <w:p w14:paraId="7DB42881">
      <w:pPr>
        <w:keepNext w:val="0"/>
        <w:keepLines w:val="0"/>
        <w:pageBreakBefore w:val="0"/>
        <w:widowControl w:val="0"/>
        <w:numPr>
          <w:ilvl w:val="0"/>
          <w:numId w:val="2"/>
        </w:numPr>
        <w:tabs>
          <w:tab w:val="clear" w:pos="312"/>
        </w:tabs>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业绩要求：见投标人须知前附表；</w:t>
      </w:r>
    </w:p>
    <w:p w14:paraId="1034743C">
      <w:pPr>
        <w:keepNext w:val="0"/>
        <w:keepLines w:val="0"/>
        <w:pageBreakBefore w:val="0"/>
        <w:widowControl w:val="0"/>
        <w:numPr>
          <w:ilvl w:val="0"/>
          <w:numId w:val="2"/>
        </w:numPr>
        <w:tabs>
          <w:tab w:val="clear" w:pos="312"/>
        </w:tabs>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信誉要求：见投标人须知前附表；</w:t>
      </w:r>
    </w:p>
    <w:p w14:paraId="22840B8C">
      <w:pPr>
        <w:keepNext w:val="0"/>
        <w:keepLines w:val="0"/>
        <w:pageBreakBefore w:val="0"/>
        <w:widowControl w:val="0"/>
        <w:numPr>
          <w:ilvl w:val="0"/>
          <w:numId w:val="2"/>
        </w:numPr>
        <w:tabs>
          <w:tab w:val="clear" w:pos="312"/>
        </w:tabs>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其他要求：见投标人须知前附表。</w:t>
      </w:r>
    </w:p>
    <w:p w14:paraId="46DA7A7F">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highlight w:val="none"/>
          <w:lang w:val="en-US" w:eastAsia="zh-CN"/>
        </w:rPr>
      </w:pPr>
      <w:r>
        <w:rPr>
          <w:rFonts w:hint="eastAsia" w:ascii="宋体" w:hAnsi="宋体" w:eastAsia="宋体" w:cs="宋体"/>
          <w:b w:val="0"/>
          <w:bCs w:val="0"/>
          <w:i w:val="0"/>
          <w:iCs w:val="0"/>
          <w:color w:val="auto"/>
          <w:spacing w:val="0"/>
          <w:sz w:val="21"/>
          <w:szCs w:val="21"/>
          <w:highlight w:val="none"/>
          <w:lang w:val="en-US" w:eastAsia="zh-CN"/>
        </w:rPr>
        <w:t>1.4.2投标人须知前附表规定接受联合体投标的，联合体除应符合本章第1.4.1项和投标人须知前附表的要求外，还应遵守以下规定：</w:t>
      </w:r>
    </w:p>
    <w:p w14:paraId="4767C14C">
      <w:pPr>
        <w:keepNext w:val="0"/>
        <w:keepLines w:val="0"/>
        <w:pageBreakBefore w:val="0"/>
        <w:widowControl w:val="0"/>
        <w:numPr>
          <w:ilvl w:val="0"/>
          <w:numId w:val="3"/>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highlight w:val="none"/>
          <w:lang w:val="en-US" w:eastAsia="zh-CN"/>
        </w:rPr>
      </w:pPr>
      <w:r>
        <w:rPr>
          <w:rFonts w:hint="eastAsia" w:ascii="宋体" w:hAnsi="宋体" w:eastAsia="宋体" w:cs="宋体"/>
          <w:b w:val="0"/>
          <w:bCs w:val="0"/>
          <w:i w:val="0"/>
          <w:iCs w:val="0"/>
          <w:color w:val="auto"/>
          <w:spacing w:val="0"/>
          <w:sz w:val="21"/>
          <w:szCs w:val="21"/>
          <w:highlight w:val="none"/>
          <w:lang w:val="en-US" w:eastAsia="zh-CN"/>
        </w:rPr>
        <w:t>联合体各方应按招标文件提供的格式签订联合体协议书，明确联合体牵头人和各方权利义务，并承诺就中标项目向招标人承担连带责任；</w:t>
      </w:r>
    </w:p>
    <w:p w14:paraId="79FC5533">
      <w:pPr>
        <w:keepNext w:val="0"/>
        <w:keepLines w:val="0"/>
        <w:pageBreakBefore w:val="0"/>
        <w:widowControl w:val="0"/>
        <w:numPr>
          <w:ilvl w:val="0"/>
          <w:numId w:val="3"/>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highlight w:val="none"/>
          <w:lang w:val="en-US" w:eastAsia="zh-CN"/>
        </w:rPr>
      </w:pPr>
      <w:r>
        <w:rPr>
          <w:rFonts w:hint="eastAsia" w:ascii="宋体" w:hAnsi="宋体" w:eastAsia="宋体" w:cs="宋体"/>
          <w:b w:val="0"/>
          <w:bCs w:val="0"/>
          <w:i w:val="0"/>
          <w:iCs w:val="0"/>
          <w:color w:val="auto"/>
          <w:spacing w:val="0"/>
          <w:sz w:val="21"/>
          <w:szCs w:val="21"/>
          <w:highlight w:val="none"/>
          <w:lang w:val="en-US" w:eastAsia="zh-CN"/>
        </w:rPr>
        <w:t>由同一专业的单位组成的联合体，按照资质等级较低的单位确定资质等级；</w:t>
      </w:r>
    </w:p>
    <w:p w14:paraId="373E1CC8">
      <w:pPr>
        <w:keepNext w:val="0"/>
        <w:keepLines w:val="0"/>
        <w:pageBreakBefore w:val="0"/>
        <w:widowControl w:val="0"/>
        <w:numPr>
          <w:ilvl w:val="0"/>
          <w:numId w:val="3"/>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highlight w:val="none"/>
          <w:lang w:val="en-US" w:eastAsia="zh-CN"/>
        </w:rPr>
      </w:pPr>
      <w:r>
        <w:rPr>
          <w:rFonts w:hint="eastAsia" w:ascii="宋体" w:hAnsi="宋体" w:eastAsia="宋体" w:cs="宋体"/>
          <w:b w:val="0"/>
          <w:bCs w:val="0"/>
          <w:i w:val="0"/>
          <w:iCs w:val="0"/>
          <w:color w:val="auto"/>
          <w:spacing w:val="0"/>
          <w:sz w:val="21"/>
          <w:szCs w:val="21"/>
          <w:highlight w:val="none"/>
          <w:lang w:val="en-US" w:eastAsia="zh-CN"/>
        </w:rPr>
        <w:t>联合体各方不得再以自己名义单独或参加其他联合体在本招标项目中投标，否则各相关投标均无效。</w:t>
      </w:r>
    </w:p>
    <w:p w14:paraId="6723548D">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1.4.3投标人不得存在下列情形之一：</w:t>
      </w:r>
    </w:p>
    <w:p w14:paraId="39EB6BB5">
      <w:pPr>
        <w:keepNext w:val="0"/>
        <w:keepLines w:val="0"/>
        <w:pageBreakBefore w:val="0"/>
        <w:widowControl w:val="0"/>
        <w:numPr>
          <w:ilvl w:val="0"/>
          <w:numId w:val="4"/>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与招标人存在利害关系且可能影响招标公正性；</w:t>
      </w:r>
    </w:p>
    <w:p w14:paraId="2E449202">
      <w:pPr>
        <w:keepNext w:val="0"/>
        <w:keepLines w:val="0"/>
        <w:pageBreakBefore w:val="0"/>
        <w:widowControl w:val="0"/>
        <w:numPr>
          <w:ilvl w:val="0"/>
          <w:numId w:val="4"/>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与本招标项目的其他投标人为同一个单位负责人；</w:t>
      </w:r>
    </w:p>
    <w:p w14:paraId="172EAD9E">
      <w:pPr>
        <w:keepNext w:val="0"/>
        <w:keepLines w:val="0"/>
        <w:pageBreakBefore w:val="0"/>
        <w:widowControl w:val="0"/>
        <w:numPr>
          <w:ilvl w:val="0"/>
          <w:numId w:val="4"/>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与本招标项目的其他投标人存在控股、管理关系；</w:t>
      </w:r>
    </w:p>
    <w:p w14:paraId="3F35D8E4">
      <w:pPr>
        <w:keepNext w:val="0"/>
        <w:keepLines w:val="0"/>
        <w:pageBreakBefore w:val="0"/>
        <w:widowControl w:val="0"/>
        <w:numPr>
          <w:ilvl w:val="0"/>
          <w:numId w:val="4"/>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bookmarkStart w:id="20" w:name="_Toc12281"/>
      <w:r>
        <w:rPr>
          <w:rFonts w:hint="eastAsia" w:ascii="宋体" w:hAnsi="宋体" w:eastAsia="宋体" w:cs="宋体"/>
          <w:b w:val="0"/>
          <w:bCs w:val="0"/>
          <w:i w:val="0"/>
          <w:iCs w:val="0"/>
          <w:color w:val="auto"/>
          <w:spacing w:val="0"/>
          <w:sz w:val="21"/>
          <w:szCs w:val="21"/>
          <w:lang w:val="en-US" w:eastAsia="zh-CN"/>
        </w:rPr>
        <w:t>为本招标项目提供过设计、编制技术规范和其他文件的咨询服务；</w:t>
      </w:r>
    </w:p>
    <w:p w14:paraId="01A4FE45">
      <w:pPr>
        <w:keepNext w:val="0"/>
        <w:keepLines w:val="0"/>
        <w:pageBreakBefore w:val="0"/>
        <w:widowControl w:val="0"/>
        <w:numPr>
          <w:ilvl w:val="0"/>
          <w:numId w:val="4"/>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为本招标项目的招标代理机构；</w:t>
      </w:r>
    </w:p>
    <w:p w14:paraId="4310BEBC">
      <w:pPr>
        <w:keepNext w:val="0"/>
        <w:keepLines w:val="0"/>
        <w:pageBreakBefore w:val="0"/>
        <w:widowControl w:val="0"/>
        <w:numPr>
          <w:ilvl w:val="0"/>
          <w:numId w:val="4"/>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与招标代理机构同为一个法定代表人；</w:t>
      </w:r>
    </w:p>
    <w:p w14:paraId="5A026F77">
      <w:pPr>
        <w:keepNext w:val="0"/>
        <w:keepLines w:val="0"/>
        <w:pageBreakBefore w:val="0"/>
        <w:widowControl w:val="0"/>
        <w:numPr>
          <w:ilvl w:val="0"/>
          <w:numId w:val="4"/>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与本招标项目招标代理机构存在控股或参股关系；</w:t>
      </w:r>
    </w:p>
    <w:p w14:paraId="69DF4AD6">
      <w:pPr>
        <w:keepNext w:val="0"/>
        <w:keepLines w:val="0"/>
        <w:pageBreakBefore w:val="0"/>
        <w:widowControl w:val="0"/>
        <w:numPr>
          <w:ilvl w:val="0"/>
          <w:numId w:val="4"/>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被依法暂停或者取消投标资格；</w:t>
      </w:r>
    </w:p>
    <w:p w14:paraId="3DF7140F">
      <w:pPr>
        <w:keepNext w:val="0"/>
        <w:keepLines w:val="0"/>
        <w:pageBreakBefore w:val="0"/>
        <w:widowControl w:val="0"/>
        <w:numPr>
          <w:ilvl w:val="0"/>
          <w:numId w:val="4"/>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被责令停产停业、暂扣或者吊销许可证、暂扣或者吊销执照；</w:t>
      </w:r>
    </w:p>
    <w:p w14:paraId="1E665FB6">
      <w:pPr>
        <w:keepNext w:val="0"/>
        <w:keepLines w:val="0"/>
        <w:pageBreakBefore w:val="0"/>
        <w:widowControl w:val="0"/>
        <w:numPr>
          <w:ilvl w:val="0"/>
          <w:numId w:val="4"/>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进入清算程序，或被宣告破产，或其他丧失履约能力的情形；</w:t>
      </w:r>
    </w:p>
    <w:p w14:paraId="00078646">
      <w:pPr>
        <w:keepNext w:val="0"/>
        <w:keepLines w:val="0"/>
        <w:pageBreakBefore w:val="0"/>
        <w:widowControl w:val="0"/>
        <w:numPr>
          <w:ilvl w:val="0"/>
          <w:numId w:val="4"/>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法律法规或投标人须知前附表规定的其他情形。</w:t>
      </w:r>
    </w:p>
    <w:p w14:paraId="691C30EF">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18"/>
          <w:szCs w:val="18"/>
          <w:lang w:val="en-US" w:eastAsia="zh-CN"/>
        </w:rPr>
      </w:pPr>
      <w:bookmarkStart w:id="21" w:name="_Toc28571"/>
      <w:r>
        <w:rPr>
          <w:rFonts w:hint="eastAsia" w:ascii="宋体" w:hAnsi="宋体" w:eastAsia="宋体" w:cs="宋体"/>
          <w:b/>
          <w:bCs/>
          <w:i w:val="0"/>
          <w:iCs w:val="0"/>
          <w:color w:val="auto"/>
          <w:spacing w:val="0"/>
          <w:sz w:val="18"/>
          <w:szCs w:val="18"/>
          <w:lang w:val="en-US" w:eastAsia="zh-CN"/>
        </w:rPr>
        <w:t>1.5费用承担</w:t>
      </w:r>
      <w:bookmarkEnd w:id="20"/>
      <w:bookmarkEnd w:id="21"/>
    </w:p>
    <w:p w14:paraId="58F51A8F">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投标人准备和参加投标活动发生的费用自理。</w:t>
      </w:r>
    </w:p>
    <w:p w14:paraId="44622A8F">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18"/>
          <w:szCs w:val="18"/>
          <w:lang w:val="en-US" w:eastAsia="zh-CN"/>
        </w:rPr>
      </w:pPr>
      <w:bookmarkStart w:id="22" w:name="_Toc22352"/>
      <w:bookmarkStart w:id="23" w:name="_Toc22846"/>
      <w:r>
        <w:rPr>
          <w:rFonts w:hint="eastAsia" w:ascii="宋体" w:hAnsi="宋体" w:eastAsia="宋体" w:cs="宋体"/>
          <w:b/>
          <w:bCs/>
          <w:i w:val="0"/>
          <w:iCs w:val="0"/>
          <w:color w:val="auto"/>
          <w:spacing w:val="0"/>
          <w:sz w:val="18"/>
          <w:szCs w:val="18"/>
          <w:lang w:val="en-US" w:eastAsia="zh-CN"/>
        </w:rPr>
        <w:t>1.6保密</w:t>
      </w:r>
      <w:bookmarkEnd w:id="22"/>
      <w:bookmarkEnd w:id="23"/>
    </w:p>
    <w:p w14:paraId="39B7BC75">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参与招标投标活动的各方应对招标文件和投标文件中的商业和技术等秘密保密，否则应承担相应的法律责任。</w:t>
      </w:r>
    </w:p>
    <w:p w14:paraId="3098C757">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18"/>
          <w:szCs w:val="18"/>
          <w:lang w:val="en-US" w:eastAsia="zh-CN"/>
        </w:rPr>
      </w:pPr>
      <w:bookmarkStart w:id="24" w:name="_Toc12528"/>
      <w:bookmarkStart w:id="25" w:name="_Toc23908"/>
      <w:r>
        <w:rPr>
          <w:rFonts w:hint="eastAsia" w:ascii="宋体" w:hAnsi="宋体" w:eastAsia="宋体" w:cs="宋体"/>
          <w:b/>
          <w:bCs/>
          <w:i w:val="0"/>
          <w:iCs w:val="0"/>
          <w:color w:val="auto"/>
          <w:spacing w:val="0"/>
          <w:sz w:val="18"/>
          <w:szCs w:val="18"/>
          <w:lang w:val="en-US" w:eastAsia="zh-CN"/>
        </w:rPr>
        <w:t>1.7语言文字</w:t>
      </w:r>
      <w:bookmarkEnd w:id="24"/>
      <w:bookmarkEnd w:id="25"/>
    </w:p>
    <w:p w14:paraId="44CE417A">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招标投标文件使用的语言文字为中文。专用术语使用外文的，应附有中文注释。</w:t>
      </w:r>
    </w:p>
    <w:p w14:paraId="29078A7A">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18"/>
          <w:szCs w:val="18"/>
          <w:lang w:val="en-US" w:eastAsia="zh-CN"/>
        </w:rPr>
      </w:pPr>
      <w:bookmarkStart w:id="26" w:name="_Toc13063"/>
      <w:bookmarkStart w:id="27" w:name="_Toc25860"/>
      <w:r>
        <w:rPr>
          <w:rFonts w:hint="eastAsia" w:ascii="宋体" w:hAnsi="宋体" w:eastAsia="宋体" w:cs="宋体"/>
          <w:b/>
          <w:bCs/>
          <w:i w:val="0"/>
          <w:iCs w:val="0"/>
          <w:color w:val="auto"/>
          <w:spacing w:val="0"/>
          <w:sz w:val="18"/>
          <w:szCs w:val="18"/>
          <w:lang w:val="en-US" w:eastAsia="zh-CN"/>
        </w:rPr>
        <w:t>1.8计量单位</w:t>
      </w:r>
      <w:bookmarkEnd w:id="26"/>
      <w:bookmarkEnd w:id="27"/>
    </w:p>
    <w:p w14:paraId="2B0C52BC">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所有计量均采用中华人民共和国法定计量单位。</w:t>
      </w:r>
    </w:p>
    <w:p w14:paraId="2113B9F8">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28" w:name="_Toc5658"/>
      <w:bookmarkStart w:id="29" w:name="_Toc31828"/>
      <w:r>
        <w:rPr>
          <w:rFonts w:hint="eastAsia" w:ascii="宋体" w:hAnsi="宋体" w:eastAsia="宋体" w:cs="宋体"/>
          <w:b/>
          <w:bCs/>
          <w:i w:val="0"/>
          <w:iCs w:val="0"/>
          <w:color w:val="auto"/>
          <w:spacing w:val="0"/>
          <w:sz w:val="21"/>
          <w:szCs w:val="21"/>
          <w:lang w:val="en-US" w:eastAsia="zh-CN"/>
        </w:rPr>
        <w:t>1.9</w:t>
      </w:r>
      <w:bookmarkEnd w:id="28"/>
      <w:r>
        <w:rPr>
          <w:rFonts w:hint="eastAsia" w:ascii="宋体" w:hAnsi="宋体" w:eastAsia="宋体" w:cs="宋体"/>
          <w:b/>
          <w:bCs/>
          <w:i w:val="0"/>
          <w:iCs w:val="0"/>
          <w:color w:val="auto"/>
          <w:spacing w:val="0"/>
          <w:sz w:val="21"/>
          <w:szCs w:val="21"/>
          <w:lang w:val="en-US" w:eastAsia="zh-CN"/>
        </w:rPr>
        <w:t>投标预备会</w:t>
      </w:r>
      <w:bookmarkEnd w:id="29"/>
    </w:p>
    <w:p w14:paraId="4DD6611E">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1.9.1投标人须知前附表规定召开投标预备会的，招标人按投标人须知前附表规定的时间和地点召开投标预备会，澄清投标人提出的问题。</w:t>
      </w:r>
    </w:p>
    <w:p w14:paraId="6D3117F7">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1.9.2投标人应按投标人须知前附表规定的时间和形式将提出的问题送达招标人，以便招标人在会议期间澄清。</w:t>
      </w:r>
    </w:p>
    <w:p w14:paraId="2DFDD8DB">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1.9.3投标预备会后，招标人将对投标人所提问题的澄清，以投标人须知前附表规定的形式通知所有购买招标文件的投标人。该澄清内容为招标文件的组成部分。</w:t>
      </w:r>
    </w:p>
    <w:p w14:paraId="5B92E534">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highlight w:val="none"/>
          <w:lang w:val="en-US" w:eastAsia="zh-CN"/>
        </w:rPr>
      </w:pPr>
      <w:bookmarkStart w:id="30" w:name="_Toc31842"/>
      <w:bookmarkStart w:id="31" w:name="_Toc6284"/>
      <w:r>
        <w:rPr>
          <w:rFonts w:hint="eastAsia" w:ascii="宋体" w:hAnsi="宋体" w:eastAsia="宋体" w:cs="宋体"/>
          <w:b/>
          <w:bCs/>
          <w:i w:val="0"/>
          <w:iCs w:val="0"/>
          <w:color w:val="auto"/>
          <w:spacing w:val="0"/>
          <w:sz w:val="21"/>
          <w:szCs w:val="21"/>
          <w:highlight w:val="none"/>
          <w:lang w:val="en-US" w:eastAsia="zh-CN"/>
        </w:rPr>
        <w:t>1.10分包</w:t>
      </w:r>
      <w:bookmarkEnd w:id="30"/>
      <w:bookmarkEnd w:id="31"/>
      <w:bookmarkStart w:id="32" w:name="_Toc23389"/>
    </w:p>
    <w:p w14:paraId="044F4EC2">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highlight w:val="none"/>
          <w:lang w:val="en-US" w:eastAsia="zh-CN"/>
        </w:rPr>
      </w:pPr>
      <w:r>
        <w:rPr>
          <w:rFonts w:hint="eastAsia" w:ascii="宋体" w:hAnsi="宋体" w:eastAsia="宋体" w:cs="宋体"/>
          <w:b w:val="0"/>
          <w:bCs w:val="0"/>
          <w:i w:val="0"/>
          <w:iCs w:val="0"/>
          <w:color w:val="auto"/>
          <w:spacing w:val="0"/>
          <w:sz w:val="21"/>
          <w:szCs w:val="21"/>
          <w:highlight w:val="none"/>
          <w:lang w:val="en-US" w:eastAsia="zh-CN"/>
        </w:rPr>
        <w:t>1.10.1投标人拟在中标后将中标项目的非主体进行分包的，应符合投标人须知前附表规定的分包内容、分包金额和资质要求等限制性条件，除投标人须知前附表规定的非主体外，其他工作不得分包。</w:t>
      </w:r>
    </w:p>
    <w:p w14:paraId="7CB6DEC4">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highlight w:val="none"/>
          <w:lang w:val="en-US" w:eastAsia="zh-CN"/>
        </w:rPr>
      </w:pPr>
      <w:r>
        <w:rPr>
          <w:rFonts w:hint="eastAsia" w:ascii="宋体" w:hAnsi="宋体" w:eastAsia="宋体" w:cs="宋体"/>
          <w:b w:val="0"/>
          <w:bCs w:val="0"/>
          <w:i w:val="0"/>
          <w:iCs w:val="0"/>
          <w:color w:val="auto"/>
          <w:spacing w:val="0"/>
          <w:sz w:val="21"/>
          <w:szCs w:val="21"/>
          <w:highlight w:val="none"/>
          <w:lang w:val="en-US" w:eastAsia="zh-CN"/>
        </w:rPr>
        <w:t>1.10.2中标人不得向他人转让中标项目，接受分包的人不得再次分包。中标人应当就分包项目向招标人负责，接受分包的人就分包项目承担连带责任。</w:t>
      </w:r>
    </w:p>
    <w:p w14:paraId="2319637A">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33" w:name="_Toc18499"/>
      <w:r>
        <w:rPr>
          <w:rFonts w:hint="eastAsia" w:ascii="宋体" w:hAnsi="宋体" w:eastAsia="宋体" w:cs="宋体"/>
          <w:b/>
          <w:bCs/>
          <w:i w:val="0"/>
          <w:iCs w:val="0"/>
          <w:color w:val="auto"/>
          <w:spacing w:val="0"/>
          <w:sz w:val="21"/>
          <w:szCs w:val="21"/>
          <w:lang w:val="en-US" w:eastAsia="zh-CN"/>
        </w:rPr>
        <w:t>1.11响应和偏差</w:t>
      </w:r>
      <w:bookmarkEnd w:id="32"/>
      <w:bookmarkEnd w:id="33"/>
    </w:p>
    <w:p w14:paraId="696657AC">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1.11.1投标文件应当对招标文件的实质性要求和条件作出满足性或更有利于招标人的响应，否则，投标人的投标将被否决。实质性要求和条件见投标人须知前附表。</w:t>
      </w:r>
    </w:p>
    <w:p w14:paraId="07553B55">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1.11.2投标人应根据招标文件的要求提供投标服务技术性能指标的详细描述、技术支持资料及技术服务和质保期服务计划等内容以对招标文件作出响应。</w:t>
      </w:r>
    </w:p>
    <w:p w14:paraId="538C4283">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1.11.3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14:paraId="0538AC51">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1.11.4投标人须知前附表规定了可以偏差的范围和最高偏差项数的，偏差应当符合投标人须知前附表规定的偏差范围和最高项数，超出偏差范围和最高偏差项数的投标将被否决。</w:t>
      </w:r>
    </w:p>
    <w:p w14:paraId="29D93E05">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1.11.5投标文件对招标文件的全部偏差，均应在投标文件的商务和技术偏差表中列明，除列明的内容外，视为投标人响应招标文件的全部要求。</w:t>
      </w:r>
    </w:p>
    <w:p w14:paraId="1FEB5123">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p>
    <w:p w14:paraId="0755C2FF">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1"/>
        <w:rPr>
          <w:rFonts w:hint="eastAsia" w:ascii="宋体" w:hAnsi="宋体" w:eastAsia="宋体" w:cs="宋体"/>
          <w:b/>
          <w:bCs/>
          <w:i w:val="0"/>
          <w:iCs w:val="0"/>
          <w:color w:val="auto"/>
          <w:spacing w:val="0"/>
          <w:sz w:val="32"/>
          <w:szCs w:val="32"/>
          <w:lang w:val="en-US" w:eastAsia="zh-CN"/>
        </w:rPr>
      </w:pPr>
      <w:bookmarkStart w:id="34" w:name="_Toc8371"/>
      <w:bookmarkStart w:id="35" w:name="_Toc23217"/>
      <w:r>
        <w:rPr>
          <w:rFonts w:hint="eastAsia" w:ascii="宋体" w:hAnsi="宋体" w:eastAsia="宋体" w:cs="宋体"/>
          <w:b/>
          <w:bCs/>
          <w:i w:val="0"/>
          <w:iCs w:val="0"/>
          <w:color w:val="auto"/>
          <w:spacing w:val="0"/>
          <w:sz w:val="32"/>
          <w:szCs w:val="32"/>
          <w:lang w:val="en-US" w:eastAsia="zh-CN"/>
        </w:rPr>
        <w:t>2.招标文件</w:t>
      </w:r>
      <w:bookmarkEnd w:id="34"/>
      <w:bookmarkEnd w:id="35"/>
    </w:p>
    <w:p w14:paraId="4E9157EE">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宋体" w:hAnsi="宋体" w:eastAsia="宋体" w:cs="宋体"/>
          <w:b/>
          <w:bCs/>
          <w:i w:val="0"/>
          <w:iCs w:val="0"/>
          <w:color w:val="auto"/>
          <w:spacing w:val="0"/>
          <w:sz w:val="22"/>
          <w:szCs w:val="22"/>
          <w:lang w:val="en-US" w:eastAsia="zh-CN"/>
        </w:rPr>
      </w:pPr>
    </w:p>
    <w:p w14:paraId="2EA71D7E">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36" w:name="_Toc17054"/>
      <w:bookmarkStart w:id="37" w:name="_Toc5292"/>
      <w:r>
        <w:rPr>
          <w:rFonts w:hint="eastAsia" w:ascii="宋体" w:hAnsi="宋体" w:eastAsia="宋体" w:cs="宋体"/>
          <w:b/>
          <w:bCs/>
          <w:i w:val="0"/>
          <w:iCs w:val="0"/>
          <w:color w:val="auto"/>
          <w:spacing w:val="0"/>
          <w:sz w:val="21"/>
          <w:szCs w:val="21"/>
          <w:lang w:val="en-US" w:eastAsia="zh-CN"/>
        </w:rPr>
        <w:t>2.1招标文件的组成</w:t>
      </w:r>
      <w:bookmarkEnd w:id="36"/>
      <w:bookmarkEnd w:id="37"/>
    </w:p>
    <w:p w14:paraId="6A967B09">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本招标文件包括：</w:t>
      </w:r>
    </w:p>
    <w:p w14:paraId="6A814B6A">
      <w:pPr>
        <w:keepNext w:val="0"/>
        <w:keepLines w:val="0"/>
        <w:pageBreakBefore w:val="0"/>
        <w:widowControl w:val="0"/>
        <w:numPr>
          <w:ilvl w:val="0"/>
          <w:numId w:val="5"/>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招标公告（或投标邀请书）；</w:t>
      </w:r>
    </w:p>
    <w:p w14:paraId="1090C0C1">
      <w:pPr>
        <w:keepNext w:val="0"/>
        <w:keepLines w:val="0"/>
        <w:pageBreakBefore w:val="0"/>
        <w:widowControl w:val="0"/>
        <w:numPr>
          <w:ilvl w:val="0"/>
          <w:numId w:val="5"/>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投标人须知；</w:t>
      </w:r>
    </w:p>
    <w:p w14:paraId="23CB19B1">
      <w:pPr>
        <w:keepNext w:val="0"/>
        <w:keepLines w:val="0"/>
        <w:pageBreakBefore w:val="0"/>
        <w:widowControl w:val="0"/>
        <w:numPr>
          <w:ilvl w:val="0"/>
          <w:numId w:val="5"/>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评标办法；</w:t>
      </w:r>
    </w:p>
    <w:p w14:paraId="202B2859">
      <w:pPr>
        <w:keepNext w:val="0"/>
        <w:keepLines w:val="0"/>
        <w:pageBreakBefore w:val="0"/>
        <w:widowControl w:val="0"/>
        <w:numPr>
          <w:ilvl w:val="0"/>
          <w:numId w:val="5"/>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合同条款及格式；</w:t>
      </w:r>
    </w:p>
    <w:p w14:paraId="15917F64">
      <w:pPr>
        <w:keepNext w:val="0"/>
        <w:keepLines w:val="0"/>
        <w:pageBreakBefore w:val="0"/>
        <w:widowControl w:val="0"/>
        <w:numPr>
          <w:ilvl w:val="0"/>
          <w:numId w:val="5"/>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投标文件格式；</w:t>
      </w:r>
    </w:p>
    <w:p w14:paraId="2C23632B">
      <w:pPr>
        <w:keepNext w:val="0"/>
        <w:keepLines w:val="0"/>
        <w:pageBreakBefore w:val="0"/>
        <w:widowControl w:val="0"/>
        <w:numPr>
          <w:ilvl w:val="0"/>
          <w:numId w:val="5"/>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投标人须知前附表规定的其他资料。</w:t>
      </w:r>
    </w:p>
    <w:p w14:paraId="6F9E9990">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根据本章第1.9款、第2.2款和第2.3款对招标文件所做的澄清、修改，构成招标文件的组成部分。</w:t>
      </w:r>
    </w:p>
    <w:p w14:paraId="746CFD4F">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38" w:name="_Toc14538"/>
      <w:bookmarkStart w:id="39" w:name="_Toc31958"/>
      <w:r>
        <w:rPr>
          <w:rFonts w:hint="eastAsia" w:ascii="宋体" w:hAnsi="宋体" w:eastAsia="宋体" w:cs="宋体"/>
          <w:b/>
          <w:bCs/>
          <w:i w:val="0"/>
          <w:iCs w:val="0"/>
          <w:color w:val="auto"/>
          <w:spacing w:val="0"/>
          <w:sz w:val="21"/>
          <w:szCs w:val="21"/>
          <w:lang w:val="en-US" w:eastAsia="zh-CN"/>
        </w:rPr>
        <w:t>2.2招标文件的澄清</w:t>
      </w:r>
      <w:bookmarkEnd w:id="38"/>
      <w:bookmarkEnd w:id="39"/>
    </w:p>
    <w:p w14:paraId="3382F2CB">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53BCE980">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2.2.2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14:paraId="67D3E69D">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2.2.3投标人在收到澄清后，应按投标人须知前附表规定的时间和形式通知招标人，确认已收到该澄清。</w:t>
      </w:r>
    </w:p>
    <w:p w14:paraId="1C98315F">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2.2.4除非招标人认为确有必要答复，否则，招标人有权拒绝回复投标人在本章第2.2.1项规定的时间后的任何澄清要求。</w:t>
      </w:r>
    </w:p>
    <w:p w14:paraId="7F2D9D1F">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40" w:name="_Toc18737"/>
      <w:bookmarkStart w:id="41" w:name="_Toc10354"/>
      <w:r>
        <w:rPr>
          <w:rFonts w:hint="eastAsia" w:ascii="宋体" w:hAnsi="宋体" w:eastAsia="宋体" w:cs="宋体"/>
          <w:b/>
          <w:bCs/>
          <w:i w:val="0"/>
          <w:iCs w:val="0"/>
          <w:color w:val="auto"/>
          <w:spacing w:val="0"/>
          <w:sz w:val="21"/>
          <w:szCs w:val="21"/>
          <w:lang w:val="en-US" w:eastAsia="zh-CN"/>
        </w:rPr>
        <w:t>2.3招标文件的修改</w:t>
      </w:r>
      <w:bookmarkEnd w:id="40"/>
      <w:bookmarkEnd w:id="41"/>
    </w:p>
    <w:p w14:paraId="188AFB51">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2.3.1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p w14:paraId="543FF40D">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2.3.2投标人收到修改内容后，应按投标人须知前附表规定的时间和形式通知招标人，确认已收到该修改。</w:t>
      </w:r>
    </w:p>
    <w:p w14:paraId="4FF47CE9">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42" w:name="_Toc8779"/>
      <w:bookmarkStart w:id="43" w:name="_Toc3808"/>
      <w:r>
        <w:rPr>
          <w:rFonts w:hint="eastAsia" w:ascii="宋体" w:hAnsi="宋体" w:eastAsia="宋体" w:cs="宋体"/>
          <w:b/>
          <w:bCs/>
          <w:i w:val="0"/>
          <w:iCs w:val="0"/>
          <w:color w:val="auto"/>
          <w:spacing w:val="0"/>
          <w:sz w:val="21"/>
          <w:szCs w:val="21"/>
          <w:lang w:val="en-US" w:eastAsia="zh-CN"/>
        </w:rPr>
        <w:t>2.4招标文件的异议</w:t>
      </w:r>
      <w:bookmarkEnd w:id="42"/>
      <w:bookmarkEnd w:id="43"/>
    </w:p>
    <w:p w14:paraId="5D09E9D1">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投标人或者其他利害关系人对招标文件有异议的，应当在投标截止时间10日前以书面形式提出。招标人将在收到异议之日起3日内作出答复；作出答复前，将暂停招标投标活动。</w:t>
      </w:r>
    </w:p>
    <w:p w14:paraId="6C040BD7">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1"/>
        <w:rPr>
          <w:rFonts w:hint="eastAsia" w:ascii="宋体" w:hAnsi="宋体" w:eastAsia="宋体" w:cs="宋体"/>
          <w:b/>
          <w:bCs/>
          <w:i w:val="0"/>
          <w:iCs w:val="0"/>
          <w:color w:val="auto"/>
          <w:spacing w:val="0"/>
          <w:sz w:val="32"/>
          <w:szCs w:val="32"/>
          <w:lang w:val="en-US" w:eastAsia="zh-CN"/>
        </w:rPr>
      </w:pPr>
      <w:bookmarkStart w:id="44" w:name="_Toc7959"/>
      <w:bookmarkStart w:id="45" w:name="_Toc3822"/>
      <w:r>
        <w:rPr>
          <w:rFonts w:hint="eastAsia" w:ascii="宋体" w:hAnsi="宋体" w:eastAsia="宋体" w:cs="宋体"/>
          <w:b/>
          <w:bCs/>
          <w:i w:val="0"/>
          <w:iCs w:val="0"/>
          <w:color w:val="auto"/>
          <w:spacing w:val="0"/>
          <w:sz w:val="32"/>
          <w:szCs w:val="32"/>
          <w:lang w:val="en-US" w:eastAsia="zh-CN"/>
        </w:rPr>
        <w:t>3.投标文件</w:t>
      </w:r>
      <w:bookmarkEnd w:id="44"/>
      <w:bookmarkEnd w:id="45"/>
    </w:p>
    <w:p w14:paraId="33B73512">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9"/>
        <w:rPr>
          <w:rFonts w:hint="eastAsia" w:ascii="宋体" w:hAnsi="宋体" w:eastAsia="宋体" w:cs="宋体"/>
          <w:b/>
          <w:bCs/>
          <w:i w:val="0"/>
          <w:iCs w:val="0"/>
          <w:color w:val="auto"/>
          <w:spacing w:val="0"/>
          <w:sz w:val="21"/>
          <w:szCs w:val="21"/>
          <w:lang w:val="en-US" w:eastAsia="zh-CN"/>
        </w:rPr>
      </w:pPr>
    </w:p>
    <w:p w14:paraId="0A9469EE">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46" w:name="_Toc14558"/>
      <w:bookmarkStart w:id="47" w:name="_Toc2527"/>
      <w:r>
        <w:rPr>
          <w:rFonts w:hint="eastAsia" w:ascii="宋体" w:hAnsi="宋体" w:eastAsia="宋体" w:cs="宋体"/>
          <w:b/>
          <w:bCs/>
          <w:i w:val="0"/>
          <w:iCs w:val="0"/>
          <w:color w:val="auto"/>
          <w:spacing w:val="0"/>
          <w:sz w:val="21"/>
          <w:szCs w:val="21"/>
          <w:lang w:val="en-US" w:eastAsia="zh-CN"/>
        </w:rPr>
        <w:t>3.1投标文件的组成</w:t>
      </w:r>
      <w:bookmarkEnd w:id="46"/>
      <w:bookmarkEnd w:id="47"/>
    </w:p>
    <w:p w14:paraId="4A2BEC6D">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3.1.1投标文件应包括下列内容：</w:t>
      </w:r>
    </w:p>
    <w:p w14:paraId="3520AECE">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3.1.1.1资格文件</w:t>
      </w:r>
    </w:p>
    <w:p w14:paraId="7C771D3C">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投标人必须按要求如实、准确、完整地提供评估因素要求的各类文件资料。否则投标将不被接受。投标文件包括以下部分（但不局限于以下部分）：</w:t>
      </w:r>
    </w:p>
    <w:p w14:paraId="5FAFDCD4">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投标单位的资格要求：</w:t>
      </w:r>
    </w:p>
    <w:p w14:paraId="178F0E0C">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（1）符合《政府采购法》第二十二条规定的条件；</w:t>
      </w:r>
    </w:p>
    <w:p w14:paraId="00ACB1A5">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（2）投标单位具备有效的营业执照；</w:t>
      </w:r>
    </w:p>
    <w:p w14:paraId="35A19AE4">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（3）法定代表人须提供法定代表人证明书、法定代表人身份证，委托代理人投标须提供法定代表人授权委托书及委托代理人身份证；</w:t>
      </w:r>
    </w:p>
    <w:p w14:paraId="146118C0">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（4）财务要求：近一年（2024年度）由第三方财务审计机构出具的财务审计报告或合法的财务报表；企业成立不足一年的，需提供企业成立以来的。</w:t>
      </w:r>
    </w:p>
    <w:p w14:paraId="26C8482C">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（5）投标单位提供本单位缴纳社保，出具近三个月的缴纳社保证明；投标单位提供税务机关出具近一个季度填报日期的完税证明；</w:t>
      </w:r>
    </w:p>
    <w:p w14:paraId="6533F10F">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6）凡拟参加本次招标项目的投标单位，自公告发布之日起至投标文件递交截止时间止（该时间段内任一时间）。查询渠道为：“信用中国”网站（www.creditchina.gov.cn）被列入失信被执行人、重大税收违法案件当事人名单、政府采购严重违法失信名单的（尚在处罚期内的）、中国政府采购网（www.ccgp.gov.cn）被列入政府采购严重违法失信行为记录名单（尚在处罚期内的）及其他不符合《中华人民共和国政府采购法》第二十二条规定条件的供应商，其投标文件将被拒绝；</w:t>
      </w:r>
    </w:p>
    <w:p w14:paraId="2BC19E0A">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（7）投标单位应为中小企业。</w:t>
      </w:r>
    </w:p>
    <w:p w14:paraId="68693949">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2.本项目的特定资格要求：</w:t>
      </w:r>
    </w:p>
    <w:p w14:paraId="130F0835">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（1）投标企业须具备满足本项目供应及服务能力的生产商或经销商。</w:t>
      </w:r>
    </w:p>
    <w:p w14:paraId="710FF5D7">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3.1.1.2报价文件</w:t>
      </w:r>
    </w:p>
    <w:p w14:paraId="4BFF339E">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报价文件（按招标文件第六章的格式提供）</w:t>
      </w:r>
    </w:p>
    <w:p w14:paraId="43433212">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3.1.1.3商务技术文件</w:t>
      </w:r>
    </w:p>
    <w:p w14:paraId="622008AE">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投标人必须按要求如实、准确、完整地提供评估因素要求的各类文件资料。否则投标将不被接受。投标文件包括以下部分（但不局限于以下部分）：</w:t>
      </w:r>
    </w:p>
    <w:p w14:paraId="2B58DAE2">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一、投标函；</w:t>
      </w:r>
    </w:p>
    <w:p w14:paraId="6EBB65FD">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二、法定代表人身份证明或授权委托书；</w:t>
      </w:r>
    </w:p>
    <w:p w14:paraId="44DF2C64">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三、资格审查资料</w:t>
      </w:r>
    </w:p>
    <w:p w14:paraId="56DC4F43">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四、技术文件</w:t>
      </w:r>
    </w:p>
    <w:p w14:paraId="3F489173">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五、其他资料</w:t>
      </w:r>
    </w:p>
    <w:p w14:paraId="4AA55486">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48" w:name="_Toc3438"/>
      <w:bookmarkStart w:id="49" w:name="_Toc7281"/>
      <w:r>
        <w:rPr>
          <w:rFonts w:hint="eastAsia" w:ascii="宋体" w:hAnsi="宋体" w:eastAsia="宋体" w:cs="宋体"/>
          <w:b/>
          <w:bCs/>
          <w:i w:val="0"/>
          <w:iCs w:val="0"/>
          <w:color w:val="auto"/>
          <w:spacing w:val="0"/>
          <w:sz w:val="21"/>
          <w:szCs w:val="21"/>
          <w:lang w:val="en-US" w:eastAsia="zh-CN"/>
        </w:rPr>
        <w:t>3.2投标报价</w:t>
      </w:r>
      <w:bookmarkEnd w:id="48"/>
      <w:bookmarkEnd w:id="49"/>
    </w:p>
    <w:p w14:paraId="7170BB9B">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 xml:space="preserve"> 3.2.1投标总报价除投标人须知前附表另有规定外，增值税税金按一般计税方法计算。投标人应按第六章“投标文件格式”的要求在投标函中进行报价。</w:t>
      </w:r>
    </w:p>
    <w:p w14:paraId="4205F0B6">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3.2.2投标人应充分了解该项目的总体情况以及影响投标报价的其他要素。</w:t>
      </w:r>
    </w:p>
    <w:p w14:paraId="5106AB62">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3.2.3本项目的报价方式见投标人须知前附表。投标人在投标截止时间前修改投标函中的投标报价总额，应同时修改投标文件“分项报价表”中的相应报价。此修改须符合本章第4.3款的有关要求。</w:t>
      </w:r>
    </w:p>
    <w:p w14:paraId="4A38E8B9">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3.2.4招标人设有最高投标限价的，投标人的投标报价不得等于或超过最高投标限价，最高投标限价在投标人须知前附表中载明。</w:t>
      </w:r>
    </w:p>
    <w:p w14:paraId="727AB0EB">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3.2.5投标报价的其他要求见投标人须知前附表。</w:t>
      </w:r>
    </w:p>
    <w:p w14:paraId="2DE2D804">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 xml:space="preserve">3.2.6磋商实行二轮报价，原则上第二轮报价为最终报价。超过二轮报价的由磋 商小组现场集体决定，但最后一轮报价前必须告知所有参加磋商的供应商，并以最后一轮报价为最终报价；供应商后一轮报价不得高于其前一轮报价；否则磋商小组有权据此 确定为无效报价，参与磋商的供应商少于三家的予以废标。 </w:t>
      </w:r>
    </w:p>
    <w:p w14:paraId="263BEC00">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特殊情况及处置：</w:t>
      </w:r>
    </w:p>
    <w:p w14:paraId="6F49C017">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1）采购范围变化且总价不超过控制价的；（2）采购主材的市场价格明显降价的；（3）报价明细中个别报价明显高于市场价且无明确报价依据的；（4）最后一轮报价中最低报价相同的。发生上述情形之一的，谈判小组根据相关法律规定有权予以废标或者与供应商进行谈判后继续报价。</w:t>
      </w:r>
    </w:p>
    <w:p w14:paraId="48E7A886">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50" w:name="_Toc26243"/>
      <w:bookmarkStart w:id="51" w:name="_Toc18617"/>
      <w:r>
        <w:rPr>
          <w:rFonts w:hint="eastAsia" w:ascii="宋体" w:hAnsi="宋体" w:eastAsia="宋体" w:cs="宋体"/>
          <w:b/>
          <w:bCs/>
          <w:i w:val="0"/>
          <w:iCs w:val="0"/>
          <w:color w:val="auto"/>
          <w:spacing w:val="0"/>
          <w:sz w:val="21"/>
          <w:szCs w:val="21"/>
          <w:lang w:val="en-US" w:eastAsia="zh-CN"/>
        </w:rPr>
        <w:t>3.3投标有效期</w:t>
      </w:r>
      <w:bookmarkEnd w:id="50"/>
      <w:bookmarkEnd w:id="51"/>
    </w:p>
    <w:p w14:paraId="6C937DDA">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3.3.1除投标人须知前附表另有规定外，投标有效期为90天。</w:t>
      </w:r>
    </w:p>
    <w:p w14:paraId="3E53DA67">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3.3.2在投标有效期内，投标人撤销投标文件的，应承担招标文件和法律规定的责任。</w:t>
      </w:r>
    </w:p>
    <w:p w14:paraId="3AAC5F38">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2D0372A8">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52" w:name="_Toc3414"/>
      <w:bookmarkStart w:id="53" w:name="_Toc25002"/>
      <w:r>
        <w:rPr>
          <w:rFonts w:hint="eastAsia" w:ascii="宋体" w:hAnsi="宋体" w:eastAsia="宋体" w:cs="宋体"/>
          <w:b/>
          <w:bCs/>
          <w:i w:val="0"/>
          <w:iCs w:val="0"/>
          <w:color w:val="auto"/>
          <w:spacing w:val="0"/>
          <w:sz w:val="21"/>
          <w:szCs w:val="21"/>
          <w:lang w:val="en-US" w:eastAsia="zh-CN"/>
        </w:rPr>
        <w:t>3.4投标保证金</w:t>
      </w:r>
      <w:bookmarkEnd w:id="52"/>
      <w:bookmarkEnd w:id="53"/>
      <w:r>
        <w:rPr>
          <w:rFonts w:hint="eastAsia" w:ascii="宋体" w:hAnsi="宋体" w:eastAsia="宋体" w:cs="宋体"/>
          <w:b/>
          <w:bCs/>
          <w:i w:val="0"/>
          <w:iCs w:val="0"/>
          <w:color w:val="auto"/>
          <w:spacing w:val="0"/>
          <w:sz w:val="21"/>
          <w:szCs w:val="21"/>
          <w:lang w:val="en-US" w:eastAsia="zh-CN"/>
        </w:rPr>
        <w:t>（本项目不作要求）</w:t>
      </w:r>
    </w:p>
    <w:p w14:paraId="7DC37529">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3.4.1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14:paraId="3AF6CDFD">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3.4.2投标人不按本章第3.4.1项要求提交投标保证金的，评标委员会将否决其投标。</w:t>
      </w:r>
    </w:p>
    <w:p w14:paraId="25491D58">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3.4.3招标人最迟将在与中标人签订合同后5日内，向未中标的投标人和中标人退还投标保证金。投标保证金以现金或者支票形式递交的，还应退还银行同期存款利息。</w:t>
      </w:r>
    </w:p>
    <w:p w14:paraId="2298F759">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3.4.4有下列情形之一的，投标保证金将不予退还：</w:t>
      </w:r>
    </w:p>
    <w:p w14:paraId="399F9388">
      <w:pPr>
        <w:keepNext w:val="0"/>
        <w:keepLines w:val="0"/>
        <w:pageBreakBefore w:val="0"/>
        <w:widowControl w:val="0"/>
        <w:numPr>
          <w:ilvl w:val="0"/>
          <w:numId w:val="6"/>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投标人在投标有效期内撤销投标文件；</w:t>
      </w:r>
    </w:p>
    <w:p w14:paraId="2CC10A90">
      <w:pPr>
        <w:keepNext w:val="0"/>
        <w:keepLines w:val="0"/>
        <w:pageBreakBefore w:val="0"/>
        <w:widowControl w:val="0"/>
        <w:numPr>
          <w:ilvl w:val="0"/>
          <w:numId w:val="6"/>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中标人在收到中标通知书后，无正当理由不与招标人订立合同，在签订合同时向招标人提出附加条件，或者不按照招标文件要求提交履约保证金；</w:t>
      </w:r>
    </w:p>
    <w:p w14:paraId="1DC84A46">
      <w:pPr>
        <w:keepNext w:val="0"/>
        <w:keepLines w:val="0"/>
        <w:pageBreakBefore w:val="0"/>
        <w:widowControl w:val="0"/>
        <w:numPr>
          <w:ilvl w:val="0"/>
          <w:numId w:val="6"/>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发生投标人须知前附表规定的其他可以不予退还投标保证金的情形。</w:t>
      </w:r>
    </w:p>
    <w:p w14:paraId="3F0495EB">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54" w:name="_Toc17106"/>
      <w:bookmarkStart w:id="55" w:name="_Toc25885"/>
      <w:r>
        <w:rPr>
          <w:rFonts w:hint="eastAsia" w:ascii="宋体" w:hAnsi="宋体" w:eastAsia="宋体" w:cs="宋体"/>
          <w:b/>
          <w:bCs/>
          <w:i w:val="0"/>
          <w:iCs w:val="0"/>
          <w:color w:val="auto"/>
          <w:spacing w:val="0"/>
          <w:sz w:val="21"/>
          <w:szCs w:val="21"/>
          <w:lang w:val="en-US" w:eastAsia="zh-CN"/>
        </w:rPr>
        <w:t>3.5资格审查资料</w:t>
      </w:r>
      <w:bookmarkEnd w:id="54"/>
      <w:bookmarkEnd w:id="55"/>
    </w:p>
    <w:p w14:paraId="49DD721E">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除投标人须知前附表另有规定外，投标人应按下列规定提供资格审查资料，以证明其满足本章第1.4款规定的资质、财务、业绩、信誉等要求。</w:t>
      </w:r>
    </w:p>
    <w:p w14:paraId="2C388415">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3.5.1“投标人基本情况表”应附投标人及其制造商（适用于代理经销商投标的情形）资格或者资质证书副本和投标材料检验或认证等材料的复印件以及：</w:t>
      </w:r>
    </w:p>
    <w:p w14:paraId="713C8592">
      <w:pPr>
        <w:keepNext w:val="0"/>
        <w:keepLines w:val="0"/>
        <w:pageBreakBefore w:val="0"/>
        <w:widowControl w:val="0"/>
        <w:numPr>
          <w:ilvl w:val="0"/>
          <w:numId w:val="7"/>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投标人为企业的，应提交营业执照和组织机构代码证的复印件（按照“三证合一”或“五证合一”登记制度进行登记的，提供营业执照原件扫描件）；</w:t>
      </w:r>
    </w:p>
    <w:p w14:paraId="60CE47DE">
      <w:pPr>
        <w:keepNext w:val="0"/>
        <w:keepLines w:val="0"/>
        <w:pageBreakBefore w:val="0"/>
        <w:widowControl w:val="0"/>
        <w:numPr>
          <w:ilvl w:val="0"/>
          <w:numId w:val="7"/>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投标人为依法允许经营的事业单位的，应提交事业单位法人证书和组织机构代码证的复印件。</w:t>
      </w:r>
    </w:p>
    <w:p w14:paraId="7CC5CD10">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3.5.2“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14:paraId="6F00CF30">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3.5.3“近年完成的类似项目情况表”应附中标通知书或合同协议书等的原件扫描件，具体时间要求见投标人须知前附表。每张表格只填写一个项目，并标明序号。</w:t>
      </w:r>
    </w:p>
    <w:p w14:paraId="088A03C8">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3.5.4在“信用中国”网站、“中国政府采购网”等无不良行为记录。具体要求见投标人须知前附表。</w:t>
      </w:r>
    </w:p>
    <w:p w14:paraId="7FC34671">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3.5.5投标人须知前附表规定接受联合体投标的，本章第3.5.1项至第3.5.5项规定的表格和资料应包括联合体各方相关情况。</w:t>
      </w:r>
    </w:p>
    <w:p w14:paraId="412CC103">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56" w:name="_Toc14677"/>
      <w:bookmarkStart w:id="57" w:name="_Toc7685"/>
      <w:r>
        <w:rPr>
          <w:rFonts w:hint="eastAsia" w:ascii="宋体" w:hAnsi="宋体" w:eastAsia="宋体" w:cs="宋体"/>
          <w:b/>
          <w:bCs/>
          <w:i w:val="0"/>
          <w:iCs w:val="0"/>
          <w:color w:val="auto"/>
          <w:spacing w:val="0"/>
          <w:sz w:val="21"/>
          <w:szCs w:val="21"/>
          <w:lang w:val="en-US" w:eastAsia="zh-CN"/>
        </w:rPr>
        <w:t>3.6备选投标方案</w:t>
      </w:r>
      <w:bookmarkEnd w:id="56"/>
      <w:bookmarkEnd w:id="57"/>
    </w:p>
    <w:p w14:paraId="5408C0B4">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3.6.1除投标人须知前附表规定允许外，投标人不得递交备选投标方案，否则其投标将被否决。</w:t>
      </w:r>
    </w:p>
    <w:p w14:paraId="26A7A400">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3.6.2允许投标人递交备选投标方案的，只有中标人所递交的备选投标方案方可予以考虑。评标委员会认为中标人的备选投标方案优于其按照招标文件要求编制的投标方案的，招标人可以接受该备选投标方案。</w:t>
      </w:r>
    </w:p>
    <w:p w14:paraId="2EE48610">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3.6.3投标人提供两个或两个以上投标报价，或者在投标文件中提供一个报价，但同时提供两个或两个以上货物采购方案的，视为提供备选方案。</w:t>
      </w:r>
    </w:p>
    <w:p w14:paraId="527C152B">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58" w:name="_Toc28186"/>
      <w:bookmarkStart w:id="59" w:name="_Toc183"/>
      <w:r>
        <w:rPr>
          <w:rFonts w:hint="eastAsia" w:ascii="宋体" w:hAnsi="宋体" w:eastAsia="宋体" w:cs="宋体"/>
          <w:b/>
          <w:bCs/>
          <w:i w:val="0"/>
          <w:iCs w:val="0"/>
          <w:color w:val="auto"/>
          <w:spacing w:val="0"/>
          <w:sz w:val="21"/>
          <w:szCs w:val="21"/>
          <w:lang w:val="en-US" w:eastAsia="zh-CN"/>
        </w:rPr>
        <w:t>3.7投标文件的编制</w:t>
      </w:r>
      <w:bookmarkEnd w:id="58"/>
      <w:bookmarkEnd w:id="59"/>
    </w:p>
    <w:p w14:paraId="0282C663">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3.7.1投标文件应按第六章“投标文件格式”进行编写并编制页码，如有必要，可以增加附页，作为投标文件的组成部分。</w:t>
      </w:r>
    </w:p>
    <w:p w14:paraId="5B63DFBE">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3.7.2投标文件应当对招标文件有关工期、投标有效期、招标范围等实质性内容作出响应。投标文件在满足招标文件实质性要求的基础上，可以提出比招标文件要求更有利于招标人的承诺。</w:t>
      </w:r>
    </w:p>
    <w:p w14:paraId="1758E7E0">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3.7.3(1)投标文件应用不褪色的材料书写或打印，投标函及对投标文件的澄清、说明和补正应由投标人的法定代表人（单位负责人）及其授权的代理人签字、盖单位章。由投标人的法定代表人（单位负责人）签字的，应附法定代表人（单位负责人）身份证明，由代理人签字的，应附授权委托书，身份证明或授权委托书应符合第六章“投标文件格式”的要求。投标文件应尽量避免涂改、行间插字或删除。如果出现上述情况，改动之处应由投标人的法定代表人（单位负责人）或其授权的代理人签字或盖单位章。</w:t>
      </w:r>
    </w:p>
    <w:p w14:paraId="0A7578AF">
      <w:pPr>
        <w:keepNext w:val="0"/>
        <w:keepLines w:val="0"/>
        <w:pageBreakBefore w:val="0"/>
        <w:widowControl w:val="0"/>
        <w:numPr>
          <w:ilvl w:val="0"/>
          <w:numId w:val="8"/>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投标文件须在开标前上传至政采云客户端(经加密的电子版文件)。</w:t>
      </w:r>
    </w:p>
    <w:p w14:paraId="52E3ACCD">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539" w:firstLineChars="257"/>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3.7.4签字或盖章的具体要求见投标人须知前附表。</w:t>
      </w:r>
    </w:p>
    <w:p w14:paraId="4EB6F68F">
      <w:pPr>
        <w:keepNext w:val="0"/>
        <w:keepLines w:val="0"/>
        <w:pageBreakBefore w:val="0"/>
        <w:widowControl w:val="0"/>
        <w:numPr>
          <w:ilvl w:val="0"/>
          <w:numId w:val="0"/>
        </w:numPr>
        <w:shd w:val="clear"/>
        <w:kinsoku/>
        <w:wordWrap/>
        <w:overflowPunct/>
        <w:topLinePunct w:val="0"/>
        <w:autoSpaceDE/>
        <w:autoSpaceDN/>
        <w:bidi w:val="0"/>
        <w:adjustRightInd/>
        <w:snapToGrid/>
        <w:spacing w:after="126" w:afterLines="40" w:line="240" w:lineRule="auto"/>
        <w:ind w:right="0" w:rightChars="0"/>
        <w:jc w:val="left"/>
        <w:textAlignment w:val="auto"/>
        <w:outlineLvl w:val="1"/>
        <w:rPr>
          <w:rFonts w:hint="eastAsia" w:ascii="宋体" w:hAnsi="宋体" w:eastAsia="宋体" w:cs="宋体"/>
          <w:b/>
          <w:bCs/>
          <w:i w:val="0"/>
          <w:iCs w:val="0"/>
          <w:color w:val="auto"/>
          <w:spacing w:val="0"/>
          <w:sz w:val="32"/>
          <w:szCs w:val="32"/>
          <w:shd w:val="clear" w:color="auto" w:fill="auto"/>
          <w:lang w:val="en-US" w:eastAsia="zh-CN"/>
        </w:rPr>
      </w:pPr>
      <w:bookmarkStart w:id="60" w:name="_Toc12111"/>
      <w:bookmarkStart w:id="61" w:name="_Toc19283"/>
      <w:r>
        <w:rPr>
          <w:rFonts w:hint="eastAsia" w:ascii="宋体" w:hAnsi="宋体" w:eastAsia="宋体" w:cs="宋体"/>
          <w:b/>
          <w:bCs/>
          <w:i w:val="0"/>
          <w:iCs w:val="0"/>
          <w:color w:val="auto"/>
          <w:spacing w:val="0"/>
          <w:sz w:val="32"/>
          <w:szCs w:val="32"/>
          <w:shd w:val="clear" w:color="auto" w:fill="auto"/>
          <w:lang w:val="en-US" w:eastAsia="zh-CN"/>
        </w:rPr>
        <w:t>4.投标</w:t>
      </w:r>
      <w:bookmarkEnd w:id="60"/>
      <w:bookmarkEnd w:id="61"/>
    </w:p>
    <w:p w14:paraId="753C1025">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宋体" w:hAnsi="宋体" w:eastAsia="宋体" w:cs="宋体"/>
          <w:b/>
          <w:bCs/>
          <w:i w:val="0"/>
          <w:iCs w:val="0"/>
          <w:color w:val="auto"/>
          <w:spacing w:val="0"/>
          <w:sz w:val="21"/>
          <w:szCs w:val="21"/>
          <w:lang w:val="en-US" w:eastAsia="zh-CN"/>
        </w:rPr>
      </w:pPr>
    </w:p>
    <w:p w14:paraId="601771DF">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62" w:name="_Toc665"/>
      <w:bookmarkStart w:id="63" w:name="_Toc5081"/>
      <w:r>
        <w:rPr>
          <w:rFonts w:hint="eastAsia" w:ascii="宋体" w:hAnsi="宋体" w:eastAsia="宋体" w:cs="宋体"/>
          <w:b/>
          <w:bCs/>
          <w:i w:val="0"/>
          <w:iCs w:val="0"/>
          <w:color w:val="auto"/>
          <w:spacing w:val="0"/>
          <w:sz w:val="21"/>
          <w:szCs w:val="21"/>
          <w:lang w:val="en-US" w:eastAsia="zh-CN"/>
        </w:rPr>
        <w:t>4.1投标文件的密封和标记</w:t>
      </w:r>
      <w:bookmarkEnd w:id="62"/>
      <w:bookmarkEnd w:id="63"/>
      <w:r>
        <w:rPr>
          <w:rFonts w:hint="eastAsia" w:ascii="宋体" w:hAnsi="宋体" w:eastAsia="宋体" w:cs="宋体"/>
          <w:b/>
          <w:bCs/>
          <w:i w:val="0"/>
          <w:iCs w:val="0"/>
          <w:color w:val="auto"/>
          <w:spacing w:val="0"/>
          <w:sz w:val="21"/>
          <w:szCs w:val="21"/>
          <w:lang w:val="en-US" w:eastAsia="zh-CN"/>
        </w:rPr>
        <w:t>（电子投标不适用）</w:t>
      </w:r>
    </w:p>
    <w:p w14:paraId="339914A3">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4.1.1投标文件应密封包装，并在封套的封口处加盖投标人单位章或由投标人的法定代表人或其授权的代理人签字。</w:t>
      </w:r>
    </w:p>
    <w:p w14:paraId="417B55ED">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4.1.2投标文件封套上应写明的内容见投标人须知前附表。</w:t>
      </w:r>
    </w:p>
    <w:p w14:paraId="4AEF00EF">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4.1.3未按本章第4.1.1项要求密封的投标文件，招标人将予以拒收。</w:t>
      </w:r>
    </w:p>
    <w:p w14:paraId="4947B8C0">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64" w:name="_Toc22955"/>
      <w:bookmarkStart w:id="65" w:name="_Toc2537"/>
      <w:r>
        <w:rPr>
          <w:rFonts w:hint="eastAsia" w:ascii="宋体" w:hAnsi="宋体" w:eastAsia="宋体" w:cs="宋体"/>
          <w:b/>
          <w:bCs/>
          <w:i w:val="0"/>
          <w:iCs w:val="0"/>
          <w:color w:val="auto"/>
          <w:spacing w:val="0"/>
          <w:sz w:val="21"/>
          <w:szCs w:val="21"/>
          <w:lang w:val="en-US" w:eastAsia="zh-CN"/>
        </w:rPr>
        <w:t>4.2投标文件的递交</w:t>
      </w:r>
      <w:bookmarkEnd w:id="64"/>
      <w:bookmarkEnd w:id="65"/>
    </w:p>
    <w:p w14:paraId="200051C5">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4.2.1投标人应在投标人须知前附表规定的投标截止时间前递交投标文件。</w:t>
      </w:r>
    </w:p>
    <w:p w14:paraId="234F098B">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4.2.2投标人递交投标文件的地点：见投标人须知前附表。</w:t>
      </w:r>
    </w:p>
    <w:p w14:paraId="489DBF49">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4.2.3除投标人须知前附表另有规定外，投标人所递交的投标文件不予退还。</w:t>
      </w:r>
    </w:p>
    <w:p w14:paraId="6573DC83">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4.2.4招标人收到投标文件后，进行投标文件送达登记，投标人签字确认，</w:t>
      </w:r>
    </w:p>
    <w:p w14:paraId="1D3AC8B5">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4.2.5逾期送达的投标文件，招标人将予以拒收。</w:t>
      </w:r>
    </w:p>
    <w:p w14:paraId="53FA4B48">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66" w:name="_Toc10771"/>
      <w:bookmarkStart w:id="67" w:name="_Toc21826"/>
      <w:r>
        <w:rPr>
          <w:rFonts w:hint="eastAsia" w:ascii="宋体" w:hAnsi="宋体" w:eastAsia="宋体" w:cs="宋体"/>
          <w:b/>
          <w:bCs/>
          <w:i w:val="0"/>
          <w:iCs w:val="0"/>
          <w:color w:val="auto"/>
          <w:spacing w:val="0"/>
          <w:sz w:val="21"/>
          <w:szCs w:val="21"/>
          <w:lang w:val="en-US" w:eastAsia="zh-CN"/>
        </w:rPr>
        <w:t>4.3投标文件的修改与撤回</w:t>
      </w:r>
      <w:bookmarkEnd w:id="66"/>
      <w:bookmarkEnd w:id="67"/>
    </w:p>
    <w:p w14:paraId="082A436C">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4.3.1在本章第4.2.1项规定的投标截止时间前，投标人可以修改或撤回已递交的投标文件，但应以书面形式通知招标人。</w:t>
      </w:r>
    </w:p>
    <w:p w14:paraId="595D823E">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4.3.2投标人修改或撤回已递交投标文件的书面通知应按照本章第3.7.3项的要求签字或盖章。招标人收到书面通知后，向投标人出具签收凭证。</w:t>
      </w:r>
    </w:p>
    <w:p w14:paraId="4D08874E">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4.3.3投标人撤回投标文件的，招标人自收到投标人书面撤回通知之日起5日内退还已收取的投标保证金。</w:t>
      </w:r>
    </w:p>
    <w:p w14:paraId="686E2180">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4.3.4修改的内容为投标文件的组成部分。修改的投标文件应按照本章第3条、第4条的规定进行编制、密封、标记和递交，并标明“修改”字样。</w:t>
      </w:r>
    </w:p>
    <w:p w14:paraId="5BC0E945">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p>
    <w:p w14:paraId="7DE2CC5B">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1"/>
        <w:rPr>
          <w:rFonts w:hint="eastAsia" w:ascii="宋体" w:hAnsi="宋体" w:eastAsia="宋体" w:cs="宋体"/>
          <w:b/>
          <w:bCs/>
          <w:i w:val="0"/>
          <w:iCs w:val="0"/>
          <w:color w:val="auto"/>
          <w:spacing w:val="0"/>
          <w:sz w:val="32"/>
          <w:szCs w:val="32"/>
          <w:lang w:val="en-US" w:eastAsia="zh-CN"/>
        </w:rPr>
      </w:pPr>
      <w:bookmarkStart w:id="68" w:name="_Toc7861"/>
      <w:bookmarkStart w:id="69" w:name="_Toc21836"/>
      <w:r>
        <w:rPr>
          <w:rFonts w:hint="eastAsia" w:ascii="宋体" w:hAnsi="宋体" w:eastAsia="宋体" w:cs="宋体"/>
          <w:b/>
          <w:bCs/>
          <w:i w:val="0"/>
          <w:iCs w:val="0"/>
          <w:color w:val="auto"/>
          <w:spacing w:val="0"/>
          <w:sz w:val="32"/>
          <w:szCs w:val="32"/>
          <w:lang w:val="en-US" w:eastAsia="zh-CN"/>
        </w:rPr>
        <w:t>5.开标</w:t>
      </w:r>
      <w:bookmarkEnd w:id="68"/>
      <w:bookmarkEnd w:id="69"/>
    </w:p>
    <w:p w14:paraId="7EE2B136">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70" w:name="_Toc27884"/>
      <w:bookmarkStart w:id="71" w:name="_Toc23835"/>
      <w:r>
        <w:rPr>
          <w:rFonts w:hint="eastAsia" w:ascii="宋体" w:hAnsi="宋体" w:eastAsia="宋体" w:cs="宋体"/>
          <w:b/>
          <w:bCs/>
          <w:i w:val="0"/>
          <w:iCs w:val="0"/>
          <w:color w:val="auto"/>
          <w:spacing w:val="0"/>
          <w:sz w:val="21"/>
          <w:szCs w:val="21"/>
          <w:lang w:val="en-US" w:eastAsia="zh-CN"/>
        </w:rPr>
        <w:t>5.1开标时间和地点</w:t>
      </w:r>
      <w:bookmarkEnd w:id="70"/>
      <w:bookmarkEnd w:id="71"/>
    </w:p>
    <w:p w14:paraId="4341F5FF">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招标人在本章第4.2.1项规定的投标截止时间（开标时间）和投标人须知前附表规定的地点公开开标，并邀请所有投标人的法定代表人（单位负责人）或其委托代理人准时参加。投标文件“电子版”应加密，在解密时间内，供应商登录政采云平台https://www.zcygov.cn/在线进行解密。投标文件如果未按上述规定加密和解密，将导致代理机构无法接收投标文件，招标代理机构不对其后果负责。</w:t>
      </w:r>
    </w:p>
    <w:p w14:paraId="61D702C7">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72" w:name="_Toc6000"/>
      <w:bookmarkStart w:id="73" w:name="_Toc9441"/>
      <w:r>
        <w:rPr>
          <w:rFonts w:hint="eastAsia" w:ascii="宋体" w:hAnsi="宋体" w:eastAsia="宋体" w:cs="宋体"/>
          <w:b/>
          <w:bCs/>
          <w:i w:val="0"/>
          <w:iCs w:val="0"/>
          <w:color w:val="auto"/>
          <w:spacing w:val="0"/>
          <w:sz w:val="21"/>
          <w:szCs w:val="21"/>
          <w:lang w:val="en-US" w:eastAsia="zh-CN"/>
        </w:rPr>
        <w:t>5.2开标程序</w:t>
      </w:r>
      <w:bookmarkEnd w:id="72"/>
      <w:bookmarkEnd w:id="73"/>
    </w:p>
    <w:p w14:paraId="6C378A49">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主持人按下列程序进行开标：</w:t>
      </w:r>
    </w:p>
    <w:p w14:paraId="239677B2">
      <w:pPr>
        <w:keepNext w:val="0"/>
        <w:keepLines w:val="0"/>
        <w:pageBreakBefore w:val="0"/>
        <w:widowControl w:val="0"/>
        <w:numPr>
          <w:ilvl w:val="0"/>
          <w:numId w:val="9"/>
        </w:numPr>
        <w:tabs>
          <w:tab w:val="clear" w:pos="312"/>
        </w:tabs>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宣布开标纪律；</w:t>
      </w:r>
    </w:p>
    <w:p w14:paraId="5EA5F7CD">
      <w:pPr>
        <w:keepNext w:val="0"/>
        <w:keepLines w:val="0"/>
        <w:pageBreakBefore w:val="0"/>
        <w:widowControl w:val="0"/>
        <w:numPr>
          <w:ilvl w:val="0"/>
          <w:numId w:val="9"/>
        </w:numPr>
        <w:tabs>
          <w:tab w:val="clear" w:pos="312"/>
        </w:tabs>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公布在投标截止时间前递交投标文件的投标人名称；</w:t>
      </w:r>
    </w:p>
    <w:p w14:paraId="762963DE">
      <w:pPr>
        <w:keepNext w:val="0"/>
        <w:keepLines w:val="0"/>
        <w:pageBreakBefore w:val="0"/>
        <w:widowControl w:val="0"/>
        <w:numPr>
          <w:ilvl w:val="0"/>
          <w:numId w:val="9"/>
        </w:numPr>
        <w:tabs>
          <w:tab w:val="clear" w:pos="312"/>
        </w:tabs>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宣布开标人、唱标人、记录人、监标人等有关人员姓名；</w:t>
      </w:r>
    </w:p>
    <w:p w14:paraId="68CB24C3">
      <w:pPr>
        <w:keepNext w:val="0"/>
        <w:keepLines w:val="0"/>
        <w:pageBreakBefore w:val="0"/>
        <w:widowControl w:val="0"/>
        <w:numPr>
          <w:ilvl w:val="0"/>
          <w:numId w:val="9"/>
        </w:numPr>
        <w:tabs>
          <w:tab w:val="clear" w:pos="312"/>
        </w:tabs>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按照开标顺序当众开标，公布招标项目名称、投标人名称、投标保证金的递交情况、投标报价、工期、质量要求、工程地点及其他内容，并记录在案；</w:t>
      </w:r>
    </w:p>
    <w:p w14:paraId="6FF41CE2">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（5）投标人代表、招标人代表、监标人、记录人等有关人员在开标记录上签字确认；</w:t>
      </w:r>
    </w:p>
    <w:p w14:paraId="7B5EDC82">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（6）开标结束。</w:t>
      </w:r>
    </w:p>
    <w:p w14:paraId="64B7CF6B">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74" w:name="_Toc24680"/>
      <w:bookmarkStart w:id="75" w:name="_Toc1983"/>
      <w:r>
        <w:rPr>
          <w:rFonts w:hint="eastAsia" w:ascii="宋体" w:hAnsi="宋体" w:eastAsia="宋体" w:cs="宋体"/>
          <w:b/>
          <w:bCs/>
          <w:i w:val="0"/>
          <w:iCs w:val="0"/>
          <w:color w:val="auto"/>
          <w:spacing w:val="0"/>
          <w:sz w:val="21"/>
          <w:szCs w:val="21"/>
          <w:lang w:val="en-US" w:eastAsia="zh-CN"/>
        </w:rPr>
        <w:t>5.3开标异议</w:t>
      </w:r>
      <w:bookmarkEnd w:id="74"/>
      <w:bookmarkEnd w:id="75"/>
    </w:p>
    <w:p w14:paraId="00930BA9">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16"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投标人对开标有异议的，应当在开标现场提出，招标人当场作出答复，并制作记录。</w:t>
      </w:r>
    </w:p>
    <w:p w14:paraId="16C5340C">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1"/>
        <w:rPr>
          <w:rFonts w:hint="eastAsia" w:ascii="宋体" w:hAnsi="宋体" w:eastAsia="宋体" w:cs="宋体"/>
          <w:b/>
          <w:bCs/>
          <w:i w:val="0"/>
          <w:iCs w:val="0"/>
          <w:color w:val="auto"/>
          <w:spacing w:val="0"/>
          <w:sz w:val="32"/>
          <w:szCs w:val="32"/>
          <w:lang w:val="en-US" w:eastAsia="zh-CN"/>
        </w:rPr>
      </w:pPr>
      <w:bookmarkStart w:id="76" w:name="_Toc11794"/>
      <w:bookmarkStart w:id="77" w:name="_Toc25107"/>
      <w:r>
        <w:rPr>
          <w:rFonts w:hint="eastAsia" w:ascii="宋体" w:hAnsi="宋体" w:eastAsia="宋体" w:cs="宋体"/>
          <w:b/>
          <w:bCs/>
          <w:i w:val="0"/>
          <w:iCs w:val="0"/>
          <w:color w:val="auto"/>
          <w:spacing w:val="0"/>
          <w:sz w:val="32"/>
          <w:szCs w:val="32"/>
          <w:lang w:val="en-US" w:eastAsia="zh-CN"/>
        </w:rPr>
        <w:t>6.评标</w:t>
      </w:r>
      <w:bookmarkEnd w:id="76"/>
      <w:bookmarkEnd w:id="77"/>
    </w:p>
    <w:p w14:paraId="6BB66A8E">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78" w:name="_Toc15818"/>
      <w:bookmarkStart w:id="79" w:name="_Toc25853"/>
      <w:r>
        <w:rPr>
          <w:rFonts w:hint="eastAsia" w:ascii="宋体" w:hAnsi="宋体" w:eastAsia="宋体" w:cs="宋体"/>
          <w:b/>
          <w:bCs/>
          <w:i w:val="0"/>
          <w:iCs w:val="0"/>
          <w:color w:val="auto"/>
          <w:spacing w:val="0"/>
          <w:sz w:val="21"/>
          <w:szCs w:val="21"/>
          <w:lang w:val="en-US" w:eastAsia="zh-CN"/>
        </w:rPr>
        <w:t>6.1评标委员会</w:t>
      </w:r>
      <w:bookmarkEnd w:id="78"/>
      <w:bookmarkEnd w:id="79"/>
    </w:p>
    <w:p w14:paraId="535B5B14">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Chars="-8"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712F4B64">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Chars="-8"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6.1.2评标委员会成员有下列情形之一的，应当回避：</w:t>
      </w:r>
    </w:p>
    <w:p w14:paraId="04D6669E">
      <w:pPr>
        <w:keepNext w:val="0"/>
        <w:keepLines w:val="0"/>
        <w:pageBreakBefore w:val="0"/>
        <w:widowControl w:val="0"/>
        <w:numPr>
          <w:ilvl w:val="0"/>
          <w:numId w:val="10"/>
        </w:numPr>
        <w:tabs>
          <w:tab w:val="clear" w:pos="312"/>
        </w:tabs>
        <w:kinsoku/>
        <w:wordWrap/>
        <w:overflowPunct/>
        <w:topLinePunct w:val="0"/>
        <w:autoSpaceDE/>
        <w:autoSpaceDN/>
        <w:bidi w:val="0"/>
        <w:adjustRightInd/>
        <w:snapToGrid/>
        <w:spacing w:after="126" w:afterLines="40" w:line="240" w:lineRule="auto"/>
        <w:ind w:leftChars="-8"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投标人或投标人主要负责人的近亲属；</w:t>
      </w:r>
    </w:p>
    <w:p w14:paraId="3B4F0318">
      <w:pPr>
        <w:keepNext w:val="0"/>
        <w:keepLines w:val="0"/>
        <w:pageBreakBefore w:val="0"/>
        <w:widowControl w:val="0"/>
        <w:numPr>
          <w:ilvl w:val="0"/>
          <w:numId w:val="10"/>
        </w:numPr>
        <w:tabs>
          <w:tab w:val="clear" w:pos="312"/>
        </w:tabs>
        <w:kinsoku/>
        <w:wordWrap/>
        <w:overflowPunct/>
        <w:topLinePunct w:val="0"/>
        <w:autoSpaceDE/>
        <w:autoSpaceDN/>
        <w:bidi w:val="0"/>
        <w:adjustRightInd/>
        <w:snapToGrid/>
        <w:spacing w:after="126" w:afterLines="40" w:line="240" w:lineRule="auto"/>
        <w:ind w:leftChars="-8"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项目主管部门或者行政监督部门的人员；</w:t>
      </w:r>
    </w:p>
    <w:p w14:paraId="76BA4CF1">
      <w:pPr>
        <w:keepNext w:val="0"/>
        <w:keepLines w:val="0"/>
        <w:pageBreakBefore w:val="0"/>
        <w:widowControl w:val="0"/>
        <w:numPr>
          <w:ilvl w:val="0"/>
          <w:numId w:val="10"/>
        </w:numPr>
        <w:tabs>
          <w:tab w:val="clear" w:pos="312"/>
        </w:tabs>
        <w:kinsoku/>
        <w:wordWrap/>
        <w:overflowPunct/>
        <w:topLinePunct w:val="0"/>
        <w:autoSpaceDE/>
        <w:autoSpaceDN/>
        <w:bidi w:val="0"/>
        <w:adjustRightInd/>
        <w:snapToGrid/>
        <w:spacing w:after="126" w:afterLines="40" w:line="240" w:lineRule="auto"/>
        <w:ind w:leftChars="-8"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与投标人有经济利益关系，可能影响对投标公正评审的；</w:t>
      </w:r>
    </w:p>
    <w:p w14:paraId="6FA3E747">
      <w:pPr>
        <w:keepNext w:val="0"/>
        <w:keepLines w:val="0"/>
        <w:pageBreakBefore w:val="0"/>
        <w:widowControl w:val="0"/>
        <w:numPr>
          <w:ilvl w:val="0"/>
          <w:numId w:val="10"/>
        </w:numPr>
        <w:tabs>
          <w:tab w:val="clear" w:pos="312"/>
        </w:tabs>
        <w:kinsoku/>
        <w:wordWrap/>
        <w:overflowPunct/>
        <w:topLinePunct w:val="0"/>
        <w:autoSpaceDE/>
        <w:autoSpaceDN/>
        <w:bidi w:val="0"/>
        <w:adjustRightInd/>
        <w:snapToGrid/>
        <w:spacing w:after="126" w:afterLines="40" w:line="240" w:lineRule="auto"/>
        <w:ind w:leftChars="-8"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曾因在招标、评标以及其他与招标投标有关活动中从事违法行为而受过行政处罚或刑事处罚的；</w:t>
      </w:r>
    </w:p>
    <w:p w14:paraId="74337AEB">
      <w:pPr>
        <w:keepNext w:val="0"/>
        <w:keepLines w:val="0"/>
        <w:pageBreakBefore w:val="0"/>
        <w:widowControl w:val="0"/>
        <w:numPr>
          <w:ilvl w:val="0"/>
          <w:numId w:val="10"/>
        </w:numPr>
        <w:tabs>
          <w:tab w:val="clear" w:pos="312"/>
        </w:tabs>
        <w:kinsoku/>
        <w:wordWrap/>
        <w:overflowPunct/>
        <w:topLinePunct w:val="0"/>
        <w:autoSpaceDE/>
        <w:autoSpaceDN/>
        <w:bidi w:val="0"/>
        <w:adjustRightInd/>
        <w:snapToGrid/>
        <w:spacing w:after="126" w:afterLines="40" w:line="240" w:lineRule="auto"/>
        <w:ind w:leftChars="-8"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与投标人有其他利害关系。</w:t>
      </w:r>
    </w:p>
    <w:p w14:paraId="1762A807">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6.1.3评标过程中，评标委员会成员有回避事由、擅离职守或者因健康等原因不能继续评标的，招标人有权更换。被更换的评标委员会成员作出的评审结论无效，由更换后的评标委员会成员重新进行评审。</w:t>
      </w:r>
    </w:p>
    <w:p w14:paraId="21592B71">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80" w:name="_Toc5740"/>
      <w:bookmarkStart w:id="81" w:name="_Toc3388"/>
      <w:r>
        <w:rPr>
          <w:rFonts w:hint="eastAsia" w:ascii="宋体" w:hAnsi="宋体" w:eastAsia="宋体" w:cs="宋体"/>
          <w:b/>
          <w:bCs/>
          <w:i w:val="0"/>
          <w:iCs w:val="0"/>
          <w:color w:val="auto"/>
          <w:spacing w:val="0"/>
          <w:sz w:val="21"/>
          <w:szCs w:val="21"/>
          <w:lang w:val="en-US" w:eastAsia="zh-CN"/>
        </w:rPr>
        <w:t>6.2评标原则</w:t>
      </w:r>
      <w:bookmarkEnd w:id="80"/>
      <w:bookmarkEnd w:id="81"/>
    </w:p>
    <w:p w14:paraId="026EF76A">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评标活动遵循公平、公正、科学和择优的原则。</w:t>
      </w:r>
    </w:p>
    <w:p w14:paraId="00495600">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82" w:name="_Toc7626"/>
      <w:bookmarkStart w:id="83" w:name="_Toc20231"/>
      <w:r>
        <w:rPr>
          <w:rFonts w:hint="eastAsia" w:ascii="宋体" w:hAnsi="宋体" w:eastAsia="宋体" w:cs="宋体"/>
          <w:b/>
          <w:bCs/>
          <w:i w:val="0"/>
          <w:iCs w:val="0"/>
          <w:color w:val="auto"/>
          <w:spacing w:val="0"/>
          <w:sz w:val="21"/>
          <w:szCs w:val="21"/>
          <w:lang w:val="en-US" w:eastAsia="zh-CN"/>
        </w:rPr>
        <w:t>6.3评标</w:t>
      </w:r>
      <w:bookmarkEnd w:id="82"/>
      <w:bookmarkEnd w:id="83"/>
    </w:p>
    <w:p w14:paraId="55A2EA19">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6.3.1评标委员会按照第三章“评标办法”规定的方法、评审因素、标准和程序对投标文件进行评审。第三章“评标办法”没有规定的方法、评审因素和标准，不作为评标依据。</w:t>
      </w:r>
    </w:p>
    <w:p w14:paraId="71750609">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6.3.2评标完成后，评标委员会应当向招标人提交书面评标报告和中标候选人名单。评标委员会推荐中标候选人的人数见投标人须知前附表。</w:t>
      </w:r>
    </w:p>
    <w:p w14:paraId="6A253006">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1"/>
        <w:rPr>
          <w:rFonts w:hint="eastAsia" w:ascii="宋体" w:hAnsi="宋体" w:eastAsia="宋体" w:cs="宋体"/>
          <w:b/>
          <w:bCs/>
          <w:i w:val="0"/>
          <w:iCs w:val="0"/>
          <w:color w:val="auto"/>
          <w:spacing w:val="0"/>
          <w:sz w:val="32"/>
          <w:szCs w:val="32"/>
          <w:lang w:val="en-US" w:eastAsia="zh-CN"/>
        </w:rPr>
      </w:pPr>
      <w:bookmarkStart w:id="84" w:name="_Toc13682"/>
      <w:bookmarkStart w:id="85" w:name="_Toc5665"/>
      <w:r>
        <w:rPr>
          <w:rFonts w:hint="eastAsia" w:ascii="宋体" w:hAnsi="宋体" w:eastAsia="宋体" w:cs="宋体"/>
          <w:b/>
          <w:bCs/>
          <w:i w:val="0"/>
          <w:iCs w:val="0"/>
          <w:color w:val="auto"/>
          <w:spacing w:val="0"/>
          <w:sz w:val="32"/>
          <w:szCs w:val="32"/>
          <w:lang w:val="en-US" w:eastAsia="zh-CN"/>
        </w:rPr>
        <w:t>7.合同授予</w:t>
      </w:r>
      <w:bookmarkEnd w:id="84"/>
      <w:bookmarkEnd w:id="85"/>
    </w:p>
    <w:p w14:paraId="59EDFF4D">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86" w:name="_Toc2620"/>
      <w:bookmarkStart w:id="87" w:name="_Toc7539"/>
      <w:r>
        <w:rPr>
          <w:rFonts w:hint="eastAsia" w:ascii="宋体" w:hAnsi="宋体" w:eastAsia="宋体" w:cs="宋体"/>
          <w:b/>
          <w:bCs/>
          <w:i w:val="0"/>
          <w:iCs w:val="0"/>
          <w:color w:val="auto"/>
          <w:spacing w:val="0"/>
          <w:sz w:val="21"/>
          <w:szCs w:val="21"/>
          <w:lang w:val="en-US" w:eastAsia="zh-CN"/>
        </w:rPr>
        <w:t>7.1中标公示</w:t>
      </w:r>
      <w:bookmarkEnd w:id="86"/>
      <w:bookmarkEnd w:id="87"/>
    </w:p>
    <w:p w14:paraId="73297C93">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2"/>
        <w:rPr>
          <w:rFonts w:hint="eastAsia" w:ascii="宋体" w:hAnsi="宋体" w:eastAsia="宋体" w:cs="宋体"/>
          <w:b/>
          <w:bCs/>
          <w:i w:val="0"/>
          <w:iCs w:val="0"/>
          <w:color w:val="auto"/>
          <w:spacing w:val="0"/>
          <w:sz w:val="21"/>
          <w:szCs w:val="21"/>
          <w:lang w:val="en-US" w:eastAsia="zh-CN"/>
        </w:rPr>
      </w:pPr>
      <w:bookmarkStart w:id="88" w:name="_Toc4460"/>
      <w:bookmarkStart w:id="89" w:name="_Toc9065"/>
      <w:r>
        <w:rPr>
          <w:rFonts w:hint="eastAsia" w:ascii="宋体" w:hAnsi="宋体" w:eastAsia="宋体" w:cs="宋体"/>
          <w:b w:val="0"/>
          <w:bCs w:val="0"/>
          <w:i w:val="0"/>
          <w:iCs w:val="0"/>
          <w:color w:val="auto"/>
          <w:spacing w:val="0"/>
          <w:sz w:val="21"/>
          <w:szCs w:val="21"/>
          <w:lang w:val="en-US" w:eastAsia="zh-CN"/>
        </w:rPr>
        <w:t>采购代理机构应当自评审结束之日起 2个工作日内将评审报告送交采购人。采购人应当自收到评审报告之日起 5 个工作日内在评审报告推荐的中标或者成交候选人中按顺序确定中标或者成交供应商。中标公告期限为 1 个工作日。</w:t>
      </w:r>
      <w:r>
        <w:rPr>
          <w:rFonts w:hint="eastAsia" w:ascii="宋体" w:hAnsi="宋体" w:eastAsia="宋体" w:cs="宋体"/>
          <w:b/>
          <w:bCs/>
          <w:i w:val="0"/>
          <w:iCs w:val="0"/>
          <w:color w:val="auto"/>
          <w:spacing w:val="0"/>
          <w:sz w:val="21"/>
          <w:szCs w:val="21"/>
          <w:lang w:val="en-US" w:eastAsia="zh-CN"/>
        </w:rPr>
        <w:br w:type="textWrapping"/>
      </w:r>
      <w:r>
        <w:rPr>
          <w:rFonts w:hint="eastAsia" w:ascii="宋体" w:hAnsi="宋体" w:eastAsia="宋体" w:cs="宋体"/>
          <w:b/>
          <w:bCs/>
          <w:i w:val="0"/>
          <w:iCs w:val="0"/>
          <w:color w:val="auto"/>
          <w:spacing w:val="0"/>
          <w:sz w:val="21"/>
          <w:szCs w:val="21"/>
          <w:lang w:val="en-US" w:eastAsia="zh-CN"/>
        </w:rPr>
        <w:t>7.2评标结果异议</w:t>
      </w:r>
      <w:bookmarkEnd w:id="88"/>
      <w:bookmarkEnd w:id="89"/>
    </w:p>
    <w:p w14:paraId="4BC88F88">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投标人或者其他利害关系人对评标结果有异议的，应当在中标候选人公示期间提出。招标人将在收到异议之日起3日内作出答复；作出答复前，将暂停招标投标活动。</w:t>
      </w:r>
    </w:p>
    <w:p w14:paraId="601013BE">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90" w:name="_Toc21029"/>
      <w:bookmarkStart w:id="91" w:name="_Toc14065"/>
      <w:r>
        <w:rPr>
          <w:rFonts w:hint="eastAsia" w:ascii="宋体" w:hAnsi="宋体" w:eastAsia="宋体" w:cs="宋体"/>
          <w:b/>
          <w:bCs/>
          <w:i w:val="0"/>
          <w:iCs w:val="0"/>
          <w:color w:val="auto"/>
          <w:spacing w:val="0"/>
          <w:sz w:val="21"/>
          <w:szCs w:val="21"/>
          <w:lang w:val="en-US" w:eastAsia="zh-CN"/>
        </w:rPr>
        <w:t>7.3中标候选人履约能力审查</w:t>
      </w:r>
      <w:bookmarkEnd w:id="90"/>
      <w:bookmarkEnd w:id="91"/>
    </w:p>
    <w:p w14:paraId="5526EA72">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中标候选人的经营、财务状况发生较大变化或存在违法行为，招标人认为可能影响其履约能力的，将在发出中标通知书前提请原评标委员会按照招标文件规定的标准和方法进行审查确认。</w:t>
      </w:r>
    </w:p>
    <w:p w14:paraId="45D0EF38">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92" w:name="_Toc6223"/>
      <w:bookmarkStart w:id="93" w:name="_Toc24715"/>
      <w:r>
        <w:rPr>
          <w:rFonts w:hint="eastAsia" w:ascii="宋体" w:hAnsi="宋体" w:eastAsia="宋体" w:cs="宋体"/>
          <w:b/>
          <w:bCs/>
          <w:i w:val="0"/>
          <w:iCs w:val="0"/>
          <w:color w:val="auto"/>
          <w:spacing w:val="0"/>
          <w:sz w:val="21"/>
          <w:szCs w:val="21"/>
          <w:lang w:val="en-US" w:eastAsia="zh-CN"/>
        </w:rPr>
        <w:t>7.4定标</w:t>
      </w:r>
      <w:bookmarkEnd w:id="92"/>
      <w:bookmarkEnd w:id="93"/>
    </w:p>
    <w:p w14:paraId="4919249F">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按照投标人须知前附表的规定，招标人或招标人授权的评标委员会依法确定中标人。</w:t>
      </w:r>
    </w:p>
    <w:p w14:paraId="0295901D">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94" w:name="_Toc19266"/>
      <w:bookmarkStart w:id="95" w:name="_Toc31194"/>
      <w:r>
        <w:rPr>
          <w:rFonts w:hint="eastAsia" w:ascii="宋体" w:hAnsi="宋体" w:eastAsia="宋体" w:cs="宋体"/>
          <w:b/>
          <w:bCs/>
          <w:i w:val="0"/>
          <w:iCs w:val="0"/>
          <w:color w:val="auto"/>
          <w:spacing w:val="0"/>
          <w:sz w:val="21"/>
          <w:szCs w:val="21"/>
          <w:lang w:val="en-US" w:eastAsia="zh-CN"/>
        </w:rPr>
        <w:t>7.5中标通知</w:t>
      </w:r>
      <w:bookmarkEnd w:id="94"/>
      <w:bookmarkEnd w:id="95"/>
    </w:p>
    <w:p w14:paraId="14DE5B8B">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在本章第3.3款规定的投标有效期内，招标人以书面形式向中标人发出中标通知书，同时将中标结果通知未中标的投标人。</w:t>
      </w:r>
    </w:p>
    <w:p w14:paraId="134D5409">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96" w:name="_Toc1731"/>
      <w:bookmarkStart w:id="97" w:name="_Toc25477"/>
      <w:r>
        <w:rPr>
          <w:rFonts w:hint="eastAsia" w:ascii="宋体" w:hAnsi="宋体" w:eastAsia="宋体" w:cs="宋体"/>
          <w:b/>
          <w:bCs/>
          <w:i w:val="0"/>
          <w:iCs w:val="0"/>
          <w:color w:val="auto"/>
          <w:spacing w:val="0"/>
          <w:sz w:val="21"/>
          <w:szCs w:val="21"/>
          <w:lang w:val="en-US" w:eastAsia="zh-CN"/>
        </w:rPr>
        <w:t>7.6履约保证金</w:t>
      </w:r>
      <w:bookmarkEnd w:id="96"/>
      <w:bookmarkEnd w:id="97"/>
      <w:r>
        <w:rPr>
          <w:rFonts w:hint="eastAsia" w:ascii="宋体" w:hAnsi="宋体" w:eastAsia="宋体" w:cs="宋体"/>
          <w:b/>
          <w:bCs/>
          <w:i w:val="0"/>
          <w:iCs w:val="0"/>
          <w:color w:val="auto"/>
          <w:spacing w:val="0"/>
          <w:sz w:val="21"/>
          <w:szCs w:val="21"/>
          <w:lang w:val="en-US" w:eastAsia="zh-CN"/>
        </w:rPr>
        <w:t>（本项目不做要求）</w:t>
      </w:r>
    </w:p>
    <w:p w14:paraId="5A159802">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7.6.1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w:t>
      </w:r>
      <w:r>
        <w:rPr>
          <w:rFonts w:hint="eastAsia" w:ascii="宋体" w:hAnsi="宋体" w:eastAsia="宋体" w:cs="宋体"/>
          <w:b w:val="0"/>
          <w:bCs w:val="0"/>
          <w:i w:val="0"/>
          <w:iCs w:val="0"/>
          <w:color w:val="auto"/>
          <w:spacing w:val="0"/>
          <w:sz w:val="21"/>
          <w:szCs w:val="21"/>
          <w:u w:val="single"/>
          <w:lang w:val="en-US" w:eastAsia="zh-CN"/>
        </w:rPr>
        <w:t xml:space="preserve"> /  </w:t>
      </w:r>
      <w:r>
        <w:rPr>
          <w:rFonts w:hint="eastAsia" w:ascii="宋体" w:hAnsi="宋体" w:eastAsia="宋体" w:cs="宋体"/>
          <w:b w:val="0"/>
          <w:bCs w:val="0"/>
          <w:i w:val="0"/>
          <w:iCs w:val="0"/>
          <w:color w:val="auto"/>
          <w:spacing w:val="0"/>
          <w:sz w:val="21"/>
          <w:szCs w:val="21"/>
          <w:lang w:val="en-US" w:eastAsia="zh-CN"/>
        </w:rPr>
        <w:t>。联合体中标的，其履约保证金以联合体各方或者联合体中牵头人的名义提交。</w:t>
      </w:r>
    </w:p>
    <w:p w14:paraId="1DC634FA">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7.6.2中标人不能按本章第7.6.1项要求提交履约保证金的，视为放弃中标，其投标保证金不予退还，给招标人造成的损失超过投标保证金数额的，中标人还应当对超过部分予以赔偿。</w:t>
      </w:r>
    </w:p>
    <w:p w14:paraId="2D780BD4">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98" w:name="_Toc24043"/>
      <w:bookmarkStart w:id="99" w:name="_Toc26909"/>
      <w:r>
        <w:rPr>
          <w:rFonts w:hint="eastAsia" w:ascii="宋体" w:hAnsi="宋体" w:eastAsia="宋体" w:cs="宋体"/>
          <w:b/>
          <w:bCs/>
          <w:i w:val="0"/>
          <w:iCs w:val="0"/>
          <w:color w:val="auto"/>
          <w:spacing w:val="0"/>
          <w:sz w:val="21"/>
          <w:szCs w:val="21"/>
          <w:lang w:val="en-US" w:eastAsia="zh-CN"/>
        </w:rPr>
        <w:t>7.7签订合同</w:t>
      </w:r>
      <w:bookmarkEnd w:id="98"/>
      <w:bookmarkEnd w:id="99"/>
    </w:p>
    <w:p w14:paraId="7A399633">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bCs/>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7.7.1</w:t>
      </w:r>
      <w:r>
        <w:rPr>
          <w:rFonts w:hint="eastAsia" w:ascii="宋体" w:hAnsi="宋体" w:eastAsia="宋体" w:cs="宋体"/>
          <w:b/>
          <w:bCs/>
          <w:i w:val="0"/>
          <w:iCs w:val="0"/>
          <w:color w:val="auto"/>
          <w:spacing w:val="0"/>
          <w:sz w:val="21"/>
          <w:szCs w:val="21"/>
          <w:lang w:val="en-US" w:eastAsia="zh-CN"/>
        </w:rPr>
        <w:t>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6E049429">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7.7.2发出中标通知书后，招标人无正当理由拒签合同，或者在签订合同时向中标人提出附加条件的，招标人向中标人退还投标保证金；给中标人造成损失的，还应当赔偿损失。</w:t>
      </w:r>
    </w:p>
    <w:p w14:paraId="6E294DB7">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7.7.3联合体中标的，联合体各方应当共同与招标人签订合同，就中标项目向招标人承担连带责任。</w:t>
      </w:r>
    </w:p>
    <w:p w14:paraId="168D11A2">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1"/>
        <w:rPr>
          <w:rFonts w:hint="eastAsia" w:ascii="宋体" w:hAnsi="宋体" w:eastAsia="宋体" w:cs="宋体"/>
          <w:b/>
          <w:bCs/>
          <w:i w:val="0"/>
          <w:iCs w:val="0"/>
          <w:color w:val="auto"/>
          <w:spacing w:val="0"/>
          <w:sz w:val="32"/>
          <w:szCs w:val="32"/>
          <w:lang w:val="en-US" w:eastAsia="zh-CN"/>
        </w:rPr>
      </w:pPr>
      <w:bookmarkStart w:id="100" w:name="_Toc32756"/>
      <w:bookmarkStart w:id="101" w:name="_Toc3498"/>
      <w:r>
        <w:rPr>
          <w:rFonts w:hint="eastAsia" w:ascii="宋体" w:hAnsi="宋体" w:eastAsia="宋体" w:cs="宋体"/>
          <w:b/>
          <w:bCs/>
          <w:i w:val="0"/>
          <w:iCs w:val="0"/>
          <w:color w:val="auto"/>
          <w:spacing w:val="0"/>
          <w:sz w:val="32"/>
          <w:szCs w:val="32"/>
          <w:lang w:val="en-US" w:eastAsia="zh-CN"/>
        </w:rPr>
        <w:t>8.纪律和监督</w:t>
      </w:r>
      <w:bookmarkEnd w:id="100"/>
      <w:bookmarkEnd w:id="101"/>
    </w:p>
    <w:p w14:paraId="5FB0E1F1">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102" w:name="_Toc32729"/>
      <w:bookmarkStart w:id="103" w:name="_Toc24230"/>
      <w:r>
        <w:rPr>
          <w:rFonts w:hint="eastAsia" w:ascii="宋体" w:hAnsi="宋体" w:eastAsia="宋体" w:cs="宋体"/>
          <w:b/>
          <w:bCs/>
          <w:i w:val="0"/>
          <w:iCs w:val="0"/>
          <w:color w:val="auto"/>
          <w:spacing w:val="0"/>
          <w:sz w:val="21"/>
          <w:szCs w:val="21"/>
          <w:lang w:val="en-US" w:eastAsia="zh-CN"/>
        </w:rPr>
        <w:t>8.1对招标人的纪律要求</w:t>
      </w:r>
      <w:bookmarkEnd w:id="102"/>
      <w:bookmarkEnd w:id="103"/>
    </w:p>
    <w:p w14:paraId="3AC21C24">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招标人不得泄露招标投标活动中应当保密的情况和资料，不得与投标人串通损害国家利益、社会公共利益或者他人合法权益。</w:t>
      </w:r>
    </w:p>
    <w:p w14:paraId="456BD0B8">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104" w:name="_Toc2937"/>
      <w:bookmarkStart w:id="105" w:name="_Toc16667"/>
      <w:r>
        <w:rPr>
          <w:rFonts w:hint="eastAsia" w:ascii="宋体" w:hAnsi="宋体" w:eastAsia="宋体" w:cs="宋体"/>
          <w:b/>
          <w:bCs/>
          <w:i w:val="0"/>
          <w:iCs w:val="0"/>
          <w:color w:val="auto"/>
          <w:spacing w:val="0"/>
          <w:sz w:val="21"/>
          <w:szCs w:val="21"/>
          <w:lang w:val="en-US" w:eastAsia="zh-CN"/>
        </w:rPr>
        <w:t>8.2对投标人的纪律要求</w:t>
      </w:r>
      <w:bookmarkEnd w:id="104"/>
      <w:bookmarkEnd w:id="105"/>
    </w:p>
    <w:p w14:paraId="32967C54">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68DCD423">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106" w:name="_Toc8628"/>
      <w:bookmarkStart w:id="107" w:name="_Toc21149"/>
      <w:r>
        <w:rPr>
          <w:rFonts w:hint="eastAsia" w:ascii="宋体" w:hAnsi="宋体" w:eastAsia="宋体" w:cs="宋体"/>
          <w:b/>
          <w:bCs/>
          <w:i w:val="0"/>
          <w:iCs w:val="0"/>
          <w:color w:val="auto"/>
          <w:spacing w:val="0"/>
          <w:sz w:val="21"/>
          <w:szCs w:val="21"/>
          <w:lang w:val="en-US" w:eastAsia="zh-CN"/>
        </w:rPr>
        <w:t>8.3对评标委员会成员的纪律要求</w:t>
      </w:r>
      <w:bookmarkEnd w:id="106"/>
      <w:bookmarkEnd w:id="107"/>
    </w:p>
    <w:p w14:paraId="3794B3B5">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72DD6187">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108" w:name="_Toc19851"/>
      <w:bookmarkStart w:id="109" w:name="_Toc7483"/>
      <w:r>
        <w:rPr>
          <w:rFonts w:hint="eastAsia" w:ascii="宋体" w:hAnsi="宋体" w:eastAsia="宋体" w:cs="宋体"/>
          <w:b/>
          <w:bCs/>
          <w:i w:val="0"/>
          <w:iCs w:val="0"/>
          <w:color w:val="auto"/>
          <w:spacing w:val="0"/>
          <w:sz w:val="21"/>
          <w:szCs w:val="21"/>
          <w:lang w:val="en-US" w:eastAsia="zh-CN"/>
        </w:rPr>
        <w:t>8.4对与评标活动有关的工作人员的纪律要求</w:t>
      </w:r>
      <w:bookmarkEnd w:id="108"/>
      <w:bookmarkEnd w:id="109"/>
    </w:p>
    <w:p w14:paraId="50ED0893">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156AC900">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110" w:name="_Toc35"/>
      <w:bookmarkStart w:id="111" w:name="_Toc29540"/>
      <w:r>
        <w:rPr>
          <w:rFonts w:hint="eastAsia" w:ascii="宋体" w:hAnsi="宋体" w:eastAsia="宋体" w:cs="宋体"/>
          <w:b/>
          <w:bCs/>
          <w:i w:val="0"/>
          <w:iCs w:val="0"/>
          <w:color w:val="auto"/>
          <w:spacing w:val="0"/>
          <w:sz w:val="21"/>
          <w:szCs w:val="21"/>
          <w:lang w:val="en-US" w:eastAsia="zh-CN"/>
        </w:rPr>
        <w:t>8.5投诉</w:t>
      </w:r>
      <w:bookmarkEnd w:id="110"/>
      <w:bookmarkEnd w:id="111"/>
    </w:p>
    <w:p w14:paraId="6A203BDF">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8.5.1投标人或者其他利害关系人认为招标投标活动不符合法律、行政法规规定的，可以自知道或者应当知道之日起10日内向有关行政监督部门投诉。投诉应当有明确的请求和必要的证明材料。</w:t>
      </w:r>
    </w:p>
    <w:p w14:paraId="7E9A0E10">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8.5.2投标人或者其他利害关系人对招标文件、开标和评标结果提出投诉的，应当按照投标人须知第2.4款、第5.3款和第7.2款的规定先向招标人提出异议。异议答复期间不计算在第8.5.1项规定的期限内。</w:t>
      </w:r>
    </w:p>
    <w:p w14:paraId="25F9F6BC">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1"/>
        <w:rPr>
          <w:rFonts w:hint="eastAsia" w:ascii="宋体" w:hAnsi="宋体" w:eastAsia="宋体" w:cs="宋体"/>
          <w:b/>
          <w:bCs/>
          <w:i w:val="0"/>
          <w:iCs w:val="0"/>
          <w:color w:val="auto"/>
          <w:spacing w:val="0"/>
          <w:sz w:val="32"/>
          <w:szCs w:val="32"/>
          <w:lang w:val="en-US" w:eastAsia="zh-CN"/>
        </w:rPr>
      </w:pPr>
      <w:bookmarkStart w:id="112" w:name="_Toc29853"/>
      <w:bookmarkStart w:id="113" w:name="_Toc27872"/>
      <w:r>
        <w:rPr>
          <w:rFonts w:hint="eastAsia" w:ascii="宋体" w:hAnsi="宋体" w:eastAsia="宋体" w:cs="宋体"/>
          <w:b/>
          <w:bCs/>
          <w:i w:val="0"/>
          <w:iCs w:val="0"/>
          <w:color w:val="auto"/>
          <w:spacing w:val="0"/>
          <w:sz w:val="32"/>
          <w:szCs w:val="32"/>
          <w:lang w:val="en-US" w:eastAsia="zh-CN"/>
        </w:rPr>
        <w:t>9.需要补充的其他内容</w:t>
      </w:r>
      <w:bookmarkEnd w:id="112"/>
      <w:bookmarkEnd w:id="113"/>
    </w:p>
    <w:p w14:paraId="6A0EF638">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sectPr>
          <w:footerReference r:id="rId3" w:type="default"/>
          <w:pgSz w:w="11910" w:h="16840"/>
          <w:pgMar w:top="1247" w:right="1247" w:bottom="1247" w:left="1247" w:header="0" w:footer="1025" w:gutter="0"/>
          <w:pgNumType w:fmt="decimal" w:start="1"/>
          <w:cols w:space="720" w:num="1"/>
          <w:rtlGutter w:val="0"/>
        </w:sectPr>
      </w:pPr>
      <w:r>
        <w:rPr>
          <w:rFonts w:hint="eastAsia" w:ascii="宋体" w:hAnsi="宋体" w:eastAsia="宋体" w:cs="宋体"/>
          <w:b w:val="0"/>
          <w:bCs w:val="0"/>
          <w:i w:val="0"/>
          <w:iCs w:val="0"/>
          <w:color w:val="auto"/>
          <w:spacing w:val="0"/>
          <w:sz w:val="21"/>
          <w:szCs w:val="21"/>
          <w:lang w:val="en-US" w:eastAsia="zh-CN"/>
        </w:rPr>
        <w:t>需要补充的其他内容：见投标人须知前附表。</w:t>
      </w:r>
    </w:p>
    <w:p w14:paraId="0A79515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center"/>
        <w:textAlignment w:val="auto"/>
        <w:outlineLvl w:val="0"/>
        <w:rPr>
          <w:rFonts w:hint="eastAsia" w:ascii="宋体" w:hAnsi="宋体" w:eastAsia="宋体" w:cs="宋体"/>
          <w:b/>
          <w:bCs/>
          <w:i w:val="0"/>
          <w:iCs w:val="0"/>
          <w:color w:val="auto"/>
          <w:spacing w:val="0"/>
          <w:sz w:val="32"/>
          <w:szCs w:val="32"/>
          <w:lang w:val="en-US" w:eastAsia="zh-CN"/>
        </w:rPr>
      </w:pPr>
      <w:bookmarkStart w:id="114" w:name="_Toc21212"/>
      <w:bookmarkStart w:id="115" w:name="_Toc3078"/>
      <w:r>
        <w:rPr>
          <w:rFonts w:hint="eastAsia" w:ascii="宋体" w:hAnsi="宋体" w:eastAsia="宋体" w:cs="宋体"/>
          <w:b/>
          <w:bCs/>
          <w:i w:val="0"/>
          <w:iCs w:val="0"/>
          <w:color w:val="auto"/>
          <w:spacing w:val="0"/>
          <w:kern w:val="0"/>
          <w:sz w:val="32"/>
          <w:szCs w:val="32"/>
          <w:lang w:val="en-US" w:eastAsia="zh-CN" w:bidi="ar-SA"/>
        </w:rPr>
        <w:t>第三章</w:t>
      </w:r>
      <w:r>
        <w:rPr>
          <w:rFonts w:hint="eastAsia" w:ascii="宋体" w:hAnsi="宋体" w:eastAsia="宋体" w:cs="宋体"/>
          <w:b/>
          <w:bCs/>
          <w:i w:val="0"/>
          <w:iCs w:val="0"/>
          <w:color w:val="auto"/>
          <w:spacing w:val="0"/>
          <w:sz w:val="32"/>
          <w:szCs w:val="32"/>
          <w:lang w:val="en-US" w:eastAsia="zh-CN"/>
        </w:rPr>
        <w:t xml:space="preserve"> </w:t>
      </w:r>
      <w:bookmarkStart w:id="116" w:name="_Toc28445"/>
      <w:r>
        <w:rPr>
          <w:rFonts w:hint="eastAsia" w:ascii="宋体" w:hAnsi="宋体" w:eastAsia="宋体" w:cs="宋体"/>
          <w:b/>
          <w:bCs/>
          <w:i w:val="0"/>
          <w:iCs w:val="0"/>
          <w:color w:val="auto"/>
          <w:spacing w:val="0"/>
          <w:sz w:val="32"/>
          <w:szCs w:val="32"/>
          <w:lang w:val="en-US" w:eastAsia="zh-CN"/>
        </w:rPr>
        <w:t>评标办法（综合评分法）</w:t>
      </w:r>
      <w:bookmarkEnd w:id="114"/>
      <w:bookmarkEnd w:id="115"/>
      <w:bookmarkEnd w:id="116"/>
    </w:p>
    <w:p w14:paraId="71DB6F39">
      <w:pPr>
        <w:pStyle w:val="46"/>
        <w:rPr>
          <w:rFonts w:hint="eastAsia" w:ascii="宋体" w:hAnsi="宋体" w:eastAsia="宋体" w:cs="宋体"/>
          <w:color w:val="auto"/>
          <w:sz w:val="22"/>
          <w:szCs w:val="22"/>
          <w:highlight w:val="none"/>
          <w:lang w:val="en-US" w:eastAsia="zh-CN"/>
        </w:rPr>
      </w:pPr>
      <w:bookmarkStart w:id="117" w:name="_Toc818"/>
      <w:bookmarkStart w:id="118" w:name="_Toc30579"/>
      <w:r>
        <w:rPr>
          <w:rFonts w:hint="eastAsia" w:ascii="宋体" w:hAnsi="宋体" w:eastAsia="宋体" w:cs="宋体"/>
          <w:color w:val="auto"/>
          <w:sz w:val="22"/>
          <w:szCs w:val="22"/>
          <w:highlight w:val="none"/>
          <w:lang w:eastAsia="zh-CN"/>
        </w:rPr>
        <w:t>附表一</w:t>
      </w:r>
      <w:r>
        <w:rPr>
          <w:rFonts w:hint="eastAsia" w:ascii="宋体" w:hAnsi="宋体" w:eastAsia="宋体" w:cs="宋体"/>
          <w:color w:val="auto"/>
          <w:sz w:val="22"/>
          <w:szCs w:val="22"/>
          <w:highlight w:val="none"/>
          <w:lang w:val="en-US" w:eastAsia="zh-CN"/>
        </w:rPr>
        <w:t>：</w:t>
      </w:r>
    </w:p>
    <w:p w14:paraId="7A5C0D93">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center"/>
        <w:textAlignment w:val="auto"/>
        <w:outlineLvl w:val="1"/>
        <w:rPr>
          <w:rFonts w:hint="eastAsia" w:ascii="宋体" w:hAnsi="宋体" w:eastAsia="宋体" w:cs="宋体"/>
          <w:b/>
          <w:bCs/>
          <w:i w:val="0"/>
          <w:iCs w:val="0"/>
          <w:color w:val="auto"/>
          <w:spacing w:val="0"/>
          <w:sz w:val="21"/>
          <w:szCs w:val="21"/>
          <w:lang w:val="en-US" w:eastAsia="zh-CN"/>
        </w:rPr>
      </w:pPr>
      <w:bookmarkStart w:id="119" w:name="_Toc16893"/>
      <w:bookmarkStart w:id="120" w:name="_Toc5749"/>
      <w:r>
        <w:rPr>
          <w:rFonts w:hint="eastAsia" w:ascii="宋体" w:hAnsi="宋体" w:eastAsia="宋体" w:cs="宋体"/>
          <w:b/>
          <w:bCs/>
          <w:i w:val="0"/>
          <w:iCs w:val="0"/>
          <w:color w:val="auto"/>
          <w:spacing w:val="0"/>
          <w:sz w:val="21"/>
          <w:szCs w:val="21"/>
          <w:lang w:val="en-US" w:eastAsia="zh-CN"/>
        </w:rPr>
        <w:t>评标办法前附表</w:t>
      </w:r>
      <w:bookmarkEnd w:id="119"/>
      <w:bookmarkEnd w:id="120"/>
    </w:p>
    <w:tbl>
      <w:tblPr>
        <w:tblStyle w:val="41"/>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089"/>
        <w:gridCol w:w="1773"/>
        <w:gridCol w:w="6245"/>
      </w:tblGrid>
      <w:tr w14:paraId="5C233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940" w:type="dxa"/>
            <w:gridSpan w:val="2"/>
            <w:noWrap w:val="0"/>
            <w:vAlign w:val="center"/>
          </w:tcPr>
          <w:p w14:paraId="1FE585AE">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bCs/>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条款号</w:t>
            </w:r>
          </w:p>
        </w:tc>
        <w:tc>
          <w:tcPr>
            <w:tcW w:w="1773" w:type="dxa"/>
            <w:noWrap w:val="0"/>
            <w:vAlign w:val="center"/>
          </w:tcPr>
          <w:p w14:paraId="484E09A6">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bCs/>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评审因素</w:t>
            </w:r>
          </w:p>
        </w:tc>
        <w:tc>
          <w:tcPr>
            <w:tcW w:w="6245" w:type="dxa"/>
            <w:noWrap w:val="0"/>
            <w:vAlign w:val="center"/>
          </w:tcPr>
          <w:p w14:paraId="145BD37B">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bCs/>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评审标准</w:t>
            </w:r>
          </w:p>
        </w:tc>
      </w:tr>
      <w:tr w14:paraId="1C2F6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51" w:type="dxa"/>
            <w:noWrap w:val="0"/>
            <w:vAlign w:val="center"/>
          </w:tcPr>
          <w:p w14:paraId="1998EEF9">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color w:val="auto"/>
                <w:sz w:val="18"/>
                <w:szCs w:val="18"/>
                <w:lang w:val="en-US" w:eastAsia="zh-CN"/>
              </w:rPr>
              <w:t>1</w:t>
            </w:r>
          </w:p>
        </w:tc>
        <w:tc>
          <w:tcPr>
            <w:tcW w:w="1089" w:type="dxa"/>
            <w:noWrap w:val="0"/>
            <w:vAlign w:val="center"/>
          </w:tcPr>
          <w:p w14:paraId="23ACD790">
            <w:pPr>
              <w:spacing w:line="44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评标方法</w:t>
            </w:r>
          </w:p>
        </w:tc>
        <w:tc>
          <w:tcPr>
            <w:tcW w:w="1773" w:type="dxa"/>
            <w:noWrap w:val="0"/>
            <w:vAlign w:val="center"/>
          </w:tcPr>
          <w:p w14:paraId="4A4E05F0">
            <w:pPr>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中标候选人排序方法</w:t>
            </w:r>
          </w:p>
        </w:tc>
        <w:tc>
          <w:tcPr>
            <w:tcW w:w="6245" w:type="dxa"/>
            <w:noWrap w:val="0"/>
            <w:vAlign w:val="center"/>
          </w:tcPr>
          <w:p w14:paraId="53C40B46">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综合评分法（按综合得分从高到低排序）</w:t>
            </w:r>
          </w:p>
        </w:tc>
      </w:tr>
      <w:tr w14:paraId="1B21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1" w:type="dxa"/>
            <w:vMerge w:val="restart"/>
            <w:noWrap w:val="0"/>
            <w:vAlign w:val="center"/>
          </w:tcPr>
          <w:p w14:paraId="5D3622B5">
            <w:pPr>
              <w:spacing w:line="440" w:lineRule="exac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2.1.2</w:t>
            </w:r>
          </w:p>
          <w:p w14:paraId="2DBC8425">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089" w:type="dxa"/>
            <w:vMerge w:val="restart"/>
            <w:noWrap w:val="0"/>
            <w:vAlign w:val="center"/>
          </w:tcPr>
          <w:p w14:paraId="77084C04">
            <w:pPr>
              <w:spacing w:line="44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资格评审标准</w:t>
            </w:r>
          </w:p>
        </w:tc>
        <w:tc>
          <w:tcPr>
            <w:tcW w:w="1773" w:type="dxa"/>
            <w:noWrap w:val="0"/>
            <w:vAlign w:val="center"/>
          </w:tcPr>
          <w:p w14:paraId="7FC52BE4">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《政府采购法》 第二十二条</w:t>
            </w:r>
          </w:p>
        </w:tc>
        <w:tc>
          <w:tcPr>
            <w:tcW w:w="6245" w:type="dxa"/>
            <w:noWrap w:val="0"/>
            <w:vAlign w:val="center"/>
          </w:tcPr>
          <w:p w14:paraId="52F67625">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符合《政府采购法》第二十二条规定的条件；</w:t>
            </w:r>
          </w:p>
        </w:tc>
      </w:tr>
      <w:tr w14:paraId="31218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851" w:type="dxa"/>
            <w:vMerge w:val="continue"/>
            <w:noWrap w:val="0"/>
            <w:vAlign w:val="center"/>
          </w:tcPr>
          <w:p w14:paraId="5120E1FF">
            <w:pPr>
              <w:spacing w:line="440" w:lineRule="exact"/>
              <w:rPr>
                <w:rFonts w:hint="eastAsia" w:ascii="宋体" w:hAnsi="宋体" w:eastAsia="宋体" w:cs="宋体"/>
                <w:color w:val="auto"/>
                <w:sz w:val="18"/>
                <w:szCs w:val="18"/>
                <w:lang w:val="en-US" w:eastAsia="zh-CN"/>
              </w:rPr>
            </w:pPr>
          </w:p>
        </w:tc>
        <w:tc>
          <w:tcPr>
            <w:tcW w:w="1089" w:type="dxa"/>
            <w:vMerge w:val="continue"/>
            <w:noWrap w:val="0"/>
            <w:vAlign w:val="center"/>
          </w:tcPr>
          <w:p w14:paraId="7DAD2F6D">
            <w:pPr>
              <w:spacing w:line="440" w:lineRule="exact"/>
              <w:jc w:val="center"/>
              <w:rPr>
                <w:rFonts w:hint="eastAsia" w:ascii="宋体" w:hAnsi="宋体" w:eastAsia="宋体" w:cs="宋体"/>
                <w:color w:val="auto"/>
                <w:sz w:val="18"/>
                <w:szCs w:val="18"/>
                <w:lang w:val="en-US" w:eastAsia="zh-CN"/>
              </w:rPr>
            </w:pPr>
          </w:p>
        </w:tc>
        <w:tc>
          <w:tcPr>
            <w:tcW w:w="1773" w:type="dxa"/>
            <w:noWrap w:val="0"/>
            <w:vAlign w:val="center"/>
          </w:tcPr>
          <w:p w14:paraId="7CBB85A3">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color w:val="auto"/>
                <w:sz w:val="18"/>
                <w:szCs w:val="18"/>
                <w:lang w:val="en-US" w:eastAsia="zh-CN"/>
              </w:rPr>
              <w:t>营业执照</w:t>
            </w:r>
          </w:p>
        </w:tc>
        <w:tc>
          <w:tcPr>
            <w:tcW w:w="6245" w:type="dxa"/>
            <w:noWrap w:val="0"/>
            <w:vAlign w:val="center"/>
          </w:tcPr>
          <w:p w14:paraId="0B3EDAAA">
            <w:pPr>
              <w:spacing w:line="240" w:lineRule="auto"/>
              <w:rPr>
                <w:rFonts w:hint="eastAsia" w:ascii="宋体" w:hAnsi="宋体" w:eastAsia="宋体" w:cs="宋体"/>
                <w:color w:val="auto"/>
                <w:spacing w:val="15"/>
                <w:kern w:val="0"/>
                <w:sz w:val="18"/>
                <w:szCs w:val="18"/>
                <w:lang w:val="en-US" w:eastAsia="zh-CN" w:bidi="ar-SA"/>
              </w:rPr>
            </w:pPr>
            <w:r>
              <w:rPr>
                <w:rFonts w:hint="eastAsia" w:ascii="宋体" w:hAnsi="宋体" w:eastAsia="宋体" w:cs="宋体"/>
                <w:color w:val="auto"/>
                <w:sz w:val="18"/>
                <w:szCs w:val="18"/>
                <w:lang w:val="en-US" w:eastAsia="zh-CN"/>
              </w:rPr>
              <w:t>具备有效的营业执照；</w:t>
            </w:r>
          </w:p>
        </w:tc>
      </w:tr>
      <w:tr w14:paraId="234E0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1" w:type="dxa"/>
            <w:vMerge w:val="continue"/>
            <w:noWrap w:val="0"/>
            <w:vAlign w:val="center"/>
          </w:tcPr>
          <w:p w14:paraId="3B57C3DA">
            <w:pPr>
              <w:spacing w:line="440" w:lineRule="exact"/>
              <w:rPr>
                <w:rFonts w:hint="eastAsia" w:ascii="宋体" w:hAnsi="宋体" w:eastAsia="宋体" w:cs="宋体"/>
                <w:color w:val="auto"/>
                <w:sz w:val="18"/>
                <w:szCs w:val="18"/>
                <w:lang w:val="en-US" w:eastAsia="zh-CN"/>
              </w:rPr>
            </w:pPr>
          </w:p>
        </w:tc>
        <w:tc>
          <w:tcPr>
            <w:tcW w:w="1089" w:type="dxa"/>
            <w:vMerge w:val="continue"/>
            <w:noWrap w:val="0"/>
            <w:vAlign w:val="center"/>
          </w:tcPr>
          <w:p w14:paraId="42FBC19A">
            <w:pPr>
              <w:spacing w:line="440" w:lineRule="exact"/>
              <w:jc w:val="center"/>
              <w:rPr>
                <w:rFonts w:hint="eastAsia" w:ascii="宋体" w:hAnsi="宋体" w:eastAsia="宋体" w:cs="宋体"/>
                <w:color w:val="auto"/>
                <w:sz w:val="18"/>
                <w:szCs w:val="18"/>
                <w:lang w:val="en-US" w:eastAsia="zh-CN"/>
              </w:rPr>
            </w:pPr>
          </w:p>
        </w:tc>
        <w:tc>
          <w:tcPr>
            <w:tcW w:w="1773" w:type="dxa"/>
            <w:noWrap w:val="0"/>
            <w:vAlign w:val="center"/>
          </w:tcPr>
          <w:p w14:paraId="7F5FB15D">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法人身份证明或授权委托书</w:t>
            </w:r>
          </w:p>
        </w:tc>
        <w:tc>
          <w:tcPr>
            <w:tcW w:w="6245" w:type="dxa"/>
            <w:noWrap w:val="0"/>
            <w:vAlign w:val="center"/>
          </w:tcPr>
          <w:p w14:paraId="46F941A6">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法定代表人须提供法定代表人证明书、法定代表人身份证，委托代理人投标须提供法定代表人授权委托书及委托代理人身份证；</w:t>
            </w:r>
          </w:p>
        </w:tc>
      </w:tr>
      <w:tr w14:paraId="32AFB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51" w:type="dxa"/>
            <w:vMerge w:val="continue"/>
            <w:noWrap w:val="0"/>
            <w:vAlign w:val="center"/>
          </w:tcPr>
          <w:p w14:paraId="143CB362">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089" w:type="dxa"/>
            <w:vMerge w:val="continue"/>
            <w:noWrap w:val="0"/>
            <w:vAlign w:val="center"/>
          </w:tcPr>
          <w:p w14:paraId="7AE57BFC">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773" w:type="dxa"/>
            <w:noWrap w:val="0"/>
            <w:vAlign w:val="center"/>
          </w:tcPr>
          <w:p w14:paraId="6466DEDE">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center"/>
              <w:textAlignment w:val="auto"/>
              <w:outlineLvl w:val="9"/>
              <w:rPr>
                <w:rFonts w:hint="eastAsia" w:ascii="宋体" w:hAnsi="宋体" w:eastAsia="宋体" w:cs="宋体"/>
                <w:color w:val="auto"/>
                <w:spacing w:val="15"/>
                <w:kern w:val="0"/>
                <w:sz w:val="18"/>
                <w:szCs w:val="18"/>
                <w:lang w:val="en-US" w:eastAsia="zh-CN" w:bidi="ar-SA"/>
              </w:rPr>
            </w:pPr>
            <w:r>
              <w:rPr>
                <w:rFonts w:hint="eastAsia" w:ascii="宋体" w:hAnsi="宋体" w:eastAsia="宋体" w:cs="宋体"/>
                <w:color w:val="auto"/>
                <w:sz w:val="18"/>
                <w:szCs w:val="18"/>
                <w:lang w:val="en-US" w:eastAsia="zh-CN"/>
              </w:rPr>
              <w:t>财务报告</w:t>
            </w:r>
          </w:p>
        </w:tc>
        <w:tc>
          <w:tcPr>
            <w:tcW w:w="6245" w:type="dxa"/>
            <w:noWrap w:val="0"/>
            <w:vAlign w:val="center"/>
          </w:tcPr>
          <w:p w14:paraId="56911FFF">
            <w:pPr>
              <w:spacing w:line="240" w:lineRule="auto"/>
              <w:rPr>
                <w:rFonts w:hint="default" w:ascii="宋体" w:hAnsi="宋体" w:eastAsia="宋体" w:cs="宋体"/>
                <w:color w:val="auto"/>
                <w:spacing w:val="15"/>
                <w:kern w:val="0"/>
                <w:sz w:val="18"/>
                <w:szCs w:val="18"/>
                <w:lang w:val="en-US" w:eastAsia="zh-CN" w:bidi="ar-SA"/>
              </w:rPr>
            </w:pPr>
            <w:r>
              <w:rPr>
                <w:rFonts w:hint="eastAsia" w:ascii="宋体" w:hAnsi="宋体" w:eastAsia="宋体" w:cs="宋体"/>
                <w:color w:val="auto"/>
                <w:sz w:val="18"/>
                <w:szCs w:val="18"/>
                <w:lang w:val="en-US" w:eastAsia="zh-CN"/>
              </w:rPr>
              <w:t>近一年（2024年度）由第三方财务审计机构出具的财务审计报告或合法的财务报表；企业成立不足一年的，需提供企业成立以来的。</w:t>
            </w:r>
          </w:p>
        </w:tc>
      </w:tr>
      <w:tr w14:paraId="3FCF7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51" w:type="dxa"/>
            <w:vMerge w:val="continue"/>
            <w:noWrap w:val="0"/>
            <w:vAlign w:val="center"/>
          </w:tcPr>
          <w:p w14:paraId="3961B96A">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089" w:type="dxa"/>
            <w:vMerge w:val="continue"/>
            <w:noWrap w:val="0"/>
            <w:vAlign w:val="center"/>
          </w:tcPr>
          <w:p w14:paraId="36154473">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773" w:type="dxa"/>
            <w:noWrap w:val="0"/>
            <w:vAlign w:val="center"/>
          </w:tcPr>
          <w:p w14:paraId="3BAA5CF5">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center"/>
              <w:textAlignment w:val="auto"/>
              <w:outlineLvl w:val="9"/>
              <w:rPr>
                <w:rFonts w:hint="eastAsia" w:ascii="宋体" w:hAnsi="宋体" w:eastAsia="宋体" w:cs="宋体"/>
                <w:color w:val="auto"/>
                <w:spacing w:val="15"/>
                <w:kern w:val="0"/>
                <w:sz w:val="18"/>
                <w:szCs w:val="18"/>
                <w:lang w:val="en-US" w:eastAsia="zh-CN" w:bidi="ar-SA"/>
              </w:rPr>
            </w:pPr>
            <w:r>
              <w:rPr>
                <w:rFonts w:hint="eastAsia" w:ascii="宋体" w:hAnsi="宋体" w:eastAsia="宋体" w:cs="宋体"/>
                <w:color w:val="auto"/>
                <w:sz w:val="18"/>
                <w:szCs w:val="18"/>
                <w:lang w:val="en-US" w:eastAsia="zh-CN"/>
              </w:rPr>
              <w:t>社保、完税证明</w:t>
            </w:r>
          </w:p>
        </w:tc>
        <w:tc>
          <w:tcPr>
            <w:tcW w:w="6245" w:type="dxa"/>
            <w:noWrap w:val="0"/>
            <w:vAlign w:val="center"/>
          </w:tcPr>
          <w:p w14:paraId="2641C7B9">
            <w:pPr>
              <w:spacing w:line="240" w:lineRule="auto"/>
              <w:rPr>
                <w:rFonts w:hint="default" w:ascii="宋体" w:hAnsi="宋体" w:eastAsia="宋体" w:cs="宋体"/>
                <w:color w:val="auto"/>
                <w:spacing w:val="15"/>
                <w:kern w:val="0"/>
                <w:sz w:val="18"/>
                <w:szCs w:val="18"/>
                <w:lang w:val="en-US" w:eastAsia="zh-CN" w:bidi="ar-SA"/>
              </w:rPr>
            </w:pPr>
            <w:r>
              <w:rPr>
                <w:rFonts w:hint="eastAsia" w:ascii="宋体" w:hAnsi="宋体" w:eastAsia="宋体" w:cs="宋体"/>
                <w:color w:val="auto"/>
                <w:sz w:val="18"/>
                <w:szCs w:val="18"/>
                <w:lang w:val="en-US" w:eastAsia="zh-CN"/>
              </w:rPr>
              <w:t>投标单位提供本单位缴纳社保，出具近三个月的缴纳社保证明；投标单位提供税务机关出具近一个季度填报日期的完税证明；（新成立公司提供成立以来的或相关证明材料）。</w:t>
            </w:r>
          </w:p>
        </w:tc>
      </w:tr>
      <w:tr w14:paraId="35D1B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jc w:val="center"/>
        </w:trPr>
        <w:tc>
          <w:tcPr>
            <w:tcW w:w="851" w:type="dxa"/>
            <w:vMerge w:val="continue"/>
            <w:noWrap w:val="0"/>
            <w:vAlign w:val="center"/>
          </w:tcPr>
          <w:p w14:paraId="4492821C">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089" w:type="dxa"/>
            <w:vMerge w:val="continue"/>
            <w:noWrap w:val="0"/>
            <w:vAlign w:val="center"/>
          </w:tcPr>
          <w:p w14:paraId="1B8AA372">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773" w:type="dxa"/>
            <w:noWrap w:val="0"/>
            <w:vAlign w:val="center"/>
          </w:tcPr>
          <w:p w14:paraId="5B374E6E">
            <w:pPr>
              <w:spacing w:line="240" w:lineRule="auto"/>
              <w:rPr>
                <w:rFonts w:hint="eastAsia" w:ascii="宋体" w:hAnsi="宋体" w:eastAsia="宋体" w:cs="宋体"/>
                <w:color w:val="auto"/>
                <w:spacing w:val="15"/>
                <w:kern w:val="0"/>
                <w:sz w:val="18"/>
                <w:szCs w:val="18"/>
                <w:lang w:val="en-US" w:eastAsia="zh-CN" w:bidi="ar-SA"/>
              </w:rPr>
            </w:pPr>
            <w:r>
              <w:rPr>
                <w:rFonts w:hint="eastAsia" w:ascii="宋体" w:hAnsi="宋体" w:eastAsia="宋体" w:cs="宋体"/>
                <w:color w:val="auto"/>
                <w:sz w:val="18"/>
                <w:szCs w:val="18"/>
                <w:lang w:val="en-US" w:eastAsia="zh-CN"/>
              </w:rPr>
              <w:t>投标信用记录</w:t>
            </w:r>
          </w:p>
        </w:tc>
        <w:tc>
          <w:tcPr>
            <w:tcW w:w="6245" w:type="dxa"/>
            <w:noWrap w:val="0"/>
            <w:vAlign w:val="center"/>
          </w:tcPr>
          <w:p w14:paraId="32D46A07">
            <w:pPr>
              <w:spacing w:line="240" w:lineRule="auto"/>
              <w:rPr>
                <w:rFonts w:hint="eastAsia" w:ascii="宋体" w:hAnsi="宋体" w:eastAsia="宋体" w:cs="宋体"/>
                <w:color w:val="auto"/>
                <w:spacing w:val="15"/>
                <w:kern w:val="0"/>
                <w:sz w:val="18"/>
                <w:szCs w:val="18"/>
                <w:lang w:val="en-US" w:eastAsia="zh-CN" w:bidi="ar-SA"/>
              </w:rPr>
            </w:pPr>
            <w:r>
              <w:rPr>
                <w:rFonts w:hint="eastAsia" w:ascii="宋体" w:hAnsi="宋体" w:eastAsia="宋体" w:cs="宋体"/>
                <w:color w:val="auto"/>
                <w:sz w:val="18"/>
                <w:szCs w:val="18"/>
                <w:lang w:val="en-US" w:eastAsia="zh-CN"/>
              </w:rPr>
              <w:t>凡拟参加本次招标项目的投标单位，自公告发布之日起至投标文件递交截止时间止（该时间段内任一时间）。查询渠道为：“信用中国”网站（www.creditchina.gov.cn）被列入失信被执行人、重大税收违法案件当事人名单、政府采购严重违法失信名单的（尚在处罚期内的）、中国政府采购网（www.ccgp.gov.cn）被列入政府采购严重违法失信行为记录名单（尚在处罚期内的）及其他不符合《中华人民共和国政府采购法》第二十二条规定条件的供应商，其投标文件将被拒绝；</w:t>
            </w:r>
          </w:p>
        </w:tc>
      </w:tr>
      <w:tr w14:paraId="2C9B5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51" w:type="dxa"/>
            <w:vMerge w:val="continue"/>
            <w:noWrap w:val="0"/>
            <w:vAlign w:val="center"/>
          </w:tcPr>
          <w:p w14:paraId="3DD83B79">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089" w:type="dxa"/>
            <w:vMerge w:val="continue"/>
            <w:noWrap w:val="0"/>
            <w:vAlign w:val="center"/>
          </w:tcPr>
          <w:p w14:paraId="333485B1">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773" w:type="dxa"/>
            <w:noWrap w:val="0"/>
            <w:vAlign w:val="center"/>
          </w:tcPr>
          <w:p w14:paraId="510B8BC8">
            <w:pPr>
              <w:spacing w:line="240" w:lineRule="auto"/>
              <w:rPr>
                <w:rFonts w:hint="eastAsia" w:ascii="宋体" w:hAnsi="宋体" w:eastAsia="宋体" w:cs="宋体"/>
                <w:color w:val="auto"/>
                <w:spacing w:val="15"/>
                <w:kern w:val="0"/>
                <w:sz w:val="18"/>
                <w:szCs w:val="18"/>
                <w:lang w:val="en-US" w:eastAsia="zh-CN" w:bidi="ar-SA"/>
              </w:rPr>
            </w:pPr>
            <w:r>
              <w:rPr>
                <w:rFonts w:hint="eastAsia" w:ascii="宋体" w:hAnsi="宋体" w:eastAsia="宋体" w:cs="宋体"/>
                <w:color w:val="auto"/>
                <w:sz w:val="18"/>
                <w:szCs w:val="18"/>
                <w:lang w:val="en-US" w:eastAsia="zh-CN"/>
              </w:rPr>
              <w:t>政府采购政策</w:t>
            </w:r>
          </w:p>
        </w:tc>
        <w:tc>
          <w:tcPr>
            <w:tcW w:w="6245" w:type="dxa"/>
            <w:noWrap w:val="0"/>
            <w:vAlign w:val="center"/>
          </w:tcPr>
          <w:p w14:paraId="10A99CAE">
            <w:pPr>
              <w:spacing w:line="240" w:lineRule="auto"/>
              <w:rPr>
                <w:rFonts w:hint="eastAsia" w:ascii="宋体" w:hAnsi="宋体" w:eastAsia="宋体" w:cs="宋体"/>
                <w:color w:val="auto"/>
                <w:spacing w:val="15"/>
                <w:kern w:val="0"/>
                <w:sz w:val="18"/>
                <w:szCs w:val="18"/>
                <w:lang w:val="en-US" w:eastAsia="zh-CN" w:bidi="ar-SA"/>
              </w:rPr>
            </w:pPr>
            <w:r>
              <w:rPr>
                <w:rFonts w:hint="eastAsia" w:ascii="宋体" w:hAnsi="宋体" w:eastAsia="宋体" w:cs="宋体"/>
                <w:color w:val="auto"/>
                <w:sz w:val="18"/>
                <w:szCs w:val="18"/>
                <w:lang w:val="en-US" w:eastAsia="zh-CN"/>
              </w:rPr>
              <w:t>投标单位应为中小企业。</w:t>
            </w:r>
          </w:p>
        </w:tc>
      </w:tr>
      <w:tr w14:paraId="1AF5A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51" w:type="dxa"/>
            <w:vMerge w:val="restart"/>
            <w:noWrap w:val="0"/>
            <w:vAlign w:val="center"/>
          </w:tcPr>
          <w:p w14:paraId="70A1ACA4">
            <w:pPr>
              <w:spacing w:line="440" w:lineRule="exac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2.1.3</w:t>
            </w:r>
          </w:p>
        </w:tc>
        <w:tc>
          <w:tcPr>
            <w:tcW w:w="1089" w:type="dxa"/>
            <w:vMerge w:val="restart"/>
            <w:noWrap w:val="0"/>
            <w:vAlign w:val="center"/>
          </w:tcPr>
          <w:p w14:paraId="639F5597">
            <w:pPr>
              <w:spacing w:line="44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符合性评审标准</w:t>
            </w:r>
          </w:p>
        </w:tc>
        <w:tc>
          <w:tcPr>
            <w:tcW w:w="1773" w:type="dxa"/>
            <w:noWrap w:val="0"/>
            <w:vAlign w:val="center"/>
          </w:tcPr>
          <w:p w14:paraId="2EF80760">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投标人名称</w:t>
            </w:r>
          </w:p>
        </w:tc>
        <w:tc>
          <w:tcPr>
            <w:tcW w:w="6245" w:type="dxa"/>
            <w:noWrap w:val="0"/>
            <w:vAlign w:val="center"/>
          </w:tcPr>
          <w:p w14:paraId="5F363A71">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与营业执照是否一致；</w:t>
            </w:r>
          </w:p>
        </w:tc>
      </w:tr>
      <w:tr w14:paraId="28EC6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51" w:type="dxa"/>
            <w:vMerge w:val="continue"/>
            <w:noWrap w:val="0"/>
            <w:vAlign w:val="center"/>
          </w:tcPr>
          <w:p w14:paraId="29536E69">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089" w:type="dxa"/>
            <w:vMerge w:val="continue"/>
            <w:noWrap w:val="0"/>
            <w:vAlign w:val="center"/>
          </w:tcPr>
          <w:p w14:paraId="5E40BD87">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773" w:type="dxa"/>
            <w:noWrap w:val="0"/>
            <w:vAlign w:val="center"/>
          </w:tcPr>
          <w:p w14:paraId="7C54BD85">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投标文件的签署</w:t>
            </w:r>
          </w:p>
        </w:tc>
        <w:tc>
          <w:tcPr>
            <w:tcW w:w="6245" w:type="dxa"/>
            <w:noWrap w:val="0"/>
            <w:vAlign w:val="center"/>
          </w:tcPr>
          <w:p w14:paraId="75CBE3C2">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投标文件没有投标单位法定代表人或其授权代表签字（章）和加盖投标单位公章的；</w:t>
            </w:r>
          </w:p>
        </w:tc>
      </w:tr>
      <w:tr w14:paraId="5352D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51" w:type="dxa"/>
            <w:vMerge w:val="continue"/>
            <w:noWrap w:val="0"/>
            <w:vAlign w:val="center"/>
          </w:tcPr>
          <w:p w14:paraId="254572F1">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089" w:type="dxa"/>
            <w:vMerge w:val="continue"/>
            <w:noWrap w:val="0"/>
            <w:vAlign w:val="center"/>
          </w:tcPr>
          <w:p w14:paraId="583CFF35">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773" w:type="dxa"/>
            <w:noWrap w:val="0"/>
            <w:vAlign w:val="center"/>
          </w:tcPr>
          <w:p w14:paraId="5109DF81">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投标文件的格式</w:t>
            </w:r>
          </w:p>
        </w:tc>
        <w:tc>
          <w:tcPr>
            <w:tcW w:w="6245" w:type="dxa"/>
            <w:noWrap w:val="0"/>
            <w:vAlign w:val="center"/>
          </w:tcPr>
          <w:p w14:paraId="4032EAAC">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未按招标文件规定的格式填写，内容不全或关键字迹模糊、无法辨认的；</w:t>
            </w:r>
          </w:p>
        </w:tc>
      </w:tr>
      <w:tr w14:paraId="2F4D5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51" w:type="dxa"/>
            <w:vMerge w:val="continue"/>
            <w:noWrap w:val="0"/>
            <w:vAlign w:val="center"/>
          </w:tcPr>
          <w:p w14:paraId="257E6610">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089" w:type="dxa"/>
            <w:vMerge w:val="continue"/>
            <w:noWrap w:val="0"/>
            <w:vAlign w:val="center"/>
          </w:tcPr>
          <w:p w14:paraId="4FC0C981">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773" w:type="dxa"/>
            <w:noWrap w:val="0"/>
            <w:vAlign w:val="center"/>
          </w:tcPr>
          <w:p w14:paraId="30CBCD6B">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投标报价</w:t>
            </w:r>
          </w:p>
        </w:tc>
        <w:tc>
          <w:tcPr>
            <w:tcW w:w="6245" w:type="dxa"/>
            <w:noWrap w:val="0"/>
            <w:vAlign w:val="center"/>
          </w:tcPr>
          <w:p w14:paraId="492EE224">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投标人对同一招标项目作出两个以上报价的，超过最高限价的；</w:t>
            </w:r>
          </w:p>
        </w:tc>
      </w:tr>
      <w:tr w14:paraId="0960A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51" w:type="dxa"/>
            <w:vMerge w:val="continue"/>
            <w:noWrap w:val="0"/>
            <w:vAlign w:val="center"/>
          </w:tcPr>
          <w:p w14:paraId="77644B19">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089" w:type="dxa"/>
            <w:vMerge w:val="continue"/>
            <w:noWrap w:val="0"/>
            <w:vAlign w:val="center"/>
          </w:tcPr>
          <w:p w14:paraId="0C1E91F0">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773" w:type="dxa"/>
            <w:noWrap w:val="0"/>
            <w:vAlign w:val="center"/>
          </w:tcPr>
          <w:p w14:paraId="30106A6B">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投标范围</w:t>
            </w:r>
          </w:p>
        </w:tc>
        <w:tc>
          <w:tcPr>
            <w:tcW w:w="6245" w:type="dxa"/>
            <w:noWrap w:val="0"/>
            <w:vAlign w:val="center"/>
          </w:tcPr>
          <w:p w14:paraId="6C11E3DE">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是否满足招标文件的要求；</w:t>
            </w:r>
          </w:p>
        </w:tc>
      </w:tr>
      <w:tr w14:paraId="72268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51" w:type="dxa"/>
            <w:vMerge w:val="continue"/>
            <w:noWrap w:val="0"/>
            <w:vAlign w:val="center"/>
          </w:tcPr>
          <w:p w14:paraId="0E15A802">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089" w:type="dxa"/>
            <w:vMerge w:val="continue"/>
            <w:noWrap w:val="0"/>
            <w:vAlign w:val="center"/>
          </w:tcPr>
          <w:p w14:paraId="0EAB3E86">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773" w:type="dxa"/>
            <w:noWrap w:val="0"/>
            <w:vAlign w:val="center"/>
          </w:tcPr>
          <w:p w14:paraId="41BB463D">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工期、质量要求</w:t>
            </w:r>
          </w:p>
        </w:tc>
        <w:tc>
          <w:tcPr>
            <w:tcW w:w="6245" w:type="dxa"/>
            <w:noWrap w:val="0"/>
            <w:vAlign w:val="center"/>
          </w:tcPr>
          <w:p w14:paraId="32964956">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是否满足招标文件的要求；</w:t>
            </w:r>
          </w:p>
        </w:tc>
      </w:tr>
      <w:tr w14:paraId="5B389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51" w:type="dxa"/>
            <w:vMerge w:val="continue"/>
            <w:noWrap w:val="0"/>
            <w:vAlign w:val="center"/>
          </w:tcPr>
          <w:p w14:paraId="288B399C">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089" w:type="dxa"/>
            <w:vMerge w:val="continue"/>
            <w:noWrap w:val="0"/>
            <w:vAlign w:val="center"/>
          </w:tcPr>
          <w:p w14:paraId="236C5189">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773" w:type="dxa"/>
            <w:noWrap w:val="0"/>
            <w:vAlign w:val="center"/>
          </w:tcPr>
          <w:p w14:paraId="7C391C97">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投标有效期</w:t>
            </w:r>
          </w:p>
        </w:tc>
        <w:tc>
          <w:tcPr>
            <w:tcW w:w="6245" w:type="dxa"/>
            <w:noWrap w:val="0"/>
            <w:vAlign w:val="center"/>
          </w:tcPr>
          <w:p w14:paraId="5081F735">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是否满足招标文件的要求；</w:t>
            </w:r>
          </w:p>
        </w:tc>
      </w:tr>
      <w:tr w14:paraId="02B45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51" w:type="dxa"/>
            <w:vMerge w:val="continue"/>
            <w:noWrap w:val="0"/>
            <w:vAlign w:val="center"/>
          </w:tcPr>
          <w:p w14:paraId="7E02A42A">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089" w:type="dxa"/>
            <w:vMerge w:val="continue"/>
            <w:noWrap w:val="0"/>
            <w:vAlign w:val="center"/>
          </w:tcPr>
          <w:p w14:paraId="373735AC">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773" w:type="dxa"/>
            <w:noWrap w:val="0"/>
            <w:vAlign w:val="center"/>
          </w:tcPr>
          <w:p w14:paraId="6968D765">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控股、管理关系</w:t>
            </w:r>
          </w:p>
        </w:tc>
        <w:tc>
          <w:tcPr>
            <w:tcW w:w="6245" w:type="dxa"/>
            <w:noWrap w:val="0"/>
            <w:vAlign w:val="center"/>
          </w:tcPr>
          <w:p w14:paraId="67C9B7F8">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同一项目投标人之间有控股、管理关系或法定代表人(单位负责人)为同一人的;</w:t>
            </w:r>
          </w:p>
        </w:tc>
      </w:tr>
      <w:tr w14:paraId="1BF33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51" w:type="dxa"/>
            <w:vMerge w:val="continue"/>
            <w:noWrap w:val="0"/>
            <w:vAlign w:val="center"/>
          </w:tcPr>
          <w:p w14:paraId="272E7C3C">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089" w:type="dxa"/>
            <w:vMerge w:val="continue"/>
            <w:noWrap w:val="0"/>
            <w:vAlign w:val="center"/>
          </w:tcPr>
          <w:p w14:paraId="46B6253C">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773" w:type="dxa"/>
            <w:noWrap w:val="0"/>
            <w:vAlign w:val="center"/>
          </w:tcPr>
          <w:p w14:paraId="7EFC2DA6">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其他要求</w:t>
            </w:r>
          </w:p>
        </w:tc>
        <w:tc>
          <w:tcPr>
            <w:tcW w:w="6245" w:type="dxa"/>
            <w:noWrap w:val="0"/>
            <w:vAlign w:val="center"/>
          </w:tcPr>
          <w:p w14:paraId="5CE6C0EA">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投标文件不得附有招标人不能接受的条件；不满足招标文件实质性要求的其他情形；</w:t>
            </w:r>
          </w:p>
        </w:tc>
      </w:tr>
      <w:tr w14:paraId="503AB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940" w:type="dxa"/>
            <w:gridSpan w:val="2"/>
            <w:noWrap w:val="0"/>
            <w:vAlign w:val="center"/>
          </w:tcPr>
          <w:p w14:paraId="4FB17922">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bCs/>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条款号</w:t>
            </w:r>
          </w:p>
        </w:tc>
        <w:tc>
          <w:tcPr>
            <w:tcW w:w="1773" w:type="dxa"/>
            <w:noWrap w:val="0"/>
            <w:vAlign w:val="center"/>
          </w:tcPr>
          <w:p w14:paraId="4A68343E">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bCs/>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条款内容</w:t>
            </w:r>
          </w:p>
        </w:tc>
        <w:tc>
          <w:tcPr>
            <w:tcW w:w="6245" w:type="dxa"/>
            <w:noWrap w:val="0"/>
            <w:vAlign w:val="center"/>
          </w:tcPr>
          <w:p w14:paraId="0D05D3B1">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center"/>
              <w:textAlignment w:val="auto"/>
              <w:outlineLvl w:val="9"/>
              <w:rPr>
                <w:rFonts w:hint="eastAsia" w:ascii="宋体" w:hAnsi="宋体" w:eastAsia="宋体" w:cs="宋体"/>
                <w:b/>
                <w:bCs/>
                <w:i w:val="0"/>
                <w:iCs w:val="0"/>
                <w:color w:val="auto"/>
                <w:spacing w:val="0"/>
                <w:sz w:val="21"/>
                <w:szCs w:val="21"/>
                <w:vertAlign w:val="baseline"/>
                <w:lang w:val="en-US" w:eastAsia="zh-CN"/>
              </w:rPr>
            </w:pPr>
            <w:r>
              <w:rPr>
                <w:rFonts w:hint="eastAsia" w:ascii="宋体" w:hAnsi="宋体" w:eastAsia="宋体" w:cs="宋体"/>
                <w:b/>
                <w:bCs/>
                <w:i w:val="0"/>
                <w:iCs w:val="0"/>
                <w:color w:val="auto"/>
                <w:spacing w:val="0"/>
                <w:sz w:val="21"/>
                <w:szCs w:val="21"/>
                <w:vertAlign w:val="baseline"/>
                <w:lang w:val="en-US" w:eastAsia="zh-CN"/>
              </w:rPr>
              <w:t>编列内容</w:t>
            </w:r>
          </w:p>
        </w:tc>
      </w:tr>
      <w:tr w14:paraId="4AD3D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40" w:type="dxa"/>
            <w:gridSpan w:val="2"/>
            <w:noWrap w:val="0"/>
            <w:vAlign w:val="center"/>
          </w:tcPr>
          <w:p w14:paraId="37A6BA02">
            <w:pPr>
              <w:spacing w:line="44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2.2.1</w:t>
            </w:r>
          </w:p>
        </w:tc>
        <w:tc>
          <w:tcPr>
            <w:tcW w:w="1773" w:type="dxa"/>
            <w:noWrap w:val="0"/>
            <w:vAlign w:val="center"/>
          </w:tcPr>
          <w:p w14:paraId="5F23659B">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分值构成（总分100分）</w:t>
            </w:r>
          </w:p>
        </w:tc>
        <w:tc>
          <w:tcPr>
            <w:tcW w:w="6245" w:type="dxa"/>
            <w:noWrap w:val="0"/>
            <w:vAlign w:val="center"/>
          </w:tcPr>
          <w:p w14:paraId="1AD21D5B">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商务技术部分：90 分</w:t>
            </w:r>
          </w:p>
          <w:p w14:paraId="559E48D5">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投标报价： 10 分</w:t>
            </w:r>
          </w:p>
        </w:tc>
      </w:tr>
      <w:tr w14:paraId="6D297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940" w:type="dxa"/>
            <w:gridSpan w:val="2"/>
            <w:noWrap w:val="0"/>
            <w:vAlign w:val="center"/>
          </w:tcPr>
          <w:p w14:paraId="5F6A7C58">
            <w:pPr>
              <w:spacing w:line="44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2.2.2</w:t>
            </w:r>
          </w:p>
        </w:tc>
        <w:tc>
          <w:tcPr>
            <w:tcW w:w="1773" w:type="dxa"/>
            <w:noWrap w:val="0"/>
            <w:vAlign w:val="center"/>
          </w:tcPr>
          <w:p w14:paraId="0BF0B4A7">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评标基准价计算方法</w:t>
            </w:r>
          </w:p>
        </w:tc>
        <w:tc>
          <w:tcPr>
            <w:tcW w:w="6245" w:type="dxa"/>
            <w:noWrap w:val="0"/>
            <w:vAlign w:val="center"/>
          </w:tcPr>
          <w:p w14:paraId="7E3C8D8A">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以满足招标文件要求且投标价格最低的投标报价为评标基准价</w:t>
            </w:r>
          </w:p>
        </w:tc>
      </w:tr>
      <w:tr w14:paraId="0998E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jc w:val="center"/>
        </w:trPr>
        <w:tc>
          <w:tcPr>
            <w:tcW w:w="851" w:type="dxa"/>
            <w:vMerge w:val="restart"/>
            <w:noWrap w:val="0"/>
            <w:vAlign w:val="center"/>
          </w:tcPr>
          <w:p w14:paraId="20A53F7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color w:val="auto"/>
                <w:sz w:val="18"/>
                <w:szCs w:val="18"/>
                <w:lang w:val="en-US" w:eastAsia="zh-CN"/>
              </w:rPr>
              <w:t>2.2.3</w:t>
            </w:r>
          </w:p>
        </w:tc>
        <w:tc>
          <w:tcPr>
            <w:tcW w:w="1089" w:type="dxa"/>
            <w:vMerge w:val="restart"/>
            <w:noWrap w:val="0"/>
            <w:vAlign w:val="center"/>
          </w:tcPr>
          <w:p w14:paraId="04322F5D">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r>
              <w:rPr>
                <w:rFonts w:hint="eastAsia" w:ascii="宋体" w:hAnsi="宋体" w:eastAsia="宋体" w:cs="宋体"/>
                <w:color w:val="auto"/>
                <w:sz w:val="18"/>
                <w:szCs w:val="18"/>
                <w:lang w:val="en-US" w:eastAsia="zh-CN"/>
              </w:rPr>
              <w:t>投标报价评分标准</w:t>
            </w:r>
          </w:p>
        </w:tc>
        <w:tc>
          <w:tcPr>
            <w:tcW w:w="1773" w:type="dxa"/>
            <w:vMerge w:val="restart"/>
            <w:noWrap w:val="0"/>
            <w:vAlign w:val="center"/>
          </w:tcPr>
          <w:p w14:paraId="7475BC54">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投标报价得分（10分）</w:t>
            </w:r>
          </w:p>
        </w:tc>
        <w:tc>
          <w:tcPr>
            <w:tcW w:w="6245" w:type="dxa"/>
            <w:noWrap w:val="0"/>
            <w:vAlign w:val="center"/>
          </w:tcPr>
          <w:p w14:paraId="3B8062A6">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价格分应当采用低价优先法计算，即满足招标文件要求且投标价格最低的投标报价为评标基准价，其价格分为满分。其他投标人的价格分统一按照下列公式计算：</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（1）投标报价得分＝(评标基准价／投标报价）*100*10%</w:t>
            </w:r>
          </w:p>
          <w:p w14:paraId="619DFB89">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（2）评标过程中，不得去掉报价中的最高报价和最低报价。</w:t>
            </w:r>
          </w:p>
          <w:p w14:paraId="13F75239">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评标委员会认为投标人的报价明显低于其他通过符合性审查投标人的报价，有可能影响工程质量或者不能诚信履约的，应当要求其在评标现场合理的时间内提供书面说明，必要时提交相关证明材料；投标人不能证明其报价合理性的，评标委员会应当将其作为无效投标处理。</w:t>
            </w:r>
          </w:p>
        </w:tc>
      </w:tr>
      <w:tr w14:paraId="69E0F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51" w:type="dxa"/>
            <w:vMerge w:val="continue"/>
            <w:noWrap w:val="0"/>
            <w:vAlign w:val="center"/>
          </w:tcPr>
          <w:p w14:paraId="0058BFB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089" w:type="dxa"/>
            <w:vMerge w:val="continue"/>
            <w:noWrap w:val="0"/>
            <w:vAlign w:val="center"/>
          </w:tcPr>
          <w:p w14:paraId="5FB4D89A">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left="0" w:leftChars="0" w:right="0" w:rightChars="0" w:firstLine="0" w:firstLineChars="0"/>
              <w:jc w:val="center"/>
              <w:textAlignment w:val="auto"/>
              <w:outlineLvl w:val="9"/>
              <w:rPr>
                <w:rFonts w:hint="eastAsia" w:ascii="宋体" w:hAnsi="宋体" w:eastAsia="宋体" w:cs="宋体"/>
                <w:b w:val="0"/>
                <w:bCs w:val="0"/>
                <w:i w:val="0"/>
                <w:iCs w:val="0"/>
                <w:color w:val="auto"/>
                <w:spacing w:val="0"/>
                <w:sz w:val="21"/>
                <w:szCs w:val="21"/>
                <w:vertAlign w:val="baseline"/>
                <w:lang w:val="en-US" w:eastAsia="zh-CN"/>
              </w:rPr>
            </w:pPr>
          </w:p>
        </w:tc>
        <w:tc>
          <w:tcPr>
            <w:tcW w:w="1773" w:type="dxa"/>
            <w:vMerge w:val="continue"/>
            <w:noWrap w:val="0"/>
            <w:vAlign w:val="center"/>
          </w:tcPr>
          <w:p w14:paraId="053B3E03">
            <w:pPr>
              <w:spacing w:line="440" w:lineRule="exact"/>
              <w:rPr>
                <w:rFonts w:hint="eastAsia" w:ascii="宋体" w:hAnsi="宋体" w:eastAsia="宋体" w:cs="宋体"/>
                <w:color w:val="auto"/>
                <w:sz w:val="18"/>
                <w:szCs w:val="18"/>
                <w:lang w:val="en-US" w:eastAsia="zh-CN"/>
              </w:rPr>
            </w:pPr>
          </w:p>
        </w:tc>
        <w:tc>
          <w:tcPr>
            <w:tcW w:w="6245" w:type="dxa"/>
            <w:noWrap w:val="0"/>
            <w:vAlign w:val="center"/>
          </w:tcPr>
          <w:p w14:paraId="2B75BFC5">
            <w:pPr>
              <w:spacing w:line="24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因落实政府采购政策进行价格调整的，以调整后的价格计算评标基准价和投标报价。</w:t>
            </w:r>
          </w:p>
        </w:tc>
      </w:tr>
    </w:tbl>
    <w:p w14:paraId="47898EF1">
      <w:pPr>
        <w:pStyle w:val="47"/>
        <w:numPr>
          <w:ilvl w:val="0"/>
          <w:numId w:val="0"/>
        </w:numPr>
        <w:tabs>
          <w:tab w:val="left" w:pos="754"/>
        </w:tabs>
        <w:rPr>
          <w:rFonts w:hint="eastAsia" w:ascii="宋体" w:hAnsi="宋体" w:eastAsia="宋体" w:cs="宋体"/>
          <w:b/>
          <w:color w:val="auto"/>
          <w:sz w:val="24"/>
        </w:rPr>
      </w:pPr>
      <w:r>
        <w:rPr>
          <w:rFonts w:hint="eastAsia" w:ascii="宋体" w:hAnsi="宋体" w:eastAsia="宋体" w:cs="宋体"/>
          <w:b/>
          <w:color w:val="auto"/>
          <w:sz w:val="24"/>
          <w:lang w:val="en-US" w:eastAsia="zh-CN"/>
        </w:rPr>
        <w:t>2.</w:t>
      </w:r>
      <w:r>
        <w:rPr>
          <w:rFonts w:hint="eastAsia" w:ascii="宋体" w:hAnsi="宋体" w:eastAsia="宋体" w:cs="宋体"/>
          <w:b/>
          <w:i w:val="0"/>
          <w:iCs/>
          <w:color w:val="auto"/>
          <w:sz w:val="24"/>
          <w:lang w:val="en-US" w:eastAsia="zh-CN"/>
        </w:rPr>
        <w:t>2.4</w:t>
      </w:r>
      <w:r>
        <w:rPr>
          <w:rFonts w:hint="eastAsia" w:ascii="宋体" w:hAnsi="宋体" w:eastAsia="宋体" w:cs="宋体"/>
          <w:b/>
          <w:i w:val="0"/>
          <w:iCs/>
          <w:color w:val="auto"/>
          <w:sz w:val="24"/>
        </w:rPr>
        <w:t>商务</w:t>
      </w:r>
      <w:r>
        <w:rPr>
          <w:rFonts w:hint="eastAsia" w:ascii="宋体" w:hAnsi="宋体" w:eastAsia="宋体" w:cs="宋体"/>
          <w:b/>
          <w:i w:val="0"/>
          <w:iCs/>
          <w:color w:val="auto"/>
          <w:sz w:val="24"/>
          <w:lang w:val="en-US" w:eastAsia="zh-CN"/>
        </w:rPr>
        <w:t>技术</w:t>
      </w:r>
      <w:r>
        <w:rPr>
          <w:rFonts w:hint="eastAsia" w:ascii="宋体" w:hAnsi="宋体" w:eastAsia="宋体" w:cs="宋体"/>
          <w:b/>
          <w:i w:val="0"/>
          <w:iCs/>
          <w:color w:val="auto"/>
          <w:sz w:val="24"/>
        </w:rPr>
        <w:t>评分标准</w:t>
      </w:r>
    </w:p>
    <w:p w14:paraId="318D014A">
      <w:pPr>
        <w:spacing w:before="68" w:after="3"/>
        <w:ind w:left="183" w:right="222"/>
        <w:jc w:val="center"/>
        <w:rPr>
          <w:rFonts w:hint="eastAsia" w:ascii="宋体" w:hAnsi="宋体" w:eastAsia="宋体" w:cs="宋体"/>
          <w:b/>
          <w:i w:val="0"/>
          <w:iCs w:val="0"/>
          <w:color w:val="auto"/>
          <w:sz w:val="28"/>
          <w:szCs w:val="22"/>
        </w:rPr>
      </w:pPr>
      <w:r>
        <w:rPr>
          <w:rFonts w:hint="eastAsia" w:ascii="宋体" w:hAnsi="宋体" w:eastAsia="宋体" w:cs="宋体"/>
          <w:b/>
          <w:i w:val="0"/>
          <w:iCs w:val="0"/>
          <w:color w:val="auto"/>
          <w:sz w:val="28"/>
          <w:szCs w:val="22"/>
        </w:rPr>
        <w:t>商务</w:t>
      </w:r>
      <w:r>
        <w:rPr>
          <w:rFonts w:hint="eastAsia" w:ascii="宋体" w:hAnsi="宋体" w:eastAsia="宋体" w:cs="宋体"/>
          <w:b/>
          <w:i w:val="0"/>
          <w:iCs w:val="0"/>
          <w:color w:val="auto"/>
          <w:sz w:val="28"/>
          <w:szCs w:val="22"/>
          <w:lang w:val="en-US" w:eastAsia="zh-CN"/>
        </w:rPr>
        <w:t>技术</w:t>
      </w:r>
      <w:r>
        <w:rPr>
          <w:rFonts w:hint="eastAsia" w:ascii="宋体" w:hAnsi="宋体" w:eastAsia="宋体" w:cs="宋体"/>
          <w:b/>
          <w:i w:val="0"/>
          <w:iCs w:val="0"/>
          <w:color w:val="auto"/>
          <w:sz w:val="28"/>
          <w:szCs w:val="22"/>
        </w:rPr>
        <w:t>评分分值表</w:t>
      </w:r>
    </w:p>
    <w:tbl>
      <w:tblPr>
        <w:tblStyle w:val="40"/>
        <w:tblW w:w="95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5"/>
        <w:gridCol w:w="1570"/>
        <w:gridCol w:w="636"/>
        <w:gridCol w:w="6769"/>
      </w:tblGrid>
      <w:tr w14:paraId="373F4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jc w:val="center"/>
        </w:trPr>
        <w:tc>
          <w:tcPr>
            <w:tcW w:w="9560" w:type="dxa"/>
            <w:gridSpan w:val="4"/>
            <w:noWrap w:val="0"/>
            <w:vAlign w:val="center"/>
          </w:tcPr>
          <w:p w14:paraId="268FD196">
            <w:pPr>
              <w:pStyle w:val="57"/>
              <w:spacing w:before="111"/>
              <w:ind w:left="25" w:right="13"/>
              <w:jc w:val="center"/>
              <w:rPr>
                <w:rFonts w:hint="eastAsia" w:ascii="宋体" w:hAnsi="宋体" w:eastAsia="宋体" w:cs="宋体"/>
                <w:b/>
                <w:bCs/>
                <w:color w:val="auto"/>
                <w:spacing w:val="15"/>
                <w:kern w:val="0"/>
                <w:sz w:val="18"/>
                <w:szCs w:val="18"/>
                <w:lang w:val="en-US" w:eastAsia="zh-CN" w:bidi="ar-SA"/>
              </w:rPr>
            </w:pPr>
            <w:r>
              <w:rPr>
                <w:rFonts w:hint="eastAsia" w:ascii="宋体" w:hAnsi="宋体" w:eastAsia="宋体" w:cs="宋体"/>
                <w:b/>
                <w:bCs/>
                <w:color w:val="auto"/>
                <w:spacing w:val="15"/>
                <w:kern w:val="0"/>
                <w:sz w:val="18"/>
                <w:szCs w:val="18"/>
                <w:lang w:val="en-US" w:eastAsia="zh-CN" w:bidi="ar-SA"/>
              </w:rPr>
              <w:t>商务评审标准</w:t>
            </w:r>
          </w:p>
        </w:tc>
      </w:tr>
      <w:tr w14:paraId="3B560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jc w:val="center"/>
        </w:trPr>
        <w:tc>
          <w:tcPr>
            <w:tcW w:w="585" w:type="dxa"/>
            <w:noWrap w:val="0"/>
            <w:vAlign w:val="center"/>
          </w:tcPr>
          <w:p w14:paraId="4CF023DA">
            <w:pPr>
              <w:pStyle w:val="57"/>
              <w:spacing w:before="111"/>
              <w:ind w:left="99" w:leftChars="0" w:right="82" w:rightChars="0"/>
              <w:jc w:val="center"/>
              <w:rPr>
                <w:rFonts w:hint="eastAsia" w:ascii="宋体" w:hAnsi="宋体" w:eastAsia="宋体" w:cs="宋体"/>
                <w:b/>
                <w:bCs/>
                <w:color w:val="auto"/>
                <w:spacing w:val="15"/>
                <w:kern w:val="0"/>
                <w:sz w:val="18"/>
                <w:szCs w:val="18"/>
                <w:lang w:val="en-US" w:eastAsia="zh-CN" w:bidi="ar-SA"/>
              </w:rPr>
            </w:pPr>
            <w:r>
              <w:rPr>
                <w:rFonts w:hint="eastAsia" w:ascii="宋体" w:hAnsi="宋体" w:eastAsia="宋体" w:cs="宋体"/>
                <w:b/>
                <w:bCs/>
                <w:color w:val="auto"/>
                <w:spacing w:val="15"/>
                <w:kern w:val="0"/>
                <w:sz w:val="18"/>
                <w:szCs w:val="18"/>
                <w:lang w:val="en-US" w:eastAsia="zh-CN" w:bidi="ar-SA"/>
              </w:rPr>
              <w:t>序号</w:t>
            </w:r>
          </w:p>
        </w:tc>
        <w:tc>
          <w:tcPr>
            <w:tcW w:w="1570" w:type="dxa"/>
            <w:noWrap w:val="0"/>
            <w:vAlign w:val="center"/>
          </w:tcPr>
          <w:p w14:paraId="6D54F178">
            <w:pPr>
              <w:pStyle w:val="57"/>
              <w:spacing w:before="111"/>
              <w:ind w:left="206" w:leftChars="0" w:right="195" w:rightChars="0"/>
              <w:jc w:val="center"/>
              <w:rPr>
                <w:rFonts w:hint="eastAsia" w:ascii="宋体" w:hAnsi="宋体" w:eastAsia="宋体" w:cs="宋体"/>
                <w:b/>
                <w:bCs/>
                <w:color w:val="auto"/>
                <w:spacing w:val="15"/>
                <w:kern w:val="0"/>
                <w:sz w:val="18"/>
                <w:szCs w:val="18"/>
                <w:lang w:val="en-US" w:eastAsia="zh-CN" w:bidi="ar-SA"/>
              </w:rPr>
            </w:pPr>
            <w:r>
              <w:rPr>
                <w:rFonts w:hint="eastAsia" w:ascii="宋体" w:hAnsi="宋体" w:eastAsia="宋体" w:cs="宋体"/>
                <w:b/>
                <w:bCs/>
                <w:color w:val="auto"/>
                <w:spacing w:val="15"/>
                <w:kern w:val="0"/>
                <w:sz w:val="18"/>
                <w:szCs w:val="18"/>
                <w:lang w:val="en-US" w:eastAsia="zh-CN" w:bidi="ar-SA"/>
              </w:rPr>
              <w:t>评分项目</w:t>
            </w:r>
          </w:p>
        </w:tc>
        <w:tc>
          <w:tcPr>
            <w:tcW w:w="636" w:type="dxa"/>
            <w:noWrap w:val="0"/>
            <w:vAlign w:val="center"/>
          </w:tcPr>
          <w:p w14:paraId="05F95FC0">
            <w:pPr>
              <w:pStyle w:val="57"/>
              <w:spacing w:before="111"/>
              <w:ind w:left="125" w:leftChars="0" w:right="113" w:rightChars="0"/>
              <w:jc w:val="center"/>
              <w:rPr>
                <w:rFonts w:hint="eastAsia" w:ascii="宋体" w:hAnsi="宋体" w:eastAsia="宋体" w:cs="宋体"/>
                <w:b/>
                <w:bCs/>
                <w:color w:val="auto"/>
                <w:spacing w:val="15"/>
                <w:kern w:val="0"/>
                <w:sz w:val="18"/>
                <w:szCs w:val="18"/>
                <w:lang w:val="en-US" w:eastAsia="zh-CN" w:bidi="ar-SA"/>
              </w:rPr>
            </w:pPr>
            <w:r>
              <w:rPr>
                <w:rFonts w:hint="eastAsia" w:ascii="宋体" w:hAnsi="宋体" w:eastAsia="宋体" w:cs="宋体"/>
                <w:b/>
                <w:bCs/>
                <w:color w:val="auto"/>
                <w:spacing w:val="15"/>
                <w:kern w:val="0"/>
                <w:sz w:val="18"/>
                <w:szCs w:val="18"/>
                <w:lang w:val="en-US" w:eastAsia="zh-CN" w:bidi="ar-SA"/>
              </w:rPr>
              <w:t>分值</w:t>
            </w:r>
          </w:p>
        </w:tc>
        <w:tc>
          <w:tcPr>
            <w:tcW w:w="6769" w:type="dxa"/>
            <w:noWrap w:val="0"/>
            <w:vAlign w:val="center"/>
          </w:tcPr>
          <w:p w14:paraId="5A21A8A4">
            <w:pPr>
              <w:pStyle w:val="57"/>
              <w:spacing w:before="111"/>
              <w:ind w:left="25" w:leftChars="0" w:right="13" w:rightChars="0"/>
              <w:jc w:val="center"/>
              <w:rPr>
                <w:rFonts w:hint="eastAsia" w:ascii="宋体" w:hAnsi="宋体" w:eastAsia="宋体" w:cs="宋体"/>
                <w:b/>
                <w:bCs/>
                <w:color w:val="auto"/>
                <w:spacing w:val="15"/>
                <w:kern w:val="0"/>
                <w:sz w:val="18"/>
                <w:szCs w:val="18"/>
                <w:lang w:val="en-US" w:eastAsia="zh-CN" w:bidi="ar-SA"/>
              </w:rPr>
            </w:pPr>
            <w:r>
              <w:rPr>
                <w:rFonts w:hint="eastAsia" w:ascii="宋体" w:hAnsi="宋体" w:eastAsia="宋体" w:cs="宋体"/>
                <w:b/>
                <w:bCs/>
                <w:color w:val="auto"/>
                <w:spacing w:val="15"/>
                <w:kern w:val="0"/>
                <w:sz w:val="18"/>
                <w:szCs w:val="18"/>
                <w:lang w:val="en-US" w:eastAsia="zh-CN" w:bidi="ar-SA"/>
              </w:rPr>
              <w:t>评分说明</w:t>
            </w:r>
          </w:p>
        </w:tc>
      </w:tr>
      <w:tr w14:paraId="205CF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1" w:hRule="atLeast"/>
          <w:jc w:val="center"/>
        </w:trPr>
        <w:tc>
          <w:tcPr>
            <w:tcW w:w="585" w:type="dxa"/>
            <w:noWrap w:val="0"/>
            <w:vAlign w:val="center"/>
          </w:tcPr>
          <w:p w14:paraId="4902A031">
            <w:pPr>
              <w:pStyle w:val="57"/>
              <w:jc w:val="center"/>
              <w:rPr>
                <w:rFonts w:hint="eastAsia" w:ascii="宋体" w:hAnsi="宋体" w:eastAsia="宋体" w:cs="宋体"/>
                <w:color w:val="auto"/>
                <w:spacing w:val="15"/>
                <w:kern w:val="0"/>
                <w:sz w:val="18"/>
                <w:szCs w:val="18"/>
                <w:lang w:val="en-US" w:eastAsia="zh-CN" w:bidi="ar-SA"/>
              </w:rPr>
            </w:pPr>
            <w:r>
              <w:rPr>
                <w:rFonts w:hint="eastAsia" w:ascii="宋体" w:hAnsi="宋体" w:eastAsia="宋体" w:cs="宋体"/>
                <w:color w:val="auto"/>
                <w:spacing w:val="15"/>
                <w:kern w:val="0"/>
                <w:sz w:val="18"/>
                <w:szCs w:val="18"/>
                <w:lang w:val="en-US" w:eastAsia="zh-CN" w:bidi="ar-SA"/>
              </w:rPr>
              <w:t>1</w:t>
            </w:r>
          </w:p>
        </w:tc>
        <w:tc>
          <w:tcPr>
            <w:tcW w:w="1570" w:type="dxa"/>
            <w:noWrap w:val="0"/>
            <w:vAlign w:val="center"/>
          </w:tcPr>
          <w:p w14:paraId="5337FC7A">
            <w:pPr>
              <w:pStyle w:val="21"/>
              <w:ind w:right="40" w:rightChars="15"/>
              <w:jc w:val="center"/>
              <w:rPr>
                <w:rFonts w:hint="eastAsia" w:ascii="宋体" w:hAnsi="宋体" w:eastAsia="宋体" w:cs="宋体"/>
                <w:color w:val="auto"/>
                <w:spacing w:val="15"/>
                <w:kern w:val="0"/>
                <w:sz w:val="18"/>
                <w:szCs w:val="18"/>
                <w:lang w:val="en-US" w:eastAsia="zh-CN" w:bidi="ar-SA"/>
              </w:rPr>
            </w:pPr>
            <w:r>
              <w:rPr>
                <w:rFonts w:hint="eastAsia" w:ascii="宋体" w:hAnsi="宋体" w:eastAsia="宋体" w:cs="宋体"/>
                <w:color w:val="auto"/>
                <w:spacing w:val="15"/>
                <w:kern w:val="0"/>
                <w:sz w:val="18"/>
                <w:szCs w:val="18"/>
                <w:lang w:val="en-US" w:eastAsia="zh-CN" w:bidi="ar-SA"/>
              </w:rPr>
              <w:t>投标人业绩</w:t>
            </w:r>
          </w:p>
          <w:p w14:paraId="35A9588A">
            <w:pPr>
              <w:pStyle w:val="21"/>
              <w:ind w:right="40" w:rightChars="15"/>
              <w:jc w:val="center"/>
              <w:rPr>
                <w:rFonts w:hint="eastAsia" w:ascii="宋体" w:hAnsi="宋体" w:eastAsia="宋体" w:cs="宋体"/>
                <w:color w:val="auto"/>
                <w:spacing w:val="15"/>
                <w:kern w:val="0"/>
                <w:sz w:val="18"/>
                <w:szCs w:val="18"/>
                <w:lang w:val="en-US" w:eastAsia="zh-CN" w:bidi="ar-SA"/>
              </w:rPr>
            </w:pPr>
          </w:p>
        </w:tc>
        <w:tc>
          <w:tcPr>
            <w:tcW w:w="636" w:type="dxa"/>
            <w:noWrap w:val="0"/>
            <w:vAlign w:val="center"/>
          </w:tcPr>
          <w:p w14:paraId="5B948936">
            <w:pPr>
              <w:pStyle w:val="21"/>
              <w:jc w:val="center"/>
              <w:rPr>
                <w:rFonts w:hint="default" w:ascii="宋体" w:hAnsi="宋体" w:eastAsia="宋体" w:cs="宋体"/>
                <w:color w:val="auto"/>
                <w:spacing w:val="15"/>
                <w:kern w:val="0"/>
                <w:sz w:val="18"/>
                <w:szCs w:val="18"/>
                <w:lang w:val="en-US" w:eastAsia="zh-CN" w:bidi="ar-SA"/>
              </w:rPr>
            </w:pPr>
            <w:r>
              <w:rPr>
                <w:rFonts w:hint="eastAsia" w:ascii="宋体" w:hAnsi="宋体" w:eastAsia="宋体" w:cs="宋体"/>
                <w:color w:val="auto"/>
                <w:spacing w:val="15"/>
                <w:kern w:val="0"/>
                <w:sz w:val="18"/>
                <w:szCs w:val="18"/>
                <w:lang w:val="en-US" w:eastAsia="zh-CN" w:bidi="ar-SA"/>
              </w:rPr>
              <w:t>6分</w:t>
            </w:r>
          </w:p>
        </w:tc>
        <w:tc>
          <w:tcPr>
            <w:tcW w:w="6769" w:type="dxa"/>
            <w:noWrap w:val="0"/>
            <w:vAlign w:val="center"/>
          </w:tcPr>
          <w:p w14:paraId="1A167AD3">
            <w:pPr>
              <w:pStyle w:val="72"/>
              <w:snapToGrid w:val="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近三年（2022年至今）类似项目业绩（合同或中标通知书），一项得2分，最多得6分；不提供不得分。</w:t>
            </w:r>
          </w:p>
          <w:p w14:paraId="45FB9AA5">
            <w:pPr>
              <w:pStyle w:val="21"/>
              <w:ind w:right="-40" w:rightChars="-15"/>
              <w:jc w:val="both"/>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备注：业绩证明以合同或中标通知书为准，在投标文件中附合同（协议）扫描件（合同须包含合同首页、金额页、服务内容页、签字盖章页）或中标（成交）通知书扫描件加盖单位公章，未提供业绩证明材或内容模糊不清的，其业绩不予认定，弄虚作假者取消其投标资格并追究其法律责任）。</w:t>
            </w:r>
          </w:p>
        </w:tc>
      </w:tr>
      <w:tr w14:paraId="3F245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jc w:val="center"/>
        </w:trPr>
        <w:tc>
          <w:tcPr>
            <w:tcW w:w="585" w:type="dxa"/>
            <w:noWrap w:val="0"/>
            <w:vAlign w:val="center"/>
          </w:tcPr>
          <w:p w14:paraId="193D3FFE">
            <w:pPr>
              <w:pStyle w:val="72"/>
              <w:snapToGrid w:val="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1570" w:type="dxa"/>
            <w:noWrap w:val="0"/>
            <w:vAlign w:val="center"/>
          </w:tcPr>
          <w:p w14:paraId="74D9DFC9">
            <w:pPr>
              <w:pStyle w:val="72"/>
              <w:snapToGrid w:val="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项目人员配备</w:t>
            </w:r>
          </w:p>
        </w:tc>
        <w:tc>
          <w:tcPr>
            <w:tcW w:w="636" w:type="dxa"/>
            <w:noWrap w:val="0"/>
            <w:vAlign w:val="center"/>
          </w:tcPr>
          <w:p w14:paraId="05045248">
            <w:pPr>
              <w:pStyle w:val="72"/>
              <w:snapToGrid w:val="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4分</w:t>
            </w:r>
          </w:p>
        </w:tc>
        <w:tc>
          <w:tcPr>
            <w:tcW w:w="6769" w:type="dxa"/>
            <w:noWrap w:val="0"/>
            <w:vAlign w:val="center"/>
          </w:tcPr>
          <w:p w14:paraId="300F1D81">
            <w:pPr>
              <w:pStyle w:val="72"/>
              <w:snapToGrid w:val="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1)本项目负责人具有（通信或网络或信息化）证书，高级工程师证书得2分，中级证书得1分。</w:t>
            </w:r>
          </w:p>
          <w:p w14:paraId="75D3F1B0">
            <w:pPr>
              <w:pStyle w:val="72"/>
              <w:snapToGrid w:val="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2）团队中（不含项目负责人）有网络工程师或运维IT服务人员证书的，每具备一个得1分，满分2分；</w:t>
            </w:r>
          </w:p>
          <w:p w14:paraId="60795662">
            <w:pPr>
              <w:pStyle w:val="72"/>
              <w:snapToGrid w:val="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注：以上人员需提供相关证书扫描件、劳动合同等相关证明资料。注：须提供证书及劳务合同复印件加盖投标单位</w:t>
            </w:r>
            <w:bookmarkStart w:id="194" w:name="_GoBack"/>
            <w:bookmarkEnd w:id="194"/>
            <w:r>
              <w:rPr>
                <w:rFonts w:hint="eastAsia" w:ascii="宋体" w:hAnsi="宋体" w:eastAsia="宋体" w:cs="宋体"/>
                <w:kern w:val="2"/>
                <w:sz w:val="18"/>
                <w:szCs w:val="18"/>
                <w:lang w:val="en-US" w:eastAsia="zh-CN" w:bidi="ar-SA"/>
              </w:rPr>
              <w:t>公章；同一人的多份证书只计一份。材料提供不齐全或不提供不得分</w:t>
            </w:r>
          </w:p>
        </w:tc>
      </w:tr>
      <w:tr w14:paraId="50575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jc w:val="center"/>
        </w:trPr>
        <w:tc>
          <w:tcPr>
            <w:tcW w:w="9560" w:type="dxa"/>
            <w:gridSpan w:val="4"/>
            <w:noWrap w:val="0"/>
            <w:vAlign w:val="center"/>
          </w:tcPr>
          <w:p w14:paraId="1DEA161B">
            <w:pPr>
              <w:pStyle w:val="72"/>
              <w:snapToGrid w:val="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技术评审标准</w:t>
            </w:r>
          </w:p>
        </w:tc>
      </w:tr>
      <w:tr w14:paraId="0813E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jc w:val="center"/>
        </w:trPr>
        <w:tc>
          <w:tcPr>
            <w:tcW w:w="585" w:type="dxa"/>
            <w:noWrap w:val="0"/>
            <w:vAlign w:val="center"/>
          </w:tcPr>
          <w:p w14:paraId="465B587B">
            <w:pPr>
              <w:pStyle w:val="57"/>
              <w:spacing w:before="111"/>
              <w:ind w:left="99" w:leftChars="0" w:right="82" w:rightChars="0"/>
              <w:jc w:val="center"/>
              <w:rPr>
                <w:rFonts w:hint="eastAsia" w:ascii="宋体" w:hAnsi="宋体" w:eastAsia="宋体" w:cs="宋体"/>
                <w:b/>
                <w:bCs/>
                <w:color w:val="auto"/>
                <w:spacing w:val="15"/>
                <w:kern w:val="0"/>
                <w:sz w:val="16"/>
                <w:szCs w:val="16"/>
                <w:lang w:val="en-US" w:eastAsia="zh-CN" w:bidi="ar-SA"/>
              </w:rPr>
            </w:pPr>
            <w:r>
              <w:rPr>
                <w:rFonts w:hint="eastAsia" w:ascii="宋体" w:hAnsi="宋体" w:eastAsia="宋体" w:cs="宋体"/>
                <w:b/>
                <w:bCs/>
                <w:color w:val="auto"/>
                <w:spacing w:val="15"/>
                <w:kern w:val="0"/>
                <w:sz w:val="16"/>
                <w:szCs w:val="16"/>
                <w:lang w:val="en-US" w:eastAsia="zh-CN" w:bidi="ar-SA"/>
              </w:rPr>
              <w:t>序号</w:t>
            </w:r>
          </w:p>
        </w:tc>
        <w:tc>
          <w:tcPr>
            <w:tcW w:w="1570" w:type="dxa"/>
            <w:noWrap w:val="0"/>
            <w:vAlign w:val="center"/>
          </w:tcPr>
          <w:p w14:paraId="773BC388">
            <w:pPr>
              <w:pStyle w:val="57"/>
              <w:spacing w:before="111"/>
              <w:ind w:left="206" w:leftChars="0" w:right="195" w:rightChars="0"/>
              <w:jc w:val="center"/>
              <w:rPr>
                <w:rFonts w:hint="eastAsia" w:ascii="宋体" w:hAnsi="宋体" w:eastAsia="宋体" w:cs="宋体"/>
                <w:b/>
                <w:bCs/>
                <w:color w:val="auto"/>
                <w:spacing w:val="15"/>
                <w:kern w:val="0"/>
                <w:sz w:val="16"/>
                <w:szCs w:val="16"/>
                <w:lang w:val="en-US" w:eastAsia="zh-CN" w:bidi="ar-SA"/>
              </w:rPr>
            </w:pPr>
            <w:r>
              <w:rPr>
                <w:rFonts w:hint="eastAsia" w:ascii="宋体" w:hAnsi="宋体" w:eastAsia="宋体" w:cs="宋体"/>
                <w:b/>
                <w:bCs/>
                <w:color w:val="auto"/>
                <w:spacing w:val="15"/>
                <w:kern w:val="0"/>
                <w:sz w:val="16"/>
                <w:szCs w:val="16"/>
                <w:lang w:val="en-US" w:eastAsia="zh-CN" w:bidi="ar-SA"/>
              </w:rPr>
              <w:t>评分项目</w:t>
            </w:r>
          </w:p>
        </w:tc>
        <w:tc>
          <w:tcPr>
            <w:tcW w:w="636" w:type="dxa"/>
            <w:noWrap w:val="0"/>
            <w:vAlign w:val="center"/>
          </w:tcPr>
          <w:p w14:paraId="487FAD9C">
            <w:pPr>
              <w:pStyle w:val="57"/>
              <w:spacing w:before="111"/>
              <w:ind w:left="125" w:leftChars="0" w:right="113" w:rightChars="0"/>
              <w:jc w:val="center"/>
              <w:rPr>
                <w:rFonts w:hint="eastAsia" w:ascii="宋体" w:hAnsi="宋体" w:eastAsia="宋体" w:cs="宋体"/>
                <w:b/>
                <w:bCs/>
                <w:color w:val="auto"/>
                <w:spacing w:val="15"/>
                <w:kern w:val="0"/>
                <w:sz w:val="16"/>
                <w:szCs w:val="16"/>
                <w:lang w:val="en-US" w:eastAsia="zh-CN" w:bidi="ar-SA"/>
              </w:rPr>
            </w:pPr>
            <w:r>
              <w:rPr>
                <w:rFonts w:hint="eastAsia" w:ascii="宋体" w:hAnsi="宋体" w:eastAsia="宋体" w:cs="宋体"/>
                <w:b/>
                <w:bCs/>
                <w:color w:val="auto"/>
                <w:spacing w:val="15"/>
                <w:kern w:val="0"/>
                <w:sz w:val="16"/>
                <w:szCs w:val="16"/>
                <w:lang w:val="en-US" w:eastAsia="zh-CN" w:bidi="ar-SA"/>
              </w:rPr>
              <w:t>分值</w:t>
            </w:r>
          </w:p>
        </w:tc>
        <w:tc>
          <w:tcPr>
            <w:tcW w:w="6769" w:type="dxa"/>
            <w:noWrap w:val="0"/>
            <w:vAlign w:val="center"/>
          </w:tcPr>
          <w:p w14:paraId="52638B67">
            <w:pPr>
              <w:pStyle w:val="57"/>
              <w:spacing w:before="111"/>
              <w:ind w:left="25" w:leftChars="0" w:right="13" w:rightChars="0"/>
              <w:jc w:val="center"/>
              <w:rPr>
                <w:rFonts w:hint="eastAsia" w:ascii="宋体" w:hAnsi="宋体" w:eastAsia="宋体" w:cs="宋体"/>
                <w:b/>
                <w:bCs/>
                <w:color w:val="auto"/>
                <w:spacing w:val="15"/>
                <w:kern w:val="0"/>
                <w:sz w:val="16"/>
                <w:szCs w:val="16"/>
                <w:lang w:val="en-US" w:eastAsia="zh-CN" w:bidi="ar-SA"/>
              </w:rPr>
            </w:pPr>
            <w:r>
              <w:rPr>
                <w:rFonts w:hint="eastAsia" w:ascii="宋体" w:hAnsi="宋体" w:eastAsia="宋体" w:cs="宋体"/>
                <w:b/>
                <w:bCs/>
                <w:color w:val="auto"/>
                <w:spacing w:val="15"/>
                <w:kern w:val="0"/>
                <w:sz w:val="16"/>
                <w:szCs w:val="16"/>
                <w:lang w:val="en-US" w:eastAsia="zh-CN" w:bidi="ar-SA"/>
              </w:rPr>
              <w:t>评分说明</w:t>
            </w:r>
          </w:p>
        </w:tc>
      </w:tr>
      <w:tr w14:paraId="3BE13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jc w:val="center"/>
        </w:trPr>
        <w:tc>
          <w:tcPr>
            <w:tcW w:w="585" w:type="dxa"/>
            <w:noWrap w:val="0"/>
            <w:vAlign w:val="center"/>
          </w:tcPr>
          <w:p w14:paraId="1788A48A">
            <w:pPr>
              <w:pStyle w:val="57"/>
              <w:spacing w:before="1"/>
              <w:ind w:left="12"/>
              <w:jc w:val="center"/>
              <w:rPr>
                <w:rFonts w:hint="eastAsia" w:ascii="宋体" w:hAnsi="宋体" w:eastAsia="宋体" w:cs="宋体"/>
                <w:color w:val="auto"/>
                <w:spacing w:val="15"/>
                <w:kern w:val="0"/>
                <w:sz w:val="16"/>
                <w:szCs w:val="16"/>
                <w:lang w:val="en-US" w:eastAsia="zh-CN" w:bidi="ar-SA"/>
              </w:rPr>
            </w:pPr>
            <w:r>
              <w:rPr>
                <w:rFonts w:hint="eastAsia" w:ascii="宋体" w:hAnsi="宋体" w:eastAsia="宋体" w:cs="宋体"/>
                <w:color w:val="auto"/>
                <w:spacing w:val="15"/>
                <w:kern w:val="0"/>
                <w:sz w:val="16"/>
                <w:szCs w:val="16"/>
                <w:lang w:val="en-US" w:eastAsia="zh-CN" w:bidi="ar-SA"/>
              </w:rPr>
              <w:t>1</w:t>
            </w:r>
          </w:p>
        </w:tc>
        <w:tc>
          <w:tcPr>
            <w:tcW w:w="1570" w:type="dxa"/>
            <w:noWrap w:val="0"/>
            <w:vAlign w:val="center"/>
          </w:tcPr>
          <w:p w14:paraId="6C0A6FB6">
            <w:pPr>
              <w:widowControl/>
              <w:spacing w:line="340" w:lineRule="exact"/>
              <w:jc w:val="center"/>
              <w:rPr>
                <w:rFonts w:hint="default" w:ascii="宋体" w:hAnsi="宋体" w:eastAsia="宋体" w:cs="宋体"/>
                <w:color w:val="auto"/>
                <w:spacing w:val="15"/>
                <w:kern w:val="0"/>
                <w:sz w:val="16"/>
                <w:szCs w:val="16"/>
                <w:lang w:val="en-US" w:eastAsia="zh-CN" w:bidi="ar-SA"/>
              </w:rPr>
            </w:pPr>
            <w:r>
              <w:rPr>
                <w:rFonts w:hint="eastAsia" w:ascii="宋体" w:hAnsi="宋体" w:eastAsia="宋体" w:cs="宋体"/>
                <w:color w:val="auto"/>
                <w:kern w:val="2"/>
                <w:sz w:val="18"/>
                <w:szCs w:val="18"/>
                <w:lang w:val="en-US" w:eastAsia="zh-CN"/>
              </w:rPr>
              <w:t>服务</w:t>
            </w:r>
            <w:r>
              <w:rPr>
                <w:rFonts w:hint="eastAsia" w:ascii="宋体" w:hAnsi="宋体" w:eastAsia="宋体" w:cs="宋体"/>
                <w:color w:val="auto"/>
                <w:kern w:val="2"/>
                <w:sz w:val="18"/>
                <w:szCs w:val="18"/>
              </w:rPr>
              <w:t>实施方案</w:t>
            </w:r>
          </w:p>
        </w:tc>
        <w:tc>
          <w:tcPr>
            <w:tcW w:w="636" w:type="dxa"/>
            <w:noWrap w:val="0"/>
            <w:vAlign w:val="center"/>
          </w:tcPr>
          <w:p w14:paraId="59BF7659">
            <w:pPr>
              <w:pStyle w:val="73"/>
              <w:spacing w:after="120" w:line="240" w:lineRule="exact"/>
              <w:jc w:val="center"/>
              <w:rPr>
                <w:rFonts w:hint="default" w:ascii="宋体" w:hAnsi="宋体" w:eastAsia="宋体" w:cs="宋体"/>
                <w:color w:val="auto"/>
                <w:spacing w:val="15"/>
                <w:kern w:val="0"/>
                <w:sz w:val="16"/>
                <w:szCs w:val="16"/>
                <w:lang w:val="en-US" w:eastAsia="zh-CN" w:bidi="ar-SA"/>
              </w:rPr>
            </w:pPr>
            <w:r>
              <w:rPr>
                <w:rFonts w:hint="eastAsia" w:hAnsi="宋体" w:eastAsia="宋体" w:cs="宋体"/>
                <w:color w:val="auto"/>
                <w:kern w:val="2"/>
                <w:sz w:val="18"/>
                <w:szCs w:val="18"/>
                <w:lang w:val="en-US" w:eastAsia="zh-CN"/>
              </w:rPr>
              <w:t>15分</w:t>
            </w:r>
          </w:p>
        </w:tc>
        <w:tc>
          <w:tcPr>
            <w:tcW w:w="6769" w:type="dxa"/>
            <w:noWrap w:val="0"/>
            <w:vAlign w:val="center"/>
          </w:tcPr>
          <w:p w14:paraId="081465BB">
            <w:pPr>
              <w:pStyle w:val="9"/>
              <w:jc w:val="left"/>
              <w:rPr>
                <w:rFonts w:hint="eastAsia" w:ascii="宋体" w:hAnsi="宋体" w:eastAsia="宋体" w:cs="宋体"/>
                <w:color w:val="auto"/>
                <w:spacing w:val="15"/>
                <w:kern w:val="0"/>
                <w:sz w:val="16"/>
                <w:szCs w:val="16"/>
                <w:lang w:val="en-US" w:eastAsia="zh-CN" w:bidi="ar-SA"/>
              </w:rPr>
            </w:pPr>
            <w:r>
              <w:rPr>
                <w:rFonts w:hint="eastAsia" w:ascii="宋体" w:hAnsi="宋体" w:eastAsia="宋体" w:cs="宋体"/>
                <w:color w:val="auto"/>
                <w:kern w:val="2"/>
                <w:sz w:val="18"/>
                <w:szCs w:val="18"/>
                <w:lang w:val="en-US" w:eastAsia="zh-CN" w:bidi="ar-SA"/>
              </w:rPr>
              <w:t>根据本项目特点和服务要求制定项目实施方案，包括项目总体部署、实施目标、关键节点控制措施、项目实施保障方案、售后方案。</w:t>
            </w:r>
            <w:r>
              <w:rPr>
                <w:rFonts w:hint="eastAsia" w:ascii="宋体" w:hAnsi="宋体" w:eastAsia="宋体" w:cs="宋体"/>
                <w:sz w:val="18"/>
                <w:szCs w:val="18"/>
                <w:lang w:val="en-US" w:eastAsia="zh-CN"/>
              </w:rPr>
              <w:t>方案与实际相关、方案内容详尽、条理清晰，得 1</w:t>
            </w:r>
            <w:r>
              <w:rPr>
                <w:rFonts w:hint="eastAsia" w:ascii="宋体" w:hAnsi="宋体" w:cs="宋体"/>
                <w:sz w:val="18"/>
                <w:szCs w:val="18"/>
                <w:lang w:val="en-US" w:eastAsia="zh-CN"/>
              </w:rPr>
              <w:t>5</w:t>
            </w:r>
            <w:r>
              <w:rPr>
                <w:rFonts w:hint="eastAsia" w:ascii="宋体" w:hAnsi="宋体" w:eastAsia="宋体" w:cs="宋体"/>
                <w:sz w:val="18"/>
                <w:szCs w:val="18"/>
                <w:lang w:val="en-US" w:eastAsia="zh-CN"/>
              </w:rPr>
              <w:t>分；每缺少一项内容扣3分，每项内容存在一处缺陷扣</w:t>
            </w:r>
            <w:r>
              <w:rPr>
                <w:rFonts w:hint="eastAsia" w:ascii="宋体" w:hAnsi="宋体" w:cs="宋体"/>
                <w:sz w:val="18"/>
                <w:szCs w:val="18"/>
                <w:lang w:val="en-US" w:eastAsia="zh-CN"/>
              </w:rPr>
              <w:t>2</w:t>
            </w:r>
            <w:r>
              <w:rPr>
                <w:rFonts w:hint="eastAsia" w:ascii="宋体" w:hAnsi="宋体" w:eastAsia="宋体" w:cs="宋体"/>
                <w:sz w:val="18"/>
                <w:szCs w:val="18"/>
                <w:lang w:val="en-US" w:eastAsia="zh-CN"/>
              </w:rPr>
              <w:t>分，扣完为止；(本项所称“缺陷”是指内容缺项、方案非专门针对本项目或不适用本项目特性、套用其他项目内容、涉及的相关规范及标准错误、地点区域错误、内容缺失、只有简单描述无实质性内容、对同一问题前后表述矛盾、存在逻辑漏洞、科学原理或常识错误、不利于本项目目标的实现、现有技术条件下不可能出现的情形等任意一种情形)</w:t>
            </w:r>
          </w:p>
        </w:tc>
      </w:tr>
      <w:tr w14:paraId="483D0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585" w:type="dxa"/>
            <w:noWrap w:val="0"/>
            <w:vAlign w:val="center"/>
          </w:tcPr>
          <w:p w14:paraId="3F443101">
            <w:pPr>
              <w:widowControl/>
              <w:numPr>
                <w:ilvl w:val="0"/>
                <w:numId w:val="0"/>
              </w:numPr>
              <w:spacing w:line="340" w:lineRule="exact"/>
              <w:jc w:val="center"/>
              <w:rPr>
                <w:rFonts w:hint="eastAsia" w:ascii="宋体" w:hAnsi="宋体" w:eastAsia="宋体" w:cs="宋体"/>
                <w:color w:val="auto"/>
                <w:spacing w:val="15"/>
                <w:kern w:val="0"/>
                <w:sz w:val="16"/>
                <w:szCs w:val="16"/>
                <w:lang w:val="en-US" w:eastAsia="zh-CN" w:bidi="ar-SA"/>
              </w:rPr>
            </w:pPr>
            <w:r>
              <w:rPr>
                <w:rFonts w:hint="eastAsia" w:ascii="宋体" w:hAnsi="宋体" w:eastAsia="宋体" w:cs="宋体"/>
                <w:color w:val="auto"/>
                <w:spacing w:val="15"/>
                <w:kern w:val="0"/>
                <w:sz w:val="16"/>
                <w:szCs w:val="16"/>
                <w:lang w:val="en-US" w:eastAsia="zh-CN" w:bidi="ar-SA"/>
              </w:rPr>
              <w:t>2</w:t>
            </w:r>
          </w:p>
        </w:tc>
        <w:tc>
          <w:tcPr>
            <w:tcW w:w="1570" w:type="dxa"/>
            <w:noWrap w:val="0"/>
            <w:vAlign w:val="center"/>
          </w:tcPr>
          <w:p w14:paraId="492860EB">
            <w:pPr>
              <w:pStyle w:val="73"/>
              <w:spacing w:after="120" w:line="240" w:lineRule="exact"/>
              <w:jc w:val="center"/>
              <w:rPr>
                <w:rFonts w:hint="eastAsia" w:ascii="宋体" w:hAnsi="宋体" w:eastAsia="宋体" w:cs="宋体"/>
                <w:color w:val="auto"/>
                <w:spacing w:val="15"/>
                <w:kern w:val="0"/>
                <w:sz w:val="16"/>
                <w:szCs w:val="16"/>
                <w:lang w:val="en-US" w:eastAsia="zh-CN" w:bidi="ar-SA"/>
              </w:rPr>
            </w:pPr>
            <w:r>
              <w:rPr>
                <w:rFonts w:hint="eastAsia" w:ascii="宋体" w:hAnsi="宋体" w:eastAsia="宋体" w:cs="宋体"/>
                <w:color w:val="auto"/>
                <w:kern w:val="2"/>
                <w:sz w:val="18"/>
                <w:szCs w:val="18"/>
              </w:rPr>
              <w:t>项目进度安排</w:t>
            </w:r>
          </w:p>
        </w:tc>
        <w:tc>
          <w:tcPr>
            <w:tcW w:w="636" w:type="dxa"/>
            <w:noWrap w:val="0"/>
            <w:vAlign w:val="center"/>
          </w:tcPr>
          <w:p w14:paraId="04385E62">
            <w:pPr>
              <w:pStyle w:val="73"/>
              <w:spacing w:after="120" w:line="240" w:lineRule="exact"/>
              <w:jc w:val="center"/>
              <w:rPr>
                <w:rFonts w:hint="eastAsia" w:ascii="宋体" w:hAnsi="宋体" w:eastAsia="宋体" w:cs="宋体"/>
                <w:color w:val="auto"/>
                <w:spacing w:val="15"/>
                <w:kern w:val="0"/>
                <w:sz w:val="16"/>
                <w:szCs w:val="16"/>
                <w:lang w:val="en-US" w:eastAsia="zh-CN" w:bidi="ar-SA"/>
              </w:rPr>
            </w:pPr>
            <w:r>
              <w:rPr>
                <w:rFonts w:hint="eastAsia" w:hAnsi="宋体" w:eastAsia="宋体" w:cs="宋体"/>
                <w:color w:val="auto"/>
                <w:kern w:val="2"/>
                <w:sz w:val="18"/>
                <w:szCs w:val="18"/>
                <w:lang w:val="en-US" w:eastAsia="zh-CN"/>
              </w:rPr>
              <w:t>15</w:t>
            </w:r>
            <w:r>
              <w:rPr>
                <w:rFonts w:hint="eastAsia" w:ascii="宋体" w:hAnsi="宋体" w:eastAsia="宋体" w:cs="宋体"/>
                <w:color w:val="auto"/>
                <w:kern w:val="2"/>
                <w:sz w:val="18"/>
                <w:szCs w:val="18"/>
              </w:rPr>
              <w:t>分</w:t>
            </w:r>
          </w:p>
        </w:tc>
        <w:tc>
          <w:tcPr>
            <w:tcW w:w="6769" w:type="dxa"/>
            <w:noWrap w:val="0"/>
            <w:vAlign w:val="center"/>
          </w:tcPr>
          <w:p w14:paraId="1D12BEA6">
            <w:pPr>
              <w:pStyle w:val="9"/>
              <w:jc w:val="left"/>
              <w:rPr>
                <w:rFonts w:hint="default" w:ascii="宋体" w:hAnsi="宋体" w:eastAsia="宋体" w:cs="宋体"/>
                <w:color w:val="auto"/>
                <w:spacing w:val="15"/>
                <w:kern w:val="0"/>
                <w:sz w:val="16"/>
                <w:szCs w:val="16"/>
                <w:lang w:val="en-US" w:eastAsia="zh-CN" w:bidi="ar-SA"/>
              </w:rPr>
            </w:pPr>
            <w:r>
              <w:rPr>
                <w:rFonts w:hint="eastAsia" w:ascii="宋体" w:hAnsi="宋体" w:eastAsia="宋体" w:cs="宋体"/>
                <w:color w:val="auto"/>
                <w:sz w:val="18"/>
                <w:szCs w:val="18"/>
              </w:rPr>
              <w:t>进度安排合理、控制措施全面、可操作性强</w:t>
            </w:r>
            <w:r>
              <w:rPr>
                <w:rFonts w:hint="eastAsia" w:ascii="宋体" w:hAnsi="宋体" w:cs="宋体"/>
                <w:color w:val="auto"/>
                <w:sz w:val="18"/>
                <w:szCs w:val="18"/>
                <w:lang w:val="en-US" w:eastAsia="zh-CN"/>
              </w:rPr>
              <w:t>得每满足一项目</w:t>
            </w:r>
            <w:r>
              <w:rPr>
                <w:rFonts w:hint="eastAsia" w:ascii="宋体" w:hAnsi="宋体" w:eastAsia="宋体" w:cs="宋体"/>
                <w:sz w:val="18"/>
                <w:szCs w:val="18"/>
                <w:lang w:val="en-US" w:eastAsia="zh-CN"/>
              </w:rPr>
              <w:t>方案与实际相关、方案内容详尽、条理清晰，得15分；每缺少一项内容扣5分，每项内容存在一处缺陷扣</w:t>
            </w:r>
            <w:r>
              <w:rPr>
                <w:rFonts w:hint="eastAsia" w:ascii="宋体" w:hAnsi="宋体" w:cs="宋体"/>
                <w:sz w:val="18"/>
                <w:szCs w:val="18"/>
                <w:lang w:val="en-US" w:eastAsia="zh-CN"/>
              </w:rPr>
              <w:t>2</w:t>
            </w:r>
            <w:r>
              <w:rPr>
                <w:rFonts w:hint="eastAsia" w:ascii="宋体" w:hAnsi="宋体" w:eastAsia="宋体" w:cs="宋体"/>
                <w:sz w:val="18"/>
                <w:szCs w:val="18"/>
                <w:lang w:val="en-US" w:eastAsia="zh-CN"/>
              </w:rPr>
              <w:t>分，扣完为止；(本项所称“缺陷”是指内容缺项、方案非专门针对本项目或不适用本项目特性、套用其他项目内容、涉及的相关规范及标准错误、地点区域错误、内容缺失、只有简单描述无实质性内容、对同一问题前后表述矛盾、存在逻辑漏洞、科学原理或常识错误、不利于本项目目标的实现、现有技术条件下不可能出现的情形等任意一种情形)</w:t>
            </w:r>
          </w:p>
        </w:tc>
      </w:tr>
      <w:tr w14:paraId="37AF3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jc w:val="center"/>
        </w:trPr>
        <w:tc>
          <w:tcPr>
            <w:tcW w:w="585" w:type="dxa"/>
            <w:noWrap w:val="0"/>
            <w:vAlign w:val="center"/>
          </w:tcPr>
          <w:p w14:paraId="5B36C27F">
            <w:pPr>
              <w:widowControl/>
              <w:numPr>
                <w:ilvl w:val="0"/>
                <w:numId w:val="0"/>
              </w:numPr>
              <w:spacing w:line="340" w:lineRule="exact"/>
              <w:jc w:val="center"/>
              <w:rPr>
                <w:rFonts w:hint="eastAsia" w:ascii="宋体" w:hAnsi="宋体" w:eastAsia="宋体" w:cs="宋体"/>
                <w:color w:val="auto"/>
                <w:spacing w:val="15"/>
                <w:kern w:val="0"/>
                <w:sz w:val="16"/>
                <w:szCs w:val="16"/>
                <w:lang w:val="en-US" w:eastAsia="zh-CN" w:bidi="ar-SA"/>
              </w:rPr>
            </w:pPr>
            <w:r>
              <w:rPr>
                <w:rFonts w:hint="eastAsia" w:ascii="宋体" w:hAnsi="宋体" w:eastAsia="宋体" w:cs="宋体"/>
                <w:color w:val="auto"/>
                <w:spacing w:val="15"/>
                <w:kern w:val="0"/>
                <w:sz w:val="16"/>
                <w:szCs w:val="16"/>
                <w:lang w:val="en-US" w:eastAsia="zh-CN" w:bidi="ar-SA"/>
              </w:rPr>
              <w:t>3</w:t>
            </w:r>
          </w:p>
        </w:tc>
        <w:tc>
          <w:tcPr>
            <w:tcW w:w="1570" w:type="dxa"/>
            <w:shd w:val="clear" w:color="auto" w:fill="auto"/>
            <w:noWrap w:val="0"/>
            <w:vAlign w:val="center"/>
          </w:tcPr>
          <w:p w14:paraId="4D43F266">
            <w:pPr>
              <w:pStyle w:val="21"/>
              <w:ind w:right="40" w:rightChars="15"/>
              <w:jc w:val="center"/>
              <w:rPr>
                <w:rFonts w:hint="eastAsia" w:ascii="宋体" w:hAnsi="宋体" w:eastAsia="宋体" w:cs="宋体"/>
                <w:color w:val="auto"/>
                <w:spacing w:val="15"/>
                <w:kern w:val="2"/>
                <w:sz w:val="18"/>
                <w:szCs w:val="18"/>
                <w:lang w:val="en-US" w:eastAsia="zh-CN" w:bidi="ar-SA"/>
              </w:rPr>
            </w:pPr>
            <w:r>
              <w:rPr>
                <w:rFonts w:hint="eastAsia" w:ascii="宋体" w:hAnsi="宋体" w:eastAsia="宋体" w:cs="宋体"/>
                <w:color w:val="auto"/>
                <w:kern w:val="2"/>
                <w:sz w:val="18"/>
                <w:szCs w:val="18"/>
                <w:lang w:val="en-US" w:eastAsia="zh-CN" w:bidi="ar-SA"/>
              </w:rPr>
              <w:t>保密措施</w:t>
            </w:r>
          </w:p>
        </w:tc>
        <w:tc>
          <w:tcPr>
            <w:tcW w:w="636" w:type="dxa"/>
            <w:shd w:val="clear" w:color="auto" w:fill="auto"/>
            <w:noWrap w:val="0"/>
            <w:vAlign w:val="center"/>
          </w:tcPr>
          <w:p w14:paraId="7E8F75F6">
            <w:pPr>
              <w:pStyle w:val="21"/>
              <w:ind w:right="40" w:rightChars="15"/>
              <w:jc w:val="center"/>
              <w:rPr>
                <w:rFonts w:hint="eastAsia" w:ascii="宋体" w:hAnsi="宋体" w:eastAsia="宋体" w:cs="宋体"/>
                <w:color w:val="auto"/>
                <w:spacing w:val="15"/>
                <w:kern w:val="2"/>
                <w:sz w:val="18"/>
                <w:szCs w:val="18"/>
                <w:lang w:val="en-US" w:eastAsia="zh-CN" w:bidi="ar-SA"/>
              </w:rPr>
            </w:pPr>
            <w:r>
              <w:rPr>
                <w:rFonts w:hint="eastAsia" w:ascii="宋体" w:hAnsi="宋体" w:cs="宋体"/>
                <w:color w:val="auto"/>
                <w:kern w:val="2"/>
                <w:sz w:val="18"/>
                <w:szCs w:val="18"/>
                <w:lang w:val="en-US" w:eastAsia="zh-CN" w:bidi="ar-SA"/>
              </w:rPr>
              <w:t>10</w:t>
            </w:r>
            <w:r>
              <w:rPr>
                <w:rFonts w:hint="eastAsia" w:ascii="宋体" w:hAnsi="宋体" w:eastAsia="宋体" w:cs="宋体"/>
                <w:color w:val="auto"/>
                <w:kern w:val="2"/>
                <w:sz w:val="18"/>
                <w:szCs w:val="18"/>
                <w:lang w:val="en-US" w:eastAsia="zh-CN" w:bidi="ar-SA"/>
              </w:rPr>
              <w:t>分</w:t>
            </w:r>
          </w:p>
        </w:tc>
        <w:tc>
          <w:tcPr>
            <w:tcW w:w="6769" w:type="dxa"/>
            <w:shd w:val="clear" w:color="auto" w:fill="auto"/>
            <w:noWrap w:val="0"/>
            <w:vAlign w:val="center"/>
          </w:tcPr>
          <w:p w14:paraId="148AD592">
            <w:pPr>
              <w:pStyle w:val="21"/>
              <w:ind w:right="40" w:rightChars="15"/>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针对项目情况编制切实可行的保密措施，包含审计成果的保管和使用、计算机、存储设备等硬件等方面的保密措施，</w:t>
            </w:r>
            <w:r>
              <w:rPr>
                <w:rFonts w:hint="eastAsia" w:ascii="宋体" w:hAnsi="宋体" w:eastAsia="宋体" w:cs="宋体"/>
                <w:sz w:val="18"/>
                <w:szCs w:val="18"/>
                <w:lang w:val="en-US" w:eastAsia="zh-CN"/>
              </w:rPr>
              <w:t>得10分；每缺少一项内容扣5分，每项内容存在一处缺陷扣</w:t>
            </w:r>
            <w:r>
              <w:rPr>
                <w:rFonts w:hint="eastAsia" w:ascii="宋体" w:hAnsi="宋体" w:cs="宋体"/>
                <w:sz w:val="18"/>
                <w:szCs w:val="18"/>
                <w:lang w:val="en-US" w:eastAsia="zh-CN"/>
              </w:rPr>
              <w:t>2</w:t>
            </w:r>
            <w:r>
              <w:rPr>
                <w:rFonts w:hint="eastAsia" w:ascii="宋体" w:hAnsi="宋体" w:eastAsia="宋体" w:cs="宋体"/>
                <w:sz w:val="18"/>
                <w:szCs w:val="18"/>
                <w:lang w:val="en-US" w:eastAsia="zh-CN"/>
              </w:rPr>
              <w:t>分，扣完为止；(本项所称“缺陷”是指内容缺项、方案非专门针对本项目或不适用本项目特性、套用其他项目内容、涉及的相关规范及标准错误、地点区域错误、内容缺失、只有简单描述无实质性内容、对同一问题前后表述矛盾、存在逻辑漏洞、科学原理或常识错误、不利于本项目目标的实现、现有技术条件下不可能出现的情形等任意一种情形)</w:t>
            </w:r>
          </w:p>
        </w:tc>
      </w:tr>
      <w:tr w14:paraId="15FCB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585" w:type="dxa"/>
            <w:noWrap w:val="0"/>
            <w:vAlign w:val="center"/>
          </w:tcPr>
          <w:p w14:paraId="0FCB35DA">
            <w:pPr>
              <w:widowControl/>
              <w:numPr>
                <w:ilvl w:val="0"/>
                <w:numId w:val="0"/>
              </w:numPr>
              <w:spacing w:line="340" w:lineRule="exact"/>
              <w:ind w:left="0" w:leftChars="0" w:firstLine="0" w:firstLineChars="0"/>
              <w:jc w:val="center"/>
              <w:rPr>
                <w:rFonts w:hint="eastAsia" w:ascii="宋体" w:hAnsi="宋体" w:eastAsia="宋体" w:cs="宋体"/>
                <w:color w:val="auto"/>
                <w:spacing w:val="15"/>
                <w:kern w:val="0"/>
                <w:sz w:val="16"/>
                <w:szCs w:val="16"/>
                <w:lang w:val="en-US" w:eastAsia="zh-CN" w:bidi="ar-SA"/>
              </w:rPr>
            </w:pPr>
            <w:r>
              <w:rPr>
                <w:rFonts w:hint="eastAsia" w:ascii="宋体" w:hAnsi="宋体" w:eastAsia="宋体" w:cs="宋体"/>
                <w:color w:val="auto"/>
                <w:spacing w:val="15"/>
                <w:kern w:val="0"/>
                <w:sz w:val="16"/>
                <w:szCs w:val="16"/>
                <w:lang w:val="en-US" w:eastAsia="zh-CN" w:bidi="ar-SA"/>
              </w:rPr>
              <w:t>4</w:t>
            </w:r>
          </w:p>
        </w:tc>
        <w:tc>
          <w:tcPr>
            <w:tcW w:w="1570" w:type="dxa"/>
            <w:noWrap w:val="0"/>
            <w:vAlign w:val="center"/>
          </w:tcPr>
          <w:p w14:paraId="268EEA50">
            <w:pPr>
              <w:pStyle w:val="73"/>
              <w:spacing w:after="120" w:line="240" w:lineRule="exact"/>
              <w:jc w:val="center"/>
              <w:rPr>
                <w:rFonts w:hint="default" w:ascii="宋体" w:hAnsi="宋体" w:eastAsia="宋体" w:cs="宋体"/>
                <w:color w:val="auto"/>
                <w:kern w:val="2"/>
                <w:sz w:val="18"/>
                <w:szCs w:val="18"/>
                <w:lang w:val="en-US" w:eastAsia="zh-CN"/>
              </w:rPr>
            </w:pPr>
            <w:r>
              <w:rPr>
                <w:rFonts w:hint="eastAsia" w:hAnsi="宋体" w:eastAsia="宋体" w:cs="宋体"/>
                <w:color w:val="auto"/>
                <w:kern w:val="2"/>
                <w:sz w:val="18"/>
                <w:szCs w:val="18"/>
                <w:lang w:val="en-US" w:eastAsia="zh-CN"/>
              </w:rPr>
              <w:t>服务质量</w:t>
            </w:r>
          </w:p>
        </w:tc>
        <w:tc>
          <w:tcPr>
            <w:tcW w:w="636" w:type="dxa"/>
            <w:noWrap w:val="0"/>
            <w:vAlign w:val="center"/>
          </w:tcPr>
          <w:p w14:paraId="47B0C253">
            <w:pPr>
              <w:pStyle w:val="73"/>
              <w:shd w:val="clear" w:color="auto" w:fill="auto"/>
              <w:spacing w:after="120" w:line="240" w:lineRule="exact"/>
              <w:jc w:val="center"/>
              <w:rPr>
                <w:rFonts w:hint="default" w:ascii="宋体" w:hAnsi="宋体" w:eastAsia="宋体" w:cs="宋体"/>
                <w:color w:val="auto"/>
                <w:kern w:val="2"/>
                <w:sz w:val="18"/>
                <w:szCs w:val="18"/>
                <w:lang w:val="en-US" w:eastAsia="zh-CN"/>
              </w:rPr>
            </w:pPr>
            <w:r>
              <w:rPr>
                <w:rFonts w:hint="eastAsia" w:hAnsi="宋体" w:eastAsia="宋体" w:cs="宋体"/>
                <w:color w:val="auto"/>
                <w:kern w:val="2"/>
                <w:sz w:val="18"/>
                <w:szCs w:val="18"/>
                <w:lang w:val="en-US" w:eastAsia="zh-CN"/>
              </w:rPr>
              <w:t>15分</w:t>
            </w:r>
          </w:p>
        </w:tc>
        <w:tc>
          <w:tcPr>
            <w:tcW w:w="6769" w:type="dxa"/>
            <w:noWrap w:val="0"/>
            <w:vAlign w:val="center"/>
          </w:tcPr>
          <w:p w14:paraId="7658040F">
            <w:pPr>
              <w:pStyle w:val="9"/>
              <w:jc w:val="left"/>
              <w:rPr>
                <w:rFonts w:hint="eastAsia" w:ascii="宋体" w:hAnsi="宋体" w:eastAsia="宋体" w:cs="宋体"/>
                <w:color w:val="auto"/>
                <w:sz w:val="18"/>
                <w:szCs w:val="18"/>
              </w:rPr>
            </w:pPr>
            <w:r>
              <w:rPr>
                <w:rFonts w:hint="eastAsia" w:ascii="宋体" w:hAnsi="宋体" w:eastAsia="宋体" w:cs="宋体"/>
                <w:color w:val="auto"/>
                <w:kern w:val="2"/>
                <w:sz w:val="18"/>
                <w:szCs w:val="21"/>
                <w:highlight w:val="none"/>
                <w:lang w:val="en-US" w:eastAsia="zh-CN" w:bidi="ar-SA"/>
              </w:rPr>
              <w:t>服务质量、服务态度、服务技能、服务效率</w:t>
            </w:r>
            <w:r>
              <w:rPr>
                <w:rFonts w:hint="default" w:ascii="宋体" w:hAnsi="宋体" w:eastAsia="宋体" w:cs="宋体"/>
                <w:color w:val="auto"/>
                <w:kern w:val="2"/>
                <w:sz w:val="18"/>
                <w:szCs w:val="21"/>
                <w:highlight w:val="none"/>
                <w:lang w:val="en-US" w:eastAsia="zh-CN" w:bidi="ar-SA"/>
              </w:rPr>
              <w:t>提供的方案全面详实、科学合理、符合项目实际需求，</w:t>
            </w:r>
            <w:r>
              <w:rPr>
                <w:rFonts w:hint="eastAsia" w:ascii="宋体" w:hAnsi="宋体" w:eastAsia="宋体" w:cs="宋体"/>
                <w:sz w:val="18"/>
                <w:szCs w:val="18"/>
                <w:lang w:val="en-US" w:eastAsia="zh-CN"/>
              </w:rPr>
              <w:t>得1</w:t>
            </w:r>
            <w:r>
              <w:rPr>
                <w:rFonts w:hint="eastAsia" w:ascii="宋体" w:hAnsi="宋体" w:cs="宋体"/>
                <w:sz w:val="18"/>
                <w:szCs w:val="18"/>
                <w:lang w:val="en-US" w:eastAsia="zh-CN"/>
              </w:rPr>
              <w:t>5</w:t>
            </w:r>
            <w:r>
              <w:rPr>
                <w:rFonts w:hint="eastAsia" w:ascii="宋体" w:hAnsi="宋体" w:eastAsia="宋体" w:cs="宋体"/>
                <w:sz w:val="18"/>
                <w:szCs w:val="18"/>
                <w:lang w:val="en-US" w:eastAsia="zh-CN"/>
              </w:rPr>
              <w:t>分；每缺少一项内容扣2分，每项内容存在一处缺陷扣</w:t>
            </w:r>
            <w:r>
              <w:rPr>
                <w:rFonts w:hint="eastAsia" w:ascii="宋体" w:hAnsi="宋体" w:cs="宋体"/>
                <w:sz w:val="18"/>
                <w:szCs w:val="18"/>
                <w:lang w:val="en-US" w:eastAsia="zh-CN"/>
              </w:rPr>
              <w:t>1</w:t>
            </w:r>
            <w:r>
              <w:rPr>
                <w:rFonts w:hint="eastAsia" w:ascii="宋体" w:hAnsi="宋体" w:eastAsia="宋体" w:cs="宋体"/>
                <w:sz w:val="18"/>
                <w:szCs w:val="18"/>
                <w:lang w:val="en-US" w:eastAsia="zh-CN"/>
              </w:rPr>
              <w:t>分，扣完为止；(本项所称“缺陷”是指内容缺项、方案非专门针对本项目或不适用本项目特性、套用其他项目内容、涉及的相关规范及标准错误、地点区域错误、内容缺失、只有简单描述无实质性内容、对同一问题前后表述矛盾、存在逻辑漏洞、科学原理或常识错误、不利于本项目目标的实现、现有技术条件下不可能出现的情形等任意一种情形)</w:t>
            </w:r>
          </w:p>
        </w:tc>
      </w:tr>
      <w:tr w14:paraId="22723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jc w:val="center"/>
        </w:trPr>
        <w:tc>
          <w:tcPr>
            <w:tcW w:w="585" w:type="dxa"/>
            <w:noWrap w:val="0"/>
            <w:vAlign w:val="center"/>
          </w:tcPr>
          <w:p w14:paraId="1EF8E515">
            <w:pPr>
              <w:widowControl/>
              <w:numPr>
                <w:ilvl w:val="0"/>
                <w:numId w:val="0"/>
              </w:numPr>
              <w:spacing w:line="340" w:lineRule="exact"/>
              <w:ind w:left="0" w:leftChars="0" w:firstLine="0" w:firstLineChars="0"/>
              <w:jc w:val="center"/>
              <w:rPr>
                <w:rFonts w:hint="eastAsia" w:ascii="宋体" w:hAnsi="宋体" w:eastAsia="宋体" w:cs="宋体"/>
                <w:color w:val="auto"/>
                <w:spacing w:val="15"/>
                <w:kern w:val="0"/>
                <w:sz w:val="16"/>
                <w:szCs w:val="16"/>
                <w:lang w:val="en-US" w:eastAsia="zh-CN" w:bidi="ar-SA"/>
              </w:rPr>
            </w:pPr>
            <w:r>
              <w:rPr>
                <w:rFonts w:hint="eastAsia" w:ascii="宋体" w:hAnsi="宋体" w:eastAsia="宋体" w:cs="宋体"/>
                <w:color w:val="auto"/>
                <w:spacing w:val="15"/>
                <w:kern w:val="0"/>
                <w:sz w:val="16"/>
                <w:szCs w:val="16"/>
                <w:lang w:val="en-US" w:eastAsia="zh-CN" w:bidi="ar-SA"/>
              </w:rPr>
              <w:t>5</w:t>
            </w:r>
          </w:p>
        </w:tc>
        <w:tc>
          <w:tcPr>
            <w:tcW w:w="1570" w:type="dxa"/>
            <w:noWrap w:val="0"/>
            <w:vAlign w:val="center"/>
          </w:tcPr>
          <w:p w14:paraId="6F8190F3">
            <w:pPr>
              <w:pStyle w:val="73"/>
              <w:spacing w:after="120" w:line="240" w:lineRule="exact"/>
              <w:jc w:val="center"/>
              <w:rPr>
                <w:rFonts w:hint="eastAsia" w:ascii="宋体" w:hAnsi="宋体" w:eastAsia="宋体" w:cs="宋体"/>
                <w:color w:val="auto"/>
                <w:spacing w:val="15"/>
                <w:kern w:val="0"/>
                <w:sz w:val="16"/>
                <w:szCs w:val="16"/>
                <w:lang w:val="en-US" w:eastAsia="zh-CN" w:bidi="ar-SA"/>
              </w:rPr>
            </w:pPr>
            <w:r>
              <w:rPr>
                <w:rFonts w:hint="eastAsia" w:ascii="宋体" w:hAnsi="宋体" w:eastAsia="宋体" w:cs="宋体"/>
                <w:color w:val="auto"/>
                <w:kern w:val="2"/>
                <w:sz w:val="18"/>
                <w:szCs w:val="18"/>
              </w:rPr>
              <w:t>安全方案</w:t>
            </w:r>
          </w:p>
        </w:tc>
        <w:tc>
          <w:tcPr>
            <w:tcW w:w="636" w:type="dxa"/>
            <w:noWrap w:val="0"/>
            <w:vAlign w:val="center"/>
          </w:tcPr>
          <w:p w14:paraId="591E2FD1">
            <w:pPr>
              <w:pStyle w:val="73"/>
              <w:spacing w:after="120" w:line="240" w:lineRule="exact"/>
              <w:jc w:val="center"/>
              <w:rPr>
                <w:rFonts w:hint="default" w:ascii="宋体" w:hAnsi="宋体" w:eastAsia="宋体" w:cs="宋体"/>
                <w:color w:val="auto"/>
                <w:spacing w:val="15"/>
                <w:kern w:val="0"/>
                <w:sz w:val="16"/>
                <w:szCs w:val="16"/>
                <w:lang w:val="en-US" w:eastAsia="zh-CN" w:bidi="ar-SA"/>
              </w:rPr>
            </w:pPr>
            <w:r>
              <w:rPr>
                <w:rFonts w:hint="eastAsia" w:hAnsi="宋体" w:eastAsia="宋体" w:cs="宋体"/>
                <w:color w:val="auto"/>
                <w:kern w:val="2"/>
                <w:sz w:val="18"/>
                <w:szCs w:val="18"/>
                <w:lang w:val="en-US" w:eastAsia="zh-CN"/>
              </w:rPr>
              <w:t>10分</w:t>
            </w:r>
          </w:p>
        </w:tc>
        <w:tc>
          <w:tcPr>
            <w:tcW w:w="6769" w:type="dxa"/>
            <w:noWrap w:val="0"/>
            <w:vAlign w:val="center"/>
          </w:tcPr>
          <w:p w14:paraId="3520E3FD">
            <w:pPr>
              <w:pStyle w:val="9"/>
              <w:jc w:val="left"/>
              <w:rPr>
                <w:rFonts w:hint="eastAsia" w:ascii="宋体" w:hAnsi="宋体" w:eastAsia="宋体" w:cs="宋体"/>
                <w:color w:val="auto"/>
                <w:spacing w:val="15"/>
                <w:kern w:val="0"/>
                <w:sz w:val="16"/>
                <w:szCs w:val="16"/>
                <w:lang w:val="en-US" w:eastAsia="zh-CN" w:bidi="ar-SA"/>
              </w:rPr>
            </w:pPr>
            <w:r>
              <w:rPr>
                <w:rFonts w:hint="eastAsia" w:ascii="宋体" w:hAnsi="宋体" w:eastAsia="宋体" w:cs="宋体"/>
                <w:color w:val="auto"/>
                <w:sz w:val="18"/>
                <w:szCs w:val="18"/>
              </w:rPr>
              <w:t>结合本项目实际，对各种突发事件预估合理性、全面度，提出安全管理方案，各项安全处理措施的全面性、有效性、可操作性等</w:t>
            </w:r>
            <w:r>
              <w:rPr>
                <w:rFonts w:hint="eastAsia" w:ascii="宋体" w:hAnsi="宋体" w:eastAsia="宋体" w:cs="宋体"/>
                <w:color w:val="auto"/>
                <w:sz w:val="18"/>
                <w:szCs w:val="18"/>
                <w:lang w:eastAsia="zh-CN"/>
              </w:rPr>
              <w:t>。</w:t>
            </w:r>
            <w:r>
              <w:rPr>
                <w:rFonts w:hint="eastAsia" w:ascii="宋体" w:hAnsi="宋体" w:eastAsia="宋体" w:cs="宋体"/>
                <w:sz w:val="18"/>
                <w:szCs w:val="18"/>
                <w:lang w:val="en-US" w:eastAsia="zh-CN"/>
              </w:rPr>
              <w:t>得10分；每缺少一项内容扣2分，每项内容存在一处缺陷扣</w:t>
            </w:r>
            <w:r>
              <w:rPr>
                <w:rFonts w:hint="eastAsia" w:ascii="宋体" w:hAnsi="宋体" w:cs="宋体"/>
                <w:sz w:val="18"/>
                <w:szCs w:val="18"/>
                <w:lang w:val="en-US" w:eastAsia="zh-CN"/>
              </w:rPr>
              <w:t>1</w:t>
            </w:r>
            <w:r>
              <w:rPr>
                <w:rFonts w:hint="eastAsia" w:ascii="宋体" w:hAnsi="宋体" w:eastAsia="宋体" w:cs="宋体"/>
                <w:sz w:val="18"/>
                <w:szCs w:val="18"/>
                <w:lang w:val="en-US" w:eastAsia="zh-CN"/>
              </w:rPr>
              <w:t>分，扣完为止；(本项所称“缺陷”是指内容缺项、方案非专门针对本项目或不适用本项目特性、套用其他项目内容、涉及的相关规范及标准错误、地点区域错误、内容缺失、只有简单描述无实质性内容、对同一问题前后表述矛盾、存在逻辑漏洞、科学原理或常识错误、不利于本项目目标的实现、现有技术条件下不可能出现的情形等任意一种情形)</w:t>
            </w:r>
          </w:p>
        </w:tc>
      </w:tr>
      <w:tr w14:paraId="5E887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585" w:type="dxa"/>
            <w:noWrap w:val="0"/>
            <w:vAlign w:val="center"/>
          </w:tcPr>
          <w:p w14:paraId="5FFAF7AA">
            <w:pPr>
              <w:pStyle w:val="73"/>
              <w:shd w:val="clear" w:color="auto" w:fill="FFFFFF"/>
              <w:spacing w:after="120" w:line="240" w:lineRule="exact"/>
              <w:jc w:val="center"/>
              <w:rPr>
                <w:rFonts w:hint="eastAsia" w:ascii="宋体" w:hAnsi="宋体" w:eastAsia="宋体" w:cs="宋体"/>
                <w:color w:val="auto"/>
                <w:spacing w:val="15"/>
                <w:kern w:val="2"/>
                <w:sz w:val="18"/>
                <w:szCs w:val="18"/>
                <w:lang w:val="en-US" w:eastAsia="zh-CN" w:bidi="ar-SA"/>
              </w:rPr>
            </w:pPr>
            <w:r>
              <w:rPr>
                <w:rFonts w:hint="eastAsia" w:ascii="宋体" w:hAnsi="宋体" w:eastAsia="宋体" w:cs="宋体"/>
                <w:color w:val="auto"/>
                <w:kern w:val="2"/>
                <w:sz w:val="16"/>
                <w:szCs w:val="16"/>
                <w:lang w:val="en-US" w:eastAsia="zh-CN"/>
              </w:rPr>
              <w:t>6</w:t>
            </w:r>
          </w:p>
        </w:tc>
        <w:tc>
          <w:tcPr>
            <w:tcW w:w="1570" w:type="dxa"/>
            <w:shd w:val="clear" w:color="auto" w:fill="auto"/>
            <w:noWrap w:val="0"/>
            <w:vAlign w:val="center"/>
          </w:tcPr>
          <w:p w14:paraId="3A3E0224">
            <w:pPr>
              <w:pStyle w:val="21"/>
              <w:ind w:right="40" w:rightChars="15"/>
              <w:jc w:val="center"/>
              <w:rPr>
                <w:rFonts w:hint="eastAsia" w:ascii="宋体" w:hAnsi="宋体" w:eastAsia="宋体" w:cs="宋体"/>
                <w:color w:val="auto"/>
                <w:spacing w:val="15"/>
                <w:kern w:val="2"/>
                <w:sz w:val="18"/>
                <w:szCs w:val="18"/>
                <w:lang w:val="en-US" w:eastAsia="zh-CN" w:bidi="ar-SA"/>
              </w:rPr>
            </w:pPr>
            <w:r>
              <w:rPr>
                <w:rFonts w:hint="eastAsia" w:ascii="宋体" w:hAnsi="宋体" w:eastAsia="宋体" w:cs="宋体"/>
                <w:color w:val="auto"/>
                <w:kern w:val="2"/>
                <w:sz w:val="18"/>
                <w:szCs w:val="18"/>
                <w:lang w:val="en-US" w:eastAsia="zh-CN" w:bidi="ar-SA"/>
              </w:rPr>
              <w:t>应急保障措施</w:t>
            </w:r>
          </w:p>
        </w:tc>
        <w:tc>
          <w:tcPr>
            <w:tcW w:w="636" w:type="dxa"/>
            <w:shd w:val="clear" w:color="auto" w:fill="auto"/>
            <w:noWrap w:val="0"/>
            <w:vAlign w:val="center"/>
          </w:tcPr>
          <w:p w14:paraId="3213209D">
            <w:pPr>
              <w:pStyle w:val="21"/>
              <w:ind w:right="40" w:rightChars="15"/>
              <w:jc w:val="center"/>
              <w:rPr>
                <w:rFonts w:hint="eastAsia" w:ascii="宋体" w:hAnsi="宋体" w:eastAsia="宋体" w:cs="宋体"/>
                <w:color w:val="auto"/>
                <w:spacing w:val="15"/>
                <w:kern w:val="2"/>
                <w:sz w:val="18"/>
                <w:szCs w:val="18"/>
                <w:lang w:val="en-US" w:eastAsia="zh-CN" w:bidi="ar-SA"/>
              </w:rPr>
            </w:pPr>
            <w:r>
              <w:rPr>
                <w:rFonts w:hint="eastAsia" w:ascii="宋体" w:hAnsi="宋体" w:eastAsia="宋体" w:cs="宋体"/>
                <w:color w:val="auto"/>
                <w:kern w:val="2"/>
                <w:sz w:val="18"/>
                <w:szCs w:val="18"/>
                <w:lang w:val="en-US" w:eastAsia="zh-CN" w:bidi="ar-SA"/>
              </w:rPr>
              <w:t>10分</w:t>
            </w:r>
          </w:p>
        </w:tc>
        <w:tc>
          <w:tcPr>
            <w:tcW w:w="6769" w:type="dxa"/>
            <w:shd w:val="clear" w:color="auto" w:fill="auto"/>
            <w:noWrap w:val="0"/>
            <w:vAlign w:val="center"/>
          </w:tcPr>
          <w:p w14:paraId="7718862F">
            <w:pPr>
              <w:pStyle w:val="21"/>
              <w:ind w:right="40" w:rightChars="15"/>
              <w:jc w:val="left"/>
              <w:rPr>
                <w:rFonts w:hint="default" w:ascii="宋体" w:hAnsi="宋体" w:eastAsia="宋体" w:cs="宋体"/>
                <w:color w:val="auto"/>
                <w:spacing w:val="15"/>
                <w:kern w:val="2"/>
                <w:sz w:val="18"/>
                <w:szCs w:val="18"/>
                <w:lang w:val="en-US" w:eastAsia="zh-CN" w:bidi="ar-SA"/>
              </w:rPr>
            </w:pPr>
            <w:r>
              <w:rPr>
                <w:rFonts w:hint="eastAsia" w:ascii="宋体" w:hAnsi="宋体" w:eastAsia="宋体" w:cs="宋体"/>
                <w:color w:val="auto"/>
                <w:kern w:val="2"/>
                <w:sz w:val="18"/>
                <w:szCs w:val="18"/>
                <w:lang w:val="en-US" w:eastAsia="zh-CN" w:bidi="ar-SA"/>
              </w:rPr>
              <w:t>应急保障措施应充分考虑项目特点，包含但不限于采购人提出的应急加快出具审计报告、人员应急保障预案等。要求应急保障措施针对性、可行性强：</w:t>
            </w:r>
            <w:r>
              <w:rPr>
                <w:rFonts w:hint="eastAsia" w:ascii="宋体" w:hAnsi="宋体" w:eastAsia="宋体" w:cs="宋体"/>
                <w:sz w:val="18"/>
                <w:szCs w:val="18"/>
                <w:lang w:val="en-US" w:eastAsia="zh-CN"/>
              </w:rPr>
              <w:t>得10分；每缺少一项内容扣2分，每项内容存在一处缺陷扣</w:t>
            </w:r>
            <w:r>
              <w:rPr>
                <w:rFonts w:hint="eastAsia" w:ascii="宋体" w:hAnsi="宋体" w:cs="宋体"/>
                <w:sz w:val="18"/>
                <w:szCs w:val="18"/>
                <w:lang w:val="en-US" w:eastAsia="zh-CN"/>
              </w:rPr>
              <w:t>1</w:t>
            </w:r>
            <w:r>
              <w:rPr>
                <w:rFonts w:hint="eastAsia" w:ascii="宋体" w:hAnsi="宋体" w:eastAsia="宋体" w:cs="宋体"/>
                <w:sz w:val="18"/>
                <w:szCs w:val="18"/>
                <w:lang w:val="en-US" w:eastAsia="zh-CN"/>
              </w:rPr>
              <w:t>分，扣完为止；(本项所称“缺陷”是指内容缺项、方案非专门针对本项目或不适用本项目特性、套用其他项目内容、涉及的相关规范及标准错误、地点区域错误、内容缺失、只有简单描述无实质性内容、对同一问题前后表述矛盾、存在逻辑漏洞、科学原理或常识错误、不利于本项目目标的实现、现有技术条件下不可能出现的情形等任意一种情形)</w:t>
            </w:r>
          </w:p>
        </w:tc>
      </w:tr>
      <w:tr w14:paraId="4F099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585" w:type="dxa"/>
            <w:noWrap w:val="0"/>
            <w:vAlign w:val="center"/>
          </w:tcPr>
          <w:p w14:paraId="523D672E">
            <w:pPr>
              <w:pStyle w:val="73"/>
              <w:shd w:val="clear" w:color="auto" w:fill="FFFFFF"/>
              <w:spacing w:after="120" w:line="240" w:lineRule="exact"/>
              <w:jc w:val="center"/>
              <w:rPr>
                <w:rFonts w:hint="default" w:ascii="宋体" w:hAnsi="宋体" w:eastAsia="宋体" w:cs="宋体"/>
                <w:color w:val="auto"/>
                <w:kern w:val="2"/>
                <w:sz w:val="18"/>
                <w:szCs w:val="18"/>
                <w:lang w:val="en-US" w:eastAsia="zh-CN"/>
              </w:rPr>
            </w:pPr>
            <w:r>
              <w:rPr>
                <w:rFonts w:hint="eastAsia" w:hAnsi="宋体" w:eastAsia="宋体" w:cs="宋体"/>
                <w:color w:val="auto"/>
                <w:kern w:val="2"/>
                <w:sz w:val="18"/>
                <w:szCs w:val="18"/>
                <w:lang w:val="en-US" w:eastAsia="zh-CN"/>
              </w:rPr>
              <w:t>7</w:t>
            </w:r>
          </w:p>
        </w:tc>
        <w:tc>
          <w:tcPr>
            <w:tcW w:w="1570" w:type="dxa"/>
            <w:noWrap w:val="0"/>
            <w:vAlign w:val="center"/>
          </w:tcPr>
          <w:p w14:paraId="67EAF870">
            <w:pPr>
              <w:pStyle w:val="73"/>
              <w:shd w:val="clear" w:color="auto" w:fill="FFFFFF"/>
              <w:spacing w:after="120" w:line="240" w:lineRule="exact"/>
              <w:jc w:val="center"/>
              <w:rPr>
                <w:rFonts w:hint="eastAsia" w:ascii="宋体" w:hAnsi="宋体" w:eastAsia="宋体" w:cs="宋体"/>
                <w:color w:val="auto"/>
                <w:spacing w:val="15"/>
                <w:kern w:val="2"/>
                <w:sz w:val="18"/>
                <w:szCs w:val="18"/>
                <w:lang w:val="en-US" w:eastAsia="zh-CN" w:bidi="ar-SA"/>
              </w:rPr>
            </w:pPr>
            <w:r>
              <w:rPr>
                <w:rFonts w:hint="eastAsia" w:ascii="宋体" w:hAnsi="宋体" w:eastAsia="宋体" w:cs="宋体"/>
                <w:color w:val="auto"/>
                <w:kern w:val="2"/>
                <w:sz w:val="18"/>
                <w:szCs w:val="18"/>
                <w:lang w:val="en-US" w:eastAsia="zh-CN"/>
              </w:rPr>
              <w:t>服务保障及承诺</w:t>
            </w:r>
          </w:p>
        </w:tc>
        <w:tc>
          <w:tcPr>
            <w:tcW w:w="636" w:type="dxa"/>
            <w:noWrap w:val="0"/>
            <w:vAlign w:val="center"/>
          </w:tcPr>
          <w:p w14:paraId="316D48CE">
            <w:pPr>
              <w:pStyle w:val="73"/>
              <w:shd w:val="clear" w:color="auto" w:fill="FFFFFF"/>
              <w:spacing w:after="120" w:line="240" w:lineRule="exact"/>
              <w:jc w:val="center"/>
              <w:rPr>
                <w:rFonts w:hint="eastAsia" w:ascii="宋体" w:hAnsi="宋体" w:eastAsia="宋体" w:cs="宋体"/>
                <w:color w:val="auto"/>
                <w:spacing w:val="15"/>
                <w:kern w:val="2"/>
                <w:sz w:val="18"/>
                <w:szCs w:val="18"/>
                <w:lang w:val="en-US" w:eastAsia="zh-CN" w:bidi="ar-SA"/>
              </w:rPr>
            </w:pPr>
            <w:r>
              <w:rPr>
                <w:rFonts w:hint="eastAsia" w:hAnsi="宋体" w:eastAsia="宋体" w:cs="宋体"/>
                <w:color w:val="auto"/>
                <w:kern w:val="2"/>
                <w:sz w:val="18"/>
                <w:szCs w:val="18"/>
                <w:lang w:val="en-US" w:eastAsia="zh-CN"/>
              </w:rPr>
              <w:t>5</w:t>
            </w:r>
            <w:r>
              <w:rPr>
                <w:rFonts w:hint="eastAsia" w:ascii="宋体" w:hAnsi="宋体" w:eastAsia="宋体" w:cs="宋体"/>
                <w:color w:val="auto"/>
                <w:kern w:val="2"/>
                <w:sz w:val="18"/>
                <w:szCs w:val="18"/>
                <w:lang w:val="en-US" w:eastAsia="zh-CN"/>
              </w:rPr>
              <w:t>分</w:t>
            </w:r>
          </w:p>
        </w:tc>
        <w:tc>
          <w:tcPr>
            <w:tcW w:w="6769" w:type="dxa"/>
            <w:noWrap w:val="0"/>
            <w:vAlign w:val="center"/>
          </w:tcPr>
          <w:p w14:paraId="30567503">
            <w:pPr>
              <w:pStyle w:val="73"/>
              <w:shd w:val="clear" w:color="auto" w:fill="FFFFFF"/>
              <w:spacing w:after="120" w:line="240" w:lineRule="exact"/>
              <w:jc w:val="left"/>
              <w:rPr>
                <w:rFonts w:hint="default" w:ascii="宋体" w:hAnsi="宋体" w:eastAsia="宋体" w:cs="宋体"/>
                <w:color w:val="auto"/>
                <w:spacing w:val="15"/>
                <w:kern w:val="2"/>
                <w:sz w:val="18"/>
                <w:szCs w:val="18"/>
                <w:lang w:val="en-US" w:eastAsia="zh-CN" w:bidi="ar-SA"/>
              </w:rPr>
            </w:pPr>
            <w:r>
              <w:rPr>
                <w:rFonts w:hint="eastAsia" w:ascii="宋体" w:hAnsi="宋体" w:eastAsia="宋体" w:cs="宋体"/>
                <w:color w:val="auto"/>
                <w:kern w:val="2"/>
                <w:sz w:val="18"/>
                <w:szCs w:val="18"/>
                <w:lang w:val="en-US" w:eastAsia="zh-CN"/>
              </w:rPr>
              <w:t>服务保障能力情况，包括服务响应时间、响应速度、活动配合服务承诺等。制作教学视频，</w:t>
            </w:r>
            <w:r>
              <w:rPr>
                <w:rFonts w:hint="eastAsia" w:ascii="宋体" w:hAnsi="宋体" w:eastAsia="宋体" w:cs="宋体"/>
                <w:sz w:val="18"/>
                <w:szCs w:val="18"/>
                <w:lang w:val="en-US" w:eastAsia="zh-CN"/>
              </w:rPr>
              <w:t>得5分；每缺少一项内容扣1分，每项内容存在一处缺陷扣</w:t>
            </w:r>
            <w:r>
              <w:rPr>
                <w:rFonts w:hint="eastAsia" w:ascii="宋体" w:hAnsi="宋体" w:cs="宋体"/>
                <w:sz w:val="18"/>
                <w:szCs w:val="18"/>
                <w:lang w:val="en-US" w:eastAsia="zh-CN"/>
              </w:rPr>
              <w:t>1</w:t>
            </w:r>
            <w:r>
              <w:rPr>
                <w:rFonts w:hint="eastAsia" w:ascii="宋体" w:hAnsi="宋体" w:eastAsia="宋体" w:cs="宋体"/>
                <w:sz w:val="18"/>
                <w:szCs w:val="18"/>
                <w:lang w:val="en-US" w:eastAsia="zh-CN"/>
              </w:rPr>
              <w:t>分，扣完为止；(本项所称“缺陷”是指内容缺项、方案非专门针对本项目或不适用本项目特性、套用其他项目内容、涉及的相关规范及标准错误、地点区域错误、内容缺失、只有简单描述无实质性内容、对同一问题前后表述矛盾、存在逻辑漏洞、科学原理或常识错误、不利于本项目目标的实现、现有技术条件下不可能出现的情形等任意一种情形)</w:t>
            </w:r>
          </w:p>
        </w:tc>
      </w:tr>
    </w:tbl>
    <w:p w14:paraId="56355124">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Chars="0" w:right="0" w:rightChars="0"/>
        <w:jc w:val="left"/>
        <w:textAlignment w:val="auto"/>
        <w:outlineLvl w:val="1"/>
        <w:rPr>
          <w:rFonts w:hint="eastAsia" w:ascii="宋体" w:hAnsi="宋体" w:eastAsia="宋体" w:cs="宋体"/>
          <w:b/>
          <w:bCs/>
          <w:i w:val="0"/>
          <w:iCs w:val="0"/>
          <w:color w:val="auto"/>
          <w:spacing w:val="0"/>
          <w:sz w:val="28"/>
          <w:szCs w:val="28"/>
          <w:lang w:val="en-US" w:eastAsia="zh-CN"/>
        </w:rPr>
      </w:pPr>
      <w:r>
        <w:rPr>
          <w:rFonts w:hint="eastAsia" w:ascii="宋体" w:hAnsi="宋体" w:eastAsia="宋体" w:cs="宋体"/>
          <w:b/>
          <w:bCs/>
          <w:i w:val="0"/>
          <w:iCs w:val="0"/>
          <w:color w:val="auto"/>
          <w:spacing w:val="0"/>
          <w:sz w:val="28"/>
          <w:szCs w:val="28"/>
          <w:lang w:val="en-US" w:eastAsia="zh-CN"/>
        </w:rPr>
        <w:t>1.评标方法</w:t>
      </w:r>
      <w:bookmarkEnd w:id="117"/>
      <w:bookmarkEnd w:id="118"/>
    </w:p>
    <w:p w14:paraId="20A8AE38">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left="0" w:leftChars="0" w:right="0" w:rightChars="0" w:firstLine="422" w:firstLineChars="200"/>
        <w:jc w:val="left"/>
        <w:textAlignment w:val="auto"/>
        <w:outlineLvl w:val="9"/>
        <w:rPr>
          <w:rFonts w:hint="eastAsia" w:ascii="宋体" w:hAnsi="宋体" w:eastAsia="宋体" w:cs="宋体"/>
          <w:b/>
          <w:bCs/>
          <w:i w:val="0"/>
          <w:iCs w:val="0"/>
          <w:color w:val="auto"/>
          <w:spacing w:val="0"/>
          <w:sz w:val="21"/>
          <w:szCs w:val="21"/>
          <w:lang w:val="en-US" w:eastAsia="zh-CN"/>
        </w:rPr>
      </w:pPr>
      <w:r>
        <w:rPr>
          <w:rFonts w:hint="eastAsia" w:ascii="宋体" w:hAnsi="宋体" w:eastAsia="宋体" w:cs="宋体"/>
          <w:b/>
          <w:bCs/>
          <w:i w:val="0"/>
          <w:iCs w:val="0"/>
          <w:color w:val="auto"/>
          <w:spacing w:val="0"/>
          <w:sz w:val="21"/>
          <w:szCs w:val="21"/>
          <w:lang w:val="en-US" w:eastAsia="zh-CN"/>
        </w:rPr>
        <w:t>本次评标采用综合评分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由招标人根据项目实际情况确定中标候选人顺序。</w:t>
      </w:r>
    </w:p>
    <w:p w14:paraId="259B4379">
      <w:pPr>
        <w:keepNext w:val="0"/>
        <w:keepLines w:val="0"/>
        <w:pageBreakBefore w:val="0"/>
        <w:widowControl w:val="0"/>
        <w:numPr>
          <w:ilvl w:val="0"/>
          <w:numId w:val="0"/>
        </w:numPr>
        <w:kinsoku/>
        <w:wordWrap/>
        <w:overflowPunct/>
        <w:topLinePunct w:val="0"/>
        <w:autoSpaceDE/>
        <w:autoSpaceDN/>
        <w:bidi w:val="0"/>
        <w:adjustRightInd/>
        <w:snapToGrid/>
        <w:spacing w:after="63" w:afterLines="20" w:line="300" w:lineRule="exact"/>
        <w:ind w:left="0" w:leftChars="0" w:right="0" w:rightChars="0" w:firstLine="0" w:firstLineChars="0"/>
        <w:jc w:val="left"/>
        <w:textAlignment w:val="auto"/>
        <w:outlineLvl w:val="1"/>
        <w:rPr>
          <w:rFonts w:hint="eastAsia" w:ascii="宋体" w:hAnsi="宋体" w:eastAsia="宋体" w:cs="宋体"/>
          <w:b/>
          <w:bCs/>
          <w:i w:val="0"/>
          <w:iCs w:val="0"/>
          <w:color w:val="auto"/>
          <w:spacing w:val="0"/>
          <w:sz w:val="32"/>
          <w:szCs w:val="32"/>
          <w:lang w:val="en-US" w:eastAsia="zh-CN"/>
        </w:rPr>
      </w:pPr>
      <w:bookmarkStart w:id="121" w:name="_Toc23770"/>
      <w:bookmarkStart w:id="122" w:name="_Toc20277"/>
      <w:r>
        <w:rPr>
          <w:rFonts w:hint="eastAsia" w:ascii="宋体" w:hAnsi="宋体" w:eastAsia="宋体" w:cs="宋体"/>
          <w:b/>
          <w:bCs/>
          <w:i w:val="0"/>
          <w:iCs w:val="0"/>
          <w:color w:val="auto"/>
          <w:spacing w:val="0"/>
          <w:kern w:val="0"/>
          <w:sz w:val="32"/>
          <w:szCs w:val="32"/>
          <w:lang w:val="en-US" w:eastAsia="zh-CN" w:bidi="ar-SA"/>
        </w:rPr>
        <w:t>2.</w:t>
      </w:r>
      <w:r>
        <w:rPr>
          <w:rFonts w:hint="eastAsia" w:ascii="宋体" w:hAnsi="宋体" w:eastAsia="宋体" w:cs="宋体"/>
          <w:b/>
          <w:bCs/>
          <w:i w:val="0"/>
          <w:iCs w:val="0"/>
          <w:color w:val="auto"/>
          <w:spacing w:val="0"/>
          <w:sz w:val="32"/>
          <w:szCs w:val="32"/>
          <w:lang w:val="en-US" w:eastAsia="zh-CN"/>
        </w:rPr>
        <w:t>评审标准</w:t>
      </w:r>
      <w:bookmarkEnd w:id="121"/>
      <w:bookmarkEnd w:id="122"/>
    </w:p>
    <w:p w14:paraId="652AB006">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123" w:name="_Toc12157"/>
      <w:bookmarkStart w:id="124" w:name="_Toc28349"/>
      <w:bookmarkStart w:id="125" w:name="_Toc11055"/>
      <w:bookmarkStart w:id="126" w:name="_Toc20850"/>
      <w:bookmarkStart w:id="127" w:name="_Toc5337"/>
      <w:r>
        <w:rPr>
          <w:rFonts w:hint="eastAsia" w:ascii="宋体" w:hAnsi="宋体" w:eastAsia="宋体" w:cs="宋体"/>
          <w:b/>
          <w:bCs/>
          <w:i w:val="0"/>
          <w:iCs w:val="0"/>
          <w:color w:val="auto"/>
          <w:spacing w:val="0"/>
          <w:sz w:val="21"/>
          <w:szCs w:val="21"/>
          <w:lang w:val="en-US" w:eastAsia="zh-CN"/>
        </w:rPr>
        <w:t>2.1初步评审标准</w:t>
      </w:r>
      <w:bookmarkEnd w:id="123"/>
      <w:bookmarkEnd w:id="124"/>
      <w:bookmarkEnd w:id="125"/>
      <w:bookmarkEnd w:id="126"/>
      <w:bookmarkEnd w:id="127"/>
    </w:p>
    <w:p w14:paraId="13F9AC73">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2.1.1资格评审标准：见评标办法前附表。</w:t>
      </w:r>
    </w:p>
    <w:p w14:paraId="66BD1C97">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2.1.2符合性评审标准：见评标办法前附表。</w:t>
      </w:r>
    </w:p>
    <w:p w14:paraId="73CCF223">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128" w:name="_Toc32337"/>
      <w:bookmarkStart w:id="129" w:name="_Toc1984"/>
      <w:bookmarkStart w:id="130" w:name="_Toc27041"/>
      <w:bookmarkStart w:id="131" w:name="_Toc15747"/>
      <w:bookmarkStart w:id="132" w:name="_Toc6514"/>
      <w:r>
        <w:rPr>
          <w:rFonts w:hint="eastAsia" w:ascii="宋体" w:hAnsi="宋体" w:eastAsia="宋体" w:cs="宋体"/>
          <w:b/>
          <w:bCs/>
          <w:i w:val="0"/>
          <w:iCs w:val="0"/>
          <w:color w:val="auto"/>
          <w:spacing w:val="0"/>
          <w:sz w:val="21"/>
          <w:szCs w:val="21"/>
          <w:lang w:val="en-US" w:eastAsia="zh-CN"/>
        </w:rPr>
        <w:t>2.2分值构成与评分标准</w:t>
      </w:r>
      <w:bookmarkEnd w:id="128"/>
      <w:bookmarkEnd w:id="129"/>
      <w:bookmarkEnd w:id="130"/>
      <w:bookmarkEnd w:id="131"/>
      <w:bookmarkEnd w:id="132"/>
    </w:p>
    <w:p w14:paraId="0F18FB9B">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2.2.1分值构成</w:t>
      </w:r>
    </w:p>
    <w:p w14:paraId="4A3FDF24">
      <w:pPr>
        <w:keepNext w:val="0"/>
        <w:keepLines w:val="0"/>
        <w:pageBreakBefore w:val="0"/>
        <w:widowControl w:val="0"/>
        <w:numPr>
          <w:ilvl w:val="0"/>
          <w:numId w:val="11"/>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商务部分：见评标办法前附表；</w:t>
      </w:r>
    </w:p>
    <w:p w14:paraId="4E5EA62F">
      <w:pPr>
        <w:keepNext w:val="0"/>
        <w:keepLines w:val="0"/>
        <w:pageBreakBefore w:val="0"/>
        <w:widowControl w:val="0"/>
        <w:numPr>
          <w:ilvl w:val="0"/>
          <w:numId w:val="11"/>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技术部分：见评标办法前附表；</w:t>
      </w:r>
    </w:p>
    <w:p w14:paraId="430BBF39">
      <w:pPr>
        <w:keepNext w:val="0"/>
        <w:keepLines w:val="0"/>
        <w:pageBreakBefore w:val="0"/>
        <w:widowControl w:val="0"/>
        <w:numPr>
          <w:ilvl w:val="0"/>
          <w:numId w:val="11"/>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投标报价：见评标办法前附表；</w:t>
      </w:r>
    </w:p>
    <w:p w14:paraId="4EE045A0">
      <w:pPr>
        <w:keepNext w:val="0"/>
        <w:keepLines w:val="0"/>
        <w:pageBreakBefore w:val="0"/>
        <w:widowControl w:val="0"/>
        <w:numPr>
          <w:ilvl w:val="0"/>
          <w:numId w:val="11"/>
        </w:numPr>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其他评分因素：见评标办法前附表。</w:t>
      </w:r>
    </w:p>
    <w:p w14:paraId="718AB850">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2.2.2评标基准价计算</w:t>
      </w:r>
    </w:p>
    <w:p w14:paraId="02814B32">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评标基准价计算方法：见评标办法前附表。</w:t>
      </w:r>
    </w:p>
    <w:p w14:paraId="731EC091">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2.2.3评分标准</w:t>
      </w:r>
    </w:p>
    <w:p w14:paraId="4CCA2D0C">
      <w:pPr>
        <w:keepNext w:val="0"/>
        <w:keepLines w:val="0"/>
        <w:pageBreakBefore w:val="0"/>
        <w:widowControl w:val="0"/>
        <w:numPr>
          <w:ilvl w:val="0"/>
          <w:numId w:val="12"/>
        </w:numPr>
        <w:tabs>
          <w:tab w:val="clear" w:pos="312"/>
        </w:tabs>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bookmarkStart w:id="133" w:name="_Toc25533"/>
      <w:r>
        <w:rPr>
          <w:rFonts w:hint="eastAsia" w:ascii="宋体" w:hAnsi="宋体" w:eastAsia="宋体" w:cs="宋体"/>
          <w:b w:val="0"/>
          <w:bCs w:val="0"/>
          <w:i w:val="0"/>
          <w:iCs w:val="0"/>
          <w:color w:val="auto"/>
          <w:spacing w:val="0"/>
          <w:sz w:val="21"/>
          <w:szCs w:val="21"/>
          <w:lang w:val="en-US" w:eastAsia="zh-CN"/>
        </w:rPr>
        <w:t>商务评分标准：见评标办法前附表；</w:t>
      </w:r>
    </w:p>
    <w:p w14:paraId="462F5139">
      <w:pPr>
        <w:keepNext w:val="0"/>
        <w:keepLines w:val="0"/>
        <w:pageBreakBefore w:val="0"/>
        <w:widowControl w:val="0"/>
        <w:numPr>
          <w:ilvl w:val="0"/>
          <w:numId w:val="12"/>
        </w:numPr>
        <w:tabs>
          <w:tab w:val="clear" w:pos="312"/>
        </w:tabs>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技术评分标准：见评标办法前附表；</w:t>
      </w:r>
    </w:p>
    <w:p w14:paraId="7E4E4A72">
      <w:pPr>
        <w:keepNext w:val="0"/>
        <w:keepLines w:val="0"/>
        <w:pageBreakBefore w:val="0"/>
        <w:widowControl w:val="0"/>
        <w:numPr>
          <w:ilvl w:val="0"/>
          <w:numId w:val="12"/>
        </w:numPr>
        <w:tabs>
          <w:tab w:val="clear" w:pos="312"/>
        </w:tabs>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投标报价评分标准：见评标办法前附表；</w:t>
      </w:r>
    </w:p>
    <w:p w14:paraId="0F43881C">
      <w:pPr>
        <w:keepNext w:val="0"/>
        <w:keepLines w:val="0"/>
        <w:pageBreakBefore w:val="0"/>
        <w:widowControl w:val="0"/>
        <w:numPr>
          <w:ilvl w:val="0"/>
          <w:numId w:val="12"/>
        </w:numPr>
        <w:tabs>
          <w:tab w:val="clear" w:pos="312"/>
        </w:tabs>
        <w:kinsoku/>
        <w:wordWrap/>
        <w:overflowPunct/>
        <w:topLinePunct w:val="0"/>
        <w:autoSpaceDE/>
        <w:autoSpaceDN/>
        <w:bidi w:val="0"/>
        <w:adjustRightInd/>
        <w:snapToGrid/>
        <w:spacing w:after="126" w:afterLines="40" w:line="240" w:lineRule="auto"/>
        <w:ind w:left="0" w:leftChars="0"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其他因素评分标准：见评标办法前附表。</w:t>
      </w:r>
    </w:p>
    <w:p w14:paraId="4E4093A8">
      <w:pPr>
        <w:keepNext w:val="0"/>
        <w:keepLines w:val="0"/>
        <w:pageBreakBefore w:val="0"/>
        <w:widowControl w:val="0"/>
        <w:numPr>
          <w:ilvl w:val="0"/>
          <w:numId w:val="0"/>
        </w:numPr>
        <w:kinsoku/>
        <w:wordWrap/>
        <w:overflowPunct/>
        <w:topLinePunct w:val="0"/>
        <w:autoSpaceDE/>
        <w:autoSpaceDN/>
        <w:bidi w:val="0"/>
        <w:adjustRightInd/>
        <w:snapToGrid/>
        <w:spacing w:after="63" w:afterLines="20" w:line="300" w:lineRule="exact"/>
        <w:ind w:left="0" w:leftChars="0" w:right="0" w:rightChars="0" w:firstLine="0" w:firstLineChars="0"/>
        <w:jc w:val="left"/>
        <w:textAlignment w:val="auto"/>
        <w:outlineLvl w:val="1"/>
        <w:rPr>
          <w:rFonts w:hint="eastAsia" w:ascii="宋体" w:hAnsi="宋体" w:eastAsia="宋体" w:cs="宋体"/>
          <w:b/>
          <w:bCs/>
          <w:i w:val="0"/>
          <w:iCs w:val="0"/>
          <w:color w:val="auto"/>
          <w:spacing w:val="0"/>
          <w:sz w:val="32"/>
          <w:szCs w:val="32"/>
          <w:lang w:val="en-US" w:eastAsia="zh-CN"/>
        </w:rPr>
      </w:pPr>
      <w:bookmarkStart w:id="134" w:name="_Toc6316"/>
      <w:r>
        <w:rPr>
          <w:rFonts w:hint="eastAsia" w:ascii="宋体" w:hAnsi="宋体" w:eastAsia="宋体" w:cs="宋体"/>
          <w:b/>
          <w:bCs/>
          <w:i w:val="0"/>
          <w:iCs w:val="0"/>
          <w:color w:val="auto"/>
          <w:spacing w:val="0"/>
          <w:kern w:val="0"/>
          <w:sz w:val="32"/>
          <w:szCs w:val="32"/>
          <w:lang w:val="en-US" w:eastAsia="zh-CN" w:bidi="ar-SA"/>
        </w:rPr>
        <w:t>3.</w:t>
      </w:r>
      <w:r>
        <w:rPr>
          <w:rFonts w:hint="eastAsia" w:ascii="宋体" w:hAnsi="宋体" w:eastAsia="宋体" w:cs="宋体"/>
          <w:b/>
          <w:bCs/>
          <w:i w:val="0"/>
          <w:iCs w:val="0"/>
          <w:color w:val="auto"/>
          <w:spacing w:val="0"/>
          <w:sz w:val="32"/>
          <w:szCs w:val="32"/>
          <w:lang w:val="en-US" w:eastAsia="zh-CN"/>
        </w:rPr>
        <w:t>评标程序</w:t>
      </w:r>
      <w:bookmarkEnd w:id="133"/>
      <w:bookmarkEnd w:id="134"/>
    </w:p>
    <w:p w14:paraId="67F470C8">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left="17" w:leftChars="0" w:right="0" w:rightChars="0" w:hanging="17" w:hangingChars="8"/>
        <w:jc w:val="left"/>
        <w:textAlignment w:val="auto"/>
        <w:outlineLvl w:val="2"/>
        <w:rPr>
          <w:rFonts w:hint="eastAsia" w:ascii="宋体" w:hAnsi="宋体" w:eastAsia="宋体" w:cs="宋体"/>
          <w:b/>
          <w:bCs/>
          <w:i w:val="0"/>
          <w:iCs w:val="0"/>
          <w:color w:val="auto"/>
          <w:spacing w:val="0"/>
          <w:sz w:val="21"/>
          <w:szCs w:val="21"/>
          <w:lang w:val="en-US" w:eastAsia="zh-CN"/>
        </w:rPr>
      </w:pPr>
      <w:bookmarkStart w:id="135" w:name="_Toc8698"/>
      <w:bookmarkStart w:id="136" w:name="_Toc18742"/>
      <w:bookmarkStart w:id="137" w:name="_Toc18352"/>
      <w:bookmarkStart w:id="138" w:name="_Toc6622"/>
      <w:bookmarkStart w:id="139" w:name="_Toc26416"/>
      <w:r>
        <w:rPr>
          <w:rFonts w:hint="eastAsia" w:ascii="宋体" w:hAnsi="宋体" w:eastAsia="宋体" w:cs="宋体"/>
          <w:b/>
          <w:bCs/>
          <w:i w:val="0"/>
          <w:iCs w:val="0"/>
          <w:color w:val="auto"/>
          <w:spacing w:val="0"/>
          <w:sz w:val="21"/>
          <w:szCs w:val="21"/>
          <w:lang w:val="en-US" w:eastAsia="zh-CN"/>
        </w:rPr>
        <w:t>3.1初步评审</w:t>
      </w:r>
      <w:bookmarkEnd w:id="135"/>
      <w:bookmarkEnd w:id="136"/>
      <w:bookmarkEnd w:id="137"/>
      <w:bookmarkEnd w:id="138"/>
      <w:bookmarkEnd w:id="139"/>
    </w:p>
    <w:p w14:paraId="3636AD3A">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leftChars="-9"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3.1.1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14:paraId="4E182230">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leftChars="-9"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3.1.2投标人有以下情形之一的，评标委员会应当否决其投标：</w:t>
      </w:r>
    </w:p>
    <w:p w14:paraId="5D0F49A1">
      <w:pPr>
        <w:keepNext w:val="0"/>
        <w:keepLines w:val="0"/>
        <w:pageBreakBefore w:val="0"/>
        <w:widowControl w:val="0"/>
        <w:numPr>
          <w:ilvl w:val="0"/>
          <w:numId w:val="13"/>
        </w:numPr>
        <w:tabs>
          <w:tab w:val="clear" w:pos="312"/>
        </w:tabs>
        <w:kinsoku/>
        <w:wordWrap/>
        <w:overflowPunct/>
        <w:topLinePunct w:val="0"/>
        <w:autoSpaceDE/>
        <w:autoSpaceDN/>
        <w:bidi w:val="0"/>
        <w:adjustRightInd/>
        <w:snapToGrid/>
        <w:spacing w:after="126" w:afterLines="40" w:line="300" w:lineRule="exact"/>
        <w:ind w:leftChars="-9"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投标文件没有对招标文件的实质性要求和条件作出响应，或者对招标文件的偏差超出招标文件规定的偏差范围或最高项数；</w:t>
      </w:r>
    </w:p>
    <w:p w14:paraId="4A877EBC">
      <w:pPr>
        <w:keepNext w:val="0"/>
        <w:keepLines w:val="0"/>
        <w:pageBreakBefore w:val="0"/>
        <w:widowControl w:val="0"/>
        <w:numPr>
          <w:ilvl w:val="0"/>
          <w:numId w:val="13"/>
        </w:numPr>
        <w:tabs>
          <w:tab w:val="clear" w:pos="312"/>
        </w:tabs>
        <w:kinsoku/>
        <w:wordWrap/>
        <w:overflowPunct/>
        <w:topLinePunct w:val="0"/>
        <w:autoSpaceDE/>
        <w:autoSpaceDN/>
        <w:bidi w:val="0"/>
        <w:adjustRightInd/>
        <w:snapToGrid/>
        <w:spacing w:after="126" w:afterLines="40" w:line="300" w:lineRule="exact"/>
        <w:ind w:leftChars="-9"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有串通投标、弄虚作假、行贿等违法行为。</w:t>
      </w:r>
    </w:p>
    <w:p w14:paraId="3CBC92BF">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3.1.3投标报价有算术错误及其他错误的，评标委员会按以下原则要求投标人对投标报价进行修正，并要求投标人书面澄清确认。投标人拒不澄清确认的，评标委员会应当否决其投标：</w:t>
      </w:r>
    </w:p>
    <w:p w14:paraId="06A0B5BD">
      <w:pPr>
        <w:keepNext w:val="0"/>
        <w:keepLines w:val="0"/>
        <w:pageBreakBefore w:val="0"/>
        <w:widowControl w:val="0"/>
        <w:numPr>
          <w:ilvl w:val="0"/>
          <w:numId w:val="14"/>
        </w:numPr>
        <w:tabs>
          <w:tab w:val="clear" w:pos="312"/>
        </w:tabs>
        <w:kinsoku/>
        <w:wordWrap/>
        <w:overflowPunct/>
        <w:topLinePunct w:val="0"/>
        <w:autoSpaceDE/>
        <w:autoSpaceDN/>
        <w:bidi w:val="0"/>
        <w:adjustRightInd/>
        <w:snapToGrid/>
        <w:spacing w:after="126" w:afterLines="40" w:line="300" w:lineRule="exact"/>
        <w:ind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投标文件中的大写金额与小写金额不一致的，以大写金额为准；</w:t>
      </w:r>
    </w:p>
    <w:p w14:paraId="7A25DC38">
      <w:pPr>
        <w:keepNext w:val="0"/>
        <w:keepLines w:val="0"/>
        <w:pageBreakBefore w:val="0"/>
        <w:widowControl w:val="0"/>
        <w:numPr>
          <w:ilvl w:val="0"/>
          <w:numId w:val="14"/>
        </w:numPr>
        <w:tabs>
          <w:tab w:val="clear" w:pos="312"/>
        </w:tabs>
        <w:kinsoku/>
        <w:wordWrap/>
        <w:overflowPunct/>
        <w:topLinePunct w:val="0"/>
        <w:autoSpaceDE/>
        <w:autoSpaceDN/>
        <w:bidi w:val="0"/>
        <w:adjustRightInd/>
        <w:snapToGrid/>
        <w:spacing w:after="126" w:afterLines="40" w:line="300" w:lineRule="exact"/>
        <w:ind w:right="0" w:rightChars="0" w:firstLine="420" w:firstLineChars="200"/>
        <w:jc w:val="left"/>
        <w:textAlignment w:val="auto"/>
        <w:outlineLvl w:val="9"/>
        <w:rPr>
          <w:rFonts w:hint="eastAsia" w:ascii="宋体" w:hAnsi="宋体" w:eastAsia="宋体" w:cs="宋体"/>
          <w:color w:val="auto"/>
          <w:lang w:val="en-US" w:eastAsia="zh-CN"/>
        </w:rPr>
      </w:pPr>
      <w:r>
        <w:rPr>
          <w:rFonts w:hint="eastAsia" w:ascii="宋体" w:hAnsi="宋体" w:eastAsia="宋体" w:cs="宋体"/>
          <w:b w:val="0"/>
          <w:bCs w:val="0"/>
          <w:i w:val="0"/>
          <w:iCs w:val="0"/>
          <w:color w:val="auto"/>
          <w:spacing w:val="0"/>
          <w:sz w:val="21"/>
          <w:szCs w:val="21"/>
          <w:lang w:val="en-US" w:eastAsia="zh-CN"/>
        </w:rPr>
        <w:t>总价金额与单价金额不一致的，以单价金额为准，但单价金额小数点有明显错误的除外。</w:t>
      </w:r>
    </w:p>
    <w:p w14:paraId="0C5C2B83">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140" w:name="_Toc17256"/>
      <w:bookmarkStart w:id="141" w:name="_Toc31675"/>
      <w:bookmarkStart w:id="142" w:name="_Toc30257"/>
      <w:bookmarkStart w:id="143" w:name="_Toc27397"/>
      <w:bookmarkStart w:id="144" w:name="_Toc22525"/>
      <w:r>
        <w:rPr>
          <w:rFonts w:hint="eastAsia" w:ascii="宋体" w:hAnsi="宋体" w:eastAsia="宋体" w:cs="宋体"/>
          <w:b/>
          <w:bCs/>
          <w:i w:val="0"/>
          <w:iCs w:val="0"/>
          <w:color w:val="auto"/>
          <w:spacing w:val="0"/>
          <w:sz w:val="21"/>
          <w:szCs w:val="21"/>
          <w:lang w:val="en-US" w:eastAsia="zh-CN"/>
        </w:rPr>
        <w:t>3.2详细评审</w:t>
      </w:r>
      <w:bookmarkEnd w:id="140"/>
      <w:bookmarkEnd w:id="141"/>
      <w:bookmarkEnd w:id="142"/>
      <w:bookmarkEnd w:id="143"/>
      <w:bookmarkEnd w:id="144"/>
    </w:p>
    <w:p w14:paraId="2DF7B0B8">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3.2.1评标委员会按本章第2.2款规定的量化因素和分值进行打分，并计算出综合评估得分。</w:t>
      </w:r>
    </w:p>
    <w:p w14:paraId="17B5F35D">
      <w:pPr>
        <w:keepNext w:val="0"/>
        <w:keepLines w:val="0"/>
        <w:pageBreakBefore w:val="0"/>
        <w:widowControl w:val="0"/>
        <w:numPr>
          <w:ilvl w:val="0"/>
          <w:numId w:val="15"/>
        </w:numPr>
        <w:tabs>
          <w:tab w:val="clear" w:pos="312"/>
        </w:tabs>
        <w:kinsoku/>
        <w:wordWrap/>
        <w:overflowPunct/>
        <w:topLinePunct w:val="0"/>
        <w:autoSpaceDE/>
        <w:autoSpaceDN/>
        <w:bidi w:val="0"/>
        <w:adjustRightInd/>
        <w:snapToGrid/>
        <w:spacing w:after="126" w:afterLines="40" w:line="300" w:lineRule="exact"/>
        <w:ind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按本章第2.2.3(1)目规定的评审因素和分值由评委会组长带领全体成员对商务部分进行审查后统一打分，计算出得分A；</w:t>
      </w:r>
    </w:p>
    <w:p w14:paraId="124AAB1A">
      <w:pPr>
        <w:pStyle w:val="23"/>
        <w:bidi w:val="0"/>
        <w:ind w:firstLine="420" w:firstLineChars="200"/>
        <w:rPr>
          <w:rFonts w:hint="eastAsia" w:ascii="宋体" w:hAnsi="宋体" w:eastAsia="宋体" w:cs="宋体"/>
          <w:i w:val="0"/>
          <w:iCs w:val="0"/>
          <w:color w:val="auto"/>
          <w:lang w:val="en-US" w:eastAsia="zh-CN"/>
        </w:rPr>
      </w:pPr>
      <w:r>
        <w:rPr>
          <w:rFonts w:hint="eastAsia" w:ascii="宋体" w:hAnsi="宋体" w:eastAsia="宋体" w:cs="宋体"/>
          <w:b w:val="0"/>
          <w:bCs w:val="0"/>
          <w:i w:val="0"/>
          <w:iCs w:val="0"/>
          <w:color w:val="auto"/>
          <w:spacing w:val="0"/>
          <w:sz w:val="21"/>
          <w:szCs w:val="21"/>
          <w:lang w:val="en-US" w:eastAsia="zh-CN"/>
        </w:rPr>
        <w:t>（2）按本章第2.2.3(2)目规定的评审因素和分值各评委会成员对技术部分独立评审，并汇总每个投标人的平均得分，计算出得分B；</w:t>
      </w:r>
    </w:p>
    <w:p w14:paraId="301CE81D">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(3按本章第2.2.3(3)目规定的评审因素和分值对投标报价计算出得分C；</w:t>
      </w:r>
    </w:p>
    <w:p w14:paraId="032C5E27">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3.2.2评分分值计算保留小数点后两位，小数点后第三位“四舍五入”。</w:t>
      </w:r>
    </w:p>
    <w:p w14:paraId="1372DF74">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3.2.3投标人得分=</w:t>
      </w:r>
      <w:r>
        <w:rPr>
          <w:rFonts w:hint="eastAsia" w:ascii="宋体" w:hAnsi="宋体" w:eastAsia="宋体" w:cs="宋体"/>
          <w:b/>
          <w:bCs/>
          <w:i w:val="0"/>
          <w:iCs w:val="0"/>
          <w:color w:val="auto"/>
          <w:spacing w:val="0"/>
          <w:sz w:val="21"/>
          <w:szCs w:val="21"/>
          <w:lang w:val="en-US" w:eastAsia="zh-CN"/>
        </w:rPr>
        <w:t>A+B+C</w:t>
      </w:r>
      <w:r>
        <w:rPr>
          <w:rFonts w:hint="eastAsia" w:ascii="宋体" w:hAnsi="宋体" w:eastAsia="宋体" w:cs="宋体"/>
          <w:b w:val="0"/>
          <w:bCs w:val="0"/>
          <w:i w:val="0"/>
          <w:iCs w:val="0"/>
          <w:color w:val="auto"/>
          <w:spacing w:val="0"/>
          <w:sz w:val="21"/>
          <w:szCs w:val="21"/>
          <w:lang w:val="en-US" w:eastAsia="zh-CN"/>
        </w:rPr>
        <w:t>。</w:t>
      </w:r>
    </w:p>
    <w:p w14:paraId="19D4412C">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3.2.4评标委员会发现投标人的报价明显低于其他投标报价，使得其投标报价可能低于其个别成本的，应当要求该投标人作出书面说明并提供相应的证明材料。投标人不能合理说明者不能提供相应证明材料的，评标委员会应当认定该投标人以低于成本报价竞标，并否决其投标。</w:t>
      </w:r>
    </w:p>
    <w:p w14:paraId="6DB56D7E">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left="0" w:leftChars="0" w:right="0" w:rightChars="0" w:firstLine="0" w:firstLine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145" w:name="_Toc13465"/>
      <w:bookmarkStart w:id="146" w:name="_Toc20195"/>
      <w:bookmarkStart w:id="147" w:name="_Toc3413"/>
      <w:bookmarkStart w:id="148" w:name="_Toc9402"/>
      <w:bookmarkStart w:id="149" w:name="_Toc5271"/>
      <w:r>
        <w:rPr>
          <w:rFonts w:hint="eastAsia" w:ascii="宋体" w:hAnsi="宋体" w:eastAsia="宋体" w:cs="宋体"/>
          <w:b/>
          <w:bCs/>
          <w:i w:val="0"/>
          <w:iCs w:val="0"/>
          <w:color w:val="auto"/>
          <w:spacing w:val="0"/>
          <w:sz w:val="21"/>
          <w:szCs w:val="21"/>
          <w:lang w:val="en-US" w:eastAsia="zh-CN"/>
        </w:rPr>
        <w:t>3.3投标文件的澄清</w:t>
      </w:r>
      <w:bookmarkEnd w:id="145"/>
      <w:bookmarkEnd w:id="146"/>
      <w:bookmarkEnd w:id="147"/>
      <w:bookmarkEnd w:id="148"/>
      <w:bookmarkEnd w:id="149"/>
    </w:p>
    <w:p w14:paraId="7C887500">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1F7EA05E">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3.3.2澄清、说明或补正不得超出投标文件的范围且不得改变投标文件的实质性内容，并构成投标文件的组成部分。</w:t>
      </w:r>
    </w:p>
    <w:p w14:paraId="034674F2">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right="0" w:rightChars="0" w:firstLine="420" w:firstLineChars="20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3.3.3评标委员会对投标人提交的澄清、说明或补正有疑问的，可以要求投标人进一步澄清、说明或补正，直至满足评标委员会的要求。</w:t>
      </w:r>
    </w:p>
    <w:p w14:paraId="7EC7EB0D">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right="0" w:rightChars="0"/>
        <w:jc w:val="left"/>
        <w:textAlignment w:val="auto"/>
        <w:outlineLvl w:val="2"/>
        <w:rPr>
          <w:rFonts w:hint="eastAsia" w:ascii="宋体" w:hAnsi="宋体" w:eastAsia="宋体" w:cs="宋体"/>
          <w:b/>
          <w:bCs/>
          <w:i w:val="0"/>
          <w:iCs w:val="0"/>
          <w:color w:val="auto"/>
          <w:spacing w:val="0"/>
          <w:sz w:val="21"/>
          <w:szCs w:val="21"/>
          <w:lang w:val="en-US" w:eastAsia="zh-CN"/>
        </w:rPr>
      </w:pPr>
      <w:bookmarkStart w:id="150" w:name="_Toc27346"/>
      <w:bookmarkStart w:id="151" w:name="_Toc21433"/>
      <w:bookmarkStart w:id="152" w:name="_Toc20203"/>
      <w:bookmarkStart w:id="153" w:name="_Toc1162"/>
      <w:bookmarkStart w:id="154" w:name="_Toc10026"/>
      <w:r>
        <w:rPr>
          <w:rFonts w:hint="eastAsia" w:ascii="宋体" w:hAnsi="宋体" w:eastAsia="宋体" w:cs="宋体"/>
          <w:b/>
          <w:bCs/>
          <w:i w:val="0"/>
          <w:iCs w:val="0"/>
          <w:color w:val="auto"/>
          <w:spacing w:val="0"/>
          <w:sz w:val="21"/>
          <w:szCs w:val="21"/>
          <w:lang w:val="en-US" w:eastAsia="zh-CN"/>
        </w:rPr>
        <w:t>3.4评标结果</w:t>
      </w:r>
      <w:bookmarkEnd w:id="150"/>
      <w:bookmarkEnd w:id="151"/>
      <w:bookmarkEnd w:id="152"/>
      <w:bookmarkEnd w:id="153"/>
      <w:bookmarkEnd w:id="154"/>
    </w:p>
    <w:p w14:paraId="273B3AEF">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right="0" w:rightChars="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b w:val="0"/>
          <w:bCs w:val="0"/>
          <w:i w:val="0"/>
          <w:iCs w:val="0"/>
          <w:color w:val="auto"/>
          <w:spacing w:val="0"/>
          <w:sz w:val="21"/>
          <w:szCs w:val="21"/>
          <w:lang w:val="en-US" w:eastAsia="zh-CN"/>
        </w:rPr>
        <w:t>3.4.1除第二章“投标人须知”前附表授权直接确定中标人外，评标委员会按照得分由高到低的顺序推荐中标候选人，并标明排序。</w:t>
      </w:r>
    </w:p>
    <w:p w14:paraId="1FD0E967">
      <w:pPr>
        <w:keepNext w:val="0"/>
        <w:keepLines w:val="0"/>
        <w:pageBreakBefore w:val="0"/>
        <w:widowControl w:val="0"/>
        <w:numPr>
          <w:ilvl w:val="0"/>
          <w:numId w:val="0"/>
        </w:numPr>
        <w:kinsoku/>
        <w:wordWrap/>
        <w:overflowPunct/>
        <w:topLinePunct w:val="0"/>
        <w:autoSpaceDE/>
        <w:autoSpaceDN/>
        <w:bidi w:val="0"/>
        <w:adjustRightInd/>
        <w:snapToGrid/>
        <w:spacing w:after="126" w:afterLines="40" w:line="300" w:lineRule="exact"/>
        <w:ind w:right="0" w:rightChars="0"/>
        <w:jc w:val="left"/>
        <w:textAlignment w:val="auto"/>
        <w:outlineLvl w:val="9"/>
        <w:rPr>
          <w:rFonts w:hint="eastAsia" w:ascii="宋体" w:hAnsi="宋体" w:eastAsia="宋体" w:cs="宋体"/>
          <w:i w:val="0"/>
          <w:iCs w:val="0"/>
          <w:color w:val="auto"/>
          <w:lang w:val="en-US" w:eastAsia="zh-CN"/>
        </w:rPr>
        <w:sectPr>
          <w:pgSz w:w="11906" w:h="16838"/>
          <w:pgMar w:top="1247" w:right="1247" w:bottom="1247" w:left="1247" w:header="851" w:footer="992" w:gutter="0"/>
          <w:pgNumType w:fmt="decimal"/>
          <w:cols w:space="425" w:num="1"/>
          <w:rtlGutter w:val="0"/>
          <w:docGrid w:type="lines" w:linePitch="312" w:charSpace="0"/>
        </w:sectPr>
      </w:pPr>
      <w:r>
        <w:rPr>
          <w:rFonts w:hint="eastAsia" w:ascii="宋体" w:hAnsi="宋体" w:eastAsia="宋体" w:cs="宋体"/>
          <w:b w:val="0"/>
          <w:bCs w:val="0"/>
          <w:i w:val="0"/>
          <w:iCs w:val="0"/>
          <w:color w:val="auto"/>
          <w:spacing w:val="0"/>
          <w:sz w:val="21"/>
          <w:szCs w:val="21"/>
          <w:lang w:val="en-US" w:eastAsia="zh-CN"/>
        </w:rPr>
        <w:t>3.4.2评标委员会完成评标后，应当向招标人提交书面评标报告和中标候选人名单</w:t>
      </w:r>
    </w:p>
    <w:p w14:paraId="6AD8D099">
      <w:pPr>
        <w:pStyle w:val="25"/>
        <w:bidi w:val="0"/>
        <w:ind w:left="0" w:leftChars="0" w:firstLine="0" w:firstLineChars="0"/>
        <w:rPr>
          <w:rFonts w:hint="eastAsia" w:ascii="宋体" w:hAnsi="宋体" w:eastAsia="宋体" w:cs="宋体"/>
          <w:i w:val="0"/>
          <w:iCs w:val="0"/>
          <w:color w:val="auto"/>
          <w:lang w:val="en-US" w:eastAsia="zh-CN"/>
        </w:rPr>
      </w:pPr>
    </w:p>
    <w:p w14:paraId="69A0F2C5">
      <w:pPr>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0"/>
        <w:rPr>
          <w:rFonts w:hint="eastAsia" w:ascii="宋体" w:hAnsi="宋体" w:eastAsia="宋体" w:cs="宋体"/>
          <w:b/>
          <w:bCs/>
          <w:color w:val="000000"/>
          <w:kern w:val="44"/>
          <w:sz w:val="32"/>
          <w:szCs w:val="32"/>
          <w:lang w:val="en-US" w:eastAsia="zh-CN" w:bidi="ar-SA"/>
        </w:rPr>
      </w:pPr>
      <w:bookmarkStart w:id="155" w:name="_Toc4497"/>
      <w:bookmarkStart w:id="156" w:name="_Toc5684"/>
      <w:r>
        <w:rPr>
          <w:rFonts w:hint="eastAsia" w:ascii="宋体" w:hAnsi="宋体" w:eastAsia="宋体" w:cs="宋体"/>
          <w:b/>
          <w:i w:val="0"/>
          <w:iCs w:val="0"/>
          <w:color w:val="auto"/>
          <w:spacing w:val="15"/>
          <w:kern w:val="0"/>
          <w:sz w:val="32"/>
          <w:szCs w:val="32"/>
          <w:lang w:val="en-US" w:eastAsia="zh-CN" w:bidi="ar-SA"/>
        </w:rPr>
        <w:t>第四章</w:t>
      </w:r>
      <w:bookmarkEnd w:id="155"/>
      <w:bookmarkEnd w:id="156"/>
      <w:r>
        <w:rPr>
          <w:rFonts w:hint="eastAsia" w:ascii="宋体" w:hAnsi="宋体" w:eastAsia="宋体" w:cs="宋体"/>
          <w:b/>
          <w:bCs/>
          <w:color w:val="000000"/>
          <w:kern w:val="44"/>
          <w:sz w:val="32"/>
          <w:szCs w:val="32"/>
          <w:lang w:val="en-US" w:eastAsia="zh-CN" w:bidi="ar-SA"/>
        </w:rPr>
        <w:t xml:space="preserve"> 合同格式及合同条款</w:t>
      </w:r>
    </w:p>
    <w:p w14:paraId="5232FAE4">
      <w:pPr>
        <w:spacing w:line="440" w:lineRule="exact"/>
        <w:ind w:firstLine="54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（本合同仅供参考，具体以实际签订的为准）</w:t>
      </w:r>
    </w:p>
    <w:p w14:paraId="54B6C763">
      <w:pPr>
        <w:pStyle w:val="74"/>
        <w:rPr>
          <w:rFonts w:hint="eastAsia" w:ascii="宋体" w:hAnsi="宋体" w:eastAsia="宋体" w:cs="宋体"/>
          <w:color w:val="000000"/>
        </w:rPr>
      </w:pPr>
      <w:bookmarkStart w:id="157" w:name="EB549d73658a6846bf944104fe82e48c66"/>
      <w:bookmarkStart w:id="158" w:name="_Toc26146"/>
    </w:p>
    <w:bookmarkEnd w:id="157"/>
    <w:p w14:paraId="79B1C78F">
      <w:pPr>
        <w:pStyle w:val="74"/>
        <w:tabs>
          <w:tab w:val="left" w:pos="720"/>
        </w:tabs>
        <w:spacing w:line="360" w:lineRule="auto"/>
        <w:jc w:val="center"/>
        <w:rPr>
          <w:rFonts w:hint="eastAsia" w:ascii="宋体" w:hAnsi="宋体" w:eastAsia="宋体" w:cs="宋体"/>
          <w:b/>
          <w:color w:val="000000"/>
          <w:sz w:val="28"/>
          <w:szCs w:val="28"/>
          <w:u w:val="single"/>
        </w:rPr>
      </w:pPr>
    </w:p>
    <w:p w14:paraId="5C79EFBA">
      <w:pPr>
        <w:pStyle w:val="74"/>
        <w:tabs>
          <w:tab w:val="left" w:pos="720"/>
        </w:tabs>
        <w:spacing w:line="360" w:lineRule="auto"/>
        <w:jc w:val="center"/>
        <w:rPr>
          <w:rFonts w:hint="eastAsia" w:ascii="宋体" w:hAnsi="宋体" w:eastAsia="宋体" w:cs="宋体"/>
          <w:b/>
          <w:color w:val="000000"/>
          <w:sz w:val="28"/>
          <w:szCs w:val="28"/>
          <w:u w:val="single"/>
        </w:rPr>
      </w:pPr>
    </w:p>
    <w:p w14:paraId="120F849B">
      <w:pPr>
        <w:pStyle w:val="74"/>
        <w:tabs>
          <w:tab w:val="left" w:pos="720"/>
        </w:tabs>
        <w:spacing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u w:val="single"/>
        </w:rPr>
        <w:t xml:space="preserve">         </w:t>
      </w:r>
      <w:r>
        <w:rPr>
          <w:rFonts w:hint="eastAsia" w:ascii="宋体" w:hAnsi="宋体" w:eastAsia="宋体" w:cs="宋体"/>
          <w:b/>
          <w:color w:val="000000"/>
          <w:sz w:val="28"/>
          <w:szCs w:val="28"/>
        </w:rPr>
        <w:t>政府采购</w:t>
      </w:r>
    </w:p>
    <w:p w14:paraId="332D35D6">
      <w:pPr>
        <w:pStyle w:val="74"/>
        <w:tabs>
          <w:tab w:val="left" w:pos="720"/>
        </w:tabs>
        <w:spacing w:line="360" w:lineRule="auto"/>
        <w:jc w:val="center"/>
        <w:rPr>
          <w:rFonts w:hint="eastAsia" w:ascii="宋体" w:hAnsi="宋体" w:eastAsia="宋体" w:cs="宋体"/>
          <w:b/>
          <w:color w:val="000000"/>
          <w:sz w:val="28"/>
          <w:szCs w:val="28"/>
        </w:rPr>
      </w:pPr>
    </w:p>
    <w:p w14:paraId="3C04BBA5">
      <w:pPr>
        <w:pStyle w:val="74"/>
        <w:tabs>
          <w:tab w:val="left" w:pos="720"/>
        </w:tabs>
        <w:spacing w:line="360" w:lineRule="auto"/>
        <w:jc w:val="center"/>
        <w:rPr>
          <w:rFonts w:hint="eastAsia" w:ascii="宋体" w:hAnsi="宋体" w:eastAsia="宋体" w:cs="宋体"/>
          <w:b/>
          <w:color w:val="000000"/>
          <w:sz w:val="28"/>
          <w:szCs w:val="28"/>
        </w:rPr>
      </w:pPr>
    </w:p>
    <w:p w14:paraId="036DF258">
      <w:pPr>
        <w:pStyle w:val="74"/>
        <w:tabs>
          <w:tab w:val="left" w:pos="720"/>
        </w:tabs>
        <w:spacing w:line="360" w:lineRule="auto"/>
        <w:rPr>
          <w:rFonts w:hint="eastAsia" w:ascii="宋体" w:hAnsi="宋体" w:eastAsia="宋体" w:cs="宋体"/>
          <w:b/>
          <w:color w:val="000000"/>
          <w:sz w:val="28"/>
          <w:szCs w:val="28"/>
        </w:rPr>
      </w:pPr>
    </w:p>
    <w:p w14:paraId="7A83427F">
      <w:pPr>
        <w:pStyle w:val="74"/>
        <w:tabs>
          <w:tab w:val="left" w:pos="720"/>
        </w:tabs>
        <w:spacing w:line="360" w:lineRule="auto"/>
        <w:rPr>
          <w:rFonts w:hint="eastAsia" w:ascii="宋体" w:hAnsi="宋体" w:eastAsia="宋体" w:cs="宋体"/>
          <w:b/>
          <w:color w:val="000000"/>
          <w:sz w:val="28"/>
          <w:szCs w:val="28"/>
        </w:rPr>
      </w:pPr>
    </w:p>
    <w:p w14:paraId="31E01CCA">
      <w:pPr>
        <w:pStyle w:val="74"/>
        <w:tabs>
          <w:tab w:val="left" w:pos="720"/>
        </w:tabs>
        <w:spacing w:line="360" w:lineRule="auto"/>
        <w:rPr>
          <w:rFonts w:hint="eastAsia" w:ascii="宋体" w:hAnsi="宋体" w:eastAsia="宋体" w:cs="宋体"/>
          <w:b/>
          <w:color w:val="000000"/>
          <w:sz w:val="28"/>
          <w:szCs w:val="28"/>
        </w:rPr>
      </w:pPr>
    </w:p>
    <w:p w14:paraId="648C7372">
      <w:pPr>
        <w:pStyle w:val="74"/>
        <w:tabs>
          <w:tab w:val="left" w:pos="720"/>
        </w:tabs>
        <w:spacing w:line="360" w:lineRule="auto"/>
        <w:ind w:firstLine="1110" w:firstLineChars="395"/>
        <w:rPr>
          <w:rFonts w:hint="eastAsia" w:ascii="宋体" w:hAnsi="宋体" w:eastAsia="宋体" w:cs="宋体"/>
          <w:b/>
          <w:color w:val="000000"/>
          <w:sz w:val="28"/>
          <w:szCs w:val="28"/>
        </w:rPr>
      </w:pPr>
      <w:r>
        <w:rPr>
          <w:rFonts w:hint="eastAsia" w:ascii="宋体" w:hAnsi="宋体" w:eastAsia="宋体" w:cs="宋体"/>
          <w:b/>
          <w:color w:val="000000"/>
          <w:sz w:val="28"/>
          <w:szCs w:val="28"/>
        </w:rPr>
        <w:t>采购编号：</w:t>
      </w:r>
      <w:r>
        <w:rPr>
          <w:rFonts w:hint="eastAsia" w:ascii="宋体" w:hAnsi="宋体" w:eastAsia="宋体" w:cs="宋体"/>
          <w:b/>
          <w:color w:val="000000"/>
          <w:sz w:val="28"/>
          <w:szCs w:val="28"/>
          <w:u w:val="single"/>
        </w:rPr>
        <w:t xml:space="preserve">                      </w:t>
      </w:r>
    </w:p>
    <w:p w14:paraId="2669BF9D">
      <w:pPr>
        <w:pStyle w:val="74"/>
        <w:tabs>
          <w:tab w:val="left" w:pos="720"/>
        </w:tabs>
        <w:spacing w:line="360" w:lineRule="auto"/>
        <w:rPr>
          <w:rFonts w:hint="eastAsia" w:ascii="宋体" w:hAnsi="宋体" w:eastAsia="宋体" w:cs="宋体"/>
          <w:b/>
          <w:color w:val="000000"/>
          <w:sz w:val="28"/>
          <w:szCs w:val="28"/>
        </w:rPr>
      </w:pPr>
    </w:p>
    <w:p w14:paraId="16CD1CD4">
      <w:pPr>
        <w:pStyle w:val="74"/>
        <w:tabs>
          <w:tab w:val="left" w:pos="720"/>
        </w:tabs>
        <w:spacing w:line="360" w:lineRule="auto"/>
        <w:ind w:firstLine="1110" w:firstLineChars="395"/>
        <w:rPr>
          <w:rFonts w:hint="eastAsia" w:ascii="宋体" w:hAnsi="宋体" w:eastAsia="宋体" w:cs="宋体"/>
          <w:b/>
          <w:color w:val="000000"/>
          <w:sz w:val="28"/>
          <w:szCs w:val="28"/>
        </w:rPr>
      </w:pPr>
      <w:r>
        <w:rPr>
          <w:rFonts w:hint="eastAsia" w:ascii="宋体" w:hAnsi="宋体" w:eastAsia="宋体" w:cs="宋体"/>
          <w:b/>
          <w:color w:val="000000"/>
          <w:sz w:val="28"/>
          <w:szCs w:val="28"/>
        </w:rPr>
        <w:t>项目名称：</w:t>
      </w:r>
      <w:r>
        <w:rPr>
          <w:rFonts w:hint="eastAsia" w:ascii="宋体" w:hAnsi="宋体" w:eastAsia="宋体" w:cs="宋体"/>
          <w:b/>
          <w:color w:val="000000"/>
          <w:sz w:val="28"/>
          <w:szCs w:val="28"/>
          <w:u w:val="single"/>
        </w:rPr>
        <w:t xml:space="preserve">                      </w:t>
      </w:r>
    </w:p>
    <w:p w14:paraId="63E60292">
      <w:pPr>
        <w:pStyle w:val="74"/>
        <w:tabs>
          <w:tab w:val="left" w:pos="720"/>
        </w:tabs>
        <w:spacing w:line="360" w:lineRule="auto"/>
        <w:rPr>
          <w:rFonts w:hint="eastAsia" w:ascii="宋体" w:hAnsi="宋体" w:eastAsia="宋体" w:cs="宋体"/>
          <w:b/>
          <w:color w:val="000000"/>
          <w:sz w:val="28"/>
          <w:szCs w:val="28"/>
        </w:rPr>
      </w:pPr>
    </w:p>
    <w:p w14:paraId="6EFD78B0">
      <w:pPr>
        <w:pStyle w:val="74"/>
        <w:tabs>
          <w:tab w:val="left" w:pos="720"/>
        </w:tabs>
        <w:spacing w:line="360" w:lineRule="auto"/>
        <w:rPr>
          <w:rFonts w:hint="eastAsia" w:ascii="宋体" w:hAnsi="宋体" w:eastAsia="宋体" w:cs="宋体"/>
          <w:b/>
          <w:color w:val="000000"/>
          <w:sz w:val="28"/>
          <w:szCs w:val="28"/>
        </w:rPr>
      </w:pPr>
    </w:p>
    <w:p w14:paraId="48A03AB4">
      <w:pPr>
        <w:pStyle w:val="74"/>
        <w:tabs>
          <w:tab w:val="left" w:pos="720"/>
        </w:tabs>
        <w:spacing w:line="360" w:lineRule="auto"/>
        <w:rPr>
          <w:rFonts w:hint="eastAsia" w:ascii="宋体" w:hAnsi="宋体" w:eastAsia="宋体" w:cs="宋体"/>
          <w:b/>
          <w:color w:val="000000"/>
          <w:sz w:val="28"/>
          <w:szCs w:val="28"/>
        </w:rPr>
      </w:pPr>
    </w:p>
    <w:p w14:paraId="0E3C65BB">
      <w:pPr>
        <w:pStyle w:val="74"/>
        <w:tabs>
          <w:tab w:val="left" w:pos="720"/>
        </w:tabs>
        <w:spacing w:line="360" w:lineRule="auto"/>
        <w:rPr>
          <w:rFonts w:hint="eastAsia" w:ascii="宋体" w:hAnsi="宋体" w:eastAsia="宋体" w:cs="宋体"/>
          <w:b/>
          <w:color w:val="000000"/>
          <w:sz w:val="28"/>
          <w:szCs w:val="28"/>
        </w:rPr>
      </w:pPr>
    </w:p>
    <w:p w14:paraId="605E1AA6">
      <w:pPr>
        <w:pStyle w:val="74"/>
        <w:tabs>
          <w:tab w:val="left" w:pos="720"/>
        </w:tabs>
        <w:spacing w:line="360" w:lineRule="auto"/>
        <w:rPr>
          <w:rFonts w:hint="eastAsia" w:ascii="宋体" w:hAnsi="宋体" w:eastAsia="宋体" w:cs="宋体"/>
          <w:b/>
          <w:color w:val="000000"/>
          <w:sz w:val="28"/>
          <w:szCs w:val="28"/>
        </w:rPr>
      </w:pPr>
    </w:p>
    <w:p w14:paraId="44544B75">
      <w:pPr>
        <w:pStyle w:val="74"/>
        <w:tabs>
          <w:tab w:val="left" w:pos="720"/>
        </w:tabs>
        <w:spacing w:line="360" w:lineRule="auto"/>
        <w:rPr>
          <w:rFonts w:hint="eastAsia" w:ascii="宋体" w:hAnsi="宋体" w:eastAsia="宋体" w:cs="宋体"/>
          <w:b/>
          <w:color w:val="000000"/>
          <w:sz w:val="28"/>
          <w:szCs w:val="28"/>
        </w:rPr>
      </w:pPr>
    </w:p>
    <w:p w14:paraId="79F817A5">
      <w:pPr>
        <w:pStyle w:val="74"/>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注：本协议书仅为参考文本，签订双方可根据项目的具体要求进行修订。</w:t>
      </w:r>
    </w:p>
    <w:p w14:paraId="5DE07337">
      <w:pPr>
        <w:pStyle w:val="78"/>
        <w:rPr>
          <w:rFonts w:hint="eastAsia" w:ascii="宋体" w:hAnsi="宋体" w:eastAsia="宋体" w:cs="宋体"/>
          <w:color w:val="000000"/>
        </w:rPr>
        <w:sectPr>
          <w:pgSz w:w="11906" w:h="16838"/>
          <w:pgMar w:top="1247" w:right="1247" w:bottom="1247" w:left="1247" w:header="851" w:footer="992" w:gutter="0"/>
          <w:pgNumType w:fmt="decimal"/>
          <w:cols w:space="720" w:num="1"/>
          <w:rtlGutter w:val="0"/>
          <w:docGrid w:linePitch="312" w:charSpace="0"/>
        </w:sectPr>
      </w:pPr>
      <w:bookmarkStart w:id="159" w:name="_Toc23078"/>
    </w:p>
    <w:p w14:paraId="6E222236">
      <w:pPr>
        <w:pStyle w:val="78"/>
        <w:keepNext/>
        <w:keepLines/>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b w:val="0"/>
          <w:color w:val="000000"/>
          <w:szCs w:val="36"/>
        </w:rPr>
      </w:pPr>
      <w:bookmarkStart w:id="160" w:name="_Toc139389569"/>
      <w:r>
        <w:rPr>
          <w:rFonts w:hint="eastAsia" w:ascii="宋体" w:hAnsi="宋体" w:eastAsia="宋体" w:cs="宋体"/>
          <w:color w:val="000000"/>
        </w:rPr>
        <w:t>一、合同格式</w:t>
      </w:r>
      <w:bookmarkEnd w:id="159"/>
      <w:bookmarkEnd w:id="160"/>
    </w:p>
    <w:p w14:paraId="76DB43B2">
      <w:pPr>
        <w:pStyle w:val="80"/>
        <w:spacing w:line="440" w:lineRule="exact"/>
        <w:ind w:firstLine="48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（根据《政府采购法》和《民法典》。采购人和供应商之间的权利和义务，应当按照平等的原则以合同方式约定。此合同书仅作为签订正式合同时的参考，正式合同书应包括本参考格式之内容。）</w:t>
      </w:r>
    </w:p>
    <w:p w14:paraId="62843075">
      <w:pPr>
        <w:pStyle w:val="80"/>
        <w:spacing w:line="440" w:lineRule="exact"/>
        <w:ind w:firstLine="480"/>
        <w:jc w:val="left"/>
        <w:rPr>
          <w:rFonts w:hint="eastAsia" w:ascii="宋体" w:hAnsi="宋体" w:eastAsia="宋体" w:cs="宋体"/>
          <w:bCs/>
          <w:color w:val="000000"/>
          <w:sz w:val="24"/>
          <w:szCs w:val="24"/>
        </w:rPr>
      </w:pPr>
    </w:p>
    <w:p w14:paraId="37523659">
      <w:pPr>
        <w:pStyle w:val="80"/>
        <w:spacing w:line="440" w:lineRule="exact"/>
        <w:ind w:firstLine="482"/>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1. 合同文件</w:t>
      </w:r>
    </w:p>
    <w:p w14:paraId="6F9064F8">
      <w:pPr>
        <w:pStyle w:val="80"/>
        <w:spacing w:line="440" w:lineRule="exact"/>
        <w:ind w:firstLine="48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本合同所附下列文件是构成本合同不可分割的部分：</w:t>
      </w:r>
    </w:p>
    <w:p w14:paraId="4E62C191">
      <w:pPr>
        <w:pStyle w:val="80"/>
        <w:spacing w:line="440" w:lineRule="exact"/>
        <w:ind w:left="560" w:firstLine="0" w:firstLineChars="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(1)采购文件</w:t>
      </w:r>
    </w:p>
    <w:p w14:paraId="1D189B77">
      <w:pPr>
        <w:pStyle w:val="80"/>
        <w:spacing w:line="440" w:lineRule="exact"/>
        <w:ind w:left="560" w:firstLine="0" w:firstLineChars="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(2)合同条款</w:t>
      </w:r>
    </w:p>
    <w:p w14:paraId="64728C8D">
      <w:pPr>
        <w:pStyle w:val="80"/>
        <w:spacing w:line="440" w:lineRule="exact"/>
        <w:ind w:left="560" w:firstLine="0" w:firstLineChars="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(3)中标人提交的响应文件</w:t>
      </w:r>
    </w:p>
    <w:p w14:paraId="6DA31293">
      <w:pPr>
        <w:pStyle w:val="80"/>
        <w:spacing w:line="440" w:lineRule="exact"/>
        <w:ind w:left="560" w:firstLine="0" w:firstLineChars="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(4)技术规格（包括图纸，如果有的话）</w:t>
      </w:r>
    </w:p>
    <w:p w14:paraId="4F0B742C">
      <w:pPr>
        <w:pStyle w:val="80"/>
        <w:spacing w:line="440" w:lineRule="exact"/>
        <w:ind w:left="560" w:firstLine="0" w:firstLineChars="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(5)中标/成交通知书</w:t>
      </w:r>
    </w:p>
    <w:p w14:paraId="575C746A">
      <w:pPr>
        <w:pStyle w:val="80"/>
        <w:spacing w:line="440" w:lineRule="exact"/>
        <w:ind w:firstLine="482"/>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2．合同范围和条件</w:t>
      </w:r>
    </w:p>
    <w:p w14:paraId="799B55CF">
      <w:pPr>
        <w:pStyle w:val="80"/>
        <w:spacing w:line="440" w:lineRule="exact"/>
        <w:ind w:firstLine="48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本合同的范围和条件与上述文件的规定相一致。</w:t>
      </w:r>
    </w:p>
    <w:p w14:paraId="7D07A6BC">
      <w:pPr>
        <w:pStyle w:val="80"/>
        <w:spacing w:line="440" w:lineRule="exact"/>
        <w:ind w:firstLine="482"/>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3．服务需求</w:t>
      </w:r>
    </w:p>
    <w:p w14:paraId="343B0654">
      <w:pPr>
        <w:pStyle w:val="80"/>
        <w:spacing w:line="440" w:lineRule="exact"/>
        <w:ind w:firstLine="48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本合同所提供的服务详见采购文件“第</w:t>
      </w:r>
      <w:r>
        <w:rPr>
          <w:rFonts w:hint="eastAsia" w:ascii="宋体" w:hAnsi="宋体" w:cs="宋体"/>
          <w:bCs/>
          <w:color w:val="000000"/>
          <w:sz w:val="24"/>
          <w:szCs w:val="24"/>
          <w:lang w:val="en-US" w:eastAsia="zh-CN"/>
        </w:rPr>
        <w:t>五</w:t>
      </w:r>
      <w:r>
        <w:rPr>
          <w:rFonts w:hint="eastAsia" w:ascii="宋体" w:hAnsi="宋体" w:eastAsia="宋体" w:cs="宋体"/>
          <w:bCs/>
          <w:color w:val="000000"/>
          <w:sz w:val="24"/>
          <w:szCs w:val="24"/>
        </w:rPr>
        <w:t xml:space="preserve">章 </w:t>
      </w:r>
      <w:r>
        <w:rPr>
          <w:rFonts w:hint="eastAsia" w:ascii="宋体" w:hAnsi="宋体" w:eastAsia="宋体" w:cs="宋体"/>
          <w:color w:val="000000"/>
          <w:sz w:val="24"/>
          <w:szCs w:val="24"/>
        </w:rPr>
        <w:t>采购需求</w:t>
      </w:r>
      <w:r>
        <w:rPr>
          <w:rFonts w:hint="eastAsia" w:ascii="宋体" w:hAnsi="宋体" w:eastAsia="宋体" w:cs="宋体"/>
          <w:bCs/>
          <w:color w:val="000000"/>
          <w:sz w:val="24"/>
          <w:szCs w:val="24"/>
        </w:rPr>
        <w:t>”。</w:t>
      </w:r>
    </w:p>
    <w:p w14:paraId="0EE46CAA">
      <w:pPr>
        <w:pStyle w:val="80"/>
        <w:spacing w:line="440" w:lineRule="exact"/>
        <w:ind w:firstLine="482"/>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4．合同金额</w:t>
      </w:r>
    </w:p>
    <w:p w14:paraId="264E973F">
      <w:pPr>
        <w:pStyle w:val="80"/>
        <w:spacing w:line="440" w:lineRule="exact"/>
        <w:ind w:firstLine="48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合同总金额为人民币__________元，分项价格见响应文件报价明细表。</w:t>
      </w:r>
    </w:p>
    <w:p w14:paraId="4BB9CF89">
      <w:pPr>
        <w:pStyle w:val="80"/>
        <w:spacing w:line="440" w:lineRule="exact"/>
        <w:ind w:firstLine="482"/>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5．合同生效及支付条件和方式</w:t>
      </w:r>
    </w:p>
    <w:p w14:paraId="4EDFB6A2">
      <w:pPr>
        <w:pStyle w:val="80"/>
        <w:spacing w:line="440" w:lineRule="exact"/>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____________________________________________________</w:t>
      </w:r>
    </w:p>
    <w:p w14:paraId="4B0662EE">
      <w:pPr>
        <w:pStyle w:val="80"/>
        <w:spacing w:line="440" w:lineRule="exact"/>
        <w:ind w:firstLine="482"/>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6．交货时间和交货地点</w:t>
      </w:r>
    </w:p>
    <w:p w14:paraId="6DE6B33D">
      <w:pPr>
        <w:pStyle w:val="80"/>
        <w:spacing w:line="440" w:lineRule="exact"/>
        <w:ind w:firstLine="48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本合同货物的交货时间和交货地点按采购文件“第三章  </w:t>
      </w:r>
      <w:r>
        <w:rPr>
          <w:rFonts w:hint="eastAsia" w:ascii="宋体" w:hAnsi="宋体" w:eastAsia="宋体" w:cs="宋体"/>
          <w:color w:val="000000"/>
          <w:sz w:val="24"/>
          <w:szCs w:val="24"/>
        </w:rPr>
        <w:t>采购项目技术规格、参数及要求</w:t>
      </w:r>
      <w:r>
        <w:rPr>
          <w:rFonts w:hint="eastAsia" w:ascii="宋体" w:hAnsi="宋体" w:eastAsia="宋体" w:cs="宋体"/>
          <w:bCs/>
          <w:color w:val="000000"/>
          <w:sz w:val="24"/>
          <w:szCs w:val="24"/>
        </w:rPr>
        <w:t>”执行。</w:t>
      </w:r>
    </w:p>
    <w:p w14:paraId="62E8E051">
      <w:pPr>
        <w:pStyle w:val="80"/>
        <w:spacing w:line="440" w:lineRule="exact"/>
        <w:ind w:firstLine="480"/>
        <w:jc w:val="left"/>
        <w:rPr>
          <w:rFonts w:hint="eastAsia" w:ascii="宋体" w:hAnsi="宋体" w:eastAsia="宋体" w:cs="宋体"/>
          <w:bCs/>
          <w:color w:val="000000"/>
          <w:sz w:val="24"/>
          <w:szCs w:val="24"/>
        </w:rPr>
      </w:pPr>
    </w:p>
    <w:p w14:paraId="6BC92455">
      <w:pPr>
        <w:spacing w:line="360" w:lineRule="auto"/>
        <w:jc w:val="left"/>
        <w:rPr>
          <w:rFonts w:hint="eastAsia" w:ascii="宋体" w:hAnsi="宋体" w:eastAsia="宋体" w:cs="宋体"/>
          <w:b/>
          <w:color w:val="000000"/>
          <w:sz w:val="24"/>
          <w:szCs w:val="24"/>
        </w:rPr>
      </w:pPr>
      <w:bookmarkStart w:id="161" w:name="_Hlk450145418"/>
      <w:r>
        <w:rPr>
          <w:rFonts w:hint="eastAsia" w:ascii="宋体" w:hAnsi="宋体" w:eastAsia="宋体" w:cs="宋体"/>
          <w:b/>
          <w:color w:val="000000"/>
          <w:sz w:val="24"/>
          <w:szCs w:val="24"/>
        </w:rPr>
        <w:t>甲    方：                            乙    方：</w:t>
      </w:r>
    </w:p>
    <w:p w14:paraId="54F87FF2">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单位名称(公章)：                      单位名称(公章)：</w:t>
      </w:r>
    </w:p>
    <w:p w14:paraId="1F96F55C">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法定代表人或授权代理人：（签字）       法定代表人或授权代理人：（签字）</w:t>
      </w:r>
    </w:p>
    <w:p w14:paraId="5D7A5658">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电    话：                            电    话：</w:t>
      </w:r>
    </w:p>
    <w:p w14:paraId="66F8A6DD">
      <w:pPr>
        <w:spacing w:line="360" w:lineRule="auto"/>
        <w:jc w:val="left"/>
        <w:rPr>
          <w:rFonts w:hint="eastAsia" w:ascii="宋体" w:hAnsi="宋体" w:eastAsia="宋体" w:cs="宋体"/>
          <w:b/>
          <w:color w:val="000000"/>
          <w:spacing w:val="120"/>
          <w:kern w:val="0"/>
          <w:sz w:val="36"/>
          <w:szCs w:val="36"/>
        </w:rPr>
      </w:pPr>
      <w:r>
        <w:rPr>
          <w:rFonts w:hint="eastAsia" w:ascii="宋体" w:hAnsi="宋体" w:eastAsia="宋体" w:cs="宋体"/>
          <w:color w:val="000000"/>
          <w:sz w:val="24"/>
          <w:szCs w:val="24"/>
        </w:rPr>
        <w:t>签订日期：                            签订日期：</w:t>
      </w:r>
    </w:p>
    <w:p w14:paraId="4A8AAC45">
      <w:pPr>
        <w:pStyle w:val="78"/>
        <w:keepNext/>
        <w:keepLines/>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color w:val="000000"/>
          <w:szCs w:val="36"/>
        </w:rPr>
      </w:pPr>
      <w:bookmarkStart w:id="162" w:name="_Toc139389570"/>
      <w:bookmarkStart w:id="163" w:name="_Toc821"/>
      <w:r>
        <w:rPr>
          <w:rFonts w:hint="eastAsia" w:ascii="宋体" w:hAnsi="宋体" w:eastAsia="宋体" w:cs="宋体"/>
          <w:color w:val="000000"/>
          <w:szCs w:val="36"/>
        </w:rPr>
        <w:t>二、合同条款</w:t>
      </w:r>
      <w:bookmarkEnd w:id="162"/>
      <w:bookmarkEnd w:id="163"/>
    </w:p>
    <w:p w14:paraId="65B0BA6C">
      <w:pPr>
        <w:pStyle w:val="10"/>
        <w:snapToGrid w:val="0"/>
        <w:spacing w:line="440" w:lineRule="exact"/>
        <w:jc w:val="left"/>
        <w:rPr>
          <w:rFonts w:hint="eastAsia" w:ascii="宋体" w:hAnsi="宋体" w:eastAsia="宋体" w:cs="宋体"/>
          <w:b/>
          <w:color w:val="000000"/>
          <w:sz w:val="24"/>
        </w:rPr>
      </w:pPr>
      <w:r>
        <w:rPr>
          <w:rFonts w:hint="eastAsia" w:ascii="宋体" w:hAnsi="宋体" w:eastAsia="宋体" w:cs="宋体"/>
          <w:b/>
          <w:color w:val="000000"/>
          <w:sz w:val="24"/>
        </w:rPr>
        <w:t>1．有关概念</w:t>
      </w:r>
    </w:p>
    <w:p w14:paraId="7A7E50C8">
      <w:pPr>
        <w:pStyle w:val="10"/>
        <w:snapToGrid w:val="0"/>
        <w:spacing w:line="440" w:lineRule="exact"/>
        <w:jc w:val="left"/>
        <w:rPr>
          <w:rFonts w:hint="eastAsia" w:ascii="宋体" w:hAnsi="宋体" w:eastAsia="宋体" w:cs="宋体"/>
          <w:bCs/>
          <w:color w:val="000000"/>
          <w:sz w:val="24"/>
        </w:rPr>
      </w:pPr>
      <w:r>
        <w:rPr>
          <w:rFonts w:hint="eastAsia" w:ascii="宋体" w:hAnsi="宋体" w:eastAsia="宋体" w:cs="宋体"/>
          <w:bCs/>
          <w:color w:val="000000"/>
          <w:sz w:val="24"/>
        </w:rPr>
        <w:t>本合同下列术语应解释为：</w:t>
      </w:r>
    </w:p>
    <w:p w14:paraId="75F7935B">
      <w:pPr>
        <w:pStyle w:val="10"/>
        <w:snapToGrid w:val="0"/>
        <w:spacing w:line="440" w:lineRule="exact"/>
        <w:ind w:left="365" w:hanging="364" w:hangingChars="152"/>
        <w:jc w:val="left"/>
        <w:rPr>
          <w:rFonts w:hint="eastAsia" w:ascii="宋体" w:hAnsi="宋体" w:eastAsia="宋体" w:cs="宋体"/>
          <w:bCs/>
          <w:color w:val="000000"/>
          <w:sz w:val="24"/>
        </w:rPr>
      </w:pPr>
      <w:r>
        <w:rPr>
          <w:rFonts w:hint="eastAsia" w:ascii="宋体" w:hAnsi="宋体" w:eastAsia="宋体" w:cs="宋体"/>
          <w:color w:val="000000"/>
          <w:sz w:val="24"/>
        </w:rPr>
        <w:t>1.1</w:t>
      </w:r>
      <w:r>
        <w:rPr>
          <w:rFonts w:hint="eastAsia" w:ascii="宋体" w:hAnsi="宋体" w:eastAsia="宋体" w:cs="宋体"/>
          <w:bCs/>
          <w:color w:val="000000"/>
          <w:sz w:val="24"/>
        </w:rPr>
        <w:t>“合同”，系指买供双方签署的、合同格式中载明的买供双方所达成的协议，包括所有的附件、附录和上述文件所提到的构成合同的所有文件。</w:t>
      </w:r>
    </w:p>
    <w:p w14:paraId="622FEE7A">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1.2“合同价”，系指根据合同规定供方在正确地履行合同义务后采购人应支付给供方的价格。</w:t>
      </w:r>
    </w:p>
    <w:p w14:paraId="74793350">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1.3“货物”，系指供方根据合同规定须向采购人提供的各种形态和种类的物品，包括产品、设备、配件等。</w:t>
      </w:r>
    </w:p>
    <w:p w14:paraId="39DC6801">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1.4“服务”，系指伴随本项目产生的，根据合同规定由供方承担的与供货有关的辅助服务，例如安装、调试、技术援助、培训、售后服务等以及合同中规定供方应承担的所有其它类似义务。</w:t>
      </w:r>
    </w:p>
    <w:p w14:paraId="6018EFF7">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1.5“采购人”，系指招标文件中所述购买货物和服务的单位。</w:t>
      </w:r>
    </w:p>
    <w:p w14:paraId="7BF065D4">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1.6“供方”，系指招标文件中所述提供货物和服务的公司或实体，亦即中标人。</w:t>
      </w:r>
    </w:p>
    <w:p w14:paraId="17CD6CDE">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1.7“天”，系日历天数。</w:t>
      </w:r>
    </w:p>
    <w:p w14:paraId="5194BE7A">
      <w:pPr>
        <w:pStyle w:val="10"/>
        <w:snapToGrid w:val="0"/>
        <w:spacing w:line="440" w:lineRule="exact"/>
        <w:jc w:val="left"/>
        <w:rPr>
          <w:rFonts w:hint="eastAsia" w:ascii="宋体" w:hAnsi="宋体" w:eastAsia="宋体" w:cs="宋体"/>
          <w:b/>
          <w:color w:val="000000"/>
          <w:sz w:val="24"/>
        </w:rPr>
      </w:pPr>
      <w:r>
        <w:rPr>
          <w:rFonts w:hint="eastAsia" w:ascii="宋体" w:hAnsi="宋体" w:eastAsia="宋体" w:cs="宋体"/>
          <w:b/>
          <w:color w:val="000000"/>
          <w:sz w:val="24"/>
        </w:rPr>
        <w:t>2．技术规格</w:t>
      </w:r>
    </w:p>
    <w:p w14:paraId="39D4024B">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2.1交付货物的技术规格应与投标文件规定的技术规格以及所附的技术规格响应表相一致。</w:t>
      </w:r>
    </w:p>
    <w:p w14:paraId="1B8E8F3E">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2.2除技术规格另有规定外，计量单位均使用中华人民共和国法定计量单位。</w:t>
      </w:r>
    </w:p>
    <w:p w14:paraId="2C407C09">
      <w:pPr>
        <w:pStyle w:val="10"/>
        <w:snapToGrid w:val="0"/>
        <w:spacing w:line="440" w:lineRule="exact"/>
        <w:jc w:val="left"/>
        <w:rPr>
          <w:rFonts w:hint="eastAsia" w:ascii="宋体" w:hAnsi="宋体" w:eastAsia="宋体" w:cs="宋体"/>
          <w:b/>
          <w:color w:val="000000"/>
          <w:sz w:val="24"/>
        </w:rPr>
      </w:pPr>
      <w:r>
        <w:rPr>
          <w:rFonts w:hint="eastAsia" w:ascii="宋体" w:hAnsi="宋体" w:eastAsia="宋体" w:cs="宋体"/>
          <w:b/>
          <w:color w:val="000000"/>
          <w:sz w:val="24"/>
        </w:rPr>
        <w:t>3．专利权</w:t>
      </w:r>
    </w:p>
    <w:p w14:paraId="56D9FC26">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3.1供方应保证采购人在使用该货物或其任何一部分时免受第三方提出侵犯其专利权、商标权或工业设计权的起诉。若由此出现侵权诉讼，由供方承担全部责任。</w:t>
      </w:r>
    </w:p>
    <w:p w14:paraId="230AA10A">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3.2供方按合同要求为采购人提交的设计方案，其所有权、使用权等所有权力均转为采购人所拥有，供方放弃拥有关于设计方案的所有权力。</w:t>
      </w:r>
    </w:p>
    <w:p w14:paraId="5E8DE061">
      <w:pPr>
        <w:pStyle w:val="10"/>
        <w:snapToGrid w:val="0"/>
        <w:spacing w:line="440" w:lineRule="exact"/>
        <w:jc w:val="left"/>
        <w:rPr>
          <w:rFonts w:hint="eastAsia" w:ascii="宋体" w:hAnsi="宋体" w:eastAsia="宋体" w:cs="宋体"/>
          <w:b/>
          <w:color w:val="000000"/>
          <w:sz w:val="24"/>
        </w:rPr>
      </w:pPr>
      <w:r>
        <w:rPr>
          <w:rFonts w:hint="eastAsia" w:ascii="宋体" w:hAnsi="宋体" w:eastAsia="宋体" w:cs="宋体"/>
          <w:b/>
          <w:color w:val="000000"/>
          <w:sz w:val="24"/>
        </w:rPr>
        <w:t>4.包装要求</w:t>
      </w:r>
    </w:p>
    <w:p w14:paraId="24466E2F">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4.1除合同另有规定外，供方提供的所有单独包装的货物都应具有原始的、完好的标准包装。如遇交付前已拆封货物，采购人有权拒绝接受或要求更换。</w:t>
      </w:r>
    </w:p>
    <w:p w14:paraId="4DD3A218">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4.2每个包装箱内的装箱清单、使用说明书、质量证书、保修卡及软件使用说明等所有资料均须齐全。</w:t>
      </w:r>
    </w:p>
    <w:p w14:paraId="1022EECA">
      <w:pPr>
        <w:pStyle w:val="10"/>
        <w:snapToGrid w:val="0"/>
        <w:spacing w:line="440" w:lineRule="exact"/>
        <w:jc w:val="left"/>
        <w:rPr>
          <w:rFonts w:hint="eastAsia" w:ascii="宋体" w:hAnsi="宋体" w:eastAsia="宋体" w:cs="宋体"/>
          <w:b/>
          <w:color w:val="000000"/>
          <w:sz w:val="24"/>
        </w:rPr>
      </w:pPr>
      <w:r>
        <w:rPr>
          <w:rFonts w:hint="eastAsia" w:ascii="宋体" w:hAnsi="宋体" w:eastAsia="宋体" w:cs="宋体"/>
          <w:b/>
          <w:color w:val="000000"/>
          <w:sz w:val="24"/>
        </w:rPr>
        <w:t>5. 装运条件</w:t>
      </w:r>
    </w:p>
    <w:p w14:paraId="62988993">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5.1供方负责安排运输，运输费由供方承担。</w:t>
      </w:r>
    </w:p>
    <w:p w14:paraId="550D1010">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5.2提单日期应视为实际交货日期。</w:t>
      </w:r>
    </w:p>
    <w:p w14:paraId="6E5A376C">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5.3供方装运的货物不得超过合同规定的数量或重量。否则，供方应对超运数量或重量而产生的一切后果负责。</w:t>
      </w:r>
    </w:p>
    <w:p w14:paraId="2D18C57C">
      <w:pPr>
        <w:pStyle w:val="10"/>
        <w:snapToGrid w:val="0"/>
        <w:spacing w:line="440" w:lineRule="exact"/>
        <w:jc w:val="left"/>
        <w:rPr>
          <w:rFonts w:hint="eastAsia" w:ascii="宋体" w:hAnsi="宋体" w:eastAsia="宋体" w:cs="宋体"/>
          <w:b/>
          <w:color w:val="000000"/>
          <w:sz w:val="24"/>
        </w:rPr>
      </w:pPr>
      <w:r>
        <w:rPr>
          <w:rFonts w:hint="eastAsia" w:ascii="宋体" w:hAnsi="宋体" w:eastAsia="宋体" w:cs="宋体"/>
          <w:b/>
          <w:color w:val="000000"/>
          <w:sz w:val="24"/>
        </w:rPr>
        <w:t>6. 付款</w:t>
      </w:r>
    </w:p>
    <w:p w14:paraId="133F946E">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6.1本合同以人民币支付。</w:t>
      </w:r>
    </w:p>
    <w:p w14:paraId="4B78F213">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6.2供方按照合同规定交货。交货后供方把下列单据提交给采购人,采购人按合同规定审核后办理付款手续：</w:t>
      </w:r>
    </w:p>
    <w:p w14:paraId="6E782132">
      <w:pPr>
        <w:pStyle w:val="10"/>
        <w:snapToGrid w:val="0"/>
        <w:spacing w:line="440" w:lineRule="exact"/>
        <w:ind w:left="1336" w:leftChars="270" w:hanging="607" w:hangingChars="253"/>
        <w:jc w:val="left"/>
        <w:rPr>
          <w:rFonts w:hint="eastAsia" w:ascii="宋体" w:hAnsi="宋体" w:eastAsia="宋体" w:cs="宋体"/>
          <w:color w:val="000000"/>
          <w:sz w:val="24"/>
        </w:rPr>
      </w:pPr>
      <w:r>
        <w:rPr>
          <w:rFonts w:hint="eastAsia" w:ascii="宋体" w:hAnsi="宋体" w:eastAsia="宋体" w:cs="宋体"/>
          <w:color w:val="000000"/>
          <w:sz w:val="24"/>
        </w:rPr>
        <w:t>（1）发票</w:t>
      </w:r>
    </w:p>
    <w:p w14:paraId="5DC30CEF">
      <w:pPr>
        <w:pStyle w:val="10"/>
        <w:snapToGrid w:val="0"/>
        <w:spacing w:line="440" w:lineRule="exact"/>
        <w:ind w:left="1336" w:leftChars="270" w:hanging="607" w:hangingChars="253"/>
        <w:jc w:val="left"/>
        <w:rPr>
          <w:rFonts w:hint="eastAsia" w:ascii="宋体" w:hAnsi="宋体" w:eastAsia="宋体" w:cs="宋体"/>
          <w:color w:val="000000"/>
          <w:sz w:val="24"/>
        </w:rPr>
      </w:pPr>
      <w:r>
        <w:rPr>
          <w:rFonts w:hint="eastAsia" w:ascii="宋体" w:hAnsi="宋体" w:eastAsia="宋体" w:cs="宋体"/>
          <w:color w:val="000000"/>
          <w:sz w:val="24"/>
        </w:rPr>
        <w:t>（2）质量证书</w:t>
      </w:r>
    </w:p>
    <w:p w14:paraId="4771A1B4">
      <w:pPr>
        <w:pStyle w:val="10"/>
        <w:snapToGrid w:val="0"/>
        <w:spacing w:line="440" w:lineRule="exact"/>
        <w:ind w:left="1336" w:leftChars="270" w:hanging="607" w:hangingChars="253"/>
        <w:jc w:val="left"/>
        <w:rPr>
          <w:rFonts w:hint="eastAsia" w:ascii="宋体" w:hAnsi="宋体" w:eastAsia="宋体" w:cs="宋体"/>
          <w:color w:val="000000"/>
          <w:sz w:val="24"/>
        </w:rPr>
      </w:pPr>
      <w:r>
        <w:rPr>
          <w:rFonts w:hint="eastAsia" w:ascii="宋体" w:hAnsi="宋体" w:eastAsia="宋体" w:cs="宋体"/>
          <w:color w:val="000000"/>
          <w:sz w:val="24"/>
        </w:rPr>
        <w:t>（3）详细配置、数量清单</w:t>
      </w:r>
    </w:p>
    <w:p w14:paraId="6EE39252">
      <w:pPr>
        <w:pStyle w:val="10"/>
        <w:snapToGrid w:val="0"/>
        <w:spacing w:line="440" w:lineRule="exact"/>
        <w:ind w:left="1336" w:leftChars="270" w:hanging="607" w:hangingChars="253"/>
        <w:jc w:val="left"/>
        <w:rPr>
          <w:rFonts w:hint="eastAsia" w:ascii="宋体" w:hAnsi="宋体" w:eastAsia="宋体" w:cs="宋体"/>
          <w:color w:val="000000"/>
          <w:sz w:val="24"/>
        </w:rPr>
      </w:pPr>
      <w:r>
        <w:rPr>
          <w:rFonts w:hint="eastAsia" w:ascii="宋体" w:hAnsi="宋体" w:eastAsia="宋体" w:cs="宋体"/>
          <w:color w:val="000000"/>
          <w:sz w:val="24"/>
        </w:rPr>
        <w:t>（4）检验报告</w:t>
      </w:r>
    </w:p>
    <w:p w14:paraId="157FB236">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6.3采购人按合同规定的合同生效及支付条件和方式安排付款。</w:t>
      </w:r>
    </w:p>
    <w:p w14:paraId="2470A3C8">
      <w:pPr>
        <w:pStyle w:val="10"/>
        <w:snapToGrid w:val="0"/>
        <w:spacing w:line="440" w:lineRule="exact"/>
        <w:jc w:val="left"/>
        <w:rPr>
          <w:rFonts w:hint="eastAsia" w:ascii="宋体" w:hAnsi="宋体" w:eastAsia="宋体" w:cs="宋体"/>
          <w:b/>
          <w:color w:val="000000"/>
          <w:sz w:val="24"/>
        </w:rPr>
      </w:pPr>
      <w:r>
        <w:rPr>
          <w:rFonts w:hint="eastAsia" w:ascii="宋体" w:hAnsi="宋体" w:eastAsia="宋体" w:cs="宋体"/>
          <w:b/>
          <w:color w:val="000000"/>
          <w:sz w:val="24"/>
        </w:rPr>
        <w:t>7．伴随服务</w:t>
      </w:r>
    </w:p>
    <w:p w14:paraId="6DFBAC1D">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7.1供方随同货物提交所供货物的技术资料。包括相应每套货物的中文技术文件，如：产品目录、操作手册、使用说明、维护手册或服务指南等。</w:t>
      </w:r>
    </w:p>
    <w:p w14:paraId="6E369B6F">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7.2供方应提供下列服务：</w:t>
      </w:r>
    </w:p>
    <w:p w14:paraId="12311AEC">
      <w:pPr>
        <w:pStyle w:val="10"/>
        <w:snapToGrid w:val="0"/>
        <w:spacing w:line="440" w:lineRule="exact"/>
        <w:ind w:left="1336" w:leftChars="270" w:hanging="607" w:hangingChars="253"/>
        <w:jc w:val="left"/>
        <w:rPr>
          <w:rFonts w:hint="eastAsia" w:ascii="宋体" w:hAnsi="宋体" w:eastAsia="宋体" w:cs="宋体"/>
          <w:color w:val="000000"/>
          <w:sz w:val="24"/>
        </w:rPr>
      </w:pPr>
      <w:r>
        <w:rPr>
          <w:rFonts w:hint="eastAsia" w:ascii="宋体" w:hAnsi="宋体" w:eastAsia="宋体" w:cs="宋体"/>
          <w:color w:val="000000"/>
          <w:sz w:val="24"/>
        </w:rPr>
        <w:t>（1）货物的现场安装和启动监督；</w:t>
      </w:r>
    </w:p>
    <w:p w14:paraId="7D06D747">
      <w:pPr>
        <w:pStyle w:val="10"/>
        <w:snapToGrid w:val="0"/>
        <w:spacing w:line="440" w:lineRule="exact"/>
        <w:ind w:left="1336" w:leftChars="270" w:hanging="607" w:hangingChars="253"/>
        <w:jc w:val="left"/>
        <w:rPr>
          <w:rFonts w:hint="eastAsia" w:ascii="宋体" w:hAnsi="宋体" w:eastAsia="宋体" w:cs="宋体"/>
          <w:color w:val="000000"/>
          <w:sz w:val="24"/>
        </w:rPr>
      </w:pPr>
      <w:r>
        <w:rPr>
          <w:rFonts w:hint="eastAsia" w:ascii="宋体" w:hAnsi="宋体" w:eastAsia="宋体" w:cs="宋体"/>
          <w:color w:val="000000"/>
          <w:sz w:val="24"/>
        </w:rPr>
        <w:t>（2）提供货物组装和维修所必须的工具；</w:t>
      </w:r>
    </w:p>
    <w:p w14:paraId="0E627CE6">
      <w:pPr>
        <w:pStyle w:val="10"/>
        <w:snapToGrid w:val="0"/>
        <w:spacing w:line="440" w:lineRule="exact"/>
        <w:ind w:left="1336" w:leftChars="270" w:hanging="607" w:hangingChars="253"/>
        <w:jc w:val="left"/>
        <w:rPr>
          <w:rFonts w:hint="eastAsia" w:ascii="宋体" w:hAnsi="宋体" w:eastAsia="宋体" w:cs="宋体"/>
          <w:color w:val="000000"/>
          <w:sz w:val="24"/>
        </w:rPr>
      </w:pPr>
      <w:r>
        <w:rPr>
          <w:rFonts w:hint="eastAsia" w:ascii="宋体" w:hAnsi="宋体" w:eastAsia="宋体" w:cs="宋体"/>
          <w:color w:val="000000"/>
          <w:sz w:val="24"/>
        </w:rPr>
        <w:t>（3）在项目现场就货物的安装、启动、运行和维护，按采购人的要求提供技术培训。</w:t>
      </w:r>
    </w:p>
    <w:p w14:paraId="0C5603A5">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7.3伴随服务的费用含在合同价中，不另行支付。</w:t>
      </w:r>
    </w:p>
    <w:p w14:paraId="4A251EC5">
      <w:pPr>
        <w:pStyle w:val="10"/>
        <w:snapToGrid w:val="0"/>
        <w:spacing w:line="440" w:lineRule="exact"/>
        <w:jc w:val="left"/>
        <w:rPr>
          <w:rFonts w:hint="eastAsia" w:ascii="宋体" w:hAnsi="宋体" w:eastAsia="宋体" w:cs="宋体"/>
          <w:b/>
          <w:color w:val="000000"/>
          <w:sz w:val="24"/>
        </w:rPr>
      </w:pPr>
      <w:r>
        <w:rPr>
          <w:rFonts w:hint="eastAsia" w:ascii="宋体" w:hAnsi="宋体" w:eastAsia="宋体" w:cs="宋体"/>
          <w:bCs/>
          <w:color w:val="000000"/>
          <w:sz w:val="24"/>
        </w:rPr>
        <w:t>8.</w:t>
      </w:r>
      <w:r>
        <w:rPr>
          <w:rFonts w:hint="eastAsia" w:ascii="宋体" w:hAnsi="宋体" w:eastAsia="宋体" w:cs="宋体"/>
          <w:b/>
          <w:color w:val="000000"/>
          <w:sz w:val="24"/>
        </w:rPr>
        <w:t>备品备件</w:t>
      </w:r>
    </w:p>
    <w:p w14:paraId="17EADBD1">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8.1供方可能被要求提供下列与备件有关的材料、通知和资料：</w:t>
      </w:r>
    </w:p>
    <w:p w14:paraId="3F6086EB">
      <w:pPr>
        <w:pStyle w:val="10"/>
        <w:snapToGrid w:val="0"/>
        <w:spacing w:line="440" w:lineRule="exact"/>
        <w:ind w:left="1336" w:leftChars="270" w:hanging="607" w:hangingChars="253"/>
        <w:jc w:val="left"/>
        <w:rPr>
          <w:rFonts w:hint="eastAsia" w:ascii="宋体" w:hAnsi="宋体" w:eastAsia="宋体" w:cs="宋体"/>
          <w:color w:val="000000"/>
          <w:sz w:val="24"/>
        </w:rPr>
      </w:pPr>
      <w:r>
        <w:rPr>
          <w:rFonts w:hint="eastAsia" w:ascii="宋体" w:hAnsi="宋体" w:eastAsia="宋体" w:cs="宋体"/>
          <w:color w:val="000000"/>
          <w:sz w:val="24"/>
        </w:rPr>
        <w:t>（1）采购方从供方选购备件，但前提条件是该选购并不能免除供方在合同保证期内所承担的义务；</w:t>
      </w:r>
    </w:p>
    <w:p w14:paraId="03224AD6">
      <w:pPr>
        <w:pStyle w:val="10"/>
        <w:snapToGrid w:val="0"/>
        <w:spacing w:line="440" w:lineRule="exact"/>
        <w:ind w:left="1336" w:leftChars="270" w:hanging="607" w:hangingChars="253"/>
        <w:jc w:val="left"/>
        <w:rPr>
          <w:rFonts w:hint="eastAsia" w:ascii="宋体" w:hAnsi="宋体" w:eastAsia="宋体" w:cs="宋体"/>
          <w:color w:val="000000"/>
          <w:sz w:val="24"/>
        </w:rPr>
      </w:pPr>
      <w:r>
        <w:rPr>
          <w:rFonts w:hint="eastAsia" w:ascii="宋体" w:hAnsi="宋体" w:eastAsia="宋体" w:cs="宋体"/>
          <w:color w:val="000000"/>
          <w:sz w:val="24"/>
        </w:rPr>
        <w:t>（2）在备件停止生产的情况下，供方应事先将要停止生产的计划通知买方有足够的时间采购所需的备件；</w:t>
      </w:r>
    </w:p>
    <w:p w14:paraId="25664212">
      <w:pPr>
        <w:pStyle w:val="10"/>
        <w:snapToGrid w:val="0"/>
        <w:spacing w:line="440" w:lineRule="exact"/>
        <w:ind w:left="1336" w:leftChars="270" w:hanging="607" w:hangingChars="253"/>
        <w:jc w:val="left"/>
        <w:rPr>
          <w:rFonts w:hint="eastAsia" w:ascii="宋体" w:hAnsi="宋体" w:eastAsia="宋体" w:cs="宋体"/>
          <w:color w:val="000000"/>
          <w:sz w:val="24"/>
        </w:rPr>
      </w:pPr>
      <w:r>
        <w:rPr>
          <w:rFonts w:hint="eastAsia" w:ascii="宋体" w:hAnsi="宋体" w:eastAsia="宋体" w:cs="宋体"/>
          <w:color w:val="000000"/>
          <w:sz w:val="24"/>
        </w:rPr>
        <w:t>（3）在备件停止生产后，如果采购方要求，供方应免费向采购方提供备件的蓝图、图纸和规格。</w:t>
      </w:r>
    </w:p>
    <w:p w14:paraId="6698FCDE">
      <w:pPr>
        <w:pStyle w:val="10"/>
        <w:tabs>
          <w:tab w:val="left" w:pos="-540"/>
          <w:tab w:val="left" w:pos="0"/>
          <w:tab w:val="left" w:pos="420"/>
          <w:tab w:val="left" w:pos="840"/>
          <w:tab w:val="left" w:pos="1260"/>
          <w:tab w:val="left" w:pos="1680"/>
          <w:tab w:val="left" w:pos="2250"/>
        </w:tabs>
        <w:snapToGrid w:val="0"/>
        <w:spacing w:line="440" w:lineRule="exact"/>
        <w:jc w:val="left"/>
        <w:rPr>
          <w:rFonts w:hint="eastAsia" w:ascii="宋体" w:hAnsi="宋体" w:eastAsia="宋体" w:cs="宋体"/>
          <w:b/>
          <w:color w:val="000000"/>
          <w:sz w:val="24"/>
        </w:rPr>
      </w:pPr>
      <w:r>
        <w:rPr>
          <w:rFonts w:hint="eastAsia" w:ascii="宋体" w:hAnsi="宋体" w:eastAsia="宋体" w:cs="宋体"/>
          <w:b/>
          <w:color w:val="000000"/>
          <w:sz w:val="24"/>
        </w:rPr>
        <w:t>9、质量保证及售后服务</w:t>
      </w:r>
    </w:p>
    <w:p w14:paraId="5DA8D021">
      <w:pPr>
        <w:pStyle w:val="10"/>
        <w:tabs>
          <w:tab w:val="left" w:pos="-540"/>
          <w:tab w:val="left" w:pos="0"/>
          <w:tab w:val="left" w:pos="420"/>
          <w:tab w:val="left" w:pos="840"/>
          <w:tab w:val="left" w:pos="1260"/>
          <w:tab w:val="left" w:pos="1680"/>
          <w:tab w:val="left" w:pos="2250"/>
        </w:tabs>
        <w:snapToGrid w:val="0"/>
        <w:spacing w:line="440" w:lineRule="exact"/>
        <w:jc w:val="left"/>
        <w:rPr>
          <w:rFonts w:hint="eastAsia" w:ascii="宋体" w:hAnsi="宋体" w:eastAsia="宋体" w:cs="宋体"/>
          <w:b/>
          <w:color w:val="000000"/>
          <w:sz w:val="24"/>
        </w:rPr>
      </w:pPr>
      <w:r>
        <w:rPr>
          <w:rFonts w:hint="eastAsia" w:ascii="宋体" w:hAnsi="宋体" w:eastAsia="宋体" w:cs="宋体"/>
          <w:b/>
          <w:color w:val="000000"/>
          <w:sz w:val="24"/>
        </w:rPr>
        <w:t>（一）质量保证</w:t>
      </w:r>
    </w:p>
    <w:p w14:paraId="5AC668C5">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9.1供方保证所提供的货物是全新的、未使用过的，是完全符合合同规定的质量、规格和性能要求的。保证货物在正常使用和保养条件下，在其使用寿命内具有满意的性能。在质保期内供方免费提供货物正常使用情况下发生故障的维修服务和更换配件服务。在供方或制造商承诺的货物质量保证期内，供方对由于设计工艺或材料的缺陷而产生的故障负责；货物无质保期的，供方在两年内对由于设计工艺或材料的缺陷而产生的故障负责。</w:t>
      </w:r>
    </w:p>
    <w:p w14:paraId="35D768E8">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9.2在质保期内或货物无质保期的则在两年内，如果货物的数量、质量或规格与合同不符，或证实货物有缺陷的，采购人可尽快以书面形式向供方提出本保证下的索赔。</w:t>
      </w:r>
    </w:p>
    <w:p w14:paraId="70AD0C8D">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9.3供方在收到索赔通知后十日内须免费更换有缺陷的货物或部件。</w:t>
      </w:r>
    </w:p>
    <w:p w14:paraId="7EE7D3E0">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9.4供方在收到索赔通知后十日内没有弥补缺陷，采购人可采取必要的补救措施，其风险和费用将由供方承担，采购人根据合同规定向供方行使的其它权利不受影响。</w:t>
      </w:r>
    </w:p>
    <w:p w14:paraId="31C34092">
      <w:pPr>
        <w:pStyle w:val="10"/>
        <w:tabs>
          <w:tab w:val="left" w:pos="-540"/>
          <w:tab w:val="left" w:pos="0"/>
          <w:tab w:val="left" w:pos="420"/>
          <w:tab w:val="left" w:pos="840"/>
          <w:tab w:val="left" w:pos="1260"/>
          <w:tab w:val="left" w:pos="1680"/>
          <w:tab w:val="left" w:pos="2250"/>
        </w:tabs>
        <w:snapToGrid w:val="0"/>
        <w:spacing w:line="440" w:lineRule="exact"/>
        <w:jc w:val="left"/>
        <w:rPr>
          <w:rFonts w:hint="eastAsia" w:ascii="宋体" w:hAnsi="宋体" w:eastAsia="宋体" w:cs="宋体"/>
          <w:b/>
          <w:color w:val="000000"/>
          <w:sz w:val="24"/>
        </w:rPr>
      </w:pPr>
      <w:r>
        <w:rPr>
          <w:rFonts w:hint="eastAsia" w:ascii="宋体" w:hAnsi="宋体" w:eastAsia="宋体" w:cs="宋体"/>
          <w:b/>
          <w:color w:val="000000"/>
          <w:sz w:val="24"/>
        </w:rPr>
        <w:t>(二)质量保证期后服务</w:t>
      </w:r>
    </w:p>
    <w:p w14:paraId="18224199">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9.5 质保期满后，若有零部件出现故障，经权威部门鉴定属于寿命异常问题（明显短于该零部件正常寿命时），则由供方负责免费更换及维修。</w:t>
      </w:r>
    </w:p>
    <w:p w14:paraId="341F4759">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9.6 质保期满后，应采购方要求，供方应按投标时的价格与采购方签订定期维修保养合同及提供采购方所需零配件，若投标时的价格高于市场价，则按市场价与与采购方签订定期维修保养合同及提供采购方所需零配件。</w:t>
      </w:r>
    </w:p>
    <w:p w14:paraId="26A116AD">
      <w:pPr>
        <w:pStyle w:val="10"/>
        <w:snapToGrid w:val="0"/>
        <w:spacing w:line="440" w:lineRule="exact"/>
        <w:ind w:left="365" w:hanging="364" w:hangingChars="152"/>
        <w:jc w:val="left"/>
        <w:rPr>
          <w:rFonts w:hint="eastAsia" w:ascii="宋体" w:hAnsi="宋体" w:eastAsia="宋体" w:cs="宋体"/>
          <w:color w:val="000000"/>
          <w:sz w:val="24"/>
        </w:rPr>
      </w:pPr>
      <w:r>
        <w:rPr>
          <w:rFonts w:hint="eastAsia" w:ascii="宋体" w:hAnsi="宋体" w:eastAsia="宋体" w:cs="宋体"/>
          <w:color w:val="000000"/>
          <w:sz w:val="24"/>
        </w:rPr>
        <w:t>9.7 乙方交货后，若设备发生故障，乙方应在甲方报修后24小时内到达。</w:t>
      </w:r>
    </w:p>
    <w:p w14:paraId="620BAE62">
      <w:pPr>
        <w:pStyle w:val="10"/>
        <w:snapToGrid w:val="0"/>
        <w:spacing w:line="440" w:lineRule="exact"/>
        <w:jc w:val="left"/>
        <w:rPr>
          <w:rFonts w:hint="eastAsia" w:ascii="宋体" w:hAnsi="宋体" w:eastAsia="宋体" w:cs="宋体"/>
          <w:b/>
          <w:color w:val="000000"/>
          <w:sz w:val="24"/>
        </w:rPr>
      </w:pPr>
      <w:r>
        <w:rPr>
          <w:rFonts w:hint="eastAsia" w:ascii="宋体" w:hAnsi="宋体" w:eastAsia="宋体" w:cs="宋体"/>
          <w:b/>
          <w:color w:val="000000"/>
          <w:sz w:val="24"/>
        </w:rPr>
        <w:t>10．检验</w:t>
      </w:r>
    </w:p>
    <w:p w14:paraId="09B3FFF2">
      <w:pPr>
        <w:pStyle w:val="10"/>
        <w:snapToGrid w:val="0"/>
        <w:spacing w:line="440" w:lineRule="exact"/>
        <w:ind w:left="540" w:hanging="540" w:hangingChars="225"/>
        <w:jc w:val="left"/>
        <w:rPr>
          <w:rFonts w:hint="eastAsia" w:ascii="宋体" w:hAnsi="宋体" w:eastAsia="宋体" w:cs="宋体"/>
          <w:color w:val="000000"/>
          <w:sz w:val="24"/>
        </w:rPr>
      </w:pPr>
      <w:r>
        <w:rPr>
          <w:rFonts w:hint="eastAsia" w:ascii="宋体" w:hAnsi="宋体" w:eastAsia="宋体" w:cs="宋体"/>
          <w:color w:val="000000"/>
          <w:sz w:val="24"/>
        </w:rPr>
        <w:t>10.1在交货前，供方应对货物的质量、规格、性能、数量等进行详细全面的检验，并出具一份证明货物符合合同规定要求的检验报告。检验报告是付款必要的文件组成部分，但不作为对有关质量、规格、数量的最终检验。</w:t>
      </w:r>
    </w:p>
    <w:p w14:paraId="2F885468">
      <w:pPr>
        <w:pStyle w:val="10"/>
        <w:snapToGrid w:val="0"/>
        <w:spacing w:line="440" w:lineRule="exact"/>
        <w:ind w:left="540" w:hanging="540" w:hangingChars="225"/>
        <w:jc w:val="left"/>
        <w:rPr>
          <w:rFonts w:hint="eastAsia" w:ascii="宋体" w:hAnsi="宋体" w:eastAsia="宋体" w:cs="宋体"/>
          <w:color w:val="000000"/>
          <w:sz w:val="24"/>
        </w:rPr>
      </w:pPr>
      <w:r>
        <w:rPr>
          <w:rFonts w:hint="eastAsia" w:ascii="宋体" w:hAnsi="宋体" w:eastAsia="宋体" w:cs="宋体"/>
          <w:color w:val="000000"/>
          <w:sz w:val="24"/>
        </w:rPr>
        <w:t>10.2货物交付后，采购人申请有关部门对货物的质量、数量等进行检验并出具检验证书。</w:t>
      </w:r>
    </w:p>
    <w:p w14:paraId="21A3FCE9">
      <w:pPr>
        <w:pStyle w:val="10"/>
        <w:snapToGrid w:val="0"/>
        <w:spacing w:line="440" w:lineRule="exact"/>
        <w:jc w:val="left"/>
        <w:rPr>
          <w:rFonts w:hint="eastAsia" w:ascii="宋体" w:hAnsi="宋体" w:eastAsia="宋体" w:cs="宋体"/>
          <w:b/>
          <w:color w:val="000000"/>
          <w:sz w:val="24"/>
        </w:rPr>
      </w:pPr>
      <w:r>
        <w:rPr>
          <w:rFonts w:hint="eastAsia" w:ascii="宋体" w:hAnsi="宋体" w:eastAsia="宋体" w:cs="宋体"/>
          <w:b/>
          <w:color w:val="000000"/>
          <w:sz w:val="24"/>
        </w:rPr>
        <w:t>11．索赔</w:t>
      </w:r>
    </w:p>
    <w:p w14:paraId="15DA01B9">
      <w:pPr>
        <w:pStyle w:val="10"/>
        <w:snapToGrid w:val="0"/>
        <w:spacing w:line="440" w:lineRule="exact"/>
        <w:ind w:left="540" w:hanging="540" w:hangingChars="225"/>
        <w:jc w:val="left"/>
        <w:rPr>
          <w:rFonts w:hint="eastAsia" w:ascii="宋体" w:hAnsi="宋体" w:eastAsia="宋体" w:cs="宋体"/>
          <w:color w:val="000000"/>
          <w:sz w:val="24"/>
        </w:rPr>
      </w:pPr>
      <w:r>
        <w:rPr>
          <w:rFonts w:hint="eastAsia" w:ascii="宋体" w:hAnsi="宋体" w:eastAsia="宋体" w:cs="宋体"/>
          <w:color w:val="000000"/>
          <w:sz w:val="24"/>
        </w:rPr>
        <w:t>11.1采购人有权根据有关部门出具的检验证书向供方提出索赔。</w:t>
      </w:r>
    </w:p>
    <w:p w14:paraId="3353AAD4">
      <w:pPr>
        <w:pStyle w:val="10"/>
        <w:snapToGrid w:val="0"/>
        <w:spacing w:line="440" w:lineRule="exact"/>
        <w:ind w:left="540" w:hanging="540" w:hangingChars="225"/>
        <w:jc w:val="left"/>
        <w:rPr>
          <w:rFonts w:hint="eastAsia" w:ascii="宋体" w:hAnsi="宋体" w:eastAsia="宋体" w:cs="宋体"/>
          <w:color w:val="000000"/>
          <w:sz w:val="24"/>
        </w:rPr>
      </w:pPr>
      <w:r>
        <w:rPr>
          <w:rFonts w:hint="eastAsia" w:ascii="宋体" w:hAnsi="宋体" w:eastAsia="宋体" w:cs="宋体"/>
          <w:color w:val="000000"/>
          <w:sz w:val="24"/>
        </w:rPr>
        <w:t>11.2在合同条款第8条规定的质保期内，如果供方对差异负有责任而采购人提出索赔，供方应按照采购人的损失程度进行赔偿。</w:t>
      </w:r>
    </w:p>
    <w:p w14:paraId="3FD79E46">
      <w:pPr>
        <w:pStyle w:val="10"/>
        <w:tabs>
          <w:tab w:val="left" w:pos="-540"/>
          <w:tab w:val="left" w:pos="0"/>
          <w:tab w:val="left" w:pos="420"/>
          <w:tab w:val="left" w:pos="840"/>
          <w:tab w:val="left" w:pos="1260"/>
          <w:tab w:val="left" w:pos="1680"/>
          <w:tab w:val="left" w:pos="2250"/>
        </w:tabs>
        <w:snapToGrid w:val="0"/>
        <w:spacing w:line="440" w:lineRule="exact"/>
        <w:jc w:val="left"/>
        <w:rPr>
          <w:rFonts w:hint="eastAsia" w:ascii="宋体" w:hAnsi="宋体" w:eastAsia="宋体" w:cs="宋体"/>
          <w:b/>
          <w:color w:val="000000"/>
          <w:sz w:val="24"/>
        </w:rPr>
      </w:pPr>
      <w:r>
        <w:rPr>
          <w:rFonts w:hint="eastAsia" w:ascii="宋体" w:hAnsi="宋体" w:eastAsia="宋体" w:cs="宋体"/>
          <w:b/>
          <w:color w:val="000000"/>
          <w:sz w:val="24"/>
        </w:rPr>
        <w:t>12．供方履约延误</w:t>
      </w:r>
    </w:p>
    <w:p w14:paraId="60E84433">
      <w:pPr>
        <w:pStyle w:val="10"/>
        <w:snapToGrid w:val="0"/>
        <w:spacing w:line="440" w:lineRule="exact"/>
        <w:ind w:left="540" w:hanging="540" w:hangingChars="225"/>
        <w:jc w:val="left"/>
        <w:rPr>
          <w:rFonts w:hint="eastAsia" w:ascii="宋体" w:hAnsi="宋体" w:eastAsia="宋体" w:cs="宋体"/>
          <w:color w:val="000000"/>
          <w:sz w:val="24"/>
        </w:rPr>
      </w:pPr>
      <w:r>
        <w:rPr>
          <w:rFonts w:hint="eastAsia" w:ascii="宋体" w:hAnsi="宋体" w:eastAsia="宋体" w:cs="宋体"/>
          <w:color w:val="000000"/>
          <w:sz w:val="24"/>
        </w:rPr>
        <w:t>12.1供方应按规定的时间交货和提供服务。</w:t>
      </w:r>
    </w:p>
    <w:p w14:paraId="459AED48">
      <w:pPr>
        <w:pStyle w:val="10"/>
        <w:snapToGrid w:val="0"/>
        <w:spacing w:line="440" w:lineRule="exact"/>
        <w:ind w:left="540" w:hanging="540" w:hangingChars="225"/>
        <w:jc w:val="left"/>
        <w:rPr>
          <w:rFonts w:hint="eastAsia" w:ascii="宋体" w:hAnsi="宋体" w:eastAsia="宋体" w:cs="宋体"/>
          <w:color w:val="000000"/>
          <w:sz w:val="24"/>
        </w:rPr>
      </w:pPr>
      <w:r>
        <w:rPr>
          <w:rFonts w:hint="eastAsia" w:ascii="宋体" w:hAnsi="宋体" w:eastAsia="宋体" w:cs="宋体"/>
          <w:color w:val="000000"/>
          <w:sz w:val="24"/>
        </w:rPr>
        <w:t>12.2如供方无正当理由而拖延交货，采购人将从货款中扣除误期赔偿费而不影响合同项下的其他补救方法，赔偿费按每周迟交货物交货价或未提供服务费用的百分之一（1%）计收，直至交货或提供服务为止。误期赔偿费的最高限额不超过误期货物或服务合同价的百分之五（5%）。一周按七（7）天计算，不足七（7）天按一周计算。一旦达到误期赔偿费的最高限额，采购人有权终止合同。</w:t>
      </w:r>
    </w:p>
    <w:p w14:paraId="24531AF1">
      <w:pPr>
        <w:pStyle w:val="10"/>
        <w:snapToGrid w:val="0"/>
        <w:spacing w:line="440" w:lineRule="exact"/>
        <w:ind w:left="540" w:hanging="540" w:hangingChars="225"/>
        <w:jc w:val="left"/>
        <w:rPr>
          <w:rFonts w:hint="eastAsia" w:ascii="宋体" w:hAnsi="宋体" w:eastAsia="宋体" w:cs="宋体"/>
          <w:color w:val="000000"/>
          <w:sz w:val="24"/>
        </w:rPr>
      </w:pPr>
      <w:r>
        <w:rPr>
          <w:rFonts w:hint="eastAsia" w:ascii="宋体" w:hAnsi="宋体" w:eastAsia="宋体" w:cs="宋体"/>
          <w:color w:val="000000"/>
          <w:sz w:val="24"/>
        </w:rPr>
        <w:t>12.3在履行合同过程中，如果供方遇到可能妨碍按时交货和提供服务的情况时，应及时以书面形式将拖延的事实、可能拖延的期限和理由通知采购人。采购人在收到通知后，要尽快对情况进行评价，并确定是否通过修改合同酌情延长交货时间以及是否收取误期赔偿费。延期应通过修改合同的方式由双方认可。</w:t>
      </w:r>
    </w:p>
    <w:p w14:paraId="477C6CFE">
      <w:pPr>
        <w:pStyle w:val="10"/>
        <w:snapToGrid w:val="0"/>
        <w:spacing w:line="440" w:lineRule="exact"/>
        <w:ind w:left="540" w:hanging="540" w:hangingChars="225"/>
        <w:jc w:val="left"/>
        <w:rPr>
          <w:rFonts w:hint="eastAsia" w:ascii="宋体" w:hAnsi="宋体" w:eastAsia="宋体" w:cs="宋体"/>
          <w:color w:val="000000"/>
          <w:sz w:val="24"/>
        </w:rPr>
      </w:pPr>
      <w:r>
        <w:rPr>
          <w:rFonts w:hint="eastAsia" w:ascii="宋体" w:hAnsi="宋体" w:eastAsia="宋体" w:cs="宋体"/>
          <w:color w:val="000000"/>
          <w:sz w:val="24"/>
        </w:rPr>
        <w:t>12.4供方交付的货物不符合招标文件、投标文件和本合同规定的，采购方有权拒收，并且供方需向采购方支付本合同总价10%的违约金。</w:t>
      </w:r>
    </w:p>
    <w:p w14:paraId="65AB37C2">
      <w:pPr>
        <w:pStyle w:val="80"/>
        <w:snapToGrid w:val="0"/>
        <w:spacing w:line="440" w:lineRule="exact"/>
        <w:ind w:firstLine="0" w:firstLineChars="0"/>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13．不可抗力</w:t>
      </w:r>
    </w:p>
    <w:p w14:paraId="0D6C5754">
      <w:pPr>
        <w:pStyle w:val="10"/>
        <w:snapToGrid w:val="0"/>
        <w:spacing w:line="440" w:lineRule="exact"/>
        <w:ind w:left="540" w:hanging="540" w:hangingChars="225"/>
        <w:jc w:val="left"/>
        <w:rPr>
          <w:rFonts w:hint="eastAsia" w:ascii="宋体" w:hAnsi="宋体" w:eastAsia="宋体" w:cs="宋体"/>
          <w:color w:val="000000"/>
          <w:sz w:val="24"/>
        </w:rPr>
      </w:pPr>
      <w:r>
        <w:rPr>
          <w:rFonts w:hint="eastAsia" w:ascii="宋体" w:hAnsi="宋体" w:eastAsia="宋体" w:cs="宋体"/>
          <w:color w:val="000000"/>
          <w:sz w:val="24"/>
        </w:rPr>
        <w:t>13.1如果双方任何一方由于经双方认可属于不可抗力的事故，致使影响合同履行时，履行合同的期限予以延长，延长的期限应相当于事故所影响的时间。不可抗力事件是指买供双方在缔结合同时所不能预见、并且它的发生及其后果是无法避免及无法克服的事件，比如战争、严重火灾、洪水、台风、地震等。</w:t>
      </w:r>
    </w:p>
    <w:p w14:paraId="3400196D">
      <w:pPr>
        <w:pStyle w:val="10"/>
        <w:snapToGrid w:val="0"/>
        <w:spacing w:line="440" w:lineRule="exact"/>
        <w:ind w:left="540" w:hanging="540" w:hangingChars="225"/>
        <w:jc w:val="left"/>
        <w:rPr>
          <w:rFonts w:hint="eastAsia" w:ascii="宋体" w:hAnsi="宋体" w:eastAsia="宋体" w:cs="宋体"/>
          <w:color w:val="000000"/>
          <w:sz w:val="24"/>
        </w:rPr>
      </w:pPr>
      <w:r>
        <w:rPr>
          <w:rFonts w:hint="eastAsia" w:ascii="宋体" w:hAnsi="宋体" w:eastAsia="宋体" w:cs="宋体"/>
          <w:color w:val="000000"/>
          <w:sz w:val="24"/>
        </w:rPr>
        <w:t>13.2受事故影响的一方应在不可抗力发生后尽快以传真、电报通知另一方，并在事故发生后14天内，将有关部门出具的证明文件用特快专递或挂号信寄给另一方。如果不可抗力影响时间延续90天以上时，双方可通过友好协商在合理的时间内达成进一步履行或解除合同的协议。</w:t>
      </w:r>
    </w:p>
    <w:p w14:paraId="68D11282">
      <w:pPr>
        <w:pStyle w:val="80"/>
        <w:snapToGrid w:val="0"/>
        <w:spacing w:line="440" w:lineRule="exact"/>
        <w:ind w:firstLine="0" w:firstLineChars="0"/>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14．税费</w:t>
      </w:r>
    </w:p>
    <w:p w14:paraId="4D559ECE">
      <w:pPr>
        <w:pStyle w:val="10"/>
        <w:snapToGrid w:val="0"/>
        <w:spacing w:line="440" w:lineRule="exact"/>
        <w:ind w:left="540" w:hanging="540" w:hangingChars="225"/>
        <w:jc w:val="left"/>
        <w:rPr>
          <w:rFonts w:hint="eastAsia" w:ascii="宋体" w:hAnsi="宋体" w:eastAsia="宋体" w:cs="宋体"/>
          <w:color w:val="000000"/>
          <w:sz w:val="24"/>
        </w:rPr>
      </w:pPr>
      <w:r>
        <w:rPr>
          <w:rFonts w:hint="eastAsia" w:ascii="宋体" w:hAnsi="宋体" w:eastAsia="宋体" w:cs="宋体"/>
          <w:color w:val="000000"/>
          <w:sz w:val="24"/>
        </w:rPr>
        <w:t>14.1政府根据现行税法对供方征收的与本合同有关的一切税费均由供方负担。</w:t>
      </w:r>
    </w:p>
    <w:p w14:paraId="68B81F70">
      <w:pPr>
        <w:pStyle w:val="10"/>
        <w:snapToGrid w:val="0"/>
        <w:spacing w:line="440" w:lineRule="exact"/>
        <w:ind w:left="366" w:hanging="366" w:hangingChars="152"/>
        <w:jc w:val="left"/>
        <w:rPr>
          <w:rFonts w:hint="eastAsia" w:ascii="宋体" w:hAnsi="宋体" w:eastAsia="宋体" w:cs="宋体"/>
          <w:b/>
          <w:color w:val="000000"/>
          <w:sz w:val="24"/>
        </w:rPr>
      </w:pPr>
      <w:r>
        <w:rPr>
          <w:rFonts w:hint="eastAsia" w:ascii="宋体" w:hAnsi="宋体" w:eastAsia="宋体" w:cs="宋体"/>
          <w:b/>
          <w:color w:val="000000"/>
          <w:sz w:val="24"/>
        </w:rPr>
        <w:t>15．违约终止合同</w:t>
      </w:r>
    </w:p>
    <w:p w14:paraId="3E120340">
      <w:pPr>
        <w:pStyle w:val="10"/>
        <w:snapToGrid w:val="0"/>
        <w:spacing w:line="440" w:lineRule="exact"/>
        <w:ind w:left="540" w:hanging="540" w:hangingChars="225"/>
        <w:jc w:val="left"/>
        <w:rPr>
          <w:rFonts w:hint="eastAsia" w:ascii="宋体" w:hAnsi="宋体" w:eastAsia="宋体" w:cs="宋体"/>
          <w:color w:val="000000"/>
          <w:sz w:val="24"/>
        </w:rPr>
      </w:pPr>
      <w:r>
        <w:rPr>
          <w:rFonts w:hint="eastAsia" w:ascii="宋体" w:hAnsi="宋体" w:eastAsia="宋体" w:cs="宋体"/>
          <w:color w:val="000000"/>
          <w:sz w:val="24"/>
        </w:rPr>
        <w:t>15.1出现下列情况之一，采购人在对供方违约而采取的任何补救措施不受影响的情况下，可向供方发出终止部分或全部合同的书面通知书。</w:t>
      </w:r>
    </w:p>
    <w:p w14:paraId="04C54E37">
      <w:pPr>
        <w:pStyle w:val="10"/>
        <w:snapToGrid w:val="0"/>
        <w:spacing w:line="440" w:lineRule="exact"/>
        <w:ind w:left="1336" w:leftChars="270" w:hanging="607" w:hangingChars="253"/>
        <w:jc w:val="left"/>
        <w:rPr>
          <w:rFonts w:hint="eastAsia" w:ascii="宋体" w:hAnsi="宋体" w:eastAsia="宋体" w:cs="宋体"/>
          <w:color w:val="000000"/>
          <w:sz w:val="24"/>
        </w:rPr>
      </w:pPr>
      <w:r>
        <w:rPr>
          <w:rFonts w:hint="eastAsia" w:ascii="宋体" w:hAnsi="宋体" w:eastAsia="宋体" w:cs="宋体"/>
          <w:color w:val="000000"/>
          <w:sz w:val="24"/>
        </w:rPr>
        <w:t>（1）如果供方未能按合同规定的期限或采购人同意延长的限期内提供部分或全部货物（服务）、完成工程施工；</w:t>
      </w:r>
    </w:p>
    <w:p w14:paraId="28D212B1">
      <w:pPr>
        <w:pStyle w:val="10"/>
        <w:snapToGrid w:val="0"/>
        <w:spacing w:line="440" w:lineRule="exact"/>
        <w:ind w:left="1336" w:leftChars="270" w:hanging="607" w:hangingChars="253"/>
        <w:jc w:val="left"/>
        <w:rPr>
          <w:rFonts w:hint="eastAsia" w:ascii="宋体" w:hAnsi="宋体" w:eastAsia="宋体" w:cs="宋体"/>
          <w:color w:val="000000"/>
          <w:sz w:val="24"/>
        </w:rPr>
      </w:pPr>
      <w:r>
        <w:rPr>
          <w:rFonts w:hint="eastAsia" w:ascii="宋体" w:hAnsi="宋体" w:eastAsia="宋体" w:cs="宋体"/>
          <w:color w:val="000000"/>
          <w:sz w:val="24"/>
        </w:rPr>
        <w:t>（2）供方在收到采购人发出的违约通知后20天内，或经采购人书面认可延长的时间内未能纠正其过失；</w:t>
      </w:r>
    </w:p>
    <w:p w14:paraId="2A7CB6AB">
      <w:pPr>
        <w:pStyle w:val="10"/>
        <w:snapToGrid w:val="0"/>
        <w:spacing w:line="440" w:lineRule="exact"/>
        <w:ind w:left="1336" w:leftChars="270" w:hanging="607" w:hangingChars="253"/>
        <w:jc w:val="left"/>
        <w:rPr>
          <w:rFonts w:hint="eastAsia" w:ascii="宋体" w:hAnsi="宋体" w:eastAsia="宋体" w:cs="宋体"/>
          <w:color w:val="000000"/>
          <w:sz w:val="24"/>
        </w:rPr>
      </w:pPr>
      <w:r>
        <w:rPr>
          <w:rFonts w:hint="eastAsia" w:ascii="宋体" w:hAnsi="宋体" w:eastAsia="宋体" w:cs="宋体"/>
          <w:color w:val="000000"/>
          <w:sz w:val="24"/>
        </w:rPr>
        <w:t>（3）如果供方未能履行合同规定的其它任何义务。</w:t>
      </w:r>
    </w:p>
    <w:p w14:paraId="565BC26E">
      <w:pPr>
        <w:pStyle w:val="10"/>
        <w:snapToGrid w:val="0"/>
        <w:spacing w:line="440" w:lineRule="exact"/>
        <w:ind w:left="540" w:hanging="540" w:hangingChars="225"/>
        <w:jc w:val="left"/>
        <w:rPr>
          <w:rFonts w:hint="eastAsia" w:ascii="宋体" w:hAnsi="宋体" w:eastAsia="宋体" w:cs="宋体"/>
          <w:color w:val="000000"/>
          <w:sz w:val="24"/>
        </w:rPr>
      </w:pPr>
      <w:r>
        <w:rPr>
          <w:rFonts w:hint="eastAsia" w:ascii="宋体" w:hAnsi="宋体" w:eastAsia="宋体" w:cs="宋体"/>
          <w:color w:val="000000"/>
          <w:sz w:val="24"/>
        </w:rPr>
        <w:t>15.2在采购人根据上述第15.1条规定，终止了全部或部分合同后，采购人可以依其认为适当的条件和方法购买类似未交的货物、服务或进行工程施工，供方应对采购人购买类似货物、服务或进行工程施工所超出的费用部分负责，并继续执行合同中未终止部分。</w:t>
      </w:r>
    </w:p>
    <w:p w14:paraId="3BD615C7">
      <w:pPr>
        <w:pStyle w:val="80"/>
        <w:snapToGrid w:val="0"/>
        <w:spacing w:line="440" w:lineRule="exact"/>
        <w:ind w:firstLine="0" w:firstLineChars="0"/>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16．破产终止合同</w:t>
      </w:r>
    </w:p>
    <w:p w14:paraId="4FAB89B6">
      <w:pPr>
        <w:pStyle w:val="10"/>
        <w:snapToGrid w:val="0"/>
        <w:spacing w:line="440" w:lineRule="exact"/>
        <w:ind w:left="540" w:hanging="540" w:hangingChars="225"/>
        <w:jc w:val="left"/>
        <w:rPr>
          <w:rFonts w:hint="eastAsia" w:ascii="宋体" w:hAnsi="宋体" w:eastAsia="宋体" w:cs="宋体"/>
          <w:color w:val="000000"/>
          <w:sz w:val="24"/>
        </w:rPr>
      </w:pPr>
      <w:r>
        <w:rPr>
          <w:rFonts w:hint="eastAsia" w:ascii="宋体" w:hAnsi="宋体" w:eastAsia="宋体" w:cs="宋体"/>
          <w:color w:val="000000"/>
          <w:sz w:val="24"/>
        </w:rPr>
        <w:t>16.1如果供方破产或无清偿能力时，采购人可在任何时候以书面形式通知供方终止合同而无须给供方补偿。终止该合同将不损害或影响采购人已经采取或将要采取的补救措施的权利。</w:t>
      </w:r>
    </w:p>
    <w:p w14:paraId="48F29556">
      <w:pPr>
        <w:pStyle w:val="80"/>
        <w:snapToGrid w:val="0"/>
        <w:spacing w:line="440" w:lineRule="exact"/>
        <w:ind w:firstLine="0" w:firstLineChars="0"/>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17．转让</w:t>
      </w:r>
    </w:p>
    <w:p w14:paraId="6E8E9A39">
      <w:pPr>
        <w:pStyle w:val="10"/>
        <w:snapToGrid w:val="0"/>
        <w:spacing w:line="440" w:lineRule="exact"/>
        <w:ind w:left="540" w:hanging="540" w:hangingChars="225"/>
        <w:jc w:val="left"/>
        <w:rPr>
          <w:rFonts w:hint="eastAsia" w:ascii="宋体" w:hAnsi="宋体" w:eastAsia="宋体" w:cs="宋体"/>
          <w:color w:val="000000"/>
          <w:sz w:val="24"/>
        </w:rPr>
      </w:pPr>
      <w:r>
        <w:rPr>
          <w:rFonts w:hint="eastAsia" w:ascii="宋体" w:hAnsi="宋体" w:eastAsia="宋体" w:cs="宋体"/>
          <w:color w:val="000000"/>
          <w:sz w:val="24"/>
        </w:rPr>
        <w:t>17.1除采购人事先书面同意外，供方不得部分转让或全部转让其应履行的合同义务。</w:t>
      </w:r>
    </w:p>
    <w:p w14:paraId="4667E50F">
      <w:pPr>
        <w:pStyle w:val="80"/>
        <w:snapToGrid w:val="0"/>
        <w:spacing w:line="440" w:lineRule="exact"/>
        <w:ind w:firstLine="0" w:firstLineChars="0"/>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18．适用法律</w:t>
      </w:r>
    </w:p>
    <w:p w14:paraId="74886355">
      <w:pPr>
        <w:pStyle w:val="10"/>
        <w:snapToGrid w:val="0"/>
        <w:spacing w:line="440" w:lineRule="exact"/>
        <w:ind w:left="540" w:hanging="540" w:hangingChars="225"/>
        <w:jc w:val="left"/>
        <w:rPr>
          <w:rFonts w:hint="eastAsia" w:ascii="宋体" w:hAnsi="宋体" w:eastAsia="宋体" w:cs="宋体"/>
          <w:bCs/>
          <w:color w:val="000000"/>
          <w:sz w:val="24"/>
        </w:rPr>
      </w:pPr>
      <w:r>
        <w:rPr>
          <w:rFonts w:hint="eastAsia" w:ascii="宋体" w:hAnsi="宋体" w:eastAsia="宋体" w:cs="宋体"/>
          <w:bCs/>
          <w:color w:val="000000"/>
          <w:sz w:val="24"/>
        </w:rPr>
        <w:t>18.1本合同应按中华人民共和国的法律进行解释。</w:t>
      </w:r>
    </w:p>
    <w:p w14:paraId="09D65BC4">
      <w:pPr>
        <w:pStyle w:val="80"/>
        <w:snapToGrid w:val="0"/>
        <w:spacing w:line="440" w:lineRule="exact"/>
        <w:ind w:firstLine="0" w:firstLineChars="0"/>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19．合同生效</w:t>
      </w:r>
    </w:p>
    <w:p w14:paraId="6BDD0E9A">
      <w:pPr>
        <w:pStyle w:val="10"/>
        <w:snapToGrid w:val="0"/>
        <w:spacing w:line="440" w:lineRule="exact"/>
        <w:ind w:left="540" w:hanging="540" w:hangingChars="225"/>
        <w:jc w:val="left"/>
        <w:rPr>
          <w:rFonts w:hint="eastAsia" w:ascii="宋体" w:hAnsi="宋体" w:eastAsia="宋体" w:cs="宋体"/>
          <w:color w:val="000000"/>
          <w:sz w:val="24"/>
        </w:rPr>
      </w:pPr>
      <w:r>
        <w:rPr>
          <w:rFonts w:hint="eastAsia" w:ascii="宋体" w:hAnsi="宋体" w:eastAsia="宋体" w:cs="宋体"/>
          <w:color w:val="000000"/>
          <w:sz w:val="24"/>
        </w:rPr>
        <w:t>19.1合同在双方授权代表签字并盖章后生效。</w:t>
      </w:r>
    </w:p>
    <w:p w14:paraId="2F07C577">
      <w:pPr>
        <w:pStyle w:val="10"/>
        <w:snapToGrid w:val="0"/>
        <w:spacing w:line="440" w:lineRule="exact"/>
        <w:ind w:left="540" w:hanging="540" w:hangingChars="225"/>
        <w:jc w:val="left"/>
        <w:rPr>
          <w:rFonts w:hint="eastAsia" w:ascii="宋体" w:hAnsi="宋体" w:eastAsia="宋体" w:cs="宋体"/>
          <w:color w:val="000000"/>
          <w:sz w:val="24"/>
        </w:rPr>
      </w:pPr>
      <w:r>
        <w:rPr>
          <w:rFonts w:hint="eastAsia" w:ascii="宋体" w:hAnsi="宋体" w:eastAsia="宋体" w:cs="宋体"/>
          <w:color w:val="000000"/>
          <w:sz w:val="24"/>
        </w:rPr>
        <w:t>19.2本合同一式四份，以中文书写，采购人、供方、采购中心、政府采购监管部门各执一份。</w:t>
      </w:r>
    </w:p>
    <w:p w14:paraId="1E1C630C">
      <w:pPr>
        <w:pStyle w:val="80"/>
        <w:snapToGrid w:val="0"/>
        <w:spacing w:line="440" w:lineRule="exact"/>
        <w:ind w:firstLine="0" w:firstLineChars="0"/>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20.  争议解决方式</w:t>
      </w:r>
    </w:p>
    <w:p w14:paraId="038C0B58">
      <w:pPr>
        <w:pStyle w:val="10"/>
        <w:snapToGrid w:val="0"/>
        <w:spacing w:line="440" w:lineRule="exact"/>
        <w:ind w:left="540" w:hanging="540" w:hangingChars="225"/>
        <w:jc w:val="left"/>
        <w:rPr>
          <w:rFonts w:hint="eastAsia" w:ascii="宋体" w:hAnsi="宋体" w:eastAsia="宋体" w:cs="宋体"/>
          <w:color w:val="000000"/>
          <w:sz w:val="24"/>
        </w:rPr>
      </w:pPr>
      <w:r>
        <w:rPr>
          <w:rFonts w:hint="eastAsia" w:ascii="宋体" w:hAnsi="宋体" w:eastAsia="宋体" w:cs="宋体"/>
          <w:color w:val="000000"/>
          <w:sz w:val="24"/>
        </w:rPr>
        <w:t>20.1 合同实施或与合同有关的一切争议应通过双方协商解决。若协商不成，则向采购人所在地法院提起诉讼。</w:t>
      </w:r>
    </w:p>
    <w:p w14:paraId="304C3644">
      <w:pPr>
        <w:pStyle w:val="80"/>
        <w:snapToGrid w:val="0"/>
        <w:spacing w:line="440" w:lineRule="exact"/>
        <w:ind w:firstLine="0" w:firstLineChars="0"/>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21．合同修改</w:t>
      </w:r>
    </w:p>
    <w:p w14:paraId="3A5EADB1">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0" w:leftChars="0" w:right="0" w:rightChars="0" w:firstLine="0" w:firstLineChars="0"/>
        <w:jc w:val="left"/>
        <w:textAlignment w:val="auto"/>
        <w:outlineLvl w:val="0"/>
        <w:rPr>
          <w:rFonts w:hint="eastAsia" w:ascii="宋体" w:hAnsi="宋体" w:eastAsia="宋体" w:cs="宋体"/>
          <w:color w:val="000000"/>
          <w:sz w:val="24"/>
        </w:rPr>
      </w:pPr>
      <w:r>
        <w:rPr>
          <w:rFonts w:hint="eastAsia" w:ascii="宋体" w:hAnsi="宋体" w:eastAsia="宋体" w:cs="宋体"/>
          <w:color w:val="000000"/>
          <w:sz w:val="24"/>
        </w:rPr>
        <w:t>21.1除双方签署书面修改协议，并成为本合同不可分割的一部分的情况之外，本合同不得有任何变化或修改。</w:t>
      </w:r>
      <w:bookmarkEnd w:id="161"/>
    </w:p>
    <w:p w14:paraId="47AAB1E7">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0" w:leftChars="0" w:right="0" w:rightChars="0" w:firstLine="0" w:firstLineChars="0"/>
        <w:jc w:val="center"/>
        <w:textAlignment w:val="auto"/>
        <w:outlineLvl w:val="0"/>
        <w:rPr>
          <w:rFonts w:hint="eastAsia" w:ascii="宋体" w:hAnsi="宋体" w:eastAsia="宋体" w:cs="宋体"/>
          <w:color w:val="000000"/>
          <w:sz w:val="24"/>
        </w:rPr>
      </w:pPr>
    </w:p>
    <w:p w14:paraId="19B2A43C">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0" w:leftChars="0" w:right="0" w:rightChars="0" w:firstLine="0" w:firstLineChars="0"/>
        <w:jc w:val="center"/>
        <w:textAlignment w:val="auto"/>
        <w:outlineLvl w:val="0"/>
        <w:rPr>
          <w:rFonts w:hint="eastAsia" w:ascii="宋体" w:hAnsi="宋体" w:eastAsia="宋体" w:cs="宋体"/>
          <w:color w:val="000000"/>
          <w:sz w:val="24"/>
        </w:rPr>
      </w:pPr>
    </w:p>
    <w:p w14:paraId="79930A73">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0" w:leftChars="0" w:right="0" w:rightChars="0" w:firstLine="0" w:firstLineChars="0"/>
        <w:jc w:val="center"/>
        <w:textAlignment w:val="auto"/>
        <w:outlineLvl w:val="0"/>
        <w:rPr>
          <w:rFonts w:hint="eastAsia" w:ascii="宋体" w:hAnsi="宋体" w:eastAsia="宋体" w:cs="宋体"/>
          <w:color w:val="000000"/>
          <w:sz w:val="24"/>
        </w:rPr>
      </w:pPr>
    </w:p>
    <w:p w14:paraId="2F1D5099">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0" w:leftChars="0" w:right="0" w:rightChars="0" w:firstLine="0" w:firstLineChars="0"/>
        <w:jc w:val="center"/>
        <w:textAlignment w:val="auto"/>
        <w:outlineLvl w:val="0"/>
        <w:rPr>
          <w:rFonts w:hint="eastAsia" w:ascii="宋体" w:hAnsi="宋体" w:eastAsia="宋体" w:cs="宋体"/>
          <w:color w:val="000000"/>
          <w:sz w:val="24"/>
        </w:rPr>
      </w:pPr>
    </w:p>
    <w:p w14:paraId="487A5E76">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0" w:leftChars="0" w:right="0" w:rightChars="0" w:firstLine="0" w:firstLineChars="0"/>
        <w:jc w:val="center"/>
        <w:textAlignment w:val="auto"/>
        <w:outlineLvl w:val="0"/>
        <w:rPr>
          <w:rFonts w:hint="eastAsia" w:ascii="宋体" w:hAnsi="宋体" w:eastAsia="宋体" w:cs="宋体"/>
          <w:color w:val="000000"/>
          <w:sz w:val="24"/>
        </w:rPr>
      </w:pPr>
    </w:p>
    <w:p w14:paraId="13060B6F">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0" w:leftChars="0" w:right="0" w:rightChars="0" w:firstLine="0" w:firstLineChars="0"/>
        <w:jc w:val="center"/>
        <w:textAlignment w:val="auto"/>
        <w:outlineLvl w:val="0"/>
        <w:rPr>
          <w:rFonts w:hint="eastAsia" w:ascii="宋体" w:hAnsi="宋体" w:eastAsia="宋体" w:cs="宋体"/>
          <w:color w:val="000000"/>
          <w:sz w:val="24"/>
        </w:rPr>
      </w:pPr>
    </w:p>
    <w:p w14:paraId="7DF295BD">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0" w:leftChars="0" w:right="0" w:rightChars="0" w:firstLine="0" w:firstLineChars="0"/>
        <w:jc w:val="center"/>
        <w:textAlignment w:val="auto"/>
        <w:outlineLvl w:val="0"/>
        <w:rPr>
          <w:rFonts w:hint="eastAsia" w:ascii="宋体" w:hAnsi="宋体" w:eastAsia="宋体" w:cs="宋体"/>
          <w:color w:val="000000"/>
          <w:sz w:val="24"/>
        </w:rPr>
      </w:pPr>
    </w:p>
    <w:p w14:paraId="278F4A3E">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0" w:leftChars="0" w:right="0" w:rightChars="0" w:firstLine="0" w:firstLineChars="0"/>
        <w:jc w:val="center"/>
        <w:textAlignment w:val="auto"/>
        <w:outlineLvl w:val="0"/>
        <w:rPr>
          <w:rFonts w:hint="eastAsia" w:ascii="宋体" w:hAnsi="宋体" w:eastAsia="宋体" w:cs="宋体"/>
          <w:color w:val="000000"/>
          <w:sz w:val="24"/>
        </w:rPr>
      </w:pPr>
    </w:p>
    <w:p w14:paraId="144AC22C">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0" w:leftChars="0" w:right="0" w:rightChars="0" w:firstLine="0" w:firstLineChars="0"/>
        <w:jc w:val="center"/>
        <w:textAlignment w:val="auto"/>
        <w:outlineLvl w:val="0"/>
        <w:rPr>
          <w:rFonts w:hint="eastAsia" w:ascii="宋体" w:hAnsi="宋体" w:eastAsia="宋体" w:cs="宋体"/>
          <w:color w:val="000000"/>
          <w:sz w:val="24"/>
        </w:rPr>
      </w:pPr>
    </w:p>
    <w:p w14:paraId="0D681E89">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0" w:leftChars="0" w:right="0" w:rightChars="0" w:firstLine="0" w:firstLineChars="0"/>
        <w:jc w:val="center"/>
        <w:textAlignment w:val="auto"/>
        <w:outlineLvl w:val="0"/>
        <w:rPr>
          <w:rFonts w:hint="eastAsia" w:ascii="宋体" w:hAnsi="宋体" w:eastAsia="宋体" w:cs="宋体"/>
          <w:color w:val="000000"/>
          <w:sz w:val="24"/>
        </w:rPr>
      </w:pPr>
    </w:p>
    <w:p w14:paraId="2D7BDA6A">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0" w:leftChars="0" w:right="0" w:rightChars="0" w:firstLine="0" w:firstLineChars="0"/>
        <w:jc w:val="center"/>
        <w:textAlignment w:val="auto"/>
        <w:outlineLvl w:val="0"/>
        <w:rPr>
          <w:rFonts w:hint="eastAsia" w:ascii="宋体" w:hAnsi="宋体" w:eastAsia="宋体" w:cs="宋体"/>
          <w:color w:val="000000"/>
          <w:sz w:val="24"/>
        </w:rPr>
      </w:pPr>
    </w:p>
    <w:p w14:paraId="66CB7F70">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0" w:leftChars="0" w:right="0" w:rightChars="0" w:firstLine="0" w:firstLineChars="0"/>
        <w:jc w:val="center"/>
        <w:textAlignment w:val="auto"/>
        <w:outlineLvl w:val="0"/>
        <w:rPr>
          <w:rFonts w:hint="eastAsia" w:ascii="宋体" w:hAnsi="宋体" w:eastAsia="宋体" w:cs="宋体"/>
          <w:color w:val="000000"/>
          <w:sz w:val="24"/>
        </w:rPr>
      </w:pPr>
    </w:p>
    <w:p w14:paraId="4B57BDA3">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0" w:leftChars="0" w:right="0" w:rightChars="0" w:firstLine="0" w:firstLineChars="0"/>
        <w:jc w:val="center"/>
        <w:textAlignment w:val="auto"/>
        <w:outlineLvl w:val="0"/>
        <w:rPr>
          <w:rFonts w:hint="eastAsia" w:ascii="宋体" w:hAnsi="宋体" w:eastAsia="宋体" w:cs="宋体"/>
          <w:color w:val="000000"/>
          <w:sz w:val="24"/>
        </w:rPr>
      </w:pPr>
    </w:p>
    <w:p w14:paraId="1851C3A0">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0" w:leftChars="0" w:right="0" w:rightChars="0" w:firstLine="0" w:firstLineChars="0"/>
        <w:jc w:val="center"/>
        <w:textAlignment w:val="auto"/>
        <w:outlineLvl w:val="0"/>
        <w:rPr>
          <w:rFonts w:hint="eastAsia" w:ascii="宋体" w:hAnsi="宋体" w:eastAsia="宋体" w:cs="宋体"/>
          <w:color w:val="000000"/>
          <w:sz w:val="24"/>
        </w:rPr>
      </w:pPr>
    </w:p>
    <w:p w14:paraId="6C191FB7">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0" w:leftChars="0" w:right="0" w:rightChars="0" w:firstLine="0" w:firstLineChars="0"/>
        <w:jc w:val="center"/>
        <w:textAlignment w:val="auto"/>
        <w:outlineLvl w:val="0"/>
        <w:rPr>
          <w:rFonts w:hint="eastAsia" w:ascii="宋体" w:hAnsi="宋体" w:eastAsia="宋体" w:cs="宋体"/>
          <w:color w:val="000000"/>
          <w:sz w:val="24"/>
        </w:rPr>
      </w:pPr>
    </w:p>
    <w:p w14:paraId="5660C9CA">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0" w:leftChars="0" w:right="0" w:rightChars="0" w:firstLine="0" w:firstLineChars="0"/>
        <w:jc w:val="center"/>
        <w:textAlignment w:val="auto"/>
        <w:outlineLvl w:val="0"/>
        <w:rPr>
          <w:rFonts w:hint="eastAsia" w:ascii="宋体" w:hAnsi="宋体" w:eastAsia="宋体" w:cs="宋体"/>
          <w:color w:val="000000"/>
          <w:sz w:val="24"/>
        </w:rPr>
      </w:pPr>
    </w:p>
    <w:p w14:paraId="655E9477">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0" w:leftChars="0" w:right="0" w:rightChars="0" w:firstLine="0" w:firstLineChars="0"/>
        <w:jc w:val="center"/>
        <w:textAlignment w:val="auto"/>
        <w:outlineLvl w:val="0"/>
        <w:rPr>
          <w:rFonts w:hint="eastAsia" w:ascii="宋体" w:hAnsi="宋体" w:eastAsia="宋体" w:cs="宋体"/>
          <w:color w:val="000000"/>
          <w:sz w:val="24"/>
        </w:rPr>
      </w:pPr>
    </w:p>
    <w:p w14:paraId="79F7C19D">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0" w:leftChars="0" w:right="0" w:rightChars="0" w:firstLine="0" w:firstLineChars="0"/>
        <w:jc w:val="center"/>
        <w:textAlignment w:val="auto"/>
        <w:outlineLvl w:val="0"/>
        <w:rPr>
          <w:rFonts w:hint="eastAsia" w:ascii="宋体" w:hAnsi="宋体" w:eastAsia="宋体" w:cs="宋体"/>
          <w:color w:val="000000"/>
          <w:sz w:val="24"/>
        </w:rPr>
      </w:pPr>
    </w:p>
    <w:p w14:paraId="116B3073">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0" w:leftChars="0" w:right="0" w:rightChars="0" w:firstLine="0" w:firstLineChars="0"/>
        <w:jc w:val="center"/>
        <w:textAlignment w:val="auto"/>
        <w:outlineLvl w:val="0"/>
        <w:rPr>
          <w:rFonts w:hint="eastAsia" w:ascii="宋体" w:hAnsi="宋体" w:eastAsia="宋体" w:cs="宋体"/>
          <w:color w:val="000000"/>
          <w:sz w:val="24"/>
        </w:rPr>
      </w:pPr>
    </w:p>
    <w:p w14:paraId="4C81B7FC">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0" w:leftChars="0" w:right="0" w:rightChars="0" w:firstLine="0" w:firstLineChars="0"/>
        <w:jc w:val="center"/>
        <w:textAlignment w:val="auto"/>
        <w:outlineLvl w:val="0"/>
        <w:rPr>
          <w:rFonts w:hint="eastAsia" w:ascii="宋体" w:hAnsi="宋体" w:eastAsia="宋体" w:cs="宋体"/>
          <w:color w:val="000000"/>
          <w:sz w:val="24"/>
        </w:rPr>
      </w:pPr>
    </w:p>
    <w:p w14:paraId="64E1736F">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0" w:leftChars="0" w:right="0" w:rightChars="0" w:firstLine="0" w:firstLineChars="0"/>
        <w:jc w:val="center"/>
        <w:textAlignment w:val="auto"/>
        <w:outlineLvl w:val="0"/>
        <w:rPr>
          <w:rFonts w:hint="eastAsia" w:ascii="宋体" w:hAnsi="宋体" w:eastAsia="宋体" w:cs="宋体"/>
          <w:color w:val="000000"/>
          <w:sz w:val="24"/>
        </w:rPr>
      </w:pPr>
    </w:p>
    <w:p w14:paraId="695C324D">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0" w:leftChars="0" w:right="0" w:rightChars="0" w:firstLine="0" w:firstLineChars="0"/>
        <w:jc w:val="center"/>
        <w:textAlignment w:val="auto"/>
        <w:outlineLvl w:val="0"/>
        <w:rPr>
          <w:rFonts w:hint="eastAsia" w:ascii="宋体" w:hAnsi="宋体" w:eastAsia="宋体" w:cs="宋体"/>
          <w:color w:val="000000"/>
          <w:sz w:val="24"/>
        </w:rPr>
      </w:pPr>
    </w:p>
    <w:p w14:paraId="2F6686A9">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0" w:leftChars="0" w:right="0" w:rightChars="0" w:firstLine="0" w:firstLineChars="0"/>
        <w:jc w:val="center"/>
        <w:textAlignment w:val="auto"/>
        <w:outlineLvl w:val="0"/>
        <w:rPr>
          <w:rFonts w:hint="eastAsia" w:ascii="宋体" w:hAnsi="宋体" w:eastAsia="宋体" w:cs="宋体"/>
          <w:color w:val="000000"/>
          <w:sz w:val="24"/>
        </w:rPr>
      </w:pPr>
    </w:p>
    <w:p w14:paraId="4E3EF09E">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0" w:leftChars="0" w:right="0" w:rightChars="0" w:firstLine="0" w:firstLineChars="0"/>
        <w:jc w:val="center"/>
        <w:textAlignment w:val="auto"/>
        <w:outlineLvl w:val="0"/>
        <w:rPr>
          <w:rFonts w:hint="eastAsia" w:ascii="宋体" w:hAnsi="宋体" w:eastAsia="宋体" w:cs="宋体"/>
          <w:color w:val="000000"/>
          <w:sz w:val="24"/>
        </w:rPr>
      </w:pPr>
    </w:p>
    <w:p w14:paraId="37FC55F6">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0" w:leftChars="0" w:right="0" w:rightChars="0" w:firstLine="0" w:firstLineChars="0"/>
        <w:jc w:val="center"/>
        <w:textAlignment w:val="auto"/>
        <w:outlineLvl w:val="0"/>
        <w:rPr>
          <w:rFonts w:hint="default" w:ascii="宋体" w:hAnsi="宋体" w:eastAsia="宋体" w:cs="宋体"/>
          <w:b/>
          <w:bCs/>
          <w:i w:val="0"/>
          <w:iCs w:val="0"/>
          <w:color w:val="auto"/>
          <w:spacing w:val="0"/>
          <w:sz w:val="32"/>
          <w:szCs w:val="32"/>
          <w:lang w:val="en-US" w:eastAsia="zh-CN"/>
        </w:rPr>
      </w:pPr>
      <w:r>
        <w:rPr>
          <w:rFonts w:hint="eastAsia" w:ascii="宋体" w:hAnsi="宋体" w:eastAsia="宋体" w:cs="宋体"/>
          <w:b/>
          <w:bCs/>
          <w:i w:val="0"/>
          <w:iCs w:val="0"/>
          <w:color w:val="auto"/>
          <w:spacing w:val="0"/>
          <w:kern w:val="0"/>
          <w:sz w:val="32"/>
          <w:szCs w:val="32"/>
          <w:lang w:val="en-US" w:eastAsia="zh-CN" w:bidi="ar-SA"/>
        </w:rPr>
        <w:t>第五章</w:t>
      </w:r>
      <w:r>
        <w:rPr>
          <w:rFonts w:hint="eastAsia" w:ascii="宋体" w:hAnsi="宋体" w:eastAsia="宋体" w:cs="宋体"/>
          <w:b/>
          <w:bCs/>
          <w:i w:val="0"/>
          <w:iCs w:val="0"/>
          <w:color w:val="auto"/>
          <w:spacing w:val="0"/>
          <w:sz w:val="32"/>
          <w:szCs w:val="32"/>
          <w:lang w:val="en-US" w:eastAsia="zh-CN"/>
        </w:rPr>
        <w:t xml:space="preserve"> </w:t>
      </w:r>
      <w:bookmarkEnd w:id="158"/>
      <w:r>
        <w:rPr>
          <w:rFonts w:hint="eastAsia" w:ascii="宋体" w:hAnsi="宋体" w:eastAsia="宋体" w:cs="宋体"/>
          <w:b/>
          <w:bCs/>
          <w:i w:val="0"/>
          <w:iCs w:val="0"/>
          <w:color w:val="auto"/>
          <w:spacing w:val="0"/>
          <w:sz w:val="32"/>
          <w:szCs w:val="32"/>
          <w:lang w:val="en-US" w:eastAsia="zh-CN"/>
        </w:rPr>
        <w:t>采购需求</w:t>
      </w:r>
    </w:p>
    <w:p w14:paraId="31CD70EF">
      <w:pPr>
        <w:pStyle w:val="39"/>
        <w:ind w:left="-270" w:leftChars="-100" w:right="-308" w:rightChars="-114" w:firstLine="490" w:firstLineChars="196"/>
        <w:rPr>
          <w:rFonts w:hint="eastAsia" w:ascii="宋体" w:hAnsi="宋体" w:eastAsia="宋体" w:cs="宋体"/>
          <w:color w:val="000000"/>
          <w:kern w:val="2"/>
          <w:sz w:val="22"/>
          <w:szCs w:val="22"/>
          <w:lang w:val="en-US" w:eastAsia="zh-CN" w:bidi="ar-SA"/>
        </w:rPr>
      </w:pPr>
    </w:p>
    <w:p w14:paraId="5323D551">
      <w:pPr>
        <w:keepNext w:val="0"/>
        <w:keepLines w:val="0"/>
        <w:pageBreakBefore w:val="0"/>
        <w:widowControl/>
        <w:shd w:val="clear" w:color="auto" w:fill="FDFDFE"/>
        <w:kinsoku/>
        <w:wordWrap/>
        <w:overflowPunct/>
        <w:topLinePunct w:val="0"/>
        <w:autoSpaceDE/>
        <w:autoSpaceDN/>
        <w:bidi w:val="0"/>
        <w:adjustRightInd/>
        <w:snapToGrid/>
        <w:spacing w:before="210" w:after="120" w:line="360" w:lineRule="auto"/>
        <w:jc w:val="center"/>
        <w:textAlignment w:val="auto"/>
        <w:outlineLvl w:val="9"/>
        <w:rPr>
          <w:rFonts w:hint="eastAsia" w:ascii="方正小标宋简体" w:hAnsi="方正小标宋简体" w:eastAsia="方正小标宋简体" w:cs="方正小标宋简体"/>
          <w:b/>
          <w:bCs/>
          <w:color w:val="05073B"/>
          <w:kern w:val="0"/>
          <w:sz w:val="44"/>
          <w:szCs w:val="44"/>
          <w:lang w:val="en-US" w:eastAsia="zh-CN"/>
        </w:rPr>
      </w:pPr>
      <w:r>
        <w:rPr>
          <w:rFonts w:hint="eastAsia" w:ascii="方正小标宋简体" w:hAnsi="方正小标宋简体" w:eastAsia="方正小标宋简体" w:cs="方正小标宋简体"/>
          <w:b/>
          <w:bCs/>
          <w:color w:val="05073B"/>
          <w:kern w:val="0"/>
          <w:sz w:val="44"/>
          <w:szCs w:val="44"/>
          <w:lang w:val="en-US" w:eastAsia="zh-CN"/>
        </w:rPr>
        <w:t>2025年媒体平台运维安全保障服务内容</w:t>
      </w:r>
    </w:p>
    <w:p w14:paraId="70F9A9AA">
      <w:pPr>
        <w:keepNext w:val="0"/>
        <w:keepLines w:val="0"/>
        <w:pageBreakBefore w:val="0"/>
        <w:widowControl/>
        <w:shd w:val="clear" w:color="auto" w:fill="FDFDFE"/>
        <w:kinsoku/>
        <w:wordWrap/>
        <w:overflowPunct/>
        <w:topLinePunct w:val="0"/>
        <w:autoSpaceDE/>
        <w:autoSpaceDN/>
        <w:bidi w:val="0"/>
        <w:adjustRightInd/>
        <w:snapToGrid/>
        <w:spacing w:before="210" w:after="120" w:line="360" w:lineRule="auto"/>
        <w:jc w:val="left"/>
        <w:textAlignment w:val="auto"/>
        <w:outlineLvl w:val="9"/>
        <w:rPr>
          <w:rFonts w:hint="eastAsia" w:ascii="宋体" w:hAnsi="宋体" w:eastAsia="宋体" w:cs="宋体"/>
          <w:b/>
          <w:bCs/>
          <w:color w:val="05073B"/>
          <w:kern w:val="0"/>
          <w:sz w:val="28"/>
          <w:szCs w:val="28"/>
        </w:rPr>
      </w:pPr>
      <w:r>
        <w:rPr>
          <w:rFonts w:hint="eastAsia" w:ascii="宋体" w:hAnsi="宋体" w:eastAsia="宋体" w:cs="宋体"/>
          <w:b/>
          <w:bCs/>
          <w:color w:val="05073B"/>
          <w:kern w:val="0"/>
          <w:sz w:val="28"/>
          <w:szCs w:val="28"/>
        </w:rPr>
        <w:t>1. 梳理机房现有设备，将无用设备下架</w:t>
      </w:r>
    </w:p>
    <w:p w14:paraId="307C6C25">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color w:val="06071F"/>
          <w:kern w:val="0"/>
          <w:sz w:val="24"/>
          <w:szCs w:val="24"/>
        </w:rPr>
      </w:pPr>
      <w:r>
        <w:rPr>
          <w:rFonts w:hint="eastAsia" w:ascii="宋体" w:hAnsi="宋体" w:eastAsia="宋体" w:cs="宋体"/>
          <w:b/>
          <w:bCs/>
          <w:color w:val="06071F"/>
          <w:kern w:val="0"/>
          <w:sz w:val="24"/>
          <w:szCs w:val="24"/>
          <w:lang w:val="en-US" w:eastAsia="zh-CN"/>
        </w:rPr>
        <w:t>1.1</w:t>
      </w:r>
      <w:r>
        <w:rPr>
          <w:rFonts w:hint="eastAsia" w:ascii="宋体" w:hAnsi="宋体" w:eastAsia="宋体" w:cs="宋体"/>
          <w:b/>
          <w:bCs/>
          <w:color w:val="06071F"/>
          <w:kern w:val="0"/>
          <w:sz w:val="24"/>
          <w:szCs w:val="24"/>
        </w:rPr>
        <w:t>设备</w:t>
      </w:r>
      <w:r>
        <w:rPr>
          <w:rFonts w:hint="eastAsia" w:ascii="宋体" w:hAnsi="宋体" w:eastAsia="宋体" w:cs="宋体"/>
          <w:b/>
          <w:bCs/>
          <w:color w:val="06071F"/>
          <w:kern w:val="0"/>
          <w:sz w:val="24"/>
          <w:szCs w:val="24"/>
          <w:lang w:val="en-US" w:eastAsia="zh-CN"/>
        </w:rPr>
        <w:t>信息</w:t>
      </w:r>
      <w:r>
        <w:rPr>
          <w:rFonts w:hint="eastAsia" w:ascii="宋体" w:hAnsi="宋体" w:eastAsia="宋体" w:cs="宋体"/>
          <w:b/>
          <w:bCs/>
          <w:color w:val="06071F"/>
          <w:kern w:val="0"/>
          <w:sz w:val="24"/>
          <w:szCs w:val="24"/>
        </w:rPr>
        <w:t>收集</w:t>
      </w:r>
    </w:p>
    <w:p w14:paraId="59DF4FFE">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ind w:left="0" w:leftChars="0" w:firstLine="540" w:firstLineChars="200"/>
        <w:jc w:val="left"/>
        <w:textAlignment w:val="auto"/>
        <w:outlineLvl w:val="9"/>
        <w:rPr>
          <w:rFonts w:hint="eastAsia" w:ascii="宋体" w:hAnsi="宋体" w:eastAsia="宋体" w:cs="宋体"/>
          <w:color w:val="06071F"/>
          <w:kern w:val="0"/>
          <w:sz w:val="24"/>
          <w:szCs w:val="24"/>
        </w:rPr>
      </w:pPr>
      <w:r>
        <w:rPr>
          <w:rFonts w:hint="eastAsia" w:ascii="宋体" w:hAnsi="宋体" w:eastAsia="宋体" w:cs="宋体"/>
          <w:color w:val="06071F"/>
          <w:kern w:val="0"/>
          <w:sz w:val="24"/>
          <w:szCs w:val="24"/>
        </w:rPr>
        <w:t>组织专业技术人员对机房内所有设备进行全面盘点，详细记录设备的品牌、型号、序列号、购买日期、使用年限、当前状态（在用、备用、闲置、故障等）以及所在机柜位置等信息，形成详细的设备清单。</w:t>
      </w:r>
    </w:p>
    <w:p w14:paraId="5C434B37">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color w:val="06071F"/>
          <w:kern w:val="0"/>
          <w:sz w:val="24"/>
          <w:szCs w:val="24"/>
        </w:rPr>
      </w:pPr>
      <w:r>
        <w:rPr>
          <w:rFonts w:hint="eastAsia" w:ascii="宋体" w:hAnsi="宋体" w:eastAsia="宋体" w:cs="宋体"/>
          <w:b/>
          <w:bCs/>
          <w:color w:val="06071F"/>
          <w:kern w:val="0"/>
          <w:sz w:val="24"/>
          <w:szCs w:val="24"/>
          <w:lang w:val="en-US" w:eastAsia="zh-CN"/>
        </w:rPr>
        <w:t>1.2</w:t>
      </w:r>
      <w:r>
        <w:rPr>
          <w:rFonts w:hint="eastAsia" w:ascii="宋体" w:hAnsi="宋体" w:eastAsia="宋体" w:cs="宋体"/>
          <w:b/>
          <w:bCs/>
          <w:color w:val="06071F"/>
          <w:kern w:val="0"/>
          <w:sz w:val="24"/>
          <w:szCs w:val="24"/>
        </w:rPr>
        <w:t>设备</w:t>
      </w:r>
      <w:r>
        <w:rPr>
          <w:rFonts w:hint="eastAsia" w:ascii="宋体" w:hAnsi="宋体" w:eastAsia="宋体" w:cs="宋体"/>
          <w:b/>
          <w:bCs/>
          <w:color w:val="06071F"/>
          <w:kern w:val="0"/>
          <w:sz w:val="24"/>
          <w:szCs w:val="24"/>
          <w:lang w:val="en-US" w:eastAsia="zh-CN"/>
        </w:rPr>
        <w:t>功能</w:t>
      </w:r>
      <w:r>
        <w:rPr>
          <w:rFonts w:hint="eastAsia" w:ascii="宋体" w:hAnsi="宋体" w:eastAsia="宋体" w:cs="宋体"/>
          <w:b/>
          <w:bCs/>
          <w:color w:val="06071F"/>
          <w:kern w:val="0"/>
          <w:sz w:val="24"/>
          <w:szCs w:val="24"/>
        </w:rPr>
        <w:t>评估</w:t>
      </w:r>
    </w:p>
    <w:p w14:paraId="1B19213E">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ind w:left="0" w:leftChars="0" w:firstLine="540" w:firstLineChars="200"/>
        <w:jc w:val="left"/>
        <w:textAlignment w:val="auto"/>
        <w:outlineLvl w:val="9"/>
        <w:rPr>
          <w:rFonts w:hint="eastAsia" w:ascii="宋体" w:hAnsi="宋体" w:eastAsia="宋体" w:cs="宋体"/>
          <w:color w:val="06071F"/>
          <w:kern w:val="0"/>
          <w:sz w:val="24"/>
          <w:szCs w:val="24"/>
        </w:rPr>
      </w:pPr>
      <w:r>
        <w:rPr>
          <w:rFonts w:hint="eastAsia" w:ascii="宋体" w:hAnsi="宋体" w:eastAsia="宋体" w:cs="宋体"/>
          <w:color w:val="06071F"/>
          <w:kern w:val="0"/>
          <w:sz w:val="24"/>
          <w:szCs w:val="24"/>
        </w:rPr>
        <w:t>依据设备清单，结合实际业务需求和网络架构，对每台设备的功能进行评估。通过查看设备日志、与相关业务部门沟通以及进行必要的测试，判断设备是否仍在使用以及是否对现有业务具有实际价值。对于长期闲置、功能过时或无法满足业务需求的设备，标记为无用设备。</w:t>
      </w:r>
    </w:p>
    <w:p w14:paraId="15BB32AA">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color w:val="06071F"/>
          <w:kern w:val="0"/>
          <w:sz w:val="24"/>
          <w:szCs w:val="24"/>
        </w:rPr>
      </w:pPr>
      <w:r>
        <w:rPr>
          <w:rFonts w:hint="eastAsia" w:ascii="宋体" w:hAnsi="宋体" w:eastAsia="宋体" w:cs="宋体"/>
          <w:b/>
          <w:bCs/>
          <w:color w:val="06071F"/>
          <w:kern w:val="0"/>
          <w:sz w:val="24"/>
          <w:szCs w:val="24"/>
          <w:lang w:val="en-US" w:eastAsia="zh-CN"/>
        </w:rPr>
        <w:t>1.3</w:t>
      </w:r>
      <w:r>
        <w:rPr>
          <w:rFonts w:hint="eastAsia" w:ascii="宋体" w:hAnsi="宋体" w:eastAsia="宋体" w:cs="宋体"/>
          <w:b/>
          <w:bCs/>
          <w:color w:val="06071F"/>
          <w:kern w:val="0"/>
          <w:sz w:val="24"/>
          <w:szCs w:val="24"/>
        </w:rPr>
        <w:t>无用设备下架</w:t>
      </w:r>
    </w:p>
    <w:p w14:paraId="5B8D6F67">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ind w:left="0" w:leftChars="0" w:firstLine="540" w:firstLineChars="200"/>
        <w:jc w:val="left"/>
        <w:textAlignment w:val="auto"/>
        <w:outlineLvl w:val="9"/>
        <w:rPr>
          <w:rFonts w:hint="eastAsia" w:ascii="宋体" w:hAnsi="宋体" w:eastAsia="宋体" w:cs="宋体"/>
          <w:color w:val="06071F"/>
          <w:kern w:val="0"/>
          <w:sz w:val="24"/>
          <w:szCs w:val="24"/>
        </w:rPr>
      </w:pPr>
      <w:r>
        <w:rPr>
          <w:rFonts w:hint="eastAsia" w:ascii="宋体" w:hAnsi="宋体" w:eastAsia="宋体" w:cs="宋体"/>
          <w:color w:val="06071F"/>
          <w:kern w:val="0"/>
          <w:sz w:val="24"/>
          <w:szCs w:val="24"/>
        </w:rPr>
        <w:t>制定详细的设备下架计划，明确下架时间、人员安排和操作流程。在下架过程中，严格遵循设备操作规范，确保设备安全下架，避免对其他设备造成影响。同时，对下架设备进行妥善保管，以便后续处理（如报废、回收等）。</w:t>
      </w:r>
    </w:p>
    <w:p w14:paraId="62853598">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color w:val="06071F"/>
          <w:kern w:val="0"/>
          <w:sz w:val="24"/>
          <w:szCs w:val="24"/>
        </w:rPr>
      </w:pPr>
      <w:r>
        <w:rPr>
          <w:rFonts w:hint="eastAsia" w:ascii="宋体" w:hAnsi="宋体" w:eastAsia="宋体" w:cs="宋体"/>
          <w:b/>
          <w:bCs/>
          <w:color w:val="06071F"/>
          <w:kern w:val="0"/>
          <w:sz w:val="24"/>
          <w:szCs w:val="24"/>
          <w:lang w:val="en-US" w:eastAsia="zh-CN"/>
        </w:rPr>
        <w:t>1.4</w:t>
      </w:r>
      <w:r>
        <w:rPr>
          <w:rFonts w:hint="eastAsia" w:ascii="宋体" w:hAnsi="宋体" w:eastAsia="宋体" w:cs="宋体"/>
          <w:b/>
          <w:bCs/>
          <w:color w:val="06071F"/>
          <w:kern w:val="0"/>
          <w:sz w:val="24"/>
          <w:szCs w:val="24"/>
        </w:rPr>
        <w:t>下架后清理</w:t>
      </w:r>
    </w:p>
    <w:p w14:paraId="0298AE02">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ind w:left="0" w:leftChars="0" w:firstLine="540" w:firstLineChars="200"/>
        <w:jc w:val="left"/>
        <w:textAlignment w:val="auto"/>
        <w:outlineLvl w:val="9"/>
        <w:rPr>
          <w:rFonts w:hint="eastAsia" w:ascii="宋体" w:hAnsi="宋体" w:eastAsia="宋体" w:cs="宋体"/>
          <w:color w:val="06071F"/>
          <w:kern w:val="0"/>
          <w:sz w:val="24"/>
          <w:szCs w:val="24"/>
        </w:rPr>
      </w:pPr>
      <w:r>
        <w:rPr>
          <w:rFonts w:hint="eastAsia" w:ascii="宋体" w:hAnsi="宋体" w:eastAsia="宋体" w:cs="宋体"/>
          <w:color w:val="06071F"/>
          <w:kern w:val="0"/>
          <w:sz w:val="24"/>
          <w:szCs w:val="24"/>
        </w:rPr>
        <w:t>设备下架后，对机柜空间进行清理，确保机柜内整洁有序。对机柜内的灰尘、杂物等进行清扫，为后续设备的安装和维护提供良好的环境。</w:t>
      </w:r>
    </w:p>
    <w:p w14:paraId="7F20EB02">
      <w:pPr>
        <w:keepNext w:val="0"/>
        <w:keepLines w:val="0"/>
        <w:pageBreakBefore w:val="0"/>
        <w:widowControl/>
        <w:shd w:val="clear" w:color="auto" w:fill="FDFDFE"/>
        <w:kinsoku/>
        <w:wordWrap/>
        <w:overflowPunct/>
        <w:topLinePunct w:val="0"/>
        <w:autoSpaceDE/>
        <w:autoSpaceDN/>
        <w:bidi w:val="0"/>
        <w:adjustRightInd/>
        <w:snapToGrid/>
        <w:spacing w:before="210" w:after="120" w:line="360" w:lineRule="auto"/>
        <w:jc w:val="left"/>
        <w:textAlignment w:val="auto"/>
        <w:outlineLvl w:val="9"/>
        <w:rPr>
          <w:rFonts w:hint="eastAsia" w:ascii="宋体" w:hAnsi="宋体" w:eastAsia="宋体" w:cs="宋体"/>
          <w:b/>
          <w:bCs/>
          <w:color w:val="05073B"/>
          <w:kern w:val="0"/>
          <w:sz w:val="28"/>
          <w:szCs w:val="28"/>
        </w:rPr>
      </w:pPr>
      <w:r>
        <w:rPr>
          <w:rFonts w:hint="eastAsia" w:ascii="宋体" w:hAnsi="宋体" w:eastAsia="宋体" w:cs="宋体"/>
          <w:b/>
          <w:bCs/>
          <w:color w:val="05073B"/>
          <w:kern w:val="0"/>
          <w:sz w:val="28"/>
          <w:szCs w:val="28"/>
        </w:rPr>
        <w:t>2. 梳理全网结构，定制网络优化方案并进行优化</w:t>
      </w:r>
    </w:p>
    <w:p w14:paraId="41EF6B46">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color w:val="06071F"/>
          <w:kern w:val="0"/>
          <w:sz w:val="24"/>
          <w:szCs w:val="24"/>
        </w:rPr>
      </w:pPr>
      <w:r>
        <w:rPr>
          <w:rFonts w:hint="eastAsia" w:ascii="宋体" w:hAnsi="宋体" w:eastAsia="宋体" w:cs="宋体"/>
          <w:b/>
          <w:bCs/>
          <w:color w:val="06071F"/>
          <w:kern w:val="0"/>
          <w:sz w:val="24"/>
          <w:szCs w:val="24"/>
          <w:lang w:val="en-US" w:eastAsia="zh-CN"/>
        </w:rPr>
        <w:t>2.1</w:t>
      </w:r>
      <w:r>
        <w:rPr>
          <w:rFonts w:hint="eastAsia" w:ascii="宋体" w:hAnsi="宋体" w:eastAsia="宋体" w:cs="宋体"/>
          <w:b/>
          <w:bCs/>
          <w:color w:val="06071F"/>
          <w:kern w:val="0"/>
          <w:sz w:val="24"/>
          <w:szCs w:val="24"/>
        </w:rPr>
        <w:t>网络拓扑</w:t>
      </w:r>
      <w:r>
        <w:rPr>
          <w:rFonts w:hint="eastAsia" w:ascii="宋体" w:hAnsi="宋体" w:eastAsia="宋体" w:cs="宋体"/>
          <w:b/>
          <w:bCs/>
          <w:color w:val="06071F"/>
          <w:kern w:val="0"/>
          <w:sz w:val="24"/>
          <w:szCs w:val="24"/>
          <w:lang w:val="en-US" w:eastAsia="zh-CN"/>
        </w:rPr>
        <w:t>绘制</w:t>
      </w:r>
    </w:p>
    <w:p w14:paraId="08C5C203">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ind w:left="0" w:leftChars="0" w:firstLine="540" w:firstLineChars="200"/>
        <w:jc w:val="left"/>
        <w:textAlignment w:val="auto"/>
        <w:outlineLvl w:val="9"/>
        <w:rPr>
          <w:rFonts w:hint="eastAsia" w:ascii="宋体" w:hAnsi="宋体" w:eastAsia="宋体" w:cs="宋体"/>
          <w:color w:val="06071F"/>
          <w:kern w:val="0"/>
          <w:sz w:val="24"/>
          <w:szCs w:val="24"/>
        </w:rPr>
      </w:pPr>
      <w:r>
        <w:rPr>
          <w:rFonts w:hint="eastAsia" w:ascii="宋体" w:hAnsi="宋体" w:eastAsia="宋体" w:cs="宋体"/>
          <w:color w:val="06071F"/>
          <w:kern w:val="0"/>
          <w:sz w:val="24"/>
          <w:szCs w:val="24"/>
        </w:rPr>
        <w:t>通过实地勘察、与网络管理人员沟通以及查阅相关文档，绘制出当前全网的网络拓扑图，详细标注网络设备（路由器、交换机、防火墙等）、服务器、终端设备以及它们之间的连接关系。</w:t>
      </w:r>
    </w:p>
    <w:p w14:paraId="25B4BB0E">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color w:val="06071F"/>
          <w:kern w:val="0"/>
          <w:sz w:val="24"/>
          <w:szCs w:val="24"/>
        </w:rPr>
      </w:pPr>
      <w:r>
        <w:rPr>
          <w:rFonts w:hint="eastAsia" w:ascii="宋体" w:hAnsi="宋体" w:eastAsia="宋体" w:cs="宋体"/>
          <w:b/>
          <w:bCs/>
          <w:color w:val="06071F"/>
          <w:kern w:val="0"/>
          <w:sz w:val="24"/>
          <w:szCs w:val="24"/>
          <w:lang w:val="en-US" w:eastAsia="zh-CN"/>
        </w:rPr>
        <w:t>2.2</w:t>
      </w:r>
      <w:r>
        <w:rPr>
          <w:rFonts w:hint="eastAsia" w:ascii="宋体" w:hAnsi="宋体" w:eastAsia="宋体" w:cs="宋体"/>
          <w:b/>
          <w:bCs/>
          <w:color w:val="06071F"/>
          <w:kern w:val="0"/>
          <w:sz w:val="24"/>
          <w:szCs w:val="24"/>
        </w:rPr>
        <w:t>优化方案定制</w:t>
      </w:r>
    </w:p>
    <w:p w14:paraId="59B5ECBA">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ind w:left="0" w:leftChars="0" w:firstLine="540" w:firstLineChars="200"/>
        <w:jc w:val="left"/>
        <w:textAlignment w:val="auto"/>
        <w:outlineLvl w:val="9"/>
        <w:rPr>
          <w:rFonts w:hint="eastAsia" w:ascii="宋体" w:hAnsi="宋体" w:eastAsia="宋体" w:cs="宋体"/>
          <w:color w:val="06071F"/>
          <w:kern w:val="0"/>
          <w:sz w:val="24"/>
          <w:szCs w:val="24"/>
        </w:rPr>
      </w:pPr>
      <w:r>
        <w:rPr>
          <w:rFonts w:hint="eastAsia" w:ascii="宋体" w:hAnsi="宋体" w:eastAsia="宋体" w:cs="宋体"/>
          <w:color w:val="06071F"/>
          <w:kern w:val="0"/>
          <w:sz w:val="24"/>
          <w:szCs w:val="24"/>
        </w:rPr>
        <w:t>结合网络性能评估和业务需求分析的结果，制定详细的网络优化方案。方案内容包括网络架构调整建议（如增加冗余链路、优化网络分层结构等）、设备升级或替换计划、网络配置优化措施（如路由协议优化、安全策略调整等）以及安全策略优化建议。</w:t>
      </w:r>
    </w:p>
    <w:p w14:paraId="487C65FF">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color w:val="06071F"/>
          <w:kern w:val="0"/>
          <w:sz w:val="24"/>
          <w:szCs w:val="24"/>
        </w:rPr>
      </w:pPr>
      <w:r>
        <w:rPr>
          <w:rFonts w:hint="eastAsia" w:ascii="宋体" w:hAnsi="宋体" w:eastAsia="宋体" w:cs="宋体"/>
          <w:b/>
          <w:bCs/>
          <w:color w:val="06071F"/>
          <w:kern w:val="0"/>
          <w:sz w:val="24"/>
          <w:szCs w:val="24"/>
          <w:lang w:val="en-US" w:eastAsia="zh-CN"/>
        </w:rPr>
        <w:t>2.3</w:t>
      </w:r>
      <w:r>
        <w:rPr>
          <w:rFonts w:hint="eastAsia" w:ascii="宋体" w:hAnsi="宋体" w:eastAsia="宋体" w:cs="宋体"/>
          <w:b/>
          <w:bCs/>
          <w:color w:val="06071F"/>
          <w:kern w:val="0"/>
          <w:sz w:val="24"/>
          <w:szCs w:val="24"/>
        </w:rPr>
        <w:t>方案实施与验证</w:t>
      </w:r>
    </w:p>
    <w:p w14:paraId="2F865C62">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ind w:left="0" w:leftChars="0" w:firstLine="540" w:firstLineChars="200"/>
        <w:jc w:val="left"/>
        <w:textAlignment w:val="auto"/>
        <w:outlineLvl w:val="9"/>
        <w:rPr>
          <w:rFonts w:hint="eastAsia" w:ascii="宋体" w:hAnsi="宋体" w:eastAsia="宋体" w:cs="宋体"/>
          <w:color w:val="06071F"/>
          <w:kern w:val="0"/>
          <w:sz w:val="24"/>
          <w:szCs w:val="24"/>
        </w:rPr>
      </w:pPr>
      <w:r>
        <w:rPr>
          <w:rFonts w:hint="eastAsia" w:ascii="宋体" w:hAnsi="宋体" w:eastAsia="宋体" w:cs="宋体"/>
          <w:color w:val="06071F"/>
          <w:kern w:val="0"/>
          <w:sz w:val="24"/>
          <w:szCs w:val="24"/>
        </w:rPr>
        <w:t>按照优化方案逐步实施网络优化工作，在实施过程中密切关注网络运行状态，及时处理出现的问题。优化完成后，对网络进行再次测试和评估，验证优化效果是否达到预期目标。</w:t>
      </w:r>
    </w:p>
    <w:p w14:paraId="5F01DC55">
      <w:pPr>
        <w:keepNext w:val="0"/>
        <w:keepLines w:val="0"/>
        <w:pageBreakBefore w:val="0"/>
        <w:widowControl/>
        <w:shd w:val="clear" w:color="auto" w:fill="FDFDFE"/>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color w:val="05073B"/>
          <w:kern w:val="0"/>
          <w:sz w:val="28"/>
          <w:szCs w:val="28"/>
        </w:rPr>
      </w:pPr>
      <w:r>
        <w:rPr>
          <w:rFonts w:hint="eastAsia" w:ascii="宋体" w:hAnsi="宋体" w:eastAsia="宋体" w:cs="宋体"/>
          <w:b/>
          <w:bCs/>
          <w:color w:val="05073B"/>
          <w:kern w:val="0"/>
          <w:sz w:val="28"/>
          <w:szCs w:val="28"/>
        </w:rPr>
        <w:t>3. 路由器、交换机软件版本升级</w:t>
      </w:r>
    </w:p>
    <w:p w14:paraId="7B7015AB">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color w:val="06071F"/>
          <w:kern w:val="0"/>
          <w:sz w:val="24"/>
          <w:szCs w:val="24"/>
        </w:rPr>
      </w:pPr>
      <w:r>
        <w:rPr>
          <w:rFonts w:hint="eastAsia" w:ascii="宋体" w:hAnsi="宋体" w:eastAsia="宋体" w:cs="宋体"/>
          <w:b/>
          <w:bCs/>
          <w:color w:val="06071F"/>
          <w:kern w:val="0"/>
          <w:sz w:val="24"/>
          <w:szCs w:val="24"/>
          <w:lang w:val="en-US" w:eastAsia="zh-CN"/>
        </w:rPr>
        <w:t>3.1</w:t>
      </w:r>
      <w:r>
        <w:rPr>
          <w:rFonts w:hint="eastAsia" w:ascii="宋体" w:hAnsi="宋体" w:eastAsia="宋体" w:cs="宋体"/>
          <w:b/>
          <w:bCs/>
          <w:color w:val="06071F"/>
          <w:kern w:val="0"/>
          <w:sz w:val="24"/>
          <w:szCs w:val="24"/>
        </w:rPr>
        <w:t>版本调研与评估</w:t>
      </w:r>
    </w:p>
    <w:p w14:paraId="3BB43FDD">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ind w:left="0" w:leftChars="0" w:firstLine="540" w:firstLineChars="200"/>
        <w:jc w:val="left"/>
        <w:textAlignment w:val="auto"/>
        <w:outlineLvl w:val="9"/>
        <w:rPr>
          <w:rFonts w:hint="eastAsia" w:ascii="宋体" w:hAnsi="宋体" w:eastAsia="宋体" w:cs="宋体"/>
          <w:color w:val="06071F"/>
          <w:kern w:val="0"/>
          <w:sz w:val="24"/>
          <w:szCs w:val="24"/>
        </w:rPr>
      </w:pPr>
      <w:r>
        <w:rPr>
          <w:rFonts w:hint="eastAsia" w:ascii="宋体" w:hAnsi="宋体" w:eastAsia="宋体" w:cs="宋体"/>
          <w:color w:val="06071F"/>
          <w:kern w:val="0"/>
          <w:sz w:val="24"/>
          <w:szCs w:val="24"/>
        </w:rPr>
        <w:t>联系设备厂商，获取路由器和交换机的最新软件版本信息。仔细研究新版本的更新内容、功能改进以及可能存在的兼容性问题。评估升级新版本对现有网络的影响，确保升级后不会影响网络的正常运行。</w:t>
      </w:r>
    </w:p>
    <w:p w14:paraId="4CF484A9">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color w:val="06071F"/>
          <w:kern w:val="0"/>
          <w:sz w:val="24"/>
          <w:szCs w:val="24"/>
        </w:rPr>
      </w:pPr>
      <w:r>
        <w:rPr>
          <w:rFonts w:hint="eastAsia" w:ascii="宋体" w:hAnsi="宋体" w:eastAsia="宋体" w:cs="宋体"/>
          <w:b/>
          <w:bCs/>
          <w:color w:val="06071F"/>
          <w:kern w:val="0"/>
          <w:sz w:val="24"/>
          <w:szCs w:val="24"/>
          <w:lang w:val="en-US" w:eastAsia="zh-CN"/>
        </w:rPr>
        <w:t>3.2</w:t>
      </w:r>
      <w:r>
        <w:rPr>
          <w:rFonts w:hint="eastAsia" w:ascii="宋体" w:hAnsi="宋体" w:eastAsia="宋体" w:cs="宋体"/>
          <w:b/>
          <w:bCs/>
          <w:color w:val="06071F"/>
          <w:kern w:val="0"/>
          <w:sz w:val="24"/>
          <w:szCs w:val="24"/>
        </w:rPr>
        <w:t>备份</w:t>
      </w:r>
      <w:r>
        <w:rPr>
          <w:rFonts w:hint="eastAsia" w:ascii="宋体" w:hAnsi="宋体" w:eastAsia="宋体" w:cs="宋体"/>
          <w:b/>
          <w:bCs/>
          <w:color w:val="06071F"/>
          <w:kern w:val="0"/>
          <w:sz w:val="24"/>
          <w:szCs w:val="24"/>
          <w:lang w:val="en-US" w:eastAsia="zh-CN"/>
        </w:rPr>
        <w:t>配置</w:t>
      </w:r>
    </w:p>
    <w:p w14:paraId="6886575F">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ind w:left="0" w:leftChars="0" w:firstLine="540" w:firstLineChars="200"/>
        <w:jc w:val="left"/>
        <w:textAlignment w:val="auto"/>
        <w:outlineLvl w:val="9"/>
        <w:rPr>
          <w:rFonts w:hint="eastAsia" w:ascii="宋体" w:hAnsi="宋体" w:eastAsia="宋体" w:cs="宋体"/>
          <w:color w:val="06071F"/>
          <w:kern w:val="0"/>
          <w:sz w:val="24"/>
          <w:szCs w:val="24"/>
        </w:rPr>
      </w:pPr>
      <w:r>
        <w:rPr>
          <w:rFonts w:hint="eastAsia" w:ascii="宋体" w:hAnsi="宋体" w:eastAsia="宋体" w:cs="宋体"/>
          <w:color w:val="06071F"/>
          <w:kern w:val="0"/>
          <w:sz w:val="24"/>
          <w:szCs w:val="24"/>
        </w:rPr>
        <w:t>在进行软件版本升级前，对路由器和交换机的当前配置进行全面备份。备份内容包括配置文件、路由表、访问控制列表等关键信息，以防止升级过程中出现意外情况导致配置丢失。</w:t>
      </w:r>
    </w:p>
    <w:p w14:paraId="561F0389">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color w:val="06071F"/>
          <w:kern w:val="0"/>
          <w:sz w:val="24"/>
          <w:szCs w:val="24"/>
        </w:rPr>
      </w:pPr>
      <w:r>
        <w:rPr>
          <w:rFonts w:hint="eastAsia" w:ascii="宋体" w:hAnsi="宋体" w:eastAsia="宋体" w:cs="宋体"/>
          <w:b/>
          <w:bCs/>
          <w:color w:val="06071F"/>
          <w:kern w:val="0"/>
          <w:sz w:val="24"/>
          <w:szCs w:val="24"/>
          <w:lang w:val="en-US" w:eastAsia="zh-CN"/>
        </w:rPr>
        <w:t>3.3</w:t>
      </w:r>
      <w:r>
        <w:rPr>
          <w:rFonts w:hint="eastAsia" w:ascii="宋体" w:hAnsi="宋体" w:eastAsia="宋体" w:cs="宋体"/>
          <w:b/>
          <w:bCs/>
          <w:color w:val="06071F"/>
          <w:kern w:val="0"/>
          <w:sz w:val="24"/>
          <w:szCs w:val="24"/>
        </w:rPr>
        <w:t>升级计划制定</w:t>
      </w:r>
    </w:p>
    <w:p w14:paraId="0EC41FCE">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ind w:left="0" w:leftChars="0" w:firstLine="540" w:firstLineChars="200"/>
        <w:jc w:val="left"/>
        <w:textAlignment w:val="auto"/>
        <w:outlineLvl w:val="9"/>
        <w:rPr>
          <w:rFonts w:hint="eastAsia" w:ascii="宋体" w:hAnsi="宋体" w:eastAsia="宋体" w:cs="宋体"/>
          <w:color w:val="06071F"/>
          <w:kern w:val="0"/>
          <w:sz w:val="24"/>
          <w:szCs w:val="24"/>
        </w:rPr>
      </w:pPr>
      <w:r>
        <w:rPr>
          <w:rFonts w:hint="eastAsia" w:ascii="宋体" w:hAnsi="宋体" w:eastAsia="宋体" w:cs="宋体"/>
          <w:color w:val="06071F"/>
          <w:kern w:val="0"/>
          <w:sz w:val="24"/>
          <w:szCs w:val="24"/>
        </w:rPr>
        <w:t>制定详细的软件版本升级计划，明确升级时间、升级顺序（先升级核心设备，再升级接入设备）、人员分工以及应急处理措施。选择在网络负载较低的时间段进行升级，以减少对业务的影响。</w:t>
      </w:r>
    </w:p>
    <w:p w14:paraId="4185E049">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color w:val="06071F"/>
          <w:kern w:val="0"/>
          <w:sz w:val="24"/>
          <w:szCs w:val="24"/>
        </w:rPr>
      </w:pPr>
      <w:r>
        <w:rPr>
          <w:rFonts w:hint="eastAsia" w:ascii="宋体" w:hAnsi="宋体" w:eastAsia="宋体" w:cs="宋体"/>
          <w:b/>
          <w:bCs/>
          <w:color w:val="06071F"/>
          <w:kern w:val="0"/>
          <w:sz w:val="24"/>
          <w:szCs w:val="24"/>
          <w:lang w:val="en-US" w:eastAsia="zh-CN"/>
        </w:rPr>
        <w:t>3.4</w:t>
      </w:r>
      <w:r>
        <w:rPr>
          <w:rFonts w:hint="eastAsia" w:ascii="宋体" w:hAnsi="宋体" w:eastAsia="宋体" w:cs="宋体"/>
          <w:b/>
          <w:bCs/>
          <w:color w:val="06071F"/>
          <w:kern w:val="0"/>
          <w:sz w:val="24"/>
          <w:szCs w:val="24"/>
        </w:rPr>
        <w:t>升级实施</w:t>
      </w:r>
    </w:p>
    <w:p w14:paraId="32CEB408">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ind w:left="0" w:leftChars="0" w:firstLine="540" w:firstLineChars="200"/>
        <w:jc w:val="left"/>
        <w:textAlignment w:val="auto"/>
        <w:outlineLvl w:val="9"/>
        <w:rPr>
          <w:rFonts w:hint="eastAsia" w:ascii="宋体" w:hAnsi="宋体" w:eastAsia="宋体" w:cs="宋体"/>
          <w:color w:val="06071F"/>
          <w:kern w:val="0"/>
          <w:sz w:val="24"/>
          <w:szCs w:val="24"/>
        </w:rPr>
      </w:pPr>
      <w:r>
        <w:rPr>
          <w:rFonts w:hint="eastAsia" w:ascii="宋体" w:hAnsi="宋体" w:eastAsia="宋体" w:cs="宋体"/>
          <w:color w:val="06071F"/>
          <w:kern w:val="0"/>
          <w:sz w:val="24"/>
          <w:szCs w:val="24"/>
        </w:rPr>
        <w:t>按照升级计划，通过设备的管理界面或命令行界面进行软件版本升级。在升级过程中，密切关注设备的运行状态和升级进度，及时处理可能出现的错误提示。升级完成后，对设备进行重启，并检查设备是否正常启动。</w:t>
      </w:r>
    </w:p>
    <w:p w14:paraId="31FBF663">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color w:val="06071F"/>
          <w:kern w:val="0"/>
          <w:sz w:val="24"/>
          <w:szCs w:val="24"/>
        </w:rPr>
      </w:pPr>
      <w:r>
        <w:rPr>
          <w:rFonts w:hint="eastAsia" w:ascii="宋体" w:hAnsi="宋体" w:eastAsia="宋体" w:cs="宋体"/>
          <w:b/>
          <w:bCs/>
          <w:color w:val="06071F"/>
          <w:kern w:val="0"/>
          <w:sz w:val="24"/>
          <w:szCs w:val="24"/>
          <w:lang w:val="en-US" w:eastAsia="zh-CN"/>
        </w:rPr>
        <w:t>3.5</w:t>
      </w:r>
      <w:r>
        <w:rPr>
          <w:rFonts w:hint="eastAsia" w:ascii="宋体" w:hAnsi="宋体" w:eastAsia="宋体" w:cs="宋体"/>
          <w:b/>
          <w:bCs/>
          <w:color w:val="06071F"/>
          <w:kern w:val="0"/>
          <w:sz w:val="24"/>
          <w:szCs w:val="24"/>
        </w:rPr>
        <w:t>升级后</w:t>
      </w:r>
      <w:r>
        <w:rPr>
          <w:rFonts w:hint="eastAsia" w:ascii="宋体" w:hAnsi="宋体" w:eastAsia="宋体" w:cs="宋体"/>
          <w:b/>
          <w:bCs/>
          <w:color w:val="06071F"/>
          <w:kern w:val="0"/>
          <w:sz w:val="24"/>
          <w:szCs w:val="24"/>
          <w:lang w:val="en-US" w:eastAsia="zh-CN"/>
        </w:rPr>
        <w:t>验证</w:t>
      </w:r>
    </w:p>
    <w:p w14:paraId="5264DDB1">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ind w:left="0" w:leftChars="0" w:firstLine="540" w:firstLineChars="200"/>
        <w:jc w:val="left"/>
        <w:textAlignment w:val="auto"/>
        <w:outlineLvl w:val="9"/>
        <w:rPr>
          <w:rFonts w:hint="eastAsia" w:ascii="宋体" w:hAnsi="宋体" w:eastAsia="宋体" w:cs="宋体"/>
          <w:color w:val="06071F"/>
          <w:kern w:val="0"/>
          <w:sz w:val="24"/>
          <w:szCs w:val="24"/>
        </w:rPr>
      </w:pPr>
      <w:r>
        <w:rPr>
          <w:rFonts w:hint="eastAsia" w:ascii="宋体" w:hAnsi="宋体" w:eastAsia="宋体" w:cs="宋体"/>
          <w:color w:val="06071F"/>
          <w:kern w:val="0"/>
          <w:sz w:val="24"/>
          <w:szCs w:val="24"/>
        </w:rPr>
        <w:t>设备重启后，对路由器和交换机进行全面测试，验证各项功能是否正常。检查网络连接是否畅通，路由表是否正确，访问控制列表是否生效等。同时，观察网络性能指标，确保升级后网络性能没有下降。</w:t>
      </w:r>
    </w:p>
    <w:p w14:paraId="4259433E">
      <w:pPr>
        <w:keepNext w:val="0"/>
        <w:keepLines w:val="0"/>
        <w:pageBreakBefore w:val="0"/>
        <w:widowControl/>
        <w:shd w:val="clear" w:color="auto" w:fill="FDFDFE"/>
        <w:kinsoku/>
        <w:wordWrap/>
        <w:overflowPunct/>
        <w:topLinePunct w:val="0"/>
        <w:autoSpaceDE/>
        <w:autoSpaceDN/>
        <w:bidi w:val="0"/>
        <w:adjustRightInd/>
        <w:snapToGrid/>
        <w:spacing w:before="210" w:after="120" w:line="360" w:lineRule="auto"/>
        <w:jc w:val="left"/>
        <w:textAlignment w:val="auto"/>
        <w:outlineLvl w:val="9"/>
        <w:rPr>
          <w:rFonts w:hint="eastAsia" w:ascii="宋体" w:hAnsi="宋体" w:eastAsia="宋体" w:cs="宋体"/>
          <w:b/>
          <w:bCs/>
          <w:color w:val="05073B"/>
          <w:kern w:val="0"/>
          <w:sz w:val="28"/>
          <w:szCs w:val="28"/>
        </w:rPr>
      </w:pPr>
      <w:r>
        <w:rPr>
          <w:rFonts w:hint="eastAsia" w:ascii="宋体" w:hAnsi="宋体" w:eastAsia="宋体" w:cs="宋体"/>
          <w:b/>
          <w:bCs/>
          <w:color w:val="05073B"/>
          <w:kern w:val="0"/>
          <w:sz w:val="28"/>
          <w:szCs w:val="28"/>
        </w:rPr>
        <w:t>4. 安全设备授权激活，更新特征库</w:t>
      </w:r>
    </w:p>
    <w:p w14:paraId="6FEDA797">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color w:val="06071F"/>
          <w:kern w:val="0"/>
          <w:sz w:val="24"/>
          <w:szCs w:val="24"/>
        </w:rPr>
      </w:pPr>
      <w:r>
        <w:rPr>
          <w:rFonts w:hint="eastAsia" w:ascii="宋体" w:hAnsi="宋体" w:eastAsia="宋体" w:cs="宋体"/>
          <w:b/>
          <w:bCs/>
          <w:color w:val="06071F"/>
          <w:kern w:val="0"/>
          <w:sz w:val="24"/>
          <w:szCs w:val="24"/>
          <w:lang w:val="en-US" w:eastAsia="zh-CN"/>
        </w:rPr>
        <w:t>4.1</w:t>
      </w:r>
      <w:r>
        <w:rPr>
          <w:rFonts w:hint="eastAsia" w:ascii="宋体" w:hAnsi="宋体" w:eastAsia="宋体" w:cs="宋体"/>
          <w:b/>
          <w:bCs/>
          <w:color w:val="06071F"/>
          <w:kern w:val="0"/>
          <w:sz w:val="24"/>
          <w:szCs w:val="24"/>
        </w:rPr>
        <w:t>授权</w:t>
      </w:r>
      <w:r>
        <w:rPr>
          <w:rFonts w:hint="eastAsia" w:ascii="宋体" w:hAnsi="宋体" w:eastAsia="宋体" w:cs="宋体"/>
          <w:b/>
          <w:bCs/>
          <w:color w:val="06071F"/>
          <w:kern w:val="0"/>
          <w:sz w:val="24"/>
          <w:szCs w:val="24"/>
          <w:lang w:val="en-US" w:eastAsia="zh-CN"/>
        </w:rPr>
        <w:t>激活</w:t>
      </w:r>
    </w:p>
    <w:p w14:paraId="776DDEF3">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ind w:left="0" w:leftChars="0" w:firstLine="540" w:firstLineChars="200"/>
        <w:jc w:val="left"/>
        <w:textAlignment w:val="auto"/>
        <w:outlineLvl w:val="9"/>
        <w:rPr>
          <w:rFonts w:hint="eastAsia" w:ascii="宋体" w:hAnsi="宋体" w:eastAsia="宋体" w:cs="宋体"/>
          <w:color w:val="06071F"/>
          <w:kern w:val="0"/>
          <w:sz w:val="24"/>
          <w:szCs w:val="24"/>
        </w:rPr>
      </w:pPr>
      <w:r>
        <w:rPr>
          <w:rFonts w:hint="eastAsia" w:ascii="宋体" w:hAnsi="宋体" w:eastAsia="宋体" w:cs="宋体"/>
          <w:color w:val="06071F"/>
          <w:kern w:val="0"/>
          <w:sz w:val="24"/>
          <w:szCs w:val="24"/>
        </w:rPr>
        <w:t>收集安全设备（如防火墙、入侵检测系统、防病毒网关等）的授权信息，包括授权码、授权期限等。按照设备厂商提供的操作指南，对安全设备进行授权激活。在激活过程中，确保输入的授权信息准确无误，避免因授权问题导致设备无法正常使用。</w:t>
      </w:r>
    </w:p>
    <w:p w14:paraId="014A4E03">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color w:val="06071F"/>
          <w:kern w:val="0"/>
          <w:sz w:val="24"/>
          <w:szCs w:val="24"/>
        </w:rPr>
      </w:pPr>
      <w:r>
        <w:rPr>
          <w:rFonts w:hint="eastAsia" w:ascii="宋体" w:hAnsi="宋体" w:eastAsia="宋体" w:cs="宋体"/>
          <w:b/>
          <w:bCs/>
          <w:color w:val="06071F"/>
          <w:kern w:val="0"/>
          <w:sz w:val="24"/>
          <w:szCs w:val="24"/>
          <w:lang w:val="en-US" w:eastAsia="zh-CN"/>
        </w:rPr>
        <w:t>4.2</w:t>
      </w:r>
      <w:r>
        <w:rPr>
          <w:rFonts w:hint="eastAsia" w:ascii="宋体" w:hAnsi="宋体" w:eastAsia="宋体" w:cs="宋体"/>
          <w:b/>
          <w:bCs/>
          <w:color w:val="06071F"/>
          <w:kern w:val="0"/>
          <w:sz w:val="24"/>
          <w:szCs w:val="24"/>
        </w:rPr>
        <w:t>特征库更新</w:t>
      </w:r>
    </w:p>
    <w:p w14:paraId="088A7C6E">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ind w:left="0" w:leftChars="0" w:firstLine="540" w:firstLineChars="200"/>
        <w:jc w:val="left"/>
        <w:textAlignment w:val="auto"/>
        <w:outlineLvl w:val="9"/>
        <w:rPr>
          <w:rFonts w:hint="eastAsia" w:ascii="宋体" w:hAnsi="宋体" w:eastAsia="宋体" w:cs="宋体"/>
          <w:color w:val="06071F"/>
          <w:kern w:val="0"/>
          <w:sz w:val="24"/>
          <w:szCs w:val="24"/>
        </w:rPr>
      </w:pPr>
      <w:r>
        <w:rPr>
          <w:rFonts w:hint="eastAsia" w:ascii="宋体" w:hAnsi="宋体" w:eastAsia="宋体" w:cs="宋体"/>
          <w:color w:val="06071F"/>
          <w:kern w:val="0"/>
          <w:sz w:val="24"/>
          <w:szCs w:val="24"/>
        </w:rPr>
        <w:t>建立定期更新安全设备特征库的机制。通过设备的管理界面或厂商提供的更新工具，及时下载并安装最新的特征库文件。更新内容包括病毒特征库、入侵攻击特征库、恶意软件特征库等，以确保安全设备能够及时识别和防范最新的安全威胁。</w:t>
      </w:r>
    </w:p>
    <w:p w14:paraId="75AE3BF7">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color w:val="06071F"/>
          <w:kern w:val="0"/>
          <w:sz w:val="24"/>
          <w:szCs w:val="24"/>
        </w:rPr>
      </w:pPr>
      <w:r>
        <w:rPr>
          <w:rFonts w:hint="eastAsia" w:ascii="宋体" w:hAnsi="宋体" w:eastAsia="宋体" w:cs="宋体"/>
          <w:b/>
          <w:bCs/>
          <w:color w:val="06071F"/>
          <w:kern w:val="0"/>
          <w:sz w:val="24"/>
          <w:szCs w:val="24"/>
          <w:lang w:val="en-US" w:eastAsia="zh-CN"/>
        </w:rPr>
        <w:t>4.3</w:t>
      </w:r>
      <w:r>
        <w:rPr>
          <w:rFonts w:hint="eastAsia" w:ascii="宋体" w:hAnsi="宋体" w:eastAsia="宋体" w:cs="宋体"/>
          <w:b/>
          <w:bCs/>
          <w:color w:val="06071F"/>
          <w:kern w:val="0"/>
          <w:sz w:val="24"/>
          <w:szCs w:val="24"/>
        </w:rPr>
        <w:t>安全策略检查</w:t>
      </w:r>
    </w:p>
    <w:p w14:paraId="3F408D46">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ind w:left="0" w:leftChars="0" w:firstLine="540" w:firstLineChars="200"/>
        <w:jc w:val="left"/>
        <w:textAlignment w:val="auto"/>
        <w:outlineLvl w:val="9"/>
        <w:rPr>
          <w:rFonts w:hint="eastAsia" w:ascii="宋体" w:hAnsi="宋体" w:eastAsia="宋体" w:cs="宋体"/>
          <w:color w:val="06071F"/>
          <w:kern w:val="0"/>
          <w:sz w:val="24"/>
          <w:szCs w:val="24"/>
        </w:rPr>
      </w:pPr>
      <w:r>
        <w:rPr>
          <w:rFonts w:hint="eastAsia" w:ascii="宋体" w:hAnsi="宋体" w:eastAsia="宋体" w:cs="宋体"/>
          <w:color w:val="06071F"/>
          <w:kern w:val="0"/>
          <w:sz w:val="24"/>
          <w:szCs w:val="24"/>
        </w:rPr>
        <w:t>在更新特征库后，对安全设备的安全策略进行全面检查。根据最新的安全威胁情报和业务需求，调整安全策略，确保安全策略的有效性和针对性。例如，更新防火墙的访问控制规则，加强对特定端口和协议的访问限制；优化入侵检测系统的检测规则，提高对新型攻击的检测能力。</w:t>
      </w:r>
    </w:p>
    <w:p w14:paraId="518B642C">
      <w:pPr>
        <w:keepNext w:val="0"/>
        <w:keepLines w:val="0"/>
        <w:pageBreakBefore w:val="0"/>
        <w:widowControl/>
        <w:shd w:val="clear" w:color="auto" w:fill="FDFDFE"/>
        <w:kinsoku/>
        <w:wordWrap/>
        <w:overflowPunct/>
        <w:topLinePunct w:val="0"/>
        <w:autoSpaceDE/>
        <w:autoSpaceDN/>
        <w:bidi w:val="0"/>
        <w:adjustRightInd/>
        <w:snapToGrid/>
        <w:spacing w:before="210" w:after="120" w:line="360" w:lineRule="auto"/>
        <w:jc w:val="left"/>
        <w:textAlignment w:val="auto"/>
        <w:outlineLvl w:val="9"/>
        <w:rPr>
          <w:rFonts w:hint="eastAsia" w:ascii="宋体" w:hAnsi="宋体" w:eastAsia="宋体" w:cs="宋体"/>
          <w:b/>
          <w:bCs/>
          <w:color w:val="05073B"/>
          <w:kern w:val="0"/>
          <w:sz w:val="28"/>
          <w:szCs w:val="28"/>
        </w:rPr>
      </w:pPr>
      <w:r>
        <w:rPr>
          <w:rFonts w:hint="eastAsia" w:ascii="宋体" w:hAnsi="宋体" w:eastAsia="宋体" w:cs="宋体"/>
          <w:b/>
          <w:bCs/>
          <w:color w:val="05073B"/>
          <w:kern w:val="0"/>
          <w:sz w:val="28"/>
          <w:szCs w:val="28"/>
        </w:rPr>
        <w:t>5. 优化设备配置，清理无用的垃圾配置</w:t>
      </w:r>
    </w:p>
    <w:p w14:paraId="51A8D842">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color w:val="06071F"/>
          <w:kern w:val="0"/>
          <w:sz w:val="24"/>
          <w:szCs w:val="24"/>
        </w:rPr>
      </w:pPr>
      <w:r>
        <w:rPr>
          <w:rFonts w:hint="eastAsia" w:ascii="宋体" w:hAnsi="宋体" w:eastAsia="宋体" w:cs="宋体"/>
          <w:b/>
          <w:bCs/>
          <w:color w:val="06071F"/>
          <w:kern w:val="0"/>
          <w:sz w:val="24"/>
          <w:szCs w:val="24"/>
          <w:lang w:val="en-US" w:eastAsia="zh-CN"/>
        </w:rPr>
        <w:t>5.1</w:t>
      </w:r>
      <w:r>
        <w:rPr>
          <w:rFonts w:hint="eastAsia" w:ascii="宋体" w:hAnsi="宋体" w:eastAsia="宋体" w:cs="宋体"/>
          <w:b/>
          <w:bCs/>
          <w:color w:val="06071F"/>
          <w:kern w:val="0"/>
          <w:sz w:val="24"/>
          <w:szCs w:val="24"/>
        </w:rPr>
        <w:t>配置审查</w:t>
      </w:r>
    </w:p>
    <w:p w14:paraId="59239F28">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ind w:left="0" w:leftChars="0" w:firstLine="540" w:firstLineChars="200"/>
        <w:jc w:val="left"/>
        <w:textAlignment w:val="auto"/>
        <w:outlineLvl w:val="9"/>
        <w:rPr>
          <w:rFonts w:hint="eastAsia" w:ascii="宋体" w:hAnsi="宋体" w:eastAsia="宋体" w:cs="宋体"/>
          <w:color w:val="06071F"/>
          <w:kern w:val="0"/>
          <w:sz w:val="24"/>
          <w:szCs w:val="24"/>
        </w:rPr>
      </w:pPr>
      <w:r>
        <w:rPr>
          <w:rFonts w:hint="eastAsia" w:ascii="宋体" w:hAnsi="宋体" w:eastAsia="宋体" w:cs="宋体"/>
          <w:color w:val="06071F"/>
          <w:kern w:val="0"/>
          <w:sz w:val="24"/>
          <w:szCs w:val="24"/>
        </w:rPr>
        <w:t>组织专业技术人员对机房内所有网络设备和安全设备的配置进行全面审查。通过查看设备的配置文件，分析配置项的合理性和必要性，找出无用的垃圾配置，如过时的路由条目、无效的访问控制列表规则、冗余的接口配置等。</w:t>
      </w:r>
    </w:p>
    <w:p w14:paraId="3CA87423">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color w:val="06071F"/>
          <w:kern w:val="0"/>
          <w:sz w:val="24"/>
          <w:szCs w:val="24"/>
        </w:rPr>
      </w:pPr>
      <w:r>
        <w:rPr>
          <w:rFonts w:hint="eastAsia" w:ascii="宋体" w:hAnsi="宋体" w:eastAsia="宋体" w:cs="宋体"/>
          <w:b/>
          <w:bCs/>
          <w:color w:val="06071F"/>
          <w:kern w:val="0"/>
          <w:sz w:val="24"/>
          <w:szCs w:val="24"/>
          <w:lang w:val="en-US" w:eastAsia="zh-CN"/>
        </w:rPr>
        <w:t>5.2</w:t>
      </w:r>
      <w:r>
        <w:rPr>
          <w:rFonts w:hint="eastAsia" w:ascii="宋体" w:hAnsi="宋体" w:eastAsia="宋体" w:cs="宋体"/>
          <w:b/>
          <w:bCs/>
          <w:color w:val="06071F"/>
          <w:kern w:val="0"/>
          <w:sz w:val="24"/>
          <w:szCs w:val="24"/>
        </w:rPr>
        <w:t>配置</w:t>
      </w:r>
      <w:r>
        <w:rPr>
          <w:rFonts w:hint="eastAsia" w:ascii="宋体" w:hAnsi="宋体" w:eastAsia="宋体" w:cs="宋体"/>
          <w:b/>
          <w:bCs/>
          <w:color w:val="06071F"/>
          <w:kern w:val="0"/>
          <w:sz w:val="24"/>
          <w:szCs w:val="24"/>
          <w:lang w:val="en-US" w:eastAsia="zh-CN"/>
        </w:rPr>
        <w:t>优化</w:t>
      </w:r>
    </w:p>
    <w:p w14:paraId="1E4F5300">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ind w:left="0" w:leftChars="0" w:firstLine="540" w:firstLineChars="200"/>
        <w:jc w:val="left"/>
        <w:textAlignment w:val="auto"/>
        <w:outlineLvl w:val="9"/>
        <w:rPr>
          <w:rFonts w:hint="eastAsia" w:ascii="宋体" w:hAnsi="宋体" w:eastAsia="宋体" w:cs="宋体"/>
          <w:color w:val="06071F"/>
          <w:kern w:val="0"/>
          <w:sz w:val="24"/>
          <w:szCs w:val="24"/>
        </w:rPr>
      </w:pPr>
      <w:r>
        <w:rPr>
          <w:rFonts w:hint="eastAsia" w:ascii="宋体" w:hAnsi="宋体" w:eastAsia="宋体" w:cs="宋体"/>
          <w:color w:val="06071F"/>
          <w:kern w:val="0"/>
          <w:sz w:val="24"/>
          <w:szCs w:val="24"/>
        </w:rPr>
        <w:t>根据审查结果，对设备配置进行优化。删除无用的垃圾配置，简化配置结构，提高配置的可读性和可维护性。同时，对配置参数进行调整和优化，以提高设备的性能和安全性。例如，优化路由协议的参数设置，提高路由收敛速度；调整交换机的端口配置，优化网络带宽分配。</w:t>
      </w:r>
    </w:p>
    <w:p w14:paraId="2B5A8029">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color w:val="06071F"/>
          <w:kern w:val="0"/>
          <w:sz w:val="24"/>
          <w:szCs w:val="24"/>
        </w:rPr>
      </w:pPr>
      <w:r>
        <w:rPr>
          <w:rFonts w:hint="eastAsia" w:ascii="宋体" w:hAnsi="宋体" w:eastAsia="宋体" w:cs="宋体"/>
          <w:b/>
          <w:bCs/>
          <w:color w:val="06071F"/>
          <w:kern w:val="0"/>
          <w:sz w:val="24"/>
          <w:szCs w:val="24"/>
          <w:lang w:val="en-US" w:eastAsia="zh-CN"/>
        </w:rPr>
        <w:t>5.3</w:t>
      </w:r>
      <w:r>
        <w:rPr>
          <w:rFonts w:hint="eastAsia" w:ascii="宋体" w:hAnsi="宋体" w:eastAsia="宋体" w:cs="宋体"/>
          <w:b/>
          <w:bCs/>
          <w:color w:val="06071F"/>
          <w:kern w:val="0"/>
          <w:sz w:val="24"/>
          <w:szCs w:val="24"/>
        </w:rPr>
        <w:t>配置备份与验证</w:t>
      </w:r>
    </w:p>
    <w:p w14:paraId="27032049">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ind w:left="0" w:leftChars="0" w:firstLine="540" w:firstLineChars="200"/>
        <w:jc w:val="left"/>
        <w:textAlignment w:val="auto"/>
        <w:outlineLvl w:val="9"/>
        <w:rPr>
          <w:rFonts w:hint="eastAsia" w:ascii="宋体" w:hAnsi="宋体" w:eastAsia="宋体" w:cs="宋体"/>
          <w:color w:val="06071F"/>
          <w:kern w:val="0"/>
          <w:sz w:val="24"/>
          <w:szCs w:val="24"/>
        </w:rPr>
      </w:pPr>
      <w:r>
        <w:rPr>
          <w:rFonts w:hint="eastAsia" w:ascii="宋体" w:hAnsi="宋体" w:eastAsia="宋体" w:cs="宋体"/>
          <w:color w:val="06071F"/>
          <w:kern w:val="0"/>
          <w:sz w:val="24"/>
          <w:szCs w:val="24"/>
        </w:rPr>
        <w:t>在完成配置优化后，对设备的配置进行再次备份。备份完成后，对设备进行重启，并验证优化后的配置是否生效。检查设备的各项功能是否正常，网络连接是否畅通，确保配置优化不会对网络造成负面影响。</w:t>
      </w:r>
    </w:p>
    <w:p w14:paraId="5F9D3C30">
      <w:pPr>
        <w:keepNext w:val="0"/>
        <w:keepLines w:val="0"/>
        <w:pageBreakBefore w:val="0"/>
        <w:widowControl/>
        <w:shd w:val="clear" w:color="auto" w:fill="FDFDFE"/>
        <w:kinsoku/>
        <w:wordWrap/>
        <w:overflowPunct/>
        <w:topLinePunct w:val="0"/>
        <w:autoSpaceDE/>
        <w:autoSpaceDN/>
        <w:bidi w:val="0"/>
        <w:adjustRightInd/>
        <w:snapToGrid/>
        <w:spacing w:before="210" w:after="120" w:line="360" w:lineRule="auto"/>
        <w:jc w:val="left"/>
        <w:textAlignment w:val="auto"/>
        <w:outlineLvl w:val="9"/>
        <w:rPr>
          <w:rFonts w:hint="eastAsia" w:ascii="宋体" w:hAnsi="宋体" w:eastAsia="宋体" w:cs="宋体"/>
          <w:b/>
          <w:bCs/>
          <w:color w:val="05073B"/>
          <w:kern w:val="0"/>
          <w:sz w:val="28"/>
          <w:szCs w:val="28"/>
        </w:rPr>
      </w:pPr>
      <w:r>
        <w:rPr>
          <w:rFonts w:hint="eastAsia" w:ascii="宋体" w:hAnsi="宋体" w:eastAsia="宋体" w:cs="宋体"/>
          <w:b/>
          <w:bCs/>
          <w:color w:val="05073B"/>
          <w:kern w:val="0"/>
          <w:sz w:val="28"/>
          <w:szCs w:val="28"/>
        </w:rPr>
        <w:t>6. 细化安全设备策略</w:t>
      </w:r>
    </w:p>
    <w:p w14:paraId="7E371EF4">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color w:val="06071F"/>
          <w:kern w:val="0"/>
          <w:sz w:val="24"/>
          <w:szCs w:val="24"/>
        </w:rPr>
      </w:pPr>
      <w:r>
        <w:rPr>
          <w:rFonts w:hint="eastAsia" w:ascii="宋体" w:hAnsi="宋体" w:eastAsia="宋体" w:cs="宋体"/>
          <w:b/>
          <w:bCs/>
          <w:color w:val="06071F"/>
          <w:kern w:val="0"/>
          <w:sz w:val="24"/>
          <w:szCs w:val="24"/>
          <w:lang w:val="en-US" w:eastAsia="zh-CN"/>
        </w:rPr>
        <w:t>6.1</w:t>
      </w:r>
      <w:r>
        <w:rPr>
          <w:rFonts w:hint="eastAsia" w:ascii="宋体" w:hAnsi="宋体" w:eastAsia="宋体" w:cs="宋体"/>
          <w:b/>
          <w:bCs/>
          <w:color w:val="06071F"/>
          <w:kern w:val="0"/>
          <w:sz w:val="24"/>
          <w:szCs w:val="24"/>
        </w:rPr>
        <w:t>策略梳理</w:t>
      </w:r>
    </w:p>
    <w:p w14:paraId="711932B8">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ind w:left="0" w:leftChars="0" w:firstLine="540" w:firstLineChars="200"/>
        <w:jc w:val="left"/>
        <w:textAlignment w:val="auto"/>
        <w:outlineLvl w:val="9"/>
        <w:rPr>
          <w:rFonts w:hint="eastAsia" w:ascii="宋体" w:hAnsi="宋体" w:eastAsia="宋体" w:cs="宋体"/>
          <w:color w:val="06071F"/>
          <w:kern w:val="0"/>
          <w:sz w:val="24"/>
          <w:szCs w:val="24"/>
        </w:rPr>
      </w:pPr>
      <w:r>
        <w:rPr>
          <w:rFonts w:hint="eastAsia" w:ascii="宋体" w:hAnsi="宋体" w:eastAsia="宋体" w:cs="宋体"/>
          <w:color w:val="06071F"/>
          <w:kern w:val="0"/>
          <w:sz w:val="24"/>
          <w:szCs w:val="24"/>
        </w:rPr>
        <w:t>对现有的安全设备策略进行全面梳理，包括防火墙的访问控制策略、入侵检测系统的检测策略、防病毒网关的过滤策略等。详细记录每条策略的规则内容、适用范围、生效时间等信息，形成策略清单。</w:t>
      </w:r>
    </w:p>
    <w:p w14:paraId="1396B441">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color w:val="06071F"/>
          <w:kern w:val="0"/>
          <w:sz w:val="24"/>
          <w:szCs w:val="24"/>
        </w:rPr>
      </w:pPr>
      <w:r>
        <w:rPr>
          <w:rFonts w:hint="eastAsia" w:ascii="宋体" w:hAnsi="宋体" w:eastAsia="宋体" w:cs="宋体"/>
          <w:b/>
          <w:bCs/>
          <w:color w:val="06071F"/>
          <w:kern w:val="0"/>
          <w:sz w:val="24"/>
          <w:szCs w:val="24"/>
          <w:lang w:val="en-US" w:eastAsia="zh-CN"/>
        </w:rPr>
        <w:t>6.2</w:t>
      </w:r>
      <w:r>
        <w:rPr>
          <w:rFonts w:hint="eastAsia" w:ascii="宋体" w:hAnsi="宋体" w:eastAsia="宋体" w:cs="宋体"/>
          <w:b/>
          <w:bCs/>
          <w:color w:val="06071F"/>
          <w:kern w:val="0"/>
          <w:sz w:val="24"/>
          <w:szCs w:val="24"/>
        </w:rPr>
        <w:t>需求分析</w:t>
      </w:r>
    </w:p>
    <w:p w14:paraId="454B9182">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ind w:left="0" w:leftChars="0" w:firstLine="540" w:firstLineChars="200"/>
        <w:jc w:val="left"/>
        <w:textAlignment w:val="auto"/>
        <w:outlineLvl w:val="9"/>
        <w:rPr>
          <w:rFonts w:hint="eastAsia" w:ascii="宋体" w:hAnsi="宋体" w:eastAsia="宋体" w:cs="宋体"/>
          <w:color w:val="06071F"/>
          <w:kern w:val="0"/>
          <w:sz w:val="24"/>
          <w:szCs w:val="24"/>
        </w:rPr>
      </w:pPr>
      <w:r>
        <w:rPr>
          <w:rFonts w:hint="eastAsia" w:ascii="宋体" w:hAnsi="宋体" w:eastAsia="宋体" w:cs="宋体"/>
          <w:color w:val="06071F"/>
          <w:kern w:val="0"/>
          <w:sz w:val="24"/>
          <w:szCs w:val="24"/>
        </w:rPr>
        <w:t>与业务部门和安全管理部门进行沟通，了解其对安全策略的具体需求。结合网络安全威胁情报和行业最佳实践，分析现有安全策略的不足之处，确定需要细化的策略方向。</w:t>
      </w:r>
    </w:p>
    <w:p w14:paraId="24774A1F">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color w:val="06071F"/>
          <w:kern w:val="0"/>
          <w:sz w:val="24"/>
          <w:szCs w:val="24"/>
        </w:rPr>
      </w:pPr>
      <w:r>
        <w:rPr>
          <w:rFonts w:hint="eastAsia" w:ascii="宋体" w:hAnsi="宋体" w:eastAsia="宋体" w:cs="宋体"/>
          <w:b/>
          <w:bCs/>
          <w:color w:val="06071F"/>
          <w:kern w:val="0"/>
          <w:sz w:val="24"/>
          <w:szCs w:val="24"/>
          <w:lang w:val="en-US" w:eastAsia="zh-CN"/>
        </w:rPr>
        <w:t>6.3</w:t>
      </w:r>
      <w:r>
        <w:rPr>
          <w:rFonts w:hint="eastAsia" w:ascii="宋体" w:hAnsi="宋体" w:eastAsia="宋体" w:cs="宋体"/>
          <w:b/>
          <w:bCs/>
          <w:color w:val="06071F"/>
          <w:kern w:val="0"/>
          <w:sz w:val="24"/>
          <w:szCs w:val="24"/>
        </w:rPr>
        <w:t>策略</w:t>
      </w:r>
      <w:r>
        <w:rPr>
          <w:rFonts w:hint="eastAsia" w:ascii="宋体" w:hAnsi="宋体" w:eastAsia="宋体" w:cs="宋体"/>
          <w:b/>
          <w:bCs/>
          <w:color w:val="06071F"/>
          <w:kern w:val="0"/>
          <w:sz w:val="24"/>
          <w:szCs w:val="24"/>
          <w:lang w:val="en-US" w:eastAsia="zh-CN"/>
        </w:rPr>
        <w:t>细化</w:t>
      </w:r>
    </w:p>
    <w:p w14:paraId="5A2F93E1">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ind w:left="0" w:leftChars="0" w:firstLine="540" w:firstLineChars="200"/>
        <w:jc w:val="left"/>
        <w:textAlignment w:val="auto"/>
        <w:outlineLvl w:val="9"/>
        <w:rPr>
          <w:rFonts w:hint="eastAsia" w:ascii="宋体" w:hAnsi="宋体" w:eastAsia="宋体" w:cs="宋体"/>
          <w:color w:val="06071F"/>
          <w:kern w:val="0"/>
          <w:sz w:val="24"/>
          <w:szCs w:val="24"/>
        </w:rPr>
      </w:pPr>
      <w:r>
        <w:rPr>
          <w:rFonts w:hint="eastAsia" w:ascii="宋体" w:hAnsi="宋体" w:eastAsia="宋体" w:cs="宋体"/>
          <w:color w:val="06071F"/>
          <w:kern w:val="0"/>
          <w:sz w:val="24"/>
          <w:szCs w:val="24"/>
        </w:rPr>
        <w:t>根据需求分析的结果，对安全设备策略进行细化。例如，在防火墙的访问控制策略中，增加对特定应用程序的访问限制；在入侵检测系统的检测策略中，增加对新型攻击行为的检测规则；在防病毒网关的过滤策略中，优化对恶意文件的过滤规则。同时，对策略的优先级进行合理设置，确保重要策略能够优先生效。</w:t>
      </w:r>
    </w:p>
    <w:p w14:paraId="25CBB249">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color w:val="06071F"/>
          <w:kern w:val="0"/>
          <w:sz w:val="24"/>
          <w:szCs w:val="24"/>
        </w:rPr>
      </w:pPr>
      <w:r>
        <w:rPr>
          <w:rFonts w:hint="eastAsia" w:ascii="宋体" w:hAnsi="宋体" w:eastAsia="宋体" w:cs="宋体"/>
          <w:b/>
          <w:bCs/>
          <w:color w:val="06071F"/>
          <w:kern w:val="0"/>
          <w:sz w:val="24"/>
          <w:szCs w:val="24"/>
          <w:lang w:val="en-US" w:eastAsia="zh-CN"/>
        </w:rPr>
        <w:t>6.4</w:t>
      </w:r>
      <w:r>
        <w:rPr>
          <w:rFonts w:hint="eastAsia" w:ascii="宋体" w:hAnsi="宋体" w:eastAsia="宋体" w:cs="宋体"/>
          <w:b/>
          <w:bCs/>
          <w:color w:val="06071F"/>
          <w:kern w:val="0"/>
          <w:sz w:val="24"/>
          <w:szCs w:val="24"/>
        </w:rPr>
        <w:t>策略测试与优化</w:t>
      </w:r>
    </w:p>
    <w:p w14:paraId="1C7E6223">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ind w:left="0" w:leftChars="0" w:firstLine="540" w:firstLineChars="200"/>
        <w:jc w:val="left"/>
        <w:textAlignment w:val="auto"/>
        <w:outlineLvl w:val="9"/>
        <w:rPr>
          <w:rFonts w:hint="eastAsia" w:ascii="宋体" w:hAnsi="宋体" w:eastAsia="宋体" w:cs="宋体"/>
          <w:color w:val="06071F"/>
          <w:kern w:val="0"/>
          <w:sz w:val="24"/>
          <w:szCs w:val="24"/>
        </w:rPr>
      </w:pPr>
      <w:r>
        <w:rPr>
          <w:rFonts w:hint="eastAsia" w:ascii="宋体" w:hAnsi="宋体" w:eastAsia="宋体" w:cs="宋体"/>
          <w:color w:val="06071F"/>
          <w:kern w:val="0"/>
          <w:sz w:val="24"/>
          <w:szCs w:val="24"/>
        </w:rPr>
        <w:t>在细化安全设备策略后，对策略进行测试、验证策略的有效性和准确性。根据测试结果，对策略进行优化和调整，确保策略既能够有效防范安全威胁，又不会对正常业务造成过多的限制。</w:t>
      </w:r>
    </w:p>
    <w:p w14:paraId="1A18B825">
      <w:pPr>
        <w:keepNext w:val="0"/>
        <w:keepLines w:val="0"/>
        <w:pageBreakBefore w:val="0"/>
        <w:widowControl/>
        <w:shd w:val="clear" w:color="auto" w:fill="FDFDFE"/>
        <w:kinsoku/>
        <w:wordWrap/>
        <w:overflowPunct/>
        <w:topLinePunct w:val="0"/>
        <w:autoSpaceDE/>
        <w:autoSpaceDN/>
        <w:bidi w:val="0"/>
        <w:adjustRightInd/>
        <w:snapToGrid/>
        <w:spacing w:before="210" w:after="120" w:line="360" w:lineRule="auto"/>
        <w:jc w:val="left"/>
        <w:textAlignment w:val="auto"/>
        <w:outlineLvl w:val="9"/>
        <w:rPr>
          <w:rFonts w:hint="eastAsia" w:ascii="宋体" w:hAnsi="宋体" w:eastAsia="宋体" w:cs="宋体"/>
          <w:b/>
          <w:bCs/>
          <w:color w:val="05073B"/>
          <w:kern w:val="0"/>
          <w:sz w:val="28"/>
          <w:szCs w:val="28"/>
        </w:rPr>
      </w:pPr>
      <w:r>
        <w:rPr>
          <w:rFonts w:hint="eastAsia" w:ascii="宋体" w:hAnsi="宋体" w:eastAsia="宋体" w:cs="宋体"/>
          <w:b/>
          <w:bCs/>
          <w:color w:val="05073B"/>
          <w:kern w:val="0"/>
          <w:sz w:val="28"/>
          <w:szCs w:val="28"/>
        </w:rPr>
        <w:t>7. 提供所采购设备的安装及调试服务</w:t>
      </w:r>
    </w:p>
    <w:p w14:paraId="6C05184F">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color w:val="06071F"/>
          <w:kern w:val="0"/>
          <w:sz w:val="24"/>
          <w:szCs w:val="24"/>
        </w:rPr>
      </w:pPr>
      <w:r>
        <w:rPr>
          <w:rFonts w:hint="eastAsia" w:ascii="宋体" w:hAnsi="宋体" w:eastAsia="宋体" w:cs="宋体"/>
          <w:b/>
          <w:bCs/>
          <w:color w:val="06071F"/>
          <w:kern w:val="0"/>
          <w:sz w:val="24"/>
          <w:szCs w:val="24"/>
          <w:lang w:val="en-US" w:eastAsia="zh-CN"/>
        </w:rPr>
        <w:t>7.1</w:t>
      </w:r>
      <w:r>
        <w:rPr>
          <w:rFonts w:hint="eastAsia" w:ascii="宋体" w:hAnsi="宋体" w:eastAsia="宋体" w:cs="宋体"/>
          <w:b/>
          <w:bCs/>
          <w:color w:val="06071F"/>
          <w:kern w:val="0"/>
          <w:sz w:val="24"/>
          <w:szCs w:val="24"/>
        </w:rPr>
        <w:t>安装前准备</w:t>
      </w:r>
    </w:p>
    <w:p w14:paraId="12C14DD9">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ind w:left="0" w:leftChars="0" w:firstLine="540" w:firstLineChars="200"/>
        <w:jc w:val="left"/>
        <w:textAlignment w:val="auto"/>
        <w:outlineLvl w:val="9"/>
        <w:rPr>
          <w:rFonts w:hint="eastAsia" w:ascii="宋体" w:hAnsi="宋体" w:eastAsia="宋体" w:cs="宋体"/>
          <w:color w:val="06071F"/>
          <w:kern w:val="0"/>
          <w:sz w:val="24"/>
          <w:szCs w:val="24"/>
        </w:rPr>
      </w:pPr>
      <w:r>
        <w:rPr>
          <w:rFonts w:hint="eastAsia" w:ascii="宋体" w:hAnsi="宋体" w:eastAsia="宋体" w:cs="宋体"/>
          <w:color w:val="06071F"/>
          <w:kern w:val="0"/>
          <w:sz w:val="24"/>
          <w:szCs w:val="24"/>
        </w:rPr>
        <w:t>在设备到货后，组织相关人员对设备进行开箱验收，检查设备的外观是否完好，配件是否齐全。根据设备的安装要求，准备好安装所需的工具、材料和环境。例如，确保机房的电源、网络接口等基础设施满足设备安装要求。</w:t>
      </w:r>
    </w:p>
    <w:p w14:paraId="4DACCA6D">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color w:val="06071F"/>
          <w:kern w:val="0"/>
          <w:sz w:val="24"/>
          <w:szCs w:val="24"/>
        </w:rPr>
      </w:pPr>
      <w:r>
        <w:rPr>
          <w:rFonts w:hint="eastAsia" w:ascii="宋体" w:hAnsi="宋体" w:eastAsia="宋体" w:cs="宋体"/>
          <w:b/>
          <w:bCs/>
          <w:color w:val="06071F"/>
          <w:kern w:val="0"/>
          <w:sz w:val="24"/>
          <w:szCs w:val="24"/>
          <w:lang w:val="en-US" w:eastAsia="zh-CN"/>
        </w:rPr>
        <w:t>7.2</w:t>
      </w:r>
      <w:r>
        <w:rPr>
          <w:rFonts w:hint="eastAsia" w:ascii="宋体" w:hAnsi="宋体" w:eastAsia="宋体" w:cs="宋体"/>
          <w:b/>
          <w:bCs/>
          <w:color w:val="06071F"/>
          <w:kern w:val="0"/>
          <w:sz w:val="24"/>
          <w:szCs w:val="24"/>
        </w:rPr>
        <w:t>设备安装</w:t>
      </w:r>
    </w:p>
    <w:p w14:paraId="00DB22E2">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ind w:left="0" w:leftChars="0" w:firstLine="540" w:firstLineChars="200"/>
        <w:jc w:val="left"/>
        <w:textAlignment w:val="auto"/>
        <w:outlineLvl w:val="9"/>
        <w:rPr>
          <w:rFonts w:hint="eastAsia" w:ascii="宋体" w:hAnsi="宋体" w:eastAsia="宋体" w:cs="宋体"/>
          <w:color w:val="06071F"/>
          <w:kern w:val="0"/>
          <w:sz w:val="24"/>
          <w:szCs w:val="24"/>
        </w:rPr>
      </w:pPr>
      <w:r>
        <w:rPr>
          <w:rFonts w:hint="eastAsia" w:ascii="宋体" w:hAnsi="宋体" w:eastAsia="宋体" w:cs="宋体"/>
          <w:color w:val="06071F"/>
          <w:kern w:val="0"/>
          <w:sz w:val="24"/>
          <w:szCs w:val="24"/>
        </w:rPr>
        <w:t>按照设备的安装说明书，进行设备的物理安装。将设备安装到指定的机柜位置，连接好电源线、网线等线缆，并确保连接牢固。在安装过程中，注意设备的散热和通风，避免设备因过热而影响性能。</w:t>
      </w:r>
    </w:p>
    <w:p w14:paraId="7D3CAC6A">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color w:val="06071F"/>
          <w:kern w:val="0"/>
          <w:sz w:val="24"/>
          <w:szCs w:val="24"/>
        </w:rPr>
      </w:pPr>
      <w:r>
        <w:rPr>
          <w:rFonts w:hint="eastAsia" w:ascii="宋体" w:hAnsi="宋体" w:eastAsia="宋体" w:cs="宋体"/>
          <w:b/>
          <w:bCs/>
          <w:color w:val="06071F"/>
          <w:kern w:val="0"/>
          <w:sz w:val="24"/>
          <w:szCs w:val="24"/>
          <w:lang w:val="en-US" w:eastAsia="zh-CN"/>
        </w:rPr>
        <w:t>7.3</w:t>
      </w:r>
      <w:r>
        <w:rPr>
          <w:rFonts w:hint="eastAsia" w:ascii="宋体" w:hAnsi="宋体" w:eastAsia="宋体" w:cs="宋体"/>
          <w:b/>
          <w:bCs/>
          <w:color w:val="06071F"/>
          <w:kern w:val="0"/>
          <w:sz w:val="24"/>
          <w:szCs w:val="24"/>
        </w:rPr>
        <w:t>设备调试</w:t>
      </w:r>
    </w:p>
    <w:p w14:paraId="265C7C8F">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ind w:left="0" w:leftChars="0" w:firstLine="540" w:firstLineChars="200"/>
        <w:jc w:val="left"/>
        <w:textAlignment w:val="auto"/>
        <w:outlineLvl w:val="9"/>
        <w:rPr>
          <w:rFonts w:hint="eastAsia" w:ascii="宋体" w:hAnsi="宋体" w:eastAsia="宋体" w:cs="宋体"/>
          <w:color w:val="06071F"/>
          <w:kern w:val="0"/>
          <w:sz w:val="24"/>
          <w:szCs w:val="24"/>
        </w:rPr>
      </w:pPr>
      <w:r>
        <w:rPr>
          <w:rFonts w:hint="eastAsia" w:ascii="宋体" w:hAnsi="宋体" w:eastAsia="宋体" w:cs="宋体"/>
          <w:color w:val="06071F"/>
          <w:kern w:val="0"/>
          <w:sz w:val="24"/>
          <w:szCs w:val="24"/>
        </w:rPr>
        <w:t>根据业务需求，对设备的功能进行配置和测试，如路由配置、交换配置、安全策略配置等。在调试过程中，及时记录设备的配置信息和调试结果，以便后续维护和管理。</w:t>
      </w:r>
    </w:p>
    <w:p w14:paraId="5A6C1112">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color w:val="06071F"/>
          <w:kern w:val="0"/>
          <w:sz w:val="24"/>
          <w:szCs w:val="24"/>
        </w:rPr>
      </w:pPr>
      <w:r>
        <w:rPr>
          <w:rFonts w:hint="eastAsia" w:ascii="宋体" w:hAnsi="宋体" w:eastAsia="宋体" w:cs="宋体"/>
          <w:b/>
          <w:bCs/>
          <w:color w:val="06071F"/>
          <w:kern w:val="0"/>
          <w:sz w:val="24"/>
          <w:szCs w:val="24"/>
          <w:lang w:val="en-US" w:eastAsia="zh-CN"/>
        </w:rPr>
        <w:t>7.4</w:t>
      </w:r>
      <w:r>
        <w:rPr>
          <w:rFonts w:hint="eastAsia" w:ascii="宋体" w:hAnsi="宋体" w:eastAsia="宋体" w:cs="宋体"/>
          <w:b/>
          <w:bCs/>
          <w:color w:val="06071F"/>
          <w:kern w:val="0"/>
          <w:sz w:val="24"/>
          <w:szCs w:val="24"/>
        </w:rPr>
        <w:t>联调测试</w:t>
      </w:r>
    </w:p>
    <w:p w14:paraId="6020027F">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ind w:left="0" w:leftChars="0" w:firstLine="540" w:firstLineChars="200"/>
        <w:jc w:val="left"/>
        <w:textAlignment w:val="auto"/>
        <w:outlineLvl w:val="9"/>
        <w:rPr>
          <w:rFonts w:hint="eastAsia" w:ascii="宋体" w:hAnsi="宋体" w:eastAsia="宋体" w:cs="宋体"/>
          <w:color w:val="06071F"/>
          <w:kern w:val="0"/>
          <w:sz w:val="24"/>
          <w:szCs w:val="24"/>
        </w:rPr>
      </w:pPr>
      <w:r>
        <w:rPr>
          <w:rFonts w:hint="eastAsia" w:ascii="宋体" w:hAnsi="宋体" w:eastAsia="宋体" w:cs="宋体"/>
          <w:color w:val="06071F"/>
          <w:kern w:val="0"/>
          <w:sz w:val="24"/>
          <w:szCs w:val="24"/>
        </w:rPr>
        <w:t>完成单台设备的调试后，进行设备之间的联调测试。将新设备与现有网络进行连接，测试设备之间的通信是否正常。检查网络拓扑结构是否符合设计要求，各项业务功能是否能够正常运行。在联调测试过程中，及时发现和解决设备之间可能存在的兼容性问题。</w:t>
      </w:r>
    </w:p>
    <w:p w14:paraId="6EDE375F">
      <w:pPr>
        <w:keepNext w:val="0"/>
        <w:keepLines w:val="0"/>
        <w:pageBreakBefore w:val="0"/>
        <w:widowControl/>
        <w:shd w:val="clear" w:color="auto" w:fill="FDFDFE"/>
        <w:kinsoku/>
        <w:wordWrap/>
        <w:overflowPunct/>
        <w:topLinePunct w:val="0"/>
        <w:autoSpaceDE/>
        <w:autoSpaceDN/>
        <w:bidi w:val="0"/>
        <w:adjustRightInd/>
        <w:snapToGrid/>
        <w:spacing w:before="210" w:after="120" w:line="360" w:lineRule="auto"/>
        <w:jc w:val="left"/>
        <w:textAlignment w:val="auto"/>
        <w:outlineLvl w:val="9"/>
        <w:rPr>
          <w:rFonts w:hint="eastAsia" w:ascii="宋体" w:hAnsi="宋体" w:eastAsia="宋体" w:cs="宋体"/>
          <w:b/>
          <w:bCs/>
          <w:color w:val="05073B"/>
          <w:kern w:val="0"/>
          <w:sz w:val="28"/>
          <w:szCs w:val="28"/>
        </w:rPr>
      </w:pPr>
      <w:r>
        <w:rPr>
          <w:rFonts w:hint="eastAsia" w:ascii="宋体" w:hAnsi="宋体" w:eastAsia="宋体" w:cs="宋体"/>
          <w:b/>
          <w:bCs/>
          <w:color w:val="05073B"/>
          <w:kern w:val="0"/>
          <w:sz w:val="28"/>
          <w:szCs w:val="28"/>
        </w:rPr>
        <w:t>8. 机房整理</w:t>
      </w:r>
    </w:p>
    <w:p w14:paraId="54F2D313">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color w:val="06071F"/>
          <w:kern w:val="0"/>
          <w:sz w:val="24"/>
          <w:szCs w:val="24"/>
        </w:rPr>
      </w:pPr>
      <w:r>
        <w:rPr>
          <w:rFonts w:hint="eastAsia" w:ascii="宋体" w:hAnsi="宋体" w:eastAsia="宋体" w:cs="宋体"/>
          <w:b/>
          <w:bCs/>
          <w:color w:val="06071F"/>
          <w:kern w:val="0"/>
          <w:sz w:val="24"/>
          <w:szCs w:val="24"/>
          <w:lang w:val="en-US" w:eastAsia="zh-CN"/>
        </w:rPr>
        <w:t>8.1</w:t>
      </w:r>
      <w:r>
        <w:rPr>
          <w:rFonts w:hint="eastAsia" w:ascii="宋体" w:hAnsi="宋体" w:eastAsia="宋体" w:cs="宋体"/>
          <w:b/>
          <w:bCs/>
          <w:color w:val="06071F"/>
          <w:kern w:val="0"/>
          <w:sz w:val="24"/>
          <w:szCs w:val="24"/>
        </w:rPr>
        <w:t>线缆普查</w:t>
      </w:r>
    </w:p>
    <w:p w14:paraId="6D4EC3B4">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ind w:left="0" w:leftChars="0" w:firstLine="540" w:firstLineChars="200"/>
        <w:jc w:val="left"/>
        <w:textAlignment w:val="auto"/>
        <w:outlineLvl w:val="9"/>
        <w:rPr>
          <w:rFonts w:hint="eastAsia" w:ascii="宋体" w:hAnsi="宋体" w:eastAsia="宋体" w:cs="宋体"/>
          <w:color w:val="06071F"/>
          <w:kern w:val="0"/>
          <w:sz w:val="24"/>
          <w:szCs w:val="24"/>
        </w:rPr>
      </w:pPr>
      <w:r>
        <w:rPr>
          <w:rFonts w:hint="eastAsia" w:ascii="宋体" w:hAnsi="宋体" w:eastAsia="宋体" w:cs="宋体"/>
          <w:color w:val="06071F"/>
          <w:kern w:val="0"/>
          <w:sz w:val="24"/>
          <w:szCs w:val="24"/>
        </w:rPr>
        <w:t>组织专业人员对机房内的所有线缆进行全面普查。详细记录每根线缆的起始端和终止端设备、线缆类型（网线、光纤、电源线等）、线缆长度、使用情况（在用、备用、废弃等）以及线缆的走向和布放位置，形成线缆清单。</w:t>
      </w:r>
    </w:p>
    <w:p w14:paraId="1AA7CF62">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color w:val="06071F"/>
          <w:kern w:val="0"/>
          <w:sz w:val="24"/>
          <w:szCs w:val="24"/>
        </w:rPr>
      </w:pPr>
      <w:r>
        <w:rPr>
          <w:rFonts w:hint="eastAsia" w:ascii="宋体" w:hAnsi="宋体" w:eastAsia="宋体" w:cs="宋体"/>
          <w:b/>
          <w:bCs/>
          <w:color w:val="06071F"/>
          <w:kern w:val="0"/>
          <w:sz w:val="24"/>
          <w:szCs w:val="24"/>
          <w:lang w:val="en-US" w:eastAsia="zh-CN"/>
        </w:rPr>
        <w:t>8.2</w:t>
      </w:r>
      <w:r>
        <w:rPr>
          <w:rFonts w:hint="eastAsia" w:ascii="宋体" w:hAnsi="宋体" w:eastAsia="宋体" w:cs="宋体"/>
          <w:b/>
          <w:bCs/>
          <w:color w:val="06071F"/>
          <w:kern w:val="0"/>
          <w:sz w:val="24"/>
          <w:szCs w:val="24"/>
        </w:rPr>
        <w:t>多余线缆拆除</w:t>
      </w:r>
    </w:p>
    <w:p w14:paraId="3DF9C947">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ind w:left="0" w:leftChars="0" w:firstLine="540" w:firstLineChars="200"/>
        <w:jc w:val="left"/>
        <w:textAlignment w:val="auto"/>
        <w:outlineLvl w:val="9"/>
        <w:rPr>
          <w:rFonts w:hint="eastAsia" w:ascii="宋体" w:hAnsi="宋体" w:eastAsia="宋体" w:cs="宋体"/>
          <w:color w:val="06071F"/>
          <w:kern w:val="0"/>
          <w:sz w:val="24"/>
          <w:szCs w:val="24"/>
        </w:rPr>
      </w:pPr>
      <w:r>
        <w:rPr>
          <w:rFonts w:hint="eastAsia" w:ascii="宋体" w:hAnsi="宋体" w:eastAsia="宋体" w:cs="宋体"/>
          <w:color w:val="06071F"/>
          <w:kern w:val="0"/>
          <w:sz w:val="24"/>
          <w:szCs w:val="24"/>
        </w:rPr>
        <w:t>根据线缆普查的结果，对多余线缆进行拆除。在拆除线缆前，确保该线缆确实不再使用，避免误拆重要线缆。拆除过程中，注意保护其他线缆和设备，避免造成损坏。拆除后的线缆进行妥善处理，如回收利用或报废处理。</w:t>
      </w:r>
    </w:p>
    <w:p w14:paraId="40A0E816">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color w:val="06071F"/>
          <w:kern w:val="0"/>
          <w:sz w:val="24"/>
          <w:szCs w:val="24"/>
        </w:rPr>
      </w:pPr>
      <w:r>
        <w:rPr>
          <w:rFonts w:hint="eastAsia" w:ascii="宋体" w:hAnsi="宋体" w:eastAsia="宋体" w:cs="宋体"/>
          <w:b/>
          <w:bCs/>
          <w:color w:val="06071F"/>
          <w:kern w:val="0"/>
          <w:sz w:val="24"/>
          <w:szCs w:val="24"/>
          <w:lang w:val="en-US" w:eastAsia="zh-CN"/>
        </w:rPr>
        <w:t>8.3</w:t>
      </w:r>
      <w:r>
        <w:rPr>
          <w:rFonts w:hint="eastAsia" w:ascii="宋体" w:hAnsi="宋体" w:eastAsia="宋体" w:cs="宋体"/>
          <w:b/>
          <w:bCs/>
          <w:color w:val="06071F"/>
          <w:kern w:val="0"/>
          <w:sz w:val="24"/>
          <w:szCs w:val="24"/>
        </w:rPr>
        <w:t>线缆整理与绑扎</w:t>
      </w:r>
    </w:p>
    <w:p w14:paraId="780FDE60">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ind w:left="0" w:leftChars="0" w:firstLine="540" w:firstLineChars="200"/>
        <w:jc w:val="left"/>
        <w:textAlignment w:val="auto"/>
        <w:outlineLvl w:val="9"/>
        <w:rPr>
          <w:rFonts w:hint="eastAsia" w:ascii="宋体" w:hAnsi="宋体" w:eastAsia="宋体" w:cs="宋体"/>
          <w:color w:val="06071F"/>
          <w:kern w:val="0"/>
          <w:sz w:val="24"/>
          <w:szCs w:val="24"/>
        </w:rPr>
      </w:pPr>
      <w:r>
        <w:rPr>
          <w:rFonts w:hint="eastAsia" w:ascii="宋体" w:hAnsi="宋体" w:eastAsia="宋体" w:cs="宋体"/>
          <w:color w:val="06071F"/>
          <w:kern w:val="0"/>
          <w:sz w:val="24"/>
          <w:szCs w:val="24"/>
        </w:rPr>
        <w:t>对剩余的线缆进行整理和绑扎。按照线缆的类型和用途进行分类，使用线缆扎带或线缆管理器将线缆整齐地绑扎在一起，避免线缆杂乱无章。在绑扎过程中，注意线缆的弯曲半径，避免线缆因过度弯曲而影响信号传输。</w:t>
      </w:r>
    </w:p>
    <w:p w14:paraId="074FC013">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color w:val="06071F"/>
          <w:kern w:val="0"/>
          <w:sz w:val="24"/>
          <w:szCs w:val="24"/>
        </w:rPr>
      </w:pPr>
      <w:r>
        <w:rPr>
          <w:rFonts w:hint="eastAsia" w:ascii="宋体" w:hAnsi="宋体" w:eastAsia="宋体" w:cs="宋体"/>
          <w:b/>
          <w:bCs/>
          <w:color w:val="06071F"/>
          <w:kern w:val="0"/>
          <w:sz w:val="24"/>
          <w:szCs w:val="24"/>
          <w:lang w:val="en-US" w:eastAsia="zh-CN"/>
        </w:rPr>
        <w:t>8.4</w:t>
      </w:r>
      <w:r>
        <w:rPr>
          <w:rFonts w:hint="eastAsia" w:ascii="宋体" w:hAnsi="宋体" w:eastAsia="宋体" w:cs="宋体"/>
          <w:b/>
          <w:bCs/>
          <w:color w:val="06071F"/>
          <w:kern w:val="0"/>
          <w:sz w:val="24"/>
          <w:szCs w:val="24"/>
        </w:rPr>
        <w:t>线缆标签规范</w:t>
      </w:r>
    </w:p>
    <w:p w14:paraId="4CAE7963">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ind w:left="0" w:leftChars="0" w:firstLine="540" w:firstLineChars="200"/>
        <w:jc w:val="left"/>
        <w:textAlignment w:val="auto"/>
        <w:outlineLvl w:val="9"/>
        <w:rPr>
          <w:rFonts w:hint="eastAsia" w:ascii="宋体" w:hAnsi="宋体" w:eastAsia="宋体" w:cs="宋体"/>
          <w:color w:val="06071F"/>
          <w:kern w:val="0"/>
          <w:sz w:val="24"/>
          <w:szCs w:val="24"/>
        </w:rPr>
      </w:pPr>
      <w:r>
        <w:rPr>
          <w:rFonts w:hint="eastAsia" w:ascii="宋体" w:hAnsi="宋体" w:eastAsia="宋体" w:cs="宋体"/>
          <w:color w:val="06071F"/>
          <w:kern w:val="0"/>
          <w:sz w:val="24"/>
          <w:szCs w:val="24"/>
        </w:rPr>
        <w:t>为每根线缆制作规范的标签，标签内容包括线缆的起始端设备名称、终止端设备名称、线缆类型、线缆编号等信息。将标签牢固地粘贴在线缆的两端，确保标签清晰可见。同时，建立线缆标签管理档案，记录线缆标签的信息，方便后续的维护和管理。</w:t>
      </w:r>
    </w:p>
    <w:p w14:paraId="73483024">
      <w:pPr>
        <w:keepNext w:val="0"/>
        <w:keepLines w:val="0"/>
        <w:pageBreakBefore w:val="0"/>
        <w:widowControl/>
        <w:shd w:val="clear" w:color="auto" w:fill="FDFDFE"/>
        <w:kinsoku/>
        <w:wordWrap/>
        <w:overflowPunct/>
        <w:topLinePunct w:val="0"/>
        <w:autoSpaceDE/>
        <w:autoSpaceDN/>
        <w:bidi w:val="0"/>
        <w:adjustRightInd/>
        <w:snapToGrid/>
        <w:spacing w:before="210" w:after="120" w:line="360" w:lineRule="auto"/>
        <w:jc w:val="left"/>
        <w:textAlignment w:val="auto"/>
        <w:outlineLvl w:val="9"/>
        <w:rPr>
          <w:rFonts w:hint="eastAsia" w:ascii="宋体" w:hAnsi="宋体" w:eastAsia="宋体" w:cs="宋体"/>
          <w:b/>
          <w:bCs/>
          <w:color w:val="05073B"/>
          <w:kern w:val="0"/>
          <w:sz w:val="28"/>
          <w:szCs w:val="28"/>
        </w:rPr>
      </w:pPr>
      <w:r>
        <w:rPr>
          <w:rFonts w:hint="eastAsia" w:ascii="宋体" w:hAnsi="宋体" w:eastAsia="宋体" w:cs="宋体"/>
          <w:b/>
          <w:bCs/>
          <w:color w:val="05073B"/>
          <w:kern w:val="0"/>
          <w:sz w:val="28"/>
          <w:szCs w:val="28"/>
        </w:rPr>
        <w:t>9. 实施完成后，绘制完整详细的拓扑图</w:t>
      </w:r>
    </w:p>
    <w:p w14:paraId="2153066A">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color w:val="06071F"/>
          <w:kern w:val="0"/>
          <w:sz w:val="24"/>
          <w:szCs w:val="24"/>
        </w:rPr>
      </w:pPr>
      <w:r>
        <w:rPr>
          <w:rFonts w:hint="eastAsia" w:ascii="宋体" w:hAnsi="宋体" w:eastAsia="宋体" w:cs="宋体"/>
          <w:b/>
          <w:bCs/>
          <w:color w:val="06071F"/>
          <w:kern w:val="0"/>
          <w:sz w:val="24"/>
          <w:szCs w:val="24"/>
          <w:lang w:val="en-US" w:eastAsia="zh-CN"/>
        </w:rPr>
        <w:t>9.1</w:t>
      </w:r>
      <w:r>
        <w:rPr>
          <w:rFonts w:hint="eastAsia" w:ascii="宋体" w:hAnsi="宋体" w:eastAsia="宋体" w:cs="宋体"/>
          <w:b/>
          <w:bCs/>
          <w:color w:val="06071F"/>
          <w:kern w:val="0"/>
          <w:sz w:val="24"/>
          <w:szCs w:val="24"/>
        </w:rPr>
        <w:t>数据收集</w:t>
      </w:r>
    </w:p>
    <w:p w14:paraId="72E0015E">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ind w:left="0" w:leftChars="0" w:firstLine="540" w:firstLineChars="200"/>
        <w:jc w:val="left"/>
        <w:textAlignment w:val="auto"/>
        <w:outlineLvl w:val="9"/>
        <w:rPr>
          <w:rFonts w:hint="eastAsia" w:ascii="宋体" w:hAnsi="宋体" w:eastAsia="宋体" w:cs="宋体"/>
          <w:color w:val="06071F"/>
          <w:kern w:val="0"/>
          <w:sz w:val="24"/>
          <w:szCs w:val="24"/>
        </w:rPr>
      </w:pPr>
      <w:r>
        <w:rPr>
          <w:rFonts w:hint="eastAsia" w:ascii="宋体" w:hAnsi="宋体" w:eastAsia="宋体" w:cs="宋体"/>
          <w:color w:val="06071F"/>
          <w:kern w:val="0"/>
          <w:sz w:val="24"/>
          <w:szCs w:val="24"/>
        </w:rPr>
        <w:t>在网络优化和设备安装调试工作完成后，再次对机房内的网络设备和线缆进行全面检查，收集最新的设备信息、连接关系和线缆走向等数据。</w:t>
      </w:r>
    </w:p>
    <w:p w14:paraId="66A59F2B">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color w:val="06071F"/>
          <w:kern w:val="0"/>
          <w:sz w:val="24"/>
          <w:szCs w:val="24"/>
        </w:rPr>
      </w:pPr>
      <w:r>
        <w:rPr>
          <w:rFonts w:hint="eastAsia" w:ascii="宋体" w:hAnsi="宋体" w:eastAsia="宋体" w:cs="宋体"/>
          <w:b/>
          <w:bCs/>
          <w:color w:val="06071F"/>
          <w:kern w:val="0"/>
          <w:sz w:val="24"/>
          <w:szCs w:val="24"/>
          <w:lang w:val="en-US" w:eastAsia="zh-CN"/>
        </w:rPr>
        <w:t>9.2</w:t>
      </w:r>
      <w:r>
        <w:rPr>
          <w:rFonts w:hint="eastAsia" w:ascii="宋体" w:hAnsi="宋体" w:eastAsia="宋体" w:cs="宋体"/>
          <w:b/>
          <w:bCs/>
          <w:color w:val="06071F"/>
          <w:kern w:val="0"/>
          <w:sz w:val="24"/>
          <w:szCs w:val="24"/>
        </w:rPr>
        <w:t>拓扑图绘制</w:t>
      </w:r>
    </w:p>
    <w:p w14:paraId="4325D42E">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ind w:left="0" w:leftChars="0" w:firstLine="540" w:firstLineChars="200"/>
        <w:jc w:val="left"/>
        <w:textAlignment w:val="auto"/>
        <w:outlineLvl w:val="9"/>
        <w:rPr>
          <w:rFonts w:hint="eastAsia" w:ascii="宋体" w:hAnsi="宋体" w:eastAsia="宋体" w:cs="宋体"/>
          <w:color w:val="06071F"/>
          <w:kern w:val="0"/>
          <w:sz w:val="24"/>
          <w:szCs w:val="24"/>
        </w:rPr>
      </w:pPr>
      <w:r>
        <w:rPr>
          <w:rFonts w:hint="eastAsia" w:ascii="宋体" w:hAnsi="宋体" w:eastAsia="宋体" w:cs="宋体"/>
          <w:color w:val="06071F"/>
          <w:kern w:val="0"/>
          <w:sz w:val="24"/>
          <w:szCs w:val="24"/>
        </w:rPr>
        <w:t>使用专业的网络拓扑图绘制工具，根据收集到的数据绘制完整详细的拓扑图。拓扑图应包括所有网络设备（路由器、交换机、防火墙、服务器等）、安全设备、终端设备以及它们之间的连接关系。在拓扑图中，标注设备的品牌、型号、IP 地址等关键信息，以及线缆的类型等属性。</w:t>
      </w:r>
    </w:p>
    <w:p w14:paraId="1C8D685C">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color w:val="06071F"/>
          <w:kern w:val="0"/>
          <w:sz w:val="24"/>
          <w:szCs w:val="24"/>
        </w:rPr>
      </w:pPr>
      <w:r>
        <w:rPr>
          <w:rFonts w:hint="eastAsia" w:ascii="宋体" w:hAnsi="宋体" w:eastAsia="宋体" w:cs="宋体"/>
          <w:b/>
          <w:bCs/>
          <w:color w:val="06071F"/>
          <w:kern w:val="0"/>
          <w:sz w:val="24"/>
          <w:szCs w:val="24"/>
          <w:lang w:val="en-US" w:eastAsia="zh-CN"/>
        </w:rPr>
        <w:t>9.3</w:t>
      </w:r>
      <w:r>
        <w:rPr>
          <w:rFonts w:hint="eastAsia" w:ascii="宋体" w:hAnsi="宋体" w:eastAsia="宋体" w:cs="宋体"/>
          <w:b/>
          <w:bCs/>
          <w:color w:val="06071F"/>
          <w:kern w:val="0"/>
          <w:sz w:val="24"/>
          <w:szCs w:val="24"/>
        </w:rPr>
        <w:t>拓扑图审核</w:t>
      </w:r>
    </w:p>
    <w:p w14:paraId="065B50FF">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ind w:left="0" w:leftChars="0" w:firstLine="540" w:firstLineChars="200"/>
        <w:jc w:val="left"/>
        <w:textAlignment w:val="auto"/>
        <w:outlineLvl w:val="9"/>
        <w:rPr>
          <w:rFonts w:hint="eastAsia" w:ascii="宋体" w:hAnsi="宋体" w:eastAsia="宋体" w:cs="宋体"/>
          <w:color w:val="06071F"/>
          <w:kern w:val="0"/>
          <w:sz w:val="24"/>
          <w:szCs w:val="24"/>
        </w:rPr>
      </w:pPr>
      <w:r>
        <w:rPr>
          <w:rFonts w:hint="eastAsia" w:ascii="宋体" w:hAnsi="宋体" w:eastAsia="宋体" w:cs="宋体"/>
          <w:color w:val="06071F"/>
          <w:kern w:val="0"/>
          <w:sz w:val="24"/>
          <w:szCs w:val="24"/>
        </w:rPr>
        <w:t>组织相关人员对绘制好的拓扑图进行审核，确保拓扑图的准确性和完整性。审核内容包括设备信息是否正确、连接关系是否符合实际情况、标注信息是否清晰等。根据审核意见，对拓扑图进行修改和完善。</w:t>
      </w:r>
    </w:p>
    <w:p w14:paraId="0C419478">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color w:val="06071F"/>
          <w:kern w:val="0"/>
          <w:sz w:val="24"/>
          <w:szCs w:val="24"/>
        </w:rPr>
      </w:pPr>
      <w:r>
        <w:rPr>
          <w:rFonts w:hint="eastAsia" w:ascii="宋体" w:hAnsi="宋体" w:eastAsia="宋体" w:cs="宋体"/>
          <w:b/>
          <w:bCs/>
          <w:color w:val="06071F"/>
          <w:kern w:val="0"/>
          <w:sz w:val="24"/>
          <w:szCs w:val="24"/>
          <w:lang w:val="en-US" w:eastAsia="zh-CN"/>
        </w:rPr>
        <w:t>9.4</w:t>
      </w:r>
      <w:r>
        <w:rPr>
          <w:rFonts w:hint="eastAsia" w:ascii="宋体" w:hAnsi="宋体" w:eastAsia="宋体" w:cs="宋体"/>
          <w:b/>
          <w:bCs/>
          <w:color w:val="06071F"/>
          <w:kern w:val="0"/>
          <w:sz w:val="24"/>
          <w:szCs w:val="24"/>
        </w:rPr>
        <w:t>拓扑图发布与存档</w:t>
      </w:r>
    </w:p>
    <w:p w14:paraId="567A014B">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ind w:left="0" w:leftChars="0" w:firstLine="540" w:firstLineChars="200"/>
        <w:jc w:val="left"/>
        <w:textAlignment w:val="auto"/>
        <w:outlineLvl w:val="9"/>
        <w:rPr>
          <w:rFonts w:hint="eastAsia" w:ascii="宋体" w:hAnsi="宋体" w:eastAsia="宋体" w:cs="宋体"/>
          <w:color w:val="06071F"/>
          <w:kern w:val="0"/>
          <w:sz w:val="24"/>
          <w:szCs w:val="24"/>
        </w:rPr>
      </w:pPr>
      <w:r>
        <w:rPr>
          <w:rFonts w:hint="eastAsia" w:ascii="宋体" w:hAnsi="宋体" w:eastAsia="宋体" w:cs="宋体"/>
          <w:color w:val="06071F"/>
          <w:kern w:val="0"/>
          <w:sz w:val="24"/>
          <w:szCs w:val="24"/>
        </w:rPr>
        <w:t>将审核通过的拓扑图进行发布，提供给网络管理人员和相关业务部门使用。同时，将拓扑图进行存档，建立拓扑图版本管理机制，以便后续对网络进行维护和升级时参考。</w:t>
      </w:r>
    </w:p>
    <w:p w14:paraId="46AC1325">
      <w:pPr>
        <w:keepNext w:val="0"/>
        <w:keepLines w:val="0"/>
        <w:pageBreakBefore w:val="0"/>
        <w:widowControl/>
        <w:shd w:val="clear" w:color="auto" w:fill="FDFDFE"/>
        <w:kinsoku/>
        <w:wordWrap/>
        <w:overflowPunct/>
        <w:topLinePunct w:val="0"/>
        <w:autoSpaceDE/>
        <w:autoSpaceDN/>
        <w:bidi w:val="0"/>
        <w:adjustRightInd/>
        <w:snapToGrid/>
        <w:spacing w:before="210" w:after="120" w:line="360" w:lineRule="auto"/>
        <w:jc w:val="left"/>
        <w:textAlignment w:val="auto"/>
        <w:outlineLvl w:val="9"/>
        <w:rPr>
          <w:rFonts w:hint="eastAsia" w:ascii="宋体" w:hAnsi="宋体" w:eastAsia="宋体" w:cs="宋体"/>
          <w:b/>
          <w:bCs/>
          <w:color w:val="05073B"/>
          <w:kern w:val="0"/>
          <w:sz w:val="28"/>
          <w:szCs w:val="28"/>
        </w:rPr>
      </w:pPr>
      <w:r>
        <w:rPr>
          <w:rFonts w:hint="eastAsia" w:ascii="宋体" w:hAnsi="宋体" w:eastAsia="宋体" w:cs="宋体"/>
          <w:b/>
          <w:bCs/>
          <w:color w:val="05073B"/>
          <w:kern w:val="0"/>
          <w:sz w:val="28"/>
          <w:szCs w:val="28"/>
        </w:rPr>
        <w:t>10. 设备台账吞整理、归档</w:t>
      </w:r>
    </w:p>
    <w:p w14:paraId="0E06CC43">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color w:val="06071F"/>
          <w:kern w:val="0"/>
          <w:sz w:val="24"/>
          <w:szCs w:val="24"/>
          <w:lang w:bidi="ar-SA"/>
        </w:rPr>
      </w:pPr>
      <w:r>
        <w:rPr>
          <w:rFonts w:hint="eastAsia" w:ascii="宋体" w:hAnsi="宋体" w:eastAsia="宋体" w:cs="宋体"/>
          <w:b/>
          <w:bCs/>
          <w:color w:val="06071F"/>
          <w:kern w:val="0"/>
          <w:sz w:val="24"/>
          <w:szCs w:val="24"/>
          <w:lang w:val="en-US" w:eastAsia="zh-CN" w:bidi="ar-SA"/>
        </w:rPr>
        <w:t>10.1</w:t>
      </w:r>
      <w:r>
        <w:rPr>
          <w:rFonts w:hint="eastAsia" w:ascii="宋体" w:hAnsi="宋体" w:eastAsia="宋体" w:cs="宋体"/>
          <w:b/>
          <w:bCs/>
          <w:color w:val="06071F"/>
          <w:kern w:val="0"/>
          <w:sz w:val="24"/>
          <w:szCs w:val="24"/>
          <w:lang w:bidi="ar-SA"/>
        </w:rPr>
        <w:t>台账</w:t>
      </w:r>
      <w:r>
        <w:rPr>
          <w:rFonts w:hint="eastAsia" w:ascii="宋体" w:hAnsi="宋体" w:eastAsia="宋体" w:cs="宋体"/>
          <w:b/>
          <w:bCs/>
          <w:color w:val="06071F"/>
          <w:kern w:val="0"/>
          <w:sz w:val="24"/>
          <w:szCs w:val="24"/>
          <w:lang w:val="en-US" w:eastAsia="zh-CN"/>
        </w:rPr>
        <w:t>信息</w:t>
      </w:r>
      <w:r>
        <w:rPr>
          <w:rFonts w:hint="eastAsia" w:ascii="宋体" w:hAnsi="宋体" w:eastAsia="宋体" w:cs="宋体"/>
          <w:b/>
          <w:bCs/>
          <w:color w:val="06071F"/>
          <w:kern w:val="0"/>
          <w:sz w:val="24"/>
          <w:szCs w:val="24"/>
          <w:lang w:bidi="ar-SA"/>
        </w:rPr>
        <w:t>收集</w:t>
      </w:r>
    </w:p>
    <w:p w14:paraId="4A9C8EB7">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ind w:left="0" w:leftChars="0" w:firstLine="540" w:firstLineChars="200"/>
        <w:jc w:val="left"/>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根据设备盘点、安装调试、配置优化等工作过程中收集到的信息，整理设备的详细台账信息。台账信息应包括设备的基本信息（品牌、型号、序列号、购买日期、使用年限等）、配置信息（IP 地址、软件版本、配置文件等）、维护信息（维修记录、保养记录、故障处理记录等）以及位置信息（所在机柜、机架位置等）。</w:t>
      </w:r>
    </w:p>
    <w:p w14:paraId="1D76764C">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color w:val="06071F"/>
          <w:kern w:val="0"/>
          <w:sz w:val="24"/>
          <w:szCs w:val="24"/>
          <w:lang w:bidi="ar-SA"/>
        </w:rPr>
      </w:pPr>
      <w:r>
        <w:rPr>
          <w:rFonts w:hint="eastAsia" w:ascii="宋体" w:hAnsi="宋体" w:eastAsia="宋体" w:cs="宋体"/>
          <w:b/>
          <w:bCs/>
          <w:color w:val="06071F"/>
          <w:kern w:val="0"/>
          <w:sz w:val="24"/>
          <w:szCs w:val="24"/>
          <w:lang w:val="en-US" w:eastAsia="zh-CN" w:bidi="ar-SA"/>
        </w:rPr>
        <w:t>10.2</w:t>
      </w:r>
      <w:r>
        <w:rPr>
          <w:rFonts w:hint="eastAsia" w:ascii="宋体" w:hAnsi="宋体" w:eastAsia="宋体" w:cs="宋体"/>
          <w:b/>
          <w:bCs/>
          <w:color w:val="06071F"/>
          <w:kern w:val="0"/>
          <w:sz w:val="24"/>
          <w:szCs w:val="24"/>
          <w:lang w:bidi="ar-SA"/>
        </w:rPr>
        <w:t>台账格式</w:t>
      </w:r>
      <w:r>
        <w:rPr>
          <w:rFonts w:hint="eastAsia" w:ascii="宋体" w:hAnsi="宋体" w:eastAsia="宋体" w:cs="宋体"/>
          <w:b/>
          <w:bCs/>
          <w:color w:val="06071F"/>
          <w:kern w:val="0"/>
          <w:sz w:val="24"/>
          <w:szCs w:val="24"/>
          <w:lang w:val="en-US" w:eastAsia="zh-CN"/>
        </w:rPr>
        <w:t>规范</w:t>
      </w:r>
    </w:p>
    <w:p w14:paraId="39C3C7A2">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ind w:left="0" w:leftChars="0" w:firstLine="540" w:firstLineChars="200"/>
        <w:jc w:val="left"/>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制定统一的设备台账格式，确保台账信息的规范性和一致性。可以使用电子表格软件（如 Excel）或专门的设备管理软件来建立设备台账，方便信息的录入、查询和统计。</w:t>
      </w:r>
    </w:p>
    <w:p w14:paraId="27EA6F5A">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color w:val="06071F"/>
          <w:kern w:val="0"/>
          <w:sz w:val="24"/>
          <w:szCs w:val="24"/>
          <w:lang w:bidi="ar-SA"/>
        </w:rPr>
      </w:pPr>
      <w:r>
        <w:rPr>
          <w:rFonts w:hint="eastAsia" w:ascii="宋体" w:hAnsi="宋体" w:eastAsia="宋体" w:cs="宋体"/>
          <w:b/>
          <w:bCs/>
          <w:color w:val="06071F"/>
          <w:kern w:val="0"/>
          <w:sz w:val="24"/>
          <w:szCs w:val="24"/>
          <w:lang w:val="en-US" w:eastAsia="zh-CN" w:bidi="ar-SA"/>
        </w:rPr>
        <w:t>10.3</w:t>
      </w:r>
      <w:r>
        <w:rPr>
          <w:rFonts w:hint="eastAsia" w:ascii="宋体" w:hAnsi="宋体" w:eastAsia="宋体" w:cs="宋体"/>
          <w:b/>
          <w:bCs/>
          <w:color w:val="06071F"/>
          <w:kern w:val="0"/>
          <w:sz w:val="24"/>
          <w:szCs w:val="24"/>
          <w:lang w:bidi="ar-SA"/>
        </w:rPr>
        <w:t>台账</w:t>
      </w:r>
      <w:r>
        <w:rPr>
          <w:rFonts w:hint="eastAsia" w:ascii="宋体" w:hAnsi="宋体" w:eastAsia="宋体" w:cs="宋体"/>
          <w:b/>
          <w:bCs/>
          <w:color w:val="06071F"/>
          <w:kern w:val="0"/>
          <w:sz w:val="24"/>
          <w:szCs w:val="24"/>
          <w:lang w:val="en-US" w:eastAsia="zh-CN"/>
        </w:rPr>
        <w:t>审核</w:t>
      </w:r>
      <w:r>
        <w:rPr>
          <w:rFonts w:hint="eastAsia" w:ascii="宋体" w:hAnsi="宋体" w:eastAsia="宋体" w:cs="宋体"/>
          <w:b/>
          <w:bCs/>
          <w:color w:val="06071F"/>
          <w:kern w:val="0"/>
          <w:sz w:val="24"/>
          <w:szCs w:val="24"/>
          <w:lang w:bidi="ar-SA"/>
        </w:rPr>
        <w:t>与完善</w:t>
      </w:r>
    </w:p>
    <w:p w14:paraId="00635E21">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ind w:left="0" w:leftChars="0" w:firstLine="540" w:firstLineChars="200"/>
        <w:jc w:val="left"/>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组织相关人员对整理好的设备台账进行审核，检查台账信息的准确性和完整性。对于审核中发现的问题，及时进行修改和完善。同时，建立设备台账更新机制，定期对台账信息进行更新，确保台账信息与实际情况相符。</w:t>
      </w:r>
    </w:p>
    <w:p w14:paraId="1F281B40">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color w:val="06071F"/>
          <w:kern w:val="0"/>
          <w:sz w:val="24"/>
          <w:szCs w:val="24"/>
          <w:lang w:val="en-US" w:eastAsia="zh-CN" w:bidi="ar-SA"/>
        </w:rPr>
      </w:pPr>
      <w:r>
        <w:rPr>
          <w:rFonts w:hint="eastAsia" w:ascii="宋体" w:hAnsi="宋体" w:eastAsia="宋体" w:cs="宋体"/>
          <w:b/>
          <w:bCs/>
          <w:color w:val="06071F"/>
          <w:kern w:val="0"/>
          <w:sz w:val="24"/>
          <w:szCs w:val="24"/>
          <w:lang w:val="en-US" w:eastAsia="zh-CN" w:bidi="ar-SA"/>
        </w:rPr>
        <w:t>10.4台账</w:t>
      </w:r>
      <w:r>
        <w:rPr>
          <w:rFonts w:hint="eastAsia" w:ascii="宋体" w:hAnsi="宋体" w:eastAsia="宋体" w:cs="宋体"/>
          <w:b/>
          <w:bCs/>
          <w:color w:val="06071F"/>
          <w:kern w:val="0"/>
          <w:sz w:val="24"/>
          <w:szCs w:val="24"/>
          <w:lang w:val="en-US" w:eastAsia="zh-CN"/>
        </w:rPr>
        <w:t>归档</w:t>
      </w:r>
    </w:p>
    <w:p w14:paraId="6AC698DE">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ind w:left="0" w:leftChars="0" w:firstLine="540" w:firstLineChars="200"/>
        <w:jc w:val="left"/>
        <w:textAlignment w:val="auto"/>
        <w:outlineLvl w:val="9"/>
        <w:rPr>
          <w:rFonts w:hint="eastAsia" w:ascii="宋体" w:hAnsi="宋体" w:eastAsia="宋体" w:cs="宋体"/>
          <w:b w:val="0"/>
          <w:bCs w:val="0"/>
          <w:kern w:val="0"/>
          <w:sz w:val="24"/>
          <w:szCs w:val="24"/>
        </w:rPr>
      </w:pPr>
      <w:r>
        <w:rPr>
          <w:rFonts w:hint="eastAsia" w:ascii="宋体" w:hAnsi="宋体" w:eastAsia="宋体" w:cs="宋体"/>
          <w:b w:val="0"/>
          <w:bCs w:val="0"/>
          <w:color w:val="06071F"/>
          <w:kern w:val="0"/>
          <w:sz w:val="24"/>
          <w:szCs w:val="24"/>
          <w:lang w:bidi="ar-SA"/>
        </w:rPr>
        <w:t>将</w:t>
      </w:r>
      <w:r>
        <w:rPr>
          <w:rFonts w:hint="eastAsia" w:ascii="宋体" w:hAnsi="宋体" w:eastAsia="宋体" w:cs="宋体"/>
          <w:b w:val="0"/>
          <w:bCs w:val="0"/>
          <w:kern w:val="0"/>
          <w:sz w:val="24"/>
          <w:szCs w:val="24"/>
        </w:rPr>
        <w:t>审核通过的设备台账进行归档保存。可以选择纸质档案和电子档案相结合的方式进行归档，确保台账信息的安全性和可追溯性。</w:t>
      </w:r>
    </w:p>
    <w:p w14:paraId="28EAEA3E">
      <w:pPr>
        <w:keepNext w:val="0"/>
        <w:keepLines w:val="0"/>
        <w:pageBreakBefore w:val="0"/>
        <w:widowControl/>
        <w:shd w:val="clear" w:color="auto" w:fill="FDFDFE"/>
        <w:kinsoku/>
        <w:wordWrap/>
        <w:overflowPunct/>
        <w:topLinePunct w:val="0"/>
        <w:autoSpaceDE/>
        <w:autoSpaceDN/>
        <w:bidi w:val="0"/>
        <w:adjustRightInd/>
        <w:snapToGrid/>
        <w:spacing w:before="210" w:after="120" w:line="360" w:lineRule="auto"/>
        <w:jc w:val="left"/>
        <w:textAlignment w:val="auto"/>
        <w:outlineLvl w:val="9"/>
        <w:rPr>
          <w:rFonts w:hint="eastAsia" w:ascii="宋体" w:hAnsi="宋体" w:eastAsia="宋体" w:cs="宋体"/>
          <w:b/>
          <w:bCs/>
          <w:color w:val="05073B"/>
          <w:kern w:val="0"/>
          <w:sz w:val="28"/>
          <w:szCs w:val="28"/>
          <w:lang w:val="en-US" w:eastAsia="zh-CN"/>
        </w:rPr>
      </w:pPr>
      <w:r>
        <w:rPr>
          <w:rFonts w:hint="eastAsia" w:ascii="宋体" w:hAnsi="宋体" w:eastAsia="宋体" w:cs="宋体"/>
          <w:b/>
          <w:bCs/>
          <w:color w:val="05073B"/>
          <w:kern w:val="0"/>
          <w:sz w:val="28"/>
          <w:szCs w:val="28"/>
          <w:lang w:val="en-US" w:eastAsia="zh-CN"/>
        </w:rPr>
        <w:t>11.平台升级及数据可视化</w:t>
      </w:r>
    </w:p>
    <w:p w14:paraId="78341DD3">
      <w:pPr>
        <w:pStyle w:val="133"/>
        <w:keepNext w:val="0"/>
        <w:keepLines w:val="0"/>
        <w:pageBreakBefore w:val="0"/>
        <w:widowControl/>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对现有甬库情融媒平台进行升级，升级“库车好地方”APP、微信公众号、网站、H5微页等接口，完善与甬库情融媒平台的数据接入。</w:t>
      </w:r>
    </w:p>
    <w:p w14:paraId="397A0799">
      <w:pPr>
        <w:pStyle w:val="133"/>
        <w:keepNext w:val="0"/>
        <w:keepLines w:val="0"/>
        <w:pageBreakBefore w:val="0"/>
        <w:widowControl/>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构建先进的数据可视化系统，通过直观、动态的可视化图表与界面，实现数据的高效展示与分析，为</w:t>
      </w:r>
      <w:r>
        <w:rPr>
          <w:rFonts w:hint="eastAsia" w:ascii="宋体" w:hAnsi="宋体" w:eastAsia="宋体" w:cs="宋体"/>
          <w:sz w:val="24"/>
          <w:szCs w:val="24"/>
          <w:lang w:val="en-US" w:eastAsia="zh-CN"/>
        </w:rPr>
        <w:t>甬库情融媒体平台</w:t>
      </w:r>
      <w:r>
        <w:rPr>
          <w:rFonts w:hint="eastAsia" w:ascii="宋体" w:hAnsi="宋体" w:eastAsia="宋体" w:cs="宋体"/>
          <w:sz w:val="24"/>
          <w:szCs w:val="24"/>
        </w:rPr>
        <w:t>提供有力的数据支撑，助力用户快速洞察数据背后的价值与趋势。
</w:t>
      </w:r>
    </w:p>
    <w:p w14:paraId="38953699">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11.1</w:t>
      </w:r>
      <w:r>
        <w:rPr>
          <w:rFonts w:hint="eastAsia" w:ascii="宋体" w:hAnsi="宋体" w:eastAsia="宋体" w:cs="宋体"/>
          <w:b/>
          <w:bCs/>
          <w:color w:val="06071F"/>
          <w:kern w:val="0"/>
          <w:sz w:val="24"/>
          <w:szCs w:val="24"/>
          <w:lang w:val="en-US" w:eastAsia="zh-CN"/>
        </w:rPr>
        <w:t>可视化</w:t>
      </w:r>
      <w:r>
        <w:rPr>
          <w:rFonts w:hint="eastAsia" w:ascii="宋体" w:hAnsi="宋体" w:eastAsia="宋体" w:cs="宋体"/>
          <w:b/>
          <w:bCs/>
          <w:sz w:val="24"/>
          <w:szCs w:val="24"/>
          <w:lang w:val="en-US" w:eastAsia="zh-CN"/>
        </w:rPr>
        <w:t>功能​</w:t>
      </w:r>
    </w:p>
    <w:p w14:paraId="33412D58">
      <w:pPr>
        <w:pStyle w:val="133"/>
        <w:keepNext w:val="0"/>
        <w:keepLines w:val="0"/>
        <w:pageBreakBefore w:val="0"/>
        <w:widowControl/>
        <w:kinsoku/>
        <w:wordWrap/>
        <w:overflowPunct/>
        <w:topLinePunct w:val="0"/>
        <w:autoSpaceDE/>
        <w:autoSpaceDN/>
        <w:bidi w:val="0"/>
        <w:adjustRightInd/>
        <w:snapToGrid/>
        <w:spacing w:before="0" w:after="0" w:line="360" w:lineRule="auto"/>
        <w:ind w:firstLine="482"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bCs/>
          <w:color w:val="06071F"/>
          <w:kern w:val="0"/>
          <w:sz w:val="24"/>
          <w:szCs w:val="24"/>
          <w:lang w:val="en-US" w:eastAsia="zh-CN" w:bidi="ar-SA"/>
        </w:rPr>
        <w:t>特色图表类型：</w:t>
      </w:r>
      <w:r>
        <w:rPr>
          <w:rFonts w:hint="eastAsia" w:ascii="宋体" w:hAnsi="宋体" w:eastAsia="宋体" w:cs="宋体"/>
          <w:b w:val="0"/>
          <w:bCs w:val="0"/>
          <w:sz w:val="24"/>
          <w:szCs w:val="24"/>
        </w:rPr>
        <w:t>除支持折线图、柱状图等常见图表外，需定制新闻专属图表，如热点词云动态演化图</w:t>
      </w:r>
      <w:r>
        <w:rPr>
          <w:rFonts w:hint="eastAsia" w:ascii="宋体" w:hAnsi="宋体" w:eastAsia="宋体" w:cs="宋体"/>
          <w:b w:val="0"/>
          <w:bCs w:val="0"/>
          <w:sz w:val="24"/>
          <w:szCs w:val="24"/>
          <w:lang w:val="en-US" w:eastAsia="zh-CN"/>
        </w:rPr>
        <w:t>等</w:t>
      </w:r>
      <w:r>
        <w:rPr>
          <w:rFonts w:hint="eastAsia" w:ascii="宋体" w:hAnsi="宋体" w:eastAsia="宋体" w:cs="宋体"/>
          <w:b w:val="0"/>
          <w:bCs w:val="0"/>
          <w:sz w:val="24"/>
          <w:szCs w:val="24"/>
        </w:rPr>
        <w:t>；支持自定义图表样式，可融入媒体品牌视觉元素。​</w:t>
      </w:r>
    </w:p>
    <w:p w14:paraId="5C33596D">
      <w:pPr>
        <w:pStyle w:val="133"/>
        <w:keepNext w:val="0"/>
        <w:keepLines w:val="0"/>
        <w:pageBreakBefore w:val="0"/>
        <w:widowControl/>
        <w:kinsoku/>
        <w:wordWrap/>
        <w:overflowPunct/>
        <w:topLinePunct w:val="0"/>
        <w:autoSpaceDE/>
        <w:autoSpaceDN/>
        <w:bidi w:val="0"/>
        <w:adjustRightInd/>
        <w:snapToGrid/>
        <w:spacing w:before="0" w:after="0" w:line="360" w:lineRule="auto"/>
        <w:ind w:firstLine="482"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bCs/>
          <w:color w:val="06071F"/>
          <w:kern w:val="0"/>
          <w:sz w:val="24"/>
          <w:szCs w:val="24"/>
          <w:lang w:val="en-US" w:eastAsia="zh-CN" w:bidi="ar-SA"/>
        </w:rPr>
        <w:t>动态展示：</w:t>
      </w:r>
      <w:r>
        <w:rPr>
          <w:rFonts w:hint="eastAsia" w:ascii="宋体" w:hAnsi="宋体" w:eastAsia="宋体" w:cs="宋体"/>
          <w:b w:val="0"/>
          <w:bCs w:val="0"/>
          <w:sz w:val="24"/>
          <w:szCs w:val="24"/>
        </w:rPr>
        <w:t>实现新闻数据实时刷新展示，如实时呈现稿件发布后的阅读量增长曲线、评论实时滚动；支持动态动画效果，如热点新闻区域高亮闪烁、新闻传播趋势动态演变，刷新频率 1 - 60 秒可自由设置。​</w:t>
      </w:r>
    </w:p>
    <w:p w14:paraId="08DFE769">
      <w:pPr>
        <w:pStyle w:val="133"/>
        <w:keepNext w:val="0"/>
        <w:keepLines w:val="0"/>
        <w:pageBreakBefore w:val="0"/>
        <w:widowControl/>
        <w:kinsoku/>
        <w:wordWrap/>
        <w:overflowPunct/>
        <w:topLinePunct w:val="0"/>
        <w:autoSpaceDE/>
        <w:autoSpaceDN/>
        <w:bidi w:val="0"/>
        <w:adjustRightInd/>
        <w:snapToGrid/>
        <w:spacing w:before="0" w:after="0" w:line="360" w:lineRule="auto"/>
        <w:ind w:firstLine="482"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bCs/>
          <w:color w:val="06071F"/>
          <w:kern w:val="0"/>
          <w:sz w:val="24"/>
          <w:szCs w:val="24"/>
          <w:lang w:val="en-US" w:eastAsia="zh-CN" w:bidi="ar-SA"/>
        </w:rPr>
        <w:t>复杂场景支持：</w:t>
      </w:r>
      <w:r>
        <w:rPr>
          <w:rFonts w:hint="eastAsia" w:ascii="宋体" w:hAnsi="宋体" w:eastAsia="宋体" w:cs="宋体"/>
          <w:b w:val="0"/>
          <w:bCs w:val="0"/>
          <w:sz w:val="24"/>
          <w:szCs w:val="24"/>
        </w:rPr>
        <w:t>可处理新闻多维度数据关联展示，如将新闻主题、发布时间、地域分布、受众画像结合展示；支持新闻数据分层展示，满足从全局传播概览到单篇稿件详细分析的不同层级需求。​</w:t>
      </w:r>
    </w:p>
    <w:p w14:paraId="2B392FC8">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val="0"/>
          <w:sz w:val="24"/>
          <w:szCs w:val="24"/>
        </w:rPr>
      </w:pPr>
      <w:r>
        <w:rPr>
          <w:rFonts w:hint="eastAsia" w:ascii="宋体" w:hAnsi="宋体" w:eastAsia="宋体" w:cs="宋体"/>
          <w:b/>
          <w:bCs/>
          <w:sz w:val="24"/>
          <w:szCs w:val="24"/>
          <w:lang w:val="en-US" w:eastAsia="zh-CN"/>
        </w:rPr>
        <w:t>11.2数据处理能力</w:t>
      </w:r>
      <w:r>
        <w:rPr>
          <w:rFonts w:hint="eastAsia" w:ascii="宋体" w:hAnsi="宋体" w:eastAsia="宋体" w:cs="宋体"/>
          <w:b w:val="0"/>
          <w:bCs w:val="0"/>
          <w:sz w:val="24"/>
          <w:szCs w:val="24"/>
          <w:lang w:val="en-US" w:eastAsia="zh-CN"/>
        </w:rPr>
        <w:t>​</w:t>
      </w:r>
    </w:p>
    <w:p w14:paraId="59F60CF2">
      <w:pPr>
        <w:pStyle w:val="133"/>
        <w:keepNext w:val="0"/>
        <w:keepLines w:val="0"/>
        <w:pageBreakBefore w:val="0"/>
        <w:widowControl/>
        <w:kinsoku/>
        <w:wordWrap/>
        <w:overflowPunct/>
        <w:topLinePunct w:val="0"/>
        <w:autoSpaceDE/>
        <w:autoSpaceDN/>
        <w:bidi w:val="0"/>
        <w:adjustRightInd/>
        <w:snapToGrid/>
        <w:spacing w:before="0" w:after="0" w:line="360" w:lineRule="auto"/>
        <w:ind w:firstLine="482"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bCs/>
          <w:color w:val="06071F"/>
          <w:kern w:val="0"/>
          <w:sz w:val="24"/>
          <w:szCs w:val="24"/>
          <w:lang w:val="en-US" w:eastAsia="zh-CN" w:bidi="ar-SA"/>
        </w:rPr>
        <w:t>数据接入：</w:t>
      </w:r>
      <w:r>
        <w:rPr>
          <w:rFonts w:hint="eastAsia" w:ascii="宋体" w:hAnsi="宋体" w:eastAsia="宋体" w:cs="宋体"/>
          <w:b w:val="0"/>
          <w:bCs w:val="0"/>
          <w:sz w:val="24"/>
          <w:szCs w:val="24"/>
        </w:rPr>
        <w:t>支持接入新闻稿件生产系统、媒体发布渠道接口、社交媒体数据接口数据等；兼容主流数据库、大数据平台、文件及 API 接口等数据接入方式，具备数据清洗（如去除重复新闻数据）、转换（统一新闻数据格式）、聚合（按媒体、时段聚合新闻传播数据）等预处理功能。​</w:t>
      </w:r>
    </w:p>
    <w:p w14:paraId="16DE5792">
      <w:pPr>
        <w:pStyle w:val="133"/>
        <w:keepNext w:val="0"/>
        <w:keepLines w:val="0"/>
        <w:pageBreakBefore w:val="0"/>
        <w:widowControl/>
        <w:kinsoku/>
        <w:wordWrap/>
        <w:overflowPunct/>
        <w:topLinePunct w:val="0"/>
        <w:autoSpaceDE/>
        <w:autoSpaceDN/>
        <w:bidi w:val="0"/>
        <w:adjustRightInd/>
        <w:snapToGrid/>
        <w:spacing w:before="0" w:after="0" w:line="360" w:lineRule="auto"/>
        <w:ind w:firstLine="482"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bCs/>
          <w:color w:val="06071F"/>
          <w:kern w:val="0"/>
          <w:sz w:val="24"/>
          <w:szCs w:val="24"/>
          <w:lang w:val="en-US" w:eastAsia="zh-CN" w:bidi="ar-SA"/>
        </w:rPr>
        <w:t>数据容量：</w:t>
      </w:r>
      <w:r>
        <w:rPr>
          <w:rFonts w:hint="eastAsia" w:ascii="宋体" w:hAnsi="宋体" w:eastAsia="宋体" w:cs="宋体"/>
          <w:b w:val="0"/>
          <w:bCs w:val="0"/>
          <w:sz w:val="24"/>
          <w:szCs w:val="24"/>
        </w:rPr>
        <w:t xml:space="preserve">可稳定处理每日新增不低于 </w:t>
      </w:r>
      <w:r>
        <w:rPr>
          <w:rFonts w:hint="eastAsia" w:ascii="宋体" w:hAnsi="宋体" w:eastAsia="宋体" w:cs="宋体"/>
          <w:b w:val="0"/>
          <w:bCs w:val="0"/>
          <w:sz w:val="24"/>
          <w:szCs w:val="24"/>
          <w:lang w:val="en-US" w:eastAsia="zh-CN"/>
        </w:rPr>
        <w:t>1000</w:t>
      </w:r>
      <w:r>
        <w:rPr>
          <w:rFonts w:hint="eastAsia" w:ascii="宋体" w:hAnsi="宋体" w:eastAsia="宋体" w:cs="宋体"/>
          <w:b w:val="0"/>
          <w:bCs w:val="0"/>
          <w:sz w:val="24"/>
          <w:szCs w:val="24"/>
        </w:rPr>
        <w:t xml:space="preserve">条新闻数据的可视化展示，在处理 </w:t>
      </w:r>
      <w:r>
        <w:rPr>
          <w:rFonts w:hint="eastAsia" w:ascii="宋体" w:hAnsi="宋体" w:eastAsia="宋体" w:cs="宋体"/>
          <w:b w:val="0"/>
          <w:bCs w:val="0"/>
          <w:sz w:val="24"/>
          <w:szCs w:val="24"/>
          <w:lang w:val="en-US" w:eastAsia="zh-CN"/>
        </w:rPr>
        <w:t>1000</w:t>
      </w:r>
      <w:r>
        <w:rPr>
          <w:rFonts w:hint="eastAsia" w:ascii="宋体" w:hAnsi="宋体" w:eastAsia="宋体" w:cs="宋体"/>
          <w:b w:val="0"/>
          <w:bCs w:val="0"/>
          <w:sz w:val="24"/>
          <w:szCs w:val="24"/>
        </w:rPr>
        <w:t>条新闻数据时，图表渲染时间不超过</w:t>
      </w:r>
      <w:r>
        <w:rPr>
          <w:rFonts w:hint="eastAsia" w:ascii="宋体" w:hAnsi="宋体" w:eastAsia="宋体" w:cs="宋体"/>
          <w:b w:val="0"/>
          <w:bCs w:val="0"/>
          <w:sz w:val="24"/>
          <w:szCs w:val="24"/>
          <w:lang w:val="en-US" w:eastAsia="zh-CN"/>
        </w:rPr>
        <w:t>10</w:t>
      </w:r>
      <w:r>
        <w:rPr>
          <w:rFonts w:hint="eastAsia" w:ascii="宋体" w:hAnsi="宋体" w:eastAsia="宋体" w:cs="宋体"/>
          <w:b w:val="0"/>
          <w:bCs w:val="0"/>
          <w:sz w:val="24"/>
          <w:szCs w:val="24"/>
        </w:rPr>
        <w:t xml:space="preserve"> 秒。​</w:t>
      </w:r>
    </w:p>
    <w:p w14:paraId="4EE9C06D">
      <w:pPr>
        <w:pStyle w:val="133"/>
        <w:keepNext w:val="0"/>
        <w:keepLines w:val="0"/>
        <w:pageBreakBefore w:val="0"/>
        <w:widowControl/>
        <w:kinsoku/>
        <w:wordWrap/>
        <w:overflowPunct/>
        <w:topLinePunct w:val="0"/>
        <w:autoSpaceDE/>
        <w:autoSpaceDN/>
        <w:bidi w:val="0"/>
        <w:adjustRightInd/>
        <w:snapToGrid/>
        <w:spacing w:before="0" w:after="0" w:line="360" w:lineRule="auto"/>
        <w:ind w:firstLine="482"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bCs/>
          <w:color w:val="06071F"/>
          <w:kern w:val="0"/>
          <w:sz w:val="24"/>
          <w:szCs w:val="24"/>
          <w:lang w:val="en-US" w:eastAsia="zh-CN" w:bidi="ar-SA"/>
        </w:rPr>
        <w:t>数据更新：</w:t>
      </w:r>
      <w:r>
        <w:rPr>
          <w:rFonts w:hint="eastAsia" w:ascii="宋体" w:hAnsi="宋体" w:eastAsia="宋体" w:cs="宋体"/>
          <w:b w:val="0"/>
          <w:bCs w:val="0"/>
          <w:sz w:val="24"/>
          <w:szCs w:val="24"/>
        </w:rPr>
        <w:t>支持新闻数据实时更新（如新闻实时传播数据）与定时任务更新（如每日媒体传播数据汇总），数据更新延迟不超过 5 秒。​</w:t>
      </w:r>
    </w:p>
    <w:p w14:paraId="0B6828BA">
      <w:pPr>
        <w:keepNext w:val="0"/>
        <w:keepLines w:val="0"/>
        <w:pageBreakBefore w:val="0"/>
        <w:widowControl/>
        <w:numPr>
          <w:ilvl w:val="0"/>
          <w:numId w:val="0"/>
        </w:numPr>
        <w:shd w:val="clear" w:color="auto" w:fill="FDFDFE"/>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11.3技术架构​</w:t>
      </w:r>
    </w:p>
    <w:p w14:paraId="0A0A10E7">
      <w:pPr>
        <w:pStyle w:val="133"/>
        <w:keepNext w:val="0"/>
        <w:keepLines w:val="0"/>
        <w:pageBreakBefore w:val="0"/>
        <w:widowControl/>
        <w:kinsoku/>
        <w:wordWrap/>
        <w:overflowPunct/>
        <w:topLinePunct w:val="0"/>
        <w:autoSpaceDE/>
        <w:autoSpaceDN/>
        <w:bidi w:val="0"/>
        <w:adjustRightInd/>
        <w:snapToGrid/>
        <w:spacing w:before="0" w:after="0" w:line="360" w:lineRule="auto"/>
        <w:ind w:firstLine="482"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bCs/>
          <w:color w:val="06071F"/>
          <w:kern w:val="0"/>
          <w:sz w:val="24"/>
          <w:szCs w:val="24"/>
          <w:lang w:val="en-US" w:eastAsia="zh-CN" w:bidi="ar-SA"/>
        </w:rPr>
        <w:t>前端技术：</w:t>
      </w:r>
      <w:r>
        <w:rPr>
          <w:rFonts w:hint="eastAsia" w:ascii="宋体" w:hAnsi="宋体" w:eastAsia="宋体" w:cs="宋体"/>
          <w:b w:val="0"/>
          <w:bCs w:val="0"/>
          <w:sz w:val="24"/>
          <w:szCs w:val="24"/>
        </w:rPr>
        <w:t>采用 HTML5、CSS3、JavaScript 等主流前端技术，兼容 Chrome、Firefox、Edge、Safari 等主流浏览器，适配 Windows、MacOS、Linux 操作系统，同时需支持移动端展示。​</w:t>
      </w:r>
    </w:p>
    <w:p w14:paraId="3B69F6EB">
      <w:pPr>
        <w:pStyle w:val="133"/>
        <w:keepNext w:val="0"/>
        <w:keepLines w:val="0"/>
        <w:pageBreakBefore w:val="0"/>
        <w:widowControl/>
        <w:kinsoku/>
        <w:wordWrap/>
        <w:overflowPunct/>
        <w:topLinePunct w:val="0"/>
        <w:autoSpaceDE/>
        <w:autoSpaceDN/>
        <w:bidi w:val="0"/>
        <w:adjustRightInd/>
        <w:snapToGrid/>
        <w:spacing w:before="0" w:after="0" w:line="360" w:lineRule="auto"/>
        <w:ind w:firstLine="482"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bCs/>
          <w:color w:val="06071F"/>
          <w:kern w:val="0"/>
          <w:sz w:val="24"/>
          <w:szCs w:val="24"/>
          <w:lang w:val="en-US" w:eastAsia="zh-CN" w:bidi="ar-SA"/>
        </w:rPr>
        <w:t>后端技术：</w:t>
      </w:r>
      <w:r>
        <w:rPr>
          <w:rFonts w:hint="eastAsia" w:ascii="宋体" w:hAnsi="宋体" w:eastAsia="宋体" w:cs="宋体"/>
          <w:b w:val="0"/>
          <w:bCs w:val="0"/>
          <w:sz w:val="24"/>
          <w:szCs w:val="24"/>
        </w:rPr>
        <w:t>后端框架需具备高并发处理能力，支持分布式部署，满足新闻数据高峰时段（如重大新闻事件发生时）的稳定运行，建议采用 Spring Boot、Django 等成熟框架。​</w:t>
      </w:r>
    </w:p>
    <w:p w14:paraId="5A16D7C2">
      <w:pPr>
        <w:pStyle w:val="133"/>
        <w:keepNext w:val="0"/>
        <w:keepLines w:val="0"/>
        <w:pageBreakBefore w:val="0"/>
        <w:widowControl/>
        <w:kinsoku/>
        <w:wordWrap/>
        <w:overflowPunct/>
        <w:topLinePunct w:val="0"/>
        <w:autoSpaceDE/>
        <w:autoSpaceDN/>
        <w:bidi w:val="0"/>
        <w:adjustRightInd/>
        <w:snapToGrid/>
        <w:spacing w:before="0" w:after="0" w:line="360" w:lineRule="auto"/>
        <w:ind w:firstLine="482"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bCs/>
          <w:color w:val="06071F"/>
          <w:kern w:val="0"/>
          <w:sz w:val="24"/>
          <w:szCs w:val="24"/>
          <w:lang w:val="en-US" w:eastAsia="zh-CN" w:bidi="ar-SA"/>
        </w:rPr>
        <w:t>数据安全：</w:t>
      </w:r>
      <w:r>
        <w:rPr>
          <w:rFonts w:hint="eastAsia" w:ascii="宋体" w:hAnsi="宋体" w:eastAsia="宋体" w:cs="宋体"/>
          <w:b w:val="0"/>
          <w:bCs w:val="0"/>
          <w:sz w:val="24"/>
          <w:szCs w:val="24"/>
        </w:rPr>
        <w:t>具备完善的数据加密机制，对传输的新闻敏感数据（如用户隐私信息、未发布新闻稿）采用 SSL/TLS 加密协议，对存储数据加密处理；支持用户角色权限管理，可细化到按钮级（如仅允许特定人员导出数据）、数据级权限控制（如不同部门查看不同媒体数据）。</w:t>
      </w:r>
    </w:p>
    <w:p w14:paraId="460B86B3">
      <w:pPr>
        <w:pStyle w:val="133"/>
        <w:keepNext w:val="0"/>
        <w:keepLines w:val="0"/>
        <w:pageBreakBefore w:val="0"/>
        <w:widowControl/>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宋体" w:hAnsi="宋体" w:eastAsia="宋体" w:cs="宋体"/>
          <w:b w:val="0"/>
          <w:bCs w:val="0"/>
          <w:sz w:val="24"/>
          <w:szCs w:val="24"/>
        </w:rPr>
      </w:pPr>
    </w:p>
    <w:p w14:paraId="112D4BEA">
      <w:pPr>
        <w:pStyle w:val="133"/>
        <w:keepNext w:val="0"/>
        <w:keepLines w:val="0"/>
        <w:pageBreakBefore w:val="0"/>
        <w:widowControl/>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宋体" w:hAnsi="宋体" w:eastAsia="宋体" w:cs="宋体"/>
          <w:b w:val="0"/>
          <w:bCs w:val="0"/>
          <w:sz w:val="24"/>
          <w:szCs w:val="24"/>
        </w:rPr>
      </w:pPr>
    </w:p>
    <w:p w14:paraId="07826B60">
      <w:pPr>
        <w:pStyle w:val="133"/>
        <w:keepNext w:val="0"/>
        <w:keepLines w:val="0"/>
        <w:pageBreakBefore w:val="0"/>
        <w:widowControl/>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宋体" w:hAnsi="宋体" w:eastAsia="宋体" w:cs="宋体"/>
          <w:b w:val="0"/>
          <w:bCs w:val="0"/>
          <w:sz w:val="24"/>
          <w:szCs w:val="24"/>
        </w:rPr>
      </w:pPr>
    </w:p>
    <w:p w14:paraId="2F398966">
      <w:pPr>
        <w:pStyle w:val="133"/>
        <w:keepNext w:val="0"/>
        <w:keepLines w:val="0"/>
        <w:pageBreakBefore w:val="0"/>
        <w:widowControl/>
        <w:kinsoku/>
        <w:wordWrap w:val="0"/>
        <w:overflowPunct/>
        <w:topLinePunct w:val="0"/>
        <w:autoSpaceDE/>
        <w:autoSpaceDN/>
        <w:bidi w:val="0"/>
        <w:adjustRightInd/>
        <w:snapToGrid/>
        <w:spacing w:before="0" w:after="0" w:line="360" w:lineRule="auto"/>
        <w:ind w:firstLine="480" w:firstLineChars="200"/>
        <w:jc w:val="right"/>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库车市融媒体中心    </w:t>
      </w:r>
    </w:p>
    <w:p w14:paraId="0A8CF6CC">
      <w:pPr>
        <w:pStyle w:val="133"/>
        <w:keepNext w:val="0"/>
        <w:keepLines w:val="0"/>
        <w:pageBreakBefore w:val="0"/>
        <w:widowControl/>
        <w:kinsoku/>
        <w:wordWrap w:val="0"/>
        <w:overflowPunct/>
        <w:topLinePunct w:val="0"/>
        <w:autoSpaceDE/>
        <w:autoSpaceDN/>
        <w:bidi w:val="0"/>
        <w:adjustRightInd/>
        <w:snapToGrid/>
        <w:spacing w:before="0" w:after="0" w:line="360" w:lineRule="auto"/>
        <w:ind w:firstLine="480" w:firstLineChars="200"/>
        <w:jc w:val="right"/>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2025年7月7日     </w:t>
      </w:r>
    </w:p>
    <w:p w14:paraId="4B7884D1">
      <w:pPr>
        <w:rPr>
          <w:rFonts w:hint="eastAsia" w:ascii="宋体" w:hAnsi="宋体" w:eastAsia="宋体" w:cs="宋体"/>
          <w:color w:val="000000"/>
          <w:kern w:val="2"/>
          <w:sz w:val="22"/>
          <w:szCs w:val="22"/>
          <w:lang w:val="en-US" w:eastAsia="zh-CN" w:bidi="ar-SA"/>
        </w:rPr>
      </w:pPr>
    </w:p>
    <w:p w14:paraId="60DA1130">
      <w:pPr>
        <w:rPr>
          <w:rFonts w:hint="eastAsia" w:ascii="宋体" w:hAnsi="宋体" w:eastAsia="宋体" w:cs="宋体"/>
          <w:color w:val="000000"/>
          <w:kern w:val="2"/>
          <w:sz w:val="22"/>
          <w:szCs w:val="22"/>
          <w:lang w:val="en-US" w:eastAsia="zh-CN" w:bidi="ar-SA"/>
        </w:rPr>
      </w:pPr>
    </w:p>
    <w:p w14:paraId="6D35172E">
      <w:pPr>
        <w:rPr>
          <w:rFonts w:hint="eastAsia" w:ascii="宋体" w:hAnsi="宋体" w:eastAsia="宋体" w:cs="宋体"/>
          <w:color w:val="000000"/>
          <w:kern w:val="2"/>
          <w:sz w:val="22"/>
          <w:szCs w:val="22"/>
          <w:lang w:val="en-US" w:eastAsia="zh-CN" w:bidi="ar-SA"/>
        </w:rPr>
      </w:pPr>
    </w:p>
    <w:p w14:paraId="2F50D751">
      <w:pPr>
        <w:rPr>
          <w:rFonts w:hint="eastAsia" w:ascii="宋体" w:hAnsi="宋体" w:eastAsia="宋体" w:cs="宋体"/>
          <w:color w:val="000000"/>
          <w:kern w:val="2"/>
          <w:sz w:val="22"/>
          <w:szCs w:val="22"/>
          <w:lang w:val="en-US" w:eastAsia="zh-CN" w:bidi="ar-SA"/>
        </w:rPr>
      </w:pPr>
    </w:p>
    <w:p w14:paraId="540CE3DE">
      <w:pPr>
        <w:rPr>
          <w:rFonts w:hint="eastAsia" w:ascii="宋体" w:hAnsi="宋体" w:eastAsia="宋体" w:cs="宋体"/>
          <w:color w:val="000000"/>
          <w:kern w:val="2"/>
          <w:sz w:val="22"/>
          <w:szCs w:val="22"/>
          <w:lang w:val="en-US" w:eastAsia="zh-CN" w:bidi="ar-SA"/>
        </w:rPr>
      </w:pPr>
    </w:p>
    <w:p w14:paraId="221ADDFA">
      <w:pPr>
        <w:rPr>
          <w:rFonts w:hint="eastAsia" w:ascii="宋体" w:hAnsi="宋体" w:eastAsia="宋体" w:cs="宋体"/>
          <w:color w:val="000000"/>
          <w:kern w:val="2"/>
          <w:sz w:val="22"/>
          <w:szCs w:val="22"/>
          <w:lang w:val="en-US" w:eastAsia="zh-CN" w:bidi="ar-SA"/>
        </w:rPr>
      </w:pPr>
    </w:p>
    <w:p w14:paraId="6E90F299">
      <w:pPr>
        <w:rPr>
          <w:rFonts w:hint="eastAsia" w:ascii="宋体" w:hAnsi="宋体" w:eastAsia="宋体" w:cs="宋体"/>
          <w:color w:val="000000"/>
          <w:kern w:val="2"/>
          <w:sz w:val="22"/>
          <w:szCs w:val="22"/>
          <w:lang w:val="en-US" w:eastAsia="zh-CN" w:bidi="ar-SA"/>
        </w:rPr>
      </w:pPr>
    </w:p>
    <w:p w14:paraId="382DB7A8">
      <w:pPr>
        <w:rPr>
          <w:rFonts w:hint="eastAsia" w:ascii="宋体" w:hAnsi="宋体" w:eastAsia="宋体" w:cs="宋体"/>
          <w:color w:val="000000"/>
          <w:kern w:val="2"/>
          <w:sz w:val="22"/>
          <w:szCs w:val="22"/>
          <w:lang w:val="en-US" w:eastAsia="zh-CN" w:bidi="ar-SA"/>
        </w:rPr>
      </w:pPr>
    </w:p>
    <w:p w14:paraId="435DF9B0">
      <w:pPr>
        <w:rPr>
          <w:rFonts w:hint="eastAsia" w:ascii="宋体" w:hAnsi="宋体" w:eastAsia="宋体" w:cs="宋体"/>
          <w:color w:val="000000"/>
          <w:kern w:val="2"/>
          <w:sz w:val="22"/>
          <w:szCs w:val="22"/>
          <w:lang w:val="en-US" w:eastAsia="zh-CN" w:bidi="ar-SA"/>
        </w:rPr>
      </w:pPr>
    </w:p>
    <w:p w14:paraId="630CE94C">
      <w:pPr>
        <w:rPr>
          <w:rFonts w:hint="eastAsia" w:ascii="宋体" w:hAnsi="宋体" w:eastAsia="宋体" w:cs="宋体"/>
          <w:color w:val="000000"/>
          <w:kern w:val="2"/>
          <w:sz w:val="22"/>
          <w:szCs w:val="22"/>
          <w:lang w:val="en-US" w:eastAsia="zh-CN" w:bidi="ar-SA"/>
        </w:rPr>
      </w:pPr>
    </w:p>
    <w:p w14:paraId="75C7E0FB">
      <w:pPr>
        <w:rPr>
          <w:rFonts w:hint="eastAsia" w:ascii="宋体" w:hAnsi="宋体" w:eastAsia="宋体" w:cs="宋体"/>
          <w:color w:val="000000"/>
          <w:kern w:val="2"/>
          <w:sz w:val="22"/>
          <w:szCs w:val="22"/>
          <w:lang w:val="en-US" w:eastAsia="zh-CN" w:bidi="ar-SA"/>
        </w:rPr>
      </w:pPr>
    </w:p>
    <w:p w14:paraId="42C19D86">
      <w:pPr>
        <w:rPr>
          <w:rFonts w:hint="eastAsia" w:ascii="宋体" w:hAnsi="宋体" w:eastAsia="宋体" w:cs="宋体"/>
          <w:color w:val="000000"/>
          <w:kern w:val="2"/>
          <w:sz w:val="22"/>
          <w:szCs w:val="22"/>
          <w:lang w:val="en-US" w:eastAsia="zh-CN" w:bidi="ar-SA"/>
        </w:rPr>
      </w:pPr>
    </w:p>
    <w:p w14:paraId="48762164">
      <w:pPr>
        <w:rPr>
          <w:rFonts w:hint="eastAsia" w:ascii="宋体" w:hAnsi="宋体" w:eastAsia="宋体" w:cs="宋体"/>
          <w:color w:val="000000"/>
          <w:kern w:val="2"/>
          <w:sz w:val="22"/>
          <w:szCs w:val="22"/>
          <w:lang w:val="en-US" w:eastAsia="zh-CN" w:bidi="ar-SA"/>
        </w:rPr>
      </w:pPr>
    </w:p>
    <w:p w14:paraId="7E4A4A7C">
      <w:pPr>
        <w:rPr>
          <w:rFonts w:hint="eastAsia" w:ascii="宋体" w:hAnsi="宋体" w:eastAsia="宋体" w:cs="宋体"/>
          <w:color w:val="000000"/>
          <w:kern w:val="2"/>
          <w:sz w:val="22"/>
          <w:szCs w:val="22"/>
          <w:lang w:val="en-US" w:eastAsia="zh-CN" w:bidi="ar-SA"/>
        </w:rPr>
      </w:pPr>
    </w:p>
    <w:p w14:paraId="0D4F8C5E">
      <w:pPr>
        <w:rPr>
          <w:rFonts w:hint="eastAsia" w:ascii="宋体" w:hAnsi="宋体" w:eastAsia="宋体" w:cs="宋体"/>
          <w:color w:val="000000"/>
          <w:kern w:val="2"/>
          <w:sz w:val="22"/>
          <w:szCs w:val="22"/>
          <w:lang w:val="en-US" w:eastAsia="zh-CN" w:bidi="ar-SA"/>
        </w:rPr>
      </w:pPr>
    </w:p>
    <w:p w14:paraId="1EDF7D47">
      <w:pPr>
        <w:rPr>
          <w:rFonts w:hint="eastAsia" w:ascii="宋体" w:hAnsi="宋体" w:eastAsia="宋体" w:cs="宋体"/>
          <w:color w:val="000000"/>
          <w:kern w:val="2"/>
          <w:sz w:val="22"/>
          <w:szCs w:val="22"/>
          <w:lang w:val="en-US" w:eastAsia="zh-CN" w:bidi="ar-SA"/>
        </w:rPr>
      </w:pPr>
    </w:p>
    <w:p w14:paraId="34EE83D2">
      <w:pPr>
        <w:rPr>
          <w:rFonts w:hint="eastAsia" w:ascii="宋体" w:hAnsi="宋体" w:eastAsia="宋体" w:cs="宋体"/>
          <w:color w:val="000000"/>
          <w:kern w:val="2"/>
          <w:sz w:val="22"/>
          <w:szCs w:val="22"/>
          <w:lang w:val="en-US" w:eastAsia="zh-CN" w:bidi="ar-SA"/>
        </w:rPr>
      </w:pPr>
    </w:p>
    <w:p w14:paraId="0A451C9D">
      <w:pPr>
        <w:rPr>
          <w:rFonts w:hint="eastAsia" w:ascii="宋体" w:hAnsi="宋体" w:eastAsia="宋体" w:cs="宋体"/>
          <w:color w:val="000000"/>
          <w:kern w:val="2"/>
          <w:sz w:val="22"/>
          <w:szCs w:val="22"/>
          <w:lang w:val="en-US" w:eastAsia="zh-CN" w:bidi="ar-SA"/>
        </w:rPr>
      </w:pPr>
    </w:p>
    <w:p w14:paraId="533B3C87">
      <w:pPr>
        <w:rPr>
          <w:rFonts w:hint="eastAsia" w:ascii="宋体" w:hAnsi="宋体" w:eastAsia="宋体" w:cs="宋体"/>
          <w:color w:val="000000"/>
          <w:kern w:val="2"/>
          <w:sz w:val="22"/>
          <w:szCs w:val="22"/>
          <w:lang w:val="en-US" w:eastAsia="zh-CN" w:bidi="ar-SA"/>
        </w:rPr>
      </w:pPr>
    </w:p>
    <w:p w14:paraId="606D6082">
      <w:pPr>
        <w:rPr>
          <w:rFonts w:hint="eastAsia" w:ascii="宋体" w:hAnsi="宋体" w:eastAsia="宋体" w:cs="宋体"/>
          <w:color w:val="000000"/>
          <w:kern w:val="2"/>
          <w:sz w:val="22"/>
          <w:szCs w:val="22"/>
          <w:lang w:val="en-US" w:eastAsia="zh-CN" w:bidi="ar-SA"/>
        </w:rPr>
      </w:pPr>
    </w:p>
    <w:p w14:paraId="668A2F8C">
      <w:pPr>
        <w:rPr>
          <w:rFonts w:hint="eastAsia" w:ascii="宋体" w:hAnsi="宋体" w:eastAsia="宋体" w:cs="宋体"/>
          <w:color w:val="000000"/>
          <w:kern w:val="2"/>
          <w:sz w:val="22"/>
          <w:szCs w:val="22"/>
          <w:lang w:val="en-US" w:eastAsia="zh-CN" w:bidi="ar-SA"/>
        </w:rPr>
      </w:pPr>
    </w:p>
    <w:p w14:paraId="0440FF4D">
      <w:pPr>
        <w:rPr>
          <w:rFonts w:hint="eastAsia" w:ascii="宋体" w:hAnsi="宋体" w:eastAsia="宋体" w:cs="宋体"/>
          <w:color w:val="000000"/>
          <w:kern w:val="2"/>
          <w:sz w:val="22"/>
          <w:szCs w:val="22"/>
          <w:lang w:val="en-US" w:eastAsia="zh-CN" w:bidi="ar-SA"/>
        </w:rPr>
      </w:pPr>
    </w:p>
    <w:p w14:paraId="7198CEB9">
      <w:pPr>
        <w:rPr>
          <w:rFonts w:hint="eastAsia" w:ascii="宋体" w:hAnsi="宋体" w:eastAsia="宋体" w:cs="宋体"/>
          <w:color w:val="000000"/>
          <w:kern w:val="2"/>
          <w:sz w:val="22"/>
          <w:szCs w:val="22"/>
          <w:lang w:val="en-US" w:eastAsia="zh-CN" w:bidi="ar-SA"/>
        </w:rPr>
      </w:pPr>
    </w:p>
    <w:p w14:paraId="3BB6CDB5">
      <w:pPr>
        <w:rPr>
          <w:rFonts w:hint="eastAsia" w:ascii="宋体" w:hAnsi="宋体" w:eastAsia="宋体" w:cs="宋体"/>
          <w:color w:val="000000"/>
          <w:kern w:val="2"/>
          <w:sz w:val="22"/>
          <w:szCs w:val="22"/>
          <w:lang w:val="en-US" w:eastAsia="zh-CN" w:bidi="ar-SA"/>
        </w:rPr>
      </w:pPr>
    </w:p>
    <w:p w14:paraId="1EE1CD8F">
      <w:pPr>
        <w:rPr>
          <w:rFonts w:hint="eastAsia" w:ascii="宋体" w:hAnsi="宋体" w:eastAsia="宋体" w:cs="宋体"/>
          <w:color w:val="000000"/>
          <w:kern w:val="2"/>
          <w:sz w:val="22"/>
          <w:szCs w:val="22"/>
          <w:lang w:val="en-US" w:eastAsia="zh-CN" w:bidi="ar-SA"/>
        </w:rPr>
      </w:pPr>
    </w:p>
    <w:p w14:paraId="462EF94F">
      <w:pPr>
        <w:rPr>
          <w:rFonts w:hint="eastAsia" w:ascii="宋体" w:hAnsi="宋体" w:eastAsia="宋体" w:cs="宋体"/>
          <w:color w:val="000000"/>
          <w:kern w:val="2"/>
          <w:sz w:val="22"/>
          <w:szCs w:val="22"/>
          <w:lang w:val="en-US" w:eastAsia="zh-CN" w:bidi="ar-SA"/>
        </w:rPr>
      </w:pPr>
    </w:p>
    <w:p w14:paraId="099E8A3E">
      <w:pPr>
        <w:rPr>
          <w:rFonts w:hint="eastAsia" w:ascii="宋体" w:hAnsi="宋体" w:eastAsia="宋体" w:cs="宋体"/>
          <w:color w:val="000000"/>
          <w:kern w:val="2"/>
          <w:sz w:val="22"/>
          <w:szCs w:val="22"/>
          <w:lang w:val="en-US" w:eastAsia="zh-CN" w:bidi="ar-SA"/>
        </w:rPr>
      </w:pPr>
    </w:p>
    <w:p w14:paraId="20F1D58F">
      <w:pPr>
        <w:rPr>
          <w:rFonts w:hint="eastAsia" w:ascii="宋体" w:hAnsi="宋体" w:eastAsia="宋体" w:cs="宋体"/>
          <w:color w:val="000000"/>
          <w:kern w:val="2"/>
          <w:sz w:val="22"/>
          <w:szCs w:val="22"/>
          <w:lang w:val="en-US" w:eastAsia="zh-CN" w:bidi="ar-SA"/>
        </w:rPr>
      </w:pPr>
    </w:p>
    <w:p w14:paraId="65C6E7F7">
      <w:pPr>
        <w:rPr>
          <w:rFonts w:hint="eastAsia" w:ascii="宋体" w:hAnsi="宋体" w:eastAsia="宋体" w:cs="宋体"/>
          <w:color w:val="000000"/>
          <w:kern w:val="2"/>
          <w:sz w:val="22"/>
          <w:szCs w:val="22"/>
          <w:lang w:val="en-US" w:eastAsia="zh-CN" w:bidi="ar-SA"/>
        </w:rPr>
      </w:pPr>
    </w:p>
    <w:p w14:paraId="00131AFB">
      <w:pPr>
        <w:rPr>
          <w:rFonts w:hint="eastAsia" w:ascii="宋体" w:hAnsi="宋体" w:eastAsia="宋体" w:cs="宋体"/>
          <w:color w:val="000000"/>
          <w:kern w:val="2"/>
          <w:sz w:val="22"/>
          <w:szCs w:val="22"/>
          <w:lang w:val="en-US" w:eastAsia="zh-CN" w:bidi="ar-SA"/>
        </w:rPr>
      </w:pPr>
    </w:p>
    <w:p w14:paraId="7E1315EE">
      <w:pPr>
        <w:keepNext w:val="0"/>
        <w:keepLines w:val="0"/>
        <w:pageBreakBefore w:val="0"/>
        <w:widowControl w:val="0"/>
        <w:numPr>
          <w:ilvl w:val="0"/>
          <w:numId w:val="0"/>
        </w:numPr>
        <w:kinsoku/>
        <w:wordWrap/>
        <w:overflowPunct/>
        <w:topLinePunct w:val="0"/>
        <w:autoSpaceDE/>
        <w:autoSpaceDN/>
        <w:bidi w:val="0"/>
        <w:adjustRightInd/>
        <w:snapToGrid/>
        <w:spacing w:after="63" w:afterLines="20" w:line="240" w:lineRule="auto"/>
        <w:ind w:left="0" w:leftChars="0" w:right="0" w:rightChars="0" w:firstLine="0" w:firstLineChars="0"/>
        <w:jc w:val="center"/>
        <w:textAlignment w:val="auto"/>
        <w:outlineLvl w:val="0"/>
        <w:rPr>
          <w:rFonts w:hint="eastAsia" w:ascii="宋体" w:hAnsi="宋体" w:eastAsia="宋体" w:cs="宋体"/>
          <w:b/>
          <w:bCs/>
          <w:i w:val="0"/>
          <w:iCs w:val="0"/>
          <w:color w:val="auto"/>
          <w:spacing w:val="0"/>
          <w:sz w:val="32"/>
          <w:szCs w:val="32"/>
          <w:lang w:val="en-US" w:eastAsia="zh-CN"/>
        </w:rPr>
      </w:pPr>
      <w:bookmarkStart w:id="164" w:name="_Toc14226"/>
      <w:r>
        <w:rPr>
          <w:rFonts w:hint="eastAsia" w:ascii="宋体" w:hAnsi="宋体" w:eastAsia="宋体" w:cs="宋体"/>
          <w:b/>
          <w:bCs/>
          <w:i w:val="0"/>
          <w:iCs w:val="0"/>
          <w:color w:val="auto"/>
          <w:spacing w:val="0"/>
          <w:kern w:val="0"/>
          <w:sz w:val="32"/>
          <w:szCs w:val="32"/>
          <w:lang w:val="en-US" w:eastAsia="zh-CN" w:bidi="ar-SA"/>
        </w:rPr>
        <w:t>第六章</w:t>
      </w:r>
      <w:r>
        <w:rPr>
          <w:rFonts w:hint="eastAsia" w:ascii="宋体" w:hAnsi="宋体" w:eastAsia="宋体" w:cs="宋体"/>
          <w:b/>
          <w:bCs/>
          <w:i w:val="0"/>
          <w:iCs w:val="0"/>
          <w:color w:val="auto"/>
          <w:spacing w:val="0"/>
          <w:sz w:val="32"/>
          <w:szCs w:val="32"/>
          <w:lang w:val="en-US" w:eastAsia="zh-CN"/>
        </w:rPr>
        <w:t xml:space="preserve"> </w:t>
      </w:r>
      <w:bookmarkStart w:id="165" w:name="_Toc21761"/>
      <w:bookmarkStart w:id="166" w:name="_Toc26190"/>
      <w:r>
        <w:rPr>
          <w:rFonts w:hint="eastAsia" w:ascii="宋体" w:hAnsi="宋体" w:eastAsia="宋体" w:cs="宋体"/>
          <w:b/>
          <w:bCs/>
          <w:i w:val="0"/>
          <w:iCs w:val="0"/>
          <w:color w:val="auto"/>
          <w:spacing w:val="0"/>
          <w:sz w:val="32"/>
          <w:szCs w:val="32"/>
          <w:lang w:val="en-US" w:eastAsia="zh-CN"/>
        </w:rPr>
        <w:t>投标文件格式</w:t>
      </w:r>
      <w:bookmarkEnd w:id="164"/>
      <w:bookmarkEnd w:id="165"/>
      <w:bookmarkEnd w:id="166"/>
    </w:p>
    <w:p w14:paraId="72F488CE">
      <w:pPr>
        <w:pStyle w:val="75"/>
        <w:spacing w:line="360" w:lineRule="auto"/>
        <w:rPr>
          <w:rFonts w:hint="eastAsia" w:ascii="宋体" w:hAnsi="宋体" w:eastAsia="宋体" w:cs="宋体"/>
          <w:b/>
          <w:color w:val="000000"/>
          <w:sz w:val="28"/>
        </w:rPr>
      </w:pPr>
      <w:r>
        <w:rPr>
          <w:rFonts w:hint="eastAsia" w:ascii="宋体" w:hAnsi="宋体" w:eastAsia="宋体" w:cs="宋体"/>
          <w:b/>
          <w:color w:val="000000"/>
          <w:sz w:val="28"/>
        </w:rPr>
        <w:t>响应文件封面</w:t>
      </w:r>
    </w:p>
    <w:p w14:paraId="5B917937">
      <w:pPr>
        <w:pStyle w:val="75"/>
        <w:spacing w:line="360" w:lineRule="auto"/>
        <w:jc w:val="left"/>
        <w:rPr>
          <w:rFonts w:hint="eastAsia" w:ascii="宋体" w:hAnsi="宋体" w:cs="宋体"/>
          <w:b w:val="0"/>
          <w:bCs/>
          <w:color w:val="000000"/>
          <w:sz w:val="32"/>
          <w:szCs w:val="32"/>
          <w:lang w:val="en-US" w:eastAsia="zh-CN"/>
        </w:rPr>
      </w:pPr>
      <w:r>
        <w:rPr>
          <w:rFonts w:hint="eastAsia" w:ascii="宋体" w:hAnsi="宋体" w:cs="宋体"/>
          <w:b w:val="0"/>
          <w:bCs/>
          <w:color w:val="000000"/>
          <w:sz w:val="32"/>
          <w:szCs w:val="32"/>
          <w:lang w:val="en-US" w:eastAsia="zh-CN"/>
        </w:rPr>
        <w:t>项目名称：</w:t>
      </w:r>
    </w:p>
    <w:p w14:paraId="6A04B2C9">
      <w:pPr>
        <w:pStyle w:val="76"/>
        <w:jc w:val="left"/>
        <w:rPr>
          <w:rFonts w:hint="default"/>
          <w:b w:val="0"/>
          <w:bCs/>
          <w:sz w:val="10"/>
          <w:szCs w:val="11"/>
          <w:lang w:val="en-US" w:eastAsia="zh-CN"/>
        </w:rPr>
      </w:pPr>
      <w:r>
        <w:rPr>
          <w:rFonts w:hint="eastAsia" w:ascii="宋体" w:hAnsi="宋体" w:cs="宋体"/>
          <w:b w:val="0"/>
          <w:bCs/>
          <w:color w:val="000000"/>
          <w:sz w:val="32"/>
          <w:szCs w:val="32"/>
          <w:lang w:val="en-US" w:eastAsia="zh-CN"/>
        </w:rPr>
        <w:t>项目编号：</w:t>
      </w:r>
    </w:p>
    <w:p w14:paraId="7FC00C23">
      <w:pPr>
        <w:pStyle w:val="75"/>
        <w:spacing w:line="360" w:lineRule="auto"/>
        <w:jc w:val="center"/>
        <w:rPr>
          <w:rFonts w:hint="eastAsia" w:ascii="宋体" w:hAnsi="宋体" w:eastAsia="宋体" w:cs="宋体"/>
          <w:b/>
          <w:color w:val="000000"/>
          <w:sz w:val="72"/>
          <w:szCs w:val="72"/>
        </w:rPr>
      </w:pPr>
    </w:p>
    <w:p w14:paraId="77D4237F">
      <w:pPr>
        <w:pStyle w:val="76"/>
        <w:rPr>
          <w:rFonts w:hint="eastAsia" w:ascii="宋体" w:hAnsi="宋体" w:eastAsia="宋体" w:cs="宋体"/>
          <w:b/>
          <w:color w:val="000000"/>
          <w:sz w:val="72"/>
          <w:szCs w:val="72"/>
        </w:rPr>
      </w:pPr>
    </w:p>
    <w:p w14:paraId="19BF9C4B">
      <w:pPr>
        <w:pStyle w:val="76"/>
        <w:rPr>
          <w:rFonts w:hint="eastAsia" w:ascii="宋体" w:hAnsi="宋体" w:eastAsia="宋体" w:cs="宋体"/>
          <w:b/>
          <w:color w:val="000000"/>
          <w:sz w:val="72"/>
          <w:szCs w:val="72"/>
        </w:rPr>
      </w:pPr>
    </w:p>
    <w:p w14:paraId="760C39E5">
      <w:pPr>
        <w:pStyle w:val="75"/>
        <w:spacing w:line="360" w:lineRule="auto"/>
        <w:jc w:val="center"/>
        <w:rPr>
          <w:rFonts w:hint="eastAsia" w:ascii="宋体" w:hAnsi="宋体" w:eastAsia="宋体" w:cs="宋体"/>
          <w:b/>
          <w:color w:val="000000"/>
          <w:sz w:val="72"/>
          <w:szCs w:val="72"/>
        </w:rPr>
      </w:pPr>
      <w:r>
        <w:rPr>
          <w:rFonts w:hint="eastAsia" w:ascii="宋体" w:hAnsi="宋体" w:eastAsia="宋体" w:cs="宋体"/>
          <w:b/>
          <w:color w:val="000000"/>
          <w:sz w:val="72"/>
          <w:szCs w:val="72"/>
        </w:rPr>
        <w:t>响应文件</w:t>
      </w:r>
    </w:p>
    <w:p w14:paraId="7BD459BD">
      <w:pPr>
        <w:pStyle w:val="75"/>
        <w:spacing w:line="360" w:lineRule="auto"/>
        <w:jc w:val="center"/>
        <w:rPr>
          <w:rFonts w:hint="eastAsia" w:ascii="宋体" w:hAnsi="宋体" w:eastAsia="宋体" w:cs="宋体"/>
          <w:color w:val="000000"/>
          <w:sz w:val="28"/>
        </w:rPr>
      </w:pPr>
    </w:p>
    <w:p w14:paraId="6ABF7B93">
      <w:pPr>
        <w:pStyle w:val="75"/>
        <w:spacing w:line="360" w:lineRule="auto"/>
        <w:rPr>
          <w:rFonts w:hint="eastAsia" w:ascii="宋体" w:hAnsi="宋体" w:eastAsia="宋体" w:cs="宋体"/>
          <w:b/>
          <w:color w:val="000000"/>
          <w:sz w:val="28"/>
        </w:rPr>
      </w:pPr>
    </w:p>
    <w:p w14:paraId="56F392E7">
      <w:pPr>
        <w:pStyle w:val="76"/>
        <w:rPr>
          <w:rFonts w:hint="eastAsia" w:ascii="宋体" w:hAnsi="宋体" w:eastAsia="宋体" w:cs="宋体"/>
          <w:b/>
          <w:color w:val="000000"/>
          <w:sz w:val="28"/>
        </w:rPr>
      </w:pPr>
    </w:p>
    <w:p w14:paraId="2F78C5DD">
      <w:pPr>
        <w:pStyle w:val="76"/>
        <w:rPr>
          <w:rFonts w:hint="eastAsia" w:ascii="宋体" w:hAnsi="宋体" w:eastAsia="宋体" w:cs="宋体"/>
          <w:b/>
          <w:color w:val="000000"/>
          <w:sz w:val="28"/>
        </w:rPr>
      </w:pPr>
    </w:p>
    <w:p w14:paraId="2BFAEBEF">
      <w:pPr>
        <w:pStyle w:val="75"/>
        <w:spacing w:line="360" w:lineRule="auto"/>
        <w:jc w:val="center"/>
        <w:rPr>
          <w:rFonts w:hint="eastAsia" w:ascii="宋体" w:hAnsi="宋体" w:eastAsia="宋体" w:cs="宋体"/>
          <w:b/>
          <w:color w:val="000000"/>
          <w:sz w:val="28"/>
        </w:rPr>
      </w:pPr>
    </w:p>
    <w:p w14:paraId="27EC5F2A">
      <w:pPr>
        <w:pStyle w:val="75"/>
        <w:spacing w:line="360" w:lineRule="auto"/>
        <w:jc w:val="center"/>
        <w:rPr>
          <w:rFonts w:hint="eastAsia" w:ascii="宋体" w:hAnsi="宋体" w:eastAsia="宋体" w:cs="宋体"/>
          <w:b/>
          <w:color w:val="000000"/>
          <w:sz w:val="28"/>
        </w:rPr>
      </w:pPr>
    </w:p>
    <w:p w14:paraId="46ED2484">
      <w:pPr>
        <w:pStyle w:val="75"/>
        <w:spacing w:line="480" w:lineRule="auto"/>
        <w:ind w:firstLine="560" w:firstLineChars="200"/>
        <w:rPr>
          <w:rFonts w:hint="eastAsia" w:ascii="宋体" w:hAnsi="宋体" w:eastAsia="宋体" w:cs="宋体"/>
          <w:color w:val="000000"/>
          <w:sz w:val="28"/>
          <w:szCs w:val="28"/>
          <w:u w:val="single"/>
        </w:rPr>
      </w:pPr>
      <w:r>
        <w:rPr>
          <w:rFonts w:hint="eastAsia" w:ascii="宋体" w:hAnsi="宋体" w:eastAsia="宋体" w:cs="宋体"/>
          <w:color w:val="000000"/>
          <w:sz w:val="28"/>
          <w:szCs w:val="28"/>
        </w:rPr>
        <w:t>供应商：</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（电子签章）</w:t>
      </w:r>
    </w:p>
    <w:p w14:paraId="46D967F6">
      <w:pPr>
        <w:pStyle w:val="75"/>
        <w:spacing w:line="48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法定代表人或其授权委托人：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（签字或盖章）</w:t>
      </w:r>
    </w:p>
    <w:p w14:paraId="205BA355">
      <w:pPr>
        <w:pStyle w:val="81"/>
        <w:spacing w:line="480" w:lineRule="auto"/>
        <w:ind w:firstLine="560" w:firstLineChars="200"/>
        <w:rPr>
          <w:rFonts w:hint="eastAsia" w:ascii="宋体" w:hAnsi="宋体" w:eastAsia="宋体" w:cs="宋体"/>
          <w:color w:val="000000"/>
          <w:sz w:val="28"/>
          <w:szCs w:val="28"/>
          <w:u w:val="single"/>
        </w:rPr>
      </w:pPr>
      <w:r>
        <w:rPr>
          <w:rFonts w:hint="eastAsia" w:ascii="宋体" w:hAnsi="宋体" w:eastAsia="宋体" w:cs="宋体"/>
          <w:color w:val="000000"/>
          <w:sz w:val="28"/>
          <w:szCs w:val="28"/>
        </w:rPr>
        <w:t>联系人：</w:t>
      </w:r>
      <w:r>
        <w:rPr>
          <w:rFonts w:hint="eastAsia" w:ascii="宋体" w:hAnsi="宋体" w:eastAsia="宋体" w:cs="宋体"/>
          <w:color w:val="000000"/>
          <w:sz w:val="28"/>
          <w:szCs w:val="28"/>
          <w:u w:val="single"/>
        </w:rPr>
        <w:t xml:space="preserve">                      </w:t>
      </w:r>
    </w:p>
    <w:p w14:paraId="011B9526">
      <w:pPr>
        <w:pStyle w:val="76"/>
        <w:spacing w:line="480" w:lineRule="auto"/>
        <w:ind w:left="556" w:leftChars="206" w:firstLine="0" w:firstLineChars="0"/>
        <w:rPr>
          <w:rFonts w:hint="eastAsia" w:ascii="宋体" w:hAnsi="宋体" w:eastAsia="宋体" w:cs="宋体"/>
          <w:color w:val="000000"/>
        </w:rPr>
      </w:pPr>
      <w:r>
        <w:rPr>
          <w:rFonts w:hint="eastAsia" w:ascii="宋体" w:hAnsi="宋体" w:eastAsia="宋体" w:cs="宋体"/>
          <w:color w:val="000000"/>
          <w:sz w:val="28"/>
          <w:szCs w:val="28"/>
        </w:rPr>
        <w:t>联系电话：</w:t>
      </w:r>
      <w:r>
        <w:rPr>
          <w:rFonts w:hint="eastAsia" w:ascii="宋体" w:hAnsi="宋体" w:eastAsia="宋体" w:cs="宋体"/>
          <w:color w:val="000000"/>
          <w:sz w:val="28"/>
          <w:szCs w:val="28"/>
          <w:u w:val="single"/>
        </w:rPr>
        <w:t xml:space="preserve">                    </w:t>
      </w:r>
    </w:p>
    <w:p w14:paraId="5941F55C">
      <w:pPr>
        <w:pStyle w:val="75"/>
        <w:spacing w:line="48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日期：</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（年/月/日）</w:t>
      </w:r>
    </w:p>
    <w:p w14:paraId="66736732">
      <w:pPr>
        <w:pStyle w:val="10"/>
        <w:spacing w:line="460" w:lineRule="exact"/>
        <w:ind w:left="473" w:hanging="472" w:hangingChars="225"/>
        <w:jc w:val="center"/>
        <w:rPr>
          <w:rFonts w:hint="eastAsia" w:ascii="宋体" w:hAnsi="宋体" w:eastAsia="宋体" w:cs="宋体"/>
          <w:b/>
          <w:color w:val="000000"/>
          <w:sz w:val="36"/>
          <w:szCs w:val="36"/>
        </w:rPr>
      </w:pPr>
      <w:r>
        <w:rPr>
          <w:rFonts w:hint="eastAsia" w:ascii="宋体" w:hAnsi="宋体" w:eastAsia="宋体" w:cs="宋体"/>
          <w:color w:val="000000"/>
        </w:rPr>
        <w:br w:type="page"/>
      </w:r>
    </w:p>
    <w:p w14:paraId="5B01416A">
      <w:pPr>
        <w:pStyle w:val="121"/>
        <w:jc w:val="left"/>
        <w:outlineLvl w:val="2"/>
        <w:rPr>
          <w:rFonts w:hint="eastAsia" w:ascii="宋体" w:hAnsi="宋体" w:eastAsia="宋体" w:cs="宋体"/>
          <w:b w:val="0"/>
          <w:bCs/>
          <w:color w:val="000000"/>
          <w:sz w:val="32"/>
          <w:szCs w:val="24"/>
        </w:rPr>
      </w:pPr>
      <w:bookmarkStart w:id="167" w:name="_Toc256000026"/>
      <w:bookmarkStart w:id="168" w:name="_Toc139389586"/>
      <w:r>
        <w:rPr>
          <w:rFonts w:hint="eastAsia" w:ascii="宋体" w:hAnsi="宋体" w:eastAsia="宋体" w:cs="宋体"/>
          <w:b w:val="0"/>
          <w:bCs/>
          <w:color w:val="000000"/>
          <w:sz w:val="28"/>
          <w:szCs w:val="22"/>
          <w:lang w:val="en-US" w:eastAsia="zh-CN"/>
        </w:rPr>
        <w:t>附件1、</w:t>
      </w:r>
      <w:r>
        <w:rPr>
          <w:rFonts w:hint="eastAsia" w:ascii="宋体" w:hAnsi="宋体" w:eastAsia="宋体" w:cs="宋体"/>
          <w:b w:val="0"/>
          <w:bCs/>
          <w:color w:val="000000"/>
          <w:sz w:val="28"/>
          <w:szCs w:val="22"/>
        </w:rPr>
        <w:t>竞争性磋商函</w:t>
      </w:r>
    </w:p>
    <w:p w14:paraId="00AB2E4D">
      <w:pPr>
        <w:pStyle w:val="121"/>
        <w:jc w:val="center"/>
        <w:outlineLvl w:val="2"/>
        <w:rPr>
          <w:rFonts w:hint="default" w:ascii="宋体" w:hAnsi="宋体" w:eastAsia="宋体" w:cs="宋体"/>
          <w:color w:val="000000"/>
          <w:sz w:val="28"/>
          <w:szCs w:val="22"/>
          <w:lang w:val="en-US" w:eastAsia="zh-CN"/>
        </w:rPr>
      </w:pPr>
    </w:p>
    <w:p w14:paraId="3A6B3AC9">
      <w:pPr>
        <w:pStyle w:val="121"/>
        <w:jc w:val="center"/>
        <w:outlineLvl w:val="2"/>
        <w:rPr>
          <w:rFonts w:hint="eastAsia" w:ascii="宋体" w:hAnsi="宋体" w:eastAsia="宋体" w:cs="宋体"/>
          <w:color w:val="000000"/>
        </w:rPr>
      </w:pPr>
      <w:r>
        <w:rPr>
          <w:rFonts w:hint="eastAsia" w:ascii="宋体" w:hAnsi="宋体" w:eastAsia="宋体" w:cs="宋体"/>
          <w:color w:val="000000"/>
          <w:sz w:val="28"/>
          <w:szCs w:val="22"/>
        </w:rPr>
        <w:t>竞争性磋商函</w:t>
      </w:r>
      <w:bookmarkEnd w:id="167"/>
      <w:bookmarkEnd w:id="168"/>
    </w:p>
    <w:p w14:paraId="45887E32">
      <w:pPr>
        <w:pStyle w:val="111"/>
        <w:adjustRightInd w:val="0"/>
        <w:snapToGrid w:val="0"/>
        <w:spacing w:line="400" w:lineRule="exact"/>
        <w:jc w:val="left"/>
        <w:rPr>
          <w:rFonts w:hint="eastAsia" w:ascii="宋体" w:hAnsi="宋体" w:eastAsia="宋体" w:cs="宋体"/>
          <w:color w:val="000000"/>
          <w:sz w:val="28"/>
          <w:szCs w:val="28"/>
          <w:u w:val="single"/>
        </w:rPr>
      </w:pPr>
    </w:p>
    <w:p w14:paraId="477A7CEC">
      <w:pPr>
        <w:pStyle w:val="111"/>
        <w:adjustRightInd w:val="0"/>
        <w:snapToGrid w:val="0"/>
        <w:spacing w:line="400" w:lineRule="exact"/>
        <w:jc w:val="left"/>
        <w:rPr>
          <w:rFonts w:hint="eastAsia" w:ascii="宋体" w:hAnsi="宋体" w:eastAsia="宋体" w:cs="宋体"/>
          <w:bCs/>
          <w:color w:val="000000"/>
          <w:sz w:val="24"/>
          <w:szCs w:val="24"/>
        </w:rPr>
      </w:pPr>
      <w:r>
        <w:rPr>
          <w:rFonts w:hint="eastAsia" w:ascii="宋体" w:hAnsi="宋体" w:eastAsia="宋体" w:cs="宋体"/>
          <w:bCs/>
          <w:color w:val="000000"/>
          <w:kern w:val="0"/>
          <w:sz w:val="24"/>
          <w:szCs w:val="24"/>
          <w:u w:val="single"/>
        </w:rPr>
        <w:t xml:space="preserve">          </w:t>
      </w:r>
      <w:r>
        <w:rPr>
          <w:rFonts w:hint="eastAsia" w:ascii="宋体" w:hAnsi="宋体" w:eastAsia="宋体" w:cs="宋体"/>
          <w:bCs/>
          <w:color w:val="000000"/>
          <w:sz w:val="24"/>
          <w:szCs w:val="24"/>
          <w:u w:val="single"/>
        </w:rPr>
        <w:t>（代理机构名称）</w:t>
      </w:r>
      <w:r>
        <w:rPr>
          <w:rFonts w:hint="eastAsia" w:ascii="宋体" w:hAnsi="宋体" w:eastAsia="宋体" w:cs="宋体"/>
          <w:bCs/>
          <w:color w:val="000000"/>
          <w:sz w:val="24"/>
          <w:szCs w:val="24"/>
        </w:rPr>
        <w:t>：</w:t>
      </w:r>
    </w:p>
    <w:p w14:paraId="64CC28EB">
      <w:pPr>
        <w:pStyle w:val="111"/>
        <w:autoSpaceDE w:val="0"/>
        <w:autoSpaceDN w:val="0"/>
        <w:adjustRightInd w:val="0"/>
        <w:spacing w:line="400" w:lineRule="exact"/>
        <w:ind w:right="26" w:firstLine="480" w:firstLineChars="20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依据贵方</w:t>
      </w:r>
      <w:r>
        <w:rPr>
          <w:rFonts w:hint="eastAsia" w:ascii="宋体" w:hAnsi="宋体" w:eastAsia="宋体" w:cs="宋体"/>
          <w:bCs/>
          <w:color w:val="000000"/>
          <w:kern w:val="0"/>
          <w:sz w:val="24"/>
          <w:szCs w:val="24"/>
          <w:u w:val="single"/>
        </w:rPr>
        <w:t xml:space="preserve">          </w:t>
      </w:r>
      <w:r>
        <w:rPr>
          <w:rFonts w:hint="eastAsia" w:ascii="宋体" w:hAnsi="宋体" w:eastAsia="宋体" w:cs="宋体"/>
          <w:bCs/>
          <w:color w:val="000000"/>
          <w:sz w:val="24"/>
          <w:szCs w:val="24"/>
          <w:u w:val="single"/>
        </w:rPr>
        <w:t xml:space="preserve"> (采购项目名称/采购项目编号) </w:t>
      </w:r>
      <w:r>
        <w:rPr>
          <w:rFonts w:hint="eastAsia" w:ascii="宋体" w:hAnsi="宋体" w:eastAsia="宋体" w:cs="宋体"/>
          <w:bCs/>
          <w:color w:val="000000"/>
          <w:kern w:val="0"/>
          <w:sz w:val="24"/>
          <w:szCs w:val="24"/>
        </w:rPr>
        <w:t>项目招标采购服务的磋商邀请，我方代表</w:t>
      </w:r>
      <w:r>
        <w:rPr>
          <w:rFonts w:hint="eastAsia" w:ascii="宋体" w:hAnsi="宋体" w:eastAsia="宋体" w:cs="宋体"/>
          <w:bCs/>
          <w:color w:val="000000"/>
          <w:kern w:val="0"/>
          <w:sz w:val="24"/>
          <w:szCs w:val="24"/>
          <w:u w:val="single"/>
        </w:rPr>
        <w:t xml:space="preserve">          </w:t>
      </w:r>
      <w:r>
        <w:rPr>
          <w:rFonts w:hint="eastAsia" w:ascii="宋体" w:hAnsi="宋体" w:eastAsia="宋体" w:cs="宋体"/>
          <w:bCs/>
          <w:color w:val="000000"/>
          <w:sz w:val="24"/>
          <w:szCs w:val="24"/>
          <w:u w:val="single"/>
        </w:rPr>
        <w:t>（姓名、职务）</w:t>
      </w:r>
      <w:r>
        <w:rPr>
          <w:rFonts w:hint="eastAsia" w:ascii="宋体" w:hAnsi="宋体" w:eastAsia="宋体" w:cs="宋体"/>
          <w:bCs/>
          <w:color w:val="000000"/>
          <w:kern w:val="0"/>
          <w:sz w:val="24"/>
          <w:szCs w:val="24"/>
        </w:rPr>
        <w:t>经正式授权并代表供应商</w:t>
      </w:r>
      <w:r>
        <w:rPr>
          <w:rFonts w:hint="eastAsia" w:ascii="宋体" w:hAnsi="宋体" w:eastAsia="宋体" w:cs="宋体"/>
          <w:bCs/>
          <w:color w:val="000000"/>
          <w:kern w:val="0"/>
          <w:sz w:val="24"/>
          <w:szCs w:val="24"/>
          <w:u w:val="single"/>
        </w:rPr>
        <w:t xml:space="preserve">          </w:t>
      </w:r>
      <w:r>
        <w:rPr>
          <w:rFonts w:hint="eastAsia" w:ascii="宋体" w:hAnsi="宋体" w:eastAsia="宋体" w:cs="宋体"/>
          <w:bCs/>
          <w:color w:val="000000"/>
          <w:sz w:val="24"/>
          <w:szCs w:val="24"/>
          <w:u w:val="single"/>
        </w:rPr>
        <w:t>（供应商名称、地址）</w:t>
      </w:r>
      <w:r>
        <w:rPr>
          <w:rFonts w:hint="eastAsia" w:ascii="宋体" w:hAnsi="宋体" w:eastAsia="宋体" w:cs="宋体"/>
          <w:bCs/>
          <w:color w:val="000000"/>
          <w:kern w:val="0"/>
          <w:sz w:val="24"/>
          <w:szCs w:val="24"/>
        </w:rPr>
        <w:t>提交政采云平台电子磋商响应文件一份。</w:t>
      </w:r>
    </w:p>
    <w:p w14:paraId="56C5806D">
      <w:pPr>
        <w:pStyle w:val="111"/>
        <w:autoSpaceDE w:val="0"/>
        <w:autoSpaceDN w:val="0"/>
        <w:adjustRightInd w:val="0"/>
        <w:spacing w:line="288" w:lineRule="auto"/>
        <w:ind w:right="246" w:firstLine="480" w:firstLineChars="20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1、磋商报价表；</w:t>
      </w:r>
    </w:p>
    <w:p w14:paraId="3E7364B5">
      <w:pPr>
        <w:pStyle w:val="111"/>
        <w:autoSpaceDE w:val="0"/>
        <w:autoSpaceDN w:val="0"/>
        <w:adjustRightInd w:val="0"/>
        <w:spacing w:line="288" w:lineRule="auto"/>
        <w:ind w:right="246" w:firstLine="480" w:firstLineChars="20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2、磋商报价明细表；</w:t>
      </w:r>
    </w:p>
    <w:p w14:paraId="279C50C3">
      <w:pPr>
        <w:pStyle w:val="111"/>
        <w:autoSpaceDE w:val="0"/>
        <w:autoSpaceDN w:val="0"/>
        <w:adjustRightInd w:val="0"/>
        <w:spacing w:line="288" w:lineRule="auto"/>
        <w:ind w:right="246" w:firstLine="480" w:firstLineChars="20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3、按磋商文件供应商须知和技术规格要求提供的有关文件；</w:t>
      </w:r>
    </w:p>
    <w:p w14:paraId="3EBE5D67">
      <w:pPr>
        <w:pStyle w:val="111"/>
        <w:autoSpaceDE w:val="0"/>
        <w:autoSpaceDN w:val="0"/>
        <w:adjustRightInd w:val="0"/>
        <w:spacing w:line="288" w:lineRule="auto"/>
        <w:ind w:right="246" w:firstLine="480" w:firstLineChars="20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4、资格证明文件；</w:t>
      </w:r>
    </w:p>
    <w:p w14:paraId="0FA3640B">
      <w:pPr>
        <w:pStyle w:val="111"/>
        <w:autoSpaceDE w:val="0"/>
        <w:autoSpaceDN w:val="0"/>
        <w:adjustRightInd w:val="0"/>
        <w:spacing w:line="288" w:lineRule="auto"/>
        <w:ind w:right="32" w:firstLine="480" w:firstLineChars="20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5、按磋商文件的规定递交的磋商保证金。</w:t>
      </w:r>
    </w:p>
    <w:p w14:paraId="1BC75F7E">
      <w:pPr>
        <w:pStyle w:val="111"/>
        <w:autoSpaceDE w:val="0"/>
        <w:autoSpaceDN w:val="0"/>
        <w:adjustRightInd w:val="0"/>
        <w:spacing w:line="288" w:lineRule="auto"/>
        <w:ind w:right="246"/>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在此，我方宣布同意如下：</w:t>
      </w:r>
    </w:p>
    <w:p w14:paraId="53046A79">
      <w:pPr>
        <w:pStyle w:val="111"/>
        <w:autoSpaceDE w:val="0"/>
        <w:autoSpaceDN w:val="0"/>
        <w:adjustRightInd w:val="0"/>
        <w:spacing w:line="288" w:lineRule="auto"/>
        <w:ind w:right="246" w:firstLine="480" w:firstLineChars="20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1、所附《磋商报价表》中规定的应提交和交付的</w:t>
      </w:r>
      <w:r>
        <w:rPr>
          <w:rFonts w:hint="eastAsia" w:ascii="宋体" w:hAnsi="宋体" w:eastAsia="宋体" w:cs="宋体"/>
          <w:bCs/>
          <w:color w:val="000000"/>
          <w:kern w:val="0"/>
          <w:sz w:val="24"/>
          <w:szCs w:val="24"/>
          <w:u w:val="single"/>
        </w:rPr>
        <w:t xml:space="preserve">            （项目编号）</w:t>
      </w:r>
      <w:r>
        <w:rPr>
          <w:rFonts w:hint="eastAsia" w:ascii="宋体" w:hAnsi="宋体" w:eastAsia="宋体" w:cs="宋体"/>
          <w:bCs/>
          <w:color w:val="000000"/>
          <w:kern w:val="0"/>
          <w:sz w:val="24"/>
          <w:szCs w:val="24"/>
        </w:rPr>
        <w:t>投标总价为</w:t>
      </w:r>
      <w:r>
        <w:rPr>
          <w:rFonts w:hint="eastAsia" w:ascii="宋体" w:hAnsi="宋体" w:eastAsia="宋体" w:cs="宋体"/>
          <w:bCs/>
          <w:color w:val="000000"/>
          <w:kern w:val="0"/>
          <w:sz w:val="24"/>
          <w:szCs w:val="24"/>
          <w:u w:val="single"/>
        </w:rPr>
        <w:t xml:space="preserve">          （注明币种，并用文字和数字表示的投标总价）</w:t>
      </w:r>
      <w:r>
        <w:rPr>
          <w:rFonts w:hint="eastAsia" w:ascii="宋体" w:hAnsi="宋体" w:eastAsia="宋体" w:cs="宋体"/>
          <w:bCs/>
          <w:color w:val="000000"/>
          <w:kern w:val="0"/>
          <w:sz w:val="24"/>
          <w:szCs w:val="24"/>
        </w:rPr>
        <w:t>。</w:t>
      </w:r>
    </w:p>
    <w:p w14:paraId="43A9C92A">
      <w:pPr>
        <w:pStyle w:val="111"/>
        <w:autoSpaceDE w:val="0"/>
        <w:autoSpaceDN w:val="0"/>
        <w:adjustRightInd w:val="0"/>
        <w:spacing w:line="288" w:lineRule="auto"/>
        <w:ind w:right="246" w:firstLine="480" w:firstLineChars="20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2、将按磋商文件的约定履行合同责任和义务。</w:t>
      </w:r>
    </w:p>
    <w:p w14:paraId="11D4CCBB">
      <w:pPr>
        <w:pStyle w:val="111"/>
        <w:autoSpaceDE w:val="0"/>
        <w:autoSpaceDN w:val="0"/>
        <w:adjustRightInd w:val="0"/>
        <w:spacing w:line="288" w:lineRule="auto"/>
        <w:ind w:right="246" w:firstLine="480" w:firstLineChars="20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3、已详细审查全部磋商文件，包括</w:t>
      </w:r>
      <w:r>
        <w:rPr>
          <w:rFonts w:hint="eastAsia" w:ascii="宋体" w:hAnsi="宋体" w:eastAsia="宋体" w:cs="宋体"/>
          <w:bCs/>
          <w:color w:val="000000"/>
          <w:kern w:val="0"/>
          <w:sz w:val="24"/>
          <w:szCs w:val="24"/>
          <w:u w:val="single"/>
        </w:rPr>
        <w:t xml:space="preserve">          （修正或补充文件）</w:t>
      </w:r>
      <w:r>
        <w:rPr>
          <w:rFonts w:hint="eastAsia" w:ascii="宋体" w:hAnsi="宋体" w:eastAsia="宋体" w:cs="宋体"/>
          <w:bCs/>
          <w:color w:val="000000"/>
          <w:kern w:val="0"/>
          <w:sz w:val="24"/>
          <w:szCs w:val="24"/>
        </w:rPr>
        <w:t>（如有），对此无异议。</w:t>
      </w:r>
    </w:p>
    <w:p w14:paraId="44D4D7B6">
      <w:pPr>
        <w:pStyle w:val="111"/>
        <w:autoSpaceDE w:val="0"/>
        <w:autoSpaceDN w:val="0"/>
        <w:adjustRightInd w:val="0"/>
        <w:spacing w:line="288" w:lineRule="auto"/>
        <w:ind w:right="246" w:firstLine="480" w:firstLineChars="20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4、本投标有效期为自开标日起，共</w:t>
      </w:r>
      <w:r>
        <w:rPr>
          <w:rFonts w:hint="eastAsia" w:ascii="宋体" w:hAnsi="宋体" w:eastAsia="宋体" w:cs="宋体"/>
          <w:bCs/>
          <w:color w:val="000000"/>
          <w:kern w:val="0"/>
          <w:sz w:val="24"/>
          <w:szCs w:val="24"/>
          <w:u w:val="single"/>
        </w:rPr>
        <w:t xml:space="preserve">     </w:t>
      </w:r>
      <w:r>
        <w:rPr>
          <w:rFonts w:hint="eastAsia" w:ascii="宋体" w:hAnsi="宋体" w:eastAsia="宋体" w:cs="宋体"/>
          <w:bCs/>
          <w:color w:val="000000"/>
          <w:kern w:val="0"/>
          <w:sz w:val="24"/>
          <w:szCs w:val="24"/>
        </w:rPr>
        <w:t>个日历日。</w:t>
      </w:r>
    </w:p>
    <w:p w14:paraId="2DEC9EDD">
      <w:pPr>
        <w:pStyle w:val="111"/>
        <w:autoSpaceDE w:val="0"/>
        <w:autoSpaceDN w:val="0"/>
        <w:adjustRightInd w:val="0"/>
        <w:spacing w:line="288" w:lineRule="auto"/>
        <w:ind w:right="246" w:firstLine="480" w:firstLineChars="20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5、接受磋商文件所列须知中关于没收投标保证金的约定。</w:t>
      </w:r>
    </w:p>
    <w:p w14:paraId="64A6AB8A">
      <w:pPr>
        <w:pStyle w:val="111"/>
        <w:autoSpaceDE w:val="0"/>
        <w:autoSpaceDN w:val="0"/>
        <w:adjustRightInd w:val="0"/>
        <w:spacing w:line="288" w:lineRule="auto"/>
        <w:ind w:right="246" w:firstLine="480" w:firstLineChars="20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6、同意提供按照贵方可能要求的与其投标有关的一切数据或资料。</w:t>
      </w:r>
    </w:p>
    <w:p w14:paraId="5A6263D2">
      <w:pPr>
        <w:pStyle w:val="111"/>
        <w:autoSpaceDE w:val="0"/>
        <w:autoSpaceDN w:val="0"/>
        <w:adjustRightInd w:val="0"/>
        <w:spacing w:line="288" w:lineRule="auto"/>
        <w:ind w:right="246" w:firstLine="480" w:firstLineChars="20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7、与本投标有关的一切正式往来信函请寄：</w:t>
      </w:r>
      <w:r>
        <w:rPr>
          <w:rFonts w:hint="eastAsia" w:ascii="宋体" w:hAnsi="宋体" w:eastAsia="宋体" w:cs="宋体"/>
          <w:bCs/>
          <w:color w:val="000000"/>
          <w:kern w:val="0"/>
          <w:sz w:val="24"/>
          <w:szCs w:val="24"/>
          <w:u w:val="single"/>
        </w:rPr>
        <w:t xml:space="preserve">            </w:t>
      </w:r>
      <w:r>
        <w:rPr>
          <w:rFonts w:hint="eastAsia" w:ascii="宋体" w:hAnsi="宋体" w:eastAsia="宋体" w:cs="宋体"/>
          <w:bCs/>
          <w:color w:val="000000"/>
          <w:kern w:val="0"/>
          <w:sz w:val="24"/>
          <w:szCs w:val="24"/>
        </w:rPr>
        <w:t>。</w:t>
      </w:r>
    </w:p>
    <w:p w14:paraId="3147C817">
      <w:pPr>
        <w:pStyle w:val="111"/>
        <w:adjustRightInd w:val="0"/>
        <w:snapToGrid w:val="0"/>
        <w:spacing w:line="400" w:lineRule="exact"/>
        <w:ind w:firstLine="480" w:firstLineChars="20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8、其他：</w:t>
      </w:r>
    </w:p>
    <w:p w14:paraId="27B02A31">
      <w:pPr>
        <w:pStyle w:val="111"/>
        <w:adjustRightInd w:val="0"/>
        <w:snapToGrid w:val="0"/>
        <w:spacing w:line="400" w:lineRule="exact"/>
        <w:ind w:firstLine="360" w:firstLineChars="150"/>
        <w:jc w:val="left"/>
        <w:rPr>
          <w:rFonts w:hint="eastAsia" w:ascii="宋体" w:hAnsi="宋体" w:eastAsia="宋体" w:cs="宋体"/>
          <w:bCs/>
          <w:color w:val="000000"/>
          <w:sz w:val="24"/>
          <w:szCs w:val="24"/>
        </w:rPr>
      </w:pPr>
    </w:p>
    <w:p w14:paraId="639F30C0">
      <w:pPr>
        <w:pStyle w:val="111"/>
        <w:adjustRightInd w:val="0"/>
        <w:snapToGrid w:val="0"/>
        <w:spacing w:line="400" w:lineRule="exact"/>
        <w:ind w:firstLine="360" w:firstLineChars="150"/>
        <w:jc w:val="left"/>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 xml:space="preserve">供应商名称(电子签章)： </w:t>
      </w:r>
    </w:p>
    <w:p w14:paraId="12F97668">
      <w:pPr>
        <w:pStyle w:val="111"/>
        <w:adjustRightInd w:val="0"/>
        <w:snapToGrid w:val="0"/>
        <w:spacing w:line="400" w:lineRule="exact"/>
        <w:ind w:firstLine="360" w:firstLineChars="150"/>
        <w:jc w:val="left"/>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法定代表人或其授权委托人：          （签字或盖章）</w:t>
      </w:r>
    </w:p>
    <w:p w14:paraId="6E5B71CE">
      <w:pPr>
        <w:pStyle w:val="111"/>
        <w:autoSpaceDE w:val="0"/>
        <w:autoSpaceDN w:val="0"/>
        <w:adjustRightInd w:val="0"/>
        <w:spacing w:line="400" w:lineRule="exact"/>
        <w:ind w:right="246" w:firstLine="360" w:firstLineChars="15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地    址：</w:t>
      </w:r>
    </w:p>
    <w:p w14:paraId="57F23E09">
      <w:pPr>
        <w:pStyle w:val="111"/>
        <w:autoSpaceDE w:val="0"/>
        <w:autoSpaceDN w:val="0"/>
        <w:adjustRightInd w:val="0"/>
        <w:spacing w:line="400" w:lineRule="exact"/>
        <w:ind w:right="33" w:firstLine="360" w:firstLineChars="15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电    话：</w:t>
      </w:r>
    </w:p>
    <w:p w14:paraId="1E47180F">
      <w:pPr>
        <w:pStyle w:val="111"/>
        <w:autoSpaceDE w:val="0"/>
        <w:autoSpaceDN w:val="0"/>
        <w:adjustRightInd w:val="0"/>
        <w:spacing w:line="400" w:lineRule="exact"/>
        <w:ind w:right="246" w:firstLine="360" w:firstLineChars="15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电子函件：</w:t>
      </w:r>
    </w:p>
    <w:p w14:paraId="20122350">
      <w:pPr>
        <w:pStyle w:val="111"/>
        <w:adjustRightInd w:val="0"/>
        <w:snapToGrid w:val="0"/>
        <w:spacing w:line="400" w:lineRule="exact"/>
        <w:ind w:firstLine="360" w:firstLineChars="150"/>
        <w:jc w:val="left"/>
        <w:rPr>
          <w:rFonts w:hint="eastAsia" w:ascii="宋体" w:hAnsi="宋体" w:eastAsia="宋体" w:cs="宋体"/>
          <w:bCs/>
          <w:color w:val="000000"/>
          <w:sz w:val="28"/>
          <w:szCs w:val="28"/>
          <w:u w:val="single"/>
        </w:rPr>
      </w:pPr>
      <w:r>
        <w:rPr>
          <w:rFonts w:hint="eastAsia" w:ascii="宋体" w:hAnsi="宋体" w:eastAsia="宋体" w:cs="宋体"/>
          <w:bCs/>
          <w:color w:val="000000"/>
          <w:sz w:val="24"/>
          <w:szCs w:val="24"/>
        </w:rPr>
        <w:t>日期：</w:t>
      </w:r>
    </w:p>
    <w:p w14:paraId="1F544791">
      <w:pPr>
        <w:pStyle w:val="122"/>
        <w:jc w:val="center"/>
        <w:outlineLvl w:val="2"/>
        <w:rPr>
          <w:rFonts w:hint="eastAsia" w:ascii="宋体" w:hAnsi="宋体" w:eastAsia="宋体" w:cs="宋体"/>
          <w:b w:val="0"/>
          <w:bCs/>
          <w:color w:val="000000"/>
        </w:rPr>
      </w:pPr>
      <w:r>
        <w:rPr>
          <w:rFonts w:hint="eastAsia" w:ascii="宋体" w:hAnsi="宋体" w:eastAsia="宋体" w:cs="宋体"/>
          <w:b w:val="0"/>
          <w:bCs/>
          <w:color w:val="000000"/>
        </w:rPr>
        <w:br w:type="page"/>
      </w:r>
      <w:bookmarkStart w:id="169" w:name="_Toc139389587"/>
    </w:p>
    <w:p w14:paraId="739D0579">
      <w:pPr>
        <w:pStyle w:val="121"/>
        <w:jc w:val="left"/>
        <w:outlineLvl w:val="2"/>
        <w:rPr>
          <w:rFonts w:hint="default" w:ascii="宋体" w:hAnsi="宋体" w:eastAsia="宋体" w:cs="宋体"/>
          <w:b w:val="0"/>
          <w:bCs/>
          <w:color w:val="000000"/>
          <w:sz w:val="28"/>
          <w:szCs w:val="22"/>
          <w:lang w:val="en-US" w:eastAsia="zh-CN"/>
        </w:rPr>
      </w:pPr>
      <w:r>
        <w:rPr>
          <w:rFonts w:hint="eastAsia" w:ascii="宋体" w:hAnsi="宋体" w:eastAsia="宋体" w:cs="宋体"/>
          <w:b w:val="0"/>
          <w:bCs/>
          <w:color w:val="000000"/>
          <w:sz w:val="28"/>
          <w:szCs w:val="22"/>
          <w:lang w:val="en-US" w:eastAsia="zh-CN"/>
        </w:rPr>
        <w:t>附件2、供应商基本情况表</w:t>
      </w:r>
    </w:p>
    <w:p w14:paraId="2D2B151C">
      <w:pPr>
        <w:pStyle w:val="122"/>
        <w:jc w:val="center"/>
        <w:outlineLvl w:val="2"/>
        <w:rPr>
          <w:rFonts w:hint="eastAsia" w:ascii="宋体" w:hAnsi="宋体" w:eastAsia="宋体" w:cs="宋体"/>
          <w:color w:val="000000"/>
          <w:sz w:val="28"/>
          <w:szCs w:val="22"/>
        </w:rPr>
      </w:pPr>
      <w:r>
        <w:rPr>
          <w:rFonts w:hint="eastAsia" w:ascii="宋体" w:hAnsi="宋体" w:eastAsia="宋体" w:cs="宋体"/>
          <w:color w:val="000000"/>
          <w:sz w:val="28"/>
          <w:szCs w:val="22"/>
        </w:rPr>
        <w:t>供应商基本情况表</w:t>
      </w:r>
      <w:bookmarkEnd w:id="169"/>
    </w:p>
    <w:tbl>
      <w:tblPr>
        <w:tblStyle w:val="40"/>
        <w:tblW w:w="9159"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985"/>
        <w:gridCol w:w="1072"/>
        <w:gridCol w:w="1802"/>
        <w:gridCol w:w="714"/>
        <w:gridCol w:w="95"/>
        <w:gridCol w:w="441"/>
        <w:gridCol w:w="922"/>
        <w:gridCol w:w="343"/>
        <w:gridCol w:w="722"/>
        <w:gridCol w:w="1063"/>
      </w:tblGrid>
      <w:tr w14:paraId="7002C83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8" w:hRule="atLeast"/>
          <w:jc w:val="center"/>
        </w:trPr>
        <w:tc>
          <w:tcPr>
            <w:tcW w:w="1985" w:type="dxa"/>
            <w:tcBorders>
              <w:bottom w:val="single" w:color="000000" w:sz="6" w:space="0"/>
              <w:right w:val="single" w:color="000000" w:sz="6" w:space="0"/>
            </w:tcBorders>
            <w:noWrap w:val="0"/>
            <w:vAlign w:val="center"/>
          </w:tcPr>
          <w:p w14:paraId="52DBA3B3">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供应商名称</w:t>
            </w:r>
          </w:p>
        </w:tc>
        <w:tc>
          <w:tcPr>
            <w:tcW w:w="7174" w:type="dxa"/>
            <w:gridSpan w:val="9"/>
            <w:tcBorders>
              <w:left w:val="single" w:color="000000" w:sz="6" w:space="0"/>
              <w:bottom w:val="single" w:color="000000" w:sz="6" w:space="0"/>
            </w:tcBorders>
            <w:noWrap w:val="0"/>
            <w:vAlign w:val="center"/>
          </w:tcPr>
          <w:p w14:paraId="50D82A20">
            <w:pPr>
              <w:pStyle w:val="57"/>
              <w:rPr>
                <w:rFonts w:hint="eastAsia" w:ascii="宋体" w:hAnsi="宋体" w:eastAsia="宋体" w:cs="宋体"/>
                <w:color w:val="000000"/>
                <w:sz w:val="24"/>
                <w:szCs w:val="24"/>
              </w:rPr>
            </w:pPr>
            <w:r>
              <w:rPr>
                <w:rFonts w:hint="eastAsia" w:ascii="宋体" w:hAnsi="宋体" w:eastAsia="宋体" w:cs="宋体"/>
                <w:color w:val="000000"/>
                <w:sz w:val="24"/>
                <w:szCs w:val="24"/>
              </w:rPr>
              <w:t>（公章）</w:t>
            </w:r>
          </w:p>
        </w:tc>
      </w:tr>
      <w:tr w14:paraId="3DDAE37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1" w:hRule="atLeast"/>
          <w:jc w:val="center"/>
        </w:trPr>
        <w:tc>
          <w:tcPr>
            <w:tcW w:w="1985" w:type="dxa"/>
            <w:tcBorders>
              <w:top w:val="single" w:color="000000" w:sz="6" w:space="0"/>
              <w:bottom w:val="single" w:color="000000" w:sz="6" w:space="0"/>
              <w:right w:val="single" w:color="000000" w:sz="6" w:space="0"/>
            </w:tcBorders>
            <w:noWrap w:val="0"/>
            <w:vAlign w:val="center"/>
          </w:tcPr>
          <w:p w14:paraId="258DC7B0">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注册地址</w:t>
            </w:r>
          </w:p>
        </w:tc>
        <w:tc>
          <w:tcPr>
            <w:tcW w:w="3683" w:type="dxa"/>
            <w:gridSpan w:val="4"/>
            <w:tcBorders>
              <w:top w:val="single" w:color="000000" w:sz="6" w:space="0"/>
              <w:left w:val="single" w:color="000000" w:sz="6" w:space="0"/>
              <w:bottom w:val="single" w:color="000000" w:sz="6" w:space="0"/>
              <w:right w:val="single" w:color="000000" w:sz="6" w:space="0"/>
            </w:tcBorders>
            <w:noWrap w:val="0"/>
            <w:vAlign w:val="center"/>
          </w:tcPr>
          <w:p w14:paraId="69E4F224">
            <w:pPr>
              <w:pStyle w:val="57"/>
              <w:jc w:val="center"/>
              <w:rPr>
                <w:rFonts w:hint="eastAsia" w:ascii="宋体" w:hAnsi="宋体" w:eastAsia="宋体" w:cs="宋体"/>
                <w:color w:val="000000"/>
                <w:sz w:val="24"/>
                <w:szCs w:val="24"/>
              </w:rPr>
            </w:pPr>
          </w:p>
        </w:tc>
        <w:tc>
          <w:tcPr>
            <w:tcW w:w="1363" w:type="dxa"/>
            <w:gridSpan w:val="2"/>
            <w:tcBorders>
              <w:top w:val="single" w:color="000000" w:sz="6" w:space="0"/>
              <w:left w:val="single" w:color="000000" w:sz="6" w:space="0"/>
              <w:bottom w:val="single" w:color="000000" w:sz="6" w:space="0"/>
              <w:right w:val="single" w:color="000000" w:sz="6" w:space="0"/>
            </w:tcBorders>
            <w:noWrap w:val="0"/>
            <w:vAlign w:val="center"/>
          </w:tcPr>
          <w:p w14:paraId="380406E7">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p>
        </w:tc>
        <w:tc>
          <w:tcPr>
            <w:tcW w:w="2128" w:type="dxa"/>
            <w:gridSpan w:val="3"/>
            <w:tcBorders>
              <w:top w:val="single" w:color="000000" w:sz="6" w:space="0"/>
              <w:left w:val="single" w:color="000000" w:sz="6" w:space="0"/>
              <w:bottom w:val="single" w:color="000000" w:sz="6" w:space="0"/>
            </w:tcBorders>
            <w:noWrap w:val="0"/>
            <w:vAlign w:val="center"/>
          </w:tcPr>
          <w:p w14:paraId="362A7F7E">
            <w:pPr>
              <w:pStyle w:val="57"/>
              <w:jc w:val="center"/>
              <w:rPr>
                <w:rFonts w:hint="eastAsia" w:ascii="宋体" w:hAnsi="宋体" w:eastAsia="宋体" w:cs="宋体"/>
                <w:color w:val="000000"/>
                <w:sz w:val="24"/>
                <w:szCs w:val="24"/>
              </w:rPr>
            </w:pPr>
          </w:p>
        </w:tc>
      </w:tr>
      <w:tr w14:paraId="31EC096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jc w:val="center"/>
        </w:trPr>
        <w:tc>
          <w:tcPr>
            <w:tcW w:w="1985" w:type="dxa"/>
            <w:vMerge w:val="restart"/>
            <w:tcBorders>
              <w:top w:val="single" w:color="000000" w:sz="6" w:space="0"/>
              <w:bottom w:val="single" w:color="000000" w:sz="6" w:space="0"/>
              <w:right w:val="single" w:color="000000" w:sz="6" w:space="0"/>
            </w:tcBorders>
            <w:noWrap w:val="0"/>
            <w:vAlign w:val="center"/>
          </w:tcPr>
          <w:p w14:paraId="13970565">
            <w:pPr>
              <w:pStyle w:val="57"/>
              <w:jc w:val="center"/>
              <w:rPr>
                <w:rFonts w:hint="eastAsia" w:ascii="宋体" w:hAnsi="宋体" w:eastAsia="宋体" w:cs="宋体"/>
                <w:b/>
                <w:color w:val="000000"/>
                <w:sz w:val="24"/>
                <w:szCs w:val="24"/>
              </w:rPr>
            </w:pPr>
          </w:p>
          <w:p w14:paraId="077EA501">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联系方式</w:t>
            </w:r>
          </w:p>
        </w:tc>
        <w:tc>
          <w:tcPr>
            <w:tcW w:w="1072" w:type="dxa"/>
            <w:tcBorders>
              <w:top w:val="single" w:color="000000" w:sz="6" w:space="0"/>
              <w:left w:val="single" w:color="000000" w:sz="6" w:space="0"/>
              <w:bottom w:val="single" w:color="000000" w:sz="6" w:space="0"/>
              <w:right w:val="single" w:color="000000" w:sz="6" w:space="0"/>
            </w:tcBorders>
            <w:noWrap w:val="0"/>
            <w:vAlign w:val="center"/>
          </w:tcPr>
          <w:p w14:paraId="2C9D5E72">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联系人</w:t>
            </w:r>
          </w:p>
        </w:tc>
        <w:tc>
          <w:tcPr>
            <w:tcW w:w="2611" w:type="dxa"/>
            <w:gridSpan w:val="3"/>
            <w:tcBorders>
              <w:top w:val="single" w:color="000000" w:sz="6" w:space="0"/>
              <w:left w:val="single" w:color="000000" w:sz="6" w:space="0"/>
              <w:bottom w:val="single" w:color="000000" w:sz="6" w:space="0"/>
              <w:right w:val="single" w:color="000000" w:sz="6" w:space="0"/>
            </w:tcBorders>
            <w:noWrap w:val="0"/>
            <w:vAlign w:val="center"/>
          </w:tcPr>
          <w:p w14:paraId="151D0068">
            <w:pPr>
              <w:pStyle w:val="57"/>
              <w:jc w:val="center"/>
              <w:rPr>
                <w:rFonts w:hint="eastAsia" w:ascii="宋体" w:hAnsi="宋体" w:eastAsia="宋体" w:cs="宋体"/>
                <w:color w:val="000000"/>
                <w:sz w:val="24"/>
                <w:szCs w:val="24"/>
              </w:rPr>
            </w:pPr>
          </w:p>
        </w:tc>
        <w:tc>
          <w:tcPr>
            <w:tcW w:w="1363" w:type="dxa"/>
            <w:gridSpan w:val="2"/>
            <w:tcBorders>
              <w:top w:val="single" w:color="000000" w:sz="6" w:space="0"/>
              <w:left w:val="single" w:color="000000" w:sz="6" w:space="0"/>
              <w:bottom w:val="single" w:color="000000" w:sz="6" w:space="0"/>
              <w:right w:val="single" w:color="000000" w:sz="6" w:space="0"/>
            </w:tcBorders>
            <w:noWrap w:val="0"/>
            <w:vAlign w:val="center"/>
          </w:tcPr>
          <w:p w14:paraId="3A740A94">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电话</w:t>
            </w:r>
          </w:p>
        </w:tc>
        <w:tc>
          <w:tcPr>
            <w:tcW w:w="2128" w:type="dxa"/>
            <w:gridSpan w:val="3"/>
            <w:tcBorders>
              <w:top w:val="single" w:color="000000" w:sz="6" w:space="0"/>
              <w:left w:val="single" w:color="000000" w:sz="6" w:space="0"/>
              <w:bottom w:val="single" w:color="000000" w:sz="6" w:space="0"/>
            </w:tcBorders>
            <w:noWrap w:val="0"/>
            <w:vAlign w:val="center"/>
          </w:tcPr>
          <w:p w14:paraId="3BB1CBA6">
            <w:pPr>
              <w:pStyle w:val="57"/>
              <w:jc w:val="center"/>
              <w:rPr>
                <w:rFonts w:hint="eastAsia" w:ascii="宋体" w:hAnsi="宋体" w:eastAsia="宋体" w:cs="宋体"/>
                <w:color w:val="000000"/>
                <w:sz w:val="24"/>
                <w:szCs w:val="24"/>
              </w:rPr>
            </w:pPr>
          </w:p>
        </w:tc>
      </w:tr>
      <w:tr w14:paraId="61FCB87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jc w:val="center"/>
        </w:trPr>
        <w:tc>
          <w:tcPr>
            <w:tcW w:w="1985" w:type="dxa"/>
            <w:vMerge w:val="continue"/>
            <w:tcBorders>
              <w:top w:val="nil"/>
              <w:bottom w:val="single" w:color="000000" w:sz="6" w:space="0"/>
              <w:right w:val="single" w:color="000000" w:sz="6" w:space="0"/>
            </w:tcBorders>
            <w:noWrap w:val="0"/>
            <w:vAlign w:val="center"/>
          </w:tcPr>
          <w:p w14:paraId="008CB7E2">
            <w:pPr>
              <w:widowControl/>
              <w:jc w:val="center"/>
              <w:rPr>
                <w:rFonts w:hint="eastAsia" w:ascii="宋体" w:hAnsi="宋体" w:eastAsia="宋体" w:cs="宋体"/>
                <w:color w:val="000000"/>
                <w:sz w:val="24"/>
                <w:szCs w:val="24"/>
              </w:rPr>
            </w:pPr>
          </w:p>
        </w:tc>
        <w:tc>
          <w:tcPr>
            <w:tcW w:w="1072" w:type="dxa"/>
            <w:tcBorders>
              <w:top w:val="single" w:color="000000" w:sz="6" w:space="0"/>
              <w:left w:val="single" w:color="000000" w:sz="6" w:space="0"/>
              <w:bottom w:val="single" w:color="000000" w:sz="6" w:space="0"/>
              <w:right w:val="single" w:color="000000" w:sz="6" w:space="0"/>
            </w:tcBorders>
            <w:noWrap w:val="0"/>
            <w:vAlign w:val="center"/>
          </w:tcPr>
          <w:p w14:paraId="11F80CF3">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传真</w:t>
            </w:r>
          </w:p>
        </w:tc>
        <w:tc>
          <w:tcPr>
            <w:tcW w:w="2611" w:type="dxa"/>
            <w:gridSpan w:val="3"/>
            <w:tcBorders>
              <w:top w:val="single" w:color="000000" w:sz="6" w:space="0"/>
              <w:left w:val="single" w:color="000000" w:sz="6" w:space="0"/>
              <w:bottom w:val="single" w:color="000000" w:sz="6" w:space="0"/>
              <w:right w:val="single" w:color="000000" w:sz="6" w:space="0"/>
            </w:tcBorders>
            <w:noWrap w:val="0"/>
            <w:vAlign w:val="center"/>
          </w:tcPr>
          <w:p w14:paraId="269CAAA4">
            <w:pPr>
              <w:pStyle w:val="57"/>
              <w:jc w:val="center"/>
              <w:rPr>
                <w:rFonts w:hint="eastAsia" w:ascii="宋体" w:hAnsi="宋体" w:eastAsia="宋体" w:cs="宋体"/>
                <w:color w:val="000000"/>
                <w:sz w:val="24"/>
                <w:szCs w:val="24"/>
              </w:rPr>
            </w:pPr>
          </w:p>
        </w:tc>
        <w:tc>
          <w:tcPr>
            <w:tcW w:w="1363" w:type="dxa"/>
            <w:gridSpan w:val="2"/>
            <w:tcBorders>
              <w:top w:val="single" w:color="000000" w:sz="6" w:space="0"/>
              <w:left w:val="single" w:color="000000" w:sz="6" w:space="0"/>
              <w:bottom w:val="single" w:color="000000" w:sz="6" w:space="0"/>
              <w:right w:val="single" w:color="000000" w:sz="6" w:space="0"/>
            </w:tcBorders>
            <w:noWrap w:val="0"/>
            <w:vAlign w:val="center"/>
          </w:tcPr>
          <w:p w14:paraId="16D26F8B">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邮箱</w:t>
            </w:r>
          </w:p>
        </w:tc>
        <w:tc>
          <w:tcPr>
            <w:tcW w:w="2128" w:type="dxa"/>
            <w:gridSpan w:val="3"/>
            <w:tcBorders>
              <w:top w:val="single" w:color="000000" w:sz="6" w:space="0"/>
              <w:left w:val="single" w:color="000000" w:sz="6" w:space="0"/>
              <w:bottom w:val="single" w:color="000000" w:sz="6" w:space="0"/>
            </w:tcBorders>
            <w:noWrap w:val="0"/>
            <w:vAlign w:val="center"/>
          </w:tcPr>
          <w:p w14:paraId="4F72510E">
            <w:pPr>
              <w:pStyle w:val="57"/>
              <w:jc w:val="center"/>
              <w:rPr>
                <w:rFonts w:hint="eastAsia" w:ascii="宋体" w:hAnsi="宋体" w:eastAsia="宋体" w:cs="宋体"/>
                <w:color w:val="000000"/>
                <w:sz w:val="24"/>
                <w:szCs w:val="24"/>
              </w:rPr>
            </w:pPr>
          </w:p>
        </w:tc>
      </w:tr>
      <w:tr w14:paraId="727229A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85" w:type="dxa"/>
            <w:tcBorders>
              <w:top w:val="single" w:color="000000" w:sz="6" w:space="0"/>
              <w:bottom w:val="single" w:color="000000" w:sz="6" w:space="0"/>
              <w:right w:val="single" w:color="000000" w:sz="6" w:space="0"/>
            </w:tcBorders>
            <w:noWrap w:val="0"/>
            <w:vAlign w:val="center"/>
          </w:tcPr>
          <w:p w14:paraId="1B0F27C6">
            <w:pPr>
              <w:pStyle w:val="57"/>
              <w:ind w:right="-44"/>
              <w:jc w:val="center"/>
              <w:rPr>
                <w:rFonts w:hint="eastAsia" w:ascii="宋体" w:hAnsi="宋体" w:eastAsia="宋体" w:cs="宋体"/>
                <w:color w:val="000000"/>
                <w:sz w:val="24"/>
                <w:szCs w:val="24"/>
              </w:rPr>
            </w:pPr>
            <w:r>
              <w:rPr>
                <w:rFonts w:hint="eastAsia" w:ascii="宋体" w:hAnsi="宋体" w:eastAsia="宋体" w:cs="宋体"/>
                <w:color w:val="000000"/>
                <w:spacing w:val="-8"/>
                <w:sz w:val="24"/>
                <w:szCs w:val="24"/>
              </w:rPr>
              <w:t>隶属情况</w:t>
            </w:r>
            <w:r>
              <w:rPr>
                <w:rFonts w:hint="eastAsia" w:ascii="宋体" w:hAnsi="宋体" w:eastAsia="宋体" w:cs="宋体"/>
                <w:color w:val="000000"/>
                <w:sz w:val="24"/>
                <w:szCs w:val="24"/>
              </w:rPr>
              <w:t>（如有）</w:t>
            </w:r>
          </w:p>
        </w:tc>
        <w:tc>
          <w:tcPr>
            <w:tcW w:w="7174" w:type="dxa"/>
            <w:gridSpan w:val="9"/>
            <w:tcBorders>
              <w:top w:val="single" w:color="000000" w:sz="6" w:space="0"/>
              <w:left w:val="single" w:color="000000" w:sz="6" w:space="0"/>
              <w:bottom w:val="single" w:color="000000" w:sz="6" w:space="0"/>
            </w:tcBorders>
            <w:noWrap w:val="0"/>
            <w:vAlign w:val="center"/>
          </w:tcPr>
          <w:p w14:paraId="4E71042C">
            <w:pPr>
              <w:pStyle w:val="57"/>
              <w:rPr>
                <w:rFonts w:hint="eastAsia" w:ascii="宋体" w:hAnsi="宋体" w:eastAsia="宋体" w:cs="宋体"/>
                <w:color w:val="000000"/>
                <w:sz w:val="24"/>
                <w:szCs w:val="24"/>
              </w:rPr>
            </w:pPr>
            <w:r>
              <w:rPr>
                <w:rFonts w:hint="eastAsia" w:ascii="宋体" w:hAnsi="宋体" w:eastAsia="宋体" w:cs="宋体"/>
                <w:color w:val="000000"/>
                <w:sz w:val="24"/>
                <w:szCs w:val="24"/>
              </w:rPr>
              <w:t>阐明隶属及组织机构情况</w:t>
            </w:r>
          </w:p>
        </w:tc>
      </w:tr>
      <w:tr w14:paraId="553901E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1" w:hRule="atLeast"/>
          <w:jc w:val="center"/>
        </w:trPr>
        <w:tc>
          <w:tcPr>
            <w:tcW w:w="1985" w:type="dxa"/>
            <w:tcBorders>
              <w:top w:val="single" w:color="000000" w:sz="6" w:space="0"/>
              <w:bottom w:val="single" w:color="000000" w:sz="6" w:space="0"/>
              <w:right w:val="single" w:color="000000" w:sz="6" w:space="0"/>
            </w:tcBorders>
            <w:noWrap w:val="0"/>
            <w:vAlign w:val="center"/>
          </w:tcPr>
          <w:p w14:paraId="57044CA3">
            <w:pPr>
              <w:pStyle w:val="57"/>
              <w:ind w:right="-44"/>
              <w:jc w:val="center"/>
              <w:rPr>
                <w:rFonts w:hint="eastAsia" w:ascii="宋体" w:hAnsi="宋体" w:eastAsia="宋体" w:cs="宋体"/>
                <w:color w:val="000000"/>
                <w:sz w:val="24"/>
                <w:szCs w:val="24"/>
              </w:rPr>
            </w:pPr>
            <w:r>
              <w:rPr>
                <w:rFonts w:hint="eastAsia" w:ascii="宋体" w:hAnsi="宋体" w:eastAsia="宋体" w:cs="宋体"/>
                <w:color w:val="000000"/>
                <w:spacing w:val="-8"/>
                <w:sz w:val="24"/>
                <w:szCs w:val="24"/>
              </w:rPr>
              <w:t>控股情况</w:t>
            </w:r>
            <w:r>
              <w:rPr>
                <w:rFonts w:hint="eastAsia" w:ascii="宋体" w:hAnsi="宋体" w:eastAsia="宋体" w:cs="宋体"/>
                <w:color w:val="000000"/>
                <w:sz w:val="24"/>
                <w:szCs w:val="24"/>
              </w:rPr>
              <w:t>（如有）</w:t>
            </w:r>
          </w:p>
        </w:tc>
        <w:tc>
          <w:tcPr>
            <w:tcW w:w="7174" w:type="dxa"/>
            <w:gridSpan w:val="9"/>
            <w:tcBorders>
              <w:top w:val="single" w:color="000000" w:sz="6" w:space="0"/>
              <w:left w:val="single" w:color="000000" w:sz="6" w:space="0"/>
              <w:bottom w:val="single" w:color="000000" w:sz="6" w:space="0"/>
            </w:tcBorders>
            <w:noWrap w:val="0"/>
            <w:vAlign w:val="center"/>
          </w:tcPr>
          <w:p w14:paraId="7B5ED891">
            <w:pPr>
              <w:pStyle w:val="57"/>
              <w:rPr>
                <w:rFonts w:hint="eastAsia" w:ascii="宋体" w:hAnsi="宋体" w:eastAsia="宋体" w:cs="宋体"/>
                <w:color w:val="000000"/>
                <w:sz w:val="24"/>
                <w:szCs w:val="24"/>
              </w:rPr>
            </w:pPr>
            <w:r>
              <w:rPr>
                <w:rFonts w:hint="eastAsia" w:ascii="宋体" w:hAnsi="宋体" w:eastAsia="宋体" w:cs="宋体"/>
                <w:color w:val="000000"/>
                <w:sz w:val="24"/>
                <w:szCs w:val="24"/>
              </w:rPr>
              <w:t>阐明控股和被控股情况</w:t>
            </w:r>
          </w:p>
        </w:tc>
      </w:tr>
      <w:tr w14:paraId="261E03E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4" w:hRule="atLeast"/>
          <w:jc w:val="center"/>
        </w:trPr>
        <w:tc>
          <w:tcPr>
            <w:tcW w:w="1985" w:type="dxa"/>
            <w:tcBorders>
              <w:top w:val="single" w:color="000000" w:sz="6" w:space="0"/>
              <w:bottom w:val="single" w:color="000000" w:sz="6" w:space="0"/>
              <w:right w:val="single" w:color="000000" w:sz="6" w:space="0"/>
            </w:tcBorders>
            <w:noWrap w:val="0"/>
            <w:vAlign w:val="center"/>
          </w:tcPr>
          <w:p w14:paraId="5CFFAC14">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组织结构</w:t>
            </w:r>
          </w:p>
        </w:tc>
        <w:tc>
          <w:tcPr>
            <w:tcW w:w="7174" w:type="dxa"/>
            <w:gridSpan w:val="9"/>
            <w:tcBorders>
              <w:top w:val="single" w:color="000000" w:sz="6" w:space="0"/>
              <w:left w:val="single" w:color="000000" w:sz="6" w:space="0"/>
              <w:bottom w:val="single" w:color="000000" w:sz="6" w:space="0"/>
            </w:tcBorders>
            <w:noWrap w:val="0"/>
            <w:vAlign w:val="center"/>
          </w:tcPr>
          <w:p w14:paraId="3E740B6F">
            <w:pPr>
              <w:pStyle w:val="57"/>
              <w:rPr>
                <w:rFonts w:hint="eastAsia" w:ascii="宋体" w:hAnsi="宋体" w:eastAsia="宋体" w:cs="宋体"/>
                <w:color w:val="000000"/>
                <w:sz w:val="24"/>
                <w:szCs w:val="24"/>
              </w:rPr>
            </w:pPr>
          </w:p>
        </w:tc>
      </w:tr>
      <w:tr w14:paraId="610CBDC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jc w:val="center"/>
        </w:trPr>
        <w:tc>
          <w:tcPr>
            <w:tcW w:w="1985" w:type="dxa"/>
            <w:tcBorders>
              <w:top w:val="single" w:color="000000" w:sz="6" w:space="0"/>
              <w:bottom w:val="single" w:color="000000" w:sz="6" w:space="0"/>
              <w:right w:val="single" w:color="000000" w:sz="6" w:space="0"/>
            </w:tcBorders>
            <w:noWrap w:val="0"/>
            <w:vAlign w:val="center"/>
          </w:tcPr>
          <w:p w14:paraId="54BE742A">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简介</w:t>
            </w:r>
          </w:p>
        </w:tc>
        <w:tc>
          <w:tcPr>
            <w:tcW w:w="7174" w:type="dxa"/>
            <w:gridSpan w:val="9"/>
            <w:tcBorders>
              <w:top w:val="single" w:color="000000" w:sz="6" w:space="0"/>
              <w:left w:val="single" w:color="000000" w:sz="6" w:space="0"/>
              <w:bottom w:val="single" w:color="000000" w:sz="6" w:space="0"/>
            </w:tcBorders>
            <w:noWrap w:val="0"/>
            <w:vAlign w:val="center"/>
          </w:tcPr>
          <w:p w14:paraId="337A543E">
            <w:pPr>
              <w:pStyle w:val="29"/>
              <w:spacing w:before="0" w:beforeAutospacing="0" w:after="0" w:afterAutospacing="0"/>
              <w:rPr>
                <w:rFonts w:hint="eastAsia" w:ascii="宋体" w:hAnsi="宋体" w:eastAsia="宋体" w:cs="宋体"/>
                <w:color w:val="000000"/>
                <w:spacing w:val="-16"/>
                <w:szCs w:val="24"/>
              </w:rPr>
            </w:pPr>
            <w:r>
              <w:rPr>
                <w:rFonts w:hint="eastAsia" w:ascii="宋体" w:hAnsi="宋体" w:eastAsia="宋体" w:cs="宋体"/>
                <w:color w:val="000000"/>
                <w:spacing w:val="-16"/>
                <w:szCs w:val="24"/>
              </w:rPr>
              <w:t>包括但不限于：</w:t>
            </w:r>
          </w:p>
          <w:p w14:paraId="535C7F72">
            <w:pPr>
              <w:pStyle w:val="29"/>
              <w:spacing w:before="0" w:beforeAutospacing="0" w:after="0" w:afterAutospacing="0"/>
              <w:rPr>
                <w:rFonts w:hint="eastAsia" w:ascii="宋体" w:hAnsi="宋体" w:eastAsia="宋体" w:cs="宋体"/>
                <w:color w:val="000000"/>
              </w:rPr>
            </w:pPr>
            <w:r>
              <w:rPr>
                <w:rFonts w:hint="eastAsia" w:ascii="宋体" w:hAnsi="宋体" w:eastAsia="宋体" w:cs="宋体"/>
                <w:color w:val="000000"/>
              </w:rPr>
              <w:t>（1）企业发展简史</w:t>
            </w:r>
          </w:p>
          <w:p w14:paraId="2C33A553">
            <w:pPr>
              <w:pStyle w:val="29"/>
              <w:spacing w:before="0" w:beforeAutospacing="0" w:after="0" w:afterAutospacing="0"/>
              <w:rPr>
                <w:rFonts w:hint="eastAsia" w:ascii="宋体" w:hAnsi="宋体" w:eastAsia="宋体" w:cs="宋体"/>
                <w:color w:val="000000"/>
              </w:rPr>
            </w:pPr>
            <w:r>
              <w:rPr>
                <w:rFonts w:hint="eastAsia" w:ascii="宋体" w:hAnsi="宋体" w:eastAsia="宋体" w:cs="宋体"/>
                <w:color w:val="000000"/>
              </w:rPr>
              <w:t>（2）企业生产经营场所、拥有的生产经营设备，及现有技术人员等（3）企业生产经营情况、财务现状等</w:t>
            </w:r>
          </w:p>
          <w:p w14:paraId="651AA3B0">
            <w:pPr>
              <w:pStyle w:val="29"/>
              <w:spacing w:before="0" w:beforeAutospacing="0" w:after="0" w:afterAutospacing="0"/>
              <w:rPr>
                <w:rFonts w:hint="eastAsia" w:ascii="宋体" w:hAnsi="宋体" w:eastAsia="宋体" w:cs="宋体"/>
                <w:color w:val="000000"/>
              </w:rPr>
            </w:pPr>
            <w:r>
              <w:rPr>
                <w:rFonts w:hint="eastAsia" w:ascii="宋体" w:hAnsi="宋体" w:eastAsia="宋体" w:cs="宋体"/>
                <w:color w:val="000000"/>
              </w:rPr>
              <w:t>（4）企业获得的荣誉、受过的违规处罚情况等</w:t>
            </w:r>
          </w:p>
          <w:p w14:paraId="5C52E60D">
            <w:pPr>
              <w:pStyle w:val="57"/>
              <w:spacing w:line="307" w:lineRule="exact"/>
              <w:ind w:right="-58"/>
              <w:rPr>
                <w:rFonts w:hint="eastAsia" w:ascii="宋体" w:hAnsi="宋体" w:eastAsia="宋体" w:cs="宋体"/>
                <w:color w:val="000000"/>
                <w:sz w:val="24"/>
                <w:szCs w:val="24"/>
              </w:rPr>
            </w:pPr>
            <w:r>
              <w:rPr>
                <w:rFonts w:hint="eastAsia" w:ascii="宋体" w:hAnsi="宋体" w:eastAsia="宋体" w:cs="宋体"/>
                <w:color w:val="000000"/>
                <w:sz w:val="24"/>
                <w:szCs w:val="24"/>
              </w:rPr>
              <w:t>（可另附页）</w:t>
            </w:r>
          </w:p>
        </w:tc>
      </w:tr>
      <w:tr w14:paraId="0477328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jc w:val="center"/>
        </w:trPr>
        <w:tc>
          <w:tcPr>
            <w:tcW w:w="1985" w:type="dxa"/>
            <w:tcBorders>
              <w:top w:val="single" w:color="000000" w:sz="6" w:space="0"/>
              <w:bottom w:val="single" w:color="000000" w:sz="6" w:space="0"/>
              <w:right w:val="single" w:color="000000" w:sz="6" w:space="0"/>
            </w:tcBorders>
            <w:noWrap w:val="0"/>
            <w:vAlign w:val="center"/>
          </w:tcPr>
          <w:p w14:paraId="3B5557D4">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p>
        </w:tc>
        <w:tc>
          <w:tcPr>
            <w:tcW w:w="1072" w:type="dxa"/>
            <w:tcBorders>
              <w:top w:val="single" w:color="000000" w:sz="6" w:space="0"/>
              <w:left w:val="single" w:color="000000" w:sz="6" w:space="0"/>
              <w:bottom w:val="single" w:color="000000" w:sz="6" w:space="0"/>
              <w:right w:val="single" w:color="000000" w:sz="6" w:space="0"/>
            </w:tcBorders>
            <w:noWrap w:val="0"/>
            <w:vAlign w:val="center"/>
          </w:tcPr>
          <w:p w14:paraId="62A7582F">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姓名</w:t>
            </w:r>
          </w:p>
        </w:tc>
        <w:tc>
          <w:tcPr>
            <w:tcW w:w="1802" w:type="dxa"/>
            <w:tcBorders>
              <w:top w:val="single" w:color="000000" w:sz="6" w:space="0"/>
              <w:left w:val="single" w:color="000000" w:sz="6" w:space="0"/>
              <w:bottom w:val="single" w:color="000000" w:sz="6" w:space="0"/>
              <w:right w:val="single" w:color="000000" w:sz="6" w:space="0"/>
            </w:tcBorders>
            <w:noWrap w:val="0"/>
            <w:vAlign w:val="center"/>
          </w:tcPr>
          <w:p w14:paraId="32522FD1">
            <w:pPr>
              <w:pStyle w:val="57"/>
              <w:jc w:val="center"/>
              <w:rPr>
                <w:rFonts w:hint="eastAsia" w:ascii="宋体" w:hAnsi="宋体" w:eastAsia="宋体" w:cs="宋体"/>
                <w:color w:val="000000"/>
                <w:sz w:val="24"/>
                <w:szCs w:val="24"/>
              </w:rPr>
            </w:pPr>
          </w:p>
        </w:tc>
        <w:tc>
          <w:tcPr>
            <w:tcW w:w="1250" w:type="dxa"/>
            <w:gridSpan w:val="3"/>
            <w:tcBorders>
              <w:top w:val="single" w:color="000000" w:sz="6" w:space="0"/>
              <w:left w:val="single" w:color="000000" w:sz="6" w:space="0"/>
              <w:bottom w:val="single" w:color="000000" w:sz="6" w:space="0"/>
              <w:right w:val="single" w:color="000000" w:sz="6" w:space="0"/>
            </w:tcBorders>
            <w:noWrap w:val="0"/>
            <w:vAlign w:val="center"/>
          </w:tcPr>
          <w:p w14:paraId="2E09B9DC">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技术职称</w:t>
            </w:r>
          </w:p>
        </w:tc>
        <w:tc>
          <w:tcPr>
            <w:tcW w:w="1265" w:type="dxa"/>
            <w:gridSpan w:val="2"/>
            <w:tcBorders>
              <w:top w:val="single" w:color="000000" w:sz="6" w:space="0"/>
              <w:left w:val="single" w:color="000000" w:sz="6" w:space="0"/>
              <w:bottom w:val="single" w:color="000000" w:sz="6" w:space="0"/>
              <w:right w:val="single" w:color="000000" w:sz="6" w:space="0"/>
            </w:tcBorders>
            <w:noWrap w:val="0"/>
            <w:vAlign w:val="center"/>
          </w:tcPr>
          <w:p w14:paraId="77004977">
            <w:pPr>
              <w:pStyle w:val="57"/>
              <w:jc w:val="center"/>
              <w:rPr>
                <w:rFonts w:hint="eastAsia" w:ascii="宋体" w:hAnsi="宋体" w:eastAsia="宋体" w:cs="宋体"/>
                <w:color w:val="000000"/>
                <w:sz w:val="24"/>
                <w:szCs w:val="24"/>
              </w:rPr>
            </w:pPr>
          </w:p>
        </w:tc>
        <w:tc>
          <w:tcPr>
            <w:tcW w:w="722" w:type="dxa"/>
            <w:tcBorders>
              <w:top w:val="single" w:color="000000" w:sz="6" w:space="0"/>
              <w:left w:val="single" w:color="000000" w:sz="6" w:space="0"/>
              <w:bottom w:val="single" w:color="000000" w:sz="6" w:space="0"/>
              <w:right w:val="single" w:color="000000" w:sz="6" w:space="0"/>
            </w:tcBorders>
            <w:noWrap w:val="0"/>
            <w:vAlign w:val="center"/>
          </w:tcPr>
          <w:p w14:paraId="306B98FA">
            <w:pPr>
              <w:pStyle w:val="57"/>
              <w:ind w:right="104"/>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电话</w:t>
            </w:r>
          </w:p>
        </w:tc>
        <w:tc>
          <w:tcPr>
            <w:tcW w:w="1063" w:type="dxa"/>
            <w:tcBorders>
              <w:top w:val="single" w:color="000000" w:sz="6" w:space="0"/>
              <w:left w:val="single" w:color="000000" w:sz="6" w:space="0"/>
              <w:bottom w:val="single" w:color="000000" w:sz="6" w:space="0"/>
            </w:tcBorders>
            <w:noWrap w:val="0"/>
            <w:vAlign w:val="center"/>
          </w:tcPr>
          <w:p w14:paraId="4B47F478">
            <w:pPr>
              <w:pStyle w:val="57"/>
              <w:jc w:val="center"/>
              <w:rPr>
                <w:rFonts w:hint="eastAsia" w:ascii="宋体" w:hAnsi="宋体" w:eastAsia="宋体" w:cs="宋体"/>
                <w:color w:val="000000"/>
                <w:sz w:val="24"/>
                <w:szCs w:val="24"/>
              </w:rPr>
            </w:pPr>
          </w:p>
        </w:tc>
      </w:tr>
      <w:tr w14:paraId="2C1BA24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5" w:hRule="atLeast"/>
          <w:jc w:val="center"/>
        </w:trPr>
        <w:tc>
          <w:tcPr>
            <w:tcW w:w="1985" w:type="dxa"/>
            <w:tcBorders>
              <w:top w:val="single" w:color="000000" w:sz="6" w:space="0"/>
              <w:bottom w:val="single" w:color="000000" w:sz="6" w:space="0"/>
              <w:right w:val="single" w:color="000000" w:sz="6" w:space="0"/>
            </w:tcBorders>
            <w:noWrap w:val="0"/>
            <w:vAlign w:val="center"/>
          </w:tcPr>
          <w:p w14:paraId="7DF54AEC">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技术负责人</w:t>
            </w:r>
          </w:p>
        </w:tc>
        <w:tc>
          <w:tcPr>
            <w:tcW w:w="1072" w:type="dxa"/>
            <w:tcBorders>
              <w:top w:val="single" w:color="000000" w:sz="6" w:space="0"/>
              <w:left w:val="single" w:color="000000" w:sz="6" w:space="0"/>
              <w:bottom w:val="single" w:color="000000" w:sz="6" w:space="0"/>
              <w:right w:val="single" w:color="000000" w:sz="6" w:space="0"/>
            </w:tcBorders>
            <w:noWrap w:val="0"/>
            <w:vAlign w:val="center"/>
          </w:tcPr>
          <w:p w14:paraId="19952F84">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姓名</w:t>
            </w:r>
          </w:p>
        </w:tc>
        <w:tc>
          <w:tcPr>
            <w:tcW w:w="1802" w:type="dxa"/>
            <w:tcBorders>
              <w:top w:val="single" w:color="000000" w:sz="6" w:space="0"/>
              <w:left w:val="single" w:color="000000" w:sz="6" w:space="0"/>
              <w:bottom w:val="single" w:color="000000" w:sz="6" w:space="0"/>
              <w:right w:val="single" w:color="000000" w:sz="6" w:space="0"/>
            </w:tcBorders>
            <w:noWrap w:val="0"/>
            <w:vAlign w:val="center"/>
          </w:tcPr>
          <w:p w14:paraId="3AA3E28C">
            <w:pPr>
              <w:pStyle w:val="57"/>
              <w:jc w:val="center"/>
              <w:rPr>
                <w:rFonts w:hint="eastAsia" w:ascii="宋体" w:hAnsi="宋体" w:eastAsia="宋体" w:cs="宋体"/>
                <w:color w:val="000000"/>
                <w:sz w:val="24"/>
                <w:szCs w:val="24"/>
              </w:rPr>
            </w:pPr>
          </w:p>
        </w:tc>
        <w:tc>
          <w:tcPr>
            <w:tcW w:w="1250" w:type="dxa"/>
            <w:gridSpan w:val="3"/>
            <w:tcBorders>
              <w:top w:val="single" w:color="000000" w:sz="6" w:space="0"/>
              <w:left w:val="single" w:color="000000" w:sz="6" w:space="0"/>
              <w:bottom w:val="single" w:color="000000" w:sz="6" w:space="0"/>
              <w:right w:val="single" w:color="000000" w:sz="6" w:space="0"/>
            </w:tcBorders>
            <w:noWrap w:val="0"/>
            <w:vAlign w:val="center"/>
          </w:tcPr>
          <w:p w14:paraId="5CB46DFC">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技术职称</w:t>
            </w:r>
          </w:p>
        </w:tc>
        <w:tc>
          <w:tcPr>
            <w:tcW w:w="1265" w:type="dxa"/>
            <w:gridSpan w:val="2"/>
            <w:tcBorders>
              <w:top w:val="single" w:color="000000" w:sz="6" w:space="0"/>
              <w:left w:val="single" w:color="000000" w:sz="6" w:space="0"/>
              <w:bottom w:val="single" w:color="000000" w:sz="6" w:space="0"/>
              <w:right w:val="single" w:color="000000" w:sz="6" w:space="0"/>
            </w:tcBorders>
            <w:noWrap w:val="0"/>
            <w:vAlign w:val="center"/>
          </w:tcPr>
          <w:p w14:paraId="41A43056">
            <w:pPr>
              <w:pStyle w:val="57"/>
              <w:jc w:val="center"/>
              <w:rPr>
                <w:rFonts w:hint="eastAsia" w:ascii="宋体" w:hAnsi="宋体" w:eastAsia="宋体" w:cs="宋体"/>
                <w:color w:val="000000"/>
                <w:sz w:val="24"/>
                <w:szCs w:val="24"/>
              </w:rPr>
            </w:pPr>
          </w:p>
        </w:tc>
        <w:tc>
          <w:tcPr>
            <w:tcW w:w="722" w:type="dxa"/>
            <w:tcBorders>
              <w:top w:val="single" w:color="000000" w:sz="6" w:space="0"/>
              <w:left w:val="single" w:color="000000" w:sz="6" w:space="0"/>
              <w:bottom w:val="single" w:color="000000" w:sz="6" w:space="0"/>
              <w:right w:val="single" w:color="000000" w:sz="6" w:space="0"/>
            </w:tcBorders>
            <w:noWrap w:val="0"/>
            <w:vAlign w:val="center"/>
          </w:tcPr>
          <w:p w14:paraId="6F039167">
            <w:pPr>
              <w:pStyle w:val="57"/>
              <w:ind w:right="104"/>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电话</w:t>
            </w:r>
          </w:p>
        </w:tc>
        <w:tc>
          <w:tcPr>
            <w:tcW w:w="1063" w:type="dxa"/>
            <w:tcBorders>
              <w:top w:val="single" w:color="000000" w:sz="6" w:space="0"/>
              <w:left w:val="single" w:color="000000" w:sz="6" w:space="0"/>
              <w:bottom w:val="single" w:color="000000" w:sz="6" w:space="0"/>
            </w:tcBorders>
            <w:noWrap w:val="0"/>
            <w:vAlign w:val="center"/>
          </w:tcPr>
          <w:p w14:paraId="50496E42">
            <w:pPr>
              <w:pStyle w:val="57"/>
              <w:jc w:val="center"/>
              <w:rPr>
                <w:rFonts w:hint="eastAsia" w:ascii="宋体" w:hAnsi="宋体" w:eastAsia="宋体" w:cs="宋体"/>
                <w:color w:val="000000"/>
                <w:sz w:val="24"/>
                <w:szCs w:val="24"/>
              </w:rPr>
            </w:pPr>
          </w:p>
        </w:tc>
      </w:tr>
      <w:tr w14:paraId="7609B61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85" w:type="dxa"/>
            <w:tcBorders>
              <w:top w:val="single" w:color="000000" w:sz="6" w:space="0"/>
              <w:bottom w:val="single" w:color="000000" w:sz="6" w:space="0"/>
              <w:right w:val="single" w:color="000000" w:sz="6" w:space="0"/>
            </w:tcBorders>
            <w:noWrap w:val="0"/>
            <w:vAlign w:val="center"/>
          </w:tcPr>
          <w:p w14:paraId="2C053DC9">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成立时间</w:t>
            </w:r>
          </w:p>
        </w:tc>
        <w:tc>
          <w:tcPr>
            <w:tcW w:w="2874" w:type="dxa"/>
            <w:gridSpan w:val="2"/>
            <w:tcBorders>
              <w:top w:val="single" w:color="000000" w:sz="6" w:space="0"/>
              <w:left w:val="single" w:color="000000" w:sz="6" w:space="0"/>
              <w:bottom w:val="single" w:color="000000" w:sz="6" w:space="0"/>
              <w:right w:val="single" w:color="000000" w:sz="6" w:space="0"/>
            </w:tcBorders>
            <w:noWrap w:val="0"/>
            <w:vAlign w:val="center"/>
          </w:tcPr>
          <w:p w14:paraId="4B4D09A5">
            <w:pPr>
              <w:pStyle w:val="57"/>
              <w:jc w:val="center"/>
              <w:rPr>
                <w:rFonts w:hint="eastAsia" w:ascii="宋体" w:hAnsi="宋体" w:eastAsia="宋体" w:cs="宋体"/>
                <w:color w:val="000000"/>
                <w:sz w:val="24"/>
                <w:szCs w:val="24"/>
              </w:rPr>
            </w:pPr>
          </w:p>
        </w:tc>
        <w:tc>
          <w:tcPr>
            <w:tcW w:w="4300" w:type="dxa"/>
            <w:gridSpan w:val="7"/>
            <w:tcBorders>
              <w:top w:val="single" w:color="000000" w:sz="6" w:space="0"/>
              <w:left w:val="single" w:color="000000" w:sz="6" w:space="0"/>
              <w:bottom w:val="single" w:color="000000" w:sz="6" w:space="0"/>
            </w:tcBorders>
            <w:noWrap w:val="0"/>
            <w:vAlign w:val="center"/>
          </w:tcPr>
          <w:p w14:paraId="7B814875">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员工总人数：</w:t>
            </w:r>
          </w:p>
        </w:tc>
      </w:tr>
      <w:tr w14:paraId="23095BB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85" w:type="dxa"/>
            <w:tcBorders>
              <w:top w:val="single" w:color="000000" w:sz="6" w:space="0"/>
              <w:bottom w:val="single" w:color="000000" w:sz="6" w:space="0"/>
              <w:right w:val="single" w:color="000000" w:sz="6" w:space="0"/>
            </w:tcBorders>
            <w:noWrap w:val="0"/>
            <w:vAlign w:val="center"/>
          </w:tcPr>
          <w:p w14:paraId="6994C90A">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企业资质等级</w:t>
            </w:r>
          </w:p>
        </w:tc>
        <w:tc>
          <w:tcPr>
            <w:tcW w:w="2874" w:type="dxa"/>
            <w:gridSpan w:val="2"/>
            <w:tcBorders>
              <w:top w:val="single" w:color="000000" w:sz="6" w:space="0"/>
              <w:left w:val="single" w:color="000000" w:sz="6" w:space="0"/>
              <w:bottom w:val="single" w:color="000000" w:sz="6" w:space="0"/>
              <w:right w:val="single" w:color="000000" w:sz="6" w:space="0"/>
            </w:tcBorders>
            <w:noWrap w:val="0"/>
            <w:vAlign w:val="center"/>
          </w:tcPr>
          <w:p w14:paraId="581EA7B7">
            <w:pPr>
              <w:pStyle w:val="57"/>
              <w:jc w:val="center"/>
              <w:rPr>
                <w:rFonts w:hint="eastAsia" w:ascii="宋体" w:hAnsi="宋体" w:eastAsia="宋体" w:cs="宋体"/>
                <w:color w:val="000000"/>
                <w:sz w:val="24"/>
                <w:szCs w:val="24"/>
              </w:rPr>
            </w:pPr>
          </w:p>
        </w:tc>
        <w:tc>
          <w:tcPr>
            <w:tcW w:w="714" w:type="dxa"/>
            <w:vMerge w:val="restart"/>
            <w:tcBorders>
              <w:top w:val="single" w:color="000000" w:sz="6" w:space="0"/>
              <w:left w:val="single" w:color="000000" w:sz="6" w:space="0"/>
              <w:bottom w:val="single" w:color="000000" w:sz="6" w:space="0"/>
              <w:right w:val="single" w:color="000000" w:sz="6" w:space="0"/>
            </w:tcBorders>
            <w:noWrap w:val="0"/>
            <w:vAlign w:val="center"/>
          </w:tcPr>
          <w:p w14:paraId="57D27ECB">
            <w:pPr>
              <w:pStyle w:val="57"/>
              <w:jc w:val="center"/>
              <w:rPr>
                <w:rFonts w:hint="eastAsia" w:ascii="宋体" w:hAnsi="宋体" w:eastAsia="宋体" w:cs="宋体"/>
                <w:b/>
                <w:color w:val="000000"/>
                <w:sz w:val="24"/>
                <w:szCs w:val="24"/>
              </w:rPr>
            </w:pPr>
          </w:p>
          <w:p w14:paraId="2BA2A529">
            <w:pPr>
              <w:pStyle w:val="57"/>
              <w:jc w:val="center"/>
              <w:rPr>
                <w:rFonts w:hint="eastAsia" w:ascii="宋体" w:hAnsi="宋体" w:eastAsia="宋体" w:cs="宋体"/>
                <w:b/>
                <w:color w:val="000000"/>
                <w:sz w:val="24"/>
                <w:szCs w:val="24"/>
              </w:rPr>
            </w:pPr>
          </w:p>
          <w:p w14:paraId="6F7DEE60">
            <w:pPr>
              <w:pStyle w:val="57"/>
              <w:jc w:val="center"/>
              <w:rPr>
                <w:rFonts w:hint="eastAsia" w:ascii="宋体" w:hAnsi="宋体" w:eastAsia="宋体" w:cs="宋体"/>
                <w:b/>
                <w:color w:val="000000"/>
                <w:sz w:val="24"/>
                <w:szCs w:val="24"/>
              </w:rPr>
            </w:pPr>
          </w:p>
          <w:p w14:paraId="3E52BF1A">
            <w:pPr>
              <w:pStyle w:val="57"/>
              <w:jc w:val="center"/>
              <w:rPr>
                <w:rFonts w:hint="eastAsia" w:ascii="宋体" w:hAnsi="宋体" w:eastAsia="宋体" w:cs="宋体"/>
                <w:b/>
                <w:color w:val="000000"/>
                <w:sz w:val="24"/>
                <w:szCs w:val="24"/>
              </w:rPr>
            </w:pPr>
          </w:p>
          <w:p w14:paraId="5BE21F62">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其中</w:t>
            </w:r>
          </w:p>
        </w:tc>
        <w:tc>
          <w:tcPr>
            <w:tcW w:w="1801" w:type="dxa"/>
            <w:gridSpan w:val="4"/>
            <w:tcBorders>
              <w:top w:val="single" w:color="000000" w:sz="6" w:space="0"/>
              <w:left w:val="single" w:color="000000" w:sz="6" w:space="0"/>
              <w:bottom w:val="single" w:color="000000" w:sz="6" w:space="0"/>
              <w:right w:val="single" w:color="000000" w:sz="6" w:space="0"/>
            </w:tcBorders>
            <w:noWrap w:val="0"/>
            <w:vAlign w:val="center"/>
          </w:tcPr>
          <w:p w14:paraId="11EDDE32">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高级职称人员</w:t>
            </w:r>
          </w:p>
        </w:tc>
        <w:tc>
          <w:tcPr>
            <w:tcW w:w="1785" w:type="dxa"/>
            <w:gridSpan w:val="2"/>
            <w:tcBorders>
              <w:top w:val="single" w:color="000000" w:sz="6" w:space="0"/>
              <w:left w:val="single" w:color="000000" w:sz="6" w:space="0"/>
              <w:bottom w:val="single" w:color="000000" w:sz="6" w:space="0"/>
            </w:tcBorders>
            <w:noWrap w:val="0"/>
            <w:vAlign w:val="center"/>
          </w:tcPr>
          <w:p w14:paraId="6E5D6E12">
            <w:pPr>
              <w:pStyle w:val="57"/>
              <w:jc w:val="center"/>
              <w:rPr>
                <w:rFonts w:hint="eastAsia" w:ascii="宋体" w:hAnsi="宋体" w:eastAsia="宋体" w:cs="宋体"/>
                <w:color w:val="000000"/>
                <w:sz w:val="24"/>
                <w:szCs w:val="24"/>
              </w:rPr>
            </w:pPr>
          </w:p>
        </w:tc>
      </w:tr>
      <w:tr w14:paraId="34313B0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2" w:hRule="atLeast"/>
          <w:jc w:val="center"/>
        </w:trPr>
        <w:tc>
          <w:tcPr>
            <w:tcW w:w="1985" w:type="dxa"/>
            <w:tcBorders>
              <w:top w:val="single" w:color="000000" w:sz="6" w:space="0"/>
              <w:bottom w:val="single" w:color="000000" w:sz="6" w:space="0"/>
              <w:right w:val="single" w:color="000000" w:sz="6" w:space="0"/>
            </w:tcBorders>
            <w:noWrap w:val="0"/>
            <w:vAlign w:val="center"/>
          </w:tcPr>
          <w:p w14:paraId="5BDC4214">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营业执照号</w:t>
            </w:r>
          </w:p>
        </w:tc>
        <w:tc>
          <w:tcPr>
            <w:tcW w:w="2874" w:type="dxa"/>
            <w:gridSpan w:val="2"/>
            <w:tcBorders>
              <w:top w:val="single" w:color="000000" w:sz="6" w:space="0"/>
              <w:left w:val="single" w:color="000000" w:sz="6" w:space="0"/>
              <w:bottom w:val="single" w:color="000000" w:sz="6" w:space="0"/>
              <w:right w:val="single" w:color="000000" w:sz="6" w:space="0"/>
            </w:tcBorders>
            <w:noWrap w:val="0"/>
            <w:vAlign w:val="center"/>
          </w:tcPr>
          <w:p w14:paraId="227E7B70">
            <w:pPr>
              <w:pStyle w:val="57"/>
              <w:jc w:val="center"/>
              <w:rPr>
                <w:rFonts w:hint="eastAsia" w:ascii="宋体" w:hAnsi="宋体" w:eastAsia="宋体" w:cs="宋体"/>
                <w:color w:val="000000"/>
                <w:sz w:val="24"/>
                <w:szCs w:val="24"/>
              </w:rPr>
            </w:pPr>
          </w:p>
        </w:tc>
        <w:tc>
          <w:tcPr>
            <w:tcW w:w="714" w:type="dxa"/>
            <w:vMerge w:val="continue"/>
            <w:tcBorders>
              <w:top w:val="nil"/>
              <w:left w:val="single" w:color="000000" w:sz="6" w:space="0"/>
              <w:bottom w:val="single" w:color="000000" w:sz="6" w:space="0"/>
              <w:right w:val="single" w:color="000000" w:sz="6" w:space="0"/>
            </w:tcBorders>
            <w:noWrap w:val="0"/>
            <w:vAlign w:val="center"/>
          </w:tcPr>
          <w:p w14:paraId="4225C4DF">
            <w:pPr>
              <w:widowControl/>
              <w:jc w:val="center"/>
              <w:rPr>
                <w:rFonts w:hint="eastAsia" w:ascii="宋体" w:hAnsi="宋体" w:eastAsia="宋体" w:cs="宋体"/>
                <w:color w:val="000000"/>
                <w:sz w:val="24"/>
                <w:szCs w:val="24"/>
              </w:rPr>
            </w:pPr>
          </w:p>
        </w:tc>
        <w:tc>
          <w:tcPr>
            <w:tcW w:w="1801" w:type="dxa"/>
            <w:gridSpan w:val="4"/>
            <w:tcBorders>
              <w:top w:val="single" w:color="000000" w:sz="6" w:space="0"/>
              <w:left w:val="single" w:color="000000" w:sz="6" w:space="0"/>
              <w:bottom w:val="single" w:color="000000" w:sz="6" w:space="0"/>
              <w:right w:val="single" w:color="000000" w:sz="6" w:space="0"/>
            </w:tcBorders>
            <w:noWrap w:val="0"/>
            <w:vAlign w:val="center"/>
          </w:tcPr>
          <w:p w14:paraId="63B2AEBF">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中级职称人员</w:t>
            </w:r>
          </w:p>
        </w:tc>
        <w:tc>
          <w:tcPr>
            <w:tcW w:w="1785" w:type="dxa"/>
            <w:gridSpan w:val="2"/>
            <w:tcBorders>
              <w:top w:val="single" w:color="000000" w:sz="6" w:space="0"/>
              <w:left w:val="single" w:color="000000" w:sz="6" w:space="0"/>
              <w:bottom w:val="single" w:color="000000" w:sz="6" w:space="0"/>
            </w:tcBorders>
            <w:noWrap w:val="0"/>
            <w:vAlign w:val="center"/>
          </w:tcPr>
          <w:p w14:paraId="580425C6">
            <w:pPr>
              <w:pStyle w:val="57"/>
              <w:jc w:val="center"/>
              <w:rPr>
                <w:rFonts w:hint="eastAsia" w:ascii="宋体" w:hAnsi="宋体" w:eastAsia="宋体" w:cs="宋体"/>
                <w:color w:val="000000"/>
                <w:sz w:val="24"/>
                <w:szCs w:val="24"/>
              </w:rPr>
            </w:pPr>
          </w:p>
        </w:tc>
      </w:tr>
      <w:tr w14:paraId="5D0E0AA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9" w:hRule="atLeast"/>
          <w:jc w:val="center"/>
        </w:trPr>
        <w:tc>
          <w:tcPr>
            <w:tcW w:w="1985" w:type="dxa"/>
            <w:tcBorders>
              <w:top w:val="single" w:color="000000" w:sz="6" w:space="0"/>
              <w:bottom w:val="single" w:color="000000" w:sz="6" w:space="0"/>
              <w:right w:val="single" w:color="000000" w:sz="6" w:space="0"/>
            </w:tcBorders>
            <w:noWrap w:val="0"/>
            <w:vAlign w:val="center"/>
          </w:tcPr>
          <w:p w14:paraId="427C9948">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注册资金</w:t>
            </w:r>
          </w:p>
        </w:tc>
        <w:tc>
          <w:tcPr>
            <w:tcW w:w="2874" w:type="dxa"/>
            <w:gridSpan w:val="2"/>
            <w:tcBorders>
              <w:top w:val="single" w:color="000000" w:sz="6" w:space="0"/>
              <w:left w:val="single" w:color="000000" w:sz="6" w:space="0"/>
              <w:bottom w:val="single" w:color="000000" w:sz="6" w:space="0"/>
              <w:right w:val="single" w:color="000000" w:sz="6" w:space="0"/>
            </w:tcBorders>
            <w:noWrap w:val="0"/>
            <w:vAlign w:val="center"/>
          </w:tcPr>
          <w:p w14:paraId="35E2A506">
            <w:pPr>
              <w:pStyle w:val="57"/>
              <w:jc w:val="center"/>
              <w:rPr>
                <w:rFonts w:hint="eastAsia" w:ascii="宋体" w:hAnsi="宋体" w:eastAsia="宋体" w:cs="宋体"/>
                <w:color w:val="000000"/>
                <w:sz w:val="24"/>
                <w:szCs w:val="24"/>
              </w:rPr>
            </w:pPr>
          </w:p>
        </w:tc>
        <w:tc>
          <w:tcPr>
            <w:tcW w:w="714" w:type="dxa"/>
            <w:vMerge w:val="continue"/>
            <w:tcBorders>
              <w:top w:val="nil"/>
              <w:left w:val="single" w:color="000000" w:sz="6" w:space="0"/>
              <w:bottom w:val="single" w:color="000000" w:sz="6" w:space="0"/>
              <w:right w:val="single" w:color="000000" w:sz="6" w:space="0"/>
            </w:tcBorders>
            <w:noWrap w:val="0"/>
            <w:vAlign w:val="center"/>
          </w:tcPr>
          <w:p w14:paraId="430108A7">
            <w:pPr>
              <w:widowControl/>
              <w:jc w:val="center"/>
              <w:rPr>
                <w:rFonts w:hint="eastAsia" w:ascii="宋体" w:hAnsi="宋体" w:eastAsia="宋体" w:cs="宋体"/>
                <w:color w:val="000000"/>
                <w:sz w:val="24"/>
                <w:szCs w:val="24"/>
              </w:rPr>
            </w:pPr>
          </w:p>
        </w:tc>
        <w:tc>
          <w:tcPr>
            <w:tcW w:w="1801" w:type="dxa"/>
            <w:gridSpan w:val="4"/>
            <w:tcBorders>
              <w:top w:val="single" w:color="000000" w:sz="6" w:space="0"/>
              <w:left w:val="single" w:color="000000" w:sz="6" w:space="0"/>
              <w:bottom w:val="single" w:color="000000" w:sz="6" w:space="0"/>
              <w:right w:val="single" w:color="000000" w:sz="6" w:space="0"/>
            </w:tcBorders>
            <w:noWrap w:val="0"/>
            <w:vAlign w:val="center"/>
          </w:tcPr>
          <w:p w14:paraId="54EFB6AE">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初级职称人员</w:t>
            </w:r>
          </w:p>
        </w:tc>
        <w:tc>
          <w:tcPr>
            <w:tcW w:w="1785" w:type="dxa"/>
            <w:gridSpan w:val="2"/>
            <w:tcBorders>
              <w:top w:val="single" w:color="000000" w:sz="6" w:space="0"/>
              <w:left w:val="single" w:color="000000" w:sz="6" w:space="0"/>
              <w:bottom w:val="single" w:color="000000" w:sz="6" w:space="0"/>
            </w:tcBorders>
            <w:noWrap w:val="0"/>
            <w:vAlign w:val="center"/>
          </w:tcPr>
          <w:p w14:paraId="7C7C9E35">
            <w:pPr>
              <w:pStyle w:val="57"/>
              <w:jc w:val="center"/>
              <w:rPr>
                <w:rFonts w:hint="eastAsia" w:ascii="宋体" w:hAnsi="宋体" w:eastAsia="宋体" w:cs="宋体"/>
                <w:color w:val="000000"/>
                <w:sz w:val="24"/>
                <w:szCs w:val="24"/>
              </w:rPr>
            </w:pPr>
          </w:p>
        </w:tc>
      </w:tr>
      <w:tr w14:paraId="1CF7FEF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5" w:hRule="atLeast"/>
          <w:jc w:val="center"/>
        </w:trPr>
        <w:tc>
          <w:tcPr>
            <w:tcW w:w="1985" w:type="dxa"/>
            <w:tcBorders>
              <w:top w:val="single" w:color="000000" w:sz="6" w:space="0"/>
              <w:bottom w:val="single" w:color="000000" w:sz="6" w:space="0"/>
              <w:right w:val="single" w:color="000000" w:sz="6" w:space="0"/>
            </w:tcBorders>
            <w:noWrap w:val="0"/>
            <w:vAlign w:val="center"/>
          </w:tcPr>
          <w:p w14:paraId="17CB1E36">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p>
        </w:tc>
        <w:tc>
          <w:tcPr>
            <w:tcW w:w="2874" w:type="dxa"/>
            <w:gridSpan w:val="2"/>
            <w:tcBorders>
              <w:top w:val="single" w:color="000000" w:sz="6" w:space="0"/>
              <w:left w:val="single" w:color="000000" w:sz="6" w:space="0"/>
              <w:bottom w:val="single" w:color="000000" w:sz="6" w:space="0"/>
              <w:right w:val="single" w:color="000000" w:sz="6" w:space="0"/>
            </w:tcBorders>
            <w:noWrap w:val="0"/>
            <w:vAlign w:val="center"/>
          </w:tcPr>
          <w:p w14:paraId="17092B3F">
            <w:pPr>
              <w:pStyle w:val="57"/>
              <w:jc w:val="center"/>
              <w:rPr>
                <w:rFonts w:hint="eastAsia" w:ascii="宋体" w:hAnsi="宋体" w:eastAsia="宋体" w:cs="宋体"/>
                <w:color w:val="000000"/>
                <w:sz w:val="24"/>
                <w:szCs w:val="24"/>
              </w:rPr>
            </w:pPr>
          </w:p>
        </w:tc>
        <w:tc>
          <w:tcPr>
            <w:tcW w:w="714" w:type="dxa"/>
            <w:vMerge w:val="continue"/>
            <w:tcBorders>
              <w:top w:val="nil"/>
              <w:left w:val="single" w:color="000000" w:sz="6" w:space="0"/>
              <w:bottom w:val="single" w:color="000000" w:sz="6" w:space="0"/>
              <w:right w:val="single" w:color="000000" w:sz="6" w:space="0"/>
            </w:tcBorders>
            <w:noWrap w:val="0"/>
            <w:vAlign w:val="center"/>
          </w:tcPr>
          <w:p w14:paraId="6047F820">
            <w:pPr>
              <w:widowControl/>
              <w:jc w:val="center"/>
              <w:rPr>
                <w:rFonts w:hint="eastAsia" w:ascii="宋体" w:hAnsi="宋体" w:eastAsia="宋体" w:cs="宋体"/>
                <w:color w:val="000000"/>
                <w:sz w:val="24"/>
                <w:szCs w:val="24"/>
              </w:rPr>
            </w:pPr>
          </w:p>
        </w:tc>
        <w:tc>
          <w:tcPr>
            <w:tcW w:w="1801" w:type="dxa"/>
            <w:gridSpan w:val="4"/>
            <w:tcBorders>
              <w:top w:val="single" w:color="000000" w:sz="6" w:space="0"/>
              <w:left w:val="single" w:color="000000" w:sz="6" w:space="0"/>
              <w:bottom w:val="single" w:color="000000" w:sz="6" w:space="0"/>
              <w:right w:val="single" w:color="000000" w:sz="6" w:space="0"/>
            </w:tcBorders>
            <w:noWrap w:val="0"/>
            <w:vAlign w:val="center"/>
          </w:tcPr>
          <w:p w14:paraId="3FAE449E">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其他……</w:t>
            </w:r>
          </w:p>
        </w:tc>
        <w:tc>
          <w:tcPr>
            <w:tcW w:w="1785" w:type="dxa"/>
            <w:gridSpan w:val="2"/>
            <w:tcBorders>
              <w:top w:val="single" w:color="000000" w:sz="6" w:space="0"/>
              <w:left w:val="single" w:color="000000" w:sz="6" w:space="0"/>
              <w:bottom w:val="single" w:color="000000" w:sz="6" w:space="0"/>
            </w:tcBorders>
            <w:noWrap w:val="0"/>
            <w:vAlign w:val="center"/>
          </w:tcPr>
          <w:p w14:paraId="7B788316">
            <w:pPr>
              <w:pStyle w:val="57"/>
              <w:jc w:val="center"/>
              <w:rPr>
                <w:rFonts w:hint="eastAsia" w:ascii="宋体" w:hAnsi="宋体" w:eastAsia="宋体" w:cs="宋体"/>
                <w:color w:val="000000"/>
                <w:sz w:val="24"/>
                <w:szCs w:val="24"/>
              </w:rPr>
            </w:pPr>
          </w:p>
        </w:tc>
      </w:tr>
      <w:tr w14:paraId="686DC94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7" w:hRule="atLeast"/>
          <w:jc w:val="center"/>
        </w:trPr>
        <w:tc>
          <w:tcPr>
            <w:tcW w:w="1985" w:type="dxa"/>
            <w:tcBorders>
              <w:top w:val="single" w:color="000000" w:sz="6" w:space="0"/>
              <w:bottom w:val="single" w:color="000000" w:sz="6" w:space="0"/>
              <w:right w:val="single" w:color="000000" w:sz="6" w:space="0"/>
            </w:tcBorders>
            <w:noWrap w:val="0"/>
            <w:vAlign w:val="center"/>
          </w:tcPr>
          <w:p w14:paraId="35B7D82C">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账号</w:t>
            </w:r>
          </w:p>
        </w:tc>
        <w:tc>
          <w:tcPr>
            <w:tcW w:w="2874" w:type="dxa"/>
            <w:gridSpan w:val="2"/>
            <w:tcBorders>
              <w:top w:val="single" w:color="000000" w:sz="6" w:space="0"/>
              <w:left w:val="single" w:color="000000" w:sz="6" w:space="0"/>
              <w:bottom w:val="single" w:color="000000" w:sz="6" w:space="0"/>
              <w:right w:val="single" w:color="000000" w:sz="6" w:space="0"/>
            </w:tcBorders>
            <w:noWrap w:val="0"/>
            <w:vAlign w:val="center"/>
          </w:tcPr>
          <w:p w14:paraId="036ED067">
            <w:pPr>
              <w:pStyle w:val="57"/>
              <w:rPr>
                <w:rFonts w:hint="eastAsia" w:ascii="宋体" w:hAnsi="宋体" w:eastAsia="宋体" w:cs="宋体"/>
                <w:color w:val="000000"/>
                <w:sz w:val="24"/>
                <w:szCs w:val="24"/>
              </w:rPr>
            </w:pPr>
          </w:p>
        </w:tc>
        <w:tc>
          <w:tcPr>
            <w:tcW w:w="714" w:type="dxa"/>
            <w:vMerge w:val="continue"/>
            <w:tcBorders>
              <w:top w:val="nil"/>
              <w:left w:val="single" w:color="000000" w:sz="6" w:space="0"/>
              <w:bottom w:val="single" w:color="000000" w:sz="6" w:space="0"/>
              <w:right w:val="single" w:color="000000" w:sz="6" w:space="0"/>
            </w:tcBorders>
            <w:noWrap w:val="0"/>
            <w:vAlign w:val="center"/>
          </w:tcPr>
          <w:p w14:paraId="41ABA028">
            <w:pPr>
              <w:widowControl/>
              <w:jc w:val="left"/>
              <w:rPr>
                <w:rFonts w:hint="eastAsia" w:ascii="宋体" w:hAnsi="宋体" w:eastAsia="宋体" w:cs="宋体"/>
                <w:color w:val="000000"/>
                <w:sz w:val="24"/>
                <w:szCs w:val="24"/>
              </w:rPr>
            </w:pPr>
          </w:p>
        </w:tc>
        <w:tc>
          <w:tcPr>
            <w:tcW w:w="1801" w:type="dxa"/>
            <w:gridSpan w:val="4"/>
            <w:tcBorders>
              <w:top w:val="single" w:color="000000" w:sz="6" w:space="0"/>
              <w:left w:val="single" w:color="000000" w:sz="6" w:space="0"/>
              <w:bottom w:val="single" w:color="000000" w:sz="6" w:space="0"/>
              <w:right w:val="single" w:color="000000" w:sz="6" w:space="0"/>
            </w:tcBorders>
            <w:noWrap w:val="0"/>
            <w:vAlign w:val="center"/>
          </w:tcPr>
          <w:p w14:paraId="5AA98909">
            <w:pPr>
              <w:pStyle w:val="57"/>
              <w:rPr>
                <w:rFonts w:hint="eastAsia" w:ascii="宋体" w:hAnsi="宋体" w:eastAsia="宋体" w:cs="宋体"/>
                <w:color w:val="000000"/>
                <w:sz w:val="24"/>
                <w:szCs w:val="24"/>
              </w:rPr>
            </w:pPr>
          </w:p>
        </w:tc>
        <w:tc>
          <w:tcPr>
            <w:tcW w:w="1785" w:type="dxa"/>
            <w:gridSpan w:val="2"/>
            <w:tcBorders>
              <w:top w:val="single" w:color="000000" w:sz="6" w:space="0"/>
              <w:left w:val="single" w:color="000000" w:sz="6" w:space="0"/>
              <w:bottom w:val="single" w:color="000000" w:sz="6" w:space="0"/>
            </w:tcBorders>
            <w:noWrap w:val="0"/>
            <w:vAlign w:val="center"/>
          </w:tcPr>
          <w:p w14:paraId="6D788FD9">
            <w:pPr>
              <w:pStyle w:val="57"/>
              <w:rPr>
                <w:rFonts w:hint="eastAsia" w:ascii="宋体" w:hAnsi="宋体" w:eastAsia="宋体" w:cs="宋体"/>
                <w:color w:val="000000"/>
                <w:sz w:val="24"/>
                <w:szCs w:val="24"/>
              </w:rPr>
            </w:pPr>
          </w:p>
        </w:tc>
      </w:tr>
      <w:tr w14:paraId="5B8EC10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jc w:val="center"/>
        </w:trPr>
        <w:tc>
          <w:tcPr>
            <w:tcW w:w="1985" w:type="dxa"/>
            <w:tcBorders>
              <w:top w:val="single" w:color="000000" w:sz="6" w:space="0"/>
              <w:right w:val="single" w:color="000000" w:sz="6" w:space="0"/>
            </w:tcBorders>
            <w:noWrap w:val="0"/>
            <w:vAlign w:val="center"/>
          </w:tcPr>
          <w:p w14:paraId="267A4307">
            <w:pPr>
              <w:pStyle w:val="57"/>
              <w:jc w:val="center"/>
              <w:rPr>
                <w:rFonts w:hint="eastAsia" w:ascii="宋体" w:hAnsi="宋体" w:eastAsia="宋体" w:cs="宋体"/>
                <w:color w:val="000000"/>
                <w:sz w:val="24"/>
                <w:szCs w:val="24"/>
              </w:rPr>
            </w:pPr>
            <w:r>
              <w:rPr>
                <w:rFonts w:hint="eastAsia" w:ascii="宋体" w:hAnsi="宋体" w:eastAsia="宋体" w:cs="宋体"/>
                <w:color w:val="000000"/>
                <w:sz w:val="24"/>
                <w:szCs w:val="24"/>
              </w:rPr>
              <w:t>经营范围备注</w:t>
            </w:r>
          </w:p>
        </w:tc>
        <w:tc>
          <w:tcPr>
            <w:tcW w:w="7174" w:type="dxa"/>
            <w:gridSpan w:val="9"/>
            <w:tcBorders>
              <w:top w:val="single" w:color="000000" w:sz="6" w:space="0"/>
              <w:left w:val="single" w:color="000000" w:sz="6" w:space="0"/>
            </w:tcBorders>
            <w:noWrap w:val="0"/>
            <w:vAlign w:val="center"/>
          </w:tcPr>
          <w:p w14:paraId="3316097B">
            <w:pPr>
              <w:pStyle w:val="57"/>
              <w:rPr>
                <w:rFonts w:hint="eastAsia" w:ascii="宋体" w:hAnsi="宋体" w:eastAsia="宋体" w:cs="宋体"/>
                <w:color w:val="000000"/>
                <w:sz w:val="24"/>
                <w:szCs w:val="24"/>
              </w:rPr>
            </w:pPr>
          </w:p>
        </w:tc>
      </w:tr>
    </w:tbl>
    <w:p w14:paraId="7DAC1999">
      <w:pPr>
        <w:pStyle w:val="85"/>
        <w:spacing w:line="480" w:lineRule="auto"/>
        <w:ind w:firstLine="420"/>
        <w:rPr>
          <w:rFonts w:hint="eastAsia" w:ascii="宋体" w:hAnsi="宋体" w:eastAsia="宋体" w:cs="宋体"/>
          <w:color w:val="000000"/>
          <w:sz w:val="24"/>
          <w:szCs w:val="24"/>
        </w:rPr>
      </w:pPr>
      <w:bookmarkStart w:id="170" w:name="_Toc256000020"/>
      <w:r>
        <w:rPr>
          <w:rFonts w:hint="eastAsia" w:ascii="宋体" w:hAnsi="宋体" w:cs="宋体"/>
          <w:color w:val="000000"/>
          <w:sz w:val="24"/>
          <w:szCs w:val="24"/>
          <w:lang w:val="en-US" w:eastAsia="zh-CN"/>
        </w:rPr>
        <w:t>注</w:t>
      </w: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后</w:t>
      </w:r>
      <w:r>
        <w:rPr>
          <w:rFonts w:hint="eastAsia" w:ascii="宋体" w:hAnsi="宋体" w:eastAsia="宋体" w:cs="宋体"/>
          <w:color w:val="000000"/>
          <w:sz w:val="24"/>
          <w:szCs w:val="24"/>
        </w:rPr>
        <w:t>附有效的营业执照</w:t>
      </w:r>
      <w:r>
        <w:rPr>
          <w:rFonts w:hint="eastAsia" w:ascii="宋体" w:hAnsi="宋体" w:cs="宋体"/>
          <w:color w:val="000000"/>
          <w:sz w:val="24"/>
          <w:szCs w:val="24"/>
          <w:lang w:val="en-US" w:eastAsia="zh-CN"/>
        </w:rPr>
        <w:t>及银行开户许可证</w:t>
      </w:r>
      <w:r>
        <w:rPr>
          <w:rFonts w:hint="eastAsia" w:ascii="宋体" w:hAnsi="宋体" w:eastAsia="宋体" w:cs="宋体"/>
          <w:color w:val="000000"/>
          <w:sz w:val="24"/>
          <w:szCs w:val="24"/>
        </w:rPr>
        <w:t>。</w:t>
      </w:r>
    </w:p>
    <w:p w14:paraId="14C2AC62">
      <w:pPr>
        <w:pStyle w:val="85"/>
        <w:spacing w:line="480" w:lineRule="auto"/>
        <w:ind w:firstLine="420"/>
        <w:rPr>
          <w:rFonts w:hint="eastAsia" w:ascii="宋体" w:hAnsi="宋体" w:eastAsia="宋体" w:cs="宋体"/>
          <w:color w:val="000000"/>
          <w:sz w:val="24"/>
          <w:szCs w:val="24"/>
        </w:rPr>
      </w:pPr>
    </w:p>
    <w:p w14:paraId="4C3B7BC7">
      <w:pPr>
        <w:pStyle w:val="85"/>
        <w:spacing w:line="480" w:lineRule="auto"/>
        <w:ind w:firstLine="420"/>
        <w:rPr>
          <w:rFonts w:hint="eastAsia" w:ascii="宋体" w:hAnsi="宋体" w:eastAsia="宋体" w:cs="宋体"/>
          <w:color w:val="000000"/>
          <w:sz w:val="24"/>
          <w:szCs w:val="24"/>
        </w:rPr>
      </w:pPr>
    </w:p>
    <w:p w14:paraId="0569D5E5">
      <w:pPr>
        <w:pStyle w:val="85"/>
        <w:spacing w:line="480" w:lineRule="auto"/>
        <w:ind w:firstLine="420"/>
        <w:rPr>
          <w:rFonts w:hint="eastAsia" w:ascii="宋体" w:hAnsi="宋体" w:eastAsia="宋体" w:cs="宋体"/>
          <w:color w:val="000000"/>
          <w:sz w:val="24"/>
          <w:szCs w:val="24"/>
        </w:rPr>
      </w:pPr>
    </w:p>
    <w:p w14:paraId="715AB621">
      <w:pPr>
        <w:pStyle w:val="85"/>
        <w:spacing w:line="480" w:lineRule="auto"/>
        <w:ind w:firstLine="420"/>
        <w:rPr>
          <w:rFonts w:hint="default" w:ascii="宋体" w:hAnsi="宋体" w:eastAsia="宋体" w:cs="宋体"/>
          <w:b w:val="0"/>
          <w:bCs/>
          <w:color w:val="000000"/>
          <w:sz w:val="28"/>
          <w:szCs w:val="21"/>
          <w:lang w:val="en-US" w:eastAsia="zh-CN"/>
        </w:rPr>
      </w:pPr>
      <w:r>
        <w:rPr>
          <w:rFonts w:hint="eastAsia" w:ascii="宋体" w:hAnsi="宋体" w:cs="宋体"/>
          <w:b w:val="0"/>
          <w:bCs/>
          <w:color w:val="000000"/>
          <w:sz w:val="28"/>
          <w:szCs w:val="21"/>
          <w:lang w:val="en-US" w:eastAsia="zh-CN"/>
        </w:rPr>
        <w:t>附件3、</w:t>
      </w:r>
      <w:r>
        <w:rPr>
          <w:rFonts w:hint="eastAsia" w:ascii="宋体" w:hAnsi="宋体" w:eastAsia="宋体" w:cs="宋体"/>
          <w:b w:val="0"/>
          <w:bCs/>
          <w:color w:val="000000"/>
          <w:sz w:val="28"/>
          <w:szCs w:val="21"/>
        </w:rPr>
        <w:t>法定代表人身份证明书</w:t>
      </w:r>
    </w:p>
    <w:p w14:paraId="4F63E6EA">
      <w:pPr>
        <w:pStyle w:val="85"/>
        <w:spacing w:line="480" w:lineRule="auto"/>
        <w:ind w:firstLine="420"/>
        <w:jc w:val="center"/>
        <w:rPr>
          <w:rFonts w:hint="eastAsia" w:ascii="宋体" w:hAnsi="宋体" w:eastAsia="宋体" w:cs="宋体"/>
          <w:b/>
          <w:color w:val="000000"/>
          <w:sz w:val="28"/>
          <w:szCs w:val="21"/>
        </w:rPr>
      </w:pPr>
      <w:r>
        <w:rPr>
          <w:rFonts w:hint="eastAsia" w:ascii="宋体" w:hAnsi="宋体" w:eastAsia="宋体" w:cs="宋体"/>
          <w:b/>
          <w:color w:val="000000"/>
          <w:sz w:val="28"/>
          <w:szCs w:val="21"/>
        </w:rPr>
        <w:t>法定代表人身份证明书</w:t>
      </w:r>
    </w:p>
    <w:p w14:paraId="6C24C753">
      <w:pPr>
        <w:pStyle w:val="87"/>
        <w:spacing w:line="360" w:lineRule="auto"/>
        <w:rPr>
          <w:rFonts w:hint="eastAsia" w:ascii="宋体" w:hAnsi="宋体" w:eastAsia="宋体" w:cs="宋体"/>
          <w:color w:val="000000"/>
          <w:sz w:val="24"/>
        </w:rPr>
      </w:pPr>
    </w:p>
    <w:p w14:paraId="4D69F981">
      <w:pPr>
        <w:pStyle w:val="87"/>
        <w:spacing w:line="360" w:lineRule="auto"/>
        <w:rPr>
          <w:rFonts w:hint="eastAsia" w:ascii="宋体" w:hAnsi="宋体" w:eastAsia="宋体" w:cs="宋体"/>
          <w:color w:val="000000"/>
          <w:sz w:val="24"/>
          <w:szCs w:val="21"/>
        </w:rPr>
      </w:pPr>
      <w:r>
        <w:rPr>
          <w:rFonts w:hint="eastAsia" w:ascii="宋体" w:hAnsi="宋体" w:eastAsia="宋体" w:cs="宋体"/>
          <w:color w:val="000000"/>
          <w:sz w:val="28"/>
        </w:rPr>
        <w:t xml:space="preserve">   </w:t>
      </w:r>
      <w:r>
        <w:rPr>
          <w:rFonts w:hint="eastAsia" w:ascii="宋体" w:hAnsi="宋体" w:eastAsia="宋体" w:cs="宋体"/>
          <w:color w:val="000000"/>
          <w:sz w:val="24"/>
          <w:szCs w:val="21"/>
        </w:rPr>
        <w:t xml:space="preserve"> 单位名称：</w:t>
      </w:r>
      <w:r>
        <w:rPr>
          <w:rFonts w:hint="eastAsia" w:ascii="宋体" w:hAnsi="宋体" w:eastAsia="宋体" w:cs="宋体"/>
          <w:color w:val="000000"/>
          <w:sz w:val="24"/>
          <w:szCs w:val="21"/>
          <w:u w:val="single"/>
        </w:rPr>
        <w:t xml:space="preserve">                                  </w:t>
      </w:r>
    </w:p>
    <w:p w14:paraId="47E9C171">
      <w:pPr>
        <w:pStyle w:val="87"/>
        <w:spacing w:line="360" w:lineRule="auto"/>
        <w:rPr>
          <w:rFonts w:hint="eastAsia" w:ascii="宋体" w:hAnsi="宋体" w:eastAsia="宋体" w:cs="宋体"/>
          <w:color w:val="000000"/>
          <w:sz w:val="24"/>
          <w:szCs w:val="21"/>
        </w:rPr>
      </w:pPr>
      <w:r>
        <w:rPr>
          <w:rFonts w:hint="eastAsia" w:ascii="宋体" w:hAnsi="宋体" w:eastAsia="宋体" w:cs="宋体"/>
          <w:color w:val="000000"/>
          <w:sz w:val="24"/>
          <w:szCs w:val="21"/>
        </w:rPr>
        <w:t xml:space="preserve">    单位类型：</w:t>
      </w:r>
      <w:r>
        <w:rPr>
          <w:rFonts w:hint="eastAsia" w:ascii="宋体" w:hAnsi="宋体" w:eastAsia="宋体" w:cs="宋体"/>
          <w:color w:val="000000"/>
          <w:sz w:val="24"/>
          <w:szCs w:val="21"/>
          <w:u w:val="single"/>
        </w:rPr>
        <w:t xml:space="preserve">                                  </w:t>
      </w:r>
    </w:p>
    <w:p w14:paraId="4FA2E752">
      <w:pPr>
        <w:pStyle w:val="87"/>
        <w:spacing w:line="360" w:lineRule="auto"/>
        <w:rPr>
          <w:rFonts w:hint="eastAsia" w:ascii="宋体" w:hAnsi="宋体" w:eastAsia="宋体" w:cs="宋体"/>
          <w:color w:val="000000"/>
          <w:sz w:val="24"/>
          <w:szCs w:val="21"/>
        </w:rPr>
      </w:pPr>
      <w:r>
        <w:rPr>
          <w:rFonts w:hint="eastAsia" w:ascii="宋体" w:hAnsi="宋体" w:eastAsia="宋体" w:cs="宋体"/>
          <w:color w:val="000000"/>
          <w:sz w:val="24"/>
          <w:szCs w:val="21"/>
        </w:rPr>
        <w:t xml:space="preserve">    住    所：</w:t>
      </w:r>
      <w:r>
        <w:rPr>
          <w:rFonts w:hint="eastAsia" w:ascii="宋体" w:hAnsi="宋体" w:eastAsia="宋体" w:cs="宋体"/>
          <w:color w:val="000000"/>
          <w:sz w:val="24"/>
          <w:szCs w:val="21"/>
          <w:u w:val="single"/>
        </w:rPr>
        <w:t xml:space="preserve">                                  </w:t>
      </w:r>
    </w:p>
    <w:p w14:paraId="2000E6CD">
      <w:pPr>
        <w:pStyle w:val="87"/>
        <w:spacing w:line="360" w:lineRule="auto"/>
        <w:rPr>
          <w:rFonts w:hint="eastAsia" w:ascii="宋体" w:hAnsi="宋体" w:eastAsia="宋体" w:cs="宋体"/>
          <w:color w:val="000000"/>
          <w:sz w:val="24"/>
          <w:szCs w:val="21"/>
        </w:rPr>
      </w:pPr>
      <w:r>
        <w:rPr>
          <w:rFonts w:hint="eastAsia" w:ascii="宋体" w:hAnsi="宋体" w:eastAsia="宋体" w:cs="宋体"/>
          <w:color w:val="000000"/>
          <w:sz w:val="24"/>
          <w:szCs w:val="21"/>
        </w:rPr>
        <w:t xml:space="preserve">    成立日期：</w:t>
      </w:r>
      <w:r>
        <w:rPr>
          <w:rFonts w:hint="eastAsia" w:ascii="宋体" w:hAnsi="宋体" w:eastAsia="宋体" w:cs="宋体"/>
          <w:color w:val="000000"/>
          <w:sz w:val="24"/>
          <w:szCs w:val="21"/>
          <w:u w:val="single"/>
        </w:rPr>
        <w:t xml:space="preserve">          </w:t>
      </w:r>
      <w:r>
        <w:rPr>
          <w:rFonts w:hint="eastAsia" w:ascii="宋体" w:hAnsi="宋体" w:eastAsia="宋体" w:cs="宋体"/>
          <w:color w:val="000000"/>
          <w:sz w:val="24"/>
          <w:szCs w:val="21"/>
        </w:rPr>
        <w:t>年</w:t>
      </w:r>
      <w:r>
        <w:rPr>
          <w:rFonts w:hint="eastAsia" w:ascii="宋体" w:hAnsi="宋体" w:eastAsia="宋体" w:cs="宋体"/>
          <w:color w:val="000000"/>
          <w:sz w:val="24"/>
          <w:szCs w:val="21"/>
          <w:u w:val="single"/>
        </w:rPr>
        <w:t xml:space="preserve">     </w:t>
      </w:r>
      <w:r>
        <w:rPr>
          <w:rFonts w:hint="eastAsia" w:ascii="宋体" w:hAnsi="宋体" w:eastAsia="宋体" w:cs="宋体"/>
          <w:color w:val="000000"/>
          <w:sz w:val="24"/>
          <w:szCs w:val="21"/>
        </w:rPr>
        <w:t>月</w:t>
      </w:r>
      <w:r>
        <w:rPr>
          <w:rFonts w:hint="eastAsia" w:ascii="宋体" w:hAnsi="宋体" w:eastAsia="宋体" w:cs="宋体"/>
          <w:color w:val="000000"/>
          <w:sz w:val="24"/>
          <w:szCs w:val="21"/>
          <w:u w:val="single"/>
        </w:rPr>
        <w:t xml:space="preserve">     </w:t>
      </w:r>
      <w:r>
        <w:rPr>
          <w:rFonts w:hint="eastAsia" w:ascii="宋体" w:hAnsi="宋体" w:eastAsia="宋体" w:cs="宋体"/>
          <w:color w:val="000000"/>
          <w:sz w:val="24"/>
          <w:szCs w:val="21"/>
        </w:rPr>
        <w:t>日</w:t>
      </w:r>
    </w:p>
    <w:p w14:paraId="36C575F5">
      <w:pPr>
        <w:pStyle w:val="87"/>
        <w:spacing w:line="360" w:lineRule="auto"/>
        <w:ind w:firstLine="465"/>
        <w:rPr>
          <w:rFonts w:hint="eastAsia" w:ascii="宋体" w:hAnsi="宋体" w:eastAsia="宋体" w:cs="宋体"/>
          <w:color w:val="000000"/>
          <w:sz w:val="24"/>
          <w:szCs w:val="21"/>
          <w:u w:val="single"/>
        </w:rPr>
      </w:pPr>
      <w:r>
        <w:rPr>
          <w:rFonts w:hint="eastAsia" w:ascii="宋体" w:hAnsi="宋体" w:eastAsia="宋体" w:cs="宋体"/>
          <w:color w:val="000000"/>
          <w:sz w:val="24"/>
          <w:szCs w:val="21"/>
        </w:rPr>
        <w:t>营业期限：</w:t>
      </w:r>
      <w:r>
        <w:rPr>
          <w:rFonts w:hint="eastAsia" w:ascii="宋体" w:hAnsi="宋体" w:eastAsia="宋体" w:cs="宋体"/>
          <w:color w:val="000000"/>
          <w:sz w:val="24"/>
          <w:szCs w:val="21"/>
          <w:u w:val="single"/>
        </w:rPr>
        <w:t xml:space="preserve">                                  </w:t>
      </w:r>
    </w:p>
    <w:p w14:paraId="6D6A50CF">
      <w:pPr>
        <w:pStyle w:val="87"/>
        <w:spacing w:line="360" w:lineRule="auto"/>
        <w:ind w:firstLine="465"/>
        <w:rPr>
          <w:rFonts w:hint="eastAsia" w:ascii="宋体" w:hAnsi="宋体" w:eastAsia="宋体" w:cs="宋体"/>
          <w:color w:val="000000"/>
          <w:sz w:val="24"/>
          <w:szCs w:val="21"/>
        </w:rPr>
      </w:pPr>
    </w:p>
    <w:p w14:paraId="20F33D00">
      <w:pPr>
        <w:pStyle w:val="87"/>
        <w:spacing w:line="360" w:lineRule="auto"/>
        <w:ind w:firstLine="480" w:firstLineChars="200"/>
        <w:rPr>
          <w:rFonts w:hint="eastAsia" w:ascii="宋体" w:hAnsi="宋体" w:eastAsia="宋体" w:cs="宋体"/>
          <w:color w:val="000000"/>
          <w:sz w:val="24"/>
          <w:szCs w:val="21"/>
          <w:u w:val="single"/>
        </w:rPr>
      </w:pPr>
      <w:r>
        <w:rPr>
          <w:rFonts w:hint="eastAsia" w:ascii="宋体" w:hAnsi="宋体" w:eastAsia="宋体" w:cs="宋体"/>
          <w:color w:val="000000"/>
          <w:sz w:val="24"/>
          <w:szCs w:val="21"/>
        </w:rPr>
        <w:t>姓    名：</w:t>
      </w:r>
      <w:r>
        <w:rPr>
          <w:rFonts w:hint="eastAsia" w:ascii="宋体" w:hAnsi="宋体" w:eastAsia="宋体" w:cs="宋体"/>
          <w:color w:val="000000"/>
          <w:sz w:val="24"/>
          <w:szCs w:val="21"/>
          <w:u w:val="single"/>
        </w:rPr>
        <w:t xml:space="preserve">          </w:t>
      </w:r>
      <w:r>
        <w:rPr>
          <w:rFonts w:hint="eastAsia" w:ascii="宋体" w:hAnsi="宋体" w:eastAsia="宋体" w:cs="宋体"/>
          <w:color w:val="000000"/>
          <w:sz w:val="24"/>
          <w:szCs w:val="21"/>
        </w:rPr>
        <w:t>性别：</w:t>
      </w:r>
      <w:r>
        <w:rPr>
          <w:rFonts w:hint="eastAsia" w:ascii="宋体" w:hAnsi="宋体" w:eastAsia="宋体" w:cs="宋体"/>
          <w:color w:val="000000"/>
          <w:sz w:val="24"/>
          <w:szCs w:val="21"/>
          <w:u w:val="single"/>
        </w:rPr>
        <w:t xml:space="preserve">           </w:t>
      </w:r>
    </w:p>
    <w:p w14:paraId="3B36A9F1">
      <w:pPr>
        <w:pStyle w:val="87"/>
        <w:spacing w:line="360" w:lineRule="auto"/>
        <w:ind w:firstLine="480"/>
        <w:rPr>
          <w:rFonts w:hint="eastAsia" w:ascii="宋体" w:hAnsi="宋体" w:eastAsia="宋体" w:cs="宋体"/>
          <w:color w:val="000000"/>
          <w:sz w:val="24"/>
          <w:szCs w:val="21"/>
        </w:rPr>
      </w:pPr>
      <w:r>
        <w:rPr>
          <w:rFonts w:hint="eastAsia" w:ascii="宋体" w:hAnsi="宋体" w:eastAsia="宋体" w:cs="宋体"/>
          <w:color w:val="000000"/>
          <w:sz w:val="24"/>
          <w:szCs w:val="21"/>
        </w:rPr>
        <w:t>系</w:t>
      </w:r>
      <w:r>
        <w:rPr>
          <w:rFonts w:hint="eastAsia" w:ascii="宋体" w:hAnsi="宋体" w:eastAsia="宋体" w:cs="宋体"/>
          <w:color w:val="000000"/>
          <w:sz w:val="24"/>
          <w:szCs w:val="21"/>
          <w:u w:val="single"/>
        </w:rPr>
        <w:t xml:space="preserve">    （供应商名称）   </w:t>
      </w:r>
      <w:r>
        <w:rPr>
          <w:rFonts w:hint="eastAsia" w:ascii="宋体" w:hAnsi="宋体" w:eastAsia="宋体" w:cs="宋体"/>
          <w:color w:val="000000"/>
          <w:sz w:val="24"/>
          <w:szCs w:val="21"/>
        </w:rPr>
        <w:t>的法定代表人。</w:t>
      </w:r>
    </w:p>
    <w:p w14:paraId="59A2C245">
      <w:pPr>
        <w:pStyle w:val="87"/>
        <w:spacing w:line="360" w:lineRule="auto"/>
        <w:ind w:firstLine="480"/>
        <w:rPr>
          <w:rFonts w:hint="eastAsia" w:ascii="宋体" w:hAnsi="宋体" w:eastAsia="宋体" w:cs="宋体"/>
          <w:color w:val="000000"/>
          <w:sz w:val="24"/>
          <w:szCs w:val="21"/>
        </w:rPr>
      </w:pPr>
    </w:p>
    <w:p w14:paraId="13B677D2">
      <w:pPr>
        <w:pStyle w:val="87"/>
        <w:spacing w:line="360" w:lineRule="auto"/>
        <w:ind w:firstLine="480"/>
        <w:rPr>
          <w:rFonts w:hint="eastAsia" w:ascii="宋体" w:hAnsi="宋体" w:eastAsia="宋体" w:cs="宋体"/>
          <w:color w:val="000000"/>
          <w:sz w:val="24"/>
          <w:szCs w:val="21"/>
        </w:rPr>
      </w:pPr>
      <w:r>
        <w:rPr>
          <w:rFonts w:hint="eastAsia" w:ascii="宋体" w:hAnsi="宋体" w:eastAsia="宋体" w:cs="宋体"/>
          <w:color w:val="000000"/>
          <w:sz w:val="24"/>
          <w:szCs w:val="21"/>
        </w:rPr>
        <w:t>特此证明。</w:t>
      </w:r>
    </w:p>
    <w:p w14:paraId="29EE5457">
      <w:pPr>
        <w:pStyle w:val="87"/>
        <w:spacing w:line="360" w:lineRule="auto"/>
        <w:ind w:firstLine="480"/>
        <w:rPr>
          <w:rFonts w:hint="eastAsia" w:ascii="宋体" w:hAnsi="宋体" w:eastAsia="宋体" w:cs="宋体"/>
          <w:color w:val="000000"/>
          <w:sz w:val="24"/>
          <w:szCs w:val="21"/>
        </w:rPr>
      </w:pPr>
    </w:p>
    <w:p w14:paraId="722B1B97">
      <w:pPr>
        <w:pStyle w:val="88"/>
        <w:keepNext w:val="0"/>
        <w:keepLines w:val="0"/>
        <w:pageBreakBefore w:val="0"/>
        <w:widowControl/>
        <w:kinsoku/>
        <w:wordWrap/>
        <w:overflowPunct/>
        <w:topLinePunct w:val="0"/>
        <w:autoSpaceDE/>
        <w:autoSpaceDN/>
        <w:bidi w:val="0"/>
        <w:adjustRightInd/>
        <w:snapToGrid/>
        <w:textAlignment w:val="auto"/>
        <w:outlineLvl w:val="9"/>
        <w:rPr>
          <w:rFonts w:hint="eastAsia" w:ascii="宋体" w:hAnsi="宋体" w:eastAsia="宋体" w:cs="宋体"/>
          <w:color w:val="000000"/>
          <w:sz w:val="24"/>
        </w:rPr>
      </w:pPr>
      <w:r>
        <w:rPr>
          <w:rFonts w:hint="eastAsia" w:ascii="宋体" w:hAnsi="宋体" w:eastAsia="宋体" w:cs="宋体"/>
          <w:color w:val="000000"/>
          <w:sz w:val="24"/>
        </w:rPr>
        <w:t xml:space="preserve"> </w:t>
      </w:r>
      <w:bookmarkStart w:id="171" w:name="_Toc139389576"/>
      <w:r>
        <w:rPr>
          <w:rFonts w:hint="eastAsia" w:ascii="宋体" w:hAnsi="宋体" w:eastAsia="宋体" w:cs="宋体"/>
          <w:color w:val="000000"/>
          <w:sz w:val="24"/>
        </w:rPr>
        <w:t>（附法定代表人身份证正反两面复印件）</w:t>
      </w:r>
      <w:bookmarkEnd w:id="171"/>
    </w:p>
    <w:p w14:paraId="1BCF104B">
      <w:pPr>
        <w:pStyle w:val="87"/>
        <w:spacing w:line="360" w:lineRule="auto"/>
        <w:rPr>
          <w:rFonts w:hint="eastAsia" w:ascii="宋体" w:hAnsi="宋体" w:eastAsia="宋体" w:cs="宋体"/>
          <w:color w:val="000000"/>
          <w:sz w:val="24"/>
          <w:szCs w:val="21"/>
        </w:rPr>
      </w:pPr>
    </w:p>
    <w:p w14:paraId="2E4DCE1C">
      <w:pPr>
        <w:pStyle w:val="87"/>
        <w:spacing w:line="360" w:lineRule="auto"/>
        <w:ind w:firstLine="480"/>
        <w:rPr>
          <w:rFonts w:hint="eastAsia" w:ascii="宋体" w:hAnsi="宋体" w:eastAsia="宋体" w:cs="宋体"/>
          <w:color w:val="000000"/>
          <w:sz w:val="24"/>
          <w:szCs w:val="21"/>
        </w:rPr>
      </w:pPr>
    </w:p>
    <w:p w14:paraId="1661CF93">
      <w:pPr>
        <w:pStyle w:val="87"/>
        <w:spacing w:line="360" w:lineRule="auto"/>
        <w:ind w:firstLine="480"/>
        <w:rPr>
          <w:rFonts w:hint="eastAsia" w:ascii="宋体" w:hAnsi="宋体" w:eastAsia="宋体" w:cs="宋体"/>
          <w:color w:val="000000"/>
          <w:sz w:val="24"/>
          <w:szCs w:val="21"/>
        </w:rPr>
      </w:pPr>
    </w:p>
    <w:p w14:paraId="76A29CF7">
      <w:pPr>
        <w:pStyle w:val="87"/>
        <w:spacing w:line="360" w:lineRule="auto"/>
        <w:ind w:firstLine="480"/>
        <w:rPr>
          <w:rFonts w:hint="eastAsia" w:ascii="宋体" w:hAnsi="宋体" w:eastAsia="宋体" w:cs="宋体"/>
          <w:color w:val="000000"/>
          <w:sz w:val="24"/>
          <w:szCs w:val="21"/>
        </w:rPr>
      </w:pPr>
    </w:p>
    <w:p w14:paraId="69A492DA">
      <w:pPr>
        <w:pStyle w:val="87"/>
        <w:spacing w:line="360" w:lineRule="auto"/>
        <w:ind w:firstLine="480"/>
        <w:rPr>
          <w:rFonts w:hint="eastAsia" w:ascii="宋体" w:hAnsi="宋体" w:eastAsia="宋体" w:cs="宋体"/>
          <w:color w:val="000000"/>
          <w:sz w:val="24"/>
          <w:szCs w:val="21"/>
        </w:rPr>
      </w:pPr>
    </w:p>
    <w:p w14:paraId="57B63E84">
      <w:pPr>
        <w:pStyle w:val="87"/>
        <w:spacing w:line="360" w:lineRule="auto"/>
        <w:ind w:firstLine="480"/>
        <w:rPr>
          <w:rFonts w:hint="eastAsia" w:ascii="宋体" w:hAnsi="宋体" w:eastAsia="宋体" w:cs="宋体"/>
          <w:color w:val="000000"/>
          <w:sz w:val="24"/>
          <w:szCs w:val="21"/>
        </w:rPr>
      </w:pPr>
    </w:p>
    <w:p w14:paraId="1EF3B732">
      <w:pPr>
        <w:pStyle w:val="87"/>
        <w:spacing w:line="360" w:lineRule="auto"/>
        <w:ind w:firstLine="480"/>
        <w:rPr>
          <w:rFonts w:hint="eastAsia" w:ascii="宋体" w:hAnsi="宋体" w:eastAsia="宋体" w:cs="宋体"/>
          <w:color w:val="000000"/>
          <w:sz w:val="24"/>
          <w:szCs w:val="21"/>
        </w:rPr>
      </w:pPr>
    </w:p>
    <w:p w14:paraId="2B55B812">
      <w:pPr>
        <w:pStyle w:val="87"/>
        <w:spacing w:line="360" w:lineRule="auto"/>
        <w:ind w:firstLine="480"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供应商（电子签章）：</w:t>
      </w:r>
    </w:p>
    <w:p w14:paraId="36FC1665">
      <w:pPr>
        <w:pStyle w:val="87"/>
        <w:spacing w:line="360" w:lineRule="auto"/>
        <w:ind w:firstLine="480" w:firstLineChars="200"/>
        <w:rPr>
          <w:rFonts w:hint="eastAsia" w:ascii="宋体" w:hAnsi="宋体" w:eastAsia="宋体" w:cs="宋体"/>
          <w:color w:val="000000"/>
          <w:sz w:val="24"/>
          <w:szCs w:val="21"/>
        </w:rPr>
      </w:pPr>
    </w:p>
    <w:p w14:paraId="05ADEC43">
      <w:pPr>
        <w:pStyle w:val="87"/>
        <w:spacing w:line="360" w:lineRule="auto"/>
        <w:ind w:firstLine="480"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日   期：</w:t>
      </w:r>
      <w:r>
        <w:rPr>
          <w:rFonts w:hint="eastAsia" w:ascii="宋体" w:hAnsi="宋体" w:eastAsia="宋体" w:cs="宋体"/>
          <w:color w:val="000000"/>
          <w:sz w:val="24"/>
          <w:szCs w:val="21"/>
          <w:u w:val="single"/>
        </w:rPr>
        <w:t xml:space="preserve">         </w:t>
      </w:r>
      <w:r>
        <w:rPr>
          <w:rFonts w:hint="eastAsia" w:ascii="宋体" w:hAnsi="宋体" w:eastAsia="宋体" w:cs="宋体"/>
          <w:color w:val="000000"/>
          <w:sz w:val="24"/>
          <w:szCs w:val="21"/>
        </w:rPr>
        <w:t>年</w:t>
      </w:r>
      <w:r>
        <w:rPr>
          <w:rFonts w:hint="eastAsia" w:ascii="宋体" w:hAnsi="宋体" w:eastAsia="宋体" w:cs="宋体"/>
          <w:color w:val="000000"/>
          <w:sz w:val="24"/>
          <w:szCs w:val="21"/>
          <w:u w:val="single"/>
        </w:rPr>
        <w:t xml:space="preserve">       </w:t>
      </w:r>
      <w:r>
        <w:rPr>
          <w:rFonts w:hint="eastAsia" w:ascii="宋体" w:hAnsi="宋体" w:eastAsia="宋体" w:cs="宋体"/>
          <w:color w:val="000000"/>
          <w:sz w:val="24"/>
          <w:szCs w:val="21"/>
        </w:rPr>
        <w:t>月</w:t>
      </w:r>
      <w:r>
        <w:rPr>
          <w:rFonts w:hint="eastAsia" w:ascii="宋体" w:hAnsi="宋体" w:eastAsia="宋体" w:cs="宋体"/>
          <w:color w:val="000000"/>
          <w:sz w:val="24"/>
          <w:szCs w:val="21"/>
          <w:u w:val="single"/>
        </w:rPr>
        <w:t xml:space="preserve">       </w:t>
      </w:r>
      <w:r>
        <w:rPr>
          <w:rFonts w:hint="eastAsia" w:ascii="宋体" w:hAnsi="宋体" w:eastAsia="宋体" w:cs="宋体"/>
          <w:color w:val="000000"/>
          <w:sz w:val="24"/>
          <w:szCs w:val="21"/>
        </w:rPr>
        <w:t>日</w:t>
      </w:r>
    </w:p>
    <w:p w14:paraId="0A4B9FB6">
      <w:pPr>
        <w:pStyle w:val="87"/>
        <w:spacing w:line="360" w:lineRule="auto"/>
        <w:rPr>
          <w:rFonts w:hint="eastAsia" w:ascii="宋体" w:hAnsi="宋体" w:eastAsia="宋体" w:cs="宋体"/>
          <w:color w:val="000000"/>
          <w:sz w:val="22"/>
          <w:szCs w:val="21"/>
        </w:rPr>
      </w:pPr>
    </w:p>
    <w:p w14:paraId="047DB653">
      <w:pPr>
        <w:pStyle w:val="87"/>
        <w:spacing w:line="360" w:lineRule="auto"/>
        <w:rPr>
          <w:rFonts w:hint="eastAsia" w:ascii="宋体" w:hAnsi="宋体" w:eastAsia="宋体" w:cs="宋体"/>
          <w:color w:val="000000"/>
          <w:sz w:val="24"/>
          <w:szCs w:val="21"/>
        </w:rPr>
      </w:pPr>
      <w:r>
        <w:rPr>
          <w:rFonts w:hint="eastAsia" w:ascii="宋体" w:hAnsi="宋体" w:eastAsia="宋体" w:cs="宋体"/>
          <w:color w:val="000000"/>
          <w:sz w:val="24"/>
          <w:szCs w:val="21"/>
        </w:rPr>
        <w:t>注：1、本项目只允许有唯一的供应商授权代理人，且必须为供应商在职员工。</w:t>
      </w:r>
    </w:p>
    <w:p w14:paraId="3D8256E3">
      <w:pPr>
        <w:pStyle w:val="84"/>
        <w:spacing w:line="360" w:lineRule="auto"/>
        <w:ind w:firstLine="480" w:firstLineChars="200"/>
        <w:rPr>
          <w:rFonts w:hint="eastAsia" w:ascii="宋体" w:hAnsi="宋体" w:eastAsia="宋体" w:cs="宋体"/>
          <w:color w:val="000000"/>
        </w:rPr>
      </w:pPr>
      <w:r>
        <w:rPr>
          <w:rFonts w:hint="eastAsia" w:ascii="宋体" w:hAnsi="宋体" w:eastAsia="宋体" w:cs="宋体"/>
          <w:color w:val="000000"/>
          <w:sz w:val="24"/>
          <w:szCs w:val="21"/>
        </w:rPr>
        <w:t>2、供应商法定代表人参加投标的，可以不提供法定代表人授权委托书，但必须提供上述法定代表人身份证明书，否则将按无效投标处理。</w:t>
      </w:r>
    </w:p>
    <w:p w14:paraId="44AAF209">
      <w:pPr>
        <w:pStyle w:val="85"/>
        <w:spacing w:line="480" w:lineRule="auto"/>
        <w:ind w:firstLine="420"/>
        <w:rPr>
          <w:rFonts w:hint="eastAsia" w:ascii="宋体" w:hAnsi="宋体" w:eastAsia="宋体" w:cs="宋体"/>
          <w:color w:val="000000"/>
          <w:sz w:val="24"/>
          <w:szCs w:val="24"/>
        </w:rPr>
        <w:sectPr>
          <w:pgSz w:w="11906" w:h="16838"/>
          <w:pgMar w:top="1247" w:right="1247" w:bottom="1247" w:left="1247" w:header="851" w:footer="992" w:gutter="0"/>
          <w:pgNumType w:fmt="decimal"/>
          <w:cols w:space="720" w:num="1"/>
          <w:rtlGutter w:val="0"/>
          <w:docGrid w:linePitch="312" w:charSpace="0"/>
        </w:sectPr>
      </w:pPr>
      <w:r>
        <w:rPr>
          <w:rFonts w:hint="eastAsia" w:ascii="宋体" w:hAnsi="宋体" w:eastAsia="宋体" w:cs="宋体"/>
          <w:color w:val="000000"/>
        </w:rPr>
        <w:br w:type="page"/>
      </w:r>
    </w:p>
    <w:bookmarkEnd w:id="170"/>
    <w:p w14:paraId="47FF2F38">
      <w:pPr>
        <w:pStyle w:val="86"/>
        <w:spacing w:line="360" w:lineRule="auto"/>
        <w:jc w:val="left"/>
        <w:outlineLvl w:val="2"/>
        <w:rPr>
          <w:rFonts w:hint="eastAsia" w:ascii="宋体" w:hAnsi="宋体" w:eastAsia="宋体" w:cs="宋体"/>
          <w:b w:val="0"/>
          <w:bCs/>
          <w:color w:val="000000"/>
          <w:sz w:val="28"/>
          <w:szCs w:val="28"/>
        </w:rPr>
      </w:pPr>
      <w:bookmarkStart w:id="172" w:name="_Toc139389574"/>
      <w:r>
        <w:rPr>
          <w:rFonts w:hint="eastAsia" w:ascii="宋体" w:hAnsi="宋体" w:eastAsia="宋体" w:cs="宋体"/>
          <w:b w:val="0"/>
          <w:bCs/>
          <w:color w:val="000000"/>
          <w:sz w:val="28"/>
          <w:szCs w:val="28"/>
          <w:lang w:val="en-US" w:eastAsia="zh-CN"/>
        </w:rPr>
        <w:t>附件4</w:t>
      </w:r>
      <w:r>
        <w:rPr>
          <w:rFonts w:hint="eastAsia" w:ascii="宋体" w:hAnsi="宋体" w:eastAsia="宋体" w:cs="宋体"/>
          <w:b w:val="0"/>
          <w:bCs/>
          <w:color w:val="000000"/>
          <w:sz w:val="28"/>
          <w:szCs w:val="28"/>
        </w:rPr>
        <w:t>法定</w:t>
      </w:r>
      <w:r>
        <w:rPr>
          <w:rFonts w:hint="eastAsia" w:ascii="宋体" w:hAnsi="宋体" w:eastAsia="宋体" w:cs="宋体"/>
          <w:b w:val="0"/>
          <w:bCs/>
          <w:color w:val="000000"/>
          <w:sz w:val="28"/>
          <w:szCs w:val="28"/>
          <w:lang w:val="en-US" w:eastAsia="zh-CN"/>
        </w:rPr>
        <w:t>代表人</w:t>
      </w:r>
      <w:r>
        <w:rPr>
          <w:rFonts w:hint="eastAsia" w:ascii="宋体" w:hAnsi="宋体" w:eastAsia="宋体" w:cs="宋体"/>
          <w:b w:val="0"/>
          <w:bCs/>
          <w:color w:val="000000"/>
          <w:sz w:val="28"/>
          <w:szCs w:val="28"/>
        </w:rPr>
        <w:t>授权委托书</w:t>
      </w:r>
      <w:bookmarkEnd w:id="172"/>
    </w:p>
    <w:p w14:paraId="677BAA96">
      <w:pPr>
        <w:pStyle w:val="86"/>
        <w:spacing w:line="360" w:lineRule="auto"/>
        <w:jc w:val="left"/>
        <w:outlineLvl w:val="2"/>
        <w:rPr>
          <w:rFonts w:hint="eastAsia" w:ascii="宋体" w:hAnsi="宋体" w:eastAsia="宋体" w:cs="宋体"/>
          <w:b w:val="0"/>
          <w:bCs/>
          <w:color w:val="000000"/>
          <w:sz w:val="28"/>
          <w:szCs w:val="28"/>
        </w:rPr>
      </w:pPr>
    </w:p>
    <w:p w14:paraId="38B17249">
      <w:pPr>
        <w:pStyle w:val="86"/>
        <w:spacing w:line="360" w:lineRule="auto"/>
        <w:jc w:val="center"/>
        <w:outlineLvl w:val="2"/>
        <w:rPr>
          <w:rFonts w:hint="eastAsia" w:ascii="宋体" w:hAnsi="宋体" w:eastAsia="宋体" w:cs="宋体"/>
          <w:color w:val="000000"/>
          <w:sz w:val="28"/>
          <w:szCs w:val="28"/>
        </w:rPr>
      </w:pPr>
      <w:r>
        <w:rPr>
          <w:rFonts w:hint="eastAsia" w:ascii="宋体" w:hAnsi="宋体" w:eastAsia="宋体" w:cs="宋体"/>
          <w:b/>
          <w:color w:val="000000"/>
          <w:sz w:val="28"/>
          <w:szCs w:val="21"/>
        </w:rPr>
        <w:t>法定代表人身份证明书</w:t>
      </w:r>
    </w:p>
    <w:p w14:paraId="6AE2DF9A">
      <w:pPr>
        <w:pStyle w:val="87"/>
        <w:adjustRightInd w:val="0"/>
        <w:snapToGrid w:val="0"/>
        <w:spacing w:line="360" w:lineRule="auto"/>
        <w:ind w:left="560" w:hanging="560" w:hangingChars="200"/>
        <w:rPr>
          <w:rFonts w:hint="eastAsia" w:ascii="宋体" w:hAnsi="宋体" w:eastAsia="宋体" w:cs="宋体"/>
          <w:color w:val="000000"/>
          <w:sz w:val="28"/>
          <w:szCs w:val="28"/>
        </w:rPr>
      </w:pPr>
    </w:p>
    <w:p w14:paraId="4C99DB39">
      <w:pPr>
        <w:pStyle w:val="87"/>
        <w:tabs>
          <w:tab w:val="left" w:pos="5580"/>
        </w:tabs>
        <w:spacing w:line="360" w:lineRule="auto"/>
        <w:ind w:firstLine="480"/>
        <w:rPr>
          <w:rFonts w:hint="eastAsia" w:ascii="宋体" w:hAnsi="宋体" w:eastAsia="宋体" w:cs="宋体"/>
          <w:color w:val="000000"/>
          <w:sz w:val="24"/>
          <w:u w:val="single"/>
        </w:rPr>
      </w:pPr>
      <w:r>
        <w:rPr>
          <w:rFonts w:hint="eastAsia" w:ascii="宋体" w:hAnsi="宋体" w:eastAsia="宋体" w:cs="宋体"/>
          <w:color w:val="000000"/>
          <w:sz w:val="24"/>
        </w:rPr>
        <w:t>本授权书声明：注册于</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（供应商住址）的</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（供应商名称）的在下面</w:t>
      </w:r>
      <w:r>
        <w:rPr>
          <w:rFonts w:hint="eastAsia" w:ascii="宋体" w:hAnsi="宋体" w:eastAsia="宋体" w:cs="宋体"/>
          <w:color w:val="000000"/>
          <w:sz w:val="24"/>
          <w:szCs w:val="21"/>
        </w:rPr>
        <w:t>签字或盖章</w:t>
      </w:r>
      <w:r>
        <w:rPr>
          <w:rFonts w:hint="eastAsia" w:ascii="宋体" w:hAnsi="宋体" w:eastAsia="宋体" w:cs="宋体"/>
          <w:color w:val="000000"/>
          <w:sz w:val="24"/>
        </w:rPr>
        <w:t>的</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（法定代表人姓名、职务）代表本公司授权</w:t>
      </w:r>
      <w:r>
        <w:rPr>
          <w:rFonts w:hint="eastAsia" w:ascii="宋体" w:hAnsi="宋体" w:eastAsia="宋体" w:cs="宋体"/>
          <w:color w:val="000000"/>
          <w:sz w:val="24"/>
          <w:u w:val="single"/>
        </w:rPr>
        <w:t xml:space="preserve">      </w:t>
      </w:r>
    </w:p>
    <w:p w14:paraId="678D03F9">
      <w:pPr>
        <w:pStyle w:val="87"/>
        <w:tabs>
          <w:tab w:val="left" w:pos="5580"/>
        </w:tabs>
        <w:spacing w:line="360" w:lineRule="auto"/>
        <w:rPr>
          <w:rFonts w:hint="eastAsia" w:ascii="宋体" w:hAnsi="宋体" w:eastAsia="宋体" w:cs="宋体"/>
          <w:color w:val="000000"/>
          <w:sz w:val="24"/>
          <w:u w:val="single"/>
        </w:rPr>
      </w:pPr>
      <w:r>
        <w:rPr>
          <w:rFonts w:hint="eastAsia" w:ascii="宋体" w:hAnsi="宋体" w:eastAsia="宋体" w:cs="宋体"/>
          <w:color w:val="000000"/>
          <w:sz w:val="24"/>
          <w:u w:val="single"/>
        </w:rPr>
        <w:t xml:space="preserve">        </w:t>
      </w:r>
      <w:r>
        <w:rPr>
          <w:rFonts w:hint="eastAsia" w:ascii="宋体" w:hAnsi="宋体" w:eastAsia="宋体" w:cs="宋体"/>
          <w:color w:val="000000"/>
          <w:sz w:val="24"/>
        </w:rPr>
        <w:t>（授权代理人的姓名、职务）为本公司的合法代理人，就贵方组织</w:t>
      </w:r>
      <w:r>
        <w:rPr>
          <w:rFonts w:hint="eastAsia" w:ascii="宋体" w:hAnsi="宋体" w:eastAsia="宋体" w:cs="宋体"/>
          <w:color w:val="000000"/>
          <w:sz w:val="24"/>
          <w:u w:val="single"/>
        </w:rPr>
        <w:t xml:space="preserve">        </w:t>
      </w:r>
    </w:p>
    <w:p w14:paraId="72B98D7E">
      <w:pPr>
        <w:pStyle w:val="87"/>
        <w:tabs>
          <w:tab w:val="left" w:pos="5580"/>
        </w:tabs>
        <w:spacing w:line="360" w:lineRule="auto"/>
        <w:rPr>
          <w:rFonts w:hint="eastAsia" w:ascii="宋体" w:hAnsi="宋体" w:eastAsia="宋体" w:cs="宋体"/>
          <w:color w:val="000000"/>
          <w:sz w:val="24"/>
          <w:szCs w:val="24"/>
        </w:rPr>
      </w:pPr>
      <w:r>
        <w:rPr>
          <w:rFonts w:hint="eastAsia" w:ascii="宋体" w:hAnsi="宋体" w:eastAsia="宋体" w:cs="宋体"/>
          <w:color w:val="000000"/>
          <w:sz w:val="24"/>
          <w:u w:val="single"/>
        </w:rPr>
        <w:t xml:space="preserve">           </w:t>
      </w:r>
      <w:r>
        <w:rPr>
          <w:rFonts w:hint="eastAsia" w:ascii="宋体" w:hAnsi="宋体" w:eastAsia="宋体" w:cs="宋体"/>
          <w:color w:val="000000"/>
          <w:sz w:val="24"/>
        </w:rPr>
        <w:t>（项目名称）项目（项目编号：</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），以本公司名义处理一切与之有关的事宜。</w:t>
      </w:r>
      <w:r>
        <w:rPr>
          <w:rFonts w:hint="eastAsia" w:ascii="宋体" w:hAnsi="宋体" w:eastAsia="宋体" w:cs="宋体"/>
          <w:color w:val="000000"/>
          <w:sz w:val="24"/>
          <w:szCs w:val="24"/>
        </w:rPr>
        <w:t>供应商授权代理人在投标过程中所签署的一切文件和处理与之有关的一切事务，本公司均予以认可并对此承担责任。</w:t>
      </w:r>
    </w:p>
    <w:p w14:paraId="4138B3BB">
      <w:pPr>
        <w:pStyle w:val="87"/>
        <w:tabs>
          <w:tab w:val="left" w:pos="5580"/>
        </w:tabs>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szCs w:val="24"/>
        </w:rPr>
        <w:t>供应商授权代理人无转委托权。特此授权。</w:t>
      </w:r>
      <w:r>
        <w:rPr>
          <w:rFonts w:hint="eastAsia" w:ascii="宋体" w:hAnsi="宋体" w:eastAsia="宋体" w:cs="宋体"/>
          <w:color w:val="000000"/>
          <w:sz w:val="24"/>
        </w:rPr>
        <w:cr/>
      </w:r>
      <w:r>
        <w:rPr>
          <w:rFonts w:hint="eastAsia" w:ascii="宋体" w:hAnsi="宋体" w:eastAsia="宋体" w:cs="宋体"/>
          <w:color w:val="000000"/>
          <w:sz w:val="24"/>
        </w:rPr>
        <w:t>　　</w:t>
      </w:r>
    </w:p>
    <w:p w14:paraId="5A1DD205">
      <w:pPr>
        <w:pStyle w:val="87"/>
        <w:tabs>
          <w:tab w:val="left" w:pos="5580"/>
        </w:tabs>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本授权书于________年_____月______日生效，特此声明。</w:t>
      </w:r>
      <w:r>
        <w:rPr>
          <w:rFonts w:hint="eastAsia" w:ascii="宋体" w:hAnsi="宋体" w:eastAsia="宋体" w:cs="宋体"/>
          <w:color w:val="000000"/>
          <w:sz w:val="24"/>
        </w:rPr>
        <w:cr/>
      </w:r>
    </w:p>
    <w:p w14:paraId="51E3EAF6">
      <w:pPr>
        <w:pStyle w:val="88"/>
        <w:keepNext w:val="0"/>
        <w:keepLines w:val="0"/>
        <w:pageBreakBefore w:val="0"/>
        <w:widowControl/>
        <w:kinsoku/>
        <w:wordWrap/>
        <w:overflowPunct/>
        <w:topLinePunct w:val="0"/>
        <w:autoSpaceDE/>
        <w:autoSpaceDN/>
        <w:bidi w:val="0"/>
        <w:adjustRightInd/>
        <w:snapToGrid/>
        <w:textAlignment w:val="auto"/>
        <w:outlineLvl w:val="9"/>
        <w:rPr>
          <w:rFonts w:hint="eastAsia" w:ascii="宋体" w:hAnsi="宋体" w:eastAsia="宋体" w:cs="宋体"/>
          <w:color w:val="000000"/>
          <w:sz w:val="24"/>
        </w:rPr>
      </w:pPr>
    </w:p>
    <w:p w14:paraId="05E69FDC">
      <w:pPr>
        <w:pStyle w:val="88"/>
        <w:keepNext w:val="0"/>
        <w:keepLines w:val="0"/>
        <w:pageBreakBefore w:val="0"/>
        <w:widowControl/>
        <w:kinsoku/>
        <w:wordWrap/>
        <w:overflowPunct/>
        <w:topLinePunct w:val="0"/>
        <w:autoSpaceDE/>
        <w:autoSpaceDN/>
        <w:bidi w:val="0"/>
        <w:adjustRightInd/>
        <w:snapToGrid/>
        <w:textAlignment w:val="auto"/>
        <w:outlineLvl w:val="9"/>
        <w:rPr>
          <w:rFonts w:hint="eastAsia" w:ascii="宋体" w:hAnsi="宋体" w:eastAsia="宋体" w:cs="宋体"/>
          <w:color w:val="000000"/>
        </w:rPr>
      </w:pPr>
      <w:r>
        <w:rPr>
          <w:rFonts w:hint="eastAsia" w:ascii="宋体" w:hAnsi="宋体" w:eastAsia="宋体" w:cs="宋体"/>
          <w:color w:val="000000"/>
          <w:sz w:val="24"/>
        </w:rPr>
        <w:t xml:space="preserve"> </w:t>
      </w:r>
      <w:bookmarkStart w:id="173" w:name="_Toc139389575"/>
      <w:r>
        <w:rPr>
          <w:rFonts w:hint="eastAsia" w:ascii="宋体" w:hAnsi="宋体" w:eastAsia="宋体" w:cs="宋体"/>
          <w:color w:val="000000"/>
          <w:sz w:val="24"/>
        </w:rPr>
        <w:t>（附授权代理人身份证正反两面复印件）</w:t>
      </w:r>
      <w:bookmarkEnd w:id="173"/>
    </w:p>
    <w:p w14:paraId="0BE782BF">
      <w:pPr>
        <w:pStyle w:val="88"/>
        <w:keepNext w:val="0"/>
        <w:keepLines w:val="0"/>
        <w:pageBreakBefore w:val="0"/>
        <w:widowControl/>
        <w:kinsoku/>
        <w:wordWrap/>
        <w:overflowPunct/>
        <w:topLinePunct w:val="0"/>
        <w:autoSpaceDE/>
        <w:autoSpaceDN/>
        <w:bidi w:val="0"/>
        <w:adjustRightInd/>
        <w:snapToGrid/>
        <w:textAlignment w:val="auto"/>
        <w:outlineLvl w:val="9"/>
        <w:rPr>
          <w:rFonts w:hint="eastAsia" w:ascii="宋体" w:hAnsi="宋体" w:eastAsia="宋体" w:cs="宋体"/>
          <w:color w:val="000000"/>
        </w:rPr>
      </w:pPr>
    </w:p>
    <w:p w14:paraId="7F2C32DF">
      <w:pPr>
        <w:pStyle w:val="88"/>
        <w:keepNext w:val="0"/>
        <w:keepLines w:val="0"/>
        <w:pageBreakBefore w:val="0"/>
        <w:widowControl/>
        <w:kinsoku/>
        <w:wordWrap/>
        <w:overflowPunct/>
        <w:topLinePunct w:val="0"/>
        <w:autoSpaceDE/>
        <w:autoSpaceDN/>
        <w:bidi w:val="0"/>
        <w:adjustRightInd/>
        <w:snapToGrid/>
        <w:textAlignment w:val="auto"/>
        <w:outlineLvl w:val="9"/>
        <w:rPr>
          <w:rFonts w:hint="eastAsia" w:ascii="宋体" w:hAnsi="宋体" w:eastAsia="宋体" w:cs="宋体"/>
          <w:color w:val="000000"/>
        </w:rPr>
      </w:pPr>
    </w:p>
    <w:p w14:paraId="1765AED5">
      <w:pPr>
        <w:pStyle w:val="88"/>
        <w:keepNext w:val="0"/>
        <w:keepLines w:val="0"/>
        <w:pageBreakBefore w:val="0"/>
        <w:widowControl/>
        <w:kinsoku/>
        <w:wordWrap/>
        <w:overflowPunct/>
        <w:topLinePunct w:val="0"/>
        <w:autoSpaceDE/>
        <w:autoSpaceDN/>
        <w:bidi w:val="0"/>
        <w:adjustRightInd/>
        <w:snapToGrid/>
        <w:textAlignment w:val="auto"/>
        <w:outlineLvl w:val="9"/>
        <w:rPr>
          <w:rFonts w:hint="eastAsia" w:ascii="宋体" w:hAnsi="宋体" w:eastAsia="宋体" w:cs="宋体"/>
          <w:color w:val="000000"/>
        </w:rPr>
      </w:pPr>
    </w:p>
    <w:p w14:paraId="00CAB8C4">
      <w:pPr>
        <w:pStyle w:val="88"/>
        <w:keepNext w:val="0"/>
        <w:keepLines w:val="0"/>
        <w:pageBreakBefore w:val="0"/>
        <w:widowControl/>
        <w:kinsoku/>
        <w:wordWrap/>
        <w:overflowPunct/>
        <w:topLinePunct w:val="0"/>
        <w:autoSpaceDE/>
        <w:autoSpaceDN/>
        <w:bidi w:val="0"/>
        <w:adjustRightInd/>
        <w:snapToGrid/>
        <w:textAlignment w:val="auto"/>
        <w:outlineLvl w:val="9"/>
        <w:rPr>
          <w:rFonts w:hint="eastAsia" w:ascii="宋体" w:hAnsi="宋体" w:eastAsia="宋体" w:cs="宋体"/>
          <w:color w:val="000000"/>
        </w:rPr>
      </w:pPr>
    </w:p>
    <w:p w14:paraId="31F34398">
      <w:pPr>
        <w:pStyle w:val="88"/>
        <w:keepNext w:val="0"/>
        <w:keepLines w:val="0"/>
        <w:pageBreakBefore w:val="0"/>
        <w:widowControl/>
        <w:kinsoku/>
        <w:wordWrap/>
        <w:overflowPunct/>
        <w:topLinePunct w:val="0"/>
        <w:autoSpaceDE/>
        <w:autoSpaceDN/>
        <w:bidi w:val="0"/>
        <w:adjustRightInd/>
        <w:snapToGrid/>
        <w:textAlignment w:val="auto"/>
        <w:outlineLvl w:val="9"/>
        <w:rPr>
          <w:rFonts w:hint="eastAsia" w:ascii="宋体" w:hAnsi="宋体" w:eastAsia="宋体" w:cs="宋体"/>
          <w:color w:val="000000"/>
        </w:rPr>
      </w:pPr>
    </w:p>
    <w:p w14:paraId="07BDF4D8">
      <w:pPr>
        <w:pStyle w:val="88"/>
        <w:keepNext w:val="0"/>
        <w:keepLines w:val="0"/>
        <w:pageBreakBefore w:val="0"/>
        <w:widowControl/>
        <w:kinsoku/>
        <w:wordWrap/>
        <w:overflowPunct/>
        <w:topLinePunct w:val="0"/>
        <w:autoSpaceDE/>
        <w:autoSpaceDN/>
        <w:bidi w:val="0"/>
        <w:adjustRightInd/>
        <w:snapToGrid/>
        <w:textAlignment w:val="auto"/>
        <w:outlineLvl w:val="9"/>
        <w:rPr>
          <w:rFonts w:hint="eastAsia" w:ascii="宋体" w:hAnsi="宋体" w:eastAsia="宋体" w:cs="宋体"/>
          <w:color w:val="000000"/>
        </w:rPr>
      </w:pPr>
    </w:p>
    <w:p w14:paraId="69AE5215">
      <w:pPr>
        <w:pStyle w:val="88"/>
        <w:keepNext w:val="0"/>
        <w:keepLines w:val="0"/>
        <w:pageBreakBefore w:val="0"/>
        <w:widowControl/>
        <w:kinsoku/>
        <w:wordWrap/>
        <w:overflowPunct/>
        <w:topLinePunct w:val="0"/>
        <w:autoSpaceDE/>
        <w:autoSpaceDN/>
        <w:bidi w:val="0"/>
        <w:adjustRightInd/>
        <w:snapToGrid/>
        <w:textAlignment w:val="auto"/>
        <w:outlineLvl w:val="9"/>
        <w:rPr>
          <w:rFonts w:hint="eastAsia" w:ascii="宋体" w:hAnsi="宋体" w:eastAsia="宋体" w:cs="宋体"/>
          <w:color w:val="000000"/>
        </w:rPr>
      </w:pPr>
    </w:p>
    <w:p w14:paraId="61BDE7E0">
      <w:pPr>
        <w:pStyle w:val="87"/>
        <w:spacing w:line="360" w:lineRule="auto"/>
        <w:ind w:firstLine="480"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供应商（电子签章）：</w:t>
      </w:r>
    </w:p>
    <w:p w14:paraId="28C3A205">
      <w:pPr>
        <w:pStyle w:val="88"/>
        <w:keepNext w:val="0"/>
        <w:keepLines w:val="0"/>
        <w:pageBreakBefore w:val="0"/>
        <w:widowControl/>
        <w:kinsoku/>
        <w:wordWrap/>
        <w:overflowPunct/>
        <w:topLinePunct w:val="0"/>
        <w:autoSpaceDE/>
        <w:autoSpaceDN/>
        <w:bidi w:val="0"/>
        <w:adjustRightInd/>
        <w:snapToGrid/>
        <w:textAlignment w:val="auto"/>
        <w:outlineLvl w:val="9"/>
        <w:rPr>
          <w:rFonts w:hint="eastAsia" w:ascii="宋体" w:hAnsi="宋体" w:eastAsia="宋体" w:cs="宋体"/>
          <w:color w:val="000000"/>
        </w:rPr>
      </w:pPr>
    </w:p>
    <w:p w14:paraId="4B1E0DDF">
      <w:pPr>
        <w:pStyle w:val="88"/>
        <w:keepNext w:val="0"/>
        <w:keepLines w:val="0"/>
        <w:pageBreakBefore w:val="0"/>
        <w:widowControl/>
        <w:kinsoku/>
        <w:wordWrap/>
        <w:overflowPunct/>
        <w:topLinePunct w:val="0"/>
        <w:autoSpaceDE/>
        <w:autoSpaceDN/>
        <w:bidi w:val="0"/>
        <w:adjustRightInd/>
        <w:snapToGrid/>
        <w:textAlignment w:val="auto"/>
        <w:outlineLvl w:val="9"/>
        <w:rPr>
          <w:rFonts w:hint="eastAsia" w:ascii="宋体" w:hAnsi="宋体" w:eastAsia="宋体" w:cs="宋体"/>
          <w:color w:val="000000"/>
        </w:rPr>
      </w:pPr>
    </w:p>
    <w:p w14:paraId="3434E0C5">
      <w:pPr>
        <w:pStyle w:val="87"/>
        <w:spacing w:line="360" w:lineRule="auto"/>
        <w:ind w:firstLine="480"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法定代表人或其授权委托人：          （签字或盖章）</w:t>
      </w:r>
    </w:p>
    <w:p w14:paraId="6150C775">
      <w:pPr>
        <w:pStyle w:val="87"/>
        <w:spacing w:line="360" w:lineRule="auto"/>
        <w:ind w:firstLine="480" w:firstLineChars="200"/>
        <w:rPr>
          <w:rFonts w:hint="eastAsia" w:ascii="宋体" w:hAnsi="宋体" w:eastAsia="宋体" w:cs="宋体"/>
          <w:color w:val="000000"/>
          <w:sz w:val="24"/>
          <w:szCs w:val="21"/>
        </w:rPr>
      </w:pPr>
    </w:p>
    <w:p w14:paraId="143D70AE">
      <w:pPr>
        <w:pStyle w:val="87"/>
        <w:spacing w:line="360" w:lineRule="auto"/>
        <w:ind w:firstLine="480" w:firstLineChars="200"/>
        <w:rPr>
          <w:rFonts w:hint="eastAsia" w:ascii="宋体" w:hAnsi="宋体" w:eastAsia="宋体" w:cs="宋体"/>
          <w:color w:val="000000"/>
          <w:sz w:val="24"/>
          <w:szCs w:val="21"/>
        </w:rPr>
      </w:pPr>
    </w:p>
    <w:p w14:paraId="40DCA9BD">
      <w:pPr>
        <w:pStyle w:val="87"/>
        <w:spacing w:line="360" w:lineRule="auto"/>
        <w:ind w:firstLine="480"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日   期：</w:t>
      </w:r>
      <w:r>
        <w:rPr>
          <w:rFonts w:hint="eastAsia" w:ascii="宋体" w:hAnsi="宋体" w:eastAsia="宋体" w:cs="宋体"/>
          <w:color w:val="000000"/>
          <w:sz w:val="24"/>
          <w:szCs w:val="21"/>
          <w:u w:val="single"/>
        </w:rPr>
        <w:t xml:space="preserve">         </w:t>
      </w:r>
      <w:r>
        <w:rPr>
          <w:rFonts w:hint="eastAsia" w:ascii="宋体" w:hAnsi="宋体" w:eastAsia="宋体" w:cs="宋体"/>
          <w:color w:val="000000"/>
          <w:sz w:val="24"/>
          <w:szCs w:val="21"/>
        </w:rPr>
        <w:t>年</w:t>
      </w:r>
      <w:r>
        <w:rPr>
          <w:rFonts w:hint="eastAsia" w:ascii="宋体" w:hAnsi="宋体" w:eastAsia="宋体" w:cs="宋体"/>
          <w:color w:val="000000"/>
          <w:sz w:val="24"/>
          <w:szCs w:val="21"/>
          <w:u w:val="single"/>
        </w:rPr>
        <w:t xml:space="preserve">     </w:t>
      </w:r>
      <w:r>
        <w:rPr>
          <w:rFonts w:hint="eastAsia" w:ascii="宋体" w:hAnsi="宋体" w:eastAsia="宋体" w:cs="宋体"/>
          <w:color w:val="000000"/>
          <w:sz w:val="24"/>
          <w:szCs w:val="21"/>
        </w:rPr>
        <w:t>月</w:t>
      </w:r>
      <w:r>
        <w:rPr>
          <w:rFonts w:hint="eastAsia" w:ascii="宋体" w:hAnsi="宋体" w:eastAsia="宋体" w:cs="宋体"/>
          <w:color w:val="000000"/>
          <w:sz w:val="24"/>
          <w:szCs w:val="21"/>
          <w:u w:val="single"/>
        </w:rPr>
        <w:t xml:space="preserve">     </w:t>
      </w:r>
      <w:r>
        <w:rPr>
          <w:rFonts w:hint="eastAsia" w:ascii="宋体" w:hAnsi="宋体" w:eastAsia="宋体" w:cs="宋体"/>
          <w:color w:val="000000"/>
          <w:sz w:val="24"/>
          <w:szCs w:val="21"/>
        </w:rPr>
        <w:t>日</w:t>
      </w:r>
    </w:p>
    <w:p w14:paraId="7A117A7E">
      <w:pPr>
        <w:pStyle w:val="89"/>
        <w:spacing w:line="360" w:lineRule="auto"/>
        <w:outlineLvl w:val="2"/>
        <w:rPr>
          <w:rFonts w:hint="eastAsia" w:ascii="宋体" w:hAnsi="宋体" w:eastAsia="宋体" w:cs="宋体"/>
          <w:color w:val="000000"/>
        </w:rPr>
      </w:pPr>
    </w:p>
    <w:p w14:paraId="67E06D4D">
      <w:pPr>
        <w:pStyle w:val="89"/>
        <w:spacing w:line="360" w:lineRule="auto"/>
        <w:outlineLvl w:val="2"/>
        <w:rPr>
          <w:rFonts w:hint="eastAsia" w:ascii="宋体" w:hAnsi="宋体" w:eastAsia="宋体" w:cs="宋体"/>
          <w:color w:val="000000"/>
          <w:lang w:val="en-US" w:eastAsia="zh-CN"/>
        </w:rPr>
      </w:pPr>
      <w:r>
        <w:rPr>
          <w:rFonts w:hint="eastAsia" w:ascii="宋体" w:hAnsi="宋体" w:eastAsia="宋体" w:cs="宋体"/>
          <w:color w:val="000000"/>
          <w:lang w:val="en-US" w:eastAsia="zh-CN"/>
        </w:rPr>
        <w:t>附件5、开标一览表</w:t>
      </w:r>
      <w:bookmarkStart w:id="174" w:name="_Toc256000027"/>
      <w:bookmarkStart w:id="175" w:name="_Toc139389585"/>
      <w:bookmarkStart w:id="176" w:name="_Toc256000022"/>
    </w:p>
    <w:p w14:paraId="3BA80A72">
      <w:pPr>
        <w:pStyle w:val="89"/>
        <w:spacing w:line="360" w:lineRule="auto"/>
        <w:jc w:val="center"/>
        <w:outlineLvl w:val="2"/>
        <w:rPr>
          <w:rFonts w:hint="eastAsia" w:ascii="宋体" w:hAnsi="宋体" w:eastAsia="宋体" w:cs="宋体"/>
          <w:color w:val="000000"/>
          <w:sz w:val="28"/>
          <w:szCs w:val="22"/>
        </w:rPr>
      </w:pPr>
      <w:r>
        <w:rPr>
          <w:rFonts w:hint="eastAsia" w:ascii="宋体" w:hAnsi="宋体" w:eastAsia="宋体" w:cs="宋体"/>
          <w:color w:val="000000"/>
          <w:sz w:val="28"/>
          <w:szCs w:val="22"/>
        </w:rPr>
        <w:t>开标一览表</w:t>
      </w:r>
      <w:bookmarkEnd w:id="174"/>
      <w:bookmarkEnd w:id="175"/>
    </w:p>
    <w:p w14:paraId="2DD31270">
      <w:pPr>
        <w:pStyle w:val="113"/>
        <w:spacing w:line="360" w:lineRule="auto"/>
        <w:rPr>
          <w:rFonts w:hint="eastAsia" w:ascii="宋体" w:hAnsi="宋体" w:eastAsia="宋体" w:cs="宋体"/>
          <w:b/>
          <w:color w:val="000000"/>
          <w:sz w:val="32"/>
          <w:szCs w:val="32"/>
        </w:rPr>
      </w:pPr>
    </w:p>
    <w:p w14:paraId="7D276D5E">
      <w:pPr>
        <w:pStyle w:val="113"/>
        <w:spacing w:line="360" w:lineRule="auto"/>
        <w:rPr>
          <w:rFonts w:hint="eastAsia" w:ascii="宋体" w:hAnsi="宋体" w:eastAsia="宋体" w:cs="宋体"/>
          <w:color w:val="000000"/>
          <w:sz w:val="32"/>
          <w:szCs w:val="20"/>
        </w:rPr>
      </w:pPr>
      <w:r>
        <w:rPr>
          <w:rFonts w:hint="eastAsia" w:ascii="宋体" w:hAnsi="宋体" w:eastAsia="宋体" w:cs="宋体"/>
          <w:color w:val="000000"/>
          <w:sz w:val="24"/>
          <w:szCs w:val="16"/>
        </w:rPr>
        <w:t>项目编号：</w:t>
      </w:r>
      <w:r>
        <w:rPr>
          <w:rFonts w:hint="eastAsia" w:ascii="宋体" w:hAnsi="宋体" w:eastAsia="宋体" w:cs="宋体"/>
          <w:color w:val="000000"/>
          <w:sz w:val="24"/>
          <w:szCs w:val="16"/>
          <w:u w:val="single"/>
        </w:rPr>
        <w:t xml:space="preserve">                     </w:t>
      </w:r>
    </w:p>
    <w:tbl>
      <w:tblPr>
        <w:tblStyle w:val="40"/>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14:paraId="498E8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2410" w:type="dxa"/>
            <w:tcBorders>
              <w:bottom w:val="single" w:color="auto" w:sz="4" w:space="0"/>
            </w:tcBorders>
            <w:noWrap w:val="0"/>
            <w:vAlign w:val="center"/>
          </w:tcPr>
          <w:p w14:paraId="63122378">
            <w:pPr>
              <w:pStyle w:val="113"/>
              <w:tabs>
                <w:tab w:val="left" w:pos="1337"/>
              </w:tabs>
              <w:jc w:val="center"/>
              <w:rPr>
                <w:rFonts w:hint="eastAsia" w:ascii="宋体" w:hAnsi="宋体" w:eastAsia="宋体" w:cs="宋体"/>
                <w:color w:val="000000"/>
                <w:sz w:val="24"/>
                <w:szCs w:val="24"/>
              </w:rPr>
            </w:pPr>
            <w:r>
              <w:rPr>
                <w:rFonts w:hint="eastAsia" w:ascii="宋体" w:hAnsi="宋体" w:eastAsia="宋体" w:cs="宋体"/>
                <w:bCs/>
                <w:color w:val="000000"/>
                <w:sz w:val="24"/>
                <w:szCs w:val="24"/>
              </w:rPr>
              <w:t>项目名称</w:t>
            </w:r>
          </w:p>
        </w:tc>
        <w:tc>
          <w:tcPr>
            <w:tcW w:w="6770" w:type="dxa"/>
            <w:tcBorders>
              <w:bottom w:val="single" w:color="auto" w:sz="4" w:space="0"/>
            </w:tcBorders>
            <w:noWrap w:val="0"/>
            <w:vAlign w:val="center"/>
          </w:tcPr>
          <w:p w14:paraId="46574417">
            <w:pPr>
              <w:pStyle w:val="113"/>
              <w:tabs>
                <w:tab w:val="left" w:pos="1337"/>
              </w:tabs>
              <w:jc w:val="center"/>
              <w:rPr>
                <w:rFonts w:hint="eastAsia" w:ascii="宋体" w:hAnsi="宋体" w:eastAsia="宋体" w:cs="宋体"/>
                <w:bCs/>
                <w:color w:val="000000"/>
                <w:sz w:val="24"/>
                <w:szCs w:val="24"/>
              </w:rPr>
            </w:pPr>
          </w:p>
        </w:tc>
      </w:tr>
      <w:tr w14:paraId="01510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2410" w:type="dxa"/>
            <w:noWrap w:val="0"/>
            <w:vAlign w:val="center"/>
          </w:tcPr>
          <w:p w14:paraId="57AC9DFB">
            <w:pPr>
              <w:pStyle w:val="113"/>
              <w:tabs>
                <w:tab w:val="left" w:pos="1337"/>
              </w:tabs>
              <w:jc w:val="center"/>
              <w:rPr>
                <w:rFonts w:hint="eastAsia" w:ascii="宋体" w:hAnsi="宋体" w:eastAsia="宋体" w:cs="宋体"/>
                <w:color w:val="000000"/>
                <w:sz w:val="24"/>
                <w:szCs w:val="24"/>
              </w:rPr>
            </w:pPr>
            <w:r>
              <w:rPr>
                <w:rFonts w:hint="eastAsia" w:ascii="宋体" w:hAnsi="宋体" w:eastAsia="宋体" w:cs="宋体"/>
                <w:bCs/>
                <w:color w:val="000000"/>
                <w:sz w:val="24"/>
                <w:szCs w:val="24"/>
              </w:rPr>
              <w:t>投标报价</w:t>
            </w:r>
          </w:p>
        </w:tc>
        <w:tc>
          <w:tcPr>
            <w:tcW w:w="6770" w:type="dxa"/>
            <w:noWrap w:val="0"/>
            <w:vAlign w:val="center"/>
          </w:tcPr>
          <w:p w14:paraId="27FC4512">
            <w:pPr>
              <w:pStyle w:val="113"/>
              <w:tabs>
                <w:tab w:val="left" w:pos="1337"/>
              </w:tabs>
              <w:jc w:val="left"/>
              <w:rPr>
                <w:rFonts w:hint="eastAsia" w:ascii="宋体" w:hAnsi="宋体" w:eastAsia="宋体" w:cs="宋体"/>
                <w:color w:val="000000"/>
                <w:sz w:val="24"/>
                <w:szCs w:val="24"/>
              </w:rPr>
            </w:pPr>
            <w:r>
              <w:rPr>
                <w:rFonts w:hint="eastAsia" w:ascii="宋体" w:hAnsi="宋体" w:eastAsia="宋体" w:cs="宋体"/>
                <w:color w:val="000000"/>
                <w:sz w:val="24"/>
                <w:szCs w:val="24"/>
              </w:rPr>
              <w:t>小写：</w:t>
            </w:r>
          </w:p>
          <w:p w14:paraId="61EF31D4">
            <w:pPr>
              <w:pStyle w:val="113"/>
              <w:tabs>
                <w:tab w:val="left" w:pos="1337"/>
              </w:tabs>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w:t>
            </w:r>
          </w:p>
        </w:tc>
      </w:tr>
      <w:tr w14:paraId="4FCD5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2410" w:type="dxa"/>
            <w:noWrap w:val="0"/>
            <w:vAlign w:val="center"/>
          </w:tcPr>
          <w:p w14:paraId="6C727F39">
            <w:pPr>
              <w:pStyle w:val="113"/>
              <w:tabs>
                <w:tab w:val="left" w:pos="1337"/>
              </w:tabs>
              <w:jc w:val="center"/>
              <w:rPr>
                <w:rFonts w:hint="eastAsia" w:ascii="宋体" w:hAnsi="宋体" w:eastAsia="宋体" w:cs="宋体"/>
                <w:color w:val="000000"/>
                <w:sz w:val="24"/>
                <w:szCs w:val="24"/>
              </w:rPr>
            </w:pPr>
            <w:r>
              <w:rPr>
                <w:rFonts w:hint="eastAsia" w:ascii="宋体" w:hAnsi="宋体" w:eastAsia="宋体" w:cs="宋体"/>
                <w:bCs/>
                <w:color w:val="000000"/>
                <w:sz w:val="24"/>
                <w:szCs w:val="24"/>
              </w:rPr>
              <w:t>服务期限</w:t>
            </w:r>
          </w:p>
        </w:tc>
        <w:tc>
          <w:tcPr>
            <w:tcW w:w="6770" w:type="dxa"/>
            <w:noWrap w:val="0"/>
            <w:vAlign w:val="center"/>
          </w:tcPr>
          <w:p w14:paraId="1AA751A7">
            <w:pPr>
              <w:pStyle w:val="113"/>
              <w:tabs>
                <w:tab w:val="left" w:pos="1337"/>
              </w:tabs>
              <w:spacing w:line="360" w:lineRule="auto"/>
              <w:jc w:val="left"/>
              <w:rPr>
                <w:rFonts w:hint="eastAsia" w:ascii="宋体" w:hAnsi="宋体" w:eastAsia="宋体" w:cs="宋体"/>
                <w:color w:val="000000"/>
                <w:sz w:val="24"/>
                <w:szCs w:val="24"/>
              </w:rPr>
            </w:pPr>
          </w:p>
        </w:tc>
      </w:tr>
      <w:tr w14:paraId="716EF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180" w:type="dxa"/>
            <w:gridSpan w:val="2"/>
            <w:noWrap w:val="0"/>
            <w:vAlign w:val="top"/>
          </w:tcPr>
          <w:p w14:paraId="4985C7B7">
            <w:pPr>
              <w:pStyle w:val="113"/>
              <w:tabs>
                <w:tab w:val="left" w:pos="1337"/>
              </w:tabs>
              <w:spacing w:line="360" w:lineRule="auto"/>
              <w:rPr>
                <w:rFonts w:hint="eastAsia" w:ascii="宋体" w:hAnsi="宋体" w:eastAsia="宋体" w:cs="宋体"/>
                <w:color w:val="000000"/>
                <w:sz w:val="24"/>
                <w:szCs w:val="24"/>
              </w:rPr>
            </w:pPr>
            <w:r>
              <w:rPr>
                <w:rFonts w:hint="eastAsia" w:ascii="宋体" w:hAnsi="宋体" w:eastAsia="宋体" w:cs="宋体"/>
                <w:bCs/>
                <w:color w:val="000000"/>
                <w:sz w:val="24"/>
                <w:szCs w:val="24"/>
              </w:rPr>
              <w:t>备注：</w:t>
            </w:r>
          </w:p>
        </w:tc>
      </w:tr>
    </w:tbl>
    <w:p w14:paraId="7D839363">
      <w:pPr>
        <w:pStyle w:val="113"/>
        <w:spacing w:line="360" w:lineRule="auto"/>
        <w:rPr>
          <w:rFonts w:hint="eastAsia" w:ascii="宋体" w:hAnsi="宋体" w:eastAsia="宋体" w:cs="宋体"/>
          <w:color w:val="000000"/>
          <w:sz w:val="24"/>
          <w:szCs w:val="21"/>
        </w:rPr>
      </w:pPr>
      <w:r>
        <w:rPr>
          <w:rFonts w:hint="eastAsia" w:ascii="宋体" w:hAnsi="宋体" w:eastAsia="宋体" w:cs="宋体"/>
          <w:color w:val="000000"/>
          <w:sz w:val="24"/>
          <w:szCs w:val="21"/>
        </w:rPr>
        <w:t xml:space="preserve">说明： </w:t>
      </w:r>
    </w:p>
    <w:p w14:paraId="0AE32F3F">
      <w:pPr>
        <w:pStyle w:val="113"/>
        <w:spacing w:line="360" w:lineRule="auto"/>
        <w:ind w:firstLine="720" w:firstLineChars="300"/>
        <w:rPr>
          <w:rFonts w:hint="eastAsia" w:ascii="宋体" w:hAnsi="宋体" w:eastAsia="宋体" w:cs="宋体"/>
          <w:color w:val="000000"/>
          <w:sz w:val="24"/>
          <w:szCs w:val="21"/>
        </w:rPr>
      </w:pPr>
      <w:r>
        <w:rPr>
          <w:rFonts w:hint="eastAsia" w:ascii="宋体" w:hAnsi="宋体" w:eastAsia="宋体" w:cs="宋体"/>
          <w:color w:val="000000"/>
          <w:sz w:val="24"/>
          <w:szCs w:val="21"/>
        </w:rPr>
        <w:t>1、供应商严格按照规定的格式填写。投标报价为优惠后报价，并作为评审及定标的依据。</w:t>
      </w:r>
    </w:p>
    <w:p w14:paraId="51EACF8D">
      <w:pPr>
        <w:pStyle w:val="113"/>
        <w:spacing w:line="360" w:lineRule="auto"/>
        <w:rPr>
          <w:rFonts w:hint="eastAsia" w:ascii="宋体" w:hAnsi="宋体" w:eastAsia="宋体" w:cs="宋体"/>
          <w:color w:val="000000"/>
          <w:sz w:val="24"/>
          <w:szCs w:val="21"/>
        </w:rPr>
      </w:pPr>
      <w:r>
        <w:rPr>
          <w:rFonts w:hint="eastAsia" w:ascii="宋体" w:hAnsi="宋体" w:eastAsia="宋体" w:cs="宋体"/>
          <w:color w:val="000000"/>
          <w:sz w:val="24"/>
          <w:szCs w:val="21"/>
        </w:rPr>
        <w:t xml:space="preserve">      2、任何有选择或有条件的投标报价或表中某一包填写多个报价，均将导致投标被拒绝。</w:t>
      </w:r>
    </w:p>
    <w:p w14:paraId="5770DE40">
      <w:pPr>
        <w:pStyle w:val="113"/>
        <w:spacing w:line="360" w:lineRule="auto"/>
        <w:ind w:firstLine="720" w:firstLineChars="300"/>
        <w:rPr>
          <w:rFonts w:hint="eastAsia" w:ascii="宋体" w:hAnsi="宋体" w:eastAsia="宋体" w:cs="宋体"/>
          <w:color w:val="000000"/>
          <w:sz w:val="24"/>
          <w:szCs w:val="21"/>
        </w:rPr>
      </w:pPr>
      <w:r>
        <w:rPr>
          <w:rFonts w:hint="eastAsia" w:ascii="宋体" w:hAnsi="宋体" w:eastAsia="宋体" w:cs="宋体"/>
          <w:color w:val="000000"/>
          <w:sz w:val="24"/>
          <w:szCs w:val="21"/>
        </w:rPr>
        <w:t>3、报价应包含项目所需的所有费用。</w:t>
      </w:r>
    </w:p>
    <w:p w14:paraId="080CF50E">
      <w:pPr>
        <w:pStyle w:val="113"/>
        <w:spacing w:line="360" w:lineRule="auto"/>
        <w:ind w:firstLine="480" w:firstLineChars="200"/>
        <w:rPr>
          <w:rFonts w:hint="eastAsia" w:ascii="宋体" w:hAnsi="宋体" w:eastAsia="宋体" w:cs="宋体"/>
          <w:color w:val="000000"/>
          <w:sz w:val="24"/>
          <w:szCs w:val="21"/>
        </w:rPr>
      </w:pPr>
    </w:p>
    <w:p w14:paraId="30AEA8C2">
      <w:pPr>
        <w:pStyle w:val="113"/>
        <w:spacing w:line="360" w:lineRule="auto"/>
        <w:ind w:firstLine="480" w:firstLineChars="200"/>
        <w:rPr>
          <w:rFonts w:hint="eastAsia" w:ascii="宋体" w:hAnsi="宋体" w:eastAsia="宋体" w:cs="宋体"/>
          <w:color w:val="000000"/>
          <w:sz w:val="24"/>
          <w:szCs w:val="21"/>
          <w:u w:val="single"/>
        </w:rPr>
      </w:pPr>
    </w:p>
    <w:p w14:paraId="78EBF58F">
      <w:pPr>
        <w:pStyle w:val="113"/>
        <w:spacing w:line="360" w:lineRule="auto"/>
        <w:ind w:firstLine="480" w:firstLineChars="200"/>
        <w:rPr>
          <w:rFonts w:hint="eastAsia" w:ascii="宋体" w:hAnsi="宋体" w:eastAsia="宋体" w:cs="宋体"/>
          <w:color w:val="000000"/>
          <w:sz w:val="24"/>
          <w:szCs w:val="21"/>
          <w:u w:val="single"/>
        </w:rPr>
      </w:pPr>
      <w:r>
        <w:rPr>
          <w:rFonts w:hint="eastAsia" w:ascii="宋体" w:hAnsi="宋体" w:eastAsia="宋体" w:cs="宋体"/>
          <w:color w:val="000000"/>
          <w:sz w:val="24"/>
          <w:szCs w:val="21"/>
        </w:rPr>
        <w:t>供应商电子(电子签章)：</w:t>
      </w:r>
    </w:p>
    <w:p w14:paraId="522E12D8">
      <w:pPr>
        <w:pStyle w:val="113"/>
        <w:spacing w:line="360" w:lineRule="auto"/>
        <w:ind w:firstLine="480" w:firstLineChars="200"/>
        <w:rPr>
          <w:rFonts w:hint="eastAsia" w:ascii="宋体" w:hAnsi="宋体" w:eastAsia="宋体" w:cs="宋体"/>
          <w:color w:val="000000"/>
          <w:sz w:val="24"/>
          <w:szCs w:val="21"/>
        </w:rPr>
      </w:pPr>
    </w:p>
    <w:p w14:paraId="2F03B033">
      <w:pPr>
        <w:pStyle w:val="113"/>
        <w:spacing w:line="360" w:lineRule="auto"/>
        <w:ind w:firstLine="480"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日   期：</w:t>
      </w:r>
      <w:r>
        <w:rPr>
          <w:rFonts w:hint="eastAsia" w:ascii="宋体" w:hAnsi="宋体" w:eastAsia="宋体" w:cs="宋体"/>
          <w:color w:val="000000"/>
          <w:sz w:val="24"/>
          <w:szCs w:val="21"/>
          <w:u w:val="single"/>
        </w:rPr>
        <w:t xml:space="preserve">         </w:t>
      </w:r>
      <w:r>
        <w:rPr>
          <w:rFonts w:hint="eastAsia" w:ascii="宋体" w:hAnsi="宋体" w:eastAsia="宋体" w:cs="宋体"/>
          <w:color w:val="000000"/>
          <w:sz w:val="24"/>
          <w:szCs w:val="21"/>
        </w:rPr>
        <w:t>年</w:t>
      </w:r>
      <w:r>
        <w:rPr>
          <w:rFonts w:hint="eastAsia" w:ascii="宋体" w:hAnsi="宋体" w:eastAsia="宋体" w:cs="宋体"/>
          <w:color w:val="000000"/>
          <w:sz w:val="24"/>
          <w:szCs w:val="21"/>
          <w:u w:val="single"/>
        </w:rPr>
        <w:t xml:space="preserve">       </w:t>
      </w:r>
      <w:r>
        <w:rPr>
          <w:rFonts w:hint="eastAsia" w:ascii="宋体" w:hAnsi="宋体" w:eastAsia="宋体" w:cs="宋体"/>
          <w:color w:val="000000"/>
          <w:sz w:val="24"/>
          <w:szCs w:val="21"/>
        </w:rPr>
        <w:t>月</w:t>
      </w:r>
      <w:r>
        <w:rPr>
          <w:rFonts w:hint="eastAsia" w:ascii="宋体" w:hAnsi="宋体" w:eastAsia="宋体" w:cs="宋体"/>
          <w:color w:val="000000"/>
          <w:sz w:val="24"/>
          <w:szCs w:val="21"/>
          <w:u w:val="single"/>
        </w:rPr>
        <w:t xml:space="preserve">       </w:t>
      </w:r>
      <w:r>
        <w:rPr>
          <w:rFonts w:hint="eastAsia" w:ascii="宋体" w:hAnsi="宋体" w:eastAsia="宋体" w:cs="宋体"/>
          <w:color w:val="000000"/>
          <w:sz w:val="24"/>
          <w:szCs w:val="21"/>
        </w:rPr>
        <w:t>日</w:t>
      </w:r>
    </w:p>
    <w:p w14:paraId="76315FC8">
      <w:pPr>
        <w:pStyle w:val="113"/>
        <w:rPr>
          <w:rFonts w:hint="eastAsia" w:ascii="宋体" w:hAnsi="宋体" w:eastAsia="宋体" w:cs="宋体"/>
          <w:color w:val="000000"/>
          <w:sz w:val="20"/>
          <w:szCs w:val="21"/>
        </w:rPr>
      </w:pPr>
    </w:p>
    <w:p w14:paraId="560DD335">
      <w:pPr>
        <w:pStyle w:val="118"/>
        <w:keepNext w:val="0"/>
        <w:keepLines w:val="0"/>
        <w:pageBreakBefore w:val="0"/>
        <w:widowControl/>
        <w:kinsoku/>
        <w:wordWrap/>
        <w:overflowPunct/>
        <w:topLinePunct w:val="0"/>
        <w:autoSpaceDE/>
        <w:autoSpaceDN/>
        <w:bidi w:val="0"/>
        <w:adjustRightInd/>
        <w:snapToGrid/>
        <w:textAlignment w:val="auto"/>
        <w:outlineLvl w:val="9"/>
        <w:rPr>
          <w:rFonts w:hint="eastAsia" w:ascii="宋体" w:hAnsi="宋体" w:eastAsia="宋体" w:cs="宋体"/>
          <w:color w:val="000000"/>
          <w:sz w:val="20"/>
          <w:szCs w:val="21"/>
        </w:rPr>
      </w:pPr>
      <w:r>
        <w:rPr>
          <w:rFonts w:hint="eastAsia" w:ascii="宋体" w:hAnsi="宋体" w:eastAsia="宋体" w:cs="宋体"/>
          <w:color w:val="000000"/>
          <w:sz w:val="20"/>
          <w:szCs w:val="21"/>
        </w:rPr>
        <w:t xml:space="preserve"> </w:t>
      </w:r>
    </w:p>
    <w:p w14:paraId="658A4306">
      <w:pPr>
        <w:pStyle w:val="90"/>
        <w:keepNext w:val="0"/>
        <w:keepLines w:val="0"/>
        <w:pageBreakBefore w:val="0"/>
        <w:widowControl w:val="0"/>
        <w:tabs>
          <w:tab w:val="left" w:pos="1429"/>
        </w:tabs>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color w:val="000000"/>
          <w:sz w:val="28"/>
          <w:szCs w:val="22"/>
          <w:lang w:eastAsia="zh-CN"/>
        </w:rPr>
      </w:pPr>
    </w:p>
    <w:p w14:paraId="1817AAE7">
      <w:pPr>
        <w:pStyle w:val="90"/>
        <w:keepNext w:val="0"/>
        <w:keepLines w:val="0"/>
        <w:pageBreakBefore w:val="0"/>
        <w:widowControl w:val="0"/>
        <w:tabs>
          <w:tab w:val="left" w:pos="1429"/>
        </w:tabs>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color w:val="000000"/>
          <w:sz w:val="28"/>
          <w:szCs w:val="22"/>
          <w:lang w:eastAsia="zh-CN"/>
        </w:rPr>
      </w:pPr>
    </w:p>
    <w:p w14:paraId="75B7761C">
      <w:pPr>
        <w:pStyle w:val="90"/>
        <w:keepNext w:val="0"/>
        <w:keepLines w:val="0"/>
        <w:pageBreakBefore w:val="0"/>
        <w:widowControl w:val="0"/>
        <w:tabs>
          <w:tab w:val="left" w:pos="1429"/>
        </w:tabs>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color w:val="000000"/>
          <w:sz w:val="28"/>
          <w:szCs w:val="22"/>
          <w:lang w:eastAsia="zh-CN"/>
        </w:rPr>
      </w:pPr>
    </w:p>
    <w:p w14:paraId="3633A81A">
      <w:pPr>
        <w:pStyle w:val="24"/>
        <w:rPr>
          <w:rFonts w:hint="eastAsia" w:ascii="宋体" w:hAnsi="宋体" w:eastAsia="宋体" w:cs="宋体"/>
          <w:b/>
          <w:color w:val="000000"/>
          <w:sz w:val="28"/>
          <w:szCs w:val="22"/>
          <w:lang w:eastAsia="zh-CN"/>
        </w:rPr>
      </w:pPr>
    </w:p>
    <w:p w14:paraId="274D7CE7">
      <w:pPr>
        <w:pStyle w:val="8"/>
        <w:rPr>
          <w:rFonts w:hint="eastAsia"/>
          <w:lang w:eastAsia="zh-CN"/>
        </w:rPr>
      </w:pPr>
    </w:p>
    <w:p w14:paraId="69C0291F">
      <w:pPr>
        <w:pStyle w:val="24"/>
        <w:rPr>
          <w:rFonts w:hint="eastAsia" w:ascii="宋体" w:hAnsi="宋体" w:eastAsia="宋体" w:cs="宋体"/>
          <w:b w:val="0"/>
          <w:bCs/>
          <w:color w:val="000000"/>
          <w:kern w:val="0"/>
          <w:sz w:val="28"/>
          <w:szCs w:val="22"/>
          <w:lang w:val="en-US" w:eastAsia="zh-CN" w:bidi="ar-SA"/>
        </w:rPr>
      </w:pPr>
      <w:r>
        <w:rPr>
          <w:rFonts w:hint="eastAsia" w:ascii="宋体" w:hAnsi="宋体" w:eastAsia="宋体" w:cs="宋体"/>
          <w:b w:val="0"/>
          <w:bCs/>
          <w:color w:val="000000"/>
          <w:sz w:val="28"/>
          <w:szCs w:val="22"/>
          <w:lang w:val="en-US" w:eastAsia="zh-CN"/>
        </w:rPr>
        <w:t>附件6、</w:t>
      </w:r>
      <w:r>
        <w:rPr>
          <w:rFonts w:hint="eastAsia" w:ascii="宋体" w:hAnsi="宋体" w:eastAsia="宋体" w:cs="宋体"/>
          <w:b w:val="0"/>
          <w:bCs/>
          <w:color w:val="000000"/>
          <w:kern w:val="0"/>
          <w:sz w:val="28"/>
          <w:szCs w:val="22"/>
          <w:lang w:val="en-US" w:eastAsia="zh-CN" w:bidi="ar-SA"/>
        </w:rPr>
        <w:t>项目服务人员配备表</w:t>
      </w:r>
    </w:p>
    <w:p w14:paraId="45107D96">
      <w:pPr>
        <w:pStyle w:val="85"/>
        <w:rPr>
          <w:rFonts w:hint="eastAsia" w:ascii="宋体" w:hAnsi="宋体" w:eastAsia="宋体" w:cs="宋体"/>
          <w:b/>
          <w:color w:val="000000"/>
          <w:sz w:val="28"/>
          <w:szCs w:val="28"/>
        </w:rPr>
      </w:pPr>
    </w:p>
    <w:p w14:paraId="7DF8F3E0">
      <w:pPr>
        <w:pStyle w:val="85"/>
        <w:rPr>
          <w:rFonts w:hint="eastAsia" w:ascii="宋体" w:hAnsi="宋体" w:eastAsia="宋体" w:cs="宋体"/>
          <w:b/>
          <w:color w:val="000000"/>
          <w:sz w:val="28"/>
          <w:szCs w:val="28"/>
        </w:rPr>
      </w:pPr>
    </w:p>
    <w:p w14:paraId="5817A740">
      <w:pPr>
        <w:pStyle w:val="126"/>
        <w:jc w:val="center"/>
        <w:rPr>
          <w:rFonts w:hint="eastAsia" w:ascii="宋体" w:hAnsi="宋体" w:eastAsia="宋体" w:cs="宋体"/>
          <w:b/>
          <w:color w:val="000000"/>
          <w:sz w:val="24"/>
          <w:szCs w:val="24"/>
        </w:rPr>
      </w:pPr>
      <w:r>
        <w:rPr>
          <w:rFonts w:hint="eastAsia" w:ascii="宋体" w:hAnsi="宋体" w:cs="宋体"/>
          <w:b/>
          <w:color w:val="000000"/>
          <w:sz w:val="24"/>
          <w:szCs w:val="24"/>
          <w:lang w:val="en-US" w:eastAsia="zh-CN"/>
        </w:rPr>
        <w:t>6.1</w:t>
      </w:r>
      <w:r>
        <w:rPr>
          <w:rFonts w:hint="eastAsia" w:ascii="宋体" w:hAnsi="宋体" w:eastAsia="宋体" w:cs="宋体"/>
          <w:b/>
          <w:color w:val="000000"/>
          <w:sz w:val="24"/>
          <w:szCs w:val="24"/>
        </w:rPr>
        <w:t>拟投入本项目的项目负责人简历表</w:t>
      </w:r>
    </w:p>
    <w:p w14:paraId="47A50E96">
      <w:pPr>
        <w:rPr>
          <w:rFonts w:hint="eastAsia" w:ascii="宋体" w:hAnsi="宋体" w:eastAsia="宋体" w:cs="宋体"/>
          <w:b/>
          <w:color w:val="000000"/>
          <w:sz w:val="24"/>
          <w:szCs w:val="24"/>
        </w:rPr>
      </w:pPr>
    </w:p>
    <w:tbl>
      <w:tblPr>
        <w:tblStyle w:val="40"/>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976"/>
        <w:gridCol w:w="1356"/>
        <w:gridCol w:w="1440"/>
        <w:gridCol w:w="1800"/>
        <w:gridCol w:w="934"/>
        <w:gridCol w:w="875"/>
      </w:tblGrid>
      <w:tr w14:paraId="6878CCB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680" w:hRule="atLeast"/>
          <w:jc w:val="center"/>
        </w:trPr>
        <w:tc>
          <w:tcPr>
            <w:tcW w:w="1976" w:type="dxa"/>
            <w:tcBorders>
              <w:top w:val="single" w:color="000000" w:sz="4" w:space="0"/>
              <w:left w:val="single" w:color="000000" w:sz="4" w:space="0"/>
              <w:bottom w:val="single" w:color="000000" w:sz="4" w:space="0"/>
              <w:right w:val="single" w:color="000000" w:sz="4" w:space="0"/>
            </w:tcBorders>
            <w:noWrap w:val="0"/>
            <w:vAlign w:val="center"/>
          </w:tcPr>
          <w:p w14:paraId="00558F3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姓名</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1773E193">
            <w:pPr>
              <w:ind w:firstLine="540" w:firstLineChars="200"/>
              <w:jc w:val="center"/>
              <w:rPr>
                <w:rFonts w:hint="eastAsia" w:ascii="宋体" w:hAnsi="宋体" w:eastAsia="宋体" w:cs="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3C6F380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性别</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695A952">
            <w:pPr>
              <w:ind w:firstLine="540" w:firstLineChars="200"/>
              <w:jc w:val="center"/>
              <w:rPr>
                <w:rFonts w:hint="eastAsia" w:ascii="宋体" w:hAnsi="宋体" w:eastAsia="宋体" w:cs="宋体"/>
                <w:color w:val="000000"/>
                <w:sz w:val="24"/>
                <w:szCs w:val="24"/>
              </w:rPr>
            </w:pPr>
          </w:p>
        </w:tc>
        <w:tc>
          <w:tcPr>
            <w:tcW w:w="934" w:type="dxa"/>
            <w:tcBorders>
              <w:top w:val="single" w:color="000000" w:sz="4" w:space="0"/>
              <w:left w:val="single" w:color="000000" w:sz="4" w:space="0"/>
              <w:bottom w:val="single" w:color="000000" w:sz="4" w:space="0"/>
              <w:right w:val="single" w:color="000000" w:sz="4" w:space="0"/>
            </w:tcBorders>
            <w:noWrap w:val="0"/>
            <w:vAlign w:val="center"/>
          </w:tcPr>
          <w:p w14:paraId="4459752F">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年龄</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217A769">
            <w:pPr>
              <w:ind w:firstLine="540" w:firstLineChars="200"/>
              <w:jc w:val="center"/>
              <w:rPr>
                <w:rFonts w:hint="eastAsia" w:ascii="宋体" w:hAnsi="宋体" w:eastAsia="宋体" w:cs="宋体"/>
                <w:color w:val="000000"/>
                <w:sz w:val="24"/>
                <w:szCs w:val="24"/>
              </w:rPr>
            </w:pPr>
          </w:p>
        </w:tc>
      </w:tr>
      <w:tr w14:paraId="50C1E38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976" w:type="dxa"/>
            <w:tcBorders>
              <w:top w:val="single" w:color="000000" w:sz="4" w:space="0"/>
              <w:left w:val="single" w:color="000000" w:sz="4" w:space="0"/>
              <w:bottom w:val="single" w:color="000000" w:sz="4" w:space="0"/>
              <w:right w:val="single" w:color="000000" w:sz="4" w:space="0"/>
            </w:tcBorders>
            <w:noWrap w:val="0"/>
            <w:vAlign w:val="center"/>
          </w:tcPr>
          <w:p w14:paraId="47A8EF3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职务</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4C98FDE9">
            <w:pPr>
              <w:ind w:firstLine="540" w:firstLineChars="200"/>
              <w:jc w:val="center"/>
              <w:rPr>
                <w:rFonts w:hint="eastAsia" w:ascii="宋体" w:hAnsi="宋体" w:eastAsia="宋体" w:cs="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696FB15E">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职称</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4418BD12">
            <w:pPr>
              <w:ind w:firstLine="540" w:firstLineChars="200"/>
              <w:jc w:val="center"/>
              <w:rPr>
                <w:rFonts w:hint="eastAsia" w:ascii="宋体" w:hAnsi="宋体" w:eastAsia="宋体" w:cs="宋体"/>
                <w:color w:val="000000"/>
                <w:sz w:val="24"/>
                <w:szCs w:val="24"/>
              </w:rPr>
            </w:pPr>
          </w:p>
        </w:tc>
        <w:tc>
          <w:tcPr>
            <w:tcW w:w="934" w:type="dxa"/>
            <w:tcBorders>
              <w:top w:val="single" w:color="000000" w:sz="4" w:space="0"/>
              <w:left w:val="single" w:color="000000" w:sz="4" w:space="0"/>
              <w:bottom w:val="single" w:color="000000" w:sz="4" w:space="0"/>
              <w:right w:val="single" w:color="000000" w:sz="4" w:space="0"/>
            </w:tcBorders>
            <w:noWrap w:val="0"/>
            <w:vAlign w:val="center"/>
          </w:tcPr>
          <w:p w14:paraId="219E96E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学历</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BEC50B3">
            <w:pPr>
              <w:ind w:firstLine="540" w:firstLineChars="200"/>
              <w:jc w:val="center"/>
              <w:rPr>
                <w:rFonts w:hint="eastAsia" w:ascii="宋体" w:hAnsi="宋体" w:eastAsia="宋体" w:cs="宋体"/>
                <w:color w:val="000000"/>
                <w:sz w:val="24"/>
                <w:szCs w:val="24"/>
              </w:rPr>
            </w:pPr>
          </w:p>
        </w:tc>
      </w:tr>
      <w:tr w14:paraId="1A8D4F5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976" w:type="dxa"/>
            <w:tcBorders>
              <w:top w:val="single" w:color="000000" w:sz="4" w:space="0"/>
              <w:left w:val="single" w:color="000000" w:sz="4" w:space="0"/>
              <w:bottom w:val="single" w:color="000000" w:sz="4" w:space="0"/>
              <w:right w:val="single" w:color="000000" w:sz="4" w:space="0"/>
            </w:tcBorders>
            <w:noWrap w:val="0"/>
            <w:vAlign w:val="center"/>
          </w:tcPr>
          <w:p w14:paraId="70BD9EA4">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参加工作时间</w:t>
            </w:r>
          </w:p>
        </w:tc>
        <w:tc>
          <w:tcPr>
            <w:tcW w:w="2796" w:type="dxa"/>
            <w:gridSpan w:val="2"/>
            <w:tcBorders>
              <w:top w:val="single" w:color="000000" w:sz="4" w:space="0"/>
              <w:left w:val="single" w:color="000000" w:sz="4" w:space="0"/>
              <w:bottom w:val="single" w:color="000000" w:sz="4" w:space="0"/>
              <w:right w:val="single" w:color="000000" w:sz="4" w:space="0"/>
            </w:tcBorders>
            <w:noWrap w:val="0"/>
            <w:vAlign w:val="center"/>
          </w:tcPr>
          <w:p w14:paraId="55287105">
            <w:pPr>
              <w:ind w:firstLine="540" w:firstLineChars="200"/>
              <w:jc w:val="center"/>
              <w:rPr>
                <w:rFonts w:hint="eastAsia" w:ascii="宋体" w:hAnsi="宋体" w:eastAsia="宋体" w:cs="宋体"/>
                <w:color w:val="000000"/>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5DDAE918">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从事项目</w:t>
            </w:r>
          </w:p>
          <w:p w14:paraId="19582C4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负责年限</w:t>
            </w:r>
          </w:p>
        </w:tc>
        <w:tc>
          <w:tcPr>
            <w:tcW w:w="1809" w:type="dxa"/>
            <w:gridSpan w:val="2"/>
            <w:tcBorders>
              <w:top w:val="single" w:color="000000" w:sz="4" w:space="0"/>
              <w:left w:val="single" w:color="000000" w:sz="4" w:space="0"/>
              <w:bottom w:val="single" w:color="000000" w:sz="4" w:space="0"/>
              <w:right w:val="single" w:color="000000" w:sz="4" w:space="0"/>
            </w:tcBorders>
            <w:noWrap w:val="0"/>
            <w:vAlign w:val="center"/>
          </w:tcPr>
          <w:p w14:paraId="2F2F3BCB">
            <w:pPr>
              <w:ind w:firstLine="540" w:firstLineChars="200"/>
              <w:jc w:val="center"/>
              <w:rPr>
                <w:rFonts w:hint="eastAsia" w:ascii="宋体" w:hAnsi="宋体" w:eastAsia="宋体" w:cs="宋体"/>
                <w:color w:val="000000"/>
                <w:sz w:val="24"/>
                <w:szCs w:val="24"/>
              </w:rPr>
            </w:pPr>
          </w:p>
        </w:tc>
      </w:tr>
      <w:tr w14:paraId="001E71E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381" w:type="dxa"/>
            <w:gridSpan w:val="6"/>
            <w:tcBorders>
              <w:top w:val="single" w:color="000000" w:sz="4" w:space="0"/>
              <w:left w:val="single" w:color="000000" w:sz="4" w:space="0"/>
              <w:bottom w:val="single" w:color="000000" w:sz="4" w:space="0"/>
              <w:right w:val="single" w:color="000000" w:sz="4" w:space="0"/>
            </w:tcBorders>
            <w:noWrap w:val="0"/>
            <w:vAlign w:val="center"/>
          </w:tcPr>
          <w:p w14:paraId="210F179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已完项目情况</w:t>
            </w:r>
          </w:p>
        </w:tc>
      </w:tr>
      <w:tr w14:paraId="5C8FC29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976" w:type="dxa"/>
            <w:tcBorders>
              <w:top w:val="single" w:color="000000" w:sz="4" w:space="0"/>
              <w:left w:val="single" w:color="000000" w:sz="4" w:space="0"/>
              <w:bottom w:val="single" w:color="000000" w:sz="4" w:space="0"/>
              <w:right w:val="single" w:color="000000" w:sz="4" w:space="0"/>
            </w:tcBorders>
            <w:noWrap w:val="0"/>
            <w:vAlign w:val="center"/>
          </w:tcPr>
          <w:p w14:paraId="1C91B30E">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7DD6E4B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建设规模</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53E9239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服务期限</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1FA455D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签约合同金额</w:t>
            </w:r>
          </w:p>
        </w:tc>
        <w:tc>
          <w:tcPr>
            <w:tcW w:w="1809" w:type="dxa"/>
            <w:gridSpan w:val="2"/>
            <w:tcBorders>
              <w:top w:val="single" w:color="000000" w:sz="4" w:space="0"/>
              <w:left w:val="single" w:color="000000" w:sz="4" w:space="0"/>
              <w:bottom w:val="single" w:color="000000" w:sz="4" w:space="0"/>
              <w:right w:val="single" w:color="000000" w:sz="4" w:space="0"/>
            </w:tcBorders>
            <w:noWrap w:val="0"/>
            <w:vAlign w:val="center"/>
          </w:tcPr>
          <w:p w14:paraId="78EEC60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r>
      <w:tr w14:paraId="4239F0E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76" w:type="dxa"/>
            <w:tcBorders>
              <w:top w:val="single" w:color="000000" w:sz="4" w:space="0"/>
              <w:left w:val="single" w:color="000000" w:sz="4" w:space="0"/>
              <w:bottom w:val="single" w:color="000000" w:sz="4" w:space="0"/>
              <w:right w:val="single" w:color="000000" w:sz="4" w:space="0"/>
            </w:tcBorders>
            <w:noWrap w:val="0"/>
            <w:vAlign w:val="center"/>
          </w:tcPr>
          <w:p w14:paraId="7A67FC39">
            <w:pPr>
              <w:ind w:firstLine="540" w:firstLineChars="200"/>
              <w:jc w:val="center"/>
              <w:rPr>
                <w:rFonts w:hint="eastAsia" w:ascii="宋体" w:hAnsi="宋体" w:eastAsia="宋体" w:cs="宋体"/>
                <w:color w:val="000000"/>
                <w:sz w:val="24"/>
                <w:szCs w:val="24"/>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2F19BF83">
            <w:pPr>
              <w:ind w:firstLine="540" w:firstLineChars="200"/>
              <w:jc w:val="center"/>
              <w:rPr>
                <w:rFonts w:hint="eastAsia" w:ascii="宋体" w:hAnsi="宋体" w:eastAsia="宋体" w:cs="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6FE36C09">
            <w:pPr>
              <w:ind w:firstLine="540" w:firstLineChars="200"/>
              <w:jc w:val="center"/>
              <w:rPr>
                <w:rFonts w:hint="eastAsia" w:ascii="宋体" w:hAnsi="宋体" w:eastAsia="宋体" w:cs="宋体"/>
                <w:color w:val="000000"/>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7FD749C1">
            <w:pPr>
              <w:ind w:firstLine="540" w:firstLineChars="200"/>
              <w:jc w:val="center"/>
              <w:rPr>
                <w:rFonts w:hint="eastAsia" w:ascii="宋体" w:hAnsi="宋体" w:eastAsia="宋体" w:cs="宋体"/>
                <w:color w:val="000000"/>
                <w:sz w:val="24"/>
                <w:szCs w:val="24"/>
              </w:rPr>
            </w:pPr>
          </w:p>
        </w:tc>
        <w:tc>
          <w:tcPr>
            <w:tcW w:w="1809" w:type="dxa"/>
            <w:gridSpan w:val="2"/>
            <w:tcBorders>
              <w:top w:val="single" w:color="000000" w:sz="4" w:space="0"/>
              <w:left w:val="single" w:color="000000" w:sz="4" w:space="0"/>
              <w:bottom w:val="single" w:color="000000" w:sz="4" w:space="0"/>
              <w:right w:val="single" w:color="000000" w:sz="4" w:space="0"/>
            </w:tcBorders>
            <w:noWrap w:val="0"/>
            <w:vAlign w:val="center"/>
          </w:tcPr>
          <w:p w14:paraId="5B8FFAE5">
            <w:pPr>
              <w:ind w:firstLine="540" w:firstLineChars="200"/>
              <w:jc w:val="center"/>
              <w:rPr>
                <w:rFonts w:hint="eastAsia" w:ascii="宋体" w:hAnsi="宋体" w:eastAsia="宋体" w:cs="宋体"/>
                <w:color w:val="000000"/>
                <w:sz w:val="24"/>
                <w:szCs w:val="24"/>
              </w:rPr>
            </w:pPr>
          </w:p>
        </w:tc>
      </w:tr>
      <w:tr w14:paraId="453154A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76" w:type="dxa"/>
            <w:tcBorders>
              <w:top w:val="single" w:color="000000" w:sz="4" w:space="0"/>
              <w:left w:val="single" w:color="000000" w:sz="4" w:space="0"/>
              <w:bottom w:val="single" w:color="000000" w:sz="4" w:space="0"/>
              <w:right w:val="single" w:color="000000" w:sz="4" w:space="0"/>
            </w:tcBorders>
            <w:noWrap w:val="0"/>
            <w:vAlign w:val="center"/>
          </w:tcPr>
          <w:p w14:paraId="46B5BA13">
            <w:pPr>
              <w:ind w:firstLine="540" w:firstLineChars="200"/>
              <w:jc w:val="center"/>
              <w:rPr>
                <w:rFonts w:hint="eastAsia" w:ascii="宋体" w:hAnsi="宋体" w:eastAsia="宋体" w:cs="宋体"/>
                <w:color w:val="000000"/>
                <w:sz w:val="24"/>
                <w:szCs w:val="24"/>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5484447E">
            <w:pPr>
              <w:ind w:firstLine="540" w:firstLineChars="200"/>
              <w:jc w:val="center"/>
              <w:rPr>
                <w:rFonts w:hint="eastAsia" w:ascii="宋体" w:hAnsi="宋体" w:eastAsia="宋体" w:cs="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0A444DB7">
            <w:pPr>
              <w:ind w:firstLine="540" w:firstLineChars="200"/>
              <w:jc w:val="center"/>
              <w:rPr>
                <w:rFonts w:hint="eastAsia" w:ascii="宋体" w:hAnsi="宋体" w:eastAsia="宋体" w:cs="宋体"/>
                <w:color w:val="000000"/>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45F7AADD">
            <w:pPr>
              <w:ind w:firstLine="540" w:firstLineChars="200"/>
              <w:jc w:val="center"/>
              <w:rPr>
                <w:rFonts w:hint="eastAsia" w:ascii="宋体" w:hAnsi="宋体" w:eastAsia="宋体" w:cs="宋体"/>
                <w:color w:val="000000"/>
                <w:sz w:val="24"/>
                <w:szCs w:val="24"/>
              </w:rPr>
            </w:pPr>
          </w:p>
        </w:tc>
        <w:tc>
          <w:tcPr>
            <w:tcW w:w="1809" w:type="dxa"/>
            <w:gridSpan w:val="2"/>
            <w:tcBorders>
              <w:top w:val="single" w:color="000000" w:sz="4" w:space="0"/>
              <w:left w:val="single" w:color="000000" w:sz="4" w:space="0"/>
              <w:bottom w:val="single" w:color="000000" w:sz="4" w:space="0"/>
              <w:right w:val="single" w:color="000000" w:sz="4" w:space="0"/>
            </w:tcBorders>
            <w:noWrap w:val="0"/>
            <w:vAlign w:val="center"/>
          </w:tcPr>
          <w:p w14:paraId="1C3FAFFF">
            <w:pPr>
              <w:ind w:firstLine="540" w:firstLineChars="200"/>
              <w:jc w:val="center"/>
              <w:rPr>
                <w:rFonts w:hint="eastAsia" w:ascii="宋体" w:hAnsi="宋体" w:eastAsia="宋体" w:cs="宋体"/>
                <w:color w:val="000000"/>
                <w:sz w:val="24"/>
                <w:szCs w:val="24"/>
              </w:rPr>
            </w:pPr>
          </w:p>
        </w:tc>
      </w:tr>
      <w:tr w14:paraId="581D897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76" w:type="dxa"/>
            <w:tcBorders>
              <w:top w:val="single" w:color="000000" w:sz="4" w:space="0"/>
              <w:left w:val="single" w:color="000000" w:sz="4" w:space="0"/>
              <w:bottom w:val="single" w:color="000000" w:sz="4" w:space="0"/>
              <w:right w:val="single" w:color="000000" w:sz="4" w:space="0"/>
            </w:tcBorders>
            <w:noWrap w:val="0"/>
            <w:vAlign w:val="center"/>
          </w:tcPr>
          <w:p w14:paraId="5B8C29BA">
            <w:pPr>
              <w:ind w:firstLine="540" w:firstLineChars="200"/>
              <w:jc w:val="center"/>
              <w:rPr>
                <w:rFonts w:hint="eastAsia" w:ascii="宋体" w:hAnsi="宋体" w:eastAsia="宋体" w:cs="宋体"/>
                <w:color w:val="000000"/>
                <w:sz w:val="24"/>
                <w:szCs w:val="24"/>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116E674F">
            <w:pPr>
              <w:ind w:firstLine="540" w:firstLineChars="200"/>
              <w:jc w:val="center"/>
              <w:rPr>
                <w:rFonts w:hint="eastAsia" w:ascii="宋体" w:hAnsi="宋体" w:eastAsia="宋体" w:cs="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13991D13">
            <w:pPr>
              <w:ind w:firstLine="540" w:firstLineChars="200"/>
              <w:jc w:val="center"/>
              <w:rPr>
                <w:rFonts w:hint="eastAsia" w:ascii="宋体" w:hAnsi="宋体" w:eastAsia="宋体" w:cs="宋体"/>
                <w:color w:val="000000"/>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16025EE">
            <w:pPr>
              <w:ind w:firstLine="540" w:firstLineChars="200"/>
              <w:jc w:val="center"/>
              <w:rPr>
                <w:rFonts w:hint="eastAsia" w:ascii="宋体" w:hAnsi="宋体" w:eastAsia="宋体" w:cs="宋体"/>
                <w:color w:val="000000"/>
                <w:sz w:val="24"/>
                <w:szCs w:val="24"/>
              </w:rPr>
            </w:pPr>
          </w:p>
        </w:tc>
        <w:tc>
          <w:tcPr>
            <w:tcW w:w="1809" w:type="dxa"/>
            <w:gridSpan w:val="2"/>
            <w:tcBorders>
              <w:top w:val="single" w:color="000000" w:sz="4" w:space="0"/>
              <w:left w:val="single" w:color="000000" w:sz="4" w:space="0"/>
              <w:bottom w:val="single" w:color="000000" w:sz="4" w:space="0"/>
              <w:right w:val="single" w:color="000000" w:sz="4" w:space="0"/>
            </w:tcBorders>
            <w:noWrap w:val="0"/>
            <w:vAlign w:val="center"/>
          </w:tcPr>
          <w:p w14:paraId="1CA487D2">
            <w:pPr>
              <w:ind w:firstLine="540" w:firstLineChars="200"/>
              <w:jc w:val="center"/>
              <w:rPr>
                <w:rFonts w:hint="eastAsia" w:ascii="宋体" w:hAnsi="宋体" w:eastAsia="宋体" w:cs="宋体"/>
                <w:color w:val="000000"/>
                <w:sz w:val="24"/>
                <w:szCs w:val="24"/>
              </w:rPr>
            </w:pPr>
          </w:p>
        </w:tc>
      </w:tr>
      <w:tr w14:paraId="3244FE1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81" w:type="dxa"/>
            <w:gridSpan w:val="6"/>
            <w:tcBorders>
              <w:top w:val="single" w:color="000000" w:sz="4" w:space="0"/>
              <w:left w:val="single" w:color="000000" w:sz="4" w:space="0"/>
              <w:bottom w:val="single" w:color="000000" w:sz="4" w:space="0"/>
              <w:right w:val="single" w:color="000000" w:sz="4" w:space="0"/>
            </w:tcBorders>
            <w:noWrap w:val="0"/>
            <w:vAlign w:val="center"/>
          </w:tcPr>
          <w:p w14:paraId="697A9841">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目前正在服务项目情况</w:t>
            </w:r>
          </w:p>
        </w:tc>
      </w:tr>
      <w:tr w14:paraId="4B29864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76" w:type="dxa"/>
            <w:tcBorders>
              <w:top w:val="single" w:color="000000" w:sz="4" w:space="0"/>
              <w:left w:val="single" w:color="000000" w:sz="4" w:space="0"/>
              <w:bottom w:val="single" w:color="000000" w:sz="4" w:space="0"/>
              <w:right w:val="single" w:color="000000" w:sz="4" w:space="0"/>
            </w:tcBorders>
            <w:noWrap w:val="0"/>
            <w:vAlign w:val="center"/>
          </w:tcPr>
          <w:p w14:paraId="0ABC73D1">
            <w:pPr>
              <w:ind w:firstLine="540" w:firstLineChars="200"/>
              <w:jc w:val="center"/>
              <w:rPr>
                <w:rFonts w:hint="eastAsia" w:ascii="宋体" w:hAnsi="宋体" w:eastAsia="宋体" w:cs="宋体"/>
                <w:color w:val="000000"/>
                <w:sz w:val="24"/>
                <w:szCs w:val="24"/>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6BCCFFE2">
            <w:pPr>
              <w:ind w:firstLine="540" w:firstLineChars="200"/>
              <w:jc w:val="center"/>
              <w:rPr>
                <w:rFonts w:hint="eastAsia" w:ascii="宋体" w:hAnsi="宋体" w:eastAsia="宋体" w:cs="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79ED5BAD">
            <w:pPr>
              <w:ind w:firstLine="540" w:firstLineChars="200"/>
              <w:jc w:val="center"/>
              <w:rPr>
                <w:rFonts w:hint="eastAsia" w:ascii="宋体" w:hAnsi="宋体" w:eastAsia="宋体" w:cs="宋体"/>
                <w:color w:val="000000"/>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562D8658">
            <w:pPr>
              <w:ind w:firstLine="540" w:firstLineChars="200"/>
              <w:jc w:val="center"/>
              <w:rPr>
                <w:rFonts w:hint="eastAsia" w:ascii="宋体" w:hAnsi="宋体" w:eastAsia="宋体" w:cs="宋体"/>
                <w:color w:val="000000"/>
                <w:sz w:val="24"/>
                <w:szCs w:val="24"/>
              </w:rPr>
            </w:pPr>
          </w:p>
        </w:tc>
        <w:tc>
          <w:tcPr>
            <w:tcW w:w="1809" w:type="dxa"/>
            <w:gridSpan w:val="2"/>
            <w:tcBorders>
              <w:top w:val="single" w:color="000000" w:sz="4" w:space="0"/>
              <w:left w:val="single" w:color="000000" w:sz="4" w:space="0"/>
              <w:bottom w:val="single" w:color="000000" w:sz="4" w:space="0"/>
              <w:right w:val="single" w:color="000000" w:sz="4" w:space="0"/>
            </w:tcBorders>
            <w:noWrap w:val="0"/>
            <w:vAlign w:val="center"/>
          </w:tcPr>
          <w:p w14:paraId="05F48142">
            <w:pPr>
              <w:ind w:firstLine="540" w:firstLineChars="200"/>
              <w:jc w:val="center"/>
              <w:rPr>
                <w:rFonts w:hint="eastAsia" w:ascii="宋体" w:hAnsi="宋体" w:eastAsia="宋体" w:cs="宋体"/>
                <w:color w:val="000000"/>
                <w:sz w:val="24"/>
                <w:szCs w:val="24"/>
              </w:rPr>
            </w:pPr>
          </w:p>
        </w:tc>
      </w:tr>
      <w:tr w14:paraId="20ADB17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76" w:type="dxa"/>
            <w:tcBorders>
              <w:top w:val="single" w:color="000000" w:sz="4" w:space="0"/>
              <w:left w:val="single" w:color="000000" w:sz="4" w:space="0"/>
              <w:bottom w:val="single" w:color="000000" w:sz="4" w:space="0"/>
              <w:right w:val="single" w:color="000000" w:sz="4" w:space="0"/>
            </w:tcBorders>
            <w:noWrap w:val="0"/>
            <w:vAlign w:val="center"/>
          </w:tcPr>
          <w:p w14:paraId="635631C4">
            <w:pPr>
              <w:ind w:firstLine="540" w:firstLineChars="200"/>
              <w:jc w:val="center"/>
              <w:rPr>
                <w:rFonts w:hint="eastAsia" w:ascii="宋体" w:hAnsi="宋体" w:eastAsia="宋体" w:cs="宋体"/>
                <w:color w:val="000000"/>
                <w:sz w:val="24"/>
                <w:szCs w:val="24"/>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5AFD1154">
            <w:pPr>
              <w:ind w:firstLine="540" w:firstLineChars="200"/>
              <w:jc w:val="center"/>
              <w:rPr>
                <w:rFonts w:hint="eastAsia" w:ascii="宋体" w:hAnsi="宋体" w:eastAsia="宋体" w:cs="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3219B3C7">
            <w:pPr>
              <w:ind w:firstLine="540" w:firstLineChars="200"/>
              <w:jc w:val="center"/>
              <w:rPr>
                <w:rFonts w:hint="eastAsia" w:ascii="宋体" w:hAnsi="宋体" w:eastAsia="宋体" w:cs="宋体"/>
                <w:color w:val="000000"/>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6FDDA778">
            <w:pPr>
              <w:ind w:firstLine="540" w:firstLineChars="200"/>
              <w:jc w:val="center"/>
              <w:rPr>
                <w:rFonts w:hint="eastAsia" w:ascii="宋体" w:hAnsi="宋体" w:eastAsia="宋体" w:cs="宋体"/>
                <w:color w:val="000000"/>
                <w:sz w:val="24"/>
                <w:szCs w:val="24"/>
              </w:rPr>
            </w:pPr>
          </w:p>
        </w:tc>
        <w:tc>
          <w:tcPr>
            <w:tcW w:w="1809" w:type="dxa"/>
            <w:gridSpan w:val="2"/>
            <w:tcBorders>
              <w:top w:val="single" w:color="000000" w:sz="4" w:space="0"/>
              <w:left w:val="single" w:color="000000" w:sz="4" w:space="0"/>
              <w:bottom w:val="single" w:color="000000" w:sz="4" w:space="0"/>
              <w:right w:val="single" w:color="000000" w:sz="4" w:space="0"/>
            </w:tcBorders>
            <w:noWrap w:val="0"/>
            <w:vAlign w:val="center"/>
          </w:tcPr>
          <w:p w14:paraId="0AE53CA2">
            <w:pPr>
              <w:ind w:firstLine="540" w:firstLineChars="200"/>
              <w:jc w:val="center"/>
              <w:rPr>
                <w:rFonts w:hint="eastAsia" w:ascii="宋体" w:hAnsi="宋体" w:eastAsia="宋体" w:cs="宋体"/>
                <w:color w:val="000000"/>
                <w:sz w:val="24"/>
                <w:szCs w:val="24"/>
              </w:rPr>
            </w:pPr>
          </w:p>
        </w:tc>
      </w:tr>
      <w:tr w14:paraId="0450059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76" w:type="dxa"/>
            <w:tcBorders>
              <w:top w:val="single" w:color="000000" w:sz="4" w:space="0"/>
              <w:left w:val="single" w:color="000000" w:sz="4" w:space="0"/>
              <w:bottom w:val="single" w:color="000000" w:sz="4" w:space="0"/>
              <w:right w:val="single" w:color="000000" w:sz="4" w:space="0"/>
            </w:tcBorders>
            <w:noWrap w:val="0"/>
            <w:vAlign w:val="center"/>
          </w:tcPr>
          <w:p w14:paraId="3947C707">
            <w:pPr>
              <w:ind w:firstLine="540" w:firstLineChars="200"/>
              <w:jc w:val="center"/>
              <w:rPr>
                <w:rFonts w:hint="eastAsia" w:ascii="宋体" w:hAnsi="宋体" w:eastAsia="宋体" w:cs="宋体"/>
                <w:color w:val="000000"/>
                <w:sz w:val="24"/>
                <w:szCs w:val="24"/>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17368CE1">
            <w:pPr>
              <w:ind w:firstLine="540" w:firstLineChars="200"/>
              <w:jc w:val="center"/>
              <w:rPr>
                <w:rFonts w:hint="eastAsia" w:ascii="宋体" w:hAnsi="宋体" w:eastAsia="宋体" w:cs="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0AA7B5C4">
            <w:pPr>
              <w:spacing w:line="360" w:lineRule="auto"/>
              <w:ind w:firstLine="540" w:firstLineChars="200"/>
              <w:jc w:val="center"/>
              <w:rPr>
                <w:rFonts w:hint="eastAsia" w:ascii="宋体" w:hAnsi="宋体" w:eastAsia="宋体" w:cs="宋体"/>
                <w:color w:val="000000"/>
                <w:sz w:val="24"/>
                <w:szCs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705808FB">
            <w:pPr>
              <w:spacing w:line="360" w:lineRule="auto"/>
              <w:ind w:firstLine="540" w:firstLineChars="200"/>
              <w:jc w:val="center"/>
              <w:rPr>
                <w:rFonts w:hint="eastAsia" w:ascii="宋体" w:hAnsi="宋体" w:eastAsia="宋体" w:cs="宋体"/>
                <w:color w:val="000000"/>
                <w:sz w:val="24"/>
                <w:szCs w:val="24"/>
              </w:rPr>
            </w:pPr>
          </w:p>
        </w:tc>
        <w:tc>
          <w:tcPr>
            <w:tcW w:w="1809" w:type="dxa"/>
            <w:gridSpan w:val="2"/>
            <w:tcBorders>
              <w:top w:val="single" w:color="000000" w:sz="4" w:space="0"/>
              <w:left w:val="single" w:color="000000" w:sz="4" w:space="0"/>
              <w:bottom w:val="single" w:color="000000" w:sz="4" w:space="0"/>
              <w:right w:val="single" w:color="000000" w:sz="4" w:space="0"/>
            </w:tcBorders>
            <w:noWrap w:val="0"/>
            <w:vAlign w:val="center"/>
          </w:tcPr>
          <w:p w14:paraId="5BE61073">
            <w:pPr>
              <w:spacing w:line="360" w:lineRule="auto"/>
              <w:ind w:firstLine="540" w:firstLineChars="200"/>
              <w:jc w:val="center"/>
              <w:rPr>
                <w:rFonts w:hint="eastAsia" w:ascii="宋体" w:hAnsi="宋体" w:eastAsia="宋体" w:cs="宋体"/>
                <w:color w:val="000000"/>
                <w:sz w:val="24"/>
                <w:szCs w:val="24"/>
              </w:rPr>
            </w:pPr>
          </w:p>
        </w:tc>
      </w:tr>
    </w:tbl>
    <w:p w14:paraId="407217E7">
      <w:pPr>
        <w:pStyle w:val="126"/>
        <w:autoSpaceDE w:val="0"/>
        <w:autoSpaceDN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说明：1、提供拟投入本项目的项目负责人的资格证明相关材料。</w:t>
      </w:r>
    </w:p>
    <w:p w14:paraId="7CB7484D">
      <w:pPr>
        <w:pStyle w:val="126"/>
        <w:autoSpaceDE w:val="0"/>
        <w:autoSpaceDN w:val="0"/>
        <w:spacing w:line="360" w:lineRule="auto"/>
        <w:rPr>
          <w:rFonts w:hint="eastAsia" w:ascii="宋体" w:hAnsi="宋体" w:eastAsia="宋体" w:cs="宋体"/>
          <w:color w:val="000000"/>
          <w:sz w:val="24"/>
          <w:szCs w:val="24"/>
        </w:rPr>
      </w:pPr>
    </w:p>
    <w:p w14:paraId="2155E502">
      <w:pPr>
        <w:pStyle w:val="85"/>
        <w:rPr>
          <w:rFonts w:hint="eastAsia" w:ascii="宋体" w:hAnsi="宋体" w:eastAsia="宋体" w:cs="宋体"/>
          <w:b/>
          <w:color w:val="000000"/>
          <w:sz w:val="28"/>
          <w:szCs w:val="28"/>
        </w:rPr>
      </w:pPr>
    </w:p>
    <w:p w14:paraId="0A459C29">
      <w:pPr>
        <w:pStyle w:val="85"/>
        <w:rPr>
          <w:rFonts w:hint="eastAsia" w:ascii="宋体" w:hAnsi="宋体" w:eastAsia="宋体" w:cs="宋体"/>
          <w:b/>
          <w:color w:val="000000"/>
          <w:sz w:val="28"/>
          <w:szCs w:val="28"/>
        </w:rPr>
      </w:pPr>
    </w:p>
    <w:p w14:paraId="7D55A829">
      <w:pPr>
        <w:pStyle w:val="127"/>
        <w:adjustRightInd w:val="0"/>
        <w:snapToGrid w:val="0"/>
        <w:spacing w:line="5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供应商名称（电子签章）：</w:t>
      </w:r>
    </w:p>
    <w:p w14:paraId="539688BA">
      <w:pPr>
        <w:pStyle w:val="127"/>
        <w:adjustRightInd w:val="0"/>
        <w:snapToGrid w:val="0"/>
        <w:spacing w:line="50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法定代表人或其授权委托人：          （签字或盖章）</w:t>
      </w:r>
    </w:p>
    <w:p w14:paraId="4E2809AD">
      <w:pPr>
        <w:pStyle w:val="127"/>
        <w:adjustRightInd w:val="0"/>
        <w:snapToGrid w:val="0"/>
        <w:spacing w:line="500" w:lineRule="exact"/>
        <w:rPr>
          <w:rFonts w:hint="eastAsia" w:ascii="宋体" w:hAnsi="宋体" w:eastAsia="宋体" w:cs="宋体"/>
          <w:color w:val="000000"/>
          <w:sz w:val="20"/>
          <w:szCs w:val="21"/>
        </w:rPr>
      </w:pPr>
      <w:r>
        <w:rPr>
          <w:rFonts w:hint="eastAsia" w:ascii="宋体" w:hAnsi="宋体" w:eastAsia="宋体" w:cs="宋体"/>
          <w:color w:val="000000"/>
          <w:sz w:val="24"/>
          <w:szCs w:val="24"/>
        </w:rPr>
        <w:t>日期：   年 月 日</w:t>
      </w:r>
    </w:p>
    <w:p w14:paraId="4684062D">
      <w:pPr>
        <w:pStyle w:val="85"/>
        <w:rPr>
          <w:rFonts w:hint="eastAsia" w:ascii="宋体" w:hAnsi="宋体" w:eastAsia="宋体" w:cs="宋体"/>
          <w:b/>
          <w:color w:val="000000"/>
          <w:sz w:val="28"/>
          <w:szCs w:val="28"/>
        </w:rPr>
      </w:pPr>
    </w:p>
    <w:p w14:paraId="11BFA438">
      <w:pPr>
        <w:pStyle w:val="85"/>
        <w:rPr>
          <w:rFonts w:hint="eastAsia" w:ascii="宋体" w:hAnsi="宋体" w:eastAsia="宋体" w:cs="宋体"/>
          <w:b/>
          <w:color w:val="000000"/>
          <w:sz w:val="28"/>
          <w:szCs w:val="28"/>
        </w:rPr>
      </w:pPr>
    </w:p>
    <w:p w14:paraId="5E9FCC65">
      <w:pPr>
        <w:pStyle w:val="85"/>
        <w:rPr>
          <w:rFonts w:hint="eastAsia" w:ascii="宋体" w:hAnsi="宋体" w:eastAsia="宋体" w:cs="宋体"/>
          <w:b/>
          <w:color w:val="000000"/>
          <w:sz w:val="28"/>
          <w:szCs w:val="28"/>
        </w:rPr>
      </w:pPr>
    </w:p>
    <w:p w14:paraId="3E7B76D8">
      <w:pPr>
        <w:pStyle w:val="85"/>
        <w:rPr>
          <w:rFonts w:hint="eastAsia" w:ascii="宋体" w:hAnsi="宋体" w:eastAsia="宋体" w:cs="宋体"/>
          <w:b/>
          <w:color w:val="000000"/>
          <w:sz w:val="28"/>
          <w:szCs w:val="28"/>
        </w:rPr>
      </w:pPr>
    </w:p>
    <w:p w14:paraId="37524615">
      <w:pPr>
        <w:pStyle w:val="85"/>
        <w:rPr>
          <w:rFonts w:hint="eastAsia" w:ascii="宋体" w:hAnsi="宋体" w:eastAsia="宋体" w:cs="宋体"/>
          <w:b/>
          <w:color w:val="000000"/>
          <w:sz w:val="28"/>
          <w:szCs w:val="28"/>
        </w:rPr>
      </w:pPr>
    </w:p>
    <w:p w14:paraId="04D305AC">
      <w:pPr>
        <w:pStyle w:val="126"/>
        <w:jc w:val="center"/>
        <w:rPr>
          <w:rFonts w:hint="eastAsia" w:ascii="宋体" w:hAnsi="宋体" w:eastAsia="宋体" w:cs="宋体"/>
          <w:b/>
          <w:color w:val="000000"/>
          <w:sz w:val="24"/>
          <w:szCs w:val="24"/>
        </w:rPr>
      </w:pPr>
      <w:r>
        <w:rPr>
          <w:rFonts w:hint="eastAsia" w:ascii="宋体" w:hAnsi="宋体" w:cs="宋体"/>
          <w:b/>
          <w:color w:val="000000"/>
          <w:sz w:val="24"/>
          <w:szCs w:val="24"/>
          <w:lang w:val="en-US" w:eastAsia="zh-CN"/>
        </w:rPr>
        <w:t>6.2</w:t>
      </w:r>
      <w:r>
        <w:rPr>
          <w:rFonts w:hint="eastAsia" w:ascii="宋体" w:hAnsi="宋体" w:eastAsia="宋体" w:cs="宋体"/>
          <w:b/>
          <w:color w:val="000000"/>
          <w:sz w:val="24"/>
          <w:szCs w:val="24"/>
        </w:rPr>
        <w:t>拟投入本项目的人员一览表</w:t>
      </w:r>
    </w:p>
    <w:p w14:paraId="77C87057">
      <w:pPr>
        <w:pStyle w:val="85"/>
        <w:rPr>
          <w:rFonts w:hint="eastAsia" w:ascii="宋体" w:hAnsi="宋体" w:eastAsia="宋体" w:cs="宋体"/>
          <w:b/>
          <w:color w:val="000000"/>
          <w:sz w:val="28"/>
          <w:szCs w:val="28"/>
        </w:rPr>
      </w:pPr>
    </w:p>
    <w:p w14:paraId="2B4AD634">
      <w:pPr>
        <w:pStyle w:val="85"/>
        <w:rPr>
          <w:rFonts w:hint="eastAsia" w:ascii="宋体" w:hAnsi="宋体" w:eastAsia="宋体" w:cs="宋体"/>
          <w:b/>
          <w:color w:val="000000"/>
          <w:sz w:val="28"/>
          <w:szCs w:val="28"/>
        </w:rPr>
      </w:pPr>
    </w:p>
    <w:tbl>
      <w:tblPr>
        <w:tblStyle w:val="4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
        <w:gridCol w:w="817"/>
        <w:gridCol w:w="1019"/>
        <w:gridCol w:w="867"/>
        <w:gridCol w:w="1136"/>
        <w:gridCol w:w="1758"/>
        <w:gridCol w:w="1758"/>
        <w:gridCol w:w="1759"/>
      </w:tblGrid>
      <w:tr w14:paraId="4D77A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267" w:type="pct"/>
            <w:noWrap w:val="0"/>
            <w:vAlign w:val="center"/>
          </w:tcPr>
          <w:p w14:paraId="690136E5">
            <w:pPr>
              <w:pStyle w:val="85"/>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424" w:type="pct"/>
            <w:noWrap w:val="0"/>
            <w:vAlign w:val="center"/>
          </w:tcPr>
          <w:p w14:paraId="40C9D5EC">
            <w:pPr>
              <w:pStyle w:val="85"/>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姓名</w:t>
            </w:r>
          </w:p>
        </w:tc>
        <w:tc>
          <w:tcPr>
            <w:tcW w:w="529" w:type="pct"/>
            <w:noWrap w:val="0"/>
            <w:vAlign w:val="center"/>
          </w:tcPr>
          <w:p w14:paraId="7A797485">
            <w:pPr>
              <w:pStyle w:val="85"/>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性别</w:t>
            </w:r>
          </w:p>
        </w:tc>
        <w:tc>
          <w:tcPr>
            <w:tcW w:w="450" w:type="pct"/>
            <w:noWrap w:val="0"/>
            <w:vAlign w:val="center"/>
          </w:tcPr>
          <w:p w14:paraId="292D6870">
            <w:pPr>
              <w:pStyle w:val="85"/>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年龄</w:t>
            </w:r>
          </w:p>
        </w:tc>
        <w:tc>
          <w:tcPr>
            <w:tcW w:w="590" w:type="pct"/>
            <w:noWrap w:val="0"/>
            <w:vAlign w:val="center"/>
          </w:tcPr>
          <w:p w14:paraId="56088B3E">
            <w:pPr>
              <w:pStyle w:val="85"/>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专业从业年限</w:t>
            </w:r>
          </w:p>
        </w:tc>
        <w:tc>
          <w:tcPr>
            <w:tcW w:w="913" w:type="pct"/>
            <w:noWrap w:val="0"/>
            <w:vAlign w:val="center"/>
          </w:tcPr>
          <w:p w14:paraId="3DE3D905">
            <w:pPr>
              <w:pStyle w:val="85"/>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拟任职务</w:t>
            </w:r>
          </w:p>
        </w:tc>
        <w:tc>
          <w:tcPr>
            <w:tcW w:w="913" w:type="pct"/>
            <w:noWrap w:val="0"/>
            <w:vAlign w:val="center"/>
          </w:tcPr>
          <w:p w14:paraId="6C08404D">
            <w:pPr>
              <w:pStyle w:val="85"/>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本项目所属岗位</w:t>
            </w:r>
          </w:p>
        </w:tc>
        <w:tc>
          <w:tcPr>
            <w:tcW w:w="913" w:type="pct"/>
            <w:noWrap w:val="0"/>
            <w:vAlign w:val="center"/>
          </w:tcPr>
          <w:p w14:paraId="608F2AAD">
            <w:pPr>
              <w:pStyle w:val="85"/>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r>
      <w:tr w14:paraId="252D5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 w:type="pct"/>
            <w:noWrap w:val="0"/>
            <w:vAlign w:val="center"/>
          </w:tcPr>
          <w:p w14:paraId="464AFB7A">
            <w:pPr>
              <w:pStyle w:val="85"/>
              <w:spacing w:line="440" w:lineRule="exact"/>
              <w:jc w:val="center"/>
              <w:rPr>
                <w:rFonts w:hint="eastAsia" w:ascii="宋体" w:hAnsi="宋体" w:eastAsia="宋体" w:cs="宋体"/>
                <w:color w:val="000000"/>
              </w:rPr>
            </w:pPr>
          </w:p>
        </w:tc>
        <w:tc>
          <w:tcPr>
            <w:tcW w:w="424" w:type="pct"/>
            <w:noWrap w:val="0"/>
            <w:vAlign w:val="top"/>
          </w:tcPr>
          <w:p w14:paraId="51471939">
            <w:pPr>
              <w:pStyle w:val="85"/>
              <w:spacing w:line="440" w:lineRule="exact"/>
              <w:jc w:val="center"/>
              <w:rPr>
                <w:rFonts w:hint="eastAsia" w:ascii="宋体" w:hAnsi="宋体" w:eastAsia="宋体" w:cs="宋体"/>
                <w:color w:val="000000"/>
              </w:rPr>
            </w:pPr>
          </w:p>
        </w:tc>
        <w:tc>
          <w:tcPr>
            <w:tcW w:w="529" w:type="pct"/>
            <w:noWrap w:val="0"/>
            <w:vAlign w:val="center"/>
          </w:tcPr>
          <w:p w14:paraId="50E6A2FB">
            <w:pPr>
              <w:pStyle w:val="85"/>
              <w:spacing w:line="440" w:lineRule="exact"/>
              <w:jc w:val="center"/>
              <w:rPr>
                <w:rFonts w:hint="eastAsia" w:ascii="宋体" w:hAnsi="宋体" w:eastAsia="宋体" w:cs="宋体"/>
                <w:color w:val="000000"/>
              </w:rPr>
            </w:pPr>
          </w:p>
        </w:tc>
        <w:tc>
          <w:tcPr>
            <w:tcW w:w="450" w:type="pct"/>
            <w:noWrap w:val="0"/>
            <w:vAlign w:val="center"/>
          </w:tcPr>
          <w:p w14:paraId="67917295">
            <w:pPr>
              <w:pStyle w:val="85"/>
              <w:spacing w:line="440" w:lineRule="exact"/>
              <w:jc w:val="center"/>
              <w:rPr>
                <w:rFonts w:hint="eastAsia" w:ascii="宋体" w:hAnsi="宋体" w:eastAsia="宋体" w:cs="宋体"/>
                <w:color w:val="000000"/>
              </w:rPr>
            </w:pPr>
          </w:p>
        </w:tc>
        <w:tc>
          <w:tcPr>
            <w:tcW w:w="590" w:type="pct"/>
            <w:noWrap w:val="0"/>
            <w:vAlign w:val="center"/>
          </w:tcPr>
          <w:p w14:paraId="020BE8BE">
            <w:pPr>
              <w:pStyle w:val="85"/>
              <w:spacing w:line="440" w:lineRule="exact"/>
              <w:jc w:val="center"/>
              <w:rPr>
                <w:rFonts w:hint="eastAsia" w:ascii="宋体" w:hAnsi="宋体" w:eastAsia="宋体" w:cs="宋体"/>
                <w:color w:val="000000"/>
              </w:rPr>
            </w:pPr>
          </w:p>
        </w:tc>
        <w:tc>
          <w:tcPr>
            <w:tcW w:w="913" w:type="pct"/>
            <w:noWrap w:val="0"/>
            <w:vAlign w:val="center"/>
          </w:tcPr>
          <w:p w14:paraId="4DB6AAB4">
            <w:pPr>
              <w:pStyle w:val="85"/>
              <w:spacing w:line="440" w:lineRule="exact"/>
              <w:jc w:val="center"/>
              <w:rPr>
                <w:rFonts w:hint="eastAsia" w:ascii="宋体" w:hAnsi="宋体" w:eastAsia="宋体" w:cs="宋体"/>
                <w:color w:val="000000"/>
              </w:rPr>
            </w:pPr>
          </w:p>
        </w:tc>
        <w:tc>
          <w:tcPr>
            <w:tcW w:w="913" w:type="pct"/>
            <w:noWrap w:val="0"/>
            <w:vAlign w:val="center"/>
          </w:tcPr>
          <w:p w14:paraId="78E9397F">
            <w:pPr>
              <w:pStyle w:val="85"/>
              <w:spacing w:line="440" w:lineRule="exact"/>
              <w:jc w:val="center"/>
              <w:rPr>
                <w:rFonts w:hint="eastAsia" w:ascii="宋体" w:hAnsi="宋体" w:eastAsia="宋体" w:cs="宋体"/>
                <w:color w:val="000000"/>
              </w:rPr>
            </w:pPr>
          </w:p>
        </w:tc>
        <w:tc>
          <w:tcPr>
            <w:tcW w:w="913" w:type="pct"/>
            <w:noWrap w:val="0"/>
            <w:vAlign w:val="top"/>
          </w:tcPr>
          <w:p w14:paraId="720D8CCE">
            <w:pPr>
              <w:pStyle w:val="85"/>
              <w:spacing w:line="440" w:lineRule="exact"/>
              <w:jc w:val="center"/>
              <w:rPr>
                <w:rFonts w:hint="eastAsia" w:ascii="宋体" w:hAnsi="宋体" w:eastAsia="宋体" w:cs="宋体"/>
                <w:color w:val="000000"/>
              </w:rPr>
            </w:pPr>
          </w:p>
        </w:tc>
      </w:tr>
      <w:tr w14:paraId="54DDF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 w:type="pct"/>
            <w:noWrap w:val="0"/>
            <w:vAlign w:val="top"/>
          </w:tcPr>
          <w:p w14:paraId="20A3C71E">
            <w:pPr>
              <w:pStyle w:val="85"/>
              <w:spacing w:line="440" w:lineRule="exact"/>
              <w:jc w:val="center"/>
              <w:rPr>
                <w:rFonts w:hint="eastAsia" w:ascii="宋体" w:hAnsi="宋体" w:eastAsia="宋体" w:cs="宋体"/>
                <w:color w:val="000000"/>
              </w:rPr>
            </w:pPr>
          </w:p>
        </w:tc>
        <w:tc>
          <w:tcPr>
            <w:tcW w:w="424" w:type="pct"/>
            <w:noWrap w:val="0"/>
            <w:vAlign w:val="top"/>
          </w:tcPr>
          <w:p w14:paraId="4E9B9021">
            <w:pPr>
              <w:pStyle w:val="85"/>
              <w:spacing w:line="440" w:lineRule="exact"/>
              <w:jc w:val="center"/>
              <w:rPr>
                <w:rFonts w:hint="eastAsia" w:ascii="宋体" w:hAnsi="宋体" w:eastAsia="宋体" w:cs="宋体"/>
                <w:color w:val="000000"/>
              </w:rPr>
            </w:pPr>
          </w:p>
        </w:tc>
        <w:tc>
          <w:tcPr>
            <w:tcW w:w="529" w:type="pct"/>
            <w:noWrap w:val="0"/>
            <w:vAlign w:val="top"/>
          </w:tcPr>
          <w:p w14:paraId="33B2EFD8">
            <w:pPr>
              <w:pStyle w:val="85"/>
              <w:spacing w:line="440" w:lineRule="exact"/>
              <w:jc w:val="center"/>
              <w:rPr>
                <w:rFonts w:hint="eastAsia" w:ascii="宋体" w:hAnsi="宋体" w:eastAsia="宋体" w:cs="宋体"/>
                <w:color w:val="000000"/>
              </w:rPr>
            </w:pPr>
          </w:p>
        </w:tc>
        <w:tc>
          <w:tcPr>
            <w:tcW w:w="450" w:type="pct"/>
            <w:noWrap w:val="0"/>
            <w:vAlign w:val="top"/>
          </w:tcPr>
          <w:p w14:paraId="2EB769A0">
            <w:pPr>
              <w:pStyle w:val="85"/>
              <w:spacing w:line="440" w:lineRule="exact"/>
              <w:jc w:val="center"/>
              <w:rPr>
                <w:rFonts w:hint="eastAsia" w:ascii="宋体" w:hAnsi="宋体" w:eastAsia="宋体" w:cs="宋体"/>
                <w:color w:val="000000"/>
              </w:rPr>
            </w:pPr>
          </w:p>
        </w:tc>
        <w:tc>
          <w:tcPr>
            <w:tcW w:w="590" w:type="pct"/>
            <w:noWrap w:val="0"/>
            <w:vAlign w:val="top"/>
          </w:tcPr>
          <w:p w14:paraId="4E46ADEA">
            <w:pPr>
              <w:pStyle w:val="85"/>
              <w:spacing w:line="440" w:lineRule="exact"/>
              <w:jc w:val="center"/>
              <w:rPr>
                <w:rFonts w:hint="eastAsia" w:ascii="宋体" w:hAnsi="宋体" w:eastAsia="宋体" w:cs="宋体"/>
                <w:color w:val="000000"/>
              </w:rPr>
            </w:pPr>
          </w:p>
        </w:tc>
        <w:tc>
          <w:tcPr>
            <w:tcW w:w="913" w:type="pct"/>
            <w:noWrap w:val="0"/>
            <w:vAlign w:val="top"/>
          </w:tcPr>
          <w:p w14:paraId="29B5C6AC">
            <w:pPr>
              <w:pStyle w:val="85"/>
              <w:spacing w:line="440" w:lineRule="exact"/>
              <w:jc w:val="center"/>
              <w:rPr>
                <w:rFonts w:hint="eastAsia" w:ascii="宋体" w:hAnsi="宋体" w:eastAsia="宋体" w:cs="宋体"/>
                <w:color w:val="000000"/>
              </w:rPr>
            </w:pPr>
          </w:p>
        </w:tc>
        <w:tc>
          <w:tcPr>
            <w:tcW w:w="913" w:type="pct"/>
            <w:noWrap w:val="0"/>
            <w:vAlign w:val="top"/>
          </w:tcPr>
          <w:p w14:paraId="1AF929F9">
            <w:pPr>
              <w:pStyle w:val="85"/>
              <w:spacing w:line="440" w:lineRule="exact"/>
              <w:jc w:val="center"/>
              <w:rPr>
                <w:rFonts w:hint="eastAsia" w:ascii="宋体" w:hAnsi="宋体" w:eastAsia="宋体" w:cs="宋体"/>
                <w:color w:val="000000"/>
              </w:rPr>
            </w:pPr>
          </w:p>
        </w:tc>
        <w:tc>
          <w:tcPr>
            <w:tcW w:w="913" w:type="pct"/>
            <w:noWrap w:val="0"/>
            <w:vAlign w:val="top"/>
          </w:tcPr>
          <w:p w14:paraId="09E24CD2">
            <w:pPr>
              <w:pStyle w:val="85"/>
              <w:spacing w:line="440" w:lineRule="exact"/>
              <w:jc w:val="center"/>
              <w:rPr>
                <w:rFonts w:hint="eastAsia" w:ascii="宋体" w:hAnsi="宋体" w:eastAsia="宋体" w:cs="宋体"/>
                <w:color w:val="000000"/>
              </w:rPr>
            </w:pPr>
          </w:p>
        </w:tc>
      </w:tr>
      <w:tr w14:paraId="2A72A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 w:type="pct"/>
            <w:noWrap w:val="0"/>
            <w:vAlign w:val="top"/>
          </w:tcPr>
          <w:p w14:paraId="303F8787">
            <w:pPr>
              <w:pStyle w:val="85"/>
              <w:spacing w:line="440" w:lineRule="exact"/>
              <w:jc w:val="center"/>
              <w:rPr>
                <w:rFonts w:hint="eastAsia" w:ascii="宋体" w:hAnsi="宋体" w:eastAsia="宋体" w:cs="宋体"/>
                <w:color w:val="000000"/>
              </w:rPr>
            </w:pPr>
          </w:p>
        </w:tc>
        <w:tc>
          <w:tcPr>
            <w:tcW w:w="424" w:type="pct"/>
            <w:noWrap w:val="0"/>
            <w:vAlign w:val="top"/>
          </w:tcPr>
          <w:p w14:paraId="2DD0B4E8">
            <w:pPr>
              <w:pStyle w:val="85"/>
              <w:spacing w:line="440" w:lineRule="exact"/>
              <w:jc w:val="center"/>
              <w:rPr>
                <w:rFonts w:hint="eastAsia" w:ascii="宋体" w:hAnsi="宋体" w:eastAsia="宋体" w:cs="宋体"/>
                <w:color w:val="000000"/>
              </w:rPr>
            </w:pPr>
          </w:p>
        </w:tc>
        <w:tc>
          <w:tcPr>
            <w:tcW w:w="529" w:type="pct"/>
            <w:noWrap w:val="0"/>
            <w:vAlign w:val="top"/>
          </w:tcPr>
          <w:p w14:paraId="0FF57D40">
            <w:pPr>
              <w:pStyle w:val="85"/>
              <w:spacing w:line="440" w:lineRule="exact"/>
              <w:jc w:val="center"/>
              <w:rPr>
                <w:rFonts w:hint="eastAsia" w:ascii="宋体" w:hAnsi="宋体" w:eastAsia="宋体" w:cs="宋体"/>
                <w:color w:val="000000"/>
              </w:rPr>
            </w:pPr>
          </w:p>
        </w:tc>
        <w:tc>
          <w:tcPr>
            <w:tcW w:w="450" w:type="pct"/>
            <w:noWrap w:val="0"/>
            <w:vAlign w:val="top"/>
          </w:tcPr>
          <w:p w14:paraId="31237BD7">
            <w:pPr>
              <w:pStyle w:val="85"/>
              <w:spacing w:line="440" w:lineRule="exact"/>
              <w:jc w:val="center"/>
              <w:rPr>
                <w:rFonts w:hint="eastAsia" w:ascii="宋体" w:hAnsi="宋体" w:eastAsia="宋体" w:cs="宋体"/>
                <w:color w:val="000000"/>
              </w:rPr>
            </w:pPr>
          </w:p>
        </w:tc>
        <w:tc>
          <w:tcPr>
            <w:tcW w:w="590" w:type="pct"/>
            <w:noWrap w:val="0"/>
            <w:vAlign w:val="top"/>
          </w:tcPr>
          <w:p w14:paraId="5D32816E">
            <w:pPr>
              <w:pStyle w:val="85"/>
              <w:spacing w:line="440" w:lineRule="exact"/>
              <w:jc w:val="center"/>
              <w:rPr>
                <w:rFonts w:hint="eastAsia" w:ascii="宋体" w:hAnsi="宋体" w:eastAsia="宋体" w:cs="宋体"/>
                <w:color w:val="000000"/>
              </w:rPr>
            </w:pPr>
          </w:p>
        </w:tc>
        <w:tc>
          <w:tcPr>
            <w:tcW w:w="913" w:type="pct"/>
            <w:noWrap w:val="0"/>
            <w:vAlign w:val="top"/>
          </w:tcPr>
          <w:p w14:paraId="27976613">
            <w:pPr>
              <w:pStyle w:val="85"/>
              <w:spacing w:line="440" w:lineRule="exact"/>
              <w:jc w:val="center"/>
              <w:rPr>
                <w:rFonts w:hint="eastAsia" w:ascii="宋体" w:hAnsi="宋体" w:eastAsia="宋体" w:cs="宋体"/>
                <w:color w:val="000000"/>
              </w:rPr>
            </w:pPr>
          </w:p>
        </w:tc>
        <w:tc>
          <w:tcPr>
            <w:tcW w:w="913" w:type="pct"/>
            <w:noWrap w:val="0"/>
            <w:vAlign w:val="top"/>
          </w:tcPr>
          <w:p w14:paraId="54271B52">
            <w:pPr>
              <w:pStyle w:val="85"/>
              <w:spacing w:line="440" w:lineRule="exact"/>
              <w:jc w:val="center"/>
              <w:rPr>
                <w:rFonts w:hint="eastAsia" w:ascii="宋体" w:hAnsi="宋体" w:eastAsia="宋体" w:cs="宋体"/>
                <w:color w:val="000000"/>
              </w:rPr>
            </w:pPr>
          </w:p>
        </w:tc>
        <w:tc>
          <w:tcPr>
            <w:tcW w:w="913" w:type="pct"/>
            <w:noWrap w:val="0"/>
            <w:vAlign w:val="top"/>
          </w:tcPr>
          <w:p w14:paraId="4D650C65">
            <w:pPr>
              <w:pStyle w:val="85"/>
              <w:spacing w:line="440" w:lineRule="exact"/>
              <w:jc w:val="center"/>
              <w:rPr>
                <w:rFonts w:hint="eastAsia" w:ascii="宋体" w:hAnsi="宋体" w:eastAsia="宋体" w:cs="宋体"/>
                <w:color w:val="000000"/>
              </w:rPr>
            </w:pPr>
          </w:p>
        </w:tc>
      </w:tr>
      <w:tr w14:paraId="04B4B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 w:type="pct"/>
            <w:noWrap w:val="0"/>
            <w:vAlign w:val="top"/>
          </w:tcPr>
          <w:p w14:paraId="37DC8A73">
            <w:pPr>
              <w:pStyle w:val="85"/>
              <w:spacing w:line="440" w:lineRule="exact"/>
              <w:jc w:val="center"/>
              <w:rPr>
                <w:rFonts w:hint="eastAsia" w:ascii="宋体" w:hAnsi="宋体" w:eastAsia="宋体" w:cs="宋体"/>
                <w:color w:val="000000"/>
              </w:rPr>
            </w:pPr>
          </w:p>
        </w:tc>
        <w:tc>
          <w:tcPr>
            <w:tcW w:w="424" w:type="pct"/>
            <w:noWrap w:val="0"/>
            <w:vAlign w:val="top"/>
          </w:tcPr>
          <w:p w14:paraId="60054B4D">
            <w:pPr>
              <w:pStyle w:val="85"/>
              <w:spacing w:line="440" w:lineRule="exact"/>
              <w:jc w:val="center"/>
              <w:rPr>
                <w:rFonts w:hint="eastAsia" w:ascii="宋体" w:hAnsi="宋体" w:eastAsia="宋体" w:cs="宋体"/>
                <w:color w:val="000000"/>
              </w:rPr>
            </w:pPr>
          </w:p>
        </w:tc>
        <w:tc>
          <w:tcPr>
            <w:tcW w:w="529" w:type="pct"/>
            <w:noWrap w:val="0"/>
            <w:vAlign w:val="top"/>
          </w:tcPr>
          <w:p w14:paraId="3FCE1999">
            <w:pPr>
              <w:pStyle w:val="85"/>
              <w:spacing w:line="440" w:lineRule="exact"/>
              <w:jc w:val="center"/>
              <w:rPr>
                <w:rFonts w:hint="eastAsia" w:ascii="宋体" w:hAnsi="宋体" w:eastAsia="宋体" w:cs="宋体"/>
                <w:color w:val="000000"/>
              </w:rPr>
            </w:pPr>
          </w:p>
        </w:tc>
        <w:tc>
          <w:tcPr>
            <w:tcW w:w="450" w:type="pct"/>
            <w:noWrap w:val="0"/>
            <w:vAlign w:val="top"/>
          </w:tcPr>
          <w:p w14:paraId="10A6E66E">
            <w:pPr>
              <w:pStyle w:val="85"/>
              <w:spacing w:line="440" w:lineRule="exact"/>
              <w:jc w:val="center"/>
              <w:rPr>
                <w:rFonts w:hint="eastAsia" w:ascii="宋体" w:hAnsi="宋体" w:eastAsia="宋体" w:cs="宋体"/>
                <w:color w:val="000000"/>
              </w:rPr>
            </w:pPr>
          </w:p>
        </w:tc>
        <w:tc>
          <w:tcPr>
            <w:tcW w:w="590" w:type="pct"/>
            <w:noWrap w:val="0"/>
            <w:vAlign w:val="top"/>
          </w:tcPr>
          <w:p w14:paraId="723BE7C4">
            <w:pPr>
              <w:pStyle w:val="85"/>
              <w:spacing w:line="440" w:lineRule="exact"/>
              <w:jc w:val="center"/>
              <w:rPr>
                <w:rFonts w:hint="eastAsia" w:ascii="宋体" w:hAnsi="宋体" w:eastAsia="宋体" w:cs="宋体"/>
                <w:color w:val="000000"/>
              </w:rPr>
            </w:pPr>
          </w:p>
        </w:tc>
        <w:tc>
          <w:tcPr>
            <w:tcW w:w="913" w:type="pct"/>
            <w:noWrap w:val="0"/>
            <w:vAlign w:val="top"/>
          </w:tcPr>
          <w:p w14:paraId="46513454">
            <w:pPr>
              <w:pStyle w:val="85"/>
              <w:spacing w:line="440" w:lineRule="exact"/>
              <w:jc w:val="center"/>
              <w:rPr>
                <w:rFonts w:hint="eastAsia" w:ascii="宋体" w:hAnsi="宋体" w:eastAsia="宋体" w:cs="宋体"/>
                <w:color w:val="000000"/>
              </w:rPr>
            </w:pPr>
          </w:p>
        </w:tc>
        <w:tc>
          <w:tcPr>
            <w:tcW w:w="913" w:type="pct"/>
            <w:noWrap w:val="0"/>
            <w:vAlign w:val="top"/>
          </w:tcPr>
          <w:p w14:paraId="49C13F83">
            <w:pPr>
              <w:pStyle w:val="85"/>
              <w:spacing w:line="440" w:lineRule="exact"/>
              <w:jc w:val="center"/>
              <w:rPr>
                <w:rFonts w:hint="eastAsia" w:ascii="宋体" w:hAnsi="宋体" w:eastAsia="宋体" w:cs="宋体"/>
                <w:color w:val="000000"/>
              </w:rPr>
            </w:pPr>
          </w:p>
        </w:tc>
        <w:tc>
          <w:tcPr>
            <w:tcW w:w="913" w:type="pct"/>
            <w:noWrap w:val="0"/>
            <w:vAlign w:val="top"/>
          </w:tcPr>
          <w:p w14:paraId="6A6C7C2A">
            <w:pPr>
              <w:pStyle w:val="85"/>
              <w:spacing w:line="440" w:lineRule="exact"/>
              <w:jc w:val="center"/>
              <w:rPr>
                <w:rFonts w:hint="eastAsia" w:ascii="宋体" w:hAnsi="宋体" w:eastAsia="宋体" w:cs="宋体"/>
                <w:color w:val="000000"/>
              </w:rPr>
            </w:pPr>
          </w:p>
        </w:tc>
      </w:tr>
      <w:tr w14:paraId="480CC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 w:type="pct"/>
            <w:noWrap w:val="0"/>
            <w:vAlign w:val="top"/>
          </w:tcPr>
          <w:p w14:paraId="4F0D06E3">
            <w:pPr>
              <w:pStyle w:val="85"/>
              <w:spacing w:line="440" w:lineRule="exact"/>
              <w:jc w:val="center"/>
              <w:rPr>
                <w:rFonts w:hint="eastAsia" w:ascii="宋体" w:hAnsi="宋体" w:eastAsia="宋体" w:cs="宋体"/>
                <w:color w:val="000000"/>
              </w:rPr>
            </w:pPr>
          </w:p>
        </w:tc>
        <w:tc>
          <w:tcPr>
            <w:tcW w:w="424" w:type="pct"/>
            <w:noWrap w:val="0"/>
            <w:vAlign w:val="top"/>
          </w:tcPr>
          <w:p w14:paraId="56A9F9F3">
            <w:pPr>
              <w:pStyle w:val="85"/>
              <w:spacing w:line="440" w:lineRule="exact"/>
              <w:jc w:val="center"/>
              <w:rPr>
                <w:rFonts w:hint="eastAsia" w:ascii="宋体" w:hAnsi="宋体" w:eastAsia="宋体" w:cs="宋体"/>
                <w:color w:val="000000"/>
              </w:rPr>
            </w:pPr>
          </w:p>
        </w:tc>
        <w:tc>
          <w:tcPr>
            <w:tcW w:w="529" w:type="pct"/>
            <w:noWrap w:val="0"/>
            <w:vAlign w:val="top"/>
          </w:tcPr>
          <w:p w14:paraId="7EB867EA">
            <w:pPr>
              <w:pStyle w:val="85"/>
              <w:spacing w:line="440" w:lineRule="exact"/>
              <w:jc w:val="center"/>
              <w:rPr>
                <w:rFonts w:hint="eastAsia" w:ascii="宋体" w:hAnsi="宋体" w:eastAsia="宋体" w:cs="宋体"/>
                <w:color w:val="000000"/>
              </w:rPr>
            </w:pPr>
          </w:p>
        </w:tc>
        <w:tc>
          <w:tcPr>
            <w:tcW w:w="450" w:type="pct"/>
            <w:noWrap w:val="0"/>
            <w:vAlign w:val="top"/>
          </w:tcPr>
          <w:p w14:paraId="74493A28">
            <w:pPr>
              <w:pStyle w:val="85"/>
              <w:spacing w:line="440" w:lineRule="exact"/>
              <w:jc w:val="center"/>
              <w:rPr>
                <w:rFonts w:hint="eastAsia" w:ascii="宋体" w:hAnsi="宋体" w:eastAsia="宋体" w:cs="宋体"/>
                <w:color w:val="000000"/>
              </w:rPr>
            </w:pPr>
          </w:p>
        </w:tc>
        <w:tc>
          <w:tcPr>
            <w:tcW w:w="590" w:type="pct"/>
            <w:noWrap w:val="0"/>
            <w:vAlign w:val="top"/>
          </w:tcPr>
          <w:p w14:paraId="26D5149D">
            <w:pPr>
              <w:pStyle w:val="85"/>
              <w:spacing w:line="440" w:lineRule="exact"/>
              <w:jc w:val="center"/>
              <w:rPr>
                <w:rFonts w:hint="eastAsia" w:ascii="宋体" w:hAnsi="宋体" w:eastAsia="宋体" w:cs="宋体"/>
                <w:color w:val="000000"/>
              </w:rPr>
            </w:pPr>
          </w:p>
        </w:tc>
        <w:tc>
          <w:tcPr>
            <w:tcW w:w="913" w:type="pct"/>
            <w:noWrap w:val="0"/>
            <w:vAlign w:val="top"/>
          </w:tcPr>
          <w:p w14:paraId="20FC47E4">
            <w:pPr>
              <w:pStyle w:val="85"/>
              <w:spacing w:line="440" w:lineRule="exact"/>
              <w:jc w:val="center"/>
              <w:rPr>
                <w:rFonts w:hint="eastAsia" w:ascii="宋体" w:hAnsi="宋体" w:eastAsia="宋体" w:cs="宋体"/>
                <w:color w:val="000000"/>
              </w:rPr>
            </w:pPr>
          </w:p>
        </w:tc>
        <w:tc>
          <w:tcPr>
            <w:tcW w:w="913" w:type="pct"/>
            <w:noWrap w:val="0"/>
            <w:vAlign w:val="top"/>
          </w:tcPr>
          <w:p w14:paraId="2588468C">
            <w:pPr>
              <w:pStyle w:val="85"/>
              <w:spacing w:line="440" w:lineRule="exact"/>
              <w:jc w:val="center"/>
              <w:rPr>
                <w:rFonts w:hint="eastAsia" w:ascii="宋体" w:hAnsi="宋体" w:eastAsia="宋体" w:cs="宋体"/>
                <w:color w:val="000000"/>
              </w:rPr>
            </w:pPr>
          </w:p>
        </w:tc>
        <w:tc>
          <w:tcPr>
            <w:tcW w:w="913" w:type="pct"/>
            <w:noWrap w:val="0"/>
            <w:vAlign w:val="top"/>
          </w:tcPr>
          <w:p w14:paraId="3CC15790">
            <w:pPr>
              <w:pStyle w:val="85"/>
              <w:spacing w:line="440" w:lineRule="exact"/>
              <w:jc w:val="center"/>
              <w:rPr>
                <w:rFonts w:hint="eastAsia" w:ascii="宋体" w:hAnsi="宋体" w:eastAsia="宋体" w:cs="宋体"/>
                <w:color w:val="000000"/>
              </w:rPr>
            </w:pPr>
          </w:p>
        </w:tc>
      </w:tr>
      <w:tr w14:paraId="0BEA6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 w:type="pct"/>
            <w:noWrap w:val="0"/>
            <w:vAlign w:val="top"/>
          </w:tcPr>
          <w:p w14:paraId="3E7E7E6D">
            <w:pPr>
              <w:pStyle w:val="85"/>
              <w:spacing w:line="440" w:lineRule="exact"/>
              <w:jc w:val="center"/>
              <w:rPr>
                <w:rFonts w:hint="eastAsia" w:ascii="宋体" w:hAnsi="宋体" w:eastAsia="宋体" w:cs="宋体"/>
                <w:color w:val="000000"/>
              </w:rPr>
            </w:pPr>
          </w:p>
        </w:tc>
        <w:tc>
          <w:tcPr>
            <w:tcW w:w="424" w:type="pct"/>
            <w:noWrap w:val="0"/>
            <w:vAlign w:val="top"/>
          </w:tcPr>
          <w:p w14:paraId="3CB13612">
            <w:pPr>
              <w:pStyle w:val="85"/>
              <w:spacing w:line="440" w:lineRule="exact"/>
              <w:jc w:val="center"/>
              <w:rPr>
                <w:rFonts w:hint="eastAsia" w:ascii="宋体" w:hAnsi="宋体" w:eastAsia="宋体" w:cs="宋体"/>
                <w:color w:val="000000"/>
              </w:rPr>
            </w:pPr>
          </w:p>
        </w:tc>
        <w:tc>
          <w:tcPr>
            <w:tcW w:w="529" w:type="pct"/>
            <w:noWrap w:val="0"/>
            <w:vAlign w:val="top"/>
          </w:tcPr>
          <w:p w14:paraId="1228B30A">
            <w:pPr>
              <w:pStyle w:val="85"/>
              <w:spacing w:line="440" w:lineRule="exact"/>
              <w:jc w:val="center"/>
              <w:rPr>
                <w:rFonts w:hint="eastAsia" w:ascii="宋体" w:hAnsi="宋体" w:eastAsia="宋体" w:cs="宋体"/>
                <w:color w:val="000000"/>
              </w:rPr>
            </w:pPr>
          </w:p>
        </w:tc>
        <w:tc>
          <w:tcPr>
            <w:tcW w:w="450" w:type="pct"/>
            <w:noWrap w:val="0"/>
            <w:vAlign w:val="top"/>
          </w:tcPr>
          <w:p w14:paraId="0D47F898">
            <w:pPr>
              <w:pStyle w:val="85"/>
              <w:spacing w:line="440" w:lineRule="exact"/>
              <w:jc w:val="center"/>
              <w:rPr>
                <w:rFonts w:hint="eastAsia" w:ascii="宋体" w:hAnsi="宋体" w:eastAsia="宋体" w:cs="宋体"/>
                <w:color w:val="000000"/>
              </w:rPr>
            </w:pPr>
          </w:p>
        </w:tc>
        <w:tc>
          <w:tcPr>
            <w:tcW w:w="590" w:type="pct"/>
            <w:noWrap w:val="0"/>
            <w:vAlign w:val="top"/>
          </w:tcPr>
          <w:p w14:paraId="2FA6C438">
            <w:pPr>
              <w:pStyle w:val="85"/>
              <w:spacing w:line="440" w:lineRule="exact"/>
              <w:jc w:val="center"/>
              <w:rPr>
                <w:rFonts w:hint="eastAsia" w:ascii="宋体" w:hAnsi="宋体" w:eastAsia="宋体" w:cs="宋体"/>
                <w:color w:val="000000"/>
              </w:rPr>
            </w:pPr>
          </w:p>
        </w:tc>
        <w:tc>
          <w:tcPr>
            <w:tcW w:w="913" w:type="pct"/>
            <w:noWrap w:val="0"/>
            <w:vAlign w:val="top"/>
          </w:tcPr>
          <w:p w14:paraId="37DFC4A3">
            <w:pPr>
              <w:pStyle w:val="85"/>
              <w:spacing w:line="440" w:lineRule="exact"/>
              <w:jc w:val="center"/>
              <w:rPr>
                <w:rFonts w:hint="eastAsia" w:ascii="宋体" w:hAnsi="宋体" w:eastAsia="宋体" w:cs="宋体"/>
                <w:color w:val="000000"/>
              </w:rPr>
            </w:pPr>
          </w:p>
        </w:tc>
        <w:tc>
          <w:tcPr>
            <w:tcW w:w="913" w:type="pct"/>
            <w:noWrap w:val="0"/>
            <w:vAlign w:val="top"/>
          </w:tcPr>
          <w:p w14:paraId="3ED431B5">
            <w:pPr>
              <w:pStyle w:val="85"/>
              <w:spacing w:line="440" w:lineRule="exact"/>
              <w:jc w:val="center"/>
              <w:rPr>
                <w:rFonts w:hint="eastAsia" w:ascii="宋体" w:hAnsi="宋体" w:eastAsia="宋体" w:cs="宋体"/>
                <w:color w:val="000000"/>
              </w:rPr>
            </w:pPr>
          </w:p>
        </w:tc>
        <w:tc>
          <w:tcPr>
            <w:tcW w:w="913" w:type="pct"/>
            <w:noWrap w:val="0"/>
            <w:vAlign w:val="top"/>
          </w:tcPr>
          <w:p w14:paraId="44C59CD7">
            <w:pPr>
              <w:pStyle w:val="85"/>
              <w:spacing w:line="440" w:lineRule="exact"/>
              <w:jc w:val="center"/>
              <w:rPr>
                <w:rFonts w:hint="eastAsia" w:ascii="宋体" w:hAnsi="宋体" w:eastAsia="宋体" w:cs="宋体"/>
                <w:color w:val="000000"/>
              </w:rPr>
            </w:pPr>
          </w:p>
        </w:tc>
      </w:tr>
      <w:tr w14:paraId="37B23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 w:type="pct"/>
            <w:noWrap w:val="0"/>
            <w:vAlign w:val="top"/>
          </w:tcPr>
          <w:p w14:paraId="1FB880EC">
            <w:pPr>
              <w:pStyle w:val="85"/>
              <w:spacing w:line="440" w:lineRule="exact"/>
              <w:jc w:val="center"/>
              <w:rPr>
                <w:rFonts w:hint="eastAsia" w:ascii="宋体" w:hAnsi="宋体" w:eastAsia="宋体" w:cs="宋体"/>
                <w:color w:val="000000"/>
              </w:rPr>
            </w:pPr>
          </w:p>
        </w:tc>
        <w:tc>
          <w:tcPr>
            <w:tcW w:w="424" w:type="pct"/>
            <w:noWrap w:val="0"/>
            <w:vAlign w:val="top"/>
          </w:tcPr>
          <w:p w14:paraId="2FA9F461">
            <w:pPr>
              <w:pStyle w:val="85"/>
              <w:spacing w:line="440" w:lineRule="exact"/>
              <w:jc w:val="center"/>
              <w:rPr>
                <w:rFonts w:hint="eastAsia" w:ascii="宋体" w:hAnsi="宋体" w:eastAsia="宋体" w:cs="宋体"/>
                <w:color w:val="000000"/>
              </w:rPr>
            </w:pPr>
          </w:p>
        </w:tc>
        <w:tc>
          <w:tcPr>
            <w:tcW w:w="529" w:type="pct"/>
            <w:noWrap w:val="0"/>
            <w:vAlign w:val="top"/>
          </w:tcPr>
          <w:p w14:paraId="31BE41D1">
            <w:pPr>
              <w:pStyle w:val="85"/>
              <w:spacing w:line="440" w:lineRule="exact"/>
              <w:jc w:val="center"/>
              <w:rPr>
                <w:rFonts w:hint="eastAsia" w:ascii="宋体" w:hAnsi="宋体" w:eastAsia="宋体" w:cs="宋体"/>
                <w:color w:val="000000"/>
              </w:rPr>
            </w:pPr>
          </w:p>
        </w:tc>
        <w:tc>
          <w:tcPr>
            <w:tcW w:w="450" w:type="pct"/>
            <w:noWrap w:val="0"/>
            <w:vAlign w:val="top"/>
          </w:tcPr>
          <w:p w14:paraId="046628FE">
            <w:pPr>
              <w:pStyle w:val="85"/>
              <w:spacing w:line="440" w:lineRule="exact"/>
              <w:jc w:val="center"/>
              <w:rPr>
                <w:rFonts w:hint="eastAsia" w:ascii="宋体" w:hAnsi="宋体" w:eastAsia="宋体" w:cs="宋体"/>
                <w:color w:val="000000"/>
              </w:rPr>
            </w:pPr>
          </w:p>
        </w:tc>
        <w:tc>
          <w:tcPr>
            <w:tcW w:w="590" w:type="pct"/>
            <w:noWrap w:val="0"/>
            <w:vAlign w:val="top"/>
          </w:tcPr>
          <w:p w14:paraId="02D098ED">
            <w:pPr>
              <w:pStyle w:val="85"/>
              <w:spacing w:line="440" w:lineRule="exact"/>
              <w:jc w:val="center"/>
              <w:rPr>
                <w:rFonts w:hint="eastAsia" w:ascii="宋体" w:hAnsi="宋体" w:eastAsia="宋体" w:cs="宋体"/>
                <w:color w:val="000000"/>
              </w:rPr>
            </w:pPr>
          </w:p>
        </w:tc>
        <w:tc>
          <w:tcPr>
            <w:tcW w:w="913" w:type="pct"/>
            <w:noWrap w:val="0"/>
            <w:vAlign w:val="top"/>
          </w:tcPr>
          <w:p w14:paraId="040ADE88">
            <w:pPr>
              <w:pStyle w:val="85"/>
              <w:spacing w:line="440" w:lineRule="exact"/>
              <w:jc w:val="center"/>
              <w:rPr>
                <w:rFonts w:hint="eastAsia" w:ascii="宋体" w:hAnsi="宋体" w:eastAsia="宋体" w:cs="宋体"/>
                <w:color w:val="000000"/>
              </w:rPr>
            </w:pPr>
          </w:p>
        </w:tc>
        <w:tc>
          <w:tcPr>
            <w:tcW w:w="913" w:type="pct"/>
            <w:noWrap w:val="0"/>
            <w:vAlign w:val="top"/>
          </w:tcPr>
          <w:p w14:paraId="5F8427CA">
            <w:pPr>
              <w:pStyle w:val="85"/>
              <w:spacing w:line="440" w:lineRule="exact"/>
              <w:jc w:val="center"/>
              <w:rPr>
                <w:rFonts w:hint="eastAsia" w:ascii="宋体" w:hAnsi="宋体" w:eastAsia="宋体" w:cs="宋体"/>
                <w:color w:val="000000"/>
              </w:rPr>
            </w:pPr>
          </w:p>
        </w:tc>
        <w:tc>
          <w:tcPr>
            <w:tcW w:w="913" w:type="pct"/>
            <w:noWrap w:val="0"/>
            <w:vAlign w:val="top"/>
          </w:tcPr>
          <w:p w14:paraId="24FE89D4">
            <w:pPr>
              <w:pStyle w:val="85"/>
              <w:spacing w:line="440" w:lineRule="exact"/>
              <w:jc w:val="center"/>
              <w:rPr>
                <w:rFonts w:hint="eastAsia" w:ascii="宋体" w:hAnsi="宋体" w:eastAsia="宋体" w:cs="宋体"/>
                <w:color w:val="000000"/>
              </w:rPr>
            </w:pPr>
          </w:p>
        </w:tc>
      </w:tr>
      <w:tr w14:paraId="0845D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 w:type="pct"/>
            <w:noWrap w:val="0"/>
            <w:vAlign w:val="top"/>
          </w:tcPr>
          <w:p w14:paraId="72EB9748">
            <w:pPr>
              <w:pStyle w:val="85"/>
              <w:spacing w:line="440" w:lineRule="exact"/>
              <w:jc w:val="center"/>
              <w:rPr>
                <w:rFonts w:hint="eastAsia" w:ascii="宋体" w:hAnsi="宋体" w:eastAsia="宋体" w:cs="宋体"/>
                <w:color w:val="000000"/>
              </w:rPr>
            </w:pPr>
          </w:p>
        </w:tc>
        <w:tc>
          <w:tcPr>
            <w:tcW w:w="424" w:type="pct"/>
            <w:noWrap w:val="0"/>
            <w:vAlign w:val="top"/>
          </w:tcPr>
          <w:p w14:paraId="56F9B637">
            <w:pPr>
              <w:pStyle w:val="85"/>
              <w:spacing w:line="440" w:lineRule="exact"/>
              <w:jc w:val="center"/>
              <w:rPr>
                <w:rFonts w:hint="eastAsia" w:ascii="宋体" w:hAnsi="宋体" w:eastAsia="宋体" w:cs="宋体"/>
                <w:color w:val="000000"/>
              </w:rPr>
            </w:pPr>
          </w:p>
        </w:tc>
        <w:tc>
          <w:tcPr>
            <w:tcW w:w="529" w:type="pct"/>
            <w:noWrap w:val="0"/>
            <w:vAlign w:val="top"/>
          </w:tcPr>
          <w:p w14:paraId="5024155E">
            <w:pPr>
              <w:pStyle w:val="85"/>
              <w:spacing w:line="440" w:lineRule="exact"/>
              <w:jc w:val="center"/>
              <w:rPr>
                <w:rFonts w:hint="eastAsia" w:ascii="宋体" w:hAnsi="宋体" w:eastAsia="宋体" w:cs="宋体"/>
                <w:color w:val="000000"/>
              </w:rPr>
            </w:pPr>
          </w:p>
        </w:tc>
        <w:tc>
          <w:tcPr>
            <w:tcW w:w="450" w:type="pct"/>
            <w:noWrap w:val="0"/>
            <w:vAlign w:val="top"/>
          </w:tcPr>
          <w:p w14:paraId="417AE108">
            <w:pPr>
              <w:pStyle w:val="85"/>
              <w:spacing w:line="440" w:lineRule="exact"/>
              <w:jc w:val="center"/>
              <w:rPr>
                <w:rFonts w:hint="eastAsia" w:ascii="宋体" w:hAnsi="宋体" w:eastAsia="宋体" w:cs="宋体"/>
                <w:color w:val="000000"/>
              </w:rPr>
            </w:pPr>
          </w:p>
        </w:tc>
        <w:tc>
          <w:tcPr>
            <w:tcW w:w="590" w:type="pct"/>
            <w:noWrap w:val="0"/>
            <w:vAlign w:val="top"/>
          </w:tcPr>
          <w:p w14:paraId="37896648">
            <w:pPr>
              <w:pStyle w:val="85"/>
              <w:spacing w:line="440" w:lineRule="exact"/>
              <w:jc w:val="center"/>
              <w:rPr>
                <w:rFonts w:hint="eastAsia" w:ascii="宋体" w:hAnsi="宋体" w:eastAsia="宋体" w:cs="宋体"/>
                <w:color w:val="000000"/>
              </w:rPr>
            </w:pPr>
          </w:p>
        </w:tc>
        <w:tc>
          <w:tcPr>
            <w:tcW w:w="913" w:type="pct"/>
            <w:noWrap w:val="0"/>
            <w:vAlign w:val="top"/>
          </w:tcPr>
          <w:p w14:paraId="3E1E67E6">
            <w:pPr>
              <w:pStyle w:val="85"/>
              <w:spacing w:line="440" w:lineRule="exact"/>
              <w:jc w:val="center"/>
              <w:rPr>
                <w:rFonts w:hint="eastAsia" w:ascii="宋体" w:hAnsi="宋体" w:eastAsia="宋体" w:cs="宋体"/>
                <w:color w:val="000000"/>
              </w:rPr>
            </w:pPr>
          </w:p>
        </w:tc>
        <w:tc>
          <w:tcPr>
            <w:tcW w:w="913" w:type="pct"/>
            <w:noWrap w:val="0"/>
            <w:vAlign w:val="top"/>
          </w:tcPr>
          <w:p w14:paraId="3EC75F62">
            <w:pPr>
              <w:pStyle w:val="85"/>
              <w:spacing w:line="440" w:lineRule="exact"/>
              <w:jc w:val="center"/>
              <w:rPr>
                <w:rFonts w:hint="eastAsia" w:ascii="宋体" w:hAnsi="宋体" w:eastAsia="宋体" w:cs="宋体"/>
                <w:color w:val="000000"/>
              </w:rPr>
            </w:pPr>
          </w:p>
        </w:tc>
        <w:tc>
          <w:tcPr>
            <w:tcW w:w="913" w:type="pct"/>
            <w:noWrap w:val="0"/>
            <w:vAlign w:val="top"/>
          </w:tcPr>
          <w:p w14:paraId="0C5BBAF6">
            <w:pPr>
              <w:pStyle w:val="85"/>
              <w:spacing w:line="440" w:lineRule="exact"/>
              <w:jc w:val="center"/>
              <w:rPr>
                <w:rFonts w:hint="eastAsia" w:ascii="宋体" w:hAnsi="宋体" w:eastAsia="宋体" w:cs="宋体"/>
                <w:color w:val="000000"/>
              </w:rPr>
            </w:pPr>
          </w:p>
        </w:tc>
      </w:tr>
      <w:tr w14:paraId="3853F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 w:type="pct"/>
            <w:noWrap w:val="0"/>
            <w:vAlign w:val="top"/>
          </w:tcPr>
          <w:p w14:paraId="3D446E27">
            <w:pPr>
              <w:pStyle w:val="85"/>
              <w:spacing w:line="440" w:lineRule="exact"/>
              <w:jc w:val="center"/>
              <w:rPr>
                <w:rFonts w:hint="eastAsia" w:ascii="宋体" w:hAnsi="宋体" w:eastAsia="宋体" w:cs="宋体"/>
                <w:color w:val="000000"/>
              </w:rPr>
            </w:pPr>
          </w:p>
        </w:tc>
        <w:tc>
          <w:tcPr>
            <w:tcW w:w="424" w:type="pct"/>
            <w:noWrap w:val="0"/>
            <w:vAlign w:val="top"/>
          </w:tcPr>
          <w:p w14:paraId="4EF7903E">
            <w:pPr>
              <w:pStyle w:val="85"/>
              <w:spacing w:line="440" w:lineRule="exact"/>
              <w:jc w:val="center"/>
              <w:rPr>
                <w:rFonts w:hint="eastAsia" w:ascii="宋体" w:hAnsi="宋体" w:eastAsia="宋体" w:cs="宋体"/>
                <w:color w:val="000000"/>
              </w:rPr>
            </w:pPr>
          </w:p>
        </w:tc>
        <w:tc>
          <w:tcPr>
            <w:tcW w:w="529" w:type="pct"/>
            <w:noWrap w:val="0"/>
            <w:vAlign w:val="top"/>
          </w:tcPr>
          <w:p w14:paraId="04AC53C5">
            <w:pPr>
              <w:pStyle w:val="85"/>
              <w:spacing w:line="440" w:lineRule="exact"/>
              <w:jc w:val="center"/>
              <w:rPr>
                <w:rFonts w:hint="eastAsia" w:ascii="宋体" w:hAnsi="宋体" w:eastAsia="宋体" w:cs="宋体"/>
                <w:color w:val="000000"/>
              </w:rPr>
            </w:pPr>
          </w:p>
        </w:tc>
        <w:tc>
          <w:tcPr>
            <w:tcW w:w="450" w:type="pct"/>
            <w:noWrap w:val="0"/>
            <w:vAlign w:val="top"/>
          </w:tcPr>
          <w:p w14:paraId="06C2F573">
            <w:pPr>
              <w:pStyle w:val="85"/>
              <w:spacing w:line="440" w:lineRule="exact"/>
              <w:jc w:val="center"/>
              <w:rPr>
                <w:rFonts w:hint="eastAsia" w:ascii="宋体" w:hAnsi="宋体" w:eastAsia="宋体" w:cs="宋体"/>
                <w:color w:val="000000"/>
              </w:rPr>
            </w:pPr>
          </w:p>
        </w:tc>
        <w:tc>
          <w:tcPr>
            <w:tcW w:w="590" w:type="pct"/>
            <w:noWrap w:val="0"/>
            <w:vAlign w:val="top"/>
          </w:tcPr>
          <w:p w14:paraId="19B3E3F7">
            <w:pPr>
              <w:pStyle w:val="85"/>
              <w:spacing w:line="440" w:lineRule="exact"/>
              <w:jc w:val="center"/>
              <w:rPr>
                <w:rFonts w:hint="eastAsia" w:ascii="宋体" w:hAnsi="宋体" w:eastAsia="宋体" w:cs="宋体"/>
                <w:color w:val="000000"/>
              </w:rPr>
            </w:pPr>
          </w:p>
        </w:tc>
        <w:tc>
          <w:tcPr>
            <w:tcW w:w="913" w:type="pct"/>
            <w:noWrap w:val="0"/>
            <w:vAlign w:val="top"/>
          </w:tcPr>
          <w:p w14:paraId="2D1EF578">
            <w:pPr>
              <w:pStyle w:val="85"/>
              <w:spacing w:line="440" w:lineRule="exact"/>
              <w:jc w:val="center"/>
              <w:rPr>
                <w:rFonts w:hint="eastAsia" w:ascii="宋体" w:hAnsi="宋体" w:eastAsia="宋体" w:cs="宋体"/>
                <w:color w:val="000000"/>
              </w:rPr>
            </w:pPr>
          </w:p>
        </w:tc>
        <w:tc>
          <w:tcPr>
            <w:tcW w:w="913" w:type="pct"/>
            <w:noWrap w:val="0"/>
            <w:vAlign w:val="top"/>
          </w:tcPr>
          <w:p w14:paraId="39885428">
            <w:pPr>
              <w:pStyle w:val="85"/>
              <w:spacing w:line="440" w:lineRule="exact"/>
              <w:jc w:val="center"/>
              <w:rPr>
                <w:rFonts w:hint="eastAsia" w:ascii="宋体" w:hAnsi="宋体" w:eastAsia="宋体" w:cs="宋体"/>
                <w:color w:val="000000"/>
              </w:rPr>
            </w:pPr>
          </w:p>
        </w:tc>
        <w:tc>
          <w:tcPr>
            <w:tcW w:w="913" w:type="pct"/>
            <w:noWrap w:val="0"/>
            <w:vAlign w:val="top"/>
          </w:tcPr>
          <w:p w14:paraId="6B64085E">
            <w:pPr>
              <w:pStyle w:val="85"/>
              <w:spacing w:line="440" w:lineRule="exact"/>
              <w:jc w:val="center"/>
              <w:rPr>
                <w:rFonts w:hint="eastAsia" w:ascii="宋体" w:hAnsi="宋体" w:eastAsia="宋体" w:cs="宋体"/>
                <w:color w:val="000000"/>
              </w:rPr>
            </w:pPr>
          </w:p>
        </w:tc>
      </w:tr>
      <w:tr w14:paraId="053DC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 w:type="pct"/>
            <w:noWrap w:val="0"/>
            <w:vAlign w:val="top"/>
          </w:tcPr>
          <w:p w14:paraId="0441624C">
            <w:pPr>
              <w:pStyle w:val="85"/>
              <w:spacing w:line="440" w:lineRule="exact"/>
              <w:jc w:val="center"/>
              <w:rPr>
                <w:rFonts w:hint="eastAsia" w:ascii="宋体" w:hAnsi="宋体" w:eastAsia="宋体" w:cs="宋体"/>
                <w:color w:val="000000"/>
              </w:rPr>
            </w:pPr>
          </w:p>
        </w:tc>
        <w:tc>
          <w:tcPr>
            <w:tcW w:w="424" w:type="pct"/>
            <w:noWrap w:val="0"/>
            <w:vAlign w:val="top"/>
          </w:tcPr>
          <w:p w14:paraId="494927C4">
            <w:pPr>
              <w:pStyle w:val="85"/>
              <w:spacing w:line="440" w:lineRule="exact"/>
              <w:jc w:val="center"/>
              <w:rPr>
                <w:rFonts w:hint="eastAsia" w:ascii="宋体" w:hAnsi="宋体" w:eastAsia="宋体" w:cs="宋体"/>
                <w:color w:val="000000"/>
              </w:rPr>
            </w:pPr>
          </w:p>
        </w:tc>
        <w:tc>
          <w:tcPr>
            <w:tcW w:w="529" w:type="pct"/>
            <w:noWrap w:val="0"/>
            <w:vAlign w:val="top"/>
          </w:tcPr>
          <w:p w14:paraId="6D34B12C">
            <w:pPr>
              <w:pStyle w:val="85"/>
              <w:spacing w:line="440" w:lineRule="exact"/>
              <w:jc w:val="center"/>
              <w:rPr>
                <w:rFonts w:hint="eastAsia" w:ascii="宋体" w:hAnsi="宋体" w:eastAsia="宋体" w:cs="宋体"/>
                <w:color w:val="000000"/>
              </w:rPr>
            </w:pPr>
          </w:p>
        </w:tc>
        <w:tc>
          <w:tcPr>
            <w:tcW w:w="450" w:type="pct"/>
            <w:noWrap w:val="0"/>
            <w:vAlign w:val="top"/>
          </w:tcPr>
          <w:p w14:paraId="687673F9">
            <w:pPr>
              <w:pStyle w:val="85"/>
              <w:spacing w:line="440" w:lineRule="exact"/>
              <w:jc w:val="center"/>
              <w:rPr>
                <w:rFonts w:hint="eastAsia" w:ascii="宋体" w:hAnsi="宋体" w:eastAsia="宋体" w:cs="宋体"/>
                <w:color w:val="000000"/>
              </w:rPr>
            </w:pPr>
          </w:p>
        </w:tc>
        <w:tc>
          <w:tcPr>
            <w:tcW w:w="590" w:type="pct"/>
            <w:noWrap w:val="0"/>
            <w:vAlign w:val="top"/>
          </w:tcPr>
          <w:p w14:paraId="016E365B">
            <w:pPr>
              <w:pStyle w:val="85"/>
              <w:spacing w:line="440" w:lineRule="exact"/>
              <w:jc w:val="center"/>
              <w:rPr>
                <w:rFonts w:hint="eastAsia" w:ascii="宋体" w:hAnsi="宋体" w:eastAsia="宋体" w:cs="宋体"/>
                <w:color w:val="000000"/>
              </w:rPr>
            </w:pPr>
          </w:p>
        </w:tc>
        <w:tc>
          <w:tcPr>
            <w:tcW w:w="913" w:type="pct"/>
            <w:noWrap w:val="0"/>
            <w:vAlign w:val="top"/>
          </w:tcPr>
          <w:p w14:paraId="519106B8">
            <w:pPr>
              <w:pStyle w:val="85"/>
              <w:spacing w:line="440" w:lineRule="exact"/>
              <w:jc w:val="center"/>
              <w:rPr>
                <w:rFonts w:hint="eastAsia" w:ascii="宋体" w:hAnsi="宋体" w:eastAsia="宋体" w:cs="宋体"/>
                <w:color w:val="000000"/>
              </w:rPr>
            </w:pPr>
          </w:p>
        </w:tc>
        <w:tc>
          <w:tcPr>
            <w:tcW w:w="913" w:type="pct"/>
            <w:noWrap w:val="0"/>
            <w:vAlign w:val="top"/>
          </w:tcPr>
          <w:p w14:paraId="333F499A">
            <w:pPr>
              <w:pStyle w:val="85"/>
              <w:spacing w:line="440" w:lineRule="exact"/>
              <w:jc w:val="center"/>
              <w:rPr>
                <w:rFonts w:hint="eastAsia" w:ascii="宋体" w:hAnsi="宋体" w:eastAsia="宋体" w:cs="宋体"/>
                <w:color w:val="000000"/>
              </w:rPr>
            </w:pPr>
          </w:p>
        </w:tc>
        <w:tc>
          <w:tcPr>
            <w:tcW w:w="913" w:type="pct"/>
            <w:noWrap w:val="0"/>
            <w:vAlign w:val="top"/>
          </w:tcPr>
          <w:p w14:paraId="543E5D99">
            <w:pPr>
              <w:pStyle w:val="85"/>
              <w:spacing w:line="440" w:lineRule="exact"/>
              <w:jc w:val="center"/>
              <w:rPr>
                <w:rFonts w:hint="eastAsia" w:ascii="宋体" w:hAnsi="宋体" w:eastAsia="宋体" w:cs="宋体"/>
                <w:color w:val="000000"/>
              </w:rPr>
            </w:pPr>
          </w:p>
        </w:tc>
      </w:tr>
      <w:tr w14:paraId="3D8C0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 w:type="pct"/>
            <w:noWrap w:val="0"/>
            <w:vAlign w:val="top"/>
          </w:tcPr>
          <w:p w14:paraId="5C9E9D97">
            <w:pPr>
              <w:pStyle w:val="85"/>
              <w:spacing w:line="440" w:lineRule="exact"/>
              <w:jc w:val="center"/>
              <w:rPr>
                <w:rFonts w:hint="eastAsia" w:ascii="宋体" w:hAnsi="宋体" w:eastAsia="宋体" w:cs="宋体"/>
                <w:color w:val="000000"/>
              </w:rPr>
            </w:pPr>
          </w:p>
        </w:tc>
        <w:tc>
          <w:tcPr>
            <w:tcW w:w="424" w:type="pct"/>
            <w:noWrap w:val="0"/>
            <w:vAlign w:val="top"/>
          </w:tcPr>
          <w:p w14:paraId="5769B778">
            <w:pPr>
              <w:pStyle w:val="85"/>
              <w:spacing w:line="440" w:lineRule="exact"/>
              <w:jc w:val="center"/>
              <w:rPr>
                <w:rFonts w:hint="eastAsia" w:ascii="宋体" w:hAnsi="宋体" w:eastAsia="宋体" w:cs="宋体"/>
                <w:color w:val="000000"/>
              </w:rPr>
            </w:pPr>
          </w:p>
        </w:tc>
        <w:tc>
          <w:tcPr>
            <w:tcW w:w="529" w:type="pct"/>
            <w:noWrap w:val="0"/>
            <w:vAlign w:val="top"/>
          </w:tcPr>
          <w:p w14:paraId="7B0BE6BD">
            <w:pPr>
              <w:pStyle w:val="85"/>
              <w:spacing w:line="440" w:lineRule="exact"/>
              <w:jc w:val="center"/>
              <w:rPr>
                <w:rFonts w:hint="eastAsia" w:ascii="宋体" w:hAnsi="宋体" w:eastAsia="宋体" w:cs="宋体"/>
                <w:color w:val="000000"/>
              </w:rPr>
            </w:pPr>
          </w:p>
        </w:tc>
        <w:tc>
          <w:tcPr>
            <w:tcW w:w="450" w:type="pct"/>
            <w:noWrap w:val="0"/>
            <w:vAlign w:val="top"/>
          </w:tcPr>
          <w:p w14:paraId="0DB53B93">
            <w:pPr>
              <w:pStyle w:val="85"/>
              <w:spacing w:line="440" w:lineRule="exact"/>
              <w:jc w:val="center"/>
              <w:rPr>
                <w:rFonts w:hint="eastAsia" w:ascii="宋体" w:hAnsi="宋体" w:eastAsia="宋体" w:cs="宋体"/>
                <w:color w:val="000000"/>
              </w:rPr>
            </w:pPr>
          </w:p>
        </w:tc>
        <w:tc>
          <w:tcPr>
            <w:tcW w:w="590" w:type="pct"/>
            <w:noWrap w:val="0"/>
            <w:vAlign w:val="top"/>
          </w:tcPr>
          <w:p w14:paraId="11081FA3">
            <w:pPr>
              <w:pStyle w:val="85"/>
              <w:spacing w:line="440" w:lineRule="exact"/>
              <w:jc w:val="center"/>
              <w:rPr>
                <w:rFonts w:hint="eastAsia" w:ascii="宋体" w:hAnsi="宋体" w:eastAsia="宋体" w:cs="宋体"/>
                <w:color w:val="000000"/>
              </w:rPr>
            </w:pPr>
          </w:p>
        </w:tc>
        <w:tc>
          <w:tcPr>
            <w:tcW w:w="913" w:type="pct"/>
            <w:noWrap w:val="0"/>
            <w:vAlign w:val="top"/>
          </w:tcPr>
          <w:p w14:paraId="6151CC49">
            <w:pPr>
              <w:pStyle w:val="85"/>
              <w:spacing w:line="440" w:lineRule="exact"/>
              <w:jc w:val="center"/>
              <w:rPr>
                <w:rFonts w:hint="eastAsia" w:ascii="宋体" w:hAnsi="宋体" w:eastAsia="宋体" w:cs="宋体"/>
                <w:color w:val="000000"/>
              </w:rPr>
            </w:pPr>
          </w:p>
        </w:tc>
        <w:tc>
          <w:tcPr>
            <w:tcW w:w="913" w:type="pct"/>
            <w:noWrap w:val="0"/>
            <w:vAlign w:val="top"/>
          </w:tcPr>
          <w:p w14:paraId="677B39CB">
            <w:pPr>
              <w:pStyle w:val="85"/>
              <w:spacing w:line="440" w:lineRule="exact"/>
              <w:jc w:val="center"/>
              <w:rPr>
                <w:rFonts w:hint="eastAsia" w:ascii="宋体" w:hAnsi="宋体" w:eastAsia="宋体" w:cs="宋体"/>
                <w:color w:val="000000"/>
              </w:rPr>
            </w:pPr>
          </w:p>
        </w:tc>
        <w:tc>
          <w:tcPr>
            <w:tcW w:w="913" w:type="pct"/>
            <w:noWrap w:val="0"/>
            <w:vAlign w:val="top"/>
          </w:tcPr>
          <w:p w14:paraId="0173D4B3">
            <w:pPr>
              <w:pStyle w:val="85"/>
              <w:spacing w:line="440" w:lineRule="exact"/>
              <w:jc w:val="center"/>
              <w:rPr>
                <w:rFonts w:hint="eastAsia" w:ascii="宋体" w:hAnsi="宋体" w:eastAsia="宋体" w:cs="宋体"/>
                <w:color w:val="000000"/>
              </w:rPr>
            </w:pPr>
          </w:p>
        </w:tc>
      </w:tr>
    </w:tbl>
    <w:p w14:paraId="612B883B">
      <w:pPr>
        <w:pStyle w:val="85"/>
        <w:spacing w:line="360" w:lineRule="auto"/>
        <w:jc w:val="left"/>
        <w:rPr>
          <w:rFonts w:hint="eastAsia" w:ascii="宋体" w:hAnsi="宋体" w:eastAsia="宋体" w:cs="宋体"/>
          <w:color w:val="000000"/>
          <w:sz w:val="24"/>
          <w:szCs w:val="21"/>
        </w:rPr>
      </w:pPr>
      <w:r>
        <w:rPr>
          <w:rFonts w:hint="eastAsia" w:ascii="宋体" w:hAnsi="宋体" w:eastAsia="宋体" w:cs="宋体"/>
          <w:color w:val="000000"/>
          <w:sz w:val="24"/>
          <w:szCs w:val="21"/>
        </w:rPr>
        <w:t>说明：1、附表中应提供拟投入本服务项目的主要人员。</w:t>
      </w:r>
    </w:p>
    <w:p w14:paraId="71C3E7B6">
      <w:pPr>
        <w:pStyle w:val="85"/>
        <w:spacing w:line="360" w:lineRule="auto"/>
        <w:jc w:val="left"/>
        <w:rPr>
          <w:rFonts w:hint="eastAsia" w:ascii="宋体" w:hAnsi="宋体" w:eastAsia="宋体" w:cs="宋体"/>
          <w:color w:val="000000"/>
          <w:sz w:val="24"/>
          <w:szCs w:val="21"/>
        </w:rPr>
      </w:pPr>
      <w:r>
        <w:rPr>
          <w:rFonts w:hint="eastAsia" w:ascii="宋体" w:hAnsi="宋体" w:eastAsia="宋体" w:cs="宋体"/>
          <w:color w:val="000000"/>
          <w:sz w:val="24"/>
          <w:szCs w:val="21"/>
        </w:rPr>
        <w:t xml:space="preserve">    </w:t>
      </w:r>
    </w:p>
    <w:p w14:paraId="31534AD4">
      <w:pPr>
        <w:pStyle w:val="85"/>
        <w:spacing w:line="360" w:lineRule="auto"/>
        <w:jc w:val="left"/>
        <w:rPr>
          <w:rFonts w:hint="eastAsia" w:ascii="宋体" w:hAnsi="宋体" w:eastAsia="宋体" w:cs="宋体"/>
          <w:color w:val="000000"/>
          <w:sz w:val="24"/>
          <w:szCs w:val="21"/>
        </w:rPr>
      </w:pPr>
    </w:p>
    <w:p w14:paraId="73F453A4">
      <w:pPr>
        <w:pStyle w:val="85"/>
        <w:spacing w:line="360" w:lineRule="auto"/>
        <w:jc w:val="left"/>
        <w:rPr>
          <w:rFonts w:hint="eastAsia" w:ascii="宋体" w:hAnsi="宋体" w:eastAsia="宋体" w:cs="宋体"/>
          <w:color w:val="000000"/>
          <w:sz w:val="24"/>
          <w:szCs w:val="21"/>
        </w:rPr>
      </w:pPr>
    </w:p>
    <w:p w14:paraId="75CEC728">
      <w:pPr>
        <w:pStyle w:val="85"/>
        <w:spacing w:line="360" w:lineRule="auto"/>
        <w:jc w:val="left"/>
        <w:rPr>
          <w:rFonts w:hint="eastAsia" w:ascii="宋体" w:hAnsi="宋体" w:eastAsia="宋体" w:cs="宋体"/>
          <w:color w:val="000000"/>
          <w:sz w:val="24"/>
          <w:szCs w:val="21"/>
        </w:rPr>
      </w:pPr>
    </w:p>
    <w:p w14:paraId="1165C122">
      <w:pPr>
        <w:pStyle w:val="127"/>
        <w:adjustRightInd w:val="0"/>
        <w:snapToGrid w:val="0"/>
        <w:spacing w:line="5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供应商名称（电子签章）：</w:t>
      </w:r>
    </w:p>
    <w:p w14:paraId="7A6CB62B">
      <w:pPr>
        <w:pStyle w:val="127"/>
        <w:adjustRightInd w:val="0"/>
        <w:snapToGrid w:val="0"/>
        <w:spacing w:line="50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法定代表人或其授权委托人：          （签字或盖章）</w:t>
      </w:r>
    </w:p>
    <w:p w14:paraId="5E7D082F">
      <w:pPr>
        <w:pStyle w:val="127"/>
        <w:adjustRightInd w:val="0"/>
        <w:snapToGrid w:val="0"/>
        <w:spacing w:line="500" w:lineRule="exact"/>
        <w:rPr>
          <w:rFonts w:hint="eastAsia" w:ascii="宋体" w:hAnsi="宋体" w:eastAsia="宋体" w:cs="宋体"/>
          <w:color w:val="000000"/>
          <w:sz w:val="20"/>
          <w:szCs w:val="21"/>
        </w:rPr>
      </w:pPr>
      <w:r>
        <w:rPr>
          <w:rFonts w:hint="eastAsia" w:ascii="宋体" w:hAnsi="宋体" w:eastAsia="宋体" w:cs="宋体"/>
          <w:color w:val="000000"/>
          <w:sz w:val="24"/>
          <w:szCs w:val="24"/>
        </w:rPr>
        <w:t>日期：   年 月 日</w:t>
      </w:r>
    </w:p>
    <w:p w14:paraId="53F32DC4">
      <w:pPr>
        <w:pStyle w:val="85"/>
        <w:spacing w:line="360" w:lineRule="auto"/>
        <w:jc w:val="left"/>
        <w:rPr>
          <w:rFonts w:hint="eastAsia" w:ascii="宋体" w:hAnsi="宋体" w:eastAsia="宋体" w:cs="宋体"/>
          <w:color w:val="000000"/>
          <w:sz w:val="24"/>
          <w:szCs w:val="21"/>
        </w:rPr>
        <w:sectPr>
          <w:pgSz w:w="11906" w:h="16838"/>
          <w:pgMar w:top="1247" w:right="1247" w:bottom="1247" w:left="1247" w:header="851" w:footer="992" w:gutter="0"/>
          <w:pgNumType w:fmt="decimal"/>
          <w:cols w:space="720" w:num="1"/>
          <w:rtlGutter w:val="0"/>
          <w:docGrid w:linePitch="312" w:charSpace="0"/>
        </w:sectPr>
      </w:pPr>
    </w:p>
    <w:bookmarkEnd w:id="176"/>
    <w:p w14:paraId="5D28F1B6">
      <w:pPr>
        <w:pStyle w:val="7"/>
        <w:numPr>
          <w:ilvl w:val="0"/>
          <w:numId w:val="0"/>
        </w:numPr>
        <w:jc w:val="left"/>
        <w:rPr>
          <w:rFonts w:hint="eastAsia" w:ascii="宋体" w:hAnsi="宋体" w:eastAsia="宋体" w:cs="宋体"/>
          <w:b w:val="0"/>
          <w:bCs/>
          <w:color w:val="auto"/>
          <w:kern w:val="2"/>
          <w:sz w:val="30"/>
          <w:szCs w:val="30"/>
          <w:lang w:val="en-US" w:eastAsia="zh-CN" w:bidi="ar-SA"/>
        </w:rPr>
      </w:pPr>
      <w:bookmarkStart w:id="177" w:name="_Toc256000023"/>
      <w:r>
        <w:rPr>
          <w:rFonts w:hint="eastAsia" w:ascii="宋体" w:hAnsi="宋体" w:eastAsia="宋体" w:cs="宋体"/>
          <w:b w:val="0"/>
          <w:bCs/>
          <w:color w:val="000000"/>
          <w:kern w:val="2"/>
          <w:sz w:val="24"/>
          <w:lang w:val="en-US" w:eastAsia="zh-CN"/>
        </w:rPr>
        <w:t>附件7</w:t>
      </w:r>
      <w:r>
        <w:rPr>
          <w:rFonts w:hint="eastAsia" w:ascii="宋体" w:hAnsi="宋体" w:eastAsia="宋体" w:cs="宋体"/>
          <w:b w:val="0"/>
          <w:bCs/>
          <w:color w:val="auto"/>
          <w:kern w:val="2"/>
          <w:sz w:val="28"/>
          <w:szCs w:val="28"/>
          <w:lang w:val="en-US" w:eastAsia="zh-CN" w:bidi="ar-SA"/>
        </w:rPr>
        <w:t>参加政府采购活动前 3 年内在经营活动中没有重大违法记录的</w:t>
      </w:r>
    </w:p>
    <w:p w14:paraId="4C5FEC0A">
      <w:pPr>
        <w:pStyle w:val="7"/>
        <w:numPr>
          <w:ilvl w:val="0"/>
          <w:numId w:val="0"/>
        </w:numPr>
        <w:jc w:val="center"/>
        <w:rPr>
          <w:rFonts w:hint="eastAsia" w:ascii="宋体" w:hAnsi="宋体" w:eastAsia="宋体" w:cs="宋体"/>
          <w:b w:val="0"/>
          <w:bCs/>
          <w:color w:val="auto"/>
          <w:kern w:val="2"/>
          <w:sz w:val="28"/>
          <w:szCs w:val="28"/>
          <w:lang w:val="en-US" w:eastAsia="zh-CN" w:bidi="ar-SA"/>
        </w:rPr>
      </w:pPr>
      <w:r>
        <w:rPr>
          <w:rFonts w:hint="eastAsia" w:ascii="宋体" w:hAnsi="宋体" w:eastAsia="宋体" w:cs="宋体"/>
          <w:b w:val="0"/>
          <w:bCs/>
          <w:color w:val="auto"/>
          <w:kern w:val="2"/>
          <w:sz w:val="28"/>
          <w:szCs w:val="28"/>
          <w:lang w:val="en-US" w:eastAsia="zh-CN" w:bidi="ar-SA"/>
        </w:rPr>
        <w:t>书面声明</w:t>
      </w:r>
    </w:p>
    <w:p w14:paraId="5C181E74">
      <w:pPr>
        <w:pStyle w:val="88"/>
        <w:jc w:val="center"/>
        <w:outlineLvl w:val="2"/>
        <w:rPr>
          <w:rFonts w:hint="default" w:ascii="宋体" w:hAnsi="宋体" w:eastAsia="宋体" w:cs="宋体"/>
          <w:b w:val="0"/>
          <w:bCs/>
          <w:color w:val="000000"/>
          <w:kern w:val="2"/>
          <w:sz w:val="24"/>
          <w:lang w:val="en-US" w:eastAsia="zh-CN"/>
        </w:rPr>
      </w:pPr>
    </w:p>
    <w:p w14:paraId="46C3219E">
      <w:pPr>
        <w:pStyle w:val="88"/>
        <w:jc w:val="center"/>
        <w:outlineLvl w:val="2"/>
        <w:rPr>
          <w:rFonts w:hint="eastAsia" w:ascii="宋体" w:hAnsi="宋体" w:eastAsia="宋体" w:cs="宋体"/>
          <w:b w:val="0"/>
          <w:bCs/>
          <w:color w:val="000000"/>
          <w:kern w:val="2"/>
          <w:sz w:val="24"/>
          <w:lang w:val="zh-CN"/>
        </w:rPr>
      </w:pPr>
    </w:p>
    <w:p w14:paraId="14D85636">
      <w:pPr>
        <w:pStyle w:val="7"/>
        <w:numPr>
          <w:ilvl w:val="0"/>
          <w:numId w:val="0"/>
        </w:numPr>
        <w:jc w:val="center"/>
        <w:rPr>
          <w:rFonts w:hint="eastAsia" w:ascii="宋体" w:hAnsi="宋体" w:eastAsia="宋体" w:cs="宋体"/>
          <w:b/>
          <w:bCs/>
          <w:color w:val="auto"/>
          <w:kern w:val="2"/>
          <w:sz w:val="30"/>
          <w:szCs w:val="30"/>
          <w:lang w:val="en-US" w:eastAsia="zh-CN" w:bidi="ar-SA"/>
        </w:rPr>
      </w:pPr>
      <w:r>
        <w:rPr>
          <w:rFonts w:hint="eastAsia" w:ascii="宋体" w:hAnsi="宋体" w:eastAsia="宋体" w:cs="宋体"/>
          <w:b/>
          <w:bCs/>
          <w:color w:val="auto"/>
          <w:kern w:val="2"/>
          <w:sz w:val="28"/>
          <w:szCs w:val="28"/>
          <w:lang w:val="en-US" w:eastAsia="zh-CN" w:bidi="ar-SA"/>
        </w:rPr>
        <w:t>参加政府采购活动前 3 年内在经营活动中没有重大违法记录的</w:t>
      </w:r>
    </w:p>
    <w:p w14:paraId="141ECD03">
      <w:pPr>
        <w:pStyle w:val="7"/>
        <w:numPr>
          <w:ilvl w:val="0"/>
          <w:numId w:val="0"/>
        </w:numPr>
        <w:jc w:val="center"/>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书面声明</w:t>
      </w:r>
    </w:p>
    <w:p w14:paraId="606B584C">
      <w:pPr>
        <w:pStyle w:val="7"/>
        <w:numPr>
          <w:ilvl w:val="0"/>
          <w:numId w:val="0"/>
        </w:numPr>
        <w:jc w:val="both"/>
        <w:rPr>
          <w:rFonts w:hint="eastAsia" w:ascii="宋体" w:hAnsi="宋体" w:eastAsia="宋体" w:cs="宋体"/>
          <w:b/>
          <w:bCs/>
          <w:color w:val="auto"/>
          <w:kern w:val="2"/>
          <w:sz w:val="28"/>
          <w:szCs w:val="28"/>
          <w:lang w:val="en-US" w:eastAsia="zh-CN" w:bidi="ar-SA"/>
        </w:rPr>
      </w:pPr>
    </w:p>
    <w:p w14:paraId="399A378D">
      <w:pPr>
        <w:spacing w:before="145" w:beforeLines="50" w:after="145" w:afterLines="50" w:line="300" w:lineRule="auto"/>
        <w:ind w:firstLine="54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我单位郑重声明：参加本次政府采购活动前3年内，我单位在经营活动中没有因违法经营受到刑事处罚或者责令停产停业、吊销许可证或者执照、较大数额罚款等行政处罚。</w:t>
      </w:r>
    </w:p>
    <w:p w14:paraId="37627B5D">
      <w:pPr>
        <w:spacing w:before="145" w:beforeLines="50" w:after="145" w:afterLines="50" w:line="300" w:lineRule="auto"/>
        <w:rPr>
          <w:rFonts w:hint="eastAsia" w:ascii="宋体" w:hAnsi="宋体" w:eastAsia="宋体" w:cs="宋体"/>
          <w:bCs/>
          <w:color w:val="auto"/>
          <w:sz w:val="24"/>
          <w:szCs w:val="24"/>
        </w:rPr>
      </w:pPr>
    </w:p>
    <w:p w14:paraId="06DD888C">
      <w:pPr>
        <w:pStyle w:val="63"/>
        <w:spacing w:before="145" w:beforeLines="50" w:after="145" w:afterLines="50" w:line="300" w:lineRule="auto"/>
        <w:ind w:left="540" w:leftChars="200" w:firstLine="5940" w:firstLineChars="2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投标人</w:t>
      </w:r>
      <w:r>
        <w:rPr>
          <w:rFonts w:hint="eastAsia" w:ascii="宋体" w:hAnsi="宋体" w:eastAsia="宋体" w:cs="宋体"/>
          <w:color w:val="auto"/>
          <w:kern w:val="2"/>
          <w:sz w:val="24"/>
          <w:szCs w:val="24"/>
        </w:rPr>
        <w:t xml:space="preserve">（盖章）： </w:t>
      </w:r>
    </w:p>
    <w:p w14:paraId="2BE40A6E">
      <w:pPr>
        <w:spacing w:before="145" w:beforeLines="50" w:after="145" w:afterLines="50" w:line="300" w:lineRule="auto"/>
        <w:jc w:val="right"/>
        <w:rPr>
          <w:rFonts w:hint="eastAsia" w:ascii="宋体" w:hAnsi="宋体" w:eastAsia="宋体" w:cs="宋体"/>
          <w:color w:val="auto"/>
          <w:sz w:val="24"/>
          <w:szCs w:val="24"/>
        </w:rPr>
      </w:pPr>
      <w:r>
        <w:rPr>
          <w:rFonts w:hint="eastAsia" w:ascii="宋体" w:hAnsi="宋体" w:eastAsia="宋体" w:cs="宋体"/>
          <w:color w:val="auto"/>
          <w:sz w:val="24"/>
          <w:szCs w:val="24"/>
        </w:rPr>
        <w:t>______年____月____日</w:t>
      </w:r>
    </w:p>
    <w:p w14:paraId="28DFB7B7">
      <w:pPr>
        <w:spacing w:line="440" w:lineRule="exact"/>
        <w:jc w:val="center"/>
        <w:rPr>
          <w:rFonts w:hint="eastAsia" w:ascii="宋体" w:hAnsi="宋体" w:eastAsia="宋体" w:cs="宋体"/>
          <w:b/>
          <w:bCs/>
          <w:color w:val="auto"/>
          <w:sz w:val="24"/>
          <w:highlight w:val="none"/>
          <w:lang w:eastAsia="zh-CN"/>
        </w:rPr>
      </w:pPr>
    </w:p>
    <w:p w14:paraId="71ABEC5C">
      <w:pPr>
        <w:spacing w:line="440" w:lineRule="exact"/>
        <w:jc w:val="center"/>
        <w:rPr>
          <w:rFonts w:hint="eastAsia" w:ascii="宋体" w:hAnsi="宋体" w:eastAsia="宋体" w:cs="宋体"/>
          <w:b/>
          <w:bCs/>
          <w:color w:val="auto"/>
          <w:sz w:val="24"/>
          <w:highlight w:val="none"/>
          <w:lang w:eastAsia="zh-CN"/>
        </w:rPr>
      </w:pPr>
    </w:p>
    <w:p w14:paraId="465B0012">
      <w:pPr>
        <w:spacing w:line="440" w:lineRule="exact"/>
        <w:jc w:val="center"/>
        <w:rPr>
          <w:rFonts w:hint="eastAsia" w:ascii="宋体" w:hAnsi="宋体" w:eastAsia="宋体" w:cs="宋体"/>
          <w:b/>
          <w:bCs/>
          <w:color w:val="auto"/>
          <w:sz w:val="24"/>
          <w:highlight w:val="none"/>
          <w:lang w:eastAsia="zh-CN"/>
        </w:rPr>
      </w:pPr>
    </w:p>
    <w:p w14:paraId="6EB91D4D">
      <w:pPr>
        <w:spacing w:line="440" w:lineRule="exact"/>
        <w:jc w:val="center"/>
        <w:rPr>
          <w:rFonts w:hint="eastAsia" w:ascii="宋体" w:hAnsi="宋体" w:eastAsia="宋体" w:cs="宋体"/>
          <w:b/>
          <w:bCs/>
          <w:color w:val="auto"/>
          <w:sz w:val="24"/>
          <w:highlight w:val="none"/>
          <w:lang w:eastAsia="zh-CN"/>
        </w:rPr>
      </w:pPr>
    </w:p>
    <w:p w14:paraId="32C201B2">
      <w:pPr>
        <w:spacing w:line="440" w:lineRule="exact"/>
        <w:jc w:val="center"/>
        <w:rPr>
          <w:rFonts w:hint="eastAsia" w:ascii="宋体" w:hAnsi="宋体" w:eastAsia="宋体" w:cs="宋体"/>
          <w:b/>
          <w:bCs/>
          <w:color w:val="auto"/>
          <w:sz w:val="24"/>
          <w:highlight w:val="none"/>
          <w:lang w:eastAsia="zh-CN"/>
        </w:rPr>
      </w:pPr>
    </w:p>
    <w:p w14:paraId="2F57B80E">
      <w:pPr>
        <w:spacing w:line="440" w:lineRule="exact"/>
        <w:jc w:val="center"/>
        <w:rPr>
          <w:rFonts w:hint="eastAsia" w:ascii="宋体" w:hAnsi="宋体" w:eastAsia="宋体" w:cs="宋体"/>
          <w:b/>
          <w:bCs/>
          <w:color w:val="auto"/>
          <w:sz w:val="24"/>
          <w:highlight w:val="none"/>
          <w:lang w:eastAsia="zh-CN"/>
        </w:rPr>
      </w:pPr>
    </w:p>
    <w:p w14:paraId="531FEC79">
      <w:pPr>
        <w:spacing w:line="440" w:lineRule="exact"/>
        <w:jc w:val="center"/>
        <w:rPr>
          <w:rFonts w:hint="eastAsia" w:ascii="宋体" w:hAnsi="宋体" w:eastAsia="宋体" w:cs="宋体"/>
          <w:b/>
          <w:bCs/>
          <w:color w:val="auto"/>
          <w:sz w:val="24"/>
          <w:highlight w:val="none"/>
          <w:lang w:eastAsia="zh-CN"/>
        </w:rPr>
      </w:pPr>
    </w:p>
    <w:p w14:paraId="2FFCE683">
      <w:pPr>
        <w:spacing w:line="440" w:lineRule="exact"/>
        <w:jc w:val="center"/>
        <w:rPr>
          <w:rFonts w:hint="eastAsia" w:ascii="宋体" w:hAnsi="宋体" w:eastAsia="宋体" w:cs="宋体"/>
          <w:b/>
          <w:bCs/>
          <w:color w:val="auto"/>
          <w:sz w:val="24"/>
          <w:highlight w:val="none"/>
          <w:lang w:eastAsia="zh-CN"/>
        </w:rPr>
      </w:pPr>
    </w:p>
    <w:p w14:paraId="7C09D060">
      <w:pPr>
        <w:spacing w:line="440" w:lineRule="exact"/>
        <w:jc w:val="center"/>
        <w:rPr>
          <w:rFonts w:hint="eastAsia" w:ascii="宋体" w:hAnsi="宋体" w:eastAsia="宋体" w:cs="宋体"/>
          <w:b/>
          <w:bCs/>
          <w:color w:val="auto"/>
          <w:sz w:val="24"/>
          <w:highlight w:val="none"/>
          <w:lang w:eastAsia="zh-CN"/>
        </w:rPr>
      </w:pPr>
    </w:p>
    <w:p w14:paraId="0CB2A1FD">
      <w:pPr>
        <w:spacing w:line="440" w:lineRule="exact"/>
        <w:jc w:val="center"/>
        <w:rPr>
          <w:rFonts w:hint="eastAsia" w:ascii="宋体" w:hAnsi="宋体" w:eastAsia="宋体" w:cs="宋体"/>
          <w:b/>
          <w:bCs/>
          <w:color w:val="auto"/>
          <w:sz w:val="24"/>
          <w:highlight w:val="none"/>
          <w:lang w:eastAsia="zh-CN"/>
        </w:rPr>
      </w:pPr>
    </w:p>
    <w:p w14:paraId="2303125B">
      <w:pPr>
        <w:spacing w:line="440" w:lineRule="exact"/>
        <w:jc w:val="center"/>
        <w:rPr>
          <w:rFonts w:hint="eastAsia" w:ascii="宋体" w:hAnsi="宋体" w:eastAsia="宋体" w:cs="宋体"/>
          <w:b/>
          <w:bCs/>
          <w:color w:val="auto"/>
          <w:sz w:val="24"/>
          <w:highlight w:val="none"/>
          <w:lang w:eastAsia="zh-CN"/>
        </w:rPr>
      </w:pPr>
    </w:p>
    <w:p w14:paraId="28E11255">
      <w:pPr>
        <w:spacing w:line="440" w:lineRule="exact"/>
        <w:jc w:val="center"/>
        <w:rPr>
          <w:rFonts w:hint="eastAsia" w:ascii="宋体" w:hAnsi="宋体" w:eastAsia="宋体" w:cs="宋体"/>
          <w:b/>
          <w:bCs/>
          <w:color w:val="auto"/>
          <w:sz w:val="24"/>
          <w:highlight w:val="none"/>
          <w:lang w:eastAsia="zh-CN"/>
        </w:rPr>
      </w:pPr>
    </w:p>
    <w:p w14:paraId="23B93F3E">
      <w:pPr>
        <w:spacing w:line="440" w:lineRule="exact"/>
        <w:jc w:val="center"/>
        <w:rPr>
          <w:rFonts w:hint="eastAsia" w:ascii="宋体" w:hAnsi="宋体" w:eastAsia="宋体" w:cs="宋体"/>
          <w:b/>
          <w:bCs/>
          <w:color w:val="auto"/>
          <w:sz w:val="24"/>
          <w:highlight w:val="none"/>
          <w:lang w:eastAsia="zh-CN"/>
        </w:rPr>
      </w:pPr>
    </w:p>
    <w:p w14:paraId="17550EC7">
      <w:pPr>
        <w:spacing w:line="440" w:lineRule="exact"/>
        <w:jc w:val="center"/>
        <w:rPr>
          <w:rFonts w:hint="eastAsia" w:ascii="宋体" w:hAnsi="宋体" w:eastAsia="宋体" w:cs="宋体"/>
          <w:b/>
          <w:bCs/>
          <w:color w:val="auto"/>
          <w:sz w:val="24"/>
          <w:highlight w:val="none"/>
          <w:lang w:eastAsia="zh-CN"/>
        </w:rPr>
      </w:pPr>
    </w:p>
    <w:p w14:paraId="226D8F4C">
      <w:pPr>
        <w:spacing w:line="440" w:lineRule="exact"/>
        <w:jc w:val="center"/>
        <w:rPr>
          <w:rFonts w:hint="eastAsia" w:ascii="宋体" w:hAnsi="宋体" w:eastAsia="宋体" w:cs="宋体"/>
          <w:b/>
          <w:bCs/>
          <w:color w:val="auto"/>
          <w:sz w:val="24"/>
          <w:highlight w:val="none"/>
          <w:lang w:eastAsia="zh-CN"/>
        </w:rPr>
      </w:pPr>
    </w:p>
    <w:p w14:paraId="329EBAFB">
      <w:pPr>
        <w:spacing w:line="440" w:lineRule="exact"/>
        <w:jc w:val="center"/>
        <w:rPr>
          <w:rFonts w:hint="eastAsia" w:ascii="宋体" w:hAnsi="宋体" w:eastAsia="宋体" w:cs="宋体"/>
          <w:b/>
          <w:bCs/>
          <w:color w:val="auto"/>
          <w:sz w:val="24"/>
          <w:highlight w:val="none"/>
          <w:lang w:eastAsia="zh-CN"/>
        </w:rPr>
      </w:pPr>
    </w:p>
    <w:p w14:paraId="5C54EBEE">
      <w:pPr>
        <w:spacing w:line="440" w:lineRule="exact"/>
        <w:jc w:val="center"/>
        <w:rPr>
          <w:rFonts w:hint="eastAsia" w:ascii="宋体" w:hAnsi="宋体" w:eastAsia="宋体" w:cs="宋体"/>
          <w:b/>
          <w:bCs/>
          <w:color w:val="auto"/>
          <w:sz w:val="24"/>
          <w:highlight w:val="none"/>
          <w:lang w:eastAsia="zh-CN"/>
        </w:rPr>
      </w:pPr>
    </w:p>
    <w:p w14:paraId="5A9F5402">
      <w:pPr>
        <w:spacing w:line="440" w:lineRule="exact"/>
        <w:jc w:val="center"/>
        <w:rPr>
          <w:rFonts w:hint="eastAsia" w:ascii="宋体" w:hAnsi="宋体" w:eastAsia="宋体" w:cs="宋体"/>
          <w:b/>
          <w:bCs/>
          <w:color w:val="auto"/>
          <w:sz w:val="24"/>
          <w:highlight w:val="none"/>
          <w:lang w:eastAsia="zh-CN"/>
        </w:rPr>
      </w:pPr>
    </w:p>
    <w:p w14:paraId="3CC95E85">
      <w:pPr>
        <w:spacing w:line="440" w:lineRule="exact"/>
        <w:jc w:val="center"/>
        <w:rPr>
          <w:rFonts w:hint="eastAsia" w:ascii="宋体" w:hAnsi="宋体" w:eastAsia="宋体" w:cs="宋体"/>
          <w:b/>
          <w:bCs/>
          <w:color w:val="auto"/>
          <w:sz w:val="24"/>
          <w:highlight w:val="none"/>
          <w:lang w:eastAsia="zh-CN"/>
        </w:rPr>
      </w:pPr>
    </w:p>
    <w:p w14:paraId="12588A60">
      <w:pPr>
        <w:spacing w:line="440" w:lineRule="exact"/>
        <w:jc w:val="center"/>
        <w:rPr>
          <w:rFonts w:hint="eastAsia" w:ascii="宋体" w:hAnsi="宋体" w:eastAsia="宋体" w:cs="宋体"/>
          <w:b/>
          <w:bCs/>
          <w:color w:val="auto"/>
          <w:sz w:val="24"/>
          <w:highlight w:val="none"/>
          <w:lang w:eastAsia="zh-CN"/>
        </w:rPr>
      </w:pPr>
    </w:p>
    <w:p w14:paraId="38B72BDE">
      <w:pPr>
        <w:spacing w:line="440" w:lineRule="exact"/>
        <w:jc w:val="both"/>
        <w:rPr>
          <w:rFonts w:hint="eastAsia" w:ascii="宋体" w:hAnsi="宋体" w:eastAsia="宋体" w:cs="宋体"/>
          <w:b w:val="0"/>
          <w:bCs w:val="0"/>
          <w:color w:val="auto"/>
          <w:kern w:val="2"/>
          <w:sz w:val="30"/>
          <w:szCs w:val="30"/>
          <w:lang w:val="en-US" w:eastAsia="zh-CN" w:bidi="ar-SA"/>
        </w:rPr>
      </w:pPr>
      <w:r>
        <w:rPr>
          <w:rFonts w:hint="eastAsia" w:ascii="宋体" w:hAnsi="宋体" w:eastAsia="宋体" w:cs="宋体"/>
          <w:b w:val="0"/>
          <w:bCs w:val="0"/>
          <w:color w:val="auto"/>
          <w:sz w:val="24"/>
          <w:highlight w:val="none"/>
          <w:lang w:val="en-US" w:eastAsia="zh-CN"/>
        </w:rPr>
        <w:t>附件8、</w:t>
      </w:r>
      <w:r>
        <w:rPr>
          <w:rFonts w:hint="eastAsia" w:ascii="宋体" w:hAnsi="宋体" w:eastAsia="宋体" w:cs="宋体"/>
          <w:b w:val="0"/>
          <w:bCs w:val="0"/>
          <w:color w:val="auto"/>
          <w:kern w:val="2"/>
          <w:sz w:val="30"/>
          <w:szCs w:val="30"/>
          <w:lang w:val="en-US" w:eastAsia="zh-CN" w:bidi="ar-SA"/>
        </w:rPr>
        <w:t>履行合同所必需的设备和专业技术能力的书面声明</w:t>
      </w:r>
    </w:p>
    <w:p w14:paraId="11E34DE9">
      <w:pPr>
        <w:spacing w:line="440" w:lineRule="exact"/>
        <w:jc w:val="center"/>
        <w:rPr>
          <w:rFonts w:hint="default" w:ascii="宋体" w:hAnsi="宋体" w:eastAsia="宋体" w:cs="宋体"/>
          <w:b/>
          <w:bCs/>
          <w:color w:val="auto"/>
          <w:sz w:val="24"/>
          <w:highlight w:val="none"/>
          <w:lang w:val="en-US" w:eastAsia="zh-CN"/>
        </w:rPr>
      </w:pPr>
    </w:p>
    <w:p w14:paraId="02280E8F">
      <w:pPr>
        <w:spacing w:line="440" w:lineRule="exact"/>
        <w:jc w:val="center"/>
        <w:rPr>
          <w:rFonts w:hint="eastAsia" w:ascii="宋体" w:hAnsi="宋体" w:eastAsia="宋体" w:cs="宋体"/>
          <w:b/>
          <w:bCs/>
          <w:color w:val="auto"/>
          <w:sz w:val="24"/>
          <w:highlight w:val="none"/>
          <w:lang w:eastAsia="zh-CN"/>
        </w:rPr>
      </w:pPr>
    </w:p>
    <w:p w14:paraId="12D19A78">
      <w:pPr>
        <w:spacing w:line="440" w:lineRule="exact"/>
        <w:jc w:val="center"/>
        <w:rPr>
          <w:rFonts w:hint="eastAsia" w:ascii="宋体" w:hAnsi="宋体" w:eastAsia="宋体" w:cs="宋体"/>
          <w:b/>
          <w:bCs/>
          <w:color w:val="auto"/>
          <w:sz w:val="24"/>
          <w:highlight w:val="none"/>
          <w:lang w:eastAsia="zh-CN"/>
        </w:rPr>
      </w:pPr>
    </w:p>
    <w:p w14:paraId="05C25E8F">
      <w:pPr>
        <w:spacing w:line="440" w:lineRule="exact"/>
        <w:jc w:val="center"/>
        <w:rPr>
          <w:rFonts w:hint="eastAsia" w:ascii="宋体" w:hAnsi="宋体" w:eastAsia="宋体" w:cs="宋体"/>
          <w:b/>
          <w:bCs/>
          <w:color w:val="auto"/>
          <w:kern w:val="2"/>
          <w:sz w:val="30"/>
          <w:szCs w:val="30"/>
          <w:lang w:val="en-US" w:eastAsia="zh-CN" w:bidi="ar-SA"/>
        </w:rPr>
      </w:pPr>
      <w:r>
        <w:rPr>
          <w:rFonts w:hint="eastAsia" w:ascii="宋体" w:hAnsi="宋体" w:eastAsia="宋体" w:cs="宋体"/>
          <w:b/>
          <w:bCs/>
          <w:color w:val="auto"/>
          <w:kern w:val="2"/>
          <w:sz w:val="30"/>
          <w:szCs w:val="30"/>
          <w:lang w:val="en-US" w:eastAsia="zh-CN" w:bidi="ar-SA"/>
        </w:rPr>
        <w:t>履行合同所必需的设备和专业技术能力的书面声明</w:t>
      </w:r>
    </w:p>
    <w:p w14:paraId="28565516">
      <w:pPr>
        <w:tabs>
          <w:tab w:val="center" w:pos="4153"/>
          <w:tab w:val="right" w:pos="8306"/>
        </w:tabs>
        <w:snapToGrid w:val="0"/>
        <w:rPr>
          <w:rFonts w:hint="eastAsia" w:ascii="宋体" w:hAnsi="宋体" w:eastAsia="宋体" w:cs="宋体"/>
          <w:b/>
          <w:bCs/>
          <w:color w:val="auto"/>
          <w:sz w:val="24"/>
          <w:highlight w:val="none"/>
          <w:lang w:eastAsia="zh-CN"/>
        </w:rPr>
      </w:pPr>
    </w:p>
    <w:p w14:paraId="193621D1">
      <w:pPr>
        <w:tabs>
          <w:tab w:val="center" w:pos="4153"/>
          <w:tab w:val="right" w:pos="8306"/>
        </w:tabs>
        <w:snapToGrid w:val="0"/>
        <w:spacing w:line="44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致：新疆天跃中达项目管理有限责任公司 </w:t>
      </w:r>
    </w:p>
    <w:p w14:paraId="53CD8BA5">
      <w:pPr>
        <w:tabs>
          <w:tab w:val="center" w:pos="4153"/>
          <w:tab w:val="right" w:pos="8306"/>
        </w:tabs>
        <w:snapToGrid w:val="0"/>
        <w:spacing w:line="440" w:lineRule="exact"/>
        <w:ind w:firstLine="270" w:firstLineChars="1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本单位作为本次采购项目的投标单位，郑重承诺具备以下条件：</w:t>
      </w:r>
    </w:p>
    <w:p w14:paraId="1AA504C1">
      <w:pPr>
        <w:numPr>
          <w:ilvl w:val="0"/>
          <w:numId w:val="16"/>
        </w:numPr>
        <w:tabs>
          <w:tab w:val="center" w:pos="4153"/>
          <w:tab w:val="right" w:pos="8306"/>
        </w:tabs>
        <w:snapToGrid w:val="0"/>
        <w:spacing w:line="440" w:lineRule="exact"/>
        <w:rPr>
          <w:rFonts w:hint="eastAsia" w:ascii="宋体" w:hAnsi="宋体" w:eastAsia="宋体" w:cs="宋体"/>
          <w:color w:val="auto"/>
          <w:sz w:val="24"/>
          <w:highlight w:val="none"/>
          <w:lang w:eastAsia="zh-CN"/>
        </w:rPr>
      </w:pPr>
      <w:bookmarkStart w:id="178" w:name="_Toc10522_WPSOffice_Level1"/>
      <w:r>
        <w:rPr>
          <w:rFonts w:hint="eastAsia" w:ascii="宋体" w:hAnsi="宋体" w:eastAsia="宋体" w:cs="宋体"/>
          <w:color w:val="auto"/>
          <w:sz w:val="24"/>
          <w:highlight w:val="none"/>
          <w:lang w:eastAsia="zh-CN"/>
        </w:rPr>
        <w:t>具有履行合同所必需的</w:t>
      </w:r>
      <w:bookmarkEnd w:id="178"/>
      <w:r>
        <w:rPr>
          <w:rFonts w:hint="eastAsia" w:ascii="宋体" w:hAnsi="宋体" w:eastAsia="宋体" w:cs="宋体"/>
          <w:color w:val="auto"/>
          <w:sz w:val="24"/>
          <w:highlight w:val="none"/>
          <w:lang w:eastAsia="zh-CN"/>
        </w:rPr>
        <w:t>设备</w:t>
      </w:r>
    </w:p>
    <w:p w14:paraId="2BE45E62">
      <w:pPr>
        <w:numPr>
          <w:ilvl w:val="0"/>
          <w:numId w:val="16"/>
        </w:numPr>
        <w:tabs>
          <w:tab w:val="center" w:pos="4153"/>
          <w:tab w:val="right" w:pos="8306"/>
        </w:tabs>
        <w:snapToGrid w:val="0"/>
        <w:spacing w:line="44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具有履行合同所必需专业技术能力；</w:t>
      </w:r>
    </w:p>
    <w:p w14:paraId="23EBE834">
      <w:pPr>
        <w:tabs>
          <w:tab w:val="center" w:pos="4153"/>
          <w:tab w:val="right" w:pos="8306"/>
        </w:tabs>
        <w:snapToGrid w:val="0"/>
        <w:spacing w:line="440" w:lineRule="exact"/>
        <w:rPr>
          <w:rFonts w:hint="eastAsia" w:ascii="宋体" w:hAnsi="宋体" w:eastAsia="宋体" w:cs="宋体"/>
          <w:color w:val="auto"/>
          <w:sz w:val="24"/>
          <w:highlight w:val="none"/>
          <w:lang w:eastAsia="zh-CN"/>
        </w:rPr>
      </w:pPr>
    </w:p>
    <w:p w14:paraId="087394C7">
      <w:pPr>
        <w:tabs>
          <w:tab w:val="center" w:pos="4153"/>
          <w:tab w:val="right" w:pos="8306"/>
        </w:tabs>
        <w:snapToGrid w:val="0"/>
        <w:spacing w:line="44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本单位对上述承诺的真实性负责，如有虚假，将依法承担法律责任。</w:t>
      </w:r>
    </w:p>
    <w:p w14:paraId="496B7871">
      <w:pPr>
        <w:tabs>
          <w:tab w:val="center" w:pos="4153"/>
          <w:tab w:val="right" w:pos="8306"/>
        </w:tabs>
        <w:snapToGrid w:val="0"/>
        <w:spacing w:line="440" w:lineRule="exact"/>
        <w:rPr>
          <w:rFonts w:hint="eastAsia" w:ascii="宋体" w:hAnsi="宋体" w:eastAsia="宋体" w:cs="宋体"/>
          <w:color w:val="auto"/>
          <w:sz w:val="24"/>
          <w:highlight w:val="none"/>
          <w:lang w:eastAsia="zh-CN"/>
        </w:rPr>
      </w:pPr>
    </w:p>
    <w:p w14:paraId="50FB56D2">
      <w:pPr>
        <w:tabs>
          <w:tab w:val="center" w:pos="4153"/>
          <w:tab w:val="right" w:pos="8306"/>
        </w:tabs>
        <w:snapToGrid w:val="0"/>
        <w:spacing w:line="440" w:lineRule="exact"/>
        <w:ind w:firstLine="54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特此承诺。</w:t>
      </w:r>
    </w:p>
    <w:p w14:paraId="1D1C3ADF">
      <w:pPr>
        <w:tabs>
          <w:tab w:val="center" w:pos="4153"/>
          <w:tab w:val="right" w:pos="8306"/>
        </w:tabs>
        <w:snapToGrid w:val="0"/>
        <w:spacing w:line="440" w:lineRule="exact"/>
        <w:ind w:firstLine="540" w:firstLineChars="200"/>
        <w:rPr>
          <w:rFonts w:hint="eastAsia" w:ascii="宋体" w:hAnsi="宋体" w:eastAsia="宋体" w:cs="宋体"/>
          <w:color w:val="auto"/>
          <w:sz w:val="24"/>
          <w:highlight w:val="none"/>
          <w:lang w:eastAsia="zh-CN"/>
        </w:rPr>
      </w:pPr>
    </w:p>
    <w:p w14:paraId="278026FB">
      <w:pPr>
        <w:tabs>
          <w:tab w:val="center" w:pos="4153"/>
          <w:tab w:val="right" w:pos="8306"/>
        </w:tabs>
        <w:snapToGrid w:val="0"/>
        <w:spacing w:line="440" w:lineRule="exact"/>
        <w:ind w:firstLine="540" w:firstLineChars="200"/>
        <w:rPr>
          <w:rFonts w:hint="eastAsia" w:ascii="宋体" w:hAnsi="宋体" w:eastAsia="宋体" w:cs="宋体"/>
          <w:color w:val="auto"/>
          <w:sz w:val="24"/>
          <w:highlight w:val="none"/>
          <w:lang w:eastAsia="zh-CN"/>
        </w:rPr>
      </w:pPr>
    </w:p>
    <w:p w14:paraId="2C603DF9">
      <w:pPr>
        <w:pStyle w:val="63"/>
        <w:spacing w:before="145" w:beforeLines="50" w:after="145" w:afterLines="50" w:line="300" w:lineRule="auto"/>
        <w:ind w:left="540" w:leftChars="200" w:firstLine="5940" w:firstLineChars="2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投标人</w:t>
      </w:r>
      <w:r>
        <w:rPr>
          <w:rFonts w:hint="eastAsia" w:ascii="宋体" w:hAnsi="宋体" w:eastAsia="宋体" w:cs="宋体"/>
          <w:color w:val="auto"/>
          <w:kern w:val="2"/>
          <w:sz w:val="24"/>
          <w:szCs w:val="24"/>
        </w:rPr>
        <w:t xml:space="preserve">（盖章）： </w:t>
      </w:r>
    </w:p>
    <w:p w14:paraId="7F314FF0">
      <w:pPr>
        <w:spacing w:before="145" w:beforeLines="50" w:after="145" w:afterLines="50" w:line="300" w:lineRule="auto"/>
        <w:jc w:val="right"/>
        <w:rPr>
          <w:rFonts w:hint="eastAsia" w:ascii="宋体" w:hAnsi="宋体" w:eastAsia="宋体" w:cs="宋体"/>
          <w:color w:val="auto"/>
          <w:sz w:val="24"/>
          <w:szCs w:val="24"/>
        </w:rPr>
      </w:pPr>
      <w:r>
        <w:rPr>
          <w:rFonts w:hint="eastAsia" w:ascii="宋体" w:hAnsi="宋体" w:eastAsia="宋体" w:cs="宋体"/>
          <w:color w:val="auto"/>
          <w:sz w:val="24"/>
          <w:szCs w:val="24"/>
        </w:rPr>
        <w:t>______年____月____日</w:t>
      </w:r>
    </w:p>
    <w:p w14:paraId="32AEDD59">
      <w:pPr>
        <w:rPr>
          <w:rFonts w:hint="eastAsia" w:ascii="宋体" w:hAnsi="宋体" w:eastAsia="宋体" w:cs="宋体"/>
          <w:color w:val="auto"/>
          <w:sz w:val="24"/>
          <w:szCs w:val="24"/>
        </w:rPr>
      </w:pPr>
    </w:p>
    <w:p w14:paraId="1B9B7516">
      <w:pPr>
        <w:pStyle w:val="64"/>
        <w:rPr>
          <w:rFonts w:hint="eastAsia" w:ascii="宋体" w:hAnsi="宋体" w:eastAsia="宋体" w:cs="宋体"/>
          <w:color w:val="auto"/>
        </w:rPr>
      </w:pPr>
    </w:p>
    <w:p w14:paraId="47DD37D9">
      <w:pPr>
        <w:pStyle w:val="66"/>
        <w:rPr>
          <w:rFonts w:hint="eastAsia" w:ascii="宋体" w:hAnsi="宋体" w:eastAsia="宋体" w:cs="宋体"/>
          <w:color w:val="auto"/>
        </w:rPr>
      </w:pPr>
    </w:p>
    <w:p w14:paraId="29E57BE2">
      <w:pPr>
        <w:pStyle w:val="66"/>
        <w:rPr>
          <w:rFonts w:hint="eastAsia" w:ascii="宋体" w:hAnsi="宋体" w:eastAsia="宋体" w:cs="宋体"/>
          <w:color w:val="auto"/>
        </w:rPr>
      </w:pPr>
    </w:p>
    <w:p w14:paraId="1A409103">
      <w:pPr>
        <w:pStyle w:val="66"/>
        <w:rPr>
          <w:rFonts w:hint="eastAsia" w:ascii="宋体" w:hAnsi="宋体" w:eastAsia="宋体" w:cs="宋体"/>
          <w:color w:val="auto"/>
        </w:rPr>
      </w:pPr>
    </w:p>
    <w:p w14:paraId="667D46D2">
      <w:pPr>
        <w:pStyle w:val="66"/>
        <w:rPr>
          <w:rFonts w:hint="eastAsia" w:ascii="宋体" w:hAnsi="宋体" w:eastAsia="宋体" w:cs="宋体"/>
          <w:color w:val="auto"/>
        </w:rPr>
      </w:pPr>
    </w:p>
    <w:p w14:paraId="1FAC2F7B">
      <w:pPr>
        <w:pStyle w:val="66"/>
        <w:rPr>
          <w:rFonts w:hint="eastAsia" w:ascii="宋体" w:hAnsi="宋体" w:eastAsia="宋体" w:cs="宋体"/>
          <w:color w:val="auto"/>
        </w:rPr>
      </w:pPr>
    </w:p>
    <w:p w14:paraId="384A0574">
      <w:pPr>
        <w:pStyle w:val="66"/>
        <w:rPr>
          <w:rFonts w:hint="eastAsia" w:ascii="宋体" w:hAnsi="宋体" w:eastAsia="宋体" w:cs="宋体"/>
          <w:color w:val="auto"/>
        </w:rPr>
      </w:pPr>
    </w:p>
    <w:p w14:paraId="2466D1BA">
      <w:pPr>
        <w:pStyle w:val="66"/>
        <w:rPr>
          <w:rFonts w:hint="eastAsia" w:ascii="宋体" w:hAnsi="宋体" w:eastAsia="宋体" w:cs="宋体"/>
          <w:color w:val="auto"/>
        </w:rPr>
      </w:pPr>
    </w:p>
    <w:p w14:paraId="79AC774E">
      <w:pPr>
        <w:pStyle w:val="66"/>
        <w:rPr>
          <w:rFonts w:hint="eastAsia" w:ascii="宋体" w:hAnsi="宋体" w:eastAsia="宋体" w:cs="宋体"/>
          <w:color w:val="auto"/>
        </w:rPr>
      </w:pPr>
    </w:p>
    <w:p w14:paraId="2CF10C2B">
      <w:pPr>
        <w:pStyle w:val="66"/>
        <w:rPr>
          <w:rFonts w:hint="eastAsia" w:ascii="宋体" w:hAnsi="宋体" w:eastAsia="宋体" w:cs="宋体"/>
          <w:color w:val="auto"/>
        </w:rPr>
      </w:pPr>
    </w:p>
    <w:p w14:paraId="774CB78A">
      <w:pPr>
        <w:pStyle w:val="66"/>
        <w:rPr>
          <w:rFonts w:hint="eastAsia" w:ascii="宋体" w:hAnsi="宋体" w:eastAsia="宋体" w:cs="宋体"/>
          <w:color w:val="auto"/>
        </w:rPr>
      </w:pPr>
    </w:p>
    <w:p w14:paraId="673EB49C">
      <w:pPr>
        <w:pStyle w:val="66"/>
        <w:rPr>
          <w:rFonts w:hint="eastAsia" w:ascii="宋体" w:hAnsi="宋体" w:eastAsia="宋体" w:cs="宋体"/>
          <w:color w:val="auto"/>
        </w:rPr>
      </w:pPr>
    </w:p>
    <w:p w14:paraId="7C07D638">
      <w:pPr>
        <w:pStyle w:val="66"/>
        <w:rPr>
          <w:rFonts w:hint="eastAsia" w:ascii="宋体" w:hAnsi="宋体" w:eastAsia="宋体" w:cs="宋体"/>
          <w:color w:val="auto"/>
        </w:rPr>
      </w:pPr>
    </w:p>
    <w:p w14:paraId="09FBC569">
      <w:pPr>
        <w:pStyle w:val="66"/>
        <w:rPr>
          <w:rFonts w:hint="eastAsia" w:ascii="宋体" w:hAnsi="宋体" w:eastAsia="宋体" w:cs="宋体"/>
          <w:color w:val="auto"/>
        </w:rPr>
      </w:pPr>
    </w:p>
    <w:p w14:paraId="2EFC32F3">
      <w:pPr>
        <w:pStyle w:val="66"/>
        <w:rPr>
          <w:rFonts w:hint="eastAsia" w:ascii="宋体" w:hAnsi="宋体" w:eastAsia="宋体" w:cs="宋体"/>
          <w:color w:val="auto"/>
        </w:rPr>
      </w:pPr>
    </w:p>
    <w:p w14:paraId="0132CA90">
      <w:pPr>
        <w:pStyle w:val="66"/>
        <w:rPr>
          <w:rFonts w:hint="eastAsia" w:ascii="宋体" w:hAnsi="宋体" w:eastAsia="宋体" w:cs="宋体"/>
          <w:color w:val="auto"/>
        </w:rPr>
      </w:pPr>
    </w:p>
    <w:p w14:paraId="407CB506">
      <w:pPr>
        <w:pStyle w:val="66"/>
        <w:rPr>
          <w:rFonts w:hint="eastAsia" w:ascii="宋体" w:hAnsi="宋体" w:eastAsia="宋体" w:cs="宋体"/>
          <w:color w:val="auto"/>
        </w:rPr>
      </w:pPr>
    </w:p>
    <w:p w14:paraId="0B101CDC">
      <w:pPr>
        <w:pStyle w:val="66"/>
        <w:rPr>
          <w:rFonts w:hint="eastAsia" w:ascii="宋体" w:hAnsi="宋体" w:eastAsia="宋体" w:cs="宋体"/>
          <w:color w:val="auto"/>
        </w:rPr>
      </w:pPr>
    </w:p>
    <w:p w14:paraId="59BBAE3E">
      <w:pPr>
        <w:pStyle w:val="66"/>
        <w:rPr>
          <w:rFonts w:hint="eastAsia" w:ascii="宋体" w:hAnsi="宋体" w:eastAsia="宋体" w:cs="宋体"/>
          <w:color w:val="auto"/>
        </w:rPr>
      </w:pPr>
    </w:p>
    <w:p w14:paraId="0F2EF194">
      <w:pPr>
        <w:pStyle w:val="66"/>
        <w:rPr>
          <w:rFonts w:hint="eastAsia" w:ascii="宋体" w:hAnsi="宋体" w:eastAsia="宋体" w:cs="宋体"/>
          <w:color w:val="auto"/>
        </w:rPr>
      </w:pPr>
    </w:p>
    <w:p w14:paraId="026713FB">
      <w:pPr>
        <w:pStyle w:val="66"/>
        <w:rPr>
          <w:rFonts w:hint="eastAsia" w:ascii="宋体" w:hAnsi="宋体" w:eastAsia="宋体" w:cs="宋体"/>
          <w:color w:val="auto"/>
        </w:rPr>
      </w:pPr>
    </w:p>
    <w:p w14:paraId="1D595CA2">
      <w:pPr>
        <w:pStyle w:val="66"/>
        <w:rPr>
          <w:rFonts w:hint="default" w:ascii="宋体" w:hAnsi="宋体" w:eastAsia="宋体" w:cs="宋体"/>
          <w:color w:val="000000"/>
          <w:lang w:val="en-US" w:eastAsia="zh-CN"/>
        </w:rPr>
      </w:pPr>
      <w:r>
        <w:rPr>
          <w:rFonts w:hint="eastAsia" w:hAnsi="宋体" w:cs="宋体"/>
          <w:color w:val="auto"/>
          <w:lang w:val="en-US" w:eastAsia="zh-CN"/>
        </w:rPr>
        <w:t>附件9、</w:t>
      </w:r>
      <w:bookmarkStart w:id="179" w:name="_Toc139389577"/>
      <w:r>
        <w:rPr>
          <w:rFonts w:hint="eastAsia" w:ascii="宋体" w:hAnsi="宋体" w:eastAsia="宋体" w:cs="宋体"/>
          <w:color w:val="000000"/>
          <w:sz w:val="28"/>
          <w:szCs w:val="22"/>
        </w:rPr>
        <w:t>磋商保证金</w:t>
      </w:r>
      <w:bookmarkEnd w:id="179"/>
      <w:r>
        <w:rPr>
          <w:rFonts w:hint="eastAsia" w:ascii="宋体" w:hAnsi="宋体" w:eastAsia="宋体" w:cs="宋体"/>
          <w:color w:val="000000"/>
          <w:sz w:val="28"/>
          <w:szCs w:val="22"/>
          <w:lang w:eastAsia="zh-CN"/>
        </w:rPr>
        <w:t>（</w:t>
      </w:r>
      <w:r>
        <w:rPr>
          <w:rFonts w:hint="eastAsia" w:ascii="宋体" w:hAnsi="宋体" w:eastAsia="宋体" w:cs="宋体"/>
          <w:color w:val="000000"/>
          <w:sz w:val="28"/>
          <w:szCs w:val="22"/>
          <w:lang w:val="en-US" w:eastAsia="zh-CN"/>
        </w:rPr>
        <w:t>本项目不作要求）</w:t>
      </w:r>
    </w:p>
    <w:p w14:paraId="53C53662">
      <w:pPr>
        <w:pStyle w:val="90"/>
        <w:tabs>
          <w:tab w:val="left" w:pos="1429"/>
        </w:tabs>
        <w:spacing w:line="360" w:lineRule="auto"/>
        <w:rPr>
          <w:rFonts w:hint="eastAsia" w:ascii="宋体" w:hAnsi="宋体" w:eastAsia="宋体" w:cs="宋体"/>
          <w:bCs/>
          <w:color w:val="000000"/>
        </w:rPr>
      </w:pPr>
    </w:p>
    <w:p w14:paraId="60AC2FC0">
      <w:pPr>
        <w:pStyle w:val="90"/>
        <w:tabs>
          <w:tab w:val="left" w:pos="1429"/>
        </w:tabs>
        <w:spacing w:line="360" w:lineRule="auto"/>
        <w:rPr>
          <w:rFonts w:hint="eastAsia" w:ascii="宋体" w:hAnsi="宋体" w:eastAsia="宋体" w:cs="宋体"/>
          <w:bCs/>
          <w:color w:val="000000"/>
          <w:lang w:val="en-US" w:eastAsia="zh-CN"/>
        </w:rPr>
      </w:pPr>
      <w:r>
        <w:rPr>
          <w:rFonts w:hint="eastAsia" w:ascii="宋体" w:hAnsi="宋体" w:eastAsia="宋体" w:cs="宋体"/>
          <w:bCs/>
          <w:color w:val="000000"/>
        </w:rPr>
        <w:t>说明：</w:t>
      </w:r>
      <w:r>
        <w:rPr>
          <w:rFonts w:hint="eastAsia" w:ascii="宋体" w:hAnsi="宋体" w:eastAsia="宋体" w:cs="宋体"/>
          <w:bCs/>
          <w:color w:val="000000"/>
          <w:lang w:eastAsia="zh-CN"/>
        </w:rPr>
        <w:t>1、</w:t>
      </w:r>
      <w:r>
        <w:rPr>
          <w:rFonts w:hint="eastAsia" w:ascii="宋体" w:hAnsi="宋体" w:eastAsia="宋体" w:cs="宋体"/>
          <w:bCs/>
          <w:color w:val="000000"/>
        </w:rPr>
        <w:t>此处上传</w:t>
      </w:r>
      <w:r>
        <w:rPr>
          <w:rFonts w:hint="eastAsia" w:ascii="宋体" w:hAnsi="宋体" w:eastAsia="宋体" w:cs="宋体"/>
          <w:bCs/>
          <w:color w:val="000000"/>
          <w:lang w:eastAsia="zh-CN"/>
        </w:rPr>
        <w:t>磋商</w:t>
      </w:r>
      <w:r>
        <w:rPr>
          <w:rFonts w:hint="eastAsia" w:ascii="宋体" w:hAnsi="宋体" w:eastAsia="宋体" w:cs="宋体"/>
          <w:bCs/>
          <w:color w:val="000000"/>
        </w:rPr>
        <w:t>保证金</w:t>
      </w:r>
      <w:r>
        <w:rPr>
          <w:rFonts w:hint="eastAsia" w:ascii="宋体" w:hAnsi="宋体" w:eastAsia="宋体" w:cs="宋体"/>
          <w:bCs/>
          <w:color w:val="000000"/>
          <w:lang w:eastAsia="zh-CN"/>
        </w:rPr>
        <w:t>缴纳证明文件及企业基本账户信息</w:t>
      </w:r>
      <w:r>
        <w:rPr>
          <w:rFonts w:hint="eastAsia" w:ascii="宋体" w:hAnsi="宋体" w:eastAsia="宋体" w:cs="宋体"/>
          <w:bCs/>
          <w:color w:val="000000"/>
          <w:lang w:val="en-US" w:eastAsia="zh-CN"/>
        </w:rPr>
        <w:t>。</w:t>
      </w:r>
    </w:p>
    <w:p w14:paraId="66BB1D3C">
      <w:pPr>
        <w:pStyle w:val="100"/>
        <w:spacing w:line="360" w:lineRule="auto"/>
        <w:rPr>
          <w:rFonts w:hint="eastAsia" w:ascii="宋体" w:hAnsi="宋体" w:eastAsia="宋体" w:cs="宋体"/>
          <w:b/>
          <w:color w:val="000000"/>
          <w:sz w:val="24"/>
          <w:szCs w:val="24"/>
        </w:rPr>
        <w:sectPr>
          <w:pgSz w:w="11906" w:h="16838"/>
          <w:pgMar w:top="1247" w:right="1247" w:bottom="1247" w:left="1247" w:header="851" w:footer="992" w:gutter="0"/>
          <w:pgNumType w:fmt="decimal"/>
          <w:cols w:space="720" w:num="1"/>
          <w:rtlGutter w:val="0"/>
          <w:docGrid w:linePitch="312" w:charSpace="0"/>
        </w:sectPr>
      </w:pPr>
      <w:r>
        <w:rPr>
          <w:rFonts w:hint="eastAsia" w:ascii="宋体" w:hAnsi="宋体" w:eastAsia="宋体" w:cs="宋体"/>
          <w:color w:val="000000"/>
        </w:rPr>
        <w:t xml:space="preserve">    </w:t>
      </w:r>
      <w:r>
        <w:rPr>
          <w:rFonts w:hint="eastAsia" w:ascii="宋体" w:hAnsi="宋体" w:eastAsia="宋体" w:cs="宋体"/>
          <w:bCs/>
          <w:color w:val="000000"/>
          <w:sz w:val="24"/>
        </w:rPr>
        <w:t xml:space="preserve">   2、</w:t>
      </w:r>
      <w:r>
        <w:rPr>
          <w:rFonts w:hint="eastAsia" w:ascii="宋体" w:hAnsi="宋体" w:eastAsia="宋体" w:cs="宋体"/>
          <w:color w:val="000000"/>
          <w:sz w:val="24"/>
          <w:szCs w:val="24"/>
        </w:rPr>
        <w:t>若采用电子保函，需附电子保函、企业基本账户信息、电子保函费用转出凭证。</w:t>
      </w:r>
      <w:r>
        <w:rPr>
          <w:rFonts w:hint="eastAsia" w:ascii="宋体" w:hAnsi="宋体" w:eastAsia="宋体" w:cs="宋体"/>
          <w:b/>
          <w:color w:val="000000"/>
          <w:sz w:val="24"/>
          <w:szCs w:val="24"/>
        </w:rPr>
        <w:t>（购买电子投标保函所支付的费用应从投标人企业基本账户转出）</w:t>
      </w:r>
    </w:p>
    <w:p w14:paraId="2C757A93">
      <w:pPr>
        <w:pStyle w:val="24"/>
        <w:rPr>
          <w:rFonts w:hint="eastAsia" w:ascii="宋体" w:hAnsi="宋体" w:eastAsia="宋体" w:cs="宋体"/>
          <w:color w:val="000000"/>
        </w:rPr>
      </w:pPr>
    </w:p>
    <w:p w14:paraId="5EF897E0">
      <w:pPr>
        <w:pStyle w:val="90"/>
        <w:keepNext w:val="0"/>
        <w:keepLines w:val="0"/>
        <w:pageBreakBefore w:val="0"/>
        <w:widowControl w:val="0"/>
        <w:tabs>
          <w:tab w:val="left" w:pos="1429"/>
        </w:tabs>
        <w:kinsoku/>
        <w:wordWrap/>
        <w:overflowPunct/>
        <w:topLinePunct w:val="0"/>
        <w:autoSpaceDE/>
        <w:autoSpaceDN/>
        <w:bidi w:val="0"/>
        <w:adjustRightInd/>
        <w:snapToGrid/>
        <w:spacing w:line="360" w:lineRule="auto"/>
        <w:jc w:val="left"/>
        <w:textAlignment w:val="auto"/>
        <w:outlineLvl w:val="2"/>
        <w:rPr>
          <w:rFonts w:hint="eastAsia" w:ascii="宋体" w:hAnsi="宋体" w:eastAsia="宋体" w:cs="宋体"/>
          <w:b w:val="0"/>
          <w:bCs/>
          <w:color w:val="000000"/>
          <w:sz w:val="28"/>
          <w:szCs w:val="22"/>
          <w:lang w:val="en-US" w:eastAsia="zh-CN" w:bidi="ar-SA"/>
        </w:rPr>
      </w:pPr>
      <w:r>
        <w:rPr>
          <w:rFonts w:hint="eastAsia" w:ascii="宋体" w:hAnsi="宋体" w:eastAsia="宋体" w:cs="宋体"/>
          <w:b w:val="0"/>
          <w:bCs/>
          <w:color w:val="000000"/>
          <w:sz w:val="28"/>
          <w:szCs w:val="22"/>
          <w:lang w:val="en-US" w:eastAsia="zh-CN" w:bidi="ar-SA"/>
        </w:rPr>
        <w:t>附件10、承诺书</w:t>
      </w:r>
      <w:bookmarkEnd w:id="177"/>
    </w:p>
    <w:p w14:paraId="6CD43232">
      <w:pPr>
        <w:pStyle w:val="24"/>
        <w:jc w:val="center"/>
        <w:rPr>
          <w:rFonts w:hint="eastAsia"/>
          <w:lang w:val="en-US" w:eastAsia="zh-CN"/>
        </w:rPr>
      </w:pPr>
      <w:r>
        <w:rPr>
          <w:rFonts w:hint="eastAsia" w:ascii="宋体" w:hAnsi="宋体" w:eastAsia="宋体" w:cs="宋体"/>
          <w:b/>
          <w:color w:val="000000"/>
          <w:sz w:val="28"/>
          <w:szCs w:val="22"/>
          <w:lang w:val="en-US" w:eastAsia="zh-CN" w:bidi="ar-SA"/>
        </w:rPr>
        <w:t>10.1不参与围标串标承诺书</w:t>
      </w:r>
    </w:p>
    <w:p w14:paraId="62BC40BB">
      <w:pPr>
        <w:pStyle w:val="101"/>
        <w:spacing w:line="6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本人作为</w:t>
      </w:r>
      <w:r>
        <w:rPr>
          <w:rFonts w:hint="eastAsia" w:ascii="宋体" w:hAnsi="宋体" w:eastAsia="宋体" w:cs="宋体"/>
          <w:color w:val="000000"/>
          <w:sz w:val="24"/>
          <w:u w:val="single"/>
        </w:rPr>
        <w:t xml:space="preserve">（单位名称）                      </w:t>
      </w:r>
      <w:r>
        <w:rPr>
          <w:rFonts w:hint="eastAsia" w:ascii="宋体" w:hAnsi="宋体" w:eastAsia="宋体" w:cs="宋体"/>
          <w:color w:val="000000"/>
          <w:sz w:val="24"/>
        </w:rPr>
        <w:t>的法人，清楚知晓我公司本项目投标活动，对以下事项作出承诺：</w:t>
      </w:r>
    </w:p>
    <w:p w14:paraId="2EFD998A">
      <w:pPr>
        <w:pStyle w:val="101"/>
        <w:spacing w:line="6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一、我单位遵循公开、公平、公正、诚实守信的原则，依法依规参与本项目竞标。</w:t>
      </w:r>
    </w:p>
    <w:p w14:paraId="53552B18">
      <w:pPr>
        <w:pStyle w:val="101"/>
        <w:spacing w:line="6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二、我单位在本项目招标投标活动中，未参与围标串标。</w:t>
      </w:r>
    </w:p>
    <w:p w14:paraId="5DEFFF03">
      <w:pPr>
        <w:pStyle w:val="101"/>
        <w:spacing w:line="640" w:lineRule="exact"/>
        <w:ind w:firstLine="480" w:firstLineChars="200"/>
        <w:rPr>
          <w:rFonts w:hint="eastAsia" w:ascii="宋体" w:hAnsi="宋体" w:eastAsia="宋体" w:cs="宋体"/>
          <w:b/>
          <w:color w:val="000000"/>
          <w:sz w:val="24"/>
        </w:rPr>
      </w:pPr>
      <w:r>
        <w:rPr>
          <w:rFonts w:hint="eastAsia" w:ascii="宋体" w:hAnsi="宋体" w:eastAsia="宋体" w:cs="宋体"/>
          <w:color w:val="000000"/>
          <w:sz w:val="24"/>
        </w:rPr>
        <w:t>三、我单位如被查实在本项目招标投标活动中存在围标串标的，递交投标文件行为作为实施串通投标违法行为的关键环节，本人承担直接责任人员法律责任，接受相应行政处罚和失信惩戒。</w:t>
      </w:r>
    </w:p>
    <w:p w14:paraId="1B3FCDBD">
      <w:pPr>
        <w:pStyle w:val="101"/>
        <w:spacing w:line="640" w:lineRule="exact"/>
        <w:jc w:val="left"/>
        <w:rPr>
          <w:rFonts w:hint="eastAsia" w:ascii="宋体" w:hAnsi="宋体" w:eastAsia="宋体" w:cs="宋体"/>
          <w:color w:val="000000"/>
          <w:sz w:val="24"/>
        </w:rPr>
      </w:pPr>
      <w:r>
        <w:rPr>
          <w:rFonts w:hint="eastAsia" w:ascii="宋体" w:hAnsi="宋体" w:eastAsia="宋体" w:cs="宋体"/>
          <w:color w:val="000000"/>
          <w:sz w:val="24"/>
        </w:rPr>
        <w:t xml:space="preserve">    </w:t>
      </w:r>
    </w:p>
    <w:p w14:paraId="35D8EB90">
      <w:pPr>
        <w:pStyle w:val="101"/>
        <w:spacing w:line="640" w:lineRule="exact"/>
        <w:jc w:val="left"/>
        <w:rPr>
          <w:rFonts w:hint="eastAsia" w:ascii="宋体" w:hAnsi="宋体" w:eastAsia="宋体" w:cs="宋体"/>
          <w:color w:val="000000"/>
          <w:sz w:val="24"/>
        </w:rPr>
      </w:pPr>
    </w:p>
    <w:p w14:paraId="715FBEF2">
      <w:pPr>
        <w:pStyle w:val="101"/>
        <w:spacing w:line="640" w:lineRule="exact"/>
        <w:jc w:val="left"/>
        <w:rPr>
          <w:rFonts w:hint="eastAsia" w:ascii="宋体" w:hAnsi="宋体" w:eastAsia="宋体" w:cs="宋体"/>
          <w:color w:val="000000"/>
          <w:sz w:val="24"/>
        </w:rPr>
      </w:pPr>
      <w:r>
        <w:rPr>
          <w:rFonts w:hint="eastAsia" w:ascii="宋体" w:hAnsi="宋体" w:eastAsia="宋体" w:cs="宋体"/>
          <w:color w:val="000000"/>
          <w:sz w:val="24"/>
        </w:rPr>
        <w:t>供应商单位名称：</w:t>
      </w:r>
    </w:p>
    <w:p w14:paraId="42BDAE20">
      <w:pPr>
        <w:pStyle w:val="101"/>
        <w:spacing w:line="640" w:lineRule="exact"/>
        <w:jc w:val="left"/>
        <w:rPr>
          <w:rFonts w:hint="eastAsia" w:ascii="宋体" w:hAnsi="宋体" w:eastAsia="宋体" w:cs="宋体"/>
          <w:color w:val="000000"/>
          <w:sz w:val="24"/>
        </w:rPr>
      </w:pPr>
    </w:p>
    <w:p w14:paraId="44D6F6B8">
      <w:pPr>
        <w:pStyle w:val="87"/>
        <w:spacing w:line="360" w:lineRule="auto"/>
        <w:rPr>
          <w:rFonts w:hint="eastAsia" w:ascii="宋体" w:hAnsi="宋体" w:eastAsia="宋体" w:cs="宋体"/>
          <w:color w:val="000000"/>
          <w:sz w:val="24"/>
          <w:szCs w:val="21"/>
        </w:rPr>
      </w:pPr>
      <w:r>
        <w:rPr>
          <w:rFonts w:hint="eastAsia" w:ascii="宋体" w:hAnsi="宋体" w:eastAsia="宋体" w:cs="宋体"/>
          <w:color w:val="000000"/>
          <w:sz w:val="24"/>
          <w:szCs w:val="21"/>
        </w:rPr>
        <w:t>法定代表人或其授权委托人：          （签字或盖章）</w:t>
      </w:r>
    </w:p>
    <w:p w14:paraId="74090F37">
      <w:pPr>
        <w:pStyle w:val="101"/>
        <w:spacing w:line="640" w:lineRule="exact"/>
        <w:jc w:val="left"/>
        <w:rPr>
          <w:rFonts w:hint="eastAsia" w:ascii="宋体" w:hAnsi="宋体" w:eastAsia="宋体" w:cs="宋体"/>
          <w:color w:val="000000"/>
          <w:sz w:val="24"/>
        </w:rPr>
      </w:pPr>
      <w:r>
        <w:rPr>
          <w:rFonts w:hint="eastAsia" w:ascii="宋体" w:hAnsi="宋体" w:eastAsia="宋体" w:cs="宋体"/>
          <w:color w:val="000000"/>
          <w:sz w:val="24"/>
        </w:rPr>
        <w:t xml:space="preserve">                                  </w:t>
      </w:r>
    </w:p>
    <w:p w14:paraId="07F4CE7B">
      <w:pPr>
        <w:pStyle w:val="101"/>
        <w:spacing w:line="640" w:lineRule="exact"/>
        <w:jc w:val="left"/>
        <w:rPr>
          <w:rFonts w:hint="eastAsia" w:ascii="宋体" w:hAnsi="宋体" w:eastAsia="宋体" w:cs="宋体"/>
          <w:color w:val="000000"/>
          <w:sz w:val="24"/>
        </w:rPr>
      </w:pPr>
    </w:p>
    <w:p w14:paraId="6B723CE1">
      <w:pPr>
        <w:pStyle w:val="101"/>
        <w:spacing w:line="640" w:lineRule="exact"/>
        <w:ind w:firstLine="4080" w:firstLineChars="1700"/>
        <w:jc w:val="left"/>
        <w:rPr>
          <w:rFonts w:hint="eastAsia" w:ascii="宋体" w:hAnsi="宋体" w:eastAsia="宋体" w:cs="宋体"/>
          <w:color w:val="000000"/>
          <w:sz w:val="24"/>
        </w:rPr>
      </w:pPr>
      <w:r>
        <w:rPr>
          <w:rFonts w:hint="eastAsia" w:ascii="宋体" w:hAnsi="宋体" w:eastAsia="宋体" w:cs="宋体"/>
          <w:color w:val="000000"/>
          <w:sz w:val="24"/>
        </w:rPr>
        <w:t xml:space="preserve">      盖  章</w:t>
      </w:r>
    </w:p>
    <w:p w14:paraId="03DB797A">
      <w:pPr>
        <w:pStyle w:val="101"/>
        <w:spacing w:line="640" w:lineRule="exact"/>
        <w:ind w:firstLine="4320" w:firstLineChars="1800"/>
        <w:jc w:val="left"/>
        <w:rPr>
          <w:rFonts w:hint="eastAsia" w:ascii="宋体" w:hAnsi="宋体" w:eastAsia="宋体" w:cs="宋体"/>
          <w:color w:val="000000"/>
          <w:sz w:val="24"/>
        </w:rPr>
      </w:pPr>
      <w:r>
        <w:rPr>
          <w:rFonts w:hint="eastAsia" w:ascii="宋体" w:hAnsi="宋体" w:eastAsia="宋体" w:cs="宋体"/>
          <w:color w:val="000000"/>
          <w:sz w:val="24"/>
        </w:rPr>
        <w:t xml:space="preserve"> 年   月   日</w:t>
      </w:r>
    </w:p>
    <w:p w14:paraId="31896DE2">
      <w:pPr>
        <w:pStyle w:val="102"/>
        <w:jc w:val="center"/>
        <w:outlineLvl w:val="2"/>
        <w:rPr>
          <w:rFonts w:hint="eastAsia" w:ascii="宋体" w:hAnsi="宋体" w:eastAsia="宋体" w:cs="宋体"/>
          <w:color w:val="000000"/>
          <w:sz w:val="24"/>
        </w:rPr>
      </w:pPr>
    </w:p>
    <w:p w14:paraId="7E82CCE1">
      <w:pPr>
        <w:pStyle w:val="102"/>
        <w:jc w:val="center"/>
        <w:outlineLvl w:val="2"/>
        <w:rPr>
          <w:rFonts w:hint="eastAsia" w:ascii="宋体" w:hAnsi="宋体" w:eastAsia="宋体" w:cs="宋体"/>
          <w:color w:val="000000"/>
          <w:sz w:val="24"/>
        </w:rPr>
      </w:pPr>
    </w:p>
    <w:p w14:paraId="065273EA">
      <w:pPr>
        <w:pStyle w:val="102"/>
        <w:jc w:val="center"/>
        <w:outlineLvl w:val="2"/>
        <w:rPr>
          <w:rFonts w:hint="eastAsia" w:ascii="宋体" w:hAnsi="宋体" w:eastAsia="宋体" w:cs="宋体"/>
          <w:color w:val="000000"/>
          <w:sz w:val="24"/>
        </w:rPr>
      </w:pPr>
    </w:p>
    <w:p w14:paraId="534C798E">
      <w:pPr>
        <w:pStyle w:val="102"/>
        <w:jc w:val="center"/>
        <w:outlineLvl w:val="2"/>
        <w:rPr>
          <w:rFonts w:hint="eastAsia" w:ascii="宋体" w:hAnsi="宋体" w:eastAsia="宋体" w:cs="宋体"/>
          <w:color w:val="000000"/>
          <w:sz w:val="24"/>
        </w:rPr>
      </w:pPr>
    </w:p>
    <w:p w14:paraId="59E7BC14">
      <w:pPr>
        <w:pStyle w:val="102"/>
        <w:jc w:val="center"/>
        <w:outlineLvl w:val="2"/>
        <w:rPr>
          <w:rFonts w:hint="eastAsia" w:ascii="宋体" w:hAnsi="宋体" w:eastAsia="宋体" w:cs="宋体"/>
          <w:color w:val="000000"/>
          <w:sz w:val="24"/>
        </w:rPr>
      </w:pPr>
    </w:p>
    <w:p w14:paraId="4821C635">
      <w:pPr>
        <w:pStyle w:val="102"/>
        <w:jc w:val="center"/>
        <w:outlineLvl w:val="2"/>
        <w:rPr>
          <w:rFonts w:hint="eastAsia" w:ascii="宋体" w:hAnsi="宋体" w:eastAsia="宋体" w:cs="宋体"/>
          <w:color w:val="000000"/>
          <w:sz w:val="24"/>
        </w:rPr>
      </w:pPr>
    </w:p>
    <w:p w14:paraId="1014AF07">
      <w:pPr>
        <w:pStyle w:val="102"/>
        <w:jc w:val="center"/>
        <w:outlineLvl w:val="2"/>
        <w:rPr>
          <w:rFonts w:hint="eastAsia" w:ascii="宋体" w:hAnsi="宋体" w:eastAsia="宋体" w:cs="宋体"/>
          <w:color w:val="000000"/>
          <w:sz w:val="24"/>
        </w:rPr>
      </w:pPr>
    </w:p>
    <w:p w14:paraId="0549F26A">
      <w:pPr>
        <w:pStyle w:val="102"/>
        <w:jc w:val="center"/>
        <w:outlineLvl w:val="2"/>
        <w:rPr>
          <w:rFonts w:hint="eastAsia" w:ascii="宋体" w:hAnsi="宋体" w:eastAsia="宋体" w:cs="宋体"/>
          <w:color w:val="000000"/>
          <w:sz w:val="24"/>
        </w:rPr>
      </w:pPr>
    </w:p>
    <w:p w14:paraId="00C61984">
      <w:pPr>
        <w:pStyle w:val="102"/>
        <w:jc w:val="center"/>
        <w:outlineLvl w:val="2"/>
        <w:rPr>
          <w:rFonts w:hint="eastAsia" w:ascii="宋体" w:hAnsi="宋体" w:eastAsia="宋体" w:cs="宋体"/>
          <w:color w:val="000000"/>
          <w:sz w:val="24"/>
        </w:rPr>
      </w:pPr>
    </w:p>
    <w:p w14:paraId="15DD88B4">
      <w:pPr>
        <w:pStyle w:val="102"/>
        <w:jc w:val="center"/>
        <w:outlineLvl w:val="2"/>
        <w:rPr>
          <w:rFonts w:hint="eastAsia" w:ascii="宋体" w:hAnsi="宋体" w:eastAsia="宋体" w:cs="宋体"/>
          <w:color w:val="000000"/>
          <w:sz w:val="24"/>
        </w:rPr>
      </w:pPr>
    </w:p>
    <w:p w14:paraId="18D6C9D8">
      <w:pPr>
        <w:spacing w:line="240" w:lineRule="auto"/>
        <w:ind w:firstLine="2318" w:firstLineChars="700"/>
        <w:jc w:val="both"/>
        <w:rPr>
          <w:rFonts w:hint="eastAsia" w:ascii="宋体" w:hAnsi="宋体" w:eastAsia="宋体" w:cs="宋体"/>
          <w:b/>
          <w:bCs/>
          <w:color w:val="auto"/>
          <w:kern w:val="2"/>
          <w:sz w:val="30"/>
          <w:szCs w:val="30"/>
          <w:lang w:val="en-US" w:eastAsia="zh-CN" w:bidi="ar-SA"/>
        </w:rPr>
      </w:pPr>
      <w:r>
        <w:rPr>
          <w:rFonts w:hint="eastAsia" w:ascii="宋体" w:hAnsi="宋体" w:eastAsia="宋体" w:cs="宋体"/>
          <w:b/>
          <w:bCs/>
          <w:color w:val="auto"/>
          <w:kern w:val="2"/>
          <w:sz w:val="30"/>
          <w:szCs w:val="30"/>
          <w:lang w:val="en-US" w:eastAsia="zh-CN" w:bidi="ar-SA"/>
        </w:rPr>
        <w:t>10.2承诺函</w:t>
      </w:r>
    </w:p>
    <w:p w14:paraId="4420F4DE">
      <w:pPr>
        <w:spacing w:line="240" w:lineRule="auto"/>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符合《政府采购法》第二十二条规定的条件：</w:t>
      </w:r>
    </w:p>
    <w:p w14:paraId="65C32642">
      <w:pPr>
        <w:spacing w:before="145" w:beforeLines="50" w:after="145" w:afterLines="50" w:line="300" w:lineRule="auto"/>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（一）具有独立承担民事责任的能力；</w:t>
      </w:r>
    </w:p>
    <w:p w14:paraId="0B2F95A4">
      <w:pPr>
        <w:spacing w:before="145" w:beforeLines="50" w:after="145" w:afterLines="50" w:line="300" w:lineRule="auto"/>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（二）具有良好的商业信誉和健全的财务会计制度；</w:t>
      </w:r>
    </w:p>
    <w:p w14:paraId="04B5FE4A">
      <w:pPr>
        <w:spacing w:before="145" w:beforeLines="50" w:after="145" w:afterLines="50" w:line="300" w:lineRule="auto"/>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（三）具有履行合同所必需的设备和专业技术能力；</w:t>
      </w:r>
    </w:p>
    <w:p w14:paraId="38BA90B7">
      <w:pPr>
        <w:spacing w:before="145" w:beforeLines="50" w:after="145" w:afterLines="50" w:line="300" w:lineRule="auto"/>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（四）有依法缴纳税收和社会保障资金的良好记录；</w:t>
      </w:r>
    </w:p>
    <w:p w14:paraId="42570C00">
      <w:pPr>
        <w:spacing w:before="145" w:beforeLines="50" w:after="145" w:afterLines="50" w:line="300" w:lineRule="auto"/>
        <w:jc w:val="both"/>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（五）参加政府采购活动前三年内，在经营活动中没有重大违法记录；</w:t>
      </w:r>
    </w:p>
    <w:p w14:paraId="7E1F883C">
      <w:pPr>
        <w:spacing w:before="145" w:beforeLines="50" w:after="145" w:afterLines="50" w:line="300" w:lineRule="auto"/>
        <w:jc w:val="both"/>
        <w:rPr>
          <w:rFonts w:hint="eastAsia" w:ascii="宋体" w:hAnsi="宋体" w:eastAsia="宋体" w:cs="宋体"/>
          <w:bCs/>
          <w:color w:val="auto"/>
          <w:sz w:val="24"/>
          <w:szCs w:val="24"/>
          <w:lang w:eastAsia="zh-CN"/>
        </w:rPr>
      </w:pPr>
      <w:bookmarkStart w:id="180" w:name="_Toc12681"/>
      <w:r>
        <w:rPr>
          <w:rFonts w:hint="eastAsia" w:ascii="宋体" w:hAnsi="宋体" w:eastAsia="宋体" w:cs="宋体"/>
          <w:bCs/>
          <w:color w:val="auto"/>
          <w:sz w:val="24"/>
          <w:szCs w:val="24"/>
          <w:lang w:eastAsia="zh-CN"/>
        </w:rPr>
        <w:t>（六）法律、行政法规规定的其他条件；</w:t>
      </w:r>
      <w:bookmarkEnd w:id="180"/>
    </w:p>
    <w:p w14:paraId="787198FA">
      <w:pPr>
        <w:pStyle w:val="4"/>
        <w:spacing w:before="0" w:after="0" w:line="240" w:lineRule="auto"/>
        <w:ind w:left="0"/>
        <w:outlineLvl w:val="9"/>
        <w:rPr>
          <w:rFonts w:hint="eastAsia" w:ascii="宋体" w:hAnsi="宋体" w:eastAsia="宋体" w:cs="宋体"/>
          <w:color w:val="auto"/>
          <w:spacing w:val="8"/>
          <w:sz w:val="20"/>
          <w:lang w:eastAsia="zh-CN"/>
        </w:rPr>
      </w:pPr>
    </w:p>
    <w:p w14:paraId="48B848B1">
      <w:pPr>
        <w:spacing w:line="240" w:lineRule="auto"/>
        <w:ind w:left="0"/>
        <w:rPr>
          <w:rFonts w:hint="eastAsia" w:ascii="宋体" w:hAnsi="宋体" w:eastAsia="宋体" w:cs="宋体"/>
          <w:color w:val="auto"/>
          <w:lang w:eastAsia="zh-CN"/>
        </w:rPr>
      </w:pPr>
    </w:p>
    <w:p w14:paraId="6B9F93E8">
      <w:pPr>
        <w:spacing w:line="240" w:lineRule="auto"/>
        <w:ind w:left="0"/>
        <w:rPr>
          <w:rFonts w:hint="eastAsia" w:ascii="宋体" w:hAnsi="宋体" w:eastAsia="宋体" w:cs="宋体"/>
          <w:color w:val="auto"/>
          <w:lang w:eastAsia="zh-CN"/>
        </w:rPr>
      </w:pPr>
    </w:p>
    <w:p w14:paraId="5D5EBCEE">
      <w:pPr>
        <w:spacing w:line="240" w:lineRule="auto"/>
        <w:ind w:left="0"/>
        <w:rPr>
          <w:rFonts w:hint="eastAsia" w:ascii="宋体" w:hAnsi="宋体" w:eastAsia="宋体" w:cs="宋体"/>
          <w:color w:val="auto"/>
          <w:sz w:val="20"/>
          <w:szCs w:val="20"/>
          <w:lang w:eastAsia="zh-CN"/>
        </w:rPr>
      </w:pPr>
    </w:p>
    <w:p w14:paraId="70F6C574">
      <w:pPr>
        <w:pStyle w:val="63"/>
        <w:spacing w:before="145" w:beforeLines="50" w:after="145" w:afterLines="50" w:line="300" w:lineRule="auto"/>
        <w:ind w:left="540" w:leftChars="200" w:firstLine="5940" w:firstLineChars="2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投标人</w:t>
      </w:r>
      <w:r>
        <w:rPr>
          <w:rFonts w:hint="eastAsia" w:ascii="宋体" w:hAnsi="宋体" w:eastAsia="宋体" w:cs="宋体"/>
          <w:color w:val="auto"/>
          <w:kern w:val="2"/>
          <w:sz w:val="24"/>
          <w:szCs w:val="24"/>
        </w:rPr>
        <w:t xml:space="preserve">（盖章）： </w:t>
      </w:r>
    </w:p>
    <w:p w14:paraId="53AFBBB1">
      <w:pPr>
        <w:spacing w:before="145" w:beforeLines="50" w:after="145" w:afterLines="50" w:line="300" w:lineRule="auto"/>
        <w:jc w:val="right"/>
        <w:rPr>
          <w:rFonts w:hint="eastAsia" w:ascii="宋体" w:hAnsi="宋体" w:eastAsia="宋体" w:cs="宋体"/>
          <w:bCs/>
          <w:color w:val="auto"/>
          <w:sz w:val="24"/>
          <w:szCs w:val="24"/>
        </w:rPr>
      </w:pPr>
      <w:r>
        <w:rPr>
          <w:rFonts w:hint="eastAsia" w:ascii="宋体" w:hAnsi="宋体" w:eastAsia="宋体" w:cs="宋体"/>
          <w:color w:val="auto"/>
          <w:sz w:val="24"/>
          <w:szCs w:val="24"/>
        </w:rPr>
        <w:t>______年____月____日</w:t>
      </w:r>
    </w:p>
    <w:p w14:paraId="37DB63B8">
      <w:pPr>
        <w:pStyle w:val="2"/>
        <w:bidi w:val="0"/>
        <w:jc w:val="left"/>
        <w:outlineLvl w:val="9"/>
        <w:rPr>
          <w:rFonts w:hint="eastAsia" w:ascii="宋体" w:hAnsi="宋体" w:eastAsia="宋体" w:cs="宋体"/>
          <w:color w:val="auto"/>
          <w:sz w:val="24"/>
          <w:szCs w:val="32"/>
          <w:lang w:val="en-US" w:eastAsia="zh-CN"/>
        </w:rPr>
      </w:pPr>
    </w:p>
    <w:p w14:paraId="5DFB4FC2">
      <w:pPr>
        <w:pStyle w:val="102"/>
        <w:jc w:val="both"/>
        <w:outlineLvl w:val="2"/>
        <w:rPr>
          <w:rFonts w:hint="eastAsia" w:ascii="宋体" w:hAnsi="宋体" w:eastAsia="宋体" w:cs="宋体"/>
          <w:color w:val="000000"/>
          <w:sz w:val="24"/>
        </w:rPr>
      </w:pPr>
    </w:p>
    <w:p w14:paraId="0CB57112">
      <w:pPr>
        <w:pStyle w:val="102"/>
        <w:jc w:val="both"/>
        <w:outlineLvl w:val="2"/>
        <w:rPr>
          <w:rFonts w:hint="eastAsia" w:ascii="宋体" w:hAnsi="宋体" w:eastAsia="宋体" w:cs="宋体"/>
          <w:color w:val="000000"/>
          <w:sz w:val="24"/>
        </w:rPr>
      </w:pPr>
    </w:p>
    <w:p w14:paraId="15742C7B">
      <w:pPr>
        <w:pStyle w:val="102"/>
        <w:jc w:val="both"/>
        <w:outlineLvl w:val="2"/>
        <w:rPr>
          <w:rFonts w:hint="eastAsia" w:ascii="宋体" w:hAnsi="宋体" w:eastAsia="宋体" w:cs="宋体"/>
          <w:color w:val="000000"/>
          <w:sz w:val="24"/>
        </w:rPr>
      </w:pPr>
    </w:p>
    <w:p w14:paraId="244D8560">
      <w:pPr>
        <w:pStyle w:val="102"/>
        <w:jc w:val="both"/>
        <w:outlineLvl w:val="2"/>
        <w:rPr>
          <w:rFonts w:hint="eastAsia" w:ascii="宋体" w:hAnsi="宋体" w:eastAsia="宋体" w:cs="宋体"/>
          <w:color w:val="000000"/>
          <w:sz w:val="24"/>
        </w:rPr>
      </w:pPr>
    </w:p>
    <w:p w14:paraId="608DC71D">
      <w:pPr>
        <w:pStyle w:val="102"/>
        <w:jc w:val="both"/>
        <w:outlineLvl w:val="2"/>
        <w:rPr>
          <w:rFonts w:hint="eastAsia" w:ascii="宋体" w:hAnsi="宋体" w:eastAsia="宋体" w:cs="宋体"/>
          <w:color w:val="000000"/>
          <w:sz w:val="24"/>
        </w:rPr>
      </w:pPr>
    </w:p>
    <w:p w14:paraId="69D04499">
      <w:pPr>
        <w:pStyle w:val="102"/>
        <w:jc w:val="both"/>
        <w:outlineLvl w:val="2"/>
        <w:rPr>
          <w:rFonts w:hint="eastAsia" w:ascii="宋体" w:hAnsi="宋体" w:eastAsia="宋体" w:cs="宋体"/>
          <w:color w:val="000000"/>
          <w:sz w:val="24"/>
        </w:rPr>
      </w:pPr>
    </w:p>
    <w:p w14:paraId="6ACDF37E">
      <w:pPr>
        <w:pStyle w:val="102"/>
        <w:jc w:val="both"/>
        <w:outlineLvl w:val="2"/>
        <w:rPr>
          <w:rFonts w:hint="eastAsia" w:ascii="宋体" w:hAnsi="宋体" w:eastAsia="宋体" w:cs="宋体"/>
          <w:color w:val="000000"/>
          <w:sz w:val="24"/>
        </w:rPr>
      </w:pPr>
    </w:p>
    <w:p w14:paraId="218E3765">
      <w:pPr>
        <w:pStyle w:val="102"/>
        <w:jc w:val="both"/>
        <w:outlineLvl w:val="2"/>
        <w:rPr>
          <w:rFonts w:hint="eastAsia" w:ascii="宋体" w:hAnsi="宋体" w:eastAsia="宋体" w:cs="宋体"/>
          <w:color w:val="000000"/>
          <w:sz w:val="24"/>
        </w:rPr>
      </w:pPr>
    </w:p>
    <w:p w14:paraId="115FF102">
      <w:pPr>
        <w:pStyle w:val="102"/>
        <w:jc w:val="both"/>
        <w:outlineLvl w:val="2"/>
        <w:rPr>
          <w:rFonts w:hint="eastAsia" w:ascii="宋体" w:hAnsi="宋体" w:eastAsia="宋体" w:cs="宋体"/>
          <w:color w:val="000000"/>
          <w:sz w:val="24"/>
        </w:rPr>
      </w:pPr>
    </w:p>
    <w:p w14:paraId="7FAA2FE5">
      <w:pPr>
        <w:pStyle w:val="102"/>
        <w:jc w:val="both"/>
        <w:outlineLvl w:val="2"/>
        <w:rPr>
          <w:rFonts w:hint="eastAsia" w:ascii="宋体" w:hAnsi="宋体" w:eastAsia="宋体" w:cs="宋体"/>
          <w:color w:val="000000"/>
          <w:sz w:val="24"/>
        </w:rPr>
      </w:pPr>
    </w:p>
    <w:p w14:paraId="3796E945">
      <w:pPr>
        <w:pStyle w:val="102"/>
        <w:jc w:val="both"/>
        <w:outlineLvl w:val="2"/>
        <w:rPr>
          <w:rFonts w:hint="eastAsia" w:ascii="宋体" w:hAnsi="宋体" w:eastAsia="宋体" w:cs="宋体"/>
          <w:color w:val="000000"/>
          <w:sz w:val="24"/>
        </w:rPr>
      </w:pPr>
    </w:p>
    <w:p w14:paraId="4E945638">
      <w:pPr>
        <w:pStyle w:val="102"/>
        <w:jc w:val="both"/>
        <w:outlineLvl w:val="2"/>
        <w:rPr>
          <w:rFonts w:hint="eastAsia" w:ascii="宋体" w:hAnsi="宋体" w:eastAsia="宋体" w:cs="宋体"/>
          <w:color w:val="000000"/>
          <w:sz w:val="24"/>
        </w:rPr>
      </w:pPr>
    </w:p>
    <w:p w14:paraId="56EE8417">
      <w:pPr>
        <w:pStyle w:val="102"/>
        <w:jc w:val="both"/>
        <w:outlineLvl w:val="2"/>
        <w:rPr>
          <w:rFonts w:hint="eastAsia" w:ascii="宋体" w:hAnsi="宋体" w:eastAsia="宋体" w:cs="宋体"/>
          <w:color w:val="000000"/>
          <w:sz w:val="24"/>
        </w:rPr>
      </w:pPr>
    </w:p>
    <w:p w14:paraId="2D45ADC6">
      <w:pPr>
        <w:pStyle w:val="102"/>
        <w:jc w:val="both"/>
        <w:outlineLvl w:val="2"/>
        <w:rPr>
          <w:rFonts w:hint="eastAsia" w:ascii="宋体" w:hAnsi="宋体" w:eastAsia="宋体" w:cs="宋体"/>
          <w:color w:val="000000"/>
          <w:sz w:val="24"/>
        </w:rPr>
      </w:pPr>
    </w:p>
    <w:p w14:paraId="3C44D8C6">
      <w:pPr>
        <w:pStyle w:val="102"/>
        <w:jc w:val="both"/>
        <w:outlineLvl w:val="2"/>
        <w:rPr>
          <w:rFonts w:hint="eastAsia" w:ascii="宋体" w:hAnsi="宋体" w:eastAsia="宋体" w:cs="宋体"/>
          <w:color w:val="000000"/>
          <w:sz w:val="24"/>
        </w:rPr>
      </w:pPr>
    </w:p>
    <w:p w14:paraId="7A5E9CAB">
      <w:pPr>
        <w:pStyle w:val="102"/>
        <w:jc w:val="both"/>
        <w:outlineLvl w:val="2"/>
        <w:rPr>
          <w:rFonts w:hint="eastAsia" w:ascii="宋体" w:hAnsi="宋体" w:eastAsia="宋体" w:cs="宋体"/>
          <w:color w:val="000000"/>
          <w:sz w:val="24"/>
        </w:rPr>
      </w:pPr>
    </w:p>
    <w:p w14:paraId="30B10753">
      <w:pPr>
        <w:pStyle w:val="102"/>
        <w:jc w:val="both"/>
        <w:outlineLvl w:val="2"/>
        <w:rPr>
          <w:rFonts w:hint="eastAsia" w:ascii="宋体" w:hAnsi="宋体" w:eastAsia="宋体" w:cs="宋体"/>
          <w:color w:val="000000"/>
          <w:sz w:val="24"/>
        </w:rPr>
      </w:pPr>
    </w:p>
    <w:p w14:paraId="214DEE52">
      <w:pPr>
        <w:pStyle w:val="102"/>
        <w:jc w:val="both"/>
        <w:outlineLvl w:val="2"/>
        <w:rPr>
          <w:rFonts w:hint="eastAsia" w:ascii="宋体" w:hAnsi="宋体" w:eastAsia="宋体" w:cs="宋体"/>
          <w:color w:val="000000"/>
          <w:sz w:val="24"/>
        </w:rPr>
      </w:pPr>
    </w:p>
    <w:p w14:paraId="051AEE3D">
      <w:pPr>
        <w:pStyle w:val="102"/>
        <w:jc w:val="both"/>
        <w:outlineLvl w:val="2"/>
        <w:rPr>
          <w:rFonts w:hint="eastAsia" w:ascii="宋体" w:hAnsi="宋体" w:eastAsia="宋体" w:cs="宋体"/>
          <w:color w:val="000000"/>
          <w:sz w:val="24"/>
        </w:rPr>
      </w:pPr>
    </w:p>
    <w:p w14:paraId="409D74C6">
      <w:pPr>
        <w:pStyle w:val="102"/>
        <w:jc w:val="both"/>
        <w:outlineLvl w:val="2"/>
        <w:rPr>
          <w:rFonts w:hint="eastAsia" w:ascii="宋体" w:hAnsi="宋体" w:eastAsia="宋体" w:cs="宋体"/>
          <w:color w:val="000000"/>
          <w:sz w:val="24"/>
        </w:rPr>
      </w:pPr>
    </w:p>
    <w:p w14:paraId="25505A19">
      <w:pPr>
        <w:pStyle w:val="102"/>
        <w:jc w:val="both"/>
        <w:outlineLvl w:val="2"/>
        <w:rPr>
          <w:rFonts w:hint="eastAsia" w:ascii="宋体" w:hAnsi="宋体" w:eastAsia="宋体" w:cs="宋体"/>
          <w:color w:val="000000"/>
          <w:sz w:val="24"/>
        </w:rPr>
      </w:pPr>
    </w:p>
    <w:p w14:paraId="390291CE">
      <w:pPr>
        <w:pStyle w:val="102"/>
        <w:jc w:val="both"/>
        <w:outlineLvl w:val="2"/>
        <w:rPr>
          <w:rFonts w:hint="eastAsia" w:ascii="宋体" w:hAnsi="宋体" w:eastAsia="宋体" w:cs="宋体"/>
          <w:color w:val="000000"/>
          <w:sz w:val="24"/>
        </w:rPr>
      </w:pPr>
    </w:p>
    <w:p w14:paraId="75092C8D">
      <w:pPr>
        <w:pStyle w:val="102"/>
        <w:jc w:val="both"/>
        <w:outlineLvl w:val="2"/>
        <w:rPr>
          <w:rFonts w:hint="eastAsia" w:ascii="宋体" w:hAnsi="宋体" w:eastAsia="宋体" w:cs="宋体"/>
          <w:color w:val="000000"/>
          <w:sz w:val="24"/>
        </w:rPr>
      </w:pPr>
    </w:p>
    <w:p w14:paraId="53777536">
      <w:pPr>
        <w:pStyle w:val="102"/>
        <w:jc w:val="both"/>
        <w:outlineLvl w:val="2"/>
        <w:rPr>
          <w:rFonts w:hint="eastAsia" w:ascii="宋体" w:hAnsi="宋体" w:eastAsia="宋体" w:cs="宋体"/>
          <w:color w:val="000000"/>
          <w:sz w:val="24"/>
        </w:rPr>
      </w:pPr>
    </w:p>
    <w:p w14:paraId="7C5BC8AE">
      <w:pPr>
        <w:pStyle w:val="102"/>
        <w:jc w:val="both"/>
        <w:outlineLvl w:val="2"/>
        <w:rPr>
          <w:rFonts w:hint="eastAsia" w:ascii="宋体" w:hAnsi="宋体" w:eastAsia="宋体" w:cs="宋体"/>
          <w:color w:val="000000"/>
          <w:sz w:val="24"/>
        </w:rPr>
      </w:pPr>
    </w:p>
    <w:p w14:paraId="4F31D9F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auto"/>
          <w:spacing w:val="0"/>
          <w:kern w:val="2"/>
          <w:sz w:val="40"/>
          <w:szCs w:val="40"/>
          <w:lang w:val="en-US" w:eastAsia="zh-CN" w:bidi="ar-SA"/>
        </w:rPr>
      </w:pPr>
      <w:r>
        <w:rPr>
          <w:rFonts w:hint="eastAsia" w:ascii="宋体" w:hAnsi="宋体" w:eastAsia="宋体" w:cs="宋体"/>
          <w:b/>
          <w:bCs/>
          <w:color w:val="auto"/>
          <w:spacing w:val="0"/>
          <w:kern w:val="2"/>
          <w:sz w:val="28"/>
          <w:szCs w:val="28"/>
          <w:lang w:val="en-US" w:eastAsia="zh-CN" w:bidi="ar-SA"/>
        </w:rPr>
        <w:t>10.3、承诺书</w:t>
      </w:r>
    </w:p>
    <w:p w14:paraId="7FD1E0C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auto"/>
          <w:spacing w:val="0"/>
          <w:kern w:val="2"/>
          <w:sz w:val="32"/>
          <w:szCs w:val="32"/>
          <w:lang w:val="en-US" w:eastAsia="zh-CN" w:bidi="ar-SA"/>
        </w:rPr>
      </w:pPr>
    </w:p>
    <w:p w14:paraId="0616123F">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（采购单位）：</w:t>
      </w:r>
    </w:p>
    <w:p w14:paraId="58CC9E63">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我公司积极参加_______________________项目投标，现将有关事项向贵单位郑重承诺如下:</w:t>
      </w:r>
    </w:p>
    <w:p w14:paraId="7BBFBD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1.</w:t>
      </w:r>
      <w:r>
        <w:rPr>
          <w:rFonts w:hint="eastAsia" w:ascii="宋体" w:hAnsi="宋体" w:eastAsia="宋体" w:cs="宋体"/>
          <w:b/>
          <w:bCs/>
          <w:color w:val="auto"/>
          <w:spacing w:val="0"/>
          <w:kern w:val="2"/>
          <w:sz w:val="24"/>
          <w:szCs w:val="24"/>
          <w:lang w:val="en-US" w:eastAsia="zh-CN" w:bidi="ar-SA"/>
        </w:rPr>
        <w:t>不行贿： </w:t>
      </w:r>
      <w:r>
        <w:rPr>
          <w:rFonts w:hint="eastAsia" w:ascii="宋体" w:hAnsi="宋体" w:eastAsia="宋体" w:cs="宋体"/>
          <w:color w:val="auto"/>
          <w:spacing w:val="0"/>
          <w:kern w:val="2"/>
          <w:sz w:val="24"/>
          <w:szCs w:val="24"/>
          <w:lang w:val="en-US" w:eastAsia="zh-CN" w:bidi="ar-SA"/>
        </w:rPr>
        <w:t>在项目建设过程中，我们将严格遵守国家法律法规，坚决杜绝任何形式的行贿行为。我们将秉持公正、公平、公开的原则，与各方合作伙伴保持良好的合作关系。</w:t>
      </w:r>
      <w:r>
        <w:rPr>
          <w:rFonts w:hint="eastAsia" w:ascii="宋体" w:hAnsi="宋体" w:eastAsia="宋体" w:cs="宋体"/>
          <w:color w:val="auto"/>
          <w:spacing w:val="0"/>
          <w:kern w:val="2"/>
          <w:sz w:val="24"/>
          <w:szCs w:val="24"/>
          <w:lang w:val="en-US" w:eastAsia="zh-CN" w:bidi="ar-SA"/>
        </w:rPr>
        <w:br w:type="textWrapping"/>
      </w:r>
      <w:r>
        <w:rPr>
          <w:rFonts w:hint="eastAsia" w:ascii="宋体" w:hAnsi="宋体" w:eastAsia="宋体" w:cs="宋体"/>
          <w:color w:val="auto"/>
          <w:spacing w:val="0"/>
          <w:kern w:val="2"/>
          <w:sz w:val="24"/>
          <w:szCs w:val="24"/>
          <w:lang w:val="en-US" w:eastAsia="zh-CN" w:bidi="ar-SA"/>
        </w:rPr>
        <w:t xml:space="preserve">   2. </w:t>
      </w:r>
      <w:r>
        <w:rPr>
          <w:rFonts w:hint="eastAsia" w:ascii="宋体" w:hAnsi="宋体" w:eastAsia="宋体" w:cs="宋体"/>
          <w:b/>
          <w:bCs/>
          <w:color w:val="auto"/>
          <w:spacing w:val="0"/>
          <w:kern w:val="2"/>
          <w:sz w:val="24"/>
          <w:szCs w:val="24"/>
          <w:lang w:val="en-US" w:eastAsia="zh-CN" w:bidi="ar-SA"/>
        </w:rPr>
        <w:t>不出现“双拖欠”：</w:t>
      </w:r>
      <w:r>
        <w:rPr>
          <w:rFonts w:hint="eastAsia" w:ascii="宋体" w:hAnsi="宋体" w:eastAsia="宋体" w:cs="宋体"/>
          <w:color w:val="auto"/>
          <w:spacing w:val="0"/>
          <w:kern w:val="2"/>
          <w:sz w:val="24"/>
          <w:szCs w:val="24"/>
          <w:lang w:val="en-US" w:eastAsia="zh-CN" w:bidi="ar-SA"/>
        </w:rPr>
        <w:t>我公司将建立健全的财务管理制度，确保资金的合理使用和及时支付，保证按照合同约定，按时足额支付工人工资和供应商款项，绝不出现拖欠工资和工程款的现象。</w:t>
      </w:r>
      <w:r>
        <w:rPr>
          <w:rFonts w:hint="eastAsia" w:ascii="宋体" w:hAnsi="宋体" w:eastAsia="宋体" w:cs="宋体"/>
          <w:color w:val="auto"/>
          <w:spacing w:val="0"/>
          <w:kern w:val="2"/>
          <w:sz w:val="24"/>
          <w:szCs w:val="24"/>
          <w:lang w:val="en-US" w:eastAsia="zh-CN" w:bidi="ar-SA"/>
        </w:rPr>
        <w:br w:type="textWrapping"/>
      </w:r>
      <w:r>
        <w:rPr>
          <w:rFonts w:hint="eastAsia" w:ascii="宋体" w:hAnsi="宋体" w:eastAsia="宋体" w:cs="宋体"/>
          <w:color w:val="auto"/>
          <w:spacing w:val="0"/>
          <w:kern w:val="2"/>
          <w:sz w:val="24"/>
          <w:szCs w:val="24"/>
          <w:lang w:val="en-US" w:eastAsia="zh-CN" w:bidi="ar-SA"/>
        </w:rPr>
        <w:t xml:space="preserve">   3. </w:t>
      </w:r>
      <w:r>
        <w:rPr>
          <w:rFonts w:hint="eastAsia" w:ascii="宋体" w:hAnsi="宋体" w:eastAsia="宋体" w:cs="宋体"/>
          <w:b/>
          <w:bCs/>
          <w:color w:val="auto"/>
          <w:spacing w:val="0"/>
          <w:kern w:val="2"/>
          <w:sz w:val="24"/>
          <w:szCs w:val="24"/>
          <w:lang w:val="en-US" w:eastAsia="zh-CN" w:bidi="ar-SA"/>
        </w:rPr>
        <w:t>不违法转包、非法分包： </w:t>
      </w:r>
      <w:r>
        <w:rPr>
          <w:rFonts w:hint="eastAsia" w:ascii="宋体" w:hAnsi="宋体" w:eastAsia="宋体" w:cs="宋体"/>
          <w:color w:val="auto"/>
          <w:spacing w:val="0"/>
          <w:kern w:val="2"/>
          <w:sz w:val="24"/>
          <w:szCs w:val="24"/>
          <w:lang w:val="en-US" w:eastAsia="zh-CN" w:bidi="ar-SA"/>
        </w:rPr>
        <w:t>我们将严格遵守合同约定，保证按照投标文件约定的班组成员进驻施工现场，绝不违法转包、非法分包，确保工程质量和进度。</w:t>
      </w:r>
      <w:r>
        <w:rPr>
          <w:rFonts w:hint="eastAsia" w:ascii="宋体" w:hAnsi="宋体" w:eastAsia="宋体" w:cs="宋体"/>
          <w:color w:val="auto"/>
          <w:spacing w:val="0"/>
          <w:kern w:val="2"/>
          <w:sz w:val="24"/>
          <w:szCs w:val="24"/>
          <w:lang w:val="en-US" w:eastAsia="zh-CN" w:bidi="ar-SA"/>
        </w:rPr>
        <w:br w:type="textWrapping"/>
      </w:r>
      <w:r>
        <w:rPr>
          <w:rFonts w:hint="eastAsia" w:ascii="宋体" w:hAnsi="宋体" w:eastAsia="宋体" w:cs="宋体"/>
          <w:color w:val="auto"/>
          <w:spacing w:val="0"/>
          <w:kern w:val="2"/>
          <w:sz w:val="24"/>
          <w:szCs w:val="24"/>
          <w:lang w:val="en-US" w:eastAsia="zh-CN" w:bidi="ar-SA"/>
        </w:rPr>
        <w:t xml:space="preserve">   4. </w:t>
      </w:r>
      <w:r>
        <w:rPr>
          <w:rFonts w:hint="eastAsia" w:ascii="宋体" w:hAnsi="宋体" w:eastAsia="宋体" w:cs="宋体"/>
          <w:b/>
          <w:bCs/>
          <w:color w:val="auto"/>
          <w:spacing w:val="0"/>
          <w:kern w:val="2"/>
          <w:sz w:val="24"/>
          <w:szCs w:val="24"/>
          <w:lang w:val="en-US" w:eastAsia="zh-CN" w:bidi="ar-SA"/>
        </w:rPr>
        <w:t>良好工程建设信誉：</w:t>
      </w:r>
      <w:r>
        <w:rPr>
          <w:rFonts w:hint="eastAsia" w:ascii="宋体" w:hAnsi="宋体" w:eastAsia="宋体" w:cs="宋体"/>
          <w:b w:val="0"/>
          <w:bCs w:val="0"/>
          <w:color w:val="auto"/>
          <w:spacing w:val="0"/>
          <w:kern w:val="2"/>
          <w:sz w:val="24"/>
          <w:szCs w:val="24"/>
          <w:lang w:val="en-US" w:eastAsia="zh-CN" w:bidi="ar-SA"/>
        </w:rPr>
        <w:t>我们郑重承诺，在本地区具有良好的工程建设信誉，承诺安全文明施工并提供高质量的工程建设。致力于建立良好的工程建设信誉，信守承诺，为地区经济建设和社会事业发展贡献力量。</w:t>
      </w:r>
      <w:r>
        <w:rPr>
          <w:rFonts w:hint="eastAsia" w:ascii="宋体" w:hAnsi="宋体" w:eastAsia="宋体" w:cs="宋体"/>
          <w:b w:val="0"/>
          <w:bCs w:val="0"/>
          <w:color w:val="auto"/>
          <w:spacing w:val="0"/>
          <w:kern w:val="2"/>
          <w:sz w:val="24"/>
          <w:szCs w:val="24"/>
          <w:lang w:val="en-US" w:eastAsia="zh-CN" w:bidi="ar-SA"/>
        </w:rPr>
        <w:br w:type="textWrapping"/>
      </w:r>
      <w:r>
        <w:rPr>
          <w:rFonts w:hint="eastAsia" w:ascii="宋体" w:hAnsi="宋体" w:eastAsia="宋体" w:cs="宋体"/>
          <w:color w:val="auto"/>
          <w:spacing w:val="0"/>
          <w:kern w:val="2"/>
          <w:sz w:val="24"/>
          <w:szCs w:val="24"/>
          <w:lang w:val="en-US" w:eastAsia="zh-CN" w:bidi="ar-SA"/>
        </w:rPr>
        <w:t xml:space="preserve">   如有违反上述承诺，我们愿意承担相应的法律责任和经济赔偿责任，同时，积极配合有关部门的调查和处理，接受社会监督。</w:t>
      </w:r>
      <w:r>
        <w:rPr>
          <w:rFonts w:hint="eastAsia" w:ascii="宋体" w:hAnsi="宋体" w:eastAsia="宋体" w:cs="宋体"/>
          <w:color w:val="auto"/>
          <w:spacing w:val="0"/>
          <w:kern w:val="2"/>
          <w:sz w:val="24"/>
          <w:szCs w:val="24"/>
          <w:lang w:val="en-US" w:eastAsia="zh-CN" w:bidi="ar-SA"/>
        </w:rPr>
        <w:br w:type="textWrapping"/>
      </w:r>
      <w:r>
        <w:rPr>
          <w:rFonts w:hint="eastAsia" w:ascii="宋体" w:hAnsi="宋体" w:eastAsia="宋体" w:cs="宋体"/>
          <w:color w:val="auto"/>
          <w:spacing w:val="0"/>
          <w:kern w:val="2"/>
          <w:sz w:val="24"/>
          <w:szCs w:val="24"/>
          <w:lang w:val="en-US" w:eastAsia="zh-CN" w:bidi="ar-SA"/>
        </w:rPr>
        <w:t xml:space="preserve">    承诺单位： </w:t>
      </w:r>
    </w:p>
    <w:p w14:paraId="5B5036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法定代表人：</w:t>
      </w:r>
    </w:p>
    <w:p w14:paraId="75864B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日期：</w:t>
      </w:r>
    </w:p>
    <w:p w14:paraId="53ECE85E">
      <w:pPr>
        <w:rPr>
          <w:rFonts w:hint="eastAsia"/>
          <w:color w:val="auto"/>
          <w:lang w:val="en-US" w:eastAsia="zh-CN"/>
        </w:rPr>
      </w:pPr>
    </w:p>
    <w:p w14:paraId="1CD0E3C0">
      <w:pPr>
        <w:pStyle w:val="102"/>
        <w:jc w:val="both"/>
        <w:outlineLvl w:val="2"/>
        <w:rPr>
          <w:rFonts w:hint="eastAsia" w:ascii="宋体" w:hAnsi="宋体" w:eastAsia="宋体" w:cs="宋体"/>
          <w:color w:val="000000"/>
          <w:sz w:val="24"/>
        </w:rPr>
      </w:pPr>
      <w:r>
        <w:rPr>
          <w:rFonts w:hint="eastAsia" w:ascii="宋体" w:hAnsi="宋体" w:eastAsia="宋体" w:cs="宋体"/>
          <w:color w:val="000000"/>
          <w:sz w:val="24"/>
        </w:rPr>
        <w:br w:type="page"/>
      </w:r>
    </w:p>
    <w:p w14:paraId="0248D798">
      <w:pPr>
        <w:pStyle w:val="102"/>
        <w:jc w:val="both"/>
        <w:outlineLvl w:val="2"/>
        <w:rPr>
          <w:rFonts w:hint="eastAsia" w:ascii="宋体" w:hAnsi="宋体" w:eastAsia="宋体" w:cs="宋体"/>
          <w:b/>
          <w:bCs/>
          <w:color w:val="000000"/>
          <w:sz w:val="28"/>
          <w:szCs w:val="28"/>
        </w:rPr>
      </w:pPr>
      <w:r>
        <w:rPr>
          <w:rFonts w:hint="eastAsia" w:ascii="宋体" w:hAnsi="宋体" w:eastAsia="宋体" w:cs="宋体"/>
          <w:color w:val="000000"/>
          <w:sz w:val="24"/>
          <w:lang w:val="en-US" w:eastAsia="zh-CN"/>
        </w:rPr>
        <w:t>附件11、</w:t>
      </w:r>
      <w:r>
        <w:rPr>
          <w:rFonts w:hint="eastAsia" w:ascii="宋体" w:hAnsi="宋体" w:eastAsia="宋体" w:cs="宋体"/>
          <w:b/>
          <w:bCs/>
          <w:color w:val="000000"/>
          <w:sz w:val="28"/>
          <w:szCs w:val="28"/>
        </w:rPr>
        <w:t>中小企业声明函</w:t>
      </w:r>
    </w:p>
    <w:p w14:paraId="06662C7D">
      <w:pPr>
        <w:pStyle w:val="102"/>
        <w:jc w:val="both"/>
        <w:outlineLvl w:val="2"/>
        <w:rPr>
          <w:rFonts w:hint="eastAsia" w:ascii="宋体" w:hAnsi="宋体" w:eastAsia="宋体" w:cs="宋体"/>
          <w:b/>
          <w:bCs/>
          <w:color w:val="000000"/>
          <w:sz w:val="28"/>
          <w:szCs w:val="28"/>
        </w:rPr>
      </w:pPr>
    </w:p>
    <w:p w14:paraId="39B6A2B6">
      <w:pPr>
        <w:pStyle w:val="102"/>
        <w:jc w:val="center"/>
        <w:outlineLvl w:val="2"/>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中小企业声明函（服务）</w:t>
      </w:r>
    </w:p>
    <w:p w14:paraId="0A21512F">
      <w:pPr>
        <w:pStyle w:val="103"/>
        <w:spacing w:line="520" w:lineRule="exact"/>
        <w:ind w:firstLine="472" w:firstLineChars="200"/>
        <w:rPr>
          <w:rFonts w:hint="eastAsia" w:ascii="宋体" w:hAnsi="宋体" w:eastAsia="宋体" w:cs="宋体"/>
          <w:b w:val="0"/>
          <w:bCs/>
          <w:color w:val="000000"/>
          <w:spacing w:val="-2"/>
          <w:sz w:val="24"/>
          <w:szCs w:val="24"/>
        </w:rPr>
      </w:pPr>
      <w:r>
        <w:rPr>
          <w:rFonts w:hint="eastAsia" w:ascii="宋体" w:hAnsi="宋体" w:eastAsia="宋体" w:cs="宋体"/>
          <w:b w:val="0"/>
          <w:bCs/>
          <w:color w:val="000000"/>
          <w:spacing w:val="-2"/>
          <w:sz w:val="24"/>
          <w:szCs w:val="24"/>
        </w:rPr>
        <w:t>本公司（联合体）郑重声明，根据《政府采购促进中小企业发展管理办法》（财库﹝2020﹞46 号）的规定，本公司（联合体）参加</w:t>
      </w:r>
      <w:r>
        <w:rPr>
          <w:rFonts w:hint="eastAsia" w:ascii="宋体" w:hAnsi="宋体" w:eastAsia="宋体" w:cs="宋体"/>
          <w:b w:val="0"/>
          <w:bCs/>
          <w:color w:val="000000"/>
          <w:spacing w:val="-2"/>
          <w:sz w:val="24"/>
          <w:szCs w:val="24"/>
          <w:u w:val="single"/>
        </w:rPr>
        <w:t>（单位名称）</w:t>
      </w:r>
      <w:r>
        <w:rPr>
          <w:rFonts w:hint="eastAsia" w:ascii="宋体" w:hAnsi="宋体" w:eastAsia="宋体" w:cs="宋体"/>
          <w:b w:val="0"/>
          <w:bCs/>
          <w:color w:val="000000"/>
          <w:spacing w:val="-2"/>
          <w:sz w:val="24"/>
          <w:szCs w:val="24"/>
        </w:rPr>
        <w:t>的</w:t>
      </w:r>
      <w:r>
        <w:rPr>
          <w:rFonts w:hint="eastAsia" w:ascii="宋体" w:hAnsi="宋体" w:eastAsia="宋体" w:cs="宋体"/>
          <w:b w:val="0"/>
          <w:bCs/>
          <w:color w:val="000000"/>
          <w:spacing w:val="-2"/>
          <w:sz w:val="24"/>
          <w:szCs w:val="24"/>
          <w:u w:val="single"/>
        </w:rPr>
        <w:t>（项目名称）</w:t>
      </w:r>
      <w:r>
        <w:rPr>
          <w:rFonts w:hint="eastAsia" w:ascii="宋体" w:hAnsi="宋体" w:eastAsia="宋体" w:cs="宋体"/>
          <w:b w:val="0"/>
          <w:bCs/>
          <w:color w:val="000000"/>
          <w:spacing w:val="-2"/>
          <w:sz w:val="24"/>
          <w:szCs w:val="24"/>
        </w:rPr>
        <w:t>采购活动，服务全部由符合政策要求的中小企业承接。相关企业（含联合体中的中小企业、签订分包意向协议的中小企业）的具体情况如下：</w:t>
      </w:r>
    </w:p>
    <w:p w14:paraId="4DDC2C92">
      <w:pPr>
        <w:pStyle w:val="103"/>
        <w:numPr>
          <w:ilvl w:val="0"/>
          <w:numId w:val="17"/>
        </w:numPr>
        <w:spacing w:line="520" w:lineRule="exact"/>
        <w:ind w:firstLine="472" w:firstLineChars="200"/>
        <w:rPr>
          <w:rFonts w:hint="eastAsia" w:ascii="宋体" w:hAnsi="宋体" w:eastAsia="宋体" w:cs="宋体"/>
          <w:b w:val="0"/>
          <w:bCs/>
          <w:color w:val="000000"/>
          <w:spacing w:val="-2"/>
          <w:sz w:val="24"/>
          <w:szCs w:val="24"/>
        </w:rPr>
      </w:pPr>
      <w:r>
        <w:rPr>
          <w:rFonts w:hint="eastAsia" w:ascii="宋体" w:hAnsi="宋体" w:eastAsia="宋体" w:cs="宋体"/>
          <w:b w:val="0"/>
          <w:bCs/>
          <w:color w:val="000000"/>
          <w:spacing w:val="-2"/>
          <w:sz w:val="24"/>
          <w:szCs w:val="24"/>
          <w:u w:val="single"/>
        </w:rPr>
        <w:t>（标的名称）</w:t>
      </w:r>
      <w:r>
        <w:rPr>
          <w:rFonts w:hint="eastAsia" w:ascii="宋体" w:hAnsi="宋体" w:eastAsia="宋体" w:cs="宋体"/>
          <w:b w:val="0"/>
          <w:bCs/>
          <w:color w:val="000000"/>
          <w:spacing w:val="-2"/>
          <w:sz w:val="24"/>
          <w:szCs w:val="24"/>
        </w:rPr>
        <w:t>，属于</w:t>
      </w:r>
      <w:r>
        <w:rPr>
          <w:rFonts w:hint="eastAsia" w:ascii="宋体" w:hAnsi="宋体" w:eastAsia="宋体" w:cs="宋体"/>
          <w:b w:val="0"/>
          <w:bCs/>
          <w:color w:val="000000"/>
          <w:spacing w:val="-2"/>
          <w:sz w:val="24"/>
          <w:szCs w:val="24"/>
          <w:u w:val="single"/>
        </w:rPr>
        <w:t>（采购文件中明确的所属行业）</w:t>
      </w:r>
      <w:r>
        <w:rPr>
          <w:rFonts w:hint="eastAsia" w:ascii="宋体" w:hAnsi="宋体" w:eastAsia="宋体" w:cs="宋体"/>
          <w:b w:val="0"/>
          <w:bCs/>
          <w:color w:val="000000"/>
          <w:spacing w:val="-2"/>
          <w:sz w:val="24"/>
          <w:szCs w:val="24"/>
        </w:rPr>
        <w:t>；承建（承接）企业为</w:t>
      </w:r>
      <w:r>
        <w:rPr>
          <w:rFonts w:hint="eastAsia" w:ascii="宋体" w:hAnsi="宋体" w:eastAsia="宋体" w:cs="宋体"/>
          <w:b w:val="0"/>
          <w:bCs/>
          <w:color w:val="000000"/>
          <w:spacing w:val="-2"/>
          <w:sz w:val="24"/>
          <w:szCs w:val="24"/>
          <w:u w:val="single"/>
        </w:rPr>
        <w:t>（企业名称）</w:t>
      </w:r>
      <w:r>
        <w:rPr>
          <w:rFonts w:hint="eastAsia" w:ascii="宋体" w:hAnsi="宋体" w:eastAsia="宋体" w:cs="宋体"/>
          <w:b w:val="0"/>
          <w:bCs/>
          <w:color w:val="000000"/>
          <w:spacing w:val="-2"/>
          <w:sz w:val="24"/>
          <w:szCs w:val="24"/>
        </w:rPr>
        <w:t>，从业人员</w:t>
      </w:r>
      <w:r>
        <w:rPr>
          <w:rFonts w:hint="eastAsia" w:ascii="宋体" w:hAnsi="宋体" w:eastAsia="宋体" w:cs="宋体"/>
          <w:b w:val="0"/>
          <w:bCs/>
          <w:color w:val="000000"/>
          <w:spacing w:val="-2"/>
          <w:sz w:val="24"/>
          <w:szCs w:val="24"/>
          <w:u w:val="single"/>
        </w:rPr>
        <w:t xml:space="preserve">   </w:t>
      </w:r>
      <w:r>
        <w:rPr>
          <w:rFonts w:hint="eastAsia" w:ascii="宋体" w:hAnsi="宋体" w:eastAsia="宋体" w:cs="宋体"/>
          <w:b w:val="0"/>
          <w:bCs/>
          <w:color w:val="000000"/>
          <w:spacing w:val="-2"/>
          <w:sz w:val="24"/>
          <w:szCs w:val="24"/>
          <w:u w:val="single"/>
        </w:rPr>
        <w:tab/>
      </w:r>
      <w:r>
        <w:rPr>
          <w:rFonts w:hint="eastAsia" w:ascii="宋体" w:hAnsi="宋体" w:eastAsia="宋体" w:cs="宋体"/>
          <w:b w:val="0"/>
          <w:bCs/>
          <w:color w:val="000000"/>
          <w:spacing w:val="-2"/>
          <w:sz w:val="24"/>
          <w:szCs w:val="24"/>
          <w:u w:val="single"/>
        </w:rPr>
        <w:t xml:space="preserve"> </w:t>
      </w:r>
      <w:r>
        <w:rPr>
          <w:rFonts w:hint="eastAsia" w:ascii="宋体" w:hAnsi="宋体" w:eastAsia="宋体" w:cs="宋体"/>
          <w:b w:val="0"/>
          <w:bCs/>
          <w:color w:val="000000"/>
          <w:spacing w:val="-2"/>
          <w:sz w:val="24"/>
          <w:szCs w:val="24"/>
        </w:rPr>
        <w:t xml:space="preserve">人，营业收入为 </w:t>
      </w:r>
      <w:r>
        <w:rPr>
          <w:rFonts w:hint="eastAsia" w:ascii="宋体" w:hAnsi="宋体" w:eastAsia="宋体" w:cs="宋体"/>
          <w:b w:val="0"/>
          <w:bCs/>
          <w:color w:val="000000"/>
          <w:spacing w:val="-2"/>
          <w:sz w:val="24"/>
          <w:szCs w:val="24"/>
          <w:u w:val="single"/>
        </w:rPr>
        <w:tab/>
      </w:r>
      <w:r>
        <w:rPr>
          <w:rFonts w:hint="eastAsia" w:ascii="宋体" w:hAnsi="宋体" w:eastAsia="宋体" w:cs="宋体"/>
          <w:b w:val="0"/>
          <w:bCs/>
          <w:color w:val="000000"/>
          <w:spacing w:val="-2"/>
          <w:sz w:val="24"/>
          <w:szCs w:val="24"/>
          <w:u w:val="single"/>
        </w:rPr>
        <w:t xml:space="preserve">   </w:t>
      </w:r>
      <w:r>
        <w:rPr>
          <w:rFonts w:hint="eastAsia" w:ascii="宋体" w:hAnsi="宋体" w:eastAsia="宋体" w:cs="宋体"/>
          <w:b w:val="0"/>
          <w:bCs/>
          <w:color w:val="000000"/>
          <w:spacing w:val="-2"/>
          <w:sz w:val="24"/>
          <w:szCs w:val="24"/>
        </w:rPr>
        <w:t>万元，资产总额为</w:t>
      </w:r>
      <w:r>
        <w:rPr>
          <w:rFonts w:hint="eastAsia" w:ascii="宋体" w:hAnsi="宋体" w:eastAsia="宋体" w:cs="宋体"/>
          <w:b w:val="0"/>
          <w:bCs/>
          <w:color w:val="000000"/>
          <w:spacing w:val="-2"/>
          <w:sz w:val="24"/>
          <w:szCs w:val="24"/>
          <w:u w:val="single"/>
        </w:rPr>
        <w:t xml:space="preserve">  </w:t>
      </w:r>
      <w:r>
        <w:rPr>
          <w:rFonts w:hint="eastAsia" w:ascii="宋体" w:hAnsi="宋体" w:eastAsia="宋体" w:cs="宋体"/>
          <w:b w:val="0"/>
          <w:bCs/>
          <w:color w:val="000000"/>
          <w:spacing w:val="-2"/>
          <w:sz w:val="24"/>
          <w:szCs w:val="24"/>
          <w:u w:val="single"/>
        </w:rPr>
        <w:tab/>
      </w:r>
      <w:r>
        <w:rPr>
          <w:rFonts w:hint="eastAsia" w:ascii="宋体" w:hAnsi="宋体" w:eastAsia="宋体" w:cs="宋体"/>
          <w:b w:val="0"/>
          <w:bCs/>
          <w:color w:val="000000"/>
          <w:spacing w:val="-2"/>
          <w:sz w:val="24"/>
          <w:szCs w:val="24"/>
          <w:u w:val="single"/>
        </w:rPr>
        <w:t xml:space="preserve">  </w:t>
      </w:r>
      <w:r>
        <w:rPr>
          <w:rFonts w:hint="eastAsia" w:ascii="宋体" w:hAnsi="宋体" w:eastAsia="宋体" w:cs="宋体"/>
          <w:b w:val="0"/>
          <w:bCs/>
          <w:color w:val="000000"/>
          <w:spacing w:val="-2"/>
          <w:sz w:val="24"/>
          <w:szCs w:val="24"/>
        </w:rPr>
        <w:t>万元，属于</w:t>
      </w:r>
      <w:r>
        <w:rPr>
          <w:rFonts w:hint="eastAsia" w:ascii="宋体" w:hAnsi="宋体" w:eastAsia="宋体" w:cs="宋体"/>
          <w:b w:val="0"/>
          <w:bCs/>
          <w:color w:val="000000"/>
          <w:spacing w:val="-2"/>
          <w:sz w:val="24"/>
          <w:szCs w:val="24"/>
          <w:u w:val="single"/>
        </w:rPr>
        <w:t>（中型企业、小型企业、微型企业）</w:t>
      </w:r>
      <w:r>
        <w:rPr>
          <w:rFonts w:hint="eastAsia" w:ascii="宋体" w:hAnsi="宋体" w:eastAsia="宋体" w:cs="宋体"/>
          <w:b w:val="0"/>
          <w:bCs/>
          <w:color w:val="000000"/>
          <w:spacing w:val="-2"/>
          <w:sz w:val="24"/>
          <w:szCs w:val="24"/>
        </w:rPr>
        <w:t>；</w:t>
      </w:r>
    </w:p>
    <w:p w14:paraId="71C430AF">
      <w:pPr>
        <w:pStyle w:val="105"/>
        <w:spacing w:line="520" w:lineRule="exact"/>
        <w:ind w:left="0" w:leftChars="0" w:right="63" w:firstLine="472" w:firstLineChars="200"/>
        <w:jc w:val="left"/>
        <w:rPr>
          <w:rFonts w:hint="eastAsia" w:ascii="宋体" w:hAnsi="宋体" w:eastAsia="宋体" w:cs="宋体"/>
          <w:color w:val="000000"/>
        </w:rPr>
      </w:pPr>
      <w:r>
        <w:rPr>
          <w:rFonts w:hint="eastAsia" w:ascii="宋体" w:hAnsi="宋体" w:eastAsia="宋体" w:cs="宋体"/>
          <w:bCs/>
          <w:color w:val="000000"/>
          <w:spacing w:val="-2"/>
          <w:sz w:val="24"/>
          <w:szCs w:val="24"/>
        </w:rPr>
        <w:t>2.</w:t>
      </w:r>
      <w:r>
        <w:rPr>
          <w:rFonts w:hint="eastAsia" w:ascii="宋体" w:hAnsi="宋体" w:eastAsia="宋体" w:cs="宋体"/>
          <w:bCs/>
          <w:color w:val="000000"/>
          <w:spacing w:val="-2"/>
          <w:sz w:val="24"/>
          <w:szCs w:val="24"/>
          <w:u w:val="single"/>
        </w:rPr>
        <w:t>（标的名称）</w:t>
      </w:r>
      <w:r>
        <w:rPr>
          <w:rFonts w:hint="eastAsia" w:ascii="宋体" w:hAnsi="宋体" w:eastAsia="宋体" w:cs="宋体"/>
          <w:bCs/>
          <w:color w:val="000000"/>
          <w:spacing w:val="-2"/>
          <w:sz w:val="24"/>
          <w:szCs w:val="24"/>
        </w:rPr>
        <w:t>，属于</w:t>
      </w:r>
      <w:r>
        <w:rPr>
          <w:rFonts w:hint="eastAsia" w:ascii="宋体" w:hAnsi="宋体" w:eastAsia="宋体" w:cs="宋体"/>
          <w:bCs/>
          <w:color w:val="000000"/>
          <w:spacing w:val="-2"/>
          <w:sz w:val="24"/>
          <w:szCs w:val="24"/>
          <w:u w:val="single"/>
        </w:rPr>
        <w:t>（采购文件中明确的所属行业）</w:t>
      </w:r>
      <w:r>
        <w:rPr>
          <w:rFonts w:hint="eastAsia" w:ascii="宋体" w:hAnsi="宋体" w:eastAsia="宋体" w:cs="宋体"/>
          <w:bCs/>
          <w:color w:val="000000"/>
          <w:spacing w:val="-2"/>
          <w:sz w:val="24"/>
          <w:szCs w:val="24"/>
        </w:rPr>
        <w:t>；承建（承接）企业为</w:t>
      </w:r>
      <w:r>
        <w:rPr>
          <w:rFonts w:hint="eastAsia" w:ascii="宋体" w:hAnsi="宋体" w:eastAsia="宋体" w:cs="宋体"/>
          <w:bCs/>
          <w:color w:val="000000"/>
          <w:spacing w:val="-2"/>
          <w:sz w:val="24"/>
          <w:szCs w:val="24"/>
          <w:u w:val="single"/>
        </w:rPr>
        <w:t>（企业名称）</w:t>
      </w:r>
      <w:r>
        <w:rPr>
          <w:rFonts w:hint="eastAsia" w:ascii="宋体" w:hAnsi="宋体" w:eastAsia="宋体" w:cs="宋体"/>
          <w:bCs/>
          <w:color w:val="000000"/>
          <w:spacing w:val="-2"/>
          <w:sz w:val="24"/>
          <w:szCs w:val="24"/>
        </w:rPr>
        <w:t>，从业人员</w:t>
      </w:r>
      <w:r>
        <w:rPr>
          <w:rFonts w:hint="eastAsia" w:ascii="宋体" w:hAnsi="宋体" w:eastAsia="宋体" w:cs="宋体"/>
          <w:bCs/>
          <w:color w:val="000000"/>
          <w:spacing w:val="-2"/>
          <w:sz w:val="24"/>
          <w:szCs w:val="24"/>
          <w:u w:val="single"/>
        </w:rPr>
        <w:t xml:space="preserve">   </w:t>
      </w:r>
      <w:r>
        <w:rPr>
          <w:rFonts w:hint="eastAsia" w:ascii="宋体" w:hAnsi="宋体" w:eastAsia="宋体" w:cs="宋体"/>
          <w:bCs/>
          <w:color w:val="000000"/>
          <w:spacing w:val="-2"/>
          <w:sz w:val="24"/>
          <w:szCs w:val="24"/>
          <w:u w:val="single"/>
        </w:rPr>
        <w:tab/>
      </w:r>
      <w:r>
        <w:rPr>
          <w:rFonts w:hint="eastAsia" w:ascii="宋体" w:hAnsi="宋体" w:eastAsia="宋体" w:cs="宋体"/>
          <w:bCs/>
          <w:color w:val="000000"/>
          <w:spacing w:val="-2"/>
          <w:sz w:val="24"/>
          <w:szCs w:val="24"/>
          <w:u w:val="single"/>
        </w:rPr>
        <w:t xml:space="preserve"> </w:t>
      </w:r>
      <w:r>
        <w:rPr>
          <w:rFonts w:hint="eastAsia" w:ascii="宋体" w:hAnsi="宋体" w:eastAsia="宋体" w:cs="宋体"/>
          <w:bCs/>
          <w:color w:val="000000"/>
          <w:spacing w:val="-2"/>
          <w:sz w:val="24"/>
          <w:szCs w:val="24"/>
        </w:rPr>
        <w:t xml:space="preserve">人，营业收入为 </w:t>
      </w:r>
      <w:r>
        <w:rPr>
          <w:rFonts w:hint="eastAsia" w:ascii="宋体" w:hAnsi="宋体" w:eastAsia="宋体" w:cs="宋体"/>
          <w:bCs/>
          <w:color w:val="000000"/>
          <w:spacing w:val="-2"/>
          <w:sz w:val="24"/>
          <w:szCs w:val="24"/>
          <w:u w:val="single"/>
        </w:rPr>
        <w:tab/>
      </w:r>
      <w:r>
        <w:rPr>
          <w:rFonts w:hint="eastAsia" w:ascii="宋体" w:hAnsi="宋体" w:eastAsia="宋体" w:cs="宋体"/>
          <w:bCs/>
          <w:color w:val="000000"/>
          <w:spacing w:val="-2"/>
          <w:sz w:val="24"/>
          <w:szCs w:val="24"/>
          <w:u w:val="single"/>
        </w:rPr>
        <w:t xml:space="preserve">   </w:t>
      </w:r>
      <w:r>
        <w:rPr>
          <w:rFonts w:hint="eastAsia" w:ascii="宋体" w:hAnsi="宋体" w:eastAsia="宋体" w:cs="宋体"/>
          <w:bCs/>
          <w:color w:val="000000"/>
          <w:spacing w:val="-2"/>
          <w:sz w:val="24"/>
          <w:szCs w:val="24"/>
        </w:rPr>
        <w:t>万元，资产总额为</w:t>
      </w:r>
      <w:r>
        <w:rPr>
          <w:rFonts w:hint="eastAsia" w:ascii="宋体" w:hAnsi="宋体" w:eastAsia="宋体" w:cs="宋体"/>
          <w:bCs/>
          <w:color w:val="000000"/>
          <w:spacing w:val="-2"/>
          <w:sz w:val="24"/>
          <w:szCs w:val="24"/>
          <w:u w:val="single"/>
        </w:rPr>
        <w:t xml:space="preserve">  </w:t>
      </w:r>
      <w:r>
        <w:rPr>
          <w:rFonts w:hint="eastAsia" w:ascii="宋体" w:hAnsi="宋体" w:eastAsia="宋体" w:cs="宋体"/>
          <w:bCs/>
          <w:color w:val="000000"/>
          <w:spacing w:val="-2"/>
          <w:sz w:val="24"/>
          <w:szCs w:val="24"/>
          <w:u w:val="single"/>
        </w:rPr>
        <w:tab/>
      </w:r>
      <w:r>
        <w:rPr>
          <w:rFonts w:hint="eastAsia" w:ascii="宋体" w:hAnsi="宋体" w:eastAsia="宋体" w:cs="宋体"/>
          <w:bCs/>
          <w:color w:val="000000"/>
          <w:spacing w:val="-2"/>
          <w:sz w:val="24"/>
          <w:szCs w:val="24"/>
          <w:u w:val="single"/>
        </w:rPr>
        <w:t xml:space="preserve">  </w:t>
      </w:r>
      <w:r>
        <w:rPr>
          <w:rFonts w:hint="eastAsia" w:ascii="宋体" w:hAnsi="宋体" w:eastAsia="宋体" w:cs="宋体"/>
          <w:bCs/>
          <w:color w:val="000000"/>
          <w:spacing w:val="-2"/>
          <w:sz w:val="24"/>
          <w:szCs w:val="24"/>
        </w:rPr>
        <w:t>万元，属于</w:t>
      </w:r>
      <w:r>
        <w:rPr>
          <w:rFonts w:hint="eastAsia" w:ascii="宋体" w:hAnsi="宋体" w:eastAsia="宋体" w:cs="宋体"/>
          <w:bCs/>
          <w:color w:val="000000"/>
          <w:spacing w:val="-2"/>
          <w:sz w:val="24"/>
          <w:szCs w:val="24"/>
          <w:u w:val="single"/>
        </w:rPr>
        <w:t>（中型企业、小型企业、微型企业）</w:t>
      </w:r>
      <w:r>
        <w:rPr>
          <w:rFonts w:hint="eastAsia" w:ascii="宋体" w:hAnsi="宋体" w:eastAsia="宋体" w:cs="宋体"/>
          <w:bCs/>
          <w:color w:val="000000"/>
          <w:spacing w:val="-2"/>
          <w:sz w:val="24"/>
          <w:szCs w:val="24"/>
        </w:rPr>
        <w:t>；</w:t>
      </w:r>
    </w:p>
    <w:p w14:paraId="111EB6E0">
      <w:pPr>
        <w:pStyle w:val="35"/>
        <w:spacing w:line="56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p>
    <w:p w14:paraId="7A713BC8">
      <w:pPr>
        <w:pStyle w:val="35"/>
        <w:spacing w:line="560" w:lineRule="exact"/>
        <w:ind w:firstLine="240" w:firstLineChars="100"/>
        <w:rPr>
          <w:rFonts w:hint="eastAsia" w:ascii="宋体" w:hAnsi="宋体" w:eastAsia="宋体" w:cs="宋体"/>
          <w:bCs/>
          <w:color w:val="000000"/>
          <w:sz w:val="24"/>
          <w:szCs w:val="24"/>
        </w:rPr>
      </w:pPr>
      <w:r>
        <w:rPr>
          <w:rFonts w:hint="eastAsia" w:ascii="宋体" w:hAnsi="宋体" w:eastAsia="宋体" w:cs="宋体"/>
          <w:bCs/>
          <w:color w:val="000000"/>
          <w:sz w:val="24"/>
          <w:szCs w:val="24"/>
        </w:rPr>
        <w:t>本企业对上述声明内容的真实性负责。如有虚假，将依法承担相应责任。</w:t>
      </w:r>
    </w:p>
    <w:p w14:paraId="3B1AF28B">
      <w:pPr>
        <w:pStyle w:val="111"/>
        <w:spacing w:line="560" w:lineRule="exact"/>
        <w:ind w:firstLine="472" w:firstLineChars="200"/>
        <w:rPr>
          <w:rFonts w:hint="eastAsia" w:ascii="宋体" w:hAnsi="宋体" w:eastAsia="宋体" w:cs="宋体"/>
          <w:bCs/>
          <w:color w:val="000000"/>
          <w:spacing w:val="-2"/>
          <w:sz w:val="24"/>
          <w:szCs w:val="24"/>
        </w:rPr>
      </w:pPr>
      <w:r>
        <w:rPr>
          <w:rFonts w:hint="eastAsia" w:ascii="宋体" w:hAnsi="宋体" w:eastAsia="宋体" w:cs="宋体"/>
          <w:bCs/>
          <w:color w:val="000000"/>
          <w:spacing w:val="-2"/>
          <w:sz w:val="24"/>
          <w:szCs w:val="24"/>
        </w:rPr>
        <w:t>注：</w:t>
      </w:r>
    </w:p>
    <w:p w14:paraId="7200BCD7">
      <w:pPr>
        <w:pStyle w:val="111"/>
        <w:spacing w:line="560" w:lineRule="exact"/>
        <w:ind w:firstLine="472" w:firstLineChars="200"/>
        <w:rPr>
          <w:rFonts w:hint="eastAsia" w:ascii="宋体" w:hAnsi="宋体" w:eastAsia="宋体" w:cs="宋体"/>
          <w:bCs/>
          <w:color w:val="000000"/>
          <w:spacing w:val="-2"/>
          <w:sz w:val="24"/>
          <w:szCs w:val="24"/>
        </w:rPr>
      </w:pPr>
      <w:r>
        <w:rPr>
          <w:rFonts w:hint="eastAsia" w:ascii="宋体" w:hAnsi="宋体" w:eastAsia="宋体" w:cs="宋体"/>
          <w:bCs/>
          <w:color w:val="000000"/>
          <w:spacing w:val="-2"/>
          <w:sz w:val="24"/>
          <w:szCs w:val="24"/>
        </w:rPr>
        <w:t>1、以上提及的企业，不属于大企业的分支机构，不存在控股股东为大企业的情形，也不存在与大企业的负责人为同一人的情形。</w:t>
      </w:r>
    </w:p>
    <w:p w14:paraId="38A71371">
      <w:pPr>
        <w:pStyle w:val="111"/>
        <w:spacing w:line="560" w:lineRule="exact"/>
        <w:ind w:firstLine="472" w:firstLineChars="200"/>
        <w:rPr>
          <w:rFonts w:hint="eastAsia" w:ascii="宋体" w:hAnsi="宋体" w:eastAsia="宋体" w:cs="宋体"/>
          <w:bCs/>
          <w:color w:val="000000"/>
          <w:spacing w:val="-2"/>
          <w:sz w:val="24"/>
          <w:szCs w:val="24"/>
        </w:rPr>
      </w:pPr>
      <w:r>
        <w:rPr>
          <w:rFonts w:hint="eastAsia" w:ascii="宋体" w:hAnsi="宋体" w:eastAsia="宋体" w:cs="宋体"/>
          <w:bCs/>
          <w:color w:val="000000"/>
          <w:spacing w:val="-2"/>
          <w:sz w:val="24"/>
          <w:szCs w:val="24"/>
        </w:rPr>
        <w:t>2、标的名称指所投货物、产品、服务的名称。</w:t>
      </w:r>
    </w:p>
    <w:p w14:paraId="54EC79B0">
      <w:pPr>
        <w:pStyle w:val="35"/>
        <w:spacing w:before="35" w:line="316" w:lineRule="auto"/>
        <w:ind w:right="2166" w:firstLine="472" w:firstLineChars="200"/>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 xml:space="preserve">                               </w:t>
      </w:r>
    </w:p>
    <w:p w14:paraId="3C5D49E6">
      <w:pPr>
        <w:pStyle w:val="35"/>
        <w:spacing w:before="35" w:line="316" w:lineRule="auto"/>
        <w:ind w:right="2166" w:firstLine="3304" w:firstLineChars="1400"/>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企业名称（盖章）：</w:t>
      </w:r>
    </w:p>
    <w:p w14:paraId="4A957AD6">
      <w:pPr>
        <w:pStyle w:val="35"/>
        <w:spacing w:before="35" w:line="316" w:lineRule="auto"/>
        <w:ind w:right="2166"/>
        <w:rPr>
          <w:rFonts w:hint="eastAsia" w:ascii="宋体" w:hAnsi="宋体" w:eastAsia="宋体" w:cs="宋体"/>
          <w:color w:val="000000"/>
          <w:sz w:val="24"/>
        </w:rPr>
      </w:pPr>
      <w:r>
        <w:rPr>
          <w:rFonts w:hint="eastAsia" w:ascii="宋体" w:hAnsi="宋体" w:eastAsia="宋体" w:cs="宋体"/>
          <w:color w:val="000000"/>
          <w:spacing w:val="-2"/>
          <w:sz w:val="24"/>
          <w:szCs w:val="24"/>
        </w:rPr>
        <w:t xml:space="preserve">                          </w:t>
      </w:r>
      <w:r>
        <w:rPr>
          <w:rFonts w:hint="eastAsia" w:ascii="宋体" w:hAnsi="宋体" w:eastAsia="宋体" w:cs="宋体"/>
          <w:color w:val="000000"/>
          <w:spacing w:val="-2"/>
          <w:sz w:val="24"/>
        </w:rPr>
        <w:t>日期：   年   月   日</w:t>
      </w:r>
    </w:p>
    <w:p w14:paraId="43649B84">
      <w:pPr>
        <w:pStyle w:val="113"/>
        <w:spacing w:line="360" w:lineRule="auto"/>
        <w:ind w:firstLine="360" w:firstLineChars="200"/>
        <w:rPr>
          <w:rFonts w:hint="eastAsia" w:ascii="宋体" w:hAnsi="宋体" w:eastAsia="宋体" w:cs="宋体"/>
          <w:color w:val="000000"/>
          <w:sz w:val="18"/>
          <w:szCs w:val="21"/>
        </w:rPr>
      </w:pPr>
      <w:r>
        <w:rPr>
          <w:rFonts w:hint="eastAsia" w:ascii="宋体" w:hAnsi="宋体" w:eastAsia="宋体" w:cs="宋体"/>
          <w:color w:val="000000"/>
          <w:sz w:val="18"/>
          <w:szCs w:val="21"/>
        </w:rPr>
        <w:t>从业人员、营业收入、资产总额填报上一年度数据，无上一年度数据的新成立企业可不填报。</w:t>
      </w:r>
    </w:p>
    <w:p w14:paraId="564FB248">
      <w:pPr>
        <w:pStyle w:val="113"/>
        <w:spacing w:line="360" w:lineRule="auto"/>
        <w:ind w:firstLine="360" w:firstLineChars="200"/>
        <w:rPr>
          <w:rFonts w:hint="eastAsia" w:ascii="宋体" w:hAnsi="宋体" w:eastAsia="宋体" w:cs="宋体"/>
          <w:b w:val="0"/>
          <w:bCs w:val="0"/>
          <w:color w:val="000000"/>
          <w:sz w:val="21"/>
          <w:szCs w:val="20"/>
        </w:rPr>
      </w:pPr>
      <w:r>
        <w:rPr>
          <w:rFonts w:hint="eastAsia" w:ascii="宋体" w:hAnsi="宋体" w:eastAsia="宋体" w:cs="宋体"/>
          <w:b w:val="0"/>
          <w:bCs w:val="0"/>
          <w:color w:val="000000"/>
          <w:sz w:val="18"/>
          <w:szCs w:val="16"/>
        </w:rPr>
        <w:t>注：</w:t>
      </w:r>
      <w:r>
        <w:rPr>
          <w:rFonts w:hint="eastAsia" w:ascii="宋体" w:hAnsi="宋体" w:eastAsia="宋体" w:cs="宋体"/>
          <w:b w:val="0"/>
          <w:bCs w:val="0"/>
          <w:color w:val="000000"/>
          <w:sz w:val="21"/>
          <w:szCs w:val="20"/>
        </w:rPr>
        <w:t>1、所有潜在投标供应商在做出以上声明前，需根据《关于印发中小企业划型标准规定的通知》、《政府采购促进中小企业发展管理办法》的相应内容，确定自身是否可以享受中小企业政策。如可以享受中小企业政策的供应商，按照如上声明函的内容如实填写，若不满足中小企业政策的供应商，请不要填写。</w:t>
      </w:r>
    </w:p>
    <w:p w14:paraId="4671E764">
      <w:pPr>
        <w:pStyle w:val="113"/>
        <w:spacing w:line="360" w:lineRule="auto"/>
        <w:ind w:firstLine="420" w:firstLineChars="200"/>
        <w:rPr>
          <w:rFonts w:hint="eastAsia" w:ascii="宋体" w:hAnsi="宋体" w:eastAsia="宋体" w:cs="宋体"/>
          <w:b w:val="0"/>
          <w:bCs w:val="0"/>
          <w:color w:val="000000"/>
          <w:sz w:val="21"/>
          <w:szCs w:val="20"/>
        </w:rPr>
      </w:pPr>
      <w:r>
        <w:rPr>
          <w:rFonts w:hint="eastAsia" w:ascii="宋体" w:hAnsi="宋体" w:eastAsia="宋体" w:cs="宋体"/>
          <w:b w:val="0"/>
          <w:bCs w:val="0"/>
          <w:color w:val="000000"/>
          <w:sz w:val="21"/>
          <w:szCs w:val="20"/>
        </w:rPr>
        <w:t>2、如存在虚假声明或未按实际内容填写，供应商需承担由此产生的一切后果及相应的法律责任。</w:t>
      </w:r>
    </w:p>
    <w:p w14:paraId="77F36100">
      <w:pPr>
        <w:pStyle w:val="89"/>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000000"/>
          <w:sz w:val="20"/>
          <w:szCs w:val="20"/>
        </w:rPr>
      </w:pPr>
      <w:bookmarkStart w:id="181" w:name="_Toc139389579"/>
      <w:r>
        <w:rPr>
          <w:rFonts w:hint="eastAsia" w:ascii="宋体" w:hAnsi="宋体" w:eastAsia="宋体" w:cs="宋体"/>
          <w:b w:val="0"/>
          <w:bCs w:val="0"/>
          <w:color w:val="000000"/>
          <w:sz w:val="21"/>
          <w:szCs w:val="21"/>
        </w:rPr>
        <w:t>3、后附中小企业划型标准的部分内容。</w:t>
      </w:r>
      <w:r>
        <w:rPr>
          <w:rFonts w:hint="eastAsia" w:ascii="宋体" w:hAnsi="宋体" w:eastAsia="宋体" w:cs="宋体"/>
          <w:b w:val="0"/>
          <w:bCs w:val="0"/>
          <w:color w:val="000000"/>
          <w:sz w:val="16"/>
          <w:szCs w:val="16"/>
        </w:rPr>
        <w:t>详</w:t>
      </w:r>
      <w:r>
        <w:rPr>
          <w:rFonts w:hint="eastAsia" w:ascii="宋体" w:hAnsi="宋体" w:eastAsia="宋体" w:cs="宋体"/>
          <w:b w:val="0"/>
          <w:bCs w:val="0"/>
          <w:color w:val="000000"/>
          <w:sz w:val="20"/>
          <w:szCs w:val="20"/>
        </w:rPr>
        <w:t>细内容请在中国政府采购网上查询获取。</w:t>
      </w:r>
      <w:bookmarkEnd w:id="181"/>
    </w:p>
    <w:p w14:paraId="0159AEA0">
      <w:pPr>
        <w:pStyle w:val="3"/>
        <w:jc w:val="both"/>
        <w:rPr>
          <w:rFonts w:hint="eastAsia" w:ascii="宋体" w:hAnsi="宋体" w:eastAsia="宋体" w:cs="宋体"/>
          <w:b w:val="0"/>
          <w:bCs w:val="0"/>
          <w:color w:val="000000"/>
          <w:kern w:val="0"/>
          <w:sz w:val="20"/>
          <w:szCs w:val="21"/>
        </w:rPr>
        <w:sectPr>
          <w:pgSz w:w="11906" w:h="16838"/>
          <w:pgMar w:top="1247" w:right="1247" w:bottom="1247" w:left="1247" w:header="851" w:footer="992" w:gutter="0"/>
          <w:pgNumType w:fmt="decimal"/>
          <w:cols w:space="720" w:num="1"/>
          <w:rtlGutter w:val="0"/>
          <w:docGrid w:linePitch="312" w:charSpace="0"/>
        </w:sectPr>
      </w:pPr>
    </w:p>
    <w:p w14:paraId="62435144">
      <w:pPr>
        <w:spacing w:line="56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附表：大中小微型企业划分标准</w:t>
      </w:r>
    </w:p>
    <w:tbl>
      <w:tblPr>
        <w:tblStyle w:val="40"/>
        <w:tblW w:w="9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1368"/>
        <w:gridCol w:w="708"/>
        <w:gridCol w:w="1124"/>
        <w:gridCol w:w="1827"/>
        <w:gridCol w:w="1587"/>
        <w:gridCol w:w="1121"/>
      </w:tblGrid>
      <w:tr w14:paraId="33B6A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2022" w:type="dxa"/>
            <w:noWrap/>
            <w:vAlign w:val="center"/>
          </w:tcPr>
          <w:p w14:paraId="1C3A6868">
            <w:pPr>
              <w:widowControl/>
              <w:spacing w:line="240" w:lineRule="exact"/>
              <w:jc w:val="center"/>
              <w:rPr>
                <w:rFonts w:hint="eastAsia" w:ascii="宋体" w:hAnsi="宋体" w:eastAsia="宋体" w:cs="宋体"/>
                <w:b/>
                <w:bCs/>
                <w:color w:val="000000"/>
                <w:kern w:val="0"/>
                <w:sz w:val="15"/>
                <w:szCs w:val="20"/>
              </w:rPr>
            </w:pPr>
            <w:r>
              <w:rPr>
                <w:rFonts w:hint="eastAsia" w:ascii="宋体" w:hAnsi="宋体" w:eastAsia="宋体" w:cs="宋体"/>
                <w:b/>
                <w:bCs/>
                <w:color w:val="000000"/>
                <w:kern w:val="0"/>
                <w:sz w:val="15"/>
                <w:szCs w:val="20"/>
              </w:rPr>
              <w:t>行业名称</w:t>
            </w:r>
          </w:p>
        </w:tc>
        <w:tc>
          <w:tcPr>
            <w:tcW w:w="1368" w:type="dxa"/>
            <w:noWrap/>
            <w:vAlign w:val="center"/>
          </w:tcPr>
          <w:p w14:paraId="42054B79">
            <w:pPr>
              <w:widowControl/>
              <w:jc w:val="center"/>
              <w:rPr>
                <w:rFonts w:hint="eastAsia" w:ascii="宋体" w:hAnsi="宋体" w:eastAsia="宋体" w:cs="宋体"/>
                <w:b/>
                <w:bCs/>
                <w:color w:val="000000"/>
                <w:kern w:val="0"/>
                <w:sz w:val="15"/>
                <w:szCs w:val="15"/>
              </w:rPr>
            </w:pPr>
            <w:r>
              <w:rPr>
                <w:rFonts w:hint="eastAsia" w:ascii="宋体" w:hAnsi="宋体" w:eastAsia="宋体" w:cs="宋体"/>
                <w:b/>
                <w:bCs/>
                <w:color w:val="000000"/>
                <w:kern w:val="0"/>
                <w:sz w:val="15"/>
                <w:szCs w:val="15"/>
              </w:rPr>
              <w:t>指标名称</w:t>
            </w:r>
          </w:p>
        </w:tc>
        <w:tc>
          <w:tcPr>
            <w:tcW w:w="708" w:type="dxa"/>
            <w:noWrap/>
            <w:vAlign w:val="center"/>
          </w:tcPr>
          <w:p w14:paraId="4B90AAAE">
            <w:pPr>
              <w:widowControl/>
              <w:jc w:val="center"/>
              <w:rPr>
                <w:rFonts w:hint="eastAsia" w:ascii="宋体" w:hAnsi="宋体" w:eastAsia="宋体" w:cs="宋体"/>
                <w:b/>
                <w:bCs/>
                <w:color w:val="000000"/>
                <w:kern w:val="0"/>
                <w:sz w:val="15"/>
                <w:szCs w:val="15"/>
                <w:lang w:eastAsia="zh-CN"/>
              </w:rPr>
            </w:pPr>
            <w:r>
              <w:rPr>
                <w:rFonts w:hint="eastAsia" w:ascii="宋体" w:hAnsi="宋体" w:eastAsia="宋体" w:cs="宋体"/>
                <w:b/>
                <w:bCs/>
                <w:color w:val="000000"/>
                <w:kern w:val="0"/>
                <w:sz w:val="15"/>
                <w:szCs w:val="15"/>
              </w:rPr>
              <w:t>计量</w:t>
            </w:r>
          </w:p>
          <w:p w14:paraId="50A3FC2A">
            <w:pPr>
              <w:widowControl/>
              <w:jc w:val="center"/>
              <w:rPr>
                <w:rFonts w:hint="eastAsia" w:ascii="宋体" w:hAnsi="宋体" w:eastAsia="宋体" w:cs="宋体"/>
                <w:b/>
                <w:bCs/>
                <w:color w:val="000000"/>
                <w:kern w:val="0"/>
                <w:sz w:val="15"/>
                <w:szCs w:val="15"/>
              </w:rPr>
            </w:pPr>
            <w:r>
              <w:rPr>
                <w:rFonts w:hint="eastAsia" w:ascii="宋体" w:hAnsi="宋体" w:eastAsia="宋体" w:cs="宋体"/>
                <w:b/>
                <w:bCs/>
                <w:color w:val="000000"/>
                <w:kern w:val="0"/>
                <w:sz w:val="15"/>
                <w:szCs w:val="15"/>
              </w:rPr>
              <w:t>单位</w:t>
            </w:r>
          </w:p>
        </w:tc>
        <w:tc>
          <w:tcPr>
            <w:tcW w:w="1124" w:type="dxa"/>
            <w:noWrap/>
            <w:vAlign w:val="center"/>
          </w:tcPr>
          <w:p w14:paraId="5A0F1759">
            <w:pPr>
              <w:widowControl/>
              <w:jc w:val="center"/>
              <w:rPr>
                <w:rFonts w:hint="eastAsia" w:ascii="宋体" w:hAnsi="宋体" w:eastAsia="宋体" w:cs="宋体"/>
                <w:b/>
                <w:bCs/>
                <w:color w:val="000000"/>
                <w:kern w:val="0"/>
                <w:sz w:val="15"/>
                <w:szCs w:val="15"/>
              </w:rPr>
            </w:pPr>
            <w:r>
              <w:rPr>
                <w:rFonts w:hint="eastAsia" w:ascii="宋体" w:hAnsi="宋体" w:eastAsia="宋体" w:cs="宋体"/>
                <w:b/>
                <w:bCs/>
                <w:color w:val="000000"/>
                <w:kern w:val="0"/>
                <w:sz w:val="15"/>
                <w:szCs w:val="15"/>
              </w:rPr>
              <w:t>大型</w:t>
            </w:r>
          </w:p>
        </w:tc>
        <w:tc>
          <w:tcPr>
            <w:tcW w:w="1827" w:type="dxa"/>
            <w:noWrap/>
            <w:vAlign w:val="center"/>
          </w:tcPr>
          <w:p w14:paraId="641D949E">
            <w:pPr>
              <w:widowControl/>
              <w:jc w:val="center"/>
              <w:rPr>
                <w:rFonts w:hint="eastAsia" w:ascii="宋体" w:hAnsi="宋体" w:eastAsia="宋体" w:cs="宋体"/>
                <w:b/>
                <w:bCs/>
                <w:color w:val="000000"/>
                <w:kern w:val="0"/>
                <w:sz w:val="15"/>
                <w:szCs w:val="15"/>
              </w:rPr>
            </w:pPr>
            <w:r>
              <w:rPr>
                <w:rFonts w:hint="eastAsia" w:ascii="宋体" w:hAnsi="宋体" w:eastAsia="宋体" w:cs="宋体"/>
                <w:b/>
                <w:bCs/>
                <w:color w:val="000000"/>
                <w:kern w:val="0"/>
                <w:sz w:val="15"/>
                <w:szCs w:val="15"/>
              </w:rPr>
              <w:t>中型</w:t>
            </w:r>
          </w:p>
        </w:tc>
        <w:tc>
          <w:tcPr>
            <w:tcW w:w="1587" w:type="dxa"/>
            <w:noWrap/>
            <w:vAlign w:val="center"/>
          </w:tcPr>
          <w:p w14:paraId="337A793B">
            <w:pPr>
              <w:widowControl/>
              <w:jc w:val="center"/>
              <w:rPr>
                <w:rFonts w:hint="eastAsia" w:ascii="宋体" w:hAnsi="宋体" w:eastAsia="宋体" w:cs="宋体"/>
                <w:b/>
                <w:bCs/>
                <w:color w:val="000000"/>
                <w:kern w:val="0"/>
                <w:sz w:val="15"/>
                <w:szCs w:val="15"/>
              </w:rPr>
            </w:pPr>
            <w:r>
              <w:rPr>
                <w:rFonts w:hint="eastAsia" w:ascii="宋体" w:hAnsi="宋体" w:eastAsia="宋体" w:cs="宋体"/>
                <w:b/>
                <w:bCs/>
                <w:color w:val="000000"/>
                <w:kern w:val="0"/>
                <w:sz w:val="15"/>
                <w:szCs w:val="15"/>
              </w:rPr>
              <w:t>小型</w:t>
            </w:r>
          </w:p>
        </w:tc>
        <w:tc>
          <w:tcPr>
            <w:tcW w:w="1121" w:type="dxa"/>
            <w:noWrap/>
            <w:vAlign w:val="center"/>
          </w:tcPr>
          <w:p w14:paraId="6B45D210">
            <w:pPr>
              <w:widowControl/>
              <w:jc w:val="center"/>
              <w:rPr>
                <w:rFonts w:hint="eastAsia" w:ascii="宋体" w:hAnsi="宋体" w:eastAsia="宋体" w:cs="宋体"/>
                <w:b/>
                <w:bCs/>
                <w:color w:val="000000"/>
                <w:kern w:val="0"/>
                <w:sz w:val="15"/>
                <w:szCs w:val="15"/>
              </w:rPr>
            </w:pPr>
            <w:r>
              <w:rPr>
                <w:rFonts w:hint="eastAsia" w:ascii="宋体" w:hAnsi="宋体" w:eastAsia="宋体" w:cs="宋体"/>
                <w:b/>
                <w:bCs/>
                <w:color w:val="000000"/>
                <w:kern w:val="0"/>
                <w:sz w:val="15"/>
                <w:szCs w:val="15"/>
              </w:rPr>
              <w:t>微型</w:t>
            </w:r>
          </w:p>
        </w:tc>
      </w:tr>
      <w:tr w14:paraId="539DA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2022" w:type="dxa"/>
            <w:noWrap/>
            <w:vAlign w:val="center"/>
          </w:tcPr>
          <w:p w14:paraId="5492BD41">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农、林、牧、渔业</w:t>
            </w:r>
          </w:p>
        </w:tc>
        <w:tc>
          <w:tcPr>
            <w:tcW w:w="1368" w:type="dxa"/>
            <w:noWrap/>
            <w:vAlign w:val="center"/>
          </w:tcPr>
          <w:p w14:paraId="09ABECD0">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708" w:type="dxa"/>
            <w:noWrap/>
            <w:vAlign w:val="center"/>
          </w:tcPr>
          <w:p w14:paraId="02A55E21">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1124" w:type="dxa"/>
            <w:noWrap/>
            <w:vAlign w:val="center"/>
          </w:tcPr>
          <w:p w14:paraId="03DB4291">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Y≥20000</w:t>
            </w:r>
          </w:p>
        </w:tc>
        <w:tc>
          <w:tcPr>
            <w:tcW w:w="1827" w:type="dxa"/>
            <w:noWrap/>
            <w:vAlign w:val="center"/>
          </w:tcPr>
          <w:p w14:paraId="0060AAFA">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500≤Y＜20000</w:t>
            </w:r>
          </w:p>
        </w:tc>
        <w:tc>
          <w:tcPr>
            <w:tcW w:w="1587" w:type="dxa"/>
            <w:noWrap/>
            <w:vAlign w:val="center"/>
          </w:tcPr>
          <w:p w14:paraId="4B664A6B">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50≤Y＜500</w:t>
            </w:r>
          </w:p>
        </w:tc>
        <w:tc>
          <w:tcPr>
            <w:tcW w:w="1121" w:type="dxa"/>
            <w:noWrap/>
            <w:vAlign w:val="center"/>
          </w:tcPr>
          <w:p w14:paraId="3AB5AF31">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Y＜50</w:t>
            </w:r>
          </w:p>
        </w:tc>
      </w:tr>
      <w:tr w14:paraId="47514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2022" w:type="dxa"/>
            <w:vMerge w:val="restart"/>
            <w:noWrap/>
            <w:vAlign w:val="center"/>
          </w:tcPr>
          <w:p w14:paraId="4EC9403C">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工业 *</w:t>
            </w:r>
          </w:p>
        </w:tc>
        <w:tc>
          <w:tcPr>
            <w:tcW w:w="1368" w:type="dxa"/>
            <w:noWrap/>
            <w:vAlign w:val="center"/>
          </w:tcPr>
          <w:p w14:paraId="1EE380B8">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708" w:type="dxa"/>
            <w:noWrap/>
            <w:vAlign w:val="center"/>
          </w:tcPr>
          <w:p w14:paraId="01999674">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1124" w:type="dxa"/>
            <w:noWrap/>
            <w:vAlign w:val="center"/>
          </w:tcPr>
          <w:p w14:paraId="049EF68A">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X≥1000</w:t>
            </w:r>
          </w:p>
        </w:tc>
        <w:tc>
          <w:tcPr>
            <w:tcW w:w="1827" w:type="dxa"/>
            <w:noWrap/>
            <w:vAlign w:val="center"/>
          </w:tcPr>
          <w:p w14:paraId="3D35DD3C">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300≤X＜1000</w:t>
            </w:r>
          </w:p>
        </w:tc>
        <w:tc>
          <w:tcPr>
            <w:tcW w:w="1587" w:type="dxa"/>
            <w:noWrap/>
            <w:vAlign w:val="center"/>
          </w:tcPr>
          <w:p w14:paraId="0167E4EC">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20≤X＜300</w:t>
            </w:r>
          </w:p>
        </w:tc>
        <w:tc>
          <w:tcPr>
            <w:tcW w:w="1121" w:type="dxa"/>
            <w:noWrap/>
            <w:vAlign w:val="center"/>
          </w:tcPr>
          <w:p w14:paraId="62827CF0">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X＜20</w:t>
            </w:r>
          </w:p>
        </w:tc>
      </w:tr>
      <w:tr w14:paraId="02E9B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2022" w:type="dxa"/>
            <w:vMerge w:val="continue"/>
            <w:noWrap/>
            <w:vAlign w:val="center"/>
          </w:tcPr>
          <w:p w14:paraId="7398F7D1">
            <w:pPr>
              <w:widowControl/>
              <w:jc w:val="left"/>
              <w:rPr>
                <w:rFonts w:hint="eastAsia" w:ascii="宋体" w:hAnsi="宋体" w:eastAsia="宋体" w:cs="宋体"/>
                <w:color w:val="000000"/>
                <w:kern w:val="0"/>
                <w:sz w:val="15"/>
                <w:szCs w:val="15"/>
              </w:rPr>
            </w:pPr>
          </w:p>
        </w:tc>
        <w:tc>
          <w:tcPr>
            <w:tcW w:w="1368" w:type="dxa"/>
            <w:noWrap/>
            <w:vAlign w:val="center"/>
          </w:tcPr>
          <w:p w14:paraId="68108FB9">
            <w:pPr>
              <w:widowControl/>
              <w:spacing w:line="240" w:lineRule="exact"/>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708" w:type="dxa"/>
            <w:noWrap/>
            <w:vAlign w:val="center"/>
          </w:tcPr>
          <w:p w14:paraId="2265C51D">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1124" w:type="dxa"/>
            <w:noWrap/>
            <w:vAlign w:val="center"/>
          </w:tcPr>
          <w:p w14:paraId="662A7C48">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Y≥40000</w:t>
            </w:r>
          </w:p>
        </w:tc>
        <w:tc>
          <w:tcPr>
            <w:tcW w:w="1827" w:type="dxa"/>
            <w:noWrap/>
            <w:vAlign w:val="center"/>
          </w:tcPr>
          <w:p w14:paraId="7B01F1FD">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2000≤Y＜40000</w:t>
            </w:r>
          </w:p>
        </w:tc>
        <w:tc>
          <w:tcPr>
            <w:tcW w:w="1587" w:type="dxa"/>
            <w:noWrap/>
            <w:vAlign w:val="center"/>
          </w:tcPr>
          <w:p w14:paraId="72CAD102">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300≤Y＜2000</w:t>
            </w:r>
          </w:p>
        </w:tc>
        <w:tc>
          <w:tcPr>
            <w:tcW w:w="1121" w:type="dxa"/>
            <w:noWrap/>
            <w:vAlign w:val="center"/>
          </w:tcPr>
          <w:p w14:paraId="478DC494">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Y＜300</w:t>
            </w:r>
          </w:p>
        </w:tc>
      </w:tr>
      <w:tr w14:paraId="0B4A2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2022" w:type="dxa"/>
            <w:vMerge w:val="restart"/>
            <w:noWrap/>
            <w:vAlign w:val="center"/>
          </w:tcPr>
          <w:p w14:paraId="2C98C642">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建筑业</w:t>
            </w:r>
          </w:p>
        </w:tc>
        <w:tc>
          <w:tcPr>
            <w:tcW w:w="1368" w:type="dxa"/>
            <w:noWrap/>
            <w:vAlign w:val="center"/>
          </w:tcPr>
          <w:p w14:paraId="6DAE0BC5">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708" w:type="dxa"/>
            <w:noWrap/>
            <w:vAlign w:val="center"/>
          </w:tcPr>
          <w:p w14:paraId="1219A971">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1124" w:type="dxa"/>
            <w:noWrap/>
            <w:vAlign w:val="center"/>
          </w:tcPr>
          <w:p w14:paraId="4D540880">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Y≥80000</w:t>
            </w:r>
          </w:p>
        </w:tc>
        <w:tc>
          <w:tcPr>
            <w:tcW w:w="1827" w:type="dxa"/>
            <w:noWrap/>
            <w:vAlign w:val="center"/>
          </w:tcPr>
          <w:p w14:paraId="33909C26">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6000≤Y＜80000</w:t>
            </w:r>
          </w:p>
        </w:tc>
        <w:tc>
          <w:tcPr>
            <w:tcW w:w="1587" w:type="dxa"/>
            <w:noWrap/>
            <w:vAlign w:val="center"/>
          </w:tcPr>
          <w:p w14:paraId="1B94486C">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300≤Y＜6000</w:t>
            </w:r>
          </w:p>
        </w:tc>
        <w:tc>
          <w:tcPr>
            <w:tcW w:w="1121" w:type="dxa"/>
            <w:noWrap/>
            <w:vAlign w:val="center"/>
          </w:tcPr>
          <w:p w14:paraId="64A87981">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Y＜300</w:t>
            </w:r>
          </w:p>
        </w:tc>
      </w:tr>
      <w:tr w14:paraId="2E12F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2022" w:type="dxa"/>
            <w:vMerge w:val="continue"/>
            <w:noWrap/>
            <w:vAlign w:val="center"/>
          </w:tcPr>
          <w:p w14:paraId="6DA36713">
            <w:pPr>
              <w:widowControl/>
              <w:jc w:val="left"/>
              <w:rPr>
                <w:rFonts w:hint="eastAsia" w:ascii="宋体" w:hAnsi="宋体" w:eastAsia="宋体" w:cs="宋体"/>
                <w:color w:val="000000"/>
                <w:kern w:val="0"/>
                <w:sz w:val="15"/>
                <w:szCs w:val="15"/>
              </w:rPr>
            </w:pPr>
          </w:p>
        </w:tc>
        <w:tc>
          <w:tcPr>
            <w:tcW w:w="1368" w:type="dxa"/>
            <w:noWrap/>
            <w:vAlign w:val="center"/>
          </w:tcPr>
          <w:p w14:paraId="098B5C30">
            <w:pPr>
              <w:widowControl/>
              <w:spacing w:line="240" w:lineRule="exact"/>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资产总额(Z)</w:t>
            </w:r>
          </w:p>
        </w:tc>
        <w:tc>
          <w:tcPr>
            <w:tcW w:w="708" w:type="dxa"/>
            <w:noWrap/>
            <w:vAlign w:val="center"/>
          </w:tcPr>
          <w:p w14:paraId="0DAD59A9">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1124" w:type="dxa"/>
            <w:noWrap/>
            <w:vAlign w:val="center"/>
          </w:tcPr>
          <w:p w14:paraId="2B8344D2">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Z≥80000</w:t>
            </w:r>
          </w:p>
        </w:tc>
        <w:tc>
          <w:tcPr>
            <w:tcW w:w="1827" w:type="dxa"/>
            <w:noWrap/>
            <w:vAlign w:val="center"/>
          </w:tcPr>
          <w:p w14:paraId="72FB1463">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5000≤Z＜80000</w:t>
            </w:r>
          </w:p>
        </w:tc>
        <w:tc>
          <w:tcPr>
            <w:tcW w:w="1587" w:type="dxa"/>
            <w:noWrap/>
            <w:vAlign w:val="center"/>
          </w:tcPr>
          <w:p w14:paraId="3905F723">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300≤Z＜5000</w:t>
            </w:r>
          </w:p>
        </w:tc>
        <w:tc>
          <w:tcPr>
            <w:tcW w:w="1121" w:type="dxa"/>
            <w:noWrap/>
            <w:vAlign w:val="center"/>
          </w:tcPr>
          <w:p w14:paraId="68A84279">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Z＜300</w:t>
            </w:r>
          </w:p>
        </w:tc>
      </w:tr>
      <w:tr w14:paraId="3A1EC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2022" w:type="dxa"/>
            <w:vMerge w:val="restart"/>
            <w:noWrap/>
            <w:vAlign w:val="center"/>
          </w:tcPr>
          <w:p w14:paraId="056984E0">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批发业</w:t>
            </w:r>
          </w:p>
        </w:tc>
        <w:tc>
          <w:tcPr>
            <w:tcW w:w="1368" w:type="dxa"/>
            <w:noWrap/>
            <w:vAlign w:val="center"/>
          </w:tcPr>
          <w:p w14:paraId="0D791B19">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708" w:type="dxa"/>
            <w:noWrap/>
            <w:vAlign w:val="center"/>
          </w:tcPr>
          <w:p w14:paraId="72843F69">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1124" w:type="dxa"/>
            <w:noWrap/>
            <w:vAlign w:val="center"/>
          </w:tcPr>
          <w:p w14:paraId="206EAFC8">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X≥200</w:t>
            </w:r>
          </w:p>
        </w:tc>
        <w:tc>
          <w:tcPr>
            <w:tcW w:w="1827" w:type="dxa"/>
            <w:noWrap/>
            <w:vAlign w:val="center"/>
          </w:tcPr>
          <w:p w14:paraId="6E2D106C">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20≤X＜200</w:t>
            </w:r>
          </w:p>
        </w:tc>
        <w:tc>
          <w:tcPr>
            <w:tcW w:w="1587" w:type="dxa"/>
            <w:noWrap/>
            <w:vAlign w:val="center"/>
          </w:tcPr>
          <w:p w14:paraId="616136EA">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5≤X＜20</w:t>
            </w:r>
          </w:p>
        </w:tc>
        <w:tc>
          <w:tcPr>
            <w:tcW w:w="1121" w:type="dxa"/>
            <w:noWrap/>
            <w:vAlign w:val="center"/>
          </w:tcPr>
          <w:p w14:paraId="1CD23DEA">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X＜5</w:t>
            </w:r>
          </w:p>
        </w:tc>
      </w:tr>
      <w:tr w14:paraId="33DA5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2022" w:type="dxa"/>
            <w:vMerge w:val="continue"/>
            <w:noWrap/>
            <w:vAlign w:val="center"/>
          </w:tcPr>
          <w:p w14:paraId="25527718">
            <w:pPr>
              <w:widowControl/>
              <w:jc w:val="left"/>
              <w:rPr>
                <w:rFonts w:hint="eastAsia" w:ascii="宋体" w:hAnsi="宋体" w:eastAsia="宋体" w:cs="宋体"/>
                <w:color w:val="000000"/>
                <w:kern w:val="0"/>
                <w:sz w:val="15"/>
                <w:szCs w:val="15"/>
              </w:rPr>
            </w:pPr>
          </w:p>
        </w:tc>
        <w:tc>
          <w:tcPr>
            <w:tcW w:w="1368" w:type="dxa"/>
            <w:noWrap/>
            <w:vAlign w:val="center"/>
          </w:tcPr>
          <w:p w14:paraId="7A99AA28">
            <w:pPr>
              <w:widowControl/>
              <w:spacing w:line="240" w:lineRule="exact"/>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708" w:type="dxa"/>
            <w:noWrap/>
            <w:vAlign w:val="center"/>
          </w:tcPr>
          <w:p w14:paraId="2E00E20D">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1124" w:type="dxa"/>
            <w:noWrap/>
            <w:vAlign w:val="center"/>
          </w:tcPr>
          <w:p w14:paraId="250E2EFB">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Y≥40000</w:t>
            </w:r>
          </w:p>
        </w:tc>
        <w:tc>
          <w:tcPr>
            <w:tcW w:w="1827" w:type="dxa"/>
            <w:noWrap/>
            <w:vAlign w:val="center"/>
          </w:tcPr>
          <w:p w14:paraId="12EC04EC">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5000≤Y＜40000</w:t>
            </w:r>
          </w:p>
        </w:tc>
        <w:tc>
          <w:tcPr>
            <w:tcW w:w="1587" w:type="dxa"/>
            <w:noWrap/>
            <w:vAlign w:val="center"/>
          </w:tcPr>
          <w:p w14:paraId="32231DEC">
            <w:pPr>
              <w:widowControl/>
              <w:ind w:left="-2" w:leftChars="-1" w:hanging="1"/>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1000≤Y＜5000</w:t>
            </w:r>
          </w:p>
        </w:tc>
        <w:tc>
          <w:tcPr>
            <w:tcW w:w="1121" w:type="dxa"/>
            <w:noWrap/>
            <w:vAlign w:val="center"/>
          </w:tcPr>
          <w:p w14:paraId="7C676CA1">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Y＜1000</w:t>
            </w:r>
          </w:p>
        </w:tc>
      </w:tr>
      <w:tr w14:paraId="45CDE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2022" w:type="dxa"/>
            <w:vMerge w:val="restart"/>
            <w:noWrap/>
            <w:vAlign w:val="center"/>
          </w:tcPr>
          <w:p w14:paraId="4B728BAC">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零售业</w:t>
            </w:r>
          </w:p>
        </w:tc>
        <w:tc>
          <w:tcPr>
            <w:tcW w:w="1368" w:type="dxa"/>
            <w:noWrap/>
            <w:vAlign w:val="center"/>
          </w:tcPr>
          <w:p w14:paraId="6988F320">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708" w:type="dxa"/>
            <w:noWrap/>
            <w:vAlign w:val="center"/>
          </w:tcPr>
          <w:p w14:paraId="463286F1">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1124" w:type="dxa"/>
            <w:noWrap/>
            <w:vAlign w:val="center"/>
          </w:tcPr>
          <w:p w14:paraId="0EACB4BA">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X≥300</w:t>
            </w:r>
          </w:p>
        </w:tc>
        <w:tc>
          <w:tcPr>
            <w:tcW w:w="1827" w:type="dxa"/>
            <w:noWrap/>
            <w:vAlign w:val="center"/>
          </w:tcPr>
          <w:p w14:paraId="6FF3CA1F">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50≤X＜300</w:t>
            </w:r>
          </w:p>
        </w:tc>
        <w:tc>
          <w:tcPr>
            <w:tcW w:w="1587" w:type="dxa"/>
            <w:noWrap/>
            <w:vAlign w:val="center"/>
          </w:tcPr>
          <w:p w14:paraId="0086564F">
            <w:pPr>
              <w:widowControl/>
              <w:ind w:left="-2" w:leftChars="-1" w:hanging="1"/>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10≤X＜50 </w:t>
            </w:r>
          </w:p>
        </w:tc>
        <w:tc>
          <w:tcPr>
            <w:tcW w:w="1121" w:type="dxa"/>
            <w:noWrap/>
            <w:vAlign w:val="center"/>
          </w:tcPr>
          <w:p w14:paraId="730A68D1">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w:t>
            </w:r>
          </w:p>
        </w:tc>
      </w:tr>
      <w:tr w14:paraId="6FE76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2022" w:type="dxa"/>
            <w:vMerge w:val="continue"/>
            <w:noWrap/>
            <w:vAlign w:val="center"/>
          </w:tcPr>
          <w:p w14:paraId="04A4073F">
            <w:pPr>
              <w:widowControl/>
              <w:jc w:val="left"/>
              <w:rPr>
                <w:rFonts w:hint="eastAsia" w:ascii="宋体" w:hAnsi="宋体" w:eastAsia="宋体" w:cs="宋体"/>
                <w:color w:val="000000"/>
                <w:kern w:val="0"/>
                <w:sz w:val="15"/>
                <w:szCs w:val="15"/>
              </w:rPr>
            </w:pPr>
          </w:p>
        </w:tc>
        <w:tc>
          <w:tcPr>
            <w:tcW w:w="1368" w:type="dxa"/>
            <w:noWrap/>
            <w:vAlign w:val="center"/>
          </w:tcPr>
          <w:p w14:paraId="0A48CFC1">
            <w:pPr>
              <w:widowControl/>
              <w:spacing w:line="240" w:lineRule="exact"/>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708" w:type="dxa"/>
            <w:noWrap/>
            <w:vAlign w:val="center"/>
          </w:tcPr>
          <w:p w14:paraId="050F533F">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1124" w:type="dxa"/>
            <w:noWrap/>
            <w:vAlign w:val="center"/>
          </w:tcPr>
          <w:p w14:paraId="3B6A7966">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Y≥20000</w:t>
            </w:r>
          </w:p>
        </w:tc>
        <w:tc>
          <w:tcPr>
            <w:tcW w:w="1827" w:type="dxa"/>
            <w:noWrap/>
            <w:vAlign w:val="center"/>
          </w:tcPr>
          <w:p w14:paraId="4C3AED5C">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500≤Y＜20000</w:t>
            </w:r>
          </w:p>
        </w:tc>
        <w:tc>
          <w:tcPr>
            <w:tcW w:w="1587" w:type="dxa"/>
            <w:noWrap/>
            <w:vAlign w:val="center"/>
          </w:tcPr>
          <w:p w14:paraId="4FD6B73A">
            <w:pPr>
              <w:widowControl/>
              <w:ind w:left="-2" w:leftChars="-1" w:hanging="1"/>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100≤Y＜500 </w:t>
            </w:r>
          </w:p>
        </w:tc>
        <w:tc>
          <w:tcPr>
            <w:tcW w:w="1121" w:type="dxa"/>
            <w:noWrap/>
            <w:vAlign w:val="center"/>
          </w:tcPr>
          <w:p w14:paraId="364D2926">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w:t>
            </w:r>
          </w:p>
        </w:tc>
      </w:tr>
      <w:tr w14:paraId="3E053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2022" w:type="dxa"/>
            <w:vMerge w:val="restart"/>
            <w:noWrap/>
            <w:vAlign w:val="center"/>
          </w:tcPr>
          <w:p w14:paraId="49D55D6F">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交通运输业 *</w:t>
            </w:r>
          </w:p>
        </w:tc>
        <w:tc>
          <w:tcPr>
            <w:tcW w:w="1368" w:type="dxa"/>
            <w:noWrap/>
            <w:vAlign w:val="center"/>
          </w:tcPr>
          <w:p w14:paraId="7DEB97F0">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708" w:type="dxa"/>
            <w:noWrap/>
            <w:vAlign w:val="center"/>
          </w:tcPr>
          <w:p w14:paraId="320DB71F">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1124" w:type="dxa"/>
            <w:noWrap/>
            <w:vAlign w:val="center"/>
          </w:tcPr>
          <w:p w14:paraId="559AC0C6">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X≥1000</w:t>
            </w:r>
          </w:p>
        </w:tc>
        <w:tc>
          <w:tcPr>
            <w:tcW w:w="1827" w:type="dxa"/>
            <w:noWrap/>
            <w:vAlign w:val="center"/>
          </w:tcPr>
          <w:p w14:paraId="12390084">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300≤X＜1000</w:t>
            </w:r>
          </w:p>
        </w:tc>
        <w:tc>
          <w:tcPr>
            <w:tcW w:w="1587" w:type="dxa"/>
            <w:noWrap/>
            <w:vAlign w:val="center"/>
          </w:tcPr>
          <w:p w14:paraId="34736EC2">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20≤X＜300</w:t>
            </w:r>
          </w:p>
        </w:tc>
        <w:tc>
          <w:tcPr>
            <w:tcW w:w="1121" w:type="dxa"/>
            <w:noWrap/>
            <w:vAlign w:val="center"/>
          </w:tcPr>
          <w:p w14:paraId="24097277">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X＜20</w:t>
            </w:r>
          </w:p>
        </w:tc>
      </w:tr>
      <w:tr w14:paraId="11213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2022" w:type="dxa"/>
            <w:vMerge w:val="continue"/>
            <w:noWrap/>
            <w:vAlign w:val="center"/>
          </w:tcPr>
          <w:p w14:paraId="4772289D">
            <w:pPr>
              <w:widowControl/>
              <w:jc w:val="left"/>
              <w:rPr>
                <w:rFonts w:hint="eastAsia" w:ascii="宋体" w:hAnsi="宋体" w:eastAsia="宋体" w:cs="宋体"/>
                <w:color w:val="000000"/>
                <w:kern w:val="0"/>
                <w:sz w:val="15"/>
                <w:szCs w:val="15"/>
              </w:rPr>
            </w:pPr>
          </w:p>
        </w:tc>
        <w:tc>
          <w:tcPr>
            <w:tcW w:w="1368" w:type="dxa"/>
            <w:noWrap/>
            <w:vAlign w:val="center"/>
          </w:tcPr>
          <w:p w14:paraId="515B6893">
            <w:pPr>
              <w:widowControl/>
              <w:spacing w:line="240" w:lineRule="exact"/>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708" w:type="dxa"/>
            <w:noWrap/>
            <w:vAlign w:val="center"/>
          </w:tcPr>
          <w:p w14:paraId="203E79B0">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1124" w:type="dxa"/>
            <w:noWrap/>
            <w:vAlign w:val="center"/>
          </w:tcPr>
          <w:p w14:paraId="53A93BA1">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Y≥30000</w:t>
            </w:r>
          </w:p>
        </w:tc>
        <w:tc>
          <w:tcPr>
            <w:tcW w:w="1827" w:type="dxa"/>
            <w:noWrap/>
            <w:vAlign w:val="center"/>
          </w:tcPr>
          <w:p w14:paraId="5A20EFD2">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3000≤Y＜30000</w:t>
            </w:r>
          </w:p>
        </w:tc>
        <w:tc>
          <w:tcPr>
            <w:tcW w:w="1587" w:type="dxa"/>
            <w:noWrap/>
            <w:vAlign w:val="center"/>
          </w:tcPr>
          <w:p w14:paraId="47392D3C">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200≤Y＜3000</w:t>
            </w:r>
          </w:p>
        </w:tc>
        <w:tc>
          <w:tcPr>
            <w:tcW w:w="1121" w:type="dxa"/>
            <w:noWrap/>
            <w:vAlign w:val="center"/>
          </w:tcPr>
          <w:p w14:paraId="042BD17A">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Y＜200</w:t>
            </w:r>
          </w:p>
        </w:tc>
      </w:tr>
      <w:tr w14:paraId="7D732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2022" w:type="dxa"/>
            <w:vMerge w:val="restart"/>
            <w:noWrap/>
            <w:vAlign w:val="center"/>
          </w:tcPr>
          <w:p w14:paraId="0B2A6555">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仓储业*</w:t>
            </w:r>
          </w:p>
        </w:tc>
        <w:tc>
          <w:tcPr>
            <w:tcW w:w="1368" w:type="dxa"/>
            <w:noWrap/>
            <w:vAlign w:val="center"/>
          </w:tcPr>
          <w:p w14:paraId="11E224FC">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708" w:type="dxa"/>
            <w:noWrap/>
            <w:vAlign w:val="center"/>
          </w:tcPr>
          <w:p w14:paraId="7091B7E9">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1124" w:type="dxa"/>
            <w:noWrap/>
            <w:vAlign w:val="center"/>
          </w:tcPr>
          <w:p w14:paraId="4E84EBF3">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X≥200</w:t>
            </w:r>
          </w:p>
        </w:tc>
        <w:tc>
          <w:tcPr>
            <w:tcW w:w="1827" w:type="dxa"/>
            <w:noWrap/>
            <w:vAlign w:val="center"/>
          </w:tcPr>
          <w:p w14:paraId="57403F67">
            <w:pPr>
              <w:widowControl/>
              <w:ind w:left="-30" w:leftChars="-51" w:hanging="108" w:hangingChars="60"/>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100≤X＜200</w:t>
            </w:r>
          </w:p>
        </w:tc>
        <w:tc>
          <w:tcPr>
            <w:tcW w:w="1587" w:type="dxa"/>
            <w:noWrap/>
            <w:vAlign w:val="center"/>
          </w:tcPr>
          <w:p w14:paraId="27FEA633">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20≤X＜100</w:t>
            </w:r>
          </w:p>
        </w:tc>
        <w:tc>
          <w:tcPr>
            <w:tcW w:w="1121" w:type="dxa"/>
            <w:noWrap/>
            <w:vAlign w:val="center"/>
          </w:tcPr>
          <w:p w14:paraId="6B116D17">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X＜20</w:t>
            </w:r>
          </w:p>
        </w:tc>
      </w:tr>
      <w:tr w14:paraId="59007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2022" w:type="dxa"/>
            <w:vMerge w:val="continue"/>
            <w:noWrap/>
            <w:vAlign w:val="center"/>
          </w:tcPr>
          <w:p w14:paraId="48FEA835">
            <w:pPr>
              <w:widowControl/>
              <w:jc w:val="left"/>
              <w:rPr>
                <w:rFonts w:hint="eastAsia" w:ascii="宋体" w:hAnsi="宋体" w:eastAsia="宋体" w:cs="宋体"/>
                <w:color w:val="000000"/>
                <w:kern w:val="0"/>
                <w:sz w:val="15"/>
                <w:szCs w:val="15"/>
              </w:rPr>
            </w:pPr>
          </w:p>
        </w:tc>
        <w:tc>
          <w:tcPr>
            <w:tcW w:w="1368" w:type="dxa"/>
            <w:noWrap/>
            <w:vAlign w:val="center"/>
          </w:tcPr>
          <w:p w14:paraId="65E797AD">
            <w:pPr>
              <w:widowControl/>
              <w:spacing w:line="240" w:lineRule="exact"/>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708" w:type="dxa"/>
            <w:noWrap/>
            <w:vAlign w:val="center"/>
          </w:tcPr>
          <w:p w14:paraId="1A2888CD">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1124" w:type="dxa"/>
            <w:noWrap/>
            <w:vAlign w:val="center"/>
          </w:tcPr>
          <w:p w14:paraId="3836C37F">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Y≥30000</w:t>
            </w:r>
          </w:p>
        </w:tc>
        <w:tc>
          <w:tcPr>
            <w:tcW w:w="1827" w:type="dxa"/>
            <w:noWrap/>
            <w:vAlign w:val="center"/>
          </w:tcPr>
          <w:p w14:paraId="190FB8C7">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1000≤Y＜30000</w:t>
            </w:r>
          </w:p>
        </w:tc>
        <w:tc>
          <w:tcPr>
            <w:tcW w:w="1587" w:type="dxa"/>
            <w:noWrap/>
            <w:vAlign w:val="center"/>
          </w:tcPr>
          <w:p w14:paraId="33664964">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100≤Y＜1000</w:t>
            </w:r>
          </w:p>
        </w:tc>
        <w:tc>
          <w:tcPr>
            <w:tcW w:w="1121" w:type="dxa"/>
            <w:noWrap/>
            <w:vAlign w:val="center"/>
          </w:tcPr>
          <w:p w14:paraId="4D7F1EE7">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w:t>
            </w:r>
          </w:p>
        </w:tc>
      </w:tr>
      <w:tr w14:paraId="20C89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2022" w:type="dxa"/>
            <w:vMerge w:val="restart"/>
            <w:noWrap/>
            <w:vAlign w:val="center"/>
          </w:tcPr>
          <w:p w14:paraId="1A8DD03B">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邮政业</w:t>
            </w:r>
          </w:p>
        </w:tc>
        <w:tc>
          <w:tcPr>
            <w:tcW w:w="1368" w:type="dxa"/>
            <w:noWrap/>
            <w:vAlign w:val="center"/>
          </w:tcPr>
          <w:p w14:paraId="0B5F2FAF">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708" w:type="dxa"/>
            <w:noWrap/>
            <w:vAlign w:val="center"/>
          </w:tcPr>
          <w:p w14:paraId="4AA9B2D6">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1124" w:type="dxa"/>
            <w:noWrap/>
            <w:vAlign w:val="center"/>
          </w:tcPr>
          <w:p w14:paraId="3CD011F5">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X≥1000</w:t>
            </w:r>
          </w:p>
        </w:tc>
        <w:tc>
          <w:tcPr>
            <w:tcW w:w="1827" w:type="dxa"/>
            <w:noWrap/>
            <w:vAlign w:val="center"/>
          </w:tcPr>
          <w:p w14:paraId="2924DE89">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300≤X＜1000</w:t>
            </w:r>
          </w:p>
        </w:tc>
        <w:tc>
          <w:tcPr>
            <w:tcW w:w="1587" w:type="dxa"/>
            <w:noWrap/>
            <w:vAlign w:val="center"/>
          </w:tcPr>
          <w:p w14:paraId="439CAFFE">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20≤X＜300</w:t>
            </w:r>
          </w:p>
        </w:tc>
        <w:tc>
          <w:tcPr>
            <w:tcW w:w="1121" w:type="dxa"/>
            <w:noWrap/>
            <w:vAlign w:val="center"/>
          </w:tcPr>
          <w:p w14:paraId="30CED3A4">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X＜20</w:t>
            </w:r>
          </w:p>
        </w:tc>
      </w:tr>
      <w:tr w14:paraId="72D1A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2022" w:type="dxa"/>
            <w:vMerge w:val="continue"/>
            <w:noWrap/>
            <w:vAlign w:val="center"/>
          </w:tcPr>
          <w:p w14:paraId="07E78B08">
            <w:pPr>
              <w:widowControl/>
              <w:jc w:val="left"/>
              <w:rPr>
                <w:rFonts w:hint="eastAsia" w:ascii="宋体" w:hAnsi="宋体" w:eastAsia="宋体" w:cs="宋体"/>
                <w:color w:val="000000"/>
                <w:kern w:val="0"/>
                <w:sz w:val="15"/>
                <w:szCs w:val="15"/>
              </w:rPr>
            </w:pPr>
          </w:p>
        </w:tc>
        <w:tc>
          <w:tcPr>
            <w:tcW w:w="1368" w:type="dxa"/>
            <w:noWrap/>
            <w:vAlign w:val="center"/>
          </w:tcPr>
          <w:p w14:paraId="41925CCF">
            <w:pPr>
              <w:widowControl/>
              <w:spacing w:line="240" w:lineRule="exact"/>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708" w:type="dxa"/>
            <w:noWrap/>
            <w:vAlign w:val="center"/>
          </w:tcPr>
          <w:p w14:paraId="12952984">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1124" w:type="dxa"/>
            <w:noWrap/>
            <w:vAlign w:val="center"/>
          </w:tcPr>
          <w:p w14:paraId="6CED122F">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Y≥30000</w:t>
            </w:r>
          </w:p>
        </w:tc>
        <w:tc>
          <w:tcPr>
            <w:tcW w:w="1827" w:type="dxa"/>
            <w:noWrap/>
            <w:vAlign w:val="center"/>
          </w:tcPr>
          <w:p w14:paraId="1B51ACE5">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2000≤Y＜30000</w:t>
            </w:r>
          </w:p>
        </w:tc>
        <w:tc>
          <w:tcPr>
            <w:tcW w:w="1587" w:type="dxa"/>
            <w:noWrap/>
            <w:vAlign w:val="center"/>
          </w:tcPr>
          <w:p w14:paraId="78D9A955">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100≤Y＜2000</w:t>
            </w:r>
          </w:p>
        </w:tc>
        <w:tc>
          <w:tcPr>
            <w:tcW w:w="1121" w:type="dxa"/>
            <w:noWrap/>
            <w:vAlign w:val="center"/>
          </w:tcPr>
          <w:p w14:paraId="63A62EB0">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w:t>
            </w:r>
          </w:p>
        </w:tc>
      </w:tr>
      <w:tr w14:paraId="0993E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2022" w:type="dxa"/>
            <w:vMerge w:val="restart"/>
            <w:noWrap/>
            <w:vAlign w:val="center"/>
          </w:tcPr>
          <w:p w14:paraId="0234FB76">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住宿业</w:t>
            </w:r>
          </w:p>
        </w:tc>
        <w:tc>
          <w:tcPr>
            <w:tcW w:w="1368" w:type="dxa"/>
            <w:noWrap/>
            <w:vAlign w:val="center"/>
          </w:tcPr>
          <w:p w14:paraId="0C2BEACE">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708" w:type="dxa"/>
            <w:noWrap/>
            <w:vAlign w:val="center"/>
          </w:tcPr>
          <w:p w14:paraId="50DDADCE">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1124" w:type="dxa"/>
            <w:noWrap/>
            <w:vAlign w:val="center"/>
          </w:tcPr>
          <w:p w14:paraId="24A98158">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X≥300</w:t>
            </w:r>
          </w:p>
        </w:tc>
        <w:tc>
          <w:tcPr>
            <w:tcW w:w="1827" w:type="dxa"/>
            <w:noWrap/>
            <w:vAlign w:val="center"/>
          </w:tcPr>
          <w:p w14:paraId="6A9FFA1B">
            <w:pPr>
              <w:widowControl/>
              <w:ind w:left="-30" w:leftChars="-51" w:hanging="108" w:hangingChars="60"/>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100≤X＜300 </w:t>
            </w:r>
          </w:p>
        </w:tc>
        <w:tc>
          <w:tcPr>
            <w:tcW w:w="1587" w:type="dxa"/>
            <w:noWrap/>
            <w:vAlign w:val="center"/>
          </w:tcPr>
          <w:p w14:paraId="62D380FA">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10≤X＜100</w:t>
            </w:r>
          </w:p>
        </w:tc>
        <w:tc>
          <w:tcPr>
            <w:tcW w:w="1121" w:type="dxa"/>
            <w:noWrap/>
            <w:vAlign w:val="center"/>
          </w:tcPr>
          <w:p w14:paraId="5510313B">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w:t>
            </w:r>
          </w:p>
        </w:tc>
      </w:tr>
      <w:tr w14:paraId="1D2D1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2022" w:type="dxa"/>
            <w:vMerge w:val="continue"/>
            <w:noWrap/>
            <w:vAlign w:val="center"/>
          </w:tcPr>
          <w:p w14:paraId="1C621A87">
            <w:pPr>
              <w:widowControl/>
              <w:jc w:val="left"/>
              <w:rPr>
                <w:rFonts w:hint="eastAsia" w:ascii="宋体" w:hAnsi="宋体" w:eastAsia="宋体" w:cs="宋体"/>
                <w:color w:val="000000"/>
                <w:kern w:val="0"/>
                <w:sz w:val="15"/>
                <w:szCs w:val="15"/>
              </w:rPr>
            </w:pPr>
          </w:p>
        </w:tc>
        <w:tc>
          <w:tcPr>
            <w:tcW w:w="1368" w:type="dxa"/>
            <w:noWrap/>
            <w:vAlign w:val="center"/>
          </w:tcPr>
          <w:p w14:paraId="28C4DA83">
            <w:pPr>
              <w:widowControl/>
              <w:spacing w:line="240" w:lineRule="exact"/>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708" w:type="dxa"/>
            <w:noWrap/>
            <w:vAlign w:val="center"/>
          </w:tcPr>
          <w:p w14:paraId="14D7BC17">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1124" w:type="dxa"/>
            <w:noWrap/>
            <w:vAlign w:val="center"/>
          </w:tcPr>
          <w:p w14:paraId="25ACFF86">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Y≥10000</w:t>
            </w:r>
          </w:p>
        </w:tc>
        <w:tc>
          <w:tcPr>
            <w:tcW w:w="1827" w:type="dxa"/>
            <w:noWrap/>
            <w:vAlign w:val="center"/>
          </w:tcPr>
          <w:p w14:paraId="34FA0216">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2000≤Y＜10000</w:t>
            </w:r>
          </w:p>
        </w:tc>
        <w:tc>
          <w:tcPr>
            <w:tcW w:w="1587" w:type="dxa"/>
            <w:noWrap/>
            <w:vAlign w:val="center"/>
          </w:tcPr>
          <w:p w14:paraId="0202C02F">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100≤Y＜2000</w:t>
            </w:r>
          </w:p>
        </w:tc>
        <w:tc>
          <w:tcPr>
            <w:tcW w:w="1121" w:type="dxa"/>
            <w:noWrap/>
            <w:vAlign w:val="center"/>
          </w:tcPr>
          <w:p w14:paraId="2F3AD005">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w:t>
            </w:r>
          </w:p>
        </w:tc>
      </w:tr>
      <w:tr w14:paraId="1BB00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2022" w:type="dxa"/>
            <w:vMerge w:val="restart"/>
            <w:noWrap/>
            <w:vAlign w:val="center"/>
          </w:tcPr>
          <w:p w14:paraId="63D32F8C">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餐饮业</w:t>
            </w:r>
          </w:p>
        </w:tc>
        <w:tc>
          <w:tcPr>
            <w:tcW w:w="1368" w:type="dxa"/>
            <w:noWrap/>
            <w:vAlign w:val="center"/>
          </w:tcPr>
          <w:p w14:paraId="5A0CFD24">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708" w:type="dxa"/>
            <w:noWrap/>
            <w:vAlign w:val="center"/>
          </w:tcPr>
          <w:p w14:paraId="29615436">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1124" w:type="dxa"/>
            <w:noWrap/>
            <w:vAlign w:val="center"/>
          </w:tcPr>
          <w:p w14:paraId="77D0560B">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X≥300</w:t>
            </w:r>
          </w:p>
        </w:tc>
        <w:tc>
          <w:tcPr>
            <w:tcW w:w="1827" w:type="dxa"/>
            <w:noWrap/>
            <w:vAlign w:val="center"/>
          </w:tcPr>
          <w:p w14:paraId="21FD686B">
            <w:pPr>
              <w:widowControl/>
              <w:ind w:left="-30" w:leftChars="-51" w:hanging="108" w:hangingChars="60"/>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100≤X＜300 </w:t>
            </w:r>
          </w:p>
        </w:tc>
        <w:tc>
          <w:tcPr>
            <w:tcW w:w="1587" w:type="dxa"/>
            <w:noWrap/>
            <w:vAlign w:val="center"/>
          </w:tcPr>
          <w:p w14:paraId="5D35C1EB">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10≤X＜100</w:t>
            </w:r>
          </w:p>
        </w:tc>
        <w:tc>
          <w:tcPr>
            <w:tcW w:w="1121" w:type="dxa"/>
            <w:noWrap/>
            <w:vAlign w:val="center"/>
          </w:tcPr>
          <w:p w14:paraId="1D274FDE">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w:t>
            </w:r>
          </w:p>
        </w:tc>
      </w:tr>
      <w:tr w14:paraId="463B3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2022" w:type="dxa"/>
            <w:vMerge w:val="continue"/>
            <w:noWrap/>
            <w:vAlign w:val="center"/>
          </w:tcPr>
          <w:p w14:paraId="2C560407">
            <w:pPr>
              <w:widowControl/>
              <w:jc w:val="left"/>
              <w:rPr>
                <w:rFonts w:hint="eastAsia" w:ascii="宋体" w:hAnsi="宋体" w:eastAsia="宋体" w:cs="宋体"/>
                <w:color w:val="000000"/>
                <w:kern w:val="0"/>
                <w:sz w:val="15"/>
                <w:szCs w:val="15"/>
              </w:rPr>
            </w:pPr>
          </w:p>
        </w:tc>
        <w:tc>
          <w:tcPr>
            <w:tcW w:w="1368" w:type="dxa"/>
            <w:noWrap/>
            <w:vAlign w:val="center"/>
          </w:tcPr>
          <w:p w14:paraId="1EDE0E2F">
            <w:pPr>
              <w:widowControl/>
              <w:spacing w:line="240" w:lineRule="exact"/>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708" w:type="dxa"/>
            <w:noWrap/>
            <w:vAlign w:val="center"/>
          </w:tcPr>
          <w:p w14:paraId="0FB4B92F">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1124" w:type="dxa"/>
            <w:noWrap/>
            <w:vAlign w:val="center"/>
          </w:tcPr>
          <w:p w14:paraId="140DAFF5">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Y≥10000</w:t>
            </w:r>
          </w:p>
        </w:tc>
        <w:tc>
          <w:tcPr>
            <w:tcW w:w="1827" w:type="dxa"/>
            <w:noWrap/>
            <w:vAlign w:val="center"/>
          </w:tcPr>
          <w:p w14:paraId="62662BFD">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2000≤Y＜10000</w:t>
            </w:r>
          </w:p>
        </w:tc>
        <w:tc>
          <w:tcPr>
            <w:tcW w:w="1587" w:type="dxa"/>
            <w:noWrap/>
            <w:vAlign w:val="center"/>
          </w:tcPr>
          <w:p w14:paraId="3E4C8A1B">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100≤Y＜2000</w:t>
            </w:r>
          </w:p>
        </w:tc>
        <w:tc>
          <w:tcPr>
            <w:tcW w:w="1121" w:type="dxa"/>
            <w:noWrap/>
            <w:vAlign w:val="center"/>
          </w:tcPr>
          <w:p w14:paraId="419BC1E9">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w:t>
            </w:r>
          </w:p>
        </w:tc>
      </w:tr>
      <w:tr w14:paraId="02704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2022" w:type="dxa"/>
            <w:vMerge w:val="restart"/>
            <w:noWrap/>
            <w:vAlign w:val="center"/>
          </w:tcPr>
          <w:p w14:paraId="7E42D94B">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信息传输业 *</w:t>
            </w:r>
          </w:p>
        </w:tc>
        <w:tc>
          <w:tcPr>
            <w:tcW w:w="1368" w:type="dxa"/>
            <w:noWrap/>
            <w:vAlign w:val="center"/>
          </w:tcPr>
          <w:p w14:paraId="4230FF4D">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708" w:type="dxa"/>
            <w:noWrap/>
            <w:vAlign w:val="center"/>
          </w:tcPr>
          <w:p w14:paraId="14BD39DD">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1124" w:type="dxa"/>
            <w:noWrap/>
            <w:vAlign w:val="center"/>
          </w:tcPr>
          <w:p w14:paraId="579A006E">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X≥2000</w:t>
            </w:r>
          </w:p>
        </w:tc>
        <w:tc>
          <w:tcPr>
            <w:tcW w:w="1827" w:type="dxa"/>
            <w:noWrap/>
            <w:vAlign w:val="center"/>
          </w:tcPr>
          <w:p w14:paraId="118F4EBF">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100≤X＜2000</w:t>
            </w:r>
          </w:p>
        </w:tc>
        <w:tc>
          <w:tcPr>
            <w:tcW w:w="1587" w:type="dxa"/>
            <w:noWrap/>
            <w:vAlign w:val="center"/>
          </w:tcPr>
          <w:p w14:paraId="67267312">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10≤X＜100</w:t>
            </w:r>
          </w:p>
        </w:tc>
        <w:tc>
          <w:tcPr>
            <w:tcW w:w="1121" w:type="dxa"/>
            <w:noWrap/>
            <w:vAlign w:val="center"/>
          </w:tcPr>
          <w:p w14:paraId="4FC5E61E">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w:t>
            </w:r>
          </w:p>
        </w:tc>
      </w:tr>
      <w:tr w14:paraId="6048D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2022" w:type="dxa"/>
            <w:vMerge w:val="continue"/>
            <w:noWrap/>
            <w:vAlign w:val="center"/>
          </w:tcPr>
          <w:p w14:paraId="56923EF7">
            <w:pPr>
              <w:widowControl/>
              <w:jc w:val="left"/>
              <w:rPr>
                <w:rFonts w:hint="eastAsia" w:ascii="宋体" w:hAnsi="宋体" w:eastAsia="宋体" w:cs="宋体"/>
                <w:color w:val="000000"/>
                <w:kern w:val="0"/>
                <w:sz w:val="15"/>
                <w:szCs w:val="15"/>
              </w:rPr>
            </w:pPr>
          </w:p>
        </w:tc>
        <w:tc>
          <w:tcPr>
            <w:tcW w:w="1368" w:type="dxa"/>
            <w:noWrap/>
            <w:vAlign w:val="center"/>
          </w:tcPr>
          <w:p w14:paraId="2EB94AAD">
            <w:pPr>
              <w:widowControl/>
              <w:spacing w:line="240" w:lineRule="exact"/>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708" w:type="dxa"/>
            <w:noWrap/>
            <w:vAlign w:val="center"/>
          </w:tcPr>
          <w:p w14:paraId="30141969">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1124" w:type="dxa"/>
            <w:noWrap/>
            <w:vAlign w:val="center"/>
          </w:tcPr>
          <w:p w14:paraId="0AA3F989">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Y≥100000</w:t>
            </w:r>
          </w:p>
        </w:tc>
        <w:tc>
          <w:tcPr>
            <w:tcW w:w="1827" w:type="dxa"/>
            <w:noWrap/>
            <w:vAlign w:val="center"/>
          </w:tcPr>
          <w:p w14:paraId="2FAD61B1">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1000≤Y＜100000</w:t>
            </w:r>
          </w:p>
        </w:tc>
        <w:tc>
          <w:tcPr>
            <w:tcW w:w="1587" w:type="dxa"/>
            <w:noWrap/>
            <w:vAlign w:val="center"/>
          </w:tcPr>
          <w:p w14:paraId="67E8B090">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100≤Y＜1000</w:t>
            </w:r>
          </w:p>
        </w:tc>
        <w:tc>
          <w:tcPr>
            <w:tcW w:w="1121" w:type="dxa"/>
            <w:noWrap/>
            <w:vAlign w:val="center"/>
          </w:tcPr>
          <w:p w14:paraId="07DE556D">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w:t>
            </w:r>
          </w:p>
        </w:tc>
      </w:tr>
      <w:tr w14:paraId="00E98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exact"/>
          <w:jc w:val="center"/>
        </w:trPr>
        <w:tc>
          <w:tcPr>
            <w:tcW w:w="2022" w:type="dxa"/>
            <w:vMerge w:val="restart"/>
            <w:noWrap/>
            <w:vAlign w:val="center"/>
          </w:tcPr>
          <w:p w14:paraId="255B3DC7">
            <w:pPr>
              <w:widowControl/>
              <w:spacing w:line="240" w:lineRule="exact"/>
              <w:jc w:val="left"/>
              <w:rPr>
                <w:rFonts w:hint="eastAsia" w:ascii="宋体" w:hAnsi="宋体" w:eastAsia="宋体" w:cs="宋体"/>
                <w:color w:val="000000"/>
                <w:spacing w:val="-12"/>
                <w:kern w:val="0"/>
                <w:sz w:val="15"/>
                <w:szCs w:val="15"/>
              </w:rPr>
            </w:pPr>
            <w:r>
              <w:rPr>
                <w:rFonts w:hint="eastAsia" w:ascii="宋体" w:hAnsi="宋体" w:eastAsia="宋体" w:cs="宋体"/>
                <w:color w:val="000000"/>
                <w:spacing w:val="-12"/>
                <w:kern w:val="0"/>
                <w:sz w:val="15"/>
                <w:szCs w:val="15"/>
              </w:rPr>
              <w:t>软件和信息技术服</w:t>
            </w:r>
            <w:r>
              <w:rPr>
                <w:rFonts w:hint="eastAsia" w:ascii="宋体" w:hAnsi="宋体" w:eastAsia="宋体" w:cs="宋体"/>
                <w:color w:val="000000"/>
                <w:kern w:val="0"/>
                <w:sz w:val="15"/>
                <w:szCs w:val="15"/>
              </w:rPr>
              <w:t>务业</w:t>
            </w:r>
          </w:p>
        </w:tc>
        <w:tc>
          <w:tcPr>
            <w:tcW w:w="1368" w:type="dxa"/>
            <w:noWrap/>
            <w:vAlign w:val="center"/>
          </w:tcPr>
          <w:p w14:paraId="765385C5">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708" w:type="dxa"/>
            <w:noWrap/>
            <w:vAlign w:val="center"/>
          </w:tcPr>
          <w:p w14:paraId="5720AB24">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1124" w:type="dxa"/>
            <w:noWrap/>
            <w:vAlign w:val="center"/>
          </w:tcPr>
          <w:p w14:paraId="2C7F4EB0">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X≥300</w:t>
            </w:r>
          </w:p>
        </w:tc>
        <w:tc>
          <w:tcPr>
            <w:tcW w:w="1827" w:type="dxa"/>
            <w:noWrap/>
            <w:vAlign w:val="center"/>
          </w:tcPr>
          <w:p w14:paraId="13371302">
            <w:pPr>
              <w:widowControl/>
              <w:ind w:left="-30" w:leftChars="-51" w:hanging="108" w:hangingChars="60"/>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100≤X＜300 </w:t>
            </w:r>
          </w:p>
        </w:tc>
        <w:tc>
          <w:tcPr>
            <w:tcW w:w="1587" w:type="dxa"/>
            <w:noWrap/>
            <w:vAlign w:val="center"/>
          </w:tcPr>
          <w:p w14:paraId="32297F6B">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10≤X＜100</w:t>
            </w:r>
          </w:p>
        </w:tc>
        <w:tc>
          <w:tcPr>
            <w:tcW w:w="1121" w:type="dxa"/>
            <w:noWrap/>
            <w:vAlign w:val="center"/>
          </w:tcPr>
          <w:p w14:paraId="12A1B1F3">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w:t>
            </w:r>
          </w:p>
        </w:tc>
      </w:tr>
      <w:tr w14:paraId="48569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exact"/>
          <w:jc w:val="center"/>
        </w:trPr>
        <w:tc>
          <w:tcPr>
            <w:tcW w:w="2022" w:type="dxa"/>
            <w:vMerge w:val="continue"/>
            <w:noWrap/>
            <w:vAlign w:val="center"/>
          </w:tcPr>
          <w:p w14:paraId="37A9DA6C">
            <w:pPr>
              <w:widowControl/>
              <w:jc w:val="left"/>
              <w:rPr>
                <w:rFonts w:hint="eastAsia" w:ascii="宋体" w:hAnsi="宋体" w:eastAsia="宋体" w:cs="宋体"/>
                <w:color w:val="000000"/>
                <w:spacing w:val="-12"/>
                <w:kern w:val="0"/>
                <w:sz w:val="15"/>
                <w:szCs w:val="15"/>
              </w:rPr>
            </w:pPr>
          </w:p>
        </w:tc>
        <w:tc>
          <w:tcPr>
            <w:tcW w:w="1368" w:type="dxa"/>
            <w:noWrap/>
            <w:vAlign w:val="center"/>
          </w:tcPr>
          <w:p w14:paraId="7629923A">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708" w:type="dxa"/>
            <w:noWrap/>
            <w:vAlign w:val="center"/>
          </w:tcPr>
          <w:p w14:paraId="23801E83">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1124" w:type="dxa"/>
            <w:noWrap/>
            <w:vAlign w:val="center"/>
          </w:tcPr>
          <w:p w14:paraId="5EA7A100">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Y≥10000</w:t>
            </w:r>
          </w:p>
        </w:tc>
        <w:tc>
          <w:tcPr>
            <w:tcW w:w="1827" w:type="dxa"/>
            <w:noWrap/>
            <w:vAlign w:val="center"/>
          </w:tcPr>
          <w:p w14:paraId="65D4DF49">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1000≤Y＜10000</w:t>
            </w:r>
          </w:p>
        </w:tc>
        <w:tc>
          <w:tcPr>
            <w:tcW w:w="1587" w:type="dxa"/>
            <w:noWrap/>
            <w:vAlign w:val="center"/>
          </w:tcPr>
          <w:p w14:paraId="1D72D1ED">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50≤Y＜1000</w:t>
            </w:r>
          </w:p>
        </w:tc>
        <w:tc>
          <w:tcPr>
            <w:tcW w:w="1121" w:type="dxa"/>
            <w:noWrap/>
            <w:vAlign w:val="center"/>
          </w:tcPr>
          <w:p w14:paraId="5ABC330B">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Y＜50</w:t>
            </w:r>
          </w:p>
        </w:tc>
      </w:tr>
      <w:tr w14:paraId="2904C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exact"/>
          <w:jc w:val="center"/>
        </w:trPr>
        <w:tc>
          <w:tcPr>
            <w:tcW w:w="2022" w:type="dxa"/>
            <w:vMerge w:val="restart"/>
            <w:noWrap/>
            <w:vAlign w:val="center"/>
          </w:tcPr>
          <w:p w14:paraId="4B16D213">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房地产开发经营</w:t>
            </w:r>
          </w:p>
        </w:tc>
        <w:tc>
          <w:tcPr>
            <w:tcW w:w="1368" w:type="dxa"/>
            <w:noWrap/>
            <w:vAlign w:val="center"/>
          </w:tcPr>
          <w:p w14:paraId="3303783B">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708" w:type="dxa"/>
            <w:noWrap/>
            <w:vAlign w:val="center"/>
          </w:tcPr>
          <w:p w14:paraId="64A73852">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1124" w:type="dxa"/>
            <w:noWrap/>
            <w:vAlign w:val="center"/>
          </w:tcPr>
          <w:p w14:paraId="2FCDD4A0">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Y≥200000</w:t>
            </w:r>
          </w:p>
        </w:tc>
        <w:tc>
          <w:tcPr>
            <w:tcW w:w="1827" w:type="dxa"/>
            <w:noWrap/>
            <w:vAlign w:val="center"/>
          </w:tcPr>
          <w:p w14:paraId="2C3FDF37">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1000≤Y＜200000</w:t>
            </w:r>
          </w:p>
        </w:tc>
        <w:tc>
          <w:tcPr>
            <w:tcW w:w="1587" w:type="dxa"/>
            <w:noWrap/>
            <w:vAlign w:val="center"/>
          </w:tcPr>
          <w:p w14:paraId="748D0EE6">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100≤Y＜1000</w:t>
            </w:r>
          </w:p>
        </w:tc>
        <w:tc>
          <w:tcPr>
            <w:tcW w:w="1121" w:type="dxa"/>
            <w:noWrap/>
            <w:vAlign w:val="center"/>
          </w:tcPr>
          <w:p w14:paraId="1840C4C6">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Y＜100</w:t>
            </w:r>
          </w:p>
        </w:tc>
      </w:tr>
      <w:tr w14:paraId="62EBD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exact"/>
          <w:jc w:val="center"/>
        </w:trPr>
        <w:tc>
          <w:tcPr>
            <w:tcW w:w="2022" w:type="dxa"/>
            <w:vMerge w:val="continue"/>
            <w:noWrap/>
            <w:vAlign w:val="center"/>
          </w:tcPr>
          <w:p w14:paraId="54E2DD88">
            <w:pPr>
              <w:widowControl/>
              <w:jc w:val="left"/>
              <w:rPr>
                <w:rFonts w:hint="eastAsia" w:ascii="宋体" w:hAnsi="宋体" w:eastAsia="宋体" w:cs="宋体"/>
                <w:color w:val="000000"/>
                <w:kern w:val="0"/>
                <w:sz w:val="15"/>
                <w:szCs w:val="15"/>
              </w:rPr>
            </w:pPr>
          </w:p>
        </w:tc>
        <w:tc>
          <w:tcPr>
            <w:tcW w:w="1368" w:type="dxa"/>
            <w:noWrap/>
            <w:vAlign w:val="center"/>
          </w:tcPr>
          <w:p w14:paraId="41CE69AC">
            <w:pPr>
              <w:widowControl/>
              <w:spacing w:line="240" w:lineRule="exact"/>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资产总额(Z)</w:t>
            </w:r>
          </w:p>
        </w:tc>
        <w:tc>
          <w:tcPr>
            <w:tcW w:w="708" w:type="dxa"/>
            <w:noWrap/>
            <w:vAlign w:val="center"/>
          </w:tcPr>
          <w:p w14:paraId="4E34FE5C">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1124" w:type="dxa"/>
            <w:noWrap/>
            <w:vAlign w:val="center"/>
          </w:tcPr>
          <w:p w14:paraId="00590779">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Z≥10000</w:t>
            </w:r>
          </w:p>
        </w:tc>
        <w:tc>
          <w:tcPr>
            <w:tcW w:w="1827" w:type="dxa"/>
            <w:noWrap/>
            <w:vAlign w:val="center"/>
          </w:tcPr>
          <w:p w14:paraId="156E21DB">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5000≤Z＜10000</w:t>
            </w:r>
          </w:p>
        </w:tc>
        <w:tc>
          <w:tcPr>
            <w:tcW w:w="1587" w:type="dxa"/>
            <w:noWrap/>
            <w:vAlign w:val="center"/>
          </w:tcPr>
          <w:p w14:paraId="748FAF95">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2000≤Z＜5000   </w:t>
            </w:r>
          </w:p>
        </w:tc>
        <w:tc>
          <w:tcPr>
            <w:tcW w:w="1121" w:type="dxa"/>
            <w:noWrap/>
            <w:vAlign w:val="center"/>
          </w:tcPr>
          <w:p w14:paraId="4BA02C56">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Z＜2000</w:t>
            </w:r>
          </w:p>
        </w:tc>
      </w:tr>
      <w:tr w14:paraId="528A9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exact"/>
          <w:jc w:val="center"/>
        </w:trPr>
        <w:tc>
          <w:tcPr>
            <w:tcW w:w="2022" w:type="dxa"/>
            <w:vMerge w:val="restart"/>
            <w:noWrap/>
            <w:vAlign w:val="center"/>
          </w:tcPr>
          <w:p w14:paraId="20D1FEF9">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物业管理</w:t>
            </w:r>
          </w:p>
        </w:tc>
        <w:tc>
          <w:tcPr>
            <w:tcW w:w="1368" w:type="dxa"/>
            <w:noWrap/>
            <w:vAlign w:val="center"/>
          </w:tcPr>
          <w:p w14:paraId="0EFA949F">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708" w:type="dxa"/>
            <w:noWrap/>
            <w:vAlign w:val="center"/>
          </w:tcPr>
          <w:p w14:paraId="77213868">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1124" w:type="dxa"/>
            <w:noWrap/>
            <w:vAlign w:val="center"/>
          </w:tcPr>
          <w:p w14:paraId="7B69D9D1">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X≥1000</w:t>
            </w:r>
          </w:p>
        </w:tc>
        <w:tc>
          <w:tcPr>
            <w:tcW w:w="1827" w:type="dxa"/>
            <w:noWrap/>
            <w:vAlign w:val="center"/>
          </w:tcPr>
          <w:p w14:paraId="6A60AF1C">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300≤X＜1000</w:t>
            </w:r>
          </w:p>
        </w:tc>
        <w:tc>
          <w:tcPr>
            <w:tcW w:w="1587" w:type="dxa"/>
            <w:noWrap/>
            <w:vAlign w:val="center"/>
          </w:tcPr>
          <w:p w14:paraId="6BD05F6B">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100≤X＜300 </w:t>
            </w:r>
          </w:p>
        </w:tc>
        <w:tc>
          <w:tcPr>
            <w:tcW w:w="1121" w:type="dxa"/>
            <w:noWrap/>
            <w:vAlign w:val="center"/>
          </w:tcPr>
          <w:p w14:paraId="04219714">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X＜100</w:t>
            </w:r>
          </w:p>
        </w:tc>
      </w:tr>
      <w:tr w14:paraId="17030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exact"/>
          <w:jc w:val="center"/>
        </w:trPr>
        <w:tc>
          <w:tcPr>
            <w:tcW w:w="2022" w:type="dxa"/>
            <w:vMerge w:val="continue"/>
            <w:noWrap/>
            <w:vAlign w:val="center"/>
          </w:tcPr>
          <w:p w14:paraId="11EC6BEE">
            <w:pPr>
              <w:widowControl/>
              <w:jc w:val="left"/>
              <w:rPr>
                <w:rFonts w:hint="eastAsia" w:ascii="宋体" w:hAnsi="宋体" w:eastAsia="宋体" w:cs="宋体"/>
                <w:color w:val="000000"/>
                <w:kern w:val="0"/>
                <w:sz w:val="15"/>
                <w:szCs w:val="15"/>
              </w:rPr>
            </w:pPr>
          </w:p>
        </w:tc>
        <w:tc>
          <w:tcPr>
            <w:tcW w:w="1368" w:type="dxa"/>
            <w:noWrap/>
            <w:vAlign w:val="center"/>
          </w:tcPr>
          <w:p w14:paraId="50FFFF69">
            <w:pPr>
              <w:widowControl/>
              <w:spacing w:line="240" w:lineRule="exact"/>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营业收入(Y)</w:t>
            </w:r>
          </w:p>
        </w:tc>
        <w:tc>
          <w:tcPr>
            <w:tcW w:w="708" w:type="dxa"/>
            <w:noWrap/>
            <w:vAlign w:val="center"/>
          </w:tcPr>
          <w:p w14:paraId="084D46AA">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1124" w:type="dxa"/>
            <w:noWrap/>
            <w:vAlign w:val="center"/>
          </w:tcPr>
          <w:p w14:paraId="0B755708">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Y≥5000</w:t>
            </w:r>
          </w:p>
        </w:tc>
        <w:tc>
          <w:tcPr>
            <w:tcW w:w="1827" w:type="dxa"/>
            <w:noWrap/>
            <w:vAlign w:val="center"/>
          </w:tcPr>
          <w:p w14:paraId="77200D6E">
            <w:pPr>
              <w:widowControl/>
              <w:ind w:left="-30" w:leftChars="-51" w:hanging="108" w:hangingChars="60"/>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1000≤Y＜5000 </w:t>
            </w:r>
          </w:p>
        </w:tc>
        <w:tc>
          <w:tcPr>
            <w:tcW w:w="1587" w:type="dxa"/>
            <w:noWrap/>
            <w:vAlign w:val="center"/>
          </w:tcPr>
          <w:p w14:paraId="5D0F9FF6">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500≤Y＜1000</w:t>
            </w:r>
          </w:p>
        </w:tc>
        <w:tc>
          <w:tcPr>
            <w:tcW w:w="1121" w:type="dxa"/>
            <w:noWrap/>
            <w:vAlign w:val="center"/>
          </w:tcPr>
          <w:p w14:paraId="60E9AB31">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Y＜500</w:t>
            </w:r>
          </w:p>
        </w:tc>
      </w:tr>
      <w:tr w14:paraId="6779D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exact"/>
          <w:jc w:val="center"/>
        </w:trPr>
        <w:tc>
          <w:tcPr>
            <w:tcW w:w="2022" w:type="dxa"/>
            <w:vMerge w:val="restart"/>
            <w:noWrap/>
            <w:vAlign w:val="center"/>
          </w:tcPr>
          <w:p w14:paraId="5B26F274">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租赁和商务服务业</w:t>
            </w:r>
          </w:p>
        </w:tc>
        <w:tc>
          <w:tcPr>
            <w:tcW w:w="1368" w:type="dxa"/>
            <w:noWrap/>
            <w:vAlign w:val="center"/>
          </w:tcPr>
          <w:p w14:paraId="437E908D">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708" w:type="dxa"/>
            <w:noWrap/>
            <w:vAlign w:val="center"/>
          </w:tcPr>
          <w:p w14:paraId="7DD6222A">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1124" w:type="dxa"/>
            <w:noWrap/>
            <w:vAlign w:val="center"/>
          </w:tcPr>
          <w:p w14:paraId="02ADD6E2">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X≥300</w:t>
            </w:r>
          </w:p>
        </w:tc>
        <w:tc>
          <w:tcPr>
            <w:tcW w:w="1827" w:type="dxa"/>
            <w:noWrap/>
            <w:vAlign w:val="center"/>
          </w:tcPr>
          <w:p w14:paraId="4E67CDDF">
            <w:pPr>
              <w:widowControl/>
              <w:ind w:left="-30" w:leftChars="-51" w:hanging="108" w:hangingChars="60"/>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100≤X＜300 </w:t>
            </w:r>
          </w:p>
        </w:tc>
        <w:tc>
          <w:tcPr>
            <w:tcW w:w="1587" w:type="dxa"/>
            <w:noWrap/>
            <w:vAlign w:val="center"/>
          </w:tcPr>
          <w:p w14:paraId="4CC29086">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10≤X＜100</w:t>
            </w:r>
          </w:p>
        </w:tc>
        <w:tc>
          <w:tcPr>
            <w:tcW w:w="1121" w:type="dxa"/>
            <w:noWrap/>
            <w:vAlign w:val="center"/>
          </w:tcPr>
          <w:p w14:paraId="60BB276C">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w:t>
            </w:r>
          </w:p>
        </w:tc>
      </w:tr>
      <w:tr w14:paraId="0423F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exact"/>
          <w:jc w:val="center"/>
        </w:trPr>
        <w:tc>
          <w:tcPr>
            <w:tcW w:w="2022" w:type="dxa"/>
            <w:vMerge w:val="continue"/>
            <w:noWrap/>
            <w:vAlign w:val="center"/>
          </w:tcPr>
          <w:p w14:paraId="3F89F6F9">
            <w:pPr>
              <w:widowControl/>
              <w:jc w:val="left"/>
              <w:rPr>
                <w:rFonts w:hint="eastAsia" w:ascii="宋体" w:hAnsi="宋体" w:eastAsia="宋体" w:cs="宋体"/>
                <w:color w:val="000000"/>
                <w:kern w:val="0"/>
                <w:sz w:val="15"/>
                <w:szCs w:val="15"/>
              </w:rPr>
            </w:pPr>
          </w:p>
        </w:tc>
        <w:tc>
          <w:tcPr>
            <w:tcW w:w="1368" w:type="dxa"/>
            <w:noWrap/>
            <w:vAlign w:val="center"/>
          </w:tcPr>
          <w:p w14:paraId="6F7FE896">
            <w:pPr>
              <w:widowControl/>
              <w:spacing w:line="240" w:lineRule="exact"/>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资产总额(Z)</w:t>
            </w:r>
          </w:p>
        </w:tc>
        <w:tc>
          <w:tcPr>
            <w:tcW w:w="708" w:type="dxa"/>
            <w:noWrap/>
            <w:vAlign w:val="center"/>
          </w:tcPr>
          <w:p w14:paraId="3E07A28B">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万元</w:t>
            </w:r>
          </w:p>
        </w:tc>
        <w:tc>
          <w:tcPr>
            <w:tcW w:w="1124" w:type="dxa"/>
            <w:noWrap/>
            <w:vAlign w:val="center"/>
          </w:tcPr>
          <w:p w14:paraId="0C8FA27C">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Z≥120000</w:t>
            </w:r>
          </w:p>
        </w:tc>
        <w:tc>
          <w:tcPr>
            <w:tcW w:w="1827" w:type="dxa"/>
            <w:noWrap/>
            <w:vAlign w:val="center"/>
          </w:tcPr>
          <w:p w14:paraId="73E8AC0B">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8000≤Z＜120000</w:t>
            </w:r>
          </w:p>
        </w:tc>
        <w:tc>
          <w:tcPr>
            <w:tcW w:w="1587" w:type="dxa"/>
            <w:noWrap/>
            <w:vAlign w:val="center"/>
          </w:tcPr>
          <w:p w14:paraId="65CA76E7">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100≤Z＜8000</w:t>
            </w:r>
          </w:p>
        </w:tc>
        <w:tc>
          <w:tcPr>
            <w:tcW w:w="1121" w:type="dxa"/>
            <w:noWrap/>
            <w:vAlign w:val="center"/>
          </w:tcPr>
          <w:p w14:paraId="4E0C7B24">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Z＜100</w:t>
            </w:r>
          </w:p>
        </w:tc>
      </w:tr>
      <w:tr w14:paraId="636C5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2022" w:type="dxa"/>
            <w:noWrap/>
            <w:vAlign w:val="center"/>
          </w:tcPr>
          <w:p w14:paraId="4927D5E2">
            <w:pPr>
              <w:widowControl/>
              <w:spacing w:line="24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其他未列明行业 *</w:t>
            </w:r>
          </w:p>
        </w:tc>
        <w:tc>
          <w:tcPr>
            <w:tcW w:w="1368" w:type="dxa"/>
            <w:noWrap/>
            <w:vAlign w:val="center"/>
          </w:tcPr>
          <w:p w14:paraId="48C51A86">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从业人员(X)</w:t>
            </w:r>
          </w:p>
        </w:tc>
        <w:tc>
          <w:tcPr>
            <w:tcW w:w="708" w:type="dxa"/>
            <w:noWrap/>
            <w:vAlign w:val="center"/>
          </w:tcPr>
          <w:p w14:paraId="207DC4B9">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人</w:t>
            </w:r>
          </w:p>
        </w:tc>
        <w:tc>
          <w:tcPr>
            <w:tcW w:w="1124" w:type="dxa"/>
            <w:noWrap/>
            <w:vAlign w:val="center"/>
          </w:tcPr>
          <w:p w14:paraId="49EE6311">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X≥300</w:t>
            </w:r>
          </w:p>
        </w:tc>
        <w:tc>
          <w:tcPr>
            <w:tcW w:w="1827" w:type="dxa"/>
            <w:noWrap/>
            <w:vAlign w:val="center"/>
          </w:tcPr>
          <w:p w14:paraId="0F98DEFB">
            <w:pPr>
              <w:widowControl/>
              <w:ind w:left="-30" w:leftChars="-51" w:hanging="108" w:hangingChars="60"/>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100≤X＜300 </w:t>
            </w:r>
          </w:p>
        </w:tc>
        <w:tc>
          <w:tcPr>
            <w:tcW w:w="1587" w:type="dxa"/>
            <w:noWrap/>
            <w:vAlign w:val="center"/>
          </w:tcPr>
          <w:p w14:paraId="3FBA2888">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 10≤X＜100</w:t>
            </w:r>
          </w:p>
        </w:tc>
        <w:tc>
          <w:tcPr>
            <w:tcW w:w="1121" w:type="dxa"/>
            <w:noWrap/>
            <w:vAlign w:val="center"/>
          </w:tcPr>
          <w:p w14:paraId="607B08B3">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X＜10</w:t>
            </w:r>
          </w:p>
        </w:tc>
      </w:tr>
    </w:tbl>
    <w:p w14:paraId="467FA28B">
      <w:pPr>
        <w:rPr>
          <w:rFonts w:hint="eastAsia" w:ascii="宋体" w:hAnsi="宋体" w:eastAsia="宋体" w:cs="宋体"/>
          <w:color w:val="000000"/>
        </w:rPr>
      </w:pPr>
    </w:p>
    <w:p w14:paraId="521D483A">
      <w:pPr>
        <w:pStyle w:val="89"/>
        <w:jc w:val="left"/>
        <w:outlineLvl w:val="2"/>
        <w:rPr>
          <w:rFonts w:hint="eastAsia" w:ascii="宋体" w:hAnsi="宋体" w:eastAsia="宋体" w:cs="宋体"/>
          <w:color w:val="000000"/>
        </w:rPr>
      </w:pPr>
    </w:p>
    <w:p w14:paraId="76164ADB">
      <w:pPr>
        <w:pStyle w:val="89"/>
        <w:jc w:val="left"/>
        <w:outlineLvl w:val="2"/>
        <w:rPr>
          <w:rFonts w:hint="eastAsia" w:ascii="宋体" w:hAnsi="宋体" w:eastAsia="宋体" w:cs="宋体"/>
          <w:color w:val="000000"/>
        </w:rPr>
      </w:pPr>
    </w:p>
    <w:p w14:paraId="482B5A9C">
      <w:pPr>
        <w:pStyle w:val="89"/>
        <w:jc w:val="left"/>
        <w:outlineLvl w:val="2"/>
        <w:rPr>
          <w:rFonts w:hint="eastAsia" w:ascii="宋体" w:hAnsi="宋体" w:eastAsia="宋体" w:cs="宋体"/>
          <w:color w:val="000000"/>
        </w:rPr>
      </w:pPr>
    </w:p>
    <w:p w14:paraId="479F46EA">
      <w:pPr>
        <w:pStyle w:val="102"/>
        <w:jc w:val="both"/>
        <w:outlineLvl w:val="2"/>
        <w:rPr>
          <w:rFonts w:hint="eastAsia" w:ascii="宋体" w:hAnsi="宋体" w:eastAsia="宋体" w:cs="宋体"/>
          <w:color w:val="000000"/>
          <w:sz w:val="24"/>
        </w:rPr>
      </w:pPr>
    </w:p>
    <w:p w14:paraId="100DB4B1">
      <w:pPr>
        <w:pStyle w:val="102"/>
        <w:jc w:val="both"/>
        <w:outlineLvl w:val="2"/>
        <w:rPr>
          <w:rFonts w:hint="eastAsia" w:ascii="宋体" w:hAnsi="宋体" w:eastAsia="宋体" w:cs="宋体"/>
          <w:color w:val="000000"/>
          <w:sz w:val="24"/>
        </w:rPr>
      </w:pPr>
    </w:p>
    <w:p w14:paraId="234D7E00">
      <w:pPr>
        <w:rPr>
          <w:rFonts w:hint="eastAsia" w:ascii="宋体" w:hAnsi="宋体" w:eastAsia="宋体" w:cs="宋体"/>
          <w:i w:val="0"/>
          <w:iCs w:val="0"/>
          <w:color w:val="auto"/>
          <w:lang w:val="en-US" w:eastAsia="zh-CN"/>
        </w:rPr>
      </w:pPr>
    </w:p>
    <w:p w14:paraId="3F3BB6E7">
      <w:pPr>
        <w:tabs>
          <w:tab w:val="left" w:pos="3975"/>
        </w:tabs>
        <w:spacing w:line="440" w:lineRule="exact"/>
        <w:ind w:firstLine="542" w:firstLineChars="200"/>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监狱企业声明函</w:t>
      </w:r>
    </w:p>
    <w:p w14:paraId="212E7412">
      <w:pPr>
        <w:tabs>
          <w:tab w:val="left" w:pos="3975"/>
        </w:tabs>
        <w:spacing w:line="440" w:lineRule="exact"/>
        <w:ind w:firstLine="54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（监狱企业适用）</w:t>
      </w:r>
    </w:p>
    <w:p w14:paraId="78488BE1">
      <w:pPr>
        <w:tabs>
          <w:tab w:val="left" w:pos="3975"/>
        </w:tabs>
        <w:spacing w:line="440" w:lineRule="exact"/>
        <w:ind w:firstLine="54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本公司郑重声明，根据《关于政府采购支持监狱企业发展有关问题的通知》（财库[2014]68号）的规定，本公司为监狱企业。</w:t>
      </w:r>
    </w:p>
    <w:p w14:paraId="181DCD69">
      <w:pPr>
        <w:tabs>
          <w:tab w:val="left" w:pos="3975"/>
        </w:tabs>
        <w:spacing w:line="440" w:lineRule="exact"/>
        <w:ind w:firstLine="54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本公司参加______单位的______项目采购活动，采购活动提供本企业（填写制造的货物，由本企业承担工程、提供服务）。</w:t>
      </w:r>
    </w:p>
    <w:p w14:paraId="792C2704">
      <w:pPr>
        <w:tabs>
          <w:tab w:val="left" w:pos="3975"/>
        </w:tabs>
        <w:spacing w:line="440" w:lineRule="exact"/>
        <w:ind w:firstLine="54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本条所称货物不包括使用大型企业注册商标的货物和服务。</w:t>
      </w:r>
    </w:p>
    <w:p w14:paraId="7E611323">
      <w:pPr>
        <w:tabs>
          <w:tab w:val="left" w:pos="3975"/>
        </w:tabs>
        <w:spacing w:line="440" w:lineRule="exact"/>
        <w:ind w:firstLine="54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本公司对上述声明的真实性负责。如有虚假，将依法承担相应责任。</w:t>
      </w:r>
    </w:p>
    <w:p w14:paraId="24774A8C">
      <w:pPr>
        <w:tabs>
          <w:tab w:val="left" w:pos="3975"/>
        </w:tabs>
        <w:spacing w:line="440" w:lineRule="exact"/>
        <w:ind w:firstLine="540" w:firstLineChars="200"/>
        <w:rPr>
          <w:rFonts w:hint="eastAsia" w:ascii="宋体" w:hAnsi="宋体" w:eastAsia="宋体" w:cs="宋体"/>
          <w:color w:val="auto"/>
          <w:sz w:val="24"/>
          <w:highlight w:val="none"/>
          <w:lang w:eastAsia="zh-CN"/>
        </w:rPr>
      </w:pPr>
    </w:p>
    <w:p w14:paraId="52BF2384">
      <w:pPr>
        <w:kinsoku w:val="0"/>
        <w:autoSpaceDE w:val="0"/>
        <w:autoSpaceDN w:val="0"/>
        <w:adjustRightInd w:val="0"/>
        <w:snapToGrid w:val="0"/>
        <w:spacing w:before="103" w:line="726" w:lineRule="exact"/>
        <w:ind w:right="27"/>
        <w:jc w:val="right"/>
        <w:textAlignment w:val="baseline"/>
        <w:rPr>
          <w:rFonts w:hint="eastAsia" w:ascii="宋体" w:hAnsi="宋体" w:eastAsia="宋体" w:cs="宋体"/>
          <w:snapToGrid w:val="0"/>
          <w:color w:val="auto"/>
          <w:sz w:val="21"/>
          <w:szCs w:val="21"/>
          <w:lang w:val="en-US" w:eastAsia="en-US" w:bidi="ar-SA"/>
        </w:rPr>
      </w:pPr>
      <w:r>
        <w:rPr>
          <w:rFonts w:hint="eastAsia" w:ascii="宋体" w:hAnsi="宋体" w:eastAsia="宋体" w:cs="宋体"/>
          <w:snapToGrid w:val="0"/>
          <w:color w:val="auto"/>
          <w:spacing w:val="-6"/>
          <w:position w:val="38"/>
          <w:sz w:val="21"/>
          <w:szCs w:val="21"/>
          <w:lang w:val="en-US" w:eastAsia="en-US" w:bidi="ar-SA"/>
        </w:rPr>
        <w:t>企业名称（盖章</w:t>
      </w:r>
      <w:r>
        <w:rPr>
          <w:rFonts w:hint="eastAsia" w:ascii="宋体" w:hAnsi="宋体" w:eastAsia="宋体" w:cs="宋体"/>
          <w:snapToGrid w:val="0"/>
          <w:color w:val="auto"/>
          <w:position w:val="38"/>
          <w:sz w:val="21"/>
          <w:szCs w:val="21"/>
          <w:lang w:val="en-US" w:eastAsia="en-US" w:bidi="ar-SA"/>
        </w:rPr>
        <w:t>）：</w:t>
      </w:r>
    </w:p>
    <w:p w14:paraId="2E27CCAE">
      <w:pPr>
        <w:kinsoku w:val="0"/>
        <w:autoSpaceDE w:val="0"/>
        <w:autoSpaceDN w:val="0"/>
        <w:adjustRightInd w:val="0"/>
        <w:snapToGrid w:val="0"/>
        <w:spacing w:before="103" w:line="726" w:lineRule="exact"/>
        <w:ind w:right="27"/>
        <w:jc w:val="right"/>
        <w:textAlignment w:val="baseline"/>
        <w:rPr>
          <w:rFonts w:hint="eastAsia" w:ascii="宋体" w:hAnsi="宋体" w:eastAsia="宋体" w:cs="宋体"/>
          <w:color w:val="auto"/>
          <w:sz w:val="24"/>
          <w:highlight w:val="none"/>
          <w:lang w:eastAsia="zh-CN"/>
        </w:rPr>
      </w:pPr>
      <w:r>
        <w:rPr>
          <w:rFonts w:hint="eastAsia" w:ascii="宋体" w:hAnsi="宋体" w:eastAsia="宋体" w:cs="宋体"/>
          <w:snapToGrid w:val="0"/>
          <w:color w:val="auto"/>
          <w:spacing w:val="-6"/>
          <w:position w:val="38"/>
          <w:sz w:val="21"/>
          <w:szCs w:val="21"/>
          <w:lang w:val="en-US" w:eastAsia="en-US" w:bidi="ar-SA"/>
        </w:rPr>
        <w:t>日期：</w:t>
      </w:r>
    </w:p>
    <w:p w14:paraId="59E6120D">
      <w:pPr>
        <w:tabs>
          <w:tab w:val="left" w:pos="3975"/>
        </w:tabs>
        <w:spacing w:line="440" w:lineRule="exact"/>
        <w:rPr>
          <w:rFonts w:hint="eastAsia" w:ascii="宋体" w:hAnsi="宋体" w:eastAsia="宋体" w:cs="宋体"/>
          <w:color w:val="auto"/>
          <w:sz w:val="24"/>
          <w:highlight w:val="none"/>
          <w:lang w:eastAsia="zh-CN"/>
        </w:rPr>
      </w:pPr>
    </w:p>
    <w:p w14:paraId="61A40DF0">
      <w:pPr>
        <w:tabs>
          <w:tab w:val="left" w:pos="3975"/>
        </w:tabs>
        <w:spacing w:line="440" w:lineRule="exact"/>
        <w:ind w:firstLine="542" w:firstLineChars="200"/>
        <w:jc w:val="both"/>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lang w:eastAsia="zh-CN"/>
        </w:rPr>
        <w:t>残疾人福利性单位声明函</w:t>
      </w:r>
    </w:p>
    <w:p w14:paraId="51825909">
      <w:pPr>
        <w:tabs>
          <w:tab w:val="left" w:pos="3975"/>
        </w:tabs>
        <w:spacing w:line="440" w:lineRule="exact"/>
        <w:ind w:firstLine="54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（残疾人福利性单位</w:t>
      </w:r>
      <w:r>
        <w:rPr>
          <w:rFonts w:hint="eastAsia" w:ascii="宋体" w:hAnsi="宋体" w:eastAsia="宋体" w:cs="宋体"/>
          <w:color w:val="auto"/>
          <w:sz w:val="24"/>
          <w:highlight w:val="none"/>
          <w:lang w:val="en-US" w:eastAsia="zh-CN"/>
        </w:rPr>
        <w:t>适用</w:t>
      </w:r>
      <w:r>
        <w:rPr>
          <w:rFonts w:hint="eastAsia" w:ascii="宋体" w:hAnsi="宋体" w:eastAsia="宋体" w:cs="宋体"/>
          <w:color w:val="auto"/>
          <w:sz w:val="24"/>
          <w:highlight w:val="none"/>
          <w:lang w:eastAsia="zh-CN"/>
        </w:rPr>
        <w:t>）</w:t>
      </w:r>
    </w:p>
    <w:p w14:paraId="2BE17630">
      <w:pPr>
        <w:tabs>
          <w:tab w:val="left" w:pos="3975"/>
        </w:tabs>
        <w:spacing w:line="440" w:lineRule="exact"/>
        <w:ind w:firstLine="54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B6D83EF">
      <w:pPr>
        <w:tabs>
          <w:tab w:val="left" w:pos="3975"/>
        </w:tabs>
        <w:spacing w:line="440" w:lineRule="exact"/>
        <w:ind w:firstLine="54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本单位对上述声明的真实性负责。如有虚假，将依法承担相应责任。                               </w:t>
      </w:r>
    </w:p>
    <w:p w14:paraId="71424885">
      <w:pPr>
        <w:tabs>
          <w:tab w:val="left" w:pos="3975"/>
        </w:tabs>
        <w:spacing w:line="440" w:lineRule="exact"/>
        <w:ind w:firstLine="540" w:firstLineChars="200"/>
        <w:rPr>
          <w:rFonts w:hint="eastAsia" w:ascii="宋体" w:hAnsi="宋体" w:eastAsia="宋体" w:cs="宋体"/>
          <w:color w:val="auto"/>
          <w:sz w:val="24"/>
          <w:highlight w:val="none"/>
          <w:lang w:eastAsia="zh-CN"/>
        </w:rPr>
      </w:pPr>
    </w:p>
    <w:p w14:paraId="3EC380EF">
      <w:pPr>
        <w:kinsoku w:val="0"/>
        <w:autoSpaceDE w:val="0"/>
        <w:autoSpaceDN w:val="0"/>
        <w:adjustRightInd w:val="0"/>
        <w:snapToGrid w:val="0"/>
        <w:spacing w:before="103" w:line="726" w:lineRule="exact"/>
        <w:ind w:right="27"/>
        <w:jc w:val="right"/>
        <w:textAlignment w:val="baseline"/>
        <w:rPr>
          <w:rFonts w:hint="eastAsia" w:ascii="宋体" w:hAnsi="宋体" w:eastAsia="宋体" w:cs="宋体"/>
          <w:snapToGrid w:val="0"/>
          <w:color w:val="auto"/>
          <w:sz w:val="21"/>
          <w:szCs w:val="21"/>
          <w:lang w:val="en-US" w:eastAsia="en-US" w:bidi="ar-SA"/>
        </w:rPr>
      </w:pPr>
      <w:r>
        <w:rPr>
          <w:rFonts w:hint="eastAsia" w:ascii="宋体" w:hAnsi="宋体" w:eastAsia="宋体" w:cs="宋体"/>
          <w:snapToGrid w:val="0"/>
          <w:color w:val="auto"/>
          <w:spacing w:val="-6"/>
          <w:position w:val="38"/>
          <w:sz w:val="21"/>
          <w:szCs w:val="21"/>
          <w:lang w:val="en-US" w:eastAsia="en-US" w:bidi="ar-SA"/>
        </w:rPr>
        <w:t>企业名称（盖章</w:t>
      </w:r>
      <w:r>
        <w:rPr>
          <w:rFonts w:hint="eastAsia" w:ascii="宋体" w:hAnsi="宋体" w:eastAsia="宋体" w:cs="宋体"/>
          <w:snapToGrid w:val="0"/>
          <w:color w:val="auto"/>
          <w:position w:val="38"/>
          <w:sz w:val="21"/>
          <w:szCs w:val="21"/>
          <w:lang w:val="en-US" w:eastAsia="en-US" w:bidi="ar-SA"/>
        </w:rPr>
        <w:t>）：</w:t>
      </w:r>
    </w:p>
    <w:p w14:paraId="0B4E4F49">
      <w:pPr>
        <w:kinsoku w:val="0"/>
        <w:autoSpaceDE w:val="0"/>
        <w:autoSpaceDN w:val="0"/>
        <w:adjustRightInd w:val="0"/>
        <w:snapToGrid w:val="0"/>
        <w:spacing w:before="103" w:line="726" w:lineRule="exact"/>
        <w:ind w:right="27"/>
        <w:jc w:val="right"/>
        <w:textAlignment w:val="baseline"/>
        <w:rPr>
          <w:rFonts w:hint="eastAsia" w:ascii="宋体" w:hAnsi="宋体" w:eastAsia="宋体" w:cs="宋体"/>
          <w:snapToGrid w:val="0"/>
          <w:color w:val="auto"/>
          <w:spacing w:val="-6"/>
          <w:position w:val="38"/>
          <w:sz w:val="21"/>
          <w:szCs w:val="21"/>
          <w:lang w:val="en-US" w:eastAsia="en-US" w:bidi="ar-SA"/>
        </w:rPr>
      </w:pPr>
      <w:r>
        <w:rPr>
          <w:rFonts w:hint="eastAsia" w:ascii="宋体" w:hAnsi="宋体" w:eastAsia="宋体" w:cs="宋体"/>
          <w:snapToGrid w:val="0"/>
          <w:color w:val="auto"/>
          <w:spacing w:val="-6"/>
          <w:position w:val="38"/>
          <w:sz w:val="21"/>
          <w:szCs w:val="21"/>
          <w:lang w:val="en-US" w:eastAsia="en-US" w:bidi="ar-SA"/>
        </w:rPr>
        <w:t>日期：</w:t>
      </w:r>
    </w:p>
    <w:p w14:paraId="24C359AF">
      <w:pPr>
        <w:pStyle w:val="89"/>
        <w:jc w:val="left"/>
        <w:outlineLvl w:val="2"/>
        <w:rPr>
          <w:rFonts w:hint="eastAsia" w:ascii="宋体" w:hAnsi="宋体" w:eastAsia="宋体" w:cs="宋体"/>
          <w:bCs/>
          <w:color w:val="000000"/>
          <w:sz w:val="28"/>
          <w:szCs w:val="28"/>
        </w:rPr>
      </w:pPr>
      <w:r>
        <w:rPr>
          <w:rFonts w:hint="eastAsia" w:ascii="宋体" w:hAnsi="宋体" w:eastAsia="宋体" w:cs="宋体"/>
          <w:i w:val="0"/>
          <w:iCs w:val="0"/>
          <w:color w:val="auto"/>
          <w:lang w:val="en-US" w:eastAsia="zh-CN"/>
        </w:rPr>
        <w:br w:type="page"/>
      </w:r>
      <w:bookmarkStart w:id="182" w:name="_Toc139389580"/>
      <w:r>
        <w:rPr>
          <w:rFonts w:hint="eastAsia" w:ascii="宋体" w:hAnsi="宋体" w:eastAsia="宋体" w:cs="宋体"/>
          <w:b w:val="0"/>
          <w:bCs/>
          <w:color w:val="000000"/>
          <w:lang w:val="en-US" w:eastAsia="zh-CN"/>
        </w:rPr>
        <w:t>附件12、</w:t>
      </w:r>
      <w:r>
        <w:rPr>
          <w:rFonts w:hint="eastAsia" w:ascii="宋体" w:hAnsi="宋体" w:eastAsia="宋体" w:cs="宋体"/>
          <w:b w:val="0"/>
          <w:bCs/>
          <w:color w:val="000000"/>
          <w:sz w:val="28"/>
          <w:szCs w:val="28"/>
        </w:rPr>
        <w:t>供应商声明函</w:t>
      </w:r>
      <w:bookmarkEnd w:id="182"/>
    </w:p>
    <w:p w14:paraId="37C84CA4">
      <w:pPr>
        <w:pStyle w:val="89"/>
        <w:jc w:val="center"/>
        <w:outlineLvl w:val="2"/>
        <w:rPr>
          <w:rFonts w:hint="eastAsia" w:ascii="宋体" w:hAnsi="宋体" w:eastAsia="宋体" w:cs="宋体"/>
          <w:bCs/>
          <w:color w:val="000000"/>
          <w:sz w:val="28"/>
          <w:szCs w:val="28"/>
        </w:rPr>
      </w:pPr>
      <w:r>
        <w:rPr>
          <w:rFonts w:hint="eastAsia" w:ascii="宋体" w:hAnsi="宋体" w:eastAsia="宋体" w:cs="宋体"/>
          <w:bCs/>
          <w:color w:val="000000"/>
          <w:sz w:val="28"/>
          <w:szCs w:val="28"/>
        </w:rPr>
        <w:t>供应商声明函</w:t>
      </w:r>
    </w:p>
    <w:p w14:paraId="27A3A9E1">
      <w:pPr>
        <w:pStyle w:val="16"/>
        <w:spacing w:after="0"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致：</w:t>
      </w:r>
      <w:r>
        <w:rPr>
          <w:rFonts w:hint="eastAsia" w:ascii="宋体" w:hAnsi="宋体" w:eastAsia="宋体" w:cs="宋体"/>
          <w:color w:val="000000"/>
          <w:sz w:val="24"/>
          <w:szCs w:val="24"/>
          <w:u w:val="single"/>
        </w:rPr>
        <w:t xml:space="preserve">  （采购人名称） </w:t>
      </w:r>
    </w:p>
    <w:p w14:paraId="34A0F02A">
      <w:pPr>
        <w:spacing w:line="360" w:lineRule="auto"/>
        <w:ind w:firstLine="54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在参与本次项目投标中，我单位</w:t>
      </w:r>
      <w:r>
        <w:rPr>
          <w:rFonts w:hint="eastAsia" w:ascii="宋体" w:hAnsi="宋体" w:eastAsia="宋体" w:cs="宋体"/>
          <w:b/>
          <w:color w:val="000000"/>
          <w:sz w:val="24"/>
          <w:szCs w:val="24"/>
        </w:rPr>
        <w:t>郑重承诺</w:t>
      </w:r>
      <w:r>
        <w:rPr>
          <w:rFonts w:hint="eastAsia" w:ascii="宋体" w:hAnsi="宋体" w:eastAsia="宋体" w:cs="宋体"/>
          <w:color w:val="000000"/>
          <w:sz w:val="24"/>
          <w:szCs w:val="24"/>
        </w:rPr>
        <w:t>：</w:t>
      </w:r>
    </w:p>
    <w:p w14:paraId="2AADFC9B">
      <w:pPr>
        <w:pStyle w:val="16"/>
        <w:spacing w:after="0" w:line="360" w:lineRule="auto"/>
        <w:ind w:firstLine="54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我单位参与采购活动前三年内在经营活动中没有因违法经营受到刑事处罚或者责令停产停业、吊销许可证或者执照、较大数额罚款等行政处罚（如果因违法经营被禁止在一定期限内参加政府采购活动，期限已经届满）。</w:t>
      </w:r>
    </w:p>
    <w:p w14:paraId="604FF077">
      <w:pPr>
        <w:pStyle w:val="16"/>
        <w:spacing w:after="0" w:line="360" w:lineRule="auto"/>
        <w:ind w:firstLine="54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2、我单位具有履行合同所必需的专业技术能力，并在规定工作时间内有能力调配较强工作力量，按时保质完成相关工作任务。</w:t>
      </w:r>
    </w:p>
    <w:p w14:paraId="652B8623">
      <w:pPr>
        <w:pStyle w:val="16"/>
        <w:spacing w:after="0" w:line="360" w:lineRule="auto"/>
        <w:ind w:firstLine="54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3、我单位不存在单位负责人为同一人同时参加本项目投标的情况。</w:t>
      </w:r>
    </w:p>
    <w:p w14:paraId="04C1F5D7">
      <w:pPr>
        <w:pStyle w:val="16"/>
        <w:spacing w:after="0" w:line="360" w:lineRule="auto"/>
        <w:ind w:firstLine="54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4、我单位不存在直接控股、管理关系的不同供应商同时参与本项目投标的情况。</w:t>
      </w:r>
    </w:p>
    <w:p w14:paraId="1FC8ACF4">
      <w:pPr>
        <w:pStyle w:val="16"/>
        <w:spacing w:after="0" w:line="360" w:lineRule="auto"/>
        <w:ind w:firstLine="54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5、我单位不存在为采购项目提供整体设计、规范编制或者项目管理、监理、检测等服务后，再参加该采购项目的其他采购活动的情形。</w:t>
      </w:r>
    </w:p>
    <w:p w14:paraId="354357E8">
      <w:pPr>
        <w:pStyle w:val="16"/>
        <w:spacing w:after="0" w:line="360" w:lineRule="auto"/>
        <w:ind w:firstLine="54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6、我单位未被列入“全国企业信用信息公示系统”的经营异常名录或者严重违法企业名单。</w:t>
      </w:r>
    </w:p>
    <w:p w14:paraId="20A5A7C9">
      <w:pPr>
        <w:pStyle w:val="16"/>
        <w:spacing w:after="0" w:line="360" w:lineRule="auto"/>
        <w:ind w:firstLine="54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7、我单位在投标过程中，不存在向采购人提供、给予任何有价值的物品，试图影响其正常决策的行为。</w:t>
      </w:r>
    </w:p>
    <w:p w14:paraId="67B07C0F">
      <w:pPr>
        <w:pStyle w:val="16"/>
        <w:spacing w:after="0" w:line="360" w:lineRule="auto"/>
        <w:ind w:firstLine="54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8、我单位严格遵守国家及行业相关用工标准，做到合理合法用工。</w:t>
      </w:r>
    </w:p>
    <w:p w14:paraId="6E433F52">
      <w:pPr>
        <w:pStyle w:val="16"/>
        <w:spacing w:after="0" w:line="360" w:lineRule="auto"/>
        <w:ind w:firstLine="54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9、本项目所有岗位涉及工作人员在提供服务过程中，经采购人评价不具备工作能力的，我单位将无条件调换。</w:t>
      </w:r>
    </w:p>
    <w:p w14:paraId="2E396555">
      <w:pPr>
        <w:pStyle w:val="16"/>
        <w:spacing w:after="0" w:line="360" w:lineRule="auto"/>
        <w:ind w:firstLine="54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若采购人、采购代理机构在本项目采购过程中发现我单位存在违反上述承诺的事项，我单位将自动失去在本项目的成交资格，并承担因此引起的一切后果及虚假投标责任。</w:t>
      </w:r>
    </w:p>
    <w:p w14:paraId="618A1BC5">
      <w:pPr>
        <w:pStyle w:val="16"/>
        <w:spacing w:after="0" w:line="360" w:lineRule="auto"/>
        <w:ind w:firstLine="54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供应商名称（盖章）： </w:t>
      </w:r>
    </w:p>
    <w:p w14:paraId="40B4FC84">
      <w:pPr>
        <w:pStyle w:val="87"/>
        <w:spacing w:line="360" w:lineRule="auto"/>
        <w:ind w:firstLine="480"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法定代表人或其授权委托人：          （签字或盖章）</w:t>
      </w:r>
    </w:p>
    <w:p w14:paraId="7941A245">
      <w:pPr>
        <w:pStyle w:val="16"/>
        <w:spacing w:after="0" w:line="360" w:lineRule="auto"/>
        <w:ind w:firstLine="54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日期：   年   月   日</w:t>
      </w:r>
    </w:p>
    <w:p w14:paraId="1BE9345B">
      <w:pPr>
        <w:pStyle w:val="16"/>
        <w:spacing w:after="0" w:line="360" w:lineRule="auto"/>
        <w:rPr>
          <w:rFonts w:hint="eastAsia" w:ascii="宋体" w:hAnsi="宋体" w:eastAsia="宋体" w:cs="宋体"/>
          <w:color w:val="000000"/>
          <w:sz w:val="22"/>
          <w:szCs w:val="22"/>
        </w:rPr>
        <w:sectPr>
          <w:pgSz w:w="11906" w:h="16838"/>
          <w:pgMar w:top="1247" w:right="1247" w:bottom="1247" w:left="1247" w:header="851" w:footer="992" w:gutter="0"/>
          <w:pgNumType w:fmt="decimal"/>
          <w:cols w:space="720" w:num="1"/>
          <w:rtlGutter w:val="0"/>
          <w:docGrid w:type="lines" w:linePitch="312" w:charSpace="0"/>
        </w:sectPr>
      </w:pPr>
      <w:r>
        <w:rPr>
          <w:rFonts w:hint="eastAsia" w:ascii="宋体" w:hAnsi="宋体" w:eastAsia="宋体" w:cs="宋体"/>
          <w:b/>
          <w:bCs/>
          <w:color w:val="000000"/>
          <w:sz w:val="22"/>
          <w:szCs w:val="22"/>
        </w:rPr>
        <w:t>注：供应商实际情况如与上述承诺内容不符的，请如实说明，不得虚假承诺</w:t>
      </w:r>
    </w:p>
    <w:p w14:paraId="5B9B6198">
      <w:pPr>
        <w:pStyle w:val="102"/>
        <w:keepNext w:val="0"/>
        <w:keepLines w:val="0"/>
        <w:pageBreakBefore w:val="0"/>
        <w:widowControl/>
        <w:kinsoku/>
        <w:wordWrap/>
        <w:overflowPunct/>
        <w:topLinePunct w:val="0"/>
        <w:autoSpaceDE/>
        <w:autoSpaceDN/>
        <w:bidi w:val="0"/>
        <w:adjustRightInd/>
        <w:snapToGrid/>
        <w:jc w:val="left"/>
        <w:textAlignment w:val="auto"/>
        <w:outlineLvl w:val="2"/>
        <w:rPr>
          <w:rFonts w:hint="eastAsia" w:ascii="宋体" w:hAnsi="宋体" w:eastAsia="宋体" w:cs="宋体"/>
          <w:b w:val="0"/>
          <w:bCs w:val="0"/>
          <w:color w:val="000000"/>
          <w:sz w:val="28"/>
          <w:szCs w:val="28"/>
          <w:lang w:val="en-US" w:eastAsia="zh-CN" w:bidi="ar-SA"/>
        </w:rPr>
      </w:pPr>
      <w:bookmarkStart w:id="183" w:name="_Toc1126"/>
      <w:bookmarkStart w:id="184" w:name="_Toc139389581"/>
      <w:r>
        <w:rPr>
          <w:rFonts w:hint="eastAsia" w:ascii="宋体" w:hAnsi="宋体" w:eastAsia="宋体" w:cs="宋体"/>
          <w:b w:val="0"/>
          <w:bCs w:val="0"/>
          <w:color w:val="000000"/>
          <w:sz w:val="28"/>
          <w:szCs w:val="28"/>
          <w:lang w:val="en-US" w:eastAsia="zh-CN" w:bidi="ar-SA"/>
        </w:rPr>
        <w:t>附件13、供应商自觉抵制政府采购领域商业贿赂行为承诺书</w:t>
      </w:r>
      <w:bookmarkEnd w:id="183"/>
      <w:bookmarkEnd w:id="184"/>
    </w:p>
    <w:p w14:paraId="3C53F8FA">
      <w:pPr>
        <w:pStyle w:val="102"/>
        <w:keepNext w:val="0"/>
        <w:keepLines w:val="0"/>
        <w:pageBreakBefore w:val="0"/>
        <w:widowControl/>
        <w:kinsoku/>
        <w:wordWrap/>
        <w:overflowPunct/>
        <w:topLinePunct w:val="0"/>
        <w:autoSpaceDE/>
        <w:autoSpaceDN/>
        <w:bidi w:val="0"/>
        <w:adjustRightInd/>
        <w:snapToGrid/>
        <w:jc w:val="left"/>
        <w:textAlignment w:val="auto"/>
        <w:outlineLvl w:val="2"/>
        <w:rPr>
          <w:rFonts w:hint="eastAsia" w:ascii="宋体" w:hAnsi="宋体" w:eastAsia="宋体" w:cs="宋体"/>
          <w:b w:val="0"/>
          <w:bCs w:val="0"/>
          <w:color w:val="000000"/>
          <w:sz w:val="28"/>
          <w:szCs w:val="28"/>
          <w:lang w:val="en-US" w:eastAsia="zh-CN" w:bidi="ar-SA"/>
        </w:rPr>
      </w:pPr>
    </w:p>
    <w:p w14:paraId="4A52FE7D">
      <w:pPr>
        <w:pStyle w:val="102"/>
        <w:keepNext w:val="0"/>
        <w:keepLines w:val="0"/>
        <w:pageBreakBefore w:val="0"/>
        <w:widowControl/>
        <w:kinsoku/>
        <w:wordWrap/>
        <w:overflowPunct/>
        <w:topLinePunct w:val="0"/>
        <w:autoSpaceDE/>
        <w:autoSpaceDN/>
        <w:bidi w:val="0"/>
        <w:adjustRightInd/>
        <w:snapToGrid/>
        <w:jc w:val="center"/>
        <w:textAlignment w:val="auto"/>
        <w:outlineLvl w:val="2"/>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供应商自觉抵制政府采购领域商业贿赂行为承诺书</w:t>
      </w:r>
    </w:p>
    <w:p w14:paraId="55A00BFF">
      <w:pPr>
        <w:pStyle w:val="102"/>
        <w:keepNext w:val="0"/>
        <w:keepLines w:val="0"/>
        <w:pageBreakBefore w:val="0"/>
        <w:widowControl/>
        <w:kinsoku/>
        <w:wordWrap/>
        <w:overflowPunct/>
        <w:topLinePunct w:val="0"/>
        <w:autoSpaceDE/>
        <w:autoSpaceDN/>
        <w:bidi w:val="0"/>
        <w:adjustRightInd/>
        <w:snapToGrid/>
        <w:jc w:val="center"/>
        <w:textAlignment w:val="auto"/>
        <w:outlineLvl w:val="2"/>
        <w:rPr>
          <w:rFonts w:hint="eastAsia" w:ascii="宋体" w:hAnsi="宋体" w:eastAsia="宋体" w:cs="宋体"/>
          <w:b/>
          <w:bCs/>
          <w:color w:val="000000"/>
          <w:sz w:val="28"/>
          <w:szCs w:val="28"/>
          <w:lang w:val="en-US" w:eastAsia="zh-CN" w:bidi="ar-SA"/>
        </w:rPr>
      </w:pPr>
    </w:p>
    <w:p w14:paraId="7D09FAB8">
      <w:pPr>
        <w:pStyle w:val="114"/>
        <w:adjustRightInd w:val="0"/>
        <w:snapToGrid w:val="0"/>
        <w:spacing w:line="360" w:lineRule="auto"/>
        <w:ind w:firstLine="480" w:firstLineChars="200"/>
        <w:rPr>
          <w:rFonts w:hint="eastAsia" w:ascii="宋体" w:hAnsi="宋体" w:eastAsia="宋体" w:cs="宋体"/>
          <w:color w:val="000000"/>
          <w:sz w:val="24"/>
          <w:szCs w:val="24"/>
        </w:rPr>
      </w:pPr>
    </w:p>
    <w:p w14:paraId="13F104A1">
      <w:pPr>
        <w:pStyle w:val="114"/>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和政府采购市场环境，维护政府采购制度良好声誉，在参与政府采购活动中，我们庄重承诺： </w:t>
      </w:r>
    </w:p>
    <w:p w14:paraId="4BB3BFA5">
      <w:pPr>
        <w:pStyle w:val="114"/>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一、依法参与政府采购活动，遵纪守法，诚信经营，公平竞争。 </w:t>
      </w:r>
    </w:p>
    <w:p w14:paraId="5D568226">
      <w:pPr>
        <w:pStyle w:val="114"/>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二、不向采购单位、采购代理机构和政府采购评审专家提供任何形式的商业贿赂；对索取或接受商业贿赂的单位和个人，及时向财政部门和纪检监察机关举报。 </w:t>
      </w:r>
    </w:p>
    <w:p w14:paraId="7B0333B9">
      <w:pPr>
        <w:pStyle w:val="114"/>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三、不以提供虚假资质文件等形式参与政府采购活动，不以虚假材料谋取中标或成交。 </w:t>
      </w:r>
    </w:p>
    <w:p w14:paraId="1EA778AD">
      <w:pPr>
        <w:pStyle w:val="114"/>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四、不采取不正当手段诋毁、排挤其他供应商，与其他参与政府采购活动供应商保持良性的竞争关系。 </w:t>
      </w:r>
    </w:p>
    <w:p w14:paraId="7DC93CD8">
      <w:pPr>
        <w:pStyle w:val="114"/>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五、不与采购单位、采购代理机构和政府采购评审专家恶意串通，自觉维护政府采购公平竞争的市场秩序。 </w:t>
      </w:r>
    </w:p>
    <w:p w14:paraId="1637F4C0">
      <w:pPr>
        <w:pStyle w:val="114"/>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六、不与其他供应商串通采取围标、陪标等商业欺诈手段谋取中标或成交，积极维护国家利益、社会公共利益和采购单位的合法权益。</w:t>
      </w:r>
    </w:p>
    <w:p w14:paraId="065A6792">
      <w:pPr>
        <w:pStyle w:val="114"/>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七、严格履行政府采购合同约定义务，不在政府采购合同执行过程中采取降低质量或标准、减少数量、拖延交付时间等方式损害采购单位的利益，并自觉承担违约责任。</w:t>
      </w:r>
    </w:p>
    <w:p w14:paraId="47EA69E5">
      <w:pPr>
        <w:pStyle w:val="114"/>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八、自觉接受并积极配合财政部门和纪检监察机关依法实施的监督检查，如实反映情况，及时提供有关证明材料。</w:t>
      </w:r>
    </w:p>
    <w:p w14:paraId="26E58323">
      <w:pPr>
        <w:pStyle w:val="114"/>
        <w:adjustRightInd w:val="0"/>
        <w:snapToGrid w:val="0"/>
        <w:spacing w:line="360" w:lineRule="auto"/>
        <w:ind w:firstLine="480" w:firstLineChars="200"/>
        <w:rPr>
          <w:rFonts w:hint="eastAsia" w:ascii="宋体" w:hAnsi="宋体" w:eastAsia="宋体" w:cs="宋体"/>
          <w:color w:val="000000"/>
          <w:sz w:val="24"/>
          <w:szCs w:val="24"/>
        </w:rPr>
      </w:pPr>
    </w:p>
    <w:p w14:paraId="13EF9717">
      <w:pPr>
        <w:pStyle w:val="111"/>
        <w:adjustRightInd w:val="0"/>
        <w:snapToGrid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供应商电子签章： </w:t>
      </w:r>
    </w:p>
    <w:p w14:paraId="5B956C35">
      <w:pPr>
        <w:pStyle w:val="111"/>
        <w:adjustRightInd w:val="0"/>
        <w:snapToGrid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法定代表人或其授权委托人：          （签字或盖章）</w:t>
      </w:r>
    </w:p>
    <w:p w14:paraId="19B461E7">
      <w:pPr>
        <w:pStyle w:val="114"/>
        <w:adjustRightInd w:val="0"/>
        <w:snapToGrid w:val="0"/>
        <w:spacing w:line="480" w:lineRule="auto"/>
        <w:rPr>
          <w:rFonts w:hint="eastAsia" w:ascii="宋体" w:hAnsi="宋体" w:eastAsia="宋体" w:cs="宋体"/>
          <w:color w:val="000000"/>
        </w:rPr>
        <w:sectPr>
          <w:pgSz w:w="11906" w:h="16838"/>
          <w:pgMar w:top="1247" w:right="1247" w:bottom="1247" w:left="1247" w:header="851" w:footer="992" w:gutter="0"/>
          <w:pgNumType w:fmt="decimal"/>
          <w:cols w:space="720" w:num="1"/>
          <w:rtlGutter w:val="0"/>
          <w:docGrid w:type="lines" w:linePitch="312" w:charSpace="0"/>
        </w:sectPr>
      </w:pPr>
      <w:r>
        <w:rPr>
          <w:rFonts w:hint="eastAsia" w:ascii="宋体" w:hAnsi="宋体" w:eastAsia="宋体" w:cs="宋体"/>
          <w:color w:val="000000"/>
          <w:sz w:val="24"/>
          <w:szCs w:val="24"/>
        </w:rPr>
        <w:t xml:space="preserve">日期：   年   月  </w:t>
      </w:r>
    </w:p>
    <w:p w14:paraId="7634A4A6">
      <w:pPr>
        <w:pStyle w:val="125"/>
        <w:jc w:val="left"/>
        <w:outlineLvl w:val="2"/>
        <w:rPr>
          <w:rFonts w:hint="eastAsia" w:ascii="宋体" w:hAnsi="宋体" w:eastAsia="宋体" w:cs="宋体"/>
          <w:b w:val="0"/>
          <w:bCs w:val="0"/>
          <w:color w:val="000000"/>
          <w:sz w:val="28"/>
          <w:szCs w:val="22"/>
        </w:rPr>
      </w:pPr>
      <w:bookmarkStart w:id="185" w:name="_Toc139389582"/>
      <w:r>
        <w:rPr>
          <w:rFonts w:hint="eastAsia" w:ascii="宋体" w:hAnsi="宋体" w:eastAsia="宋体" w:cs="宋体"/>
          <w:b w:val="0"/>
          <w:bCs w:val="0"/>
          <w:color w:val="000000"/>
          <w:sz w:val="28"/>
          <w:szCs w:val="28"/>
          <w:lang w:val="en-US" w:eastAsia="zh-CN"/>
        </w:rPr>
        <w:t>附件14、</w:t>
      </w:r>
      <w:bookmarkEnd w:id="185"/>
      <w:bookmarkStart w:id="186" w:name="_Toc139389588"/>
      <w:bookmarkStart w:id="187" w:name="_Toc256000029"/>
      <w:r>
        <w:rPr>
          <w:rFonts w:hint="eastAsia" w:ascii="宋体" w:hAnsi="宋体" w:eastAsia="宋体" w:cs="宋体"/>
          <w:b w:val="0"/>
          <w:bCs w:val="0"/>
          <w:color w:val="000000"/>
          <w:sz w:val="28"/>
          <w:szCs w:val="22"/>
        </w:rPr>
        <w:t>供应商类似项目业绩表</w:t>
      </w:r>
      <w:bookmarkEnd w:id="186"/>
    </w:p>
    <w:p w14:paraId="266B0317">
      <w:pPr>
        <w:pStyle w:val="125"/>
        <w:jc w:val="center"/>
        <w:outlineLvl w:val="2"/>
        <w:rPr>
          <w:rFonts w:hint="eastAsia" w:ascii="宋体" w:hAnsi="宋体" w:eastAsia="宋体" w:cs="宋体"/>
          <w:color w:val="000000"/>
          <w:sz w:val="28"/>
          <w:szCs w:val="22"/>
        </w:rPr>
      </w:pPr>
    </w:p>
    <w:p w14:paraId="37341BBC">
      <w:pPr>
        <w:pStyle w:val="125"/>
        <w:jc w:val="center"/>
        <w:outlineLvl w:val="2"/>
        <w:rPr>
          <w:rFonts w:hint="eastAsia" w:ascii="宋体" w:hAnsi="宋体" w:eastAsia="宋体" w:cs="宋体"/>
          <w:bCs/>
          <w:color w:val="000000"/>
          <w:sz w:val="28"/>
          <w:szCs w:val="28"/>
          <w:lang w:val="en-US" w:eastAsia="zh-CN"/>
        </w:rPr>
      </w:pPr>
      <w:r>
        <w:rPr>
          <w:rFonts w:hint="eastAsia" w:ascii="宋体" w:hAnsi="宋体" w:eastAsia="宋体" w:cs="宋体"/>
          <w:bCs/>
          <w:color w:val="000000"/>
          <w:sz w:val="28"/>
          <w:szCs w:val="28"/>
          <w:lang w:val="en-US" w:eastAsia="zh-CN"/>
        </w:rPr>
        <w:t>供应商类似项目业绩表</w:t>
      </w:r>
    </w:p>
    <w:tbl>
      <w:tblPr>
        <w:tblStyle w:val="40"/>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14:paraId="5CB47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noWrap w:val="0"/>
            <w:vAlign w:val="center"/>
          </w:tcPr>
          <w:p w14:paraId="0C3EEB52">
            <w:pPr>
              <w:pStyle w:val="126"/>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7200" w:type="dxa"/>
            <w:noWrap w:val="0"/>
            <w:vAlign w:val="top"/>
          </w:tcPr>
          <w:p w14:paraId="7F5C2128">
            <w:pPr>
              <w:pStyle w:val="126"/>
              <w:jc w:val="center"/>
              <w:rPr>
                <w:rFonts w:hint="eastAsia" w:ascii="宋体" w:hAnsi="宋体" w:eastAsia="宋体" w:cs="宋体"/>
                <w:color w:val="000000"/>
                <w:sz w:val="24"/>
                <w:szCs w:val="24"/>
              </w:rPr>
            </w:pPr>
          </w:p>
        </w:tc>
      </w:tr>
      <w:tr w14:paraId="60C48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908" w:type="dxa"/>
            <w:noWrap w:val="0"/>
            <w:vAlign w:val="center"/>
          </w:tcPr>
          <w:p w14:paraId="5BE1313B">
            <w:pPr>
              <w:pStyle w:val="126"/>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项目单位名称</w:t>
            </w:r>
          </w:p>
        </w:tc>
        <w:tc>
          <w:tcPr>
            <w:tcW w:w="7200" w:type="dxa"/>
            <w:noWrap w:val="0"/>
            <w:vAlign w:val="top"/>
          </w:tcPr>
          <w:p w14:paraId="6FF3AD54">
            <w:pPr>
              <w:pStyle w:val="126"/>
              <w:jc w:val="center"/>
              <w:rPr>
                <w:rFonts w:hint="eastAsia" w:ascii="宋体" w:hAnsi="宋体" w:eastAsia="宋体" w:cs="宋体"/>
                <w:color w:val="000000"/>
                <w:sz w:val="24"/>
                <w:szCs w:val="24"/>
              </w:rPr>
            </w:pPr>
          </w:p>
        </w:tc>
      </w:tr>
      <w:tr w14:paraId="4BD0D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noWrap w:val="0"/>
            <w:vAlign w:val="center"/>
          </w:tcPr>
          <w:p w14:paraId="6D34F8A4">
            <w:pPr>
              <w:pStyle w:val="126"/>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项目单位联系人姓名及联系方式</w:t>
            </w:r>
          </w:p>
        </w:tc>
        <w:tc>
          <w:tcPr>
            <w:tcW w:w="7200" w:type="dxa"/>
            <w:noWrap w:val="0"/>
            <w:vAlign w:val="top"/>
          </w:tcPr>
          <w:p w14:paraId="1D63E74F">
            <w:pPr>
              <w:pStyle w:val="126"/>
              <w:jc w:val="center"/>
              <w:rPr>
                <w:rFonts w:hint="eastAsia" w:ascii="宋体" w:hAnsi="宋体" w:eastAsia="宋体" w:cs="宋体"/>
                <w:color w:val="000000"/>
                <w:sz w:val="24"/>
                <w:szCs w:val="24"/>
              </w:rPr>
            </w:pPr>
          </w:p>
        </w:tc>
      </w:tr>
      <w:tr w14:paraId="147D7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noWrap w:val="0"/>
            <w:vAlign w:val="center"/>
          </w:tcPr>
          <w:p w14:paraId="36E352E0">
            <w:pPr>
              <w:pStyle w:val="126"/>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合同金额</w:t>
            </w:r>
          </w:p>
        </w:tc>
        <w:tc>
          <w:tcPr>
            <w:tcW w:w="7200" w:type="dxa"/>
            <w:noWrap w:val="0"/>
            <w:vAlign w:val="top"/>
          </w:tcPr>
          <w:p w14:paraId="4D725B52">
            <w:pPr>
              <w:pStyle w:val="126"/>
              <w:jc w:val="center"/>
              <w:rPr>
                <w:rFonts w:hint="eastAsia" w:ascii="宋体" w:hAnsi="宋体" w:eastAsia="宋体" w:cs="宋体"/>
                <w:color w:val="000000"/>
                <w:sz w:val="24"/>
                <w:szCs w:val="24"/>
              </w:rPr>
            </w:pPr>
          </w:p>
        </w:tc>
      </w:tr>
      <w:tr w14:paraId="712C3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908" w:type="dxa"/>
            <w:noWrap w:val="0"/>
            <w:vAlign w:val="center"/>
          </w:tcPr>
          <w:p w14:paraId="31CC3DCE">
            <w:pPr>
              <w:pStyle w:val="126"/>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项目负责人</w:t>
            </w:r>
          </w:p>
          <w:p w14:paraId="15C09478">
            <w:pPr>
              <w:pStyle w:val="126"/>
              <w:jc w:val="center"/>
              <w:rPr>
                <w:rFonts w:hint="eastAsia" w:ascii="宋体" w:hAnsi="宋体" w:eastAsia="宋体" w:cs="宋体"/>
                <w:color w:val="000000"/>
                <w:sz w:val="24"/>
                <w:szCs w:val="24"/>
              </w:rPr>
            </w:pPr>
            <w:r>
              <w:rPr>
                <w:rFonts w:hint="eastAsia" w:ascii="宋体" w:hAnsi="宋体" w:eastAsia="宋体" w:cs="宋体"/>
                <w:color w:val="000000"/>
                <w:sz w:val="24"/>
                <w:szCs w:val="24"/>
              </w:rPr>
              <w:t>姓名</w:t>
            </w:r>
          </w:p>
        </w:tc>
        <w:tc>
          <w:tcPr>
            <w:tcW w:w="7200" w:type="dxa"/>
            <w:noWrap w:val="0"/>
            <w:vAlign w:val="top"/>
          </w:tcPr>
          <w:p w14:paraId="1AA02F8A">
            <w:pPr>
              <w:pStyle w:val="126"/>
              <w:jc w:val="center"/>
              <w:rPr>
                <w:rFonts w:hint="eastAsia" w:ascii="宋体" w:hAnsi="宋体" w:eastAsia="宋体" w:cs="宋体"/>
                <w:color w:val="000000"/>
                <w:sz w:val="24"/>
                <w:szCs w:val="24"/>
              </w:rPr>
            </w:pPr>
          </w:p>
        </w:tc>
      </w:tr>
      <w:tr w14:paraId="4109C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08" w:type="dxa"/>
            <w:noWrap w:val="0"/>
            <w:vAlign w:val="center"/>
          </w:tcPr>
          <w:p w14:paraId="069ADD4F">
            <w:pPr>
              <w:pStyle w:val="126"/>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项目实施时间</w:t>
            </w:r>
          </w:p>
        </w:tc>
        <w:tc>
          <w:tcPr>
            <w:tcW w:w="7200" w:type="dxa"/>
            <w:noWrap w:val="0"/>
            <w:vAlign w:val="top"/>
          </w:tcPr>
          <w:p w14:paraId="105F0A8C">
            <w:pPr>
              <w:pStyle w:val="126"/>
              <w:jc w:val="center"/>
              <w:rPr>
                <w:rFonts w:hint="eastAsia" w:ascii="宋体" w:hAnsi="宋体" w:eastAsia="宋体" w:cs="宋体"/>
                <w:color w:val="000000"/>
                <w:sz w:val="24"/>
                <w:szCs w:val="24"/>
              </w:rPr>
            </w:pPr>
          </w:p>
        </w:tc>
      </w:tr>
      <w:tr w14:paraId="1081F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noWrap w:val="0"/>
            <w:vAlign w:val="center"/>
          </w:tcPr>
          <w:p w14:paraId="7D594B63">
            <w:pPr>
              <w:pStyle w:val="126"/>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项目内容说明</w:t>
            </w:r>
          </w:p>
        </w:tc>
        <w:tc>
          <w:tcPr>
            <w:tcW w:w="7200" w:type="dxa"/>
            <w:noWrap w:val="0"/>
            <w:vAlign w:val="top"/>
          </w:tcPr>
          <w:p w14:paraId="07ECDBE1">
            <w:pPr>
              <w:pStyle w:val="126"/>
              <w:jc w:val="center"/>
              <w:rPr>
                <w:rFonts w:hint="eastAsia" w:ascii="宋体" w:hAnsi="宋体" w:eastAsia="宋体" w:cs="宋体"/>
                <w:color w:val="000000"/>
                <w:sz w:val="24"/>
                <w:szCs w:val="24"/>
              </w:rPr>
            </w:pPr>
          </w:p>
        </w:tc>
      </w:tr>
    </w:tbl>
    <w:p w14:paraId="24D0149A">
      <w:pPr>
        <w:pStyle w:val="126"/>
        <w:autoSpaceDE w:val="0"/>
        <w:autoSpaceDN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说明：1、每个合同须单独附表，并附上相关证明材料，否则专家在评审时将不予采信；</w:t>
      </w:r>
    </w:p>
    <w:p w14:paraId="3B0DFEA7">
      <w:pPr>
        <w:pStyle w:val="126"/>
        <w:spacing w:line="360" w:lineRule="auto"/>
        <w:ind w:firstLine="720" w:firstLineChars="300"/>
        <w:rPr>
          <w:rFonts w:hint="eastAsia" w:ascii="宋体" w:hAnsi="宋体" w:eastAsia="宋体" w:cs="宋体"/>
          <w:color w:val="000000"/>
          <w:sz w:val="24"/>
          <w:szCs w:val="24"/>
        </w:rPr>
      </w:pPr>
      <w:r>
        <w:rPr>
          <w:rFonts w:hint="eastAsia" w:ascii="宋体" w:hAnsi="宋体" w:eastAsia="宋体" w:cs="宋体"/>
          <w:color w:val="000000"/>
          <w:sz w:val="24"/>
          <w:szCs w:val="24"/>
        </w:rPr>
        <w:t>2、项目内容请详细说明所承担的具体工作内容。</w:t>
      </w:r>
    </w:p>
    <w:p w14:paraId="632C7B2F">
      <w:pPr>
        <w:pStyle w:val="126"/>
        <w:spacing w:line="360" w:lineRule="auto"/>
        <w:ind w:firstLine="720" w:firstLineChars="300"/>
        <w:rPr>
          <w:rFonts w:hint="eastAsia" w:ascii="宋体" w:hAnsi="宋体" w:eastAsia="宋体" w:cs="宋体"/>
          <w:color w:val="000000"/>
          <w:sz w:val="24"/>
          <w:szCs w:val="24"/>
        </w:rPr>
      </w:pPr>
      <w:r>
        <w:rPr>
          <w:rFonts w:hint="eastAsia" w:ascii="宋体" w:hAnsi="宋体" w:eastAsia="宋体" w:cs="宋体"/>
          <w:color w:val="000000"/>
          <w:sz w:val="24"/>
          <w:szCs w:val="24"/>
        </w:rPr>
        <w:t>3、业绩为近三年业绩。（近三年指</w:t>
      </w:r>
      <w:r>
        <w:rPr>
          <w:rFonts w:hint="eastAsia" w:ascii="宋体" w:hAnsi="宋体" w:cs="宋体"/>
          <w:color w:val="000000"/>
          <w:sz w:val="24"/>
          <w:szCs w:val="24"/>
          <w:lang w:eastAsia="zh-CN"/>
        </w:rPr>
        <w:t>2022</w:t>
      </w:r>
      <w:r>
        <w:rPr>
          <w:rFonts w:hint="eastAsia" w:ascii="宋体" w:hAnsi="宋体" w:eastAsia="宋体" w:cs="宋体"/>
          <w:color w:val="000000"/>
          <w:sz w:val="24"/>
          <w:szCs w:val="24"/>
        </w:rPr>
        <w:t>年至今）</w:t>
      </w:r>
    </w:p>
    <w:p w14:paraId="2131BF41">
      <w:pPr>
        <w:pStyle w:val="126"/>
        <w:spacing w:line="360" w:lineRule="auto"/>
        <w:ind w:firstLine="720" w:firstLineChars="300"/>
        <w:rPr>
          <w:rFonts w:hint="eastAsia" w:ascii="宋体" w:hAnsi="宋体" w:eastAsia="宋体" w:cs="宋体"/>
          <w:color w:val="000000"/>
          <w:sz w:val="24"/>
          <w:szCs w:val="24"/>
        </w:rPr>
      </w:pPr>
    </w:p>
    <w:p w14:paraId="0934DFF3">
      <w:pPr>
        <w:pStyle w:val="126"/>
        <w:spacing w:line="360" w:lineRule="auto"/>
        <w:ind w:firstLine="720" w:firstLineChars="300"/>
        <w:rPr>
          <w:rFonts w:hint="eastAsia" w:ascii="宋体" w:hAnsi="宋体" w:eastAsia="宋体" w:cs="宋体"/>
          <w:color w:val="000000"/>
          <w:sz w:val="24"/>
          <w:szCs w:val="24"/>
        </w:rPr>
      </w:pPr>
    </w:p>
    <w:bookmarkEnd w:id="187"/>
    <w:p w14:paraId="12D95565">
      <w:pPr>
        <w:pStyle w:val="122"/>
        <w:jc w:val="center"/>
        <w:outlineLvl w:val="2"/>
        <w:rPr>
          <w:rFonts w:hint="eastAsia" w:ascii="宋体" w:hAnsi="宋体" w:eastAsia="宋体" w:cs="宋体"/>
          <w:color w:val="000000"/>
          <w:sz w:val="28"/>
          <w:szCs w:val="22"/>
        </w:rPr>
      </w:pPr>
      <w:bookmarkStart w:id="188" w:name="_Toc256000031"/>
      <w:r>
        <w:rPr>
          <w:rFonts w:hint="eastAsia" w:ascii="宋体" w:hAnsi="宋体" w:eastAsia="宋体" w:cs="宋体"/>
          <w:b/>
          <w:color w:val="000000"/>
          <w:kern w:val="0"/>
          <w:sz w:val="28"/>
        </w:rPr>
        <w:br w:type="page"/>
      </w:r>
      <w:bookmarkStart w:id="189" w:name="_Toc139389589"/>
      <w:r>
        <w:rPr>
          <w:rFonts w:hint="eastAsia" w:ascii="宋体" w:hAnsi="宋体" w:eastAsia="宋体" w:cs="宋体"/>
          <w:color w:val="000000"/>
          <w:sz w:val="28"/>
          <w:szCs w:val="28"/>
          <w:lang w:val="en-US" w:eastAsia="zh-CN"/>
        </w:rPr>
        <w:t>附件15、</w:t>
      </w:r>
      <w:r>
        <w:rPr>
          <w:rFonts w:hint="eastAsia" w:ascii="宋体" w:hAnsi="宋体" w:eastAsia="宋体" w:cs="宋体"/>
          <w:color w:val="000000"/>
          <w:sz w:val="28"/>
          <w:szCs w:val="22"/>
        </w:rPr>
        <w:t>商务条款偏离说明表</w:t>
      </w:r>
      <w:bookmarkEnd w:id="189"/>
    </w:p>
    <w:p w14:paraId="57AE22D1">
      <w:pPr>
        <w:pStyle w:val="128"/>
        <w:adjustRightInd w:val="0"/>
        <w:snapToGrid w:val="0"/>
        <w:spacing w:line="500" w:lineRule="exact"/>
        <w:rPr>
          <w:rFonts w:hint="eastAsia" w:ascii="宋体" w:hAnsi="宋体" w:eastAsia="宋体" w:cs="宋体"/>
          <w:b/>
          <w:color w:val="000000"/>
          <w:sz w:val="32"/>
          <w:szCs w:val="32"/>
        </w:rPr>
      </w:pPr>
    </w:p>
    <w:tbl>
      <w:tblPr>
        <w:tblStyle w:val="40"/>
        <w:tblW w:w="8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2557"/>
        <w:gridCol w:w="2589"/>
        <w:gridCol w:w="2702"/>
      </w:tblGrid>
      <w:tr w14:paraId="4E629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27A426DC">
            <w:pPr>
              <w:pStyle w:val="128"/>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2557" w:type="dxa"/>
            <w:tcBorders>
              <w:top w:val="single" w:color="auto" w:sz="4" w:space="0"/>
              <w:left w:val="single" w:color="auto" w:sz="4" w:space="0"/>
              <w:bottom w:val="single" w:color="auto" w:sz="4" w:space="0"/>
              <w:right w:val="single" w:color="auto" w:sz="4" w:space="0"/>
            </w:tcBorders>
            <w:noWrap w:val="0"/>
            <w:vAlign w:val="center"/>
          </w:tcPr>
          <w:p w14:paraId="0E54FC92">
            <w:pPr>
              <w:pStyle w:val="128"/>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磋商文件的商务条款</w:t>
            </w:r>
          </w:p>
        </w:tc>
        <w:tc>
          <w:tcPr>
            <w:tcW w:w="2589" w:type="dxa"/>
            <w:tcBorders>
              <w:top w:val="single" w:color="auto" w:sz="4" w:space="0"/>
              <w:left w:val="single" w:color="auto" w:sz="4" w:space="0"/>
              <w:bottom w:val="single" w:color="auto" w:sz="4" w:space="0"/>
              <w:right w:val="single" w:color="auto" w:sz="4" w:space="0"/>
            </w:tcBorders>
            <w:noWrap w:val="0"/>
            <w:vAlign w:val="center"/>
          </w:tcPr>
          <w:p w14:paraId="52C045DC">
            <w:pPr>
              <w:pStyle w:val="128"/>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响应文件的商务条款</w:t>
            </w:r>
          </w:p>
        </w:tc>
        <w:tc>
          <w:tcPr>
            <w:tcW w:w="2702" w:type="dxa"/>
            <w:tcBorders>
              <w:top w:val="single" w:color="auto" w:sz="4" w:space="0"/>
              <w:left w:val="single" w:color="auto" w:sz="4" w:space="0"/>
              <w:bottom w:val="single" w:color="auto" w:sz="4" w:space="0"/>
              <w:right w:val="single" w:color="auto" w:sz="4" w:space="0"/>
            </w:tcBorders>
            <w:noWrap w:val="0"/>
            <w:vAlign w:val="center"/>
          </w:tcPr>
          <w:p w14:paraId="2EA157B3">
            <w:pPr>
              <w:pStyle w:val="128"/>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偏离说明</w:t>
            </w:r>
          </w:p>
        </w:tc>
      </w:tr>
      <w:tr w14:paraId="32E75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08D5B838">
            <w:pPr>
              <w:pStyle w:val="128"/>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557" w:type="dxa"/>
            <w:tcBorders>
              <w:top w:val="single" w:color="auto" w:sz="4" w:space="0"/>
              <w:left w:val="single" w:color="auto" w:sz="4" w:space="0"/>
              <w:bottom w:val="single" w:color="auto" w:sz="4" w:space="0"/>
              <w:right w:val="single" w:color="auto" w:sz="4" w:space="0"/>
            </w:tcBorders>
            <w:noWrap w:val="0"/>
            <w:vAlign w:val="center"/>
          </w:tcPr>
          <w:p w14:paraId="3334B4D6">
            <w:pPr>
              <w:pStyle w:val="128"/>
              <w:spacing w:line="500" w:lineRule="exact"/>
              <w:rPr>
                <w:rFonts w:hint="eastAsia" w:ascii="宋体" w:hAnsi="宋体" w:eastAsia="宋体" w:cs="宋体"/>
                <w:color w:val="000000"/>
                <w:sz w:val="24"/>
                <w:szCs w:val="24"/>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61C0EE14">
            <w:pPr>
              <w:pStyle w:val="128"/>
              <w:spacing w:line="500" w:lineRule="exact"/>
              <w:rPr>
                <w:rFonts w:hint="eastAsia" w:ascii="宋体" w:hAnsi="宋体" w:eastAsia="宋体" w:cs="宋体"/>
                <w:color w:val="000000"/>
                <w:sz w:val="24"/>
                <w:szCs w:val="24"/>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3281883C">
            <w:pPr>
              <w:pStyle w:val="128"/>
              <w:spacing w:line="500" w:lineRule="exact"/>
              <w:rPr>
                <w:rFonts w:hint="eastAsia" w:ascii="宋体" w:hAnsi="宋体" w:eastAsia="宋体" w:cs="宋体"/>
                <w:color w:val="000000"/>
                <w:sz w:val="24"/>
                <w:szCs w:val="24"/>
              </w:rPr>
            </w:pPr>
          </w:p>
        </w:tc>
      </w:tr>
      <w:tr w14:paraId="0652E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0C3A262C">
            <w:pPr>
              <w:pStyle w:val="128"/>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557" w:type="dxa"/>
            <w:tcBorders>
              <w:top w:val="single" w:color="auto" w:sz="4" w:space="0"/>
              <w:left w:val="single" w:color="auto" w:sz="4" w:space="0"/>
              <w:bottom w:val="single" w:color="auto" w:sz="4" w:space="0"/>
              <w:right w:val="single" w:color="auto" w:sz="4" w:space="0"/>
            </w:tcBorders>
            <w:noWrap w:val="0"/>
            <w:vAlign w:val="center"/>
          </w:tcPr>
          <w:p w14:paraId="7B4025E0">
            <w:pPr>
              <w:pStyle w:val="128"/>
              <w:spacing w:line="500" w:lineRule="exact"/>
              <w:rPr>
                <w:rFonts w:hint="eastAsia" w:ascii="宋体" w:hAnsi="宋体" w:eastAsia="宋体" w:cs="宋体"/>
                <w:color w:val="000000"/>
                <w:sz w:val="24"/>
                <w:szCs w:val="24"/>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7C4437B4">
            <w:pPr>
              <w:pStyle w:val="128"/>
              <w:spacing w:line="500" w:lineRule="exact"/>
              <w:rPr>
                <w:rFonts w:hint="eastAsia" w:ascii="宋体" w:hAnsi="宋体" w:eastAsia="宋体" w:cs="宋体"/>
                <w:color w:val="000000"/>
                <w:sz w:val="24"/>
                <w:szCs w:val="24"/>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1D01BA88">
            <w:pPr>
              <w:pStyle w:val="128"/>
              <w:spacing w:line="500" w:lineRule="exact"/>
              <w:rPr>
                <w:rFonts w:hint="eastAsia" w:ascii="宋体" w:hAnsi="宋体" w:eastAsia="宋体" w:cs="宋体"/>
                <w:color w:val="000000"/>
                <w:sz w:val="24"/>
                <w:szCs w:val="24"/>
              </w:rPr>
            </w:pPr>
          </w:p>
        </w:tc>
      </w:tr>
      <w:tr w14:paraId="7C5BB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34BB6A1D">
            <w:pPr>
              <w:pStyle w:val="128"/>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557" w:type="dxa"/>
            <w:tcBorders>
              <w:top w:val="single" w:color="auto" w:sz="4" w:space="0"/>
              <w:left w:val="single" w:color="auto" w:sz="4" w:space="0"/>
              <w:bottom w:val="single" w:color="auto" w:sz="4" w:space="0"/>
              <w:right w:val="single" w:color="auto" w:sz="4" w:space="0"/>
            </w:tcBorders>
            <w:noWrap w:val="0"/>
            <w:vAlign w:val="center"/>
          </w:tcPr>
          <w:p w14:paraId="70AB1262">
            <w:pPr>
              <w:pStyle w:val="128"/>
              <w:spacing w:line="500" w:lineRule="exact"/>
              <w:rPr>
                <w:rFonts w:hint="eastAsia" w:ascii="宋体" w:hAnsi="宋体" w:eastAsia="宋体" w:cs="宋体"/>
                <w:color w:val="000000"/>
                <w:sz w:val="24"/>
                <w:szCs w:val="24"/>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13202C3A">
            <w:pPr>
              <w:pStyle w:val="128"/>
              <w:spacing w:line="500" w:lineRule="exact"/>
              <w:rPr>
                <w:rFonts w:hint="eastAsia" w:ascii="宋体" w:hAnsi="宋体" w:eastAsia="宋体" w:cs="宋体"/>
                <w:color w:val="000000"/>
                <w:sz w:val="24"/>
                <w:szCs w:val="24"/>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1AEA8794">
            <w:pPr>
              <w:pStyle w:val="128"/>
              <w:spacing w:line="500" w:lineRule="exact"/>
              <w:rPr>
                <w:rFonts w:hint="eastAsia" w:ascii="宋体" w:hAnsi="宋体" w:eastAsia="宋体" w:cs="宋体"/>
                <w:color w:val="000000"/>
                <w:sz w:val="24"/>
                <w:szCs w:val="24"/>
              </w:rPr>
            </w:pPr>
          </w:p>
        </w:tc>
      </w:tr>
      <w:tr w14:paraId="418EB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6902FAFC">
            <w:pPr>
              <w:pStyle w:val="128"/>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557" w:type="dxa"/>
            <w:tcBorders>
              <w:top w:val="single" w:color="auto" w:sz="4" w:space="0"/>
              <w:left w:val="single" w:color="auto" w:sz="4" w:space="0"/>
              <w:bottom w:val="single" w:color="auto" w:sz="4" w:space="0"/>
              <w:right w:val="single" w:color="auto" w:sz="4" w:space="0"/>
            </w:tcBorders>
            <w:noWrap w:val="0"/>
            <w:vAlign w:val="center"/>
          </w:tcPr>
          <w:p w14:paraId="33EF4B70">
            <w:pPr>
              <w:pStyle w:val="128"/>
              <w:spacing w:line="500" w:lineRule="exact"/>
              <w:rPr>
                <w:rFonts w:hint="eastAsia" w:ascii="宋体" w:hAnsi="宋体" w:eastAsia="宋体" w:cs="宋体"/>
                <w:color w:val="000000"/>
                <w:sz w:val="24"/>
                <w:szCs w:val="24"/>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1CE43045">
            <w:pPr>
              <w:pStyle w:val="128"/>
              <w:spacing w:line="500" w:lineRule="exact"/>
              <w:rPr>
                <w:rFonts w:hint="eastAsia" w:ascii="宋体" w:hAnsi="宋体" w:eastAsia="宋体" w:cs="宋体"/>
                <w:color w:val="000000"/>
                <w:sz w:val="24"/>
                <w:szCs w:val="24"/>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324477C7">
            <w:pPr>
              <w:pStyle w:val="128"/>
              <w:spacing w:line="500" w:lineRule="exact"/>
              <w:rPr>
                <w:rFonts w:hint="eastAsia" w:ascii="宋体" w:hAnsi="宋体" w:eastAsia="宋体" w:cs="宋体"/>
                <w:color w:val="000000"/>
                <w:sz w:val="24"/>
                <w:szCs w:val="24"/>
              </w:rPr>
            </w:pPr>
          </w:p>
        </w:tc>
      </w:tr>
      <w:tr w14:paraId="2A1F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732745C6">
            <w:pPr>
              <w:pStyle w:val="128"/>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2557" w:type="dxa"/>
            <w:tcBorders>
              <w:top w:val="single" w:color="auto" w:sz="4" w:space="0"/>
              <w:left w:val="single" w:color="auto" w:sz="4" w:space="0"/>
              <w:bottom w:val="single" w:color="auto" w:sz="4" w:space="0"/>
              <w:right w:val="single" w:color="auto" w:sz="4" w:space="0"/>
            </w:tcBorders>
            <w:noWrap w:val="0"/>
            <w:vAlign w:val="center"/>
          </w:tcPr>
          <w:p w14:paraId="6D8B1021">
            <w:pPr>
              <w:pStyle w:val="128"/>
              <w:spacing w:line="500" w:lineRule="exact"/>
              <w:rPr>
                <w:rFonts w:hint="eastAsia" w:ascii="宋体" w:hAnsi="宋体" w:eastAsia="宋体" w:cs="宋体"/>
                <w:color w:val="000000"/>
                <w:sz w:val="24"/>
                <w:szCs w:val="24"/>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0C249BEF">
            <w:pPr>
              <w:pStyle w:val="128"/>
              <w:spacing w:line="500" w:lineRule="exact"/>
              <w:rPr>
                <w:rFonts w:hint="eastAsia" w:ascii="宋体" w:hAnsi="宋体" w:eastAsia="宋体" w:cs="宋体"/>
                <w:color w:val="000000"/>
                <w:sz w:val="24"/>
                <w:szCs w:val="24"/>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49BE86BC">
            <w:pPr>
              <w:pStyle w:val="128"/>
              <w:spacing w:line="500" w:lineRule="exact"/>
              <w:rPr>
                <w:rFonts w:hint="eastAsia" w:ascii="宋体" w:hAnsi="宋体" w:eastAsia="宋体" w:cs="宋体"/>
                <w:color w:val="000000"/>
                <w:sz w:val="24"/>
                <w:szCs w:val="24"/>
              </w:rPr>
            </w:pPr>
          </w:p>
        </w:tc>
      </w:tr>
      <w:tr w14:paraId="54259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064AD6FF">
            <w:pPr>
              <w:pStyle w:val="128"/>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2557" w:type="dxa"/>
            <w:tcBorders>
              <w:top w:val="single" w:color="auto" w:sz="4" w:space="0"/>
              <w:left w:val="single" w:color="auto" w:sz="4" w:space="0"/>
              <w:bottom w:val="single" w:color="auto" w:sz="4" w:space="0"/>
              <w:right w:val="single" w:color="auto" w:sz="4" w:space="0"/>
            </w:tcBorders>
            <w:noWrap w:val="0"/>
            <w:vAlign w:val="center"/>
          </w:tcPr>
          <w:p w14:paraId="5023EF5C">
            <w:pPr>
              <w:pStyle w:val="128"/>
              <w:spacing w:line="500" w:lineRule="exact"/>
              <w:rPr>
                <w:rFonts w:hint="eastAsia" w:ascii="宋体" w:hAnsi="宋体" w:eastAsia="宋体" w:cs="宋体"/>
                <w:color w:val="000000"/>
                <w:sz w:val="24"/>
                <w:szCs w:val="24"/>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6B3C9EAE">
            <w:pPr>
              <w:pStyle w:val="128"/>
              <w:spacing w:line="500" w:lineRule="exact"/>
              <w:rPr>
                <w:rFonts w:hint="eastAsia" w:ascii="宋体" w:hAnsi="宋体" w:eastAsia="宋体" w:cs="宋体"/>
                <w:color w:val="000000"/>
                <w:sz w:val="24"/>
                <w:szCs w:val="24"/>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58E7C173">
            <w:pPr>
              <w:pStyle w:val="128"/>
              <w:spacing w:line="500" w:lineRule="exact"/>
              <w:rPr>
                <w:rFonts w:hint="eastAsia" w:ascii="宋体" w:hAnsi="宋体" w:eastAsia="宋体" w:cs="宋体"/>
                <w:color w:val="000000"/>
                <w:sz w:val="24"/>
                <w:szCs w:val="24"/>
              </w:rPr>
            </w:pPr>
          </w:p>
        </w:tc>
      </w:tr>
      <w:tr w14:paraId="34EA6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14:paraId="0F7D2AA2">
            <w:pPr>
              <w:pStyle w:val="128"/>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2557" w:type="dxa"/>
            <w:tcBorders>
              <w:top w:val="single" w:color="auto" w:sz="4" w:space="0"/>
              <w:left w:val="single" w:color="auto" w:sz="4" w:space="0"/>
              <w:bottom w:val="single" w:color="auto" w:sz="4" w:space="0"/>
              <w:right w:val="single" w:color="auto" w:sz="4" w:space="0"/>
            </w:tcBorders>
            <w:noWrap w:val="0"/>
            <w:vAlign w:val="center"/>
          </w:tcPr>
          <w:p w14:paraId="011F1CF1">
            <w:pPr>
              <w:pStyle w:val="128"/>
              <w:spacing w:line="500" w:lineRule="exact"/>
              <w:rPr>
                <w:rFonts w:hint="eastAsia" w:ascii="宋体" w:hAnsi="宋体" w:eastAsia="宋体" w:cs="宋体"/>
                <w:color w:val="000000"/>
                <w:sz w:val="24"/>
                <w:szCs w:val="24"/>
              </w:rPr>
            </w:pPr>
          </w:p>
        </w:tc>
        <w:tc>
          <w:tcPr>
            <w:tcW w:w="2589" w:type="dxa"/>
            <w:tcBorders>
              <w:top w:val="single" w:color="auto" w:sz="4" w:space="0"/>
              <w:left w:val="single" w:color="auto" w:sz="4" w:space="0"/>
              <w:bottom w:val="single" w:color="auto" w:sz="4" w:space="0"/>
              <w:right w:val="single" w:color="auto" w:sz="4" w:space="0"/>
            </w:tcBorders>
            <w:noWrap w:val="0"/>
            <w:vAlign w:val="center"/>
          </w:tcPr>
          <w:p w14:paraId="7CBB9E6C">
            <w:pPr>
              <w:pStyle w:val="128"/>
              <w:spacing w:line="500" w:lineRule="exact"/>
              <w:rPr>
                <w:rFonts w:hint="eastAsia" w:ascii="宋体" w:hAnsi="宋体" w:eastAsia="宋体" w:cs="宋体"/>
                <w:color w:val="000000"/>
                <w:sz w:val="24"/>
                <w:szCs w:val="24"/>
              </w:rPr>
            </w:pPr>
          </w:p>
        </w:tc>
        <w:tc>
          <w:tcPr>
            <w:tcW w:w="2702" w:type="dxa"/>
            <w:tcBorders>
              <w:top w:val="single" w:color="auto" w:sz="4" w:space="0"/>
              <w:left w:val="single" w:color="auto" w:sz="4" w:space="0"/>
              <w:bottom w:val="single" w:color="auto" w:sz="4" w:space="0"/>
              <w:right w:val="single" w:color="auto" w:sz="4" w:space="0"/>
            </w:tcBorders>
            <w:noWrap w:val="0"/>
            <w:vAlign w:val="center"/>
          </w:tcPr>
          <w:p w14:paraId="407B1CDE">
            <w:pPr>
              <w:pStyle w:val="128"/>
              <w:spacing w:line="500" w:lineRule="exact"/>
              <w:rPr>
                <w:rFonts w:hint="eastAsia" w:ascii="宋体" w:hAnsi="宋体" w:eastAsia="宋体" w:cs="宋体"/>
                <w:color w:val="000000"/>
                <w:sz w:val="24"/>
                <w:szCs w:val="24"/>
              </w:rPr>
            </w:pPr>
          </w:p>
        </w:tc>
      </w:tr>
    </w:tbl>
    <w:p w14:paraId="6926F658">
      <w:pPr>
        <w:pStyle w:val="126"/>
        <w:spacing w:line="360" w:lineRule="auto"/>
        <w:rPr>
          <w:rFonts w:hint="eastAsia" w:ascii="宋体" w:hAnsi="宋体" w:eastAsia="宋体" w:cs="宋体"/>
          <w:color w:val="000000"/>
          <w:sz w:val="24"/>
          <w:szCs w:val="21"/>
        </w:rPr>
      </w:pPr>
      <w:r>
        <w:rPr>
          <w:rFonts w:hint="eastAsia" w:ascii="宋体" w:hAnsi="宋体" w:eastAsia="宋体" w:cs="宋体"/>
          <w:color w:val="000000"/>
          <w:sz w:val="24"/>
          <w:szCs w:val="21"/>
        </w:rPr>
        <w:t>注：1、有偏离的商务条款须在该表中</w:t>
      </w:r>
      <w:r>
        <w:rPr>
          <w:rFonts w:hint="eastAsia" w:ascii="宋体" w:hAnsi="宋体" w:eastAsia="宋体" w:cs="宋体"/>
          <w:b/>
          <w:bCs/>
          <w:color w:val="000000"/>
          <w:sz w:val="24"/>
          <w:szCs w:val="21"/>
        </w:rPr>
        <w:t>逐一列明</w:t>
      </w:r>
      <w:r>
        <w:rPr>
          <w:rFonts w:hint="eastAsia" w:ascii="宋体" w:hAnsi="宋体" w:eastAsia="宋体" w:cs="宋体"/>
          <w:color w:val="000000"/>
          <w:sz w:val="24"/>
          <w:szCs w:val="21"/>
        </w:rPr>
        <w:t>，并在“响应文件的商务条款”栏填写具体应答内容，在“偏离说明”中说明偏离具体情形。若无偏离请在“响应文件的商务条款”中填写“无偏离”。</w:t>
      </w:r>
    </w:p>
    <w:p w14:paraId="33B585D1">
      <w:pPr>
        <w:pStyle w:val="126"/>
        <w:spacing w:line="360" w:lineRule="auto"/>
        <w:ind w:firstLine="480"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2、未声明部分将被视为已接受磋商文件要求，签约时未经采购方同意不得改变。</w:t>
      </w:r>
    </w:p>
    <w:p w14:paraId="6A79E261">
      <w:pPr>
        <w:pStyle w:val="126"/>
        <w:spacing w:line="360" w:lineRule="auto"/>
        <w:ind w:firstLine="480"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3、供应商可根据其响应内容进一步细化上述表格，并可增添其它表格或说明以便进一步明确响应内容。</w:t>
      </w:r>
    </w:p>
    <w:p w14:paraId="40033002">
      <w:pPr>
        <w:pStyle w:val="126"/>
        <w:spacing w:line="360" w:lineRule="auto"/>
        <w:ind w:firstLine="480" w:firstLineChars="200"/>
        <w:rPr>
          <w:rFonts w:hint="eastAsia" w:ascii="宋体" w:hAnsi="宋体" w:eastAsia="宋体" w:cs="宋体"/>
          <w:color w:val="000000"/>
          <w:sz w:val="24"/>
          <w:szCs w:val="21"/>
        </w:rPr>
      </w:pPr>
    </w:p>
    <w:p w14:paraId="21562636">
      <w:pPr>
        <w:pStyle w:val="126"/>
        <w:spacing w:line="360" w:lineRule="auto"/>
        <w:ind w:firstLine="480" w:firstLineChars="200"/>
        <w:rPr>
          <w:rFonts w:hint="eastAsia" w:ascii="宋体" w:hAnsi="宋体" w:eastAsia="宋体" w:cs="宋体"/>
          <w:color w:val="000000"/>
          <w:sz w:val="24"/>
          <w:szCs w:val="21"/>
        </w:rPr>
      </w:pPr>
    </w:p>
    <w:p w14:paraId="1BCAFD93">
      <w:pPr>
        <w:pStyle w:val="127"/>
        <w:adjustRightInd w:val="0"/>
        <w:snapToGrid w:val="0"/>
        <w:spacing w:line="5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供应商名称（电子签章）：</w:t>
      </w:r>
    </w:p>
    <w:p w14:paraId="5B60D091">
      <w:pPr>
        <w:pStyle w:val="127"/>
        <w:adjustRightInd w:val="0"/>
        <w:snapToGrid w:val="0"/>
        <w:spacing w:line="50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法定代表人或其授权委托人：          （签字或盖章）</w:t>
      </w:r>
    </w:p>
    <w:p w14:paraId="04CEB6A2">
      <w:pPr>
        <w:pStyle w:val="127"/>
        <w:adjustRightInd w:val="0"/>
        <w:snapToGrid w:val="0"/>
        <w:spacing w:line="500" w:lineRule="exact"/>
        <w:rPr>
          <w:rFonts w:hint="eastAsia" w:ascii="宋体" w:hAnsi="宋体" w:eastAsia="宋体" w:cs="宋体"/>
          <w:color w:val="000000"/>
          <w:sz w:val="20"/>
          <w:szCs w:val="21"/>
        </w:rPr>
      </w:pPr>
      <w:r>
        <w:rPr>
          <w:rFonts w:hint="eastAsia" w:ascii="宋体" w:hAnsi="宋体" w:eastAsia="宋体" w:cs="宋体"/>
          <w:color w:val="000000"/>
          <w:sz w:val="24"/>
          <w:szCs w:val="24"/>
        </w:rPr>
        <w:t>日期：   年 月 日</w:t>
      </w:r>
    </w:p>
    <w:p w14:paraId="0118252F">
      <w:pPr>
        <w:pStyle w:val="126"/>
        <w:spacing w:line="360" w:lineRule="auto"/>
        <w:ind w:firstLine="480" w:firstLineChars="200"/>
        <w:rPr>
          <w:rFonts w:hint="eastAsia" w:ascii="宋体" w:hAnsi="宋体" w:eastAsia="宋体" w:cs="宋体"/>
          <w:color w:val="000000"/>
          <w:sz w:val="24"/>
          <w:szCs w:val="21"/>
        </w:rPr>
        <w:sectPr>
          <w:pgSz w:w="11906" w:h="16838"/>
          <w:pgMar w:top="1247" w:right="1247" w:bottom="1247" w:left="1247" w:header="851" w:footer="992" w:gutter="0"/>
          <w:pgNumType w:fmt="decimal"/>
          <w:cols w:space="720" w:num="1"/>
          <w:rtlGutter w:val="0"/>
          <w:docGrid w:linePitch="312" w:charSpace="0"/>
        </w:sectPr>
      </w:pPr>
    </w:p>
    <w:bookmarkEnd w:id="188"/>
    <w:p w14:paraId="46C90168">
      <w:pPr>
        <w:pStyle w:val="129"/>
        <w:keepNext w:val="0"/>
        <w:keepLines w:val="0"/>
        <w:pageBreakBefore w:val="0"/>
        <w:widowControl/>
        <w:kinsoku/>
        <w:wordWrap/>
        <w:overflowPunct/>
        <w:topLinePunct w:val="0"/>
        <w:autoSpaceDE/>
        <w:autoSpaceDN/>
        <w:bidi w:val="0"/>
        <w:adjustRightInd/>
        <w:snapToGrid/>
        <w:spacing w:line="360" w:lineRule="auto"/>
        <w:jc w:val="left"/>
        <w:textAlignment w:val="auto"/>
        <w:outlineLvl w:val="2"/>
        <w:rPr>
          <w:rFonts w:hint="eastAsia" w:ascii="宋体" w:hAnsi="宋体" w:eastAsia="宋体" w:cs="宋体"/>
          <w:b w:val="0"/>
          <w:bCs/>
          <w:color w:val="000000"/>
          <w:sz w:val="28"/>
          <w:szCs w:val="22"/>
        </w:rPr>
      </w:pPr>
      <w:bookmarkStart w:id="190" w:name="_Toc139389590"/>
      <w:r>
        <w:rPr>
          <w:rFonts w:hint="eastAsia" w:ascii="宋体" w:hAnsi="宋体" w:eastAsia="宋体" w:cs="宋体"/>
          <w:b w:val="0"/>
          <w:bCs/>
          <w:color w:val="000000"/>
          <w:sz w:val="28"/>
          <w:szCs w:val="22"/>
          <w:lang w:val="en-US" w:eastAsia="zh-CN"/>
        </w:rPr>
        <w:t>附件16、</w:t>
      </w:r>
      <w:r>
        <w:rPr>
          <w:rFonts w:hint="eastAsia" w:ascii="宋体" w:hAnsi="宋体" w:eastAsia="宋体" w:cs="宋体"/>
          <w:b w:val="0"/>
          <w:bCs/>
          <w:color w:val="000000"/>
          <w:sz w:val="28"/>
          <w:szCs w:val="22"/>
        </w:rPr>
        <w:t>技术偏离表</w:t>
      </w:r>
      <w:bookmarkEnd w:id="190"/>
    </w:p>
    <w:p w14:paraId="2EC820C9">
      <w:pPr>
        <w:pStyle w:val="129"/>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color w:val="000000"/>
          <w:sz w:val="28"/>
          <w:szCs w:val="22"/>
        </w:rPr>
      </w:pPr>
      <w:r>
        <w:rPr>
          <w:rFonts w:hint="eastAsia" w:ascii="宋体" w:hAnsi="宋体" w:eastAsia="宋体" w:cs="宋体"/>
          <w:color w:val="000000"/>
          <w:sz w:val="28"/>
          <w:szCs w:val="22"/>
        </w:rPr>
        <w:t>技术偏离表</w:t>
      </w:r>
    </w:p>
    <w:tbl>
      <w:tblPr>
        <w:tblStyle w:val="40"/>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2128"/>
        <w:gridCol w:w="2410"/>
        <w:gridCol w:w="1984"/>
        <w:gridCol w:w="1418"/>
      </w:tblGrid>
      <w:tr w14:paraId="6C056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957" w:type="dxa"/>
            <w:noWrap w:val="0"/>
            <w:vAlign w:val="center"/>
          </w:tcPr>
          <w:p w14:paraId="6342CBA5">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序号</w:t>
            </w:r>
          </w:p>
        </w:tc>
        <w:tc>
          <w:tcPr>
            <w:tcW w:w="2128" w:type="dxa"/>
            <w:noWrap w:val="0"/>
            <w:vAlign w:val="center"/>
          </w:tcPr>
          <w:p w14:paraId="0ED4C5DD">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设备名称</w:t>
            </w:r>
          </w:p>
        </w:tc>
        <w:tc>
          <w:tcPr>
            <w:tcW w:w="2410" w:type="dxa"/>
            <w:noWrap w:val="0"/>
            <w:vAlign w:val="center"/>
          </w:tcPr>
          <w:p w14:paraId="07CFB1A7">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招标规格</w:t>
            </w:r>
          </w:p>
        </w:tc>
        <w:tc>
          <w:tcPr>
            <w:tcW w:w="1984" w:type="dxa"/>
            <w:noWrap w:val="0"/>
            <w:vAlign w:val="center"/>
          </w:tcPr>
          <w:p w14:paraId="3103A4B7">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投标规格</w:t>
            </w:r>
          </w:p>
        </w:tc>
        <w:tc>
          <w:tcPr>
            <w:tcW w:w="1418" w:type="dxa"/>
            <w:noWrap w:val="0"/>
            <w:vAlign w:val="center"/>
          </w:tcPr>
          <w:p w14:paraId="643DEF76">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偏离说明</w:t>
            </w:r>
          </w:p>
        </w:tc>
      </w:tr>
      <w:tr w14:paraId="3D5E3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57" w:type="dxa"/>
            <w:noWrap w:val="0"/>
            <w:vAlign w:val="center"/>
          </w:tcPr>
          <w:p w14:paraId="35052DAF">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2128" w:type="dxa"/>
            <w:noWrap w:val="0"/>
            <w:vAlign w:val="top"/>
          </w:tcPr>
          <w:p w14:paraId="774CF393">
            <w:pPr>
              <w:spacing w:line="360" w:lineRule="auto"/>
              <w:rPr>
                <w:rFonts w:hint="eastAsia" w:ascii="宋体" w:hAnsi="宋体" w:eastAsia="宋体" w:cs="宋体"/>
                <w:color w:val="000000"/>
                <w:szCs w:val="21"/>
              </w:rPr>
            </w:pPr>
          </w:p>
        </w:tc>
        <w:tc>
          <w:tcPr>
            <w:tcW w:w="2410" w:type="dxa"/>
            <w:noWrap w:val="0"/>
            <w:vAlign w:val="top"/>
          </w:tcPr>
          <w:p w14:paraId="562D6A05">
            <w:pPr>
              <w:spacing w:line="360" w:lineRule="auto"/>
              <w:rPr>
                <w:rFonts w:hint="eastAsia" w:ascii="宋体" w:hAnsi="宋体" w:eastAsia="宋体" w:cs="宋体"/>
                <w:color w:val="000000"/>
                <w:szCs w:val="21"/>
              </w:rPr>
            </w:pPr>
          </w:p>
        </w:tc>
        <w:tc>
          <w:tcPr>
            <w:tcW w:w="1984" w:type="dxa"/>
            <w:noWrap w:val="0"/>
            <w:vAlign w:val="top"/>
          </w:tcPr>
          <w:p w14:paraId="69967A61">
            <w:pPr>
              <w:spacing w:line="360" w:lineRule="auto"/>
              <w:rPr>
                <w:rFonts w:hint="eastAsia" w:ascii="宋体" w:hAnsi="宋体" w:eastAsia="宋体" w:cs="宋体"/>
                <w:color w:val="000000"/>
                <w:szCs w:val="21"/>
              </w:rPr>
            </w:pPr>
          </w:p>
        </w:tc>
        <w:tc>
          <w:tcPr>
            <w:tcW w:w="1418" w:type="dxa"/>
            <w:noWrap w:val="0"/>
            <w:vAlign w:val="top"/>
          </w:tcPr>
          <w:p w14:paraId="5C46A5F7">
            <w:pPr>
              <w:spacing w:line="360" w:lineRule="auto"/>
              <w:rPr>
                <w:rFonts w:hint="eastAsia" w:ascii="宋体" w:hAnsi="宋体" w:eastAsia="宋体" w:cs="宋体"/>
                <w:color w:val="000000"/>
                <w:szCs w:val="21"/>
              </w:rPr>
            </w:pPr>
          </w:p>
        </w:tc>
      </w:tr>
      <w:tr w14:paraId="3B969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57" w:type="dxa"/>
            <w:noWrap w:val="0"/>
            <w:vAlign w:val="center"/>
          </w:tcPr>
          <w:p w14:paraId="3DCB4C12">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2128" w:type="dxa"/>
            <w:noWrap w:val="0"/>
            <w:vAlign w:val="top"/>
          </w:tcPr>
          <w:p w14:paraId="1996986E">
            <w:pPr>
              <w:spacing w:line="360" w:lineRule="auto"/>
              <w:rPr>
                <w:rFonts w:hint="eastAsia" w:ascii="宋体" w:hAnsi="宋体" w:eastAsia="宋体" w:cs="宋体"/>
                <w:color w:val="000000"/>
                <w:szCs w:val="21"/>
              </w:rPr>
            </w:pPr>
          </w:p>
        </w:tc>
        <w:tc>
          <w:tcPr>
            <w:tcW w:w="2410" w:type="dxa"/>
            <w:noWrap w:val="0"/>
            <w:vAlign w:val="top"/>
          </w:tcPr>
          <w:p w14:paraId="6D283315">
            <w:pPr>
              <w:spacing w:line="360" w:lineRule="auto"/>
              <w:rPr>
                <w:rFonts w:hint="eastAsia" w:ascii="宋体" w:hAnsi="宋体" w:eastAsia="宋体" w:cs="宋体"/>
                <w:color w:val="000000"/>
                <w:szCs w:val="21"/>
              </w:rPr>
            </w:pPr>
          </w:p>
        </w:tc>
        <w:tc>
          <w:tcPr>
            <w:tcW w:w="1984" w:type="dxa"/>
            <w:noWrap w:val="0"/>
            <w:vAlign w:val="top"/>
          </w:tcPr>
          <w:p w14:paraId="6665AAE3">
            <w:pPr>
              <w:spacing w:line="360" w:lineRule="auto"/>
              <w:rPr>
                <w:rFonts w:hint="eastAsia" w:ascii="宋体" w:hAnsi="宋体" w:eastAsia="宋体" w:cs="宋体"/>
                <w:color w:val="000000"/>
                <w:szCs w:val="21"/>
              </w:rPr>
            </w:pPr>
          </w:p>
        </w:tc>
        <w:tc>
          <w:tcPr>
            <w:tcW w:w="1418" w:type="dxa"/>
            <w:noWrap w:val="0"/>
            <w:vAlign w:val="top"/>
          </w:tcPr>
          <w:p w14:paraId="4D323068">
            <w:pPr>
              <w:spacing w:line="360" w:lineRule="auto"/>
              <w:rPr>
                <w:rFonts w:hint="eastAsia" w:ascii="宋体" w:hAnsi="宋体" w:eastAsia="宋体" w:cs="宋体"/>
                <w:color w:val="000000"/>
                <w:szCs w:val="21"/>
              </w:rPr>
            </w:pPr>
          </w:p>
        </w:tc>
      </w:tr>
      <w:tr w14:paraId="1E0AC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57" w:type="dxa"/>
            <w:noWrap w:val="0"/>
            <w:vAlign w:val="center"/>
          </w:tcPr>
          <w:p w14:paraId="33210F7F">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2128" w:type="dxa"/>
            <w:noWrap w:val="0"/>
            <w:vAlign w:val="top"/>
          </w:tcPr>
          <w:p w14:paraId="281FB9C1">
            <w:pPr>
              <w:spacing w:line="360" w:lineRule="auto"/>
              <w:rPr>
                <w:rFonts w:hint="eastAsia" w:ascii="宋体" w:hAnsi="宋体" w:eastAsia="宋体" w:cs="宋体"/>
                <w:color w:val="000000"/>
                <w:szCs w:val="21"/>
              </w:rPr>
            </w:pPr>
          </w:p>
        </w:tc>
        <w:tc>
          <w:tcPr>
            <w:tcW w:w="2410" w:type="dxa"/>
            <w:noWrap w:val="0"/>
            <w:vAlign w:val="top"/>
          </w:tcPr>
          <w:p w14:paraId="4B84575C">
            <w:pPr>
              <w:spacing w:line="360" w:lineRule="auto"/>
              <w:rPr>
                <w:rFonts w:hint="eastAsia" w:ascii="宋体" w:hAnsi="宋体" w:eastAsia="宋体" w:cs="宋体"/>
                <w:color w:val="000000"/>
                <w:szCs w:val="21"/>
              </w:rPr>
            </w:pPr>
          </w:p>
        </w:tc>
        <w:tc>
          <w:tcPr>
            <w:tcW w:w="1984" w:type="dxa"/>
            <w:noWrap w:val="0"/>
            <w:vAlign w:val="top"/>
          </w:tcPr>
          <w:p w14:paraId="1A282590">
            <w:pPr>
              <w:spacing w:line="360" w:lineRule="auto"/>
              <w:rPr>
                <w:rFonts w:hint="eastAsia" w:ascii="宋体" w:hAnsi="宋体" w:eastAsia="宋体" w:cs="宋体"/>
                <w:color w:val="000000"/>
                <w:szCs w:val="21"/>
              </w:rPr>
            </w:pPr>
          </w:p>
        </w:tc>
        <w:tc>
          <w:tcPr>
            <w:tcW w:w="1418" w:type="dxa"/>
            <w:noWrap w:val="0"/>
            <w:vAlign w:val="top"/>
          </w:tcPr>
          <w:p w14:paraId="632C22CA">
            <w:pPr>
              <w:spacing w:line="360" w:lineRule="auto"/>
              <w:rPr>
                <w:rFonts w:hint="eastAsia" w:ascii="宋体" w:hAnsi="宋体" w:eastAsia="宋体" w:cs="宋体"/>
                <w:color w:val="000000"/>
                <w:szCs w:val="21"/>
              </w:rPr>
            </w:pPr>
          </w:p>
        </w:tc>
      </w:tr>
      <w:tr w14:paraId="3B98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57" w:type="dxa"/>
            <w:noWrap w:val="0"/>
            <w:vAlign w:val="center"/>
          </w:tcPr>
          <w:p w14:paraId="2A2D409C">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2128" w:type="dxa"/>
            <w:noWrap w:val="0"/>
            <w:vAlign w:val="top"/>
          </w:tcPr>
          <w:p w14:paraId="1627D44C">
            <w:pPr>
              <w:spacing w:line="360" w:lineRule="auto"/>
              <w:rPr>
                <w:rFonts w:hint="eastAsia" w:ascii="宋体" w:hAnsi="宋体" w:eastAsia="宋体" w:cs="宋体"/>
                <w:color w:val="000000"/>
                <w:szCs w:val="21"/>
              </w:rPr>
            </w:pPr>
          </w:p>
        </w:tc>
        <w:tc>
          <w:tcPr>
            <w:tcW w:w="2410" w:type="dxa"/>
            <w:noWrap w:val="0"/>
            <w:vAlign w:val="top"/>
          </w:tcPr>
          <w:p w14:paraId="144B8D98">
            <w:pPr>
              <w:spacing w:line="360" w:lineRule="auto"/>
              <w:rPr>
                <w:rFonts w:hint="eastAsia" w:ascii="宋体" w:hAnsi="宋体" w:eastAsia="宋体" w:cs="宋体"/>
                <w:color w:val="000000"/>
                <w:szCs w:val="21"/>
              </w:rPr>
            </w:pPr>
          </w:p>
        </w:tc>
        <w:tc>
          <w:tcPr>
            <w:tcW w:w="1984" w:type="dxa"/>
            <w:noWrap w:val="0"/>
            <w:vAlign w:val="top"/>
          </w:tcPr>
          <w:p w14:paraId="59BB23C4">
            <w:pPr>
              <w:spacing w:line="360" w:lineRule="auto"/>
              <w:rPr>
                <w:rFonts w:hint="eastAsia" w:ascii="宋体" w:hAnsi="宋体" w:eastAsia="宋体" w:cs="宋体"/>
                <w:color w:val="000000"/>
                <w:szCs w:val="21"/>
              </w:rPr>
            </w:pPr>
          </w:p>
        </w:tc>
        <w:tc>
          <w:tcPr>
            <w:tcW w:w="1418" w:type="dxa"/>
            <w:noWrap w:val="0"/>
            <w:vAlign w:val="top"/>
          </w:tcPr>
          <w:p w14:paraId="0C2AC23E">
            <w:pPr>
              <w:spacing w:line="360" w:lineRule="auto"/>
              <w:rPr>
                <w:rFonts w:hint="eastAsia" w:ascii="宋体" w:hAnsi="宋体" w:eastAsia="宋体" w:cs="宋体"/>
                <w:color w:val="000000"/>
                <w:szCs w:val="21"/>
              </w:rPr>
            </w:pPr>
          </w:p>
        </w:tc>
      </w:tr>
      <w:tr w14:paraId="592E8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57" w:type="dxa"/>
            <w:noWrap w:val="0"/>
            <w:vAlign w:val="center"/>
          </w:tcPr>
          <w:p w14:paraId="5B616E18">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5</w:t>
            </w:r>
          </w:p>
        </w:tc>
        <w:tc>
          <w:tcPr>
            <w:tcW w:w="2128" w:type="dxa"/>
            <w:noWrap w:val="0"/>
            <w:vAlign w:val="top"/>
          </w:tcPr>
          <w:p w14:paraId="257A6C8E">
            <w:pPr>
              <w:spacing w:line="360" w:lineRule="auto"/>
              <w:rPr>
                <w:rFonts w:hint="eastAsia" w:ascii="宋体" w:hAnsi="宋体" w:eastAsia="宋体" w:cs="宋体"/>
                <w:color w:val="000000"/>
                <w:szCs w:val="21"/>
              </w:rPr>
            </w:pPr>
          </w:p>
        </w:tc>
        <w:tc>
          <w:tcPr>
            <w:tcW w:w="2410" w:type="dxa"/>
            <w:noWrap w:val="0"/>
            <w:vAlign w:val="top"/>
          </w:tcPr>
          <w:p w14:paraId="5932B630">
            <w:pPr>
              <w:spacing w:line="360" w:lineRule="auto"/>
              <w:rPr>
                <w:rFonts w:hint="eastAsia" w:ascii="宋体" w:hAnsi="宋体" w:eastAsia="宋体" w:cs="宋体"/>
                <w:color w:val="000000"/>
                <w:szCs w:val="21"/>
              </w:rPr>
            </w:pPr>
          </w:p>
        </w:tc>
        <w:tc>
          <w:tcPr>
            <w:tcW w:w="1984" w:type="dxa"/>
            <w:noWrap w:val="0"/>
            <w:vAlign w:val="top"/>
          </w:tcPr>
          <w:p w14:paraId="3960BAE0">
            <w:pPr>
              <w:spacing w:line="360" w:lineRule="auto"/>
              <w:rPr>
                <w:rFonts w:hint="eastAsia" w:ascii="宋体" w:hAnsi="宋体" w:eastAsia="宋体" w:cs="宋体"/>
                <w:color w:val="000000"/>
                <w:szCs w:val="21"/>
              </w:rPr>
            </w:pPr>
          </w:p>
        </w:tc>
        <w:tc>
          <w:tcPr>
            <w:tcW w:w="1418" w:type="dxa"/>
            <w:noWrap w:val="0"/>
            <w:vAlign w:val="top"/>
          </w:tcPr>
          <w:p w14:paraId="3F1CFE28">
            <w:pPr>
              <w:spacing w:line="360" w:lineRule="auto"/>
              <w:rPr>
                <w:rFonts w:hint="eastAsia" w:ascii="宋体" w:hAnsi="宋体" w:eastAsia="宋体" w:cs="宋体"/>
                <w:color w:val="000000"/>
                <w:szCs w:val="21"/>
              </w:rPr>
            </w:pPr>
          </w:p>
        </w:tc>
      </w:tr>
      <w:tr w14:paraId="4FB6B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57" w:type="dxa"/>
            <w:noWrap w:val="0"/>
            <w:vAlign w:val="center"/>
          </w:tcPr>
          <w:p w14:paraId="1A9A58C8">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6</w:t>
            </w:r>
          </w:p>
        </w:tc>
        <w:tc>
          <w:tcPr>
            <w:tcW w:w="2128" w:type="dxa"/>
            <w:noWrap w:val="0"/>
            <w:vAlign w:val="top"/>
          </w:tcPr>
          <w:p w14:paraId="72117886">
            <w:pPr>
              <w:spacing w:line="360" w:lineRule="auto"/>
              <w:rPr>
                <w:rFonts w:hint="eastAsia" w:ascii="宋体" w:hAnsi="宋体" w:eastAsia="宋体" w:cs="宋体"/>
                <w:color w:val="000000"/>
                <w:szCs w:val="21"/>
              </w:rPr>
            </w:pPr>
          </w:p>
        </w:tc>
        <w:tc>
          <w:tcPr>
            <w:tcW w:w="2410" w:type="dxa"/>
            <w:noWrap w:val="0"/>
            <w:vAlign w:val="top"/>
          </w:tcPr>
          <w:p w14:paraId="50D26B4F">
            <w:pPr>
              <w:spacing w:line="360" w:lineRule="auto"/>
              <w:rPr>
                <w:rFonts w:hint="eastAsia" w:ascii="宋体" w:hAnsi="宋体" w:eastAsia="宋体" w:cs="宋体"/>
                <w:color w:val="000000"/>
                <w:szCs w:val="21"/>
              </w:rPr>
            </w:pPr>
          </w:p>
        </w:tc>
        <w:tc>
          <w:tcPr>
            <w:tcW w:w="1984" w:type="dxa"/>
            <w:noWrap w:val="0"/>
            <w:vAlign w:val="top"/>
          </w:tcPr>
          <w:p w14:paraId="17D25C26">
            <w:pPr>
              <w:spacing w:line="360" w:lineRule="auto"/>
              <w:rPr>
                <w:rFonts w:hint="eastAsia" w:ascii="宋体" w:hAnsi="宋体" w:eastAsia="宋体" w:cs="宋体"/>
                <w:color w:val="000000"/>
                <w:szCs w:val="21"/>
              </w:rPr>
            </w:pPr>
          </w:p>
        </w:tc>
        <w:tc>
          <w:tcPr>
            <w:tcW w:w="1418" w:type="dxa"/>
            <w:noWrap w:val="0"/>
            <w:vAlign w:val="top"/>
          </w:tcPr>
          <w:p w14:paraId="25201F66">
            <w:pPr>
              <w:spacing w:line="360" w:lineRule="auto"/>
              <w:rPr>
                <w:rFonts w:hint="eastAsia" w:ascii="宋体" w:hAnsi="宋体" w:eastAsia="宋体" w:cs="宋体"/>
                <w:color w:val="000000"/>
                <w:szCs w:val="21"/>
              </w:rPr>
            </w:pPr>
          </w:p>
        </w:tc>
      </w:tr>
      <w:tr w14:paraId="55DC4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57" w:type="dxa"/>
            <w:noWrap w:val="0"/>
            <w:vAlign w:val="center"/>
          </w:tcPr>
          <w:p w14:paraId="3FFD6FCB">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w:t>
            </w:r>
          </w:p>
        </w:tc>
        <w:tc>
          <w:tcPr>
            <w:tcW w:w="2128" w:type="dxa"/>
            <w:noWrap w:val="0"/>
            <w:vAlign w:val="top"/>
          </w:tcPr>
          <w:p w14:paraId="24D0E77D">
            <w:pPr>
              <w:spacing w:line="360" w:lineRule="auto"/>
              <w:rPr>
                <w:rFonts w:hint="eastAsia" w:ascii="宋体" w:hAnsi="宋体" w:eastAsia="宋体" w:cs="宋体"/>
                <w:color w:val="000000"/>
                <w:szCs w:val="21"/>
              </w:rPr>
            </w:pPr>
          </w:p>
        </w:tc>
        <w:tc>
          <w:tcPr>
            <w:tcW w:w="2410" w:type="dxa"/>
            <w:noWrap w:val="0"/>
            <w:vAlign w:val="top"/>
          </w:tcPr>
          <w:p w14:paraId="63DB21A2">
            <w:pPr>
              <w:spacing w:line="360" w:lineRule="auto"/>
              <w:rPr>
                <w:rFonts w:hint="eastAsia" w:ascii="宋体" w:hAnsi="宋体" w:eastAsia="宋体" w:cs="宋体"/>
                <w:color w:val="000000"/>
                <w:szCs w:val="21"/>
              </w:rPr>
            </w:pPr>
          </w:p>
        </w:tc>
        <w:tc>
          <w:tcPr>
            <w:tcW w:w="1984" w:type="dxa"/>
            <w:noWrap w:val="0"/>
            <w:vAlign w:val="top"/>
          </w:tcPr>
          <w:p w14:paraId="7F65A5D0">
            <w:pPr>
              <w:spacing w:line="360" w:lineRule="auto"/>
              <w:rPr>
                <w:rFonts w:hint="eastAsia" w:ascii="宋体" w:hAnsi="宋体" w:eastAsia="宋体" w:cs="宋体"/>
                <w:color w:val="000000"/>
                <w:szCs w:val="21"/>
              </w:rPr>
            </w:pPr>
          </w:p>
        </w:tc>
        <w:tc>
          <w:tcPr>
            <w:tcW w:w="1418" w:type="dxa"/>
            <w:noWrap w:val="0"/>
            <w:vAlign w:val="top"/>
          </w:tcPr>
          <w:p w14:paraId="2BDA345B">
            <w:pPr>
              <w:spacing w:line="360" w:lineRule="auto"/>
              <w:rPr>
                <w:rFonts w:hint="eastAsia" w:ascii="宋体" w:hAnsi="宋体" w:eastAsia="宋体" w:cs="宋体"/>
                <w:color w:val="000000"/>
                <w:szCs w:val="21"/>
              </w:rPr>
            </w:pPr>
          </w:p>
        </w:tc>
      </w:tr>
      <w:tr w14:paraId="57B96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57" w:type="dxa"/>
            <w:noWrap w:val="0"/>
            <w:vAlign w:val="center"/>
          </w:tcPr>
          <w:p w14:paraId="3DAB16BD">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w:t>
            </w:r>
          </w:p>
        </w:tc>
        <w:tc>
          <w:tcPr>
            <w:tcW w:w="2128" w:type="dxa"/>
            <w:noWrap w:val="0"/>
            <w:vAlign w:val="top"/>
          </w:tcPr>
          <w:p w14:paraId="372B7BE2">
            <w:pPr>
              <w:spacing w:line="360" w:lineRule="auto"/>
              <w:rPr>
                <w:rFonts w:hint="eastAsia" w:ascii="宋体" w:hAnsi="宋体" w:eastAsia="宋体" w:cs="宋体"/>
                <w:color w:val="000000"/>
                <w:szCs w:val="21"/>
              </w:rPr>
            </w:pPr>
          </w:p>
        </w:tc>
        <w:tc>
          <w:tcPr>
            <w:tcW w:w="2410" w:type="dxa"/>
            <w:noWrap w:val="0"/>
            <w:vAlign w:val="top"/>
          </w:tcPr>
          <w:p w14:paraId="6C8377E5">
            <w:pPr>
              <w:spacing w:line="360" w:lineRule="auto"/>
              <w:rPr>
                <w:rFonts w:hint="eastAsia" w:ascii="宋体" w:hAnsi="宋体" w:eastAsia="宋体" w:cs="宋体"/>
                <w:color w:val="000000"/>
                <w:szCs w:val="21"/>
              </w:rPr>
            </w:pPr>
          </w:p>
        </w:tc>
        <w:tc>
          <w:tcPr>
            <w:tcW w:w="1984" w:type="dxa"/>
            <w:noWrap w:val="0"/>
            <w:vAlign w:val="top"/>
          </w:tcPr>
          <w:p w14:paraId="6E2FB905">
            <w:pPr>
              <w:spacing w:line="360" w:lineRule="auto"/>
              <w:rPr>
                <w:rFonts w:hint="eastAsia" w:ascii="宋体" w:hAnsi="宋体" w:eastAsia="宋体" w:cs="宋体"/>
                <w:color w:val="000000"/>
                <w:szCs w:val="21"/>
              </w:rPr>
            </w:pPr>
          </w:p>
        </w:tc>
        <w:tc>
          <w:tcPr>
            <w:tcW w:w="1418" w:type="dxa"/>
            <w:noWrap w:val="0"/>
            <w:vAlign w:val="top"/>
          </w:tcPr>
          <w:p w14:paraId="42F760B1">
            <w:pPr>
              <w:spacing w:line="360" w:lineRule="auto"/>
              <w:rPr>
                <w:rFonts w:hint="eastAsia" w:ascii="宋体" w:hAnsi="宋体" w:eastAsia="宋体" w:cs="宋体"/>
                <w:color w:val="000000"/>
                <w:szCs w:val="21"/>
              </w:rPr>
            </w:pPr>
          </w:p>
        </w:tc>
      </w:tr>
      <w:tr w14:paraId="02458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957" w:type="dxa"/>
            <w:noWrap w:val="0"/>
            <w:vAlign w:val="center"/>
          </w:tcPr>
          <w:p w14:paraId="287A70A4">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w:t>
            </w:r>
          </w:p>
        </w:tc>
        <w:tc>
          <w:tcPr>
            <w:tcW w:w="2128" w:type="dxa"/>
            <w:noWrap w:val="0"/>
            <w:vAlign w:val="top"/>
          </w:tcPr>
          <w:p w14:paraId="4454C65D">
            <w:pPr>
              <w:spacing w:line="360" w:lineRule="auto"/>
              <w:rPr>
                <w:rFonts w:hint="eastAsia" w:ascii="宋体" w:hAnsi="宋体" w:eastAsia="宋体" w:cs="宋体"/>
                <w:color w:val="000000"/>
                <w:szCs w:val="21"/>
              </w:rPr>
            </w:pPr>
          </w:p>
        </w:tc>
        <w:tc>
          <w:tcPr>
            <w:tcW w:w="2410" w:type="dxa"/>
            <w:noWrap w:val="0"/>
            <w:vAlign w:val="top"/>
          </w:tcPr>
          <w:p w14:paraId="2578CD54">
            <w:pPr>
              <w:spacing w:line="360" w:lineRule="auto"/>
              <w:rPr>
                <w:rFonts w:hint="eastAsia" w:ascii="宋体" w:hAnsi="宋体" w:eastAsia="宋体" w:cs="宋体"/>
                <w:color w:val="000000"/>
                <w:szCs w:val="21"/>
              </w:rPr>
            </w:pPr>
          </w:p>
        </w:tc>
        <w:tc>
          <w:tcPr>
            <w:tcW w:w="1984" w:type="dxa"/>
            <w:noWrap w:val="0"/>
            <w:vAlign w:val="top"/>
          </w:tcPr>
          <w:p w14:paraId="38DCE2F1">
            <w:pPr>
              <w:spacing w:line="360" w:lineRule="auto"/>
              <w:rPr>
                <w:rFonts w:hint="eastAsia" w:ascii="宋体" w:hAnsi="宋体" w:eastAsia="宋体" w:cs="宋体"/>
                <w:color w:val="000000"/>
                <w:szCs w:val="21"/>
              </w:rPr>
            </w:pPr>
          </w:p>
        </w:tc>
        <w:tc>
          <w:tcPr>
            <w:tcW w:w="1418" w:type="dxa"/>
            <w:noWrap w:val="0"/>
            <w:vAlign w:val="top"/>
          </w:tcPr>
          <w:p w14:paraId="476A88BB">
            <w:pPr>
              <w:spacing w:line="360" w:lineRule="auto"/>
              <w:rPr>
                <w:rFonts w:hint="eastAsia" w:ascii="宋体" w:hAnsi="宋体" w:eastAsia="宋体" w:cs="宋体"/>
                <w:color w:val="000000"/>
                <w:szCs w:val="21"/>
              </w:rPr>
            </w:pPr>
          </w:p>
        </w:tc>
      </w:tr>
    </w:tbl>
    <w:p w14:paraId="0D455323">
      <w:pPr>
        <w:rPr>
          <w:rFonts w:hint="eastAsia" w:ascii="宋体" w:hAnsi="宋体" w:eastAsia="宋体" w:cs="宋体"/>
          <w:color w:val="000000"/>
        </w:rPr>
      </w:pPr>
    </w:p>
    <w:p w14:paraId="3CAE505E">
      <w:pPr>
        <w:pStyle w:val="18"/>
        <w:spacing w:line="400" w:lineRule="exact"/>
        <w:ind w:firstLine="0" w:firstLineChars="0"/>
        <w:rPr>
          <w:rFonts w:hint="eastAsia" w:ascii="宋体" w:hAnsi="宋体" w:eastAsia="宋体" w:cs="宋体"/>
          <w:color w:val="000000"/>
          <w:sz w:val="24"/>
          <w:szCs w:val="24"/>
        </w:rPr>
      </w:pPr>
      <w:r>
        <w:rPr>
          <w:rFonts w:hint="eastAsia" w:ascii="宋体" w:hAnsi="宋体" w:eastAsia="宋体" w:cs="宋体"/>
          <w:color w:val="000000"/>
          <w:spacing w:val="-2"/>
          <w:sz w:val="28"/>
          <w:szCs w:val="28"/>
        </w:rPr>
        <w:t>注：</w:t>
      </w:r>
      <w:r>
        <w:rPr>
          <w:rFonts w:hint="eastAsia" w:ascii="宋体" w:hAnsi="宋体" w:eastAsia="宋体" w:cs="宋体"/>
          <w:color w:val="000000"/>
          <w:sz w:val="24"/>
          <w:szCs w:val="24"/>
        </w:rPr>
        <w:t>1.供应商应根据自身提供的设备，对照磋商文件要求，在“偏离说明”中注明“正偏离”、“负偏离”或者“无偏离”。既不属于“正偏离”也不属于“负偏离”即为“无偏离”。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67E5730E">
      <w:pPr>
        <w:pStyle w:val="130"/>
        <w:numPr>
          <w:ilvl w:val="0"/>
          <w:numId w:val="18"/>
        </w:numPr>
        <w:spacing w:line="400" w:lineRule="exact"/>
        <w:ind w:firstLineChars="0"/>
        <w:rPr>
          <w:rFonts w:hint="eastAsia" w:ascii="宋体" w:hAnsi="宋体" w:eastAsia="宋体" w:cs="宋体"/>
          <w:color w:val="000000"/>
          <w:kern w:val="0"/>
          <w:sz w:val="24"/>
        </w:rPr>
      </w:pPr>
      <w:r>
        <w:rPr>
          <w:rFonts w:hint="eastAsia" w:ascii="宋体" w:hAnsi="宋体" w:eastAsia="宋体" w:cs="宋体"/>
          <w:color w:val="000000"/>
          <w:kern w:val="0"/>
          <w:sz w:val="24"/>
        </w:rPr>
        <w:t>表格中</w:t>
      </w:r>
      <w:r>
        <w:rPr>
          <w:rFonts w:hint="eastAsia" w:ascii="宋体" w:hAnsi="宋体" w:eastAsia="宋体" w:cs="宋体"/>
          <w:color w:val="000000"/>
          <w:sz w:val="24"/>
        </w:rPr>
        <w:t>“偏离说明”</w:t>
      </w:r>
      <w:r>
        <w:rPr>
          <w:rFonts w:hint="eastAsia" w:ascii="宋体" w:hAnsi="宋体" w:eastAsia="宋体" w:cs="宋体"/>
          <w:color w:val="000000"/>
          <w:kern w:val="0"/>
          <w:sz w:val="24"/>
        </w:rPr>
        <w:t>，不得留空，否则按竞标无效处理。</w:t>
      </w:r>
    </w:p>
    <w:p w14:paraId="65F598AE">
      <w:pPr>
        <w:pStyle w:val="129"/>
        <w:keepNext w:val="0"/>
        <w:keepLines w:val="0"/>
        <w:pageBreakBefore w:val="0"/>
        <w:widowControl/>
        <w:kinsoku/>
        <w:wordWrap/>
        <w:overflowPunct/>
        <w:topLinePunct w:val="0"/>
        <w:autoSpaceDE/>
        <w:autoSpaceDN/>
        <w:bidi w:val="0"/>
        <w:adjustRightInd/>
        <w:snapToGrid/>
        <w:spacing w:line="360" w:lineRule="auto"/>
        <w:jc w:val="left"/>
        <w:textAlignment w:val="auto"/>
        <w:outlineLvl w:val="2"/>
        <w:rPr>
          <w:rFonts w:hint="eastAsia" w:ascii="宋体" w:hAnsi="宋体" w:eastAsia="宋体" w:cs="宋体"/>
          <w:b w:val="0"/>
          <w:bCs/>
          <w:color w:val="000000"/>
          <w:sz w:val="28"/>
          <w:szCs w:val="22"/>
        </w:rPr>
      </w:pPr>
      <w:r>
        <w:rPr>
          <w:rFonts w:hint="eastAsia" w:ascii="宋体" w:hAnsi="宋体" w:eastAsia="宋体" w:cs="宋体"/>
          <w:color w:val="000000"/>
          <w:sz w:val="28"/>
          <w:szCs w:val="22"/>
        </w:rPr>
        <w:br w:type="page"/>
      </w:r>
      <w:bookmarkStart w:id="191" w:name="_Toc139389591"/>
      <w:r>
        <w:rPr>
          <w:rFonts w:hint="eastAsia" w:ascii="宋体" w:hAnsi="宋体" w:eastAsia="宋体" w:cs="宋体"/>
          <w:b w:val="0"/>
          <w:bCs/>
          <w:color w:val="000000"/>
          <w:sz w:val="28"/>
          <w:szCs w:val="22"/>
          <w:lang w:val="en-US" w:eastAsia="zh-CN"/>
        </w:rPr>
        <w:t>附件17、</w:t>
      </w:r>
      <w:r>
        <w:rPr>
          <w:rFonts w:hint="eastAsia" w:ascii="宋体" w:hAnsi="宋体" w:eastAsia="宋体" w:cs="宋体"/>
          <w:b w:val="0"/>
          <w:bCs/>
          <w:color w:val="000000"/>
          <w:sz w:val="28"/>
          <w:szCs w:val="22"/>
        </w:rPr>
        <w:t>项目实施方案</w:t>
      </w:r>
      <w:bookmarkEnd w:id="191"/>
    </w:p>
    <w:p w14:paraId="545B4498">
      <w:pPr>
        <w:pStyle w:val="129"/>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default" w:ascii="宋体" w:hAnsi="宋体" w:eastAsia="宋体" w:cs="宋体"/>
          <w:b/>
          <w:bCs w:val="0"/>
          <w:color w:val="000000"/>
          <w:sz w:val="28"/>
          <w:szCs w:val="22"/>
          <w:lang w:val="en-US" w:eastAsia="zh-CN"/>
        </w:rPr>
      </w:pPr>
      <w:r>
        <w:rPr>
          <w:rFonts w:hint="eastAsia" w:ascii="宋体" w:hAnsi="宋体" w:eastAsia="宋体" w:cs="宋体"/>
          <w:b/>
          <w:bCs w:val="0"/>
          <w:color w:val="000000"/>
          <w:sz w:val="28"/>
          <w:szCs w:val="22"/>
          <w:lang w:val="en-US" w:eastAsia="zh-CN"/>
        </w:rPr>
        <w:t>项目实施方案</w:t>
      </w:r>
    </w:p>
    <w:p w14:paraId="786EE3D3">
      <w:pPr>
        <w:spacing w:line="360" w:lineRule="auto"/>
        <w:rPr>
          <w:rFonts w:hint="eastAsia" w:ascii="宋体" w:hAnsi="宋体" w:eastAsia="宋体" w:cs="宋体"/>
          <w:color w:val="000000"/>
          <w:sz w:val="24"/>
          <w:szCs w:val="28"/>
        </w:rPr>
      </w:pPr>
    </w:p>
    <w:p w14:paraId="5F88FF87">
      <w:pPr>
        <w:spacing w:line="360" w:lineRule="auto"/>
        <w:ind w:firstLine="540" w:firstLineChars="200"/>
        <w:rPr>
          <w:rFonts w:hint="eastAsia" w:ascii="宋体" w:hAnsi="宋体" w:eastAsia="宋体" w:cs="宋体"/>
          <w:color w:val="000000"/>
          <w:sz w:val="24"/>
          <w:szCs w:val="28"/>
          <w:lang w:val="en-US" w:eastAsia="zh-CN"/>
        </w:rPr>
      </w:pPr>
      <w:r>
        <w:rPr>
          <w:rFonts w:hint="eastAsia" w:ascii="宋体" w:hAnsi="宋体" w:eastAsia="宋体" w:cs="宋体"/>
          <w:color w:val="000000"/>
          <w:sz w:val="24"/>
          <w:szCs w:val="28"/>
        </w:rPr>
        <w:t>供应商应根据竞争性磋商文件《第三章 采购需求》和《第四章 评审方法》的规定自行编写，详细叙述拟提供服务情况。</w:t>
      </w:r>
      <w:r>
        <w:rPr>
          <w:rFonts w:hint="eastAsia" w:ascii="宋体" w:hAnsi="宋体" w:eastAsia="宋体" w:cs="宋体"/>
          <w:color w:val="000000"/>
          <w:sz w:val="24"/>
          <w:szCs w:val="28"/>
          <w:lang w:val="en-US" w:eastAsia="zh-CN"/>
        </w:rPr>
        <w:t>格式可自拟。</w:t>
      </w:r>
    </w:p>
    <w:p w14:paraId="0C8452CE">
      <w:pPr>
        <w:pStyle w:val="73"/>
        <w:spacing w:after="120" w:line="240" w:lineRule="exact"/>
        <w:jc w:val="both"/>
        <w:rPr>
          <w:rFonts w:hint="eastAsia" w:ascii="宋体" w:hAnsi="宋体" w:eastAsia="宋体" w:cs="宋体"/>
          <w:bCs/>
          <w:color w:val="000000"/>
          <w:sz w:val="28"/>
          <w:szCs w:val="28"/>
        </w:rPr>
      </w:pPr>
    </w:p>
    <w:p w14:paraId="5BB89F62">
      <w:pPr>
        <w:keepNext w:val="0"/>
        <w:keepLines w:val="0"/>
        <w:pageBreakBefore w:val="0"/>
        <w:widowControl w:val="0"/>
        <w:numPr>
          <w:ilvl w:val="0"/>
          <w:numId w:val="0"/>
        </w:numPr>
        <w:kinsoku/>
        <w:wordWrap/>
        <w:overflowPunct/>
        <w:topLinePunct w:val="0"/>
        <w:autoSpaceDE/>
        <w:autoSpaceDN/>
        <w:bidi w:val="0"/>
        <w:adjustRightInd/>
        <w:snapToGrid/>
        <w:spacing w:after="126" w:afterLines="40" w:line="240" w:lineRule="auto"/>
        <w:ind w:right="0" w:rightChars="0"/>
        <w:jc w:val="left"/>
        <w:textAlignment w:val="auto"/>
        <w:outlineLvl w:val="9"/>
        <w:rPr>
          <w:rFonts w:hint="eastAsia" w:ascii="宋体" w:hAnsi="宋体" w:eastAsia="宋体" w:cs="宋体"/>
          <w:b w:val="0"/>
          <w:bCs w:val="0"/>
          <w:i w:val="0"/>
          <w:iCs w:val="0"/>
          <w:color w:val="auto"/>
          <w:spacing w:val="0"/>
          <w:sz w:val="21"/>
          <w:szCs w:val="21"/>
          <w:lang w:val="en-US" w:eastAsia="zh-CN"/>
        </w:rPr>
      </w:pPr>
      <w:r>
        <w:rPr>
          <w:rFonts w:hint="eastAsia" w:ascii="宋体" w:hAnsi="宋体" w:eastAsia="宋体" w:cs="宋体"/>
          <w:color w:val="000000"/>
          <w:sz w:val="28"/>
          <w:szCs w:val="22"/>
        </w:rPr>
        <w:br w:type="page"/>
      </w:r>
    </w:p>
    <w:p w14:paraId="412F62EA">
      <w:pPr>
        <w:rPr>
          <w:rFonts w:hint="eastAsia" w:ascii="宋体" w:hAnsi="宋体" w:eastAsia="宋体" w:cs="宋体"/>
          <w:bCs/>
          <w:color w:val="000000"/>
          <w:sz w:val="28"/>
          <w:szCs w:val="28"/>
        </w:rPr>
      </w:pPr>
      <w:r>
        <w:rPr>
          <w:rFonts w:hint="eastAsia"/>
          <w:lang w:val="en-US" w:eastAsia="zh-CN"/>
        </w:rPr>
        <w:t>附件18、</w:t>
      </w:r>
      <w:r>
        <w:rPr>
          <w:rFonts w:hint="eastAsia" w:ascii="宋体" w:hAnsi="宋体" w:eastAsia="宋体" w:cs="宋体"/>
          <w:bCs/>
          <w:color w:val="000000"/>
          <w:sz w:val="28"/>
          <w:szCs w:val="28"/>
        </w:rPr>
        <w:t>其他声明及文件资料</w:t>
      </w:r>
    </w:p>
    <w:p w14:paraId="05214297">
      <w:pPr>
        <w:pStyle w:val="114"/>
        <w:adjustRightInd w:val="0"/>
        <w:snapToGrid w:val="0"/>
        <w:spacing w:line="360" w:lineRule="auto"/>
        <w:ind w:firstLine="480" w:firstLineChars="200"/>
        <w:rPr>
          <w:rFonts w:hint="eastAsia" w:ascii="宋体" w:hAnsi="宋体" w:eastAsia="宋体" w:cs="宋体"/>
          <w:color w:val="000000"/>
          <w:sz w:val="24"/>
          <w:szCs w:val="24"/>
        </w:rPr>
      </w:pPr>
    </w:p>
    <w:p w14:paraId="69131380">
      <w:pPr>
        <w:pStyle w:val="102"/>
        <w:keepNext w:val="0"/>
        <w:keepLines w:val="0"/>
        <w:pageBreakBefore w:val="0"/>
        <w:widowControl/>
        <w:kinsoku/>
        <w:wordWrap/>
        <w:overflowPunct/>
        <w:topLinePunct w:val="0"/>
        <w:autoSpaceDE/>
        <w:autoSpaceDN/>
        <w:bidi w:val="0"/>
        <w:adjustRightInd/>
        <w:snapToGrid/>
        <w:ind w:firstLine="482" w:firstLineChars="200"/>
        <w:textAlignment w:val="auto"/>
        <w:outlineLvl w:val="9"/>
        <w:rPr>
          <w:rFonts w:hint="eastAsia" w:ascii="宋体" w:hAnsi="宋体" w:eastAsia="宋体" w:cs="宋体"/>
          <w:bCs/>
          <w:color w:val="000000"/>
          <w:lang w:val="en-US" w:eastAsia="zh-CN"/>
        </w:rPr>
      </w:pPr>
      <w:bookmarkStart w:id="192" w:name="_Toc139389583"/>
      <w:bookmarkStart w:id="193" w:name="_Toc27395"/>
      <w:r>
        <w:rPr>
          <w:rFonts w:hint="eastAsia" w:ascii="宋体" w:hAnsi="宋体" w:eastAsia="宋体" w:cs="宋体"/>
          <w:color w:val="000000"/>
          <w:sz w:val="24"/>
        </w:rPr>
        <w:t>供应商认为需要提供的其他声明及文件资料。</w:t>
      </w:r>
      <w:bookmarkEnd w:id="192"/>
      <w:bookmarkEnd w:id="193"/>
    </w:p>
    <w:sectPr>
      <w:footerReference r:id="rId4" w:type="default"/>
      <w:pgSz w:w="11907" w:h="16840"/>
      <w:pgMar w:top="1247" w:right="1247" w:bottom="1247" w:left="1247" w:header="720" w:footer="720"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Calibri Light">
    <w:panose1 w:val="020F03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方正小标宋简体">
    <w:altName w:val="黑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1DC3A">
    <w:pPr>
      <w:pStyle w:val="2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889FEC">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9889FEC">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BD154">
    <w:pPr>
      <w:spacing w:line="167" w:lineRule="auto"/>
      <w:rPr>
        <w:rFonts w:ascii="Calibri" w:hAnsi="Calibri" w:eastAsia="Calibri" w:cs="Calibri"/>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61FB7C"/>
    <w:multiLevelType w:val="singleLevel"/>
    <w:tmpl w:val="9D61FB7C"/>
    <w:lvl w:ilvl="0" w:tentative="0">
      <w:start w:val="1"/>
      <w:numFmt w:val="decimal"/>
      <w:suff w:val="nothing"/>
      <w:lvlText w:val="（%1）"/>
      <w:lvlJc w:val="left"/>
    </w:lvl>
  </w:abstractNum>
  <w:abstractNum w:abstractNumId="1">
    <w:nsid w:val="383DBE26"/>
    <w:multiLevelType w:val="singleLevel"/>
    <w:tmpl w:val="383DBE26"/>
    <w:lvl w:ilvl="0" w:tentative="0">
      <w:start w:val="1"/>
      <w:numFmt w:val="decimal"/>
      <w:lvlText w:val="%1."/>
      <w:lvlJc w:val="left"/>
      <w:pPr>
        <w:tabs>
          <w:tab w:val="left" w:pos="312"/>
        </w:tabs>
      </w:pPr>
    </w:lvl>
  </w:abstractNum>
  <w:abstractNum w:abstractNumId="2">
    <w:nsid w:val="59E834B7"/>
    <w:multiLevelType w:val="multilevel"/>
    <w:tmpl w:val="59E834B7"/>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59E83552"/>
    <w:multiLevelType w:val="singleLevel"/>
    <w:tmpl w:val="59E83552"/>
    <w:lvl w:ilvl="0" w:tentative="0">
      <w:start w:val="1"/>
      <w:numFmt w:val="decimal"/>
      <w:lvlText w:val="(%1)"/>
      <w:lvlJc w:val="left"/>
      <w:pPr>
        <w:tabs>
          <w:tab w:val="left" w:pos="312"/>
        </w:tabs>
      </w:pPr>
    </w:lvl>
  </w:abstractNum>
  <w:abstractNum w:abstractNumId="4">
    <w:nsid w:val="59E836A1"/>
    <w:multiLevelType w:val="singleLevel"/>
    <w:tmpl w:val="59E836A1"/>
    <w:lvl w:ilvl="0" w:tentative="0">
      <w:start w:val="1"/>
      <w:numFmt w:val="decimal"/>
      <w:suff w:val="nothing"/>
      <w:lvlText w:val="（%1）"/>
      <w:lvlJc w:val="left"/>
    </w:lvl>
  </w:abstractNum>
  <w:abstractNum w:abstractNumId="5">
    <w:nsid w:val="59E836BA"/>
    <w:multiLevelType w:val="singleLevel"/>
    <w:tmpl w:val="59E836BA"/>
    <w:lvl w:ilvl="0" w:tentative="0">
      <w:start w:val="1"/>
      <w:numFmt w:val="decimal"/>
      <w:suff w:val="nothing"/>
      <w:lvlText w:val="（%1）"/>
      <w:lvlJc w:val="left"/>
    </w:lvl>
  </w:abstractNum>
  <w:abstractNum w:abstractNumId="6">
    <w:nsid w:val="59E83889"/>
    <w:multiLevelType w:val="singleLevel"/>
    <w:tmpl w:val="59E83889"/>
    <w:lvl w:ilvl="0" w:tentative="0">
      <w:start w:val="1"/>
      <w:numFmt w:val="decimal"/>
      <w:suff w:val="nothing"/>
      <w:lvlText w:val="（%1）"/>
      <w:lvlJc w:val="left"/>
    </w:lvl>
  </w:abstractNum>
  <w:abstractNum w:abstractNumId="7">
    <w:nsid w:val="59E856AA"/>
    <w:multiLevelType w:val="singleLevel"/>
    <w:tmpl w:val="59E856AA"/>
    <w:lvl w:ilvl="0" w:tentative="0">
      <w:start w:val="1"/>
      <w:numFmt w:val="decimal"/>
      <w:suff w:val="nothing"/>
      <w:lvlText w:val="（%1）"/>
      <w:lvlJc w:val="left"/>
    </w:lvl>
  </w:abstractNum>
  <w:abstractNum w:abstractNumId="8">
    <w:nsid w:val="59E85A9C"/>
    <w:multiLevelType w:val="singleLevel"/>
    <w:tmpl w:val="59E85A9C"/>
    <w:lvl w:ilvl="0" w:tentative="0">
      <w:start w:val="1"/>
      <w:numFmt w:val="decimal"/>
      <w:lvlText w:val="(%1)"/>
      <w:lvlJc w:val="left"/>
      <w:pPr>
        <w:tabs>
          <w:tab w:val="left" w:pos="312"/>
        </w:tabs>
      </w:pPr>
    </w:lvl>
  </w:abstractNum>
  <w:abstractNum w:abstractNumId="9">
    <w:nsid w:val="59E85C57"/>
    <w:multiLevelType w:val="singleLevel"/>
    <w:tmpl w:val="59E85C57"/>
    <w:lvl w:ilvl="0" w:tentative="0">
      <w:start w:val="1"/>
      <w:numFmt w:val="decimal"/>
      <w:lvlText w:val="(%1)"/>
      <w:lvlJc w:val="left"/>
      <w:pPr>
        <w:tabs>
          <w:tab w:val="left" w:pos="312"/>
        </w:tabs>
      </w:pPr>
    </w:lvl>
  </w:abstractNum>
  <w:abstractNum w:abstractNumId="10">
    <w:nsid w:val="59E86FAC"/>
    <w:multiLevelType w:val="singleLevel"/>
    <w:tmpl w:val="59E86FAC"/>
    <w:lvl w:ilvl="0" w:tentative="0">
      <w:start w:val="1"/>
      <w:numFmt w:val="decimal"/>
      <w:suff w:val="nothing"/>
      <w:lvlText w:val="（%1）"/>
      <w:lvlJc w:val="left"/>
    </w:lvl>
  </w:abstractNum>
  <w:abstractNum w:abstractNumId="11">
    <w:nsid w:val="59E86FC9"/>
    <w:multiLevelType w:val="singleLevel"/>
    <w:tmpl w:val="59E86FC9"/>
    <w:lvl w:ilvl="0" w:tentative="0">
      <w:start w:val="1"/>
      <w:numFmt w:val="decimal"/>
      <w:lvlText w:val="(%1)"/>
      <w:lvlJc w:val="left"/>
      <w:pPr>
        <w:tabs>
          <w:tab w:val="left" w:pos="312"/>
        </w:tabs>
      </w:pPr>
    </w:lvl>
  </w:abstractNum>
  <w:abstractNum w:abstractNumId="12">
    <w:nsid w:val="59E8708D"/>
    <w:multiLevelType w:val="singleLevel"/>
    <w:tmpl w:val="59E8708D"/>
    <w:lvl w:ilvl="0" w:tentative="0">
      <w:start w:val="1"/>
      <w:numFmt w:val="decimal"/>
      <w:lvlText w:val="(%1)"/>
      <w:lvlJc w:val="left"/>
      <w:pPr>
        <w:tabs>
          <w:tab w:val="left" w:pos="312"/>
        </w:tabs>
      </w:pPr>
    </w:lvl>
  </w:abstractNum>
  <w:abstractNum w:abstractNumId="13">
    <w:nsid w:val="59E870C0"/>
    <w:multiLevelType w:val="singleLevel"/>
    <w:tmpl w:val="59E870C0"/>
    <w:lvl w:ilvl="0" w:tentative="0">
      <w:start w:val="1"/>
      <w:numFmt w:val="decimal"/>
      <w:lvlText w:val="(%1)"/>
      <w:lvlJc w:val="left"/>
      <w:pPr>
        <w:tabs>
          <w:tab w:val="left" w:pos="312"/>
        </w:tabs>
      </w:pPr>
    </w:lvl>
  </w:abstractNum>
  <w:abstractNum w:abstractNumId="14">
    <w:nsid w:val="59E870EF"/>
    <w:multiLevelType w:val="singleLevel"/>
    <w:tmpl w:val="59E870EF"/>
    <w:lvl w:ilvl="0" w:tentative="0">
      <w:start w:val="1"/>
      <w:numFmt w:val="decimal"/>
      <w:lvlText w:val="(%1)"/>
      <w:lvlJc w:val="left"/>
      <w:pPr>
        <w:tabs>
          <w:tab w:val="left" w:pos="312"/>
        </w:tabs>
      </w:pPr>
    </w:lvl>
  </w:abstractNum>
  <w:abstractNum w:abstractNumId="15">
    <w:nsid w:val="59EEFA64"/>
    <w:multiLevelType w:val="singleLevel"/>
    <w:tmpl w:val="59EEFA64"/>
    <w:lvl w:ilvl="0" w:tentative="0">
      <w:start w:val="1"/>
      <w:numFmt w:val="decimal"/>
      <w:lvlText w:val="(%1)"/>
      <w:lvlJc w:val="left"/>
      <w:pPr>
        <w:tabs>
          <w:tab w:val="left" w:pos="312"/>
        </w:tabs>
      </w:pPr>
    </w:lvl>
  </w:abstractNum>
  <w:abstractNum w:abstractNumId="16">
    <w:nsid w:val="59EEFC7D"/>
    <w:multiLevelType w:val="singleLevel"/>
    <w:tmpl w:val="59EEFC7D"/>
    <w:lvl w:ilvl="0" w:tentative="0">
      <w:start w:val="2"/>
      <w:numFmt w:val="decimal"/>
      <w:lvlText w:val="(%1)"/>
      <w:lvlJc w:val="left"/>
      <w:pPr>
        <w:tabs>
          <w:tab w:val="left" w:pos="312"/>
        </w:tabs>
      </w:pPr>
    </w:lvl>
  </w:abstractNum>
  <w:abstractNum w:abstractNumId="17">
    <w:nsid w:val="65720803"/>
    <w:multiLevelType w:val="multilevel"/>
    <w:tmpl w:val="65720803"/>
    <w:lvl w:ilvl="0" w:tentative="0">
      <w:start w:val="1"/>
      <w:numFmt w:val="decimal"/>
      <w:lvlText w:val="%1."/>
      <w:lvlJc w:val="left"/>
      <w:pPr>
        <w:tabs>
          <w:tab w:val="left" w:pos="360"/>
        </w:tabs>
        <w:ind w:left="360" w:hanging="360"/>
      </w:pPr>
      <w:rPr>
        <w:rFonts w:hint="default" w:ascii="宋体" w:hAnsi="宋体" w:eastAsia="宋体"/>
        <w:b w:val="0"/>
      </w:rPr>
    </w:lvl>
    <w:lvl w:ilvl="1" w:tentative="0">
      <w:start w:val="1"/>
      <w:numFmt w:val="decimal"/>
      <w:lvlText w:val="(%2)"/>
      <w:lvlJc w:val="left"/>
      <w:pPr>
        <w:tabs>
          <w:tab w:val="left" w:pos="230"/>
        </w:tabs>
        <w:ind w:left="230" w:firstLine="0"/>
      </w:pPr>
      <w:rPr>
        <w:rFonts w:hint="default"/>
        <w:b w:val="0"/>
      </w:rPr>
    </w:lvl>
    <w:lvl w:ilvl="2" w:tentative="0">
      <w:start w:val="1"/>
      <w:numFmt w:val="decimal"/>
      <w:lvlText w:val="%1.%2.%3"/>
      <w:lvlJc w:val="left"/>
      <w:pPr>
        <w:tabs>
          <w:tab w:val="left" w:pos="1180"/>
        </w:tabs>
        <w:ind w:left="1180" w:hanging="720"/>
      </w:pPr>
      <w:rPr>
        <w:rFonts w:hint="default"/>
      </w:rPr>
    </w:lvl>
    <w:lvl w:ilvl="3" w:tentative="0">
      <w:start w:val="1"/>
      <w:numFmt w:val="decimal"/>
      <w:lvlText w:val="%1.%2.%3.%4"/>
      <w:lvlJc w:val="left"/>
      <w:pPr>
        <w:tabs>
          <w:tab w:val="left" w:pos="1770"/>
        </w:tabs>
        <w:ind w:left="1770" w:hanging="1080"/>
      </w:pPr>
      <w:rPr>
        <w:rFonts w:hint="default"/>
      </w:rPr>
    </w:lvl>
    <w:lvl w:ilvl="4" w:tentative="0">
      <w:start w:val="1"/>
      <w:numFmt w:val="decimal"/>
      <w:lvlText w:val="%1.%2.%3.%4.%5"/>
      <w:lvlJc w:val="left"/>
      <w:pPr>
        <w:tabs>
          <w:tab w:val="left" w:pos="2000"/>
        </w:tabs>
        <w:ind w:left="2000" w:hanging="1080"/>
      </w:pPr>
      <w:rPr>
        <w:rFonts w:hint="default"/>
      </w:rPr>
    </w:lvl>
    <w:lvl w:ilvl="5" w:tentative="0">
      <w:start w:val="1"/>
      <w:numFmt w:val="decimal"/>
      <w:lvlText w:val="%1.%2.%3.%4.%5.%6"/>
      <w:lvlJc w:val="left"/>
      <w:pPr>
        <w:tabs>
          <w:tab w:val="left" w:pos="2590"/>
        </w:tabs>
        <w:ind w:left="2590" w:hanging="1440"/>
      </w:pPr>
      <w:rPr>
        <w:rFonts w:hint="default"/>
      </w:rPr>
    </w:lvl>
    <w:lvl w:ilvl="6" w:tentative="0">
      <w:start w:val="1"/>
      <w:numFmt w:val="decimal"/>
      <w:lvlText w:val="%1.%2.%3.%4.%5.%6.%7"/>
      <w:lvlJc w:val="left"/>
      <w:pPr>
        <w:tabs>
          <w:tab w:val="left" w:pos="3180"/>
        </w:tabs>
        <w:ind w:left="3180" w:hanging="1800"/>
      </w:pPr>
      <w:rPr>
        <w:rFonts w:hint="default"/>
      </w:rPr>
    </w:lvl>
    <w:lvl w:ilvl="7" w:tentative="0">
      <w:start w:val="1"/>
      <w:numFmt w:val="decimal"/>
      <w:lvlText w:val="%1.%2.%3.%4.%5.%6.%7.%8"/>
      <w:lvlJc w:val="left"/>
      <w:pPr>
        <w:tabs>
          <w:tab w:val="left" w:pos="3410"/>
        </w:tabs>
        <w:ind w:left="3410" w:hanging="1800"/>
      </w:pPr>
      <w:rPr>
        <w:rFonts w:hint="default"/>
      </w:rPr>
    </w:lvl>
    <w:lvl w:ilvl="8" w:tentative="0">
      <w:start w:val="1"/>
      <w:numFmt w:val="decimal"/>
      <w:lvlText w:val="%1.%2.%3.%4.%5.%6.%7.%8.%9"/>
      <w:lvlJc w:val="left"/>
      <w:pPr>
        <w:tabs>
          <w:tab w:val="left" w:pos="4000"/>
        </w:tabs>
        <w:ind w:left="4000" w:hanging="2160"/>
      </w:pPr>
      <w:rPr>
        <w:rFonts w:hint="default"/>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15"/>
  </w:num>
  <w:num w:numId="8">
    <w:abstractNumId w:val="16"/>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0"/>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yMTAzYzA4Yzg1OTkwZDM2Mjg5MTk1ZmFmNTdjNDEifQ=="/>
    <w:docVar w:name="KSO_WPS_MARK_KEY" w:val="42131246-9b0a-42aa-ad6a-e15f8d7281ad"/>
  </w:docVars>
  <w:rsids>
    <w:rsidRoot w:val="392859DB"/>
    <w:rsid w:val="002623CB"/>
    <w:rsid w:val="00321419"/>
    <w:rsid w:val="00410096"/>
    <w:rsid w:val="005B002B"/>
    <w:rsid w:val="00636A0E"/>
    <w:rsid w:val="007D42C2"/>
    <w:rsid w:val="00A03467"/>
    <w:rsid w:val="00A344BC"/>
    <w:rsid w:val="00A346D0"/>
    <w:rsid w:val="01141165"/>
    <w:rsid w:val="011B40BF"/>
    <w:rsid w:val="01343672"/>
    <w:rsid w:val="013717F4"/>
    <w:rsid w:val="01371A06"/>
    <w:rsid w:val="013A48AE"/>
    <w:rsid w:val="013B0349"/>
    <w:rsid w:val="013D43AA"/>
    <w:rsid w:val="01573029"/>
    <w:rsid w:val="019415B1"/>
    <w:rsid w:val="01D36773"/>
    <w:rsid w:val="01E2606B"/>
    <w:rsid w:val="01F372FD"/>
    <w:rsid w:val="02203BC2"/>
    <w:rsid w:val="02311696"/>
    <w:rsid w:val="02366010"/>
    <w:rsid w:val="02463B38"/>
    <w:rsid w:val="024C374F"/>
    <w:rsid w:val="0254077F"/>
    <w:rsid w:val="028265A2"/>
    <w:rsid w:val="02837536"/>
    <w:rsid w:val="02867E41"/>
    <w:rsid w:val="02890615"/>
    <w:rsid w:val="028F40CC"/>
    <w:rsid w:val="02953056"/>
    <w:rsid w:val="02B93844"/>
    <w:rsid w:val="02E82D31"/>
    <w:rsid w:val="03093762"/>
    <w:rsid w:val="030A0A72"/>
    <w:rsid w:val="031348EE"/>
    <w:rsid w:val="032D4760"/>
    <w:rsid w:val="032D4957"/>
    <w:rsid w:val="033272EC"/>
    <w:rsid w:val="033B50CF"/>
    <w:rsid w:val="0344764C"/>
    <w:rsid w:val="03A367D0"/>
    <w:rsid w:val="03AA0E0C"/>
    <w:rsid w:val="03BB6CD5"/>
    <w:rsid w:val="03C4511B"/>
    <w:rsid w:val="03E2354E"/>
    <w:rsid w:val="03E6188F"/>
    <w:rsid w:val="03EE0087"/>
    <w:rsid w:val="0405156D"/>
    <w:rsid w:val="0411151D"/>
    <w:rsid w:val="041B1A47"/>
    <w:rsid w:val="0428019F"/>
    <w:rsid w:val="042F1E57"/>
    <w:rsid w:val="04702B56"/>
    <w:rsid w:val="04813131"/>
    <w:rsid w:val="049D5915"/>
    <w:rsid w:val="049E20B1"/>
    <w:rsid w:val="04B769D7"/>
    <w:rsid w:val="04C63BD8"/>
    <w:rsid w:val="04D40428"/>
    <w:rsid w:val="04E60431"/>
    <w:rsid w:val="04F33621"/>
    <w:rsid w:val="05051FFE"/>
    <w:rsid w:val="050B0AD1"/>
    <w:rsid w:val="051F3D58"/>
    <w:rsid w:val="053911A0"/>
    <w:rsid w:val="0543193A"/>
    <w:rsid w:val="05473EFB"/>
    <w:rsid w:val="056106F1"/>
    <w:rsid w:val="05625DE2"/>
    <w:rsid w:val="057B448E"/>
    <w:rsid w:val="05863DE1"/>
    <w:rsid w:val="058C4348"/>
    <w:rsid w:val="059F22C5"/>
    <w:rsid w:val="05AA12FB"/>
    <w:rsid w:val="05C9264E"/>
    <w:rsid w:val="05CC5EB9"/>
    <w:rsid w:val="05CC674E"/>
    <w:rsid w:val="05CF7937"/>
    <w:rsid w:val="05DA7C39"/>
    <w:rsid w:val="05DE5BC5"/>
    <w:rsid w:val="05EA06E6"/>
    <w:rsid w:val="05EF30D6"/>
    <w:rsid w:val="06426005"/>
    <w:rsid w:val="06514C09"/>
    <w:rsid w:val="06642E5C"/>
    <w:rsid w:val="066C1251"/>
    <w:rsid w:val="06776913"/>
    <w:rsid w:val="067A5488"/>
    <w:rsid w:val="068D5082"/>
    <w:rsid w:val="069934DC"/>
    <w:rsid w:val="070544FC"/>
    <w:rsid w:val="071F4F94"/>
    <w:rsid w:val="07204DAE"/>
    <w:rsid w:val="073D04CC"/>
    <w:rsid w:val="073F7CCC"/>
    <w:rsid w:val="074F6047"/>
    <w:rsid w:val="07653186"/>
    <w:rsid w:val="077D6FCE"/>
    <w:rsid w:val="077F6D95"/>
    <w:rsid w:val="07815E7C"/>
    <w:rsid w:val="0782519E"/>
    <w:rsid w:val="07927403"/>
    <w:rsid w:val="079F6B60"/>
    <w:rsid w:val="07DE4149"/>
    <w:rsid w:val="07E74DDB"/>
    <w:rsid w:val="07E8334B"/>
    <w:rsid w:val="07F20103"/>
    <w:rsid w:val="07F35155"/>
    <w:rsid w:val="08083A83"/>
    <w:rsid w:val="080C19EC"/>
    <w:rsid w:val="081046E7"/>
    <w:rsid w:val="081166D0"/>
    <w:rsid w:val="08250095"/>
    <w:rsid w:val="082E4AB7"/>
    <w:rsid w:val="082F0F7A"/>
    <w:rsid w:val="0839238A"/>
    <w:rsid w:val="08622D4C"/>
    <w:rsid w:val="087E03C4"/>
    <w:rsid w:val="08964B56"/>
    <w:rsid w:val="089B1DF9"/>
    <w:rsid w:val="089E54A5"/>
    <w:rsid w:val="08A5259E"/>
    <w:rsid w:val="08AD24B1"/>
    <w:rsid w:val="08BD6586"/>
    <w:rsid w:val="08C4266F"/>
    <w:rsid w:val="08D87465"/>
    <w:rsid w:val="08E572A7"/>
    <w:rsid w:val="08F60A2C"/>
    <w:rsid w:val="0913264A"/>
    <w:rsid w:val="09153CCC"/>
    <w:rsid w:val="0944513C"/>
    <w:rsid w:val="09594501"/>
    <w:rsid w:val="095C4D70"/>
    <w:rsid w:val="09610F4E"/>
    <w:rsid w:val="09840E52"/>
    <w:rsid w:val="098E3A7F"/>
    <w:rsid w:val="09A30DEC"/>
    <w:rsid w:val="09B167B8"/>
    <w:rsid w:val="09C63218"/>
    <w:rsid w:val="0A1A6D1E"/>
    <w:rsid w:val="0A3203C0"/>
    <w:rsid w:val="0A324452"/>
    <w:rsid w:val="0A36131A"/>
    <w:rsid w:val="0A386753"/>
    <w:rsid w:val="0A39537C"/>
    <w:rsid w:val="0A481E7F"/>
    <w:rsid w:val="0A6A79AC"/>
    <w:rsid w:val="0A730A09"/>
    <w:rsid w:val="0AAC0660"/>
    <w:rsid w:val="0AB27DCA"/>
    <w:rsid w:val="0ADA3C18"/>
    <w:rsid w:val="0AE4524B"/>
    <w:rsid w:val="0AE64039"/>
    <w:rsid w:val="0B271F8A"/>
    <w:rsid w:val="0B2D499E"/>
    <w:rsid w:val="0B5F59C3"/>
    <w:rsid w:val="0B606ADA"/>
    <w:rsid w:val="0B652CC2"/>
    <w:rsid w:val="0B894E8B"/>
    <w:rsid w:val="0B9A670B"/>
    <w:rsid w:val="0BBE117F"/>
    <w:rsid w:val="0C5A3572"/>
    <w:rsid w:val="0C5F4555"/>
    <w:rsid w:val="0C690EAE"/>
    <w:rsid w:val="0C6A0146"/>
    <w:rsid w:val="0C7157DE"/>
    <w:rsid w:val="0C937C80"/>
    <w:rsid w:val="0C9535C9"/>
    <w:rsid w:val="0CAE237F"/>
    <w:rsid w:val="0CD7018B"/>
    <w:rsid w:val="0CD708BA"/>
    <w:rsid w:val="0CEC2F96"/>
    <w:rsid w:val="0CEE0C06"/>
    <w:rsid w:val="0CEE540F"/>
    <w:rsid w:val="0D034AFD"/>
    <w:rsid w:val="0D0402E6"/>
    <w:rsid w:val="0D195E07"/>
    <w:rsid w:val="0D2C2EE1"/>
    <w:rsid w:val="0D4C1D6D"/>
    <w:rsid w:val="0D55746C"/>
    <w:rsid w:val="0D786F20"/>
    <w:rsid w:val="0D7D5C1D"/>
    <w:rsid w:val="0DA47E34"/>
    <w:rsid w:val="0DB37F58"/>
    <w:rsid w:val="0DB71146"/>
    <w:rsid w:val="0DE93473"/>
    <w:rsid w:val="0E0D4CDE"/>
    <w:rsid w:val="0E3858F3"/>
    <w:rsid w:val="0E3F20CA"/>
    <w:rsid w:val="0E4368CE"/>
    <w:rsid w:val="0E80235C"/>
    <w:rsid w:val="0E8F2F01"/>
    <w:rsid w:val="0EA1768F"/>
    <w:rsid w:val="0EAF071F"/>
    <w:rsid w:val="0EC629D9"/>
    <w:rsid w:val="0EDB1514"/>
    <w:rsid w:val="0EE908AB"/>
    <w:rsid w:val="0EFF2DCF"/>
    <w:rsid w:val="0F032819"/>
    <w:rsid w:val="0F081BD7"/>
    <w:rsid w:val="0F0D403A"/>
    <w:rsid w:val="0F1848A6"/>
    <w:rsid w:val="0F1D7A9B"/>
    <w:rsid w:val="0F1F45D0"/>
    <w:rsid w:val="0F355D4D"/>
    <w:rsid w:val="0F3737FB"/>
    <w:rsid w:val="0F41571F"/>
    <w:rsid w:val="0F480F6B"/>
    <w:rsid w:val="0F5D017B"/>
    <w:rsid w:val="0F7C710E"/>
    <w:rsid w:val="0F81636A"/>
    <w:rsid w:val="0FA3639E"/>
    <w:rsid w:val="0FBB6F70"/>
    <w:rsid w:val="0FC230F2"/>
    <w:rsid w:val="0FC4349A"/>
    <w:rsid w:val="0FD47228"/>
    <w:rsid w:val="0FD676CA"/>
    <w:rsid w:val="0FE75626"/>
    <w:rsid w:val="0FE97C61"/>
    <w:rsid w:val="1044603F"/>
    <w:rsid w:val="106310DC"/>
    <w:rsid w:val="10636917"/>
    <w:rsid w:val="107061C3"/>
    <w:rsid w:val="10961B97"/>
    <w:rsid w:val="10AC462E"/>
    <w:rsid w:val="10C815A5"/>
    <w:rsid w:val="10D753EC"/>
    <w:rsid w:val="10E50980"/>
    <w:rsid w:val="10E66E93"/>
    <w:rsid w:val="10F06A18"/>
    <w:rsid w:val="1107173B"/>
    <w:rsid w:val="110B5194"/>
    <w:rsid w:val="11252D20"/>
    <w:rsid w:val="11405910"/>
    <w:rsid w:val="11454CCF"/>
    <w:rsid w:val="1149124D"/>
    <w:rsid w:val="114B3613"/>
    <w:rsid w:val="11591C35"/>
    <w:rsid w:val="115C2D6C"/>
    <w:rsid w:val="1169195C"/>
    <w:rsid w:val="1171572B"/>
    <w:rsid w:val="11736136"/>
    <w:rsid w:val="11983034"/>
    <w:rsid w:val="119B790D"/>
    <w:rsid w:val="11EB669A"/>
    <w:rsid w:val="11EC6138"/>
    <w:rsid w:val="11FE4945"/>
    <w:rsid w:val="12085567"/>
    <w:rsid w:val="12112F71"/>
    <w:rsid w:val="121652BA"/>
    <w:rsid w:val="121F7F1E"/>
    <w:rsid w:val="1220021C"/>
    <w:rsid w:val="122E31EA"/>
    <w:rsid w:val="123C2D64"/>
    <w:rsid w:val="123F5735"/>
    <w:rsid w:val="124531B1"/>
    <w:rsid w:val="12500E4E"/>
    <w:rsid w:val="12585EB8"/>
    <w:rsid w:val="12620A9A"/>
    <w:rsid w:val="12676E84"/>
    <w:rsid w:val="126D2DCB"/>
    <w:rsid w:val="12793C4B"/>
    <w:rsid w:val="12CE7A4C"/>
    <w:rsid w:val="12D86518"/>
    <w:rsid w:val="12F25581"/>
    <w:rsid w:val="13020B9E"/>
    <w:rsid w:val="13180164"/>
    <w:rsid w:val="132F355B"/>
    <w:rsid w:val="13352713"/>
    <w:rsid w:val="13524CC4"/>
    <w:rsid w:val="135D39F4"/>
    <w:rsid w:val="137D75F9"/>
    <w:rsid w:val="138E15E2"/>
    <w:rsid w:val="13963C5C"/>
    <w:rsid w:val="13A805AF"/>
    <w:rsid w:val="13A9398F"/>
    <w:rsid w:val="13AD4FA0"/>
    <w:rsid w:val="13CB4669"/>
    <w:rsid w:val="13D07777"/>
    <w:rsid w:val="13E6511C"/>
    <w:rsid w:val="13FA4B00"/>
    <w:rsid w:val="14052726"/>
    <w:rsid w:val="142A74FF"/>
    <w:rsid w:val="143B7739"/>
    <w:rsid w:val="143C3002"/>
    <w:rsid w:val="144E2C77"/>
    <w:rsid w:val="146C2EB6"/>
    <w:rsid w:val="147600E3"/>
    <w:rsid w:val="14945671"/>
    <w:rsid w:val="14A64C87"/>
    <w:rsid w:val="14AB3737"/>
    <w:rsid w:val="14B03EEA"/>
    <w:rsid w:val="14C63040"/>
    <w:rsid w:val="14C82AE2"/>
    <w:rsid w:val="14CB75A7"/>
    <w:rsid w:val="14CC4C22"/>
    <w:rsid w:val="14D60870"/>
    <w:rsid w:val="153E1431"/>
    <w:rsid w:val="15586B86"/>
    <w:rsid w:val="158531B2"/>
    <w:rsid w:val="158D2192"/>
    <w:rsid w:val="15994FAE"/>
    <w:rsid w:val="15A569AA"/>
    <w:rsid w:val="15AE46C5"/>
    <w:rsid w:val="15B17A69"/>
    <w:rsid w:val="15FB1BD1"/>
    <w:rsid w:val="162428A5"/>
    <w:rsid w:val="162A4A48"/>
    <w:rsid w:val="16361EDA"/>
    <w:rsid w:val="164A796E"/>
    <w:rsid w:val="165C12CC"/>
    <w:rsid w:val="16603685"/>
    <w:rsid w:val="16633E86"/>
    <w:rsid w:val="167522F5"/>
    <w:rsid w:val="169279EF"/>
    <w:rsid w:val="169C2B2C"/>
    <w:rsid w:val="16A27AEF"/>
    <w:rsid w:val="16A419A6"/>
    <w:rsid w:val="16A82B73"/>
    <w:rsid w:val="16CD208A"/>
    <w:rsid w:val="16D16BF9"/>
    <w:rsid w:val="16DD2ACC"/>
    <w:rsid w:val="16EA0B20"/>
    <w:rsid w:val="171750B3"/>
    <w:rsid w:val="173432CF"/>
    <w:rsid w:val="17373D48"/>
    <w:rsid w:val="173C27EA"/>
    <w:rsid w:val="173C2D6C"/>
    <w:rsid w:val="17481711"/>
    <w:rsid w:val="178048D2"/>
    <w:rsid w:val="179A0DBE"/>
    <w:rsid w:val="179F694D"/>
    <w:rsid w:val="17A503E2"/>
    <w:rsid w:val="17DA45E3"/>
    <w:rsid w:val="17E43C21"/>
    <w:rsid w:val="17EC6CBA"/>
    <w:rsid w:val="17F25033"/>
    <w:rsid w:val="17F334F1"/>
    <w:rsid w:val="17F67560"/>
    <w:rsid w:val="18072E4B"/>
    <w:rsid w:val="1814425F"/>
    <w:rsid w:val="18222BBA"/>
    <w:rsid w:val="184111E5"/>
    <w:rsid w:val="18597EE5"/>
    <w:rsid w:val="187C751F"/>
    <w:rsid w:val="187D53EA"/>
    <w:rsid w:val="189A59A5"/>
    <w:rsid w:val="18DC611F"/>
    <w:rsid w:val="18FB7B8C"/>
    <w:rsid w:val="191420E3"/>
    <w:rsid w:val="193D0A05"/>
    <w:rsid w:val="19594336"/>
    <w:rsid w:val="195A4494"/>
    <w:rsid w:val="19743396"/>
    <w:rsid w:val="19762565"/>
    <w:rsid w:val="19781423"/>
    <w:rsid w:val="197B5744"/>
    <w:rsid w:val="19872DFF"/>
    <w:rsid w:val="198A434F"/>
    <w:rsid w:val="199826D4"/>
    <w:rsid w:val="19A11E23"/>
    <w:rsid w:val="19B64A83"/>
    <w:rsid w:val="1A211F4E"/>
    <w:rsid w:val="1A235C2A"/>
    <w:rsid w:val="1A281E6D"/>
    <w:rsid w:val="1A3B17E8"/>
    <w:rsid w:val="1A476E4A"/>
    <w:rsid w:val="1A5C79F2"/>
    <w:rsid w:val="1A7D7AFA"/>
    <w:rsid w:val="1A8B3005"/>
    <w:rsid w:val="1A9C7D13"/>
    <w:rsid w:val="1AD105DB"/>
    <w:rsid w:val="1B007A9E"/>
    <w:rsid w:val="1B4E3977"/>
    <w:rsid w:val="1B4F2F31"/>
    <w:rsid w:val="1B5E59A7"/>
    <w:rsid w:val="1B6A2DC4"/>
    <w:rsid w:val="1B856612"/>
    <w:rsid w:val="1B8B2ECB"/>
    <w:rsid w:val="1B8C6CB2"/>
    <w:rsid w:val="1BAB783B"/>
    <w:rsid w:val="1BB30E0B"/>
    <w:rsid w:val="1BB6556A"/>
    <w:rsid w:val="1BBB3CA1"/>
    <w:rsid w:val="1BCA49E9"/>
    <w:rsid w:val="1BCC030B"/>
    <w:rsid w:val="1BCE073F"/>
    <w:rsid w:val="1BD6352A"/>
    <w:rsid w:val="1BE20386"/>
    <w:rsid w:val="1C0321BA"/>
    <w:rsid w:val="1C096F2E"/>
    <w:rsid w:val="1C4468A8"/>
    <w:rsid w:val="1C4C7D6C"/>
    <w:rsid w:val="1C505E2D"/>
    <w:rsid w:val="1C726F3D"/>
    <w:rsid w:val="1C9254AB"/>
    <w:rsid w:val="1CAA2CED"/>
    <w:rsid w:val="1CC97E0E"/>
    <w:rsid w:val="1CDD5AAF"/>
    <w:rsid w:val="1CE1632C"/>
    <w:rsid w:val="1D104A7F"/>
    <w:rsid w:val="1D1D540D"/>
    <w:rsid w:val="1D2C137B"/>
    <w:rsid w:val="1D4305D3"/>
    <w:rsid w:val="1D65745A"/>
    <w:rsid w:val="1D8A79A4"/>
    <w:rsid w:val="1DBC3FE8"/>
    <w:rsid w:val="1DC91E80"/>
    <w:rsid w:val="1DE1107D"/>
    <w:rsid w:val="1DE961E6"/>
    <w:rsid w:val="1E15061C"/>
    <w:rsid w:val="1E281D70"/>
    <w:rsid w:val="1E3C5E26"/>
    <w:rsid w:val="1E4E3AB1"/>
    <w:rsid w:val="1E4F5A7B"/>
    <w:rsid w:val="1E4F7BB4"/>
    <w:rsid w:val="1E5479C6"/>
    <w:rsid w:val="1E58715D"/>
    <w:rsid w:val="1E594232"/>
    <w:rsid w:val="1E5954C9"/>
    <w:rsid w:val="1E6037E4"/>
    <w:rsid w:val="1E777A39"/>
    <w:rsid w:val="1EB44586"/>
    <w:rsid w:val="1EB8757E"/>
    <w:rsid w:val="1EC11A7E"/>
    <w:rsid w:val="1EC304F7"/>
    <w:rsid w:val="1EC744FB"/>
    <w:rsid w:val="1EDB3AC4"/>
    <w:rsid w:val="1F370A24"/>
    <w:rsid w:val="1F3B69A7"/>
    <w:rsid w:val="1F4A6FB2"/>
    <w:rsid w:val="1F555D29"/>
    <w:rsid w:val="1F5C3D19"/>
    <w:rsid w:val="1F6B03E4"/>
    <w:rsid w:val="1FB651F8"/>
    <w:rsid w:val="1FCD0FB0"/>
    <w:rsid w:val="1FD8171A"/>
    <w:rsid w:val="200313D8"/>
    <w:rsid w:val="20065BD8"/>
    <w:rsid w:val="200A0E2B"/>
    <w:rsid w:val="2018386E"/>
    <w:rsid w:val="202144FC"/>
    <w:rsid w:val="20317AFA"/>
    <w:rsid w:val="203930B8"/>
    <w:rsid w:val="203C57B4"/>
    <w:rsid w:val="204122EC"/>
    <w:rsid w:val="205253AE"/>
    <w:rsid w:val="205A7CED"/>
    <w:rsid w:val="208B4DD2"/>
    <w:rsid w:val="208E3D13"/>
    <w:rsid w:val="20950DA5"/>
    <w:rsid w:val="20A7432C"/>
    <w:rsid w:val="20CE4739"/>
    <w:rsid w:val="20D41589"/>
    <w:rsid w:val="20E93F65"/>
    <w:rsid w:val="20FD356C"/>
    <w:rsid w:val="212740F0"/>
    <w:rsid w:val="2129153F"/>
    <w:rsid w:val="212E5CC3"/>
    <w:rsid w:val="213D1100"/>
    <w:rsid w:val="213F5933"/>
    <w:rsid w:val="21421605"/>
    <w:rsid w:val="215900B3"/>
    <w:rsid w:val="216A0830"/>
    <w:rsid w:val="21766268"/>
    <w:rsid w:val="21777576"/>
    <w:rsid w:val="21AF5E24"/>
    <w:rsid w:val="21D649DB"/>
    <w:rsid w:val="21E07019"/>
    <w:rsid w:val="21FE6E14"/>
    <w:rsid w:val="21FF50C2"/>
    <w:rsid w:val="22223193"/>
    <w:rsid w:val="222B5EB7"/>
    <w:rsid w:val="222E0095"/>
    <w:rsid w:val="22530A5E"/>
    <w:rsid w:val="22590364"/>
    <w:rsid w:val="2260745F"/>
    <w:rsid w:val="226E769C"/>
    <w:rsid w:val="2274785E"/>
    <w:rsid w:val="228B68F0"/>
    <w:rsid w:val="22984652"/>
    <w:rsid w:val="229858AC"/>
    <w:rsid w:val="22C323ED"/>
    <w:rsid w:val="22EA472C"/>
    <w:rsid w:val="22F8048F"/>
    <w:rsid w:val="23103468"/>
    <w:rsid w:val="232A616E"/>
    <w:rsid w:val="234A66DD"/>
    <w:rsid w:val="237622F9"/>
    <w:rsid w:val="23785E6A"/>
    <w:rsid w:val="238F74DA"/>
    <w:rsid w:val="2396303E"/>
    <w:rsid w:val="239D63E2"/>
    <w:rsid w:val="23B1241E"/>
    <w:rsid w:val="23B211B7"/>
    <w:rsid w:val="23BF0FAD"/>
    <w:rsid w:val="23CC291D"/>
    <w:rsid w:val="23F310F3"/>
    <w:rsid w:val="23F85D0E"/>
    <w:rsid w:val="23FD1FEB"/>
    <w:rsid w:val="24024F28"/>
    <w:rsid w:val="24084A29"/>
    <w:rsid w:val="24252321"/>
    <w:rsid w:val="242B469D"/>
    <w:rsid w:val="24657D2D"/>
    <w:rsid w:val="246F5C79"/>
    <w:rsid w:val="249B46BC"/>
    <w:rsid w:val="24A501A2"/>
    <w:rsid w:val="24AE121B"/>
    <w:rsid w:val="24BF5CE5"/>
    <w:rsid w:val="24D77EFE"/>
    <w:rsid w:val="24D84B4C"/>
    <w:rsid w:val="24E10FDD"/>
    <w:rsid w:val="24E53EE5"/>
    <w:rsid w:val="24F7757A"/>
    <w:rsid w:val="25113A8A"/>
    <w:rsid w:val="25124189"/>
    <w:rsid w:val="25351250"/>
    <w:rsid w:val="253B28B5"/>
    <w:rsid w:val="25536DA3"/>
    <w:rsid w:val="25B20FF9"/>
    <w:rsid w:val="25B23CE5"/>
    <w:rsid w:val="25DC1E0E"/>
    <w:rsid w:val="260F621B"/>
    <w:rsid w:val="2624129A"/>
    <w:rsid w:val="264610E6"/>
    <w:rsid w:val="26645964"/>
    <w:rsid w:val="266F4BED"/>
    <w:rsid w:val="26764D47"/>
    <w:rsid w:val="267B7449"/>
    <w:rsid w:val="267C2208"/>
    <w:rsid w:val="26824BC9"/>
    <w:rsid w:val="268E3ED1"/>
    <w:rsid w:val="269F5C1D"/>
    <w:rsid w:val="26A51995"/>
    <w:rsid w:val="26B01A77"/>
    <w:rsid w:val="26B66882"/>
    <w:rsid w:val="26B917AD"/>
    <w:rsid w:val="26BD1D21"/>
    <w:rsid w:val="26D92B1A"/>
    <w:rsid w:val="26D9536F"/>
    <w:rsid w:val="26E40E88"/>
    <w:rsid w:val="27070CA1"/>
    <w:rsid w:val="271A38BB"/>
    <w:rsid w:val="27220D61"/>
    <w:rsid w:val="272676C6"/>
    <w:rsid w:val="2727543A"/>
    <w:rsid w:val="2729477F"/>
    <w:rsid w:val="2730230C"/>
    <w:rsid w:val="273305C2"/>
    <w:rsid w:val="2740366D"/>
    <w:rsid w:val="2744029E"/>
    <w:rsid w:val="27642BD3"/>
    <w:rsid w:val="27650798"/>
    <w:rsid w:val="277537D1"/>
    <w:rsid w:val="277A7B67"/>
    <w:rsid w:val="27952750"/>
    <w:rsid w:val="27CB57A5"/>
    <w:rsid w:val="27D55F3B"/>
    <w:rsid w:val="27DE17CF"/>
    <w:rsid w:val="27E96E6B"/>
    <w:rsid w:val="27F26231"/>
    <w:rsid w:val="2811263D"/>
    <w:rsid w:val="281E1092"/>
    <w:rsid w:val="28425D7C"/>
    <w:rsid w:val="2853749B"/>
    <w:rsid w:val="286561C6"/>
    <w:rsid w:val="286C6724"/>
    <w:rsid w:val="28796020"/>
    <w:rsid w:val="288059F1"/>
    <w:rsid w:val="28966065"/>
    <w:rsid w:val="289B4171"/>
    <w:rsid w:val="289F721E"/>
    <w:rsid w:val="28B42FE8"/>
    <w:rsid w:val="28C641BF"/>
    <w:rsid w:val="28DA4864"/>
    <w:rsid w:val="28DB58EE"/>
    <w:rsid w:val="290C07F0"/>
    <w:rsid w:val="291178A0"/>
    <w:rsid w:val="294D2BB7"/>
    <w:rsid w:val="294F2DD3"/>
    <w:rsid w:val="296F3D56"/>
    <w:rsid w:val="29896F7F"/>
    <w:rsid w:val="29B62B19"/>
    <w:rsid w:val="29C557BA"/>
    <w:rsid w:val="29D46E34"/>
    <w:rsid w:val="29F0343D"/>
    <w:rsid w:val="29F75B90"/>
    <w:rsid w:val="2A084E28"/>
    <w:rsid w:val="2A0921A7"/>
    <w:rsid w:val="2A1F637F"/>
    <w:rsid w:val="2A203242"/>
    <w:rsid w:val="2A2A35C5"/>
    <w:rsid w:val="2A3A1E20"/>
    <w:rsid w:val="2A64328B"/>
    <w:rsid w:val="2A734A68"/>
    <w:rsid w:val="2A756869"/>
    <w:rsid w:val="2A7D74CC"/>
    <w:rsid w:val="2A7F4FF2"/>
    <w:rsid w:val="2A862B15"/>
    <w:rsid w:val="2A8D577E"/>
    <w:rsid w:val="2A8F23A2"/>
    <w:rsid w:val="2A9E10A0"/>
    <w:rsid w:val="2A9F5CF0"/>
    <w:rsid w:val="2AAD2AE7"/>
    <w:rsid w:val="2AD3321F"/>
    <w:rsid w:val="2ADB04AD"/>
    <w:rsid w:val="2B236F81"/>
    <w:rsid w:val="2B306FF7"/>
    <w:rsid w:val="2B642A1E"/>
    <w:rsid w:val="2B6B2B18"/>
    <w:rsid w:val="2B6B34C1"/>
    <w:rsid w:val="2B9458DD"/>
    <w:rsid w:val="2BA11265"/>
    <w:rsid w:val="2BAA167B"/>
    <w:rsid w:val="2BCA444A"/>
    <w:rsid w:val="2BCA6081"/>
    <w:rsid w:val="2BD05501"/>
    <w:rsid w:val="2BDC3482"/>
    <w:rsid w:val="2C023E73"/>
    <w:rsid w:val="2C055883"/>
    <w:rsid w:val="2C095025"/>
    <w:rsid w:val="2C174952"/>
    <w:rsid w:val="2C26129A"/>
    <w:rsid w:val="2C3C7236"/>
    <w:rsid w:val="2C3D4A35"/>
    <w:rsid w:val="2C4E3ABA"/>
    <w:rsid w:val="2C595BF2"/>
    <w:rsid w:val="2C610E53"/>
    <w:rsid w:val="2C656DA2"/>
    <w:rsid w:val="2C7030FF"/>
    <w:rsid w:val="2C7B33AD"/>
    <w:rsid w:val="2C8B7D26"/>
    <w:rsid w:val="2C957385"/>
    <w:rsid w:val="2CB13A51"/>
    <w:rsid w:val="2CB17968"/>
    <w:rsid w:val="2CD86C3B"/>
    <w:rsid w:val="2CF45CFF"/>
    <w:rsid w:val="2D091539"/>
    <w:rsid w:val="2D243949"/>
    <w:rsid w:val="2D334065"/>
    <w:rsid w:val="2D475B9B"/>
    <w:rsid w:val="2D4C117B"/>
    <w:rsid w:val="2D6B7427"/>
    <w:rsid w:val="2D767358"/>
    <w:rsid w:val="2D90497F"/>
    <w:rsid w:val="2DA04012"/>
    <w:rsid w:val="2DA34B86"/>
    <w:rsid w:val="2DA614B9"/>
    <w:rsid w:val="2DAB2CBE"/>
    <w:rsid w:val="2DB85402"/>
    <w:rsid w:val="2DBC5F8A"/>
    <w:rsid w:val="2DBC688D"/>
    <w:rsid w:val="2DD21D12"/>
    <w:rsid w:val="2DD45655"/>
    <w:rsid w:val="2DD555FB"/>
    <w:rsid w:val="2DDC2373"/>
    <w:rsid w:val="2DF77F9A"/>
    <w:rsid w:val="2E085AFB"/>
    <w:rsid w:val="2E0924D6"/>
    <w:rsid w:val="2E0C6B3D"/>
    <w:rsid w:val="2E146F15"/>
    <w:rsid w:val="2E1D7501"/>
    <w:rsid w:val="2E222864"/>
    <w:rsid w:val="2E2310E4"/>
    <w:rsid w:val="2E2F793F"/>
    <w:rsid w:val="2E3A5165"/>
    <w:rsid w:val="2E65570F"/>
    <w:rsid w:val="2E77411C"/>
    <w:rsid w:val="2E827F1A"/>
    <w:rsid w:val="2E887598"/>
    <w:rsid w:val="2EA37FF7"/>
    <w:rsid w:val="2EB66494"/>
    <w:rsid w:val="2EB7190D"/>
    <w:rsid w:val="2EC14C73"/>
    <w:rsid w:val="2ECB070A"/>
    <w:rsid w:val="2ED07B3D"/>
    <w:rsid w:val="2EDE1B79"/>
    <w:rsid w:val="2EE839B7"/>
    <w:rsid w:val="2EFA399E"/>
    <w:rsid w:val="2F154177"/>
    <w:rsid w:val="2F372CA2"/>
    <w:rsid w:val="2F3A3BDD"/>
    <w:rsid w:val="2F4A5362"/>
    <w:rsid w:val="2F5556F5"/>
    <w:rsid w:val="2F771BC8"/>
    <w:rsid w:val="2F8310E0"/>
    <w:rsid w:val="2F8A0EBB"/>
    <w:rsid w:val="2F8F494D"/>
    <w:rsid w:val="30030A08"/>
    <w:rsid w:val="30042D4A"/>
    <w:rsid w:val="30047C5B"/>
    <w:rsid w:val="301B2C49"/>
    <w:rsid w:val="30346C4A"/>
    <w:rsid w:val="303D3E5E"/>
    <w:rsid w:val="30571D12"/>
    <w:rsid w:val="305B3315"/>
    <w:rsid w:val="30845754"/>
    <w:rsid w:val="30A47513"/>
    <w:rsid w:val="30B03939"/>
    <w:rsid w:val="30D117CD"/>
    <w:rsid w:val="30FB382C"/>
    <w:rsid w:val="311F2484"/>
    <w:rsid w:val="31611D2F"/>
    <w:rsid w:val="316C2169"/>
    <w:rsid w:val="31732EC0"/>
    <w:rsid w:val="317C13FF"/>
    <w:rsid w:val="31984E8B"/>
    <w:rsid w:val="319A6A05"/>
    <w:rsid w:val="31B37C6A"/>
    <w:rsid w:val="31B55264"/>
    <w:rsid w:val="31CB64E1"/>
    <w:rsid w:val="31D663F6"/>
    <w:rsid w:val="31EE5244"/>
    <w:rsid w:val="32177611"/>
    <w:rsid w:val="32390758"/>
    <w:rsid w:val="32396BD0"/>
    <w:rsid w:val="32576010"/>
    <w:rsid w:val="329A5DD7"/>
    <w:rsid w:val="32C03510"/>
    <w:rsid w:val="32C27A11"/>
    <w:rsid w:val="32E838F5"/>
    <w:rsid w:val="33006E48"/>
    <w:rsid w:val="33197F85"/>
    <w:rsid w:val="33371891"/>
    <w:rsid w:val="333C5FCC"/>
    <w:rsid w:val="334455BC"/>
    <w:rsid w:val="334E168E"/>
    <w:rsid w:val="335E1421"/>
    <w:rsid w:val="337779F6"/>
    <w:rsid w:val="338A5133"/>
    <w:rsid w:val="339069A8"/>
    <w:rsid w:val="33A2188D"/>
    <w:rsid w:val="33AB1653"/>
    <w:rsid w:val="33B35F7B"/>
    <w:rsid w:val="33BD3163"/>
    <w:rsid w:val="33CF6FEA"/>
    <w:rsid w:val="33D07C3B"/>
    <w:rsid w:val="33ED20E4"/>
    <w:rsid w:val="33F54814"/>
    <w:rsid w:val="33FB6781"/>
    <w:rsid w:val="340C11EB"/>
    <w:rsid w:val="3418742B"/>
    <w:rsid w:val="342A198D"/>
    <w:rsid w:val="3440367C"/>
    <w:rsid w:val="344828F8"/>
    <w:rsid w:val="34634BC7"/>
    <w:rsid w:val="34671B49"/>
    <w:rsid w:val="347F6EEB"/>
    <w:rsid w:val="34821871"/>
    <w:rsid w:val="3486462C"/>
    <w:rsid w:val="348B16D8"/>
    <w:rsid w:val="348D2EC0"/>
    <w:rsid w:val="349500B5"/>
    <w:rsid w:val="349F239E"/>
    <w:rsid w:val="34A02C91"/>
    <w:rsid w:val="34B014D7"/>
    <w:rsid w:val="34CE333D"/>
    <w:rsid w:val="34DE3335"/>
    <w:rsid w:val="34EB381B"/>
    <w:rsid w:val="34EE299B"/>
    <w:rsid w:val="34F54802"/>
    <w:rsid w:val="35123632"/>
    <w:rsid w:val="3546687E"/>
    <w:rsid w:val="35581A10"/>
    <w:rsid w:val="357A59BA"/>
    <w:rsid w:val="357E63CD"/>
    <w:rsid w:val="35841F96"/>
    <w:rsid w:val="359217CC"/>
    <w:rsid w:val="3598340C"/>
    <w:rsid w:val="35A50A78"/>
    <w:rsid w:val="35B742DF"/>
    <w:rsid w:val="35D119AF"/>
    <w:rsid w:val="35F23FCA"/>
    <w:rsid w:val="36017203"/>
    <w:rsid w:val="36141B8B"/>
    <w:rsid w:val="36181DDB"/>
    <w:rsid w:val="361973DE"/>
    <w:rsid w:val="3621342D"/>
    <w:rsid w:val="36291F9C"/>
    <w:rsid w:val="3630051A"/>
    <w:rsid w:val="363D4304"/>
    <w:rsid w:val="3647451C"/>
    <w:rsid w:val="36487592"/>
    <w:rsid w:val="365F190C"/>
    <w:rsid w:val="36783969"/>
    <w:rsid w:val="367C008E"/>
    <w:rsid w:val="36831A42"/>
    <w:rsid w:val="368455C6"/>
    <w:rsid w:val="369462C9"/>
    <w:rsid w:val="369E19AA"/>
    <w:rsid w:val="36A05709"/>
    <w:rsid w:val="36A85AA1"/>
    <w:rsid w:val="36BB39BD"/>
    <w:rsid w:val="36BD767C"/>
    <w:rsid w:val="36C65896"/>
    <w:rsid w:val="36D95DB3"/>
    <w:rsid w:val="36EB6607"/>
    <w:rsid w:val="36FE4231"/>
    <w:rsid w:val="37014501"/>
    <w:rsid w:val="37024FE0"/>
    <w:rsid w:val="370259D5"/>
    <w:rsid w:val="37141721"/>
    <w:rsid w:val="37220DA7"/>
    <w:rsid w:val="37330427"/>
    <w:rsid w:val="373C03BD"/>
    <w:rsid w:val="37436E5B"/>
    <w:rsid w:val="37513D62"/>
    <w:rsid w:val="37561CE9"/>
    <w:rsid w:val="37900CE7"/>
    <w:rsid w:val="37913EAA"/>
    <w:rsid w:val="37DA352C"/>
    <w:rsid w:val="38133E52"/>
    <w:rsid w:val="381449D4"/>
    <w:rsid w:val="381C3A3F"/>
    <w:rsid w:val="381E75B6"/>
    <w:rsid w:val="38327049"/>
    <w:rsid w:val="384B29B7"/>
    <w:rsid w:val="384B4F4D"/>
    <w:rsid w:val="384E4FD5"/>
    <w:rsid w:val="385C1675"/>
    <w:rsid w:val="385D174B"/>
    <w:rsid w:val="387204C2"/>
    <w:rsid w:val="38820B99"/>
    <w:rsid w:val="38B60C0D"/>
    <w:rsid w:val="38E14CC0"/>
    <w:rsid w:val="38F07B67"/>
    <w:rsid w:val="38FD7B8B"/>
    <w:rsid w:val="38FF52C1"/>
    <w:rsid w:val="39091E70"/>
    <w:rsid w:val="390B66A6"/>
    <w:rsid w:val="39247840"/>
    <w:rsid w:val="392859DB"/>
    <w:rsid w:val="392C4597"/>
    <w:rsid w:val="39622E28"/>
    <w:rsid w:val="3968145C"/>
    <w:rsid w:val="396F509D"/>
    <w:rsid w:val="397044F8"/>
    <w:rsid w:val="39875A22"/>
    <w:rsid w:val="39B051C8"/>
    <w:rsid w:val="39B96AC9"/>
    <w:rsid w:val="39DE7F87"/>
    <w:rsid w:val="39FD63FC"/>
    <w:rsid w:val="3A196CA0"/>
    <w:rsid w:val="3A285B36"/>
    <w:rsid w:val="3A337071"/>
    <w:rsid w:val="3A351ABB"/>
    <w:rsid w:val="3A383EA3"/>
    <w:rsid w:val="3A432047"/>
    <w:rsid w:val="3A630269"/>
    <w:rsid w:val="3A6B67F8"/>
    <w:rsid w:val="3A8D0D4E"/>
    <w:rsid w:val="3A9557D8"/>
    <w:rsid w:val="3AAD772D"/>
    <w:rsid w:val="3AC74142"/>
    <w:rsid w:val="3AC87A57"/>
    <w:rsid w:val="3ACD1DA9"/>
    <w:rsid w:val="3ACE6072"/>
    <w:rsid w:val="3AE50CC4"/>
    <w:rsid w:val="3AF45601"/>
    <w:rsid w:val="3AF87801"/>
    <w:rsid w:val="3B0C548B"/>
    <w:rsid w:val="3B1F24C6"/>
    <w:rsid w:val="3BA5543B"/>
    <w:rsid w:val="3BC7163B"/>
    <w:rsid w:val="3BCD03AF"/>
    <w:rsid w:val="3BF81510"/>
    <w:rsid w:val="3C4509F7"/>
    <w:rsid w:val="3C45604D"/>
    <w:rsid w:val="3C5E09F6"/>
    <w:rsid w:val="3C6510C5"/>
    <w:rsid w:val="3C8A5A5A"/>
    <w:rsid w:val="3CA4546A"/>
    <w:rsid w:val="3CDE3014"/>
    <w:rsid w:val="3CE11D7D"/>
    <w:rsid w:val="3CF74EBC"/>
    <w:rsid w:val="3D192874"/>
    <w:rsid w:val="3D197722"/>
    <w:rsid w:val="3D2311AD"/>
    <w:rsid w:val="3D2660BE"/>
    <w:rsid w:val="3D3F0FBE"/>
    <w:rsid w:val="3D597924"/>
    <w:rsid w:val="3D5F08BD"/>
    <w:rsid w:val="3D7E237D"/>
    <w:rsid w:val="3D81397F"/>
    <w:rsid w:val="3DB428AB"/>
    <w:rsid w:val="3DE16A91"/>
    <w:rsid w:val="3E032343"/>
    <w:rsid w:val="3E09087E"/>
    <w:rsid w:val="3E19256E"/>
    <w:rsid w:val="3E26650F"/>
    <w:rsid w:val="3E2F6CAA"/>
    <w:rsid w:val="3E465004"/>
    <w:rsid w:val="3E606D2F"/>
    <w:rsid w:val="3E6415B0"/>
    <w:rsid w:val="3E794397"/>
    <w:rsid w:val="3E8C5F14"/>
    <w:rsid w:val="3E903DBB"/>
    <w:rsid w:val="3EBD1DA3"/>
    <w:rsid w:val="3ECC1574"/>
    <w:rsid w:val="3EDA7489"/>
    <w:rsid w:val="3EDE4A9F"/>
    <w:rsid w:val="3EE91DB1"/>
    <w:rsid w:val="3F024E46"/>
    <w:rsid w:val="3F536D21"/>
    <w:rsid w:val="3F672C02"/>
    <w:rsid w:val="3F6858E1"/>
    <w:rsid w:val="3F8D28F8"/>
    <w:rsid w:val="3F8D66B7"/>
    <w:rsid w:val="3F922EAE"/>
    <w:rsid w:val="3F9F0ED4"/>
    <w:rsid w:val="3FA06585"/>
    <w:rsid w:val="3FA6264E"/>
    <w:rsid w:val="3FB90E32"/>
    <w:rsid w:val="3FBA3E2E"/>
    <w:rsid w:val="40042CE3"/>
    <w:rsid w:val="400B13AA"/>
    <w:rsid w:val="4025507C"/>
    <w:rsid w:val="403D0BD3"/>
    <w:rsid w:val="404C13DC"/>
    <w:rsid w:val="404D455C"/>
    <w:rsid w:val="405F00AD"/>
    <w:rsid w:val="406C1198"/>
    <w:rsid w:val="407608B9"/>
    <w:rsid w:val="40855F5A"/>
    <w:rsid w:val="40864ED4"/>
    <w:rsid w:val="40977FC8"/>
    <w:rsid w:val="40A150F2"/>
    <w:rsid w:val="40CA37A7"/>
    <w:rsid w:val="40D211E4"/>
    <w:rsid w:val="40D50658"/>
    <w:rsid w:val="40E44555"/>
    <w:rsid w:val="41150B79"/>
    <w:rsid w:val="412152C2"/>
    <w:rsid w:val="41662610"/>
    <w:rsid w:val="418132C2"/>
    <w:rsid w:val="41BC0CFF"/>
    <w:rsid w:val="41C077BE"/>
    <w:rsid w:val="41C57FBB"/>
    <w:rsid w:val="41D808C8"/>
    <w:rsid w:val="41DD4B55"/>
    <w:rsid w:val="41F02850"/>
    <w:rsid w:val="42235AA9"/>
    <w:rsid w:val="422D2E7F"/>
    <w:rsid w:val="423F1EDF"/>
    <w:rsid w:val="42454806"/>
    <w:rsid w:val="42676E5A"/>
    <w:rsid w:val="428670C3"/>
    <w:rsid w:val="429B10BF"/>
    <w:rsid w:val="429D38D1"/>
    <w:rsid w:val="42A06CD0"/>
    <w:rsid w:val="42AB10DE"/>
    <w:rsid w:val="42AB29D0"/>
    <w:rsid w:val="42AB3189"/>
    <w:rsid w:val="42B4162C"/>
    <w:rsid w:val="42BB0FA4"/>
    <w:rsid w:val="42D31F27"/>
    <w:rsid w:val="42D66EDC"/>
    <w:rsid w:val="42F93620"/>
    <w:rsid w:val="43004023"/>
    <w:rsid w:val="43175A82"/>
    <w:rsid w:val="432953EB"/>
    <w:rsid w:val="432E2206"/>
    <w:rsid w:val="433C1975"/>
    <w:rsid w:val="43417B39"/>
    <w:rsid w:val="43500243"/>
    <w:rsid w:val="4350112B"/>
    <w:rsid w:val="436C14BD"/>
    <w:rsid w:val="43942C3B"/>
    <w:rsid w:val="43AF3CD9"/>
    <w:rsid w:val="43B21359"/>
    <w:rsid w:val="43CC28C2"/>
    <w:rsid w:val="43CD2856"/>
    <w:rsid w:val="43DA05C4"/>
    <w:rsid w:val="44514353"/>
    <w:rsid w:val="44910D57"/>
    <w:rsid w:val="449B2B16"/>
    <w:rsid w:val="44A351D6"/>
    <w:rsid w:val="44D64B81"/>
    <w:rsid w:val="450028DE"/>
    <w:rsid w:val="450A5B27"/>
    <w:rsid w:val="456A1365"/>
    <w:rsid w:val="45871383"/>
    <w:rsid w:val="459D20E0"/>
    <w:rsid w:val="459F278D"/>
    <w:rsid w:val="45A048D8"/>
    <w:rsid w:val="45AE6FC0"/>
    <w:rsid w:val="45BA2049"/>
    <w:rsid w:val="45D971C9"/>
    <w:rsid w:val="46002B34"/>
    <w:rsid w:val="46096053"/>
    <w:rsid w:val="461749D1"/>
    <w:rsid w:val="4622281C"/>
    <w:rsid w:val="463158E2"/>
    <w:rsid w:val="4638428B"/>
    <w:rsid w:val="46523374"/>
    <w:rsid w:val="46681C33"/>
    <w:rsid w:val="466B0324"/>
    <w:rsid w:val="46886011"/>
    <w:rsid w:val="469A196D"/>
    <w:rsid w:val="46B5206F"/>
    <w:rsid w:val="46BF78BC"/>
    <w:rsid w:val="46CC1725"/>
    <w:rsid w:val="46E33707"/>
    <w:rsid w:val="47125EC3"/>
    <w:rsid w:val="47253310"/>
    <w:rsid w:val="4743767B"/>
    <w:rsid w:val="475E0161"/>
    <w:rsid w:val="476B0980"/>
    <w:rsid w:val="47702B1D"/>
    <w:rsid w:val="47715180"/>
    <w:rsid w:val="477367B6"/>
    <w:rsid w:val="47921E1D"/>
    <w:rsid w:val="479B31AE"/>
    <w:rsid w:val="47BC4B33"/>
    <w:rsid w:val="47C36A0E"/>
    <w:rsid w:val="47CA470F"/>
    <w:rsid w:val="47F27BB3"/>
    <w:rsid w:val="47FF7913"/>
    <w:rsid w:val="48063731"/>
    <w:rsid w:val="480848C8"/>
    <w:rsid w:val="481108B6"/>
    <w:rsid w:val="481B6175"/>
    <w:rsid w:val="482C5B41"/>
    <w:rsid w:val="48334A8D"/>
    <w:rsid w:val="48484A82"/>
    <w:rsid w:val="48757BC0"/>
    <w:rsid w:val="48782FC9"/>
    <w:rsid w:val="489D063B"/>
    <w:rsid w:val="48A212F8"/>
    <w:rsid w:val="48A6440B"/>
    <w:rsid w:val="48AB1B43"/>
    <w:rsid w:val="48B555E6"/>
    <w:rsid w:val="48C41002"/>
    <w:rsid w:val="48C72697"/>
    <w:rsid w:val="48D34D59"/>
    <w:rsid w:val="48D55B59"/>
    <w:rsid w:val="48D94365"/>
    <w:rsid w:val="48DA7B6B"/>
    <w:rsid w:val="48EF4E34"/>
    <w:rsid w:val="49007701"/>
    <w:rsid w:val="490C053C"/>
    <w:rsid w:val="49114568"/>
    <w:rsid w:val="491F4626"/>
    <w:rsid w:val="492D4570"/>
    <w:rsid w:val="493D1112"/>
    <w:rsid w:val="4950396D"/>
    <w:rsid w:val="499949C9"/>
    <w:rsid w:val="499B4FA0"/>
    <w:rsid w:val="49B61F02"/>
    <w:rsid w:val="49BE6A76"/>
    <w:rsid w:val="49C03205"/>
    <w:rsid w:val="49C95E0D"/>
    <w:rsid w:val="49EF756C"/>
    <w:rsid w:val="4A1179B6"/>
    <w:rsid w:val="4A344CCC"/>
    <w:rsid w:val="4A4D0C27"/>
    <w:rsid w:val="4A4F44C8"/>
    <w:rsid w:val="4A8561FD"/>
    <w:rsid w:val="4A991FC0"/>
    <w:rsid w:val="4AB13E59"/>
    <w:rsid w:val="4AC05487"/>
    <w:rsid w:val="4AC640D0"/>
    <w:rsid w:val="4AD15D13"/>
    <w:rsid w:val="4AD57F3C"/>
    <w:rsid w:val="4AD60806"/>
    <w:rsid w:val="4AD67996"/>
    <w:rsid w:val="4AE92541"/>
    <w:rsid w:val="4AE97370"/>
    <w:rsid w:val="4B0C1714"/>
    <w:rsid w:val="4B27282C"/>
    <w:rsid w:val="4B4D585A"/>
    <w:rsid w:val="4B4D5F5C"/>
    <w:rsid w:val="4B5137F1"/>
    <w:rsid w:val="4B515244"/>
    <w:rsid w:val="4B6F408C"/>
    <w:rsid w:val="4BB276F6"/>
    <w:rsid w:val="4BBF7C5C"/>
    <w:rsid w:val="4BC42D07"/>
    <w:rsid w:val="4BD53DD7"/>
    <w:rsid w:val="4BE66230"/>
    <w:rsid w:val="4BF67A81"/>
    <w:rsid w:val="4BF71C21"/>
    <w:rsid w:val="4BFA083D"/>
    <w:rsid w:val="4C0850C8"/>
    <w:rsid w:val="4C114A6A"/>
    <w:rsid w:val="4C18297A"/>
    <w:rsid w:val="4C2A665E"/>
    <w:rsid w:val="4C305908"/>
    <w:rsid w:val="4C3174FC"/>
    <w:rsid w:val="4C332BAF"/>
    <w:rsid w:val="4C4E1952"/>
    <w:rsid w:val="4C517D22"/>
    <w:rsid w:val="4C5A7582"/>
    <w:rsid w:val="4C5D2C60"/>
    <w:rsid w:val="4C6113D2"/>
    <w:rsid w:val="4C7B53CD"/>
    <w:rsid w:val="4CB33E70"/>
    <w:rsid w:val="4CEE4498"/>
    <w:rsid w:val="4D023CAB"/>
    <w:rsid w:val="4D074609"/>
    <w:rsid w:val="4D3E07D1"/>
    <w:rsid w:val="4D6D27E2"/>
    <w:rsid w:val="4D7560B4"/>
    <w:rsid w:val="4DA84339"/>
    <w:rsid w:val="4DBB4583"/>
    <w:rsid w:val="4DC1771B"/>
    <w:rsid w:val="4DD747DC"/>
    <w:rsid w:val="4DDE00FE"/>
    <w:rsid w:val="4E076AD2"/>
    <w:rsid w:val="4E0C5A37"/>
    <w:rsid w:val="4E1801AF"/>
    <w:rsid w:val="4E434541"/>
    <w:rsid w:val="4EA90E6E"/>
    <w:rsid w:val="4EAE4331"/>
    <w:rsid w:val="4EAF39A5"/>
    <w:rsid w:val="4EBD3A6C"/>
    <w:rsid w:val="4EC46967"/>
    <w:rsid w:val="4F014367"/>
    <w:rsid w:val="4F1772A2"/>
    <w:rsid w:val="4F4321A9"/>
    <w:rsid w:val="4F494F2D"/>
    <w:rsid w:val="4F7E7550"/>
    <w:rsid w:val="4F8B48A2"/>
    <w:rsid w:val="4F931027"/>
    <w:rsid w:val="4F974A08"/>
    <w:rsid w:val="4F9C3DCC"/>
    <w:rsid w:val="4FB76E58"/>
    <w:rsid w:val="4FB90E13"/>
    <w:rsid w:val="4FC66266"/>
    <w:rsid w:val="4FC81BF6"/>
    <w:rsid w:val="4FEC1878"/>
    <w:rsid w:val="4FF73F6A"/>
    <w:rsid w:val="500951DA"/>
    <w:rsid w:val="500B0F52"/>
    <w:rsid w:val="503B2446"/>
    <w:rsid w:val="504F45B8"/>
    <w:rsid w:val="50645052"/>
    <w:rsid w:val="506E205B"/>
    <w:rsid w:val="508105C9"/>
    <w:rsid w:val="508605D9"/>
    <w:rsid w:val="509F6DBC"/>
    <w:rsid w:val="50A218B6"/>
    <w:rsid w:val="50D17AA6"/>
    <w:rsid w:val="50D22A70"/>
    <w:rsid w:val="50D43A3A"/>
    <w:rsid w:val="50D83F46"/>
    <w:rsid w:val="50E4433B"/>
    <w:rsid w:val="50E96E9A"/>
    <w:rsid w:val="50F43794"/>
    <w:rsid w:val="511833B9"/>
    <w:rsid w:val="511E0FB0"/>
    <w:rsid w:val="512D4628"/>
    <w:rsid w:val="51432772"/>
    <w:rsid w:val="514B494D"/>
    <w:rsid w:val="514F1402"/>
    <w:rsid w:val="516F1893"/>
    <w:rsid w:val="517C5CA2"/>
    <w:rsid w:val="51E42BA4"/>
    <w:rsid w:val="51EA48E3"/>
    <w:rsid w:val="51EA6A05"/>
    <w:rsid w:val="51F327FF"/>
    <w:rsid w:val="51F55A16"/>
    <w:rsid w:val="51F633C5"/>
    <w:rsid w:val="51FF572C"/>
    <w:rsid w:val="520A73BF"/>
    <w:rsid w:val="522A4C97"/>
    <w:rsid w:val="526B59A4"/>
    <w:rsid w:val="528709A6"/>
    <w:rsid w:val="528C1CED"/>
    <w:rsid w:val="52B42315"/>
    <w:rsid w:val="52C9129F"/>
    <w:rsid w:val="52CB67AB"/>
    <w:rsid w:val="52CE1D6A"/>
    <w:rsid w:val="52CF6192"/>
    <w:rsid w:val="52E2018B"/>
    <w:rsid w:val="52EF22F6"/>
    <w:rsid w:val="52F257AF"/>
    <w:rsid w:val="530C10F9"/>
    <w:rsid w:val="530F6E7D"/>
    <w:rsid w:val="533302AA"/>
    <w:rsid w:val="533A2C4C"/>
    <w:rsid w:val="53461736"/>
    <w:rsid w:val="53493374"/>
    <w:rsid w:val="534C6F06"/>
    <w:rsid w:val="53746901"/>
    <w:rsid w:val="53A61988"/>
    <w:rsid w:val="53AA1B10"/>
    <w:rsid w:val="53AC65F3"/>
    <w:rsid w:val="53C85A1A"/>
    <w:rsid w:val="53CB730D"/>
    <w:rsid w:val="53EE3061"/>
    <w:rsid w:val="53FF7F65"/>
    <w:rsid w:val="543316AB"/>
    <w:rsid w:val="544600E2"/>
    <w:rsid w:val="546D0DAC"/>
    <w:rsid w:val="549263B5"/>
    <w:rsid w:val="5494339E"/>
    <w:rsid w:val="5498185F"/>
    <w:rsid w:val="54A51E3F"/>
    <w:rsid w:val="54DF48B9"/>
    <w:rsid w:val="54E84FFB"/>
    <w:rsid w:val="551556C2"/>
    <w:rsid w:val="553A1D5C"/>
    <w:rsid w:val="555F6F9D"/>
    <w:rsid w:val="55A27599"/>
    <w:rsid w:val="55AF7C9A"/>
    <w:rsid w:val="55B61960"/>
    <w:rsid w:val="55D22F5A"/>
    <w:rsid w:val="55DE699E"/>
    <w:rsid w:val="55EC189B"/>
    <w:rsid w:val="55F77619"/>
    <w:rsid w:val="56046451"/>
    <w:rsid w:val="562C1566"/>
    <w:rsid w:val="563E1F76"/>
    <w:rsid w:val="56811311"/>
    <w:rsid w:val="56817F49"/>
    <w:rsid w:val="56BB755A"/>
    <w:rsid w:val="57322288"/>
    <w:rsid w:val="57362D58"/>
    <w:rsid w:val="573A2676"/>
    <w:rsid w:val="573C7C43"/>
    <w:rsid w:val="57450AF4"/>
    <w:rsid w:val="57601B83"/>
    <w:rsid w:val="57795B20"/>
    <w:rsid w:val="578B75C4"/>
    <w:rsid w:val="578C0BCA"/>
    <w:rsid w:val="57AB5448"/>
    <w:rsid w:val="57C67D7E"/>
    <w:rsid w:val="57DE5757"/>
    <w:rsid w:val="57DF3682"/>
    <w:rsid w:val="57EF3A42"/>
    <w:rsid w:val="57F97590"/>
    <w:rsid w:val="58094D20"/>
    <w:rsid w:val="581307E2"/>
    <w:rsid w:val="583552D6"/>
    <w:rsid w:val="58367359"/>
    <w:rsid w:val="58555F56"/>
    <w:rsid w:val="586445B2"/>
    <w:rsid w:val="58653422"/>
    <w:rsid w:val="589B03EF"/>
    <w:rsid w:val="58AC1766"/>
    <w:rsid w:val="58C30D33"/>
    <w:rsid w:val="58C75120"/>
    <w:rsid w:val="58F20F01"/>
    <w:rsid w:val="58F837B9"/>
    <w:rsid w:val="58FE255D"/>
    <w:rsid w:val="59197DA9"/>
    <w:rsid w:val="591D2E34"/>
    <w:rsid w:val="59284923"/>
    <w:rsid w:val="59285CC3"/>
    <w:rsid w:val="59301A29"/>
    <w:rsid w:val="594B5F8E"/>
    <w:rsid w:val="594C06A1"/>
    <w:rsid w:val="5962376C"/>
    <w:rsid w:val="59625074"/>
    <w:rsid w:val="59637D43"/>
    <w:rsid w:val="5973779D"/>
    <w:rsid w:val="597942D2"/>
    <w:rsid w:val="597C58C9"/>
    <w:rsid w:val="59A77E5C"/>
    <w:rsid w:val="59AD756C"/>
    <w:rsid w:val="59BD4E78"/>
    <w:rsid w:val="59CA0E97"/>
    <w:rsid w:val="5A03377B"/>
    <w:rsid w:val="5A14556B"/>
    <w:rsid w:val="5A227DCE"/>
    <w:rsid w:val="5A23019A"/>
    <w:rsid w:val="5A2B5AF1"/>
    <w:rsid w:val="5A420166"/>
    <w:rsid w:val="5A542FC6"/>
    <w:rsid w:val="5A814A4C"/>
    <w:rsid w:val="5A8E47F1"/>
    <w:rsid w:val="5AA2266F"/>
    <w:rsid w:val="5AAE390F"/>
    <w:rsid w:val="5AB36B36"/>
    <w:rsid w:val="5AF77C50"/>
    <w:rsid w:val="5AF800A7"/>
    <w:rsid w:val="5B0A6A97"/>
    <w:rsid w:val="5B1769FD"/>
    <w:rsid w:val="5B20262C"/>
    <w:rsid w:val="5B352DB2"/>
    <w:rsid w:val="5B445969"/>
    <w:rsid w:val="5B4619D4"/>
    <w:rsid w:val="5B490337"/>
    <w:rsid w:val="5B527A35"/>
    <w:rsid w:val="5B5E0477"/>
    <w:rsid w:val="5B623A2B"/>
    <w:rsid w:val="5B774200"/>
    <w:rsid w:val="5B7A655D"/>
    <w:rsid w:val="5B815EFF"/>
    <w:rsid w:val="5B9242D5"/>
    <w:rsid w:val="5BAD5FDE"/>
    <w:rsid w:val="5BB17BCF"/>
    <w:rsid w:val="5BB9169B"/>
    <w:rsid w:val="5BBA245F"/>
    <w:rsid w:val="5BEB4149"/>
    <w:rsid w:val="5BED59B0"/>
    <w:rsid w:val="5BF66706"/>
    <w:rsid w:val="5C1631F5"/>
    <w:rsid w:val="5C294DBC"/>
    <w:rsid w:val="5C5A1082"/>
    <w:rsid w:val="5C7C13E7"/>
    <w:rsid w:val="5C856018"/>
    <w:rsid w:val="5C8F4848"/>
    <w:rsid w:val="5CA70254"/>
    <w:rsid w:val="5CC95B86"/>
    <w:rsid w:val="5CD0349E"/>
    <w:rsid w:val="5CD6488D"/>
    <w:rsid w:val="5CE567E5"/>
    <w:rsid w:val="5CF5314E"/>
    <w:rsid w:val="5D13794F"/>
    <w:rsid w:val="5D33498F"/>
    <w:rsid w:val="5D473DF7"/>
    <w:rsid w:val="5D5F7DAF"/>
    <w:rsid w:val="5D681052"/>
    <w:rsid w:val="5D853AF5"/>
    <w:rsid w:val="5D8D2FA6"/>
    <w:rsid w:val="5D9072C3"/>
    <w:rsid w:val="5D987DE4"/>
    <w:rsid w:val="5D9F4FEC"/>
    <w:rsid w:val="5DB876C6"/>
    <w:rsid w:val="5DD35B91"/>
    <w:rsid w:val="5DD634AE"/>
    <w:rsid w:val="5DE13D96"/>
    <w:rsid w:val="5DE65A4E"/>
    <w:rsid w:val="5DF2415A"/>
    <w:rsid w:val="5DF3162C"/>
    <w:rsid w:val="5DF61690"/>
    <w:rsid w:val="5DF70D68"/>
    <w:rsid w:val="5DFE66D7"/>
    <w:rsid w:val="5E0C75E5"/>
    <w:rsid w:val="5E176D14"/>
    <w:rsid w:val="5E1A538D"/>
    <w:rsid w:val="5E262E92"/>
    <w:rsid w:val="5E520704"/>
    <w:rsid w:val="5E57050C"/>
    <w:rsid w:val="5E71567F"/>
    <w:rsid w:val="5E7A0126"/>
    <w:rsid w:val="5E8C2D8E"/>
    <w:rsid w:val="5E8D73F0"/>
    <w:rsid w:val="5EB370C5"/>
    <w:rsid w:val="5EC01298"/>
    <w:rsid w:val="5ECF3B88"/>
    <w:rsid w:val="5EDF3CD6"/>
    <w:rsid w:val="5EE15BBB"/>
    <w:rsid w:val="5EFD1C68"/>
    <w:rsid w:val="5F0B1720"/>
    <w:rsid w:val="5F222A9E"/>
    <w:rsid w:val="5F265B3D"/>
    <w:rsid w:val="5F4D7749"/>
    <w:rsid w:val="5F6059A3"/>
    <w:rsid w:val="5F6118FE"/>
    <w:rsid w:val="5F7424F5"/>
    <w:rsid w:val="5F7E7716"/>
    <w:rsid w:val="5F855115"/>
    <w:rsid w:val="5F9A1711"/>
    <w:rsid w:val="5F9B29CB"/>
    <w:rsid w:val="5FC30F01"/>
    <w:rsid w:val="5FD54F78"/>
    <w:rsid w:val="5FD70BE3"/>
    <w:rsid w:val="5FD90725"/>
    <w:rsid w:val="5FF37D3A"/>
    <w:rsid w:val="60005946"/>
    <w:rsid w:val="600471FE"/>
    <w:rsid w:val="60092BF9"/>
    <w:rsid w:val="600F16AA"/>
    <w:rsid w:val="603B3962"/>
    <w:rsid w:val="60451EA1"/>
    <w:rsid w:val="604A6028"/>
    <w:rsid w:val="606321F7"/>
    <w:rsid w:val="6063621A"/>
    <w:rsid w:val="607F235D"/>
    <w:rsid w:val="6085703A"/>
    <w:rsid w:val="60886F8A"/>
    <w:rsid w:val="608A1077"/>
    <w:rsid w:val="60A92694"/>
    <w:rsid w:val="60AA3E6F"/>
    <w:rsid w:val="60BF123C"/>
    <w:rsid w:val="60DF4E37"/>
    <w:rsid w:val="60E123DB"/>
    <w:rsid w:val="60EB4BB4"/>
    <w:rsid w:val="60EF4BF9"/>
    <w:rsid w:val="61117AE2"/>
    <w:rsid w:val="61174C9C"/>
    <w:rsid w:val="611F11B0"/>
    <w:rsid w:val="613E7518"/>
    <w:rsid w:val="61490800"/>
    <w:rsid w:val="615A31C2"/>
    <w:rsid w:val="6173217D"/>
    <w:rsid w:val="617A5F38"/>
    <w:rsid w:val="6180719F"/>
    <w:rsid w:val="619134D8"/>
    <w:rsid w:val="619E7E7D"/>
    <w:rsid w:val="61E73BB7"/>
    <w:rsid w:val="62053A53"/>
    <w:rsid w:val="62085E0B"/>
    <w:rsid w:val="622666B1"/>
    <w:rsid w:val="62557EF5"/>
    <w:rsid w:val="6262789C"/>
    <w:rsid w:val="62671CB6"/>
    <w:rsid w:val="62744833"/>
    <w:rsid w:val="62782028"/>
    <w:rsid w:val="627C0D36"/>
    <w:rsid w:val="6283185B"/>
    <w:rsid w:val="62AA51AF"/>
    <w:rsid w:val="62BA6783"/>
    <w:rsid w:val="62BF00A6"/>
    <w:rsid w:val="62C0797A"/>
    <w:rsid w:val="62C16282"/>
    <w:rsid w:val="62C42B5D"/>
    <w:rsid w:val="62D905F7"/>
    <w:rsid w:val="62E0253C"/>
    <w:rsid w:val="62F00915"/>
    <w:rsid w:val="62FF4383"/>
    <w:rsid w:val="63004398"/>
    <w:rsid w:val="63045AFA"/>
    <w:rsid w:val="631657EC"/>
    <w:rsid w:val="63310878"/>
    <w:rsid w:val="63344D46"/>
    <w:rsid w:val="633A1E27"/>
    <w:rsid w:val="633E307C"/>
    <w:rsid w:val="6368065A"/>
    <w:rsid w:val="63724215"/>
    <w:rsid w:val="6384309D"/>
    <w:rsid w:val="63874F73"/>
    <w:rsid w:val="6392617E"/>
    <w:rsid w:val="639F5965"/>
    <w:rsid w:val="63AD6799"/>
    <w:rsid w:val="63D101C9"/>
    <w:rsid w:val="63E459D3"/>
    <w:rsid w:val="63FF40C8"/>
    <w:rsid w:val="64065861"/>
    <w:rsid w:val="64082662"/>
    <w:rsid w:val="643A74CB"/>
    <w:rsid w:val="644B4C17"/>
    <w:rsid w:val="64971B74"/>
    <w:rsid w:val="649E750F"/>
    <w:rsid w:val="64A86B00"/>
    <w:rsid w:val="64B421DA"/>
    <w:rsid w:val="64C04742"/>
    <w:rsid w:val="650B56C5"/>
    <w:rsid w:val="65255945"/>
    <w:rsid w:val="653353B7"/>
    <w:rsid w:val="653603C7"/>
    <w:rsid w:val="654B24A8"/>
    <w:rsid w:val="655C25F0"/>
    <w:rsid w:val="65A43B78"/>
    <w:rsid w:val="65E411E0"/>
    <w:rsid w:val="65F31DF6"/>
    <w:rsid w:val="660860CB"/>
    <w:rsid w:val="660C6750"/>
    <w:rsid w:val="66134265"/>
    <w:rsid w:val="66144E17"/>
    <w:rsid w:val="66212E26"/>
    <w:rsid w:val="663012BB"/>
    <w:rsid w:val="664C6F7A"/>
    <w:rsid w:val="6654551E"/>
    <w:rsid w:val="666B4FD1"/>
    <w:rsid w:val="66755418"/>
    <w:rsid w:val="667C6851"/>
    <w:rsid w:val="667F037B"/>
    <w:rsid w:val="66883D69"/>
    <w:rsid w:val="66953FA4"/>
    <w:rsid w:val="66BC5417"/>
    <w:rsid w:val="66BE60F6"/>
    <w:rsid w:val="66C14D46"/>
    <w:rsid w:val="66D234BD"/>
    <w:rsid w:val="66D40577"/>
    <w:rsid w:val="670B6DEF"/>
    <w:rsid w:val="67416B41"/>
    <w:rsid w:val="675A7ACC"/>
    <w:rsid w:val="67654ACC"/>
    <w:rsid w:val="67677EE1"/>
    <w:rsid w:val="676F74DF"/>
    <w:rsid w:val="67725462"/>
    <w:rsid w:val="67984210"/>
    <w:rsid w:val="67A041FE"/>
    <w:rsid w:val="67B53A85"/>
    <w:rsid w:val="67C0558E"/>
    <w:rsid w:val="67EC13E8"/>
    <w:rsid w:val="68251ED1"/>
    <w:rsid w:val="682951F0"/>
    <w:rsid w:val="684A5E49"/>
    <w:rsid w:val="68593A94"/>
    <w:rsid w:val="686606C8"/>
    <w:rsid w:val="687372E9"/>
    <w:rsid w:val="687A0C2F"/>
    <w:rsid w:val="6885068C"/>
    <w:rsid w:val="689E1B2A"/>
    <w:rsid w:val="68CF70D2"/>
    <w:rsid w:val="68D0537B"/>
    <w:rsid w:val="68D65527"/>
    <w:rsid w:val="68DD7FD5"/>
    <w:rsid w:val="68E40B57"/>
    <w:rsid w:val="69054E87"/>
    <w:rsid w:val="690A7FF8"/>
    <w:rsid w:val="6951474B"/>
    <w:rsid w:val="6955777E"/>
    <w:rsid w:val="69582A31"/>
    <w:rsid w:val="695E7EED"/>
    <w:rsid w:val="696D6371"/>
    <w:rsid w:val="697B0A9F"/>
    <w:rsid w:val="698C4A5A"/>
    <w:rsid w:val="69A35952"/>
    <w:rsid w:val="69A404A2"/>
    <w:rsid w:val="69A57637"/>
    <w:rsid w:val="69B813AB"/>
    <w:rsid w:val="69BE4AC0"/>
    <w:rsid w:val="69E44896"/>
    <w:rsid w:val="69E55BC4"/>
    <w:rsid w:val="69EC0ABC"/>
    <w:rsid w:val="6A0E157C"/>
    <w:rsid w:val="6A130A1B"/>
    <w:rsid w:val="6A5D5C02"/>
    <w:rsid w:val="6A7B729C"/>
    <w:rsid w:val="6A903B8E"/>
    <w:rsid w:val="6AA20324"/>
    <w:rsid w:val="6AA37EA9"/>
    <w:rsid w:val="6AB413A4"/>
    <w:rsid w:val="6AC06823"/>
    <w:rsid w:val="6AD42F06"/>
    <w:rsid w:val="6AD745AB"/>
    <w:rsid w:val="6ADF3BD0"/>
    <w:rsid w:val="6AF72F84"/>
    <w:rsid w:val="6B341324"/>
    <w:rsid w:val="6B3E4A5F"/>
    <w:rsid w:val="6B6966B8"/>
    <w:rsid w:val="6B9F1DBB"/>
    <w:rsid w:val="6BA46458"/>
    <w:rsid w:val="6BC06C3D"/>
    <w:rsid w:val="6BD32A9D"/>
    <w:rsid w:val="6BF96970"/>
    <w:rsid w:val="6BFB2BDE"/>
    <w:rsid w:val="6C296A16"/>
    <w:rsid w:val="6C386757"/>
    <w:rsid w:val="6C445178"/>
    <w:rsid w:val="6C6327E0"/>
    <w:rsid w:val="6C697CAD"/>
    <w:rsid w:val="6C706BD3"/>
    <w:rsid w:val="6C9D4D1F"/>
    <w:rsid w:val="6CBF424A"/>
    <w:rsid w:val="6CD86B3D"/>
    <w:rsid w:val="6CDC350E"/>
    <w:rsid w:val="6D1A4F14"/>
    <w:rsid w:val="6D2C2624"/>
    <w:rsid w:val="6D4325B3"/>
    <w:rsid w:val="6D594E47"/>
    <w:rsid w:val="6D5B63B0"/>
    <w:rsid w:val="6D65184A"/>
    <w:rsid w:val="6D774660"/>
    <w:rsid w:val="6D793547"/>
    <w:rsid w:val="6D8B4F44"/>
    <w:rsid w:val="6D920165"/>
    <w:rsid w:val="6D9607AD"/>
    <w:rsid w:val="6D9A7F72"/>
    <w:rsid w:val="6D9B575D"/>
    <w:rsid w:val="6DC71486"/>
    <w:rsid w:val="6DDD7DFC"/>
    <w:rsid w:val="6DE71481"/>
    <w:rsid w:val="6DF043A2"/>
    <w:rsid w:val="6E1A2365"/>
    <w:rsid w:val="6E3F51ED"/>
    <w:rsid w:val="6E462C50"/>
    <w:rsid w:val="6E9A2CE4"/>
    <w:rsid w:val="6EC478C9"/>
    <w:rsid w:val="6ED7647D"/>
    <w:rsid w:val="6EE24B43"/>
    <w:rsid w:val="6EE278DC"/>
    <w:rsid w:val="6EE44E77"/>
    <w:rsid w:val="6EE51C3A"/>
    <w:rsid w:val="6EF31F6B"/>
    <w:rsid w:val="6EF54821"/>
    <w:rsid w:val="6EF7796B"/>
    <w:rsid w:val="6F254F37"/>
    <w:rsid w:val="6F280E37"/>
    <w:rsid w:val="6F38595A"/>
    <w:rsid w:val="6F39787D"/>
    <w:rsid w:val="6F860812"/>
    <w:rsid w:val="6FAC4372"/>
    <w:rsid w:val="6FAD0DBA"/>
    <w:rsid w:val="6FB560BA"/>
    <w:rsid w:val="6FC63E08"/>
    <w:rsid w:val="6FC8782C"/>
    <w:rsid w:val="6FD30D94"/>
    <w:rsid w:val="6FE26E27"/>
    <w:rsid w:val="6FEC69B0"/>
    <w:rsid w:val="70111019"/>
    <w:rsid w:val="703A496C"/>
    <w:rsid w:val="70616B05"/>
    <w:rsid w:val="706669FF"/>
    <w:rsid w:val="707A6B13"/>
    <w:rsid w:val="707E60C0"/>
    <w:rsid w:val="708A3B31"/>
    <w:rsid w:val="70AF3523"/>
    <w:rsid w:val="70B04C0A"/>
    <w:rsid w:val="70B80EA9"/>
    <w:rsid w:val="70D04884"/>
    <w:rsid w:val="70DC1FA9"/>
    <w:rsid w:val="70E27C5F"/>
    <w:rsid w:val="70F6609E"/>
    <w:rsid w:val="70F86C1C"/>
    <w:rsid w:val="70FB62CB"/>
    <w:rsid w:val="711971FA"/>
    <w:rsid w:val="713710CB"/>
    <w:rsid w:val="71573B9F"/>
    <w:rsid w:val="715D0679"/>
    <w:rsid w:val="71704D92"/>
    <w:rsid w:val="717207E2"/>
    <w:rsid w:val="71866CCD"/>
    <w:rsid w:val="71BB3F5C"/>
    <w:rsid w:val="71CD0E96"/>
    <w:rsid w:val="71CE0917"/>
    <w:rsid w:val="71F35DF9"/>
    <w:rsid w:val="720B1B5F"/>
    <w:rsid w:val="72143724"/>
    <w:rsid w:val="72143AF9"/>
    <w:rsid w:val="72271BD1"/>
    <w:rsid w:val="722F68C6"/>
    <w:rsid w:val="725B321B"/>
    <w:rsid w:val="7275449D"/>
    <w:rsid w:val="727A4E15"/>
    <w:rsid w:val="72856CC7"/>
    <w:rsid w:val="729E1CB9"/>
    <w:rsid w:val="72A05BB4"/>
    <w:rsid w:val="72BE2004"/>
    <w:rsid w:val="72BF2452"/>
    <w:rsid w:val="73337CF4"/>
    <w:rsid w:val="73392261"/>
    <w:rsid w:val="73432269"/>
    <w:rsid w:val="73A94FE1"/>
    <w:rsid w:val="73B4416B"/>
    <w:rsid w:val="73B52DBC"/>
    <w:rsid w:val="73E232BE"/>
    <w:rsid w:val="740A38D7"/>
    <w:rsid w:val="74194377"/>
    <w:rsid w:val="74212243"/>
    <w:rsid w:val="742A7349"/>
    <w:rsid w:val="743177D8"/>
    <w:rsid w:val="74364910"/>
    <w:rsid w:val="74794210"/>
    <w:rsid w:val="7490025E"/>
    <w:rsid w:val="74936F97"/>
    <w:rsid w:val="74963463"/>
    <w:rsid w:val="74967587"/>
    <w:rsid w:val="7498434B"/>
    <w:rsid w:val="74A76BEC"/>
    <w:rsid w:val="74B15375"/>
    <w:rsid w:val="74C423BC"/>
    <w:rsid w:val="74CB3A47"/>
    <w:rsid w:val="74D90B64"/>
    <w:rsid w:val="750D2FA2"/>
    <w:rsid w:val="75141D4A"/>
    <w:rsid w:val="7516332D"/>
    <w:rsid w:val="751C5F2F"/>
    <w:rsid w:val="751E78A5"/>
    <w:rsid w:val="751F0F9E"/>
    <w:rsid w:val="752C7754"/>
    <w:rsid w:val="753F14FE"/>
    <w:rsid w:val="754461E9"/>
    <w:rsid w:val="756920F3"/>
    <w:rsid w:val="7579689C"/>
    <w:rsid w:val="757A2BC8"/>
    <w:rsid w:val="757D3663"/>
    <w:rsid w:val="75925778"/>
    <w:rsid w:val="759A202E"/>
    <w:rsid w:val="759A7657"/>
    <w:rsid w:val="75AD28C5"/>
    <w:rsid w:val="75BB074B"/>
    <w:rsid w:val="75C268F5"/>
    <w:rsid w:val="75FC2D08"/>
    <w:rsid w:val="761A19EC"/>
    <w:rsid w:val="761A6A08"/>
    <w:rsid w:val="7645022F"/>
    <w:rsid w:val="764D029A"/>
    <w:rsid w:val="764D570C"/>
    <w:rsid w:val="765F7514"/>
    <w:rsid w:val="76650F91"/>
    <w:rsid w:val="766C251F"/>
    <w:rsid w:val="767C28C0"/>
    <w:rsid w:val="768E7059"/>
    <w:rsid w:val="768F55DD"/>
    <w:rsid w:val="76AB5775"/>
    <w:rsid w:val="76EF0036"/>
    <w:rsid w:val="77016106"/>
    <w:rsid w:val="771451EB"/>
    <w:rsid w:val="773D6539"/>
    <w:rsid w:val="774677D5"/>
    <w:rsid w:val="775C0844"/>
    <w:rsid w:val="775D7EB1"/>
    <w:rsid w:val="77603EAD"/>
    <w:rsid w:val="777664E7"/>
    <w:rsid w:val="777A7420"/>
    <w:rsid w:val="777F5B94"/>
    <w:rsid w:val="77965AFB"/>
    <w:rsid w:val="77A71A5C"/>
    <w:rsid w:val="77A76C1A"/>
    <w:rsid w:val="77AF1BE8"/>
    <w:rsid w:val="77B30CE2"/>
    <w:rsid w:val="77C1408E"/>
    <w:rsid w:val="77D1365C"/>
    <w:rsid w:val="77D53163"/>
    <w:rsid w:val="77D73344"/>
    <w:rsid w:val="77EA7C9B"/>
    <w:rsid w:val="780A717D"/>
    <w:rsid w:val="78467C00"/>
    <w:rsid w:val="785B3552"/>
    <w:rsid w:val="78691008"/>
    <w:rsid w:val="786E038E"/>
    <w:rsid w:val="78766870"/>
    <w:rsid w:val="787B6160"/>
    <w:rsid w:val="788163FD"/>
    <w:rsid w:val="78877363"/>
    <w:rsid w:val="78C31B1A"/>
    <w:rsid w:val="790143B0"/>
    <w:rsid w:val="791B54B2"/>
    <w:rsid w:val="791E5895"/>
    <w:rsid w:val="79334B61"/>
    <w:rsid w:val="794369BC"/>
    <w:rsid w:val="794B57F4"/>
    <w:rsid w:val="79553589"/>
    <w:rsid w:val="795D184B"/>
    <w:rsid w:val="795F2218"/>
    <w:rsid w:val="79645338"/>
    <w:rsid w:val="79774237"/>
    <w:rsid w:val="79901C85"/>
    <w:rsid w:val="79B60EF5"/>
    <w:rsid w:val="79BC1509"/>
    <w:rsid w:val="79C31017"/>
    <w:rsid w:val="79D80E93"/>
    <w:rsid w:val="79DF3FF2"/>
    <w:rsid w:val="79EA1D8C"/>
    <w:rsid w:val="79EC0EFF"/>
    <w:rsid w:val="7A050FCC"/>
    <w:rsid w:val="7A051367"/>
    <w:rsid w:val="7A0547ED"/>
    <w:rsid w:val="7A0F6A1D"/>
    <w:rsid w:val="7A161564"/>
    <w:rsid w:val="7A35706D"/>
    <w:rsid w:val="7A706324"/>
    <w:rsid w:val="7A8F6158"/>
    <w:rsid w:val="7AA33CED"/>
    <w:rsid w:val="7AAC1E29"/>
    <w:rsid w:val="7ADE2793"/>
    <w:rsid w:val="7AEF0E9D"/>
    <w:rsid w:val="7B0C1557"/>
    <w:rsid w:val="7B262AF5"/>
    <w:rsid w:val="7B3A6566"/>
    <w:rsid w:val="7B4200F8"/>
    <w:rsid w:val="7B4C6967"/>
    <w:rsid w:val="7B4F00FD"/>
    <w:rsid w:val="7B4F1619"/>
    <w:rsid w:val="7B592721"/>
    <w:rsid w:val="7B865025"/>
    <w:rsid w:val="7B8E66AD"/>
    <w:rsid w:val="7B9C4EE4"/>
    <w:rsid w:val="7BA00DB2"/>
    <w:rsid w:val="7BAD743E"/>
    <w:rsid w:val="7BB17D03"/>
    <w:rsid w:val="7BBC11CF"/>
    <w:rsid w:val="7BC00EAA"/>
    <w:rsid w:val="7BDB725D"/>
    <w:rsid w:val="7BE9010C"/>
    <w:rsid w:val="7C092A70"/>
    <w:rsid w:val="7C113EB4"/>
    <w:rsid w:val="7C117EAB"/>
    <w:rsid w:val="7C2219B6"/>
    <w:rsid w:val="7C3C052F"/>
    <w:rsid w:val="7C7E46D6"/>
    <w:rsid w:val="7C9712F4"/>
    <w:rsid w:val="7C996FDC"/>
    <w:rsid w:val="7CAC7DBD"/>
    <w:rsid w:val="7CAD766E"/>
    <w:rsid w:val="7CB82C5F"/>
    <w:rsid w:val="7CBD500D"/>
    <w:rsid w:val="7CC04228"/>
    <w:rsid w:val="7CE91062"/>
    <w:rsid w:val="7CF96FD8"/>
    <w:rsid w:val="7D097416"/>
    <w:rsid w:val="7D1C14D2"/>
    <w:rsid w:val="7D250D40"/>
    <w:rsid w:val="7D284677"/>
    <w:rsid w:val="7D2D1C58"/>
    <w:rsid w:val="7D4014CE"/>
    <w:rsid w:val="7D554678"/>
    <w:rsid w:val="7D574EDE"/>
    <w:rsid w:val="7D801E38"/>
    <w:rsid w:val="7D80622C"/>
    <w:rsid w:val="7DB13434"/>
    <w:rsid w:val="7E1977F5"/>
    <w:rsid w:val="7E320456"/>
    <w:rsid w:val="7E3378BA"/>
    <w:rsid w:val="7E722515"/>
    <w:rsid w:val="7E9836FE"/>
    <w:rsid w:val="7EA40BC8"/>
    <w:rsid w:val="7EB82FB7"/>
    <w:rsid w:val="7EBE1DD3"/>
    <w:rsid w:val="7ECF2FC7"/>
    <w:rsid w:val="7ED370B5"/>
    <w:rsid w:val="7EF825AD"/>
    <w:rsid w:val="7F1840DE"/>
    <w:rsid w:val="7F503B56"/>
    <w:rsid w:val="7F506859"/>
    <w:rsid w:val="7F59417B"/>
    <w:rsid w:val="7F694DB6"/>
    <w:rsid w:val="7F976606"/>
    <w:rsid w:val="7FB748D8"/>
    <w:rsid w:val="7FD15D05"/>
    <w:rsid w:val="7FE11B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qFormat="1" w:unhideWhenUsed="0" w:uiPriority="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Microsoft YaHei UI" w:asciiTheme="minorHAnsi" w:hAnsiTheme="minorHAnsi" w:eastAsiaTheme="minorEastAsia"/>
      <w:spacing w:val="15"/>
      <w:kern w:val="0"/>
      <w:sz w:val="24"/>
      <w:szCs w:val="24"/>
      <w:lang w:val="en-US" w:eastAsia="zh-CN" w:bidi="ar-SA"/>
    </w:rPr>
  </w:style>
  <w:style w:type="paragraph" w:styleId="2">
    <w:name w:val="heading 1"/>
    <w:basedOn w:val="1"/>
    <w:next w:val="1"/>
    <w:qFormat/>
    <w:uiPriority w:val="0"/>
    <w:pPr>
      <w:spacing w:line="360" w:lineRule="auto"/>
      <w:jc w:val="center"/>
      <w:outlineLvl w:val="0"/>
    </w:pPr>
    <w:rPr>
      <w:rFonts w:ascii="Microsoft JhengHei" w:hAnsi="Microsoft JhengHei" w:eastAsia="宋体" w:cs="Microsoft JhengHei"/>
      <w:sz w:val="36"/>
      <w:szCs w:val="44"/>
    </w:rPr>
  </w:style>
  <w:style w:type="paragraph" w:styleId="3">
    <w:name w:val="heading 2"/>
    <w:basedOn w:val="1"/>
    <w:next w:val="1"/>
    <w:unhideWhenUsed/>
    <w:qFormat/>
    <w:uiPriority w:val="0"/>
    <w:pPr>
      <w:spacing w:before="120" w:beforeLines="50" w:after="120" w:afterLines="50" w:line="360" w:lineRule="auto"/>
      <w:ind w:firstLine="700" w:firstLineChars="250"/>
      <w:jc w:val="both"/>
      <w:outlineLvl w:val="1"/>
    </w:pPr>
    <w:rPr>
      <w:rFonts w:asciiTheme="majorHAnsi" w:hAnsiTheme="majorHAnsi" w:cstheme="majorBidi"/>
      <w:b/>
      <w:bCs/>
      <w:caps/>
      <w:color w:val="FA0F1C"/>
      <w:sz w:val="28"/>
      <w:szCs w:val="26"/>
      <w:lang w:val="en-US" w:eastAsia="ja-JP"/>
    </w:rPr>
  </w:style>
  <w:style w:type="paragraph" w:styleId="4">
    <w:name w:val="heading 3"/>
    <w:basedOn w:val="1"/>
    <w:next w:val="1"/>
    <w:unhideWhenUsed/>
    <w:qFormat/>
    <w:uiPriority w:val="0"/>
    <w:pPr>
      <w:keepNext/>
      <w:keepLines/>
      <w:spacing w:before="317" w:after="317"/>
      <w:contextualSpacing/>
      <w:outlineLvl w:val="2"/>
    </w:pPr>
    <w:rPr>
      <w:rFonts w:asciiTheme="majorHAnsi" w:hAnsiTheme="majorHAnsi" w:eastAsiaTheme="majorEastAsia" w:cstheme="majorBidi"/>
      <w:b/>
      <w:color w:val="5B9BD5" w:themeColor="accent1"/>
      <w14:textFill>
        <w14:solidFill>
          <w14:schemeClr w14:val="accent1"/>
        </w14:solidFill>
      </w14:textFill>
    </w:rPr>
  </w:style>
  <w:style w:type="paragraph" w:styleId="5">
    <w:name w:val="heading 4"/>
    <w:basedOn w:val="1"/>
    <w:next w:val="1"/>
    <w:unhideWhenUsed/>
    <w:qFormat/>
    <w:uiPriority w:val="0"/>
    <w:pPr>
      <w:keepNext/>
      <w:keepLines/>
      <w:spacing w:before="317" w:after="317"/>
      <w:contextualSpacing/>
      <w:outlineLvl w:val="3"/>
    </w:pPr>
    <w:rPr>
      <w:rFonts w:asciiTheme="majorHAnsi" w:hAnsiTheme="majorHAnsi" w:eastAsiaTheme="majorEastAsia" w:cstheme="majorBidi"/>
      <w:b/>
      <w:i/>
      <w:iCs/>
      <w:color w:val="44546A" w:themeColor="text2"/>
      <w14:textFill>
        <w14:solidFill>
          <w14:schemeClr w14:val="tx2"/>
        </w14:solidFill>
      </w14:textFill>
    </w:rPr>
  </w:style>
  <w:style w:type="paragraph" w:styleId="6">
    <w:name w:val="heading 5"/>
    <w:basedOn w:val="1"/>
    <w:next w:val="1"/>
    <w:qFormat/>
    <w:uiPriority w:val="1"/>
    <w:pPr>
      <w:spacing w:before="39"/>
      <w:ind w:left="181" w:right="222"/>
      <w:jc w:val="center"/>
      <w:outlineLvl w:val="4"/>
    </w:pPr>
    <w:rPr>
      <w:b/>
      <w:bCs/>
      <w:sz w:val="30"/>
      <w:szCs w:val="30"/>
    </w:rPr>
  </w:style>
  <w:style w:type="character" w:default="1" w:styleId="42">
    <w:name w:val="Default Paragraph Font"/>
    <w:semiHidden/>
    <w:qFormat/>
    <w:uiPriority w:val="0"/>
  </w:style>
  <w:style w:type="table" w:default="1" w:styleId="40">
    <w:name w:val="Normal Table"/>
    <w:semiHidden/>
    <w:qFormat/>
    <w:uiPriority w:val="0"/>
    <w:tblPr>
      <w:tblCellMar>
        <w:top w:w="0" w:type="dxa"/>
        <w:left w:w="108" w:type="dxa"/>
        <w:bottom w:w="0" w:type="dxa"/>
        <w:right w:w="108" w:type="dxa"/>
      </w:tblCellMar>
    </w:tblPr>
  </w:style>
  <w:style w:type="paragraph" w:styleId="7">
    <w:name w:val="Normal Indent"/>
    <w:basedOn w:val="1"/>
    <w:next w:val="1"/>
    <w:qFormat/>
    <w:uiPriority w:val="0"/>
    <w:pPr>
      <w:ind w:firstLine="420" w:firstLineChars="200"/>
    </w:pPr>
  </w:style>
  <w:style w:type="paragraph" w:styleId="8">
    <w:name w:val="index 5"/>
    <w:basedOn w:val="9"/>
    <w:next w:val="9"/>
    <w:qFormat/>
    <w:uiPriority w:val="0"/>
    <w:pPr>
      <w:ind w:left="1680"/>
    </w:pPr>
  </w:style>
  <w:style w:type="paragraph" w:customStyle="1" w:styleId="9">
    <w:name w:val="Normal"/>
    <w:basedOn w:val="10"/>
    <w:next w:val="14"/>
    <w:qFormat/>
    <w:uiPriority w:val="0"/>
    <w:pPr>
      <w:widowControl w:val="0"/>
      <w:jc w:val="both"/>
    </w:pPr>
    <w:rPr>
      <w:rFonts w:ascii="Calibri" w:hAnsi="Calibri"/>
      <w:kern w:val="2"/>
      <w:sz w:val="21"/>
      <w:szCs w:val="22"/>
      <w:lang w:val="en-US" w:eastAsia="zh-CN" w:bidi="ar-SA"/>
    </w:rPr>
  </w:style>
  <w:style w:type="paragraph" w:customStyle="1" w:styleId="10">
    <w:name w:val="正文_0"/>
    <w:basedOn w:val="11"/>
    <w:next w:val="13"/>
    <w:qFormat/>
    <w:uiPriority w:val="0"/>
    <w:pPr>
      <w:widowControl w:val="0"/>
      <w:jc w:val="both"/>
    </w:pPr>
    <w:rPr>
      <w:kern w:val="2"/>
      <w:sz w:val="21"/>
      <w:szCs w:val="24"/>
      <w:lang w:val="en-US" w:eastAsia="zh-CN" w:bidi="ar-SA"/>
    </w:rPr>
  </w:style>
  <w:style w:type="paragraph" w:customStyle="1" w:styleId="11">
    <w:name w:val="正文_1"/>
    <w:next w:val="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
    <w:name w:val="列表_0"/>
    <w:basedOn w:val="11"/>
    <w:semiHidden/>
    <w:qFormat/>
    <w:locked/>
    <w:uiPriority w:val="0"/>
    <w:pPr>
      <w:ind w:left="200" w:hanging="200" w:hangingChars="200"/>
    </w:pPr>
  </w:style>
  <w:style w:type="paragraph" w:styleId="13">
    <w:name w:val="List"/>
    <w:basedOn w:val="1"/>
    <w:semiHidden/>
    <w:qFormat/>
    <w:uiPriority w:val="0"/>
    <w:pPr>
      <w:ind w:left="200" w:hanging="200" w:hangingChars="200"/>
    </w:pPr>
  </w:style>
  <w:style w:type="paragraph" w:customStyle="1" w:styleId="14">
    <w:name w:val="Footnote Text"/>
    <w:basedOn w:val="9"/>
    <w:qFormat/>
    <w:uiPriority w:val="0"/>
    <w:pPr>
      <w:snapToGrid w:val="0"/>
      <w:jc w:val="left"/>
    </w:pPr>
    <w:rPr>
      <w:sz w:val="18"/>
      <w:szCs w:val="18"/>
    </w:rPr>
  </w:style>
  <w:style w:type="paragraph" w:styleId="15">
    <w:name w:val="toa heading"/>
    <w:basedOn w:val="1"/>
    <w:next w:val="1"/>
    <w:semiHidden/>
    <w:qFormat/>
    <w:uiPriority w:val="99"/>
    <w:pPr>
      <w:spacing w:before="120"/>
    </w:pPr>
    <w:rPr>
      <w:rFonts w:ascii="Arial" w:hAnsi="Arial" w:cs="Arial"/>
      <w:sz w:val="24"/>
      <w:szCs w:val="24"/>
    </w:rPr>
  </w:style>
  <w:style w:type="paragraph" w:styleId="16">
    <w:name w:val="Body Text"/>
    <w:basedOn w:val="1"/>
    <w:next w:val="17"/>
    <w:qFormat/>
    <w:uiPriority w:val="0"/>
    <w:pPr>
      <w:autoSpaceDE w:val="0"/>
      <w:autoSpaceDN w:val="0"/>
      <w:adjustRightInd w:val="0"/>
      <w:spacing w:before="40" w:beforeLines="0" w:after="40" w:afterLines="0" w:line="320" w:lineRule="atLeast"/>
      <w:ind w:firstLine="357"/>
      <w:textAlignment w:val="baseline"/>
    </w:pPr>
    <w:rPr>
      <w:sz w:val="18"/>
    </w:rPr>
  </w:style>
  <w:style w:type="paragraph" w:styleId="17">
    <w:name w:val="Quote"/>
    <w:next w:val="1"/>
    <w:qFormat/>
    <w:uiPriority w:val="21"/>
    <w:pPr>
      <w:ind w:left="864" w:right="864"/>
      <w:jc w:val="center"/>
    </w:pPr>
    <w:rPr>
      <w:rFonts w:ascii="Times New Roman" w:hAnsi="Times New Roman" w:eastAsia="宋体" w:cs="Times New Roman"/>
      <w:i/>
      <w:color w:val="404040"/>
      <w:sz w:val="21"/>
      <w:szCs w:val="21"/>
      <w:lang w:val="en-US" w:eastAsia="zh-CN" w:bidi="ar-SA"/>
    </w:rPr>
  </w:style>
  <w:style w:type="paragraph" w:styleId="18">
    <w:name w:val="Body Text Indent"/>
    <w:basedOn w:val="1"/>
    <w:next w:val="16"/>
    <w:unhideWhenUsed/>
    <w:qFormat/>
    <w:uiPriority w:val="0"/>
    <w:pPr>
      <w:ind w:firstLine="630"/>
    </w:pPr>
    <w:rPr>
      <w:rFonts w:ascii="Times New Roman"/>
      <w:kern w:val="2"/>
      <w:sz w:val="32"/>
    </w:rPr>
  </w:style>
  <w:style w:type="paragraph" w:styleId="19">
    <w:name w:val="List 2"/>
    <w:basedOn w:val="1"/>
    <w:qFormat/>
    <w:uiPriority w:val="0"/>
    <w:pPr>
      <w:ind w:left="100" w:leftChars="200" w:hanging="200" w:hangingChars="200"/>
      <w:contextualSpacing/>
    </w:pPr>
  </w:style>
  <w:style w:type="paragraph" w:styleId="20">
    <w:name w:val="toc 3"/>
    <w:basedOn w:val="1"/>
    <w:next w:val="1"/>
    <w:qFormat/>
    <w:uiPriority w:val="0"/>
    <w:pPr>
      <w:ind w:left="840" w:leftChars="400"/>
    </w:pPr>
  </w:style>
  <w:style w:type="paragraph" w:styleId="21">
    <w:name w:val="footer"/>
    <w:basedOn w:val="1"/>
    <w:qFormat/>
    <w:uiPriority w:val="0"/>
    <w:pPr>
      <w:tabs>
        <w:tab w:val="center" w:pos="4153"/>
        <w:tab w:val="right" w:pos="8306"/>
      </w:tabs>
      <w:snapToGrid w:val="0"/>
      <w:jc w:val="left"/>
    </w:pPr>
    <w:rPr>
      <w:sz w:val="18"/>
    </w:rPr>
  </w:style>
  <w:style w:type="paragraph" w:styleId="2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3">
    <w:name w:val="toc 1"/>
    <w:basedOn w:val="1"/>
    <w:next w:val="1"/>
    <w:qFormat/>
    <w:uiPriority w:val="0"/>
  </w:style>
  <w:style w:type="paragraph" w:styleId="24">
    <w:name w:val="footnote text"/>
    <w:basedOn w:val="1"/>
    <w:next w:val="8"/>
    <w:unhideWhenUsed/>
    <w:qFormat/>
    <w:uiPriority w:val="99"/>
    <w:pPr>
      <w:snapToGrid w:val="0"/>
      <w:jc w:val="left"/>
    </w:pPr>
    <w:rPr>
      <w:sz w:val="18"/>
      <w:szCs w:val="18"/>
    </w:rPr>
  </w:style>
  <w:style w:type="paragraph" w:styleId="25">
    <w:name w:val="toc 2"/>
    <w:basedOn w:val="1"/>
    <w:next w:val="1"/>
    <w:qFormat/>
    <w:uiPriority w:val="0"/>
    <w:pPr>
      <w:ind w:left="420" w:leftChars="200"/>
    </w:pPr>
  </w:style>
  <w:style w:type="paragraph" w:styleId="26">
    <w:name w:val="Body Text 2"/>
    <w:basedOn w:val="1"/>
    <w:next w:val="1"/>
    <w:qFormat/>
    <w:uiPriority w:val="99"/>
    <w:pPr>
      <w:autoSpaceDE w:val="0"/>
      <w:autoSpaceDN w:val="0"/>
      <w:spacing w:afterLines="50" w:line="480" w:lineRule="auto"/>
      <w:jc w:val="center"/>
      <w:textAlignment w:val="baseline"/>
    </w:pPr>
    <w:rPr>
      <w:rFonts w:ascii="宋体" w:hAnsi="宋体"/>
      <w:kern w:val="0"/>
      <w:sz w:val="20"/>
      <w:szCs w:val="21"/>
    </w:rPr>
  </w:style>
  <w:style w:type="paragraph" w:styleId="2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rPr>
  </w:style>
  <w:style w:type="paragraph" w:styleId="2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30">
    <w:name w:val="Title"/>
    <w:basedOn w:val="19"/>
    <w:next w:val="1"/>
    <w:qFormat/>
    <w:uiPriority w:val="0"/>
    <w:pPr>
      <w:spacing w:before="240" w:after="60" w:line="360" w:lineRule="auto"/>
      <w:jc w:val="center"/>
      <w:outlineLvl w:val="0"/>
    </w:pPr>
    <w:rPr>
      <w:rFonts w:ascii="Cambria" w:hAnsi="Cambria" w:eastAsia="宋体" w:cs="Times New Roman"/>
      <w:b/>
      <w:bCs/>
      <w:sz w:val="36"/>
      <w:szCs w:val="32"/>
    </w:rPr>
  </w:style>
  <w:style w:type="paragraph" w:styleId="31">
    <w:name w:val="Body Text First Indent"/>
    <w:basedOn w:val="32"/>
    <w:next w:val="1"/>
    <w:qFormat/>
    <w:uiPriority w:val="0"/>
    <w:pPr>
      <w:widowControl/>
      <w:tabs>
        <w:tab w:val="left" w:pos="567"/>
      </w:tabs>
      <w:spacing w:line="312" w:lineRule="auto"/>
      <w:ind w:firstLine="420" w:firstLineChars="100"/>
    </w:pPr>
    <w:rPr>
      <w:rFonts w:hint="eastAsia" w:ascii="微软雅黑" w:hAnsi="微软雅黑" w:eastAsia="微软雅黑" w:cs="微软雅黑"/>
      <w:szCs w:val="21"/>
    </w:rPr>
  </w:style>
  <w:style w:type="paragraph" w:customStyle="1" w:styleId="32">
    <w:name w:val="正文文本_0"/>
    <w:basedOn w:val="33"/>
    <w:unhideWhenUsed/>
    <w:qFormat/>
    <w:uiPriority w:val="0"/>
    <w:pPr>
      <w:spacing w:after="120"/>
    </w:pPr>
    <w:rPr>
      <w:rFonts w:ascii="Calibri" w:hAnsi="Calibri"/>
    </w:rPr>
  </w:style>
  <w:style w:type="paragraph" w:customStyle="1" w:styleId="33">
    <w:name w:val="正文_1_0"/>
    <w:basedOn w:val="34"/>
    <w:next w:val="3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正文_2"/>
    <w:basedOn w:val="11"/>
    <w:next w:val="35"/>
    <w:qFormat/>
    <w:uiPriority w:val="0"/>
    <w:pPr>
      <w:widowControl w:val="0"/>
      <w:jc w:val="both"/>
    </w:pPr>
    <w:rPr>
      <w:rFonts w:ascii="Calibri" w:hAnsi="Calibri"/>
      <w:kern w:val="2"/>
      <w:sz w:val="21"/>
      <w:szCs w:val="22"/>
      <w:lang w:val="en-US" w:eastAsia="zh-CN" w:bidi="ar-SA"/>
    </w:rPr>
  </w:style>
  <w:style w:type="paragraph" w:customStyle="1" w:styleId="35">
    <w:name w:val="正文文本_1"/>
    <w:basedOn w:val="33"/>
    <w:unhideWhenUsed/>
    <w:qFormat/>
    <w:uiPriority w:val="0"/>
    <w:pPr>
      <w:spacing w:after="120"/>
    </w:pPr>
    <w:rPr>
      <w:rFonts w:ascii="Calibri" w:hAnsi="Calibri" w:eastAsia="宋体" w:cs="Times New Roman"/>
    </w:rPr>
  </w:style>
  <w:style w:type="paragraph" w:customStyle="1" w:styleId="36">
    <w:name w:val="正文首行缩进1"/>
    <w:basedOn w:val="37"/>
    <w:unhideWhenUsed/>
    <w:qFormat/>
    <w:uiPriority w:val="99"/>
    <w:pPr>
      <w:ind w:firstLine="420" w:firstLineChars="100"/>
    </w:pPr>
    <w:rPr>
      <w:szCs w:val="22"/>
    </w:rPr>
  </w:style>
  <w:style w:type="paragraph" w:customStyle="1" w:styleId="37">
    <w:name w:val="正文文本_0_0"/>
    <w:basedOn w:val="38"/>
    <w:qFormat/>
    <w:uiPriority w:val="99"/>
    <w:rPr>
      <w:rFonts w:ascii="Calibri" w:hAnsi="Calibri" w:eastAsia="黑体"/>
      <w:kern w:val="0"/>
      <w:sz w:val="36"/>
      <w:szCs w:val="24"/>
    </w:rPr>
  </w:style>
  <w:style w:type="paragraph" w:customStyle="1" w:styleId="38">
    <w:name w:val="正文_1_3"/>
    <w:qFormat/>
    <w:uiPriority w:val="0"/>
    <w:pPr>
      <w:widowControl w:val="0"/>
      <w:jc w:val="both"/>
    </w:pPr>
    <w:rPr>
      <w:rFonts w:ascii="Calibri" w:hAnsi="Calibri" w:eastAsia="宋体" w:cs="Times New Roman"/>
      <w:kern w:val="2"/>
      <w:sz w:val="21"/>
      <w:szCs w:val="22"/>
      <w:lang w:val="en-US" w:eastAsia="zh-CN" w:bidi="ar-SA"/>
    </w:rPr>
  </w:style>
  <w:style w:type="paragraph" w:styleId="39">
    <w:name w:val="Body Text First Indent 2"/>
    <w:basedOn w:val="18"/>
    <w:next w:val="1"/>
    <w:qFormat/>
    <w:uiPriority w:val="0"/>
    <w:pPr>
      <w:spacing w:after="120" w:line="240" w:lineRule="auto"/>
      <w:ind w:left="200" w:leftChars="200" w:firstLine="200" w:firstLineChars="200"/>
    </w:p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basedOn w:val="42"/>
    <w:qFormat/>
    <w:uiPriority w:val="0"/>
    <w:rPr>
      <w:b/>
    </w:rPr>
  </w:style>
  <w:style w:type="character" w:styleId="44">
    <w:name w:val="page number"/>
    <w:basedOn w:val="42"/>
    <w:qFormat/>
    <w:uiPriority w:val="0"/>
    <w:rPr>
      <w:rFonts w:cs="Times New Roman"/>
    </w:rPr>
  </w:style>
  <w:style w:type="character" w:styleId="45">
    <w:name w:val="HTML Sample"/>
    <w:basedOn w:val="42"/>
    <w:qFormat/>
    <w:uiPriority w:val="0"/>
    <w:rPr>
      <w:rFonts w:ascii="Courier New" w:hAnsi="Courier New"/>
    </w:rPr>
  </w:style>
  <w:style w:type="paragraph" w:styleId="46">
    <w:name w:val="No Spacing"/>
    <w:basedOn w:val="1"/>
    <w:qFormat/>
    <w:uiPriority w:val="0"/>
    <w:pPr>
      <w:widowControl w:val="0"/>
      <w:jc w:val="both"/>
    </w:pPr>
    <w:rPr>
      <w:rFonts w:ascii="Times New Roman" w:hAnsi="Times New Roman" w:eastAsia="Times New Roman" w:cs="Times New Roman"/>
      <w:kern w:val="2"/>
      <w:sz w:val="21"/>
      <w:lang w:val="en-US" w:eastAsia="zh-CN" w:bidi="ar-SA"/>
    </w:rPr>
  </w:style>
  <w:style w:type="paragraph" w:styleId="47">
    <w:name w:val="List Paragraph"/>
    <w:basedOn w:val="1"/>
    <w:unhideWhenUsed/>
    <w:qFormat/>
    <w:uiPriority w:val="99"/>
    <w:pPr>
      <w:contextualSpacing/>
    </w:pPr>
    <w:rPr>
      <w:i/>
    </w:rPr>
  </w:style>
  <w:style w:type="character" w:customStyle="1" w:styleId="48">
    <w:name w:val="Intense Reference"/>
    <w:basedOn w:val="42"/>
    <w:unhideWhenUsed/>
    <w:qFormat/>
    <w:uiPriority w:val="32"/>
    <w:rPr>
      <w:b/>
      <w:bCs/>
      <w:caps/>
      <w:color w:val="51647E" w:themeColor="text2" w:themeTint="E6"/>
      <w:spacing w:val="0"/>
      <w14:textFill>
        <w14:solidFill>
          <w14:schemeClr w14:val="tx2">
            <w14:lumMod w14:val="90000"/>
            <w14:lumOff w14:val="10000"/>
          </w14:schemeClr>
        </w14:solidFill>
      </w14:textFill>
    </w:rPr>
  </w:style>
  <w:style w:type="character" w:customStyle="1" w:styleId="49">
    <w:name w:val="unit"/>
    <w:qFormat/>
    <w:uiPriority w:val="0"/>
  </w:style>
  <w:style w:type="paragraph" w:customStyle="1" w:styleId="50">
    <w:name w:val="_Style 2"/>
    <w:basedOn w:val="1"/>
    <w:qFormat/>
    <w:uiPriority w:val="34"/>
    <w:pPr>
      <w:ind w:firstLine="420" w:firstLineChars="200"/>
    </w:pPr>
    <w:rPr>
      <w:rFonts w:ascii="Calibri" w:hAnsi="Calibri" w:eastAsia="宋体" w:cs="Times New Roman"/>
      <w:szCs w:val="22"/>
    </w:rPr>
  </w:style>
  <w:style w:type="paragraph" w:customStyle="1" w:styleId="51">
    <w:name w:val="样式 仿宋 行距: 1.5 倍行距"/>
    <w:basedOn w:val="1"/>
    <w:qFormat/>
    <w:uiPriority w:val="0"/>
    <w:pPr>
      <w:spacing w:line="360" w:lineRule="auto"/>
    </w:pPr>
    <w:rPr>
      <w:rFonts w:ascii="仿宋" w:hAnsi="仿宋" w:eastAsia="仿宋" w:cs="宋体"/>
      <w:sz w:val="24"/>
      <w:szCs w:val="20"/>
    </w:rPr>
  </w:style>
  <w:style w:type="paragraph" w:customStyle="1" w:styleId="52">
    <w:name w:val="p0"/>
    <w:basedOn w:val="1"/>
    <w:qFormat/>
    <w:uiPriority w:val="0"/>
    <w:pPr>
      <w:widowControl/>
    </w:pPr>
    <w:rPr>
      <w:kern w:val="0"/>
      <w:szCs w:val="21"/>
    </w:rPr>
  </w:style>
  <w:style w:type="paragraph" w:customStyle="1" w:styleId="53">
    <w:name w:val="样式1"/>
    <w:qFormat/>
    <w:uiPriority w:val="0"/>
    <w:rPr>
      <w:rFonts w:ascii="Times New Roman" w:hAnsi="Times New Roman" w:eastAsia="宋体" w:cs="Times New Roman"/>
    </w:rPr>
  </w:style>
  <w:style w:type="paragraph" w:customStyle="1" w:styleId="54">
    <w:name w:val="样式2"/>
    <w:basedOn w:val="27"/>
    <w:qFormat/>
    <w:uiPriority w:val="0"/>
  </w:style>
  <w:style w:type="paragraph" w:customStyle="1" w:styleId="55">
    <w:name w:val="标题3 附件1"/>
    <w:basedOn w:val="1"/>
    <w:qFormat/>
    <w:uiPriority w:val="99"/>
    <w:pPr>
      <w:keepNext/>
      <w:keepLines/>
      <w:spacing w:before="340" w:after="330" w:line="360" w:lineRule="exact"/>
      <w:jc w:val="left"/>
      <w:outlineLvl w:val="2"/>
    </w:pPr>
    <w:rPr>
      <w:b/>
      <w:bCs/>
      <w:kern w:val="44"/>
      <w:szCs w:val="21"/>
    </w:rPr>
  </w:style>
  <w:style w:type="paragraph" w:customStyle="1" w:styleId="56">
    <w:name w:val="标题1"/>
    <w:basedOn w:val="2"/>
    <w:qFormat/>
    <w:uiPriority w:val="99"/>
    <w:pPr>
      <w:spacing w:line="360" w:lineRule="exact"/>
    </w:pPr>
    <w:rPr>
      <w:spacing w:val="0"/>
      <w:szCs w:val="36"/>
    </w:rPr>
  </w:style>
  <w:style w:type="paragraph" w:customStyle="1" w:styleId="57">
    <w:name w:val="Table Paragraph"/>
    <w:basedOn w:val="1"/>
    <w:qFormat/>
    <w:uiPriority w:val="1"/>
  </w:style>
  <w:style w:type="paragraph" w:customStyle="1" w:styleId="5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9">
    <w:name w:val="WPS Plain"/>
    <w:qFormat/>
    <w:uiPriority w:val="0"/>
    <w:rPr>
      <w:rFonts w:ascii="Times New Roman" w:hAnsi="Times New Roman" w:eastAsia="宋体" w:cs="Times New Roman"/>
      <w:lang w:val="en-US" w:eastAsia="zh-CN" w:bidi="ar-SA"/>
    </w:rPr>
  </w:style>
  <w:style w:type="paragraph" w:customStyle="1" w:styleId="6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61">
    <w:name w:val="样式 标题 3 + (中文) 黑体 小四 非加粗 段前: 7.8 磅 段后: 0 磅 行距: 固定值 20 磅"/>
    <w:basedOn w:val="4"/>
    <w:qFormat/>
    <w:uiPriority w:val="0"/>
    <w:pPr>
      <w:spacing w:before="0" w:after="0" w:line="400" w:lineRule="exact"/>
    </w:pPr>
    <w:rPr>
      <w:rFonts w:eastAsia="黑体"/>
      <w:b w:val="0"/>
      <w:sz w:val="24"/>
      <w:szCs w:val="20"/>
    </w:rPr>
  </w:style>
  <w:style w:type="paragraph" w:customStyle="1" w:styleId="62">
    <w:name w:val="Table Text"/>
    <w:basedOn w:val="1"/>
    <w:semiHidden/>
    <w:qFormat/>
    <w:uiPriority w:val="0"/>
    <w:rPr>
      <w:rFonts w:ascii="宋体" w:hAnsi="宋体" w:eastAsia="宋体" w:cs="宋体"/>
      <w:sz w:val="24"/>
      <w:szCs w:val="24"/>
    </w:rPr>
  </w:style>
  <w:style w:type="paragraph" w:customStyle="1" w:styleId="63">
    <w:name w:val="普通正文"/>
    <w:basedOn w:val="1"/>
    <w:qFormat/>
    <w:uiPriority w:val="0"/>
    <w:pPr>
      <w:adjustRightInd w:val="0"/>
      <w:spacing w:before="120" w:after="120" w:line="360" w:lineRule="auto"/>
      <w:ind w:firstLine="480" w:firstLineChars="200"/>
      <w:jc w:val="left"/>
      <w:textAlignment w:val="baseline"/>
    </w:pPr>
    <w:rPr>
      <w:rFonts w:ascii="Arial" w:hAnsi="Arial"/>
      <w:kern w:val="0"/>
      <w:sz w:val="24"/>
    </w:rPr>
  </w:style>
  <w:style w:type="paragraph" w:customStyle="1" w:styleId="64">
    <w:name w:val="引言二级条标题"/>
    <w:basedOn w:val="65"/>
    <w:next w:val="66"/>
    <w:qFormat/>
    <w:uiPriority w:val="0"/>
    <w:pPr>
      <w:tabs>
        <w:tab w:val="left" w:pos="1140"/>
      </w:tabs>
    </w:pPr>
    <w:rPr>
      <w:rFonts w:ascii="Times New Roman" w:hAnsi="Times New Roman" w:eastAsia="宋体" w:cs="Times New Roman"/>
    </w:rPr>
  </w:style>
  <w:style w:type="paragraph" w:customStyle="1" w:styleId="65">
    <w:name w:val="引言一级条标题"/>
    <w:basedOn w:val="1"/>
    <w:next w:val="66"/>
    <w:qFormat/>
    <w:uiPriority w:val="0"/>
    <w:pPr>
      <w:widowControl/>
      <w:tabs>
        <w:tab w:val="left" w:pos="1140"/>
      </w:tabs>
    </w:pPr>
    <w:rPr>
      <w:rFonts w:ascii="Times New Roman" w:hAnsi="Times New Roman" w:eastAsia="黑体" w:cs="Times New Roman"/>
      <w:b/>
      <w:bCs/>
      <w:szCs w:val="21"/>
    </w:rPr>
  </w:style>
  <w:style w:type="paragraph" w:customStyle="1" w:styleId="66">
    <w:name w:val="段"/>
    <w:qFormat/>
    <w:uiPriority w:val="0"/>
    <w:pPr>
      <w:ind w:firstLine="200" w:firstLineChars="200"/>
      <w:jc w:val="both"/>
    </w:pPr>
    <w:rPr>
      <w:rFonts w:ascii="宋体" w:hAnsi="Times New Roman" w:eastAsia="宋体" w:cs="Times New Roman"/>
      <w:kern w:val="2"/>
      <w:sz w:val="21"/>
      <w:szCs w:val="21"/>
      <w:lang w:val="en-US" w:eastAsia="zh-CN" w:bidi="ar-SA"/>
    </w:rPr>
  </w:style>
  <w:style w:type="paragraph" w:customStyle="1" w:styleId="67">
    <w:name w:val="WPSOffice手动目录 1"/>
    <w:qFormat/>
    <w:uiPriority w:val="0"/>
    <w:pPr>
      <w:ind w:leftChars="0"/>
    </w:pPr>
    <w:rPr>
      <w:rFonts w:ascii="Times New Roman" w:hAnsi="Times New Roman" w:eastAsia="宋体" w:cs="Times New Roman"/>
      <w:sz w:val="20"/>
      <w:szCs w:val="20"/>
    </w:rPr>
  </w:style>
  <w:style w:type="table" w:customStyle="1" w:styleId="68">
    <w:name w:val="Table Normal"/>
    <w:unhideWhenUsed/>
    <w:qFormat/>
    <w:uiPriority w:val="0"/>
    <w:tblPr>
      <w:tblCellMar>
        <w:top w:w="0" w:type="dxa"/>
        <w:left w:w="0" w:type="dxa"/>
        <w:bottom w:w="0" w:type="dxa"/>
        <w:right w:w="0" w:type="dxa"/>
      </w:tblCellMar>
    </w:tblPr>
  </w:style>
  <w:style w:type="paragraph" w:customStyle="1" w:styleId="69">
    <w:name w:val="正文_1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 Char"/>
    <w:basedOn w:val="1"/>
    <w:qFormat/>
    <w:uiPriority w:val="0"/>
  </w:style>
  <w:style w:type="table" w:customStyle="1" w:styleId="71">
    <w:name w:val="Table Normal_0_1"/>
    <w:qFormat/>
    <w:uiPriority w:val="0"/>
    <w:rPr>
      <w:rFonts w:ascii="Calibri" w:hAnsi="Calibri" w:eastAsia="宋体"/>
    </w:rPr>
    <w:tblPr>
      <w:tblCellMar>
        <w:top w:w="0" w:type="dxa"/>
        <w:left w:w="0" w:type="dxa"/>
        <w:bottom w:w="0" w:type="dxa"/>
        <w:right w:w="0" w:type="dxa"/>
      </w:tblCellMar>
    </w:tblPr>
  </w:style>
  <w:style w:type="paragraph" w:customStyle="1" w:styleId="72">
    <w:name w:val="Normal_1"/>
    <w:qFormat/>
    <w:uiPriority w:val="0"/>
    <w:rPr>
      <w:rFonts w:ascii="Times New Roman" w:hAnsi="Times New Roman" w:eastAsia="Times New Roman" w:cs="Times New Roman"/>
      <w:sz w:val="24"/>
      <w:szCs w:val="24"/>
      <w:lang w:bidi="ar-SA"/>
    </w:rPr>
  </w:style>
  <w:style w:type="paragraph" w:customStyle="1" w:styleId="73">
    <w:name w:val="正文文本 (2)"/>
    <w:basedOn w:val="1"/>
    <w:qFormat/>
    <w:uiPriority w:val="99"/>
    <w:pPr>
      <w:shd w:val="clear" w:color="auto" w:fill="FFFFFF"/>
      <w:spacing w:after="200"/>
      <w:jc w:val="left"/>
    </w:pPr>
    <w:rPr>
      <w:rFonts w:ascii="宋体" w:hAnsi="Times New Roman" w:cs="宋体"/>
      <w:kern w:val="0"/>
      <w:sz w:val="20"/>
      <w:szCs w:val="20"/>
      <w:lang w:val="zh-CN"/>
    </w:rPr>
  </w:style>
  <w:style w:type="paragraph" w:customStyle="1" w:styleId="74">
    <w:name w:val="正文_5"/>
    <w:basedOn w:val="75"/>
    <w:next w:val="77"/>
    <w:qFormat/>
    <w:uiPriority w:val="0"/>
    <w:pPr>
      <w:widowControl w:val="0"/>
      <w:jc w:val="both"/>
    </w:pPr>
    <w:rPr>
      <w:rFonts w:ascii="Calibri" w:hAnsi="Calibri"/>
      <w:kern w:val="2"/>
      <w:sz w:val="21"/>
      <w:szCs w:val="22"/>
      <w:lang w:val="en-US" w:eastAsia="zh-CN" w:bidi="ar-SA"/>
    </w:rPr>
  </w:style>
  <w:style w:type="paragraph" w:customStyle="1" w:styleId="75">
    <w:name w:val="正文_6"/>
    <w:next w:val="7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6">
    <w:name w:val="列表_1"/>
    <w:basedOn w:val="75"/>
    <w:semiHidden/>
    <w:qFormat/>
    <w:locked/>
    <w:uiPriority w:val="0"/>
    <w:pPr>
      <w:ind w:left="200" w:hanging="200" w:hangingChars="200"/>
    </w:pPr>
  </w:style>
  <w:style w:type="paragraph" w:customStyle="1" w:styleId="77">
    <w:name w:val="段_0"/>
    <w:next w:val="74"/>
    <w:qFormat/>
    <w:uiPriority w:val="0"/>
    <w:pPr>
      <w:autoSpaceDE w:val="0"/>
      <w:autoSpaceDN w:val="0"/>
      <w:adjustRightInd w:val="0"/>
      <w:snapToGrid w:val="0"/>
      <w:spacing w:line="360" w:lineRule="auto"/>
      <w:ind w:firstLine="200" w:firstLineChars="200"/>
      <w:jc w:val="both"/>
    </w:pPr>
    <w:rPr>
      <w:rFonts w:ascii="宋体" w:hAnsi="Calibri" w:eastAsia="Calibri" w:cs="Times New Roman"/>
      <w:sz w:val="24"/>
      <w:szCs w:val="22"/>
      <w:lang w:val="en-US" w:eastAsia="zh-CN" w:bidi="ar-SA"/>
    </w:rPr>
  </w:style>
  <w:style w:type="paragraph" w:customStyle="1" w:styleId="78">
    <w:name w:val="标题 2_0_0"/>
    <w:basedOn w:val="79"/>
    <w:next w:val="33"/>
    <w:qFormat/>
    <w:uiPriority w:val="0"/>
    <w:pPr>
      <w:outlineLvl w:val="1"/>
    </w:pPr>
    <w:rPr>
      <w:rFonts w:ascii="Calibri" w:hAnsi="Calibri" w:eastAsia="宋体"/>
      <w:lang w:eastAsia="zh-CN"/>
    </w:rPr>
  </w:style>
  <w:style w:type="paragraph" w:customStyle="1" w:styleId="79">
    <w:name w:val="标题 3_0_0"/>
    <w:basedOn w:val="33"/>
    <w:next w:val="33"/>
    <w:qFormat/>
    <w:uiPriority w:val="0"/>
    <w:pPr>
      <w:keepNext/>
      <w:keepLines/>
      <w:spacing w:before="120" w:after="120" w:line="360" w:lineRule="auto"/>
      <w:jc w:val="center"/>
      <w:outlineLvl w:val="2"/>
    </w:pPr>
    <w:rPr>
      <w:rFonts w:ascii="宋体" w:hAnsi="宋体"/>
      <w:b/>
      <w:bCs/>
      <w:kern w:val="0"/>
      <w:sz w:val="36"/>
      <w:szCs w:val="18"/>
    </w:rPr>
  </w:style>
  <w:style w:type="paragraph" w:customStyle="1" w:styleId="80">
    <w:name w:val="正文缩进_0"/>
    <w:basedOn w:val="34"/>
    <w:unhideWhenUsed/>
    <w:qFormat/>
    <w:uiPriority w:val="0"/>
    <w:pPr>
      <w:ind w:firstLine="420" w:firstLineChars="200"/>
    </w:pPr>
    <w:rPr>
      <w:rFonts w:ascii="Calibri" w:hAnsi="Calibri"/>
    </w:rPr>
  </w:style>
  <w:style w:type="paragraph" w:customStyle="1" w:styleId="81">
    <w:name w:val="No Spacing_0"/>
    <w:basedOn w:val="74"/>
    <w:qFormat/>
    <w:uiPriority w:val="1"/>
  </w:style>
  <w:style w:type="paragraph" w:customStyle="1" w:styleId="82">
    <w:name w:val="Normal_23"/>
    <w:qFormat/>
    <w:uiPriority w:val="0"/>
    <w:rPr>
      <w:rFonts w:ascii="Times New Roman" w:hAnsi="Times New Roman" w:eastAsia="Times New Roman" w:cs="Times New Roman"/>
      <w:sz w:val="24"/>
      <w:szCs w:val="24"/>
      <w:lang w:val="en-US" w:eastAsia="zh-CN" w:bidi="ar-SA"/>
    </w:rPr>
  </w:style>
  <w:style w:type="paragraph" w:customStyle="1" w:styleId="83">
    <w:name w:val="标题 2_0_1"/>
    <w:basedOn w:val="84"/>
    <w:next w:val="84"/>
    <w:qFormat/>
    <w:uiPriority w:val="0"/>
    <w:pPr>
      <w:outlineLvl w:val="1"/>
    </w:pPr>
    <w:rPr>
      <w:rFonts w:ascii="宋体" w:hAnsi="宋体" w:eastAsia="宋体" w:cs="Times New Roman"/>
      <w:b/>
      <w:sz w:val="32"/>
      <w:szCs w:val="32"/>
    </w:rPr>
  </w:style>
  <w:style w:type="paragraph" w:customStyle="1" w:styleId="84">
    <w:name w:val="正文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85">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Normal_18"/>
    <w:qFormat/>
    <w:uiPriority w:val="0"/>
    <w:rPr>
      <w:rFonts w:ascii="黑体" w:hAnsi="黑体" w:eastAsia="黑体" w:cs="Times New Roman"/>
      <w:b/>
      <w:sz w:val="32"/>
      <w:szCs w:val="24"/>
      <w:lang w:val="en-US" w:eastAsia="zh-CN" w:bidi="ar-SA"/>
    </w:rPr>
  </w:style>
  <w:style w:type="paragraph" w:customStyle="1" w:styleId="87">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Normal_3"/>
    <w:qFormat/>
    <w:uiPriority w:val="0"/>
    <w:rPr>
      <w:rFonts w:ascii="黑体" w:hAnsi="黑体" w:eastAsia="黑体" w:cs="Times New Roman"/>
      <w:b/>
      <w:sz w:val="32"/>
      <w:szCs w:val="24"/>
      <w:lang w:val="en-US" w:eastAsia="zh-CN" w:bidi="ar-SA"/>
    </w:rPr>
  </w:style>
  <w:style w:type="paragraph" w:customStyle="1" w:styleId="89">
    <w:name w:val="Normal_4"/>
    <w:qFormat/>
    <w:uiPriority w:val="0"/>
    <w:rPr>
      <w:rFonts w:ascii="黑体" w:hAnsi="黑体" w:eastAsia="黑体" w:cs="Times New Roman"/>
      <w:b/>
      <w:sz w:val="32"/>
      <w:szCs w:val="24"/>
      <w:lang w:val="en-US" w:eastAsia="zh-CN" w:bidi="ar-SA"/>
    </w:rPr>
  </w:style>
  <w:style w:type="paragraph" w:customStyle="1" w:styleId="90">
    <w:name w:val="Normal_0"/>
    <w:basedOn w:val="91"/>
    <w:next w:val="24"/>
    <w:qFormat/>
    <w:uiPriority w:val="0"/>
    <w:rPr>
      <w:rFonts w:eastAsia="Times New Roman"/>
      <w:sz w:val="24"/>
      <w:szCs w:val="24"/>
      <w:lang w:bidi="ar-SA"/>
    </w:rPr>
  </w:style>
  <w:style w:type="paragraph" w:customStyle="1" w:styleId="91">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2">
    <w:name w:val="正文_4"/>
    <w:basedOn w:val="93"/>
    <w:next w:val="99"/>
    <w:qFormat/>
    <w:uiPriority w:val="0"/>
    <w:pPr>
      <w:widowControl w:val="0"/>
      <w:jc w:val="both"/>
    </w:pPr>
    <w:rPr>
      <w:rFonts w:ascii="Calibri" w:hAnsi="Calibri"/>
      <w:kern w:val="2"/>
      <w:sz w:val="21"/>
      <w:szCs w:val="22"/>
      <w:lang w:val="en-US" w:eastAsia="zh-CN" w:bidi="ar-SA"/>
    </w:rPr>
  </w:style>
  <w:style w:type="paragraph" w:customStyle="1" w:styleId="93">
    <w:name w:val="正文_0_1"/>
    <w:basedOn w:val="94"/>
    <w:next w:val="98"/>
    <w:qFormat/>
    <w:uiPriority w:val="0"/>
    <w:pPr>
      <w:widowControl w:val="0"/>
      <w:jc w:val="both"/>
    </w:pPr>
    <w:rPr>
      <w:kern w:val="2"/>
      <w:sz w:val="21"/>
      <w:szCs w:val="24"/>
      <w:lang w:val="en-US" w:eastAsia="zh-CN" w:bidi="ar-SA"/>
    </w:rPr>
  </w:style>
  <w:style w:type="paragraph" w:customStyle="1" w:styleId="94">
    <w:name w:val="正文_0_2"/>
    <w:basedOn w:val="95"/>
    <w:next w:val="9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正文_2_1"/>
    <w:basedOn w:val="96"/>
    <w:next w:val="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页脚_0_0"/>
    <w:basedOn w:val="94"/>
    <w:unhideWhenUsed/>
    <w:qFormat/>
    <w:uiPriority w:val="99"/>
    <w:pPr>
      <w:tabs>
        <w:tab w:val="center" w:pos="4153"/>
        <w:tab w:val="right" w:pos="8306"/>
      </w:tabs>
      <w:snapToGrid w:val="0"/>
      <w:jc w:val="left"/>
    </w:pPr>
    <w:rPr>
      <w:sz w:val="18"/>
      <w:szCs w:val="18"/>
    </w:rPr>
  </w:style>
  <w:style w:type="paragraph" w:customStyle="1" w:styleId="98">
    <w:name w:val="页脚_0"/>
    <w:basedOn w:val="10"/>
    <w:unhideWhenUsed/>
    <w:qFormat/>
    <w:uiPriority w:val="99"/>
    <w:pPr>
      <w:tabs>
        <w:tab w:val="center" w:pos="4153"/>
        <w:tab w:val="right" w:pos="8306"/>
      </w:tabs>
      <w:snapToGrid w:val="0"/>
      <w:jc w:val="left"/>
    </w:pPr>
    <w:rPr>
      <w:sz w:val="18"/>
      <w:szCs w:val="18"/>
    </w:rPr>
  </w:style>
  <w:style w:type="paragraph" w:customStyle="1" w:styleId="99">
    <w:name w:val="首行缩进"/>
    <w:basedOn w:val="92"/>
    <w:qFormat/>
    <w:uiPriority w:val="0"/>
    <w:pPr>
      <w:ind w:firstLine="480" w:firstLineChars="200"/>
    </w:pPr>
    <w:rPr>
      <w:rFonts w:ascii="Calibri" w:hAnsi="Calibri"/>
      <w:lang w:val="zh-CN"/>
    </w:rPr>
  </w:style>
  <w:style w:type="paragraph" w:customStyle="1" w:styleId="100">
    <w:name w:val="正文_4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
    <w:name w:val="Normal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Normal_7"/>
    <w:qFormat/>
    <w:uiPriority w:val="0"/>
    <w:rPr>
      <w:rFonts w:ascii="黑体" w:hAnsi="黑体" w:eastAsia="黑体" w:cs="Times New Roman"/>
      <w:b/>
      <w:sz w:val="32"/>
      <w:szCs w:val="24"/>
      <w:lang w:val="en-US" w:eastAsia="zh-CN" w:bidi="ar-SA"/>
    </w:rPr>
  </w:style>
  <w:style w:type="paragraph" w:customStyle="1" w:styleId="103">
    <w:name w:val="正文_3_0"/>
    <w:basedOn w:val="104"/>
    <w:next w:val="10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4">
    <w:name w:val="Normal_0_0"/>
    <w:qFormat/>
    <w:uiPriority w:val="0"/>
    <w:rPr>
      <w:rFonts w:ascii="黑体" w:hAnsi="黑体" w:eastAsia="黑体" w:cs="Times New Roman"/>
      <w:b/>
      <w:sz w:val="32"/>
      <w:szCs w:val="24"/>
      <w:lang w:val="en-US" w:eastAsia="zh-CN" w:bidi="ar-SA"/>
    </w:rPr>
  </w:style>
  <w:style w:type="paragraph" w:customStyle="1" w:styleId="105">
    <w:name w:val="正文文本_1_0"/>
    <w:basedOn w:val="106"/>
    <w:qFormat/>
    <w:uiPriority w:val="0"/>
    <w:pPr>
      <w:adjustRightInd w:val="0"/>
      <w:spacing w:after="60" w:line="360" w:lineRule="atLeast"/>
      <w:ind w:left="72" w:leftChars="30" w:right="30" w:rightChars="30"/>
      <w:jc w:val="center"/>
      <w:textAlignment w:val="baseline"/>
    </w:pPr>
    <w:rPr>
      <w:rFonts w:eastAsia="宋体"/>
    </w:rPr>
  </w:style>
  <w:style w:type="paragraph" w:customStyle="1" w:styleId="106">
    <w:name w:val="正文_2_0_0_0"/>
    <w:basedOn w:val="9"/>
    <w:qFormat/>
    <w:uiPriority w:val="0"/>
    <w:rPr>
      <w:rFonts w:ascii="Times New Roman" w:hAnsi="Times New Roman" w:cs="Times New Roman"/>
    </w:rPr>
  </w:style>
  <w:style w:type="paragraph" w:customStyle="1" w:styleId="107">
    <w:name w:val="正文_5_0_0"/>
    <w:basedOn w:val="108"/>
    <w:qFormat/>
    <w:uiPriority w:val="0"/>
    <w:rPr>
      <w:rFonts w:ascii="Calibri" w:hAnsi="Calibri" w:eastAsia="宋体"/>
    </w:rPr>
  </w:style>
  <w:style w:type="paragraph" w:customStyle="1" w:styleId="108">
    <w:name w:val="正文_6_2_0"/>
    <w:basedOn w:val="109"/>
    <w:qFormat/>
    <w:uiPriority w:val="0"/>
    <w:rPr>
      <w:rFonts w:ascii="Calibri" w:hAnsi="Calibri" w:eastAsia="宋体"/>
    </w:rPr>
  </w:style>
  <w:style w:type="paragraph" w:customStyle="1" w:styleId="109">
    <w:name w:val="正文_6_2_1"/>
    <w:basedOn w:val="110"/>
    <w:qFormat/>
    <w:uiPriority w:val="0"/>
    <w:rPr>
      <w:rFonts w:ascii="Calibri" w:hAnsi="Calibri" w:eastAsia="宋体" w:cs="宋体"/>
      <w:szCs w:val="21"/>
    </w:rPr>
  </w:style>
  <w:style w:type="paragraph" w:customStyle="1" w:styleId="110">
    <w:name w:val="正文_6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
    <w:name w:val="正文_4_0"/>
    <w:basedOn w:val="1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2">
    <w:name w:val="正文_3"/>
    <w:basedOn w:val="34"/>
    <w:next w:val="31"/>
    <w:qFormat/>
    <w:uiPriority w:val="0"/>
    <w:pPr>
      <w:widowControl w:val="0"/>
      <w:jc w:val="both"/>
    </w:pPr>
    <w:rPr>
      <w:rFonts w:ascii="Calibri" w:hAnsi="Calibri"/>
      <w:kern w:val="2"/>
      <w:sz w:val="21"/>
      <w:szCs w:val="22"/>
      <w:lang w:val="en-US" w:eastAsia="zh-CN" w:bidi="ar-SA"/>
    </w:rPr>
  </w:style>
  <w:style w:type="paragraph" w:customStyle="1" w:styleId="113">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4">
    <w:name w:val="正文_0_0_1"/>
    <w:basedOn w:val="115"/>
    <w:qFormat/>
    <w:uiPriority w:val="0"/>
    <w:pPr>
      <w:widowControl w:val="0"/>
      <w:jc w:val="both"/>
    </w:pPr>
    <w:rPr>
      <w:rFonts w:ascii="Calibri" w:hAnsi="Calibri" w:eastAsia="宋体" w:cs="Times New Roman"/>
      <w:kern w:val="2"/>
      <w:sz w:val="28"/>
      <w:szCs w:val="22"/>
      <w:lang w:val="en-US" w:eastAsia="zh-CN" w:bidi="ar-SA"/>
    </w:rPr>
  </w:style>
  <w:style w:type="paragraph" w:customStyle="1" w:styleId="115">
    <w:name w:val="正文_1_1"/>
    <w:basedOn w:val="93"/>
    <w:next w:val="1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6">
    <w:name w:val="脚注文本_0"/>
    <w:basedOn w:val="94"/>
    <w:next w:val="34"/>
    <w:unhideWhenUsed/>
    <w:qFormat/>
    <w:uiPriority w:val="99"/>
    <w:pPr>
      <w:snapToGrid w:val="0"/>
      <w:jc w:val="left"/>
    </w:pPr>
    <w:rPr>
      <w:rFonts w:ascii="Calibri" w:hAnsi="Calibri" w:eastAsia="Calibri"/>
      <w:sz w:val="18"/>
    </w:rPr>
  </w:style>
  <w:style w:type="paragraph" w:customStyle="1" w:styleId="117">
    <w:name w:val="Normal_10"/>
    <w:qFormat/>
    <w:uiPriority w:val="0"/>
    <w:rPr>
      <w:rFonts w:ascii="黑体" w:hAnsi="黑体" w:eastAsia="黑体" w:cs="Times New Roman"/>
      <w:b/>
      <w:sz w:val="32"/>
      <w:szCs w:val="24"/>
      <w:lang w:val="en-US" w:eastAsia="zh-CN" w:bidi="ar-SA"/>
    </w:rPr>
  </w:style>
  <w:style w:type="paragraph" w:customStyle="1" w:styleId="118">
    <w:name w:val="Normal_11"/>
    <w:qFormat/>
    <w:uiPriority w:val="0"/>
    <w:rPr>
      <w:rFonts w:ascii="黑体" w:hAnsi="黑体" w:eastAsia="黑体" w:cs="Times New Roman"/>
      <w:b/>
      <w:sz w:val="32"/>
      <w:szCs w:val="24"/>
      <w:lang w:val="en-US" w:eastAsia="zh-CN" w:bidi="ar-SA"/>
    </w:rPr>
  </w:style>
  <w:style w:type="paragraph" w:customStyle="1" w:styleId="119">
    <w:name w:val="Heading 2"/>
    <w:qFormat/>
    <w:uiPriority w:val="1"/>
    <w:pPr>
      <w:widowControl w:val="0"/>
      <w:spacing w:before="41"/>
      <w:ind w:left="1702"/>
      <w:jc w:val="both"/>
      <w:outlineLvl w:val="2"/>
    </w:pPr>
    <w:rPr>
      <w:rFonts w:ascii="Calibri" w:hAnsi="Calibri" w:eastAsia="宋体" w:cs="Times New Roman"/>
      <w:b/>
      <w:bCs/>
      <w:kern w:val="2"/>
      <w:sz w:val="24"/>
      <w:szCs w:val="24"/>
      <w:lang w:val="en-US" w:eastAsia="zh-CN" w:bidi="ar-SA"/>
    </w:rPr>
  </w:style>
  <w:style w:type="paragraph" w:customStyle="1" w:styleId="120">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1">
    <w:name w:val="Normal_9"/>
    <w:qFormat/>
    <w:uiPriority w:val="0"/>
    <w:rPr>
      <w:rFonts w:ascii="黑体" w:hAnsi="黑体" w:eastAsia="黑体" w:cs="Times New Roman"/>
      <w:b/>
      <w:sz w:val="32"/>
      <w:szCs w:val="24"/>
      <w:lang w:val="en-US" w:eastAsia="zh-CN" w:bidi="ar-SA"/>
    </w:rPr>
  </w:style>
  <w:style w:type="paragraph" w:customStyle="1" w:styleId="122">
    <w:name w:val="Normal_14"/>
    <w:qFormat/>
    <w:uiPriority w:val="0"/>
    <w:rPr>
      <w:rFonts w:ascii="黑体" w:hAnsi="黑体" w:eastAsia="黑体" w:cs="Times New Roman"/>
      <w:b/>
      <w:sz w:val="32"/>
      <w:szCs w:val="24"/>
      <w:lang w:val="en-US" w:eastAsia="zh-CN" w:bidi="ar-SA"/>
    </w:rPr>
  </w:style>
  <w:style w:type="paragraph" w:customStyle="1" w:styleId="123">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Normal_12"/>
    <w:qFormat/>
    <w:uiPriority w:val="0"/>
    <w:rPr>
      <w:rFonts w:ascii="黑体" w:hAnsi="黑体" w:eastAsia="黑体" w:cs="Times New Roman"/>
      <w:b/>
      <w:sz w:val="32"/>
      <w:szCs w:val="24"/>
      <w:lang w:val="en-US" w:eastAsia="zh-CN" w:bidi="ar-SA"/>
    </w:rPr>
  </w:style>
  <w:style w:type="paragraph" w:customStyle="1" w:styleId="125">
    <w:name w:val="Normal_15"/>
    <w:qFormat/>
    <w:uiPriority w:val="0"/>
    <w:rPr>
      <w:rFonts w:ascii="黑体" w:hAnsi="黑体" w:eastAsia="黑体" w:cs="Times New Roman"/>
      <w:b/>
      <w:sz w:val="32"/>
      <w:szCs w:val="24"/>
      <w:lang w:val="en-US" w:eastAsia="zh-CN" w:bidi="ar-SA"/>
    </w:rPr>
  </w:style>
  <w:style w:type="paragraph" w:customStyle="1" w:styleId="126">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7">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8">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9">
    <w:name w:val="Normal_19"/>
    <w:qFormat/>
    <w:uiPriority w:val="0"/>
    <w:rPr>
      <w:rFonts w:ascii="黑体" w:hAnsi="黑体" w:eastAsia="黑体" w:cs="Times New Roman"/>
      <w:b/>
      <w:sz w:val="32"/>
      <w:szCs w:val="24"/>
      <w:lang w:val="en-US" w:eastAsia="zh-CN" w:bidi="ar-SA"/>
    </w:rPr>
  </w:style>
  <w:style w:type="paragraph" w:customStyle="1" w:styleId="130">
    <w:name w:val="列出段落1"/>
    <w:basedOn w:val="1"/>
    <w:qFormat/>
    <w:uiPriority w:val="34"/>
    <w:pPr>
      <w:ind w:firstLine="420" w:firstLineChars="200"/>
    </w:pPr>
  </w:style>
  <w:style w:type="character" w:customStyle="1" w:styleId="131">
    <w:name w:val="font21"/>
    <w:basedOn w:val="42"/>
    <w:qFormat/>
    <w:uiPriority w:val="0"/>
    <w:rPr>
      <w:rFonts w:hint="eastAsia" w:ascii="宋体" w:hAnsi="宋体" w:eastAsia="宋体" w:cs="宋体"/>
      <w:color w:val="000000"/>
      <w:sz w:val="20"/>
      <w:szCs w:val="20"/>
      <w:u w:val="none"/>
    </w:rPr>
  </w:style>
  <w:style w:type="character" w:customStyle="1" w:styleId="132">
    <w:name w:val="font31"/>
    <w:basedOn w:val="42"/>
    <w:qFormat/>
    <w:uiPriority w:val="0"/>
    <w:rPr>
      <w:rFonts w:hint="default" w:ascii="Tahoma" w:hAnsi="Tahoma" w:eastAsia="Tahoma" w:cs="Tahoma"/>
      <w:color w:val="000000"/>
      <w:sz w:val="20"/>
      <w:szCs w:val="20"/>
      <w:u w:val="none"/>
    </w:rPr>
  </w:style>
  <w:style w:type="paragraph" w:customStyle="1" w:styleId="133">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29910</Words>
  <Characters>31783</Characters>
  <Lines>0</Lines>
  <Paragraphs>0</Paragraphs>
  <TotalTime>4</TotalTime>
  <ScaleCrop>false</ScaleCrop>
  <LinksUpToDate>false</LinksUpToDate>
  <CharactersWithSpaces>32747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2017-10-19T02:29:00Z</dcterms:created>
  <dc:creator>Administrator</dc:creator>
  <cp:lastModifiedBy>。。。。。</cp:lastModifiedBy>
  <cp:lastPrinted>2023-07-24T03:29:00Z</cp:lastPrinted>
  <dcterms:modified xsi:type="dcterms:W3CDTF">2025-07-15T10:39:36Z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79D20D393D8D49B3A4FC1D3613A8893A_13</vt:lpwstr>
  </property>
  <property fmtid="{D5CDD505-2E9C-101B-9397-08002B2CF9AE}" pid="4" name="KSOTemplateDocerSaveRecord">
    <vt:lpwstr>eyJoZGlkIjoiNzcyMTAzYzA4Yzg1OTkwZDM2Mjg5MTk1ZmFmNTdjNDEiLCJ1c2VySWQiOiI0OTk4NDg0NDMifQ==</vt:lpwstr>
  </property>
</Properties>
</file>