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7B28E">
      <w:pPr>
        <w:widowControl/>
        <w:jc w:val="center"/>
        <w:rPr>
          <w:rFonts w:hint="eastAsia" w:ascii="仿宋" w:hAnsi="仿宋" w:eastAsia="仿宋" w:cs="仿宋"/>
          <w:b/>
          <w:bCs/>
          <w:color w:val="000000" w:themeColor="text1"/>
          <w:sz w:val="56"/>
          <w:szCs w:val="56"/>
          <w:lang w:val="en-US" w:eastAsia="zh-CN"/>
          <w14:textFill>
            <w14:solidFill>
              <w14:schemeClr w14:val="tx1"/>
            </w14:solidFill>
          </w14:textFill>
        </w:rPr>
      </w:pPr>
      <w:r>
        <w:rPr>
          <w:rFonts w:hint="eastAsia" w:ascii="仿宋" w:hAnsi="仿宋" w:eastAsia="仿宋" w:cs="仿宋"/>
          <w:b/>
          <w:bCs/>
          <w:color w:val="000000" w:themeColor="text1"/>
          <w:sz w:val="56"/>
          <w:szCs w:val="56"/>
          <w:lang w:val="en-US" w:eastAsia="zh-CN"/>
          <w14:textFill>
            <w14:solidFill>
              <w14:schemeClr w14:val="tx1"/>
            </w14:solidFill>
          </w14:textFill>
        </w:rPr>
        <w:t>新和县财政局委托金融机构代发惠民惠农财政补贴资金项目</w:t>
      </w:r>
    </w:p>
    <w:p w14:paraId="18AFEBE4">
      <w:pPr>
        <w:widowControl/>
        <w:jc w:val="center"/>
        <w:rPr>
          <w:rFonts w:hint="eastAsia" w:ascii="宋体" w:hAnsi="宋体" w:eastAsia="宋体" w:cs="宋体"/>
          <w:b/>
          <w:color w:val="auto"/>
          <w:kern w:val="0"/>
          <w:sz w:val="20"/>
          <w:szCs w:val="20"/>
          <w:highlight w:val="none"/>
          <w:lang w:eastAsia="zh-CN"/>
        </w:rPr>
      </w:pPr>
      <w:r>
        <w:rPr>
          <w:rFonts w:hint="eastAsia" w:ascii="宋体" w:hAnsi="宋体" w:eastAsia="宋体" w:cs="宋体"/>
          <w:b/>
          <w:bCs/>
          <w:color w:val="auto"/>
          <w:kern w:val="0"/>
          <w:sz w:val="40"/>
          <w:szCs w:val="40"/>
          <w:highlight w:val="none"/>
          <w:shd w:val="clear" w:color="auto" w:fill="FFFFFF"/>
        </w:rPr>
        <w:t>项目编号：</w:t>
      </w:r>
      <w:r>
        <w:rPr>
          <w:rFonts w:hint="eastAsia" w:ascii="宋体" w:hAnsi="宋体" w:eastAsia="宋体" w:cs="宋体"/>
          <w:b/>
          <w:bCs/>
          <w:color w:val="auto"/>
          <w:kern w:val="0"/>
          <w:sz w:val="40"/>
          <w:szCs w:val="40"/>
          <w:highlight w:val="none"/>
          <w:shd w:val="clear" w:color="auto" w:fill="FFFFFF"/>
          <w:lang w:eastAsia="zh-CN"/>
        </w:rPr>
        <w:t>AKSXZ-2025-10</w:t>
      </w:r>
    </w:p>
    <w:p w14:paraId="65C623FF">
      <w:pPr>
        <w:pStyle w:val="30"/>
        <w:rPr>
          <w:rFonts w:hint="eastAsia" w:ascii="仿宋" w:hAnsi="仿宋" w:eastAsia="仿宋" w:cs="仿宋"/>
          <w:color w:val="auto"/>
        </w:rPr>
      </w:pPr>
    </w:p>
    <w:p w14:paraId="264B48E0">
      <w:pPr>
        <w:pStyle w:val="30"/>
        <w:jc w:val="center"/>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招</w:t>
      </w:r>
    </w:p>
    <w:p w14:paraId="1F5288EF">
      <w:pPr>
        <w:pStyle w:val="30"/>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highlight w:val="none"/>
          <w:lang w:eastAsia="zh-CN"/>
        </w:rPr>
        <w:t>标</w:t>
      </w:r>
    </w:p>
    <w:p w14:paraId="48215638">
      <w:pPr>
        <w:pStyle w:val="30"/>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文</w:t>
      </w:r>
    </w:p>
    <w:p w14:paraId="7E91B58F">
      <w:pPr>
        <w:pStyle w:val="30"/>
        <w:jc w:val="center"/>
        <w:rPr>
          <w:rFonts w:hint="eastAsia" w:ascii="仿宋" w:hAnsi="仿宋" w:eastAsia="仿宋" w:cs="仿宋"/>
          <w:color w:val="auto"/>
          <w:sz w:val="84"/>
          <w:szCs w:val="84"/>
          <w:lang w:eastAsia="zh-CN"/>
        </w:rPr>
      </w:pPr>
      <w:r>
        <w:rPr>
          <w:rFonts w:hint="eastAsia" w:ascii="仿宋" w:hAnsi="仿宋" w:eastAsia="仿宋" w:cs="仿宋"/>
          <w:b/>
          <w:bCs/>
          <w:color w:val="auto"/>
          <w:sz w:val="96"/>
          <w:szCs w:val="96"/>
          <w:lang w:eastAsia="zh-CN"/>
        </w:rPr>
        <w:t>件</w:t>
      </w:r>
    </w:p>
    <w:p w14:paraId="0DF313E6">
      <w:pPr>
        <w:pStyle w:val="30"/>
        <w:rPr>
          <w:rFonts w:hint="eastAsia" w:ascii="仿宋" w:hAnsi="仿宋" w:eastAsia="仿宋" w:cs="仿宋"/>
          <w:color w:val="auto"/>
        </w:rPr>
      </w:pPr>
    </w:p>
    <w:p w14:paraId="364AEC40">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采购单位：</w:t>
      </w:r>
      <w:r>
        <w:rPr>
          <w:rFonts w:hint="eastAsia" w:ascii="仿宋" w:hAnsi="仿宋" w:eastAsia="仿宋" w:cs="仿宋"/>
          <w:color w:val="auto"/>
          <w:sz w:val="30"/>
          <w:szCs w:val="30"/>
          <w:lang w:val="en-US" w:eastAsia="zh-CN"/>
        </w:rPr>
        <w:t>新和县财政局</w:t>
      </w:r>
      <w:r>
        <w:rPr>
          <w:rFonts w:hint="eastAsia" w:ascii="仿宋" w:hAnsi="仿宋" w:eastAsia="仿宋" w:cs="仿宋"/>
          <w:color w:val="auto"/>
          <w:sz w:val="30"/>
          <w:szCs w:val="30"/>
          <w:lang w:val="zh-CN"/>
        </w:rPr>
        <w:t>（盖章）</w:t>
      </w:r>
    </w:p>
    <w:p w14:paraId="6CF04EEF">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 系 人：李子鲜</w:t>
      </w:r>
    </w:p>
    <w:p w14:paraId="652C3995">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联系电话：15899369097</w:t>
      </w:r>
    </w:p>
    <w:p w14:paraId="2D406007">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代理机构：</w:t>
      </w:r>
      <w:r>
        <w:rPr>
          <w:rFonts w:hint="eastAsia" w:ascii="仿宋" w:hAnsi="仿宋" w:eastAsia="仿宋" w:cs="仿宋"/>
          <w:color w:val="auto"/>
          <w:sz w:val="30"/>
          <w:szCs w:val="30"/>
          <w:lang w:val="en-US" w:eastAsia="zh-CN"/>
        </w:rPr>
        <w:t>阿克苏祥泽项目咨询有限公司</w:t>
      </w:r>
      <w:r>
        <w:rPr>
          <w:rFonts w:hint="eastAsia" w:ascii="仿宋" w:hAnsi="仿宋" w:eastAsia="仿宋" w:cs="仿宋"/>
          <w:color w:val="auto"/>
          <w:sz w:val="30"/>
          <w:szCs w:val="30"/>
          <w:lang w:eastAsia="zh-CN"/>
        </w:rPr>
        <w:t>（盖章）</w:t>
      </w:r>
    </w:p>
    <w:p w14:paraId="158049B0">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联 系 人：</w:t>
      </w:r>
      <w:r>
        <w:rPr>
          <w:rFonts w:hint="eastAsia" w:ascii="仿宋" w:hAnsi="仿宋" w:eastAsia="仿宋" w:cs="仿宋"/>
          <w:color w:val="auto"/>
          <w:sz w:val="30"/>
          <w:szCs w:val="30"/>
          <w:lang w:val="en-US" w:eastAsia="zh-CN"/>
        </w:rPr>
        <w:t>赵猛</w:t>
      </w:r>
    </w:p>
    <w:p w14:paraId="5BFBDE7C">
      <w:pPr>
        <w:keepNext w:val="0"/>
        <w:keepLines w:val="0"/>
        <w:pageBreakBefore w:val="0"/>
        <w:widowControl w:val="0"/>
        <w:kinsoku/>
        <w:wordWrap/>
        <w:overflowPunct/>
        <w:topLinePunct w:val="0"/>
        <w:autoSpaceDE/>
        <w:autoSpaceDN/>
        <w:bidi w:val="0"/>
        <w:adjustRightInd/>
        <w:snapToGrid/>
        <w:spacing w:line="700" w:lineRule="exact"/>
        <w:ind w:firstLine="300" w:firstLineChars="1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联系电话: 18523039307</w:t>
      </w:r>
    </w:p>
    <w:p w14:paraId="49B3EFFE">
      <w:pPr>
        <w:jc w:val="center"/>
        <w:rPr>
          <w:rFonts w:hint="eastAsia" w:ascii="仿宋" w:hAnsi="仿宋" w:eastAsia="仿宋" w:cs="仿宋"/>
          <w:b/>
          <w:color w:val="auto"/>
          <w:sz w:val="36"/>
          <w:szCs w:val="36"/>
        </w:rPr>
      </w:pPr>
    </w:p>
    <w:p w14:paraId="73282097">
      <w:pPr>
        <w:jc w:val="center"/>
        <w:rPr>
          <w:rFonts w:hint="eastAsia" w:ascii="仿宋" w:hAnsi="仿宋" w:eastAsia="仿宋" w:cs="仿宋"/>
          <w:b/>
          <w:color w:val="auto"/>
          <w:sz w:val="36"/>
          <w:szCs w:val="36"/>
        </w:rPr>
      </w:pPr>
    </w:p>
    <w:p w14:paraId="0C024D21">
      <w:pPr>
        <w:pStyle w:val="7"/>
        <w:numPr>
          <w:ilvl w:val="0"/>
          <w:numId w:val="0"/>
        </w:numPr>
        <w:ind w:leftChars="0" w:right="0" w:rightChars="0"/>
        <w:rPr>
          <w:rFonts w:hint="eastAsia"/>
          <w:color w:val="auto"/>
        </w:rPr>
      </w:pPr>
    </w:p>
    <w:p w14:paraId="6FB293E8">
      <w:pPr>
        <w:pStyle w:val="3"/>
        <w:rPr>
          <w:rFonts w:hint="eastAsia"/>
          <w:color w:val="auto"/>
        </w:rPr>
      </w:pPr>
    </w:p>
    <w:p w14:paraId="3FF76AD7">
      <w:pPr>
        <w:rPr>
          <w:rFonts w:hint="eastAsia" w:ascii="仿宋" w:hAnsi="仿宋" w:eastAsia="仿宋" w:cs="仿宋"/>
          <w:color w:val="auto"/>
          <w:lang w:val="zh-CN"/>
        </w:rPr>
      </w:pPr>
    </w:p>
    <w:p w14:paraId="5F753B63">
      <w:pPr>
        <w:pStyle w:val="25"/>
        <w:spacing w:before="0" w:line="360" w:lineRule="auto"/>
        <w:jc w:val="center"/>
        <w:rPr>
          <w:rFonts w:hint="eastAsia" w:ascii="仿宋" w:hAnsi="仿宋" w:eastAsia="仿宋" w:cs="仿宋"/>
          <w:color w:val="auto"/>
          <w:sz w:val="44"/>
          <w:szCs w:val="44"/>
          <w:lang w:val="zh-CN"/>
        </w:rPr>
      </w:pPr>
    </w:p>
    <w:p w14:paraId="0201033E">
      <w:pPr>
        <w:pStyle w:val="25"/>
        <w:spacing w:before="0" w:line="360" w:lineRule="auto"/>
        <w:jc w:val="center"/>
        <w:rPr>
          <w:rFonts w:hint="eastAsia"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59944BAD">
      <w:pPr>
        <w:rPr>
          <w:rFonts w:hint="eastAsia" w:ascii="仿宋" w:hAnsi="仿宋" w:eastAsia="仿宋" w:cs="仿宋"/>
          <w:color w:val="auto"/>
          <w:sz w:val="30"/>
          <w:szCs w:val="30"/>
          <w:lang w:val="zh-CN"/>
        </w:rPr>
      </w:pPr>
    </w:p>
    <w:p w14:paraId="0DA8E7BD">
      <w:pPr>
        <w:spacing w:line="360" w:lineRule="auto"/>
        <w:rPr>
          <w:rFonts w:hint="eastAsia" w:ascii="仿宋" w:hAnsi="仿宋" w:eastAsia="仿宋" w:cs="仿宋"/>
          <w:color w:val="auto"/>
          <w:sz w:val="30"/>
          <w:szCs w:val="30"/>
        </w:rPr>
      </w:pPr>
    </w:p>
    <w:p w14:paraId="74CF7F98">
      <w:pPr>
        <w:widowControl/>
        <w:jc w:val="left"/>
        <w:rPr>
          <w:rFonts w:hint="eastAsia" w:ascii="仿宋" w:hAnsi="仿宋" w:eastAsia="仿宋" w:cs="仿宋"/>
          <w:color w:val="auto"/>
          <w:sz w:val="30"/>
          <w:szCs w:val="30"/>
        </w:rPr>
      </w:pPr>
    </w:p>
    <w:p w14:paraId="7C74CB59">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第一部分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7C65BC41">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第二部分      供应商须知</w:t>
      </w:r>
    </w:p>
    <w:p w14:paraId="702458BF">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评标办法</w:t>
      </w:r>
    </w:p>
    <w:p w14:paraId="49DC2B8E">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第四部分      </w:t>
      </w:r>
      <w:r>
        <w:rPr>
          <w:rFonts w:hint="eastAsia" w:ascii="仿宋" w:hAnsi="仿宋" w:eastAsia="仿宋" w:cs="仿宋"/>
          <w:b/>
          <w:color w:val="auto"/>
          <w:sz w:val="30"/>
          <w:szCs w:val="30"/>
          <w:lang w:eastAsia="zh-CN"/>
        </w:rPr>
        <w:t>技术规格数量及质量要求</w:t>
      </w:r>
    </w:p>
    <w:p w14:paraId="63E91073">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第五部分      </w:t>
      </w:r>
      <w:r>
        <w:rPr>
          <w:rFonts w:hint="eastAsia" w:ascii="仿宋" w:hAnsi="仿宋" w:eastAsia="仿宋" w:cs="仿宋"/>
          <w:b/>
          <w:color w:val="auto"/>
          <w:sz w:val="30"/>
          <w:szCs w:val="30"/>
          <w:lang w:eastAsia="zh-CN"/>
        </w:rPr>
        <w:t>合同（参考）</w:t>
      </w:r>
    </w:p>
    <w:p w14:paraId="7F633CC3">
      <w:pPr>
        <w:pStyle w:val="24"/>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第六部分</w:t>
      </w:r>
      <w:r>
        <w:rPr>
          <w:rFonts w:hint="eastAsia" w:ascii="仿宋" w:hAnsi="仿宋" w:eastAsia="仿宋" w:cs="仿宋"/>
          <w:b/>
          <w:color w:val="auto"/>
          <w:sz w:val="30"/>
          <w:szCs w:val="30"/>
          <w:lang w:val="en-US" w:eastAsia="zh-CN"/>
        </w:rPr>
        <w:t xml:space="preserve">      投标文件格式</w:t>
      </w:r>
    </w:p>
    <w:p w14:paraId="7F35BE20">
      <w:pPr>
        <w:pStyle w:val="7"/>
        <w:numPr>
          <w:ilvl w:val="0"/>
          <w:numId w:val="0"/>
        </w:numPr>
        <w:ind w:leftChars="0" w:right="0" w:rightChars="0"/>
        <w:rPr>
          <w:rFonts w:hint="eastAsia" w:ascii="仿宋" w:hAnsi="仿宋" w:eastAsia="仿宋" w:cs="仿宋"/>
          <w:color w:val="auto"/>
        </w:rPr>
      </w:pPr>
    </w:p>
    <w:p w14:paraId="71359145">
      <w:pPr>
        <w:rPr>
          <w:rFonts w:hint="eastAsia" w:ascii="仿宋" w:hAnsi="仿宋" w:eastAsia="仿宋" w:cs="仿宋"/>
          <w:color w:val="auto"/>
        </w:rPr>
      </w:pPr>
    </w:p>
    <w:p w14:paraId="635B20FF">
      <w:pPr>
        <w:pStyle w:val="4"/>
        <w:rPr>
          <w:rFonts w:hint="eastAsia" w:ascii="仿宋" w:hAnsi="仿宋" w:eastAsia="仿宋" w:cs="仿宋"/>
          <w:color w:val="auto"/>
          <w:lang w:val="en-US" w:eastAsia="zh-CN"/>
        </w:rPr>
      </w:pPr>
    </w:p>
    <w:p w14:paraId="1E2F192F">
      <w:pPr>
        <w:rPr>
          <w:rFonts w:hint="eastAsia" w:ascii="仿宋" w:hAnsi="仿宋" w:eastAsia="仿宋" w:cs="仿宋"/>
          <w:color w:val="auto"/>
        </w:rPr>
      </w:pPr>
    </w:p>
    <w:p w14:paraId="374D9ABB">
      <w:pPr>
        <w:pStyle w:val="4"/>
        <w:rPr>
          <w:rFonts w:hint="eastAsia" w:ascii="仿宋" w:hAnsi="仿宋" w:eastAsia="仿宋" w:cs="仿宋"/>
          <w:color w:val="auto"/>
        </w:rPr>
      </w:pPr>
    </w:p>
    <w:p w14:paraId="4D9DB013">
      <w:pPr>
        <w:rPr>
          <w:rFonts w:hint="eastAsia" w:ascii="仿宋" w:hAnsi="仿宋" w:eastAsia="仿宋" w:cs="仿宋"/>
          <w:color w:val="auto"/>
        </w:rPr>
      </w:pPr>
    </w:p>
    <w:p w14:paraId="0ED492F0">
      <w:pPr>
        <w:pStyle w:val="4"/>
        <w:rPr>
          <w:rFonts w:hint="eastAsia" w:ascii="仿宋" w:hAnsi="仿宋" w:eastAsia="仿宋" w:cs="仿宋"/>
          <w:color w:val="auto"/>
        </w:rPr>
      </w:pPr>
    </w:p>
    <w:p w14:paraId="0AF4A896">
      <w:pPr>
        <w:rPr>
          <w:rFonts w:hint="eastAsia" w:ascii="仿宋" w:hAnsi="仿宋" w:eastAsia="仿宋" w:cs="仿宋"/>
          <w:color w:val="auto"/>
        </w:rPr>
      </w:pPr>
    </w:p>
    <w:p w14:paraId="19A2CE2D">
      <w:pPr>
        <w:pStyle w:val="4"/>
        <w:rPr>
          <w:rFonts w:hint="eastAsia" w:ascii="仿宋" w:hAnsi="仿宋" w:eastAsia="仿宋" w:cs="仿宋"/>
          <w:color w:val="auto"/>
        </w:rPr>
      </w:pPr>
    </w:p>
    <w:p w14:paraId="13BAE390">
      <w:pPr>
        <w:rPr>
          <w:rFonts w:hint="eastAsia" w:ascii="仿宋" w:hAnsi="仿宋" w:eastAsia="仿宋" w:cs="仿宋"/>
          <w:color w:val="auto"/>
        </w:rPr>
      </w:pPr>
    </w:p>
    <w:p w14:paraId="7F5A179C">
      <w:pPr>
        <w:pStyle w:val="31"/>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pacing w:val="0"/>
          <w:w w:val="100"/>
          <w:position w:val="0"/>
          <w:sz w:val="36"/>
          <w:szCs w:val="36"/>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14:paraId="76A2E61E">
      <w:pPr>
        <w:pStyle w:val="31"/>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pacing w:val="0"/>
          <w:w w:val="100"/>
          <w:position w:val="0"/>
          <w:sz w:val="36"/>
          <w:szCs w:val="36"/>
        </w:rPr>
        <w:t>第一部分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lang w:eastAsia="zh-CN"/>
        </w:rPr>
        <w:t>招标公告</w:t>
      </w:r>
    </w:p>
    <w:p w14:paraId="36006512">
      <w:pPr>
        <w:jc w:val="center"/>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新和县财政局委托金融机构代发惠民惠农财政补贴资金项目</w:t>
      </w:r>
      <w:r>
        <w:rPr>
          <w:rFonts w:hint="eastAsia" w:ascii="仿宋" w:hAnsi="仿宋" w:eastAsia="仿宋" w:cs="仿宋"/>
          <w:b/>
          <w:bCs/>
          <w:color w:val="auto"/>
          <w:sz w:val="28"/>
          <w:szCs w:val="28"/>
          <w:lang w:eastAsia="zh-CN"/>
        </w:rPr>
        <w:t xml:space="preserve">公开招标公告 </w:t>
      </w:r>
      <w:r>
        <w:rPr>
          <w:rFonts w:hint="eastAsia" w:ascii="仿宋" w:hAnsi="仿宋" w:eastAsia="仿宋" w:cs="仿宋"/>
          <w:color w:val="auto"/>
          <w:sz w:val="28"/>
          <w:szCs w:val="28"/>
          <w:lang w:eastAsia="zh-CN"/>
        </w:rPr>
        <w:t xml:space="preserve">   </w:t>
      </w:r>
    </w:p>
    <w:tbl>
      <w:tblPr>
        <w:tblStyle w:val="1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13F6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noWrap w:val="0"/>
            <w:vAlign w:val="top"/>
          </w:tcPr>
          <w:p w14:paraId="443E6A96">
            <w:pPr>
              <w:jc w:val="left"/>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项目概况</w:t>
            </w:r>
          </w:p>
          <w:p w14:paraId="6B03FC62">
            <w:pPr>
              <w:ind w:firstLine="480" w:firstLineChars="200"/>
              <w:jc w:val="both"/>
              <w:rPr>
                <w:rFonts w:hint="eastAsia" w:ascii="仿宋" w:hAnsi="仿宋" w:eastAsia="仿宋" w:cs="仿宋"/>
                <w:color w:val="auto"/>
                <w:vertAlign w:val="baseline"/>
                <w:lang w:eastAsia="zh-CN"/>
              </w:rPr>
            </w:pPr>
            <w:r>
              <w:rPr>
                <w:rFonts w:hint="eastAsia" w:ascii="仿宋" w:hAnsi="仿宋" w:eastAsia="仿宋" w:cs="仿宋"/>
                <w:color w:val="auto"/>
                <w:vertAlign w:val="baseline"/>
                <w:lang w:val="en-US" w:eastAsia="zh-CN"/>
              </w:rPr>
              <w:t>新和县财政局委托金融机构代发惠民惠农财政补贴资金项目</w:t>
            </w:r>
            <w:r>
              <w:rPr>
                <w:rFonts w:hint="eastAsia" w:ascii="仿宋" w:hAnsi="仿宋" w:eastAsia="仿宋" w:cs="仿宋"/>
                <w:color w:val="auto"/>
                <w:vertAlign w:val="baseline"/>
                <w:lang w:eastAsia="zh-CN"/>
              </w:rPr>
              <w:t>的潜在投标人应在供应商登陆政采云平台http://www.zcygov.cn/，在线申请获取采购文件（登录政府采购云平台 → 项目采购 → 获取采购文件→申请，审核通过后可下载采购文件，如有操作性问题，可与政采云在线客服进行咨询，咨询电话：</w:t>
            </w:r>
            <w:r>
              <w:rPr>
                <w:rFonts w:hint="eastAsia" w:ascii="仿宋" w:hAnsi="仿宋" w:eastAsia="仿宋" w:cs="仿宋"/>
                <w:color w:val="auto"/>
                <w:vertAlign w:val="baseline"/>
                <w:lang w:val="en-US" w:eastAsia="zh-CN"/>
              </w:rPr>
              <w:t>95763</w:t>
            </w:r>
            <w:r>
              <w:rPr>
                <w:rFonts w:hint="eastAsia" w:ascii="仿宋" w:hAnsi="仿宋" w:eastAsia="仿宋" w:cs="仿宋"/>
                <w:color w:val="auto"/>
                <w:vertAlign w:val="baseline"/>
                <w:lang w:eastAsia="zh-CN"/>
              </w:rPr>
              <w:t>）获取采购文件，并于</w:t>
            </w:r>
            <w:r>
              <w:rPr>
                <w:rFonts w:hint="eastAsia" w:ascii="仿宋" w:hAnsi="仿宋" w:eastAsia="仿宋" w:cs="仿宋"/>
                <w:color w:val="auto"/>
                <w:vertAlign w:val="baseline"/>
                <w:lang w:val="en-US" w:eastAsia="zh-CN"/>
              </w:rPr>
              <w:t>2025年07月31日 10:30</w:t>
            </w:r>
            <w:r>
              <w:rPr>
                <w:rFonts w:hint="eastAsia" w:ascii="仿宋" w:hAnsi="仿宋" w:eastAsia="仿宋" w:cs="仿宋"/>
                <w:color w:val="auto"/>
                <w:vertAlign w:val="baseline"/>
                <w:lang w:eastAsia="zh-CN"/>
              </w:rPr>
              <w:t>（北京时间）前递交投标文件。</w:t>
            </w:r>
          </w:p>
        </w:tc>
      </w:tr>
    </w:tbl>
    <w:p w14:paraId="194B39D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b/>
          <w:bCs/>
          <w:color w:val="auto"/>
        </w:rPr>
        <w:t>项目基本情况</w:t>
      </w:r>
    </w:p>
    <w:p w14:paraId="795B00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项目编号：</w:t>
      </w:r>
      <w:r>
        <w:rPr>
          <w:rFonts w:hint="eastAsia" w:ascii="仿宋" w:hAnsi="仿宋" w:eastAsia="仿宋" w:cs="仿宋"/>
          <w:color w:val="auto"/>
          <w:lang w:eastAsia="zh-CN"/>
        </w:rPr>
        <w:t>AKSXZ-2025-10</w:t>
      </w:r>
    </w:p>
    <w:p w14:paraId="0D1ED8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vertAlign w:val="baseline"/>
          <w:lang w:val="en-US" w:eastAsia="zh-CN"/>
        </w:rPr>
      </w:pPr>
      <w:r>
        <w:rPr>
          <w:rFonts w:hint="eastAsia" w:ascii="仿宋" w:hAnsi="仿宋" w:eastAsia="仿宋" w:cs="仿宋"/>
          <w:color w:val="auto"/>
        </w:rPr>
        <w:t>项目名称：</w:t>
      </w:r>
      <w:r>
        <w:rPr>
          <w:rFonts w:hint="eastAsia" w:ascii="仿宋" w:hAnsi="仿宋" w:eastAsia="仿宋" w:cs="仿宋"/>
          <w:color w:val="auto"/>
          <w:vertAlign w:val="baseline"/>
          <w:lang w:val="en-US" w:eastAsia="zh-CN"/>
        </w:rPr>
        <w:t>新和县财政局委托金融机构代发惠民惠农财政补贴资金项目</w:t>
      </w:r>
    </w:p>
    <w:p w14:paraId="73E68B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14:paraId="13CA26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预算金额（元）：</w:t>
      </w:r>
      <w:r>
        <w:rPr>
          <w:rFonts w:hint="eastAsia" w:ascii="仿宋" w:hAnsi="仿宋" w:eastAsia="仿宋" w:cs="仿宋"/>
          <w:color w:val="auto"/>
          <w:lang w:val="en-US" w:eastAsia="zh-CN"/>
        </w:rPr>
        <w:t>1.00</w:t>
      </w:r>
    </w:p>
    <w:p w14:paraId="0EE771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最高限价（元）：</w:t>
      </w:r>
      <w:r>
        <w:rPr>
          <w:rFonts w:hint="eastAsia" w:ascii="仿宋" w:hAnsi="仿宋" w:eastAsia="仿宋" w:cs="仿宋"/>
          <w:color w:val="auto"/>
          <w:lang w:val="en-US" w:eastAsia="zh-CN"/>
        </w:rPr>
        <w:t>1.00</w:t>
      </w:r>
    </w:p>
    <w:p w14:paraId="113FBD3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采购需求：</w:t>
      </w:r>
      <w:r>
        <w:rPr>
          <w:rFonts w:hint="eastAsia" w:ascii="仿宋" w:hAnsi="仿宋" w:eastAsia="仿宋" w:cs="仿宋"/>
          <w:color w:val="auto"/>
          <w:lang w:val="en-US" w:eastAsia="zh-CN"/>
        </w:rPr>
        <w:t>详见采购需求</w:t>
      </w:r>
    </w:p>
    <w:p w14:paraId="77205E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default" w:ascii="仿宋" w:hAnsi="仿宋" w:eastAsia="仿宋" w:cs="仿宋"/>
          <w:color w:val="auto"/>
          <w:lang w:val="en-US" w:eastAsia="zh-CN"/>
        </w:rPr>
        <w:t>标项名称:</w:t>
      </w:r>
      <w:r>
        <w:rPr>
          <w:rFonts w:hint="eastAsia" w:ascii="仿宋" w:hAnsi="仿宋" w:eastAsia="仿宋" w:cs="仿宋"/>
          <w:color w:val="auto"/>
          <w:lang w:val="en-US" w:eastAsia="zh-CN"/>
        </w:rPr>
        <w:t>新和县财政局委托金融机构代发惠民惠农财政补贴资金项目</w:t>
      </w:r>
    </w:p>
    <w:p w14:paraId="4DDC7C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数量:1</w:t>
      </w:r>
    </w:p>
    <w:p w14:paraId="72C00D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预算金额（元）:</w:t>
      </w:r>
      <w:r>
        <w:rPr>
          <w:rFonts w:hint="eastAsia" w:ascii="仿宋" w:hAnsi="仿宋" w:eastAsia="仿宋" w:cs="仿宋"/>
          <w:color w:val="auto"/>
          <w:lang w:val="en-US" w:eastAsia="zh-CN"/>
        </w:rPr>
        <w:t>1.00</w:t>
      </w:r>
    </w:p>
    <w:p w14:paraId="024FF2C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简要规格描述或项目基本概况介绍、用途：详见服务需求。</w:t>
      </w:r>
    </w:p>
    <w:p w14:paraId="41A6F23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备注：</w:t>
      </w:r>
    </w:p>
    <w:p w14:paraId="7B704CC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服务期限</w:t>
      </w:r>
      <w:r>
        <w:rPr>
          <w:rFonts w:hint="default" w:ascii="仿宋" w:hAnsi="仿宋" w:eastAsia="仿宋" w:cs="仿宋"/>
          <w:color w:val="auto"/>
          <w:lang w:val="en-US" w:eastAsia="zh-CN"/>
        </w:rPr>
        <w:t>：</w:t>
      </w:r>
      <w:r>
        <w:rPr>
          <w:rFonts w:hint="eastAsia" w:ascii="仿宋" w:hAnsi="仿宋" w:eastAsia="仿宋" w:cs="仿宋"/>
          <w:color w:val="auto"/>
          <w:lang w:val="en-US" w:eastAsia="zh-CN"/>
        </w:rPr>
        <w:t>3年</w:t>
      </w:r>
      <w:r>
        <w:rPr>
          <w:rFonts w:hint="default" w:ascii="仿宋" w:hAnsi="仿宋" w:eastAsia="仿宋" w:cs="仿宋"/>
          <w:color w:val="auto"/>
          <w:lang w:val="en-US" w:eastAsia="zh-CN"/>
        </w:rPr>
        <w:t>。</w:t>
      </w:r>
    </w:p>
    <w:p w14:paraId="6C1A7FE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本项目（否）接受联合体投标。</w:t>
      </w:r>
    </w:p>
    <w:p w14:paraId="6C4DECE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default" w:ascii="仿宋" w:hAnsi="仿宋" w:eastAsia="仿宋" w:cs="仿宋"/>
          <w:color w:val="auto"/>
          <w:lang w:val="en-US" w:eastAsia="zh-CN"/>
        </w:rPr>
        <w:t>备注：</w:t>
      </w:r>
    </w:p>
    <w:p w14:paraId="3929B492">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申请人的资格要求：</w:t>
      </w:r>
    </w:p>
    <w:p w14:paraId="6C753D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428018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Arial" w:hAnsi="Arial" w:eastAsia="宋体" w:cs="Arial"/>
          <w:b w:val="0"/>
          <w:bCs w:val="0"/>
          <w:color w:val="auto"/>
          <w:kern w:val="0"/>
          <w:sz w:val="24"/>
          <w:szCs w:val="24"/>
          <w:lang w:val="en-US" w:eastAsia="zh-CN"/>
        </w:rPr>
      </w:pPr>
      <w:r>
        <w:rPr>
          <w:rFonts w:hint="eastAsia" w:ascii="仿宋" w:hAnsi="仿宋" w:eastAsia="仿宋" w:cs="仿宋"/>
          <w:color w:val="auto"/>
          <w:sz w:val="24"/>
          <w:szCs w:val="24"/>
        </w:rPr>
        <w:t>2.落实政府采购政策需满足的资格要求：</w:t>
      </w:r>
      <w:r>
        <w:rPr>
          <w:rFonts w:hint="eastAsia" w:ascii="仿宋" w:hAnsi="仿宋" w:eastAsia="仿宋" w:cs="仿宋"/>
          <w:color w:val="auto"/>
          <w:sz w:val="24"/>
          <w:szCs w:val="24"/>
          <w:lang w:val="en-US" w:eastAsia="zh-CN"/>
        </w:rPr>
        <w:t>本项目不专门面向中小企业</w:t>
      </w:r>
      <w:r>
        <w:rPr>
          <w:rFonts w:hint="eastAsia" w:ascii="Arial" w:hAnsi="Arial" w:eastAsia="宋体" w:cs="Arial"/>
          <w:b w:val="0"/>
          <w:bCs w:val="0"/>
          <w:color w:val="auto"/>
          <w:kern w:val="0"/>
          <w:sz w:val="24"/>
          <w:szCs w:val="24"/>
          <w:lang w:val="en-US" w:eastAsia="zh-CN"/>
        </w:rPr>
        <w:t>。</w:t>
      </w:r>
    </w:p>
    <w:p w14:paraId="3A2F95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44D65C73">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（1）具备有效营业执照;</w:t>
      </w:r>
    </w:p>
    <w:p w14:paraId="467B58AB">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（2）法定代表人投标需提供法定代表人资格证明书，委托代理人投标需提供法定代表人授权委托书；</w:t>
      </w:r>
    </w:p>
    <w:p w14:paraId="18414D78">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（3）提供法人或委托代理人近6个月任意一个月有效社保证明和完税证明；</w:t>
      </w:r>
    </w:p>
    <w:p w14:paraId="74EF259E">
      <w:pPr>
        <w:widowControl/>
        <w:spacing w:before="75" w:after="75" w:line="240" w:lineRule="auto"/>
        <w:ind w:firstLine="373"/>
        <w:jc w:val="left"/>
        <w:rPr>
          <w:rFonts w:hint="eastAsia" w:ascii="Arial" w:hAnsi="Arial" w:eastAsia="宋体" w:cs="Arial"/>
          <w:b w:val="0"/>
          <w:bCs w:val="0"/>
          <w:color w:val="auto"/>
          <w:kern w:val="0"/>
          <w:sz w:val="24"/>
          <w:szCs w:val="24"/>
          <w:lang w:val="en-US" w:eastAsia="zh-CN"/>
        </w:rPr>
      </w:pPr>
      <w:r>
        <w:rPr>
          <w:rFonts w:hint="eastAsia" w:ascii="Arial" w:hAnsi="Arial" w:eastAsia="宋体" w:cs="Arial"/>
          <w:b w:val="0"/>
          <w:bCs w:val="0"/>
          <w:color w:val="auto"/>
          <w:kern w:val="0"/>
          <w:sz w:val="24"/>
          <w:szCs w:val="24"/>
          <w:lang w:val="en-US" w:eastAsia="zh-CN"/>
        </w:rPr>
        <w:t>（4）参加采购活动前三年内，未被“信用中国”（www.creditchina.gov.cn）、“中国政府采购网”（www.ccgp.gov.cn）列入失信被执行人、重大税收违法案件当事人名单、政府采购严重违法失信行为记录名单；</w:t>
      </w:r>
    </w:p>
    <w:p w14:paraId="602DAB30">
      <w:pPr>
        <w:keepNext w:val="0"/>
        <w:keepLines w:val="0"/>
        <w:widowControl/>
        <w:suppressLineNumbers w:val="0"/>
        <w:ind w:firstLine="240" w:firstLineChars="100"/>
        <w:jc w:val="left"/>
      </w:pPr>
      <w:r>
        <w:rPr>
          <w:rFonts w:hint="eastAsia" w:ascii="Arial" w:hAnsi="Arial" w:eastAsia="宋体" w:cs="Arial"/>
          <w:b w:val="0"/>
          <w:bCs w:val="0"/>
          <w:color w:val="auto"/>
          <w:kern w:val="0"/>
          <w:sz w:val="24"/>
          <w:szCs w:val="24"/>
          <w:lang w:val="en-US" w:eastAsia="zh-CN"/>
        </w:rPr>
        <w:t>（5）供应商具备有效的《中华人民共和国金融许可证》或《金融机构营业许可证》。</w:t>
      </w:r>
    </w:p>
    <w:p w14:paraId="0F8B87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三、获取采购文件</w:t>
      </w:r>
    </w:p>
    <w:p w14:paraId="358729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时间：</w:t>
      </w:r>
      <w:r>
        <w:rPr>
          <w:rFonts w:hint="eastAsia" w:ascii="仿宋" w:hAnsi="仿宋" w:eastAsia="仿宋" w:cs="仿宋"/>
          <w:color w:val="auto"/>
          <w:sz w:val="24"/>
          <w:szCs w:val="24"/>
          <w:u w:val="none"/>
          <w:lang w:eastAsia="zh-CN"/>
        </w:rPr>
        <w:t>2025年0</w:t>
      </w:r>
      <w:r>
        <w:rPr>
          <w:rFonts w:hint="eastAsia" w:ascii="仿宋" w:hAnsi="仿宋" w:eastAsia="仿宋" w:cs="仿宋"/>
          <w:color w:val="auto"/>
          <w:sz w:val="24"/>
          <w:szCs w:val="24"/>
          <w:u w:val="none"/>
          <w:lang w:val="en-US" w:eastAsia="zh-CN"/>
        </w:rPr>
        <w:t>7</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11</w:t>
      </w:r>
      <w:r>
        <w:rPr>
          <w:rFonts w:hint="eastAsia" w:ascii="仿宋" w:hAnsi="仿宋" w:eastAsia="仿宋" w:cs="仿宋"/>
          <w:color w:val="auto"/>
          <w:sz w:val="24"/>
          <w:szCs w:val="24"/>
          <w:u w:val="none"/>
          <w:lang w:eastAsia="zh-CN"/>
        </w:rPr>
        <w:t>日至2025年0</w:t>
      </w:r>
      <w:r>
        <w:rPr>
          <w:rFonts w:hint="eastAsia" w:ascii="仿宋" w:hAnsi="仿宋" w:eastAsia="仿宋" w:cs="仿宋"/>
          <w:color w:val="auto"/>
          <w:sz w:val="24"/>
          <w:szCs w:val="24"/>
          <w:u w:val="none"/>
          <w:lang w:val="en-US" w:eastAsia="zh-CN"/>
        </w:rPr>
        <w:t>7</w:t>
      </w:r>
      <w:r>
        <w:rPr>
          <w:rFonts w:hint="eastAsia" w:ascii="仿宋" w:hAnsi="仿宋" w:eastAsia="仿宋" w:cs="仿宋"/>
          <w:color w:val="auto"/>
          <w:sz w:val="24"/>
          <w:szCs w:val="24"/>
          <w:u w:val="none"/>
          <w:lang w:eastAsia="zh-CN"/>
        </w:rPr>
        <w:t>月</w:t>
      </w:r>
      <w:r>
        <w:rPr>
          <w:rFonts w:hint="eastAsia" w:ascii="仿宋" w:hAnsi="仿宋" w:eastAsia="仿宋" w:cs="仿宋"/>
          <w:color w:val="auto"/>
          <w:sz w:val="24"/>
          <w:szCs w:val="24"/>
          <w:u w:val="none"/>
          <w:lang w:val="en-US" w:eastAsia="zh-CN"/>
        </w:rPr>
        <w:t>18</w:t>
      </w:r>
      <w:r>
        <w:rPr>
          <w:rFonts w:hint="eastAsia" w:ascii="仿宋" w:hAnsi="仿宋" w:eastAsia="仿宋" w:cs="仿宋"/>
          <w:color w:val="auto"/>
          <w:sz w:val="24"/>
          <w:szCs w:val="24"/>
          <w:u w:val="none"/>
          <w:lang w:eastAsia="zh-CN"/>
        </w:rPr>
        <w:t>日，每天上午10:00至14:00下午16:00至</w:t>
      </w:r>
      <w:r>
        <w:rPr>
          <w:rFonts w:hint="eastAsia" w:ascii="仿宋" w:hAnsi="仿宋" w:eastAsia="仿宋" w:cs="仿宋"/>
          <w:color w:val="auto"/>
          <w:sz w:val="24"/>
          <w:szCs w:val="24"/>
          <w:u w:val="none"/>
          <w:lang w:val="en-US" w:eastAsia="zh-CN"/>
        </w:rPr>
        <w:t>20</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0</w:t>
      </w:r>
      <w:r>
        <w:rPr>
          <w:rFonts w:hint="eastAsia" w:ascii="仿宋" w:hAnsi="仿宋" w:eastAsia="仿宋" w:cs="仿宋"/>
          <w:color w:val="auto"/>
          <w:sz w:val="24"/>
          <w:szCs w:val="24"/>
          <w:u w:val="none"/>
          <w:lang w:eastAsia="zh-CN"/>
        </w:rPr>
        <w:t>0</w:t>
      </w:r>
      <w:r>
        <w:rPr>
          <w:rFonts w:hint="eastAsia" w:ascii="仿宋" w:hAnsi="仿宋" w:eastAsia="仿宋" w:cs="仿宋"/>
          <w:color w:val="auto"/>
          <w:sz w:val="24"/>
          <w:szCs w:val="24"/>
          <w:u w:val="none"/>
          <w:lang w:val="en-US" w:eastAsia="zh-CN"/>
        </w:rPr>
        <w:t>（北</w:t>
      </w:r>
      <w:r>
        <w:rPr>
          <w:rFonts w:hint="eastAsia" w:ascii="仿宋" w:hAnsi="仿宋" w:eastAsia="仿宋" w:cs="仿宋"/>
          <w:color w:val="auto"/>
          <w:sz w:val="24"/>
          <w:szCs w:val="24"/>
          <w:lang w:val="en-US" w:eastAsia="zh-CN"/>
        </w:rPr>
        <w:t>京时间，法定节假日除外）</w:t>
      </w:r>
      <w:r>
        <w:rPr>
          <w:rFonts w:hint="eastAsia" w:ascii="仿宋" w:hAnsi="仿宋" w:eastAsia="仿宋" w:cs="仿宋"/>
          <w:color w:val="auto"/>
          <w:sz w:val="24"/>
          <w:szCs w:val="24"/>
          <w:lang w:eastAsia="zh-CN"/>
        </w:rPr>
        <w:t>。</w:t>
      </w:r>
    </w:p>
    <w:p w14:paraId="765288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2.地点：供应商登陆政采云平台http://www.zcygov.cn/，在线申请获取采购文件（登录政府采购云平台 → 项目采购 → 获取采购文件→申请，（申请上传资料：本公告的资格要求内容，需加盖公章）。审核通过后可下载采购文件，如有操作性问题，可与政采云在线客服进行咨询，咨询电话：95763）  </w:t>
      </w:r>
    </w:p>
    <w:p w14:paraId="439ACE1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3.方式：（1）线上获取（登录政府采购云平台 → 项目采购 → 获取采购文件→ 申请，审核通过后可下载采购文件）。本次采购不提供纸质版采购文件。</w:t>
      </w:r>
    </w:p>
    <w:p w14:paraId="3371DCA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（2）供应商获取采购文件前应注册成为政府采购云平台正式供应商。</w:t>
      </w:r>
    </w:p>
    <w:p w14:paraId="0C21D3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4.售价（元）：0 </w:t>
      </w:r>
    </w:p>
    <w:p w14:paraId="49D774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四、提交投标文件截止时间、开标时间和地点</w:t>
      </w:r>
    </w:p>
    <w:p w14:paraId="7EA91B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截止时间：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 xml:space="preserve"> 07</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 xml:space="preserve"> 31 </w:t>
      </w:r>
      <w:r>
        <w:rPr>
          <w:rFonts w:hint="eastAsia" w:ascii="仿宋" w:hAnsi="仿宋" w:eastAsia="仿宋" w:cs="仿宋"/>
          <w:b w:val="0"/>
          <w:color w:val="auto"/>
          <w:kern w:val="2"/>
          <w:sz w:val="24"/>
          <w:szCs w:val="24"/>
          <w:lang w:val="en-US" w:eastAsia="zh-CN" w:bidi="ar-SA"/>
        </w:rPr>
        <w:t>日 10：30（北京时间）</w:t>
      </w:r>
    </w:p>
    <w:p w14:paraId="054F0F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投标地点：政府采购云平台（www.zcygov.cn）供应商应于递交投标文件截止时间之前将电子投标文件上传到“政采云”平台。</w:t>
      </w:r>
    </w:p>
    <w:p w14:paraId="5204FD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 xml:space="preserve"> 07</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 xml:space="preserve"> 31 </w:t>
      </w:r>
      <w:r>
        <w:rPr>
          <w:rFonts w:hint="eastAsia" w:ascii="仿宋" w:hAnsi="仿宋" w:eastAsia="仿宋" w:cs="仿宋"/>
          <w:b w:val="0"/>
          <w:color w:val="auto"/>
          <w:kern w:val="2"/>
          <w:sz w:val="24"/>
          <w:szCs w:val="24"/>
          <w:lang w:val="en-US" w:eastAsia="zh-CN" w:bidi="ar-SA"/>
        </w:rPr>
        <w:t>日 10：30（北京时间）</w:t>
      </w:r>
    </w:p>
    <w:p w14:paraId="2A3657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开标地点：在政府采购云平台（www.zcygov.cn）上开启投标文件，开标时间后，待采购组织机构发出解密通知后30分钟内，供应商须登录“政采云”平台，用“项目采购-开标评标”功能解密投标文件。</w:t>
      </w:r>
    </w:p>
    <w:p w14:paraId="11040F00">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公告期限</w:t>
      </w:r>
    </w:p>
    <w:p w14:paraId="13F202C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自本公告发布之日起5个工作日</w:t>
      </w:r>
    </w:p>
    <w:p w14:paraId="13A712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六、其他补充事宜</w:t>
      </w:r>
    </w:p>
    <w:p w14:paraId="4478A35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 </w:t>
      </w:r>
      <w:r>
        <w:rPr>
          <w:rFonts w:hint="eastAsia" w:ascii="仿宋" w:hAnsi="仿宋" w:eastAsia="仿宋" w:cs="仿宋"/>
          <w:b w:val="0"/>
          <w:color w:val="auto"/>
          <w:kern w:val="2"/>
          <w:sz w:val="24"/>
          <w:szCs w:val="24"/>
          <w:lang w:val="en-US" w:eastAsia="zh-CN" w:bidi="ar-SA"/>
        </w:rPr>
        <w:t xml:space="preserve"> 1.本项目采用全流程不见面电子开评标，投标供应商需要使用CA加密设备，供应商可通过新疆数字证书认证中心官网（https://www.xjca.com.cn/）或下载“新疆政务通”APP自行进行申领；</w:t>
      </w:r>
    </w:p>
    <w:p w14:paraId="3A154A7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2.本项目实行网上投标，采用加密电子投标文件(供应商须使用CA加密设备通过政采云电子投标客户端制作投标文件)。若供应商参与投标，自行承担投标一切费用；</w:t>
      </w:r>
    </w:p>
    <w:p w14:paraId="773E085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32B6993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5408F4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  5.供应商在开标时须使用制作加密电子投标文件所使用的CA锁及电脑，电脑须提前配置好浏览器（建议使用谷歌浏览器），以便开标时解锁；</w:t>
      </w:r>
    </w:p>
    <w:p w14:paraId="193AF2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钉钉群号：供应商钉钉群号：政采云新疆供应商服务十群：33132402、十一群：30213207（如已加入1-9群，无需重复加入，十一个群联动直播），钉钉工具软件具有回放功能，直播培训结束后可在钉钉群中回放观看学习；</w:t>
      </w:r>
    </w:p>
    <w:p w14:paraId="2F246A7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7.为了保证开评标顺利进行，政采云线上开标功能完全实现，供应商开标所使用的电脑设备须具有视频及语音功能。</w:t>
      </w:r>
    </w:p>
    <w:p w14:paraId="38D1B5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七、对本次招标提出询问，请按以下方式联系。</w:t>
      </w:r>
    </w:p>
    <w:p w14:paraId="6B21722D">
      <w:pPr>
        <w:rPr>
          <w:rFonts w:hint="eastAsia" w:ascii="仿宋" w:hAnsi="仿宋" w:eastAsia="仿宋" w:cs="仿宋"/>
          <w:color w:val="auto"/>
          <w:lang w:val="en-US" w:eastAsia="zh-CN"/>
        </w:rPr>
      </w:pPr>
      <w:r>
        <w:rPr>
          <w:rFonts w:hint="eastAsia" w:ascii="仿宋" w:hAnsi="仿宋" w:eastAsia="仿宋" w:cs="仿宋"/>
          <w:color w:val="auto"/>
          <w:lang w:val="en-US" w:eastAsia="zh-CN"/>
        </w:rPr>
        <w:t>1.采购人信息</w:t>
      </w:r>
    </w:p>
    <w:p w14:paraId="074FFC32">
      <w:pPr>
        <w:rPr>
          <w:rFonts w:hint="eastAsia" w:ascii="仿宋" w:hAnsi="仿宋" w:eastAsia="仿宋" w:cs="仿宋"/>
          <w:color w:val="auto"/>
          <w:lang w:val="en-US" w:eastAsia="zh-CN"/>
        </w:rPr>
      </w:pPr>
      <w:r>
        <w:rPr>
          <w:rFonts w:hint="eastAsia" w:ascii="仿宋" w:hAnsi="仿宋" w:eastAsia="仿宋" w:cs="仿宋"/>
          <w:color w:val="auto"/>
          <w:lang w:val="en-US" w:eastAsia="zh-CN"/>
        </w:rPr>
        <w:t>名 称：新和县财政局</w:t>
      </w:r>
    </w:p>
    <w:p w14:paraId="0884E1CB">
      <w:pPr>
        <w:rPr>
          <w:rFonts w:hint="eastAsia" w:ascii="仿宋" w:hAnsi="仿宋" w:eastAsia="仿宋" w:cs="仿宋"/>
          <w:color w:val="auto"/>
          <w:lang w:val="en-US" w:eastAsia="zh-CN"/>
        </w:rPr>
      </w:pPr>
      <w:r>
        <w:rPr>
          <w:rFonts w:hint="eastAsia" w:ascii="仿宋" w:hAnsi="仿宋" w:eastAsia="仿宋" w:cs="仿宋"/>
          <w:color w:val="auto"/>
          <w:lang w:val="en-US" w:eastAsia="zh-CN"/>
        </w:rPr>
        <w:t>地 址：新和县</w:t>
      </w:r>
    </w:p>
    <w:p w14:paraId="7A599824">
      <w:pPr>
        <w:rPr>
          <w:rFonts w:hint="eastAsia" w:ascii="仿宋" w:hAnsi="仿宋" w:eastAsia="仿宋" w:cs="仿宋"/>
          <w:color w:val="auto"/>
          <w:lang w:val="en-US" w:eastAsia="zh-CN"/>
        </w:rPr>
      </w:pPr>
      <w:r>
        <w:rPr>
          <w:rFonts w:hint="eastAsia" w:ascii="仿宋" w:hAnsi="仿宋" w:eastAsia="仿宋" w:cs="仿宋"/>
          <w:color w:val="auto"/>
          <w:lang w:val="en-US" w:eastAsia="zh-CN"/>
        </w:rPr>
        <w:t>联系人：李子鲜</w:t>
      </w:r>
    </w:p>
    <w:p w14:paraId="1FED110E">
      <w:pPr>
        <w:rPr>
          <w:rFonts w:hint="default" w:ascii="仿宋" w:hAnsi="仿宋" w:eastAsia="仿宋" w:cs="仿宋"/>
          <w:color w:val="auto"/>
          <w:lang w:val="en-US" w:eastAsia="zh-CN"/>
        </w:rPr>
      </w:pPr>
      <w:r>
        <w:rPr>
          <w:rFonts w:hint="eastAsia" w:ascii="仿宋" w:hAnsi="仿宋" w:eastAsia="仿宋" w:cs="仿宋"/>
          <w:color w:val="auto"/>
          <w:lang w:val="en-US" w:eastAsia="zh-CN"/>
        </w:rPr>
        <w:t>联系方式：15899369097</w:t>
      </w:r>
    </w:p>
    <w:p w14:paraId="304B00D5">
      <w:pP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2.采购代理机构信息 </w:t>
      </w:r>
    </w:p>
    <w:p w14:paraId="6C0C10C9">
      <w:pPr>
        <w:rPr>
          <w:rFonts w:hint="eastAsia" w:ascii="仿宋" w:hAnsi="仿宋" w:eastAsia="仿宋" w:cs="仿宋"/>
          <w:color w:val="auto"/>
          <w:lang w:val="en-US" w:eastAsia="zh-CN"/>
        </w:rPr>
      </w:pPr>
      <w:r>
        <w:rPr>
          <w:rFonts w:hint="eastAsia" w:ascii="仿宋" w:hAnsi="仿宋" w:eastAsia="仿宋" w:cs="仿宋"/>
          <w:color w:val="auto"/>
          <w:lang w:val="en-US" w:eastAsia="zh-CN"/>
        </w:rPr>
        <w:t>名 称：阿克苏祥泽项目咨询有限公司</w:t>
      </w:r>
    </w:p>
    <w:p w14:paraId="2667C8C9">
      <w:pPr>
        <w:rPr>
          <w:rFonts w:hint="eastAsia" w:ascii="仿宋" w:hAnsi="仿宋" w:eastAsia="仿宋" w:cs="仿宋"/>
          <w:color w:val="auto"/>
          <w:lang w:val="en-US" w:eastAsia="zh-CN"/>
        </w:rPr>
      </w:pPr>
      <w:r>
        <w:rPr>
          <w:rFonts w:hint="eastAsia" w:ascii="仿宋" w:hAnsi="仿宋" w:eastAsia="仿宋" w:cs="仿宋"/>
          <w:color w:val="auto"/>
          <w:lang w:val="en-US" w:eastAsia="zh-CN"/>
        </w:rPr>
        <w:t>地 址：</w:t>
      </w:r>
      <w:r>
        <w:rPr>
          <w:rFonts w:hint="eastAsia" w:ascii="仿宋" w:hAnsi="仿宋" w:eastAsia="仿宋" w:cs="仿宋"/>
          <w:i w:val="0"/>
          <w:iCs w:val="0"/>
          <w:caps w:val="0"/>
          <w:color w:val="auto"/>
          <w:spacing w:val="0"/>
          <w:kern w:val="0"/>
          <w:sz w:val="24"/>
          <w:szCs w:val="24"/>
          <w:lang w:val="en-US" w:eastAsia="zh-CN" w:bidi="ar"/>
        </w:rPr>
        <w:t>新疆阿克苏地区阿克苏市英巴扎街道英巴扎社区南大街212室</w:t>
      </w:r>
      <w:r>
        <w:rPr>
          <w:color w:val="auto"/>
          <w:szCs w:val="21"/>
        </w:rPr>
        <w:t xml:space="preserve">  </w:t>
      </w:r>
    </w:p>
    <w:p w14:paraId="5F35056B">
      <w:pP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项目联系人（询问）：赵猛　 </w:t>
      </w:r>
    </w:p>
    <w:p w14:paraId="14969BF6">
      <w:pPr>
        <w:rPr>
          <w:rFonts w:hint="eastAsia" w:ascii="仿宋" w:hAnsi="仿宋" w:eastAsia="仿宋" w:cs="仿宋"/>
          <w:color w:val="auto"/>
          <w:lang w:val="en-US" w:eastAsia="zh-CN"/>
        </w:rPr>
      </w:pPr>
      <w:r>
        <w:rPr>
          <w:rFonts w:hint="eastAsia" w:ascii="仿宋" w:hAnsi="仿宋" w:eastAsia="仿宋" w:cs="仿宋"/>
          <w:color w:val="auto"/>
          <w:lang w:val="en-US" w:eastAsia="zh-CN"/>
        </w:rPr>
        <w:t>项目联系方式（询问</w:t>
      </w:r>
      <w:r>
        <w:rPr>
          <w:rFonts w:hint="eastAsia" w:ascii="仿宋" w:hAnsi="仿宋" w:eastAsia="仿宋" w:cs="仿宋"/>
          <w:i w:val="0"/>
          <w:iCs w:val="0"/>
          <w:caps w:val="0"/>
          <w:color w:val="auto"/>
          <w:spacing w:val="0"/>
          <w:kern w:val="0"/>
          <w:sz w:val="24"/>
          <w:szCs w:val="24"/>
          <w:lang w:val="en-US" w:eastAsia="zh-CN" w:bidi="ar"/>
        </w:rPr>
        <w:t>）：18523039307</w:t>
      </w:r>
    </w:p>
    <w:p w14:paraId="11DAD9F2">
      <w:pPr>
        <w:rPr>
          <w:rFonts w:hint="eastAsia" w:ascii="仿宋" w:hAnsi="仿宋" w:eastAsia="仿宋" w:cs="仿宋"/>
          <w:color w:val="auto"/>
        </w:rPr>
      </w:pPr>
    </w:p>
    <w:p w14:paraId="5EEBFE84">
      <w:pPr>
        <w:rPr>
          <w:rFonts w:hint="eastAsia" w:ascii="仿宋" w:hAnsi="仿宋" w:eastAsia="仿宋" w:cs="仿宋"/>
          <w:color w:val="auto"/>
        </w:rPr>
      </w:pPr>
    </w:p>
    <w:p w14:paraId="356E5C1D">
      <w:pPr>
        <w:rPr>
          <w:rFonts w:hint="eastAsia" w:ascii="仿宋" w:hAnsi="仿宋" w:eastAsia="仿宋" w:cs="仿宋"/>
          <w:color w:val="auto"/>
        </w:rPr>
      </w:pPr>
    </w:p>
    <w:p w14:paraId="776E58F0">
      <w:pPr>
        <w:rPr>
          <w:rFonts w:hint="eastAsia" w:ascii="仿宋" w:hAnsi="仿宋" w:eastAsia="仿宋" w:cs="仿宋"/>
          <w:color w:val="auto"/>
        </w:rPr>
      </w:pPr>
    </w:p>
    <w:p w14:paraId="75CBDBAD">
      <w:pPr>
        <w:pStyle w:val="7"/>
        <w:numPr>
          <w:ilvl w:val="0"/>
          <w:numId w:val="0"/>
        </w:numPr>
        <w:ind w:left="240" w:leftChars="0" w:right="0" w:rightChars="0"/>
        <w:rPr>
          <w:rFonts w:hint="eastAsia"/>
          <w:color w:val="auto"/>
        </w:rPr>
      </w:pPr>
    </w:p>
    <w:p w14:paraId="2C6DF1C8">
      <w:pPr>
        <w:rPr>
          <w:rFonts w:hint="eastAsia"/>
          <w:color w:val="auto"/>
        </w:rPr>
      </w:pPr>
    </w:p>
    <w:p w14:paraId="1C9714FB">
      <w:pPr>
        <w:rPr>
          <w:rFonts w:hint="eastAsia"/>
          <w:color w:val="auto"/>
        </w:rPr>
      </w:pPr>
    </w:p>
    <w:p w14:paraId="764BC2B9">
      <w:pPr>
        <w:rPr>
          <w:rFonts w:hint="eastAsia"/>
          <w:color w:val="auto"/>
        </w:rPr>
      </w:pPr>
    </w:p>
    <w:p w14:paraId="2C6A6C0B">
      <w:pPr>
        <w:rPr>
          <w:rFonts w:hint="eastAsia"/>
          <w:color w:val="auto"/>
        </w:rPr>
      </w:pPr>
    </w:p>
    <w:p w14:paraId="51645CBA">
      <w:pPr>
        <w:rPr>
          <w:rFonts w:hint="eastAsia" w:ascii="仿宋" w:hAnsi="仿宋" w:eastAsia="仿宋" w:cs="仿宋"/>
          <w:color w:val="auto"/>
        </w:rPr>
      </w:pPr>
    </w:p>
    <w:p w14:paraId="63E33C66">
      <w:pPr>
        <w:pStyle w:val="7"/>
        <w:numPr>
          <w:ilvl w:val="0"/>
          <w:numId w:val="0"/>
        </w:numPr>
        <w:ind w:left="240" w:leftChars="0" w:right="0" w:rightChars="0"/>
        <w:rPr>
          <w:rFonts w:hint="eastAsia"/>
          <w:color w:val="auto"/>
        </w:rPr>
      </w:pPr>
    </w:p>
    <w:p w14:paraId="4FB2E177">
      <w:pPr>
        <w:rPr>
          <w:rFonts w:hint="eastAsia" w:ascii="仿宋" w:hAnsi="仿宋" w:eastAsia="仿宋" w:cs="仿宋"/>
          <w:color w:val="auto"/>
        </w:rPr>
      </w:pPr>
    </w:p>
    <w:p w14:paraId="6DD67EB9">
      <w:pPr>
        <w:pStyle w:val="7"/>
        <w:numPr>
          <w:ilvl w:val="0"/>
          <w:numId w:val="0"/>
        </w:numPr>
        <w:ind w:left="240" w:leftChars="0" w:right="0" w:rightChars="0"/>
        <w:rPr>
          <w:rFonts w:hint="eastAsia"/>
          <w:color w:val="auto"/>
        </w:rPr>
      </w:pPr>
    </w:p>
    <w:p w14:paraId="5D5B7768">
      <w:pPr>
        <w:rPr>
          <w:rFonts w:hint="eastAsia" w:ascii="仿宋" w:hAnsi="仿宋" w:eastAsia="仿宋" w:cs="仿宋"/>
          <w:color w:val="auto"/>
        </w:rPr>
      </w:pPr>
    </w:p>
    <w:p w14:paraId="233ACC63">
      <w:pPr>
        <w:pStyle w:val="31"/>
        <w:keepNext/>
        <w:keepLines/>
        <w:widowControl w:val="0"/>
        <w:shd w:val="clear" w:color="auto" w:fill="auto"/>
        <w:bidi w:val="0"/>
        <w:spacing w:before="0" w:after="240" w:line="240" w:lineRule="auto"/>
        <w:ind w:left="0" w:right="0" w:firstLine="0"/>
        <w:jc w:val="center"/>
        <w:rPr>
          <w:rFonts w:hint="default" w:ascii="仿宋" w:hAnsi="仿宋" w:eastAsia="仿宋" w:cs="仿宋"/>
          <w:b/>
          <w:bCs/>
          <w:color w:val="000000" w:themeColor="text1"/>
          <w:spacing w:val="0"/>
          <w:w w:val="100"/>
          <w:position w:val="0"/>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lang w:val="en-US" w:eastAsia="zh-CN"/>
          <w14:textFill>
            <w14:solidFill>
              <w14:schemeClr w14:val="tx1"/>
            </w14:solidFill>
          </w14:textFill>
        </w:rPr>
        <w:t>第二部分  投标人须知</w:t>
      </w:r>
    </w:p>
    <w:p w14:paraId="4AFC997E">
      <w:pPr>
        <w:pStyle w:val="32"/>
        <w:keepNext w:val="0"/>
        <w:keepLines w:val="0"/>
        <w:widowControl w:val="0"/>
        <w:shd w:val="clear" w:color="auto" w:fill="auto"/>
        <w:bidi w:val="0"/>
        <w:spacing w:before="0" w:after="0" w:line="240" w:lineRule="auto"/>
        <w:ind w:right="0"/>
        <w:jc w:val="center"/>
        <w:rPr>
          <w:rFonts w:hint="eastAsia" w:ascii="仿宋" w:hAnsi="仿宋" w:eastAsia="仿宋" w:cs="仿宋"/>
          <w:color w:val="000000" w:themeColor="text1"/>
          <w:spacing w:val="0"/>
          <w:w w:val="100"/>
          <w:position w:val="0"/>
          <w:sz w:val="28"/>
          <w:szCs w:val="28"/>
          <w14:textFill>
            <w14:solidFill>
              <w14:schemeClr w14:val="tx1"/>
            </w14:solidFill>
          </w14:textFill>
        </w:rPr>
      </w:pPr>
      <w:r>
        <w:rPr>
          <w:rFonts w:hint="eastAsia" w:ascii="仿宋" w:hAnsi="仿宋" w:eastAsia="仿宋" w:cs="仿宋"/>
          <w:color w:val="000000" w:themeColor="text1"/>
          <w:spacing w:val="0"/>
          <w:w w:val="100"/>
          <w:position w:val="0"/>
          <w:sz w:val="28"/>
          <w:szCs w:val="28"/>
          <w:lang w:val="en-US" w:eastAsia="zh-CN"/>
          <w14:textFill>
            <w14:solidFill>
              <w14:schemeClr w14:val="tx1"/>
            </w14:solidFill>
          </w14:textFill>
        </w:rPr>
        <w:t>投标人</w:t>
      </w:r>
      <w:r>
        <w:rPr>
          <w:rFonts w:hint="eastAsia" w:ascii="仿宋" w:hAnsi="仿宋" w:eastAsia="仿宋" w:cs="仿宋"/>
          <w:color w:val="000000" w:themeColor="text1"/>
          <w:spacing w:val="0"/>
          <w:w w:val="100"/>
          <w:position w:val="0"/>
          <w:sz w:val="28"/>
          <w:szCs w:val="28"/>
          <w14:textFill>
            <w14:solidFill>
              <w14:schemeClr w14:val="tx1"/>
            </w14:solidFill>
          </w14:textFill>
        </w:rPr>
        <w:t>须知前附表</w:t>
      </w:r>
    </w:p>
    <w:tbl>
      <w:tblPr>
        <w:tblStyle w:val="18"/>
        <w:tblW w:w="8923" w:type="dxa"/>
        <w:jc w:val="center"/>
        <w:tblLayout w:type="fixed"/>
        <w:tblCellMar>
          <w:top w:w="0" w:type="dxa"/>
          <w:left w:w="108" w:type="dxa"/>
          <w:bottom w:w="0" w:type="dxa"/>
          <w:right w:w="108" w:type="dxa"/>
        </w:tblCellMar>
      </w:tblPr>
      <w:tblGrid>
        <w:gridCol w:w="797"/>
        <w:gridCol w:w="1535"/>
        <w:gridCol w:w="6591"/>
      </w:tblGrid>
      <w:tr w14:paraId="1F1E9B57">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D33856D">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 号</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884C659">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名  称</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31C448E">
            <w:pPr>
              <w:widowControl/>
              <w:spacing w:line="334" w:lineRule="exact"/>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编  列  内  容</w:t>
            </w:r>
          </w:p>
        </w:tc>
      </w:tr>
      <w:tr w14:paraId="4EF9BF78">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A18F8A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7E50E17">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p w14:paraId="22E37952">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w:t>
            </w:r>
          </w:p>
          <w:p w14:paraId="190A7531">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采购内容  </w:t>
            </w:r>
          </w:p>
          <w:p w14:paraId="3EA7282C">
            <w:pPr>
              <w:keepNext w:val="0"/>
              <w:keepLines w:val="0"/>
              <w:widowControl/>
              <w:suppressLineNumbers w:val="0"/>
              <w:shd w:val="clear" w:color="auto" w:fill="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09E62C2">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项目名称：新和县财政局委托金融机构代发惠民惠农财政补贴资金项目</w:t>
            </w:r>
          </w:p>
          <w:p w14:paraId="420D6F84">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项目编号：AKSXZ-2025-10</w:t>
            </w:r>
          </w:p>
          <w:p w14:paraId="65D87B82">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采购内容：详见服务需求。</w:t>
            </w:r>
          </w:p>
          <w:p w14:paraId="42829B5F">
            <w:pPr>
              <w:keepNext w:val="0"/>
              <w:keepLines w:val="0"/>
              <w:widowControl/>
              <w:suppressLineNumbers w:val="0"/>
              <w:shd w:val="clear" w:color="auto" w:fill="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服务期限：3年 。</w:t>
            </w:r>
          </w:p>
        </w:tc>
      </w:tr>
      <w:tr w14:paraId="57AB3FE3">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44CB27F">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349075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采购人信息</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83CE6A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采购单位：新和县财政局</w:t>
            </w:r>
          </w:p>
          <w:p w14:paraId="5FCAFCFD">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联系人：李子鲜 　    联系方式：15899369097</w:t>
            </w:r>
          </w:p>
        </w:tc>
      </w:tr>
      <w:tr w14:paraId="47B0F65C">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7CF1812">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A09FA0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采购代理机构</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FCB1BF0">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名  称：</w:t>
            </w:r>
            <w:r>
              <w:rPr>
                <w:rFonts w:hint="eastAsia" w:ascii="仿宋" w:hAnsi="仿宋" w:eastAsia="仿宋" w:cs="仿宋"/>
                <w:b w:val="0"/>
                <w:bCs w:val="0"/>
                <w:color w:val="auto"/>
                <w:sz w:val="24"/>
                <w:szCs w:val="24"/>
                <w:lang w:val="en-US" w:eastAsia="zh-CN"/>
              </w:rPr>
              <w:t>阿克苏祥泽项目咨询有限公司</w:t>
            </w:r>
          </w:p>
          <w:p w14:paraId="7D5CB17A">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地  址：</w:t>
            </w:r>
            <w:r>
              <w:rPr>
                <w:rFonts w:hint="eastAsia" w:ascii="仿宋" w:hAnsi="仿宋" w:eastAsia="仿宋" w:cs="仿宋"/>
                <w:b w:val="0"/>
                <w:bCs w:val="0"/>
                <w:color w:val="auto"/>
                <w:sz w:val="24"/>
                <w:szCs w:val="24"/>
                <w:lang w:val="en-US" w:eastAsia="zh-CN"/>
              </w:rPr>
              <w:t>新疆阿克苏地区阿克苏市英巴扎街道英巴扎社区南大街212室</w:t>
            </w:r>
          </w:p>
          <w:p w14:paraId="6FD29CA0">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联 系 人：</w:t>
            </w:r>
            <w:r>
              <w:rPr>
                <w:rFonts w:hint="eastAsia" w:ascii="仿宋" w:hAnsi="仿宋" w:eastAsia="仿宋" w:cs="仿宋"/>
                <w:b w:val="0"/>
                <w:bCs w:val="0"/>
                <w:color w:val="auto"/>
                <w:sz w:val="24"/>
                <w:szCs w:val="24"/>
                <w:lang w:val="en-US" w:eastAsia="zh-CN"/>
              </w:rPr>
              <w:t>赵猛</w:t>
            </w:r>
            <w:r>
              <w:rPr>
                <w:rFonts w:hint="default" w:ascii="仿宋" w:hAnsi="仿宋" w:eastAsia="仿宋" w:cs="仿宋"/>
                <w:b w:val="0"/>
                <w:bCs w:val="0"/>
                <w:color w:val="auto"/>
                <w:sz w:val="24"/>
                <w:szCs w:val="24"/>
                <w:lang w:val="en-US" w:eastAsia="zh-CN"/>
              </w:rPr>
              <w:t>　  联系电话：</w:t>
            </w:r>
            <w:r>
              <w:rPr>
                <w:rFonts w:hint="eastAsia" w:ascii="仿宋" w:hAnsi="仿宋" w:eastAsia="仿宋" w:cs="仿宋"/>
                <w:b w:val="0"/>
                <w:bCs w:val="0"/>
                <w:color w:val="auto"/>
                <w:sz w:val="24"/>
                <w:szCs w:val="24"/>
                <w:lang w:val="en-US" w:eastAsia="zh-CN"/>
              </w:rPr>
              <w:t>18523039307</w:t>
            </w:r>
          </w:p>
        </w:tc>
      </w:tr>
      <w:tr w14:paraId="44C113B3">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EED5E63">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D2149A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最终交货地点 </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E41EAC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甲方指定地点。</w:t>
            </w:r>
          </w:p>
        </w:tc>
      </w:tr>
      <w:tr w14:paraId="100BC04D">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CFF1161">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531AA4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auto"/>
                <w:sz w:val="24"/>
                <w:szCs w:val="24"/>
                <w:lang w:val="en-US" w:eastAsia="zh-CN"/>
              </w:rPr>
              <w:t>资格要求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A261153">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1.满足《中华人民共和国政府采购法》第二十二条规定；</w:t>
            </w:r>
          </w:p>
          <w:p w14:paraId="15EE03E3">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2.落实政府采购政策需满足的资格要求：</w:t>
            </w:r>
            <w:r>
              <w:rPr>
                <w:rFonts w:hint="eastAsia" w:ascii="仿宋" w:hAnsi="仿宋" w:eastAsia="仿宋" w:cs="仿宋"/>
                <w:b w:val="0"/>
                <w:bCs w:val="0"/>
                <w:color w:val="auto"/>
                <w:sz w:val="24"/>
                <w:szCs w:val="24"/>
                <w:lang w:val="en-US" w:eastAsia="zh-CN"/>
              </w:rPr>
              <w:t>无</w:t>
            </w:r>
            <w:r>
              <w:rPr>
                <w:rFonts w:hint="default" w:ascii="仿宋" w:hAnsi="仿宋" w:eastAsia="仿宋" w:cs="仿宋"/>
                <w:b w:val="0"/>
                <w:bCs w:val="0"/>
                <w:color w:val="auto"/>
                <w:sz w:val="24"/>
                <w:szCs w:val="24"/>
                <w:lang w:val="en-US" w:eastAsia="zh-CN"/>
              </w:rPr>
              <w:t>。</w:t>
            </w:r>
          </w:p>
          <w:p w14:paraId="6A603DC5">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3.本项目的特定资格要求：</w:t>
            </w:r>
          </w:p>
          <w:p w14:paraId="1ABF99A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（1）具备有效的营业执照;</w:t>
            </w:r>
          </w:p>
          <w:p w14:paraId="304637C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（2）法定代表人投标需提供法定代表人资格证明书，委托代理人投标需提供法定代表人授权委托书；</w:t>
            </w:r>
          </w:p>
          <w:p w14:paraId="141EE60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（3）提供法人或委托代理人近6个月任意一个月有效社保证明和完税证明；</w:t>
            </w:r>
          </w:p>
          <w:p w14:paraId="5CAAFF8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参加采购活动前三年内，未被“信用中国”（www.creditchina.gov.cn）、“中国政府采购网”（www.ccgp.gov.cn）列入失信被执行人、重大税收违法案件当事人名单、政府采购严重违法失信行为记录名单；（由代理机构现场查询）</w:t>
            </w:r>
          </w:p>
          <w:p w14:paraId="6D45D7A5">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（5）供应商具备有效的《中华人民共和国金融许可证》或《金融机构营业许可证》。</w:t>
            </w:r>
          </w:p>
          <w:p w14:paraId="5725138A">
            <w:pPr>
              <w:shd w:val="clear" w:color="auto" w:fill="auto"/>
              <w:spacing w:line="360" w:lineRule="auto"/>
              <w:jc w:val="left"/>
              <w:rPr>
                <w:rFonts w:hint="default"/>
                <w:color w:val="auto"/>
                <w:sz w:val="24"/>
                <w:szCs w:val="24"/>
                <w:lang w:val="en-US" w:eastAsia="zh-CN"/>
              </w:rPr>
            </w:pPr>
            <w:r>
              <w:rPr>
                <w:rFonts w:hint="default" w:ascii="仿宋" w:hAnsi="仿宋" w:eastAsia="仿宋" w:cs="仿宋"/>
                <w:b w:val="0"/>
                <w:bCs w:val="0"/>
                <w:color w:val="auto"/>
                <w:sz w:val="24"/>
                <w:szCs w:val="24"/>
                <w:lang w:val="en-US" w:eastAsia="zh-CN"/>
              </w:rPr>
              <w:t>4.本项目不接受联合体投标。</w:t>
            </w:r>
          </w:p>
        </w:tc>
      </w:tr>
      <w:tr w14:paraId="20550726">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72A7489">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557C29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资金来源</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F8E2CD6">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年初预算资金</w:t>
            </w:r>
          </w:p>
        </w:tc>
      </w:tr>
      <w:tr w14:paraId="404AAAB5">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C3B1645">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08AC17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招标方式</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11D2AF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公开招标(本项目采用网上电子招投标)  </w:t>
            </w:r>
          </w:p>
        </w:tc>
      </w:tr>
      <w:tr w14:paraId="00D6BA49">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82CBB52">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F6F700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供应商信用查询</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DC255BD">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1、查询渠道：信用中国（网址：http://www.creditchina.gov.cn）、中国政府采购网(网址：http://www.ccgp.gov.cn）。</w:t>
            </w:r>
          </w:p>
          <w:p w14:paraId="1ED798E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2、截止时点：开标后评标前。</w:t>
            </w:r>
          </w:p>
          <w:p w14:paraId="3E6041F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3、信用信息查询记录和证据留存的具体方式：由采购组织机构在规定查询时间内打印信用信息查询记录并归入项目档案。</w:t>
            </w:r>
          </w:p>
          <w:p w14:paraId="58DD3D02">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5C16357D">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767B9AB">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9</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7EB837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是否接受联合体投标</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60F5F96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☑不接受</w:t>
            </w:r>
          </w:p>
          <w:p w14:paraId="5AE848D8">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□接受，联合体投标的须在投标文件中提供联合体协议书，联合体所有成员不得超过2家，联合体的任何一方均不得再与其他投标单位联合。</w:t>
            </w:r>
          </w:p>
        </w:tc>
      </w:tr>
      <w:tr w14:paraId="289A6A33">
        <w:tblPrEx>
          <w:tblCellMar>
            <w:top w:w="0" w:type="dxa"/>
            <w:left w:w="108" w:type="dxa"/>
            <w:bottom w:w="0" w:type="dxa"/>
            <w:right w:w="108" w:type="dxa"/>
          </w:tblCellMar>
        </w:tblPrEx>
        <w:trPr>
          <w:trHeight w:val="140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72D771E">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5CE5BE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 （开标时间）</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2927AE6">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投标截止时间：2025年07月31日上午10时30分（北京时间）</w:t>
            </w:r>
          </w:p>
          <w:p w14:paraId="42006444">
            <w:pPr>
              <w:shd w:val="clear" w:color="auto" w:fill="auto"/>
              <w:spacing w:line="360" w:lineRule="auto"/>
              <w:jc w:val="left"/>
              <w:rPr>
                <w:rFonts w:hint="eastAsia" w:ascii="仿宋" w:hAnsi="仿宋" w:eastAsia="仿宋" w:cs="仿宋"/>
                <w:b w:val="0"/>
                <w:bCs w:val="0"/>
                <w:color w:val="auto"/>
                <w:sz w:val="24"/>
                <w:szCs w:val="24"/>
                <w:lang w:val="en-US" w:eastAsia="zh-CN"/>
              </w:rPr>
            </w:pPr>
          </w:p>
        </w:tc>
      </w:tr>
      <w:tr w14:paraId="61FA4848">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2BDEDAB">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BBC5AC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投标有效期</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252F6C5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投标有效期为 60 日历天（从投标截止之日算起）。在此期限内，凡符合本采购文件要求的投标文件均保持有效。</w:t>
            </w:r>
          </w:p>
        </w:tc>
      </w:tr>
      <w:tr w14:paraId="4FCBA140">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D149E4D">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12</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65494D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投标保证金</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710E483">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投标保证金交纳方式：投标保证金应当以网上银行支付或者金融机构、担保机构出具的保函等非现金形式交纳。</w:t>
            </w:r>
          </w:p>
          <w:p w14:paraId="3D3329AD">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投标保证金的金额：本项目不做要求。</w:t>
            </w:r>
          </w:p>
          <w:p w14:paraId="2ADF5B4C">
            <w:pPr>
              <w:shd w:val="clear" w:color="auto" w:fill="auto"/>
              <w:spacing w:line="360" w:lineRule="auto"/>
              <w:jc w:val="left"/>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投标保证金交纳要求：/</w:t>
            </w:r>
          </w:p>
          <w:p w14:paraId="166338A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2、投标保证金以保函等票据形式提交的，金融机构、担保机构出具的票据原件须扫描上传，标书内附有此票据。</w:t>
            </w:r>
          </w:p>
          <w:p w14:paraId="6DA8A28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3、有效投标保证金成功交纳后，截止开标时间，供应商无正当理由不参加该项目投标且不递交弃标函，投标保证金不予退还。</w:t>
            </w:r>
          </w:p>
          <w:p w14:paraId="38DAC89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户名：/</w:t>
            </w:r>
          </w:p>
          <w:p w14:paraId="4704B95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账号：/</w:t>
            </w:r>
          </w:p>
          <w:p w14:paraId="5FCAC19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行名：/</w:t>
            </w:r>
          </w:p>
          <w:p w14:paraId="23001B9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w:t>
            </w:r>
          </w:p>
          <w:p w14:paraId="663386EC">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（备注：必须写清楚某某公司某某项目保证金）</w:t>
            </w:r>
          </w:p>
          <w:p w14:paraId="5F66D15D">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投标退保证金需准备以下相关资料</w:t>
            </w:r>
          </w:p>
          <w:p w14:paraId="5CF1D61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1．本单位给投标公司开的收据原件；5日内办理</w:t>
            </w:r>
          </w:p>
          <w:p w14:paraId="2F3F274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2．投标公司请给我单位反开收据原件；5日内办理</w:t>
            </w:r>
          </w:p>
          <w:p w14:paraId="27E6396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3．开户许可证复印件及联系方式</w:t>
            </w:r>
          </w:p>
          <w:p w14:paraId="6DB5B918">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4．银行打保证金的电子回单复印件</w:t>
            </w:r>
          </w:p>
          <w:p w14:paraId="3A40175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5．中标企业需提供合同</w:t>
            </w:r>
          </w:p>
          <w:p w14:paraId="7FDB750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因供应商自身原因耽搁领取，超过退还时限，不承担延后退还责任。 </w:t>
            </w:r>
          </w:p>
        </w:tc>
      </w:tr>
      <w:tr w14:paraId="6211F315">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91C917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13</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694094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是否允许递交备选投标方案</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088ABA7">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☑不允许</w:t>
            </w:r>
          </w:p>
          <w:p w14:paraId="5D03338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□允  许</w:t>
            </w:r>
          </w:p>
        </w:tc>
      </w:tr>
      <w:tr w14:paraId="7F57D2DD">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BADECEE">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14</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58A3EE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招标文件领取</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E5C0C9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u w:val="none"/>
                <w:lang w:val="en-US" w:eastAsia="zh-CN"/>
              </w:rPr>
              <w:t>时间：2025年07月11日至2025年07月18日，每天上午10:00至14:00下午16:00至20:00（北京时间，法定节假日除外）。</w:t>
            </w:r>
          </w:p>
          <w:p w14:paraId="661C13D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0FDDBA23">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方式：（1）线上获取（登录政府采购云平台 → 项目采购 → 获取招标文件 → 申请，审核通过后可下载招标文件 ）。本次招标不提供纸质版招标文件 。</w:t>
            </w:r>
          </w:p>
          <w:p w14:paraId="27148C7A">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（2）供应商获取招标文件 前应注册成为政府采购云平台正式供应商。</w:t>
            </w:r>
          </w:p>
        </w:tc>
      </w:tr>
      <w:tr w14:paraId="4D60B1B5">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3B45172">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15</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BCEB47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投标文件形式</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E273DF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电子投标文件包括“电子加密投标文件”和“备份投标文件”，在投标文件编制完成后同时生成。</w:t>
            </w:r>
          </w:p>
          <w:p w14:paraId="2E457A8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1、“电子加密投标文件”是指通过“政采云电子交易客户端”完成投标文件编制后生成并加密的数据电文形式的投标文件。</w:t>
            </w:r>
          </w:p>
          <w:p w14:paraId="12049C7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14:paraId="06DF2F2D">
        <w:tblPrEx>
          <w:tblCellMar>
            <w:top w:w="0" w:type="dxa"/>
            <w:left w:w="108" w:type="dxa"/>
            <w:bottom w:w="0" w:type="dxa"/>
            <w:right w:w="108" w:type="dxa"/>
          </w:tblCellMar>
        </w:tblPrEx>
        <w:trPr>
          <w:trHeight w:val="731"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2620A46F">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16</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B7FE96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投标文件份数及要求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2A8C9B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1、一份电子加密标书（“.jmbs”格式），一份备份标书文件（“.bfbs”格式）。</w:t>
            </w:r>
          </w:p>
          <w:p w14:paraId="089DB06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2、每份电子投标文件应包括资格证明文件和商务及技术文件两部分。</w:t>
            </w:r>
          </w:p>
        </w:tc>
      </w:tr>
      <w:tr w14:paraId="0477C5AE">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41DD132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17</w:t>
            </w:r>
          </w:p>
        </w:tc>
        <w:tc>
          <w:tcPr>
            <w:tcW w:w="1535" w:type="dxa"/>
            <w:vMerge w:val="restart"/>
            <w:tcBorders>
              <w:top w:val="single" w:color="auto" w:sz="4" w:space="0"/>
              <w:left w:val="single" w:color="auto" w:sz="4" w:space="0"/>
              <w:right w:val="single" w:color="auto" w:sz="4" w:space="0"/>
            </w:tcBorders>
            <w:noWrap w:val="0"/>
            <w:vAlign w:val="center"/>
          </w:tcPr>
          <w:p w14:paraId="01CF964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投标文件的上传和递交</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654AAF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14:paraId="3FDE872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a.供应商未能在投标截止时间前成功上传电子加密投标文件的投标无效。</w:t>
            </w:r>
          </w:p>
          <w:p w14:paraId="654031A5">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b.供应商成功上传电子加密投标文件后，可自行打印投标文件接收回执。</w:t>
            </w:r>
          </w:p>
        </w:tc>
      </w:tr>
      <w:tr w14:paraId="56A0E67E">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79A61B7D">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vMerge w:val="continue"/>
            <w:tcBorders>
              <w:left w:val="single" w:color="auto" w:sz="4" w:space="0"/>
              <w:bottom w:val="single" w:color="auto" w:sz="4" w:space="0"/>
              <w:right w:val="single" w:color="auto" w:sz="4" w:space="0"/>
            </w:tcBorders>
            <w:noWrap w:val="0"/>
            <w:vAlign w:val="center"/>
          </w:tcPr>
          <w:p w14:paraId="0D9F2A6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F44C56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2.备份投标文件：供应商在投标截止时间前将加密的投标文件上传至政府采购云平台，还可以在投标截止时间前以电子邮件方式提供备份投标文件1份（接收人邮箱：1428839043@qq.com，</w:t>
            </w:r>
            <w:r>
              <w:rPr>
                <w:rFonts w:hint="eastAsia" w:ascii="仿宋" w:hAnsi="仿宋" w:eastAsia="仿宋" w:cs="仿宋"/>
                <w:b w:val="0"/>
                <w:bCs w:val="0"/>
                <w:color w:val="auto"/>
                <w:sz w:val="24"/>
                <w:szCs w:val="24"/>
                <w:lang w:val="en-US" w:eastAsia="zh-CN"/>
              </w:rPr>
              <w:t>接收人：赵猛，电话：18523039307）</w:t>
            </w:r>
            <w:r>
              <w:rPr>
                <w:rFonts w:hint="eastAsia" w:ascii="仿宋" w:hAnsi="仿宋" w:eastAsia="仿宋" w:cs="仿宋"/>
                <w:b w:val="0"/>
                <w:bCs w:val="0"/>
                <w:color w:val="000000" w:themeColor="text1"/>
                <w:sz w:val="24"/>
                <w:szCs w:val="24"/>
                <w:lang w:val="en-US" w:eastAsia="zh-CN"/>
                <w14:textFill>
                  <w14:solidFill>
                    <w14:schemeClr w14:val="tx1"/>
                  </w14:solidFill>
                </w14:textFill>
              </w:rPr>
              <w:t>，“备份投标文件”由供应商自愿提供，招标文件 不作强制性要求；如不提供或未按要求提供的，当电子投标文件无法解密时，将导致无备份投标文件而失去投标资格。</w:t>
            </w:r>
          </w:p>
          <w:p w14:paraId="3C9A53C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2EC3A494">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0EEAB64">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EB99AB3">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18</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41431F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评标委员会的组建</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FBDE74F">
            <w:pPr>
              <w:shd w:val="clear" w:color="auto" w:fill="auto"/>
              <w:spacing w:line="360" w:lineRule="auto"/>
              <w:jc w:val="left"/>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zh-CN" w:eastAsia="zh-CN"/>
                <w14:textFill>
                  <w14:solidFill>
                    <w14:schemeClr w14:val="tx1"/>
                  </w14:solidFill>
                </w14:textFill>
              </w:rPr>
              <w:t>评标委员会由招标人依法组建；评标委员会构成：</w:t>
            </w: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lang w:val="zh-CN" w:eastAsia="zh-CN"/>
                <w14:textFill>
                  <w14:solidFill>
                    <w14:schemeClr w14:val="tx1"/>
                  </w14:solidFill>
                </w14:textFill>
              </w:rPr>
              <w:t xml:space="preserve">人，其中招标人代表 </w:t>
            </w:r>
            <w:r>
              <w:rPr>
                <w:rFonts w:hint="eastAsia" w:ascii="仿宋" w:hAnsi="仿宋" w:eastAsia="仿宋" w:cs="仿宋"/>
                <w:b w:val="0"/>
                <w:bCs w:val="0"/>
                <w:color w:val="000000" w:themeColor="text1"/>
                <w:sz w:val="24"/>
                <w:szCs w:val="24"/>
                <w:lang w:val="en-US" w:eastAsia="zh-CN"/>
                <w14:textFill>
                  <w14:solidFill>
                    <w14:schemeClr w14:val="tx1"/>
                  </w14:solidFill>
                </w14:textFill>
              </w:rPr>
              <w:t>0</w:t>
            </w:r>
            <w:r>
              <w:rPr>
                <w:rFonts w:hint="eastAsia" w:ascii="仿宋" w:hAnsi="仿宋" w:eastAsia="仿宋" w:cs="仿宋"/>
                <w:b w:val="0"/>
                <w:bCs w:val="0"/>
                <w:color w:val="000000" w:themeColor="text1"/>
                <w:sz w:val="24"/>
                <w:szCs w:val="24"/>
                <w:lang w:val="zh-CN" w:eastAsia="zh-CN"/>
                <w14:textFill>
                  <w14:solidFill>
                    <w14:schemeClr w14:val="tx1"/>
                  </w14:solidFill>
                </w14:textFill>
              </w:rPr>
              <w:t xml:space="preserve"> 人，专家 </w:t>
            </w: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lang w:val="zh-CN" w:eastAsia="zh-CN"/>
                <w14:textFill>
                  <w14:solidFill>
                    <w14:schemeClr w14:val="tx1"/>
                  </w14:solidFill>
                </w14:textFill>
              </w:rPr>
              <w:t>人</w:t>
            </w:r>
            <w:r>
              <w:rPr>
                <w:rFonts w:hint="eastAsia" w:ascii="仿宋" w:hAnsi="仿宋" w:eastAsia="仿宋" w:cs="仿宋"/>
                <w:b w:val="0"/>
                <w:bCs w:val="0"/>
                <w:color w:val="000000" w:themeColor="text1"/>
                <w:sz w:val="24"/>
                <w:szCs w:val="24"/>
                <w:lang w:val="en-US" w:eastAsia="zh-CN"/>
                <w14:textFill>
                  <w14:solidFill>
                    <w14:schemeClr w14:val="tx1"/>
                  </w14:solidFill>
                </w14:textFill>
              </w:rPr>
              <w:t>。</w:t>
            </w:r>
          </w:p>
          <w:p w14:paraId="1773B428">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zh-CN" w:eastAsia="zh-CN"/>
                <w14:textFill>
                  <w14:solidFill>
                    <w14:schemeClr w14:val="tx1"/>
                  </w14:solidFill>
                </w14:textFill>
              </w:rPr>
              <w:t>评标专家确定方式：专家评委由招标人在开标前从政采云专家库中随机抽取。</w:t>
            </w:r>
          </w:p>
        </w:tc>
      </w:tr>
      <w:tr w14:paraId="3F2D6858">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726C3EF">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19</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C1C912D">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是否授权评标委员会确定中标候选人</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8607FAB">
            <w:pPr>
              <w:shd w:val="clear" w:color="auto" w:fill="auto"/>
              <w:spacing w:line="360" w:lineRule="auto"/>
              <w:jc w:val="left"/>
              <w:rPr>
                <w:rFonts w:hint="eastAsia" w:ascii="仿宋" w:hAnsi="仿宋" w:eastAsia="仿宋" w:cs="仿宋"/>
                <w:b w:val="0"/>
                <w:bCs w:val="0"/>
                <w:color w:val="000000" w:themeColor="text1"/>
                <w:sz w:val="24"/>
                <w:szCs w:val="24"/>
                <w:lang w:val="zh-CN"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是，评标委员会推荐3名中标候选人。</w:t>
            </w:r>
            <w:r>
              <w:rPr>
                <w:rFonts w:hint="eastAsia" w:ascii="仿宋" w:hAnsi="仿宋" w:eastAsia="仿宋" w:cs="仿宋"/>
                <w:b w:val="0"/>
                <w:bCs w:val="0"/>
                <w:color w:val="000000" w:themeColor="text1"/>
                <w:sz w:val="24"/>
                <w:szCs w:val="24"/>
                <w:lang w:val="en-US" w:eastAsia="zh-CN"/>
                <w14:textFill>
                  <w14:solidFill>
                    <w14:schemeClr w14:val="tx1"/>
                  </w14:solidFill>
                </w14:textFill>
              </w:rPr>
              <w:tab/>
            </w:r>
          </w:p>
        </w:tc>
      </w:tr>
      <w:tr w14:paraId="23F11D96">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B438A1C">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20</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84AF05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样品要求</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1298D72">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本项目不需要提交样品。</w:t>
            </w:r>
          </w:p>
        </w:tc>
      </w:tr>
      <w:tr w14:paraId="192AB01C">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F14082B">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21</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60FAC3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递交投标文件时间和地点</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ECF666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投标截止时间：2025年07月31日上午10时30分（北京时间）</w:t>
            </w:r>
          </w:p>
          <w:p w14:paraId="151AC12E">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投标地点：新疆政府采购云平台（www.zcygov.cn）</w:t>
            </w:r>
          </w:p>
        </w:tc>
      </w:tr>
      <w:tr w14:paraId="04C9AB6D">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14:paraId="5F812059">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22</w:t>
            </w:r>
          </w:p>
        </w:tc>
        <w:tc>
          <w:tcPr>
            <w:tcW w:w="1535" w:type="dxa"/>
            <w:tcBorders>
              <w:top w:val="single" w:color="auto" w:sz="4" w:space="0"/>
              <w:left w:val="single" w:color="auto" w:sz="4" w:space="0"/>
              <w:right w:val="single" w:color="auto" w:sz="4" w:space="0"/>
            </w:tcBorders>
            <w:noWrap w:val="0"/>
            <w:vAlign w:val="center"/>
          </w:tcPr>
          <w:p w14:paraId="7198BB8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开标时间和地点</w:t>
            </w:r>
          </w:p>
        </w:tc>
        <w:tc>
          <w:tcPr>
            <w:tcW w:w="6591" w:type="dxa"/>
            <w:tcBorders>
              <w:top w:val="single" w:color="auto" w:sz="4" w:space="0"/>
              <w:left w:val="single" w:color="auto" w:sz="4" w:space="0"/>
              <w:right w:val="single" w:color="auto" w:sz="4" w:space="0"/>
            </w:tcBorders>
            <w:noWrap w:val="0"/>
            <w:vAlign w:val="center"/>
          </w:tcPr>
          <w:p w14:paraId="381087C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开标时间：2025年07月31</w:t>
            </w:r>
            <w:bookmarkStart w:id="102" w:name="_GoBack"/>
            <w:bookmarkEnd w:id="102"/>
            <w:r>
              <w:rPr>
                <w:rFonts w:hint="eastAsia" w:ascii="仿宋" w:hAnsi="仿宋" w:eastAsia="仿宋" w:cs="仿宋"/>
                <w:b w:val="0"/>
                <w:bCs w:val="0"/>
                <w:color w:val="auto"/>
                <w:sz w:val="24"/>
                <w:szCs w:val="24"/>
                <w:lang w:val="en-US" w:eastAsia="zh-CN"/>
              </w:rPr>
              <w:t>日上午10时30分（北京时间）</w:t>
            </w:r>
          </w:p>
          <w:p w14:paraId="437C3562">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开标地点：新疆政府采购云平台（www.zcygov.cn）         </w:t>
            </w:r>
          </w:p>
        </w:tc>
      </w:tr>
      <w:tr w14:paraId="3B5E45F4">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62E57A0A">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23</w:t>
            </w:r>
          </w:p>
        </w:tc>
        <w:tc>
          <w:tcPr>
            <w:tcW w:w="1535" w:type="dxa"/>
            <w:vMerge w:val="restart"/>
            <w:tcBorders>
              <w:top w:val="single" w:color="auto" w:sz="4" w:space="0"/>
              <w:left w:val="single" w:color="auto" w:sz="4" w:space="0"/>
              <w:right w:val="single" w:color="auto" w:sz="4" w:space="0"/>
            </w:tcBorders>
            <w:noWrap w:val="0"/>
            <w:vAlign w:val="center"/>
          </w:tcPr>
          <w:p w14:paraId="6DFDD7E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重要说明</w:t>
            </w:r>
          </w:p>
        </w:tc>
        <w:tc>
          <w:tcPr>
            <w:tcW w:w="6591" w:type="dxa"/>
            <w:tcBorders>
              <w:top w:val="single" w:color="auto" w:sz="4" w:space="0"/>
              <w:left w:val="single" w:color="auto" w:sz="4" w:space="0"/>
              <w:right w:val="single" w:color="auto" w:sz="4" w:space="0"/>
            </w:tcBorders>
            <w:noWrap w:val="0"/>
            <w:vAlign w:val="center"/>
          </w:tcPr>
          <w:p w14:paraId="1CFDC8E8">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1.本项目采用全流程不见面电子开评标，投标供应商需要使用CA加密设备，供应商可通过新疆数字证书认证中心官网（https://www.xjca.com.cn/）或下载“新疆政务通”APP自行进行申领。</w:t>
            </w:r>
          </w:p>
          <w:p w14:paraId="4DB7AC85">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2.本项目实行网上投标，采用加密电子投标文件(供应商须使用CA加密设备通过政采云电子投标客户端制作投标文件)。若供应商参与投标，自行承担投标一切费用。</w:t>
            </w:r>
          </w:p>
          <w:p w14:paraId="64646D5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ED0A159">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491A58D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5.供应商在开标时须使用制作加密电子投标文件所使用的CA锁及电脑，电脑须提前配置好浏览器（建议使用谷歌浏览器），以便开标时解锁。</w:t>
            </w:r>
          </w:p>
          <w:p w14:paraId="005B34C8">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3F6D0E34">
            <w:pPr>
              <w:pStyle w:val="7"/>
              <w:numPr>
                <w:ilvl w:val="0"/>
                <w:numId w:val="0"/>
              </w:numPr>
              <w:ind w:right="0" w:right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7.为了保证开评标顺利进行，政采云线上开标功能完全实现，供应商开标所使用的电脑设备须具有视频及语音功能。</w:t>
            </w:r>
          </w:p>
          <w:p w14:paraId="2EAB3631">
            <w:pPr>
              <w:pStyle w:val="7"/>
              <w:numPr>
                <w:ilvl w:val="0"/>
                <w:numId w:val="0"/>
              </w:numPr>
              <w:ind w:right="0" w:rightChars="0"/>
              <w:rPr>
                <w:rFonts w:hint="eastAsia"/>
                <w:sz w:val="24"/>
                <w:szCs w:val="24"/>
                <w:lang w:val="en-US" w:eastAsia="zh-CN"/>
              </w:rPr>
            </w:pPr>
            <w:r>
              <w:rPr>
                <w:rFonts w:hint="eastAsia" w:ascii="仿宋" w:hAnsi="仿宋" w:eastAsia="仿宋" w:cs="仿宋"/>
                <w:b w:val="0"/>
                <w:bCs w:val="0"/>
                <w:color w:val="auto"/>
                <w:sz w:val="24"/>
                <w:szCs w:val="24"/>
                <w:lang w:val="en-US" w:eastAsia="zh-CN"/>
              </w:rPr>
              <w:t>8.</w:t>
            </w:r>
            <w:r>
              <w:rPr>
                <w:rFonts w:hint="eastAsia" w:ascii="仿宋" w:hAnsi="仿宋" w:eastAsia="仿宋" w:cs="仿宋"/>
                <w:b w:val="0"/>
                <w:bCs w:val="0"/>
                <w:color w:val="auto"/>
                <w:sz w:val="24"/>
                <w:szCs w:val="24"/>
                <w:lang w:val="en-US" w:eastAsia="en-US"/>
              </w:rPr>
              <w:t>招标代理费</w:t>
            </w:r>
            <w:r>
              <w:rPr>
                <w:rFonts w:hint="eastAsia" w:ascii="仿宋" w:hAnsi="仿宋" w:eastAsia="仿宋" w:cs="仿宋"/>
                <w:b w:val="0"/>
                <w:bCs w:val="0"/>
                <w:color w:val="auto"/>
                <w:sz w:val="24"/>
                <w:szCs w:val="24"/>
                <w:lang w:val="en-US" w:eastAsia="zh-CN"/>
              </w:rPr>
              <w:t>20000</w:t>
            </w:r>
            <w:r>
              <w:rPr>
                <w:rFonts w:hint="eastAsia" w:ascii="仿宋" w:hAnsi="仿宋" w:eastAsia="仿宋" w:cs="仿宋"/>
                <w:b w:val="0"/>
                <w:bCs w:val="0"/>
                <w:color w:val="auto"/>
                <w:sz w:val="24"/>
                <w:szCs w:val="24"/>
                <w:lang w:val="en-US" w:eastAsia="en-US"/>
              </w:rPr>
              <w:t>元。</w:t>
            </w:r>
          </w:p>
        </w:tc>
      </w:tr>
      <w:tr w14:paraId="7EF0E57F">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6D409FE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1535" w:type="dxa"/>
            <w:vMerge w:val="continue"/>
            <w:tcBorders>
              <w:left w:val="single" w:color="auto" w:sz="4" w:space="0"/>
              <w:bottom w:val="single" w:color="auto" w:sz="4" w:space="0"/>
              <w:right w:val="single" w:color="auto" w:sz="4" w:space="0"/>
            </w:tcBorders>
            <w:noWrap w:val="0"/>
            <w:vAlign w:val="center"/>
          </w:tcPr>
          <w:p w14:paraId="126E735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44AAC29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1、电子招投标情况说明：</w:t>
            </w:r>
          </w:p>
          <w:p w14:paraId="1E9DA529">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（1）电子招投标：本项目以数据电文形式，依托“政府采购云平台（www.zcygov.cn）”进行招投标活动。</w:t>
            </w:r>
          </w:p>
          <w:p w14:paraId="2312E1D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16A0051F">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（3）招标文件的获取：使用账号登录或者短信验证码或者使用CA登录政采云平</w:t>
            </w:r>
            <w:r>
              <w:rPr>
                <w:rFonts w:hint="eastAsia" w:ascii="仿宋" w:hAnsi="仿宋" w:eastAsia="仿宋" w:cs="仿宋"/>
                <w:b w:val="0"/>
                <w:bCs w:val="0"/>
                <w:color w:val="auto"/>
                <w:sz w:val="24"/>
                <w:szCs w:val="24"/>
                <w:lang w:val="en-US" w:eastAsia="zh-CN"/>
              </w:rPr>
              <w:t>台；进入“项目采购”应用，在获取招标文件菜单中选择项目，获取招标文件 。</w:t>
            </w:r>
          </w:p>
          <w:p w14:paraId="4D6A38F4">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申请获取招标文件前须上传的资格证明文件扫描件有：</w:t>
            </w:r>
          </w:p>
          <w:p w14:paraId="6E65C23E">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（1）具备有效营业执照。</w:t>
            </w:r>
          </w:p>
          <w:p w14:paraId="7DF98980">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（2）法定代表人投标需提供法定代表人资格证明书，委托代理人投标需提供法定代表人授权委托书。</w:t>
            </w:r>
          </w:p>
          <w:p w14:paraId="46D36B6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（3）提供法人或委托代理人近6个月任意一个月有效社保证明和完税证明。</w:t>
            </w:r>
          </w:p>
          <w:p w14:paraId="57AF0BBE">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（4）参加采购活动前三年内，未被“信用中国”（www.creditchina.gov.cn）、“中国政府采购网”（www.ccgp.gov.cn）列入失信被执行人、重大税收违法案件当事人名单、政府采购严重违法失信行为记录名单。</w:t>
            </w:r>
          </w:p>
          <w:p w14:paraId="6049489B">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（5）供应商具备有效的《中华人民共和国金融许可证》或《金融机构营业许可证》。</w:t>
            </w:r>
          </w:p>
          <w:p w14:paraId="0CBB625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auto"/>
                <w:sz w:val="24"/>
                <w:szCs w:val="24"/>
                <w:lang w:val="en-US" w:eastAsia="zh-CN"/>
              </w:rPr>
              <w:t>（4）投标文件的制作：在“政采云电子交易客户端”中完</w:t>
            </w:r>
            <w:r>
              <w:rPr>
                <w:rFonts w:hint="eastAsia" w:ascii="仿宋" w:hAnsi="仿宋" w:eastAsia="仿宋" w:cs="仿宋"/>
                <w:b w:val="0"/>
                <w:bCs w:val="0"/>
                <w:color w:val="000000" w:themeColor="text1"/>
                <w:sz w:val="24"/>
                <w:szCs w:val="24"/>
                <w:lang w:val="en-US" w:eastAsia="zh-CN"/>
                <w14:textFill>
                  <w14:solidFill>
                    <w14:schemeClr w14:val="tx1"/>
                  </w14:solidFill>
                </w14:textFill>
              </w:rPr>
              <w:t>成“填写基本信息”、“导入投标文件”、“标书关联”、“标书检查”、“电子签名”、“生成电子标书”等操作。</w:t>
            </w:r>
          </w:p>
          <w:p w14:paraId="5E7C020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1428839043@qq.com，接收人：赵猛，电话：18523039307</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42859E0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530A4BB">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（7）具体操作指南：详见政采云平台“服务中心-帮助文档-项目采购-操作流程-电子招投标-政府采购项目电子交易管理操作指南-供应商”。</w:t>
            </w:r>
          </w:p>
          <w:p w14:paraId="7DB912D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（8）供应商在进行上述操作时，如遇技术问题可登录政采云（https://</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val="0"/>
                <w:bCs w:val="0"/>
                <w:color w:val="000000" w:themeColor="text1"/>
                <w:sz w:val="24"/>
                <w:szCs w:val="24"/>
                <w:lang w:val="en-US" w:eastAsia="zh-CN"/>
                <w14:textFill>
                  <w14:solidFill>
                    <w14:schemeClr w14:val="tx1"/>
                  </w14:solidFill>
                </w14:textFill>
              </w:rPr>
              <w:instrText xml:space="preserve">HYPERLINK "http://www.zcygov.cn/" \h</w:instrTex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val="0"/>
                <w:bCs w:val="0"/>
                <w:color w:val="000000" w:themeColor="text1"/>
                <w:sz w:val="24"/>
                <w:szCs w:val="24"/>
                <w:lang w:val="en-US" w:eastAsia="zh-CN"/>
                <w14:textFill>
                  <w14:solidFill>
                    <w14:schemeClr w14:val="tx1"/>
                  </w14:solidFill>
                </w14:textFill>
              </w:rPr>
              <w:t>www.zcygov.cn/</w:t>
            </w:r>
            <w:r>
              <w:rPr>
                <w:rFonts w:hint="eastAsia" w:ascii="仿宋" w:hAnsi="仿宋" w:eastAsia="仿宋" w:cs="仿宋"/>
                <w:b w:val="0"/>
                <w:bCs w:val="0"/>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val="0"/>
                <w:bCs w:val="0"/>
                <w:color w:val="000000" w:themeColor="text1"/>
                <w:sz w:val="24"/>
                <w:szCs w:val="24"/>
                <w:lang w:val="en-US" w:eastAsia="zh-CN"/>
                <w14:textFill>
                  <w14:solidFill>
                    <w14:schemeClr w14:val="tx1"/>
                  </w14:solidFill>
                </w14:textFill>
              </w:rPr>
              <w:t>），点击右侧咨询小采，获取采小蜜智能服务管家帮助，或拨打政采云服务热线 95763获取热线服务帮助。</w:t>
            </w:r>
          </w:p>
          <w:p w14:paraId="740A9E63">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温馨提醒：供应商应提前上传，以便在上传时遇到技术问题，有充足的时间请教平台的技术人员。</w:t>
            </w:r>
          </w:p>
          <w:p w14:paraId="0AEC242A">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14:paraId="595C9FCF">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676A3BC">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24</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AC353D5">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中标候选人公示媒介</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88289D1">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新疆政府采购网，公示期为一个工作日。</w:t>
            </w:r>
          </w:p>
        </w:tc>
      </w:tr>
      <w:tr w14:paraId="43778720">
        <w:tblPrEx>
          <w:tblCellMar>
            <w:top w:w="0" w:type="dxa"/>
            <w:left w:w="108" w:type="dxa"/>
            <w:bottom w:w="0" w:type="dxa"/>
            <w:right w:w="108" w:type="dxa"/>
          </w:tblCellMar>
        </w:tblPrEx>
        <w:trPr>
          <w:trHeight w:val="4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3FC5C794">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09897003">
            <w:pPr>
              <w:shd w:val="clear" w:color="auto" w:fill="auto"/>
              <w:spacing w:line="360" w:lineRule="auto"/>
              <w:jc w:val="left"/>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default" w:ascii="仿宋" w:hAnsi="仿宋" w:eastAsia="仿宋" w:cs="仿宋"/>
                <w:b w:val="0"/>
                <w:bCs w:val="0"/>
                <w:color w:val="000000" w:themeColor="text1"/>
                <w:sz w:val="24"/>
                <w:szCs w:val="24"/>
                <w:lang w:val="en-US" w:eastAsia="zh-CN"/>
                <w14:textFill>
                  <w14:solidFill>
                    <w14:schemeClr w14:val="tx1"/>
                  </w14:solidFill>
                </w14:textFill>
              </w:rPr>
              <w:t>中标人在开标完成后向公证机关交纳公证费</w:t>
            </w:r>
          </w:p>
        </w:tc>
      </w:tr>
      <w:tr w14:paraId="32FEE923">
        <w:tblPrEx>
          <w:tblCellMar>
            <w:top w:w="0" w:type="dxa"/>
            <w:left w:w="108" w:type="dxa"/>
            <w:bottom w:w="0" w:type="dxa"/>
            <w:right w:w="108" w:type="dxa"/>
          </w:tblCellMar>
        </w:tblPrEx>
        <w:trPr>
          <w:trHeight w:val="756"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10BEF43F">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160B9345">
            <w:pPr>
              <w:pStyle w:val="7"/>
              <w:numPr>
                <w:ilvl w:val="0"/>
                <w:numId w:val="0"/>
              </w:numPr>
              <w:ind w:right="0" w:rightChars="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代理服务费：按照成本支出加合理利润的原则确定，由成交供应商支付，本项目定额计取招标代理服务费20000元整</w:t>
            </w:r>
          </w:p>
        </w:tc>
      </w:tr>
      <w:tr w14:paraId="4FF4DE1A">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0FEA4D7">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20AC708C">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不管投标结果如何，投标人均应承担自己投标所需一切费用。</w:t>
            </w:r>
          </w:p>
        </w:tc>
      </w:tr>
      <w:tr w14:paraId="7F469615">
        <w:tblPrEx>
          <w:tblCellMar>
            <w:top w:w="0" w:type="dxa"/>
            <w:left w:w="108" w:type="dxa"/>
            <w:bottom w:w="0" w:type="dxa"/>
            <w:right w:w="108" w:type="dxa"/>
          </w:tblCellMar>
        </w:tblPrEx>
        <w:trPr>
          <w:trHeight w:val="804" w:hRule="atLeast"/>
          <w:jc w:val="center"/>
        </w:trPr>
        <w:tc>
          <w:tcPr>
            <w:tcW w:w="797" w:type="dxa"/>
            <w:tcBorders>
              <w:top w:val="single" w:color="auto" w:sz="4" w:space="0"/>
              <w:left w:val="single" w:color="auto" w:sz="4" w:space="0"/>
              <w:right w:val="single" w:color="auto" w:sz="4" w:space="0"/>
            </w:tcBorders>
            <w:noWrap w:val="0"/>
            <w:vAlign w:val="center"/>
          </w:tcPr>
          <w:p w14:paraId="5A3B7673">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27</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680556E">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本次招标预算价（元）：</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52A750F1">
            <w:p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1元（大写：壹元整），投标总报价超过采购预算价的按废标处理。</w:t>
            </w:r>
          </w:p>
        </w:tc>
      </w:tr>
      <w:tr w14:paraId="765002E7">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5B83C7B">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28</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869D850">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评标办法：</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15B2D87">
            <w:pPr>
              <w:shd w:val="clear" w:color="auto" w:fill="auto"/>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本项目采用综合评分法。</w:t>
            </w:r>
          </w:p>
        </w:tc>
      </w:tr>
      <w:tr w14:paraId="2AA8D90D">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14:paraId="7F7EFF75">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29</w:t>
            </w:r>
          </w:p>
        </w:tc>
        <w:tc>
          <w:tcPr>
            <w:tcW w:w="1535" w:type="dxa"/>
            <w:tcBorders>
              <w:left w:val="single" w:color="auto" w:sz="4" w:space="0"/>
              <w:bottom w:val="single" w:color="auto" w:sz="4" w:space="0"/>
              <w:right w:val="single" w:color="auto" w:sz="4" w:space="0"/>
            </w:tcBorders>
            <w:noWrap w:val="0"/>
            <w:vAlign w:val="center"/>
          </w:tcPr>
          <w:p w14:paraId="530F1FCE">
            <w:pPr>
              <w:widowControl/>
              <w:spacing w:line="440" w:lineRule="exact"/>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p w14:paraId="67CB2C46">
            <w:pPr>
              <w:shd w:val="clear" w:color="auto" w:fill="auto"/>
              <w:spacing w:line="360" w:lineRule="auto"/>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7EE03FC">
            <w:pPr>
              <w:widowControl/>
              <w:spacing w:line="440" w:lineRule="exac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中标供应商在合同签订后10个工作日内向采购人交纳不超过合同总价/%的履约保证金（本项目不做要求），如果中标供应商在建设期内没有涉及采购人的应付而未付金额或违约行为，采购人在项目验收合格后或提前终止合同后全额无息退还履约保证金。</w:t>
            </w:r>
          </w:p>
        </w:tc>
      </w:tr>
      <w:tr w14:paraId="5495A577">
        <w:tblPrEx>
          <w:tblCellMar>
            <w:top w:w="0" w:type="dxa"/>
            <w:left w:w="108" w:type="dxa"/>
            <w:bottom w:w="0" w:type="dxa"/>
            <w:right w:w="108" w:type="dxa"/>
          </w:tblCellMar>
        </w:tblPrEx>
        <w:trPr>
          <w:trHeight w:val="3354" w:hRule="atLeast"/>
          <w:jc w:val="center"/>
        </w:trPr>
        <w:tc>
          <w:tcPr>
            <w:tcW w:w="797" w:type="dxa"/>
            <w:tcBorders>
              <w:left w:val="single" w:color="auto" w:sz="4" w:space="0"/>
              <w:right w:val="single" w:color="auto" w:sz="4" w:space="0"/>
            </w:tcBorders>
            <w:noWrap w:val="0"/>
            <w:vAlign w:val="center"/>
          </w:tcPr>
          <w:p w14:paraId="50673C52">
            <w:pPr>
              <w:shd w:val="clear" w:color="auto" w:fill="auto"/>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30</w:t>
            </w:r>
          </w:p>
        </w:tc>
        <w:tc>
          <w:tcPr>
            <w:tcW w:w="1535" w:type="dxa"/>
            <w:tcBorders>
              <w:left w:val="single" w:color="auto" w:sz="4" w:space="0"/>
              <w:right w:val="single" w:color="auto" w:sz="4" w:space="0"/>
            </w:tcBorders>
            <w:noWrap w:val="0"/>
            <w:vAlign w:val="center"/>
          </w:tcPr>
          <w:p w14:paraId="5EFDA547">
            <w:pPr>
              <w:shd w:val="clear" w:color="auto" w:fill="auto"/>
              <w:spacing w:line="360" w:lineRule="auto"/>
              <w:jc w:val="left"/>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中小微企业政策文件说明</w:t>
            </w:r>
          </w:p>
        </w:tc>
        <w:tc>
          <w:tcPr>
            <w:tcW w:w="6591" w:type="dxa"/>
            <w:tcBorders>
              <w:top w:val="single" w:color="auto" w:sz="4" w:space="0"/>
              <w:left w:val="single" w:color="auto" w:sz="4" w:space="0"/>
              <w:bottom w:val="single" w:color="auto" w:sz="4" w:space="0"/>
              <w:right w:val="single" w:color="auto" w:sz="4" w:space="0"/>
            </w:tcBorders>
            <w:noWrap w:val="0"/>
            <w:vAlign w:val="top"/>
          </w:tcPr>
          <w:p w14:paraId="2DFAAC22">
            <w:pPr>
              <w:widowControl/>
              <w:shd w:val="clear" w:color="auto" w:fill="auto"/>
              <w:spacing w:line="440" w:lineRule="exac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eastAsia="zh-CN"/>
                <w14:textFill>
                  <w14:solidFill>
                    <w14:schemeClr w14:val="tx1"/>
                  </w14:solidFill>
                </w14:textFill>
              </w:rPr>
              <w:t>1）支持中小企业发展：给予小型和微型企业产品的价格 10%-20%的扣除（工程项目为 3%~5%），用扣除后的价格参与评审，本项目具体扣除比例为 10%。用扣除后的价格参与评审。残疾人福利性单位视同小型、微型企业，享受同等价格扣除，但同时属于残疾人福利性单位和小微企业的，不重复价格扣除。（2）不符合上述适用情形的投标人无需提供上述声明函件。</w:t>
            </w:r>
          </w:p>
          <w:p w14:paraId="193C27E2">
            <w:pPr>
              <w:keepNext w:val="0"/>
              <w:keepLines w:val="0"/>
              <w:widowControl/>
              <w:suppressLineNumbers w:val="0"/>
              <w:jc w:val="lef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（3）本采购项目企业划分标准所属行业为：其他未列明行业。</w:t>
            </w:r>
          </w:p>
        </w:tc>
      </w:tr>
      <w:tr w14:paraId="0BE3AB0F">
        <w:tblPrEx>
          <w:tblCellMar>
            <w:top w:w="0" w:type="dxa"/>
            <w:left w:w="108" w:type="dxa"/>
            <w:bottom w:w="0" w:type="dxa"/>
            <w:right w:w="108" w:type="dxa"/>
          </w:tblCellMar>
        </w:tblPrEx>
        <w:trPr>
          <w:trHeight w:val="84" w:hRule="atLeast"/>
          <w:jc w:val="center"/>
        </w:trPr>
        <w:tc>
          <w:tcPr>
            <w:tcW w:w="2332" w:type="dxa"/>
            <w:gridSpan w:val="2"/>
            <w:tcBorders>
              <w:top w:val="single" w:color="auto" w:sz="4" w:space="0"/>
              <w:left w:val="single" w:color="auto" w:sz="4" w:space="0"/>
              <w:bottom w:val="single" w:color="auto" w:sz="4" w:space="0"/>
              <w:right w:val="single" w:color="auto" w:sz="4" w:space="0"/>
            </w:tcBorders>
            <w:noWrap w:val="0"/>
            <w:vAlign w:val="center"/>
          </w:tcPr>
          <w:p w14:paraId="5247BD4A">
            <w:pPr>
              <w:shd w:val="clear" w:color="auto" w:fill="auto"/>
              <w:spacing w:line="360" w:lineRule="auto"/>
              <w:jc w:val="center"/>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备注</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B53ABB0">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r>
              <w:rPr>
                <w:rFonts w:hint="eastAsia" w:ascii="仿宋" w:hAnsi="仿宋" w:eastAsia="仿宋" w:cs="仿宋"/>
                <w:b w:val="0"/>
                <w:bCs w:val="0"/>
                <w:color w:val="000000" w:themeColor="text1"/>
                <w:sz w:val="24"/>
                <w:szCs w:val="24"/>
                <w14:textFill>
                  <w14:solidFill>
                    <w14:schemeClr w14:val="tx1"/>
                  </w14:solidFill>
                </w14:textFill>
              </w:rPr>
              <w:t>着重提醒各投标人注意，并认真查看招标文件中的每一个条款及要求，因误读招标文件而造成的后果，招标人概不负责。</w:t>
            </w:r>
          </w:p>
          <w:p w14:paraId="4DFB92C5">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2、投标人使用相同IP地址的，一经发现，相关部门将进一步核实，查实后按串通投标处理。</w:t>
            </w:r>
          </w:p>
          <w:p w14:paraId="6A0DD6F5">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3、</w:t>
            </w:r>
            <w:r>
              <w:rPr>
                <w:rFonts w:hint="eastAsia" w:ascii="仿宋" w:hAnsi="仿宋" w:eastAsia="仿宋" w:cs="仿宋"/>
                <w:b w:val="0"/>
                <w:bCs w:val="0"/>
                <w:color w:val="000000" w:themeColor="text1"/>
                <w:sz w:val="24"/>
                <w:szCs w:val="24"/>
                <w14:textFill>
                  <w14:solidFill>
                    <w14:schemeClr w14:val="tx1"/>
                  </w14:solidFill>
                </w14:textFill>
              </w:rPr>
              <w:t>为保证本项目质量，良好的售后服务，最低报价不作为中标的唯一依据。</w:t>
            </w:r>
          </w:p>
          <w:p w14:paraId="47E46C4F">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7D4A9EB8">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w:t>
            </w:r>
            <w:r>
              <w:rPr>
                <w:rFonts w:hint="eastAsia" w:ascii="仿宋" w:hAnsi="仿宋" w:eastAsia="仿宋" w:cs="仿宋"/>
                <w:b w:val="0"/>
                <w:bCs w:val="0"/>
                <w:color w:val="000000" w:themeColor="text1"/>
                <w:sz w:val="24"/>
                <w:szCs w:val="24"/>
                <w14:textFill>
                  <w14:solidFill>
                    <w14:schemeClr w14:val="tx1"/>
                  </w14:solidFill>
                </w14:textFill>
              </w:rPr>
              <w:t>其它：</w:t>
            </w:r>
          </w:p>
          <w:p w14:paraId="07AE3273">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（1）投标企业严格遵守国家的法律法规及招标纪律，无违法违纪及商业贿赂行为。</w:t>
            </w:r>
          </w:p>
          <w:p w14:paraId="1C558967">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（2）不管投标结果如何，供应商均应自行承担投标所需一切费用。</w:t>
            </w:r>
          </w:p>
          <w:p w14:paraId="25395C0C">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（3）供应商应以书面形式保证中标后由本公司组织实施，不得以任何理由将项目转包给其他机构。</w:t>
            </w:r>
          </w:p>
          <w:p w14:paraId="777679FE">
            <w:pPr>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4</w:t>
            </w:r>
            <w:r>
              <w:rPr>
                <w:rFonts w:hint="eastAsia" w:ascii="仿宋" w:hAnsi="仿宋" w:eastAsia="仿宋" w:cs="仿宋"/>
                <w:b w:val="0"/>
                <w:bCs w:val="0"/>
                <w:color w:val="000000" w:themeColor="text1"/>
                <w:sz w:val="24"/>
                <w:szCs w:val="24"/>
                <w:lang w:eastAsia="zh-CN"/>
                <w14:textFill>
                  <w14:solidFill>
                    <w14:schemeClr w14:val="tx1"/>
                  </w14:solidFill>
                </w14:textFill>
              </w:rPr>
              <w:t>）招标文件</w:t>
            </w:r>
            <w:r>
              <w:rPr>
                <w:rFonts w:hint="eastAsia" w:ascii="仿宋" w:hAnsi="仿宋" w:eastAsia="仿宋" w:cs="仿宋"/>
                <w:b w:val="0"/>
                <w:bCs w:val="0"/>
                <w:color w:val="000000" w:themeColor="text1"/>
                <w:sz w:val="24"/>
                <w:szCs w:val="24"/>
                <w14:textFill>
                  <w14:solidFill>
                    <w14:schemeClr w14:val="tx1"/>
                  </w14:solidFill>
                </w14:textFill>
              </w:rPr>
              <w:t>中如出现前后不一致情况，均以前附表内容为准。</w:t>
            </w:r>
          </w:p>
        </w:tc>
      </w:tr>
    </w:tbl>
    <w:p w14:paraId="6A49097E">
      <w:pPr>
        <w:pageBreakBefore/>
        <w:shd w:val="clear" w:color="auto" w:fill="auto"/>
        <w:spacing w:before="312" w:beforeLines="100" w:after="312" w:afterLines="100" w:line="440" w:lineRule="exact"/>
        <w:jc w:val="center"/>
        <w:outlineLvl w:val="1"/>
        <w:rPr>
          <w:rFonts w:hint="eastAsia" w:ascii="仿宋" w:hAnsi="仿宋" w:eastAsia="仿宋" w:cs="仿宋"/>
          <w:b/>
          <w:color w:val="000000" w:themeColor="text1"/>
          <w:sz w:val="28"/>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二、投标人须知</w:t>
      </w:r>
    </w:p>
    <w:p w14:paraId="71C46E45">
      <w:pPr>
        <w:shd w:val="clear" w:color="auto" w:fill="auto"/>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bookmarkStart w:id="0" w:name="_Toc469495724"/>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32"/>
          <w:highlight w:val="none"/>
          <w14:textFill>
            <w14:solidFill>
              <w14:schemeClr w14:val="tx1"/>
            </w14:solidFill>
          </w14:textFill>
        </w:rPr>
        <w:t>总  则</w:t>
      </w:r>
      <w:bookmarkEnd w:id="0"/>
    </w:p>
    <w:p w14:paraId="3248B4FD">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1.项目概况</w:t>
      </w:r>
    </w:p>
    <w:p w14:paraId="0BD08C9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1.1本次招标采购项目名称：见投标人须知前附表。</w:t>
      </w:r>
    </w:p>
    <w:p w14:paraId="623DC39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项目编号：见投标人须知前附表。</w:t>
      </w:r>
    </w:p>
    <w:p w14:paraId="532DEB4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招标人：见投标人须知前附表。</w:t>
      </w:r>
    </w:p>
    <w:p w14:paraId="0E3F84C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供货期：见投标人须知前附表。</w:t>
      </w:r>
    </w:p>
    <w:p w14:paraId="5FDBBEB9">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供货地点：见投标人须知前附表。</w:t>
      </w:r>
    </w:p>
    <w:p w14:paraId="70E6DAE0">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1.2招标人及联系人: 见投标人须知前附表。</w:t>
      </w:r>
    </w:p>
    <w:p w14:paraId="670655BA">
      <w:pPr>
        <w:shd w:val="clear" w:color="auto" w:fill="auto"/>
        <w:snapToGrid w:val="0"/>
        <w:spacing w:line="440" w:lineRule="exact"/>
        <w:ind w:firstLine="600" w:firstLineChars="2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代理机构及联系人: 见投标人须知前附表。</w:t>
      </w:r>
    </w:p>
    <w:p w14:paraId="376AFA05">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1.3资金来源：见投标人须知前附表。</w:t>
      </w:r>
    </w:p>
    <w:p w14:paraId="22409CA7">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1.4本项目预算：见投标人须知前附表。</w:t>
      </w:r>
    </w:p>
    <w:p w14:paraId="0DD3C57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1.5本项目控制价：见投标人须知前附表。</w:t>
      </w:r>
    </w:p>
    <w:p w14:paraId="479958BD">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2.招标范围：</w:t>
      </w:r>
    </w:p>
    <w:p w14:paraId="2B825D03">
      <w:pPr>
        <w:shd w:val="clear" w:color="auto" w:fill="auto"/>
        <w:snapToGrid w:val="0"/>
        <w:spacing w:line="440" w:lineRule="exact"/>
        <w:ind w:firstLine="48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采购内容：见投标人须知前附表。</w:t>
      </w:r>
    </w:p>
    <w:p w14:paraId="4EA0E90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 技术要求：详见</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第四章采购内容及技术要求。</w:t>
      </w:r>
    </w:p>
    <w:p w14:paraId="01549193">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14:paraId="1855544F">
      <w:pPr>
        <w:shd w:val="clear" w:color="auto" w:fill="auto"/>
        <w:snapToGrid w:val="0"/>
        <w:spacing w:line="44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w:t>
      </w:r>
      <w:r>
        <w:rPr>
          <w:rFonts w:hint="eastAsia" w:ascii="仿宋" w:hAnsi="仿宋" w:eastAsia="仿宋" w:cs="仿宋"/>
          <w:color w:val="000000" w:themeColor="text1"/>
          <w:szCs w:val="21"/>
          <w:highlight w:val="none"/>
          <w14:textFill>
            <w14:solidFill>
              <w14:schemeClr w14:val="tx1"/>
            </w14:solidFill>
          </w14:textFill>
        </w:rPr>
        <w:t>包</w:t>
      </w:r>
      <w:r>
        <w:rPr>
          <w:rFonts w:hint="eastAsia" w:ascii="仿宋" w:hAnsi="仿宋" w:eastAsia="仿宋" w:cs="仿宋"/>
          <w:color w:val="000000" w:themeColor="text1"/>
          <w:kern w:val="0"/>
          <w:szCs w:val="21"/>
          <w:highlight w:val="none"/>
          <w14:textFill>
            <w14:solidFill>
              <w14:schemeClr w14:val="tx1"/>
            </w14:solidFill>
          </w14:textFill>
        </w:rPr>
        <w:t>。</w:t>
      </w:r>
    </w:p>
    <w:p w14:paraId="49399D60">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4.招标方式：</w:t>
      </w:r>
    </w:p>
    <w:p w14:paraId="36D3912F">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4.1本项目招标方式：见投标人须知前附表。</w:t>
      </w:r>
    </w:p>
    <w:p w14:paraId="1C6F66EE">
      <w:pPr>
        <w:shd w:val="clear" w:color="auto" w:fill="auto"/>
        <w:snapToGrid w:val="0"/>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5.计价方式：</w:t>
      </w:r>
    </w:p>
    <w:p w14:paraId="7D1CA0A1">
      <w:pPr>
        <w:shd w:val="clear" w:color="auto" w:fill="auto"/>
        <w:snapToGrid w:val="0"/>
        <w:spacing w:line="440" w:lineRule="exact"/>
        <w:ind w:firstLine="480" w:firstLineChars="200"/>
        <w:rPr>
          <w:rFonts w:hint="eastAsia" w:ascii="仿宋" w:hAnsi="仿宋" w:eastAsia="仿宋" w:cs="仿宋"/>
          <w:color w:val="auto"/>
          <w:szCs w:val="21"/>
          <w:highlight w:val="red"/>
        </w:rPr>
      </w:pPr>
      <w:r>
        <w:rPr>
          <w:rFonts w:hint="eastAsia" w:ascii="仿宋" w:hAnsi="仿宋" w:eastAsia="仿宋" w:cs="仿宋"/>
          <w:color w:val="000000" w:themeColor="text1"/>
          <w:szCs w:val="21"/>
          <w:highlight w:val="none"/>
          <w14:textFill>
            <w14:solidFill>
              <w14:schemeClr w14:val="tx1"/>
            </w14:solidFill>
          </w14:textFill>
        </w:rPr>
        <w:t>5.1本次招标项目合同采用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固定总价 </w:t>
      </w:r>
      <w:r>
        <w:rPr>
          <w:rFonts w:hint="eastAsia" w:ascii="仿宋" w:hAnsi="仿宋" w:eastAsia="仿宋" w:cs="仿宋"/>
          <w:color w:val="auto"/>
          <w:szCs w:val="21"/>
          <w:highlight w:val="none"/>
          <w:u w:val="single"/>
        </w:rPr>
        <w:t>。</w:t>
      </w:r>
    </w:p>
    <w:p w14:paraId="47FA3616">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14:paraId="33519CD6">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14:paraId="247BD95E">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14:paraId="61DF439B">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7.1参与采购活动的投标人必须是满足《中华人民共和国政府采购法》规定条件的法人、其他组织或者自然人：</w:t>
      </w:r>
    </w:p>
    <w:p w14:paraId="3C43D2B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7.2由于政府采购项目的差异性，投标人在参与具体政府采购项目活动时，应仔细阅读该项目的资质要求,具体见投标人须知前附表。</w:t>
      </w:r>
    </w:p>
    <w:p w14:paraId="0D16258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63D44C8A">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14:paraId="0353E892">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8. 投标费用</w:t>
      </w:r>
    </w:p>
    <w:p w14:paraId="1F8EB22C">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8.1投标人准备和参加投标活动发生的费用自理。</w:t>
      </w:r>
    </w:p>
    <w:p w14:paraId="0027F2E3">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9.</w:t>
      </w:r>
      <w:bookmarkStart w:id="1" w:name="_Toc247513962"/>
      <w:bookmarkStart w:id="2" w:name="_Toc144974507"/>
      <w:bookmarkStart w:id="3" w:name="_Toc152042315"/>
      <w:bookmarkStart w:id="4" w:name="_Toc247592876"/>
      <w:bookmarkStart w:id="5" w:name="_Toc152045539"/>
      <w:bookmarkStart w:id="6" w:name="_Toc247527563"/>
      <w:bookmarkStart w:id="7" w:name="_Toc296602429"/>
      <w:r>
        <w:rPr>
          <w:rFonts w:hint="eastAsia" w:ascii="仿宋" w:hAnsi="仿宋" w:eastAsia="仿宋" w:cs="仿宋"/>
          <w:b/>
          <w:color w:val="000000" w:themeColor="text1"/>
          <w:szCs w:val="21"/>
          <w:highlight w:val="none"/>
          <w14:textFill>
            <w14:solidFill>
              <w14:schemeClr w14:val="tx1"/>
            </w14:solidFill>
          </w14:textFill>
        </w:rPr>
        <w:t xml:space="preserve"> 踏勘现场</w:t>
      </w:r>
      <w:bookmarkEnd w:id="1"/>
      <w:bookmarkEnd w:id="2"/>
      <w:bookmarkEnd w:id="3"/>
      <w:bookmarkEnd w:id="4"/>
      <w:bookmarkEnd w:id="5"/>
      <w:bookmarkEnd w:id="6"/>
      <w:bookmarkEnd w:id="7"/>
    </w:p>
    <w:p w14:paraId="30482AD5">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投标人须知前附表规定组织踏勘现场的，招标人按投标人须知前附表规定的时间、地点组织投标人踏勘项目现场。</w:t>
      </w:r>
      <w:r>
        <w:rPr>
          <w:rFonts w:hint="eastAsia" w:ascii="仿宋" w:hAnsi="仿宋" w:eastAsia="仿宋" w:cs="仿宋"/>
          <w:color w:val="000000" w:themeColor="text1"/>
          <w:szCs w:val="21"/>
          <w:highlight w:val="none"/>
          <w:lang w:eastAsia="zh-CN"/>
          <w14:textFill>
            <w14:solidFill>
              <w14:schemeClr w14:val="tx1"/>
            </w14:solidFill>
          </w14:textFill>
        </w:rPr>
        <w:t>如需踏勘现场，</w:t>
      </w:r>
      <w:r>
        <w:rPr>
          <w:rFonts w:hint="eastAsia" w:ascii="仿宋" w:hAnsi="仿宋" w:eastAsia="仿宋" w:cs="仿宋"/>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highlight w:val="none"/>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highlight w:val="none"/>
          <w14:textFill>
            <w14:solidFill>
              <w14:schemeClr w14:val="tx1"/>
            </w14:solidFill>
          </w14:textFill>
        </w:rPr>
        <w:t xml:space="preserve"> </w:t>
      </w:r>
    </w:p>
    <w:p w14:paraId="3840BF6E">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投标人踏勘现场发生的费用自理。</w:t>
      </w:r>
    </w:p>
    <w:p w14:paraId="5AB582F1">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除招标人的原因外，投标人自行负责在踏勘现场中所发生的人员伤亡和财产损失。</w:t>
      </w:r>
    </w:p>
    <w:p w14:paraId="28B26BFC">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8" w:name="_Toc144974508"/>
      <w:bookmarkStart w:id="9" w:name="_Toc296602430"/>
      <w:bookmarkStart w:id="10" w:name="_Toc152042316"/>
      <w:bookmarkStart w:id="11" w:name="_Toc247527564"/>
      <w:bookmarkStart w:id="12" w:name="_Toc247513963"/>
      <w:bookmarkStart w:id="13" w:name="_Toc152045540"/>
      <w:bookmarkStart w:id="14" w:name="_Toc247592877"/>
    </w:p>
    <w:p w14:paraId="562242F0">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10. 投标预备会</w:t>
      </w:r>
      <w:bookmarkEnd w:id="8"/>
      <w:bookmarkEnd w:id="9"/>
      <w:bookmarkEnd w:id="10"/>
      <w:bookmarkEnd w:id="11"/>
      <w:bookmarkEnd w:id="12"/>
      <w:bookmarkEnd w:id="13"/>
      <w:bookmarkEnd w:id="14"/>
    </w:p>
    <w:p w14:paraId="103F8AC8">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10.1投标人须知前附表规定召开投标预备会的，招标人按投标人须知前附表规定的时间和地点召开投标预备会，澄清投标人提出的问题。</w:t>
      </w:r>
    </w:p>
    <w:p w14:paraId="26E5A6EC">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10.2投标人应在投标人须知前附表规定的时间前，将提出的问题送达招标人，以便招标人澄清。</w:t>
      </w:r>
    </w:p>
    <w:p w14:paraId="64A36F50">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10.3招标人在投标人须知前附表规定的时间，将对投标人所提的问题进行澄清。该澄清内容为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w:t>
      </w:r>
    </w:p>
    <w:p w14:paraId="1A571225">
      <w:pPr>
        <w:shd w:val="clear" w:color="auto" w:fill="auto"/>
        <w:spacing w:line="440" w:lineRule="exact"/>
        <w:ind w:firstLine="480"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11. 联合投标</w:t>
      </w:r>
      <w:r>
        <w:rPr>
          <w:rFonts w:hint="eastAsia" w:ascii="仿宋" w:hAnsi="仿宋" w:eastAsia="仿宋" w:cs="仿宋"/>
          <w:b/>
          <w:color w:val="auto"/>
          <w:szCs w:val="21"/>
          <w:highlight w:val="none"/>
          <w:lang w:eastAsia="zh-CN"/>
        </w:rPr>
        <w:t>（本项目不接受联合体投标）</w:t>
      </w:r>
    </w:p>
    <w:p w14:paraId="1A56767D">
      <w:pPr>
        <w:shd w:val="clear" w:color="auto" w:fill="auto"/>
        <w:spacing w:line="44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47E0B72">
      <w:pPr>
        <w:shd w:val="clear" w:color="auto" w:fill="auto"/>
        <w:spacing w:line="400" w:lineRule="exact"/>
        <w:ind w:firstLine="468" w:firstLineChars="19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736EB7B7">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联合体应当确定其中一个单位为投标的全权代表，负责参加投标的一切事务，并承担投标及履约中应承担的全部责任与义务。</w:t>
      </w:r>
    </w:p>
    <w:p w14:paraId="2626AC7C">
      <w:pPr>
        <w:pStyle w:val="8"/>
        <w:shd w:val="clear" w:color="auto" w:fill="auto"/>
        <w:spacing w:after="0" w:line="400" w:lineRule="exact"/>
        <w:ind w:left="0" w:leftChars="0" w:firstLine="484" w:firstLineChars="20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11.4 联合体各方应当共同与招标人签订采购合同，就采购合同约定的事项对招标人承担连带责任。</w:t>
      </w:r>
    </w:p>
    <w:p w14:paraId="71BD766C">
      <w:pPr>
        <w:shd w:val="clear" w:color="auto" w:fill="auto"/>
        <w:spacing w:line="440" w:lineRule="exact"/>
        <w:ind w:firstLine="470" w:firstLineChars="196"/>
        <w:jc w:val="left"/>
        <w:rPr>
          <w:rFonts w:hint="eastAsia" w:ascii="仿宋" w:hAnsi="仿宋" w:eastAsia="仿宋" w:cs="仿宋"/>
          <w:b w:val="0"/>
          <w:color w:val="auto"/>
          <w:spacing w:val="0"/>
          <w:w w:val="100"/>
          <w:kern w:val="2"/>
          <w:position w:val="0"/>
          <w:sz w:val="24"/>
          <w:szCs w:val="24"/>
          <w:shd w:val="clear" w:color="auto" w:fill="auto"/>
          <w:lang w:val="en-US" w:eastAsia="en-US" w:bidi="ar-SA"/>
        </w:rPr>
      </w:pPr>
      <w:r>
        <w:rPr>
          <w:rFonts w:hint="eastAsia" w:ascii="仿宋" w:hAnsi="仿宋" w:eastAsia="仿宋" w:cs="仿宋"/>
          <w:b/>
          <w:color w:val="auto"/>
          <w:szCs w:val="21"/>
          <w:highlight w:val="none"/>
        </w:rPr>
        <w:t>12.招标代理费</w:t>
      </w:r>
    </w:p>
    <w:p w14:paraId="7817E031">
      <w:pPr>
        <w:pStyle w:val="7"/>
        <w:numPr>
          <w:ilvl w:val="0"/>
          <w:numId w:val="0"/>
        </w:numPr>
        <w:shd w:val="clear" w:color="auto" w:fill="auto"/>
        <w:ind w:leftChars="0" w:right="0" w:rightChars="0" w:firstLine="720" w:firstLineChars="300"/>
        <w:rPr>
          <w:rFonts w:hint="eastAsia" w:ascii="仿宋" w:hAnsi="仿宋" w:eastAsia="仿宋" w:cs="仿宋"/>
          <w:b w:val="0"/>
          <w:color w:val="auto"/>
          <w:spacing w:val="0"/>
          <w:w w:val="100"/>
          <w:kern w:val="2"/>
          <w:position w:val="0"/>
          <w:sz w:val="24"/>
          <w:szCs w:val="24"/>
          <w:shd w:val="clear" w:color="auto" w:fill="auto"/>
          <w:lang w:val="en-US" w:eastAsia="en-US" w:bidi="ar-SA"/>
        </w:rPr>
      </w:pPr>
      <w:r>
        <w:rPr>
          <w:rFonts w:hint="eastAsia" w:ascii="仿宋" w:hAnsi="仿宋" w:eastAsia="仿宋" w:cs="仿宋"/>
          <w:b w:val="0"/>
          <w:color w:val="auto"/>
          <w:spacing w:val="0"/>
          <w:w w:val="100"/>
          <w:kern w:val="2"/>
          <w:position w:val="0"/>
          <w:sz w:val="24"/>
          <w:szCs w:val="24"/>
          <w:shd w:val="clear" w:color="auto" w:fill="auto"/>
          <w:lang w:val="en-US" w:eastAsia="en-US" w:bidi="ar-SA"/>
        </w:rPr>
        <w:t>12.1招标代理费</w:t>
      </w:r>
      <w:r>
        <w:rPr>
          <w:rFonts w:hint="eastAsia" w:ascii="仿宋" w:hAnsi="仿宋" w:eastAsia="仿宋" w:cs="仿宋"/>
          <w:b w:val="0"/>
          <w:color w:val="auto"/>
          <w:spacing w:val="0"/>
          <w:w w:val="100"/>
          <w:kern w:val="2"/>
          <w:position w:val="0"/>
          <w:sz w:val="24"/>
          <w:szCs w:val="24"/>
          <w:shd w:val="clear" w:color="auto" w:fill="auto"/>
          <w:lang w:val="en-US" w:eastAsia="zh-CN" w:bidi="ar-SA"/>
        </w:rPr>
        <w:t>为20000</w:t>
      </w:r>
      <w:r>
        <w:rPr>
          <w:rFonts w:hint="eastAsia" w:ascii="仿宋" w:hAnsi="仿宋" w:eastAsia="仿宋" w:cs="仿宋"/>
          <w:b w:val="0"/>
          <w:color w:val="auto"/>
          <w:spacing w:val="0"/>
          <w:w w:val="100"/>
          <w:kern w:val="2"/>
          <w:position w:val="0"/>
          <w:sz w:val="24"/>
          <w:szCs w:val="24"/>
          <w:shd w:val="clear" w:color="auto" w:fill="auto"/>
          <w:lang w:val="en-US" w:eastAsia="en-US" w:bidi="ar-SA"/>
        </w:rPr>
        <w:t>元</w:t>
      </w:r>
      <w:r>
        <w:rPr>
          <w:rFonts w:hint="eastAsia" w:ascii="仿宋" w:hAnsi="仿宋" w:eastAsia="仿宋" w:cs="仿宋"/>
          <w:b w:val="0"/>
          <w:color w:val="auto"/>
          <w:spacing w:val="0"/>
          <w:w w:val="100"/>
          <w:kern w:val="2"/>
          <w:position w:val="0"/>
          <w:sz w:val="24"/>
          <w:szCs w:val="24"/>
          <w:shd w:val="clear" w:color="auto" w:fill="auto"/>
          <w:lang w:val="en-US" w:eastAsia="zh-CN" w:bidi="ar-SA"/>
        </w:rPr>
        <w:t>，由中标单位支付</w:t>
      </w:r>
      <w:r>
        <w:rPr>
          <w:rFonts w:hint="eastAsia" w:ascii="仿宋" w:hAnsi="仿宋" w:eastAsia="仿宋" w:cs="仿宋"/>
          <w:b w:val="0"/>
          <w:color w:val="auto"/>
          <w:spacing w:val="0"/>
          <w:w w:val="100"/>
          <w:kern w:val="2"/>
          <w:position w:val="0"/>
          <w:sz w:val="24"/>
          <w:szCs w:val="24"/>
          <w:shd w:val="clear" w:color="auto" w:fill="auto"/>
          <w:lang w:val="en-US" w:eastAsia="en-US" w:bidi="ar-SA"/>
        </w:rPr>
        <w:t>。</w:t>
      </w:r>
    </w:p>
    <w:p w14:paraId="5CE17A18">
      <w:pPr>
        <w:pStyle w:val="7"/>
        <w:numPr>
          <w:ilvl w:val="0"/>
          <w:numId w:val="0"/>
        </w:numPr>
        <w:shd w:val="clear" w:color="auto" w:fill="auto"/>
        <w:ind w:right="0" w:rightChars="0" w:firstLine="480" w:firstLineChars="200"/>
        <w:rPr>
          <w:rFonts w:hint="eastAsia" w:ascii="仿宋" w:hAnsi="仿宋" w:eastAsia="仿宋" w:cs="仿宋"/>
          <w:b/>
          <w:color w:val="auto"/>
          <w:spacing w:val="0"/>
          <w:w w:val="100"/>
          <w:position w:val="0"/>
          <w:sz w:val="24"/>
          <w:szCs w:val="21"/>
          <w:highlight w:val="none"/>
          <w:shd w:val="clear" w:color="auto" w:fill="auto"/>
          <w:lang w:val="en-US" w:eastAsia="en-US" w:bidi="en-US"/>
        </w:rPr>
      </w:pPr>
      <w:r>
        <w:rPr>
          <w:rFonts w:hint="eastAsia" w:ascii="仿宋" w:hAnsi="仿宋" w:eastAsia="仿宋" w:cs="仿宋"/>
          <w:b/>
          <w:color w:val="auto"/>
          <w:spacing w:val="0"/>
          <w:w w:val="100"/>
          <w:position w:val="0"/>
          <w:sz w:val="24"/>
          <w:szCs w:val="21"/>
          <w:highlight w:val="none"/>
          <w:shd w:val="clear" w:color="auto" w:fill="auto"/>
          <w:lang w:val="en-US" w:eastAsia="en-US" w:bidi="en-US"/>
        </w:rPr>
        <w:t>13.投标人应注意的事项</w:t>
      </w:r>
    </w:p>
    <w:p w14:paraId="0F1AD7DB">
      <w:pPr>
        <w:pStyle w:val="7"/>
        <w:numPr>
          <w:ilvl w:val="0"/>
          <w:numId w:val="0"/>
        </w:numPr>
        <w:shd w:val="clear" w:color="auto" w:fill="auto"/>
        <w:ind w:right="0" w:rightChars="0"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 w:val="0"/>
          <w:color w:val="auto"/>
          <w:spacing w:val="0"/>
          <w:w w:val="100"/>
          <w:kern w:val="2"/>
          <w:position w:val="0"/>
          <w:sz w:val="24"/>
          <w:szCs w:val="24"/>
          <w:shd w:val="clear" w:color="auto" w:fill="auto"/>
          <w:lang w:val="en-US" w:eastAsia="en-US" w:bidi="ar-SA"/>
        </w:rPr>
        <w:t>13.1投标</w:t>
      </w:r>
      <w:r>
        <w:rPr>
          <w:rFonts w:hint="eastAsia" w:ascii="仿宋" w:hAnsi="仿宋" w:eastAsia="仿宋" w:cs="仿宋"/>
          <w:color w:val="000000" w:themeColor="text1"/>
          <w:szCs w:val="21"/>
          <w:highlight w:val="none"/>
          <w14:textFill>
            <w14:solidFill>
              <w14:schemeClr w14:val="tx1"/>
            </w14:solidFill>
          </w14:textFill>
        </w:rPr>
        <w:t>人一旦按规定缴纳了投标保证金并参加投标，即被认为接受了本</w:t>
      </w:r>
      <w:r>
        <w:rPr>
          <w:rFonts w:hint="eastAsia" w:ascii="仿宋" w:hAnsi="仿宋" w:eastAsia="仿宋" w:cs="仿宋"/>
          <w:color w:val="000000" w:themeColor="text1"/>
          <w:szCs w:val="21"/>
          <w:highlight w:val="none"/>
          <w:lang w:eastAsia="zh-CN"/>
          <w14:textFill>
            <w14:solidFill>
              <w14:schemeClr w14:val="tx1"/>
            </w14:solidFill>
          </w14:textFill>
        </w:rPr>
        <w:t>采购</w:t>
      </w:r>
      <w:r>
        <w:rPr>
          <w:rFonts w:hint="eastAsia" w:ascii="仿宋" w:hAnsi="仿宋" w:eastAsia="仿宋" w:cs="仿宋"/>
          <w:color w:val="000000" w:themeColor="text1"/>
          <w:szCs w:val="21"/>
          <w:highlight w:val="none"/>
          <w14:textFill>
            <w14:solidFill>
              <w14:schemeClr w14:val="tx1"/>
            </w14:solidFill>
          </w14:textFill>
        </w:rPr>
        <w:t>文件中的所有条件和规定。投标人必须严格按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的要求编制投标文件，投标文件宜编制页码和目录，以便评委审核。否则，由此产生的一切后果由投标人承担。</w:t>
      </w:r>
    </w:p>
    <w:p w14:paraId="5C01530C">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 xml:space="preserve"> 投标人对采购内容中规定的技术参数、规格等要求必须完全响应或优于</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中的要求。</w:t>
      </w:r>
    </w:p>
    <w:p w14:paraId="4BC292B2">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所有投标人的投标保证金都应在</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规定的投标保证金缴纳截止日期前缴纳。</w:t>
      </w:r>
    </w:p>
    <w:p w14:paraId="63FD6352">
      <w:pPr>
        <w:shd w:val="clear" w:color="auto" w:fill="auto"/>
        <w:spacing w:line="440" w:lineRule="exact"/>
        <w:ind w:firstLine="470" w:firstLineChars="196"/>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仿宋" w:hAnsi="仿宋" w:eastAsia="仿宋" w:cs="仿宋"/>
          <w:color w:val="000000" w:themeColor="text1"/>
          <w:szCs w:val="21"/>
          <w:highlight w:val="none"/>
          <w14:textFill>
            <w14:solidFill>
              <w14:schemeClr w14:val="tx1"/>
            </w14:solidFill>
          </w14:textFill>
        </w:rPr>
        <w:t>为采购项目提供整体设计、规范编制或者项目管理、监理、检测等服务的供应商，不得再参加该采购项目的其他采购活动。</w:t>
      </w:r>
    </w:p>
    <w:p w14:paraId="1DCF548E">
      <w:pPr>
        <w:shd w:val="clear" w:color="auto" w:fill="auto"/>
        <w:snapToGrid w:val="0"/>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5</w:t>
      </w:r>
      <w:r>
        <w:rPr>
          <w:rFonts w:hint="eastAsia" w:ascii="仿宋" w:hAnsi="仿宋" w:eastAsia="仿宋" w:cs="仿宋"/>
          <w:bCs/>
          <w:color w:val="000000" w:themeColor="text1"/>
          <w:szCs w:val="21"/>
          <w:highlight w:val="none"/>
          <w14:textFill>
            <w14:solidFill>
              <w14:schemeClr w14:val="tx1"/>
            </w14:solidFill>
          </w14:textFill>
        </w:rPr>
        <w:t>本项目只接受</w:t>
      </w:r>
      <w:r>
        <w:rPr>
          <w:rFonts w:hint="eastAsia" w:ascii="仿宋" w:hAnsi="仿宋" w:eastAsia="仿宋" w:cs="仿宋"/>
          <w:color w:val="000000" w:themeColor="text1"/>
          <w:szCs w:val="21"/>
          <w:highlight w:val="none"/>
          <w14:textFill>
            <w14:solidFill>
              <w14:schemeClr w14:val="tx1"/>
            </w14:solidFill>
          </w14:textFill>
        </w:rPr>
        <w:t>成为新疆维吾尔自治区政府采购网正式注册入库并完成CA数字证书申领供应商</w:t>
      </w:r>
      <w:r>
        <w:rPr>
          <w:rFonts w:hint="eastAsia" w:ascii="仿宋" w:hAnsi="仿宋" w:eastAsia="仿宋" w:cs="仿宋"/>
          <w:color w:val="000000" w:themeColor="text1"/>
          <w:szCs w:val="21"/>
          <w:highlight w:val="none"/>
          <w:lang w:eastAsia="zh-CN"/>
          <w14:textFill>
            <w14:solidFill>
              <w14:schemeClr w14:val="tx1"/>
            </w14:solidFill>
          </w14:textFill>
        </w:rPr>
        <w:t>参与投标</w:t>
      </w:r>
      <w:r>
        <w:rPr>
          <w:rFonts w:hint="eastAsia" w:ascii="仿宋" w:hAnsi="仿宋" w:eastAsia="仿宋" w:cs="仿宋"/>
          <w:color w:val="000000" w:themeColor="text1"/>
          <w:szCs w:val="21"/>
          <w:highlight w:val="none"/>
          <w14:textFill>
            <w14:solidFill>
              <w14:schemeClr w14:val="tx1"/>
            </w14:solidFill>
          </w14:textFill>
        </w:rPr>
        <w:t>。因未注册入库、未办理CA数字证书等原因造成无法投标或投标失败等后果由供应商自行承担。</w:t>
      </w:r>
    </w:p>
    <w:p w14:paraId="21D1824B">
      <w:pPr>
        <w:shd w:val="clear" w:color="auto" w:fill="auto"/>
        <w:wordWrap w:val="0"/>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13.</w:t>
      </w:r>
      <w:r>
        <w:rPr>
          <w:rFonts w:hint="eastAsia" w:ascii="仿宋" w:hAnsi="仿宋" w:eastAsia="仿宋" w:cs="仿宋"/>
          <w:bCs/>
          <w:color w:val="000000" w:themeColor="text1"/>
          <w:szCs w:val="21"/>
          <w:highlight w:val="none"/>
          <w:lang w:val="en-US" w:eastAsia="zh-CN"/>
          <w14:textFill>
            <w14:solidFill>
              <w14:schemeClr w14:val="tx1"/>
            </w14:solidFill>
          </w14:textFill>
        </w:rPr>
        <w:t>6</w:t>
      </w:r>
      <w:r>
        <w:rPr>
          <w:rFonts w:hint="eastAsia" w:ascii="仿宋" w:hAnsi="仿宋" w:eastAsia="仿宋" w:cs="仿宋"/>
          <w:bCs/>
          <w:color w:val="000000" w:themeColor="text1"/>
          <w:szCs w:val="21"/>
          <w:highlight w:val="none"/>
          <w14:textFill>
            <w14:solidFill>
              <w14:schemeClr w14:val="tx1"/>
            </w14:solidFill>
          </w14:textFill>
        </w:rPr>
        <w:t xml:space="preserve">  投标人被视为充分熟悉本招标项目所在地与履行合同有关的各种情况，包括但不限于：</w:t>
      </w:r>
    </w:p>
    <w:p w14:paraId="6BCED7C9">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（1）国家对本次投标货物和服务的生产、安装调试、验收、维修等有关法律、法规及行业管理标准；</w:t>
      </w:r>
    </w:p>
    <w:p w14:paraId="5CDE0EE1">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w:t>
      </w:r>
      <w:r>
        <w:rPr>
          <w:rFonts w:hint="eastAsia" w:ascii="仿宋" w:hAnsi="仿宋" w:eastAsia="仿宋" w:cs="仿宋"/>
          <w:bCs/>
          <w:color w:val="000000" w:themeColor="text1"/>
          <w:szCs w:val="21"/>
          <w:highlight w:val="none"/>
          <w:lang w:eastAsia="zh-CN"/>
          <w14:textFill>
            <w14:solidFill>
              <w14:schemeClr w14:val="tx1"/>
            </w14:solidFill>
          </w14:textFill>
        </w:rPr>
        <w:t>本地区</w:t>
      </w:r>
      <w:r>
        <w:rPr>
          <w:rFonts w:hint="eastAsia" w:ascii="仿宋" w:hAnsi="仿宋" w:eastAsia="仿宋" w:cs="仿宋"/>
          <w:bCs/>
          <w:color w:val="000000" w:themeColor="text1"/>
          <w:szCs w:val="21"/>
          <w:highlight w:val="none"/>
          <w14:textFill>
            <w14:solidFill>
              <w14:schemeClr w14:val="tx1"/>
            </w14:solidFill>
          </w14:textFill>
        </w:rPr>
        <w:t>有关管理部门的相关规定；</w:t>
      </w:r>
    </w:p>
    <w:p w14:paraId="00AF2866">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（3）招标人的相关场地情况、基础建设、电力供应情况及相关设计标准。</w:t>
      </w:r>
    </w:p>
    <w:p w14:paraId="01438200">
      <w:pPr>
        <w:shd w:val="clear" w:color="auto" w:fill="auto"/>
        <w:spacing w:line="400" w:lineRule="exact"/>
        <w:ind w:firstLine="360" w:firstLineChars="15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本</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不再对上述情况进行描述。</w:t>
      </w:r>
    </w:p>
    <w:p w14:paraId="0C169BB8">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lang w:eastAsia="zh-CN"/>
          <w14:textFill>
            <w14:solidFill>
              <w14:schemeClr w14:val="tx1"/>
            </w14:solidFill>
          </w14:textFill>
        </w:rPr>
      </w:pPr>
      <w:bookmarkStart w:id="15" w:name="_Toc469495725"/>
      <w:r>
        <w:rPr>
          <w:rFonts w:hint="eastAsia" w:ascii="仿宋" w:hAnsi="仿宋" w:eastAsia="仿宋" w:cs="仿宋"/>
          <w:b/>
          <w:color w:val="000000" w:themeColor="text1"/>
          <w:sz w:val="28"/>
          <w:szCs w:val="28"/>
          <w:highlight w:val="none"/>
          <w14:textFill>
            <w14:solidFill>
              <w14:schemeClr w14:val="tx1"/>
            </w14:solidFill>
          </w14:textFill>
        </w:rPr>
        <w:t>（二）</w:t>
      </w:r>
      <w:bookmarkEnd w:id="15"/>
      <w:r>
        <w:rPr>
          <w:rFonts w:hint="eastAsia" w:ascii="仿宋" w:hAnsi="仿宋" w:eastAsia="仿宋" w:cs="仿宋"/>
          <w:b/>
          <w:color w:val="000000" w:themeColor="text1"/>
          <w:sz w:val="28"/>
          <w:szCs w:val="28"/>
          <w:highlight w:val="none"/>
          <w:lang w:eastAsia="zh-CN"/>
          <w14:textFill>
            <w14:solidFill>
              <w14:schemeClr w14:val="tx1"/>
            </w14:solidFill>
          </w14:textFill>
        </w:rPr>
        <w:t>招标文件</w:t>
      </w:r>
    </w:p>
    <w:p w14:paraId="12C9E0E8">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15.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的编制依据</w:t>
      </w:r>
    </w:p>
    <w:p w14:paraId="47272E8D">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highlight w:val="none"/>
          <w14:textFill>
            <w14:solidFill>
              <w14:schemeClr w14:val="tx1"/>
            </w14:solidFill>
          </w14:textFill>
        </w:rPr>
        <w:t>等相关法律法规和规章及部、省、市级规范性文件的规定，编制本</w:t>
      </w:r>
      <w:r>
        <w:rPr>
          <w:rFonts w:hint="eastAsia" w:ascii="仿宋" w:hAnsi="仿宋" w:eastAsia="仿宋" w:cs="仿宋"/>
          <w:color w:val="000000" w:themeColor="text1"/>
          <w:spacing w:val="-2"/>
          <w:szCs w:val="21"/>
          <w:highlight w:val="none"/>
          <w:lang w:eastAsia="zh-CN"/>
          <w14:textFill>
            <w14:solidFill>
              <w14:schemeClr w14:val="tx1"/>
            </w14:solidFill>
          </w14:textFill>
        </w:rPr>
        <w:t>采购文件</w:t>
      </w:r>
      <w:r>
        <w:rPr>
          <w:rFonts w:hint="eastAsia" w:ascii="仿宋" w:hAnsi="仿宋" w:eastAsia="仿宋" w:cs="仿宋"/>
          <w:color w:val="000000" w:themeColor="text1"/>
          <w:spacing w:val="-2"/>
          <w:szCs w:val="21"/>
          <w:highlight w:val="none"/>
          <w14:textFill>
            <w14:solidFill>
              <w14:schemeClr w14:val="tx1"/>
            </w14:solidFill>
          </w14:textFill>
        </w:rPr>
        <w:t>。</w:t>
      </w:r>
    </w:p>
    <w:p w14:paraId="26EA0589">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16.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的组成</w:t>
      </w:r>
    </w:p>
    <w:p w14:paraId="426AC34F">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16.1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包括内容：</w:t>
      </w:r>
    </w:p>
    <w:p w14:paraId="079B4BF6">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第一</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招</w:t>
      </w:r>
      <w:r>
        <w:rPr>
          <w:rFonts w:hint="eastAsia" w:ascii="仿宋" w:hAnsi="仿宋" w:eastAsia="仿宋" w:cs="仿宋"/>
          <w:color w:val="000000" w:themeColor="text1"/>
          <w:szCs w:val="21"/>
          <w:highlight w:val="none"/>
          <w14:textFill>
            <w14:solidFill>
              <w14:schemeClr w14:val="tx1"/>
            </w14:solidFill>
          </w14:textFill>
        </w:rPr>
        <w:t>标公告</w:t>
      </w:r>
    </w:p>
    <w:p w14:paraId="257861EB">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w:t>
      </w:r>
      <w:r>
        <w:rPr>
          <w:rFonts w:hint="eastAsia" w:ascii="仿宋" w:hAnsi="仿宋" w:eastAsia="仿宋" w:cs="仿宋"/>
          <w:color w:val="000000" w:themeColor="text1"/>
          <w:szCs w:val="21"/>
          <w:highlight w:val="none"/>
          <w:lang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须知</w:t>
      </w:r>
    </w:p>
    <w:p w14:paraId="404860AB">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第三</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评标办法</w:t>
      </w:r>
    </w:p>
    <w:p w14:paraId="6B5AD471">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第四</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采购内容及技术要求</w:t>
      </w:r>
    </w:p>
    <w:p w14:paraId="74622D7A">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第五</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合同条款及格式</w:t>
      </w:r>
    </w:p>
    <w:p w14:paraId="73F9B5D8">
      <w:pPr>
        <w:shd w:val="clear" w:color="auto" w:fill="auto"/>
        <w:spacing w:line="440" w:lineRule="exact"/>
        <w:ind w:firstLine="1680" w:firstLineChars="7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第六</w:t>
      </w:r>
      <w:r>
        <w:rPr>
          <w:rFonts w:hint="eastAsia" w:ascii="仿宋" w:hAnsi="仿宋" w:eastAsia="仿宋" w:cs="仿宋"/>
          <w:color w:val="000000" w:themeColor="text1"/>
          <w:szCs w:val="21"/>
          <w:highlight w:val="none"/>
          <w:lang w:val="en-US" w:eastAsia="zh-CN"/>
          <w14:textFill>
            <w14:solidFill>
              <w14:schemeClr w14:val="tx1"/>
            </w14:solidFill>
          </w14:textFill>
        </w:rPr>
        <w:t>部分</w:t>
      </w:r>
      <w:r>
        <w:rPr>
          <w:rFonts w:hint="eastAsia" w:ascii="仿宋" w:hAnsi="仿宋" w:eastAsia="仿宋" w:cs="仿宋"/>
          <w:color w:val="000000" w:themeColor="text1"/>
          <w:szCs w:val="21"/>
          <w:highlight w:val="none"/>
          <w14:textFill>
            <w14:solidFill>
              <w14:schemeClr w14:val="tx1"/>
            </w14:solidFill>
          </w14:textFill>
        </w:rPr>
        <w:t xml:space="preserve">  投标文件格式文本</w:t>
      </w:r>
    </w:p>
    <w:p w14:paraId="68EE31C0">
      <w:pPr>
        <w:shd w:val="clear" w:color="auto" w:fill="auto"/>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16.2 除16.1内容外，招标答疑亦为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的组成部分，对招标人和投标人起约束作用。</w:t>
      </w:r>
    </w:p>
    <w:p w14:paraId="70CD434E">
      <w:pPr>
        <w:pStyle w:val="9"/>
        <w:shd w:val="clear" w:color="auto" w:fill="auto"/>
        <w:wordWrap w:val="0"/>
        <w:spacing w:line="400" w:lineRule="exact"/>
        <w:rPr>
          <w:rFonts w:hint="eastAsia" w:ascii="仿宋" w:hAnsi="仿宋" w:eastAsia="仿宋" w:cs="仿宋"/>
          <w:color w:val="000000" w:themeColor="text1"/>
          <w:szCs w:val="2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16.3</w:t>
      </w:r>
      <w:r>
        <w:rPr>
          <w:rFonts w:hint="eastAsia" w:ascii="仿宋" w:hAnsi="仿宋" w:eastAsia="仿宋" w:cs="仿宋"/>
          <w:color w:val="000000" w:themeColor="text1"/>
          <w:szCs w:val="21"/>
          <w:highlight w:val="none"/>
          <w:u w:val="none" w:color="auto"/>
          <w14:textFill>
            <w14:solidFill>
              <w14:schemeClr w14:val="tx1"/>
            </w14:solidFill>
          </w14:textFill>
        </w:rPr>
        <w:t>投标人应仔细阅读和检查</w:t>
      </w:r>
      <w:r>
        <w:rPr>
          <w:rFonts w:hint="eastAsia" w:ascii="仿宋" w:hAnsi="仿宋" w:eastAsia="仿宋" w:cs="仿宋"/>
          <w:color w:val="000000" w:themeColor="text1"/>
          <w:szCs w:val="21"/>
          <w:highlight w:val="none"/>
          <w:u w:val="none" w:color="auto"/>
          <w:lang w:eastAsia="zh-CN"/>
          <w14:textFill>
            <w14:solidFill>
              <w14:schemeClr w14:val="tx1"/>
            </w14:solidFill>
          </w14:textFill>
        </w:rPr>
        <w:t>采购文件</w:t>
      </w:r>
      <w:r>
        <w:rPr>
          <w:rFonts w:hint="eastAsia" w:ascii="仿宋" w:hAnsi="仿宋" w:eastAsia="仿宋" w:cs="仿宋"/>
          <w:color w:val="000000" w:themeColor="text1"/>
          <w:szCs w:val="21"/>
          <w:highlight w:val="none"/>
          <w:u w:val="none" w:color="auto"/>
          <w14:textFill>
            <w14:solidFill>
              <w14:schemeClr w14:val="tx1"/>
            </w14:solidFill>
          </w14:textFill>
        </w:rPr>
        <w:t>的全部内容。如发现缺页或附件不全，应及时向招标人提出，以便补齐。如有疑问，投标人应在</w:t>
      </w:r>
      <w:r>
        <w:rPr>
          <w:rFonts w:hint="eastAsia" w:ascii="仿宋" w:hAnsi="仿宋" w:eastAsia="仿宋" w:cs="仿宋"/>
          <w:color w:val="000000" w:themeColor="text1"/>
          <w:szCs w:val="21"/>
          <w:highlight w:val="none"/>
          <w14:textFill>
            <w14:solidFill>
              <w14:schemeClr w14:val="tx1"/>
            </w14:solidFill>
          </w14:textFill>
        </w:rPr>
        <w:t>以书面形式一次性向采购人和采购代理机构提出同一环节的质疑</w:t>
      </w:r>
      <w:r>
        <w:rPr>
          <w:rFonts w:hint="eastAsia" w:ascii="仿宋" w:hAnsi="仿宋" w:eastAsia="仿宋" w:cs="仿宋"/>
          <w:color w:val="000000" w:themeColor="text1"/>
          <w:szCs w:val="21"/>
          <w:highlight w:val="none"/>
          <w:u w:val="none" w:color="auto"/>
          <w14:textFill>
            <w14:solidFill>
              <w14:schemeClr w14:val="tx1"/>
            </w14:solidFill>
          </w14:textFill>
        </w:rPr>
        <w:t>。</w:t>
      </w:r>
    </w:p>
    <w:p w14:paraId="0046B225">
      <w:pPr>
        <w:shd w:val="clear" w:color="auto" w:fill="auto"/>
        <w:wordWrap w:val="0"/>
        <w:spacing w:line="44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000000" w:themeColor="text1"/>
          <w:szCs w:val="21"/>
          <w:highlight w:val="none"/>
          <w:lang w:val="en-US"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政府采购网下载专区下载。</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的澄清将在</w:t>
      </w:r>
      <w:r>
        <w:rPr>
          <w:rFonts w:hint="eastAsia" w:ascii="仿宋" w:hAnsi="仿宋" w:eastAsia="仿宋" w:cs="仿宋"/>
          <w:color w:val="000000" w:themeColor="text1"/>
          <w:szCs w:val="21"/>
          <w:highlight w:val="none"/>
          <w:lang w:eastAsia="zh-CN"/>
          <w14:textFill>
            <w14:solidFill>
              <w14:schemeClr w14:val="tx1"/>
            </w14:solidFill>
          </w14:textFill>
        </w:rPr>
        <w:t>政采云平台“更正公告”栏目予以公告</w:t>
      </w:r>
      <w:r>
        <w:rPr>
          <w:rFonts w:hint="eastAsia" w:ascii="仿宋" w:hAnsi="仿宋" w:eastAsia="仿宋" w:cs="仿宋"/>
          <w:color w:val="000000" w:themeColor="text1"/>
          <w:szCs w:val="21"/>
          <w:highlight w:val="none"/>
          <w14:textFill>
            <w14:solidFill>
              <w14:schemeClr w14:val="tx1"/>
            </w14:solidFill>
          </w14:textFill>
        </w:rPr>
        <w:t>，但不指明澄清问题的来源。如果澄清内容影响投标文件编制的，将相应延长投标截止时间。</w:t>
      </w:r>
    </w:p>
    <w:p w14:paraId="5B95D1BB">
      <w:pPr>
        <w:shd w:val="clear" w:color="auto" w:fill="auto"/>
        <w:spacing w:line="44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 xml:space="preserve">17. </w:t>
      </w:r>
      <w:r>
        <w:rPr>
          <w:rFonts w:hint="eastAsia" w:ascii="仿宋" w:hAnsi="仿宋" w:eastAsia="仿宋" w:cs="仿宋"/>
          <w:b/>
          <w:bCs/>
          <w:color w:val="000000" w:themeColor="text1"/>
          <w:szCs w:val="21"/>
          <w:highlight w:val="none"/>
          <w:lang w:eastAsia="zh-CN"/>
          <w14:textFill>
            <w14:solidFill>
              <w14:schemeClr w14:val="tx1"/>
            </w14:solidFill>
          </w14:textFill>
        </w:rPr>
        <w:t>采购文件</w:t>
      </w:r>
      <w:r>
        <w:rPr>
          <w:rFonts w:hint="eastAsia" w:ascii="仿宋" w:hAnsi="仿宋" w:eastAsia="仿宋" w:cs="仿宋"/>
          <w:b/>
          <w:bCs/>
          <w:color w:val="000000" w:themeColor="text1"/>
          <w:szCs w:val="21"/>
          <w:highlight w:val="none"/>
          <w14:textFill>
            <w14:solidFill>
              <w14:schemeClr w14:val="tx1"/>
            </w14:solidFill>
          </w14:textFill>
        </w:rPr>
        <w:t>的修改、补充、解释</w:t>
      </w:r>
    </w:p>
    <w:p w14:paraId="51012A65">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发出后，招标人在规定的投标截止时间前可对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进行必要的修改和补充，并以</w:t>
      </w:r>
      <w:r>
        <w:rPr>
          <w:rFonts w:hint="eastAsia" w:ascii="仿宋" w:hAnsi="仿宋" w:eastAsia="仿宋" w:cs="仿宋"/>
          <w:color w:val="000000" w:themeColor="text1"/>
          <w:szCs w:val="21"/>
          <w:highlight w:val="none"/>
          <w:lang w:eastAsia="zh-CN"/>
          <w14:textFill>
            <w14:solidFill>
              <w14:schemeClr w14:val="tx1"/>
            </w14:solidFill>
          </w14:textFill>
        </w:rPr>
        <w:t>更正</w:t>
      </w:r>
      <w:r>
        <w:rPr>
          <w:rFonts w:hint="eastAsia" w:ascii="仿宋" w:hAnsi="仿宋" w:eastAsia="仿宋" w:cs="仿宋"/>
          <w:color w:val="000000" w:themeColor="text1"/>
          <w:szCs w:val="21"/>
          <w:highlight w:val="none"/>
          <w14:textFill>
            <w14:solidFill>
              <w14:schemeClr w14:val="tx1"/>
            </w14:solidFill>
          </w14:textFill>
        </w:rPr>
        <w:t>公告形式在</w:t>
      </w:r>
      <w:r>
        <w:rPr>
          <w:rFonts w:hint="eastAsia" w:ascii="仿宋" w:hAnsi="仿宋" w:eastAsia="仿宋" w:cs="仿宋"/>
          <w:color w:val="000000" w:themeColor="text1"/>
          <w:szCs w:val="21"/>
          <w:highlight w:val="none"/>
          <w:lang w:eastAsia="zh-CN"/>
          <w14:textFill>
            <w14:solidFill>
              <w14:schemeClr w14:val="tx1"/>
            </w14:solidFill>
          </w14:textFill>
        </w:rPr>
        <w:t>政采云平台</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eastAsia="zh-CN"/>
          <w14:textFill>
            <w14:solidFill>
              <w14:schemeClr w14:val="tx1"/>
            </w14:solidFill>
          </w14:textFill>
        </w:rPr>
        <w:t>更正公告</w:t>
      </w:r>
      <w:r>
        <w:rPr>
          <w:rFonts w:hint="eastAsia" w:ascii="仿宋" w:hAnsi="仿宋" w:eastAsia="仿宋" w:cs="仿宋"/>
          <w:color w:val="000000" w:themeColor="text1"/>
          <w:szCs w:val="21"/>
          <w:highlight w:val="none"/>
          <w14:textFill>
            <w14:solidFill>
              <w14:schemeClr w14:val="tx1"/>
            </w14:solidFill>
          </w14:textFill>
        </w:rPr>
        <w:t>”栏目予以公告，请各位投标人注意查看有关澄清内容，如不及时查看造成后果由投标人自负。</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的修改、补充等内容作为</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的组成部分，具有约束作用。</w:t>
      </w:r>
    </w:p>
    <w:p w14:paraId="683F925E">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4FFCFDC7">
      <w:pPr>
        <w:shd w:val="clear" w:color="auto" w:fill="auto"/>
        <w:wordWrap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3</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供应商在规定的时间内未对采购文件提出疑问、质疑或要求澄清的，将视其为无异议。</w:t>
      </w:r>
    </w:p>
    <w:p w14:paraId="4C48D06B">
      <w:pPr>
        <w:shd w:val="clear" w:color="auto" w:fill="auto"/>
        <w:spacing w:line="40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17.</w:t>
      </w: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bCs/>
          <w:color w:val="000000" w:themeColor="text1"/>
          <w:szCs w:val="21"/>
          <w:highlight w:val="none"/>
          <w:lang w:eastAsia="zh-CN"/>
          <w14:textFill>
            <w14:solidFill>
              <w14:schemeClr w14:val="tx1"/>
            </w14:solidFill>
          </w14:textFill>
        </w:rPr>
        <w:t>采购文件</w:t>
      </w:r>
      <w:r>
        <w:rPr>
          <w:rFonts w:hint="eastAsia" w:ascii="仿宋" w:hAnsi="仿宋" w:eastAsia="仿宋" w:cs="仿宋"/>
          <w:bCs/>
          <w:color w:val="000000" w:themeColor="text1"/>
          <w:szCs w:val="21"/>
          <w:highlight w:val="none"/>
          <w14:textFill>
            <w14:solidFill>
              <w14:schemeClr w14:val="tx1"/>
            </w14:solidFill>
          </w14:textFill>
        </w:rPr>
        <w:t>的解释</w:t>
      </w:r>
    </w:p>
    <w:p w14:paraId="6A01B88A">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由招标人（或其委托的招标代理机构）负责解释。</w:t>
      </w:r>
    </w:p>
    <w:p w14:paraId="4D13D950">
      <w:pPr>
        <w:shd w:val="clear" w:color="auto" w:fill="auto"/>
        <w:spacing w:line="400" w:lineRule="exac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 xml:space="preserve">   18. </w:t>
      </w:r>
      <w:r>
        <w:rPr>
          <w:rFonts w:hint="eastAsia" w:ascii="仿宋" w:hAnsi="仿宋" w:eastAsia="仿宋" w:cs="仿宋"/>
          <w:b/>
          <w:color w:val="000000" w:themeColor="text1"/>
          <w:szCs w:val="21"/>
          <w:highlight w:val="none"/>
          <w:lang w:eastAsia="zh-CN"/>
          <w14:textFill>
            <w14:solidFill>
              <w14:schemeClr w14:val="tx1"/>
            </w14:solidFill>
          </w14:textFill>
        </w:rPr>
        <w:t>采购文件</w:t>
      </w:r>
      <w:r>
        <w:rPr>
          <w:rFonts w:hint="eastAsia" w:ascii="仿宋" w:hAnsi="仿宋" w:eastAsia="仿宋" w:cs="仿宋"/>
          <w:b/>
          <w:color w:val="000000" w:themeColor="text1"/>
          <w:szCs w:val="21"/>
          <w:highlight w:val="none"/>
          <w14:textFill>
            <w14:solidFill>
              <w14:schemeClr w14:val="tx1"/>
            </w14:solidFill>
          </w14:textFill>
        </w:rPr>
        <w:t>的发出</w:t>
      </w:r>
    </w:p>
    <w:p w14:paraId="0907F1FD">
      <w:pPr>
        <w:shd w:val="clear" w:color="auto" w:fill="auto"/>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18.1  </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的澄清、修改、补充及招标答疑等均应报</w:t>
      </w:r>
      <w:r>
        <w:rPr>
          <w:rFonts w:hint="eastAsia" w:ascii="仿宋" w:hAnsi="仿宋" w:eastAsia="仿宋" w:cs="仿宋"/>
          <w:color w:val="000000" w:themeColor="text1"/>
          <w:szCs w:val="21"/>
          <w:highlight w:val="none"/>
          <w:lang w:eastAsia="zh-CN"/>
          <w14:textFill>
            <w14:solidFill>
              <w14:schemeClr w14:val="tx1"/>
            </w14:solidFill>
          </w14:textFill>
        </w:rPr>
        <w:t>相关部门</w:t>
      </w:r>
      <w:r>
        <w:rPr>
          <w:rFonts w:hint="eastAsia" w:ascii="仿宋" w:hAnsi="仿宋" w:eastAsia="仿宋" w:cs="仿宋"/>
          <w:color w:val="000000" w:themeColor="text1"/>
          <w:szCs w:val="21"/>
          <w:highlight w:val="none"/>
          <w14:textFill>
            <w14:solidFill>
              <w14:schemeClr w14:val="tx1"/>
            </w14:solidFill>
          </w14:textFill>
        </w:rPr>
        <w:t>备案后，方可发出。</w:t>
      </w:r>
    </w:p>
    <w:p w14:paraId="1DC86ED5">
      <w:pPr>
        <w:shd w:val="clear" w:color="auto" w:fill="auto"/>
        <w:spacing w:line="440" w:lineRule="exact"/>
        <w:ind w:firstLine="319" w:firstLineChars="133"/>
        <w:rPr>
          <w:rFonts w:hint="eastAsia" w:ascii="仿宋" w:hAnsi="仿宋" w:eastAsia="仿宋" w:cs="仿宋"/>
          <w:color w:val="000000" w:themeColor="text1"/>
          <w:szCs w:val="21"/>
          <w:highlight w:val="none"/>
          <w14:textFill>
            <w14:solidFill>
              <w14:schemeClr w14:val="tx1"/>
            </w14:solidFill>
          </w14:textFill>
        </w:rPr>
      </w:pPr>
      <w:bookmarkStart w:id="16" w:name="_Toc469495726"/>
      <w:r>
        <w:rPr>
          <w:rFonts w:hint="eastAsia" w:ascii="仿宋" w:hAnsi="仿宋" w:eastAsia="仿宋" w:cs="仿宋"/>
          <w:b/>
          <w:color w:val="000000" w:themeColor="text1"/>
          <w:szCs w:val="21"/>
          <w:highlight w:val="none"/>
          <w14:textFill>
            <w14:solidFill>
              <w14:schemeClr w14:val="tx1"/>
            </w14:solidFill>
          </w14:textFill>
        </w:rPr>
        <w:t xml:space="preserve">19. </w:t>
      </w:r>
      <w:r>
        <w:rPr>
          <w:rFonts w:hint="eastAsia" w:ascii="仿宋" w:hAnsi="仿宋" w:eastAsia="仿宋" w:cs="仿宋"/>
          <w:color w:val="000000" w:themeColor="text1"/>
          <w:szCs w:val="21"/>
          <w:highlight w:val="none"/>
          <w14:textFill>
            <w14:solidFill>
              <w14:schemeClr w14:val="tx1"/>
            </w14:solidFill>
          </w14:textFill>
        </w:rPr>
        <w:t>凡需要设置样品情形时，必须明确是否需要随样品提交检测报告，并明确检测机构的要求、检测内容、</w:t>
      </w:r>
      <w:r>
        <w:rPr>
          <w:rFonts w:hint="eastAsia" w:ascii="仿宋" w:hAnsi="仿宋" w:eastAsia="仿宋" w:cs="仿宋"/>
          <w:b w:val="0"/>
          <w:bCs w:val="0"/>
          <w:color w:val="000000" w:themeColor="text1"/>
          <w:szCs w:val="21"/>
          <w:highlight w:val="none"/>
          <w14:textFill>
            <w14:solidFill>
              <w14:schemeClr w14:val="tx1"/>
            </w14:solidFill>
          </w14:textFill>
        </w:rPr>
        <w:t>中标样品封存</w:t>
      </w:r>
      <w:r>
        <w:rPr>
          <w:rFonts w:hint="eastAsia" w:ascii="仿宋" w:hAnsi="仿宋" w:eastAsia="仿宋" w:cs="仿宋"/>
          <w:color w:val="000000" w:themeColor="text1"/>
          <w:szCs w:val="21"/>
          <w:highlight w:val="none"/>
          <w14:textFill>
            <w14:solidFill>
              <w14:schemeClr w14:val="tx1"/>
            </w14:solidFill>
          </w14:textFill>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4C03DE4D">
      <w:pPr>
        <w:shd w:val="clear" w:color="auto" w:fill="auto"/>
        <w:spacing w:line="400" w:lineRule="exact"/>
        <w:ind w:firstLine="42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中应明确样品送检方式、检测费用支付方法、投标人在规定时间内无法提供第三方权威检测机构检测报告的处理方式。（</w:t>
      </w:r>
      <w:r>
        <w:rPr>
          <w:rFonts w:hint="eastAsia" w:ascii="仿宋" w:hAnsi="仿宋" w:eastAsia="仿宋" w:cs="仿宋"/>
          <w:color w:val="000000" w:themeColor="text1"/>
          <w:szCs w:val="21"/>
          <w:highlight w:val="none"/>
          <w:lang w:eastAsia="zh-CN"/>
          <w14:textFill>
            <w14:solidFill>
              <w14:schemeClr w14:val="tx1"/>
            </w14:solidFill>
          </w14:textFill>
        </w:rPr>
        <w:t>采购人</w:t>
      </w:r>
      <w:r>
        <w:rPr>
          <w:rFonts w:hint="eastAsia" w:ascii="仿宋" w:hAnsi="仿宋" w:eastAsia="仿宋" w:cs="仿宋"/>
          <w:color w:val="000000" w:themeColor="text1"/>
          <w:szCs w:val="21"/>
          <w:highlight w:val="none"/>
          <w14:textFill>
            <w14:solidFill>
              <w14:schemeClr w14:val="tx1"/>
            </w14:solidFill>
          </w14:textFill>
        </w:rPr>
        <w:t>根据项目需求按上述要求自行描述）</w:t>
      </w:r>
    </w:p>
    <w:p w14:paraId="20648D7F">
      <w:pPr>
        <w:shd w:val="clear" w:color="auto" w:fill="auto"/>
        <w:spacing w:before="312" w:beforeLines="100" w:after="312" w:afterLines="100" w:line="440" w:lineRule="exact"/>
        <w:jc w:val="center"/>
        <w:outlineLvl w:val="2"/>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（三）投标文件的编制</w:t>
      </w:r>
      <w:bookmarkEnd w:id="16"/>
    </w:p>
    <w:p w14:paraId="22CC167A">
      <w:pPr>
        <w:shd w:val="clear" w:color="auto" w:fill="auto"/>
        <w:spacing w:line="440" w:lineRule="exact"/>
        <w:ind w:firstLine="348" w:firstLineChars="145"/>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20. 投标的语言及度量衡单位</w:t>
      </w:r>
    </w:p>
    <w:p w14:paraId="24E13091">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1F72D7C7">
      <w:pPr>
        <w:shd w:val="clear" w:color="auto" w:fill="auto"/>
        <w:spacing w:line="440" w:lineRule="exact"/>
        <w:ind w:firstLine="324" w:firstLineChars="13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20.2除</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中另有规定外，投标书所使用的度量衡均须采用法定计量单位。</w:t>
      </w:r>
    </w:p>
    <w:p w14:paraId="7734D944">
      <w:pPr>
        <w:shd w:val="clear" w:color="auto" w:fill="auto"/>
        <w:spacing w:line="400" w:lineRule="exact"/>
        <w:ind w:firstLine="235" w:firstLineChars="98"/>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21. 投标文件的组成</w:t>
      </w:r>
    </w:p>
    <w:p w14:paraId="451BD2FB">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14:paraId="212A66E1">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14:paraId="670D3C9D">
      <w:pPr>
        <w:shd w:val="clear" w:color="auto" w:fill="auto"/>
        <w:spacing w:line="440" w:lineRule="exact"/>
        <w:ind w:firstLine="352" w:firstLineChars="147"/>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资格证明</w:t>
      </w:r>
      <w:r>
        <w:rPr>
          <w:rFonts w:hint="eastAsia" w:ascii="仿宋" w:hAnsi="仿宋" w:eastAsia="仿宋" w:cs="仿宋"/>
          <w:color w:val="000000" w:themeColor="text1"/>
          <w:szCs w:val="21"/>
          <w:highlight w:val="none"/>
          <w:lang w:eastAsia="zh-CN"/>
          <w14:textFill>
            <w14:solidFill>
              <w14:schemeClr w14:val="tx1"/>
            </w14:solidFill>
          </w14:textFill>
        </w:rPr>
        <w:t>文件</w:t>
      </w:r>
      <w:r>
        <w:rPr>
          <w:rFonts w:hint="eastAsia" w:ascii="仿宋" w:hAnsi="仿宋" w:eastAsia="仿宋" w:cs="仿宋"/>
          <w:color w:val="000000" w:themeColor="text1"/>
          <w:szCs w:val="21"/>
          <w:highlight w:val="none"/>
          <w14:textFill>
            <w14:solidFill>
              <w14:schemeClr w14:val="tx1"/>
            </w14:solidFill>
          </w14:textFill>
        </w:rPr>
        <w:t>是证明投标人有资格参加投标和中标后有能力履行合同的文件，这些文件应能满足招标的要求，否则作无效投标处理。</w:t>
      </w:r>
    </w:p>
    <w:p w14:paraId="2B955705">
      <w:pPr>
        <w:pStyle w:val="27"/>
        <w:numPr>
          <w:ilvl w:val="4"/>
          <w:numId w:val="0"/>
        </w:numPr>
        <w:spacing w:line="240" w:lineRule="auto"/>
        <w:ind w:right="0" w:rightChars="0" w:firstLine="480" w:firstLineChars="200"/>
        <w:rPr>
          <w:rFonts w:hint="eastAsia" w:ascii="仿宋" w:hAnsi="仿宋" w:eastAsia="仿宋" w:cs="仿宋"/>
          <w:b w:val="0"/>
          <w:bCs/>
          <w:color w:val="auto"/>
        </w:rPr>
      </w:pPr>
      <w:r>
        <w:rPr>
          <w:rFonts w:hint="eastAsia" w:ascii="仿宋" w:hAnsi="仿宋" w:eastAsia="仿宋" w:cs="仿宋"/>
          <w:b w:val="0"/>
          <w:bCs/>
        </w:rPr>
        <w:t>1.满足《中华人民共和国政府采购法》</w:t>
      </w:r>
      <w:r>
        <w:rPr>
          <w:rFonts w:hint="eastAsia" w:ascii="仿宋" w:hAnsi="仿宋" w:eastAsia="仿宋" w:cs="仿宋"/>
          <w:b w:val="0"/>
          <w:bCs/>
          <w:color w:val="auto"/>
        </w:rPr>
        <w:t>第二十二条规定；</w:t>
      </w:r>
    </w:p>
    <w:p w14:paraId="2EAD1999">
      <w:pPr>
        <w:pStyle w:val="27"/>
        <w:numPr>
          <w:ilvl w:val="4"/>
          <w:numId w:val="0"/>
        </w:numPr>
        <w:spacing w:line="240" w:lineRule="auto"/>
        <w:ind w:right="0" w:rightChars="0" w:firstLine="480" w:firstLineChars="200"/>
        <w:rPr>
          <w:rFonts w:hint="eastAsia" w:ascii="仿宋" w:hAnsi="仿宋" w:eastAsia="仿宋" w:cs="仿宋"/>
          <w:b w:val="0"/>
          <w:bCs/>
          <w:color w:val="auto"/>
          <w:lang w:val="en-US" w:eastAsia="zh-CN"/>
        </w:rPr>
      </w:pPr>
      <w:r>
        <w:rPr>
          <w:rFonts w:hint="eastAsia" w:ascii="仿宋" w:hAnsi="仿宋" w:eastAsia="仿宋" w:cs="仿宋"/>
          <w:b w:val="0"/>
          <w:bCs/>
          <w:color w:val="auto"/>
        </w:rPr>
        <w:t>2.落实政府采购政策需满足的资格要求：</w:t>
      </w:r>
      <w:r>
        <w:rPr>
          <w:rFonts w:hint="eastAsia" w:ascii="仿宋" w:hAnsi="仿宋" w:eastAsia="仿宋" w:cs="仿宋"/>
          <w:b w:val="0"/>
          <w:bCs/>
          <w:color w:val="auto"/>
          <w:lang w:val="en-US" w:eastAsia="zh-CN"/>
        </w:rPr>
        <w:t>无。</w:t>
      </w:r>
    </w:p>
    <w:p w14:paraId="4E5CDC80">
      <w:pPr>
        <w:pStyle w:val="27"/>
        <w:numPr>
          <w:ilvl w:val="4"/>
          <w:numId w:val="0"/>
        </w:numPr>
        <w:spacing w:line="240" w:lineRule="auto"/>
        <w:ind w:right="0" w:rightChars="0" w:firstLine="480" w:firstLineChars="200"/>
        <w:rPr>
          <w:rFonts w:hint="eastAsia" w:ascii="仿宋" w:hAnsi="仿宋" w:eastAsia="仿宋" w:cs="仿宋"/>
          <w:b w:val="0"/>
          <w:bCs/>
          <w:color w:val="auto"/>
        </w:rPr>
      </w:pPr>
      <w:r>
        <w:rPr>
          <w:rFonts w:hint="eastAsia" w:ascii="仿宋" w:hAnsi="仿宋" w:eastAsia="仿宋" w:cs="仿宋"/>
          <w:b w:val="0"/>
          <w:bCs/>
          <w:color w:val="auto"/>
        </w:rPr>
        <w:t>3.本项目的特定资格要求：</w:t>
      </w:r>
    </w:p>
    <w:p w14:paraId="2036B9F0">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（1）具备有效营业执照;</w:t>
      </w:r>
    </w:p>
    <w:p w14:paraId="690DEC80">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（2）法定代表人投标需提供法定代表人资格证明书，委托代理人投标需提供法定代表人授权委托书；</w:t>
      </w:r>
    </w:p>
    <w:p w14:paraId="7B7D7584">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（3）提供法人或委托代理人近6个月任意一个月有效社保证明和完税证明；</w:t>
      </w:r>
    </w:p>
    <w:p w14:paraId="68A525F7">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（4）参加采购活动前三年内，未被“信用中国”（www.creditchina.gov.cn）、“中国政府采购网”（www.ccgp.gov.cn）列入失信被执行人、重大税收违法案件当事人名单、政府采购严重违法失信行为记录名单；</w:t>
      </w:r>
    </w:p>
    <w:p w14:paraId="7B2C2BC7">
      <w:pPr>
        <w:shd w:val="clear" w:color="auto" w:fill="auto"/>
        <w:spacing w:line="440" w:lineRule="exact"/>
        <w:ind w:firstLine="352"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（5）供应商具备有效的《中华人民共和国金融许可证》或《金融机构营业许可证》。</w:t>
      </w:r>
    </w:p>
    <w:p w14:paraId="12B43AD5">
      <w:pPr>
        <w:shd w:val="clear" w:color="auto" w:fill="auto"/>
        <w:spacing w:line="440" w:lineRule="exact"/>
        <w:ind w:firstLine="480" w:firstLineChars="200"/>
        <w:rPr>
          <w:rFonts w:hint="eastAsia"/>
          <w:lang w:val="en-US" w:eastAsia="zh-CN"/>
        </w:rPr>
      </w:pPr>
      <w:r>
        <w:rPr>
          <w:rFonts w:hint="eastAsia" w:ascii="仿宋" w:hAnsi="仿宋" w:eastAsia="仿宋" w:cs="仿宋"/>
          <w:color w:val="auto"/>
          <w:szCs w:val="21"/>
          <w:highlight w:val="none"/>
          <w:lang w:val="en-US" w:eastAsia="zh-CN"/>
        </w:rPr>
        <w:t>(6)投标人须知资料表要求的其他资格证明文件。</w:t>
      </w:r>
    </w:p>
    <w:p w14:paraId="0261C792">
      <w:pPr>
        <w:shd w:val="clear" w:color="auto" w:fill="auto"/>
        <w:spacing w:line="440" w:lineRule="exact"/>
        <w:ind w:firstLine="352" w:firstLineChars="147"/>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商务及技术文件</w:t>
      </w:r>
      <w:r>
        <w:rPr>
          <w:rFonts w:hint="eastAsia" w:ascii="仿宋" w:hAnsi="仿宋" w:eastAsia="仿宋" w:cs="仿宋"/>
          <w:b/>
          <w:color w:val="auto"/>
          <w:szCs w:val="21"/>
          <w:highlight w:val="none"/>
          <w:lang w:eastAsia="zh-CN"/>
        </w:rPr>
        <w:t>（包括但不限于）</w:t>
      </w:r>
    </w:p>
    <w:p w14:paraId="654A8DC9">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rPr>
        <w:t>1、投标</w:t>
      </w:r>
      <w:r>
        <w:rPr>
          <w:rFonts w:hint="eastAsia" w:ascii="仿宋" w:hAnsi="仿宋" w:eastAsia="仿宋" w:cs="仿宋"/>
          <w:b w:val="0"/>
          <w:bCs/>
          <w:color w:val="auto"/>
          <w:kern w:val="0"/>
          <w:szCs w:val="21"/>
          <w:highlight w:val="none"/>
          <w:u w:val="none"/>
          <w:lang w:eastAsia="zh-CN"/>
        </w:rPr>
        <w:t>函</w:t>
      </w:r>
    </w:p>
    <w:p w14:paraId="66E856A9">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2、开标一览表</w:t>
      </w:r>
    </w:p>
    <w:p w14:paraId="54ACE460">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3、说明一览表</w:t>
      </w:r>
    </w:p>
    <w:p w14:paraId="0CD002EF">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4</w:t>
      </w:r>
      <w:r>
        <w:rPr>
          <w:rFonts w:hint="eastAsia" w:ascii="仿宋" w:hAnsi="仿宋" w:eastAsia="仿宋" w:cs="仿宋"/>
          <w:b w:val="0"/>
          <w:bCs/>
          <w:color w:val="auto"/>
          <w:kern w:val="0"/>
          <w:szCs w:val="21"/>
          <w:highlight w:val="none"/>
          <w:u w:val="none"/>
        </w:rPr>
        <w:t>、投标报价明细表</w:t>
      </w:r>
    </w:p>
    <w:p w14:paraId="3A379D97">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5</w:t>
      </w:r>
      <w:r>
        <w:rPr>
          <w:rFonts w:hint="eastAsia" w:ascii="仿宋" w:hAnsi="仿宋" w:eastAsia="仿宋" w:cs="仿宋"/>
          <w:b w:val="0"/>
          <w:bCs/>
          <w:color w:val="auto"/>
          <w:kern w:val="0"/>
          <w:szCs w:val="21"/>
          <w:highlight w:val="none"/>
          <w:u w:val="none"/>
        </w:rPr>
        <w:t>、技术规格偏离表</w:t>
      </w:r>
    </w:p>
    <w:p w14:paraId="068D9593">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rPr>
      </w:pPr>
      <w:r>
        <w:rPr>
          <w:rFonts w:hint="eastAsia" w:ascii="仿宋" w:hAnsi="仿宋" w:eastAsia="仿宋" w:cs="仿宋"/>
          <w:b w:val="0"/>
          <w:bCs/>
          <w:color w:val="auto"/>
          <w:kern w:val="0"/>
          <w:szCs w:val="21"/>
          <w:highlight w:val="none"/>
          <w:u w:val="none"/>
          <w:lang w:val="en-US" w:eastAsia="zh-CN"/>
        </w:rPr>
        <w:t>6</w:t>
      </w:r>
      <w:r>
        <w:rPr>
          <w:rFonts w:hint="eastAsia" w:ascii="仿宋" w:hAnsi="仿宋" w:eastAsia="仿宋" w:cs="仿宋"/>
          <w:b w:val="0"/>
          <w:bCs/>
          <w:color w:val="auto"/>
          <w:kern w:val="0"/>
          <w:szCs w:val="21"/>
          <w:highlight w:val="none"/>
          <w:u w:val="none"/>
        </w:rPr>
        <w:t>、商务条款偏离表</w:t>
      </w:r>
    </w:p>
    <w:p w14:paraId="6DAD4C90">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7、投标人基本情况表</w:t>
      </w:r>
    </w:p>
    <w:p w14:paraId="11BC5FF4">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8、项目主要实施人员资格一览表</w:t>
      </w:r>
    </w:p>
    <w:p w14:paraId="38E60CD1">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9、投标人前三年内发生的诉讼和仲裁情况</w:t>
      </w:r>
    </w:p>
    <w:p w14:paraId="4B711205">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val="en-US" w:eastAsia="zh-CN"/>
        </w:rPr>
      </w:pPr>
      <w:r>
        <w:rPr>
          <w:rFonts w:hint="eastAsia" w:ascii="仿宋" w:hAnsi="仿宋" w:eastAsia="仿宋" w:cs="仿宋"/>
          <w:b w:val="0"/>
          <w:bCs/>
          <w:color w:val="auto"/>
          <w:kern w:val="0"/>
          <w:szCs w:val="21"/>
          <w:highlight w:val="none"/>
          <w:u w:val="none"/>
          <w:lang w:val="en-US" w:eastAsia="zh-CN"/>
        </w:rPr>
        <w:t>10、声  明</w:t>
      </w:r>
    </w:p>
    <w:p w14:paraId="5935425D">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11、</w:t>
      </w:r>
      <w:r>
        <w:rPr>
          <w:rFonts w:hint="eastAsia" w:ascii="仿宋" w:hAnsi="仿宋" w:eastAsia="仿宋" w:cs="仿宋"/>
          <w:b w:val="0"/>
          <w:bCs/>
          <w:color w:val="auto"/>
          <w:kern w:val="0"/>
          <w:szCs w:val="21"/>
          <w:highlight w:val="none"/>
          <w:u w:val="none"/>
          <w:lang w:eastAsia="zh-CN"/>
        </w:rPr>
        <w:t>评分标准和细则中技术部分证明材料（格式自拟）</w:t>
      </w:r>
    </w:p>
    <w:p w14:paraId="3DE34DBC">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12、</w:t>
      </w:r>
      <w:r>
        <w:rPr>
          <w:rFonts w:hint="eastAsia" w:ascii="仿宋" w:hAnsi="仿宋" w:eastAsia="仿宋" w:cs="仿宋"/>
          <w:b w:val="0"/>
          <w:bCs/>
          <w:color w:val="auto"/>
          <w:kern w:val="0"/>
          <w:szCs w:val="21"/>
          <w:highlight w:val="none"/>
          <w:u w:val="none"/>
          <w:lang w:eastAsia="zh-CN"/>
        </w:rPr>
        <w:t>评分标准和细则中</w:t>
      </w:r>
      <w:r>
        <w:rPr>
          <w:rFonts w:hint="eastAsia" w:ascii="仿宋" w:hAnsi="仿宋" w:eastAsia="仿宋" w:cs="仿宋"/>
          <w:b w:val="0"/>
          <w:bCs/>
          <w:color w:val="auto"/>
          <w:kern w:val="0"/>
          <w:szCs w:val="21"/>
          <w:highlight w:val="none"/>
          <w:u w:val="none"/>
          <w:lang w:val="en-US" w:eastAsia="zh-CN"/>
        </w:rPr>
        <w:t>商务</w:t>
      </w:r>
      <w:r>
        <w:rPr>
          <w:rFonts w:hint="eastAsia" w:ascii="仿宋" w:hAnsi="仿宋" w:eastAsia="仿宋" w:cs="仿宋"/>
          <w:b w:val="0"/>
          <w:bCs/>
          <w:color w:val="auto"/>
          <w:kern w:val="0"/>
          <w:szCs w:val="21"/>
          <w:highlight w:val="none"/>
          <w:u w:val="none"/>
          <w:lang w:eastAsia="zh-CN"/>
        </w:rPr>
        <w:t>部分证明材料（格式自拟）</w:t>
      </w:r>
    </w:p>
    <w:p w14:paraId="651D1B95">
      <w:pPr>
        <w:shd w:val="clear" w:color="auto" w:fill="auto"/>
        <w:spacing w:line="400" w:lineRule="exact"/>
        <w:ind w:firstLine="477" w:firstLineChars="199"/>
        <w:rPr>
          <w:rFonts w:hint="eastAsia" w:ascii="仿宋" w:hAnsi="仿宋" w:eastAsia="仿宋" w:cs="仿宋"/>
          <w:b w:val="0"/>
          <w:bCs/>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13、</w:t>
      </w:r>
      <w:r>
        <w:rPr>
          <w:rFonts w:hint="eastAsia" w:ascii="仿宋" w:hAnsi="仿宋" w:eastAsia="仿宋" w:cs="仿宋"/>
          <w:b w:val="0"/>
          <w:bCs/>
          <w:color w:val="auto"/>
          <w:kern w:val="0"/>
          <w:szCs w:val="21"/>
          <w:highlight w:val="none"/>
          <w:u w:val="none"/>
          <w:lang w:eastAsia="zh-CN"/>
        </w:rPr>
        <w:t>投标人认为有必要提供的其他证明材料（格式自拟）</w:t>
      </w:r>
    </w:p>
    <w:p w14:paraId="428ED364">
      <w:pPr>
        <w:shd w:val="clear" w:color="auto" w:fill="auto"/>
        <w:spacing w:line="400" w:lineRule="exact"/>
        <w:ind w:firstLine="477" w:firstLineChars="199"/>
        <w:rPr>
          <w:rFonts w:hint="eastAsia" w:ascii="仿宋" w:hAnsi="仿宋" w:eastAsia="仿宋" w:cs="仿宋"/>
          <w:b/>
          <w:color w:val="auto"/>
          <w:kern w:val="0"/>
          <w:szCs w:val="21"/>
          <w:highlight w:val="none"/>
          <w:u w:val="none"/>
          <w:lang w:eastAsia="zh-CN"/>
        </w:rPr>
      </w:pPr>
      <w:r>
        <w:rPr>
          <w:rFonts w:hint="eastAsia" w:ascii="仿宋" w:hAnsi="仿宋" w:eastAsia="仿宋" w:cs="仿宋"/>
          <w:b w:val="0"/>
          <w:bCs/>
          <w:color w:val="auto"/>
          <w:kern w:val="0"/>
          <w:szCs w:val="21"/>
          <w:highlight w:val="none"/>
          <w:u w:val="none"/>
          <w:lang w:val="en-US" w:eastAsia="zh-CN"/>
        </w:rPr>
        <w:t>14、</w:t>
      </w:r>
      <w:r>
        <w:rPr>
          <w:rFonts w:hint="eastAsia" w:ascii="仿宋" w:hAnsi="仿宋" w:eastAsia="仿宋" w:cs="仿宋"/>
          <w:b w:val="0"/>
          <w:bCs/>
          <w:color w:val="auto"/>
          <w:kern w:val="0"/>
          <w:szCs w:val="21"/>
          <w:highlight w:val="none"/>
          <w:u w:val="none"/>
          <w:lang w:eastAsia="zh-CN"/>
        </w:rPr>
        <w:t>政府采购优惠政策声明函</w:t>
      </w:r>
    </w:p>
    <w:p w14:paraId="4650EEB9">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none"/>
        </w:rPr>
        <w:t>注：以上材料须</w:t>
      </w:r>
      <w:r>
        <w:rPr>
          <w:rFonts w:hint="eastAsia" w:ascii="仿宋" w:hAnsi="仿宋" w:eastAsia="仿宋" w:cs="仿宋"/>
          <w:b/>
          <w:color w:val="auto"/>
          <w:kern w:val="0"/>
          <w:szCs w:val="21"/>
          <w:highlight w:val="none"/>
          <w:u w:val="none"/>
          <w:lang w:eastAsia="zh-CN"/>
        </w:rPr>
        <w:t>逐页</w:t>
      </w:r>
      <w:r>
        <w:rPr>
          <w:rFonts w:hint="eastAsia" w:ascii="仿宋" w:hAnsi="仿宋" w:eastAsia="仿宋" w:cs="仿宋"/>
          <w:b/>
          <w:color w:val="auto"/>
          <w:kern w:val="0"/>
          <w:szCs w:val="21"/>
          <w:highlight w:val="none"/>
          <w:u w:val="none"/>
        </w:rPr>
        <w:t>加盖</w:t>
      </w:r>
      <w:r>
        <w:rPr>
          <w:rFonts w:hint="eastAsia" w:ascii="仿宋" w:hAnsi="仿宋" w:eastAsia="仿宋" w:cs="仿宋"/>
          <w:b/>
          <w:color w:val="auto"/>
          <w:kern w:val="0"/>
          <w:szCs w:val="21"/>
          <w:highlight w:val="none"/>
          <w:u w:val="none"/>
          <w:lang w:val="en-US" w:eastAsia="zh-CN"/>
        </w:rPr>
        <w:t>投标</w:t>
      </w:r>
      <w:r>
        <w:rPr>
          <w:rFonts w:hint="eastAsia" w:ascii="仿宋" w:hAnsi="仿宋" w:eastAsia="仿宋" w:cs="仿宋"/>
          <w:b/>
          <w:color w:val="auto"/>
          <w:kern w:val="0"/>
          <w:szCs w:val="21"/>
          <w:highlight w:val="none"/>
          <w:u w:val="none"/>
        </w:rPr>
        <w:t>单位公章</w:t>
      </w:r>
      <w:r>
        <w:rPr>
          <w:rFonts w:hint="eastAsia" w:ascii="仿宋" w:hAnsi="仿宋" w:eastAsia="仿宋" w:cs="仿宋"/>
          <w:b/>
          <w:color w:val="auto"/>
          <w:kern w:val="0"/>
          <w:szCs w:val="21"/>
          <w:highlight w:val="none"/>
          <w:u w:val="none"/>
          <w:lang w:eastAsia="zh-CN"/>
        </w:rPr>
        <w:t>。</w:t>
      </w:r>
    </w:p>
    <w:p w14:paraId="2CF5B025">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投标文件的要求</w:t>
      </w:r>
    </w:p>
    <w:p w14:paraId="79B0D3C0">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D9B3350">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lang w:eastAsia="zh-CN"/>
          <w14:textFill>
            <w14:solidFill>
              <w14:schemeClr w14:val="tx1"/>
            </w14:solidFill>
          </w14:textFill>
        </w:rPr>
        <w:t>）投标文件格式应按本采购文件第六章格式要求编制，</w:t>
      </w:r>
      <w:r>
        <w:rPr>
          <w:rFonts w:hint="eastAsia" w:ascii="仿宋" w:hAnsi="仿宋" w:eastAsia="仿宋" w:cs="仿宋"/>
          <w:color w:val="000000" w:themeColor="text1"/>
          <w:szCs w:val="21"/>
          <w:highlight w:val="none"/>
          <w:lang w:val="en-US" w:eastAsia="zh-CN"/>
          <w14:textFill>
            <w14:solidFill>
              <w14:schemeClr w14:val="tx1"/>
            </w14:solidFill>
          </w14:textFill>
        </w:rPr>
        <w:t>无特别说明</w:t>
      </w:r>
      <w:r>
        <w:rPr>
          <w:rFonts w:hint="eastAsia" w:ascii="仿宋" w:hAnsi="仿宋" w:eastAsia="仿宋" w:cs="仿宋"/>
          <w:color w:val="000000" w:themeColor="text1"/>
          <w:szCs w:val="21"/>
          <w:highlight w:val="none"/>
          <w:lang w:eastAsia="zh-CN"/>
          <w14:textFill>
            <w14:solidFill>
              <w14:schemeClr w14:val="tx1"/>
            </w14:solidFill>
          </w14:textFill>
        </w:rPr>
        <w:t>不得对采购文件格式进行增删更改，否则按无效标处理。</w:t>
      </w:r>
    </w:p>
    <w:p w14:paraId="2894BA5B">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eastAsia="zh-CN"/>
          <w14:textFill>
            <w14:solidFill>
              <w14:schemeClr w14:val="tx1"/>
            </w14:solidFill>
          </w14:textFill>
        </w:rPr>
        <w:t xml:space="preserve">）对采购文件格式可更改的例外情况：采购文件第六章附件格式要求中明确规定表格中行数不够用时可按相同格式增加行数，其他一切内容和格式不得更改。 </w:t>
      </w:r>
    </w:p>
    <w:p w14:paraId="2127BDF2">
      <w:pPr>
        <w:shd w:val="clear" w:color="auto" w:fill="auto"/>
        <w:spacing w:line="400" w:lineRule="exact"/>
        <w:ind w:firstLine="477" w:firstLineChars="199"/>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lang w:eastAsia="zh-CN"/>
          <w14:textFill>
            <w14:solidFill>
              <w14:schemeClr w14:val="tx1"/>
            </w14:solidFill>
          </w14:textFill>
        </w:rPr>
        <w:t>）投标文件为电子投标文件，电子投标文件按“政采云供应商项目采购-电子招投标操作指南”及本采购文件要求制作、加密传输。</w:t>
      </w:r>
    </w:p>
    <w:p w14:paraId="6B0C7A23">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lang w:eastAsia="zh-CN"/>
          <w14:textFill>
            <w14:solidFill>
              <w14:schemeClr w14:val="tx1"/>
            </w14:solidFill>
          </w14:textFill>
        </w:rPr>
        <w:t>）投标文件未在投标截止时间前完成传输的，视为投标文件撤回；投标文件未按时解密也未提供备份投标文件的，亦视为投标文件撤回。</w:t>
      </w:r>
    </w:p>
    <w:p w14:paraId="66A5F206">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22</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投标报价</w:t>
      </w:r>
    </w:p>
    <w:p w14:paraId="011C6802">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1、报价为一次报价。</w:t>
      </w:r>
    </w:p>
    <w:p w14:paraId="1A0FAD36">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本项目不接受备选的投标方案或有选择的报价，只允许有一个报价。投标报价应包括：货物本身价格、保险费用、包装费、运输费用、二次搬运费、损耗、技术指导、税金费用、随产品备品备件费、专用工具费、随产品资料费、技术服务费、技术考察费、自检费及验收合格前和质保期内发生的一切费用、应当提供的伴随服务/售后服务费用。</w:t>
      </w:r>
    </w:p>
    <w:p w14:paraId="35194989">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3、报价注意事项：</w:t>
      </w:r>
    </w:p>
    <w:p w14:paraId="287BFC38">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（1）价格一律以人民币计算，以元</w:t>
      </w:r>
      <w:r>
        <w:rPr>
          <w:rFonts w:hint="eastAsia" w:ascii="仿宋" w:hAnsi="仿宋" w:eastAsia="仿宋" w:cs="仿宋"/>
          <w:color w:val="000000" w:themeColor="text1"/>
          <w:szCs w:val="21"/>
          <w:highlight w:val="none"/>
          <w:lang w:val="en-US" w:eastAsia="zh-CN"/>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为单位标准；</w:t>
      </w:r>
    </w:p>
    <w:p w14:paraId="2507E3AB">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（2）投标人报价时应充分考虑所有可能影响到报价的因素，一旦评标结束最终中标，如发生漏、缺、少项，都将被认为是中标人的报价让利行为，损失自负。</w:t>
      </w:r>
    </w:p>
    <w:p w14:paraId="0DE689C6">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注：投标报价：投标文件报价出现前后不一致的，按照下列规定修正：</w:t>
      </w:r>
    </w:p>
    <w:p w14:paraId="684BE978">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投标文件中开标一览表（报价表）内容与投标文件中相应内容不一致的，以开标一览表（报价表）为准；</w:t>
      </w:r>
    </w:p>
    <w:p w14:paraId="2516698F">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　　（二）大写金额和小写金额不一致的，以大写金额为准；</w:t>
      </w:r>
    </w:p>
    <w:p w14:paraId="21ADF67D">
      <w:pPr>
        <w:shd w:val="clear" w:color="auto" w:fill="auto"/>
        <w:spacing w:line="400" w:lineRule="exact"/>
        <w:ind w:firstLine="477" w:firstLineChars="199"/>
        <w:rPr>
          <w:rFonts w:hint="default"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（三）单价金额小数点或者百分比有明显错位的，以开标一览表的为准，并修改单价（允许供应商在投标文件上修改并签字承诺）；</w:t>
      </w:r>
    </w:p>
    <w:p w14:paraId="29BBE9C6">
      <w:pPr>
        <w:shd w:val="clear" w:color="auto" w:fill="auto"/>
        <w:spacing w:line="400" w:lineRule="exact"/>
        <w:ind w:firstLine="477" w:firstLineChars="19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同时出现两种以上不一致的，按照前款规定的顺序修正。修正后的报价按照规定经投标人确认后产生约束力，投标人不确认的，将被认定为投标无效。</w:t>
      </w:r>
    </w:p>
    <w:p w14:paraId="5BB476EB">
      <w:pPr>
        <w:shd w:val="clear" w:color="auto" w:fill="auto"/>
        <w:spacing w:line="440" w:lineRule="exact"/>
        <w:ind w:firstLine="48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highlight w:val="none"/>
          <w14:textFill>
            <w14:solidFill>
              <w14:schemeClr w14:val="tx1"/>
            </w14:solidFill>
          </w14:textFill>
        </w:rPr>
        <w:t>否则将作为无效投标处理。</w:t>
      </w:r>
    </w:p>
    <w:p w14:paraId="54E63416">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如投标文件中未列明全面实现投标货物功能而必须配置的配套或辅助设施及相应技术措施的费用，这些费用将被视为已包含在总投标价中。</w:t>
      </w:r>
    </w:p>
    <w:p w14:paraId="0AA94DF9">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总投标价中不得包含</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要求以外的内容，否则，在评标时不予核减，但在授予合同时，招标人有权将这部分价格从其中标价格中扣除。</w:t>
      </w:r>
    </w:p>
    <w:p w14:paraId="38E399B9">
      <w:pPr>
        <w:shd w:val="clear" w:color="auto" w:fill="auto"/>
        <w:spacing w:line="440" w:lineRule="exact"/>
        <w:ind w:firstLine="460" w:firstLineChars="192"/>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总投标价中不得缺漏</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67BCDAB7">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投标人不得对从第三方采购货物的随机备品、备件另行收费，否则在计算评标价时这部分费用将不予扣除，在授予合同时将从中标价格中扣除该部分费用。</w:t>
      </w:r>
    </w:p>
    <w:p w14:paraId="0FB8CC9B">
      <w:pPr>
        <w:shd w:val="clear" w:color="auto" w:fill="auto"/>
        <w:spacing w:line="440" w:lineRule="exact"/>
        <w:ind w:firstLine="460" w:firstLineChars="192"/>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5ED47711">
      <w:pPr>
        <w:shd w:val="clear" w:color="auto" w:fill="auto"/>
        <w:spacing w:line="44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23. 投标有效期</w:t>
      </w:r>
    </w:p>
    <w:p w14:paraId="48603705">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23.1 除投标人须知前附表另有规定外，投标有效期为60天。</w:t>
      </w:r>
    </w:p>
    <w:p w14:paraId="1D949D9C">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23.2在投标有效期内，投标人撤销或修改其投标文件的，应承担</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和法律规定的责任。</w:t>
      </w:r>
    </w:p>
    <w:p w14:paraId="430F34EF">
      <w:pPr>
        <w:shd w:val="clear" w:color="auto" w:fill="auto"/>
        <w:spacing w:line="44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DF9F4F3">
      <w:pPr>
        <w:shd w:val="clear" w:color="auto" w:fill="auto"/>
        <w:spacing w:line="440" w:lineRule="exact"/>
        <w:ind w:firstLine="460" w:firstLineChars="192"/>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24. 投标保证金</w:t>
      </w:r>
      <w:r>
        <w:rPr>
          <w:rFonts w:hint="eastAsia" w:ascii="仿宋" w:hAnsi="仿宋" w:eastAsia="仿宋" w:cs="仿宋"/>
          <w:b/>
          <w:color w:val="000000" w:themeColor="text1"/>
          <w:szCs w:val="21"/>
          <w:highlight w:val="none"/>
          <w:lang w:eastAsia="zh-CN"/>
          <w14:textFill>
            <w14:solidFill>
              <w14:schemeClr w14:val="tx1"/>
            </w14:solidFill>
          </w14:textFill>
        </w:rPr>
        <w:t>（</w:t>
      </w:r>
      <w:r>
        <w:rPr>
          <w:rFonts w:hint="eastAsia" w:ascii="仿宋" w:hAnsi="仿宋" w:eastAsia="仿宋" w:cs="仿宋"/>
          <w:b/>
          <w:color w:val="000000" w:themeColor="text1"/>
          <w:szCs w:val="21"/>
          <w:highlight w:val="none"/>
          <w:lang w:val="en-US" w:eastAsia="zh-CN"/>
          <w14:textFill>
            <w14:solidFill>
              <w14:schemeClr w14:val="tx1"/>
            </w14:solidFill>
          </w14:textFill>
        </w:rPr>
        <w:t>本项目不做要求</w:t>
      </w:r>
      <w:r>
        <w:rPr>
          <w:rFonts w:hint="eastAsia" w:ascii="仿宋" w:hAnsi="仿宋" w:eastAsia="仿宋" w:cs="仿宋"/>
          <w:b/>
          <w:color w:val="000000" w:themeColor="text1"/>
          <w:szCs w:val="21"/>
          <w:highlight w:val="none"/>
          <w:lang w:eastAsia="zh-CN"/>
          <w14:textFill>
            <w14:solidFill>
              <w14:schemeClr w14:val="tx1"/>
            </w14:solidFill>
          </w14:textFill>
        </w:rPr>
        <w:t>）</w:t>
      </w:r>
    </w:p>
    <w:p w14:paraId="638AC3C5">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6BA9791B">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24.2自中标通知书发出之日起5个工作日内退还未中标投标人的投标保证金，自政府采购合同签订之日起5个工作日内退还中标人的投标保证金。</w:t>
      </w:r>
    </w:p>
    <w:p w14:paraId="74707E90">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24.3有下列情形之一的，投标保证金将不予退还： </w:t>
      </w:r>
    </w:p>
    <w:p w14:paraId="538C499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（1）投标人在规定的投标有效期内撤回或修改其投标文件；</w:t>
      </w:r>
    </w:p>
    <w:p w14:paraId="03E4CB4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（2）中标通知书发出后三十天内，中标人无正当理由拒签合同协议书或未按</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规定提交履约担保。</w:t>
      </w:r>
    </w:p>
    <w:p w14:paraId="607D5412">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（3）提供虚假材料谋取中标的；</w:t>
      </w:r>
    </w:p>
    <w:p w14:paraId="50012C7B">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（4）经查实属于陪标、串通投标的等。</w:t>
      </w:r>
    </w:p>
    <w:p w14:paraId="6AD0F0D1">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bookmarkStart w:id="17" w:name="_Toc469495727"/>
      <w:r>
        <w:rPr>
          <w:rFonts w:hint="eastAsia" w:ascii="仿宋" w:hAnsi="仿宋" w:eastAsia="仿宋" w:cs="仿宋"/>
          <w:color w:val="000000" w:themeColor="text1"/>
          <w:szCs w:val="21"/>
          <w:highlight w:val="none"/>
          <w14:textFill>
            <w14:solidFill>
              <w14:schemeClr w14:val="tx1"/>
            </w14:solidFill>
          </w14:textFill>
        </w:rPr>
        <w:t>24.4投标保证金按</w:t>
      </w:r>
      <w:r>
        <w:rPr>
          <w:rFonts w:hint="eastAsia" w:ascii="仿宋" w:hAnsi="仿宋" w:eastAsia="仿宋" w:cs="仿宋"/>
          <w:color w:val="000000" w:themeColor="text1"/>
          <w:szCs w:val="21"/>
          <w:highlight w:val="none"/>
          <w:lang w:eastAsia="zh-CN"/>
          <w14:textFill>
            <w14:solidFill>
              <w14:schemeClr w14:val="tx1"/>
            </w14:solidFill>
          </w14:textFill>
        </w:rPr>
        <w:t>投标人须知前附表第</w:t>
      </w:r>
      <w:r>
        <w:rPr>
          <w:rFonts w:hint="eastAsia" w:ascii="仿宋" w:hAnsi="仿宋" w:eastAsia="仿宋" w:cs="仿宋"/>
          <w:color w:val="000000" w:themeColor="text1"/>
          <w:szCs w:val="21"/>
          <w:highlight w:val="none"/>
          <w:lang w:val="en-US" w:eastAsia="zh-CN"/>
          <w14:textFill>
            <w14:solidFill>
              <w14:schemeClr w14:val="tx1"/>
            </w14:solidFill>
          </w14:textFill>
        </w:rPr>
        <w:t>24条</w:t>
      </w:r>
      <w:r>
        <w:rPr>
          <w:rFonts w:hint="eastAsia" w:ascii="仿宋" w:hAnsi="仿宋" w:eastAsia="仿宋" w:cs="仿宋"/>
          <w:color w:val="000000" w:themeColor="text1"/>
          <w:szCs w:val="21"/>
          <w:highlight w:val="none"/>
          <w14:textFill>
            <w14:solidFill>
              <w14:schemeClr w14:val="tx1"/>
            </w14:solidFill>
          </w14:textFill>
        </w:rPr>
        <w:t>规定执行。</w:t>
      </w:r>
    </w:p>
    <w:p w14:paraId="5B2C8A1D">
      <w:pPr>
        <w:pStyle w:val="2"/>
        <w:shd w:val="clear" w:color="auto" w:fill="auto"/>
        <w:bidi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w:t>
      </w:r>
      <w:bookmarkEnd w:id="17"/>
      <w:r>
        <w:rPr>
          <w:rFonts w:hint="eastAsia" w:ascii="仿宋" w:hAnsi="仿宋" w:eastAsia="仿宋" w:cs="仿宋"/>
          <w:color w:val="000000" w:themeColor="text1"/>
          <w:sz w:val="28"/>
          <w:szCs w:val="28"/>
          <w:highlight w:val="none"/>
          <w14:textFill>
            <w14:solidFill>
              <w14:schemeClr w14:val="tx1"/>
            </w14:solidFill>
          </w14:textFill>
        </w:rPr>
        <w:t>投标文件的制作、上传及递交要求</w:t>
      </w:r>
    </w:p>
    <w:p w14:paraId="476E8C45">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25.</w:t>
      </w:r>
      <w:r>
        <w:rPr>
          <w:rFonts w:hint="eastAsia" w:ascii="仿宋" w:hAnsi="仿宋" w:eastAsia="仿宋" w:cs="仿宋"/>
          <w:b/>
          <w:bCs/>
          <w:color w:val="000000" w:themeColor="text1"/>
          <w:sz w:val="24"/>
          <w:szCs w:val="24"/>
          <w:highlight w:val="none"/>
          <w14:textFill>
            <w14:solidFill>
              <w14:schemeClr w14:val="tx1"/>
            </w14:solidFill>
          </w14:textFill>
        </w:rPr>
        <w:t>投标文件的制作要求</w:t>
      </w:r>
    </w:p>
    <w:p w14:paraId="7405919B">
      <w:pPr>
        <w:pStyle w:val="5"/>
        <w:shd w:val="clear" w:color="auto" w:fill="auto"/>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25.1</w:t>
      </w:r>
      <w:r>
        <w:rPr>
          <w:rFonts w:hint="eastAsia" w:ascii="仿宋" w:hAnsi="仿宋" w:eastAsia="仿宋" w:cs="仿宋"/>
          <w:b w:val="0"/>
          <w:bCs/>
          <w:color w:val="000000" w:themeColor="text1"/>
          <w:sz w:val="24"/>
          <w:szCs w:val="24"/>
          <w:highlight w:val="none"/>
          <w14:textFill>
            <w14:solidFill>
              <w14:schemeClr w14:val="tx1"/>
            </w14:solidFill>
          </w14:textFill>
        </w:rPr>
        <w:t>供应商应按照投标文件组成内容及项目招标需求和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政府采购云平台要求制作投标文件，不按采购文件和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bCs/>
          <w:color w:val="000000" w:themeColor="text1"/>
          <w:sz w:val="24"/>
          <w:szCs w:val="24"/>
          <w:highlight w:val="none"/>
          <w14:textFill>
            <w14:solidFill>
              <w14:schemeClr w14:val="tx1"/>
            </w14:solidFill>
          </w14:textFill>
        </w:rPr>
        <w:t>政府采购云平台要求制作投标文件的将视情况处理（拒收等），由此产生的责任由供应商自行承担。</w:t>
      </w:r>
    </w:p>
    <w:p w14:paraId="491E7F96">
      <w:pPr>
        <w:pStyle w:val="5"/>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7DDF786">
      <w:pPr>
        <w:pStyle w:val="5"/>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25.2</w:t>
      </w:r>
      <w:r>
        <w:rPr>
          <w:rFonts w:hint="eastAsia" w:ascii="仿宋" w:hAnsi="仿宋" w:eastAsia="仿宋" w:cs="仿宋"/>
          <w:b w:val="0"/>
          <w:bCs/>
          <w:color w:val="000000" w:themeColor="text1"/>
          <w:sz w:val="24"/>
          <w:szCs w:val="24"/>
          <w:highlight w:val="none"/>
          <w14:textFill>
            <w14:solidFill>
              <w14:schemeClr w14:val="tx1"/>
            </w14:solidFill>
          </w14:textFill>
        </w:rPr>
        <w:t>备份电子投标文件：通过“政采云”平台电子投标工具制作投标文件所产生的备份文件。</w:t>
      </w:r>
    </w:p>
    <w:p w14:paraId="229CE4B9">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14:textFill>
            <w14:solidFill>
              <w14:schemeClr w14:val="tx1"/>
            </w14:solidFill>
          </w14:textFill>
        </w:rPr>
        <w:t>）供应商应对所提供的全部资料的真实性、有效性承担法律责任，电子投标文件中所须加盖公章部分均采用CA签章。</w:t>
      </w:r>
    </w:p>
    <w:p w14:paraId="71447DF6">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）投标文件以及供应商与采购组织机构就有关投标事宜的所有来往函电，均应以中文汉语书写。除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签章</w:t>
      </w:r>
      <w:r>
        <w:rPr>
          <w:rFonts w:hint="eastAsia" w:ascii="仿宋" w:hAnsi="仿宋" w:eastAsia="仿宋" w:cs="仿宋"/>
          <w:b w:val="0"/>
          <w:bCs/>
          <w:color w:val="000000" w:themeColor="text1"/>
          <w:sz w:val="24"/>
          <w:szCs w:val="24"/>
          <w:highlight w:val="none"/>
          <w14:textFill>
            <w14:solidFill>
              <w14:schemeClr w14:val="tx1"/>
            </w14:solidFill>
          </w14:textFill>
        </w:rPr>
        <w:t>、盖章、专用名称等特殊情形外，以中文汉语以外的文字表述的投标文件视同未提供。</w:t>
      </w:r>
    </w:p>
    <w:p w14:paraId="44EA7A08">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color w:val="000000" w:themeColor="text1"/>
          <w:sz w:val="24"/>
          <w:szCs w:val="24"/>
          <w:highlight w:val="none"/>
          <w14:textFill>
            <w14:solidFill>
              <w14:schemeClr w14:val="tx1"/>
            </w14:solidFill>
          </w14:textFill>
        </w:rPr>
        <w:t>）投标计量单位，采购文件已有明确规定的，使用采购文件规定的计量单位；采购文件没有规定的，应采用中华人民共和国法定计量单位（货币单位：人民币元）。</w:t>
      </w:r>
    </w:p>
    <w:p w14:paraId="22AE20E6">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sz w:val="24"/>
          <w:szCs w:val="24"/>
          <w:highlight w:val="none"/>
          <w14:textFill>
            <w14:solidFill>
              <w14:schemeClr w14:val="tx1"/>
            </w14:solidFill>
          </w14:textFill>
        </w:rPr>
        <w:t>）若供应商不按采购文件的要求提供资格审查材料，其风险由供应商自行承担。</w:t>
      </w:r>
    </w:p>
    <w:p w14:paraId="07178A4B">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b/>
          <w:bCs/>
          <w:color w:val="000000" w:themeColor="text1"/>
          <w:sz w:val="24"/>
          <w:szCs w:val="24"/>
          <w:highlight w:val="none"/>
          <w14:textFill>
            <w14:solidFill>
              <w14:schemeClr w14:val="tx1"/>
            </w14:solidFill>
          </w14:textFill>
        </w:rPr>
        <w:t>投标文件的上传</w:t>
      </w:r>
    </w:p>
    <w:p w14:paraId="435815CE">
      <w:pPr>
        <w:pStyle w:val="5"/>
        <w:shd w:val="clear" w:color="auto" w:fill="auto"/>
        <w:snapToGrid w:val="0"/>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bidi="zh-CN"/>
          <w14:textFill>
            <w14:solidFill>
              <w14:schemeClr w14:val="tx1"/>
            </w14:solidFill>
          </w14:textFill>
        </w:rPr>
        <w:t>电子加密投标文件（“.jmbs”格式）</w:t>
      </w:r>
      <w:r>
        <w:rPr>
          <w:rFonts w:hint="eastAsia" w:ascii="仿宋" w:hAnsi="仿宋" w:eastAsia="仿宋" w:cs="仿宋"/>
          <w:b/>
          <w:bCs/>
          <w:color w:val="000000" w:themeColor="text1"/>
          <w:sz w:val="24"/>
          <w:szCs w:val="24"/>
          <w:highlight w:val="none"/>
          <w14:textFill>
            <w14:solidFill>
              <w14:schemeClr w14:val="tx1"/>
            </w14:solidFill>
          </w14:textFill>
        </w:rPr>
        <w:t>：</w:t>
      </w:r>
    </w:p>
    <w:p w14:paraId="42536F44">
      <w:pPr>
        <w:pStyle w:val="5"/>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w:t>
      </w:r>
      <w:r>
        <w:rPr>
          <w:rFonts w:hint="eastAsia" w:ascii="仿宋" w:hAnsi="仿宋" w:eastAsia="仿宋" w:cs="仿宋"/>
          <w:b w:val="0"/>
          <w:bCs/>
          <w:color w:val="000000" w:themeColor="text1"/>
          <w:kern w:val="0"/>
          <w:sz w:val="24"/>
          <w:szCs w:val="24"/>
          <w:highlight w:val="none"/>
          <w14:textFill>
            <w14:solidFill>
              <w14:schemeClr w14:val="tx1"/>
            </w14:solidFill>
          </w14:textFill>
        </w:rPr>
        <w:t xml:space="preserve"> </w:t>
      </w:r>
      <w:r>
        <w:rPr>
          <w:rFonts w:hint="eastAsia" w:ascii="仿宋" w:hAnsi="仿宋" w:eastAsia="仿宋" w:cs="仿宋"/>
          <w:b w:val="0"/>
          <w:bCs/>
          <w:color w:val="000000" w:themeColor="text1"/>
          <w:sz w:val="24"/>
          <w:szCs w:val="24"/>
          <w:highlight w:val="none"/>
          <w:lang w:bidi="zh-CN"/>
          <w14:textFill>
            <w14:solidFill>
              <w14:schemeClr w14:val="tx1"/>
            </w14:solidFill>
          </w14:textFill>
        </w:rPr>
        <w:t>供应商应在投标截止时间前将电子加密投标文件成功上传递交至新疆政府采购云平台，否则投标无效；</w:t>
      </w:r>
    </w:p>
    <w:p w14:paraId="52AD849E">
      <w:pPr>
        <w:pStyle w:val="5"/>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b.供应商成功上传电子加密投标文件后，可自行打印投标文件接收回执。</w:t>
      </w:r>
    </w:p>
    <w:p w14:paraId="33E26029">
      <w:pPr>
        <w:pStyle w:val="5"/>
        <w:shd w:val="clear" w:color="auto" w:fill="auto"/>
        <w:snapToGrid w:val="0"/>
        <w:spacing w:line="360" w:lineRule="auto"/>
        <w:rPr>
          <w:rFonts w:hint="eastAsia" w:ascii="仿宋" w:hAnsi="仿宋" w:eastAsia="仿宋" w:cs="仿宋"/>
          <w:b/>
          <w:bCs/>
          <w:color w:val="000000" w:themeColor="text1"/>
          <w:sz w:val="24"/>
          <w:szCs w:val="24"/>
          <w:highlight w:val="none"/>
          <w:lang w:bidi="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w:t>
      </w:r>
      <w:r>
        <w:rPr>
          <w:rFonts w:hint="eastAsia" w:ascii="仿宋" w:hAnsi="仿宋" w:eastAsia="仿宋" w:cs="仿宋"/>
          <w:b/>
          <w:bCs/>
          <w:color w:val="000000" w:themeColor="text1"/>
          <w:sz w:val="24"/>
          <w:szCs w:val="24"/>
          <w:highlight w:val="none"/>
          <w:lang w:bidi="zh-CN"/>
          <w14:textFill>
            <w14:solidFill>
              <w14:schemeClr w14:val="tx1"/>
            </w14:solidFill>
          </w14:textFill>
        </w:rPr>
        <w:t>备份投标文件（“.bfbs”格式）：</w:t>
      </w:r>
    </w:p>
    <w:p w14:paraId="534405F8">
      <w:pPr>
        <w:pStyle w:val="5"/>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 w:val="24"/>
          <w:szCs w:val="24"/>
          <w:highlight w:val="none"/>
          <w:lang w:bidi="zh-CN"/>
          <w14:textFill>
            <w14:solidFill>
              <w14:schemeClr w14:val="tx1"/>
            </w14:solidFill>
          </w14:textFill>
        </w:rPr>
        <w:t>“备份投标文件”以投标截止时间前指定接收邮箱最终收到的文件为准，逾期或未按要求提供的视为未提供，建议供应商提前1日办理邮件提供事宜（</w:t>
      </w:r>
      <w:r>
        <w:rPr>
          <w:rFonts w:hint="eastAsia" w:ascii="仿宋" w:hAnsi="仿宋" w:eastAsia="仿宋" w:cs="仿宋"/>
          <w:color w:val="000000" w:themeColor="text1"/>
          <w:sz w:val="24"/>
          <w:szCs w:val="24"/>
          <w:highlight w:val="none"/>
          <w:lang w:val="en-US" w:eastAsia="zh-CN" w:bidi="zh-CN"/>
          <w14:textFill>
            <w14:solidFill>
              <w14:schemeClr w14:val="tx1"/>
            </w14:solidFill>
          </w14:textFill>
        </w:rPr>
        <w:t>接收人邮箱：1428839043@qq.com，接收人：赵猛，电话：18523039307）</w:t>
      </w:r>
      <w:r>
        <w:rPr>
          <w:rFonts w:hint="eastAsia" w:ascii="仿宋" w:hAnsi="仿宋" w:eastAsia="仿宋" w:cs="仿宋"/>
          <w:color w:val="000000" w:themeColor="text1"/>
          <w:sz w:val="24"/>
          <w:szCs w:val="24"/>
          <w:highlight w:val="none"/>
          <w:lang w:bidi="zh-CN"/>
          <w14:textFill>
            <w14:solidFill>
              <w14:schemeClr w14:val="tx1"/>
            </w14:solidFill>
          </w14:textFill>
        </w:rPr>
        <w:t>；</w:t>
      </w:r>
    </w:p>
    <w:p w14:paraId="3C278330">
      <w:pPr>
        <w:pStyle w:val="5"/>
        <w:shd w:val="clear" w:color="auto" w:fill="auto"/>
        <w:snapToGrid w:val="0"/>
        <w:spacing w:line="360" w:lineRule="auto"/>
        <w:ind w:firstLine="600" w:firstLineChars="250"/>
        <w:rPr>
          <w:rFonts w:hint="eastAsia" w:ascii="仿宋" w:hAnsi="仿宋" w:eastAsia="仿宋" w:cs="仿宋"/>
          <w:b w:val="0"/>
          <w:bCs/>
          <w:color w:val="000000" w:themeColor="text1"/>
          <w:sz w:val="24"/>
          <w:szCs w:val="24"/>
          <w:highlight w:val="none"/>
          <w:lang w:bidi="zh-CN"/>
          <w14:textFill>
            <w14:solidFill>
              <w14:schemeClr w14:val="tx1"/>
            </w14:solidFill>
          </w14:textFill>
        </w:rPr>
      </w:pPr>
      <w:r>
        <w:rPr>
          <w:rFonts w:hint="eastAsia" w:ascii="仿宋" w:hAnsi="仿宋" w:eastAsia="仿宋" w:cs="仿宋"/>
          <w:b w:val="0"/>
          <w:bCs/>
          <w:color w:val="000000" w:themeColor="text1"/>
          <w:sz w:val="24"/>
          <w:szCs w:val="24"/>
          <w:highlight w:val="none"/>
          <w:lang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C730BF0">
      <w:pPr>
        <w:shd w:val="clear" w:color="auto" w:fill="auto"/>
        <w:snapToGrid w:val="0"/>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b/>
          <w:color w:val="000000" w:themeColor="text1"/>
          <w:sz w:val="24"/>
          <w:szCs w:val="24"/>
          <w:highlight w:val="none"/>
          <w14:textFill>
            <w14:solidFill>
              <w14:schemeClr w14:val="tx1"/>
            </w14:solidFill>
          </w14:textFill>
        </w:rPr>
        <w:t>投标文件的递交要求</w:t>
      </w:r>
    </w:p>
    <w:p w14:paraId="1E22AEBE">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14:paraId="01357BCF">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（2）备份电子投标文件必须在投标截止时间前送达指定的投标地点。备份电子投标文件在截止时间后提交，采购组织机构将拒绝接收。</w:t>
      </w:r>
    </w:p>
    <w:p w14:paraId="2302EFDF">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（3）如有特殊情况，采购组织机构延长截止时间和开标时间，采购组织机构和供应商的权利和义务将受到新的截止时间和开标时间的约束。</w:t>
      </w:r>
    </w:p>
    <w:p w14:paraId="66D2D726">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28．投标文件的补充、修改与撤回</w:t>
      </w:r>
    </w:p>
    <w:p w14:paraId="05EE5C12">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24D66BC1">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both"/>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bookmarkStart w:id="18" w:name="_Toc469495728"/>
    </w:p>
    <w:p w14:paraId="59C955FA">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（五）开 标、评标和定标</w:t>
      </w:r>
      <w:bookmarkEnd w:id="18"/>
    </w:p>
    <w:p w14:paraId="5379ED6E">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 开标</w:t>
      </w:r>
    </w:p>
    <w:p w14:paraId="699E2692">
      <w:pPr>
        <w:shd w:val="clear" w:color="auto" w:fill="auto"/>
        <w:snapToGrid w:val="0"/>
        <w:spacing w:line="360" w:lineRule="auto"/>
        <w:ind w:firstLine="480" w:firstLineChars="20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19" w:name="_Toc73975822"/>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29.1开标邀请</w:t>
      </w:r>
      <w:bookmarkEnd w:id="19"/>
    </w:p>
    <w:p w14:paraId="0205A25F">
      <w:pPr>
        <w:pStyle w:val="9"/>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14:textFill>
            <w14:solidFill>
              <w14:schemeClr w14:val="tx1"/>
            </w14:solidFill>
          </w14:textFill>
        </w:rPr>
        <w:t>开标准备：本项目开标的准备工作由采购组织机构负责落实，开标过程由采购组织机构负责记录；</w:t>
      </w:r>
    </w:p>
    <w:p w14:paraId="73799883">
      <w:pPr>
        <w:pStyle w:val="9"/>
        <w:shd w:val="clear" w:color="auto" w:fill="auto"/>
        <w:snapToGrid w:val="0"/>
        <w:spacing w:line="360" w:lineRule="auto"/>
        <w:ind w:firstLine="480" w:firstLineChars="200"/>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开标主持：本项目开标由采购人或者采购代理机构主持；</w:t>
      </w:r>
    </w:p>
    <w:p w14:paraId="659DD9CD">
      <w:pPr>
        <w:pStyle w:val="9"/>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开标邀请：本项目采用电子交易，采购组织机构将按照采购文件规定的时间通过“</w:t>
      </w:r>
      <w:r>
        <w:rPr>
          <w:rFonts w:hint="eastAsia" w:ascii="仿宋" w:hAnsi="仿宋" w:eastAsia="仿宋" w:cs="仿宋"/>
          <w:b w:val="0"/>
          <w:color w:val="000000" w:themeColor="text1"/>
          <w:sz w:val="24"/>
          <w:szCs w:val="24"/>
          <w:highlight w:val="none"/>
          <w:lang w:eastAsia="zh-CN"/>
          <w14:textFill>
            <w14:solidFill>
              <w14:schemeClr w14:val="tx1"/>
            </w14:solidFill>
          </w14:textFill>
        </w:rPr>
        <w:t>新疆</w:t>
      </w:r>
      <w:r>
        <w:rPr>
          <w:rFonts w:hint="eastAsia" w:ascii="仿宋" w:hAnsi="仿宋" w:eastAsia="仿宋" w:cs="仿宋"/>
          <w:b w:val="0"/>
          <w:color w:val="000000" w:themeColor="text1"/>
          <w:sz w:val="24"/>
          <w:szCs w:val="24"/>
          <w:highlight w:val="none"/>
          <w14:textFill>
            <w14:solidFill>
              <w14:schemeClr w14:val="tx1"/>
            </w14:solidFill>
          </w14:textFill>
        </w:rPr>
        <w:t>政府采购云平台，网址：</w:t>
      </w:r>
      <w:r>
        <w:rPr>
          <w:rFonts w:hint="eastAsia" w:ascii="仿宋" w:hAnsi="仿宋" w:eastAsia="仿宋" w:cs="仿宋"/>
          <w:b w:val="0"/>
          <w:color w:val="000000" w:themeColor="text1"/>
          <w:sz w:val="24"/>
          <w:szCs w:val="24"/>
          <w:highlight w:val="none"/>
          <w14:textFill>
            <w14:solidFill>
              <w14:schemeClr w14:val="tx1"/>
            </w14:solidFill>
          </w14:textFill>
        </w:rPr>
        <w:fldChar w:fldCharType="begin"/>
      </w:r>
      <w:r>
        <w:rPr>
          <w:rFonts w:hint="eastAsia" w:ascii="仿宋" w:hAnsi="仿宋" w:eastAsia="仿宋" w:cs="仿宋"/>
          <w:b w:val="0"/>
          <w:color w:val="000000" w:themeColor="text1"/>
          <w:sz w:val="24"/>
          <w:szCs w:val="24"/>
          <w:highlight w:val="none"/>
          <w14:textFill>
            <w14:solidFill>
              <w14:schemeClr w14:val="tx1"/>
            </w14:solidFill>
          </w14:textFill>
        </w:rPr>
        <w:instrText xml:space="preserve">HYPERLINK "http://www.zcygov.cn"</w:instrText>
      </w:r>
      <w:r>
        <w:rPr>
          <w:rFonts w:hint="eastAsia" w:ascii="仿宋" w:hAnsi="仿宋" w:eastAsia="仿宋" w:cs="仿宋"/>
          <w:b w:val="0"/>
          <w:color w:val="000000" w:themeColor="text1"/>
          <w:sz w:val="24"/>
          <w:szCs w:val="24"/>
          <w:highlight w:val="none"/>
          <w14:textFill>
            <w14:solidFill>
              <w14:schemeClr w14:val="tx1"/>
            </w14:solidFill>
          </w14:textFill>
        </w:rPr>
        <w:fldChar w:fldCharType="separate"/>
      </w:r>
      <w:r>
        <w:rPr>
          <w:rStyle w:val="22"/>
          <w:rFonts w:hint="eastAsia" w:ascii="仿宋" w:hAnsi="仿宋" w:eastAsia="仿宋" w:cs="仿宋"/>
          <w:b w:val="0"/>
          <w:color w:val="000000" w:themeColor="text1"/>
          <w:sz w:val="24"/>
          <w:szCs w:val="24"/>
          <w:highlight w:val="none"/>
          <w:u w:val="none"/>
          <w14:textFill>
            <w14:solidFill>
              <w14:schemeClr w14:val="tx1"/>
            </w14:solidFill>
          </w14:textFill>
        </w:rPr>
        <w:t>www.zcygov.cn</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b w:val="0"/>
          <w:color w:val="000000" w:themeColor="text1"/>
          <w:sz w:val="24"/>
          <w:szCs w:val="24"/>
          <w:highlight w:val="none"/>
          <w14:textFill>
            <w14:solidFill>
              <w14:schemeClr w14:val="tx1"/>
            </w14:solidFill>
          </w14:textFill>
        </w:rPr>
        <w:t>”组织开标、开启投标响应文件，所有供应商均应当准时在线参加。</w:t>
      </w:r>
    </w:p>
    <w:p w14:paraId="0B07457A">
      <w:pPr>
        <w:pStyle w:val="9"/>
        <w:shd w:val="clear" w:color="auto" w:fill="auto"/>
        <w:snapToGrid w:val="0"/>
        <w:spacing w:line="360" w:lineRule="auto"/>
        <w:ind w:firstLine="480" w:firstLineChars="200"/>
        <w:rPr>
          <w:rFonts w:hint="eastAsia" w:ascii="仿宋" w:hAnsi="仿宋" w:eastAsia="仿宋" w:cs="仿宋"/>
          <w:b w:val="0"/>
          <w:color w:val="000000" w:themeColor="text1"/>
          <w:sz w:val="24"/>
          <w:szCs w:val="24"/>
          <w:highlight w:val="none"/>
          <w14:textFill>
            <w14:solidFill>
              <w14:schemeClr w14:val="tx1"/>
            </w14:solidFill>
          </w14:textFill>
        </w:rPr>
      </w:pP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color w:val="000000" w:themeColor="text1"/>
          <w:sz w:val="24"/>
          <w:szCs w:val="24"/>
          <w:highlight w:val="none"/>
          <w14:textFill>
            <w14:solidFill>
              <w14:schemeClr w14:val="tx1"/>
            </w14:solidFill>
          </w14:textFill>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3F5469A">
      <w:pPr>
        <w:shd w:val="clear" w:color="auto" w:fill="auto"/>
        <w:snapToGrid w:val="0"/>
        <w:spacing w:line="360" w:lineRule="auto"/>
        <w:ind w:firstLine="480" w:firstLineChars="200"/>
        <w:outlineLvl w:val="2"/>
        <w:rPr>
          <w:rFonts w:hint="eastAsia" w:ascii="仿宋" w:hAnsi="仿宋" w:eastAsia="仿宋" w:cs="仿宋"/>
          <w:b/>
          <w:color w:val="000000" w:themeColor="text1"/>
          <w:sz w:val="24"/>
          <w:szCs w:val="24"/>
          <w:highlight w:val="none"/>
          <w14:textFill>
            <w14:solidFill>
              <w14:schemeClr w14:val="tx1"/>
            </w14:solidFill>
          </w14:textFill>
        </w:rPr>
      </w:pPr>
      <w:bookmarkStart w:id="20" w:name="_Toc73975823"/>
      <w:r>
        <w:rPr>
          <w:rFonts w:hint="eastAsia" w:ascii="仿宋" w:hAnsi="仿宋" w:eastAsia="仿宋" w:cs="仿宋"/>
          <w:b/>
          <w:color w:val="000000" w:themeColor="text1"/>
          <w:sz w:val="24"/>
          <w:szCs w:val="24"/>
          <w:highlight w:val="none"/>
          <w:lang w:val="en-US" w:eastAsia="zh-CN"/>
          <w14:textFill>
            <w14:solidFill>
              <w14:schemeClr w14:val="tx1"/>
            </w14:solidFill>
          </w14:textFill>
        </w:rPr>
        <w:t>29.2</w:t>
      </w:r>
      <w:r>
        <w:rPr>
          <w:rFonts w:hint="eastAsia" w:ascii="仿宋" w:hAnsi="仿宋" w:eastAsia="仿宋" w:cs="仿宋"/>
          <w:b/>
          <w:bCs/>
          <w:color w:val="000000" w:themeColor="text1"/>
          <w:sz w:val="24"/>
          <w:szCs w:val="24"/>
          <w:highlight w:val="none"/>
          <w14:textFill>
            <w14:solidFill>
              <w14:schemeClr w14:val="tx1"/>
            </w14:solidFill>
          </w14:textFill>
        </w:rPr>
        <w:t>开标程序（先资格、商务技术后报价）</w:t>
      </w:r>
      <w:bookmarkEnd w:id="20"/>
    </w:p>
    <w:p w14:paraId="1353DEBE">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开标时间到后，主持人宣布开标会议开始。</w:t>
      </w:r>
    </w:p>
    <w:p w14:paraId="6D89DB45">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w:t>
      </w:r>
      <w:r>
        <w:rPr>
          <w:rFonts w:hint="eastAsia" w:ascii="仿宋" w:hAnsi="仿宋" w:eastAsia="仿宋" w:cs="仿宋"/>
          <w:b/>
          <w:color w:val="000000" w:themeColor="text1"/>
          <w:kern w:val="0"/>
          <w:sz w:val="24"/>
          <w:szCs w:val="24"/>
          <w:highlight w:val="none"/>
          <w14:textFill>
            <w14:solidFill>
              <w14:schemeClr w14:val="tx1"/>
            </w14:solidFill>
          </w14:textFill>
        </w:rPr>
        <w:t>解密规定见《供应商须知前附表》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1CC890EB">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投标文件解密异常情况处理（</w:t>
      </w:r>
      <w:r>
        <w:rPr>
          <w:rFonts w:hint="eastAsia" w:ascii="仿宋" w:hAnsi="仿宋" w:eastAsia="仿宋" w:cs="仿宋"/>
          <w:b/>
          <w:color w:val="000000" w:themeColor="text1"/>
          <w:kern w:val="0"/>
          <w:sz w:val="24"/>
          <w:szCs w:val="24"/>
          <w:highlight w:val="none"/>
          <w14:textFill>
            <w14:solidFill>
              <w14:schemeClr w14:val="tx1"/>
            </w14:solidFill>
          </w14:textFill>
        </w:rPr>
        <w:t>处理办法见《供应商须知前附表》</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p>
    <w:p w14:paraId="2AE855D3">
      <w:pPr>
        <w:shd w:val="clear" w:color="auto" w:fill="auto"/>
        <w:snapToGrid w:val="0"/>
        <w:spacing w:line="360" w:lineRule="auto"/>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公布投标文件解密情况（投标文件成功解密的供应商名单等信息），组织签署</w:t>
      </w:r>
      <w:r>
        <w:rPr>
          <w:rFonts w:hint="eastAsia" w:ascii="仿宋" w:hAnsi="仿宋" w:eastAsia="仿宋" w:cs="仿宋"/>
          <w:b/>
          <w:bCs/>
          <w:color w:val="000000" w:themeColor="text1"/>
          <w:kern w:val="0"/>
          <w:sz w:val="24"/>
          <w:szCs w:val="24"/>
          <w:highlight w:val="none"/>
          <w14:textFill>
            <w14:solidFill>
              <w14:schemeClr w14:val="tx1"/>
            </w14:solidFill>
          </w14:textFill>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1428839043@qq.com</w:t>
      </w:r>
      <w:r>
        <w:rPr>
          <w:rFonts w:hint="eastAsia" w:ascii="仿宋" w:hAnsi="仿宋" w:eastAsia="仿宋" w:cs="仿宋"/>
          <w:b/>
          <w:bCs/>
          <w:color w:val="000000" w:themeColor="text1"/>
          <w:kern w:val="0"/>
          <w:sz w:val="24"/>
          <w:szCs w:val="24"/>
          <w:highlight w:val="none"/>
          <w14:textFill>
            <w14:solidFill>
              <w14:schemeClr w14:val="tx1"/>
            </w14:solidFill>
          </w14:textFill>
        </w:rPr>
        <w:t>，逾期发送或未发送的视为无异议</w:t>
      </w:r>
      <w:r>
        <w:rPr>
          <w:rFonts w:hint="eastAsia" w:ascii="仿宋" w:hAnsi="仿宋" w:eastAsia="仿宋" w:cs="仿宋"/>
          <w:color w:val="000000" w:themeColor="text1"/>
          <w:kern w:val="0"/>
          <w:sz w:val="24"/>
          <w:szCs w:val="24"/>
          <w:highlight w:val="none"/>
          <w14:textFill>
            <w14:solidFill>
              <w14:schemeClr w14:val="tx1"/>
            </w14:solidFill>
          </w14:textFill>
        </w:rPr>
        <w:t>。</w:t>
      </w:r>
    </w:p>
    <w:p w14:paraId="61DA712F">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开启标书信息（资格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文件、商务技术文件）。标书信息开启后，首先由采购人或采购代理机构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或评审小组</w:t>
      </w:r>
      <w:r>
        <w:rPr>
          <w:rFonts w:hint="eastAsia" w:ascii="仿宋" w:hAnsi="仿宋" w:eastAsia="仿宋" w:cs="仿宋"/>
          <w:color w:val="000000" w:themeColor="text1"/>
          <w:kern w:val="0"/>
          <w:sz w:val="24"/>
          <w:szCs w:val="24"/>
          <w:highlight w:val="none"/>
          <w14:textFill>
            <w14:solidFill>
              <w14:schemeClr w14:val="tx1"/>
            </w14:solidFill>
          </w14:textFill>
        </w:rPr>
        <w:t>依法对投标供应商的资格</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证明</w:t>
      </w:r>
      <w:r>
        <w:rPr>
          <w:rFonts w:hint="eastAsia" w:ascii="仿宋" w:hAnsi="仿宋" w:eastAsia="仿宋" w:cs="仿宋"/>
          <w:color w:val="000000" w:themeColor="text1"/>
          <w:kern w:val="0"/>
          <w:sz w:val="24"/>
          <w:szCs w:val="24"/>
          <w:highlight w:val="none"/>
          <w14:textFill>
            <w14:solidFill>
              <w14:schemeClr w14:val="tx1"/>
            </w14:solidFill>
          </w14:textFill>
        </w:rPr>
        <w:t>文件进行审查（具体见本章“</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color w:val="000000" w:themeColor="text1"/>
          <w:kern w:val="0"/>
          <w:sz w:val="24"/>
          <w:szCs w:val="24"/>
          <w:highlight w:val="none"/>
          <w14:textFill>
            <w14:solidFill>
              <w14:schemeClr w14:val="tx1"/>
            </w14:solidFill>
          </w14:textFill>
        </w:rPr>
        <w:t xml:space="preserve"> 投标供应商资格审查”）， 审查结束公布投标供应商的资格符合情况。资格审查未获通过的供应商，其商务技术文件及报价文件不再进入评审。</w:t>
      </w:r>
    </w:p>
    <w:p w14:paraId="7DD0F68A">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商务技术评审结束后，主持人公布商务技术评审无效投标供应商名单和商务技术评审有效投标供应商名单及其商务技术得分情况</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商务技术评审无效的供应商，其报价不再进入评审。</w:t>
      </w:r>
    </w:p>
    <w:p w14:paraId="094B8DCB">
      <w:pPr>
        <w:shd w:val="clear" w:color="auto" w:fill="auto"/>
        <w:snapToGrid w:val="0"/>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开启有效投标供应商的报价，公布开标一览表有关内容，</w:t>
      </w:r>
      <w:r>
        <w:rPr>
          <w:rFonts w:hint="eastAsia" w:ascii="仿宋" w:hAnsi="仿宋" w:eastAsia="仿宋" w:cs="仿宋"/>
          <w:color w:val="000000" w:themeColor="text1"/>
          <w:sz w:val="24"/>
          <w:szCs w:val="24"/>
          <w:highlight w:val="none"/>
          <w:lang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kern w:val="0"/>
          <w:sz w:val="24"/>
          <w:szCs w:val="24"/>
          <w:highlight w:val="none"/>
          <w14:textFill>
            <w14:solidFill>
              <w14:schemeClr w14:val="tx1"/>
            </w14:solidFill>
          </w14:textFill>
        </w:rPr>
        <w:t>。开标结束后，由评标委员会对报价的合理性、准确性等进行审查核实</w:t>
      </w:r>
      <w:r>
        <w:rPr>
          <w:rFonts w:hint="eastAsia" w:ascii="仿宋" w:hAnsi="仿宋" w:eastAsia="仿宋" w:cs="仿宋"/>
          <w:color w:val="000000" w:themeColor="text1"/>
          <w:sz w:val="24"/>
          <w:szCs w:val="24"/>
          <w:highlight w:val="none"/>
          <w14:textFill>
            <w14:solidFill>
              <w14:schemeClr w14:val="tx1"/>
            </w14:solidFill>
          </w14:textFill>
        </w:rPr>
        <w:t>。</w:t>
      </w:r>
    </w:p>
    <w:p w14:paraId="4144C4E3">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评审结束后，采购代理机构在系统上公布评审结果。</w:t>
      </w:r>
    </w:p>
    <w:p w14:paraId="14618732">
      <w:pPr>
        <w:shd w:val="clear" w:color="auto" w:fill="auto"/>
        <w:snapToGrid w:val="0"/>
        <w:spacing w:line="360" w:lineRule="auto"/>
        <w:ind w:left="48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特别情况说明：</w:t>
      </w:r>
    </w:p>
    <w:p w14:paraId="0C687082">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（1）本项目采用电子交易，如遇“</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新疆</w:t>
      </w:r>
      <w:r>
        <w:rPr>
          <w:rFonts w:hint="eastAsia" w:ascii="仿宋" w:hAnsi="仿宋" w:eastAsia="仿宋" w:cs="仿宋"/>
          <w:b/>
          <w:color w:val="000000" w:themeColor="text1"/>
          <w:kern w:val="0"/>
          <w:sz w:val="24"/>
          <w:szCs w:val="24"/>
          <w:highlight w:val="none"/>
          <w14:textFill>
            <w14:solidFill>
              <w14:schemeClr w14:val="tx1"/>
            </w14:solidFill>
          </w14:textFill>
        </w:rPr>
        <w:t>政府采购云平台”电子化开标或评审程序调整的，按调整后程序执行。</w:t>
      </w:r>
    </w:p>
    <w:p w14:paraId="419C817B">
      <w:pPr>
        <w:shd w:val="clear" w:color="auto" w:fill="auto"/>
        <w:snapToGrid w:val="0"/>
        <w:spacing w:line="360" w:lineRule="auto"/>
        <w:ind w:firstLine="424" w:firstLineChars="177"/>
        <w:jc w:val="left"/>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（2）开标过程中需要相关当事人进行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或盖章确认的材料将通过“政府采购云平台”进行，若因“政府采购云平台”技术问题无法进行</w:t>
      </w:r>
      <w:r>
        <w:rPr>
          <w:rFonts w:hint="eastAsia" w:ascii="仿宋" w:hAnsi="仿宋" w:eastAsia="仿宋" w:cs="仿宋"/>
          <w:b/>
          <w:color w:val="000000" w:themeColor="text1"/>
          <w:kern w:val="0"/>
          <w:sz w:val="24"/>
          <w:szCs w:val="24"/>
          <w:highlight w:val="non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14:textFill>
            <w14:solidFill>
              <w14:schemeClr w14:val="tx1"/>
            </w14:solidFill>
          </w14:textFill>
        </w:rPr>
        <w:t>或盖章确认的，采购组织机构将通过电子邮件等形式予以确认，</w:t>
      </w:r>
      <w:r>
        <w:rPr>
          <w:rFonts w:hint="eastAsia" w:ascii="仿宋" w:hAnsi="仿宋" w:eastAsia="仿宋" w:cs="仿宋"/>
          <w:b/>
          <w:color w:val="000000" w:themeColor="text1"/>
          <w:kern w:val="0"/>
          <w:sz w:val="24"/>
          <w:szCs w:val="24"/>
          <w:highlight w:val="none"/>
          <w:u w:val="single"/>
          <w14:textFill>
            <w14:solidFill>
              <w14:schemeClr w14:val="tx1"/>
            </w14:solidFill>
          </w14:textFill>
        </w:rPr>
        <w:t>请供应商保证办理投标事宜人员电话畅通、网络在线，</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或盖章确认的时间为20分钟。如未及时</w:t>
      </w:r>
      <w:r>
        <w:rPr>
          <w:rFonts w:hint="eastAsia" w:ascii="仿宋" w:hAnsi="仿宋" w:eastAsia="仿宋" w:cs="仿宋"/>
          <w:b/>
          <w:color w:val="000000" w:themeColor="text1"/>
          <w:kern w:val="0"/>
          <w:sz w:val="24"/>
          <w:szCs w:val="24"/>
          <w:highlight w:val="none"/>
          <w:u w:val="single"/>
          <w:lang w:eastAsia="zh-CN"/>
          <w14:textFill>
            <w14:solidFill>
              <w14:schemeClr w14:val="tx1"/>
            </w14:solidFill>
          </w14:textFill>
        </w:rPr>
        <w:t>签章</w:t>
      </w:r>
      <w:r>
        <w:rPr>
          <w:rFonts w:hint="eastAsia" w:ascii="仿宋" w:hAnsi="仿宋" w:eastAsia="仿宋" w:cs="仿宋"/>
          <w:b/>
          <w:color w:val="000000" w:themeColor="text1"/>
          <w:kern w:val="0"/>
          <w:sz w:val="24"/>
          <w:szCs w:val="24"/>
          <w:highlight w:val="none"/>
          <w:u w:val="single"/>
          <w14:textFill>
            <w14:solidFill>
              <w14:schemeClr w14:val="tx1"/>
            </w14:solidFill>
          </w14:textFill>
        </w:rPr>
        <w:t>或盖章确认的，视为无异议</w:t>
      </w:r>
      <w:r>
        <w:rPr>
          <w:rFonts w:hint="eastAsia" w:ascii="仿宋" w:hAnsi="仿宋" w:eastAsia="仿宋" w:cs="仿宋"/>
          <w:b/>
          <w:color w:val="000000" w:themeColor="text1"/>
          <w:kern w:val="0"/>
          <w:sz w:val="24"/>
          <w:szCs w:val="24"/>
          <w:highlight w:val="none"/>
          <w14:textFill>
            <w14:solidFill>
              <w14:schemeClr w14:val="tx1"/>
            </w14:solidFill>
          </w14:textFill>
        </w:rPr>
        <w:t>。</w:t>
      </w:r>
    </w:p>
    <w:p w14:paraId="0F26ED34">
      <w:pPr>
        <w:shd w:val="clear" w:color="auto" w:fill="auto"/>
        <w:snapToGrid w:val="0"/>
        <w:spacing w:line="360" w:lineRule="auto"/>
        <w:ind w:firstLine="480" w:firstLineChars="200"/>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29.3</w:t>
      </w:r>
      <w:r>
        <w:rPr>
          <w:rFonts w:hint="eastAsia" w:ascii="仿宋" w:hAnsi="仿宋" w:eastAsia="仿宋" w:cs="仿宋"/>
          <w:b/>
          <w:color w:val="000000" w:themeColor="text1"/>
          <w:kern w:val="0"/>
          <w:sz w:val="24"/>
          <w:szCs w:val="24"/>
          <w:highlight w:val="none"/>
          <w14:textFill>
            <w14:solidFill>
              <w14:schemeClr w14:val="tx1"/>
            </w14:solidFill>
          </w14:textFill>
        </w:rPr>
        <w:t xml:space="preserve"> 投标供应商资格审查：</w:t>
      </w:r>
    </w:p>
    <w:p w14:paraId="20F17389">
      <w:pPr>
        <w:shd w:val="clear" w:color="auto" w:fill="auto"/>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bCs/>
          <w:color w:val="000000" w:themeColor="text1"/>
          <w:kern w:val="0"/>
          <w:sz w:val="24"/>
          <w:szCs w:val="24"/>
          <w:highlight w:val="none"/>
          <w14:textFill>
            <w14:solidFill>
              <w14:schemeClr w14:val="tx1"/>
            </w14:solidFill>
          </w14:textFill>
        </w:rPr>
        <w:t>开标（标书信息开启）后，采购人或采购代理机构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bCs/>
          <w:color w:val="000000" w:themeColor="text1"/>
          <w:kern w:val="0"/>
          <w:sz w:val="24"/>
          <w:szCs w:val="24"/>
          <w:highlight w:val="none"/>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sz w:val="24"/>
          <w:szCs w:val="24"/>
          <w:highlight w:val="none"/>
          <w14:textFill>
            <w14:solidFill>
              <w14:schemeClr w14:val="tx1"/>
            </w14:solidFill>
          </w14:textFill>
        </w:rPr>
        <w:t>采购人或采购代理机构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或</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评审小组</w:t>
      </w:r>
      <w:r>
        <w:rPr>
          <w:rFonts w:hint="eastAsia" w:ascii="仿宋" w:hAnsi="仿宋" w:eastAsia="仿宋" w:cs="仿宋"/>
          <w:color w:val="000000" w:themeColor="text1"/>
          <w:sz w:val="24"/>
          <w:szCs w:val="24"/>
          <w:highlight w:val="none"/>
          <w14:textFill>
            <w14:solidFill>
              <w14:schemeClr w14:val="tx1"/>
            </w14:solidFill>
          </w14:textFill>
        </w:rPr>
        <w:t>对投标供应商所提交的资格证明材料仅负审核的责任。如发现投标供应商所提交的资格证明材料不合法或与事实不符，采购人可取消其中标资格并追究投标供应商的法律责任。</w:t>
      </w:r>
    </w:p>
    <w:p w14:paraId="051E5E2E">
      <w:pPr>
        <w:pStyle w:val="5"/>
        <w:shd w:val="clear" w:color="auto" w:fill="auto"/>
        <w:snapToGrid w:val="0"/>
        <w:spacing w:line="360" w:lineRule="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kern w:val="0"/>
          <w:sz w:val="24"/>
          <w:szCs w:val="24"/>
          <w:highlight w:val="none"/>
          <w14:textFill>
            <w14:solidFill>
              <w14:schemeClr w14:val="tx1"/>
            </w14:solidFill>
          </w14:textFill>
        </w:rPr>
        <w:t>供应商</w:t>
      </w:r>
      <w:r>
        <w:rPr>
          <w:rFonts w:hint="eastAsia" w:ascii="仿宋" w:hAnsi="仿宋" w:eastAsia="仿宋" w:cs="仿宋"/>
          <w:b w:val="0"/>
          <w:bCs/>
          <w:color w:val="000000" w:themeColor="text1"/>
          <w:sz w:val="24"/>
          <w:szCs w:val="24"/>
          <w:highlight w:val="none"/>
          <w14:textFill>
            <w14:solidFill>
              <w14:schemeClr w14:val="tx1"/>
            </w14:solidFill>
          </w14:textFill>
        </w:rPr>
        <w:t>信用记录查询与使用：</w:t>
      </w:r>
      <w:r>
        <w:rPr>
          <w:rFonts w:hint="eastAsia" w:ascii="仿宋" w:hAnsi="仿宋" w:eastAsia="仿宋" w:cs="仿宋"/>
          <w:b w:val="0"/>
          <w:bCs/>
          <w:color w:val="000000" w:themeColor="text1"/>
          <w:kern w:val="0"/>
          <w:sz w:val="24"/>
          <w:szCs w:val="24"/>
          <w:highlight w:val="none"/>
          <w14:textFill>
            <w14:solidFill>
              <w14:schemeClr w14:val="tx1"/>
            </w14:solidFill>
          </w14:textFill>
        </w:rPr>
        <w:t>见《供应商须知前附表》。</w:t>
      </w:r>
    </w:p>
    <w:p w14:paraId="44980B2F">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评审工作的组织</w:t>
      </w:r>
    </w:p>
    <w:p w14:paraId="7C8F71FF">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7FE731FB">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 评标委员会的组建</w:t>
      </w:r>
    </w:p>
    <w:p w14:paraId="7F789E1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人或以上单数，其中评审专家不少于成员总数的三分之二。</w:t>
      </w:r>
    </w:p>
    <w:p w14:paraId="33F0A7C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31</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14:paraId="2172475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.评标委员会的职责</w:t>
      </w:r>
    </w:p>
    <w:p w14:paraId="38D26C0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.1审查、评价投标文件是否符合采购文件的商务、技术等实质性要求。</w:t>
      </w:r>
    </w:p>
    <w:p w14:paraId="1386983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.2要求供应商对投标文件有关事项作出澄清或者说明。</w:t>
      </w:r>
    </w:p>
    <w:p w14:paraId="63D2AA50">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.3对投标文件进行比较和评价。</w:t>
      </w:r>
    </w:p>
    <w:p w14:paraId="7EA6A89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.4确定中标候选人名单，以及根据采购人委托直接确定中标人。</w:t>
      </w:r>
    </w:p>
    <w:p w14:paraId="1B1DEC8D">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32</w:t>
      </w:r>
      <w:r>
        <w:rPr>
          <w:rFonts w:hint="eastAsia" w:ascii="仿宋" w:hAnsi="仿宋" w:eastAsia="仿宋" w:cs="仿宋"/>
          <w:color w:val="000000" w:themeColor="text1"/>
          <w:szCs w:val="21"/>
          <w:highlight w:val="none"/>
          <w14:textFill>
            <w14:solidFill>
              <w14:schemeClr w14:val="tx1"/>
            </w14:solidFill>
          </w14:textFill>
        </w:rPr>
        <w:t>.5向采购人、采购代理机构或者有关部门报告评审中发现的违法行为。</w:t>
      </w:r>
    </w:p>
    <w:p w14:paraId="0465B303">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评标原则</w:t>
      </w:r>
    </w:p>
    <w:p w14:paraId="5B77B9A1">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.1评标委员会将遵循公平、公正、科学的原则，对供应商提交的投标文件进行综合评审，评标委员会按照采购文件规定的评标细则进行评分。</w:t>
      </w:r>
    </w:p>
    <w:p w14:paraId="130AFCB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 xml:space="preserve">.2客观公正对待所有供应商，对所有投标评价均采用相同的程序和标准。 </w:t>
      </w:r>
    </w:p>
    <w:p w14:paraId="49D15763">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.3评标委员会成员对需要共同认定的事项存在争议的，按照少数服从多数的原则作出结论。持不同意见的评标委员会成员应当在评审报告上签署不同意见及理由，否则视为同意评审报告。</w:t>
      </w:r>
    </w:p>
    <w:p w14:paraId="188A95B8">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33</w:t>
      </w:r>
      <w:r>
        <w:rPr>
          <w:rFonts w:hint="eastAsia" w:ascii="仿宋" w:hAnsi="仿宋" w:eastAsia="仿宋" w:cs="仿宋"/>
          <w:color w:val="000000" w:themeColor="text1"/>
          <w:szCs w:val="21"/>
          <w:highlight w:val="none"/>
          <w14:textFill>
            <w14:solidFill>
              <w14:schemeClr w14:val="tx1"/>
            </w14:solidFill>
          </w14:textFill>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D95221D">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14:paraId="531954D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34</w:t>
      </w:r>
      <w:r>
        <w:rPr>
          <w:rFonts w:hint="eastAsia" w:ascii="仿宋" w:hAnsi="仿宋" w:eastAsia="仿宋" w:cs="仿宋"/>
          <w:color w:val="000000" w:themeColor="text1"/>
          <w:szCs w:val="21"/>
          <w:highlight w:val="none"/>
          <w14:textFill>
            <w14:solidFill>
              <w14:schemeClr w14:val="tx1"/>
            </w14:solidFill>
          </w14:textFill>
        </w:rPr>
        <w:t>. 评委纪律</w:t>
      </w:r>
    </w:p>
    <w:p w14:paraId="2D3CEE25">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536E7BA2">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评标程序</w:t>
      </w:r>
    </w:p>
    <w:p w14:paraId="04335F3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 在评审专家中推选评标委员会组长，采购人代表不得担任评标委员会组长。</w:t>
      </w:r>
    </w:p>
    <w:p w14:paraId="58FFF70F">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4A8476C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3 评审人员对符合资格的供应商的投标文件的有效性、符合性、完整性和响应程度进行审查，确定是否对采购文件作出实质性响应。</w:t>
      </w:r>
    </w:p>
    <w:p w14:paraId="650FCFF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4 评审人员按采购文件规定的评审方法和评审标准，依法独立对供应商投标文件进行评估、比较，并给予评价或打分，不受任何单位和个人的干预。</w:t>
      </w:r>
    </w:p>
    <w:p w14:paraId="1CCBB641">
      <w:pPr>
        <w:widowControl/>
        <w:shd w:val="clear" w:color="auto" w:fill="auto"/>
        <w:spacing w:line="440" w:lineRule="exact"/>
        <w:ind w:firstLine="480" w:firstLineChars="20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w:t>
      </w:r>
      <w:r>
        <w:rPr>
          <w:rFonts w:hint="eastAsia" w:ascii="仿宋" w:hAnsi="仿宋" w:eastAsia="仿宋" w:cs="仿宋"/>
          <w:color w:val="000000" w:themeColor="text1"/>
          <w:kern w:val="0"/>
          <w:szCs w:val="21"/>
          <w:highlight w:val="none"/>
          <w:lang w:val="en-US" w:eastAsia="zh-CN"/>
          <w14:textFill>
            <w14:solidFill>
              <w14:schemeClr w14:val="tx1"/>
            </w14:solidFill>
          </w14:textFill>
        </w:rPr>
        <w:t>服务</w:t>
      </w:r>
      <w:r>
        <w:rPr>
          <w:rFonts w:hint="eastAsia" w:ascii="仿宋" w:hAnsi="仿宋" w:eastAsia="仿宋" w:cs="仿宋"/>
          <w:color w:val="000000" w:themeColor="text1"/>
          <w:kern w:val="0"/>
          <w:szCs w:val="21"/>
          <w:highlight w:val="none"/>
          <w14:textFill>
            <w14:solidFill>
              <w14:schemeClr w14:val="tx1"/>
            </w14:solidFill>
          </w14:textFill>
        </w:rPr>
        <w:t>项目的价格分值占总分值的比重(即权值)为</w:t>
      </w:r>
      <w:r>
        <w:rPr>
          <w:rFonts w:hint="eastAsia" w:ascii="仿宋" w:hAnsi="仿宋" w:eastAsia="仿宋" w:cs="仿宋"/>
          <w:color w:val="000000" w:themeColor="text1"/>
          <w:kern w:val="0"/>
          <w:szCs w:val="21"/>
          <w:highlight w:val="none"/>
          <w:lang w:val="en-US" w:eastAsia="zh-CN"/>
          <w14:textFill>
            <w14:solidFill>
              <w14:schemeClr w14:val="tx1"/>
            </w14:solidFill>
          </w14:textFill>
        </w:rPr>
        <w:t>10</w:t>
      </w:r>
      <w:r>
        <w:rPr>
          <w:rFonts w:hint="eastAsia" w:ascii="仿宋" w:hAnsi="仿宋" w:eastAsia="仿宋" w:cs="仿宋"/>
          <w:color w:val="000000" w:themeColor="text1"/>
          <w:kern w:val="0"/>
          <w:szCs w:val="21"/>
          <w:highlight w:val="none"/>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14:paraId="44336B20">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综合评分法中的价格分统一采用低价优先法计算，即满足</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文件要求且最后报价最低的供应商的价格为</w:t>
      </w:r>
      <w:r>
        <w:rPr>
          <w:rFonts w:hint="eastAsia" w:ascii="仿宋" w:hAnsi="仿宋" w:eastAsia="仿宋" w:cs="仿宋"/>
          <w:color w:val="000000" w:themeColor="text1"/>
          <w:kern w:val="0"/>
          <w:szCs w:val="21"/>
          <w:highlight w:val="none"/>
          <w:lang w:eastAsia="zh-CN"/>
          <w14:textFill>
            <w14:solidFill>
              <w14:schemeClr w14:val="tx1"/>
            </w14:solidFill>
          </w14:textFill>
        </w:rPr>
        <w:t>招标</w:t>
      </w:r>
      <w:r>
        <w:rPr>
          <w:rFonts w:hint="eastAsia" w:ascii="仿宋" w:hAnsi="仿宋" w:eastAsia="仿宋" w:cs="仿宋"/>
          <w:color w:val="000000" w:themeColor="text1"/>
          <w:kern w:val="0"/>
          <w:szCs w:val="21"/>
          <w:highlight w:val="none"/>
          <w14:textFill>
            <w14:solidFill>
              <w14:schemeClr w14:val="tx1"/>
            </w14:solidFill>
          </w14:textFill>
        </w:rPr>
        <w:t>基准价，其价格分为满分。其他供应商的价格分统一按照下列公式计算：</w:t>
      </w:r>
    </w:p>
    <w:p w14:paraId="4D76C453">
      <w:pPr>
        <w:widowControl/>
        <w:shd w:val="clear" w:color="auto" w:fill="auto"/>
        <w:spacing w:line="440" w:lineRule="exact"/>
        <w:ind w:firstLine="48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报价得分=（基准价/</w:t>
      </w:r>
      <w:r>
        <w:rPr>
          <w:rFonts w:hint="eastAsia" w:ascii="仿宋" w:hAnsi="仿宋" w:eastAsia="仿宋" w:cs="仿宋"/>
          <w:color w:val="000000" w:themeColor="text1"/>
          <w:kern w:val="0"/>
          <w:szCs w:val="21"/>
          <w:highlight w:val="none"/>
          <w:lang w:eastAsia="zh-CN"/>
          <w14:textFill>
            <w14:solidFill>
              <w14:schemeClr w14:val="tx1"/>
            </w14:solidFill>
          </w14:textFill>
        </w:rPr>
        <w:t>投标</w:t>
      </w:r>
      <w:r>
        <w:rPr>
          <w:rFonts w:hint="eastAsia" w:ascii="仿宋" w:hAnsi="仿宋" w:eastAsia="仿宋" w:cs="仿宋"/>
          <w:color w:val="000000" w:themeColor="text1"/>
          <w:kern w:val="0"/>
          <w:szCs w:val="21"/>
          <w:highlight w:val="none"/>
          <w14:textFill>
            <w14:solidFill>
              <w14:schemeClr w14:val="tx1"/>
            </w14:solidFill>
          </w14:textFill>
        </w:rPr>
        <w:t>报价）×价格权值×100</w:t>
      </w:r>
    </w:p>
    <w:p w14:paraId="0A6765F5">
      <w:pPr>
        <w:widowControl/>
        <w:shd w:val="clear" w:color="auto" w:fill="auto"/>
        <w:spacing w:line="440" w:lineRule="exact"/>
        <w:ind w:firstLine="48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项目评审过程中，不得去掉最后报价中的最高报价和最低报价。</w:t>
      </w:r>
    </w:p>
    <w:p w14:paraId="152E202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133D4B7">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000000" w:themeColor="text1"/>
          <w:szCs w:val="21"/>
          <w:highlight w:val="none"/>
          <w:lang w:val="en-US" w:eastAsia="zh-CN"/>
          <w14:textFill>
            <w14:solidFill>
              <w14:schemeClr w14:val="tx1"/>
            </w14:solidFill>
          </w14:textFill>
        </w:rPr>
        <w:t>30</w:t>
      </w:r>
      <w:r>
        <w:rPr>
          <w:rFonts w:hint="eastAsia" w:ascii="仿宋" w:hAnsi="仿宋" w:eastAsia="仿宋" w:cs="仿宋"/>
          <w:color w:val="000000" w:themeColor="text1"/>
          <w:szCs w:val="21"/>
          <w:highlight w:val="none"/>
          <w14:textFill>
            <w14:solidFill>
              <w14:schemeClr w14:val="tx1"/>
            </w14:solidFill>
          </w14:textFill>
        </w:rPr>
        <w:t>%以上的）情形的，应由相关人员当场改正或作出书面说明；拒不改正又不作书面说明的，由现场监督员如实记载后存入项目档案资料。</w:t>
      </w:r>
    </w:p>
    <w:p w14:paraId="206EEA0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7 评标委员会根据评审汇总情况和采购文件规定确定中标候选供应商排序名单。</w:t>
      </w:r>
    </w:p>
    <w:p w14:paraId="2BF1500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8 起草评审报告，所有评审人员须在评审报告上</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 xml:space="preserve">确认，对自己的评审意见承担法律责任。 </w:t>
      </w:r>
    </w:p>
    <w:p w14:paraId="1D60313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9 采购组织机构对评标委员会评审专家进行评价。</w:t>
      </w:r>
    </w:p>
    <w:p w14:paraId="6452978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35.</w:t>
      </w:r>
      <w:r>
        <w:rPr>
          <w:rFonts w:hint="eastAsia" w:ascii="仿宋" w:hAnsi="仿宋" w:eastAsia="仿宋" w:cs="仿宋"/>
          <w:color w:val="000000" w:themeColor="text1"/>
          <w:szCs w:val="21"/>
          <w:highlight w:val="none"/>
          <w14:textFill>
            <w14:solidFill>
              <w14:schemeClr w14:val="tx1"/>
            </w14:solidFill>
          </w14:textFill>
        </w:rPr>
        <w:t>10 修改评审结果</w:t>
      </w:r>
    </w:p>
    <w:p w14:paraId="7A26F9E1">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评标结果汇总完成后，除下列情形外，任何人不得修改评标结果：</w:t>
      </w:r>
    </w:p>
    <w:p w14:paraId="36541F1A">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（1）分值汇总计算错误的；</w:t>
      </w:r>
    </w:p>
    <w:p w14:paraId="682AE986">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（2）分项评分超出评分标准范围的；</w:t>
      </w:r>
    </w:p>
    <w:p w14:paraId="79C4C1F9">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（3）评标委员会成员对客观评审因素评分不一致的；</w:t>
      </w:r>
    </w:p>
    <w:p w14:paraId="1EA88E23">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（4）经评标委员会认定评分畸高、畸低的。</w:t>
      </w:r>
    </w:p>
    <w:p w14:paraId="2C0F1444">
      <w:pPr>
        <w:widowControl/>
        <w:shd w:val="clear" w:color="auto" w:fill="auto"/>
        <w:spacing w:line="440" w:lineRule="exact"/>
        <w:ind w:firstLine="24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D8766B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36．澄清、说明或补正的形式</w:t>
      </w:r>
    </w:p>
    <w:p w14:paraId="167195E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highlight w:val="none"/>
          <w:lang w:val="en-US" w:eastAsia="zh-CN"/>
          <w14:textFill>
            <w14:solidFill>
              <w14:schemeClr w14:val="tx1"/>
            </w14:solidFill>
          </w14:textFill>
        </w:rPr>
        <w:t>投标供应商澄清、说明或补正时间为20分钟</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w:t>
      </w:r>
    </w:p>
    <w:p w14:paraId="12CEEB9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56B5CE8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EDEAFE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37．错误修正的原则</w:t>
      </w:r>
    </w:p>
    <w:p w14:paraId="340CE4A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2DCCCB0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14:paraId="0021E0E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37.1 投标函中表述的内容与报价表中不一致的，以报价表为准；报价表中的内容与报价明细表不一致的，以报价表为准；</w:t>
      </w:r>
    </w:p>
    <w:p w14:paraId="1C97427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37.2 投标文件中的大写金额和小写金额不一致的，以大写金额为准；</w:t>
      </w:r>
    </w:p>
    <w:p w14:paraId="2BCE8B10">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37.3 单价金额小数点或者百分比有明显错位的，以开标一览表的总价为准，并修改单价；</w:t>
      </w:r>
    </w:p>
    <w:p w14:paraId="358B9AC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37.4 总价金额与按单价汇总金额不一致的，以单价金额计算结果为准；</w:t>
      </w:r>
    </w:p>
    <w:p w14:paraId="524D654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37.5 若用文字表示的数值与用数字表示的数值不一致，以文字表示的数值为准；</w:t>
      </w:r>
    </w:p>
    <w:p w14:paraId="10B5847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14:paraId="0F6403A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37.7 对不同文字文本投标文件的解释发生异议的，以中文文本为准；</w:t>
      </w:r>
    </w:p>
    <w:p w14:paraId="05B38041">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highlight w:val="none"/>
          <w:lang w:val="en-US" w:eastAsia="zh-CN"/>
          <w14:textFill>
            <w14:solidFill>
              <w14:schemeClr w14:val="tx1"/>
            </w14:solidFill>
          </w14:textFill>
        </w:rPr>
        <w:t>修正应当采用电子询标的形式，并加盖公章（电子印章）。</w:t>
      </w:r>
    </w:p>
    <w:p w14:paraId="351A6B5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38．无效投标文件</w:t>
      </w:r>
    </w:p>
    <w:p w14:paraId="7F78251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有下列情形之一的，投标文件按无效标处理：</w:t>
      </w:r>
    </w:p>
    <w:p w14:paraId="3255F51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 报名的投标人与参加投标的投标人发生实质性变更的且未提供有效证明的；</w:t>
      </w:r>
    </w:p>
    <w:p w14:paraId="4EE7CE8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38.2投标人提交两份或两份以上内容不同的投标文件，未声明哪一份有效的；</w:t>
      </w:r>
    </w:p>
    <w:p w14:paraId="4A10083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38.3 投标文件非投标人法定代表人签署的，未提供或提供无效的法定代表人授权书；</w:t>
      </w:r>
    </w:p>
    <w:p w14:paraId="185BB80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38.4 未按招标文件规定装订；</w:t>
      </w:r>
    </w:p>
    <w:p w14:paraId="4F2503D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38.5 投标文件内容未按招标文件规定签章或盖章的；</w:t>
      </w:r>
    </w:p>
    <w:p w14:paraId="270919D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14:paraId="24CF837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38.7 投标人未按招标文件变更通知更改投标文件的；</w:t>
      </w:r>
    </w:p>
    <w:p w14:paraId="42F5F02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38.8 《开标一览表》和《投标分项报价表》内容不完整且不接受修正意见或字迹不能辨认的或未提供；</w:t>
      </w:r>
    </w:p>
    <w:p w14:paraId="088F9E3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38.9 标项投标报价超过招标文件规定的预算金额或最高限价</w:t>
      </w:r>
    </w:p>
    <w:p w14:paraId="6F0C42D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38.10 因投标人原因编制错误造成经评标委员会修正后的报价达到或超过投标报价的0.5%；</w:t>
      </w:r>
    </w:p>
    <w:p w14:paraId="0B86F39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14:paraId="013F233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38.12 未实质性响应招标文件中条款要求的投标文件；</w:t>
      </w:r>
    </w:p>
    <w:p w14:paraId="24251F90">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38.13 不符合招标范围、技术规格、技术标准的要求无法满足采购人使用要求；</w:t>
      </w:r>
    </w:p>
    <w:p w14:paraId="1D62589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38.14 投标文件附有采购人不能接受的条款；</w:t>
      </w:r>
    </w:p>
    <w:p w14:paraId="193F5F6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38.15 投标文件中提供了赠品或者与本项目采购无关的其他商品、服务；</w:t>
      </w:r>
    </w:p>
    <w:p w14:paraId="4B05432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38.16 投标文件中承诺的投标有效期少于招标文件中载明的投标有效期；</w:t>
      </w:r>
    </w:p>
    <w:p w14:paraId="59F2027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38.17投标人串通投标，妨碍其他投标人的竞争行为，损害采购人或者其他投标人的合法权益；</w:t>
      </w:r>
    </w:p>
    <w:p w14:paraId="507FB71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38.18违反国家及政府部门相关法律、法规、文件规定或经评标委员会认定的其他属于重大偏离；</w:t>
      </w:r>
    </w:p>
    <w:p w14:paraId="5900E83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39．废标</w:t>
      </w:r>
    </w:p>
    <w:p w14:paraId="251CA81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39.1 符合招标文件规定废标情形的；</w:t>
      </w:r>
    </w:p>
    <w:p w14:paraId="23998B3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39.2 出现影响采购公正的违法、违规行为的；</w:t>
      </w:r>
    </w:p>
    <w:p w14:paraId="65D6AEC5">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39.3 供应商的报价均超过了采购预算（或最高限价），采购人不能支付的;</w:t>
      </w:r>
    </w:p>
    <w:p w14:paraId="3C17710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39.4 因重大变故，采购任务取消的。</w:t>
      </w:r>
    </w:p>
    <w:p w14:paraId="6EA5AE3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40．突发情况处理</w:t>
      </w:r>
    </w:p>
    <w:p w14:paraId="7DB6DAE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14:paraId="7B67307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（1）电子交易平台发生故障而无法登录访问的； </w:t>
      </w:r>
    </w:p>
    <w:p w14:paraId="4851C2E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（2）电子交易平台应用或数据库出现错误，不能进行正常操作的；</w:t>
      </w:r>
    </w:p>
    <w:p w14:paraId="21A9769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（3）电子交易平台发现严重安全漏洞，有潜在泄密危险的；</w:t>
      </w:r>
    </w:p>
    <w:p w14:paraId="5F6634F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（4）病毒发作导致不能进行正常操作的； </w:t>
      </w:r>
    </w:p>
    <w:p w14:paraId="7DF6731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（5）其他无法保证电子交易的公平、公正和安全的情况。</w:t>
      </w:r>
    </w:p>
    <w:p w14:paraId="340882A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503AF5D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14:paraId="75AB5CF6">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（1）短时间内能消除不可抗力因素的，采购代理机构或评审小组在消除不可抗力因素后继续组织电子交易活动； </w:t>
      </w:r>
    </w:p>
    <w:p w14:paraId="216F0EB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56535977">
      <w:pPr>
        <w:shd w:val="clear" w:color="auto" w:fill="auto"/>
        <w:snapToGrid w:val="0"/>
        <w:spacing w:line="360" w:lineRule="exact"/>
        <w:ind w:firstLine="421"/>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41</w:t>
      </w:r>
      <w:r>
        <w:rPr>
          <w:rFonts w:hint="eastAsia" w:ascii="仿宋" w:hAnsi="仿宋" w:eastAsia="仿宋" w:cs="仿宋"/>
          <w:b/>
          <w:color w:val="000000" w:themeColor="text1"/>
          <w:szCs w:val="21"/>
          <w:highlight w:val="none"/>
          <w14:textFill>
            <w14:solidFill>
              <w14:schemeClr w14:val="tx1"/>
            </w14:solidFill>
          </w14:textFill>
        </w:rPr>
        <w:t>. 定标</w:t>
      </w:r>
    </w:p>
    <w:p w14:paraId="514BBC9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 </w:t>
      </w:r>
      <w:bookmarkStart w:id="21" w:name="_Toc469495729"/>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41.1采购结果确认（确定中标供应商）</w:t>
      </w:r>
    </w:p>
    <w:p w14:paraId="73E228B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14:paraId="43C7306A">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（1）采购代理机构将在评审结束后2个工作日内将评审报告送采购人。</w:t>
      </w:r>
    </w:p>
    <w:p w14:paraId="580969C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14:paraId="766EF57C">
      <w:pPr>
        <w:shd w:val="clear" w:color="auto" w:fill="auto"/>
        <w:spacing w:line="440" w:lineRule="exact"/>
        <w:ind w:firstLine="240" w:firstLineChars="100"/>
        <w:jc w:val="left"/>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highlight w:val="none"/>
          <w:lang w:val="en-US" w:eastAsia="zh-CN"/>
          <w14:textFill>
            <w14:solidFill>
              <w14:schemeClr w14:val="tx1"/>
            </w14:solidFill>
          </w14:textFill>
        </w:rPr>
        <w:t>新疆政府采购网（www.zjzfcg.gov.cn）上公告采购结果，中标公告期限为1个工作日。</w:t>
      </w:r>
    </w:p>
    <w:p w14:paraId="50ED34A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 中标通知书</w:t>
      </w:r>
    </w:p>
    <w:p w14:paraId="02EED1F5">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42.1</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通知书发出前，招标人将</w:t>
      </w:r>
      <w:r>
        <w:rPr>
          <w:rFonts w:hint="eastAsia" w:ascii="仿宋" w:hAnsi="仿宋" w:eastAsia="仿宋" w:cs="仿宋"/>
          <w:color w:val="000000" w:themeColor="text1"/>
          <w:szCs w:val="21"/>
          <w:highlight w:val="none"/>
          <w:lang w:eastAsia="zh-CN"/>
          <w14:textFill>
            <w14:solidFill>
              <w14:schemeClr w14:val="tx1"/>
            </w14:solidFill>
          </w14:textFill>
        </w:rPr>
        <w:t>中标</w:t>
      </w:r>
      <w:r>
        <w:rPr>
          <w:rFonts w:hint="eastAsia" w:ascii="仿宋" w:hAnsi="仿宋" w:eastAsia="仿宋" w:cs="仿宋"/>
          <w:color w:val="000000" w:themeColor="text1"/>
          <w:szCs w:val="21"/>
          <w:highlight w:val="none"/>
          <w14:textFill>
            <w14:solidFill>
              <w14:schemeClr w14:val="tx1"/>
            </w14:solidFill>
          </w14:textFill>
        </w:rPr>
        <w:t>侯选人的情况在</w:t>
      </w:r>
      <w:r>
        <w:rPr>
          <w:rFonts w:hint="eastAsia" w:ascii="仿宋" w:hAnsi="仿宋" w:eastAsia="仿宋" w:cs="仿宋"/>
          <w:color w:val="000000" w:themeColor="text1"/>
          <w:szCs w:val="21"/>
          <w:highlight w:val="none"/>
          <w:lang w:val="en-US" w:eastAsia="zh-CN"/>
          <w14:textFill>
            <w14:solidFill>
              <w14:schemeClr w14:val="tx1"/>
            </w14:solidFill>
          </w14:textFill>
        </w:rPr>
        <w:t>克州公共资源交易中心网、</w:t>
      </w:r>
      <w:r>
        <w:rPr>
          <w:rFonts w:hint="eastAsia" w:ascii="仿宋" w:hAnsi="仿宋" w:eastAsia="仿宋" w:cs="仿宋"/>
          <w:color w:val="000000" w:themeColor="text1"/>
          <w:szCs w:val="21"/>
          <w:highlight w:val="none"/>
          <w:lang w:eastAsia="zh-CN"/>
          <w14:textFill>
            <w14:solidFill>
              <w14:schemeClr w14:val="tx1"/>
            </w14:solidFill>
          </w14:textFill>
        </w:rPr>
        <w:t>新疆政府采购网</w:t>
      </w:r>
      <w:r>
        <w:rPr>
          <w:rFonts w:hint="eastAsia" w:ascii="仿宋" w:hAnsi="仿宋" w:eastAsia="仿宋" w:cs="仿宋"/>
          <w:color w:val="000000" w:themeColor="text1"/>
          <w:szCs w:val="21"/>
          <w:highlight w:val="none"/>
          <w14:textFill>
            <w14:solidFill>
              <w14:schemeClr w14:val="tx1"/>
            </w14:solidFill>
          </w14:textFill>
        </w:rPr>
        <w:t>予以公示，</w:t>
      </w:r>
      <w:r>
        <w:rPr>
          <w:rFonts w:hint="eastAsia" w:ascii="仿宋" w:hAnsi="仿宋" w:eastAsia="仿宋" w:cs="仿宋"/>
          <w:b/>
          <w:bCs/>
          <w:color w:val="000000" w:themeColor="text1"/>
          <w:szCs w:val="21"/>
          <w:highlight w:val="none"/>
          <w14:textFill>
            <w14:solidFill>
              <w14:schemeClr w14:val="tx1"/>
            </w14:solidFill>
          </w14:textFill>
        </w:rPr>
        <w:t>公示期为</w:t>
      </w:r>
      <w:r>
        <w:rPr>
          <w:rFonts w:hint="eastAsia" w:ascii="仿宋" w:hAnsi="仿宋" w:eastAsia="仿宋" w:cs="仿宋"/>
          <w:b/>
          <w:bCs/>
          <w:color w:val="000000" w:themeColor="text1"/>
          <w:szCs w:val="21"/>
          <w:highlight w:val="none"/>
          <w:lang w:eastAsia="zh-CN"/>
          <w14:textFill>
            <w14:solidFill>
              <w14:schemeClr w14:val="tx1"/>
            </w14:solidFill>
          </w14:textFill>
        </w:rPr>
        <w:t>一</w:t>
      </w:r>
      <w:r>
        <w:rPr>
          <w:rFonts w:hint="eastAsia" w:ascii="仿宋" w:hAnsi="仿宋" w:eastAsia="仿宋" w:cs="仿宋"/>
          <w:b/>
          <w:bCs/>
          <w:color w:val="000000" w:themeColor="text1"/>
          <w:szCs w:val="21"/>
          <w:highlight w:val="none"/>
          <w14:textFill>
            <w14:solidFill>
              <w14:schemeClr w14:val="tx1"/>
            </w14:solidFill>
          </w14:textFill>
        </w:rPr>
        <w:t>个工作日。</w:t>
      </w:r>
      <w:r>
        <w:rPr>
          <w:rFonts w:hint="eastAsia" w:ascii="仿宋" w:hAnsi="仿宋" w:eastAsia="仿宋" w:cs="仿宋"/>
          <w:b/>
          <w:bCs/>
          <w:color w:val="000000" w:themeColor="text1"/>
          <w:szCs w:val="21"/>
          <w:highlight w:val="none"/>
          <w:lang w:eastAsia="zh-CN"/>
          <w14:textFill>
            <w14:solidFill>
              <w14:schemeClr w14:val="tx1"/>
            </w14:solidFill>
          </w14:textFill>
        </w:rPr>
        <w:t>待公示期结束后，</w:t>
      </w: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采购组织机构向中标人发出中标通知书。</w:t>
      </w:r>
    </w:p>
    <w:p w14:paraId="2838C25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9FEA178">
      <w:pPr>
        <w:shd w:val="clear" w:color="auto" w:fill="auto"/>
        <w:spacing w:before="156" w:beforeLines="50" w:line="440" w:lineRule="exact"/>
        <w:jc w:val="center"/>
        <w:outlineLvl w:val="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（六）合同的授予</w:t>
      </w:r>
      <w:bookmarkEnd w:id="21"/>
    </w:p>
    <w:p w14:paraId="7726E61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2" w:name="_Toc73975842"/>
      <w:bookmarkStart w:id="23" w:name="_Toc469495730"/>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43．履约保证金</w:t>
      </w:r>
      <w:bookmarkEnd w:id="22"/>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（本项目不做要求）</w:t>
      </w:r>
    </w:p>
    <w:p w14:paraId="12C42A3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43.1  中标供应商在合同签订后10个工作日内向采购人交纳不超过合同总价/%的履约保证金（本项目履约保证金接收保函形式；若以电汇、银行转账方式提交的，必须转到采购人的指定账户，具体缴纳方式以甲乙双方协商为主）。</w:t>
      </w:r>
    </w:p>
    <w:p w14:paraId="09DB273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43.2 签订合同后，如中标供应商不按合同约定履约的，履约保证金不予退还，履约保证金不足以赔偿损失的，按实际损失赔偿。</w:t>
      </w:r>
    </w:p>
    <w:p w14:paraId="2D54F82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14:paraId="7AE7EDB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bookmarkStart w:id="24" w:name="_Toc73975843"/>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44．签订合同及公告</w:t>
      </w:r>
      <w:bookmarkEnd w:id="24"/>
    </w:p>
    <w:p w14:paraId="06EFD684">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44.1采购人在中标通知书发出之日起30日内与中标供应商签订合同。</w:t>
      </w:r>
    </w:p>
    <w:p w14:paraId="4B28F2A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44.2中标供应商拖延、拒签合同的,取消中标资格。</w:t>
      </w:r>
    </w:p>
    <w:p w14:paraId="653FBB7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14:paraId="694C31E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44.4采购人应当自政府采购合同签订之日起2个工作日内，在省级以上财政部门指定的政府采购信息发布媒体及相关网站上公告。</w:t>
      </w:r>
    </w:p>
    <w:p w14:paraId="3272A78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44.5采购人应当自政府采购合同签订之日起7个工作日内，将政府采购合同副本报同级人民政府财政部门备案以及采购代理机构存档。</w:t>
      </w:r>
    </w:p>
    <w:p w14:paraId="3A625E8D">
      <w:pPr>
        <w:shd w:val="clear" w:color="auto" w:fill="auto"/>
        <w:adjustRightInd w:val="0"/>
        <w:snapToGrid w:val="0"/>
        <w:spacing w:line="440" w:lineRule="exact"/>
        <w:jc w:val="center"/>
        <w:outlineLvl w:val="2"/>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（七）纪律和监督</w:t>
      </w:r>
      <w:bookmarkEnd w:id="23"/>
    </w:p>
    <w:p w14:paraId="120B19BF">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45</w:t>
      </w:r>
      <w:r>
        <w:rPr>
          <w:rFonts w:hint="eastAsia" w:ascii="仿宋" w:hAnsi="仿宋" w:eastAsia="仿宋" w:cs="仿宋"/>
          <w:b/>
          <w:color w:val="000000" w:themeColor="text1"/>
          <w:szCs w:val="21"/>
          <w:highlight w:val="none"/>
          <w14:textFill>
            <w14:solidFill>
              <w14:schemeClr w14:val="tx1"/>
            </w14:solidFill>
          </w14:textFill>
        </w:rPr>
        <w:t xml:space="preserve">. 对招标人的纪律要求 </w:t>
      </w:r>
    </w:p>
    <w:p w14:paraId="5BB65A81">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45</w:t>
      </w:r>
      <w:r>
        <w:rPr>
          <w:rFonts w:hint="eastAsia" w:ascii="仿宋" w:hAnsi="仿宋" w:eastAsia="仿宋" w:cs="仿宋"/>
          <w:color w:val="000000" w:themeColor="text1"/>
          <w:kern w:val="10"/>
          <w:szCs w:val="21"/>
          <w:highlight w:val="none"/>
          <w14:textFill>
            <w14:solidFill>
              <w14:schemeClr w14:val="tx1"/>
            </w14:solidFill>
          </w14:textFill>
        </w:rPr>
        <w:t xml:space="preserve">.1招标人不得泄漏招标投标活动中应当保密的情况和资料，不得与投标人串通损害国家利益，社会公共利益或者他人合法权益。 </w:t>
      </w:r>
    </w:p>
    <w:p w14:paraId="143415B7">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46</w:t>
      </w:r>
      <w:r>
        <w:rPr>
          <w:rFonts w:hint="eastAsia" w:ascii="仿宋" w:hAnsi="仿宋" w:eastAsia="仿宋" w:cs="仿宋"/>
          <w:b/>
          <w:color w:val="000000" w:themeColor="text1"/>
          <w:szCs w:val="21"/>
          <w:highlight w:val="none"/>
          <w14:textFill>
            <w14:solidFill>
              <w14:schemeClr w14:val="tx1"/>
            </w14:solidFill>
          </w14:textFill>
        </w:rPr>
        <w:t xml:space="preserve">. 对投标人的纪律要求 </w:t>
      </w:r>
    </w:p>
    <w:p w14:paraId="16EF548F">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46</w:t>
      </w:r>
      <w:r>
        <w:rPr>
          <w:rFonts w:hint="eastAsia" w:ascii="仿宋" w:hAnsi="仿宋" w:eastAsia="仿宋" w:cs="仿宋"/>
          <w:color w:val="000000" w:themeColor="text1"/>
          <w:kern w:val="10"/>
          <w:szCs w:val="21"/>
          <w:highlight w:val="none"/>
          <w14:textFill>
            <w14:solidFill>
              <w14:schemeClr w14:val="tx1"/>
            </w14:solidFill>
          </w14:textFill>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37485C14">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47</w:t>
      </w:r>
      <w:r>
        <w:rPr>
          <w:rFonts w:hint="eastAsia" w:ascii="仿宋" w:hAnsi="仿宋" w:eastAsia="仿宋" w:cs="仿宋"/>
          <w:b/>
          <w:color w:val="000000" w:themeColor="text1"/>
          <w:szCs w:val="21"/>
          <w:highlight w:val="none"/>
          <w14:textFill>
            <w14:solidFill>
              <w14:schemeClr w14:val="tx1"/>
            </w14:solidFill>
          </w14:textFill>
        </w:rPr>
        <w:t xml:space="preserve">. 对评标委员会成员的纪律要求 </w:t>
      </w:r>
    </w:p>
    <w:p w14:paraId="29A10F85">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.1评标委员会成员不得收受他人的财物或者其他好处，不得向他人透漏对投标文件的评审和比较、中标候选人的推荐情况以及评标有关的其他情况。</w:t>
      </w:r>
    </w:p>
    <w:p w14:paraId="68ED043C">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lang w:val="en-US" w:eastAsia="zh-CN"/>
          <w14:textFill>
            <w14:solidFill>
              <w14:schemeClr w14:val="tx1"/>
            </w14:solidFill>
          </w14:textFill>
        </w:rPr>
        <w:t>47</w:t>
      </w:r>
      <w:r>
        <w:rPr>
          <w:rFonts w:hint="eastAsia" w:ascii="仿宋" w:hAnsi="仿宋" w:eastAsia="仿宋" w:cs="仿宋"/>
          <w:color w:val="000000" w:themeColor="text1"/>
          <w:kern w:val="10"/>
          <w:szCs w:val="21"/>
          <w:highlight w:val="none"/>
          <w14:textFill>
            <w14:solidFill>
              <w14:schemeClr w14:val="tx1"/>
            </w14:solidFill>
          </w14:textFill>
        </w:rPr>
        <w:t xml:space="preserve">.2在评标活动中，评标委员会成员不得擅离职守，影响评标程序正常进行，不得使用第三章“评标办法”没有规定的评审因素和标准进行评标。 </w:t>
      </w:r>
    </w:p>
    <w:p w14:paraId="16129DAF">
      <w:pPr>
        <w:shd w:val="clear" w:color="auto" w:fill="auto"/>
        <w:spacing w:line="440" w:lineRule="exact"/>
        <w:ind w:firstLine="352"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48</w:t>
      </w:r>
      <w:r>
        <w:rPr>
          <w:rFonts w:hint="eastAsia" w:ascii="仿宋" w:hAnsi="仿宋" w:eastAsia="仿宋" w:cs="仿宋"/>
          <w:b/>
          <w:color w:val="000000" w:themeColor="text1"/>
          <w:szCs w:val="21"/>
          <w:highlight w:val="none"/>
          <w14:textFill>
            <w14:solidFill>
              <w14:schemeClr w14:val="tx1"/>
            </w14:solidFill>
          </w14:textFill>
        </w:rPr>
        <w:t xml:space="preserve">. 对与评标活动有关的工作人员的纪律要求 </w:t>
      </w:r>
    </w:p>
    <w:p w14:paraId="35255B1F">
      <w:pPr>
        <w:shd w:val="clear" w:color="auto" w:fill="auto"/>
        <w:adjustRightInd w:val="0"/>
        <w:snapToGrid w:val="0"/>
        <w:spacing w:line="440" w:lineRule="exact"/>
        <w:ind w:firstLine="360" w:firstLineChars="150"/>
        <w:rPr>
          <w:rFonts w:hint="eastAsia" w:ascii="仿宋" w:hAnsi="仿宋" w:eastAsia="仿宋" w:cs="仿宋"/>
          <w:color w:val="000000" w:themeColor="text1"/>
          <w:kern w:val="10"/>
          <w:szCs w:val="21"/>
          <w:highlight w:val="none"/>
          <w14:textFill>
            <w14:solidFill>
              <w14:schemeClr w14:val="tx1"/>
            </w14:solidFill>
          </w14:textFill>
        </w:rPr>
      </w:pPr>
      <w:r>
        <w:rPr>
          <w:rFonts w:hint="eastAsia" w:ascii="仿宋" w:hAnsi="仿宋" w:eastAsia="仿宋" w:cs="仿宋"/>
          <w:color w:val="000000" w:themeColor="text1"/>
          <w:kern w:val="10"/>
          <w:szCs w:val="21"/>
          <w:highlight w:val="none"/>
          <w14:textFill>
            <w14:solidFill>
              <w14:schemeClr w14:val="tx1"/>
            </w14:solidFill>
          </w14:textFill>
        </w:rPr>
        <w:t>4</w:t>
      </w:r>
      <w:r>
        <w:rPr>
          <w:rFonts w:hint="eastAsia" w:ascii="仿宋" w:hAnsi="仿宋" w:eastAsia="仿宋" w:cs="仿宋"/>
          <w:color w:val="000000" w:themeColor="text1"/>
          <w:kern w:val="10"/>
          <w:szCs w:val="21"/>
          <w:highlight w:val="none"/>
          <w:lang w:val="en-US" w:eastAsia="zh-CN"/>
          <w14:textFill>
            <w14:solidFill>
              <w14:schemeClr w14:val="tx1"/>
            </w14:solidFill>
          </w14:textFill>
        </w:rPr>
        <w:t>8</w:t>
      </w:r>
      <w:r>
        <w:rPr>
          <w:rFonts w:hint="eastAsia" w:ascii="仿宋" w:hAnsi="仿宋" w:eastAsia="仿宋" w:cs="仿宋"/>
          <w:color w:val="000000" w:themeColor="text1"/>
          <w:kern w:val="10"/>
          <w:szCs w:val="21"/>
          <w:highlight w:val="none"/>
          <w14:textFill>
            <w14:solidFill>
              <w14:schemeClr w14:val="tx1"/>
            </w14:solidFill>
          </w14:textFill>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57BA03D">
      <w:pPr>
        <w:shd w:val="clear" w:color="auto" w:fill="auto"/>
        <w:spacing w:before="156" w:beforeLines="50" w:after="156" w:afterLines="50" w:line="500" w:lineRule="exact"/>
        <w:ind w:firstLine="840" w:firstLineChars="3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（八）质疑与投诉</w:t>
      </w:r>
    </w:p>
    <w:p w14:paraId="674718C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49．质疑和投诉</w:t>
      </w:r>
    </w:p>
    <w:p w14:paraId="7274DB7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8450AD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（一）对可以质疑的采购文件提出质疑的，为收到采购文件之日或者采购文件公告期限届满之日；</w:t>
      </w:r>
    </w:p>
    <w:p w14:paraId="5BA3AFE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（二）对采购过程提出质疑的，为各采购程序环节结束之日；</w:t>
      </w:r>
    </w:p>
    <w:p w14:paraId="1F55F5C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（三）对中标或者成交结果提出质疑的，为中标或者成交结果公告期限届满之日。</w:t>
      </w:r>
    </w:p>
    <w:p w14:paraId="56238E4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A792F25">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6787914D">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14:paraId="67EE7E9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14:paraId="17867819">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49.5供应商有下列情形之一的，将其列入不良行为记录名单：</w:t>
      </w:r>
    </w:p>
    <w:p w14:paraId="464B3E9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（一）一年内三次以上质疑均查无实据的；</w:t>
      </w:r>
    </w:p>
    <w:p w14:paraId="0321E7D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（二）捏造事实或者提供虚假质疑材料的。</w:t>
      </w:r>
    </w:p>
    <w:p w14:paraId="0E96C3DF">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（三）以非法手段取得证明材料。证据来源的合法性存在明显疑问，质疑人无法证明其取得方式合法的，视为以非法手段取得证明材料。</w:t>
      </w:r>
    </w:p>
    <w:p w14:paraId="77628A4F">
      <w:pPr>
        <w:shd w:val="clear" w:color="auto" w:fill="auto"/>
        <w:spacing w:line="360" w:lineRule="exact"/>
        <w:jc w:val="center"/>
        <w:rPr>
          <w:rFonts w:hint="eastAsia" w:ascii="仿宋" w:hAnsi="仿宋" w:eastAsia="仿宋" w:cs="仿宋"/>
          <w:color w:val="000000" w:themeColor="text1"/>
          <w:sz w:val="30"/>
          <w:szCs w:val="30"/>
          <w:highlight w:val="none"/>
          <w14:textFill>
            <w14:solidFill>
              <w14:schemeClr w14:val="tx1"/>
            </w14:solidFill>
          </w14:textFill>
        </w:rPr>
      </w:pPr>
    </w:p>
    <w:p w14:paraId="7666C3FE">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34FAEA50">
      <w:pPr>
        <w:pStyle w:val="7"/>
        <w:numPr>
          <w:ilvl w:val="0"/>
          <w:numId w:val="0"/>
        </w:numPr>
        <w:ind w:leftChars="0" w:right="0" w:rightChars="0"/>
        <w:rPr>
          <w:rFonts w:hint="eastAsia"/>
          <w:lang w:eastAsia="zh-CN"/>
        </w:rPr>
      </w:pPr>
    </w:p>
    <w:p w14:paraId="20F0532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投诉单位：新和县财政局、阿克苏祥泽项目咨询有限公司</w:t>
      </w:r>
    </w:p>
    <w:p w14:paraId="5DB66F3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投诉电话：0997-8123446、18523039307</w:t>
      </w:r>
    </w:p>
    <w:p w14:paraId="4AF7CA6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联系人：赵猛</w:t>
      </w:r>
    </w:p>
    <w:p w14:paraId="0A6F6835">
      <w:pPr>
        <w:shd w:val="clear" w:color="auto" w:fill="auto"/>
        <w:adjustRightInd w:val="0"/>
        <w:snapToGrid w:val="0"/>
        <w:spacing w:line="440" w:lineRule="exact"/>
        <w:ind w:firstLine="360" w:firstLineChars="150"/>
        <w:rPr>
          <w:rFonts w:hint="eastAsia" w:ascii="宋体" w:hAnsi="Times New Roman" w:eastAsia="宋体" w:cs="Times New Roman"/>
          <w:color w:val="auto"/>
          <w:kern w:val="10"/>
          <w:szCs w:val="21"/>
          <w:highlight w:val="none"/>
          <w:lang w:val="en-US" w:eastAsia="zh-CN"/>
        </w:rPr>
      </w:pPr>
    </w:p>
    <w:p w14:paraId="502C30B2">
      <w:pPr>
        <w:pStyle w:val="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62E8733E">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55ED90E6">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74AF3F08">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1C836EF8">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548B5093">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 xml:space="preserve">                                                                                                                                               </w:t>
      </w:r>
    </w:p>
    <w:p w14:paraId="6645CA20">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602AEEFF">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5D5E8BAB">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20D24DA0">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152D295A">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7D9F6B3D">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24F7479E">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202E99DD">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09B375F7">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4542B541">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1427E0AD">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7961F8D6">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0F43CF76">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338A714E">
      <w:pPr>
        <w:pStyle w:val="24"/>
        <w:rPr>
          <w:rFonts w:hint="eastAsia" w:ascii="仿宋" w:hAnsi="仿宋" w:eastAsia="仿宋" w:cs="仿宋"/>
          <w:b/>
          <w:bCs/>
          <w:color w:val="000000" w:themeColor="text1"/>
          <w:sz w:val="21"/>
          <w:szCs w:val="21"/>
          <w:highlight w:val="none"/>
          <w:lang w:val="en-US" w:eastAsia="zh-CN"/>
          <w14:textFill>
            <w14:solidFill>
              <w14:schemeClr w14:val="tx1"/>
            </w14:solidFill>
          </w14:textFill>
        </w:rPr>
      </w:pPr>
    </w:p>
    <w:p w14:paraId="31C22579">
      <w:pPr>
        <w:pStyle w:val="24"/>
        <w:rPr>
          <w:rFonts w:hint="default" w:ascii="仿宋" w:hAnsi="仿宋" w:eastAsia="仿宋" w:cs="仿宋"/>
          <w:b/>
          <w:bCs/>
          <w:color w:val="000000" w:themeColor="text1"/>
          <w:sz w:val="21"/>
          <w:szCs w:val="21"/>
          <w:highlight w:val="none"/>
          <w:lang w:val="en-US" w:eastAsia="zh-CN"/>
          <w14:textFill>
            <w14:solidFill>
              <w14:schemeClr w14:val="tx1"/>
            </w14:solidFill>
          </w14:textFill>
        </w:rPr>
      </w:pPr>
    </w:p>
    <w:p w14:paraId="19656A54">
      <w:pPr>
        <w:pStyle w:val="24"/>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39338E16">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p>
    <w:p w14:paraId="2AA95748">
      <w:pPr>
        <w:pStyle w:val="7"/>
        <w:numPr>
          <w:ilvl w:val="0"/>
          <w:numId w:val="0"/>
        </w:numPr>
        <w:ind w:leftChars="0" w:right="0" w:rightChars="0"/>
        <w:rPr>
          <w:rFonts w:hint="eastAsia"/>
          <w:lang w:eastAsia="zh-CN"/>
        </w:rPr>
      </w:pPr>
    </w:p>
    <w:p w14:paraId="5636ABE6">
      <w:pPr>
        <w:shd w:val="clear" w:color="auto" w:fill="auto"/>
        <w:jc w:val="left"/>
        <w:rPr>
          <w:rFonts w:hint="eastAsia" w:ascii="仿宋" w:hAnsi="仿宋" w:eastAsia="仿宋" w:cs="仿宋"/>
          <w:b/>
          <w:bCs/>
          <w:color w:val="000000" w:themeColor="text1"/>
          <w:sz w:val="21"/>
          <w:szCs w:val="21"/>
          <w:highlight w:val="none"/>
          <w:lang w:eastAsia="zh-CN"/>
          <w14:textFill>
            <w14:solidFill>
              <w14:schemeClr w14:val="tx1"/>
            </w14:solidFill>
          </w14:textFill>
        </w:rPr>
      </w:pPr>
      <w:r>
        <w:rPr>
          <w:rFonts w:hint="eastAsia" w:ascii="仿宋" w:hAnsi="仿宋" w:eastAsia="仿宋" w:cs="仿宋"/>
          <w:b/>
          <w:bCs/>
          <w:color w:val="000000" w:themeColor="text1"/>
          <w:sz w:val="21"/>
          <w:szCs w:val="21"/>
          <w:highlight w:val="none"/>
          <w:lang w:eastAsia="zh-CN"/>
          <w14:textFill>
            <w14:solidFill>
              <w14:schemeClr w14:val="tx1"/>
            </w14:solidFill>
          </w14:textFill>
        </w:rPr>
        <w:t>附件：</w:t>
      </w:r>
    </w:p>
    <w:p w14:paraId="0F94CA69">
      <w:pPr>
        <w:jc w:val="left"/>
        <w:rPr>
          <w:rFonts w:hint="eastAsia" w:ascii="宋体" w:hAnsi="宋体" w:cs="宋体"/>
          <w:b/>
          <w:bCs/>
          <w:szCs w:val="21"/>
        </w:rPr>
      </w:pPr>
      <w:bookmarkStart w:id="25" w:name="_Toc17515"/>
    </w:p>
    <w:p w14:paraId="678E242B">
      <w:pPr>
        <w:jc w:val="center"/>
        <w:rPr>
          <w:rFonts w:hint="eastAsia" w:ascii="宋体" w:hAnsi="宋体" w:cs="宋体"/>
          <w:b/>
          <w:bCs/>
          <w:sz w:val="28"/>
          <w:szCs w:val="28"/>
        </w:rPr>
      </w:pPr>
      <w:r>
        <w:rPr>
          <w:rFonts w:hint="eastAsia" w:ascii="宋体" w:hAnsi="宋体" w:cs="宋体"/>
          <w:b/>
          <w:bCs/>
          <w:sz w:val="32"/>
          <w:szCs w:val="32"/>
        </w:rPr>
        <w:t>政府采购投诉书（范本）、质疑函范本</w:t>
      </w:r>
    </w:p>
    <w:p w14:paraId="29213031">
      <w:pPr>
        <w:spacing w:line="400" w:lineRule="exact"/>
        <w:jc w:val="center"/>
        <w:rPr>
          <w:rFonts w:hint="eastAsia" w:ascii="宋体" w:hAnsi="宋体" w:cs="宋体"/>
          <w:sz w:val="36"/>
          <w:szCs w:val="36"/>
          <w:u w:val="single"/>
        </w:rPr>
      </w:pPr>
      <w:r>
        <w:rPr>
          <w:rFonts w:hint="eastAsia" w:ascii="宋体" w:hAnsi="宋体" w:cs="宋体"/>
          <w:b/>
          <w:bCs/>
          <w:sz w:val="36"/>
          <w:szCs w:val="36"/>
        </w:rPr>
        <w:t>政府采购投诉书（范本）</w:t>
      </w:r>
    </w:p>
    <w:p w14:paraId="49FB0E12">
      <w:pPr>
        <w:spacing w:line="440" w:lineRule="exact"/>
        <w:jc w:val="left"/>
        <w:rPr>
          <w:rFonts w:hint="eastAsia" w:ascii="宋体"/>
          <w:b/>
          <w:bCs/>
          <w:sz w:val="28"/>
          <w:szCs w:val="28"/>
        </w:rPr>
      </w:pPr>
      <w:bookmarkStart w:id="26" w:name="_Toc18623"/>
      <w:bookmarkStart w:id="27" w:name="_Toc21897"/>
      <w:bookmarkStart w:id="28" w:name="_Toc30403"/>
      <w:bookmarkStart w:id="29" w:name="_Toc4730"/>
      <w:bookmarkStart w:id="30" w:name="_Toc22042"/>
      <w:r>
        <w:rPr>
          <w:rFonts w:hint="eastAsia" w:ascii="宋体"/>
          <w:b/>
          <w:bCs/>
          <w:sz w:val="28"/>
          <w:szCs w:val="28"/>
        </w:rPr>
        <w:t>一、投诉相关主体基本情况</w:t>
      </w:r>
      <w:bookmarkEnd w:id="26"/>
      <w:bookmarkEnd w:id="27"/>
      <w:bookmarkEnd w:id="28"/>
      <w:bookmarkEnd w:id="29"/>
      <w:bookmarkEnd w:id="30"/>
    </w:p>
    <w:p w14:paraId="1AA5BB85">
      <w:pPr>
        <w:spacing w:line="440" w:lineRule="exact"/>
        <w:ind w:firstLine="240" w:firstLineChars="100"/>
        <w:jc w:val="left"/>
        <w:rPr>
          <w:rFonts w:hint="eastAsia" w:ascii="宋体"/>
          <w:szCs w:val="21"/>
        </w:rPr>
      </w:pPr>
      <w:r>
        <w:rPr>
          <w:rFonts w:hint="eastAsia" w:ascii="宋体"/>
          <w:szCs w:val="21"/>
        </w:rPr>
        <w:t>投诉人：</w:t>
      </w:r>
      <w:r>
        <w:rPr>
          <w:rFonts w:hint="eastAsia" w:ascii="宋体"/>
          <w:szCs w:val="21"/>
          <w:u w:val="single"/>
        </w:rPr>
        <w:t xml:space="preserve">                                                    </w:t>
      </w:r>
      <w:r>
        <w:rPr>
          <w:rFonts w:hint="eastAsia" w:ascii="宋体"/>
          <w:szCs w:val="21"/>
        </w:rPr>
        <w:t xml:space="preserve"> </w:t>
      </w:r>
    </w:p>
    <w:p w14:paraId="5B4A3602">
      <w:pPr>
        <w:spacing w:line="440" w:lineRule="exact"/>
        <w:ind w:firstLine="240" w:firstLineChars="100"/>
        <w:jc w:val="left"/>
        <w:rPr>
          <w:rFonts w:hint="eastAsia" w:ascii="宋体"/>
          <w:szCs w:val="21"/>
          <w:u w:val="single"/>
        </w:rPr>
      </w:pPr>
      <w:r>
        <w:rPr>
          <w:rFonts w:hint="eastAsia" w:ascii="宋体"/>
          <w:szCs w:val="21"/>
        </w:rPr>
        <w:t>地  址：</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p>
    <w:p w14:paraId="39AF8B22">
      <w:pPr>
        <w:spacing w:line="440" w:lineRule="exact"/>
        <w:ind w:firstLine="240" w:firstLineChars="100"/>
        <w:jc w:val="left"/>
        <w:rPr>
          <w:rFonts w:ascii="宋体"/>
          <w:szCs w:val="21"/>
          <w:u w:val="single"/>
        </w:rPr>
      </w:pPr>
      <w:r>
        <w:rPr>
          <w:rFonts w:hint="eastAsia" w:ascii="宋体"/>
          <w:szCs w:val="21"/>
        </w:rPr>
        <w:t>法定代表人/主要负责人：</w:t>
      </w:r>
      <w:r>
        <w:rPr>
          <w:rFonts w:hint="eastAsia" w:ascii="宋体"/>
          <w:szCs w:val="21"/>
          <w:u w:val="single"/>
        </w:rPr>
        <w:t xml:space="preserve">                                     </w:t>
      </w:r>
    </w:p>
    <w:p w14:paraId="0E5D5C91">
      <w:pPr>
        <w:spacing w:line="440" w:lineRule="exact"/>
        <w:ind w:firstLine="240" w:firstLineChars="100"/>
        <w:jc w:val="left"/>
        <w:rPr>
          <w:rFonts w:hint="eastAsia" w:ascii="宋体"/>
          <w:szCs w:val="21"/>
          <w:u w:val="single"/>
        </w:rPr>
      </w:pPr>
      <w:r>
        <w:rPr>
          <w:rFonts w:hint="eastAsia" w:ascii="宋体"/>
          <w:szCs w:val="21"/>
        </w:rPr>
        <w:t>联系电话：</w:t>
      </w:r>
      <w:r>
        <w:rPr>
          <w:rFonts w:hint="eastAsia" w:ascii="宋体"/>
          <w:szCs w:val="21"/>
          <w:u w:val="single"/>
        </w:rPr>
        <w:t xml:space="preserve">                                                  </w:t>
      </w:r>
    </w:p>
    <w:p w14:paraId="4835C681">
      <w:pPr>
        <w:spacing w:line="440" w:lineRule="exact"/>
        <w:ind w:firstLine="240" w:firstLineChars="100"/>
        <w:jc w:val="left"/>
        <w:rPr>
          <w:rFonts w:hint="eastAsia" w:ascii="宋体"/>
          <w:szCs w:val="21"/>
          <w:u w:val="single"/>
        </w:rPr>
      </w:pPr>
      <w:r>
        <w:rPr>
          <w:rFonts w:hint="eastAsia" w:ascii="宋体"/>
          <w:szCs w:val="21"/>
        </w:rPr>
        <w:t xml:space="preserve">地  址： </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p>
    <w:p w14:paraId="55753D43">
      <w:pPr>
        <w:spacing w:line="440" w:lineRule="exact"/>
        <w:ind w:firstLine="240" w:firstLineChars="100"/>
        <w:jc w:val="left"/>
        <w:rPr>
          <w:rFonts w:hint="eastAsia" w:ascii="宋体"/>
          <w:szCs w:val="21"/>
          <w:u w:val="single"/>
        </w:rPr>
      </w:pPr>
      <w:r>
        <w:rPr>
          <w:rFonts w:hint="eastAsia" w:ascii="宋体"/>
          <w:szCs w:val="21"/>
        </w:rPr>
        <w:t>授权代表（如有）：</w:t>
      </w:r>
      <w:r>
        <w:rPr>
          <w:rFonts w:hint="eastAsia" w:ascii="宋体"/>
          <w:szCs w:val="21"/>
          <w:u w:val="single"/>
        </w:rPr>
        <w:t xml:space="preserve">                                          </w:t>
      </w:r>
    </w:p>
    <w:p w14:paraId="08910273">
      <w:pPr>
        <w:spacing w:line="440" w:lineRule="exact"/>
        <w:ind w:firstLine="240" w:firstLineChars="100"/>
        <w:jc w:val="left"/>
        <w:rPr>
          <w:rFonts w:hint="eastAsia" w:ascii="宋体"/>
          <w:szCs w:val="21"/>
          <w:u w:val="single"/>
        </w:rPr>
      </w:pPr>
      <w:r>
        <w:rPr>
          <w:rFonts w:hint="eastAsia" w:ascii="宋体"/>
          <w:szCs w:val="21"/>
        </w:rPr>
        <w:t>联系电话：</w:t>
      </w:r>
      <w:r>
        <w:rPr>
          <w:rFonts w:hint="eastAsia" w:ascii="宋体"/>
          <w:szCs w:val="21"/>
          <w:u w:val="single"/>
        </w:rPr>
        <w:t xml:space="preserve">                                                  </w:t>
      </w:r>
    </w:p>
    <w:p w14:paraId="016F8FB4">
      <w:pPr>
        <w:spacing w:line="440" w:lineRule="exact"/>
        <w:ind w:firstLine="240" w:firstLineChars="100"/>
        <w:jc w:val="left"/>
        <w:rPr>
          <w:rFonts w:hint="eastAsia" w:ascii="宋体"/>
          <w:szCs w:val="21"/>
          <w:u w:val="single"/>
        </w:rPr>
      </w:pPr>
      <w:r>
        <w:rPr>
          <w:rFonts w:hint="eastAsia" w:ascii="宋体"/>
          <w:szCs w:val="21"/>
        </w:rPr>
        <w:t>地  址：</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p>
    <w:p w14:paraId="6E1C6689">
      <w:pPr>
        <w:spacing w:line="440" w:lineRule="exact"/>
        <w:ind w:firstLine="240" w:firstLineChars="100"/>
        <w:jc w:val="left"/>
        <w:rPr>
          <w:rFonts w:hint="eastAsia" w:ascii="宋体"/>
          <w:szCs w:val="21"/>
          <w:u w:val="single"/>
        </w:rPr>
      </w:pPr>
      <w:r>
        <w:rPr>
          <w:rFonts w:hint="eastAsia" w:ascii="宋体"/>
          <w:szCs w:val="21"/>
        </w:rPr>
        <w:t xml:space="preserve">被投诉人1： </w:t>
      </w:r>
      <w:r>
        <w:rPr>
          <w:rFonts w:hint="eastAsia" w:ascii="宋体"/>
          <w:szCs w:val="21"/>
          <w:u w:val="single"/>
        </w:rPr>
        <w:t xml:space="preserve">                                                </w:t>
      </w:r>
    </w:p>
    <w:p w14:paraId="685A690C">
      <w:pPr>
        <w:spacing w:line="440" w:lineRule="exact"/>
        <w:ind w:firstLine="240" w:firstLineChars="100"/>
        <w:jc w:val="left"/>
        <w:rPr>
          <w:rFonts w:hint="eastAsia" w:ascii="宋体"/>
          <w:szCs w:val="21"/>
        </w:rPr>
      </w:pPr>
      <w:r>
        <w:rPr>
          <w:rFonts w:hint="eastAsia" w:ascii="宋体"/>
          <w:szCs w:val="21"/>
        </w:rPr>
        <w:t>地  址：</w:t>
      </w:r>
      <w:r>
        <w:rPr>
          <w:rFonts w:hint="eastAsia" w:ascii="宋体"/>
          <w:szCs w:val="21"/>
          <w:u w:val="single"/>
        </w:rPr>
        <w:t xml:space="preserve">                          </w:t>
      </w:r>
      <w:r>
        <w:rPr>
          <w:rFonts w:hint="eastAsia" w:ascii="宋体"/>
          <w:szCs w:val="21"/>
        </w:rPr>
        <w:t>邮 编：</w:t>
      </w:r>
      <w:r>
        <w:rPr>
          <w:rFonts w:hint="eastAsia" w:ascii="宋体"/>
          <w:szCs w:val="21"/>
          <w:u w:val="single"/>
        </w:rPr>
        <w:t xml:space="preserve">                   </w:t>
      </w:r>
      <w:r>
        <w:rPr>
          <w:rFonts w:hint="eastAsia" w:ascii="宋体"/>
          <w:szCs w:val="21"/>
        </w:rPr>
        <w:t xml:space="preserve">  </w:t>
      </w:r>
    </w:p>
    <w:p w14:paraId="6B5DDEDE">
      <w:pPr>
        <w:spacing w:line="440" w:lineRule="exact"/>
        <w:ind w:firstLine="240" w:firstLineChars="100"/>
        <w:jc w:val="left"/>
        <w:rPr>
          <w:rFonts w:hint="eastAsia" w:ascii="宋体"/>
          <w:szCs w:val="21"/>
          <w:u w:val="single"/>
        </w:rPr>
      </w:pPr>
      <w:r>
        <w:rPr>
          <w:rFonts w:hint="eastAsia" w:ascii="宋体"/>
          <w:szCs w:val="21"/>
        </w:rPr>
        <w:t xml:space="preserve"> 联系人： </w:t>
      </w:r>
      <w:r>
        <w:rPr>
          <w:rFonts w:hint="eastAsia" w:ascii="宋体"/>
          <w:szCs w:val="21"/>
          <w:u w:val="single"/>
        </w:rPr>
        <w:t xml:space="preserve">                        </w:t>
      </w:r>
      <w:r>
        <w:rPr>
          <w:rFonts w:hint="eastAsia" w:ascii="宋体"/>
          <w:szCs w:val="21"/>
        </w:rPr>
        <w:t>联系电话：</w:t>
      </w:r>
      <w:r>
        <w:rPr>
          <w:rFonts w:hint="eastAsia" w:ascii="宋体"/>
          <w:szCs w:val="21"/>
          <w:u w:val="single"/>
        </w:rPr>
        <w:t xml:space="preserve">                </w:t>
      </w:r>
    </w:p>
    <w:p w14:paraId="1DE14E0F">
      <w:pPr>
        <w:spacing w:line="440" w:lineRule="exact"/>
        <w:ind w:firstLine="240" w:firstLineChars="100"/>
        <w:jc w:val="left"/>
        <w:rPr>
          <w:rFonts w:hint="eastAsia" w:ascii="宋体"/>
          <w:szCs w:val="21"/>
          <w:u w:val="single"/>
        </w:rPr>
      </w:pPr>
      <w:r>
        <w:rPr>
          <w:rFonts w:hint="eastAsia" w:ascii="宋体"/>
          <w:szCs w:val="21"/>
        </w:rPr>
        <w:t xml:space="preserve">被投诉人2： </w:t>
      </w:r>
      <w:r>
        <w:rPr>
          <w:rFonts w:hint="eastAsia" w:ascii="宋体"/>
          <w:szCs w:val="21"/>
          <w:u w:val="single"/>
        </w:rPr>
        <w:t xml:space="preserve">                                                </w:t>
      </w:r>
    </w:p>
    <w:p w14:paraId="1285B006">
      <w:pPr>
        <w:spacing w:line="440" w:lineRule="exact"/>
        <w:ind w:firstLine="240" w:firstLineChars="100"/>
        <w:jc w:val="left"/>
        <w:rPr>
          <w:rFonts w:hint="eastAsia" w:ascii="宋体"/>
          <w:szCs w:val="21"/>
        </w:rPr>
      </w:pPr>
      <w:r>
        <w:rPr>
          <w:rFonts w:hint="eastAsia" w:ascii="宋体"/>
          <w:szCs w:val="21"/>
        </w:rPr>
        <w:t xml:space="preserve">相关供应商（如有）： </w:t>
      </w:r>
      <w:r>
        <w:rPr>
          <w:rFonts w:hint="eastAsia" w:ascii="宋体"/>
          <w:szCs w:val="21"/>
          <w:u w:val="single"/>
        </w:rPr>
        <w:t xml:space="preserve">                                       </w:t>
      </w:r>
      <w:r>
        <w:rPr>
          <w:rFonts w:hint="eastAsia" w:ascii="宋体"/>
          <w:szCs w:val="21"/>
        </w:rPr>
        <w:t xml:space="preserve">  </w:t>
      </w:r>
    </w:p>
    <w:p w14:paraId="714C2E53">
      <w:pPr>
        <w:spacing w:line="440" w:lineRule="exact"/>
        <w:ind w:firstLine="240" w:firstLineChars="100"/>
        <w:jc w:val="left"/>
        <w:rPr>
          <w:rFonts w:hint="eastAsia" w:ascii="宋体"/>
          <w:szCs w:val="21"/>
          <w:u w:val="single"/>
        </w:rPr>
      </w:pPr>
      <w:r>
        <w:rPr>
          <w:rFonts w:hint="eastAsia" w:ascii="宋体"/>
          <w:szCs w:val="21"/>
        </w:rPr>
        <w:t xml:space="preserve"> 地  址：</w:t>
      </w:r>
      <w:r>
        <w:rPr>
          <w:rFonts w:hint="eastAsia" w:ascii="宋体"/>
          <w:szCs w:val="21"/>
          <w:u w:val="single"/>
        </w:rPr>
        <w:t xml:space="preserve">                         </w:t>
      </w:r>
      <w:r>
        <w:rPr>
          <w:rFonts w:hint="eastAsia" w:ascii="宋体"/>
          <w:szCs w:val="21"/>
        </w:rPr>
        <w:t>邮编：</w:t>
      </w:r>
      <w:r>
        <w:rPr>
          <w:rFonts w:hint="eastAsia" w:ascii="宋体"/>
          <w:szCs w:val="21"/>
          <w:u w:val="single"/>
        </w:rPr>
        <w:t xml:space="preserve">                    </w:t>
      </w:r>
    </w:p>
    <w:p w14:paraId="368ECAD3">
      <w:pPr>
        <w:spacing w:line="440" w:lineRule="exact"/>
        <w:ind w:firstLine="240" w:firstLineChars="100"/>
        <w:jc w:val="left"/>
        <w:rPr>
          <w:rFonts w:hint="eastAsia" w:ascii="宋体"/>
          <w:szCs w:val="21"/>
          <w:u w:val="single"/>
        </w:rPr>
      </w:pPr>
      <w:r>
        <w:rPr>
          <w:rFonts w:hint="eastAsia" w:ascii="宋体"/>
          <w:szCs w:val="21"/>
        </w:rPr>
        <w:t>联系人：</w:t>
      </w:r>
      <w:r>
        <w:rPr>
          <w:rFonts w:hint="eastAsia" w:ascii="宋体"/>
          <w:szCs w:val="21"/>
          <w:u w:val="single"/>
        </w:rPr>
        <w:t xml:space="preserve">                          </w:t>
      </w:r>
      <w:r>
        <w:rPr>
          <w:rFonts w:hint="eastAsia" w:ascii="宋体"/>
          <w:szCs w:val="21"/>
        </w:rPr>
        <w:t xml:space="preserve">联系电话： </w:t>
      </w:r>
      <w:r>
        <w:rPr>
          <w:rFonts w:hint="eastAsia" w:ascii="宋体"/>
          <w:szCs w:val="21"/>
          <w:u w:val="single"/>
        </w:rPr>
        <w:t xml:space="preserve">               </w:t>
      </w:r>
    </w:p>
    <w:p w14:paraId="08927095">
      <w:pPr>
        <w:spacing w:line="440" w:lineRule="exact"/>
        <w:ind w:firstLine="280" w:firstLineChars="100"/>
        <w:jc w:val="left"/>
        <w:rPr>
          <w:rFonts w:hint="eastAsia" w:ascii="宋体"/>
          <w:b/>
          <w:bCs/>
          <w:sz w:val="28"/>
          <w:szCs w:val="28"/>
        </w:rPr>
      </w:pPr>
      <w:bookmarkStart w:id="31" w:name="_Toc7437"/>
      <w:bookmarkStart w:id="32" w:name="_Toc10853"/>
      <w:bookmarkStart w:id="33" w:name="_Toc18283"/>
      <w:bookmarkStart w:id="34" w:name="_Toc25214"/>
      <w:bookmarkStart w:id="35" w:name="_Toc17048"/>
      <w:r>
        <w:rPr>
          <w:rFonts w:hint="eastAsia" w:ascii="宋体"/>
          <w:b/>
          <w:bCs/>
          <w:sz w:val="28"/>
          <w:szCs w:val="28"/>
        </w:rPr>
        <w:t>二、投诉项目基本情况</w:t>
      </w:r>
      <w:bookmarkEnd w:id="31"/>
      <w:bookmarkEnd w:id="32"/>
      <w:bookmarkEnd w:id="33"/>
      <w:bookmarkEnd w:id="34"/>
      <w:bookmarkEnd w:id="35"/>
    </w:p>
    <w:p w14:paraId="61DE058B">
      <w:pPr>
        <w:spacing w:line="440" w:lineRule="exact"/>
        <w:ind w:firstLine="240" w:firstLineChars="100"/>
        <w:jc w:val="left"/>
        <w:rPr>
          <w:rFonts w:hint="default" w:ascii="宋体" w:eastAsia="宋体"/>
          <w:szCs w:val="21"/>
          <w:u w:val="single"/>
          <w:lang w:val="en-US" w:eastAsia="zh-CN"/>
        </w:rPr>
      </w:pPr>
      <w:r>
        <w:rPr>
          <w:rFonts w:hint="eastAsia" w:ascii="宋体"/>
          <w:szCs w:val="21"/>
        </w:rPr>
        <w:t>采购项目名称：</w:t>
      </w:r>
      <w:r>
        <w:rPr>
          <w:rFonts w:hint="eastAsia" w:ascii="宋体" w:eastAsia="宋体"/>
          <w:szCs w:val="21"/>
          <w:u w:val="single"/>
          <w:lang w:val="en-US" w:eastAsia="zh-CN"/>
        </w:rPr>
        <w:t xml:space="preserve">                                        </w:t>
      </w:r>
    </w:p>
    <w:p w14:paraId="6AFE85A1">
      <w:pPr>
        <w:spacing w:line="440" w:lineRule="exact"/>
        <w:ind w:firstLine="240" w:firstLineChars="100"/>
        <w:jc w:val="left"/>
        <w:rPr>
          <w:rFonts w:hint="eastAsia" w:ascii="宋体" w:eastAsia="宋体"/>
          <w:szCs w:val="21"/>
          <w:u w:val="single"/>
          <w:lang w:val="en-US" w:eastAsia="zh-CN"/>
        </w:rPr>
      </w:pPr>
      <w:r>
        <w:rPr>
          <w:rFonts w:hint="eastAsia" w:ascii="宋体"/>
          <w:szCs w:val="21"/>
        </w:rPr>
        <w:t>采购项目编号：</w:t>
      </w:r>
      <w:r>
        <w:rPr>
          <w:rFonts w:hint="eastAsia" w:ascii="宋体" w:eastAsia="宋体"/>
          <w:szCs w:val="21"/>
          <w:u w:val="single"/>
          <w:lang w:val="en-US" w:eastAsia="zh-CN"/>
        </w:rPr>
        <w:t xml:space="preserve">                        </w:t>
      </w:r>
      <w:r>
        <w:rPr>
          <w:rFonts w:hint="eastAsia" w:ascii="宋体"/>
          <w:szCs w:val="21"/>
        </w:rPr>
        <w:t>包号：</w:t>
      </w:r>
      <w:r>
        <w:rPr>
          <w:rFonts w:hint="eastAsia" w:ascii="宋体" w:eastAsia="宋体"/>
          <w:szCs w:val="21"/>
          <w:u w:val="single"/>
          <w:lang w:val="en-US" w:eastAsia="zh-CN"/>
        </w:rPr>
        <w:t xml:space="preserve">          </w:t>
      </w:r>
    </w:p>
    <w:p w14:paraId="1CCC9F02">
      <w:pPr>
        <w:spacing w:line="440" w:lineRule="exact"/>
        <w:ind w:firstLine="240" w:firstLineChars="100"/>
        <w:jc w:val="left"/>
        <w:rPr>
          <w:rFonts w:hint="eastAsia" w:ascii="宋体" w:eastAsia="宋体"/>
          <w:szCs w:val="21"/>
          <w:u w:val="single"/>
          <w:lang w:val="en-US" w:eastAsia="zh-CN"/>
        </w:rPr>
      </w:pPr>
      <w:r>
        <w:rPr>
          <w:rFonts w:hint="eastAsia" w:ascii="宋体"/>
          <w:szCs w:val="21"/>
        </w:rPr>
        <w:t>采购人名称：</w:t>
      </w:r>
      <w:r>
        <w:rPr>
          <w:rFonts w:hint="eastAsia" w:ascii="宋体" w:eastAsia="宋体"/>
          <w:szCs w:val="21"/>
          <w:lang w:val="en-US" w:eastAsia="zh-CN"/>
        </w:rPr>
        <w:t xml:space="preserve"> </w:t>
      </w:r>
      <w:r>
        <w:rPr>
          <w:rFonts w:hint="eastAsia" w:ascii="宋体" w:eastAsia="宋体"/>
          <w:szCs w:val="21"/>
          <w:u w:val="single"/>
          <w:lang w:val="en-US" w:eastAsia="zh-CN"/>
        </w:rPr>
        <w:t xml:space="preserve">                                         </w:t>
      </w:r>
    </w:p>
    <w:p w14:paraId="232E547F">
      <w:pPr>
        <w:spacing w:line="440" w:lineRule="exact"/>
        <w:ind w:firstLine="240" w:firstLineChars="100"/>
        <w:jc w:val="left"/>
        <w:rPr>
          <w:rFonts w:hint="default" w:ascii="宋体" w:eastAsia="宋体"/>
          <w:szCs w:val="21"/>
          <w:u w:val="single"/>
          <w:lang w:val="en-US" w:eastAsia="zh-CN"/>
        </w:rPr>
      </w:pPr>
      <w:r>
        <w:rPr>
          <w:rFonts w:hint="eastAsia" w:ascii="宋体"/>
          <w:szCs w:val="21"/>
        </w:rPr>
        <w:t>代理机构名称：</w:t>
      </w:r>
      <w:r>
        <w:rPr>
          <w:rFonts w:hint="eastAsia" w:ascii="宋体" w:eastAsia="宋体"/>
          <w:szCs w:val="21"/>
          <w:u w:val="single"/>
          <w:lang w:val="en-US" w:eastAsia="zh-CN"/>
        </w:rPr>
        <w:t xml:space="preserve">                                        </w:t>
      </w:r>
    </w:p>
    <w:p w14:paraId="565652AE">
      <w:pPr>
        <w:spacing w:line="440" w:lineRule="exact"/>
        <w:ind w:firstLine="240" w:firstLineChars="100"/>
        <w:jc w:val="left"/>
        <w:rPr>
          <w:rFonts w:hint="eastAsia" w:ascii="宋体" w:eastAsia="宋体"/>
          <w:szCs w:val="21"/>
          <w:u w:val="single"/>
          <w:lang w:val="en-US" w:eastAsia="zh-CN"/>
        </w:rPr>
      </w:pPr>
      <w:r>
        <w:rPr>
          <w:rFonts w:hint="eastAsia" w:ascii="宋体"/>
          <w:szCs w:val="21"/>
        </w:rPr>
        <w:t>采购文件公告：是/否 公告期限：</w:t>
      </w:r>
      <w:r>
        <w:rPr>
          <w:rFonts w:hint="eastAsia" w:ascii="宋体" w:eastAsia="宋体"/>
          <w:szCs w:val="21"/>
          <w:u w:val="single"/>
          <w:lang w:val="en-US" w:eastAsia="zh-CN"/>
        </w:rPr>
        <w:t xml:space="preserve">                        </w:t>
      </w:r>
    </w:p>
    <w:p w14:paraId="0C37CF43">
      <w:pPr>
        <w:spacing w:line="440" w:lineRule="exact"/>
        <w:ind w:firstLine="240" w:firstLineChars="100"/>
        <w:jc w:val="left"/>
        <w:rPr>
          <w:rFonts w:hint="default" w:ascii="宋体" w:eastAsia="宋体"/>
          <w:szCs w:val="21"/>
          <w:u w:val="single"/>
          <w:lang w:val="en-US" w:eastAsia="zh-CN"/>
        </w:rPr>
      </w:pPr>
      <w:r>
        <w:rPr>
          <w:rFonts w:hint="eastAsia" w:ascii="宋体"/>
          <w:szCs w:val="21"/>
        </w:rPr>
        <w:t>采购结果公告：是/否 公告期限：</w:t>
      </w:r>
      <w:r>
        <w:rPr>
          <w:rFonts w:hint="eastAsia" w:ascii="宋体" w:eastAsia="宋体"/>
          <w:szCs w:val="21"/>
          <w:u w:val="single"/>
          <w:lang w:val="en-US" w:eastAsia="zh-CN"/>
        </w:rPr>
        <w:t xml:space="preserve">                        </w:t>
      </w:r>
    </w:p>
    <w:p w14:paraId="7D07FA0F">
      <w:pPr>
        <w:spacing w:line="440" w:lineRule="exact"/>
        <w:ind w:firstLine="280" w:firstLineChars="100"/>
        <w:jc w:val="left"/>
        <w:rPr>
          <w:rFonts w:hint="eastAsia" w:ascii="宋体"/>
          <w:b/>
          <w:bCs/>
          <w:sz w:val="28"/>
          <w:szCs w:val="28"/>
        </w:rPr>
      </w:pPr>
      <w:bookmarkStart w:id="36" w:name="_Toc14152"/>
      <w:bookmarkStart w:id="37" w:name="_Toc25877"/>
      <w:bookmarkStart w:id="38" w:name="_Toc13582"/>
      <w:bookmarkStart w:id="39" w:name="_Toc13183"/>
      <w:bookmarkStart w:id="40" w:name="_Toc2182"/>
      <w:r>
        <w:rPr>
          <w:rFonts w:hint="eastAsia" w:ascii="宋体"/>
          <w:b/>
          <w:bCs/>
          <w:sz w:val="28"/>
          <w:szCs w:val="28"/>
        </w:rPr>
        <w:t>三、质疑基本情况</w:t>
      </w:r>
      <w:bookmarkEnd w:id="36"/>
      <w:bookmarkEnd w:id="37"/>
      <w:bookmarkEnd w:id="38"/>
      <w:bookmarkEnd w:id="39"/>
      <w:bookmarkEnd w:id="40"/>
    </w:p>
    <w:p w14:paraId="2BAECAAD">
      <w:pPr>
        <w:spacing w:line="440" w:lineRule="exact"/>
        <w:ind w:firstLine="240" w:firstLineChars="100"/>
        <w:jc w:val="left"/>
        <w:rPr>
          <w:rFonts w:hint="eastAsia" w:ascii="宋体"/>
          <w:szCs w:val="21"/>
        </w:rPr>
      </w:pPr>
      <w:r>
        <w:rPr>
          <w:rFonts w:hint="eastAsia" w:ascii="宋体"/>
          <w:szCs w:val="21"/>
        </w:rPr>
        <w:t>投诉人于</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日，向</w:t>
      </w:r>
      <w:r>
        <w:rPr>
          <w:rFonts w:hint="eastAsia" w:ascii="宋体"/>
          <w:szCs w:val="21"/>
          <w:u w:val="single"/>
        </w:rPr>
        <w:t xml:space="preserve">     </w:t>
      </w:r>
      <w:r>
        <w:rPr>
          <w:rFonts w:hint="eastAsia" w:ascii="宋体" w:eastAsia="宋体"/>
          <w:szCs w:val="21"/>
          <w:u w:val="single"/>
          <w:lang w:val="en-US" w:eastAsia="zh-CN"/>
        </w:rPr>
        <w:t xml:space="preserve">                                   </w:t>
      </w:r>
      <w:r>
        <w:rPr>
          <w:rFonts w:hint="eastAsia" w:ascii="宋体"/>
          <w:szCs w:val="21"/>
          <w:u w:val="single"/>
        </w:rPr>
        <w:t xml:space="preserve">  </w:t>
      </w:r>
      <w:r>
        <w:rPr>
          <w:rFonts w:hint="eastAsia" w:ascii="宋体"/>
          <w:szCs w:val="21"/>
        </w:rPr>
        <w:t>提出质疑，</w:t>
      </w:r>
    </w:p>
    <w:p w14:paraId="1DAEA462">
      <w:pPr>
        <w:spacing w:line="440" w:lineRule="exact"/>
        <w:ind w:left="240" w:leftChars="100" w:firstLine="0" w:firstLineChars="0"/>
        <w:jc w:val="left"/>
        <w:rPr>
          <w:rFonts w:hint="eastAsia" w:ascii="宋体"/>
          <w:szCs w:val="21"/>
        </w:rPr>
      </w:pPr>
      <w:r>
        <w:rPr>
          <w:rFonts w:hint="eastAsia" w:ascii="宋体"/>
          <w:szCs w:val="21"/>
        </w:rPr>
        <w:t>质疑事项为：</w:t>
      </w:r>
      <w:r>
        <w:rPr>
          <w:rFonts w:hint="eastAsia" w:ascii="宋体" w:eastAsia="宋体"/>
          <w:szCs w:val="21"/>
          <w:u w:val="single"/>
          <w:lang w:val="en-US" w:eastAsia="zh-CN"/>
        </w:rPr>
        <w:t xml:space="preserve">                                                                </w:t>
      </w:r>
      <w:r>
        <w:rPr>
          <w:rFonts w:hint="eastAsia" w:ascii="宋体" w:eastAsia="宋体"/>
          <w:szCs w:val="21"/>
          <w:lang w:val="en-US" w:eastAsia="zh-CN"/>
        </w:rPr>
        <w:t xml:space="preserve">                                    </w:t>
      </w:r>
      <w:r>
        <w:rPr>
          <w:rFonts w:hint="eastAsia" w:ascii="宋体"/>
          <w:szCs w:val="21"/>
        </w:rPr>
        <w:t>采购人/代理机构于</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日，就质疑事项做出了答复/没有在法定期限内做出答复。</w:t>
      </w:r>
    </w:p>
    <w:p w14:paraId="2259C17E">
      <w:pPr>
        <w:spacing w:line="440" w:lineRule="exact"/>
        <w:ind w:firstLine="280" w:firstLineChars="100"/>
        <w:jc w:val="left"/>
        <w:rPr>
          <w:rFonts w:hint="eastAsia" w:ascii="宋体"/>
          <w:b/>
          <w:bCs/>
          <w:sz w:val="28"/>
          <w:szCs w:val="28"/>
        </w:rPr>
      </w:pPr>
      <w:bookmarkStart w:id="41" w:name="_Toc23110"/>
      <w:bookmarkStart w:id="42" w:name="_Toc15203"/>
      <w:bookmarkStart w:id="43" w:name="_Toc3347"/>
      <w:bookmarkStart w:id="44" w:name="_Toc26083"/>
      <w:bookmarkStart w:id="45" w:name="_Toc17256"/>
    </w:p>
    <w:p w14:paraId="0AE72EF0">
      <w:pPr>
        <w:spacing w:line="440" w:lineRule="exact"/>
        <w:ind w:firstLine="280" w:firstLineChars="100"/>
        <w:jc w:val="left"/>
        <w:rPr>
          <w:rFonts w:ascii="宋体"/>
          <w:b/>
          <w:bCs/>
          <w:sz w:val="28"/>
          <w:szCs w:val="28"/>
        </w:rPr>
      </w:pPr>
      <w:r>
        <w:rPr>
          <w:rFonts w:hint="eastAsia" w:ascii="宋体"/>
          <w:b/>
          <w:bCs/>
          <w:sz w:val="28"/>
          <w:szCs w:val="28"/>
        </w:rPr>
        <w:t>四、投诉事项具体内容</w:t>
      </w:r>
      <w:bookmarkEnd w:id="41"/>
      <w:bookmarkEnd w:id="42"/>
      <w:bookmarkEnd w:id="43"/>
      <w:bookmarkEnd w:id="44"/>
      <w:bookmarkEnd w:id="45"/>
    </w:p>
    <w:p w14:paraId="3320128E">
      <w:pPr>
        <w:spacing w:line="440" w:lineRule="exact"/>
        <w:ind w:firstLine="240" w:firstLineChars="100"/>
        <w:jc w:val="left"/>
        <w:rPr>
          <w:rFonts w:hint="eastAsia" w:ascii="宋体"/>
          <w:szCs w:val="21"/>
        </w:rPr>
      </w:pPr>
      <w:r>
        <w:rPr>
          <w:rFonts w:hint="eastAsia" w:ascii="宋体"/>
          <w:szCs w:val="21"/>
        </w:rPr>
        <w:t>投诉事项1：</w:t>
      </w:r>
    </w:p>
    <w:p w14:paraId="6A7443D3">
      <w:pPr>
        <w:spacing w:line="440" w:lineRule="exact"/>
        <w:ind w:firstLine="240" w:firstLineChars="100"/>
        <w:jc w:val="left"/>
        <w:rPr>
          <w:rFonts w:hint="eastAsia" w:ascii="宋体"/>
          <w:szCs w:val="21"/>
        </w:rPr>
      </w:pPr>
      <w:r>
        <w:rPr>
          <w:rFonts w:hint="eastAsia" w:ascii="宋体"/>
          <w:szCs w:val="21"/>
        </w:rPr>
        <w:t>事实依据：</w:t>
      </w:r>
    </w:p>
    <w:p w14:paraId="1499F21E">
      <w:pPr>
        <w:spacing w:line="440" w:lineRule="exact"/>
        <w:ind w:firstLine="240" w:firstLineChars="100"/>
        <w:jc w:val="left"/>
        <w:rPr>
          <w:rFonts w:hint="eastAsia" w:ascii="宋体"/>
          <w:szCs w:val="21"/>
        </w:rPr>
      </w:pPr>
      <w:r>
        <w:rPr>
          <w:rFonts w:hint="eastAsia" w:ascii="宋体"/>
          <w:szCs w:val="21"/>
        </w:rPr>
        <w:t>法律依据1：</w:t>
      </w:r>
    </w:p>
    <w:p w14:paraId="14BCA18B">
      <w:pPr>
        <w:spacing w:line="440" w:lineRule="exact"/>
        <w:ind w:firstLine="240" w:firstLineChars="100"/>
        <w:jc w:val="left"/>
        <w:rPr>
          <w:rFonts w:hint="eastAsia" w:ascii="宋体"/>
          <w:szCs w:val="21"/>
        </w:rPr>
      </w:pPr>
      <w:r>
        <w:rPr>
          <w:rFonts w:hint="eastAsia" w:ascii="宋体"/>
          <w:szCs w:val="21"/>
        </w:rPr>
        <w:t>法律依据2：</w:t>
      </w:r>
    </w:p>
    <w:p w14:paraId="6B3BBA79">
      <w:pPr>
        <w:spacing w:line="440" w:lineRule="exact"/>
        <w:ind w:firstLine="240" w:firstLineChars="100"/>
        <w:jc w:val="left"/>
        <w:rPr>
          <w:rFonts w:hint="eastAsia" w:ascii="宋体"/>
          <w:szCs w:val="21"/>
        </w:rPr>
      </w:pPr>
    </w:p>
    <w:p w14:paraId="1E507853">
      <w:pPr>
        <w:spacing w:line="440" w:lineRule="exact"/>
        <w:ind w:firstLine="240" w:firstLineChars="100"/>
        <w:jc w:val="left"/>
        <w:rPr>
          <w:rFonts w:hint="eastAsia" w:ascii="宋体"/>
          <w:szCs w:val="21"/>
        </w:rPr>
      </w:pPr>
      <w:r>
        <w:rPr>
          <w:rFonts w:hint="eastAsia" w:ascii="宋体"/>
          <w:szCs w:val="21"/>
        </w:rPr>
        <w:t>投诉事项2：</w:t>
      </w:r>
    </w:p>
    <w:p w14:paraId="237A3CF7">
      <w:pPr>
        <w:spacing w:line="440" w:lineRule="exact"/>
        <w:ind w:firstLine="240" w:firstLineChars="100"/>
        <w:jc w:val="left"/>
        <w:rPr>
          <w:rFonts w:hint="eastAsia" w:ascii="宋体"/>
          <w:szCs w:val="21"/>
        </w:rPr>
      </w:pPr>
      <w:r>
        <w:rPr>
          <w:rFonts w:hint="eastAsia" w:ascii="宋体"/>
          <w:szCs w:val="21"/>
        </w:rPr>
        <w:t>……</w:t>
      </w:r>
    </w:p>
    <w:p w14:paraId="696CE0CE">
      <w:pPr>
        <w:spacing w:line="440" w:lineRule="exact"/>
        <w:ind w:firstLine="280" w:firstLineChars="100"/>
        <w:jc w:val="left"/>
        <w:rPr>
          <w:rFonts w:hint="eastAsia" w:ascii="宋体"/>
          <w:b/>
          <w:bCs/>
          <w:sz w:val="28"/>
          <w:szCs w:val="28"/>
        </w:rPr>
      </w:pPr>
      <w:bookmarkStart w:id="46" w:name="_Toc13424"/>
      <w:bookmarkStart w:id="47" w:name="_Toc32324"/>
      <w:bookmarkStart w:id="48" w:name="_Toc16036"/>
      <w:bookmarkStart w:id="49" w:name="_Toc16741"/>
      <w:bookmarkStart w:id="50" w:name="_Toc31495"/>
      <w:r>
        <w:rPr>
          <w:rFonts w:hint="eastAsia" w:ascii="宋体"/>
          <w:b/>
          <w:bCs/>
          <w:sz w:val="28"/>
          <w:szCs w:val="28"/>
        </w:rPr>
        <w:t>五、与投诉事项相关的投诉请求</w:t>
      </w:r>
      <w:bookmarkEnd w:id="46"/>
      <w:bookmarkEnd w:id="47"/>
      <w:bookmarkEnd w:id="48"/>
      <w:bookmarkEnd w:id="49"/>
      <w:bookmarkEnd w:id="50"/>
    </w:p>
    <w:p w14:paraId="75DA0EE8">
      <w:pPr>
        <w:spacing w:line="440" w:lineRule="exact"/>
        <w:ind w:firstLine="240" w:firstLineChars="100"/>
        <w:jc w:val="left"/>
        <w:rPr>
          <w:rFonts w:hint="eastAsia" w:ascii="宋体"/>
          <w:szCs w:val="21"/>
        </w:rPr>
      </w:pPr>
      <w:r>
        <w:rPr>
          <w:rFonts w:hint="eastAsia" w:ascii="宋体"/>
          <w:szCs w:val="21"/>
        </w:rPr>
        <w:t>请求：</w:t>
      </w:r>
    </w:p>
    <w:p w14:paraId="618D2285">
      <w:pPr>
        <w:spacing w:line="440" w:lineRule="exact"/>
        <w:ind w:firstLine="240" w:firstLineChars="100"/>
        <w:jc w:val="left"/>
        <w:rPr>
          <w:rFonts w:hint="eastAsia" w:ascii="宋体"/>
          <w:szCs w:val="21"/>
        </w:rPr>
      </w:pPr>
    </w:p>
    <w:p w14:paraId="0C95C076">
      <w:pPr>
        <w:spacing w:line="440" w:lineRule="exact"/>
        <w:ind w:firstLine="240" w:firstLineChars="100"/>
        <w:jc w:val="left"/>
        <w:rPr>
          <w:rFonts w:hint="eastAsia" w:ascii="宋体"/>
          <w:szCs w:val="21"/>
        </w:rPr>
      </w:pPr>
      <w:r>
        <w:rPr>
          <w:rFonts w:hint="eastAsia" w:ascii="宋体"/>
          <w:szCs w:val="21"/>
        </w:rPr>
        <w:t xml:space="preserve">签字（签章）（法人代表或负责人、代理人）：       </w:t>
      </w:r>
    </w:p>
    <w:p w14:paraId="51AF6846">
      <w:pPr>
        <w:spacing w:line="440" w:lineRule="exact"/>
        <w:ind w:firstLine="240" w:firstLineChars="100"/>
        <w:jc w:val="left"/>
        <w:rPr>
          <w:rFonts w:hint="eastAsia" w:ascii="宋体"/>
          <w:szCs w:val="21"/>
        </w:rPr>
      </w:pPr>
      <w:r>
        <w:rPr>
          <w:rFonts w:hint="eastAsia" w:ascii="宋体"/>
          <w:szCs w:val="21"/>
        </w:rPr>
        <w:t xml:space="preserve">公章（单位）：               </w:t>
      </w:r>
    </w:p>
    <w:p w14:paraId="275CD51B">
      <w:pPr>
        <w:spacing w:line="440" w:lineRule="exact"/>
        <w:ind w:firstLine="240" w:firstLineChars="100"/>
        <w:jc w:val="left"/>
        <w:rPr>
          <w:rFonts w:hint="eastAsia" w:ascii="宋体"/>
          <w:szCs w:val="21"/>
        </w:rPr>
      </w:pPr>
      <w:r>
        <w:rPr>
          <w:rFonts w:hint="eastAsia" w:ascii="宋体"/>
          <w:szCs w:val="21"/>
        </w:rPr>
        <w:t>日期：</w:t>
      </w:r>
    </w:p>
    <w:p w14:paraId="05ECBC00">
      <w:pPr>
        <w:spacing w:line="440" w:lineRule="exact"/>
        <w:ind w:firstLine="240" w:firstLineChars="100"/>
        <w:jc w:val="left"/>
        <w:rPr>
          <w:rFonts w:hint="eastAsia" w:ascii="宋体"/>
          <w:szCs w:val="21"/>
        </w:rPr>
      </w:pPr>
    </w:p>
    <w:p w14:paraId="6F858F7E">
      <w:pPr>
        <w:spacing w:line="440" w:lineRule="exact"/>
        <w:ind w:firstLine="240" w:firstLineChars="100"/>
        <w:jc w:val="left"/>
        <w:rPr>
          <w:rFonts w:hint="eastAsia" w:ascii="宋体"/>
          <w:szCs w:val="21"/>
        </w:rPr>
      </w:pPr>
      <w:r>
        <w:rPr>
          <w:rFonts w:hint="eastAsia" w:ascii="宋体"/>
          <w:szCs w:val="21"/>
        </w:rPr>
        <w:t>附件：质疑及答复材料</w:t>
      </w:r>
    </w:p>
    <w:p w14:paraId="7D1E89C8">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3E64DA9E">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4F2E6590">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6372E73C">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176A22AF">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34CCF519">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7BF5CC7D">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539091B4">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14:paraId="7BA2CB41">
      <w:pPr>
        <w:shd w:val="clear" w:color="auto" w:fill="auto"/>
        <w:jc w:val="both"/>
        <w:outlineLvl w:val="0"/>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w:t>
      </w:r>
    </w:p>
    <w:p w14:paraId="0F4F9132">
      <w:pPr>
        <w:pStyle w:val="24"/>
        <w:ind w:left="0" w:leftChars="0" w:firstLine="0" w:firstLineChars="0"/>
        <w:rPr>
          <w:rFonts w:hint="eastAsia" w:ascii="仿宋" w:hAnsi="仿宋" w:eastAsia="仿宋" w:cs="仿宋"/>
          <w:b/>
          <w:bCs/>
          <w:color w:val="000000" w:themeColor="text1"/>
          <w:sz w:val="32"/>
          <w:szCs w:val="32"/>
          <w:highlight w:val="none"/>
          <w14:textFill>
            <w14:solidFill>
              <w14:schemeClr w14:val="tx1"/>
            </w14:solidFill>
          </w14:textFill>
        </w:rPr>
      </w:pPr>
    </w:p>
    <w:p w14:paraId="5941C04D">
      <w:pPr>
        <w:shd w:val="clear" w:color="auto" w:fill="auto"/>
        <w:jc w:val="center"/>
        <w:outlineLvl w:val="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投诉相关说明</w:t>
      </w:r>
      <w:bookmarkEnd w:id="25"/>
    </w:p>
    <w:p w14:paraId="641F24C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020BD5E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投诉人应当满足《政府采购法》、《政府采购法实施条例》和《政府采购供应商投诉处理办法》的相关规定。</w:t>
      </w:r>
    </w:p>
    <w:p w14:paraId="7D955C20">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0"/>
        <w:rPr>
          <w:rFonts w:hint="eastAsia" w:ascii="仿宋" w:hAnsi="仿宋" w:eastAsia="仿宋" w:cs="仿宋"/>
          <w:b/>
          <w:bCs/>
          <w:color w:val="000000" w:themeColor="text1"/>
          <w:sz w:val="21"/>
          <w:szCs w:val="21"/>
          <w:highlight w:val="none"/>
          <w14:textFill>
            <w14:solidFill>
              <w14:schemeClr w14:val="tx1"/>
            </w14:solidFill>
          </w14:textFill>
        </w:rPr>
      </w:pPr>
      <w:bookmarkStart w:id="51" w:name="_Toc11499"/>
      <w:r>
        <w:rPr>
          <w:rFonts w:hint="eastAsia" w:ascii="仿宋" w:hAnsi="仿宋" w:eastAsia="仿宋" w:cs="仿宋"/>
          <w:b/>
          <w:bCs/>
          <w:color w:val="000000" w:themeColor="text1"/>
          <w:sz w:val="21"/>
          <w:szCs w:val="21"/>
          <w:highlight w:val="none"/>
          <w14:textFill>
            <w14:solidFill>
              <w14:schemeClr w14:val="tx1"/>
            </w14:solidFill>
          </w14:textFill>
        </w:rPr>
        <w:t>质疑前置及时间要求</w:t>
      </w:r>
      <w:bookmarkEnd w:id="51"/>
    </w:p>
    <w:p w14:paraId="06267E4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《中华人民共和国政府采购法》</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第五十一条：供应商对政府采购活动事项有疑问的，可以向采购人提出询问，采购人应当及时作出答复，但答复的内容不得涉及商业秘密。</w:t>
      </w:r>
    </w:p>
    <w:p w14:paraId="68EEABF5">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第五十二条：供应商认为采购文件、采购过程和中标、</w:t>
      </w:r>
      <w:r>
        <w:rPr>
          <w:rFonts w:hint="eastAsia" w:ascii="仿宋" w:hAnsi="仿宋" w:eastAsia="仿宋" w:cs="仿宋"/>
          <w:color w:val="000000" w:themeColor="text1"/>
          <w:kern w:val="0"/>
          <w:sz w:val="21"/>
          <w:szCs w:val="21"/>
          <w:highlight w:val="none"/>
          <w:shd w:val="clear" w:color="auto" w:fill="FFFFFF"/>
          <w:lang w:eastAsia="zh-CN"/>
          <w14:textFill>
            <w14:solidFill>
              <w14:schemeClr w14:val="tx1"/>
            </w14:solidFill>
          </w14:textFill>
        </w:rPr>
        <w:t>中标</w:t>
      </w: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结果使自己的权益受到损害的，可以在知道或者应知其权益受到损害之日起七个工作日内，以书面形式向采购人提出质疑。</w:t>
      </w:r>
    </w:p>
    <w:p w14:paraId="7E11628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14:paraId="2FF28AF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648691B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FFFFFF"/>
          <w14:textFill>
            <w14:solidFill>
              <w14:schemeClr w14:val="tx1"/>
            </w14:solidFill>
          </w14:textFill>
        </w:rPr>
        <w:t xml:space="preserve">  《政府采购实施条例》第五十五条：供应商质疑、投诉应当有明确的请求和必要的证明材料。供应商投诉的事项不得超出质疑事项的范围。</w:t>
      </w:r>
    </w:p>
    <w:p w14:paraId="0BB2ED71">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3286D125">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52" w:name="_Toc13508"/>
      <w:r>
        <w:rPr>
          <w:rFonts w:hint="eastAsia" w:ascii="仿宋" w:hAnsi="仿宋" w:eastAsia="仿宋" w:cs="仿宋"/>
          <w:b/>
          <w:bCs/>
          <w:color w:val="000000" w:themeColor="text1"/>
          <w:sz w:val="21"/>
          <w:szCs w:val="21"/>
          <w:highlight w:val="none"/>
          <w14:textFill>
            <w14:solidFill>
              <w14:schemeClr w14:val="tx1"/>
            </w14:solidFill>
          </w14:textFill>
        </w:rPr>
        <w:t>二、书面方式</w:t>
      </w:r>
      <w:bookmarkEnd w:id="52"/>
    </w:p>
    <w:p w14:paraId="0617DB6A">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《政府采购供应商投诉处理办法》第八条：投诉人投诉</w:t>
      </w:r>
    </w:p>
    <w:p w14:paraId="44F40BED">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时，应当提交投诉书，并按照被投诉人以及与投诉事项有关的供应商数量提供投诉书的副本。</w:t>
      </w:r>
    </w:p>
    <w:p w14:paraId="683342E1">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投诉书应当包括下列主要内容：</w:t>
      </w:r>
    </w:p>
    <w:p w14:paraId="5A547109">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投诉人和被投诉人的名称、地址、电话等；</w:t>
      </w:r>
    </w:p>
    <w:p w14:paraId="15B6BDA0">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具体的投诉事项及事实依据；</w:t>
      </w:r>
    </w:p>
    <w:p w14:paraId="2A925989">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质疑和质疑答复情况及相关证明材料；</w:t>
      </w:r>
    </w:p>
    <w:p w14:paraId="5DBC3318">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提起投诉的日期。</w:t>
      </w:r>
    </w:p>
    <w:p w14:paraId="3F00F98F">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投诉书应当署名。投诉人为自然人，应当由本人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；投诉人为法人或者其他组织的，应当由法定代表人或者主要负责人</w:t>
      </w: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并加盖公章。</w:t>
      </w:r>
    </w:p>
    <w:p w14:paraId="4F4A24BA">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563971B">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《政府采购供应商投诉处理办法》第十条：投诉人提起投诉应当符合下列条件：</w:t>
      </w:r>
    </w:p>
    <w:p w14:paraId="3C22FFAC">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投诉人是参与所投诉政府采购活动的供应商；</w:t>
      </w:r>
    </w:p>
    <w:p w14:paraId="4FBBB420">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提起投诉诉前已依法进行质疑；</w:t>
      </w:r>
    </w:p>
    <w:p w14:paraId="5690BE17">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投诉书内容符合本办法的规定；</w:t>
      </w:r>
    </w:p>
    <w:p w14:paraId="1C5E6146">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在投诉有效期内提起投诉；</w:t>
      </w:r>
    </w:p>
    <w:p w14:paraId="24E7DD78">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属于本级财政部门管辖；</w:t>
      </w:r>
    </w:p>
    <w:p w14:paraId="1EF7AF09">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同一投诉事项未经财政部门投诉处理；</w:t>
      </w:r>
    </w:p>
    <w:p w14:paraId="60DD2C13">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国务院财政部门规定的其他条件。</w:t>
      </w:r>
    </w:p>
    <w:p w14:paraId="69321F15">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p>
    <w:p w14:paraId="74CB58EC">
      <w:pPr>
        <w:shd w:val="clear" w:color="auto" w:fill="auto"/>
        <w:outlineLvl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 xml:space="preserve">   </w:t>
      </w:r>
      <w:bookmarkStart w:id="53" w:name="_Toc5978"/>
      <w:r>
        <w:rPr>
          <w:rFonts w:hint="eastAsia" w:ascii="仿宋" w:hAnsi="仿宋" w:eastAsia="仿宋" w:cs="仿宋"/>
          <w:b/>
          <w:bCs/>
          <w:color w:val="000000" w:themeColor="text1"/>
          <w:sz w:val="21"/>
          <w:szCs w:val="21"/>
          <w:highlight w:val="none"/>
          <w14:textFill>
            <w14:solidFill>
              <w14:schemeClr w14:val="tx1"/>
            </w14:solidFill>
          </w14:textFill>
        </w:rPr>
        <w:t>三、虚假、恶意投诉法律责任</w:t>
      </w:r>
      <w:bookmarkEnd w:id="53"/>
    </w:p>
    <w:p w14:paraId="0E97A950">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2CAC98CF">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4CAF5B19">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（一）1年内3次以上投诉均查无实据的；</w:t>
      </w:r>
    </w:p>
    <w:p w14:paraId="500E4C36">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（二）捏造事实或者提供虚假投诉材料的。</w:t>
      </w:r>
    </w:p>
    <w:p w14:paraId="57270EB1">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1A321049">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p>
    <w:p w14:paraId="605158EB">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default" w:ascii="仿宋" w:hAnsi="仿宋" w:eastAsia="仿宋" w:cs="仿宋"/>
          <w:color w:val="000000" w:themeColor="text1"/>
          <w:sz w:val="21"/>
          <w:szCs w:val="21"/>
          <w:highlight w:val="none"/>
          <w:lang w:val="en-US"/>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递交投诉书地址：</w:t>
      </w:r>
      <w:r>
        <w:rPr>
          <w:rFonts w:hint="eastAsia" w:ascii="仿宋" w:hAnsi="仿宋" w:eastAsia="仿宋" w:cs="仿宋"/>
          <w:color w:val="000000" w:themeColor="text1"/>
          <w:sz w:val="21"/>
          <w:szCs w:val="21"/>
          <w:highlight w:val="none"/>
          <w:lang w:val="en-US" w:eastAsia="zh-CN"/>
          <w14:textFill>
            <w14:solidFill>
              <w14:schemeClr w14:val="tx1"/>
            </w14:solidFill>
          </w14:textFill>
        </w:rPr>
        <w:t>新和财政局</w:t>
      </w:r>
    </w:p>
    <w:p w14:paraId="5481564B">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联系</w:t>
      </w:r>
      <w:r>
        <w:rPr>
          <w:rFonts w:hint="eastAsia" w:ascii="仿宋" w:hAnsi="仿宋" w:eastAsia="仿宋" w:cs="仿宋"/>
          <w:color w:val="000000" w:themeColor="text1"/>
          <w:sz w:val="21"/>
          <w:szCs w:val="21"/>
          <w:highlight w:val="none"/>
          <w:lang w:val="en-US" w:eastAsia="zh-CN"/>
          <w14:textFill>
            <w14:solidFill>
              <w14:schemeClr w14:val="tx1"/>
            </w14:solidFill>
          </w14:textFill>
        </w:rPr>
        <w:t>电话</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0997-8123446</w:t>
      </w:r>
    </w:p>
    <w:p w14:paraId="1CBCCFC3">
      <w:pPr>
        <w:shd w:val="clear" w:color="auto" w:fill="auto"/>
        <w:jc w:val="right"/>
        <w:rPr>
          <w:rFonts w:hint="eastAsia" w:ascii="仿宋" w:hAnsi="仿宋" w:eastAsia="仿宋" w:cs="仿宋"/>
          <w:color w:val="000000" w:themeColor="text1"/>
          <w:sz w:val="32"/>
          <w:szCs w:val="32"/>
          <w:highlight w:val="none"/>
          <w14:textFill>
            <w14:solidFill>
              <w14:schemeClr w14:val="tx1"/>
            </w14:solidFill>
          </w14:textFill>
        </w:rPr>
      </w:pPr>
    </w:p>
    <w:p w14:paraId="5D448FE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2DC5B4F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04317A5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24BC0676">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845B11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3547C2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6E7A424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2E1188A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73C173D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000000" w:themeColor="text1"/>
          <w:sz w:val="44"/>
          <w:szCs w:val="44"/>
          <w:highlight w:val="none"/>
          <w14:textFill>
            <w14:solidFill>
              <w14:schemeClr w14:val="tx1"/>
            </w14:solidFill>
          </w14:textFill>
        </w:rPr>
      </w:pPr>
    </w:p>
    <w:p w14:paraId="4E056031">
      <w:pPr>
        <w:pStyle w:val="28"/>
        <w:rPr>
          <w:rFonts w:hint="eastAsia"/>
        </w:rPr>
      </w:pPr>
    </w:p>
    <w:p w14:paraId="60136FD5">
      <w:pPr>
        <w:pStyle w:val="28"/>
        <w:rPr>
          <w:rFonts w:hint="eastAsia"/>
        </w:rPr>
      </w:pPr>
    </w:p>
    <w:p w14:paraId="4267906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bookmarkStart w:id="54" w:name="_Toc1697"/>
    </w:p>
    <w:p w14:paraId="3BED24A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p>
    <w:p w14:paraId="12944D11">
      <w:pPr>
        <w:pStyle w:val="4"/>
        <w:rPr>
          <w:rFonts w:hint="eastAsia"/>
        </w:rPr>
      </w:pPr>
    </w:p>
    <w:p w14:paraId="6BFE577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质疑函范本</w:t>
      </w:r>
      <w:bookmarkEnd w:id="54"/>
    </w:p>
    <w:p w14:paraId="56E76A60">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5" w:name="_Toc9061"/>
      <w:r>
        <w:rPr>
          <w:rFonts w:hint="eastAsia" w:ascii="仿宋" w:hAnsi="仿宋" w:eastAsia="仿宋" w:cs="仿宋"/>
          <w:bCs/>
          <w:color w:val="000000" w:themeColor="text1"/>
          <w:sz w:val="21"/>
          <w:szCs w:val="21"/>
          <w:highlight w:val="none"/>
          <w14:textFill>
            <w14:solidFill>
              <w14:schemeClr w14:val="tx1"/>
            </w14:solidFill>
          </w14:textFill>
        </w:rPr>
        <w:t>一、质疑供应商基本信息</w:t>
      </w:r>
      <w:bookmarkEnd w:id="55"/>
    </w:p>
    <w:p w14:paraId="210DB23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质疑供应商：</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2D3683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地址：</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42650D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27A3D79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授权代表：</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42C852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联系电话：</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67BB847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地址： </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邮编：</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06A873F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6" w:name="_Toc15938"/>
      <w:r>
        <w:rPr>
          <w:rFonts w:hint="eastAsia" w:ascii="仿宋" w:hAnsi="仿宋" w:eastAsia="仿宋" w:cs="仿宋"/>
          <w:bCs/>
          <w:color w:val="000000" w:themeColor="text1"/>
          <w:sz w:val="21"/>
          <w:szCs w:val="21"/>
          <w:highlight w:val="none"/>
          <w14:textFill>
            <w14:solidFill>
              <w14:schemeClr w14:val="tx1"/>
            </w14:solidFill>
          </w14:textFill>
        </w:rPr>
        <w:t>二、质疑项目基本情况</w:t>
      </w:r>
      <w:bookmarkEnd w:id="56"/>
    </w:p>
    <w:p w14:paraId="48D25C1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4941F09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质疑项目的编号：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包号：</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C42665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采购人名称：</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FA3AC2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采购文件获取日期：</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A3AB64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7" w:name="_Toc18271"/>
      <w:r>
        <w:rPr>
          <w:rFonts w:hint="eastAsia" w:ascii="仿宋" w:hAnsi="仿宋" w:eastAsia="仿宋" w:cs="仿宋"/>
          <w:bCs/>
          <w:color w:val="000000" w:themeColor="text1"/>
          <w:sz w:val="21"/>
          <w:szCs w:val="21"/>
          <w:highlight w:val="none"/>
          <w14:textFill>
            <w14:solidFill>
              <w14:schemeClr w14:val="tx1"/>
            </w14:solidFill>
          </w14:textFill>
        </w:rPr>
        <w:t>三、质疑事项具体内容</w:t>
      </w:r>
      <w:bookmarkEnd w:id="57"/>
    </w:p>
    <w:p w14:paraId="00C853A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质疑事项1：</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1EC2F4A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事实依据：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F1FA89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法律依据：</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55CF801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质疑事项2</w:t>
      </w:r>
    </w:p>
    <w:p w14:paraId="5D73FC2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p>
    <w:p w14:paraId="5062F0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000000" w:themeColor="text1"/>
          <w:sz w:val="21"/>
          <w:szCs w:val="21"/>
          <w:highlight w:val="none"/>
          <w14:textFill>
            <w14:solidFill>
              <w14:schemeClr w14:val="tx1"/>
            </w14:solidFill>
          </w14:textFill>
        </w:rPr>
      </w:pPr>
      <w:bookmarkStart w:id="58" w:name="_Toc22365"/>
      <w:r>
        <w:rPr>
          <w:rFonts w:hint="eastAsia" w:ascii="仿宋" w:hAnsi="仿宋" w:eastAsia="仿宋" w:cs="仿宋"/>
          <w:bCs/>
          <w:color w:val="000000" w:themeColor="text1"/>
          <w:sz w:val="21"/>
          <w:szCs w:val="21"/>
          <w:highlight w:val="none"/>
          <w14:textFill>
            <w14:solidFill>
              <w14:schemeClr w14:val="tx1"/>
            </w14:solidFill>
          </w14:textFill>
        </w:rPr>
        <w:t>四、与质疑事项相关的质疑请求</w:t>
      </w:r>
      <w:bookmarkEnd w:id="58"/>
    </w:p>
    <w:p w14:paraId="32C2748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000000" w:themeColor="text1"/>
          <w:sz w:val="21"/>
          <w:szCs w:val="21"/>
          <w:highlight w:val="none"/>
          <w:u w:val="dotted"/>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请求：</w:t>
      </w:r>
      <w:r>
        <w:rPr>
          <w:rFonts w:hint="eastAsia" w:ascii="仿宋" w:hAnsi="仿宋" w:eastAsia="仿宋" w:cs="仿宋"/>
          <w:color w:val="000000" w:themeColor="text1"/>
          <w:sz w:val="21"/>
          <w:szCs w:val="21"/>
          <w:highlight w:val="none"/>
          <w:u w:val="dotted"/>
          <w14:textFill>
            <w14:solidFill>
              <w14:schemeClr w14:val="tx1"/>
            </w14:solidFill>
          </w14:textFill>
        </w:rPr>
        <w:t xml:space="preserve">                                               </w:t>
      </w:r>
    </w:p>
    <w:p w14:paraId="7F26BE03">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签章</w:t>
      </w:r>
      <w:r>
        <w:rPr>
          <w:rFonts w:hint="eastAsia" w:ascii="仿宋" w:hAnsi="仿宋" w:eastAsia="仿宋" w:cs="仿宋"/>
          <w:color w:val="000000" w:themeColor="text1"/>
          <w:sz w:val="21"/>
          <w:szCs w:val="21"/>
          <w:highlight w:val="none"/>
          <w14:textFill>
            <w14:solidFill>
              <w14:schemeClr w14:val="tx1"/>
            </w14:solidFill>
          </w14:textFill>
        </w:rPr>
        <w:t xml:space="preserve">(签章)：                   公章：                      </w:t>
      </w:r>
    </w:p>
    <w:p w14:paraId="639E6E71">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rPr>
      </w:pPr>
      <w:r>
        <w:rPr>
          <w:rFonts w:hint="eastAsia" w:ascii="仿宋" w:hAnsi="仿宋" w:eastAsia="仿宋" w:cs="仿宋"/>
          <w:color w:val="000000" w:themeColor="text1"/>
          <w:sz w:val="21"/>
          <w:szCs w:val="21"/>
          <w:highlight w:val="none"/>
          <w14:textFill>
            <w14:solidFill>
              <w14:schemeClr w14:val="tx1"/>
            </w14:solidFill>
          </w14:textFill>
        </w:rPr>
        <w:t xml:space="preserve">日期：    </w:t>
      </w:r>
    </w:p>
    <w:p w14:paraId="1004F6C8">
      <w:pPr>
        <w:pageBreakBefore/>
        <w:shd w:val="clear" w:color="auto" w:fill="auto"/>
        <w:spacing w:line="440" w:lineRule="exact"/>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59" w:name="_Toc469495731"/>
      <w:r>
        <w:rPr>
          <w:rFonts w:hint="eastAsia" w:ascii="仿宋" w:hAnsi="仿宋" w:eastAsia="仿宋" w:cs="仿宋"/>
          <w:b/>
          <w:bCs/>
          <w:color w:val="000000" w:themeColor="text1"/>
          <w:sz w:val="36"/>
          <w:szCs w:val="36"/>
          <w:highlight w:val="none"/>
          <w14:textFill>
            <w14:solidFill>
              <w14:schemeClr w14:val="tx1"/>
            </w14:solidFill>
          </w14:textFill>
        </w:rPr>
        <w:t>第三</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部分</w:t>
      </w:r>
      <w:r>
        <w:rPr>
          <w:rFonts w:hint="eastAsia" w:ascii="仿宋" w:hAnsi="仿宋" w:eastAsia="仿宋" w:cs="仿宋"/>
          <w:b/>
          <w:bCs/>
          <w:color w:val="000000" w:themeColor="text1"/>
          <w:sz w:val="36"/>
          <w:szCs w:val="36"/>
          <w:highlight w:val="none"/>
          <w14:textFill>
            <w14:solidFill>
              <w14:schemeClr w14:val="tx1"/>
            </w14:solidFill>
          </w14:textFill>
        </w:rPr>
        <w:t xml:space="preserve">  评标办法</w:t>
      </w:r>
      <w:bookmarkEnd w:id="59"/>
    </w:p>
    <w:p w14:paraId="4FEF4AFE">
      <w:pPr>
        <w:shd w:val="clear" w:color="auto" w:fill="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bookmarkStart w:id="60" w:name="_Toc362983802"/>
      <w:bookmarkStart w:id="61" w:name="_Toc469495733"/>
      <w:bookmarkStart w:id="62" w:name="_Toc267320058"/>
      <w:bookmarkStart w:id="63" w:name="_Toc363135205"/>
      <w:r>
        <w:rPr>
          <w:rFonts w:hint="eastAsia" w:ascii="仿宋" w:hAnsi="仿宋" w:eastAsia="仿宋" w:cs="仿宋"/>
          <w:b/>
          <w:color w:val="000000" w:themeColor="text1"/>
          <w:sz w:val="28"/>
          <w:szCs w:val="28"/>
          <w:highlight w:val="none"/>
          <w14:textFill>
            <w14:solidFill>
              <w14:schemeClr w14:val="tx1"/>
            </w14:solidFill>
          </w14:textFill>
        </w:rPr>
        <w:t>一</w:t>
      </w:r>
      <w:r>
        <w:rPr>
          <w:rFonts w:hint="eastAsia" w:ascii="仿宋" w:hAnsi="仿宋" w:eastAsia="仿宋" w:cs="仿宋"/>
          <w:b/>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8"/>
          <w:szCs w:val="28"/>
          <w:highlight w:val="none"/>
          <w14:textFill>
            <w14:solidFill>
              <w14:schemeClr w14:val="tx1"/>
            </w14:solidFill>
          </w14:textFill>
        </w:rPr>
        <w:t>总  则</w:t>
      </w:r>
    </w:p>
    <w:p w14:paraId="088720C9">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1、一般规定</w:t>
      </w:r>
    </w:p>
    <w:p w14:paraId="1562CCC6">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1.1本项目的招标按照《中华人民共和国政府采购法》、《政府采购货物和服务招标投标管理办法》及政府采购的有关规定进行。</w:t>
      </w:r>
    </w:p>
    <w:p w14:paraId="2F940766">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1.2评标必须遵循邀请、公平、公正、诚实信用的原则。</w:t>
      </w:r>
    </w:p>
    <w:p w14:paraId="48490801">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1.3招标代理机构组织招标、开标、评标工作，全过程接受政府采购有关部门的监督、管理和指导。</w:t>
      </w:r>
    </w:p>
    <w:p w14:paraId="032FCFA2">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1.4评标按照招标文件规定的内容进行，采取符合招标文件要求的最低评标价法；</w:t>
      </w:r>
    </w:p>
    <w:p w14:paraId="0B0DC26E">
      <w:pPr>
        <w:shd w:val="clear" w:color="auto" w:fill="auto"/>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1.5本办法的评标对象是指投标人按照招标文件要求提供的有效投标文件，包括投标人应评标委员会要求对原投标文件作出的正式书面澄清文件。</w:t>
      </w:r>
    </w:p>
    <w:p w14:paraId="6ADBB2C8">
      <w:pPr>
        <w:shd w:val="clear" w:color="auto" w:fill="auto"/>
        <w:tabs>
          <w:tab w:val="left" w:pos="567"/>
          <w:tab w:val="left" w:pos="1145"/>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2、评标组织机构的组成</w:t>
      </w:r>
    </w:p>
    <w:p w14:paraId="4052F54C">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1评标委员会由采购人或采购代理机构依法组建，成员由采购人代表和评审专家组成，成员人数为五人或以上单数，其中评审专家不少于成员总数的三分之二。</w:t>
      </w:r>
    </w:p>
    <w:p w14:paraId="6230D36D">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.2评审专家从</w:t>
      </w:r>
      <w:r>
        <w:rPr>
          <w:rFonts w:hint="eastAsia" w:ascii="仿宋" w:hAnsi="仿宋" w:eastAsia="仿宋" w:cs="仿宋"/>
          <w:color w:val="000000" w:themeColor="text1"/>
          <w:szCs w:val="21"/>
          <w:highlight w:val="none"/>
          <w:lang w:eastAsia="zh-CN"/>
          <w14:textFill>
            <w14:solidFill>
              <w14:schemeClr w14:val="tx1"/>
            </w14:solidFill>
          </w14:textFill>
        </w:rPr>
        <w:t>新疆</w:t>
      </w:r>
      <w:r>
        <w:rPr>
          <w:rFonts w:hint="eastAsia" w:ascii="仿宋" w:hAnsi="仿宋" w:eastAsia="仿宋" w:cs="仿宋"/>
          <w:color w:val="000000" w:themeColor="text1"/>
          <w:szCs w:val="21"/>
          <w:highlight w:val="none"/>
          <w14:textFill>
            <w14:solidFill>
              <w14:schemeClr w14:val="tx1"/>
            </w14:solidFill>
          </w14:textFill>
        </w:rPr>
        <w:t>政府采购云平台专家库中通过随机方式抽取产生。评标委员会成员名单在采购结果公告前保密。</w:t>
      </w:r>
    </w:p>
    <w:p w14:paraId="0962DB91">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3、评标委员会职责</w:t>
      </w:r>
    </w:p>
    <w:p w14:paraId="6F1F7891">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3.1审查投标文件是否符合招标文件要求，并作出评价；</w:t>
      </w:r>
    </w:p>
    <w:p w14:paraId="1AED3132">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3.2要求投标人对投标文件有关事项作出解释或者澄清；</w:t>
      </w:r>
    </w:p>
    <w:p w14:paraId="3F3766DF">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3.3推荐中标候选人名单；</w:t>
      </w:r>
    </w:p>
    <w:p w14:paraId="0489EE30">
      <w:pPr>
        <w:pStyle w:val="37"/>
        <w:shd w:val="clear" w:color="auto" w:fill="auto"/>
        <w:spacing w:before="0" w:beforeAutospacing="0" w:after="0" w:afterAutospacing="0" w:line="440" w:lineRule="exact"/>
        <w:ind w:firstLine="535" w:firstLineChars="25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3.4向招标人、招标代理机构或者有关部门报告非法干预评标工作的行为。</w:t>
      </w:r>
    </w:p>
    <w:p w14:paraId="6B9A2894">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4、评标委员会义务</w:t>
      </w:r>
    </w:p>
    <w:p w14:paraId="727CF2B4">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4.1遵纪守法，客观、公正、廉洁地履行职责；</w:t>
      </w:r>
    </w:p>
    <w:p w14:paraId="464955D6">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4.2按照招标文件规定的评标方法和评标标准进行评标，对评审意见承担个人责任；</w:t>
      </w:r>
    </w:p>
    <w:p w14:paraId="05485885">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4.3对评标过程和结果，以及投标人的商业秘密保密；</w:t>
      </w:r>
    </w:p>
    <w:p w14:paraId="2E0C3707">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4.4参与评标报告的起草；</w:t>
      </w:r>
    </w:p>
    <w:p w14:paraId="5CF52485">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4.5配合有关部门的投诉处理工作；</w:t>
      </w:r>
    </w:p>
    <w:p w14:paraId="573FF017">
      <w:pPr>
        <w:shd w:val="clear" w:color="auto" w:fill="auto"/>
        <w:tabs>
          <w:tab w:val="left" w:pos="567"/>
          <w:tab w:val="left" w:pos="600"/>
        </w:tabs>
        <w:spacing w:line="440" w:lineRule="exact"/>
        <w:ind w:firstLine="612" w:firstLineChars="25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4.6配合招标人、招标代理机构答复投标供应商提出的质疑。</w:t>
      </w:r>
    </w:p>
    <w:p w14:paraId="4C416E92">
      <w:pPr>
        <w:shd w:val="clear" w:color="auto" w:fill="auto"/>
        <w:tabs>
          <w:tab w:val="left" w:pos="1547"/>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 评标程序</w:t>
      </w:r>
    </w:p>
    <w:p w14:paraId="54CDC3CE">
      <w:pPr>
        <w:pStyle w:val="14"/>
        <w:shd w:val="clear" w:color="auto" w:fill="auto"/>
        <w:tabs>
          <w:tab w:val="left" w:pos="720"/>
          <w:tab w:val="clear" w:pos="0"/>
        </w:tabs>
        <w:spacing w:line="440" w:lineRule="exact"/>
        <w:ind w:firstLine="612" w:firstLineChars="255"/>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5.1本次评标首先由评标委员会对投标人的投标文件进行初审，对未能通过初审的投标文件作无效标处理；</w:t>
      </w:r>
    </w:p>
    <w:p w14:paraId="24E806BB">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5.2对通过初审的投标人的投标文件进行详细的比较和评价。如需要，进行必要的澄清工作；</w:t>
      </w:r>
    </w:p>
    <w:p w14:paraId="7B941A51">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000000" w:themeColor="text1"/>
          <w:kern w:val="0"/>
          <w:sz w:val="36"/>
          <w:szCs w:val="36"/>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5.3依据评分标准以及各项权值，各位评委单独就每个投标人的</w:t>
      </w:r>
      <w:r>
        <w:rPr>
          <w:rFonts w:hint="eastAsia" w:ascii="仿宋" w:hAnsi="仿宋" w:eastAsia="仿宋" w:cs="仿宋"/>
          <w:color w:val="000000" w:themeColor="text1"/>
          <w:kern w:val="0"/>
          <w:szCs w:val="21"/>
          <w:highlight w:val="none"/>
          <w:lang w:bidi="ar-SA"/>
          <w14:textFill>
            <w14:solidFill>
              <w14:schemeClr w14:val="tx1"/>
            </w14:solidFill>
          </w14:textFill>
        </w:rPr>
        <w:t>投标文件进行价格、技术、</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begin"/>
      </w:r>
      <w:r>
        <w:rPr>
          <w:rFonts w:hint="eastAsia" w:ascii="仿宋" w:hAnsi="仿宋" w:eastAsia="仿宋" w:cs="仿宋"/>
          <w:color w:val="000000" w:themeColor="text1"/>
          <w:kern w:val="0"/>
          <w:szCs w:val="21"/>
          <w:highlight w:val="none"/>
          <w:lang w:bidi="ar-SA"/>
          <w14:textFill>
            <w14:solidFill>
              <w14:schemeClr w14:val="tx1"/>
            </w14:solidFill>
          </w14:textFill>
        </w:rPr>
        <w:instrText xml:space="preserve">HYPERLINK "http://zhidao.baidu.com/search?word=%E8%B4%A2%E5%8A%A1%E7%8A%B6%E5%86%B5&amp;fr=qb_search_exp&amp;ie=utf8&amp;eid_gfrom=151"</w:instrTex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separate"/>
      </w:r>
      <w:r>
        <w:rPr>
          <w:rFonts w:hint="eastAsia" w:ascii="仿宋" w:hAnsi="仿宋" w:eastAsia="仿宋" w:cs="仿宋"/>
          <w:color w:val="000000" w:themeColor="text1"/>
          <w:kern w:val="0"/>
          <w:szCs w:val="21"/>
          <w:highlight w:val="none"/>
          <w:lang w:bidi="ar-SA"/>
          <w14:textFill>
            <w14:solidFill>
              <w14:schemeClr w14:val="tx1"/>
            </w14:solidFill>
          </w14:textFill>
        </w:rPr>
        <w:t>财务状况</w:t>
      </w:r>
      <w:r>
        <w:rPr>
          <w:rFonts w:hint="eastAsia" w:ascii="仿宋" w:hAnsi="仿宋" w:eastAsia="仿宋" w:cs="仿宋"/>
          <w:color w:val="000000" w:themeColor="text1"/>
          <w:kern w:val="0"/>
          <w:szCs w:val="21"/>
          <w:highlight w:val="none"/>
          <w:lang w:bidi="ar-SA"/>
          <w14:textFill>
            <w14:solidFill>
              <w14:schemeClr w14:val="tx1"/>
            </w14:solidFill>
          </w14:textFill>
        </w:rPr>
        <w:fldChar w:fldCharType="end"/>
      </w:r>
      <w:r>
        <w:rPr>
          <w:rFonts w:hint="eastAsia" w:ascii="仿宋" w:hAnsi="仿宋" w:eastAsia="仿宋" w:cs="仿宋"/>
          <w:color w:val="000000" w:themeColor="text1"/>
          <w:kern w:val="0"/>
          <w:szCs w:val="21"/>
          <w:highlight w:val="none"/>
          <w:lang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649313EC">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73E0C034">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5BD1EF9">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00639A8E">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61D99E4">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AF8EF98">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4DAC1F1D">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4A93CC1E">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23FDFF3">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61E66BB">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740F0DB0">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8426205">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00907EC">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20C8105D">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7B33D38">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B4BA026">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ECB065B">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45338449">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7AFC1A1F">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274F9CF">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2CAA453">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899CCE1">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EDB19F5">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311A56D8">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5583DA77">
      <w:pPr>
        <w:pStyle w:val="7"/>
        <w:numPr>
          <w:ilvl w:val="0"/>
          <w:numId w:val="0"/>
        </w:numPr>
        <w:ind w:leftChars="0" w:right="0" w:rightChars="0"/>
        <w:rPr>
          <w:rFonts w:hint="eastAsia"/>
        </w:rPr>
      </w:pPr>
    </w:p>
    <w:p w14:paraId="5FD936D3">
      <w:pPr>
        <w:rPr>
          <w:rFonts w:hint="eastAsia"/>
        </w:rPr>
      </w:pPr>
    </w:p>
    <w:p w14:paraId="1F9726AC">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0D3C4124">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7900264">
      <w:pPr>
        <w:pStyle w:val="7"/>
        <w:numPr>
          <w:ilvl w:val="0"/>
          <w:numId w:val="0"/>
        </w:numPr>
        <w:ind w:leftChars="0" w:right="0" w:rightChars="0"/>
        <w:rPr>
          <w:rFonts w:hint="eastAsia"/>
        </w:rPr>
      </w:pPr>
    </w:p>
    <w:p w14:paraId="28425ED4">
      <w:pPr>
        <w:rPr>
          <w:rFonts w:hint="eastAsia"/>
        </w:rPr>
      </w:pPr>
    </w:p>
    <w:p w14:paraId="5CAE56B4">
      <w:pPr>
        <w:pStyle w:val="7"/>
        <w:numPr>
          <w:ilvl w:val="0"/>
          <w:numId w:val="0"/>
        </w:numPr>
        <w:ind w:leftChars="0" w:right="0" w:rightChars="0"/>
        <w:rPr>
          <w:rFonts w:hint="eastAsia"/>
        </w:rPr>
      </w:pPr>
    </w:p>
    <w:p w14:paraId="7CC3348D">
      <w:pPr>
        <w:rPr>
          <w:rFonts w:hint="eastAsia"/>
        </w:rPr>
      </w:pPr>
    </w:p>
    <w:p w14:paraId="491B9ED5">
      <w:pPr>
        <w:pStyle w:val="7"/>
        <w:numPr>
          <w:ilvl w:val="0"/>
          <w:numId w:val="0"/>
        </w:numPr>
        <w:ind w:leftChars="0" w:right="0" w:rightChars="0"/>
        <w:rPr>
          <w:rFonts w:hint="eastAsia"/>
        </w:rPr>
      </w:pPr>
    </w:p>
    <w:p w14:paraId="02EAB233">
      <w:pPr>
        <w:rPr>
          <w:rFonts w:hint="eastAsia"/>
        </w:rPr>
      </w:pPr>
    </w:p>
    <w:p w14:paraId="06EF3D9C">
      <w:pPr>
        <w:pStyle w:val="7"/>
        <w:numPr>
          <w:ilvl w:val="0"/>
          <w:numId w:val="0"/>
        </w:numPr>
        <w:ind w:leftChars="0" w:right="0" w:rightChars="0"/>
        <w:rPr>
          <w:rFonts w:hint="eastAsia"/>
        </w:rPr>
      </w:pPr>
    </w:p>
    <w:p w14:paraId="6D8D3AC5">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p>
    <w:p w14:paraId="1C4DC03F">
      <w:pPr>
        <w:shd w:val="clear" w:color="auto" w:fill="auto"/>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  投标文件初审</w:t>
      </w:r>
      <w:bookmarkEnd w:id="60"/>
      <w:bookmarkEnd w:id="61"/>
    </w:p>
    <w:p w14:paraId="7970FCE5">
      <w:pPr>
        <w:shd w:val="clear" w:color="auto" w:fill="auto"/>
        <w:spacing w:line="40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.资格性审查:</w:t>
      </w:r>
    </w:p>
    <w:p w14:paraId="70651D0C">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50"/>
        <w:gridCol w:w="5402"/>
        <w:gridCol w:w="1305"/>
        <w:gridCol w:w="1196"/>
      </w:tblGrid>
      <w:tr w14:paraId="63CC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14:paraId="6A85B64F">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w:t>
            </w:r>
          </w:p>
        </w:tc>
        <w:tc>
          <w:tcPr>
            <w:tcW w:w="5952" w:type="dxa"/>
            <w:gridSpan w:val="2"/>
            <w:vMerge w:val="restart"/>
            <w:noWrap w:val="0"/>
            <w:vAlign w:val="center"/>
          </w:tcPr>
          <w:p w14:paraId="1EB3645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评审内容</w:t>
            </w:r>
          </w:p>
        </w:tc>
        <w:tc>
          <w:tcPr>
            <w:tcW w:w="2501" w:type="dxa"/>
            <w:gridSpan w:val="2"/>
            <w:noWrap w:val="0"/>
            <w:vAlign w:val="center"/>
          </w:tcPr>
          <w:p w14:paraId="62CB71F3">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评审意见</w:t>
            </w:r>
          </w:p>
        </w:tc>
      </w:tr>
      <w:tr w14:paraId="71A2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14:paraId="1FFC491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952" w:type="dxa"/>
            <w:gridSpan w:val="2"/>
            <w:vMerge w:val="continue"/>
            <w:noWrap w:val="0"/>
            <w:vAlign w:val="top"/>
          </w:tcPr>
          <w:p w14:paraId="5B76A4B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305" w:type="dxa"/>
            <w:noWrap w:val="0"/>
            <w:vAlign w:val="center"/>
          </w:tcPr>
          <w:p w14:paraId="2DA4B949">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是否合格</w:t>
            </w:r>
          </w:p>
        </w:tc>
        <w:tc>
          <w:tcPr>
            <w:tcW w:w="1196" w:type="dxa"/>
            <w:noWrap w:val="0"/>
            <w:vAlign w:val="center"/>
          </w:tcPr>
          <w:p w14:paraId="711CD6F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是否合格</w:t>
            </w:r>
          </w:p>
        </w:tc>
      </w:tr>
      <w:tr w14:paraId="0F60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6" w:type="dxa"/>
            <w:vMerge w:val="restart"/>
            <w:noWrap w:val="0"/>
            <w:vAlign w:val="center"/>
          </w:tcPr>
          <w:p w14:paraId="32342784">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14:paraId="08BA6A93">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14:paraId="058AEE52">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14:paraId="4B4F2111">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p w14:paraId="148E6CA6">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(适</w:t>
            </w:r>
          </w:p>
          <w:p w14:paraId="14CF4FF1">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用</w:t>
            </w:r>
          </w:p>
          <w:p w14:paraId="0F4F5854">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于</w:t>
            </w:r>
          </w:p>
          <w:p w14:paraId="753947B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w:t>
            </w:r>
          </w:p>
          <w:p w14:paraId="059384F7">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格</w:t>
            </w:r>
          </w:p>
          <w:p w14:paraId="4D9311A8">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后</w:t>
            </w:r>
          </w:p>
          <w:p w14:paraId="3A80302A">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tc>
        <w:tc>
          <w:tcPr>
            <w:tcW w:w="550" w:type="dxa"/>
            <w:noWrap w:val="0"/>
            <w:vAlign w:val="center"/>
          </w:tcPr>
          <w:p w14:paraId="549C4D4F">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p>
        </w:tc>
        <w:tc>
          <w:tcPr>
            <w:tcW w:w="5402" w:type="dxa"/>
            <w:noWrap w:val="0"/>
            <w:vAlign w:val="center"/>
          </w:tcPr>
          <w:p w14:paraId="6EC3A74B">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具备有效的营业执照</w:t>
            </w:r>
          </w:p>
        </w:tc>
        <w:tc>
          <w:tcPr>
            <w:tcW w:w="1305" w:type="dxa"/>
            <w:noWrap w:val="0"/>
            <w:vAlign w:val="top"/>
          </w:tcPr>
          <w:p w14:paraId="204BFEFB">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518F7D7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5228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14:paraId="0AAF15F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6FDB5B9C">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5402" w:type="dxa"/>
            <w:noWrap w:val="0"/>
            <w:vAlign w:val="center"/>
          </w:tcPr>
          <w:p w14:paraId="4120F45D">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法定代表人投标需提供法定代表人资格证明书，委托代理人投标需提供法定代表人授权委托书</w:t>
            </w:r>
          </w:p>
        </w:tc>
        <w:tc>
          <w:tcPr>
            <w:tcW w:w="1305" w:type="dxa"/>
            <w:noWrap w:val="0"/>
            <w:vAlign w:val="top"/>
          </w:tcPr>
          <w:p w14:paraId="6782F4A3">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47F3A25D">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743C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86" w:type="dxa"/>
            <w:vMerge w:val="continue"/>
            <w:noWrap w:val="0"/>
            <w:vAlign w:val="center"/>
          </w:tcPr>
          <w:p w14:paraId="326F94F6">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401A5481">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5402" w:type="dxa"/>
            <w:noWrap w:val="0"/>
            <w:vAlign w:val="center"/>
          </w:tcPr>
          <w:p w14:paraId="28B20604">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提供法人或委托代理人近6个月任意一个月有效社保证明和完税证明</w:t>
            </w:r>
          </w:p>
        </w:tc>
        <w:tc>
          <w:tcPr>
            <w:tcW w:w="1305" w:type="dxa"/>
            <w:noWrap w:val="0"/>
            <w:vAlign w:val="top"/>
          </w:tcPr>
          <w:p w14:paraId="68B242B7">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0CDC91A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4F8E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86" w:type="dxa"/>
            <w:vMerge w:val="continue"/>
            <w:noWrap w:val="0"/>
            <w:vAlign w:val="center"/>
          </w:tcPr>
          <w:p w14:paraId="0389C02D">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55FBA535">
            <w:pPr>
              <w:shd w:val="clear" w:color="auto" w:fill="auto"/>
              <w:spacing w:line="400" w:lineRule="exact"/>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5402" w:type="dxa"/>
            <w:noWrap w:val="0"/>
            <w:vAlign w:val="center"/>
          </w:tcPr>
          <w:p w14:paraId="4B812762">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未被“信用中国”（www.creditchina.gov.cn）、“中国政府采购网”（www.ccgp.gov.cn）列入失信被执行人、重大税收违法案件当事人名单、政府采购严重违法失信行为记录名单</w:t>
            </w:r>
          </w:p>
        </w:tc>
        <w:tc>
          <w:tcPr>
            <w:tcW w:w="1305" w:type="dxa"/>
            <w:noWrap w:val="0"/>
            <w:vAlign w:val="top"/>
          </w:tcPr>
          <w:p w14:paraId="4FB5EEC8">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1408D141">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5766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886" w:type="dxa"/>
            <w:vMerge w:val="continue"/>
            <w:noWrap w:val="0"/>
            <w:vAlign w:val="center"/>
          </w:tcPr>
          <w:p w14:paraId="69C4187B">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550" w:type="dxa"/>
            <w:noWrap w:val="0"/>
            <w:vAlign w:val="center"/>
          </w:tcPr>
          <w:p w14:paraId="5302B907">
            <w:pPr>
              <w:shd w:val="clear" w:color="auto" w:fill="auto"/>
              <w:spacing w:line="400" w:lineRule="exact"/>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5402" w:type="dxa"/>
            <w:noWrap w:val="0"/>
            <w:vAlign w:val="center"/>
          </w:tcPr>
          <w:p w14:paraId="19092DB8">
            <w:pPr>
              <w:shd w:val="clear" w:color="auto" w:fill="auto"/>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供应商具备有效的《中华人民共和国金融许可证》或《金融机构营业许可证》</w:t>
            </w:r>
          </w:p>
        </w:tc>
        <w:tc>
          <w:tcPr>
            <w:tcW w:w="1305" w:type="dxa"/>
            <w:noWrap w:val="0"/>
            <w:vAlign w:val="top"/>
          </w:tcPr>
          <w:p w14:paraId="204A5CC5">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1196" w:type="dxa"/>
            <w:noWrap w:val="0"/>
            <w:vAlign w:val="top"/>
          </w:tcPr>
          <w:p w14:paraId="725AA671">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r>
      <w:tr w14:paraId="4E2A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86" w:type="dxa"/>
            <w:vMerge w:val="continue"/>
            <w:noWrap w:val="0"/>
            <w:vAlign w:val="center"/>
          </w:tcPr>
          <w:p w14:paraId="1E15A328">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p>
        </w:tc>
        <w:tc>
          <w:tcPr>
            <w:tcW w:w="8453" w:type="dxa"/>
            <w:gridSpan w:val="4"/>
            <w:noWrap w:val="0"/>
            <w:vAlign w:val="center"/>
          </w:tcPr>
          <w:p w14:paraId="1771D7DB">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评审结果“√”表示合格；“×”表示不合格，一项不合格结果为</w:t>
            </w:r>
            <w:r>
              <w:rPr>
                <w:rFonts w:hint="eastAsia" w:ascii="仿宋" w:hAnsi="仿宋" w:eastAsia="仿宋" w:cs="仿宋"/>
                <w:b w:val="0"/>
                <w:bCs w:val="0"/>
                <w:color w:val="000000" w:themeColor="text1"/>
                <w:szCs w:val="21"/>
                <w:highlight w:val="none"/>
                <w14:textFill>
                  <w14:solidFill>
                    <w14:schemeClr w14:val="tx1"/>
                  </w14:solidFill>
                </w14:textFill>
              </w:rPr>
              <w:t>不合格，</w:t>
            </w:r>
            <w:r>
              <w:rPr>
                <w:rFonts w:hint="eastAsia" w:ascii="仿宋" w:hAnsi="仿宋" w:eastAsia="仿宋" w:cs="仿宋"/>
                <w:color w:val="000000" w:themeColor="text1"/>
                <w:szCs w:val="21"/>
                <w:highlight w:val="none"/>
                <w14:textFill>
                  <w14:solidFill>
                    <w14:schemeClr w14:val="tx1"/>
                  </w14:solidFill>
                </w14:textFill>
              </w:rPr>
              <w:t>如不合格，请在结果中写明原</w:t>
            </w:r>
            <w:r>
              <w:rPr>
                <w:rFonts w:hint="eastAsia" w:ascii="仿宋" w:hAnsi="仿宋" w:eastAsia="仿宋" w:cs="仿宋"/>
                <w:b w:val="0"/>
                <w:bCs w:val="0"/>
                <w:color w:val="000000" w:themeColor="text1"/>
                <w:szCs w:val="21"/>
                <w:highlight w:val="none"/>
                <w14:textFill>
                  <w14:solidFill>
                    <w14:schemeClr w14:val="tx1"/>
                  </w14:solidFill>
                </w14:textFill>
              </w:rPr>
              <w:t>因。（</w:t>
            </w:r>
            <w:r>
              <w:rPr>
                <w:rFonts w:hint="eastAsia" w:ascii="仿宋" w:hAnsi="仿宋" w:eastAsia="仿宋" w:cs="仿宋"/>
                <w:b w:val="0"/>
                <w:bCs w:val="0"/>
                <w:color w:val="0000FF"/>
                <w:szCs w:val="21"/>
                <w:highlight w:val="none"/>
              </w:rPr>
              <w:t>所上传资格文件为原件扫描件并加盖公章</w:t>
            </w:r>
            <w:r>
              <w:rPr>
                <w:rFonts w:hint="eastAsia" w:ascii="仿宋" w:hAnsi="仿宋" w:eastAsia="仿宋" w:cs="仿宋"/>
                <w:b w:val="0"/>
                <w:bCs w:val="0"/>
                <w:color w:val="000000" w:themeColor="text1"/>
                <w:szCs w:val="21"/>
                <w:highlight w:val="none"/>
                <w14:textFill>
                  <w14:solidFill>
                    <w14:schemeClr w14:val="tx1"/>
                  </w14:solidFill>
                </w14:textFill>
              </w:rPr>
              <w:t>）</w:t>
            </w:r>
          </w:p>
        </w:tc>
      </w:tr>
    </w:tbl>
    <w:p w14:paraId="3AFC4380">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.2如评标专家在检验电子标书过程中，如果由于投标人自身原因导致评标专家无法查看并检验电子标书中以上相关资料的，否决其投标。即使投标单位将原件携带至现场的，同样按无效投标处理</w:t>
      </w:r>
    </w:p>
    <w:p w14:paraId="63F57F97">
      <w:pPr>
        <w:shd w:val="clear" w:color="auto" w:fill="auto"/>
        <w:spacing w:line="400" w:lineRule="exact"/>
        <w:rPr>
          <w:rFonts w:hint="eastAsia" w:ascii="仿宋" w:hAnsi="仿宋" w:eastAsia="仿宋" w:cs="仿宋"/>
          <w:color w:val="000000" w:themeColor="text1"/>
          <w:szCs w:val="21"/>
          <w:highlight w:val="none"/>
          <w:lang w:val="en-US" w:eastAsia="zh-CN"/>
          <w14:textFill>
            <w14:solidFill>
              <w14:schemeClr w14:val="tx1"/>
            </w14:solidFill>
          </w14:textFill>
        </w:rPr>
      </w:pPr>
    </w:p>
    <w:p w14:paraId="51747900">
      <w:pPr>
        <w:rPr>
          <w:rFonts w:hint="eastAsia"/>
          <w:lang w:val="en-US" w:eastAsia="zh-CN"/>
        </w:rPr>
      </w:pPr>
    </w:p>
    <w:p w14:paraId="32E08E56">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712E97F2">
      <w:pPr>
        <w:pStyle w:val="7"/>
        <w:numPr>
          <w:ilvl w:val="0"/>
          <w:numId w:val="0"/>
        </w:numPr>
        <w:ind w:leftChars="0" w:right="0" w:rightChars="0"/>
        <w:rPr>
          <w:rFonts w:hint="eastAsia"/>
          <w:lang w:val="en-US" w:eastAsia="zh-CN"/>
        </w:rPr>
      </w:pPr>
    </w:p>
    <w:p w14:paraId="1F16C57E">
      <w:pPr>
        <w:rPr>
          <w:rFonts w:hint="eastAsia"/>
          <w:lang w:val="en-US" w:eastAsia="zh-CN"/>
        </w:rPr>
      </w:pPr>
    </w:p>
    <w:p w14:paraId="7C0E7134">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163BC9DA">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495C5671">
      <w:pPr>
        <w:shd w:val="clear" w:color="auto" w:fill="auto"/>
        <w:spacing w:before="156" w:beforeLines="50" w:line="440" w:lineRule="exact"/>
        <w:ind w:firstLine="352" w:firstLineChars="147"/>
        <w:jc w:val="center"/>
        <w:rPr>
          <w:rFonts w:hint="eastAsia" w:ascii="仿宋" w:hAnsi="仿宋" w:eastAsia="仿宋" w:cs="仿宋"/>
          <w:b/>
          <w:color w:val="000000" w:themeColor="text1"/>
          <w:szCs w:val="21"/>
          <w:highlight w:val="none"/>
          <w:lang w:val="en-US" w:eastAsia="zh-CN"/>
          <w14:textFill>
            <w14:solidFill>
              <w14:schemeClr w14:val="tx1"/>
            </w14:solidFill>
          </w14:textFill>
        </w:rPr>
      </w:pPr>
    </w:p>
    <w:p w14:paraId="23FC7812">
      <w:pPr>
        <w:shd w:val="clear" w:color="auto" w:fill="auto"/>
        <w:spacing w:line="400" w:lineRule="exact"/>
        <w:ind w:firstLine="352" w:firstLineChars="147"/>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7</w:t>
      </w:r>
      <w:r>
        <w:rPr>
          <w:rFonts w:hint="eastAsia" w:ascii="仿宋" w:hAnsi="仿宋" w:eastAsia="仿宋" w:cs="仿宋"/>
          <w:b/>
          <w:color w:val="000000" w:themeColor="text1"/>
          <w:szCs w:val="21"/>
          <w:highlight w:val="none"/>
          <w14:textFill>
            <w14:solidFill>
              <w14:schemeClr w14:val="tx1"/>
            </w14:solidFill>
          </w14:textFill>
        </w:rPr>
        <w:t>.符合性审查</w:t>
      </w:r>
    </w:p>
    <w:p w14:paraId="25EDBBFF">
      <w:pPr>
        <w:shd w:val="clear" w:color="auto" w:fill="auto"/>
        <w:spacing w:line="400" w:lineRule="exact"/>
        <w:ind w:firstLine="578" w:firstLineChars="241"/>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．1评审细则</w:t>
      </w:r>
    </w:p>
    <w:tbl>
      <w:tblPr>
        <w:tblStyle w:val="18"/>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7"/>
        <w:gridCol w:w="585"/>
        <w:gridCol w:w="6654"/>
        <w:gridCol w:w="753"/>
        <w:gridCol w:w="749"/>
      </w:tblGrid>
      <w:tr w14:paraId="5ECE0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757" w:type="dxa"/>
            <w:tcBorders>
              <w:top w:val="single" w:color="auto" w:sz="4" w:space="0"/>
              <w:left w:val="single" w:color="auto" w:sz="4" w:space="0"/>
            </w:tcBorders>
            <w:noWrap w:val="0"/>
            <w:vAlign w:val="center"/>
          </w:tcPr>
          <w:p w14:paraId="776EE55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w:t>
            </w:r>
          </w:p>
        </w:tc>
        <w:tc>
          <w:tcPr>
            <w:tcW w:w="7239" w:type="dxa"/>
            <w:gridSpan w:val="2"/>
            <w:tcBorders>
              <w:top w:val="single" w:color="auto" w:sz="4" w:space="0"/>
            </w:tcBorders>
            <w:noWrap w:val="0"/>
            <w:vAlign w:val="center"/>
          </w:tcPr>
          <w:p w14:paraId="29A1DF5E">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评审内容</w:t>
            </w:r>
          </w:p>
        </w:tc>
        <w:tc>
          <w:tcPr>
            <w:tcW w:w="1502" w:type="dxa"/>
            <w:gridSpan w:val="2"/>
            <w:tcBorders>
              <w:top w:val="single" w:color="auto" w:sz="4" w:space="0"/>
              <w:right w:val="single" w:color="auto" w:sz="4" w:space="0"/>
            </w:tcBorders>
            <w:noWrap w:val="0"/>
            <w:vAlign w:val="center"/>
          </w:tcPr>
          <w:p w14:paraId="6328B0B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评审意见</w:t>
            </w:r>
          </w:p>
        </w:tc>
      </w:tr>
      <w:tr w14:paraId="5FE29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tcBorders>
              <w:left w:val="single" w:color="auto" w:sz="4" w:space="0"/>
              <w:bottom w:val="single" w:color="auto" w:sz="4" w:space="0"/>
            </w:tcBorders>
            <w:noWrap w:val="0"/>
            <w:vAlign w:val="center"/>
          </w:tcPr>
          <w:p w14:paraId="464BA88E">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239" w:type="dxa"/>
            <w:gridSpan w:val="2"/>
            <w:tcBorders>
              <w:bottom w:val="single" w:color="auto" w:sz="4" w:space="0"/>
            </w:tcBorders>
            <w:noWrap w:val="0"/>
            <w:vAlign w:val="top"/>
          </w:tcPr>
          <w:p w14:paraId="7FA1414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53" w:type="dxa"/>
            <w:noWrap w:val="0"/>
            <w:vAlign w:val="center"/>
          </w:tcPr>
          <w:p w14:paraId="7B13224B">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c>
          <w:tcPr>
            <w:tcW w:w="749" w:type="dxa"/>
            <w:tcBorders>
              <w:right w:val="single" w:color="auto" w:sz="4" w:space="0"/>
            </w:tcBorders>
            <w:noWrap w:val="0"/>
            <w:vAlign w:val="center"/>
          </w:tcPr>
          <w:p w14:paraId="5F0AE3BD">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0B148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757" w:type="dxa"/>
            <w:vMerge w:val="restart"/>
            <w:tcBorders>
              <w:top w:val="single" w:color="auto" w:sz="4" w:space="0"/>
              <w:left w:val="single" w:color="auto" w:sz="4" w:space="0"/>
              <w:right w:val="single" w:color="auto" w:sz="4" w:space="0"/>
            </w:tcBorders>
            <w:noWrap w:val="0"/>
            <w:vAlign w:val="center"/>
          </w:tcPr>
          <w:p w14:paraId="1240CD26">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审</w:t>
            </w:r>
          </w:p>
          <w:p w14:paraId="60E06091">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查</w:t>
            </w:r>
          </w:p>
          <w:p w14:paraId="4DEE0500">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标</w:t>
            </w:r>
          </w:p>
          <w:p w14:paraId="7C807BC8">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准</w:t>
            </w:r>
          </w:p>
        </w:tc>
        <w:tc>
          <w:tcPr>
            <w:tcW w:w="585" w:type="dxa"/>
            <w:tcBorders>
              <w:top w:val="single" w:color="auto" w:sz="4" w:space="0"/>
              <w:left w:val="single" w:color="auto" w:sz="4" w:space="0"/>
              <w:right w:val="single" w:color="auto" w:sz="4" w:space="0"/>
            </w:tcBorders>
            <w:noWrap w:val="0"/>
            <w:vAlign w:val="center"/>
          </w:tcPr>
          <w:p w14:paraId="4A8EAC18">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6654" w:type="dxa"/>
            <w:tcBorders>
              <w:top w:val="single" w:color="auto" w:sz="4" w:space="0"/>
              <w:left w:val="single" w:color="auto" w:sz="4" w:space="0"/>
              <w:right w:val="single" w:color="auto" w:sz="4" w:space="0"/>
            </w:tcBorders>
            <w:noWrap w:val="0"/>
            <w:vAlign w:val="center"/>
          </w:tcPr>
          <w:p w14:paraId="2ED15ACE">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报价</w:t>
            </w:r>
            <w:r>
              <w:rPr>
                <w:rFonts w:hint="eastAsia" w:ascii="仿宋" w:hAnsi="仿宋" w:eastAsia="仿宋" w:cs="仿宋"/>
                <w:color w:val="000000" w:themeColor="text1"/>
                <w:szCs w:val="21"/>
                <w:highlight w:val="none"/>
                <w:lang w:val="en-US" w:eastAsia="zh-CN"/>
                <w14:textFill>
                  <w14:solidFill>
                    <w14:schemeClr w14:val="tx1"/>
                  </w14:solidFill>
                </w14:textFill>
              </w:rPr>
              <w:t>未</w:t>
            </w:r>
            <w:r>
              <w:rPr>
                <w:rFonts w:hint="eastAsia" w:ascii="仿宋" w:hAnsi="仿宋" w:eastAsia="仿宋" w:cs="仿宋"/>
                <w:color w:val="000000" w:themeColor="text1"/>
                <w:szCs w:val="21"/>
                <w:highlight w:val="none"/>
                <w14:textFill>
                  <w14:solidFill>
                    <w14:schemeClr w14:val="tx1"/>
                  </w14:solidFill>
                </w14:textFill>
              </w:rPr>
              <w:t>高于设定的采购预算价的；</w:t>
            </w:r>
          </w:p>
        </w:tc>
        <w:tc>
          <w:tcPr>
            <w:tcW w:w="753" w:type="dxa"/>
            <w:tcBorders>
              <w:left w:val="single" w:color="auto" w:sz="4" w:space="0"/>
              <w:right w:val="single" w:color="auto" w:sz="4" w:space="0"/>
            </w:tcBorders>
            <w:noWrap w:val="0"/>
            <w:vAlign w:val="top"/>
          </w:tcPr>
          <w:p w14:paraId="238806D3">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left w:val="single" w:color="auto" w:sz="4" w:space="0"/>
              <w:right w:val="single" w:color="auto" w:sz="4" w:space="0"/>
            </w:tcBorders>
            <w:noWrap w:val="0"/>
            <w:vAlign w:val="top"/>
          </w:tcPr>
          <w:p w14:paraId="11777ADA">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73D47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5" w:hRule="atLeast"/>
        </w:trPr>
        <w:tc>
          <w:tcPr>
            <w:tcW w:w="757" w:type="dxa"/>
            <w:vMerge w:val="continue"/>
            <w:tcBorders>
              <w:left w:val="single" w:color="auto" w:sz="4" w:space="0"/>
              <w:right w:val="single" w:color="auto" w:sz="4" w:space="0"/>
            </w:tcBorders>
            <w:noWrap w:val="0"/>
            <w:vAlign w:val="center"/>
          </w:tcPr>
          <w:p w14:paraId="4044FAD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13BD19E7">
            <w:pPr>
              <w:shd w:val="clear" w:color="auto" w:fill="auto"/>
              <w:spacing w:line="4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1DB5810">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法定代表人身份证明及授权委托书有效，且符合招标文件规定的格式。</w:t>
            </w:r>
          </w:p>
        </w:tc>
        <w:tc>
          <w:tcPr>
            <w:tcW w:w="753" w:type="dxa"/>
            <w:tcBorders>
              <w:left w:val="single" w:color="auto" w:sz="4" w:space="0"/>
            </w:tcBorders>
            <w:noWrap w:val="0"/>
            <w:vAlign w:val="top"/>
          </w:tcPr>
          <w:p w14:paraId="407E90C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1B2D520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10081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1152DC0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6D7CED50">
            <w:pPr>
              <w:shd w:val="clear" w:color="auto" w:fill="auto"/>
              <w:spacing w:line="400" w:lineRule="exact"/>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p>
        </w:tc>
        <w:tc>
          <w:tcPr>
            <w:tcW w:w="6654" w:type="dxa"/>
            <w:tcBorders>
              <w:right w:val="single" w:color="auto" w:sz="4" w:space="0"/>
            </w:tcBorders>
            <w:noWrap w:val="0"/>
            <w:vAlign w:val="center"/>
          </w:tcPr>
          <w:p w14:paraId="7D18AE5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投标文件内容</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无遗漏。</w:t>
            </w:r>
          </w:p>
        </w:tc>
        <w:tc>
          <w:tcPr>
            <w:tcW w:w="753" w:type="dxa"/>
            <w:tcBorders>
              <w:left w:val="single" w:color="auto" w:sz="4" w:space="0"/>
            </w:tcBorders>
            <w:noWrap w:val="0"/>
            <w:vAlign w:val="top"/>
          </w:tcPr>
          <w:p w14:paraId="34AA094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0FA4B75E">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0E40C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3E9E4435">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bottom w:val="single" w:color="auto" w:sz="4" w:space="0"/>
            </w:tcBorders>
            <w:noWrap w:val="0"/>
            <w:vAlign w:val="center"/>
          </w:tcPr>
          <w:p w14:paraId="00312B6D">
            <w:pPr>
              <w:shd w:val="clear" w:color="auto" w:fill="auto"/>
              <w:spacing w:line="400" w:lineRule="exact"/>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p>
        </w:tc>
        <w:tc>
          <w:tcPr>
            <w:tcW w:w="6654" w:type="dxa"/>
            <w:tcBorders>
              <w:bottom w:val="single" w:color="auto" w:sz="4" w:space="0"/>
              <w:right w:val="single" w:color="auto" w:sz="4" w:space="0"/>
            </w:tcBorders>
            <w:noWrap w:val="0"/>
            <w:vAlign w:val="center"/>
          </w:tcPr>
          <w:p w14:paraId="480C11B0">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对招标文件规定的招标内容全部作出响应。</w:t>
            </w:r>
          </w:p>
        </w:tc>
        <w:tc>
          <w:tcPr>
            <w:tcW w:w="753" w:type="dxa"/>
            <w:tcBorders>
              <w:left w:val="single" w:color="auto" w:sz="4" w:space="0"/>
              <w:bottom w:val="single" w:color="auto" w:sz="4" w:space="0"/>
            </w:tcBorders>
            <w:noWrap w:val="0"/>
            <w:vAlign w:val="top"/>
          </w:tcPr>
          <w:p w14:paraId="59CFAB2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bottom w:val="single" w:color="auto" w:sz="4" w:space="0"/>
              <w:right w:val="single" w:color="auto" w:sz="4" w:space="0"/>
            </w:tcBorders>
            <w:noWrap w:val="0"/>
            <w:vAlign w:val="top"/>
          </w:tcPr>
          <w:p w14:paraId="2210179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6593E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6ADA042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noWrap w:val="0"/>
            <w:vAlign w:val="center"/>
          </w:tcPr>
          <w:p w14:paraId="0FE1DEB4">
            <w:pPr>
              <w:shd w:val="clear" w:color="auto" w:fill="auto"/>
              <w:spacing w:line="400" w:lineRule="exact"/>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5</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2D1157C4">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满足招标文件提出的技术和质量要求。</w:t>
            </w:r>
          </w:p>
        </w:tc>
        <w:tc>
          <w:tcPr>
            <w:tcW w:w="753" w:type="dxa"/>
            <w:tcBorders>
              <w:top w:val="single" w:color="auto" w:sz="4" w:space="0"/>
              <w:left w:val="single" w:color="auto" w:sz="4" w:space="0"/>
              <w:bottom w:val="single" w:color="auto" w:sz="4" w:space="0"/>
              <w:right w:val="single" w:color="auto" w:sz="4" w:space="0"/>
            </w:tcBorders>
            <w:noWrap w:val="0"/>
            <w:vAlign w:val="top"/>
          </w:tcPr>
          <w:p w14:paraId="6309CE9B">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top w:val="single" w:color="auto" w:sz="4" w:space="0"/>
              <w:left w:val="single" w:color="auto" w:sz="4" w:space="0"/>
              <w:bottom w:val="single" w:color="auto" w:sz="4" w:space="0"/>
              <w:right w:val="single" w:color="auto" w:sz="4" w:space="0"/>
            </w:tcBorders>
            <w:noWrap w:val="0"/>
            <w:vAlign w:val="top"/>
          </w:tcPr>
          <w:p w14:paraId="33F732D9">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7C523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05A8EE7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top w:val="single" w:color="auto" w:sz="4" w:space="0"/>
              <w:left w:val="single" w:color="auto" w:sz="4" w:space="0"/>
            </w:tcBorders>
            <w:noWrap w:val="0"/>
            <w:vAlign w:val="center"/>
          </w:tcPr>
          <w:p w14:paraId="062D5487">
            <w:pPr>
              <w:shd w:val="clear" w:color="auto" w:fill="auto"/>
              <w:spacing w:line="400" w:lineRule="exact"/>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p>
        </w:tc>
        <w:tc>
          <w:tcPr>
            <w:tcW w:w="6654" w:type="dxa"/>
            <w:tcBorders>
              <w:top w:val="single" w:color="auto" w:sz="4" w:space="0"/>
              <w:right w:val="single" w:color="auto" w:sz="4" w:space="0"/>
            </w:tcBorders>
            <w:noWrap w:val="0"/>
            <w:vAlign w:val="center"/>
          </w:tcPr>
          <w:p w14:paraId="5E2299FA">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完成期限满足招标文件要求。</w:t>
            </w:r>
          </w:p>
        </w:tc>
        <w:tc>
          <w:tcPr>
            <w:tcW w:w="753" w:type="dxa"/>
            <w:tcBorders>
              <w:top w:val="single" w:color="auto" w:sz="4" w:space="0"/>
              <w:left w:val="single" w:color="auto" w:sz="4" w:space="0"/>
            </w:tcBorders>
            <w:noWrap w:val="0"/>
            <w:vAlign w:val="top"/>
          </w:tcPr>
          <w:p w14:paraId="72F07718">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top w:val="single" w:color="auto" w:sz="4" w:space="0"/>
              <w:right w:val="single" w:color="auto" w:sz="4" w:space="0"/>
            </w:tcBorders>
            <w:noWrap w:val="0"/>
            <w:vAlign w:val="top"/>
          </w:tcPr>
          <w:p w14:paraId="2985F550">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25157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5D55B99A">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30C05C66">
            <w:pPr>
              <w:shd w:val="clear" w:color="auto" w:fill="auto"/>
              <w:spacing w:line="400" w:lineRule="exact"/>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p>
        </w:tc>
        <w:tc>
          <w:tcPr>
            <w:tcW w:w="6654" w:type="dxa"/>
            <w:tcBorders>
              <w:right w:val="single" w:color="auto" w:sz="4" w:space="0"/>
            </w:tcBorders>
            <w:noWrap w:val="0"/>
            <w:vAlign w:val="center"/>
          </w:tcPr>
          <w:p w14:paraId="0378E69A">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售后服务满足招标文件要求。</w:t>
            </w:r>
          </w:p>
        </w:tc>
        <w:tc>
          <w:tcPr>
            <w:tcW w:w="753" w:type="dxa"/>
            <w:tcBorders>
              <w:left w:val="single" w:color="auto" w:sz="4" w:space="0"/>
            </w:tcBorders>
            <w:noWrap w:val="0"/>
            <w:vAlign w:val="top"/>
          </w:tcPr>
          <w:p w14:paraId="136FE396">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58E074DF">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50D15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57" w:type="dxa"/>
            <w:vMerge w:val="continue"/>
            <w:tcBorders>
              <w:left w:val="single" w:color="auto" w:sz="4" w:space="0"/>
              <w:right w:val="single" w:color="auto" w:sz="4" w:space="0"/>
            </w:tcBorders>
            <w:noWrap w:val="0"/>
            <w:vAlign w:val="center"/>
          </w:tcPr>
          <w:p w14:paraId="49937883">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585" w:type="dxa"/>
            <w:tcBorders>
              <w:left w:val="single" w:color="auto" w:sz="4" w:space="0"/>
            </w:tcBorders>
            <w:noWrap w:val="0"/>
            <w:vAlign w:val="center"/>
          </w:tcPr>
          <w:p w14:paraId="5AE2809F">
            <w:pPr>
              <w:shd w:val="clear" w:color="auto" w:fill="auto"/>
              <w:spacing w:line="400" w:lineRule="exact"/>
              <w:jc w:val="cente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8</w:t>
            </w:r>
          </w:p>
        </w:tc>
        <w:tc>
          <w:tcPr>
            <w:tcW w:w="6654" w:type="dxa"/>
            <w:tcBorders>
              <w:right w:val="single" w:color="auto" w:sz="4" w:space="0"/>
            </w:tcBorders>
            <w:noWrap w:val="0"/>
            <w:vAlign w:val="center"/>
          </w:tcPr>
          <w:p w14:paraId="3FE334A7">
            <w:pPr>
              <w:shd w:val="clear" w:color="auto" w:fill="auto"/>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投标有效期满足招标文件要求。</w:t>
            </w:r>
          </w:p>
        </w:tc>
        <w:tc>
          <w:tcPr>
            <w:tcW w:w="753" w:type="dxa"/>
            <w:tcBorders>
              <w:left w:val="single" w:color="auto" w:sz="4" w:space="0"/>
            </w:tcBorders>
            <w:noWrap w:val="0"/>
            <w:vAlign w:val="top"/>
          </w:tcPr>
          <w:p w14:paraId="3CE9C2FF">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c>
          <w:tcPr>
            <w:tcW w:w="749" w:type="dxa"/>
            <w:tcBorders>
              <w:right w:val="single" w:color="auto" w:sz="4" w:space="0"/>
            </w:tcBorders>
            <w:noWrap w:val="0"/>
            <w:vAlign w:val="top"/>
          </w:tcPr>
          <w:p w14:paraId="32A90FF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2AFC6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996" w:type="dxa"/>
            <w:gridSpan w:val="3"/>
            <w:tcBorders>
              <w:left w:val="single" w:color="auto" w:sz="4" w:space="0"/>
              <w:right w:val="single" w:color="auto" w:sz="4" w:space="0"/>
            </w:tcBorders>
            <w:noWrap w:val="0"/>
            <w:vAlign w:val="center"/>
          </w:tcPr>
          <w:p w14:paraId="6A83D771">
            <w:pPr>
              <w:shd w:val="clear" w:color="auto" w:fill="auto"/>
              <w:spacing w:line="400" w:lineRule="exact"/>
              <w:ind w:firstLine="578" w:firstLineChars="241"/>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评审结果：须写通过或者不通过</w:t>
            </w:r>
          </w:p>
        </w:tc>
        <w:tc>
          <w:tcPr>
            <w:tcW w:w="1502" w:type="dxa"/>
            <w:gridSpan w:val="2"/>
            <w:tcBorders>
              <w:left w:val="single" w:color="auto" w:sz="4" w:space="0"/>
              <w:right w:val="single" w:color="auto" w:sz="4" w:space="0"/>
            </w:tcBorders>
            <w:noWrap w:val="0"/>
            <w:vAlign w:val="center"/>
          </w:tcPr>
          <w:p w14:paraId="4B780827">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p>
        </w:tc>
      </w:tr>
      <w:tr w14:paraId="0AFA7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14:paraId="640D5D14">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结论：通过评审打“√”，未通过评审打“×”   注：如有一项不合格，作废标处理。</w:t>
            </w:r>
          </w:p>
        </w:tc>
      </w:tr>
    </w:tbl>
    <w:p w14:paraId="1F0F7618">
      <w:pPr>
        <w:shd w:val="clear" w:color="auto" w:fill="auto"/>
        <w:spacing w:line="400" w:lineRule="exact"/>
        <w:ind w:firstLine="578" w:firstLineChars="241"/>
        <w:rPr>
          <w:rFonts w:hint="eastAsia" w:ascii="仿宋" w:hAnsi="仿宋" w:eastAsia="仿宋" w:cs="仿宋"/>
          <w:color w:val="000000" w:themeColor="text1"/>
          <w:szCs w:val="21"/>
          <w:highlight w:val="none"/>
          <w:lang w:val="en-US" w:eastAsia="zh-CN"/>
          <w14:textFill>
            <w14:solidFill>
              <w14:schemeClr w14:val="tx1"/>
            </w14:solidFill>
          </w14:textFill>
        </w:rPr>
      </w:pPr>
    </w:p>
    <w:p w14:paraId="29A09D0A">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.2评委会判定投标文件的响应性只根据投标文件本身的内容，而不寻求外部的证据，但投标有不真实不正确的内容时除外。</w:t>
      </w:r>
    </w:p>
    <w:p w14:paraId="487EDA21">
      <w:pPr>
        <w:shd w:val="clear" w:color="auto" w:fill="auto"/>
        <w:spacing w:line="400" w:lineRule="exact"/>
        <w:ind w:firstLine="578" w:firstLineChars="241"/>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.3如果投标文件实质上没有响应</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的要求，评委会将予以拒绝，投标人不得通过修正或撤销不符合要求的偏离或保留，而使其投标成为实质上响应的投标。</w:t>
      </w:r>
    </w:p>
    <w:p w14:paraId="0B7DF6D2">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.4投标人可在现场20分钟内对评标委员会的评审结论提出异议，评标委员会根据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及有关规定对投标人的异议进行复议</w:t>
      </w:r>
    </w:p>
    <w:p w14:paraId="17715F11">
      <w:pPr>
        <w:shd w:val="clear" w:color="auto" w:fill="auto"/>
        <w:spacing w:line="400" w:lineRule="exact"/>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.5只有通过初审的投标人才能进入下一步评标程序。</w:t>
      </w:r>
    </w:p>
    <w:p w14:paraId="4BB8E116">
      <w:pPr>
        <w:shd w:val="clear" w:color="auto" w:fill="auto"/>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143DAFD">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64" w:name="_Toc362983803"/>
      <w:bookmarkStart w:id="65" w:name="_Toc469495734"/>
    </w:p>
    <w:p w14:paraId="6EDA0C7C">
      <w:pPr>
        <w:shd w:val="clear" w:color="auto" w:fill="auto"/>
        <w:spacing w:before="156" w:beforeLines="50" w:line="400" w:lineRule="exact"/>
        <w:jc w:val="center"/>
        <w:outlineLvl w:val="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三  投标文件的澄清和补正</w:t>
      </w:r>
      <w:bookmarkEnd w:id="64"/>
      <w:bookmarkEnd w:id="65"/>
    </w:p>
    <w:p w14:paraId="038D20B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8．澄清、说明或补正的形式</w:t>
      </w:r>
    </w:p>
    <w:p w14:paraId="371FDCE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14DB1D8">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7C5EEA22">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264F6B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9．错误修正的原则</w:t>
      </w:r>
    </w:p>
    <w:p w14:paraId="2CD45BA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355D4050">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投标文件报价出现前后不一致的，除采购文件另有规定外，按照下列规定修正：</w:t>
      </w:r>
    </w:p>
    <w:p w14:paraId="7A381D7E">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9.1 投标函中表述的内容与报价表中不一致的，以报价表为准；报价表中的内容与报价明细表不一致的，以报价表为准；</w:t>
      </w:r>
    </w:p>
    <w:p w14:paraId="3FBBB157">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9.2 投标文件中的大写金额和小写金额不一致的，以大写金额为准；</w:t>
      </w:r>
    </w:p>
    <w:p w14:paraId="4102191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9.3 单价金额小数点或者百分比有明显错位的，以开标一览表的总价为准，并修改单价；</w:t>
      </w:r>
    </w:p>
    <w:p w14:paraId="6BCF7293">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9.4 总价金额与按单价汇总金额不一致的，以单价金额计算结果为准；</w:t>
      </w:r>
    </w:p>
    <w:p w14:paraId="67698C5C">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9.5 若用文字表示的数值与用数字表示的数值不一致，以文字表示的数值为准；</w:t>
      </w:r>
    </w:p>
    <w:p w14:paraId="169DE4D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14:paraId="2729E9CB">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9.7 对不同文字文本投标文件的解释发生异议的，以中文文本为准；</w:t>
      </w:r>
    </w:p>
    <w:p w14:paraId="24BB9AC1">
      <w:pPr>
        <w:shd w:val="clear" w:color="auto" w:fill="auto"/>
        <w:spacing w:line="440" w:lineRule="exact"/>
        <w:ind w:firstLine="240" w:firstLineChars="100"/>
        <w:jc w:val="left"/>
        <w:rPr>
          <w:rFonts w:hint="eastAsia" w:ascii="仿宋" w:hAnsi="仿宋" w:eastAsia="仿宋" w:cs="仿宋"/>
          <w:b w:val="0"/>
          <w:bCs w:val="0"/>
          <w:color w:val="000000" w:themeColor="text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Cs w:val="21"/>
          <w:highlight w:val="none"/>
          <w:lang w:val="en-US"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bookmarkStart w:id="66" w:name="_Toc469495735"/>
    </w:p>
    <w:p w14:paraId="569D73BF">
      <w:pPr>
        <w:pStyle w:val="24"/>
        <w:rPr>
          <w:rFonts w:hint="eastAsia"/>
        </w:rPr>
      </w:pPr>
    </w:p>
    <w:p w14:paraId="1DA057A6">
      <w:pPr>
        <w:shd w:val="clear" w:color="auto" w:fill="auto"/>
        <w:spacing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 比较与评价</w:t>
      </w:r>
      <w:bookmarkEnd w:id="66"/>
    </w:p>
    <w:p w14:paraId="72681849">
      <w:pPr>
        <w:shd w:val="clear" w:color="auto" w:fill="auto"/>
        <w:tabs>
          <w:tab w:val="left" w:pos="720"/>
        </w:tabs>
        <w:spacing w:line="440" w:lineRule="exact"/>
        <w:ind w:firstLine="612" w:firstLineChars="255"/>
        <w:rPr>
          <w:rFonts w:hint="eastAsia" w:ascii="仿宋" w:hAnsi="仿宋" w:eastAsia="仿宋" w:cs="仿宋"/>
          <w:color w:val="000000" w:themeColor="text1"/>
          <w:szCs w:val="21"/>
          <w:highlight w:val="none"/>
          <w:lang w:bidi="ar-SA"/>
          <w14:textFill>
            <w14:solidFill>
              <w14:schemeClr w14:val="tx1"/>
            </w14:solidFill>
          </w14:textFill>
        </w:rPr>
      </w:pPr>
      <w:bookmarkStart w:id="67" w:name="_Toc362983805"/>
      <w:bookmarkStart w:id="68" w:name="_Toc469495736"/>
      <w:r>
        <w:rPr>
          <w:rFonts w:hint="eastAsia" w:ascii="仿宋" w:hAnsi="仿宋" w:eastAsia="仿宋" w:cs="仿宋"/>
          <w:color w:val="000000" w:themeColor="text1"/>
          <w:szCs w:val="21"/>
          <w:highlight w:val="none"/>
          <w:lang w:val="en-US" w:eastAsia="zh-CN" w:bidi="ar-SA"/>
          <w14:textFill>
            <w14:solidFill>
              <w14:schemeClr w14:val="tx1"/>
            </w14:solidFill>
          </w14:textFill>
        </w:rPr>
        <w:t>10.1</w:t>
      </w:r>
      <w:r>
        <w:rPr>
          <w:rFonts w:hint="eastAsia" w:ascii="仿宋" w:hAnsi="仿宋" w:eastAsia="仿宋" w:cs="仿宋"/>
          <w:color w:val="000000" w:themeColor="text1"/>
          <w:szCs w:val="21"/>
          <w:highlight w:val="none"/>
          <w:lang w:bidi="ar-SA"/>
          <w14:textFill>
            <w14:solidFill>
              <w14:schemeClr w14:val="tx1"/>
            </w14:solidFill>
          </w14:textFill>
        </w:rPr>
        <w:t>评标委员会按招标文件中规定的评标方法和标准，对资格性检查和符合性检查合格的投标文件进行商务和技术评估、综合比较与评价。</w:t>
      </w:r>
    </w:p>
    <w:p w14:paraId="5CCBE129">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10.2</w:t>
      </w:r>
      <w:r>
        <w:rPr>
          <w:rFonts w:hint="eastAsia" w:ascii="仿宋" w:hAnsi="仿宋" w:eastAsia="仿宋" w:cs="仿宋"/>
          <w:color w:val="000000" w:themeColor="text1"/>
          <w:szCs w:val="21"/>
          <w:highlight w:val="none"/>
          <w:lang w:bidi="ar-SA"/>
          <w14:textFill>
            <w14:solidFill>
              <w14:schemeClr w14:val="tx1"/>
            </w14:solidFill>
          </w14:textFill>
        </w:rPr>
        <w:t>评标委员会根据商务和技术评估的结果，采用综合评分法，分别对投标文件的商务、技术、价格等内容进行打分。其中，商务评估、技术评估、价格评估的评分权值（详见附件1）。</w:t>
      </w:r>
    </w:p>
    <w:p w14:paraId="2536F8DD">
      <w:pPr>
        <w:shd w:val="clear" w:color="auto" w:fill="auto"/>
        <w:spacing w:line="440" w:lineRule="exact"/>
        <w:ind w:firstLine="616" w:firstLineChars="257"/>
        <w:rPr>
          <w:rFonts w:hint="eastAsia" w:ascii="仿宋" w:hAnsi="仿宋" w:eastAsia="仿宋" w:cs="仿宋"/>
          <w:bCs/>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val="en-US" w:eastAsia="zh-CN" w:bidi="ar-SA"/>
          <w14:textFill>
            <w14:solidFill>
              <w14:schemeClr w14:val="tx1"/>
            </w14:solidFill>
          </w14:textFill>
        </w:rPr>
        <w:t>10.</w:t>
      </w:r>
      <w:r>
        <w:rPr>
          <w:rFonts w:hint="eastAsia" w:ascii="仿宋" w:hAnsi="仿宋" w:eastAsia="仿宋" w:cs="仿宋"/>
          <w:bCs/>
          <w:color w:val="000000" w:themeColor="text1"/>
          <w:szCs w:val="21"/>
          <w:highlight w:val="none"/>
          <w:lang w:val="en-US" w:eastAsia="zh-CN" w:bidi="ar-SA"/>
          <w14:textFill>
            <w14:solidFill>
              <w14:schemeClr w14:val="tx1"/>
            </w14:solidFill>
          </w14:textFill>
        </w:rPr>
        <w:t>2.1</w:t>
      </w:r>
      <w:r>
        <w:rPr>
          <w:rFonts w:hint="eastAsia" w:ascii="仿宋" w:hAnsi="仿宋" w:eastAsia="仿宋" w:cs="仿宋"/>
          <w:bCs/>
          <w:color w:val="000000" w:themeColor="text1"/>
          <w:szCs w:val="21"/>
          <w:highlight w:val="none"/>
          <w:lang w:bidi="ar-SA"/>
          <w14:textFill>
            <w14:solidFill>
              <w14:schemeClr w14:val="tx1"/>
            </w14:solidFill>
          </w14:textFill>
        </w:rPr>
        <w:t>评委打分办法</w:t>
      </w:r>
    </w:p>
    <w:p w14:paraId="3A8D0FEB">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bCs/>
          <w:color w:val="000000" w:themeColor="text1"/>
          <w:szCs w:val="21"/>
          <w:highlight w:val="none"/>
          <w:lang w:bidi="ar-SA"/>
          <w14:textFill>
            <w14:solidFill>
              <w14:schemeClr w14:val="tx1"/>
            </w14:solidFill>
          </w14:textFill>
        </w:rPr>
        <w:t>（1）</w:t>
      </w:r>
      <w:r>
        <w:rPr>
          <w:rFonts w:hint="eastAsia" w:ascii="仿宋" w:hAnsi="仿宋" w:eastAsia="仿宋" w:cs="仿宋"/>
          <w:color w:val="000000" w:themeColor="text1"/>
          <w:szCs w:val="21"/>
          <w:highlight w:val="none"/>
          <w:lang w:bidi="ar-SA"/>
          <w14:textFill>
            <w14:solidFill>
              <w14:schemeClr w14:val="tx1"/>
            </w14:solidFill>
          </w14:textFill>
        </w:rPr>
        <w:t>参加评分的评委应尽力体现客观、实事求是，避免学派偏见和个人偏好。</w:t>
      </w:r>
    </w:p>
    <w:p w14:paraId="5CA6CF86">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（2）衡量、对比的依据，应以招标文件、投标文件、提供的正式试验数据、质询澄清中的文字为准，口头回答和收集的资料只作为参考。</w:t>
      </w:r>
    </w:p>
    <w:p w14:paraId="3893FADB">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（3）评分主要是为比较各投标人的价格、商务和技术综合排序。</w:t>
      </w:r>
    </w:p>
    <w:p w14:paraId="6D7BA93F">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（4）评委打分采取记名形式。</w:t>
      </w:r>
    </w:p>
    <w:p w14:paraId="3B52906E">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（5）各评委根据提供的技术打分表独立自主打分，任何人不得要求评委统一打分或统一确定等次顺序。</w:t>
      </w:r>
    </w:p>
    <w:p w14:paraId="2FFC811A">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（6）对打分表中的每项条款，各评委应根据投标文件、澄清材料、招标文件要求，按满足的程度给投标人打分。</w:t>
      </w:r>
    </w:p>
    <w:p w14:paraId="752D445B">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（7）评分程序</w:t>
      </w:r>
    </w:p>
    <w:p w14:paraId="41C3A396">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1)就投标人的投标文件对照整理出商务、技术评标因素对比表、偏差表，并在经过校核的基础上逐项打分。</w:t>
      </w:r>
    </w:p>
    <w:p w14:paraId="5CA381E7">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2)各评委独立完成打分后，将评分表交给代理机构，由代理机构组织进行分数统计。</w:t>
      </w:r>
    </w:p>
    <w:p w14:paraId="2820A584">
      <w:pPr>
        <w:shd w:val="clear" w:color="auto" w:fill="auto"/>
        <w:spacing w:line="440" w:lineRule="exact"/>
        <w:ind w:firstLine="616" w:firstLineChars="257"/>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3)最终汇总表中各投标人得分应为评委打分的算术平均值。</w:t>
      </w:r>
    </w:p>
    <w:p w14:paraId="77C1E45D">
      <w:pPr>
        <w:numPr>
          <w:ilvl w:val="0"/>
          <w:numId w:val="0"/>
        </w:numPr>
        <w:shd w:val="clear" w:color="auto" w:fill="auto"/>
        <w:spacing w:line="500" w:lineRule="exact"/>
        <w:jc w:val="center"/>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314BC4F2">
      <w:pPr>
        <w:pStyle w:val="24"/>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4DB7C5C4">
      <w:pPr>
        <w:pStyle w:val="24"/>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574C5212">
      <w:pPr>
        <w:pStyle w:val="24"/>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6B23BB0E">
      <w:pPr>
        <w:pStyle w:val="24"/>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5983A9E6">
      <w:pPr>
        <w:pStyle w:val="24"/>
        <w:ind w:left="0" w:leftChars="0" w:firstLine="0" w:firstLineChars="0"/>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798EC992">
      <w:pPr>
        <w:pStyle w:val="24"/>
        <w:rPr>
          <w:rFonts w:hint="eastAsia" w:ascii="仿宋" w:hAnsi="仿宋" w:eastAsia="仿宋" w:cs="仿宋"/>
          <w:b/>
          <w:bCs/>
          <w:color w:val="000000" w:themeColor="text1"/>
          <w:sz w:val="28"/>
          <w:szCs w:val="22"/>
          <w:highlight w:val="none"/>
          <w:lang w:bidi="ar-SA"/>
          <w14:textFill>
            <w14:solidFill>
              <w14:schemeClr w14:val="tx1"/>
            </w14:solidFill>
          </w14:textFill>
        </w:rPr>
      </w:pPr>
    </w:p>
    <w:p w14:paraId="4E9DE9AC">
      <w:pPr>
        <w:numPr>
          <w:ilvl w:val="0"/>
          <w:numId w:val="0"/>
        </w:numPr>
        <w:shd w:val="clear" w:color="auto" w:fill="auto"/>
        <w:spacing w:line="500" w:lineRule="exact"/>
        <w:jc w:val="center"/>
        <w:rPr>
          <w:rFonts w:hint="eastAsia" w:ascii="仿宋" w:hAnsi="仿宋" w:eastAsia="仿宋" w:cs="仿宋"/>
          <w:b/>
          <w:bCs/>
          <w:color w:val="000000" w:themeColor="text1"/>
          <w:sz w:val="28"/>
          <w:szCs w:val="22"/>
          <w:highlight w:val="none"/>
          <w:lang w:bidi="ar-SA"/>
          <w14:textFill>
            <w14:solidFill>
              <w14:schemeClr w14:val="tx1"/>
            </w14:solidFill>
          </w14:textFill>
        </w:rPr>
      </w:pPr>
      <w:r>
        <w:rPr>
          <w:rFonts w:hint="eastAsia" w:ascii="仿宋" w:hAnsi="仿宋" w:eastAsia="仿宋" w:cs="仿宋"/>
          <w:b/>
          <w:bCs/>
          <w:color w:val="000000" w:themeColor="text1"/>
          <w:sz w:val="28"/>
          <w:szCs w:val="22"/>
          <w:highlight w:val="none"/>
          <w:lang w:bidi="ar-SA"/>
          <w14:textFill>
            <w14:solidFill>
              <w14:schemeClr w14:val="tx1"/>
            </w14:solidFill>
          </w14:textFill>
        </w:rPr>
        <w:t>（8）评分标准和细则（综合评分法评分标准）</w:t>
      </w:r>
    </w:p>
    <w:tbl>
      <w:tblPr>
        <w:tblStyle w:val="18"/>
        <w:tblW w:w="8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9"/>
        <w:gridCol w:w="761"/>
        <w:gridCol w:w="909"/>
        <w:gridCol w:w="5998"/>
      </w:tblGrid>
      <w:tr w14:paraId="7D2D5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989" w:type="dxa"/>
            <w:noWrap w:val="0"/>
            <w:vAlign w:val="center"/>
          </w:tcPr>
          <w:p w14:paraId="42728864">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baseline"/>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序号</w:t>
            </w:r>
          </w:p>
        </w:tc>
        <w:tc>
          <w:tcPr>
            <w:tcW w:w="761" w:type="dxa"/>
            <w:noWrap w:val="0"/>
            <w:vAlign w:val="center"/>
          </w:tcPr>
          <w:p w14:paraId="69E8E75A">
            <w:pPr>
              <w:pStyle w:val="42"/>
              <w:spacing w:before="0" w:after="0" w:line="240" w:lineRule="auto"/>
              <w:ind w:firstLine="0"/>
              <w:jc w:val="cente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分值</w:t>
            </w:r>
          </w:p>
        </w:tc>
        <w:tc>
          <w:tcPr>
            <w:tcW w:w="6907" w:type="dxa"/>
            <w:gridSpan w:val="2"/>
            <w:noWrap w:val="0"/>
            <w:vAlign w:val="center"/>
          </w:tcPr>
          <w:p w14:paraId="05CB92B2">
            <w:pPr>
              <w:pStyle w:val="42"/>
              <w:spacing w:before="0" w:after="0" w:line="240" w:lineRule="auto"/>
              <w:ind w:firstLine="308" w:firstLineChars="147"/>
              <w:jc w:val="cente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val="0"/>
                <w:color w:val="000000" w:themeColor="text1"/>
                <w:kern w:val="2"/>
                <w:sz w:val="21"/>
                <w:szCs w:val="21"/>
                <w:lang w:val="en-US" w:eastAsia="zh-CN" w:bidi="ar-SA"/>
                <w14:textFill>
                  <w14:solidFill>
                    <w14:schemeClr w14:val="tx1"/>
                  </w14:solidFill>
                </w14:textFill>
              </w:rPr>
              <w:t>评分细则</w:t>
            </w:r>
          </w:p>
        </w:tc>
      </w:tr>
      <w:tr w14:paraId="0B538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22" w:hRule="atLeast"/>
          <w:jc w:val="center"/>
        </w:trPr>
        <w:tc>
          <w:tcPr>
            <w:tcW w:w="989" w:type="dxa"/>
            <w:noWrap w:val="0"/>
            <w:vAlign w:val="center"/>
          </w:tcPr>
          <w:p w14:paraId="1F8006CB">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firstLineChars="0"/>
              <w:jc w:val="center"/>
              <w:textAlignment w:val="baseline"/>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Times New Roman" w:hAnsi="Times New Roman" w:eastAsia="Times New Roman" w:cs="Times New Roman"/>
                <w:b/>
                <w:bCs/>
                <w:color w:val="auto"/>
                <w:spacing w:val="0"/>
                <w:w w:val="100"/>
                <w:position w:val="0"/>
                <w:sz w:val="24"/>
                <w:szCs w:val="24"/>
                <w:shd w:val="clear" w:color="auto" w:fill="auto"/>
                <w:lang w:val="en-US" w:eastAsia="zh-CN" w:bidi="en-US"/>
              </w:rPr>
              <w:t>报价</w:t>
            </w:r>
            <w:r>
              <w:rPr>
                <w:rFonts w:hint="eastAsia"/>
                <w:b/>
                <w:bCs/>
                <w:color w:val="auto"/>
                <w:lang w:val="en-US" w:eastAsia="zh-CN"/>
              </w:rPr>
              <w:t>权重</w:t>
            </w:r>
            <w:r>
              <w:rPr>
                <w:rFonts w:hint="eastAsia" w:cs="Times New Roman"/>
                <w:b/>
                <w:bCs/>
                <w:color w:val="auto"/>
                <w:spacing w:val="0"/>
                <w:w w:val="100"/>
                <w:position w:val="0"/>
                <w:sz w:val="24"/>
                <w:szCs w:val="24"/>
                <w:shd w:val="clear" w:color="auto" w:fill="auto"/>
                <w:lang w:val="en-US" w:eastAsia="zh-CN" w:bidi="en-US"/>
              </w:rPr>
              <w:t>10</w:t>
            </w:r>
            <w:r>
              <w:rPr>
                <w:rFonts w:hint="eastAsia"/>
                <w:b/>
                <w:bCs/>
                <w:color w:val="auto"/>
                <w:lang w:val="en-US" w:eastAsia="zh-CN"/>
              </w:rPr>
              <w:t>%</w:t>
            </w:r>
          </w:p>
        </w:tc>
        <w:tc>
          <w:tcPr>
            <w:tcW w:w="761" w:type="dxa"/>
            <w:noWrap w:val="0"/>
            <w:vAlign w:val="center"/>
          </w:tcPr>
          <w:p w14:paraId="59604365">
            <w:pPr>
              <w:shd w:val="clear" w:color="auto" w:fill="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利率水平 </w:t>
            </w:r>
          </w:p>
          <w:p w14:paraId="11EC697A">
            <w:pPr>
              <w:shd w:val="clear" w:color="auto" w:fill="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（报价）</w:t>
            </w:r>
          </w:p>
          <w:p w14:paraId="1185396E">
            <w:pPr>
              <w:pStyle w:val="42"/>
              <w:keepNext w:val="0"/>
              <w:keepLines w:val="0"/>
              <w:pageBreakBefore w:val="0"/>
              <w:widowControl/>
              <w:kinsoku/>
              <w:wordWrap/>
              <w:overflowPunct/>
              <w:topLinePunct w:val="0"/>
              <w:autoSpaceDE/>
              <w:autoSpaceDN/>
              <w:bidi w:val="0"/>
              <w:adjustRightInd w:val="0"/>
              <w:snapToGrid/>
              <w:spacing w:before="0" w:after="0" w:line="240" w:lineRule="auto"/>
              <w:ind w:firstLine="0" w:firstLineChars="0"/>
              <w:jc w:val="center"/>
              <w:textAlignment w:val="baseline"/>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p>
        </w:tc>
        <w:tc>
          <w:tcPr>
            <w:tcW w:w="909" w:type="dxa"/>
            <w:noWrap w:val="0"/>
            <w:vAlign w:val="center"/>
          </w:tcPr>
          <w:p w14:paraId="4A8825B5">
            <w:pPr>
              <w:pStyle w:val="42"/>
              <w:spacing w:before="0" w:after="0" w:line="240" w:lineRule="auto"/>
              <w:ind w:left="0" w:leftChars="0" w:firstLine="0" w:firstLineChars="0"/>
              <w:jc w:val="cente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宋体" w:hAnsi="宋体" w:cs="Times New Roman"/>
                <w:b/>
                <w:bCs/>
                <w:color w:val="auto"/>
                <w:spacing w:val="0"/>
                <w:w w:val="100"/>
                <w:position w:val="0"/>
                <w:sz w:val="22"/>
                <w:szCs w:val="24"/>
                <w:shd w:val="clear" w:color="auto" w:fill="auto"/>
                <w:lang w:val="en-US" w:eastAsia="zh-CN" w:bidi="en-US"/>
              </w:rPr>
              <w:t>1</w:t>
            </w:r>
            <w:r>
              <w:rPr>
                <w:rFonts w:hint="eastAsia" w:ascii="宋体" w:hAnsi="宋体" w:eastAsia="Times New Roman" w:cs="Times New Roman"/>
                <w:b/>
                <w:bCs/>
                <w:color w:val="auto"/>
                <w:spacing w:val="0"/>
                <w:w w:val="100"/>
                <w:position w:val="0"/>
                <w:sz w:val="22"/>
                <w:szCs w:val="24"/>
                <w:shd w:val="clear" w:color="auto" w:fill="auto"/>
                <w:lang w:val="en-US" w:eastAsia="zh-CN" w:bidi="en-US"/>
              </w:rPr>
              <w:t>0分</w:t>
            </w:r>
          </w:p>
        </w:tc>
        <w:tc>
          <w:tcPr>
            <w:tcW w:w="5998" w:type="dxa"/>
            <w:noWrap w:val="0"/>
            <w:vAlign w:val="center"/>
          </w:tcPr>
          <w:p w14:paraId="19A9AD7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 xml:space="preserve">投标银行提供的协定存款、通知存款、定期存款利率水平。 </w:t>
            </w:r>
          </w:p>
          <w:p w14:paraId="515CAD8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pPr>
            <w:r>
              <w:rPr>
                <w:rFonts w:hint="eastAsia" w:ascii="宋体" w:hAnsi="宋体" w:eastAsia="宋体" w:cs="宋体"/>
                <w:b w:val="0"/>
                <w:i w:val="0"/>
                <w:caps w:val="0"/>
                <w:color w:val="auto"/>
                <w:spacing w:val="0"/>
                <w:w w:val="100"/>
                <w:kern w:val="2"/>
                <w:position w:val="0"/>
                <w:sz w:val="21"/>
                <w:szCs w:val="21"/>
                <w:highlight w:val="none"/>
                <w:shd w:val="clear" w:color="auto" w:fill="FFFFFF"/>
                <w:lang w:val="en-US" w:eastAsia="zh-CN" w:bidi="ar-SA"/>
              </w:rPr>
              <w:t>（完全满足招标文件要求的投标报价中最高价为评标基准价，按 照下列公式计算每个投标的投标价格得分）投标报价得分=（投标 报价/基准价）×10%×100</w:t>
            </w:r>
          </w:p>
        </w:tc>
      </w:tr>
      <w:tr w14:paraId="5BD62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49" w:hRule="atLeast"/>
          <w:jc w:val="center"/>
        </w:trPr>
        <w:tc>
          <w:tcPr>
            <w:tcW w:w="989" w:type="dxa"/>
            <w:vMerge w:val="restart"/>
            <w:noWrap w:val="0"/>
            <w:vAlign w:val="center"/>
          </w:tcPr>
          <w:p w14:paraId="3BB7FE66">
            <w:pPr>
              <w:widowControl/>
              <w:spacing w:line="360" w:lineRule="auto"/>
              <w:jc w:val="center"/>
              <w:textAlignment w:val="center"/>
              <w:rPr>
                <w:rFonts w:hint="eastAsia"/>
                <w:color w:val="auto"/>
              </w:rPr>
            </w:pPr>
          </w:p>
          <w:p w14:paraId="20932A47">
            <w:pPr>
              <w:bidi w:val="0"/>
              <w:rPr>
                <w:rFonts w:hint="eastAsia"/>
                <w:color w:val="auto"/>
                <w:lang w:val="en-US" w:eastAsia="zh-CN"/>
              </w:rPr>
            </w:pPr>
          </w:p>
          <w:p w14:paraId="51920CAE">
            <w:pPr>
              <w:bidi w:val="0"/>
              <w:rPr>
                <w:rFonts w:hint="eastAsia"/>
                <w:color w:val="auto"/>
                <w:lang w:val="en-US" w:eastAsia="zh-CN"/>
              </w:rPr>
            </w:pPr>
          </w:p>
          <w:p w14:paraId="4D887083">
            <w:pPr>
              <w:bidi w:val="0"/>
              <w:rPr>
                <w:rFonts w:hint="eastAsia"/>
                <w:color w:val="auto"/>
                <w:lang w:val="en-US" w:eastAsia="zh-CN"/>
              </w:rPr>
            </w:pPr>
          </w:p>
          <w:p w14:paraId="6EBE5596">
            <w:pPr>
              <w:bidi w:val="0"/>
              <w:rPr>
                <w:rFonts w:hint="eastAsia"/>
                <w:color w:val="auto"/>
                <w:lang w:val="en-US" w:eastAsia="zh-CN"/>
              </w:rPr>
            </w:pPr>
          </w:p>
          <w:p w14:paraId="01A1135C">
            <w:pPr>
              <w:bidi w:val="0"/>
              <w:rPr>
                <w:rFonts w:hint="eastAsia"/>
                <w:color w:val="auto"/>
                <w:lang w:val="en-US" w:eastAsia="zh-CN"/>
              </w:rPr>
            </w:pPr>
          </w:p>
          <w:p w14:paraId="5A440F8F">
            <w:pPr>
              <w:bidi w:val="0"/>
              <w:rPr>
                <w:rFonts w:hint="eastAsia"/>
                <w:color w:val="auto"/>
                <w:lang w:val="en-US" w:eastAsia="zh-CN"/>
              </w:rPr>
            </w:pPr>
          </w:p>
          <w:p w14:paraId="0C65AAB7">
            <w:pPr>
              <w:bidi w:val="0"/>
              <w:rPr>
                <w:rFonts w:hint="eastAsia"/>
                <w:color w:val="auto"/>
                <w:lang w:val="en-US" w:eastAsia="zh-CN"/>
              </w:rPr>
            </w:pPr>
          </w:p>
          <w:p w14:paraId="189A0F01">
            <w:pPr>
              <w:bidi w:val="0"/>
              <w:rPr>
                <w:rFonts w:hint="eastAsia"/>
                <w:color w:val="auto"/>
                <w:lang w:val="en-US" w:eastAsia="zh-CN"/>
              </w:rPr>
            </w:pPr>
          </w:p>
          <w:p w14:paraId="2B3D5446">
            <w:pPr>
              <w:bidi w:val="0"/>
              <w:rPr>
                <w:rFonts w:hint="eastAsia"/>
                <w:color w:val="auto"/>
                <w:lang w:val="en-US" w:eastAsia="zh-CN"/>
              </w:rPr>
            </w:pPr>
          </w:p>
          <w:p w14:paraId="5D8908A3">
            <w:pPr>
              <w:bidi w:val="0"/>
              <w:rPr>
                <w:rFonts w:hint="eastAsia"/>
                <w:color w:val="auto"/>
                <w:lang w:val="en-US" w:eastAsia="zh-CN"/>
              </w:rPr>
            </w:pPr>
          </w:p>
          <w:p w14:paraId="5A39F9DA">
            <w:pPr>
              <w:bidi w:val="0"/>
              <w:rPr>
                <w:rFonts w:hint="eastAsia"/>
                <w:color w:val="auto"/>
                <w:lang w:val="en-US" w:eastAsia="zh-CN"/>
              </w:rPr>
            </w:pPr>
          </w:p>
          <w:p w14:paraId="4BBA1563">
            <w:pPr>
              <w:bidi w:val="0"/>
              <w:rPr>
                <w:rFonts w:hint="eastAsia"/>
                <w:color w:val="auto"/>
                <w:lang w:val="en-US" w:eastAsia="zh-CN"/>
              </w:rPr>
            </w:pPr>
          </w:p>
          <w:p w14:paraId="04F74553">
            <w:pPr>
              <w:bidi w:val="0"/>
              <w:rPr>
                <w:rFonts w:hint="eastAsia"/>
                <w:color w:val="auto"/>
                <w:lang w:val="en-US" w:eastAsia="zh-CN"/>
              </w:rPr>
            </w:pPr>
          </w:p>
          <w:p w14:paraId="47E5FB1E">
            <w:pPr>
              <w:bidi w:val="0"/>
              <w:ind w:left="0" w:leftChars="0" w:right="0" w:rightChars="0" w:firstLine="0" w:firstLineChars="0"/>
              <w:jc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b/>
                <w:bCs/>
                <w:color w:val="auto"/>
                <w:lang w:val="en-US" w:eastAsia="zh-CN"/>
              </w:rPr>
              <w:t>商务与技术权重90%</w:t>
            </w:r>
          </w:p>
        </w:tc>
        <w:tc>
          <w:tcPr>
            <w:tcW w:w="761" w:type="dxa"/>
            <w:vMerge w:val="restart"/>
            <w:noWrap w:val="0"/>
            <w:vAlign w:val="center"/>
          </w:tcPr>
          <w:p w14:paraId="2D08C99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w:t>
            </w:r>
          </w:p>
          <w:p w14:paraId="1661451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务</w:t>
            </w:r>
          </w:p>
          <w:p w14:paraId="3932E9A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p>
          <w:p w14:paraId="15C8DB3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w:t>
            </w:r>
          </w:p>
          <w:p w14:paraId="43BC5CDA">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rPr>
              <w:t>审</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44分</w:t>
            </w:r>
            <w:r>
              <w:rPr>
                <w:rFonts w:hint="eastAsia" w:ascii="宋体" w:hAnsi="宋体" w:cs="宋体"/>
                <w:b/>
                <w:bCs/>
                <w:color w:val="auto"/>
                <w:sz w:val="24"/>
                <w:szCs w:val="24"/>
                <w:highlight w:val="none"/>
                <w:lang w:eastAsia="zh-CN"/>
              </w:rPr>
              <w:t>）</w:t>
            </w:r>
          </w:p>
        </w:tc>
        <w:tc>
          <w:tcPr>
            <w:tcW w:w="909" w:type="dxa"/>
            <w:tcBorders>
              <w:bottom w:val="single" w:color="auto" w:sz="4" w:space="0"/>
            </w:tcBorders>
            <w:noWrap w:val="0"/>
            <w:vAlign w:val="center"/>
          </w:tcPr>
          <w:p w14:paraId="4D314E17">
            <w:pPr>
              <w:widowControl/>
              <w:spacing w:line="360" w:lineRule="auto"/>
              <w:ind w:left="0" w:leftChars="0" w:right="0" w:rightChars="0" w:firstLine="0" w:firstLineChars="0"/>
              <w:jc w:val="center"/>
              <w:textAlignment w:val="center"/>
              <w:rPr>
                <w:rFonts w:hint="eastAsia" w:ascii="宋体" w:hAnsi="宋体"/>
                <w:b/>
                <w:bCs/>
                <w:color w:val="auto"/>
                <w:sz w:val="22"/>
              </w:rPr>
            </w:pPr>
            <w:r>
              <w:rPr>
                <w:rFonts w:hint="eastAsia" w:ascii="宋体" w:hAnsi="宋体"/>
                <w:b/>
                <w:bCs/>
                <w:color w:val="auto"/>
                <w:sz w:val="22"/>
                <w:lang w:val="en-US" w:eastAsia="zh-CN"/>
              </w:rPr>
              <w:t>经营状况指标</w:t>
            </w:r>
          </w:p>
          <w:p w14:paraId="5C2DE961">
            <w:pPr>
              <w:widowControl/>
              <w:spacing w:line="360" w:lineRule="auto"/>
              <w:ind w:left="0" w:leftChars="0" w:right="0" w:rightChars="0" w:firstLine="0" w:firstLineChars="0"/>
              <w:jc w:val="both"/>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b/>
                <w:bCs/>
                <w:color w:val="auto"/>
                <w:sz w:val="22"/>
                <w:lang w:val="en-US" w:eastAsia="zh-CN"/>
              </w:rPr>
              <w:t>（25</w:t>
            </w:r>
            <w:r>
              <w:rPr>
                <w:rFonts w:hint="eastAsia" w:ascii="宋体" w:hAnsi="宋体"/>
                <w:b/>
                <w:bCs/>
                <w:color w:val="auto"/>
                <w:sz w:val="22"/>
              </w:rPr>
              <w:t>分）</w:t>
            </w:r>
          </w:p>
        </w:tc>
        <w:tc>
          <w:tcPr>
            <w:tcW w:w="5998" w:type="dxa"/>
            <w:tcBorders>
              <w:bottom w:val="single" w:color="auto" w:sz="4" w:space="0"/>
            </w:tcBorders>
            <w:noWrap w:val="0"/>
            <w:vAlign w:val="center"/>
          </w:tcPr>
          <w:p w14:paraId="5128C016">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t>主要根据资本充足、不良贷款、拨备覆盖率、流动性覆盖率、流动性比例方面进行评审，经过对各投标企业进行横向对比，最高可得25分，其余依次递减； （注：各投标企业需提供相应证明材料，不提供不得分）</w:t>
            </w:r>
          </w:p>
        </w:tc>
      </w:tr>
      <w:tr w14:paraId="6B85D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7" w:hRule="atLeast"/>
          <w:jc w:val="center"/>
        </w:trPr>
        <w:tc>
          <w:tcPr>
            <w:tcW w:w="989" w:type="dxa"/>
            <w:vMerge w:val="continue"/>
            <w:noWrap w:val="0"/>
            <w:vAlign w:val="center"/>
          </w:tcPr>
          <w:p w14:paraId="7A75EAD5">
            <w:pPr>
              <w:bidi w:val="0"/>
              <w:ind w:left="0" w:leftChars="0" w:right="0" w:rightChars="0" w:firstLine="0" w:firstLineChars="0"/>
              <w:jc w:val="center"/>
              <w:rPr>
                <w:rFonts w:hint="eastAsia"/>
                <w:b/>
                <w:bCs/>
                <w:color w:val="auto"/>
                <w:lang w:val="en-US" w:eastAsia="zh-CN"/>
              </w:rPr>
            </w:pPr>
          </w:p>
        </w:tc>
        <w:tc>
          <w:tcPr>
            <w:tcW w:w="761" w:type="dxa"/>
            <w:vMerge w:val="continue"/>
            <w:noWrap w:val="0"/>
            <w:vAlign w:val="center"/>
          </w:tcPr>
          <w:p w14:paraId="4DDBDE1B">
            <w:pPr>
              <w:widowControl/>
              <w:spacing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rPr>
            </w:pPr>
          </w:p>
        </w:tc>
        <w:tc>
          <w:tcPr>
            <w:tcW w:w="909" w:type="dxa"/>
            <w:tcBorders>
              <w:bottom w:val="single" w:color="auto" w:sz="4" w:space="0"/>
            </w:tcBorders>
            <w:noWrap w:val="0"/>
            <w:vAlign w:val="center"/>
          </w:tcPr>
          <w:p w14:paraId="136D1975">
            <w:pPr>
              <w:widowControl/>
              <w:spacing w:line="360" w:lineRule="auto"/>
              <w:ind w:left="0" w:leftChars="0" w:right="0" w:rightChars="0" w:firstLine="0" w:firstLineChars="0"/>
              <w:jc w:val="center"/>
              <w:textAlignment w:val="center"/>
              <w:rPr>
                <w:rFonts w:hint="eastAsia" w:ascii="宋体" w:hAnsi="宋体" w:eastAsia="宋体"/>
                <w:b/>
                <w:bCs/>
                <w:color w:val="auto"/>
                <w:sz w:val="22"/>
                <w:lang w:eastAsia="zh-CN"/>
              </w:rPr>
            </w:pPr>
            <w:r>
              <w:rPr>
                <w:rFonts w:hint="eastAsia" w:ascii="宋体" w:hAnsi="宋体" w:eastAsia="宋体"/>
                <w:b/>
                <w:bCs/>
                <w:color w:val="auto"/>
                <w:sz w:val="22"/>
                <w:lang w:val="en-US" w:eastAsia="zh-CN"/>
              </w:rPr>
              <w:t xml:space="preserve">公司 </w:t>
            </w:r>
          </w:p>
          <w:p w14:paraId="4DEF13A2">
            <w:pPr>
              <w:widowControl/>
              <w:spacing w:line="360" w:lineRule="auto"/>
              <w:ind w:left="0" w:leftChars="0" w:right="0" w:rightChars="0" w:firstLine="0" w:firstLineChars="0"/>
              <w:jc w:val="center"/>
              <w:textAlignment w:val="center"/>
              <w:rPr>
                <w:rFonts w:hint="eastAsia" w:ascii="宋体" w:hAnsi="宋体" w:eastAsia="宋体"/>
                <w:b/>
                <w:bCs/>
                <w:color w:val="auto"/>
                <w:sz w:val="22"/>
                <w:lang w:eastAsia="zh-CN"/>
              </w:rPr>
            </w:pPr>
            <w:r>
              <w:rPr>
                <w:rFonts w:hint="eastAsia" w:ascii="宋体" w:hAnsi="宋体" w:eastAsia="宋体"/>
                <w:b/>
                <w:bCs/>
                <w:color w:val="auto"/>
                <w:sz w:val="22"/>
                <w:lang w:val="en-US" w:eastAsia="zh-CN"/>
              </w:rPr>
              <w:t>业绩</w:t>
            </w:r>
          </w:p>
          <w:p w14:paraId="3FB76D28">
            <w:pPr>
              <w:widowControl/>
              <w:spacing w:line="360" w:lineRule="auto"/>
              <w:ind w:left="0" w:leftChars="0" w:right="0" w:rightChars="0" w:firstLine="0" w:firstLineChars="0"/>
              <w:jc w:val="center"/>
              <w:textAlignment w:val="center"/>
              <w:rPr>
                <w:rFonts w:hint="eastAsia" w:ascii="宋体" w:hAnsi="宋体" w:eastAsia="宋体"/>
                <w:b/>
                <w:bCs/>
                <w:color w:val="auto"/>
                <w:sz w:val="22"/>
                <w:lang w:eastAsia="zh-CN"/>
              </w:rPr>
            </w:pPr>
            <w:r>
              <w:rPr>
                <w:rFonts w:hint="eastAsia" w:ascii="宋体" w:hAnsi="宋体" w:eastAsia="宋体"/>
                <w:b/>
                <w:bCs/>
                <w:color w:val="auto"/>
                <w:sz w:val="22"/>
                <w:lang w:eastAsia="zh-CN"/>
              </w:rPr>
              <w:t>（</w:t>
            </w:r>
            <w:r>
              <w:rPr>
                <w:rFonts w:hint="eastAsia" w:ascii="宋体" w:hAnsi="宋体" w:eastAsia="宋体"/>
                <w:b/>
                <w:bCs/>
                <w:color w:val="auto"/>
                <w:sz w:val="22"/>
                <w:lang w:val="en-US" w:eastAsia="zh-CN"/>
              </w:rPr>
              <w:t>6分</w:t>
            </w:r>
            <w:r>
              <w:rPr>
                <w:rFonts w:hint="eastAsia" w:ascii="宋体" w:hAnsi="宋体" w:eastAsia="宋体"/>
                <w:b/>
                <w:bCs/>
                <w:color w:val="auto"/>
                <w:sz w:val="22"/>
                <w:lang w:eastAsia="zh-CN"/>
              </w:rPr>
              <w:t>）</w:t>
            </w:r>
          </w:p>
        </w:tc>
        <w:tc>
          <w:tcPr>
            <w:tcW w:w="5998" w:type="dxa"/>
            <w:tcBorders>
              <w:bottom w:val="single" w:color="auto" w:sz="4" w:space="0"/>
            </w:tcBorders>
            <w:noWrap w:val="0"/>
            <w:vAlign w:val="center"/>
          </w:tcPr>
          <w:p w14:paraId="3E03CABB">
            <w:pPr>
              <w:widowControl/>
              <w:shd w:val="clear" w:color="auto" w:fill="auto"/>
              <w:spacing w:line="360" w:lineRule="auto"/>
              <w:ind w:left="0" w:leftChars="0" w:right="0" w:rightChars="0" w:firstLine="0" w:firstLineChars="0"/>
              <w:textAlignment w:val="center"/>
              <w:rPr>
                <w:rFonts w:hint="eastAsia" w:ascii="宋体" w:hAnsi="宋体" w:eastAsia="宋体" w:cs="宋体"/>
                <w:b w:val="0"/>
                <w:i w:val="0"/>
                <w:caps w:val="0"/>
                <w:color w:val="auto"/>
                <w:spacing w:val="0"/>
                <w:kern w:val="2"/>
                <w:sz w:val="21"/>
                <w:szCs w:val="21"/>
                <w:highlight w:val="none"/>
                <w:shd w:val="clear" w:color="auto" w:fill="FFFFFF"/>
                <w:lang w:val="en-US" w:eastAsia="zh-CN" w:bidi="ar-SA"/>
              </w:rPr>
            </w:pPr>
            <w: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t>每提供一项类似业绩可得 1.5 分；此项最高得 6分（须提供单位签订的合同或中标通知书原件扫描件，不提供不得分）。</w:t>
            </w:r>
          </w:p>
        </w:tc>
      </w:tr>
      <w:tr w14:paraId="55FAD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989" w:type="dxa"/>
            <w:vMerge w:val="continue"/>
            <w:noWrap w:val="0"/>
            <w:vAlign w:val="center"/>
          </w:tcPr>
          <w:p w14:paraId="6B996FBC">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continue"/>
            <w:noWrap w:val="0"/>
            <w:vAlign w:val="center"/>
          </w:tcPr>
          <w:p w14:paraId="252A1DB7">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909" w:type="dxa"/>
            <w:vMerge w:val="restart"/>
            <w:noWrap w:val="0"/>
            <w:vAlign w:val="center"/>
          </w:tcPr>
          <w:p w14:paraId="70211FE2">
            <w:pPr>
              <w:widowControl/>
              <w:spacing w:line="360" w:lineRule="auto"/>
              <w:ind w:left="0" w:leftChars="0" w:right="0" w:rightChars="0" w:firstLine="0" w:firstLineChars="0"/>
              <w:jc w:val="center"/>
              <w:textAlignment w:val="center"/>
              <w:rPr>
                <w:rFonts w:hint="eastAsia" w:ascii="宋体" w:hAnsi="宋体" w:cs="宋体"/>
                <w:b/>
                <w:color w:val="auto"/>
                <w:sz w:val="22"/>
              </w:rPr>
            </w:pPr>
            <w:r>
              <w:rPr>
                <w:rFonts w:hint="eastAsia" w:ascii="宋体" w:hAnsi="宋体" w:cs="宋体"/>
                <w:b/>
                <w:color w:val="auto"/>
                <w:sz w:val="22"/>
                <w:lang w:val="en-US" w:eastAsia="zh-CN"/>
              </w:rPr>
              <w:t xml:space="preserve">公司 </w:t>
            </w:r>
          </w:p>
          <w:p w14:paraId="31CD4DA7">
            <w:pPr>
              <w:widowControl/>
              <w:spacing w:line="360" w:lineRule="auto"/>
              <w:ind w:left="0" w:leftChars="0" w:right="0" w:rightChars="0" w:firstLine="0" w:firstLineChars="0"/>
              <w:jc w:val="center"/>
              <w:textAlignment w:val="center"/>
              <w:rPr>
                <w:rFonts w:hint="eastAsia" w:ascii="宋体" w:hAnsi="宋体" w:cs="宋体"/>
                <w:b/>
                <w:color w:val="auto"/>
                <w:sz w:val="22"/>
              </w:rPr>
            </w:pPr>
            <w:r>
              <w:rPr>
                <w:rFonts w:hint="eastAsia" w:ascii="宋体" w:hAnsi="宋体" w:cs="宋体"/>
                <w:b/>
                <w:color w:val="auto"/>
                <w:sz w:val="22"/>
                <w:lang w:val="en-US" w:eastAsia="zh-CN"/>
              </w:rPr>
              <w:t>实力</w:t>
            </w:r>
          </w:p>
          <w:p w14:paraId="4365F669">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cs="宋体"/>
                <w:b/>
                <w:color w:val="auto"/>
                <w:sz w:val="22"/>
              </w:rPr>
              <w:t>（</w:t>
            </w:r>
            <w:r>
              <w:rPr>
                <w:rFonts w:hint="eastAsia" w:ascii="宋体" w:hAnsi="宋体" w:eastAsia="宋体" w:cs="宋体"/>
                <w:b/>
                <w:color w:val="auto"/>
                <w:sz w:val="22"/>
                <w:lang w:val="en-US" w:eastAsia="zh-CN"/>
              </w:rPr>
              <w:t>13</w:t>
            </w:r>
            <w:r>
              <w:rPr>
                <w:rFonts w:hint="eastAsia" w:ascii="宋体" w:hAnsi="宋体" w:cs="宋体"/>
                <w:b/>
                <w:color w:val="auto"/>
                <w:sz w:val="22"/>
              </w:rPr>
              <w:t>分）</w:t>
            </w:r>
          </w:p>
        </w:tc>
        <w:tc>
          <w:tcPr>
            <w:tcW w:w="5998" w:type="dxa"/>
            <w:noWrap w:val="0"/>
            <w:vAlign w:val="center"/>
          </w:tcPr>
          <w:p w14:paraId="6EE260BD">
            <w:pPr>
              <w:widowControl/>
              <w:spacing w:line="360" w:lineRule="auto"/>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t xml:space="preserve">1、投标企业在各乡镇有营业网点的得 5 分（须提供证明材料，不提供不得分）。 </w:t>
            </w:r>
          </w:p>
        </w:tc>
      </w:tr>
      <w:tr w14:paraId="47E0C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62" w:hRule="atLeast"/>
          <w:jc w:val="center"/>
        </w:trPr>
        <w:tc>
          <w:tcPr>
            <w:tcW w:w="989" w:type="dxa"/>
            <w:vMerge w:val="continue"/>
            <w:noWrap w:val="0"/>
            <w:vAlign w:val="center"/>
          </w:tcPr>
          <w:p w14:paraId="76D8F989">
            <w:pPr>
              <w:widowControl/>
              <w:spacing w:line="360" w:lineRule="auto"/>
              <w:textAlignment w:val="center"/>
            </w:pPr>
          </w:p>
        </w:tc>
        <w:tc>
          <w:tcPr>
            <w:tcW w:w="761" w:type="dxa"/>
            <w:vMerge w:val="continue"/>
            <w:noWrap w:val="0"/>
            <w:vAlign w:val="center"/>
          </w:tcPr>
          <w:p w14:paraId="0A3AAD44">
            <w:pPr>
              <w:widowControl/>
              <w:spacing w:line="360" w:lineRule="auto"/>
              <w:textAlignment w:val="center"/>
            </w:pPr>
          </w:p>
        </w:tc>
        <w:tc>
          <w:tcPr>
            <w:tcW w:w="909" w:type="dxa"/>
            <w:vMerge w:val="continue"/>
            <w:noWrap w:val="0"/>
            <w:vAlign w:val="center"/>
          </w:tcPr>
          <w:p w14:paraId="2CD1C063">
            <w:pPr>
              <w:widowControl/>
              <w:spacing w:line="360" w:lineRule="auto"/>
              <w:textAlignment w:val="center"/>
            </w:pPr>
          </w:p>
        </w:tc>
        <w:tc>
          <w:tcPr>
            <w:tcW w:w="5998" w:type="dxa"/>
            <w:noWrap w:val="0"/>
            <w:vAlign w:val="center"/>
          </w:tcPr>
          <w:p w14:paraId="7CE1218D">
            <w:pPr>
              <w:widowControl/>
              <w:spacing w:line="360" w:lineRule="auto"/>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t>2、在各乡镇营业网点有 2 个及两个以上柜台或有自动取款设备的得满足一项得 4分，最多得 8 分（须提供证明材料，不提供不得分）。</w:t>
            </w:r>
          </w:p>
        </w:tc>
      </w:tr>
      <w:tr w14:paraId="098F6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32" w:hRule="atLeast"/>
          <w:jc w:val="center"/>
        </w:trPr>
        <w:tc>
          <w:tcPr>
            <w:tcW w:w="989" w:type="dxa"/>
            <w:vMerge w:val="continue"/>
            <w:noWrap w:val="0"/>
            <w:vAlign w:val="center"/>
          </w:tcPr>
          <w:p w14:paraId="22DBBD3D">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restart"/>
            <w:noWrap w:val="0"/>
            <w:vAlign w:val="center"/>
          </w:tcPr>
          <w:p w14:paraId="3833522F">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技术</w:t>
            </w:r>
          </w:p>
          <w:p w14:paraId="168EF84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w:t>
            </w:r>
          </w:p>
          <w:p w14:paraId="3CBBA4A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w:t>
            </w:r>
          </w:p>
          <w:p w14:paraId="64CBB265">
            <w:pPr>
              <w:widowControl/>
              <w:spacing w:line="360" w:lineRule="auto"/>
              <w:ind w:left="0" w:leftChars="0" w:right="0" w:rightChars="0" w:firstLine="0" w:firstLineChars="0"/>
              <w:jc w:val="center"/>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rPr>
              <w:t>审</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46分</w:t>
            </w:r>
            <w:r>
              <w:rPr>
                <w:rFonts w:hint="eastAsia" w:ascii="宋体" w:hAnsi="宋体" w:cs="宋体"/>
                <w:b/>
                <w:bCs/>
                <w:color w:val="auto"/>
                <w:sz w:val="24"/>
                <w:szCs w:val="24"/>
                <w:highlight w:val="none"/>
                <w:lang w:eastAsia="zh-CN"/>
              </w:rPr>
              <w:t>）</w:t>
            </w:r>
          </w:p>
        </w:tc>
        <w:tc>
          <w:tcPr>
            <w:tcW w:w="909" w:type="dxa"/>
            <w:noWrap w:val="0"/>
            <w:vAlign w:val="center"/>
          </w:tcPr>
          <w:p w14:paraId="154ABB31">
            <w:pPr>
              <w:keepNext w:val="0"/>
              <w:keepLines w:val="0"/>
              <w:widowControl/>
              <w:suppressLineNumbers w:val="0"/>
              <w:jc w:val="left"/>
            </w:pPr>
            <w:r>
              <w:rPr>
                <w:rFonts w:ascii="浠垮畫" w:hAnsi="浠垮畫" w:eastAsia="浠垮畫" w:cs="浠垮畫"/>
                <w:color w:val="000000"/>
                <w:spacing w:val="0"/>
                <w:w w:val="100"/>
                <w:kern w:val="0"/>
                <w:position w:val="0"/>
                <w:sz w:val="24"/>
                <w:szCs w:val="24"/>
                <w:shd w:val="clear" w:color="auto" w:fill="auto"/>
                <w:lang w:val="en-US" w:eastAsia="zh-CN" w:bidi="ar"/>
              </w:rPr>
              <w:t xml:space="preserve">人员配备 </w:t>
            </w:r>
          </w:p>
          <w:p w14:paraId="0322C21F">
            <w:pPr>
              <w:keepNext w:val="0"/>
              <w:keepLines w:val="0"/>
              <w:widowControl/>
              <w:suppressLineNumbers w:val="0"/>
              <w:jc w:val="left"/>
            </w:pPr>
            <w:r>
              <w:rPr>
                <w:rFonts w:hint="default" w:ascii="浠垮畫" w:hAnsi="浠垮畫" w:eastAsia="浠垮畫" w:cs="浠垮畫"/>
                <w:color w:val="000000"/>
                <w:spacing w:val="0"/>
                <w:w w:val="100"/>
                <w:kern w:val="0"/>
                <w:position w:val="0"/>
                <w:sz w:val="24"/>
                <w:szCs w:val="24"/>
                <w:shd w:val="clear" w:color="auto" w:fill="auto"/>
                <w:lang w:val="en-US" w:eastAsia="zh-CN" w:bidi="ar"/>
              </w:rPr>
              <w:t xml:space="preserve">与管理方 </w:t>
            </w:r>
          </w:p>
          <w:p w14:paraId="61AA3D2E">
            <w:pPr>
              <w:keepNext w:val="0"/>
              <w:keepLines w:val="0"/>
              <w:widowControl/>
              <w:suppressLineNumbers w:val="0"/>
              <w:jc w:val="left"/>
              <w:rPr>
                <w:rFonts w:hint="eastAsia" w:ascii="宋体" w:hAnsi="宋体" w:cs="宋体"/>
                <w:b/>
                <w:color w:val="auto"/>
                <w:sz w:val="22"/>
              </w:rPr>
            </w:pPr>
            <w:r>
              <w:rPr>
                <w:rFonts w:hint="default" w:ascii="浠垮畫" w:hAnsi="浠垮畫" w:eastAsia="浠垮畫" w:cs="浠垮畫"/>
                <w:color w:val="000000"/>
                <w:spacing w:val="0"/>
                <w:w w:val="100"/>
                <w:kern w:val="0"/>
                <w:position w:val="0"/>
                <w:sz w:val="24"/>
                <w:szCs w:val="24"/>
                <w:shd w:val="clear" w:color="auto" w:fill="auto"/>
                <w:lang w:val="en-US" w:eastAsia="zh-CN" w:bidi="ar"/>
              </w:rPr>
              <w:t>案</w:t>
            </w:r>
            <w:r>
              <w:rPr>
                <w:rFonts w:hint="eastAsia" w:ascii="宋体" w:hAnsi="宋体" w:cs="宋体"/>
                <w:b/>
                <w:bCs/>
                <w:color w:val="auto"/>
                <w:sz w:val="22"/>
              </w:rPr>
              <w:t>（</w:t>
            </w:r>
            <w:r>
              <w:rPr>
                <w:rFonts w:hint="eastAsia" w:ascii="宋体" w:hAnsi="宋体" w:cs="宋体"/>
                <w:b/>
                <w:bCs/>
                <w:color w:val="auto"/>
                <w:sz w:val="22"/>
                <w:lang w:val="en-US" w:eastAsia="zh-CN"/>
              </w:rPr>
              <w:t>16</w:t>
            </w:r>
            <w:r>
              <w:rPr>
                <w:rFonts w:hint="eastAsia" w:ascii="宋体" w:hAnsi="宋体" w:cs="宋体"/>
                <w:b/>
                <w:bCs/>
                <w:color w:val="auto"/>
                <w:sz w:val="22"/>
              </w:rPr>
              <w:t>分）</w:t>
            </w:r>
          </w:p>
        </w:tc>
        <w:tc>
          <w:tcPr>
            <w:tcW w:w="5998" w:type="dxa"/>
            <w:noWrap w:val="0"/>
            <w:vAlign w:val="center"/>
          </w:tcPr>
          <w:p w14:paraId="674A0F35">
            <w:pPr>
              <w:pStyle w:val="5"/>
              <w:ind w:left="0" w:leftChars="0" w:firstLine="0" w:firstLineChars="0"/>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t>具备综合素质较高、熟悉代理财政业务、人员稳定的专业服务团队，且能定期组织开展财政业务代理服务专业培训并作出完整详细方案的。经过对各投标企业提供的方案详尽与可行情况进行横向对比最高可得 16分，其余依次递减，不提供方案不得分。</w:t>
            </w:r>
          </w:p>
          <w:p w14:paraId="144F7248">
            <w:pPr>
              <w:pStyle w:val="5"/>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r>
      <w:tr w14:paraId="62610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32" w:hRule="atLeast"/>
          <w:jc w:val="center"/>
        </w:trPr>
        <w:tc>
          <w:tcPr>
            <w:tcW w:w="989" w:type="dxa"/>
            <w:vMerge w:val="continue"/>
            <w:noWrap w:val="0"/>
            <w:vAlign w:val="center"/>
          </w:tcPr>
          <w:p w14:paraId="1EFB5DA6">
            <w:pPr>
              <w:widowControl/>
              <w:spacing w:line="360" w:lineRule="auto"/>
              <w:ind w:left="0" w:leftChars="0" w:right="0" w:rightChars="0" w:firstLine="0" w:firstLineChars="0"/>
              <w:textAlignment w:val="center"/>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c>
          <w:tcPr>
            <w:tcW w:w="761" w:type="dxa"/>
            <w:vMerge w:val="continue"/>
            <w:noWrap w:val="0"/>
            <w:vAlign w:val="center"/>
          </w:tcPr>
          <w:p w14:paraId="26D2F825">
            <w:pPr>
              <w:widowControl/>
              <w:spacing w:line="360" w:lineRule="auto"/>
              <w:ind w:left="0" w:leftChars="0" w:right="0" w:rightChars="0" w:firstLine="0" w:firstLineChars="0"/>
              <w:jc w:val="center"/>
              <w:textAlignment w:val="center"/>
              <w:rPr>
                <w:rFonts w:hint="eastAsia" w:ascii="宋体" w:hAnsi="宋体" w:eastAsia="宋体" w:cs="宋体"/>
                <w:b/>
                <w:bCs/>
                <w:color w:val="auto"/>
                <w:sz w:val="24"/>
                <w:szCs w:val="24"/>
                <w:highlight w:val="none"/>
              </w:rPr>
            </w:pPr>
          </w:p>
        </w:tc>
        <w:tc>
          <w:tcPr>
            <w:tcW w:w="909" w:type="dxa"/>
            <w:noWrap w:val="0"/>
            <w:vAlign w:val="center"/>
          </w:tcPr>
          <w:p w14:paraId="338CC422">
            <w:pPr>
              <w:keepNext w:val="0"/>
              <w:keepLines w:val="0"/>
              <w:widowControl/>
              <w:suppressLineNumbers w:val="0"/>
              <w:jc w:val="left"/>
              <w:rPr>
                <w:rFonts w:hint="default" w:ascii="浠垮畫" w:hAnsi="浠垮畫" w:eastAsia="浠垮畫" w:cs="浠垮畫"/>
                <w:color w:val="000000"/>
                <w:spacing w:val="0"/>
                <w:w w:val="100"/>
                <w:kern w:val="0"/>
                <w:position w:val="0"/>
                <w:sz w:val="24"/>
                <w:szCs w:val="24"/>
                <w:shd w:val="clear" w:color="auto" w:fill="auto"/>
                <w:lang w:val="en-US" w:eastAsia="zh-CN" w:bidi="ar"/>
              </w:rPr>
            </w:pPr>
            <w:r>
              <w:rPr>
                <w:rFonts w:hint="eastAsia" w:ascii="宋体" w:hAnsi="宋体" w:cs="宋体"/>
                <w:b/>
                <w:color w:val="auto"/>
                <w:sz w:val="22"/>
                <w:lang w:val="en-US" w:eastAsia="zh-CN"/>
              </w:rPr>
              <w:t>服务水平（30分）</w:t>
            </w:r>
          </w:p>
        </w:tc>
        <w:tc>
          <w:tcPr>
            <w:tcW w:w="5998" w:type="dxa"/>
            <w:noWrap w:val="0"/>
            <w:vAlign w:val="center"/>
          </w:tcPr>
          <w:p w14:paraId="1574BE56">
            <w:pPr>
              <w:pStyle w:val="5"/>
              <w:shd w:val="clear" w:color="auto" w:fill="auto"/>
              <w:ind w:left="0" w:leftChars="0" w:firstLine="0" w:firstLineChars="0"/>
              <w:rPr>
                <w:rFonts w:hint="eastAsia"/>
                <w:lang w:val="en-US" w:eastAsia="zh-CN"/>
              </w:rPr>
            </w:pPr>
            <w:r>
              <w:rPr>
                <w:rFonts w:hint="eastAsia"/>
                <w:lang w:val="en-US" w:eastAsia="zh-CN"/>
              </w:rPr>
              <w:t xml:space="preserve">对反映资金存放银行提供支付结算、金融服务、对账、分账核算、支付时效、短信通知等服务能力进行评价。最高可得30分 ，其余依次递减； </w:t>
            </w:r>
          </w:p>
          <w:p w14:paraId="75F89C34">
            <w:pPr>
              <w:pStyle w:val="5"/>
              <w:shd w:val="clear" w:color="auto" w:fill="auto"/>
              <w:ind w:left="0" w:leftChars="0" w:firstLine="0" w:firstLineChars="0"/>
              <w:rPr>
                <w:rFonts w:hint="eastAsia"/>
                <w:lang w:val="en-US" w:eastAsia="zh-CN"/>
              </w:rPr>
            </w:pPr>
            <w:r>
              <w:rPr>
                <w:rFonts w:hint="eastAsia"/>
                <w:lang w:val="en-US" w:eastAsia="zh-CN"/>
              </w:rPr>
              <w:t>【注：各投标企业需提供相应证明（承诺）材料，不提供不得分】</w:t>
            </w:r>
          </w:p>
          <w:p w14:paraId="61FB38DD">
            <w:pPr>
              <w:pStyle w:val="5"/>
              <w:rPr>
                <w:rFonts w:hint="eastAsia" w:ascii="仿宋" w:hAnsi="仿宋" w:eastAsia="仿宋" w:cs="仿宋"/>
                <w:b w:val="0"/>
                <w:i w:val="0"/>
                <w:caps w:val="0"/>
                <w:color w:val="auto"/>
                <w:spacing w:val="0"/>
                <w:w w:val="100"/>
                <w:kern w:val="2"/>
                <w:position w:val="0"/>
                <w:sz w:val="24"/>
                <w:szCs w:val="24"/>
                <w:highlight w:val="none"/>
                <w:shd w:val="clear" w:color="auto" w:fill="FFFFFF"/>
                <w:lang w:val="en-US" w:eastAsia="zh-CN" w:bidi="ar-SA"/>
              </w:rPr>
            </w:pPr>
          </w:p>
        </w:tc>
      </w:tr>
    </w:tbl>
    <w:p w14:paraId="3A107B33">
      <w:pPr>
        <w:rPr>
          <w:rFonts w:hint="default" w:eastAsiaTheme="minorEastAsia"/>
          <w:lang w:val="en-US" w:eastAsia="zh-CN"/>
        </w:rPr>
      </w:pPr>
    </w:p>
    <w:p w14:paraId="3D8F277B">
      <w:pPr>
        <w:pStyle w:val="40"/>
        <w:shd w:val="clear" w:color="auto" w:fill="auto"/>
        <w:tabs>
          <w:tab w:val="left" w:pos="1701"/>
        </w:tabs>
        <w:spacing w:line="440" w:lineRule="exact"/>
        <w:ind w:left="0" w:leftChars="0" w:firstLine="720" w:firstLineChars="300"/>
        <w:rPr>
          <w:rFonts w:hint="eastAsia" w:ascii="仿宋" w:hAnsi="仿宋" w:eastAsia="仿宋" w:cs="仿宋"/>
          <w:color w:val="000000" w:themeColor="text1"/>
          <w:szCs w:val="21"/>
          <w:highlight w:val="none"/>
          <w:lang w:bidi="ar-SA"/>
          <w14:textFill>
            <w14:solidFill>
              <w14:schemeClr w14:val="tx1"/>
            </w14:solidFill>
          </w14:textFill>
        </w:rPr>
      </w:pPr>
      <w:r>
        <w:rPr>
          <w:rFonts w:hint="eastAsia" w:ascii="仿宋" w:hAnsi="仿宋" w:eastAsia="仿宋" w:cs="仿宋"/>
          <w:color w:val="auto"/>
          <w:szCs w:val="21"/>
          <w:highlight w:val="none"/>
          <w:lang w:val="en-US" w:eastAsia="zh-CN" w:bidi="ar-SA"/>
        </w:rPr>
        <w:t>10.2.2</w:t>
      </w:r>
      <w:r>
        <w:rPr>
          <w:rFonts w:hint="eastAsia" w:ascii="仿宋" w:hAnsi="仿宋" w:eastAsia="仿宋" w:cs="仿宋"/>
          <w:color w:val="auto"/>
          <w:szCs w:val="21"/>
          <w:highlight w:val="none"/>
          <w:lang w:bidi="ar-SA"/>
        </w:rPr>
        <w:t>价格评分方法</w:t>
      </w:r>
    </w:p>
    <w:p w14:paraId="32215FF5">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14:textFill>
            <w14:solidFill>
              <w14:schemeClr w14:val="tx1"/>
            </w14:solidFill>
          </w14:textFill>
        </w:rPr>
      </w:pPr>
      <w:r>
        <w:rPr>
          <w:rFonts w:hint="eastAsia" w:ascii="仿宋" w:hAnsi="仿宋" w:eastAsia="仿宋" w:cs="仿宋"/>
          <w:color w:val="000000" w:themeColor="text1"/>
          <w:szCs w:val="21"/>
          <w:highlight w:val="none"/>
          <w:lang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val="en-US" w:eastAsia="zh-CN" w:bidi="ar-SA"/>
          <w14:textFill>
            <w14:solidFill>
              <w14:schemeClr w14:val="tx1"/>
            </w14:solidFill>
          </w14:textFill>
        </w:rPr>
        <w:t>×100</w:t>
      </w:r>
      <w:r>
        <w:rPr>
          <w:rFonts w:hint="eastAsia" w:ascii="仿宋" w:hAnsi="仿宋" w:eastAsia="仿宋" w:cs="仿宋"/>
          <w:color w:val="000000" w:themeColor="text1"/>
          <w:szCs w:val="21"/>
          <w:highlight w:val="none"/>
          <w:lang w:eastAsia="zh-CN" w:bidi="ar-SA"/>
          <w14:textFill>
            <w14:solidFill>
              <w14:schemeClr w14:val="tx1"/>
            </w14:solidFill>
          </w14:textFill>
        </w:rPr>
        <w:t>。</w:t>
      </w:r>
    </w:p>
    <w:p w14:paraId="2AD802B9">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  推荐中标候选人</w:t>
      </w:r>
      <w:bookmarkEnd w:id="67"/>
      <w:bookmarkEnd w:id="68"/>
    </w:p>
    <w:p w14:paraId="180D5B9E">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11.1按照评审后综合得分由高到低顺序排列；</w:t>
      </w:r>
      <w:r>
        <w:rPr>
          <w:rFonts w:hint="eastAsia" w:ascii="仿宋" w:hAnsi="仿宋" w:eastAsia="仿宋" w:cs="仿宋"/>
          <w:color w:val="000000" w:themeColor="text1"/>
          <w:szCs w:val="21"/>
          <w:highlight w:val="none"/>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名中标候选人，并标明排序。</w:t>
      </w:r>
    </w:p>
    <w:p w14:paraId="5853DF46">
      <w:pPr>
        <w:shd w:val="clear" w:color="auto" w:fill="auto"/>
        <w:spacing w:line="400" w:lineRule="exact"/>
        <w:ind w:firstLine="470" w:firstLineChars="196"/>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11.2得分相同的，按投标报价由低到高顺序排列；得分且投标报价相同的，按技术指标优劣顺序排列。</w:t>
      </w:r>
    </w:p>
    <w:bookmarkEnd w:id="62"/>
    <w:p w14:paraId="1E8555E0">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12.</w:t>
      </w:r>
      <w:r>
        <w:rPr>
          <w:rFonts w:hint="eastAsia" w:ascii="仿宋" w:hAnsi="仿宋" w:eastAsia="仿宋" w:cs="仿宋"/>
          <w:b/>
          <w:color w:val="000000" w:themeColor="text1"/>
          <w:szCs w:val="21"/>
          <w:highlight w:val="none"/>
          <w14:textFill>
            <w14:solidFill>
              <w14:schemeClr w14:val="tx1"/>
            </w14:solidFill>
          </w14:textFill>
        </w:rPr>
        <w:t>无效投标条款</w:t>
      </w:r>
    </w:p>
    <w:p w14:paraId="0B02AD6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.1投标文件有下列情形之一的,其投标文件拒收:</w:t>
      </w:r>
    </w:p>
    <w:p w14:paraId="45CA3D86">
      <w:pPr>
        <w:shd w:val="clear" w:color="auto" w:fill="auto"/>
        <w:snapToGrid w:val="0"/>
        <w:spacing w:line="400" w:lineRule="exact"/>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b/>
          <w:bCs/>
          <w:color w:val="000000" w:themeColor="text1"/>
          <w:szCs w:val="21"/>
          <w:highlight w:val="none"/>
          <w14:textFill>
            <w14:solidFill>
              <w14:schemeClr w14:val="tx1"/>
            </w14:solidFill>
          </w14:textFill>
        </w:rPr>
        <w:t xml:space="preserve"> (1) 未在开标截止时间前通过网上招标投标系统递交有效电子投标文件的，开标系统不予接收。</w:t>
      </w:r>
    </w:p>
    <w:p w14:paraId="7670F545">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highlight w:val="none"/>
          <w14:textFill>
            <w14:solidFill>
              <w14:schemeClr w14:val="tx1"/>
            </w14:solidFill>
          </w14:textFill>
        </w:rPr>
        <w:t>【投标人</w:t>
      </w:r>
      <w:r>
        <w:rPr>
          <w:rFonts w:hint="eastAsia" w:ascii="仿宋" w:hAnsi="仿宋" w:eastAsia="仿宋" w:cs="仿宋"/>
          <w:b/>
          <w:bCs/>
          <w:color w:val="000000" w:themeColor="text1"/>
          <w:szCs w:val="21"/>
          <w:highlight w:val="none"/>
          <w:lang w:eastAsia="zh-CN"/>
          <w14:textFill>
            <w14:solidFill>
              <w14:schemeClr w14:val="tx1"/>
            </w14:solidFill>
          </w14:textFill>
        </w:rPr>
        <w:t>使用</w:t>
      </w:r>
      <w:r>
        <w:rPr>
          <w:rFonts w:hint="eastAsia" w:ascii="仿宋" w:hAnsi="仿宋" w:eastAsia="仿宋" w:cs="仿宋"/>
          <w:b/>
          <w:bCs/>
          <w:color w:val="000000" w:themeColor="text1"/>
          <w:szCs w:val="21"/>
          <w:highlight w:val="none"/>
          <w14:textFill>
            <w14:solidFill>
              <w14:schemeClr w14:val="tx1"/>
            </w14:solidFill>
          </w14:textFill>
        </w:rPr>
        <w:t>其有效加密锁（CA锁）</w:t>
      </w:r>
      <w:r>
        <w:rPr>
          <w:rFonts w:hint="eastAsia" w:ascii="仿宋" w:hAnsi="仿宋" w:eastAsia="仿宋" w:cs="仿宋"/>
          <w:b/>
          <w:bCs/>
          <w:color w:val="000000" w:themeColor="text1"/>
          <w:szCs w:val="21"/>
          <w:highlight w:val="none"/>
          <w:lang w:eastAsia="zh-CN"/>
          <w14:textFill>
            <w14:solidFill>
              <w14:schemeClr w14:val="tx1"/>
            </w14:solidFill>
          </w14:textFill>
        </w:rPr>
        <w:t>进行</w:t>
      </w:r>
      <w:r>
        <w:rPr>
          <w:rFonts w:hint="eastAsia" w:ascii="仿宋" w:hAnsi="仿宋" w:eastAsia="仿宋" w:cs="仿宋"/>
          <w:b/>
          <w:bCs/>
          <w:color w:val="000000" w:themeColor="text1"/>
          <w:szCs w:val="21"/>
          <w:highlight w:val="none"/>
          <w14:textFill>
            <w14:solidFill>
              <w14:schemeClr w14:val="tx1"/>
            </w14:solidFill>
          </w14:textFill>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14:textFill>
            <w14:solidFill>
              <w14:schemeClr w14:val="tx1"/>
            </w14:solidFill>
          </w14:textFill>
        </w:rPr>
        <w:t>，因系统原因未能成功解密的投标文件，可导入</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w:t>
      </w:r>
      <w:r>
        <w:rPr>
          <w:rFonts w:hint="eastAsia" w:ascii="仿宋" w:hAnsi="仿宋" w:eastAsia="仿宋" w:cs="仿宋"/>
          <w:b/>
          <w:color w:val="000000" w:themeColor="text1"/>
          <w:szCs w:val="21"/>
          <w:highlight w:val="none"/>
          <w:lang w:eastAsia="zh-CN"/>
          <w14:textFill>
            <w14:solidFill>
              <w14:schemeClr w14:val="tx1"/>
            </w14:solidFill>
          </w14:textFill>
        </w:rPr>
        <w:t>备份投标文件</w:t>
      </w:r>
      <w:r>
        <w:rPr>
          <w:rFonts w:hint="eastAsia" w:ascii="仿宋" w:hAnsi="仿宋" w:eastAsia="仿宋" w:cs="仿宋"/>
          <w:b/>
          <w:color w:val="000000" w:themeColor="text1"/>
          <w:szCs w:val="21"/>
          <w:highlight w:val="none"/>
          <w14:textFill>
            <w14:solidFill>
              <w14:schemeClr w14:val="tx1"/>
            </w14:solidFill>
          </w14:textFill>
        </w:rPr>
        <w:t>也无法导入的，则投标文件被否决。</w:t>
      </w:r>
    </w:p>
    <w:p w14:paraId="1E0CEF21">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.2投标人有下列情形之一的,资格审查后其投标作无效投标处理：</w:t>
      </w:r>
    </w:p>
    <w:p w14:paraId="2698811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14:paraId="6FDC8121">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(2)投标人为本项目提供招标代理服务的；</w:t>
      </w:r>
    </w:p>
    <w:p w14:paraId="2172F41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(3)投标人与在本项目代理机构存在相互任职或工作的；</w:t>
      </w:r>
    </w:p>
    <w:p w14:paraId="7FD1329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(4)投标保证金未按规定要求缴纳的；</w:t>
      </w:r>
    </w:p>
    <w:p w14:paraId="4DD8C60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b/>
          <w:bCs/>
          <w:color w:val="000000" w:themeColor="text1"/>
          <w:szCs w:val="21"/>
          <w:highlight w:val="none"/>
          <w14:textFill>
            <w14:solidFill>
              <w14:schemeClr w14:val="tx1"/>
            </w14:solidFill>
          </w14:textFill>
        </w:rPr>
        <w:t>评标专家无法查看并检验电子标书中相关资料的；</w:t>
      </w:r>
    </w:p>
    <w:p w14:paraId="6A544DF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)联合体投标未提交联合体协议的；</w:t>
      </w:r>
    </w:p>
    <w:p w14:paraId="2E6FA356">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)被暂停营业的；</w:t>
      </w:r>
    </w:p>
    <w:p w14:paraId="2E12210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)被暂停或取消投标资格的；</w:t>
      </w:r>
    </w:p>
    <w:p w14:paraId="5C46526B">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)财产被接管或冻结的；</w:t>
      </w:r>
    </w:p>
    <w:p w14:paraId="4812BF5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)投标人单位负责人为同一人或者存在控股、管理关系的不同单位的；</w:t>
      </w:r>
    </w:p>
    <w:p w14:paraId="23EFBCA0">
      <w:pPr>
        <w:shd w:val="clear" w:color="auto" w:fill="auto"/>
        <w:snapToGrid w:val="0"/>
        <w:spacing w:line="400" w:lineRule="exact"/>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）投标人基本资格条件和特定资格条件中有一项及以上不符合要求的；</w:t>
      </w:r>
    </w:p>
    <w:p w14:paraId="5BC058C3">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）投标人使用相同的MAC地址进行报名的；</w:t>
      </w:r>
    </w:p>
    <w:p w14:paraId="7BE254CD">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14:paraId="1A1726D4">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）投标人使用相同IP地址报名的，一经发现，监管部门将进一步核实，查实后按串通投标处理；</w:t>
      </w:r>
    </w:p>
    <w:p w14:paraId="2F2F1A7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30E239B1">
      <w:pPr>
        <w:shd w:val="clear" w:color="auto" w:fill="auto"/>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.3 投标人有下列情形之一的,符合性审查后其投标按无效投标处理：</w:t>
      </w:r>
    </w:p>
    <w:p w14:paraId="1B75610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 投标文件</w:t>
      </w:r>
      <w:r>
        <w:rPr>
          <w:rFonts w:hint="eastAsia" w:ascii="仿宋" w:hAnsi="仿宋" w:eastAsia="仿宋" w:cs="仿宋"/>
          <w:color w:val="000000" w:themeColor="text1"/>
          <w:szCs w:val="21"/>
          <w:highlight w:val="none"/>
          <w:lang w:eastAsia="zh-CN"/>
          <w14:textFill>
            <w14:solidFill>
              <w14:schemeClr w14:val="tx1"/>
            </w14:solidFill>
          </w14:textFill>
        </w:rPr>
        <w:t>签章</w:t>
      </w:r>
      <w:r>
        <w:rPr>
          <w:rFonts w:hint="eastAsia" w:ascii="仿宋" w:hAnsi="仿宋" w:eastAsia="仿宋" w:cs="仿宋"/>
          <w:color w:val="000000" w:themeColor="text1"/>
          <w:szCs w:val="21"/>
          <w:highlight w:val="none"/>
          <w14:textFill>
            <w14:solidFill>
              <w14:schemeClr w14:val="tx1"/>
            </w14:solidFill>
          </w14:textFill>
        </w:rPr>
        <w:t>、盖章不全，经评标委员会一致认定对开评标内容有实质性影响并经监督部门核准的；</w:t>
      </w:r>
    </w:p>
    <w:p w14:paraId="3C4204B8">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color w:val="000000" w:themeColor="text1"/>
          <w:szCs w:val="21"/>
          <w:highlight w:val="none"/>
          <w14:textFill>
            <w14:solidFill>
              <w14:schemeClr w14:val="tx1"/>
            </w14:solidFill>
          </w14:textFill>
        </w:rPr>
        <w:t>)未按规定的格式填写，实质性内容不全或关键字迹模糊、无法辨认; 经监督部门核准的；</w:t>
      </w:r>
    </w:p>
    <w:p w14:paraId="49A4650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(4)同一投标人提交两个以上不同的投标文件或者投标报价，但</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规定提交备选方案的除外；</w:t>
      </w:r>
    </w:p>
    <w:p w14:paraId="32A75ABC">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)投标文件没有对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的实质性要求和条件作出响应;</w:t>
      </w:r>
    </w:p>
    <w:p w14:paraId="13D53EFA">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)投标报价超出规定的投标限价或公布的采购预算的；注：投标人的投标报价各项单价均不得高于招标文件给定的单价最高限价，否则，其投标文件将按无效投标处理。</w:t>
      </w:r>
    </w:p>
    <w:p w14:paraId="15A528F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5</w:t>
      </w:r>
      <w:r>
        <w:rPr>
          <w:rFonts w:hint="eastAsia" w:ascii="仿宋" w:hAnsi="仿宋" w:eastAsia="仿宋" w:cs="仿宋"/>
          <w:color w:val="000000" w:themeColor="text1"/>
          <w:szCs w:val="21"/>
          <w:highlight w:val="none"/>
          <w14:textFill>
            <w14:solidFill>
              <w14:schemeClr w14:val="tx1"/>
            </w14:solidFill>
          </w14:textFill>
        </w:rPr>
        <w:t>)不按评标委员会要求澄清、说明或补正的，或者评标委员会根据</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的规定对</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的计算错误进行修正后，投标人不接受修正的投标报价的。</w:t>
      </w:r>
    </w:p>
    <w:p w14:paraId="6C0932A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14:textFill>
            <w14:solidFill>
              <w14:schemeClr w14:val="tx1"/>
            </w14:solidFill>
          </w14:textFill>
        </w:rPr>
        <w:t>）其它情形，经评标委员会委提出按无效投标处理，并经公共资源交易监督部门核准的；</w:t>
      </w:r>
    </w:p>
    <w:p w14:paraId="2F1C0E4C">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未按照招标文件的规定提交投标保证金的；</w:t>
      </w:r>
    </w:p>
    <w:p w14:paraId="77A0EBB7">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kern w:val="0"/>
          <w:szCs w:val="21"/>
          <w:highlight w:val="none"/>
          <w:shd w:val="clear" w:color="auto" w:fill="FFFFFF"/>
          <w:lang w:bidi="ar"/>
          <w14:textFill>
            <w14:solidFill>
              <w14:schemeClr w14:val="tx1"/>
            </w14:solidFill>
          </w14:textFill>
        </w:rPr>
        <w:t>投标文件含有采购人不能接受的附加条件的;</w:t>
      </w:r>
    </w:p>
    <w:p w14:paraId="0E1945C3">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2D6DA5C0">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12</w:t>
      </w:r>
      <w:r>
        <w:rPr>
          <w:rFonts w:hint="eastAsia" w:ascii="仿宋" w:hAnsi="仿宋" w:eastAsia="仿宋" w:cs="仿宋"/>
          <w:color w:val="000000" w:themeColor="text1"/>
          <w:szCs w:val="21"/>
          <w:highlight w:val="none"/>
          <w14:textFill>
            <w14:solidFill>
              <w14:schemeClr w14:val="tx1"/>
            </w14:solidFill>
          </w14:textFill>
        </w:rPr>
        <w:t>.4 投标人有下列情形之一的, 详细评审后其投标按无效投标处理：</w:t>
      </w:r>
    </w:p>
    <w:p w14:paraId="3257523F">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(1)投标产品不符合必须强制执行的国家标准的；</w:t>
      </w:r>
    </w:p>
    <w:p w14:paraId="19375B0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(2)投标人有串通投标、弄虚作假、行贿等违法行为；</w:t>
      </w:r>
    </w:p>
    <w:p w14:paraId="6A5FAD85">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(3)投标文件含有违反国家法律、法规的内容，或附有招标人不能接受的条件的；</w:t>
      </w:r>
    </w:p>
    <w:p w14:paraId="60108A62">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（4）在同一项目（或同一标段）中有多个投标人有效投标报价接近最高限价，且评标委员会认为报价出现异常的，可以宣布其投标无效；</w:t>
      </w:r>
    </w:p>
    <w:p w14:paraId="6E556352">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（5）报价明显低于其他投标人，且不能证明报价合理性的投标无效；</w:t>
      </w:r>
    </w:p>
    <w:p w14:paraId="3F6F5614">
      <w:pPr>
        <w:shd w:val="clear" w:color="auto" w:fill="auto"/>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（6）拒不确认评标委员会评审修正的投标无效；</w:t>
      </w:r>
    </w:p>
    <w:p w14:paraId="57CCE799">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（7）其它情形，经评标委员会委提出按无效投标处理，并经公共资源交易监督部门核准的；</w:t>
      </w:r>
    </w:p>
    <w:p w14:paraId="7B4904C7">
      <w:pPr>
        <w:shd w:val="clear" w:color="auto" w:fill="auto"/>
        <w:snapToGrid w:val="0"/>
        <w:spacing w:line="400" w:lineRule="exact"/>
        <w:ind w:firstLine="48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r>
        <w:rPr>
          <w:rFonts w:hint="eastAsia" w:ascii="仿宋" w:hAnsi="仿宋" w:eastAsia="仿宋" w:cs="仿宋"/>
          <w:color w:val="000000" w:themeColor="text1"/>
          <w:szCs w:val="21"/>
          <w:highlight w:val="none"/>
          <w:lang w:eastAsia="zh-CN"/>
          <w14:textFill>
            <w14:solidFill>
              <w14:schemeClr w14:val="tx1"/>
            </w14:solidFill>
          </w14:textFill>
        </w:rPr>
        <w:t>采购文件</w:t>
      </w:r>
      <w:r>
        <w:rPr>
          <w:rFonts w:hint="eastAsia" w:ascii="仿宋" w:hAnsi="仿宋" w:eastAsia="仿宋" w:cs="仿宋"/>
          <w:color w:val="000000" w:themeColor="text1"/>
          <w:szCs w:val="21"/>
          <w:highlight w:val="none"/>
          <w14:textFill>
            <w14:solidFill>
              <w14:schemeClr w14:val="tx1"/>
            </w14:solidFill>
          </w14:textFill>
        </w:rPr>
        <w:t>规定的其它无效投标情形。</w:t>
      </w:r>
    </w:p>
    <w:p w14:paraId="0D6C7A8C">
      <w:pPr>
        <w:pageBreakBefore/>
        <w:shd w:val="clear" w:color="auto" w:fill="auto"/>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sectPr>
          <w:footerReference r:id="rId7" w:type="default"/>
          <w:pgSz w:w="11906" w:h="16838"/>
          <w:pgMar w:top="1440" w:right="1080" w:bottom="1440" w:left="1080" w:header="851" w:footer="992" w:gutter="0"/>
          <w:pgNumType w:fmt="decimal" w:start="1"/>
          <w:cols w:space="720" w:num="1"/>
          <w:docGrid w:type="linesAndChars" w:linePitch="312" w:charSpace="0"/>
        </w:sectPr>
      </w:pPr>
      <w:bookmarkStart w:id="69" w:name="_Toc469495737"/>
      <w:bookmarkStart w:id="70" w:name="OLE_LINK4"/>
    </w:p>
    <w:p w14:paraId="33E95C44">
      <w:pPr>
        <w:pageBreakBefore/>
        <w:numPr>
          <w:ilvl w:val="0"/>
          <w:numId w:val="8"/>
        </w:numPr>
        <w:shd w:val="clear" w:color="auto" w:fill="auto"/>
        <w:spacing w:line="360" w:lineRule="auto"/>
        <w:jc w:val="center"/>
        <w:outlineLvl w:val="0"/>
        <w:rPr>
          <w:rFonts w:hint="default" w:ascii="仿宋" w:hAnsi="仿宋" w:eastAsia="仿宋" w:cs="仿宋"/>
          <w:b/>
          <w:color w:val="000000" w:themeColor="text1"/>
          <w:sz w:val="36"/>
          <w:szCs w:val="36"/>
          <w:highlight w:val="none"/>
          <w:lang w:val="en-US"/>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 </w:t>
      </w:r>
      <w:bookmarkEnd w:id="63"/>
      <w:bookmarkEnd w:id="69"/>
      <w:r>
        <w:rPr>
          <w:rFonts w:hint="eastAsia" w:ascii="仿宋" w:hAnsi="仿宋" w:eastAsia="仿宋" w:cs="仿宋"/>
          <w:b/>
          <w:color w:val="000000" w:themeColor="text1"/>
          <w:sz w:val="36"/>
          <w:szCs w:val="36"/>
          <w:highlight w:val="none"/>
          <w:lang w:val="en-US" w:eastAsia="zh-CN"/>
          <w14:textFill>
            <w14:solidFill>
              <w14:schemeClr w14:val="tx1"/>
            </w14:solidFill>
          </w14:textFill>
        </w:rPr>
        <w:t>项目采购需求清单</w:t>
      </w:r>
    </w:p>
    <w:bookmarkEnd w:id="70"/>
    <w:p w14:paraId="7640CA12">
      <w:pPr>
        <w:widowControl/>
        <w:spacing w:line="360" w:lineRule="auto"/>
        <w:jc w:val="left"/>
        <w:rPr>
          <w:rFonts w:hint="eastAsia" w:ascii="仿宋" w:hAnsi="仿宋" w:eastAsia="仿宋" w:cs="仿宋"/>
          <w:b/>
          <w:sz w:val="28"/>
          <w:szCs w:val="28"/>
          <w:lang w:val="en-US" w:eastAsia="zh-CN"/>
        </w:rPr>
      </w:pPr>
      <w:bookmarkStart w:id="71" w:name="_Toc469495740"/>
      <w:r>
        <w:rPr>
          <w:rFonts w:hint="eastAsia" w:ascii="仿宋" w:hAnsi="仿宋" w:eastAsia="仿宋" w:cs="仿宋"/>
          <w:b/>
          <w:sz w:val="24"/>
          <w:szCs w:val="24"/>
          <w:lang w:val="en-US" w:eastAsia="zh-CN"/>
        </w:rPr>
        <w:t>一、新和县财政局委托金融机构代发惠民惠农财政补贴资金项目工作内容</w:t>
      </w:r>
      <w:r>
        <w:rPr>
          <w:rFonts w:hint="eastAsia" w:ascii="仿宋" w:hAnsi="仿宋" w:eastAsia="仿宋" w:cs="仿宋"/>
          <w:b/>
          <w:sz w:val="28"/>
          <w:szCs w:val="28"/>
          <w:lang w:val="en-US" w:eastAsia="zh-CN"/>
        </w:rPr>
        <w:t xml:space="preserve"> </w:t>
      </w:r>
    </w:p>
    <w:p w14:paraId="3B8F0AB3">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总体要求：</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503105FF">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1．服务代理银行须在本县区域内至少有 1 家营业网点。 </w:t>
      </w:r>
    </w:p>
    <w:p w14:paraId="36CF6A43">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2．服务代理银行需具备长期服务基层广大人民群众、服务态度好、服务质量优、群众反响好的条件。 </w:t>
      </w:r>
    </w:p>
    <w:p w14:paraId="404AC1EC">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3．服务代理银行支付系统需实现与财政大平台支付系统，以及财政惠民惠农补贴“一卡通”管理系统无缝对接，能够提供惠民惠农财政补贴“一卡通”管理系统硬件、软件购置费、系统维护费和相关配套业务费，保障补贴资金的正常发放。 </w:t>
      </w:r>
    </w:p>
    <w:p w14:paraId="096269CF">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4．服务代理银行需具备综合素质高、熟练代理财政业务、人员稳定的专业服务团队，能够满足 3 人以上专人负责办理惠民惠农财政补贴资金代发业务，全力保障财政及行业主管部门的各项业务对接。 </w:t>
      </w:r>
    </w:p>
    <w:p w14:paraId="2F7EB254">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5．服务代理银行需按照行业主管部门提供的实名制代发数据，先进行模拟打卡，模拟打卡无误后再进行实际打卡发放，保证支付成功率。 </w:t>
      </w:r>
    </w:p>
    <w:p w14:paraId="36A5DC66">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6．服务代理银行按月（次）在收到补贴资金和实名制发放表后，需在 3 个工作日内，将补贴资金发放到补贴对象银行卡中。 </w:t>
      </w:r>
    </w:p>
    <w:p w14:paraId="4224557C">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7．服务代理银行在发放补贴的同时，需向补贴对象免费发送短信，具体告知补贴项目名称、金额，让补贴对象及时知晓资金到账情况；无短信告知的资金项目，需向行业主管部门提供纸质版进行告知。 </w:t>
      </w:r>
    </w:p>
    <w:p w14:paraId="26360298">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8．服务代理银行向补贴对象打卡发放后，需在 2 个工作日内向财政、行业主管部门反馈打卡发放情况，提供一式 3 联打卡发放流水清单（包含成功和未成功明细两部分笔数、内容及金额，未成功应标注原因）。 </w:t>
      </w:r>
    </w:p>
    <w:p w14:paraId="1DAC0774">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9．服务代理银行对发放失败的补贴资金，需主动配合行业主管部门查明原因，需在 3 个工作日内，由行业主管部门重新核实后，服务代理银行进行二次打卡发放，直至发放成功，同时并向财政、行业主管部门提供一式 3 联成功打卡发放明细清单。 </w:t>
      </w:r>
    </w:p>
    <w:p w14:paraId="2A2FBAB0">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10．服务代理银行需按照财政部门和行业主管部门的要求，在月末、季度和年终做好资金清算及对账工作。 </w:t>
      </w:r>
    </w:p>
    <w:p w14:paraId="5EA89B50">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11．服务代理银行需免费提供行内或跨行补贴资金代发业务，减免账户管理费、服务费等；按照“一户一卡、一卡一折”的要求，免费、及时为补贴对象新办、补办“一卡通”银行卡、免收年审费、手续费，免费开通手机短信告知业务。同时不得从代发的惠民惠农补贴资金中扣划贷款。 </w:t>
      </w:r>
    </w:p>
    <w:p w14:paraId="3028EF93">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12．服务代理银行需按月向财政、行业主管部门提供代理服务问卷调查汇总评分表。 </w:t>
      </w:r>
    </w:p>
    <w:p w14:paraId="0B1B1C0B">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13．服务代理银行需在各大营业厅及网点设置惠民惠农财政补贴资金专用“绿色通道”窗口，方便农民支取，能够保证补贴对象随时取款用款，不得以库款不足、系统不稳定、业务人员外出等任何理由和借口阻碍服务对象提现取款，对行动不便等特殊人群提供上门服务，最大程度满足人民群众需求。 </w:t>
      </w:r>
    </w:p>
    <w:p w14:paraId="351E4064">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14．服务代理银行需积极配合县财政惠民惠农财政补贴“一卡通”管理系统建设要求，在每个基层网点最少配置一台以上查询机，方便补贴对象实时查询补贴数据。 </w:t>
      </w:r>
    </w:p>
    <w:p w14:paraId="28B9FF73">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15．服务代理银行需加强对广大人民群众银行卡使用常识和相关金融法规宣传，做到家喻户晓。 </w:t>
      </w:r>
    </w:p>
    <w:p w14:paraId="4BE0D164">
      <w:pPr>
        <w:rPr>
          <w:rFonts w:hint="default" w:eastAsiaTheme="minorEastAsia"/>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16．服务代理银行务必做好代发信息及保密工作，未经批准不得向任何第三方提供农户数据和资料，如有失泄密发生，承担相应的法律责任。</w:t>
      </w:r>
    </w:p>
    <w:p w14:paraId="33950A37">
      <w:pPr>
        <w:shd w:val="clear" w:color="auto" w:fill="auto"/>
        <w:spacing w:line="360" w:lineRule="auto"/>
        <w:ind w:firstLine="484" w:firstLineChars="150"/>
        <w:rPr>
          <w:rFonts w:hint="eastAsia" w:ascii="仿宋" w:hAnsi="仿宋" w:eastAsia="仿宋" w:cs="仿宋"/>
          <w:b/>
          <w:bCs/>
          <w:color w:val="000000" w:themeColor="text1"/>
          <w:sz w:val="32"/>
          <w:szCs w:val="24"/>
          <w:highlight w:val="none"/>
          <w:lang w:val="en-US" w:eastAsia="zh-CN"/>
          <w14:textFill>
            <w14:solidFill>
              <w14:schemeClr w14:val="tx1"/>
            </w14:solidFill>
          </w14:textFill>
        </w:rPr>
      </w:pPr>
      <w:r>
        <w:rPr>
          <w:rFonts w:hint="eastAsia" w:ascii="仿宋" w:hAnsi="仿宋" w:eastAsia="仿宋" w:cs="仿宋"/>
          <w:b/>
          <w:bCs/>
          <w:color w:val="000000" w:themeColor="text1"/>
          <w:sz w:val="32"/>
          <w:szCs w:val="24"/>
          <w:highlight w:val="none"/>
          <w:lang w:val="en-US" w:eastAsia="zh-CN"/>
          <w14:textFill>
            <w14:solidFill>
              <w14:schemeClr w14:val="tx1"/>
            </w14:solidFill>
          </w14:textFill>
        </w:rPr>
        <w:t xml:space="preserve">二、商务要求 </w:t>
      </w:r>
    </w:p>
    <w:p w14:paraId="3354CA8F">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w:t>
      </w:r>
      <w:r>
        <w:rPr>
          <w:rFonts w:hint="eastAsia" w:ascii="仿宋" w:hAnsi="仿宋" w:eastAsia="仿宋" w:cs="仿宋"/>
          <w:b/>
          <w:bCs/>
          <w:color w:val="000000" w:themeColor="text1"/>
          <w:szCs w:val="21"/>
          <w:highlight w:val="none"/>
          <w:lang w:val="en-US" w:eastAsia="zh-CN"/>
          <w14:textFill>
            <w14:solidFill>
              <w14:schemeClr w14:val="tx1"/>
            </w14:solidFill>
          </w14:textFill>
        </w:rPr>
        <w:t xml:space="preserve">服务地点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：甲方指定地点（具体以签订合同为准） </w:t>
      </w:r>
    </w:p>
    <w:p w14:paraId="18B2D496">
      <w:pPr>
        <w:shd w:val="clear" w:color="auto" w:fill="auto"/>
        <w:spacing w:line="360" w:lineRule="auto"/>
        <w:ind w:firstLine="364" w:firstLineChars="150"/>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w:t>
      </w:r>
      <w:r>
        <w:rPr>
          <w:rFonts w:hint="eastAsia" w:ascii="仿宋" w:hAnsi="仿宋" w:eastAsia="仿宋" w:cs="仿宋"/>
          <w:b/>
          <w:bCs/>
          <w:color w:val="000000" w:themeColor="text1"/>
          <w:szCs w:val="21"/>
          <w:highlight w:val="none"/>
          <w:lang w:val="en-US" w:eastAsia="zh-CN"/>
          <w14:textFill>
            <w14:solidFill>
              <w14:schemeClr w14:val="tx1"/>
            </w14:solidFill>
          </w14:textFill>
        </w:rPr>
        <w:t>服务期限：</w:t>
      </w:r>
      <w:r>
        <w:rPr>
          <w:rFonts w:hint="eastAsia" w:ascii="仿宋" w:hAnsi="仿宋" w:eastAsia="仿宋" w:cs="仿宋"/>
          <w:color w:val="000000" w:themeColor="text1"/>
          <w:szCs w:val="21"/>
          <w:highlight w:val="none"/>
          <w:lang w:val="en-US" w:eastAsia="zh-CN"/>
          <w14:textFill>
            <w14:solidFill>
              <w14:schemeClr w14:val="tx1"/>
            </w14:solidFill>
          </w14:textFill>
        </w:rPr>
        <w:t>3年（每年合同需单独签订）</w:t>
      </w:r>
    </w:p>
    <w:p w14:paraId="13C1F3DA">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b/>
          <w:bCs/>
          <w:color w:val="000000" w:themeColor="text1"/>
          <w:szCs w:val="21"/>
          <w:highlight w:val="none"/>
          <w:lang w:val="en-US" w:eastAsia="zh-CN"/>
          <w14:textFill>
            <w14:solidFill>
              <w14:schemeClr w14:val="tx1"/>
            </w14:solidFill>
          </w14:textFill>
        </w:rPr>
        <w:t>报价要求</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23BC2C95">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供应商应按招标文件规定的供货及服务要求、责任范围和合同条件，以人民币进行报价。供应商必须按报价一览表和分项价格表的内容和格式要求填写各项分项价格和总价。供应商在投标人须知前附表规定的提交首次投标文件截止之日前修改报价一览表中的报价的，应同时修改其分项价格表中的报价。 </w:t>
      </w:r>
    </w:p>
    <w:p w14:paraId="64F78AEC">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b/>
          <w:bCs/>
          <w:color w:val="000000" w:themeColor="text1"/>
          <w:szCs w:val="21"/>
          <w:highlight w:val="none"/>
          <w:lang w:val="en-US" w:eastAsia="zh-CN"/>
          <w14:textFill>
            <w14:solidFill>
              <w14:schemeClr w14:val="tx1"/>
            </w14:solidFill>
          </w14:textFill>
        </w:rPr>
        <w:t xml:space="preserve">.服务期内工作质量及验收保证的承诺 </w:t>
      </w:r>
    </w:p>
    <w:p w14:paraId="683D2D75">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（1）中标人在提供服务时未达到招标文件规定的要求，且对采购人造成损失的，由中标人承担一切责任，并赔偿所造成的损失。 </w:t>
      </w:r>
    </w:p>
    <w:p w14:paraId="513D9E65">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（2）中标人在项目完成后应及时与被服务单位交接，中标人在完成服务后期协助使用单位财务人员熟悉财务管理制度与流程、财务软件的使用，使其在今后日常工作中能规范职业流程。 </w:t>
      </w:r>
    </w:p>
    <w:p w14:paraId="20D74390">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5.付款方式</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33B3F67A">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具体以甲乙双方签订合同为准。 </w:t>
      </w:r>
    </w:p>
    <w:p w14:paraId="6DBC8A35">
      <w:pPr>
        <w:shd w:val="clear" w:color="auto" w:fill="auto"/>
        <w:spacing w:line="360" w:lineRule="auto"/>
        <w:ind w:firstLine="364" w:firstLineChars="150"/>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 xml:space="preserve">6.知识产权 </w:t>
      </w:r>
    </w:p>
    <w:p w14:paraId="519AA4EC">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采购人在中华人民共和国境内使用投标人提供的货物及服务时免受第三方提出的侵犯其专利权或其它知识产权的起诉。如果第三方提出侵权指控，中标人应承担由此而引起的一切法律责任和费用。 </w:t>
      </w:r>
    </w:p>
    <w:p w14:paraId="628A76C1">
      <w:pPr>
        <w:shd w:val="clear" w:color="auto" w:fill="auto"/>
        <w:spacing w:line="360" w:lineRule="auto"/>
        <w:ind w:firstLine="364" w:firstLineChars="150"/>
        <w:rPr>
          <w:rFonts w:hint="eastAsia" w:ascii="仿宋" w:hAnsi="仿宋" w:eastAsia="仿宋" w:cs="仿宋"/>
          <w:b/>
          <w:bCs/>
          <w:color w:val="000000" w:themeColor="text1"/>
          <w:szCs w:val="2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 xml:space="preserve">7.其他 </w:t>
      </w:r>
    </w:p>
    <w:p w14:paraId="6A8A1094">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1、投标人必须在投标文件中对以上条款和服务承诺明确列出，承诺内容必须达到本篇及招标文件其他条款的要求。 </w:t>
      </w:r>
    </w:p>
    <w:p w14:paraId="36521A03">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2、其他未尽事宜由供需双方在采购合同中详细约定。</w:t>
      </w:r>
    </w:p>
    <w:p w14:paraId="3A09116B">
      <w:pPr>
        <w:shd w:val="clear" w:color="auto" w:fill="auto"/>
        <w:spacing w:line="360" w:lineRule="auto"/>
        <w:ind w:firstLine="364"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p>
    <w:p w14:paraId="54C6875B">
      <w:pPr>
        <w:numPr>
          <w:ilvl w:val="0"/>
          <w:numId w:val="0"/>
        </w:numPr>
        <w:spacing w:line="360" w:lineRule="auto"/>
        <w:ind w:right="0" w:rightChars="0"/>
        <w:jc w:val="center"/>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3FB73AD9">
      <w:pPr>
        <w:numPr>
          <w:ilvl w:val="0"/>
          <w:numId w:val="0"/>
        </w:numPr>
        <w:spacing w:line="360" w:lineRule="auto"/>
        <w:ind w:right="0" w:rightChars="0"/>
        <w:jc w:val="center"/>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53443896">
      <w:pPr>
        <w:pStyle w:val="7"/>
        <w:numPr>
          <w:ilvl w:val="0"/>
          <w:numId w:val="0"/>
        </w:numPr>
        <w:ind w:leftChars="0" w:right="0" w:rightChars="0"/>
        <w:rPr>
          <w:rFonts w:hint="eastAsia"/>
          <w:lang w:val="en-US" w:eastAsia="zh-CN"/>
        </w:rPr>
      </w:pPr>
    </w:p>
    <w:p w14:paraId="44FF09B7">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p w14:paraId="3B0A01FC">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16127117">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p w14:paraId="5EA30C03">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4BFA71F0">
      <w:pPr>
        <w:numPr>
          <w:ilvl w:val="0"/>
          <w:numId w:val="0"/>
        </w:numPr>
        <w:spacing w:line="360" w:lineRule="auto"/>
        <w:ind w:right="0" w:rightChars="0"/>
        <w:jc w:val="both"/>
        <w:outlineLvl w:val="0"/>
        <w:rPr>
          <w:rFonts w:hint="eastAsia" w:ascii="仿宋" w:hAnsi="仿宋" w:eastAsia="仿宋" w:cs="仿宋"/>
          <w:b/>
          <w:color w:val="000000" w:themeColor="text1"/>
          <w:sz w:val="36"/>
          <w:szCs w:val="36"/>
          <w:highlight w:val="none"/>
          <w:lang w:val="en-US" w:eastAsia="zh-CN"/>
          <w14:textFill>
            <w14:solidFill>
              <w14:schemeClr w14:val="tx1"/>
            </w14:solidFill>
          </w14:textFill>
        </w:rPr>
      </w:pPr>
    </w:p>
    <w:p w14:paraId="29174DE8">
      <w:pPr>
        <w:numPr>
          <w:ilvl w:val="0"/>
          <w:numId w:val="0"/>
        </w:numPr>
        <w:spacing w:line="360" w:lineRule="auto"/>
        <w:ind w:right="0" w:rightChars="0"/>
        <w:jc w:val="both"/>
        <w:outlineLvl w:val="0"/>
        <w:rPr>
          <w:rFonts w:hint="default" w:ascii="仿宋" w:hAnsi="仿宋" w:eastAsia="仿宋" w:cs="仿宋"/>
          <w:b/>
          <w:color w:val="000000" w:themeColor="text1"/>
          <w:sz w:val="36"/>
          <w:szCs w:val="36"/>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p>
    <w:bookmarkEnd w:id="71"/>
    <w:p w14:paraId="2F8A422A">
      <w:pPr>
        <w:pStyle w:val="2"/>
        <w:numPr>
          <w:ilvl w:val="0"/>
          <w:numId w:val="9"/>
        </w:numPr>
        <w:jc w:val="center"/>
      </w:pPr>
      <w:r>
        <w:rPr>
          <w:rFonts w:ascii="宋体" w:hAnsi="宋体" w:cs="宋体"/>
          <w:b w:val="0"/>
          <w:kern w:val="0"/>
          <w:sz w:val="36"/>
        </w:rPr>
        <w:t xml:space="preserve"> </w:t>
      </w:r>
      <w:r>
        <w:rPr>
          <w:rFonts w:hint="default" w:ascii="宋体" w:hAnsi="宋体" w:cs="宋体"/>
          <w:b w:val="0"/>
          <w:kern w:val="0"/>
          <w:sz w:val="36"/>
        </w:rPr>
        <w:t xml:space="preserve"> </w:t>
      </w:r>
      <w:r>
        <w:rPr>
          <w:rFonts w:hint="default" w:ascii="宋体" w:hAnsi="宋体" w:cs="宋体"/>
        </w:rPr>
        <w:t xml:space="preserve"> </w:t>
      </w:r>
      <w:bookmarkStart w:id="72" w:name="_Toc22635"/>
      <w:bookmarkStart w:id="73" w:name="_Toc16633"/>
      <w:bookmarkStart w:id="74" w:name="_Toc24439"/>
      <w:r>
        <w:rPr>
          <w:rFonts w:hint="eastAsia" w:ascii="宋体" w:hAnsi="宋体" w:cs="宋体"/>
          <w:lang w:eastAsia="zh-CN"/>
        </w:rPr>
        <w:t>合同</w:t>
      </w:r>
      <w:bookmarkEnd w:id="72"/>
      <w:bookmarkEnd w:id="73"/>
      <w:bookmarkEnd w:id="74"/>
    </w:p>
    <w:p w14:paraId="7E5B300A">
      <w:pPr>
        <w:spacing w:line="400" w:lineRule="exact"/>
        <w:jc w:val="center"/>
        <w:outlineLvl w:val="0"/>
        <w:rPr>
          <w:rFonts w:ascii="宋体"/>
          <w:b/>
          <w:sz w:val="36"/>
          <w:szCs w:val="36"/>
        </w:rPr>
      </w:pPr>
    </w:p>
    <w:p w14:paraId="23DF79A8">
      <w:pPr>
        <w:spacing w:line="400" w:lineRule="exact"/>
        <w:jc w:val="center"/>
        <w:outlineLvl w:val="0"/>
        <w:rPr>
          <w:rFonts w:hint="default" w:ascii="宋体"/>
          <w:b/>
          <w:sz w:val="36"/>
          <w:szCs w:val="36"/>
        </w:rPr>
      </w:pPr>
      <w:r>
        <w:rPr>
          <w:rFonts w:ascii="宋体"/>
          <w:b/>
          <w:sz w:val="36"/>
          <w:szCs w:val="36"/>
        </w:rPr>
        <w:t xml:space="preserve">  采购合同主要条款</w:t>
      </w:r>
    </w:p>
    <w:p w14:paraId="0367F02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p>
    <w:p w14:paraId="15640D72">
      <w:pPr>
        <w:widowControl/>
        <w:numPr>
          <w:ilvl w:val="0"/>
          <w:numId w:val="10"/>
        </w:numPr>
        <w:shd w:val="clear" w:color="auto" w:fill="auto"/>
        <w:spacing w:line="600" w:lineRule="exact"/>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 xml:space="preserve"> </w:t>
      </w:r>
      <w:bookmarkStart w:id="75" w:name="_Toc469495741"/>
      <w:r>
        <w:rPr>
          <w:rFonts w:hint="eastAsia" w:ascii="宋体"/>
          <w:b/>
          <w:color w:val="auto"/>
          <w:sz w:val="30"/>
          <w:szCs w:val="30"/>
          <w:highlight w:val="none"/>
        </w:rPr>
        <w:t>合同协议书</w:t>
      </w:r>
      <w:bookmarkEnd w:id="75"/>
    </w:p>
    <w:p w14:paraId="3139106E">
      <w:pPr>
        <w:shd w:val="clear" w:color="auto" w:fill="auto"/>
        <w:spacing w:line="360" w:lineRule="auto"/>
        <w:ind w:firstLine="2729" w:firstLineChars="845"/>
        <w:jc w:val="both"/>
        <w:rPr>
          <w:rFonts w:hint="eastAsia" w:ascii="宋体"/>
          <w:color w:val="auto"/>
          <w:sz w:val="24"/>
          <w:highlight w:val="none"/>
        </w:rPr>
      </w:pPr>
      <w:r>
        <w:rPr>
          <w:rFonts w:hint="eastAsia" w:ascii="宋体"/>
          <w:b/>
          <w:color w:val="auto"/>
          <w:sz w:val="32"/>
          <w:szCs w:val="32"/>
          <w:highlight w:val="none"/>
        </w:rPr>
        <w:t>合同名称</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编号</w:t>
      </w:r>
    </w:p>
    <w:p w14:paraId="14E35D1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bookmarkStart w:id="76" w:name="_Toc247085768"/>
      <w:bookmarkStart w:id="77" w:name="_Toc246996253"/>
      <w:bookmarkStart w:id="78" w:name="_Toc296602498"/>
      <w:bookmarkStart w:id="79" w:name="_Toc469495742"/>
      <w:bookmarkStart w:id="80" w:name="_Toc179632628"/>
      <w:bookmarkStart w:id="81" w:name="_Toc152045610"/>
      <w:bookmarkStart w:id="82" w:name="_Toc144974578"/>
      <w:bookmarkStart w:id="83" w:name="_Toc246996996"/>
      <w:bookmarkStart w:id="84" w:name="_Toc152042388"/>
      <w:r>
        <w:rPr>
          <w:rFonts w:hint="eastAsia" w:ascii="仿宋" w:hAnsi="仿宋" w:eastAsia="仿宋" w:cs="仿宋"/>
          <w:sz w:val="24"/>
          <w:szCs w:val="24"/>
        </w:rPr>
        <w:t>买    方：                                   卖    方：</w:t>
      </w:r>
    </w:p>
    <w:p w14:paraId="764DBC1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电    话：                                   电    话：</w:t>
      </w:r>
    </w:p>
    <w:p w14:paraId="184B97E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住    所：                                   住    所：                       </w:t>
      </w:r>
    </w:p>
    <w:p w14:paraId="0BC11A7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（买方）的（项目名称）中所需（产品名称） 经公开招标，确定（卖方）为中标人。按照中华人民共和国合同法的规定，买卖双方同意按照下述的条款和条件，签署本合同。</w:t>
      </w:r>
    </w:p>
    <w:p w14:paraId="213A646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1、本合同文件</w:t>
      </w:r>
    </w:p>
    <w:p w14:paraId="1E629172">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下列每一文件均应作为合同的组成部分进行阅读和解释：</w:t>
      </w:r>
    </w:p>
    <w:p w14:paraId="42176FB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采购文件</w:t>
      </w:r>
      <w:r>
        <w:rPr>
          <w:rFonts w:hint="eastAsia" w:ascii="仿宋" w:hAnsi="仿宋" w:eastAsia="仿宋" w:cs="仿宋"/>
          <w:sz w:val="24"/>
          <w:szCs w:val="24"/>
        </w:rPr>
        <w:t>（2）投标文件（3）中标通知书</w:t>
      </w:r>
    </w:p>
    <w:p w14:paraId="673829F8">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（4）经双方确认进入合同的其它文件、补充条款或说明</w:t>
      </w:r>
    </w:p>
    <w:p w14:paraId="2D56318F">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2、采购标的、数量、质量要求</w:t>
      </w:r>
    </w:p>
    <w:p w14:paraId="618FC62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3、合同总价</w:t>
      </w:r>
    </w:p>
    <w:p w14:paraId="7FA4C0D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合同总价为               元人民币。</w:t>
      </w:r>
    </w:p>
    <w:p w14:paraId="60F4B20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4、付款方式：                                         。</w:t>
      </w:r>
    </w:p>
    <w:p w14:paraId="28BDF43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5、合同供货（服务）期限及地点和方式</w:t>
      </w:r>
    </w:p>
    <w:p w14:paraId="0412A3B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6、验收要求及违约责任</w:t>
      </w:r>
    </w:p>
    <w:p w14:paraId="6ADD078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7、违约责任及解决争议方法</w:t>
      </w:r>
    </w:p>
    <w:p w14:paraId="05B022D7">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8、合同的生效</w:t>
      </w:r>
    </w:p>
    <w:p w14:paraId="1FF958AA">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合同经双方授权代表签署，买卖双方加盖印章之后生效。</w:t>
      </w:r>
    </w:p>
    <w:p w14:paraId="2DBD4883">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本合同一式     份，双方各执     份。</w:t>
      </w:r>
    </w:p>
    <w:p w14:paraId="73367C5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买  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卖  方：</w:t>
      </w:r>
    </w:p>
    <w:p w14:paraId="1A6E831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名  称：（盖章）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名  称：（盖章）</w:t>
      </w:r>
    </w:p>
    <w:p w14:paraId="1F1FAFB7">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法定代表人（或委托代理人）： （签字） 法定代表人（或委托代理人）：（签字）                        </w:t>
      </w:r>
    </w:p>
    <w:p w14:paraId="38E11159">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地    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地    址：</w:t>
      </w:r>
    </w:p>
    <w:p w14:paraId="535B04B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邮政编码：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邮政编码：</w:t>
      </w:r>
    </w:p>
    <w:p w14:paraId="52D3109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电    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    话：</w:t>
      </w:r>
    </w:p>
    <w:p w14:paraId="68AF7B0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开户银行：</w:t>
      </w:r>
    </w:p>
    <w:p w14:paraId="2B6D4714">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帐    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帐    号：</w:t>
      </w:r>
    </w:p>
    <w:p w14:paraId="3BCB4AAA">
      <w:pPr>
        <w:pStyle w:val="8"/>
        <w:shd w:val="clear" w:color="auto" w:fill="auto"/>
        <w:spacing w:after="0" w:line="420" w:lineRule="exact"/>
        <w:ind w:left="0" w:leftChars="0" w:firstLine="606" w:firstLineChars="200"/>
        <w:jc w:val="center"/>
        <w:rPr>
          <w:rFonts w:hint="eastAsia" w:ascii="黑体" w:eastAsia="黑体"/>
          <w:b/>
          <w:color w:val="auto"/>
          <w:sz w:val="30"/>
          <w:szCs w:val="30"/>
          <w:highlight w:val="none"/>
        </w:rPr>
      </w:pPr>
      <w:r>
        <w:rPr>
          <w:rFonts w:hint="eastAsia" w:ascii="黑体" w:eastAsia="黑体"/>
          <w:b/>
          <w:color w:val="auto"/>
          <w:sz w:val="30"/>
          <w:szCs w:val="30"/>
          <w:highlight w:val="none"/>
        </w:rPr>
        <w:t>二  合同条款</w:t>
      </w:r>
      <w:bookmarkEnd w:id="76"/>
      <w:bookmarkEnd w:id="77"/>
      <w:bookmarkEnd w:id="78"/>
      <w:bookmarkEnd w:id="79"/>
      <w:bookmarkEnd w:id="80"/>
      <w:bookmarkEnd w:id="81"/>
      <w:bookmarkEnd w:id="82"/>
      <w:bookmarkEnd w:id="83"/>
      <w:bookmarkEnd w:id="84"/>
    </w:p>
    <w:p w14:paraId="0480C5F8">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14:paraId="3267A3FB">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1、合同文件适用法律</w:t>
      </w:r>
    </w:p>
    <w:p w14:paraId="736C69F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适用于合同文件的法律是中华人民共和国现行法律、法规及招标人所在地的地方性法规。</w:t>
      </w:r>
    </w:p>
    <w:p w14:paraId="33B6E360">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2、合同文件组成和解释顺序</w:t>
      </w:r>
    </w:p>
    <w:p w14:paraId="1EC24C4C">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(1)合同文件的组成和解释顺序如下：</w:t>
      </w:r>
    </w:p>
    <w:p w14:paraId="6EDC48B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&lt;1&gt;合同的主要条款；</w:t>
      </w:r>
    </w:p>
    <w:p w14:paraId="2505096D">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&lt;2&gt;合同的一般性条款；</w:t>
      </w:r>
    </w:p>
    <w:p w14:paraId="7D239F5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&lt;3&gt;洽商、变更等明确双方权利义务的纪要、协议；</w:t>
      </w:r>
    </w:p>
    <w:p w14:paraId="629E01CE">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&lt;4&gt;中标通知书、投标文件和</w:t>
      </w:r>
      <w:r>
        <w:rPr>
          <w:rFonts w:hint="eastAsia" w:ascii="仿宋" w:hAnsi="仿宋" w:eastAsia="仿宋" w:cs="仿宋"/>
          <w:sz w:val="24"/>
          <w:szCs w:val="24"/>
          <w:lang w:eastAsia="zh-CN"/>
        </w:rPr>
        <w:t>采购文件</w:t>
      </w:r>
      <w:r>
        <w:rPr>
          <w:rFonts w:hint="eastAsia" w:ascii="仿宋" w:hAnsi="仿宋" w:eastAsia="仿宋" w:cs="仿宋"/>
          <w:sz w:val="24"/>
          <w:szCs w:val="24"/>
        </w:rPr>
        <w:t>；</w:t>
      </w:r>
    </w:p>
    <w:p w14:paraId="73203045">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&lt;5&gt;有关图纸、标准、规范和其它有关技术资料、技术要求。</w:t>
      </w:r>
    </w:p>
    <w:p w14:paraId="0D8EBF69">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&lt;6&gt;合同的主要条款的效力优于合同的一般性条款的效力。</w:t>
      </w:r>
    </w:p>
    <w:p w14:paraId="505F6E2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3、合同文件使用文字</w:t>
      </w:r>
    </w:p>
    <w:p w14:paraId="0D5EC56D">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(1)合同文件使用中文书写、解释和说明。</w:t>
      </w:r>
    </w:p>
    <w:p w14:paraId="3FF24E76">
      <w:pPr>
        <w:keepNext w:val="0"/>
        <w:keepLines w:val="0"/>
        <w:pageBreakBefore w:val="0"/>
        <w:shd w:val="clear" w:color="auto" w:fill="auto"/>
        <w:kinsoku/>
        <w:wordWrap/>
        <w:overflowPunct/>
        <w:topLinePunct w:val="0"/>
        <w:autoSpaceDE/>
        <w:autoSpaceDN/>
        <w:bidi w:val="0"/>
        <w:adjustRightInd/>
        <w:snapToGrid/>
        <w:spacing w:line="336" w:lineRule="auto"/>
        <w:ind w:firstLine="529" w:firstLineChars="218"/>
        <w:textAlignment w:val="auto"/>
        <w:rPr>
          <w:rFonts w:hint="eastAsia" w:ascii="仿宋" w:hAnsi="仿宋" w:eastAsia="仿宋" w:cs="仿宋"/>
          <w:sz w:val="24"/>
          <w:szCs w:val="24"/>
        </w:rPr>
      </w:pPr>
      <w:r>
        <w:rPr>
          <w:rFonts w:hint="eastAsia" w:ascii="仿宋" w:hAnsi="仿宋" w:eastAsia="仿宋" w:cs="仿宋"/>
          <w:sz w:val="24"/>
          <w:szCs w:val="24"/>
        </w:rPr>
        <w:t xml:space="preserve">(2)合同文件使用技术性条款约定的为国家标准和规范；国家没有相应标准、规范时，可使用行业标准、规范。非标货物应按约定的技术性条款的标准和规范。 </w:t>
      </w:r>
    </w:p>
    <w:p w14:paraId="45C7474C">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14:paraId="1B05DCFA">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14:paraId="50EBE2DC">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仿宋" w:hAnsi="仿宋" w:eastAsia="仿宋" w:cs="仿宋"/>
          <w:sz w:val="24"/>
          <w:szCs w:val="24"/>
        </w:rPr>
        <w:t>对于出卖的标的物，卖方应当拥有完整物权，并且卖方负有保证第三人不得向买方主张任何权利（包括知识产权）的义务。</w:t>
      </w:r>
    </w:p>
    <w:p w14:paraId="748196FE">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14:paraId="6000B00F">
      <w:pPr>
        <w:pStyle w:val="5"/>
        <w:shd w:val="clear" w:color="auto" w:fill="auto"/>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5C996EC7">
      <w:pPr>
        <w:pStyle w:val="5"/>
        <w:shd w:val="clear" w:color="auto" w:fill="auto"/>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72BAA5E">
      <w:pPr>
        <w:pStyle w:val="5"/>
        <w:shd w:val="clear" w:color="auto" w:fill="auto"/>
        <w:tabs>
          <w:tab w:val="left" w:pos="900"/>
        </w:tabs>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(3)除合同主要条款规定外，合同条款中标的物的质量保证期均自标的物通过最终验收之日起计算，且质量保证期按不低于国家标准和卖方承诺的高于国家标准的质保期（卖方有特殊要求的除外）。</w:t>
      </w:r>
    </w:p>
    <w:p w14:paraId="42A387A1">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14:paraId="7FE40B4A">
      <w:pPr>
        <w:pStyle w:val="5"/>
        <w:shd w:val="clear" w:color="auto" w:fill="auto"/>
        <w:tabs>
          <w:tab w:val="left" w:pos="900"/>
        </w:tabs>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6EF5247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14:paraId="24E783EA">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(1)卖方除应履行按期按量交付合格标的物的义务之外，还应提供下列服务：</w:t>
      </w:r>
    </w:p>
    <w:p w14:paraId="23008BD4">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&lt;1&gt;标的物的现场安装或指导安装、启动、调试、监督（如果必须安装、调试的话）；</w:t>
      </w:r>
    </w:p>
    <w:p w14:paraId="70CE6AE5">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&lt;2&gt;提供标的物组装和一般维修所必须的工具；</w:t>
      </w:r>
    </w:p>
    <w:p w14:paraId="5C83CCD3">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&lt;3&gt;在合同规定的期限内对所提供标的物实行运行监督、维修服务的前提条件是该服务并不能免除卖方在质量保证期内所承担的义务；</w:t>
      </w:r>
    </w:p>
    <w:p w14:paraId="62AB0E33">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&lt;4&gt;对买方技术人员的技术指导或培训。</w:t>
      </w:r>
    </w:p>
    <w:p w14:paraId="59A52817">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(2)除合同另有规定之外，伴随服务的费用均已含在合同价款中，买方不再另行进行支付。</w:t>
      </w:r>
    </w:p>
    <w:p w14:paraId="25B6CD87">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三.  标的物的交付、检验和验收</w:t>
      </w:r>
    </w:p>
    <w:p w14:paraId="28894B4C">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8、标的物的交付</w:t>
      </w:r>
    </w:p>
    <w:p w14:paraId="564E0ED4">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(1)标的物的所有权自标的物交付时转移。</w:t>
      </w:r>
    </w:p>
    <w:p w14:paraId="1D0EA2F5">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(2)卖方应当按照约定的期限和约定的地点交付符合</w:t>
      </w:r>
      <w:r>
        <w:rPr>
          <w:rFonts w:hint="eastAsia" w:ascii="仿宋" w:hAnsi="仿宋" w:eastAsia="仿宋" w:cs="仿宋"/>
          <w:color w:val="000000"/>
          <w:spacing w:val="0"/>
          <w:w w:val="100"/>
          <w:kern w:val="0"/>
          <w:position w:val="0"/>
          <w:sz w:val="24"/>
          <w:szCs w:val="24"/>
          <w:shd w:val="clear" w:color="auto" w:fill="auto"/>
          <w:lang w:val="en-US" w:eastAsia="zh-CN" w:bidi="en-US"/>
        </w:rPr>
        <w:t>采购文件</w:t>
      </w:r>
      <w:r>
        <w:rPr>
          <w:rFonts w:hint="eastAsia" w:ascii="仿宋" w:hAnsi="仿宋" w:eastAsia="仿宋" w:cs="仿宋"/>
          <w:color w:val="000000"/>
          <w:spacing w:val="0"/>
          <w:w w:val="100"/>
          <w:kern w:val="0"/>
          <w:position w:val="0"/>
          <w:sz w:val="24"/>
          <w:szCs w:val="24"/>
          <w:shd w:val="clear" w:color="auto" w:fill="auto"/>
          <w:lang w:val="en-US" w:eastAsia="en-US" w:bidi="en-US"/>
        </w:rPr>
        <w:t>要求的标的物。</w:t>
      </w:r>
    </w:p>
    <w:p w14:paraId="31510504">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(3)卖方应当按照约定或者交易习惯向招标人交付提取标的物单证以外的有关单证和资料。</w:t>
      </w:r>
    </w:p>
    <w:p w14:paraId="468C1582">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9、检验和验收</w:t>
      </w:r>
    </w:p>
    <w:p w14:paraId="11622140">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241FB8DB">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(2)买方根据合同规定的内容和验收标准进行验收，经检验无误后出具验收合格证明，该证明作为最终付款所需文件的组成部分。</w:t>
      </w:r>
    </w:p>
    <w:p w14:paraId="26E03FE7">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(3)验收期限自标的物交付之日起三十天内。特殊情况需延长的，双方应在合同条款中约定。</w:t>
      </w:r>
    </w:p>
    <w:p w14:paraId="17BC86F3">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14:paraId="5A694DEB">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10、对标的物提出异议的时间和办法 </w:t>
      </w:r>
    </w:p>
    <w:p w14:paraId="5A7FADEC">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(1)买方在验收过程中，应当于双方约定的检验期间内将标的物的数量或质量不符合约定的情形及处理方式以书面形式通知卖方。</w:t>
      </w:r>
    </w:p>
    <w:p w14:paraId="1A20EDFB">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(2)如买方在验收期满后既不出具验收合格证明又未提出书面异议的视为卖方所交标的物符合合同规定。</w:t>
      </w:r>
    </w:p>
    <w:p w14:paraId="626AD118">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(3)卖方应在收到买方书面异议后</w:t>
      </w:r>
      <w:r>
        <w:rPr>
          <w:rFonts w:hint="eastAsia" w:ascii="仿宋" w:hAnsi="仿宋" w:eastAsia="仿宋" w:cs="仿宋"/>
          <w:color w:val="000000"/>
          <w:spacing w:val="0"/>
          <w:w w:val="100"/>
          <w:kern w:val="0"/>
          <w:position w:val="0"/>
          <w:sz w:val="24"/>
          <w:szCs w:val="24"/>
          <w:shd w:val="clear" w:color="auto" w:fill="auto"/>
          <w:lang w:val="en-US" w:eastAsia="zh-CN" w:bidi="en-US"/>
        </w:rPr>
        <w:t>3</w:t>
      </w:r>
      <w:r>
        <w:rPr>
          <w:rFonts w:hint="eastAsia" w:ascii="仿宋" w:hAnsi="仿宋" w:eastAsia="仿宋" w:cs="仿宋"/>
          <w:color w:val="000000"/>
          <w:spacing w:val="0"/>
          <w:w w:val="100"/>
          <w:kern w:val="0"/>
          <w:position w:val="0"/>
          <w:sz w:val="24"/>
          <w:szCs w:val="24"/>
          <w:shd w:val="clear" w:color="auto" w:fill="auto"/>
          <w:lang w:val="en-US" w:eastAsia="en-US" w:bidi="en-US"/>
        </w:rPr>
        <w:t>天内负责处理问题，否则将视为默认买方提出的异议和处理意见。</w:t>
      </w:r>
    </w:p>
    <w:p w14:paraId="14E69290">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14:paraId="15A12290">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11、合同价款和支付</w:t>
      </w:r>
    </w:p>
    <w:p w14:paraId="1DDC0D2D">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(1)本合同的结算货币为人民币，单位元。</w:t>
      </w:r>
    </w:p>
    <w:p w14:paraId="382839D4">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(2)卖方应按照双方签订的合同规定交货并在合同主要条款规定的期限内持下列单据结算货款：</w:t>
      </w:r>
    </w:p>
    <w:p w14:paraId="66FD6463">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&lt;1&gt;合格的销售发票；</w:t>
      </w:r>
    </w:p>
    <w:p w14:paraId="42EC63EF">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&lt;2&gt;买方盖章签收后的送货回单和验收合格证明。</w:t>
      </w:r>
    </w:p>
    <w:p w14:paraId="3D7FCEF2">
      <w:pPr>
        <w:pStyle w:val="5"/>
        <w:shd w:val="clear" w:color="auto" w:fill="auto"/>
        <w:tabs>
          <w:tab w:val="left" w:pos="900"/>
        </w:tabs>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(3)买方应按合同主要条款规定的期限和方式付款。</w:t>
      </w:r>
    </w:p>
    <w:p w14:paraId="5EFD1747">
      <w:pPr>
        <w:pStyle w:val="5"/>
        <w:shd w:val="clear" w:color="auto" w:fill="auto"/>
        <w:tabs>
          <w:tab w:val="left" w:pos="900"/>
        </w:tabs>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(4)根据现行税法对买方征收的与本合同有关的一切税费均由买方承担；根据现行税法对卖方征收的与本合同有关的一切税费均由卖方承担。</w:t>
      </w:r>
    </w:p>
    <w:p w14:paraId="1570C815">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14:paraId="5BA4A090">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12、违约责任</w:t>
      </w:r>
    </w:p>
    <w:p w14:paraId="02B77925">
      <w:pPr>
        <w:pStyle w:val="5"/>
        <w:shd w:val="clear" w:color="auto" w:fill="auto"/>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合同一方不履行合同义务或者履行合同义务不符合约定的，应当承担继续履行、采取补救措施或者赔偿损失等违约责任</w:t>
      </w:r>
      <w:r>
        <w:rPr>
          <w:rFonts w:hint="eastAsia" w:ascii="宋体" w:cs="宋体"/>
          <w:color w:val="auto"/>
          <w:sz w:val="21"/>
          <w:szCs w:val="21"/>
          <w:highlight w:val="none"/>
          <w:u w:val="none" w:color="000000"/>
        </w:rPr>
        <w:t>。</w:t>
      </w:r>
    </w:p>
    <w:p w14:paraId="2B3FA74D">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13、买方违约责任</w:t>
      </w:r>
    </w:p>
    <w:p w14:paraId="5DBB05D4">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(1)在合同生效后，买方要求退货的，应向卖方偿付合同总价款的5%，作为违约金，违约金不足以补偿损失的，卖方有权要求甲方补足。</w:t>
      </w:r>
    </w:p>
    <w:p w14:paraId="1BE506F0">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(2)买方逾期付款的应按照逾期付款金额的每天万分之四支付逾期付款违约金。</w:t>
      </w:r>
    </w:p>
    <w:p w14:paraId="1B5FD7DC">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(3)买方违反合同规定，拒绝接收卖方交付的符合</w:t>
      </w:r>
      <w:r>
        <w:rPr>
          <w:rFonts w:hint="eastAsia" w:ascii="仿宋" w:hAnsi="仿宋" w:eastAsia="仿宋" w:cs="仿宋"/>
          <w:color w:val="000000"/>
          <w:spacing w:val="0"/>
          <w:w w:val="100"/>
          <w:kern w:val="0"/>
          <w:position w:val="0"/>
          <w:sz w:val="24"/>
          <w:szCs w:val="24"/>
          <w:shd w:val="clear" w:color="auto" w:fill="auto"/>
          <w:lang w:val="en-US" w:eastAsia="zh-CN" w:bidi="en-US"/>
        </w:rPr>
        <w:t>采购文件</w:t>
      </w:r>
      <w:r>
        <w:rPr>
          <w:rFonts w:hint="eastAsia" w:ascii="仿宋" w:hAnsi="仿宋" w:eastAsia="仿宋" w:cs="仿宋"/>
          <w:color w:val="000000"/>
          <w:spacing w:val="0"/>
          <w:w w:val="100"/>
          <w:kern w:val="0"/>
          <w:position w:val="0"/>
          <w:sz w:val="24"/>
          <w:szCs w:val="24"/>
          <w:shd w:val="clear" w:color="auto" w:fill="auto"/>
          <w:lang w:val="en-US" w:eastAsia="en-US" w:bidi="en-US"/>
        </w:rPr>
        <w:t>要求的合格标的物，应当承担卖方由此造成的损失。</w:t>
      </w:r>
    </w:p>
    <w:p w14:paraId="030CB00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14、卖方违约责任</w:t>
      </w:r>
    </w:p>
    <w:p w14:paraId="7E3B9952">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(1)卖方不能交货（逾期超过五天视为不能交货），或交货不合格从而影响买方按期正常使用的，应向买方偿付合同总价款5%的违约金，违约金不足以补偿损失的，买方有权要求卖方补足。</w:t>
      </w:r>
    </w:p>
    <w:p w14:paraId="7248D7EC">
      <w:pPr>
        <w:pStyle w:val="5"/>
        <w:shd w:val="clear" w:color="auto" w:fill="auto"/>
        <w:spacing w:line="440" w:lineRule="exact"/>
        <w:ind w:firstLine="546" w:firstLineChars="225"/>
        <w:rPr>
          <w:rFonts w:hint="eastAsia" w:ascii="宋体" w:cs="宋体"/>
          <w:color w:val="auto"/>
          <w:sz w:val="21"/>
          <w:szCs w:val="21"/>
          <w:highlight w:val="none"/>
          <w:u w:val="none" w:color="000000"/>
        </w:rPr>
      </w:pPr>
      <w:r>
        <w:rPr>
          <w:rFonts w:hint="eastAsia" w:ascii="仿宋" w:hAnsi="仿宋" w:eastAsia="仿宋" w:cs="仿宋"/>
          <w:color w:val="000000"/>
          <w:spacing w:val="0"/>
          <w:w w:val="100"/>
          <w:kern w:val="0"/>
          <w:position w:val="0"/>
          <w:sz w:val="24"/>
          <w:szCs w:val="24"/>
          <w:shd w:val="clear" w:color="auto" w:fill="auto"/>
          <w:lang w:val="en-US" w:eastAsia="en-US" w:bidi="en-US"/>
        </w:rPr>
        <w:t>(2)卖方逾期交货的，应在发货前与买方和政府采购管理部门协商，买方仍需求的，卖方应立即发货并应按照逾期交货部分货款的每天万分之四支付逾期交货违约金，同时承担买方因此遭致的损失费用。</w:t>
      </w:r>
    </w:p>
    <w:p w14:paraId="43FDE09E">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15、不可抗力</w:t>
      </w:r>
    </w:p>
    <w:p w14:paraId="0539FDD3">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(1)因水灾、火灾、地震、战争等不可抗力不能履行合同的，根据不可抗力的影响，部分或者全部免除责任。但合同一方迟延履行后发生不可抗力的，不能免除责任。</w:t>
      </w:r>
    </w:p>
    <w:p w14:paraId="2989596D">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(2)合同一方因不可抗力不能履行合同的，应当及时通知对方，以减轻可能给对方造成的损失，并应当在合理期限内提供证明。</w:t>
      </w:r>
    </w:p>
    <w:p w14:paraId="67E4A628">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14:paraId="4BC98013">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16、索赔</w:t>
      </w:r>
    </w:p>
    <w:p w14:paraId="0A2BC861">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(1)买方有权根据当地产品质量检验机构或其它有权威部门出具的检验证书向卖方提出索赔。</w:t>
      </w:r>
    </w:p>
    <w:p w14:paraId="2E70ED88">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(2)在本合同规定的检验期和质量保证期内，如果卖方对买方提出的索赔或差异有责任，则卖方应按买方同意的下列一种或多种方式解决索赔事宜：</w:t>
      </w:r>
    </w:p>
    <w:p w14:paraId="3A9FC061">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&lt;1&gt;卖方同意退货，并按合同规定的货币将货款退还给买方，并承担由此发生的一切损失和费用，包括利息、银行手续费、运费、保险费、检验费、仓储费、装卸费以及为保护退回标的物所需的其它必要费用；</w:t>
      </w:r>
    </w:p>
    <w:p w14:paraId="762CF9C3">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&lt;2&gt;根据标的物的低劣程度、损坏程度以及甲方遭受损失的数额，经双方协商确定降低标的物的价格；</w:t>
      </w:r>
    </w:p>
    <w:p w14:paraId="6C4B34C6">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20B421E0">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936DC1B">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(4)买方提出索赔的书面材料应报当地政府采购管理部门备案。卖方同意的索赔方案应报当地政府采购管理部门审核。</w:t>
      </w:r>
    </w:p>
    <w:p w14:paraId="05BE3D8D">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14:paraId="4B82B177">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17、履约保证金</w:t>
      </w:r>
    </w:p>
    <w:p w14:paraId="00EAD110">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(1)卖方应在本合同签订时，按</w:t>
      </w:r>
      <w:r>
        <w:rPr>
          <w:rFonts w:hint="eastAsia" w:ascii="仿宋" w:hAnsi="仿宋" w:eastAsia="仿宋" w:cs="仿宋"/>
          <w:color w:val="000000"/>
          <w:spacing w:val="0"/>
          <w:w w:val="100"/>
          <w:kern w:val="0"/>
          <w:position w:val="0"/>
          <w:sz w:val="24"/>
          <w:szCs w:val="24"/>
          <w:shd w:val="clear" w:color="auto" w:fill="auto"/>
          <w:lang w:val="en-US" w:eastAsia="zh-CN" w:bidi="en-US"/>
        </w:rPr>
        <w:t>采购文件</w:t>
      </w:r>
      <w:r>
        <w:rPr>
          <w:rFonts w:hint="eastAsia" w:ascii="仿宋" w:hAnsi="仿宋" w:eastAsia="仿宋" w:cs="仿宋"/>
          <w:color w:val="000000"/>
          <w:spacing w:val="0"/>
          <w:w w:val="100"/>
          <w:kern w:val="0"/>
          <w:position w:val="0"/>
          <w:sz w:val="24"/>
          <w:szCs w:val="24"/>
          <w:shd w:val="clear" w:color="auto" w:fill="auto"/>
          <w:lang w:val="en-US" w:eastAsia="en-US" w:bidi="en-US"/>
        </w:rPr>
        <w:t>的约定提供相应的履约保证金，保证金的有效期应不低于合同有效期。</w:t>
      </w:r>
    </w:p>
    <w:p w14:paraId="731D33B7">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(2)如果卖方未能履行合同规定的任何义务，买方有权从履约保证金中取得补偿。</w:t>
      </w:r>
    </w:p>
    <w:p w14:paraId="53366A8D">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(3)履约保证金（无息）将在卖方履行完合同义务，买方支付合同价款的五天内退回。</w:t>
      </w:r>
    </w:p>
    <w:p w14:paraId="1AD71D9E">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14:paraId="47D3A05C">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18、合同的解除</w:t>
      </w:r>
    </w:p>
    <w:p w14:paraId="309866D1">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(1)买方和卖方协商一致，可以解除合同。</w:t>
      </w:r>
    </w:p>
    <w:p w14:paraId="1846042C">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(2)有下列情形之一，合同一方可以解除合同：</w:t>
      </w:r>
    </w:p>
    <w:p w14:paraId="27D1F469">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&lt;1&gt;因不可抗力致使不能实现合同目的，未受不可抗力影响的一方有权解除合同；</w:t>
      </w:r>
    </w:p>
    <w:p w14:paraId="6E6A7C27">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&lt;2&gt;因合同一方违约导致合同不能履行，另一方有权解除合同。</w:t>
      </w:r>
    </w:p>
    <w:p w14:paraId="35201963">
      <w:pPr>
        <w:pStyle w:val="5"/>
        <w:shd w:val="clear" w:color="auto" w:fill="auto"/>
        <w:spacing w:line="440" w:lineRule="exact"/>
        <w:ind w:firstLine="546" w:firstLineChars="225"/>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(3)有权解除合同的一方，应当在违约事实或不可抗力发生之后三十天内书面通知对方以主张解除合同，合同在书面通知到达对方时解除。</w:t>
      </w:r>
    </w:p>
    <w:p w14:paraId="59E52066">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19、合同的转让</w:t>
      </w:r>
    </w:p>
    <w:p w14:paraId="3B9B334A">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仿宋" w:hAnsi="仿宋" w:eastAsia="仿宋" w:cs="仿宋"/>
          <w:color w:val="000000"/>
          <w:spacing w:val="0"/>
          <w:w w:val="100"/>
          <w:kern w:val="0"/>
          <w:position w:val="0"/>
          <w:sz w:val="24"/>
          <w:szCs w:val="24"/>
          <w:shd w:val="clear" w:color="auto" w:fill="auto"/>
          <w:lang w:val="en-US" w:eastAsia="en-US" w:bidi="en-US"/>
        </w:rPr>
        <w:t xml:space="preserve">  合同的部分和全部都不得转让。</w:t>
      </w:r>
    </w:p>
    <w:p w14:paraId="4D6D7EE6">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14:paraId="26F9CE3D">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20、合同的生效</w:t>
      </w:r>
    </w:p>
    <w:p w14:paraId="265B5962">
      <w:pPr>
        <w:shd w:val="clear" w:color="auto" w:fill="auto"/>
        <w:spacing w:line="440" w:lineRule="exact"/>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本合同在双方签字盖章并在招标人收到中标人提交的履约保证金后，经招标采购管理部门备案后生效。</w:t>
      </w:r>
    </w:p>
    <w:p w14:paraId="1455B1B7">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14:paraId="24FAFF68">
      <w:pPr>
        <w:shd w:val="clear" w:color="auto" w:fill="auto"/>
        <w:spacing w:line="440" w:lineRule="exact"/>
        <w:ind w:firstLine="243" w:firstLineChars="100"/>
        <w:rPr>
          <w:rFonts w:hint="eastAsia" w:ascii="宋体" w:cs="宋体"/>
          <w:color w:val="auto"/>
          <w:szCs w:val="21"/>
          <w:highlight w:val="none"/>
        </w:rPr>
      </w:pPr>
      <w:r>
        <w:rPr>
          <w:rFonts w:hint="eastAsia" w:ascii="宋体" w:cs="宋体"/>
          <w:color w:val="auto"/>
          <w:szCs w:val="21"/>
          <w:highlight w:val="none"/>
        </w:rPr>
        <w:t>21、争议解决</w:t>
      </w:r>
    </w:p>
    <w:p w14:paraId="3F9BEBE5">
      <w:pPr>
        <w:pStyle w:val="5"/>
        <w:shd w:val="clear" w:color="auto" w:fill="auto"/>
        <w:overflowPunct w:val="0"/>
        <w:spacing w:line="440" w:lineRule="exact"/>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宋体" w:cs="宋体"/>
          <w:color w:val="auto"/>
          <w:sz w:val="21"/>
          <w:szCs w:val="21"/>
          <w:highlight w:val="none"/>
          <w:u w:val="none" w:color="000000"/>
        </w:rPr>
        <w:t xml:space="preserve"> </w:t>
      </w:r>
      <w:r>
        <w:rPr>
          <w:rFonts w:hint="eastAsia" w:ascii="仿宋" w:hAnsi="仿宋" w:eastAsia="仿宋" w:cs="仿宋"/>
          <w:color w:val="000000"/>
          <w:spacing w:val="0"/>
          <w:w w:val="100"/>
          <w:kern w:val="0"/>
          <w:position w:val="0"/>
          <w:sz w:val="24"/>
          <w:szCs w:val="24"/>
          <w:shd w:val="clear" w:color="auto" w:fill="auto"/>
          <w:lang w:val="en-US" w:eastAsia="en-US" w:bidi="en-US"/>
        </w:rPr>
        <w:t>买卖双方因合同发生争议，进行调解，协商不成，可选择：</w:t>
      </w:r>
    </w:p>
    <w:p w14:paraId="3AD40EFB">
      <w:pPr>
        <w:pStyle w:val="5"/>
        <w:shd w:val="clear" w:color="auto" w:fill="auto"/>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(1)双方同时申请仲裁；</w:t>
      </w:r>
    </w:p>
    <w:p w14:paraId="489DBA7D">
      <w:pPr>
        <w:pStyle w:val="5"/>
        <w:shd w:val="clear" w:color="auto" w:fill="auto"/>
        <w:tabs>
          <w:tab w:val="left" w:pos="900"/>
        </w:tabs>
        <w:overflowPunct w:val="0"/>
        <w:spacing w:line="440" w:lineRule="exact"/>
        <w:ind w:firstLine="607" w:firstLineChars="250"/>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(2)向买方所在地人民法院提起诉讼。</w:t>
      </w:r>
    </w:p>
    <w:p w14:paraId="0976238D">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14:paraId="3B38DDCE">
      <w:pPr>
        <w:shd w:val="clear" w:color="auto" w:fill="auto"/>
        <w:spacing w:line="440" w:lineRule="exact"/>
        <w:ind w:firstLine="243" w:firstLineChars="100"/>
        <w:rPr>
          <w:rFonts w:hint="eastAsia" w:ascii="宋体" w:cs="宋体"/>
          <w:color w:val="auto"/>
          <w:szCs w:val="21"/>
          <w:highlight w:val="none"/>
        </w:rPr>
      </w:pPr>
      <w:r>
        <w:rPr>
          <w:rFonts w:hint="eastAsia" w:ascii="宋体" w:cs="宋体"/>
          <w:color w:val="auto"/>
          <w:szCs w:val="21"/>
          <w:highlight w:val="none"/>
        </w:rPr>
        <w:t>22、合同份数。</w:t>
      </w:r>
    </w:p>
    <w:p w14:paraId="49366388">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 xml:space="preserve"> </w:t>
      </w:r>
      <w:r>
        <w:rPr>
          <w:rFonts w:hint="eastAsia" w:ascii="仿宋" w:hAnsi="仿宋" w:eastAsia="仿宋" w:cs="仿宋"/>
          <w:color w:val="000000"/>
          <w:spacing w:val="0"/>
          <w:w w:val="100"/>
          <w:kern w:val="0"/>
          <w:position w:val="0"/>
          <w:sz w:val="24"/>
          <w:szCs w:val="24"/>
          <w:shd w:val="clear" w:color="auto" w:fill="auto"/>
          <w:lang w:val="en-US" w:eastAsia="en-US" w:bidi="en-US"/>
        </w:rPr>
        <w:t xml:space="preserve"> 本合同一式陆份，买卖双方各执二份，招标代理机构一份，招标采购管理部门一份。</w:t>
      </w:r>
    </w:p>
    <w:p w14:paraId="13B41E02">
      <w:pPr>
        <w:shd w:val="clear" w:color="auto" w:fill="auto"/>
        <w:spacing w:line="440" w:lineRule="exact"/>
        <w:ind w:firstLine="243" w:firstLineChars="100"/>
        <w:rPr>
          <w:rFonts w:hint="eastAsia" w:ascii="宋体" w:cs="宋体"/>
          <w:color w:val="auto"/>
          <w:szCs w:val="21"/>
          <w:highlight w:val="none"/>
        </w:rPr>
      </w:pPr>
      <w:r>
        <w:rPr>
          <w:rFonts w:hint="eastAsia" w:ascii="宋体" w:cs="宋体"/>
          <w:color w:val="auto"/>
          <w:szCs w:val="21"/>
          <w:highlight w:val="none"/>
        </w:rPr>
        <w:t>23、未尽事宜</w:t>
      </w:r>
    </w:p>
    <w:p w14:paraId="3FE017A2">
      <w:pPr>
        <w:shd w:val="clear" w:color="auto" w:fill="auto"/>
        <w:spacing w:line="440" w:lineRule="exact"/>
        <w:rPr>
          <w:rFonts w:hint="eastAsia" w:ascii="仿宋" w:hAnsi="仿宋" w:eastAsia="仿宋" w:cs="仿宋"/>
          <w:color w:val="000000"/>
          <w:spacing w:val="0"/>
          <w:w w:val="100"/>
          <w:kern w:val="0"/>
          <w:position w:val="0"/>
          <w:sz w:val="24"/>
          <w:szCs w:val="24"/>
          <w:shd w:val="clear" w:color="auto" w:fill="auto"/>
          <w:lang w:val="en-US" w:eastAsia="en-US" w:bidi="en-US"/>
        </w:rPr>
      </w:pPr>
      <w:r>
        <w:rPr>
          <w:rFonts w:hint="eastAsia" w:ascii="仿宋" w:hAnsi="仿宋" w:eastAsia="仿宋" w:cs="仿宋"/>
          <w:color w:val="000000"/>
          <w:spacing w:val="0"/>
          <w:w w:val="100"/>
          <w:kern w:val="0"/>
          <w:position w:val="0"/>
          <w:sz w:val="24"/>
          <w:szCs w:val="24"/>
          <w:shd w:val="clear" w:color="auto" w:fill="auto"/>
          <w:lang w:val="en-US" w:eastAsia="en-US" w:bidi="en-US"/>
        </w:rPr>
        <w:t>本合同未尽事宜应按《中华人民共和国政府采购法》、《中华人民共和国合同法》、《中华人民共和国产品质量法》之规定解释。</w:t>
      </w:r>
    </w:p>
    <w:p w14:paraId="03234042">
      <w:pPr>
        <w:shd w:val="clear" w:color="auto" w:fill="auto"/>
        <w:spacing w:line="440" w:lineRule="exact"/>
        <w:rPr>
          <w:rFonts w:hint="eastAsia" w:ascii="仿宋" w:hAnsi="仿宋" w:eastAsia="仿宋" w:cs="仿宋"/>
          <w:color w:val="000000"/>
          <w:spacing w:val="0"/>
          <w:w w:val="100"/>
          <w:kern w:val="0"/>
          <w:position w:val="0"/>
          <w:sz w:val="24"/>
          <w:szCs w:val="24"/>
          <w:shd w:val="clear" w:color="auto" w:fill="auto"/>
          <w:lang w:val="en-US" w:eastAsia="zh-CN" w:bidi="en-US"/>
        </w:rPr>
      </w:pPr>
    </w:p>
    <w:p w14:paraId="5E977244">
      <w:pPr>
        <w:pStyle w:val="24"/>
        <w:ind w:left="0" w:leftChars="0" w:firstLine="0" w:firstLineChars="0"/>
        <w:rPr>
          <w:rFonts w:hint="eastAsia"/>
          <w:lang w:val="en-US" w:eastAsia="zh-CN"/>
        </w:rPr>
      </w:pPr>
    </w:p>
    <w:p w14:paraId="6BC3F1E5">
      <w:pPr>
        <w:pStyle w:val="31"/>
        <w:keepNext/>
        <w:keepLines/>
        <w:widowControl w:val="0"/>
        <w:numPr>
          <w:ilvl w:val="0"/>
          <w:numId w:val="0"/>
        </w:numPr>
        <w:shd w:val="clear" w:color="auto" w:fill="auto"/>
        <w:bidi w:val="0"/>
        <w:spacing w:before="0" w:after="1160" w:line="240" w:lineRule="auto"/>
        <w:ind w:right="0" w:rightChars="0"/>
        <w:jc w:val="center"/>
        <w:outlineLvl w:val="1"/>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14:paraId="0FED651D">
      <w:pPr>
        <w:pStyle w:val="31"/>
        <w:keepNext/>
        <w:keepLines/>
        <w:widowControl w:val="0"/>
        <w:numPr>
          <w:ilvl w:val="0"/>
          <w:numId w:val="0"/>
        </w:numPr>
        <w:shd w:val="clear" w:color="auto" w:fill="auto"/>
        <w:bidi w:val="0"/>
        <w:spacing w:before="0" w:after="1160" w:line="240" w:lineRule="auto"/>
        <w:ind w:right="0" w:rightChars="0"/>
        <w:jc w:val="center"/>
        <w:outlineLvl w:val="1"/>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14:paraId="59027CB4">
      <w:pPr>
        <w:pStyle w:val="31"/>
        <w:keepNext/>
        <w:keepLines/>
        <w:widowControl w:val="0"/>
        <w:numPr>
          <w:ilvl w:val="0"/>
          <w:numId w:val="0"/>
        </w:numPr>
        <w:shd w:val="clear" w:color="auto" w:fill="auto"/>
        <w:bidi w:val="0"/>
        <w:spacing w:before="0" w:after="1160" w:line="240" w:lineRule="auto"/>
        <w:ind w:right="0" w:rightChars="0"/>
        <w:jc w:val="center"/>
        <w:outlineLvl w:val="1"/>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pPr>
    </w:p>
    <w:p w14:paraId="03B4F044">
      <w:pPr>
        <w:pStyle w:val="31"/>
        <w:keepNext/>
        <w:keepLines/>
        <w:widowControl w:val="0"/>
        <w:numPr>
          <w:ilvl w:val="0"/>
          <w:numId w:val="0"/>
        </w:numPr>
        <w:shd w:val="clear" w:color="auto" w:fill="auto"/>
        <w:bidi w:val="0"/>
        <w:spacing w:before="0" w:after="1160" w:line="240" w:lineRule="auto"/>
        <w:ind w:right="0" w:rightChars="0"/>
        <w:jc w:val="center"/>
        <w:outlineLvl w:val="1"/>
        <w:rPr>
          <w:rFonts w:hint="default" w:ascii="仿宋" w:hAnsi="仿宋" w:eastAsia="仿宋" w:cs="仿宋"/>
          <w:b/>
          <w:bCs/>
          <w:color w:val="000000" w:themeColor="text1"/>
          <w:spacing w:val="0"/>
          <w:w w:val="100"/>
          <w:position w:val="0"/>
          <w:sz w:val="36"/>
          <w:szCs w:val="36"/>
          <w:lang w:val="en-US" w:eastAsia="zh-CN"/>
          <w14:textFill>
            <w14:solidFill>
              <w14:schemeClr w14:val="tx1"/>
            </w14:solidFill>
          </w14:textFill>
        </w:rPr>
      </w:pPr>
      <w:r>
        <w:rPr>
          <w:rFonts w:hint="eastAsia" w:ascii="仿宋" w:hAnsi="仿宋" w:eastAsia="仿宋" w:cs="仿宋"/>
          <w:b/>
          <w:bCs/>
          <w:color w:val="000000" w:themeColor="text1"/>
          <w:spacing w:val="0"/>
          <w:w w:val="100"/>
          <w:position w:val="0"/>
          <w:sz w:val="36"/>
          <w:szCs w:val="36"/>
          <w:lang w:val="en-US" w:eastAsia="zh-CN"/>
          <w14:textFill>
            <w14:solidFill>
              <w14:schemeClr w14:val="tx1"/>
            </w14:solidFill>
          </w14:textFill>
        </w:rPr>
        <w:t>第六部分  投标文件格式</w:t>
      </w:r>
    </w:p>
    <w:p w14:paraId="0E37F9D9">
      <w:pPr>
        <w:adjustRightInd w:val="0"/>
        <w:snapToGrid w:val="0"/>
        <w:spacing w:line="360" w:lineRule="auto"/>
        <w:ind w:left="602" w:right="70" w:hanging="602"/>
        <w:jc w:val="right"/>
        <w:rPr>
          <w:rFonts w:hint="eastAsia" w:ascii="仿宋" w:hAnsi="仿宋" w:eastAsia="仿宋" w:cs="仿宋"/>
          <w:b/>
          <w:caps/>
          <w:color w:val="000000" w:themeColor="text1"/>
          <w:sz w:val="24"/>
          <w:szCs w:val="24"/>
          <w14:textFill>
            <w14:solidFill>
              <w14:schemeClr w14:val="tx1"/>
            </w14:solidFill>
          </w14:textFill>
        </w:rPr>
      </w:pPr>
      <w:bookmarkStart w:id="85" w:name="bookmark196"/>
      <w:r>
        <w:rPr>
          <w:rFonts w:hint="eastAsia" w:ascii="仿宋" w:hAnsi="仿宋" w:eastAsia="仿宋" w:cs="仿宋"/>
          <w:b/>
          <w:bCs/>
          <w:color w:val="000000" w:themeColor="text1"/>
          <w:sz w:val="28"/>
          <w:szCs w:val="28"/>
          <w:bdr w:val="single" w:color="auto" w:sz="4" w:space="0"/>
          <w14:textFill>
            <w14:solidFill>
              <w14:schemeClr w14:val="tx1"/>
            </w14:solidFill>
          </w14:textFill>
        </w:rPr>
        <w:t>正/副 本</w:t>
      </w:r>
    </w:p>
    <w:p w14:paraId="729D77E2">
      <w:pPr>
        <w:adjustRightInd w:val="0"/>
        <w:snapToGrid w:val="0"/>
        <w:spacing w:line="360" w:lineRule="auto"/>
        <w:jc w:val="center"/>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caps/>
          <w:color w:val="000000" w:themeColor="text1"/>
          <w:sz w:val="32"/>
          <w:szCs w:val="32"/>
          <w14:textFill>
            <w14:solidFill>
              <w14:schemeClr w14:val="tx1"/>
            </w14:solidFill>
          </w14:textFill>
        </w:rPr>
        <w:t>（项目名称）</w:t>
      </w:r>
    </w:p>
    <w:p w14:paraId="1A17CB93">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14:paraId="003E2660">
      <w:pPr>
        <w:adjustRightInd w:val="0"/>
        <w:snapToGrid w:val="0"/>
        <w:spacing w:line="360" w:lineRule="auto"/>
        <w:jc w:val="center"/>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14:paraId="4DDB94B1">
      <w:pPr>
        <w:adjustRightInd w:val="0"/>
        <w:snapToGrid w:val="0"/>
        <w:spacing w:line="360" w:lineRule="auto"/>
        <w:jc w:val="both"/>
        <w:rPr>
          <w:rFonts w:hint="eastAsia" w:ascii="仿宋" w:hAnsi="仿宋" w:eastAsia="仿宋" w:cs="仿宋"/>
          <w:bCs/>
          <w:color w:val="000000" w:themeColor="text1"/>
          <w:sz w:val="32"/>
          <w:szCs w:val="32"/>
          <w14:textFill>
            <w14:solidFill>
              <w14:schemeClr w14:val="tx1"/>
            </w14:solidFill>
          </w14:textFill>
        </w:rPr>
      </w:pPr>
    </w:p>
    <w:p w14:paraId="6AC6705E">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91"/>
          <w:kern w:val="0"/>
          <w:sz w:val="28"/>
          <w:szCs w:val="28"/>
          <w:fitText w:val="2810" w:id="1470909418"/>
          <w:lang w:val="en-US" w:eastAsia="zh-CN"/>
          <w14:textFill>
            <w14:solidFill>
              <w14:schemeClr w14:val="tx1"/>
            </w14:solidFill>
          </w14:textFill>
        </w:rPr>
        <w:t>投标单位</w:t>
      </w:r>
      <w:r>
        <w:rPr>
          <w:rFonts w:hint="eastAsia" w:ascii="仿宋" w:hAnsi="仿宋" w:eastAsia="仿宋" w:cs="仿宋"/>
          <w:b/>
          <w:caps/>
          <w:color w:val="000000" w:themeColor="text1"/>
          <w:spacing w:val="0"/>
          <w:w w:val="91"/>
          <w:kern w:val="0"/>
          <w:sz w:val="28"/>
          <w:szCs w:val="28"/>
          <w:fitText w:val="2810" w:id="1470909418"/>
          <w14:textFill>
            <w14:solidFill>
              <w14:schemeClr w14:val="tx1"/>
            </w14:solidFill>
          </w14:textFill>
        </w:rPr>
        <w:t>名称（公章）</w:t>
      </w:r>
      <w:r>
        <w:rPr>
          <w:rFonts w:hint="eastAsia" w:ascii="仿宋" w:hAnsi="仿宋" w:eastAsia="仿宋" w:cs="仿宋"/>
          <w:b/>
          <w:caps/>
          <w:color w:val="000000" w:themeColor="text1"/>
          <w:spacing w:val="-4"/>
          <w:w w:val="91"/>
          <w:kern w:val="0"/>
          <w:sz w:val="28"/>
          <w:szCs w:val="28"/>
          <w:fitText w:val="2810" w:id="1470909418"/>
          <w14:textFill>
            <w14:solidFill>
              <w14:schemeClr w14:val="tx1"/>
            </w14:solidFill>
          </w14:textFill>
        </w:rPr>
        <w:t>：</w:t>
      </w:r>
    </w:p>
    <w:p w14:paraId="1E765586">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12E3E737">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法定代表人（</w:t>
      </w: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签章</w:t>
      </w:r>
      <w:r>
        <w:rPr>
          <w:rFonts w:hint="eastAsia" w:ascii="仿宋" w:hAnsi="仿宋" w:eastAsia="仿宋" w:cs="仿宋"/>
          <w:b/>
          <w:caps/>
          <w:color w:val="000000" w:themeColor="text1"/>
          <w:spacing w:val="0"/>
          <w:w w:val="77"/>
          <w:kern w:val="0"/>
          <w:sz w:val="28"/>
          <w:szCs w:val="28"/>
          <w:fitText w:val="2810" w:id="1"/>
          <w14:textFill>
            <w14:solidFill>
              <w14:schemeClr w14:val="tx1"/>
            </w14:solidFill>
          </w14:textFill>
        </w:rPr>
        <w:t>或盖章）</w:t>
      </w:r>
      <w:r>
        <w:rPr>
          <w:rFonts w:hint="eastAsia" w:ascii="仿宋" w:hAnsi="仿宋" w:eastAsia="仿宋" w:cs="仿宋"/>
          <w:b/>
          <w:caps/>
          <w:color w:val="000000" w:themeColor="text1"/>
          <w:spacing w:val="-1"/>
          <w:w w:val="77"/>
          <w:kern w:val="0"/>
          <w:sz w:val="28"/>
          <w:szCs w:val="28"/>
          <w:fitText w:val="2810" w:id="1"/>
          <w14:textFill>
            <w14:solidFill>
              <w14:schemeClr w14:val="tx1"/>
            </w14:solidFill>
          </w14:textFill>
        </w:rPr>
        <w:t>：</w:t>
      </w:r>
    </w:p>
    <w:p w14:paraId="4A15082B">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56F4C278">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70"/>
          <w:kern w:val="0"/>
          <w:sz w:val="28"/>
          <w:szCs w:val="28"/>
          <w:fitText w:val="2810" w:id="2"/>
          <w:lang w:val="en-US" w:eastAsia="zh-CN"/>
          <w14:textFill>
            <w14:solidFill>
              <w14:schemeClr w14:val="tx1"/>
            </w14:solidFill>
          </w14:textFill>
        </w:rPr>
        <w:t>投标单位</w:t>
      </w:r>
      <w:r>
        <w:rPr>
          <w:rFonts w:hint="eastAsia" w:ascii="仿宋" w:hAnsi="仿宋" w:eastAsia="仿宋" w:cs="仿宋"/>
          <w:b/>
          <w:caps/>
          <w:color w:val="000000" w:themeColor="text1"/>
          <w:spacing w:val="70"/>
          <w:kern w:val="0"/>
          <w:sz w:val="28"/>
          <w:szCs w:val="28"/>
          <w:fitText w:val="2810" w:id="2"/>
          <w14:textFill>
            <w14:solidFill>
              <w14:schemeClr w14:val="tx1"/>
            </w14:solidFill>
          </w14:textFill>
        </w:rPr>
        <w:t>地址</w:t>
      </w:r>
      <w:r>
        <w:rPr>
          <w:rFonts w:hint="eastAsia" w:ascii="仿宋" w:hAnsi="仿宋" w:eastAsia="仿宋" w:cs="仿宋"/>
          <w:b/>
          <w:caps/>
          <w:color w:val="000000" w:themeColor="text1"/>
          <w:spacing w:val="5"/>
          <w:kern w:val="0"/>
          <w:sz w:val="28"/>
          <w:szCs w:val="28"/>
          <w:fitText w:val="2810" w:id="2"/>
          <w14:textFill>
            <w14:solidFill>
              <w14:schemeClr w14:val="tx1"/>
            </w14:solidFill>
          </w14:textFill>
        </w:rPr>
        <w:t>：</w:t>
      </w:r>
    </w:p>
    <w:p w14:paraId="3EE785E5">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0555F1F3">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14:textFill>
            <w14:solidFill>
              <w14:schemeClr w14:val="tx1"/>
            </w14:solidFill>
          </w14:textFill>
        </w:rPr>
        <w:t>：</w:t>
      </w:r>
    </w:p>
    <w:p w14:paraId="6BB4A1A4">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p>
    <w:p w14:paraId="33BF2BF0">
      <w:pPr>
        <w:adjustRightInd w:val="0"/>
        <w:snapToGrid w:val="0"/>
        <w:spacing w:line="360" w:lineRule="auto"/>
        <w:ind w:right="-155" w:rightChars="-64"/>
        <w:rPr>
          <w:rFonts w:hint="eastAsia" w:ascii="仿宋" w:hAnsi="仿宋" w:eastAsia="仿宋" w:cs="仿宋"/>
          <w:b/>
          <w:caps/>
          <w:color w:val="000000" w:themeColor="text1"/>
          <w:sz w:val="28"/>
          <w:szCs w:val="28"/>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14:textFill>
            <w14:solidFill>
              <w14:schemeClr w14:val="tx1"/>
            </w14:solidFill>
          </w14:textFill>
        </w:rPr>
        <w:t>：</w:t>
      </w:r>
    </w:p>
    <w:p w14:paraId="0403D267">
      <w:pPr>
        <w:adjustRightInd w:val="0"/>
        <w:snapToGrid w:val="0"/>
        <w:spacing w:line="360" w:lineRule="auto"/>
        <w:jc w:val="center"/>
        <w:rPr>
          <w:rFonts w:hint="eastAsia" w:ascii="仿宋" w:hAnsi="仿宋" w:eastAsia="仿宋" w:cs="仿宋"/>
          <w:b/>
          <w:caps/>
          <w:color w:val="000000" w:themeColor="text1"/>
          <w:sz w:val="28"/>
          <w:szCs w:val="28"/>
          <w14:textFill>
            <w14:solidFill>
              <w14:schemeClr w14:val="tx1"/>
            </w14:solidFill>
          </w14:textFill>
        </w:rPr>
      </w:pPr>
    </w:p>
    <w:p w14:paraId="074BB645">
      <w:pPr>
        <w:adjustRightInd w:val="0"/>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_年__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_月__</w:t>
      </w:r>
      <w:r>
        <w:rPr>
          <w:rFonts w:hint="eastAsia" w:ascii="仿宋" w:hAnsi="仿宋" w:eastAsia="仿宋" w:cs="仿宋"/>
          <w:b/>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_日</w:t>
      </w:r>
    </w:p>
    <w:p w14:paraId="1BA4C91B">
      <w:pPr>
        <w:pStyle w:val="33"/>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000000" w:themeColor="text1"/>
          <w:spacing w:val="0"/>
          <w:w w:val="100"/>
          <w:position w:val="0"/>
          <w14:textFill>
            <w14:solidFill>
              <w14:schemeClr w14:val="tx1"/>
            </w14:solidFill>
          </w14:textFill>
        </w:rPr>
      </w:pPr>
    </w:p>
    <w:bookmarkEnd w:id="85"/>
    <w:p w14:paraId="752B9F27">
      <w:pPr>
        <w:pStyle w:val="3"/>
        <w:numPr>
          <w:ilvl w:val="0"/>
          <w:numId w:val="0"/>
        </w:numPr>
        <w:shd w:val="clear" w:color="auto" w:fill="auto"/>
        <w:spacing w:before="0" w:line="240" w:lineRule="atLeast"/>
        <w:jc w:val="both"/>
        <w:rPr>
          <w:rFonts w:hint="eastAsia" w:ascii="仿宋" w:hAnsi="仿宋" w:eastAsia="仿宋" w:cs="仿宋"/>
          <w:b/>
          <w:bCs/>
          <w:color w:val="000000" w:themeColor="text1"/>
          <w:sz w:val="32"/>
          <w:szCs w:val="32"/>
          <w:highlight w:val="none"/>
          <w14:textFill>
            <w14:solidFill>
              <w14:schemeClr w14:val="tx1"/>
            </w14:solidFill>
          </w14:textFill>
        </w:rPr>
      </w:pPr>
      <w:bookmarkStart w:id="86" w:name="_Toc515647803"/>
      <w:bookmarkStart w:id="87" w:name="_Toc18694"/>
      <w:bookmarkStart w:id="88" w:name="_Toc18974"/>
      <w:bookmarkStart w:id="89" w:name="_Toc8919"/>
    </w:p>
    <w:p w14:paraId="4077594D">
      <w:pPr>
        <w:rPr>
          <w:rFonts w:hint="eastAsia"/>
        </w:rPr>
      </w:pPr>
    </w:p>
    <w:p w14:paraId="3976EBF5">
      <w:pPr>
        <w:rPr>
          <w:rFonts w:hint="eastAsia" w:ascii="仿宋" w:hAnsi="仿宋" w:eastAsia="仿宋" w:cs="仿宋"/>
          <w:b/>
          <w:bCs/>
          <w:color w:val="000000" w:themeColor="text1"/>
          <w:sz w:val="32"/>
          <w:szCs w:val="32"/>
          <w:highlight w:val="none"/>
          <w14:textFill>
            <w14:solidFill>
              <w14:schemeClr w14:val="tx1"/>
            </w14:solidFill>
          </w14:textFill>
        </w:rPr>
      </w:pPr>
    </w:p>
    <w:p w14:paraId="3AF050A0">
      <w:pPr>
        <w:rPr>
          <w:rFonts w:hint="eastAsia" w:ascii="仿宋" w:hAnsi="仿宋" w:eastAsia="仿宋" w:cs="仿宋"/>
          <w:b/>
          <w:bCs/>
          <w:color w:val="000000" w:themeColor="text1"/>
          <w:sz w:val="32"/>
          <w:szCs w:val="32"/>
          <w:highlight w:val="none"/>
          <w14:textFill>
            <w14:solidFill>
              <w14:schemeClr w14:val="tx1"/>
            </w14:solidFill>
          </w14:textFill>
        </w:rPr>
      </w:pPr>
    </w:p>
    <w:p w14:paraId="469DBFBA">
      <w:pPr>
        <w:rPr>
          <w:rFonts w:hint="eastAsia" w:ascii="仿宋" w:hAnsi="仿宋" w:eastAsia="仿宋" w:cs="仿宋"/>
          <w:b/>
          <w:bCs/>
          <w:color w:val="000000" w:themeColor="text1"/>
          <w:sz w:val="32"/>
          <w:szCs w:val="32"/>
          <w:highlight w:val="none"/>
          <w14:textFill>
            <w14:solidFill>
              <w14:schemeClr w14:val="tx1"/>
            </w14:solidFill>
          </w14:textFill>
        </w:rPr>
      </w:pPr>
    </w:p>
    <w:p w14:paraId="43B650BC">
      <w:pPr>
        <w:rPr>
          <w:rFonts w:hint="eastAsia" w:ascii="仿宋" w:hAnsi="仿宋" w:eastAsia="仿宋" w:cs="仿宋"/>
          <w:b/>
          <w:bCs/>
          <w:color w:val="000000" w:themeColor="text1"/>
          <w:sz w:val="32"/>
          <w:szCs w:val="32"/>
          <w:highlight w:val="none"/>
          <w14:textFill>
            <w14:solidFill>
              <w14:schemeClr w14:val="tx1"/>
            </w14:solidFill>
          </w14:textFill>
        </w:rPr>
      </w:pPr>
    </w:p>
    <w:p w14:paraId="2D19872E">
      <w:pPr>
        <w:rPr>
          <w:rFonts w:hint="eastAsia" w:ascii="仿宋" w:hAnsi="仿宋" w:eastAsia="仿宋" w:cs="仿宋"/>
          <w:b/>
          <w:bCs/>
          <w:color w:val="000000" w:themeColor="text1"/>
          <w:sz w:val="32"/>
          <w:szCs w:val="32"/>
          <w:highlight w:val="none"/>
          <w14:textFill>
            <w14:solidFill>
              <w14:schemeClr w14:val="tx1"/>
            </w14:solidFill>
          </w14:textFill>
        </w:rPr>
      </w:pPr>
    </w:p>
    <w:p w14:paraId="70B82956">
      <w:pPr>
        <w:rPr>
          <w:rFonts w:hint="eastAsia" w:ascii="仿宋" w:hAnsi="仿宋" w:eastAsia="仿宋" w:cs="仿宋"/>
          <w:b/>
          <w:bCs/>
          <w:color w:val="000000" w:themeColor="text1"/>
          <w:sz w:val="32"/>
          <w:szCs w:val="32"/>
          <w:highlight w:val="none"/>
          <w14:textFill>
            <w14:solidFill>
              <w14:schemeClr w14:val="tx1"/>
            </w14:solidFill>
          </w14:textFill>
        </w:rPr>
      </w:pPr>
    </w:p>
    <w:p w14:paraId="106F542C">
      <w:pPr>
        <w:rPr>
          <w:rFonts w:hint="eastAsia" w:ascii="仿宋" w:hAnsi="仿宋" w:eastAsia="仿宋" w:cs="仿宋"/>
          <w:b/>
          <w:bCs/>
          <w:color w:val="000000" w:themeColor="text1"/>
          <w:sz w:val="32"/>
          <w:szCs w:val="32"/>
          <w:highlight w:val="none"/>
          <w14:textFill>
            <w14:solidFill>
              <w14:schemeClr w14:val="tx1"/>
            </w14:solidFill>
          </w14:textFill>
        </w:rPr>
      </w:pPr>
    </w:p>
    <w:p w14:paraId="3B10461C">
      <w:pPr>
        <w:rPr>
          <w:rFonts w:hint="eastAsia" w:ascii="仿宋" w:hAnsi="仿宋" w:eastAsia="仿宋" w:cs="仿宋"/>
          <w:b/>
          <w:bCs/>
          <w:color w:val="000000" w:themeColor="text1"/>
          <w:sz w:val="32"/>
          <w:szCs w:val="32"/>
          <w:highlight w:val="none"/>
          <w14:textFill>
            <w14:solidFill>
              <w14:schemeClr w14:val="tx1"/>
            </w14:solidFill>
          </w14:textFill>
        </w:rPr>
      </w:pPr>
    </w:p>
    <w:p w14:paraId="0281FE74">
      <w:pPr>
        <w:rPr>
          <w:rFonts w:hint="eastAsia" w:ascii="仿宋" w:hAnsi="仿宋" w:eastAsia="仿宋" w:cs="仿宋"/>
          <w:b/>
          <w:bCs/>
          <w:color w:val="000000" w:themeColor="text1"/>
          <w:sz w:val="32"/>
          <w:szCs w:val="32"/>
          <w:highlight w:val="none"/>
          <w14:textFill>
            <w14:solidFill>
              <w14:schemeClr w14:val="tx1"/>
            </w14:solidFill>
          </w14:textFill>
        </w:rPr>
      </w:pPr>
    </w:p>
    <w:p w14:paraId="10B89104">
      <w:pPr>
        <w:rPr>
          <w:rFonts w:hint="eastAsia" w:ascii="仿宋" w:hAnsi="仿宋" w:eastAsia="仿宋" w:cs="仿宋"/>
          <w:b/>
          <w:bCs/>
          <w:color w:val="000000" w:themeColor="text1"/>
          <w:sz w:val="32"/>
          <w:szCs w:val="32"/>
          <w:highlight w:val="none"/>
          <w14:textFill>
            <w14:solidFill>
              <w14:schemeClr w14:val="tx1"/>
            </w14:solidFill>
          </w14:textFill>
        </w:rPr>
      </w:pPr>
    </w:p>
    <w:p w14:paraId="32F94453">
      <w:pPr>
        <w:rPr>
          <w:rFonts w:hint="eastAsia" w:ascii="仿宋" w:hAnsi="仿宋" w:eastAsia="仿宋" w:cs="仿宋"/>
          <w:b/>
          <w:bCs/>
          <w:color w:val="000000" w:themeColor="text1"/>
          <w:sz w:val="32"/>
          <w:szCs w:val="32"/>
          <w:highlight w:val="none"/>
          <w14:textFill>
            <w14:solidFill>
              <w14:schemeClr w14:val="tx1"/>
            </w14:solidFill>
          </w14:textFill>
        </w:rPr>
      </w:pPr>
    </w:p>
    <w:p w14:paraId="3EFFCAD6">
      <w:pPr>
        <w:rPr>
          <w:rFonts w:hint="eastAsia" w:ascii="仿宋" w:hAnsi="仿宋" w:eastAsia="仿宋" w:cs="仿宋"/>
          <w:b/>
          <w:bCs/>
          <w:color w:val="000000" w:themeColor="text1"/>
          <w:sz w:val="32"/>
          <w:szCs w:val="32"/>
          <w:highlight w:val="none"/>
          <w14:textFill>
            <w14:solidFill>
              <w14:schemeClr w14:val="tx1"/>
            </w14:solidFill>
          </w14:textFill>
        </w:rPr>
      </w:pPr>
    </w:p>
    <w:p w14:paraId="6B89DDF1">
      <w:pPr>
        <w:rPr>
          <w:rFonts w:hint="eastAsia" w:ascii="仿宋" w:hAnsi="仿宋" w:eastAsia="仿宋" w:cs="仿宋"/>
          <w:b/>
          <w:bCs/>
          <w:color w:val="000000" w:themeColor="text1"/>
          <w:sz w:val="32"/>
          <w:szCs w:val="32"/>
          <w:highlight w:val="none"/>
          <w14:textFill>
            <w14:solidFill>
              <w14:schemeClr w14:val="tx1"/>
            </w14:solidFill>
          </w14:textFill>
        </w:rPr>
      </w:pPr>
    </w:p>
    <w:p w14:paraId="1BB64088">
      <w:pPr>
        <w:rPr>
          <w:rFonts w:hint="eastAsia" w:ascii="仿宋" w:hAnsi="仿宋" w:eastAsia="仿宋" w:cs="仿宋"/>
          <w:b/>
          <w:bCs/>
          <w:color w:val="000000" w:themeColor="text1"/>
          <w:sz w:val="32"/>
          <w:szCs w:val="32"/>
          <w:highlight w:val="none"/>
          <w14:textFill>
            <w14:solidFill>
              <w14:schemeClr w14:val="tx1"/>
            </w14:solidFill>
          </w14:textFill>
        </w:rPr>
      </w:pPr>
    </w:p>
    <w:p w14:paraId="70655B2E">
      <w:pPr>
        <w:pStyle w:val="7"/>
        <w:numPr>
          <w:ilvl w:val="0"/>
          <w:numId w:val="0"/>
        </w:numPr>
        <w:ind w:leftChars="0" w:right="0" w:rightChars="0"/>
        <w:rPr>
          <w:rFonts w:hint="eastAsia"/>
        </w:rPr>
      </w:pPr>
    </w:p>
    <w:p w14:paraId="4B56F3F8">
      <w:pPr>
        <w:pStyle w:val="3"/>
        <w:numPr>
          <w:ilvl w:val="0"/>
          <w:numId w:val="0"/>
        </w:numPr>
        <w:shd w:val="clear" w:color="auto" w:fill="auto"/>
        <w:spacing w:before="0" w:line="240" w:lineRule="atLeas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第一</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章节</w:t>
      </w:r>
      <w:r>
        <w:rPr>
          <w:rFonts w:hint="eastAsia" w:ascii="仿宋" w:hAnsi="仿宋" w:eastAsia="仿宋" w:cs="仿宋"/>
          <w:b/>
          <w:bCs/>
          <w:color w:val="000000" w:themeColor="text1"/>
          <w:sz w:val="32"/>
          <w:szCs w:val="32"/>
          <w:highlight w:val="none"/>
          <w14:textFill>
            <w14:solidFill>
              <w14:schemeClr w14:val="tx1"/>
            </w14:solidFill>
          </w14:textFill>
        </w:rPr>
        <w:t xml:space="preserve"> 资格证明文件</w:t>
      </w:r>
      <w:bookmarkEnd w:id="86"/>
      <w:bookmarkEnd w:id="87"/>
      <w:bookmarkEnd w:id="88"/>
      <w:bookmarkEnd w:id="89"/>
    </w:p>
    <w:p w14:paraId="05C2E657">
      <w:pPr>
        <w:shd w:val="clear" w:color="auto" w:fill="auto"/>
        <w:spacing w:line="240" w:lineRule="atLeast"/>
        <w:ind w:left="708" w:hanging="716" w:hangingChars="295"/>
        <w:jc w:val="center"/>
        <w:rPr>
          <w:rFonts w:hint="eastAsia" w:ascii="仿宋" w:hAnsi="仿宋" w:eastAsia="仿宋" w:cs="仿宋"/>
          <w:color w:val="auto"/>
          <w:sz w:val="24"/>
          <w:highlight w:val="none"/>
        </w:rPr>
      </w:pPr>
    </w:p>
    <w:p w14:paraId="2C3E19BF">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1、具备有效的营业执照;</w:t>
      </w:r>
    </w:p>
    <w:p w14:paraId="1584972F">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2、法定代表人投标需提供法定代表人资格证明书，委托代理人投标需提供法定代表人授权委托书；</w:t>
      </w:r>
    </w:p>
    <w:p w14:paraId="6F07B7CC">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3、提供法人或委托代理人近6个月任意一个月有效社保证明和完税证明；</w:t>
      </w:r>
    </w:p>
    <w:p w14:paraId="7727253E">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4、参加采购活动前三年内，未被“信用中国”（www.creditchina.gov.cn）、“中国政府采购网”（www.ccgp.gov.cn）列入失信被执行人、重大税收违法案件当事人名单、政府采购严重违法失信行为记录名单</w:t>
      </w:r>
    </w:p>
    <w:p w14:paraId="7EAA1553">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5、供应商具备有效的《中华人民共和国金融许可证》或《金融机构营业许可证》。</w:t>
      </w:r>
    </w:p>
    <w:p w14:paraId="6D6A2DC8">
      <w:pPr>
        <w:shd w:val="clear" w:color="auto" w:fill="auto"/>
        <w:spacing w:line="440" w:lineRule="exact"/>
        <w:ind w:firstLine="356"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6、投标人须知资料表要求的其他资格证明文件。</w:t>
      </w:r>
    </w:p>
    <w:p w14:paraId="133C47D4">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74B181E9">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p>
    <w:p w14:paraId="19C4D0C9">
      <w:pPr>
        <w:rPr>
          <w:rFonts w:hint="eastAsia" w:ascii="仿宋" w:hAnsi="仿宋" w:eastAsia="仿宋" w:cs="仿宋"/>
          <w:b/>
          <w:bCs/>
          <w:color w:val="auto"/>
          <w:sz w:val="36"/>
          <w:szCs w:val="36"/>
        </w:rPr>
      </w:pPr>
    </w:p>
    <w:p w14:paraId="0D4356B5">
      <w:pPr>
        <w:rPr>
          <w:rFonts w:hint="eastAsia" w:ascii="仿宋" w:hAnsi="仿宋" w:eastAsia="仿宋" w:cs="仿宋"/>
          <w:b/>
          <w:bCs/>
          <w:color w:val="auto"/>
          <w:sz w:val="36"/>
          <w:szCs w:val="36"/>
        </w:rPr>
      </w:pPr>
    </w:p>
    <w:p w14:paraId="54F74CEF">
      <w:pPr>
        <w:rPr>
          <w:rFonts w:hint="eastAsia" w:ascii="仿宋" w:hAnsi="仿宋" w:eastAsia="仿宋" w:cs="仿宋"/>
          <w:b/>
          <w:bCs/>
          <w:color w:val="auto"/>
          <w:sz w:val="36"/>
          <w:szCs w:val="36"/>
        </w:rPr>
      </w:pPr>
    </w:p>
    <w:p w14:paraId="1AA9BB65">
      <w:pPr>
        <w:rPr>
          <w:rFonts w:hint="eastAsia" w:ascii="仿宋" w:hAnsi="仿宋" w:eastAsia="仿宋" w:cs="仿宋"/>
          <w:b/>
          <w:bCs/>
          <w:color w:val="auto"/>
          <w:sz w:val="36"/>
          <w:szCs w:val="36"/>
        </w:rPr>
      </w:pPr>
    </w:p>
    <w:p w14:paraId="1112D2EA">
      <w:pPr>
        <w:rPr>
          <w:rFonts w:hint="eastAsia" w:ascii="仿宋" w:hAnsi="仿宋" w:eastAsia="仿宋" w:cs="仿宋"/>
          <w:b/>
          <w:bCs/>
          <w:color w:val="auto"/>
          <w:sz w:val="36"/>
          <w:szCs w:val="36"/>
        </w:rPr>
      </w:pPr>
    </w:p>
    <w:p w14:paraId="2B6A62E5">
      <w:pPr>
        <w:rPr>
          <w:rFonts w:hint="eastAsia" w:ascii="仿宋" w:hAnsi="仿宋" w:eastAsia="仿宋" w:cs="仿宋"/>
          <w:b/>
          <w:bCs/>
          <w:color w:val="auto"/>
          <w:sz w:val="36"/>
          <w:szCs w:val="36"/>
        </w:rPr>
      </w:pPr>
    </w:p>
    <w:p w14:paraId="27AA29E6">
      <w:pPr>
        <w:rPr>
          <w:rFonts w:hint="eastAsia" w:ascii="仿宋" w:hAnsi="仿宋" w:eastAsia="仿宋" w:cs="仿宋"/>
          <w:b/>
          <w:bCs/>
          <w:color w:val="000000" w:themeColor="text1"/>
          <w:sz w:val="36"/>
          <w:szCs w:val="36"/>
          <w14:textFill>
            <w14:solidFill>
              <w14:schemeClr w14:val="tx1"/>
            </w14:solidFill>
          </w14:textFill>
        </w:rPr>
      </w:pPr>
    </w:p>
    <w:p w14:paraId="7EBFA231">
      <w:pPr>
        <w:pStyle w:val="24"/>
        <w:rPr>
          <w:rFonts w:hint="eastAsia" w:ascii="仿宋" w:hAnsi="仿宋" w:eastAsia="仿宋" w:cs="仿宋"/>
          <w:b/>
          <w:bCs/>
          <w:color w:val="000000" w:themeColor="text1"/>
          <w:sz w:val="36"/>
          <w:szCs w:val="36"/>
          <w14:textFill>
            <w14:solidFill>
              <w14:schemeClr w14:val="tx1"/>
            </w14:solidFill>
          </w14:textFill>
        </w:rPr>
      </w:pPr>
    </w:p>
    <w:p w14:paraId="6CF83916">
      <w:pPr>
        <w:pStyle w:val="24"/>
        <w:rPr>
          <w:rFonts w:hint="eastAsia" w:ascii="仿宋" w:hAnsi="仿宋" w:eastAsia="仿宋" w:cs="仿宋"/>
          <w:b/>
          <w:bCs/>
          <w:color w:val="000000" w:themeColor="text1"/>
          <w:sz w:val="36"/>
          <w:szCs w:val="36"/>
          <w14:textFill>
            <w14:solidFill>
              <w14:schemeClr w14:val="tx1"/>
            </w14:solidFill>
          </w14:textFill>
        </w:rPr>
      </w:pPr>
    </w:p>
    <w:p w14:paraId="369B2440">
      <w:pPr>
        <w:pStyle w:val="24"/>
        <w:rPr>
          <w:rFonts w:hint="eastAsia" w:ascii="仿宋" w:hAnsi="仿宋" w:eastAsia="仿宋" w:cs="仿宋"/>
          <w:b/>
          <w:bCs/>
          <w:color w:val="000000" w:themeColor="text1"/>
          <w:sz w:val="36"/>
          <w:szCs w:val="36"/>
          <w14:textFill>
            <w14:solidFill>
              <w14:schemeClr w14:val="tx1"/>
            </w14:solidFill>
          </w14:textFill>
        </w:rPr>
      </w:pPr>
    </w:p>
    <w:p w14:paraId="23E76B0D">
      <w:pPr>
        <w:pStyle w:val="24"/>
        <w:rPr>
          <w:rFonts w:hint="eastAsia" w:ascii="仿宋" w:hAnsi="仿宋" w:eastAsia="仿宋" w:cs="仿宋"/>
          <w:b/>
          <w:bCs/>
          <w:color w:val="000000" w:themeColor="text1"/>
          <w:sz w:val="36"/>
          <w:szCs w:val="36"/>
          <w14:textFill>
            <w14:solidFill>
              <w14:schemeClr w14:val="tx1"/>
            </w14:solidFill>
          </w14:textFill>
        </w:rPr>
      </w:pPr>
    </w:p>
    <w:p w14:paraId="250C4903">
      <w:pPr>
        <w:pStyle w:val="24"/>
        <w:rPr>
          <w:rFonts w:hint="eastAsia" w:ascii="仿宋" w:hAnsi="仿宋" w:eastAsia="仿宋" w:cs="仿宋"/>
          <w:b/>
          <w:bCs/>
          <w:color w:val="000000" w:themeColor="text1"/>
          <w:sz w:val="36"/>
          <w:szCs w:val="36"/>
          <w14:textFill>
            <w14:solidFill>
              <w14:schemeClr w14:val="tx1"/>
            </w14:solidFill>
          </w14:textFill>
        </w:rPr>
      </w:pPr>
    </w:p>
    <w:p w14:paraId="6BD70204">
      <w:pPr>
        <w:pStyle w:val="24"/>
        <w:rPr>
          <w:rFonts w:hint="eastAsia" w:ascii="仿宋" w:hAnsi="仿宋" w:eastAsia="仿宋" w:cs="仿宋"/>
          <w:b/>
          <w:bCs/>
          <w:color w:val="000000" w:themeColor="text1"/>
          <w:sz w:val="36"/>
          <w:szCs w:val="36"/>
          <w14:textFill>
            <w14:solidFill>
              <w14:schemeClr w14:val="tx1"/>
            </w14:solidFill>
          </w14:textFill>
        </w:rPr>
      </w:pPr>
    </w:p>
    <w:p w14:paraId="48BA1F2A">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1C6C8E72">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7DC7F2C1">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64E447FE">
      <w:pPr>
        <w:shd w:val="clear" w:color="auto" w:fill="auto"/>
        <w:spacing w:line="440" w:lineRule="exact"/>
        <w:ind w:firstLine="592" w:firstLineChars="147"/>
        <w:jc w:val="center"/>
        <w:rPr>
          <w:rFonts w:hint="eastAsia" w:ascii="仿宋" w:hAnsi="仿宋" w:eastAsia="仿宋" w:cs="仿宋"/>
          <w:b/>
          <w:bCs/>
          <w:color w:val="auto"/>
          <w:sz w:val="40"/>
          <w:szCs w:val="32"/>
          <w:highlight w:val="none"/>
          <w:lang w:val="en-US" w:eastAsia="zh-CN"/>
        </w:rPr>
      </w:pPr>
      <w:r>
        <w:rPr>
          <w:rFonts w:hint="eastAsia" w:ascii="仿宋" w:hAnsi="仿宋" w:eastAsia="仿宋" w:cs="仿宋"/>
          <w:b/>
          <w:bCs/>
          <w:color w:val="auto"/>
          <w:sz w:val="40"/>
          <w:szCs w:val="32"/>
          <w:highlight w:val="none"/>
          <w:lang w:val="en-US" w:eastAsia="zh-CN"/>
        </w:rPr>
        <w:t>1、具备有效营业执照;</w:t>
      </w:r>
    </w:p>
    <w:p w14:paraId="54B61E29">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1B2967A8">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54B4834A">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说明：1.提供有效的营业执照等证明文件复印件，复印件上应加盖本单位章。</w:t>
      </w:r>
    </w:p>
    <w:p w14:paraId="37915A86">
      <w:pPr>
        <w:pStyle w:val="9"/>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 投标人为自然人的，应提供身份证明的复印件。</w:t>
      </w:r>
    </w:p>
    <w:p w14:paraId="3F526333">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42AB6DA6">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53C897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4507D014">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52290E8A">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650E7E60">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762E32E1">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1998A1CA">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5BABDDDD">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805EDC3">
      <w:pPr>
        <w:rPr>
          <w:rFonts w:hint="eastAsia" w:ascii="仿宋" w:hAnsi="仿宋" w:eastAsia="仿宋" w:cs="仿宋"/>
          <w:b/>
          <w:bCs/>
          <w:color w:val="000000" w:themeColor="text1"/>
          <w:sz w:val="36"/>
          <w:szCs w:val="36"/>
          <w14:textFill>
            <w14:solidFill>
              <w14:schemeClr w14:val="tx1"/>
            </w14:solidFill>
          </w14:textFill>
        </w:rPr>
      </w:pPr>
    </w:p>
    <w:p w14:paraId="73FFA1F4">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6FCEA93D">
      <w:pPr>
        <w:rPr>
          <w:rFonts w:hint="eastAsia" w:ascii="仿宋" w:hAnsi="仿宋" w:eastAsia="仿宋" w:cs="仿宋"/>
          <w:b/>
          <w:bCs/>
          <w:color w:val="000000" w:themeColor="text1"/>
          <w:sz w:val="36"/>
          <w:szCs w:val="36"/>
          <w14:textFill>
            <w14:solidFill>
              <w14:schemeClr w14:val="tx1"/>
            </w14:solidFill>
          </w14:textFill>
        </w:rPr>
      </w:pPr>
    </w:p>
    <w:p w14:paraId="07D4ACD8">
      <w:pPr>
        <w:pStyle w:val="7"/>
        <w:numPr>
          <w:ilvl w:val="0"/>
          <w:numId w:val="0"/>
        </w:numPr>
        <w:ind w:leftChars="0" w:right="0" w:rightChars="0"/>
        <w:rPr>
          <w:rFonts w:hint="eastAsia"/>
        </w:rPr>
      </w:pPr>
    </w:p>
    <w:p w14:paraId="576D41FE">
      <w:pPr>
        <w:rPr>
          <w:rFonts w:hint="eastAsia"/>
        </w:rPr>
      </w:pPr>
    </w:p>
    <w:p w14:paraId="27C0DEB7">
      <w:pPr>
        <w:pStyle w:val="7"/>
        <w:numPr>
          <w:ilvl w:val="0"/>
          <w:numId w:val="0"/>
        </w:numPr>
        <w:ind w:leftChars="0" w:right="0" w:rightChars="0"/>
        <w:rPr>
          <w:rFonts w:hint="eastAsia"/>
        </w:rPr>
      </w:pPr>
    </w:p>
    <w:p w14:paraId="0431E3F4">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24AEB4F5">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058A837E">
      <w:pPr>
        <w:rPr>
          <w:rFonts w:hint="eastAsia" w:ascii="仿宋" w:hAnsi="仿宋" w:eastAsia="仿宋" w:cs="仿宋"/>
          <w:b/>
          <w:bCs/>
          <w:color w:val="000000" w:themeColor="text1"/>
          <w:sz w:val="36"/>
          <w:szCs w:val="36"/>
          <w14:textFill>
            <w14:solidFill>
              <w14:schemeClr w14:val="tx1"/>
            </w14:solidFill>
          </w14:textFill>
        </w:rPr>
      </w:pPr>
    </w:p>
    <w:p w14:paraId="1663A6EE">
      <w:pPr>
        <w:pStyle w:val="7"/>
        <w:numPr>
          <w:ilvl w:val="0"/>
          <w:numId w:val="0"/>
        </w:numPr>
        <w:ind w:leftChars="0" w:right="0" w:rightChars="0"/>
        <w:rPr>
          <w:rFonts w:hint="eastAsia"/>
        </w:rPr>
      </w:pPr>
    </w:p>
    <w:p w14:paraId="6DBFD184">
      <w:pPr>
        <w:rPr>
          <w:rFonts w:hint="eastAsia"/>
        </w:rPr>
      </w:pPr>
    </w:p>
    <w:p w14:paraId="7437C61B">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14:textFill>
            <w14:solidFill>
              <w14:schemeClr w14:val="tx1"/>
            </w14:solidFill>
          </w14:textFill>
        </w:rPr>
      </w:pPr>
    </w:p>
    <w:p w14:paraId="1638182E">
      <w:pPr>
        <w:pStyle w:val="24"/>
        <w:ind w:left="0" w:leftChars="0" w:firstLine="0" w:firstLineChars="0"/>
        <w:rPr>
          <w:rFonts w:hint="eastAsia" w:ascii="仿宋" w:hAnsi="仿宋" w:eastAsia="仿宋" w:cs="仿宋"/>
          <w:b/>
          <w:bCs/>
          <w:color w:val="000000" w:themeColor="text1"/>
          <w:sz w:val="36"/>
          <w:szCs w:val="36"/>
          <w14:textFill>
            <w14:solidFill>
              <w14:schemeClr w14:val="tx1"/>
            </w14:solidFill>
          </w14:textFill>
        </w:rPr>
      </w:pPr>
    </w:p>
    <w:p w14:paraId="52E3261C">
      <w:pPr>
        <w:pStyle w:val="7"/>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000000" w:themeColor="text1"/>
          <w:sz w:val="36"/>
          <w:szCs w:val="36"/>
          <w14:textFill>
            <w14:solidFill>
              <w14:schemeClr w14:val="tx1"/>
            </w14:solidFill>
          </w14:textFill>
        </w:rPr>
      </w:pPr>
    </w:p>
    <w:p w14:paraId="54AE9816">
      <w:pPr>
        <w:pStyle w:val="3"/>
        <w:numPr>
          <w:ilvl w:val="0"/>
          <w:numId w:val="11"/>
        </w:numPr>
        <w:shd w:val="clear" w:color="auto" w:fill="auto"/>
        <w:spacing w:before="0" w:line="240" w:lineRule="atLeast"/>
        <w:rPr>
          <w:rFonts w:hint="eastAsia" w:ascii="仿宋" w:hAnsi="仿宋" w:eastAsia="仿宋" w:cs="仿宋"/>
          <w:color w:val="auto"/>
          <w:sz w:val="40"/>
          <w:szCs w:val="40"/>
          <w:highlight w:val="none"/>
          <w:lang w:val="en-US" w:eastAsia="zh-CN"/>
        </w:rPr>
      </w:pPr>
      <w:r>
        <w:rPr>
          <w:rFonts w:hint="eastAsia" w:ascii="仿宋" w:hAnsi="仿宋" w:eastAsia="仿宋" w:cs="仿宋"/>
          <w:color w:val="auto"/>
          <w:sz w:val="40"/>
          <w:szCs w:val="40"/>
          <w:highlight w:val="none"/>
          <w:lang w:val="en-US" w:eastAsia="zh-CN"/>
        </w:rPr>
        <w:t>法定代表人投标需提供法定代表人资格证明书，委托代理人投标需提供法定代表人授权委托书；</w:t>
      </w:r>
    </w:p>
    <w:p w14:paraId="6D46DA46">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2-1法定代表人资格证明书</w:t>
      </w:r>
    </w:p>
    <w:p w14:paraId="2C6C190E">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3548AE5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6ABC96A8">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14:paraId="0FEEC413">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26577706">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5361BF0C">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2C973A7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3659D70">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0A24EAE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5E4E6A67">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75EA46C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1B36D1AC">
      <w:pPr>
        <w:spacing w:line="500" w:lineRule="exact"/>
        <w:rPr>
          <w:rFonts w:hint="eastAsia" w:ascii="宋体" w:hAnsi="宋体" w:eastAsia="宋体" w:cs="宋体"/>
          <w:color w:val="auto"/>
          <w:sz w:val="24"/>
          <w:szCs w:val="24"/>
          <w:highlight w:val="none"/>
        </w:rPr>
      </w:pPr>
    </w:p>
    <w:p w14:paraId="450911F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17534A8">
                            <w:pPr>
                              <w:jc w:val="center"/>
                              <w:rPr>
                                <w:rFonts w:hint="eastAsia" w:hAnsi="宋体"/>
                                <w:szCs w:val="21"/>
                              </w:rPr>
                            </w:pPr>
                          </w:p>
                          <w:p w14:paraId="2945A615">
                            <w:pPr>
                              <w:jc w:val="center"/>
                              <w:rPr>
                                <w:rFonts w:hint="eastAsia" w:hAnsi="宋体"/>
                                <w:szCs w:val="21"/>
                              </w:rPr>
                            </w:pPr>
                          </w:p>
                          <w:p w14:paraId="2331C63D">
                            <w:pPr>
                              <w:jc w:val="center"/>
                              <w:rPr>
                                <w:rFonts w:hint="eastAsia" w:hAnsi="宋体"/>
                                <w:szCs w:val="21"/>
                              </w:rPr>
                            </w:pPr>
                          </w:p>
                          <w:p w14:paraId="1F88C76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1312;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F8eNYAAAAIAQAADwAAAAAAAAABACAAAAAiAAAAZHJzL2Rvd25yZXYueG1sUEsBAhQAFAAA&#10;AAgAh07iQDMi4pAqAgAAUgQAAA4AAAAAAAAAAQAgAAAAJQEAAGRycy9lMm9Eb2MueG1sUEsFBgAA&#10;AAAGAAYAWQEAAMEFAAAAAA==&#10;">
                <v:fill on="t" focussize="0,0"/>
                <v:stroke color="#000000" joinstyle="miter"/>
                <v:imagedata o:title=""/>
                <o:lock v:ext="edit" aspectratio="f"/>
                <v:textbox>
                  <w:txbxContent>
                    <w:p w14:paraId="517534A8">
                      <w:pPr>
                        <w:jc w:val="center"/>
                        <w:rPr>
                          <w:rFonts w:hint="eastAsia" w:hAnsi="宋体"/>
                          <w:szCs w:val="21"/>
                        </w:rPr>
                      </w:pPr>
                    </w:p>
                    <w:p w14:paraId="2945A615">
                      <w:pPr>
                        <w:jc w:val="center"/>
                        <w:rPr>
                          <w:rFonts w:hint="eastAsia" w:hAnsi="宋体"/>
                          <w:szCs w:val="21"/>
                        </w:rPr>
                      </w:pPr>
                    </w:p>
                    <w:p w14:paraId="2331C63D">
                      <w:pPr>
                        <w:jc w:val="center"/>
                        <w:rPr>
                          <w:rFonts w:hint="eastAsia" w:hAnsi="宋体"/>
                          <w:szCs w:val="21"/>
                        </w:rPr>
                      </w:pPr>
                    </w:p>
                    <w:p w14:paraId="1F88C76B">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C9540A5">
                            <w:pPr>
                              <w:jc w:val="center"/>
                              <w:rPr>
                                <w:rFonts w:hint="eastAsia" w:hAnsi="宋体"/>
                                <w:szCs w:val="21"/>
                              </w:rPr>
                            </w:pPr>
                          </w:p>
                          <w:p w14:paraId="7FC785E3">
                            <w:pPr>
                              <w:jc w:val="center"/>
                              <w:rPr>
                                <w:rFonts w:hint="eastAsia" w:hAnsi="宋体"/>
                                <w:szCs w:val="21"/>
                              </w:rPr>
                            </w:pPr>
                          </w:p>
                          <w:p w14:paraId="73F7D9A5">
                            <w:pPr>
                              <w:jc w:val="center"/>
                              <w:rPr>
                                <w:rFonts w:hint="eastAsia" w:hAnsi="宋体"/>
                                <w:szCs w:val="21"/>
                              </w:rPr>
                            </w:pPr>
                          </w:p>
                          <w:p w14:paraId="36B805F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2336;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14:paraId="1C9540A5">
                      <w:pPr>
                        <w:jc w:val="center"/>
                        <w:rPr>
                          <w:rFonts w:hint="eastAsia" w:hAnsi="宋体"/>
                          <w:szCs w:val="21"/>
                        </w:rPr>
                      </w:pPr>
                    </w:p>
                    <w:p w14:paraId="7FC785E3">
                      <w:pPr>
                        <w:jc w:val="center"/>
                        <w:rPr>
                          <w:rFonts w:hint="eastAsia" w:hAnsi="宋体"/>
                          <w:szCs w:val="21"/>
                        </w:rPr>
                      </w:pPr>
                    </w:p>
                    <w:p w14:paraId="73F7D9A5">
                      <w:pPr>
                        <w:jc w:val="center"/>
                        <w:rPr>
                          <w:rFonts w:hint="eastAsia" w:hAnsi="宋体"/>
                          <w:szCs w:val="21"/>
                        </w:rPr>
                      </w:pPr>
                    </w:p>
                    <w:p w14:paraId="36B805F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4CAD6EB3">
      <w:pPr>
        <w:spacing w:line="500" w:lineRule="exact"/>
        <w:rPr>
          <w:rFonts w:hint="eastAsia" w:ascii="宋体" w:hAnsi="宋体" w:eastAsia="宋体" w:cs="宋体"/>
          <w:color w:val="auto"/>
          <w:sz w:val="24"/>
          <w:szCs w:val="24"/>
          <w:highlight w:val="none"/>
        </w:rPr>
      </w:pPr>
    </w:p>
    <w:p w14:paraId="112DE019">
      <w:pPr>
        <w:spacing w:line="500" w:lineRule="exact"/>
        <w:rPr>
          <w:rFonts w:hint="eastAsia" w:ascii="宋体" w:hAnsi="宋体" w:eastAsia="宋体" w:cs="宋体"/>
          <w:color w:val="auto"/>
          <w:sz w:val="24"/>
          <w:szCs w:val="24"/>
          <w:highlight w:val="none"/>
        </w:rPr>
      </w:pPr>
    </w:p>
    <w:p w14:paraId="2746225E">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167056BA">
      <w:pPr>
        <w:spacing w:line="500" w:lineRule="exact"/>
        <w:jc w:val="center"/>
        <w:rPr>
          <w:rFonts w:hint="eastAsia" w:ascii="宋体" w:hAnsi="宋体" w:eastAsia="宋体" w:cs="宋体"/>
          <w:color w:val="auto"/>
          <w:sz w:val="24"/>
          <w:szCs w:val="24"/>
          <w:highlight w:val="none"/>
        </w:rPr>
      </w:pPr>
    </w:p>
    <w:p w14:paraId="02360C9B">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14:paraId="1567FCBB">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35B4515F">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02DD5548">
      <w:pPr>
        <w:shd w:val="clear" w:color="auto" w:fill="auto"/>
        <w:spacing w:line="360" w:lineRule="auto"/>
        <w:ind w:firstLine="486" w:firstLineChars="200"/>
        <w:jc w:val="left"/>
        <w:rPr>
          <w:rFonts w:hint="eastAsia"/>
          <w:lang w:val="en-US" w:eastAsia="zh-CN"/>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69110BEE">
      <w:pPr>
        <w:pStyle w:val="3"/>
        <w:numPr>
          <w:ilvl w:val="0"/>
          <w:numId w:val="0"/>
        </w:numPr>
        <w:shd w:val="clear" w:color="auto" w:fill="auto"/>
        <w:spacing w:before="0" w:line="240" w:lineRule="atLeast"/>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2-2法定代表人授权委托书</w:t>
      </w:r>
    </w:p>
    <w:p w14:paraId="4E44CF64">
      <w:pPr>
        <w:pStyle w:val="9"/>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7D4AA833">
      <w:pPr>
        <w:pStyle w:val="9"/>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i/>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i/>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i/>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14:paraId="004EDEA9">
      <w:pPr>
        <w:pStyle w:val="9"/>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3C8CD67">
                            <w:pPr>
                              <w:rPr>
                                <w:rFonts w:hint="eastAsia" w:hAnsi="宋体"/>
                              </w:rPr>
                            </w:pPr>
                          </w:p>
                          <w:p w14:paraId="53CB6630">
                            <w:pPr>
                              <w:rPr>
                                <w:rFonts w:hint="eastAsia" w:hAnsi="宋体"/>
                              </w:rPr>
                            </w:pPr>
                          </w:p>
                          <w:p w14:paraId="7992B7C6">
                            <w:pPr>
                              <w:rPr>
                                <w:rFonts w:hint="eastAsia" w:hAnsi="宋体"/>
                              </w:rPr>
                            </w:pPr>
                          </w:p>
                          <w:p w14:paraId="4E712EC9">
                            <w:r>
                              <w:rPr>
                                <w:rFonts w:hint="eastAsia" w:hAnsi="宋体"/>
                              </w:rPr>
                              <w:t>授权委托人身份证复印件反面</w:t>
                            </w:r>
                          </w:p>
                          <w:p w14:paraId="49F37EB1"/>
                        </w:txbxContent>
                      </wps:txbx>
                      <wps:bodyPr upright="1"/>
                    </wps:wsp>
                  </a:graphicData>
                </a:graphic>
              </wp:anchor>
            </w:drawing>
          </mc:Choice>
          <mc:Fallback>
            <w:pict>
              <v:roundrect id="_x0000_s1026" o:spid="_x0000_s1026" o:spt="2" style="position:absolute;left:0pt;margin-left:239.3pt;margin-top:13.2pt;height:88.6pt;width:195.15pt;z-index:251664384;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23C8CD67">
                      <w:pPr>
                        <w:rPr>
                          <w:rFonts w:hint="eastAsia" w:hAnsi="宋体"/>
                        </w:rPr>
                      </w:pPr>
                    </w:p>
                    <w:p w14:paraId="53CB6630">
                      <w:pPr>
                        <w:rPr>
                          <w:rFonts w:hint="eastAsia" w:hAnsi="宋体"/>
                        </w:rPr>
                      </w:pPr>
                    </w:p>
                    <w:p w14:paraId="7992B7C6">
                      <w:pPr>
                        <w:rPr>
                          <w:rFonts w:hint="eastAsia" w:hAnsi="宋体"/>
                        </w:rPr>
                      </w:pPr>
                    </w:p>
                    <w:p w14:paraId="4E712EC9">
                      <w:r>
                        <w:rPr>
                          <w:rFonts w:hint="eastAsia" w:hAnsi="宋体"/>
                        </w:rPr>
                        <w:t>授权委托人身份证复印件反面</w:t>
                      </w:r>
                    </w:p>
                    <w:p w14:paraId="49F37EB1"/>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3803DE6">
                            <w:pPr>
                              <w:jc w:val="center"/>
                              <w:rPr>
                                <w:rFonts w:hint="eastAsia" w:hAnsi="宋体"/>
                              </w:rPr>
                            </w:pPr>
                          </w:p>
                          <w:p w14:paraId="1AE8D9B8">
                            <w:pPr>
                              <w:jc w:val="center"/>
                              <w:rPr>
                                <w:rFonts w:hint="eastAsia" w:hAnsi="宋体"/>
                              </w:rPr>
                            </w:pPr>
                          </w:p>
                          <w:p w14:paraId="1D73629A">
                            <w:pPr>
                              <w:jc w:val="center"/>
                              <w:rPr>
                                <w:rFonts w:hint="eastAsia" w:hAnsi="宋体"/>
                              </w:rPr>
                            </w:pPr>
                          </w:p>
                          <w:p w14:paraId="4F218446">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3360;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53803DE6">
                      <w:pPr>
                        <w:jc w:val="center"/>
                        <w:rPr>
                          <w:rFonts w:hint="eastAsia" w:hAnsi="宋体"/>
                        </w:rPr>
                      </w:pPr>
                    </w:p>
                    <w:p w14:paraId="1AE8D9B8">
                      <w:pPr>
                        <w:jc w:val="center"/>
                        <w:rPr>
                          <w:rFonts w:hint="eastAsia" w:hAnsi="宋体"/>
                        </w:rPr>
                      </w:pPr>
                    </w:p>
                    <w:p w14:paraId="1D73629A">
                      <w:pPr>
                        <w:jc w:val="center"/>
                        <w:rPr>
                          <w:rFonts w:hint="eastAsia" w:hAnsi="宋体"/>
                        </w:rPr>
                      </w:pPr>
                    </w:p>
                    <w:p w14:paraId="4F218446">
                      <w:pPr>
                        <w:jc w:val="center"/>
                      </w:pPr>
                      <w:r>
                        <w:rPr>
                          <w:rFonts w:hint="eastAsia" w:hAnsi="宋体"/>
                        </w:rPr>
                        <w:t>授权委托人身份证复印件正面</w:t>
                      </w:r>
                    </w:p>
                  </w:txbxContent>
                </v:textbox>
              </v:shape>
            </w:pict>
          </mc:Fallback>
        </mc:AlternateContent>
      </w:r>
    </w:p>
    <w:p w14:paraId="5686B3D2">
      <w:pPr>
        <w:shd w:val="clear" w:color="auto" w:fill="auto"/>
        <w:spacing w:line="360" w:lineRule="auto"/>
        <w:ind w:firstLine="243" w:firstLineChars="100"/>
        <w:rPr>
          <w:rFonts w:hint="eastAsia" w:ascii="宋体" w:hAnsi="宋体" w:eastAsia="宋体" w:cs="宋体"/>
          <w:color w:val="auto"/>
          <w:sz w:val="24"/>
          <w:highlight w:val="none"/>
        </w:rPr>
      </w:pPr>
    </w:p>
    <w:p w14:paraId="0DC4A95A">
      <w:pPr>
        <w:shd w:val="clear" w:color="auto" w:fill="auto"/>
        <w:spacing w:line="360" w:lineRule="auto"/>
        <w:ind w:firstLine="243" w:firstLineChars="100"/>
        <w:rPr>
          <w:rFonts w:hint="eastAsia" w:ascii="宋体" w:hAnsi="宋体" w:eastAsia="宋体" w:cs="宋体"/>
          <w:color w:val="auto"/>
          <w:sz w:val="24"/>
          <w:highlight w:val="none"/>
        </w:rPr>
      </w:pPr>
    </w:p>
    <w:p w14:paraId="056A9B91">
      <w:pPr>
        <w:shd w:val="clear" w:color="auto" w:fill="auto"/>
        <w:spacing w:line="360" w:lineRule="auto"/>
        <w:ind w:firstLine="243" w:firstLineChars="100"/>
        <w:rPr>
          <w:rFonts w:hint="eastAsia" w:ascii="宋体" w:hAnsi="宋体" w:eastAsia="宋体" w:cs="宋体"/>
          <w:color w:val="auto"/>
          <w:sz w:val="24"/>
          <w:highlight w:val="none"/>
        </w:rPr>
      </w:pPr>
    </w:p>
    <w:p w14:paraId="1B90E713">
      <w:pPr>
        <w:shd w:val="clear" w:color="auto" w:fill="auto"/>
        <w:spacing w:line="360" w:lineRule="auto"/>
        <w:ind w:firstLine="243" w:firstLineChars="100"/>
        <w:rPr>
          <w:rFonts w:hint="eastAsia" w:ascii="宋体" w:hAnsi="宋体" w:eastAsia="宋体" w:cs="宋体"/>
          <w:color w:val="auto"/>
          <w:sz w:val="24"/>
          <w:highlight w:val="none"/>
        </w:rPr>
      </w:pPr>
    </w:p>
    <w:p w14:paraId="744FE4A7">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513EF83">
                            <w:pPr>
                              <w:jc w:val="center"/>
                              <w:rPr>
                                <w:rFonts w:hint="eastAsia" w:hAnsi="宋体"/>
                              </w:rPr>
                            </w:pPr>
                            <w:r>
                              <w:rPr>
                                <w:rFonts w:hint="eastAsia" w:hAnsi="宋体"/>
                              </w:rPr>
                              <w:t xml:space="preserve">  </w:t>
                            </w:r>
                          </w:p>
                          <w:p w14:paraId="4AEFA5D0">
                            <w:pPr>
                              <w:jc w:val="center"/>
                              <w:rPr>
                                <w:rFonts w:hint="eastAsia" w:hAnsi="宋体"/>
                              </w:rPr>
                            </w:pPr>
                          </w:p>
                          <w:p w14:paraId="4E3AF91E">
                            <w:pPr>
                              <w:jc w:val="center"/>
                              <w:rPr>
                                <w:rFonts w:hint="eastAsia" w:hAnsi="宋体"/>
                              </w:rPr>
                            </w:pPr>
                          </w:p>
                          <w:p w14:paraId="1239CBAD">
                            <w:pPr>
                              <w:jc w:val="center"/>
                            </w:pPr>
                            <w:r>
                              <w:rPr>
                                <w:rFonts w:hint="eastAsia" w:hAnsi="宋体"/>
                              </w:rPr>
                              <w:t>法人身份证复印件反面</w:t>
                            </w:r>
                          </w:p>
                          <w:p w14:paraId="709C9244"/>
                        </w:txbxContent>
                      </wps:txbx>
                      <wps:bodyPr upright="1"/>
                    </wps:wsp>
                  </a:graphicData>
                </a:graphic>
              </wp:anchor>
            </w:drawing>
          </mc:Choice>
          <mc:Fallback>
            <w:pict>
              <v:roundrect id="_x0000_s1026" o:spid="_x0000_s1026" o:spt="2" style="position:absolute;left:0pt;margin-left:237.65pt;margin-top:4.25pt;height:81.05pt;width:199.65pt;z-index:251666432;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6513EF83">
                      <w:pPr>
                        <w:jc w:val="center"/>
                        <w:rPr>
                          <w:rFonts w:hint="eastAsia" w:hAnsi="宋体"/>
                        </w:rPr>
                      </w:pPr>
                      <w:r>
                        <w:rPr>
                          <w:rFonts w:hint="eastAsia" w:hAnsi="宋体"/>
                        </w:rPr>
                        <w:t xml:space="preserve">  </w:t>
                      </w:r>
                    </w:p>
                    <w:p w14:paraId="4AEFA5D0">
                      <w:pPr>
                        <w:jc w:val="center"/>
                        <w:rPr>
                          <w:rFonts w:hint="eastAsia" w:hAnsi="宋体"/>
                        </w:rPr>
                      </w:pPr>
                    </w:p>
                    <w:p w14:paraId="4E3AF91E">
                      <w:pPr>
                        <w:jc w:val="center"/>
                        <w:rPr>
                          <w:rFonts w:hint="eastAsia" w:hAnsi="宋体"/>
                        </w:rPr>
                      </w:pPr>
                    </w:p>
                    <w:p w14:paraId="1239CBAD">
                      <w:pPr>
                        <w:jc w:val="center"/>
                      </w:pPr>
                      <w:r>
                        <w:rPr>
                          <w:rFonts w:hint="eastAsia" w:hAnsi="宋体"/>
                        </w:rPr>
                        <w:t>法人身份证复印件反面</w:t>
                      </w:r>
                    </w:p>
                    <w:p w14:paraId="709C9244"/>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7136448">
                            <w:pPr>
                              <w:jc w:val="center"/>
                              <w:rPr>
                                <w:rFonts w:hint="eastAsia" w:hAnsi="宋体"/>
                              </w:rPr>
                            </w:pPr>
                          </w:p>
                          <w:p w14:paraId="4DA2885D">
                            <w:pPr>
                              <w:jc w:val="center"/>
                              <w:rPr>
                                <w:rFonts w:hint="eastAsia" w:hAnsi="宋体"/>
                              </w:rPr>
                            </w:pPr>
                          </w:p>
                          <w:p w14:paraId="308841A7">
                            <w:pPr>
                              <w:jc w:val="center"/>
                              <w:rPr>
                                <w:rFonts w:hint="eastAsia" w:hAnsi="宋体"/>
                              </w:rPr>
                            </w:pPr>
                          </w:p>
                          <w:p w14:paraId="5B532F7C">
                            <w:pPr>
                              <w:jc w:val="center"/>
                            </w:pPr>
                            <w:r>
                              <w:rPr>
                                <w:rFonts w:hint="eastAsia" w:hAnsi="宋体"/>
                              </w:rPr>
                              <w:t>法人身份证复印件正面</w:t>
                            </w:r>
                          </w:p>
                          <w:p w14:paraId="40FC9F44"/>
                        </w:txbxContent>
                      </wps:txbx>
                      <wps:bodyPr upright="1"/>
                    </wps:wsp>
                  </a:graphicData>
                </a:graphic>
              </wp:anchor>
            </w:drawing>
          </mc:Choice>
          <mc:Fallback>
            <w:pict>
              <v:roundrect id="_x0000_s1026" o:spid="_x0000_s1026" o:spt="2" style="position:absolute;left:0pt;margin-left:-0.85pt;margin-top:2.35pt;height:80.7pt;width:201.2pt;z-index:251665408;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67136448">
                      <w:pPr>
                        <w:jc w:val="center"/>
                        <w:rPr>
                          <w:rFonts w:hint="eastAsia" w:hAnsi="宋体"/>
                        </w:rPr>
                      </w:pPr>
                    </w:p>
                    <w:p w14:paraId="4DA2885D">
                      <w:pPr>
                        <w:jc w:val="center"/>
                        <w:rPr>
                          <w:rFonts w:hint="eastAsia" w:hAnsi="宋体"/>
                        </w:rPr>
                      </w:pPr>
                    </w:p>
                    <w:p w14:paraId="308841A7">
                      <w:pPr>
                        <w:jc w:val="center"/>
                        <w:rPr>
                          <w:rFonts w:hint="eastAsia" w:hAnsi="宋体"/>
                        </w:rPr>
                      </w:pPr>
                    </w:p>
                    <w:p w14:paraId="5B532F7C">
                      <w:pPr>
                        <w:jc w:val="center"/>
                      </w:pPr>
                      <w:r>
                        <w:rPr>
                          <w:rFonts w:hint="eastAsia" w:hAnsi="宋体"/>
                        </w:rPr>
                        <w:t>法人身份证复印件正面</w:t>
                      </w:r>
                    </w:p>
                    <w:p w14:paraId="40FC9F44"/>
                  </w:txbxContent>
                </v:textbox>
              </v:roundrect>
            </w:pict>
          </mc:Fallback>
        </mc:AlternateContent>
      </w:r>
    </w:p>
    <w:p w14:paraId="5BFF2F28">
      <w:pPr>
        <w:shd w:val="clear" w:color="auto" w:fill="auto"/>
        <w:spacing w:line="360" w:lineRule="auto"/>
        <w:ind w:firstLine="243" w:firstLineChars="100"/>
        <w:rPr>
          <w:rFonts w:hint="eastAsia" w:ascii="宋体" w:hAnsi="宋体" w:eastAsia="宋体" w:cs="宋体"/>
          <w:color w:val="auto"/>
          <w:sz w:val="24"/>
          <w:highlight w:val="none"/>
        </w:rPr>
      </w:pPr>
    </w:p>
    <w:p w14:paraId="56E5B004">
      <w:pPr>
        <w:shd w:val="clear" w:color="auto" w:fill="auto"/>
        <w:spacing w:line="360" w:lineRule="auto"/>
        <w:ind w:firstLine="243" w:firstLineChars="100"/>
        <w:rPr>
          <w:rFonts w:hint="eastAsia" w:ascii="宋体" w:hAnsi="宋体" w:eastAsia="宋体" w:cs="宋体"/>
          <w:color w:val="auto"/>
          <w:sz w:val="24"/>
          <w:highlight w:val="none"/>
        </w:rPr>
      </w:pPr>
    </w:p>
    <w:p w14:paraId="008DFB81">
      <w:pPr>
        <w:shd w:val="clear" w:color="auto" w:fill="auto"/>
        <w:spacing w:line="360" w:lineRule="auto"/>
        <w:ind w:firstLine="243" w:firstLineChars="100"/>
        <w:rPr>
          <w:rFonts w:hint="eastAsia" w:ascii="宋体" w:hAnsi="宋体" w:eastAsia="宋体" w:cs="宋体"/>
          <w:color w:val="auto"/>
          <w:sz w:val="24"/>
          <w:highlight w:val="none"/>
        </w:rPr>
      </w:pPr>
    </w:p>
    <w:p w14:paraId="2EA7BFD2">
      <w:pPr>
        <w:shd w:val="clear" w:color="auto" w:fill="auto"/>
        <w:spacing w:line="360" w:lineRule="auto"/>
        <w:ind w:firstLine="243" w:firstLineChars="100"/>
        <w:rPr>
          <w:rFonts w:hint="eastAsia" w:ascii="宋体" w:hAnsi="宋体" w:eastAsia="宋体" w:cs="宋体"/>
          <w:color w:val="auto"/>
          <w:sz w:val="24"/>
          <w:highlight w:val="none"/>
        </w:rPr>
      </w:pPr>
    </w:p>
    <w:p w14:paraId="6C5C65FC">
      <w:pPr>
        <w:pStyle w:val="9"/>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p>
    <w:p w14:paraId="2AD31EC3">
      <w:pPr>
        <w:pStyle w:val="9"/>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p>
    <w:p w14:paraId="2872279C">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投标人（盖单位章）</w:t>
      </w:r>
      <w:r>
        <w:rPr>
          <w:rFonts w:hint="eastAsia" w:hAnsi="宋体" w:eastAsia="宋体" w:cs="宋体"/>
          <w:color w:val="auto"/>
          <w:sz w:val="24"/>
          <w:highlight w:val="none"/>
          <w:lang w:eastAsia="zh-CN"/>
        </w:rPr>
        <w:t>：</w:t>
      </w:r>
      <w:r>
        <w:rPr>
          <w:rFonts w:hint="eastAsia" w:ascii="宋体" w:hAnsi="宋体" w:eastAsia="宋体" w:cs="宋体"/>
          <w:color w:val="auto"/>
          <w:sz w:val="24"/>
          <w:highlight w:val="none"/>
          <w:u w:val="single"/>
        </w:rPr>
        <w:t xml:space="preserve">                           </w:t>
      </w:r>
    </w:p>
    <w:p w14:paraId="62520409">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1EA606DE">
      <w:pPr>
        <w:pStyle w:val="9"/>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委托代理人（签字或签章）：</w:t>
      </w:r>
      <w:r>
        <w:rPr>
          <w:rFonts w:hint="eastAsia" w:ascii="宋体" w:hAnsi="宋体" w:eastAsia="宋体" w:cs="宋体"/>
          <w:color w:val="auto"/>
          <w:sz w:val="24"/>
          <w:highlight w:val="none"/>
          <w:u w:val="single"/>
        </w:rPr>
        <w:t xml:space="preserve">                     </w:t>
      </w:r>
    </w:p>
    <w:p w14:paraId="5D34223B">
      <w:pPr>
        <w:shd w:val="clear" w:color="auto" w:fill="auto"/>
        <w:spacing w:line="360" w:lineRule="auto"/>
        <w:ind w:firstLine="486" w:firstLineChars="200"/>
        <w:jc w:val="left"/>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5348F281">
      <w:pPr>
        <w:pStyle w:val="7"/>
        <w:numPr>
          <w:ilvl w:val="0"/>
          <w:numId w:val="0"/>
        </w:numPr>
        <w:ind w:leftChars="0" w:right="0" w:rightChars="0"/>
        <w:rPr>
          <w:rFonts w:hint="eastAsia"/>
          <w:lang w:val="en-US" w:eastAsia="zh-CN"/>
        </w:rPr>
      </w:pPr>
    </w:p>
    <w:p w14:paraId="5FBAEC1F">
      <w:pPr>
        <w:rPr>
          <w:rFonts w:hint="eastAsia"/>
          <w:lang w:val="en-US" w:eastAsia="zh-CN"/>
        </w:rPr>
      </w:pPr>
    </w:p>
    <w:p w14:paraId="14E7BBF0">
      <w:pPr>
        <w:pStyle w:val="24"/>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p>
    <w:p w14:paraId="1B9E0BFF">
      <w:pPr>
        <w:pStyle w:val="24"/>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p>
    <w:p w14:paraId="6E9D0073">
      <w:pPr>
        <w:pStyle w:val="24"/>
        <w:ind w:left="0" w:leftChars="0" w:firstLine="0" w:firstLineChars="0"/>
        <w:rPr>
          <w:rFonts w:hint="eastAsia" w:ascii="仿宋" w:hAnsi="仿宋" w:eastAsia="仿宋" w:cs="仿宋"/>
          <w:b w:val="0"/>
          <w:bCs/>
          <w:color w:val="000000" w:themeColor="text1"/>
          <w:lang w:val="en-US" w:eastAsia="zh-CN"/>
          <w14:textFill>
            <w14:solidFill>
              <w14:schemeClr w14:val="tx1"/>
            </w14:solidFill>
          </w14:textFill>
        </w:rPr>
      </w:pPr>
    </w:p>
    <w:p w14:paraId="6763518C">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auto"/>
          <w:sz w:val="36"/>
          <w:szCs w:val="36"/>
          <w:highlight w:val="none"/>
          <w:lang w:val="en-US" w:eastAsia="zh-CN"/>
        </w:rPr>
      </w:pPr>
    </w:p>
    <w:p w14:paraId="386E8C4B">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3、提供法人或委托代理人近6个月任意一个月有效社保证明和完税证明；</w:t>
      </w:r>
    </w:p>
    <w:p w14:paraId="2A0EF022">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61A6BAA">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7CB6AA0C">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C4C58A2">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5304138B">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49E29F7">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E678C33">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68E42B8">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AF06252">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48F7FD4">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7DD16FD5">
      <w:pPr>
        <w:pStyle w:val="5"/>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59F9708">
      <w:pP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FF9AA73">
      <w:pPr>
        <w:pStyle w:val="4"/>
        <w:rPr>
          <w:rFonts w:hint="eastAsia"/>
          <w:lang w:val="en-US" w:eastAsia="zh-CN"/>
        </w:rPr>
      </w:pPr>
    </w:p>
    <w:p w14:paraId="68DCC46D">
      <w:pPr>
        <w:rPr>
          <w:rFonts w:hint="eastAsia"/>
          <w:lang w:val="en-US" w:eastAsia="zh-CN"/>
        </w:rPr>
      </w:pPr>
    </w:p>
    <w:p w14:paraId="68989A48">
      <w:pPr>
        <w:pStyle w:val="7"/>
        <w:numPr>
          <w:ilvl w:val="0"/>
          <w:numId w:val="0"/>
        </w:numPr>
        <w:ind w:leftChars="0" w:right="0" w:rightChars="0"/>
        <w:rPr>
          <w:rFonts w:hint="eastAsia"/>
          <w:lang w:val="en-US" w:eastAsia="zh-CN"/>
        </w:rPr>
      </w:pPr>
    </w:p>
    <w:p w14:paraId="5886468F">
      <w:pPr>
        <w:rPr>
          <w:rFonts w:hint="eastAsia"/>
          <w:lang w:val="en-US" w:eastAsia="zh-CN"/>
        </w:rPr>
      </w:pPr>
    </w:p>
    <w:p w14:paraId="156B0C59">
      <w:pPr>
        <w:pStyle w:val="7"/>
        <w:numPr>
          <w:ilvl w:val="0"/>
          <w:numId w:val="0"/>
        </w:numPr>
        <w:ind w:leftChars="0" w:right="0" w:rightChars="0"/>
        <w:rPr>
          <w:rFonts w:hint="eastAsia"/>
          <w:lang w:val="en-US" w:eastAsia="zh-CN"/>
        </w:rPr>
      </w:pPr>
    </w:p>
    <w:p w14:paraId="5D17B119">
      <w:pPr>
        <w:rPr>
          <w:rFonts w:hint="eastAsia"/>
          <w:lang w:val="en-US" w:eastAsia="zh-CN"/>
        </w:rPr>
      </w:pPr>
    </w:p>
    <w:p w14:paraId="12AAD462">
      <w:pPr>
        <w:rPr>
          <w:rFonts w:hint="eastAsia"/>
          <w:lang w:val="en-US" w:eastAsia="zh-CN"/>
        </w:rPr>
      </w:pPr>
    </w:p>
    <w:p w14:paraId="77DBA4AB">
      <w:pPr>
        <w:pStyle w:val="7"/>
        <w:numPr>
          <w:ilvl w:val="0"/>
          <w:numId w:val="0"/>
        </w:numPr>
        <w:ind w:leftChars="0" w:right="0" w:rightChars="0"/>
        <w:rPr>
          <w:rFonts w:hint="eastAsia"/>
          <w:lang w:val="en-US" w:eastAsia="zh-CN"/>
        </w:rPr>
      </w:pPr>
    </w:p>
    <w:p w14:paraId="0C4A9640">
      <w:pPr>
        <w:rPr>
          <w:rFonts w:hint="eastAsia"/>
          <w:lang w:val="en-US" w:eastAsia="zh-CN"/>
        </w:rPr>
      </w:pPr>
    </w:p>
    <w:p w14:paraId="578DAAD7">
      <w:pPr>
        <w:pStyle w:val="7"/>
        <w:numPr>
          <w:ilvl w:val="0"/>
          <w:numId w:val="0"/>
        </w:numPr>
        <w:ind w:leftChars="0" w:right="0" w:rightChars="0"/>
        <w:rPr>
          <w:rFonts w:hint="eastAsia"/>
          <w:lang w:val="en-US" w:eastAsia="zh-CN"/>
        </w:rPr>
      </w:pPr>
    </w:p>
    <w:p w14:paraId="011A908C">
      <w:pPr>
        <w:rPr>
          <w:rFonts w:hint="eastAsia"/>
          <w:lang w:val="en-US" w:eastAsia="zh-CN"/>
        </w:rPr>
      </w:pPr>
    </w:p>
    <w:p w14:paraId="0D9F2389">
      <w:pPr>
        <w:rPr>
          <w:rFonts w:hint="eastAsia"/>
          <w:lang w:val="en-US" w:eastAsia="zh-CN"/>
        </w:rPr>
      </w:pPr>
    </w:p>
    <w:p w14:paraId="66F99153">
      <w:pPr>
        <w:rPr>
          <w:rFonts w:hint="eastAsia"/>
          <w:lang w:val="en-US" w:eastAsia="zh-CN"/>
        </w:rPr>
      </w:pPr>
    </w:p>
    <w:p w14:paraId="35FBF739">
      <w:pPr>
        <w:pStyle w:val="7"/>
        <w:numPr>
          <w:ilvl w:val="0"/>
          <w:numId w:val="0"/>
        </w:numPr>
        <w:ind w:leftChars="0" w:right="0" w:rightChars="0"/>
        <w:rPr>
          <w:rFonts w:hint="eastAsia"/>
          <w:lang w:val="en-US" w:eastAsia="zh-CN"/>
        </w:rPr>
      </w:pPr>
    </w:p>
    <w:p w14:paraId="753F95C9">
      <w:pPr>
        <w:rPr>
          <w:rFonts w:hint="eastAsia"/>
          <w:lang w:val="en-US" w:eastAsia="zh-CN"/>
        </w:rPr>
      </w:pPr>
    </w:p>
    <w:p w14:paraId="4C2F080C">
      <w:pPr>
        <w:pStyle w:val="7"/>
        <w:numPr>
          <w:ilvl w:val="0"/>
          <w:numId w:val="0"/>
        </w:numPr>
        <w:ind w:leftChars="0" w:right="0" w:rightChars="0"/>
        <w:rPr>
          <w:rFonts w:hint="eastAsia"/>
          <w:lang w:val="en-US" w:eastAsia="zh-CN"/>
        </w:rPr>
      </w:pPr>
    </w:p>
    <w:p w14:paraId="11188266">
      <w:pPr>
        <w:rPr>
          <w:rFonts w:hint="eastAsia"/>
          <w:lang w:val="en-US" w:eastAsia="zh-CN"/>
        </w:rPr>
      </w:pPr>
    </w:p>
    <w:p w14:paraId="0FD37F57">
      <w:pPr>
        <w:rPr>
          <w:rFonts w:hint="eastAsia"/>
          <w:lang w:val="en-US" w:eastAsia="zh-CN"/>
        </w:rPr>
      </w:pPr>
    </w:p>
    <w:p w14:paraId="0E9BD46E">
      <w:pPr>
        <w:pStyle w:val="3"/>
        <w:numPr>
          <w:ilvl w:val="0"/>
          <w:numId w:val="0"/>
        </w:numPr>
        <w:shd w:val="clear" w:color="auto" w:fill="auto"/>
        <w:spacing w:before="0" w:line="240" w:lineRule="atLeast"/>
        <w:ind w:leftChars="0" w:right="0" w:rightChars="0" w:firstLine="726" w:firstLineChars="200"/>
        <w:jc w:val="both"/>
        <w:rPr>
          <w:rFonts w:hint="eastAsia" w:ascii="仿宋" w:hAnsi="仿宋" w:eastAsia="仿宋" w:cs="仿宋"/>
          <w:color w:val="auto"/>
          <w:sz w:val="36"/>
          <w:szCs w:val="36"/>
          <w:highlight w:val="none"/>
          <w:lang w:val="en-US" w:eastAsia="zh-CN"/>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4、参加采购活动前三年内，未被“信用中国”（www.creditchina.gov.cn）、“中国政府采购网”（www.ccgp.gov.cn）列入失信被执行人、重大税收违法案件当事人名单、政府采购严重违法失信行为记录名单；</w:t>
      </w:r>
    </w:p>
    <w:p w14:paraId="4714012A">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43605C1">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126DD10">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5E345A56">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3CCB8DC">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73888F5">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324909E">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1B09A599">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B89F602">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ECFC18D">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103D0528">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F5C1576">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67BAC8E7">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799E9CE">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62306B83">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67942F1">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06EABE41">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AE620D0">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879A0BA">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2F999225">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3ED8396">
      <w:pPr>
        <w:rPr>
          <w:rFonts w:hint="eastAsia"/>
          <w:lang w:val="en-US" w:eastAsia="zh-CN"/>
        </w:rPr>
      </w:pPr>
    </w:p>
    <w:p w14:paraId="59278247">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4814D901">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000000" w:themeColor="text1"/>
          <w:sz w:val="36"/>
          <w:szCs w:val="36"/>
          <w:highlight w:val="none"/>
          <w:lang w:val="en-US" w:eastAsia="zh-CN"/>
          <w14:textFill>
            <w14:solidFill>
              <w14:schemeClr w14:val="tx1"/>
            </w14:solidFill>
          </w14:textFill>
        </w:rPr>
      </w:pPr>
    </w:p>
    <w:p w14:paraId="37A7FF12">
      <w:pPr>
        <w:pStyle w:val="3"/>
        <w:numPr>
          <w:ilvl w:val="0"/>
          <w:numId w:val="0"/>
        </w:numPr>
        <w:shd w:val="clear" w:color="auto" w:fill="auto"/>
        <w:spacing w:before="0" w:line="240" w:lineRule="atLeast"/>
        <w:ind w:leftChars="0" w:right="0" w:rightChars="0"/>
        <w:jc w:val="center"/>
        <w:rPr>
          <w:rFonts w:hint="eastAsia" w:ascii="仿宋" w:hAnsi="仿宋" w:eastAsia="仿宋" w:cs="仿宋"/>
          <w:color w:val="auto"/>
          <w:sz w:val="36"/>
          <w:szCs w:val="36"/>
          <w:highlight w:val="none"/>
          <w:lang w:val="en-US" w:eastAsia="zh-CN"/>
        </w:rPr>
      </w:pPr>
    </w:p>
    <w:p w14:paraId="7BD12473">
      <w:pPr>
        <w:shd w:val="clear" w:color="auto" w:fill="auto"/>
        <w:spacing w:line="440" w:lineRule="exact"/>
        <w:ind w:firstLine="533" w:firstLineChars="147"/>
        <w:rPr>
          <w:rFonts w:hint="eastAsia" w:ascii="仿宋" w:hAnsi="仿宋" w:eastAsia="仿宋" w:cs="仿宋"/>
          <w:b/>
          <w:color w:val="auto"/>
          <w:spacing w:val="0"/>
          <w:w w:val="100"/>
          <w:position w:val="0"/>
          <w:sz w:val="36"/>
          <w:szCs w:val="36"/>
          <w:highlight w:val="none"/>
          <w:shd w:val="clear" w:color="auto" w:fill="auto"/>
          <w:lang w:val="en-US" w:eastAsia="zh-CN" w:bidi="en-US"/>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5、供应商具备有效的《中华人民共和国金融许可证》或《金融机构营业许可证》。</w:t>
      </w:r>
    </w:p>
    <w:p w14:paraId="0493FC4F">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auto"/>
          <w:spacing w:val="0"/>
          <w:w w:val="100"/>
          <w:position w:val="0"/>
          <w:sz w:val="36"/>
          <w:szCs w:val="36"/>
          <w:shd w:val="clear" w:color="auto" w:fill="auto"/>
          <w:lang w:val="en-US" w:eastAsia="zh-CN" w:bidi="en-US"/>
        </w:rPr>
      </w:pPr>
    </w:p>
    <w:p w14:paraId="173C4CE6">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67859A6">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3FA61B4">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D2705F3">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45CAAF1">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52A2121">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EA86309">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070D35A8">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AB6E69D">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BDBA47A">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A699326">
      <w:pP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3372B76">
      <w:pP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CFA4E3B">
      <w:pP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E185271">
      <w:pP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9CE4CCF">
      <w:pP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0BF985A6">
      <w:pP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2909D6A9">
      <w:pP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31524684">
      <w:pP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358EE9B">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408BA3BF">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13561DF5">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76F80A1B">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5FDFF6FB">
      <w:pPr>
        <w:pStyle w:val="3"/>
        <w:numPr>
          <w:ilvl w:val="0"/>
          <w:numId w:val="0"/>
        </w:numPr>
        <w:shd w:val="clear" w:color="auto" w:fill="auto"/>
        <w:spacing w:before="0" w:line="240" w:lineRule="atLeast"/>
        <w:ind w:leftChars="0" w:right="0" w:rightChars="0"/>
        <w:jc w:val="center"/>
        <w:rPr>
          <w:rFonts w:hint="eastAsia" w:ascii="仿宋" w:hAnsi="仿宋" w:eastAsia="仿宋" w:cs="仿宋"/>
          <w:b/>
          <w:bCs/>
          <w:color w:val="000000" w:themeColor="text1"/>
          <w:spacing w:val="0"/>
          <w:w w:val="100"/>
          <w:position w:val="0"/>
          <w:sz w:val="36"/>
          <w:szCs w:val="36"/>
          <w:shd w:val="clear" w:color="auto" w:fill="auto"/>
          <w:lang w:val="en-US" w:eastAsia="zh-CN" w:bidi="en-US"/>
          <w14:textFill>
            <w14:solidFill>
              <w14:schemeClr w14:val="tx1"/>
            </w14:solidFill>
          </w14:textFill>
        </w:rPr>
      </w:pPr>
    </w:p>
    <w:p w14:paraId="634D369A">
      <w:pPr>
        <w:pStyle w:val="5"/>
        <w:shd w:val="clear" w:color="auto" w:fill="auto"/>
        <w:rPr>
          <w:rFonts w:hint="eastAsia" w:ascii="仿宋" w:hAnsi="仿宋" w:eastAsia="仿宋" w:cs="仿宋"/>
          <w:color w:val="000000" w:themeColor="text1"/>
          <w:highlight w:val="none"/>
          <w14:textFill>
            <w14:solidFill>
              <w14:schemeClr w14:val="tx1"/>
            </w14:solidFill>
          </w14:textFill>
        </w:rPr>
      </w:pPr>
    </w:p>
    <w:p w14:paraId="7F10CA82">
      <w:pPr>
        <w:shd w:val="clear" w:color="auto" w:fill="auto"/>
        <w:jc w:val="both"/>
        <w:rPr>
          <w:rFonts w:hint="eastAsia" w:ascii="仿宋" w:hAnsi="仿宋" w:eastAsia="仿宋" w:cs="仿宋"/>
          <w:b/>
          <w:color w:val="auto"/>
          <w:spacing w:val="0"/>
          <w:w w:val="100"/>
          <w:position w:val="0"/>
          <w:sz w:val="36"/>
          <w:szCs w:val="36"/>
          <w:highlight w:val="none"/>
          <w:shd w:val="clear" w:color="auto" w:fill="auto"/>
          <w:lang w:val="en-US" w:eastAsia="zh-CN" w:bidi="en-US"/>
        </w:rPr>
      </w:pPr>
      <w:r>
        <w:rPr>
          <w:rFonts w:hint="eastAsia" w:ascii="仿宋" w:hAnsi="仿宋" w:eastAsia="仿宋" w:cs="仿宋"/>
          <w:b/>
          <w:color w:val="auto"/>
          <w:spacing w:val="0"/>
          <w:w w:val="100"/>
          <w:position w:val="0"/>
          <w:sz w:val="36"/>
          <w:szCs w:val="36"/>
          <w:highlight w:val="none"/>
          <w:shd w:val="clear" w:color="auto" w:fill="auto"/>
          <w:lang w:val="en-US" w:eastAsia="zh-CN" w:bidi="en-US"/>
        </w:rPr>
        <w:t>6、投标人须知资料表要求的其他资格证明文件</w:t>
      </w:r>
    </w:p>
    <w:p w14:paraId="2DE824E8">
      <w:pPr>
        <w:shd w:val="clear" w:color="auto" w:fill="auto"/>
        <w:spacing w:line="360" w:lineRule="auto"/>
        <w:jc w:val="left"/>
        <w:rPr>
          <w:rFonts w:hint="eastAsia" w:ascii="仿宋" w:hAnsi="仿宋" w:eastAsia="仿宋" w:cs="仿宋"/>
          <w:b w:val="0"/>
          <w:bCs w:val="0"/>
          <w:color w:val="auto"/>
          <w:sz w:val="21"/>
          <w:szCs w:val="21"/>
          <w:lang w:val="en-US" w:eastAsia="zh-CN"/>
        </w:rPr>
      </w:pPr>
    </w:p>
    <w:p w14:paraId="41D573EC">
      <w:pPr>
        <w:shd w:val="clear" w:color="auto" w:fill="auto"/>
        <w:jc w:val="center"/>
        <w:rPr>
          <w:rFonts w:hint="eastAsia" w:ascii="仿宋" w:hAnsi="仿宋" w:eastAsia="仿宋" w:cs="仿宋"/>
          <w:b/>
          <w:bCs/>
          <w:color w:val="auto"/>
          <w:sz w:val="36"/>
          <w:szCs w:val="36"/>
          <w:highlight w:val="none"/>
        </w:rPr>
      </w:pPr>
    </w:p>
    <w:p w14:paraId="5A212A03">
      <w:pPr>
        <w:pStyle w:val="4"/>
        <w:rPr>
          <w:rFonts w:hint="eastAsia" w:ascii="仿宋" w:hAnsi="仿宋" w:eastAsia="仿宋" w:cs="仿宋"/>
          <w:b/>
          <w:bCs/>
          <w:color w:val="000000" w:themeColor="text1"/>
          <w:sz w:val="36"/>
          <w:szCs w:val="36"/>
          <w:highlight w:val="none"/>
          <w14:textFill>
            <w14:solidFill>
              <w14:schemeClr w14:val="tx1"/>
            </w14:solidFill>
          </w14:textFill>
        </w:rPr>
      </w:pPr>
    </w:p>
    <w:p w14:paraId="5D2657A4">
      <w:pPr>
        <w:rPr>
          <w:rFonts w:hint="eastAsia" w:ascii="仿宋" w:hAnsi="仿宋" w:eastAsia="仿宋" w:cs="仿宋"/>
          <w:b/>
          <w:bCs/>
          <w:color w:val="000000" w:themeColor="text1"/>
          <w:sz w:val="36"/>
          <w:szCs w:val="36"/>
          <w:highlight w:val="none"/>
          <w14:textFill>
            <w14:solidFill>
              <w14:schemeClr w14:val="tx1"/>
            </w14:solidFill>
          </w14:textFill>
        </w:rPr>
      </w:pPr>
    </w:p>
    <w:p w14:paraId="297C4B2E">
      <w:pPr>
        <w:pStyle w:val="4"/>
        <w:rPr>
          <w:rFonts w:hint="eastAsia" w:ascii="仿宋" w:hAnsi="仿宋" w:eastAsia="仿宋" w:cs="仿宋"/>
          <w:b/>
          <w:bCs/>
          <w:color w:val="000000" w:themeColor="text1"/>
          <w:sz w:val="36"/>
          <w:szCs w:val="36"/>
          <w:highlight w:val="none"/>
          <w14:textFill>
            <w14:solidFill>
              <w14:schemeClr w14:val="tx1"/>
            </w14:solidFill>
          </w14:textFill>
        </w:rPr>
      </w:pPr>
    </w:p>
    <w:p w14:paraId="529049EE">
      <w:pPr>
        <w:rPr>
          <w:rFonts w:hint="eastAsia" w:ascii="仿宋" w:hAnsi="仿宋" w:eastAsia="仿宋" w:cs="仿宋"/>
          <w:b/>
          <w:bCs/>
          <w:color w:val="000000" w:themeColor="text1"/>
          <w:sz w:val="36"/>
          <w:szCs w:val="36"/>
          <w:highlight w:val="none"/>
          <w14:textFill>
            <w14:solidFill>
              <w14:schemeClr w14:val="tx1"/>
            </w14:solidFill>
          </w14:textFill>
        </w:rPr>
      </w:pPr>
    </w:p>
    <w:p w14:paraId="4A1D683B">
      <w:pPr>
        <w:pStyle w:val="4"/>
        <w:rPr>
          <w:rFonts w:hint="eastAsia" w:ascii="仿宋" w:hAnsi="仿宋" w:eastAsia="仿宋" w:cs="仿宋"/>
          <w:b/>
          <w:bCs/>
          <w:color w:val="000000" w:themeColor="text1"/>
          <w:sz w:val="36"/>
          <w:szCs w:val="36"/>
          <w:highlight w:val="none"/>
          <w14:textFill>
            <w14:solidFill>
              <w14:schemeClr w14:val="tx1"/>
            </w14:solidFill>
          </w14:textFill>
        </w:rPr>
      </w:pPr>
    </w:p>
    <w:p w14:paraId="54BB4E6E">
      <w:pPr>
        <w:rPr>
          <w:rFonts w:hint="eastAsia" w:ascii="仿宋" w:hAnsi="仿宋" w:eastAsia="仿宋" w:cs="仿宋"/>
          <w:b/>
          <w:bCs/>
          <w:color w:val="000000" w:themeColor="text1"/>
          <w:sz w:val="36"/>
          <w:szCs w:val="36"/>
          <w:highlight w:val="none"/>
          <w14:textFill>
            <w14:solidFill>
              <w14:schemeClr w14:val="tx1"/>
            </w14:solidFill>
          </w14:textFill>
        </w:rPr>
      </w:pPr>
    </w:p>
    <w:p w14:paraId="602D64ED">
      <w:pPr>
        <w:pStyle w:val="7"/>
        <w:numPr>
          <w:ilvl w:val="0"/>
          <w:numId w:val="0"/>
        </w:numPr>
        <w:ind w:leftChars="0" w:right="0" w:rightChars="0"/>
        <w:rPr>
          <w:rFonts w:hint="eastAsia"/>
        </w:rPr>
      </w:pPr>
    </w:p>
    <w:p w14:paraId="4B87692B">
      <w:pPr>
        <w:rPr>
          <w:rFonts w:hint="eastAsia" w:ascii="仿宋" w:hAnsi="仿宋" w:eastAsia="仿宋" w:cs="仿宋"/>
          <w:b/>
          <w:bCs/>
          <w:color w:val="000000" w:themeColor="text1"/>
          <w:sz w:val="36"/>
          <w:szCs w:val="36"/>
          <w:highlight w:val="none"/>
          <w14:textFill>
            <w14:solidFill>
              <w14:schemeClr w14:val="tx1"/>
            </w14:solidFill>
          </w14:textFill>
        </w:rPr>
      </w:pPr>
    </w:p>
    <w:p w14:paraId="3F5E0572">
      <w:pPr>
        <w:pStyle w:val="7"/>
        <w:numPr>
          <w:ilvl w:val="0"/>
          <w:numId w:val="0"/>
        </w:numPr>
        <w:ind w:leftChars="0" w:right="0" w:rightChars="0"/>
        <w:rPr>
          <w:rFonts w:hint="eastAsia"/>
        </w:rPr>
      </w:pPr>
    </w:p>
    <w:p w14:paraId="3251163D">
      <w:pPr>
        <w:rPr>
          <w:rFonts w:hint="eastAsia" w:ascii="仿宋" w:hAnsi="仿宋" w:eastAsia="仿宋" w:cs="仿宋"/>
          <w:b/>
          <w:bCs/>
          <w:color w:val="000000" w:themeColor="text1"/>
          <w:sz w:val="36"/>
          <w:szCs w:val="36"/>
          <w:highlight w:val="none"/>
          <w14:textFill>
            <w14:solidFill>
              <w14:schemeClr w14:val="tx1"/>
            </w14:solidFill>
          </w14:textFill>
        </w:rPr>
      </w:pPr>
    </w:p>
    <w:p w14:paraId="440CD418">
      <w:pPr>
        <w:pStyle w:val="7"/>
        <w:numPr>
          <w:ilvl w:val="0"/>
          <w:numId w:val="0"/>
        </w:numPr>
        <w:ind w:leftChars="0" w:right="0" w:rightChars="0"/>
        <w:rPr>
          <w:rFonts w:hint="eastAsia"/>
        </w:rPr>
      </w:pPr>
    </w:p>
    <w:p w14:paraId="7FFB9A67">
      <w:pPr>
        <w:rPr>
          <w:rFonts w:hint="eastAsia" w:ascii="仿宋" w:hAnsi="仿宋" w:eastAsia="仿宋" w:cs="仿宋"/>
          <w:b/>
          <w:bCs/>
          <w:color w:val="000000" w:themeColor="text1"/>
          <w:sz w:val="36"/>
          <w:szCs w:val="36"/>
          <w:highlight w:val="none"/>
          <w14:textFill>
            <w14:solidFill>
              <w14:schemeClr w14:val="tx1"/>
            </w14:solidFill>
          </w14:textFill>
        </w:rPr>
      </w:pPr>
    </w:p>
    <w:p w14:paraId="55895826">
      <w:pPr>
        <w:pStyle w:val="7"/>
        <w:numPr>
          <w:ilvl w:val="0"/>
          <w:numId w:val="0"/>
        </w:numPr>
        <w:ind w:leftChars="0" w:right="0" w:rightChars="0"/>
        <w:rPr>
          <w:rFonts w:hint="eastAsia"/>
        </w:rPr>
      </w:pPr>
    </w:p>
    <w:p w14:paraId="2FBBA0AE">
      <w:pPr>
        <w:rPr>
          <w:rFonts w:hint="eastAsia" w:ascii="仿宋" w:hAnsi="仿宋" w:eastAsia="仿宋" w:cs="仿宋"/>
          <w:b/>
          <w:bCs/>
          <w:color w:val="000000" w:themeColor="text1"/>
          <w:sz w:val="36"/>
          <w:szCs w:val="36"/>
          <w:highlight w:val="none"/>
          <w14:textFill>
            <w14:solidFill>
              <w14:schemeClr w14:val="tx1"/>
            </w14:solidFill>
          </w14:textFill>
        </w:rPr>
      </w:pPr>
    </w:p>
    <w:p w14:paraId="5EB98FCE">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both"/>
        <w:textAlignment w:val="auto"/>
        <w:rPr>
          <w:rFonts w:hint="eastAsia" w:ascii="仿宋" w:hAnsi="仿宋" w:eastAsia="仿宋" w:cs="仿宋"/>
          <w:color w:val="auto"/>
          <w:sz w:val="32"/>
          <w:szCs w:val="32"/>
          <w:highlight w:val="none"/>
        </w:rPr>
      </w:pPr>
      <w:bookmarkStart w:id="90" w:name="_Toc5695"/>
      <w:bookmarkStart w:id="91" w:name="_Toc11180"/>
      <w:bookmarkStart w:id="92" w:name="_Toc22967"/>
      <w:bookmarkStart w:id="93" w:name="_Toc515647816"/>
    </w:p>
    <w:p w14:paraId="7F5E5C67">
      <w:pPr>
        <w:rPr>
          <w:rFonts w:hint="eastAsia" w:ascii="仿宋" w:hAnsi="仿宋" w:eastAsia="仿宋" w:cs="仿宋"/>
          <w:color w:val="auto"/>
          <w:sz w:val="32"/>
          <w:szCs w:val="32"/>
          <w:highlight w:val="none"/>
        </w:rPr>
      </w:pPr>
    </w:p>
    <w:p w14:paraId="329E528E">
      <w:pPr>
        <w:pStyle w:val="7"/>
        <w:numPr>
          <w:ilvl w:val="0"/>
          <w:numId w:val="0"/>
        </w:numPr>
        <w:ind w:leftChars="0" w:right="0" w:rightChars="0"/>
        <w:rPr>
          <w:rFonts w:hint="eastAsia"/>
        </w:rPr>
      </w:pPr>
    </w:p>
    <w:p w14:paraId="06DE6718">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w:t>
      </w:r>
      <w:r>
        <w:rPr>
          <w:rFonts w:hint="eastAsia" w:ascii="仿宋" w:hAnsi="仿宋" w:eastAsia="仿宋" w:cs="仿宋"/>
          <w:color w:val="auto"/>
          <w:sz w:val="32"/>
          <w:szCs w:val="32"/>
          <w:highlight w:val="none"/>
          <w:lang w:val="en-US" w:eastAsia="zh-CN"/>
        </w:rPr>
        <w:t>章节</w:t>
      </w:r>
      <w:r>
        <w:rPr>
          <w:rFonts w:hint="eastAsia" w:ascii="仿宋" w:hAnsi="仿宋" w:eastAsia="仿宋" w:cs="仿宋"/>
          <w:color w:val="auto"/>
          <w:sz w:val="32"/>
          <w:szCs w:val="32"/>
          <w:highlight w:val="none"/>
        </w:rPr>
        <w:t xml:space="preserve">  商务及技术文件</w:t>
      </w:r>
      <w:bookmarkEnd w:id="90"/>
      <w:bookmarkEnd w:id="91"/>
      <w:bookmarkEnd w:id="92"/>
      <w:bookmarkEnd w:id="93"/>
    </w:p>
    <w:p w14:paraId="1A8DAA05">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14:paraId="01E0CD9E">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lang w:val="en-US" w:eastAsia="zh-CN"/>
        </w:rPr>
      </w:pPr>
      <w:r>
        <w:rPr>
          <w:rFonts w:hint="eastAsia" w:ascii="仿宋" w:hAnsi="仿宋" w:eastAsia="仿宋" w:cs="仿宋"/>
          <w:lang w:val="en-US" w:eastAsia="zh-CN"/>
        </w:rPr>
        <w:t>2、开标一览表</w:t>
      </w:r>
    </w:p>
    <w:p w14:paraId="1D4014AD">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000000"/>
          <w:spacing w:val="0"/>
          <w:w w:val="100"/>
          <w:kern w:val="0"/>
          <w:position w:val="0"/>
          <w:sz w:val="24"/>
          <w:szCs w:val="20"/>
          <w:u w:val="none" w:color="000000"/>
          <w:shd w:val="clear" w:color="auto" w:fill="auto"/>
          <w:lang w:val="en-US" w:eastAsia="zh-CN" w:bidi="en-US"/>
        </w:rPr>
        <w:t>3、说明一览表</w:t>
      </w:r>
    </w:p>
    <w:p w14:paraId="6F339754">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、投标报价明细表</w:t>
      </w:r>
    </w:p>
    <w:p w14:paraId="77ABBB15">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14:paraId="5C9B672E">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14:paraId="5980D543">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7、投标人基本情况表</w:t>
      </w:r>
    </w:p>
    <w:p w14:paraId="3714BAE3">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评分标准和细则中技术部分证明材料（格式自拟）</w:t>
      </w:r>
    </w:p>
    <w:p w14:paraId="37DAB28D">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评分标准和细则中</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lang w:eastAsia="zh-CN"/>
        </w:rPr>
        <w:t>部分证明材料（格式自拟）</w:t>
      </w:r>
    </w:p>
    <w:p w14:paraId="32EE4635">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投标人认为有必要提供的其他证明材料（格式自拟）</w:t>
      </w:r>
    </w:p>
    <w:p w14:paraId="69E07A52">
      <w:pPr>
        <w:pStyle w:val="9"/>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lang w:eastAsia="zh-CN"/>
        </w:rPr>
        <w:t>政府采购优惠政策声明函</w:t>
      </w:r>
    </w:p>
    <w:p w14:paraId="0F6B1164">
      <w:pPr>
        <w:pStyle w:val="9"/>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9CDC319">
      <w:pPr>
        <w:pStyle w:val="7"/>
        <w:numPr>
          <w:ilvl w:val="0"/>
          <w:numId w:val="0"/>
        </w:numPr>
        <w:kinsoku w:val="0"/>
        <w:overflowPunct w:val="0"/>
        <w:spacing w:before="130" w:line="355" w:lineRule="auto"/>
        <w:ind w:left="480" w:leftChars="0" w:right="7" w:right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、投标函</w:t>
      </w:r>
    </w:p>
    <w:p w14:paraId="0C9CA7CF">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u w:val="single"/>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p>
    <w:p w14:paraId="7F6AB3EC">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14:paraId="176F52B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14:paraId="49093BF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7F38808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14:paraId="661757BD">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14:paraId="7A58C0A9">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（一）按招标文件提供的全部货物与相关服务的投标总价详见《报价一览表》。</w:t>
      </w:r>
    </w:p>
    <w:p w14:paraId="5D0A585D">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60</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E3F3715">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14:paraId="01AF6F8A">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）我方理解贵方不一定接受最低投标价或任何贵方可能收到的投标。</w:t>
      </w:r>
    </w:p>
    <w:p w14:paraId="0424DE06">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14:paraId="1298EE14">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14:paraId="5A743E00">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14:paraId="09F67B20">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14:paraId="39AFB0D7">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14:paraId="76DF3ADA">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14:paraId="007A4252">
      <w:pPr>
        <w:spacing w:line="480" w:lineRule="exact"/>
        <w:ind w:firstLine="486"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14:paraId="1D28369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14:paraId="2941823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14:paraId="2752B50D">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14:paraId="020C30B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14:paraId="7B3F81D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14:paraId="2801BDE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14:paraId="308878E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14:paraId="4BEA9394">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14:paraId="47489036">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05EE366">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D48D77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645F88A">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E15538A">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468F9979">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5223CEDF">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14:paraId="758B41D1">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rPr>
        <w:t>（</w:t>
      </w:r>
      <w:r>
        <w:rPr>
          <w:rFonts w:hint="eastAsia" w:ascii="仿宋" w:hAnsi="仿宋" w:eastAsia="仿宋" w:cs="仿宋"/>
          <w:kern w:val="0"/>
          <w:sz w:val="24"/>
          <w:u w:val="none"/>
          <w:lang w:eastAsia="zh-CN"/>
        </w:rPr>
        <w:t>签章</w:t>
      </w:r>
      <w:r>
        <w:rPr>
          <w:rFonts w:hint="eastAsia" w:ascii="仿宋" w:hAnsi="仿宋" w:eastAsia="仿宋" w:cs="仿宋"/>
          <w:kern w:val="0"/>
          <w:sz w:val="24"/>
          <w:u w:val="none"/>
        </w:rPr>
        <w:t>）</w:t>
      </w:r>
    </w:p>
    <w:p w14:paraId="71C7B0F3">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（签字）</w:t>
      </w:r>
    </w:p>
    <w:p w14:paraId="7F8ABD48">
      <w:pPr>
        <w:keepNext w:val="0"/>
        <w:keepLines w:val="0"/>
        <w:pageBreakBefore w:val="0"/>
        <w:widowControl w:val="0"/>
        <w:wordWrap w:val="0"/>
        <w:topLinePunct w:val="0"/>
        <w:autoSpaceDE/>
        <w:autoSpaceDN/>
        <w:bidi w:val="0"/>
        <w:adjustRightInd/>
        <w:snapToGrid/>
        <w:spacing w:line="360" w:lineRule="auto"/>
        <w:ind w:firstLine="486"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15F5255B">
      <w:pPr>
        <w:pStyle w:val="24"/>
        <w:rPr>
          <w:rFonts w:hint="eastAsia" w:ascii="仿宋" w:hAnsi="仿宋" w:eastAsia="仿宋" w:cs="仿宋"/>
          <w:color w:val="auto"/>
          <w:sz w:val="24"/>
          <w:highlight w:val="none"/>
        </w:rPr>
      </w:pPr>
      <w:r>
        <w:rPr>
          <w:rFonts w:hint="eastAsia" w:ascii="仿宋" w:hAnsi="仿宋" w:eastAsia="仿宋" w:cs="仿宋"/>
        </w:rPr>
        <w:br w:type="page"/>
      </w:r>
    </w:p>
    <w:p w14:paraId="7A14FC8F">
      <w:pPr>
        <w:pStyle w:val="5"/>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24DF69BB">
      <w:pPr>
        <w:shd w:val="clear" w:color="auto" w:fill="auto"/>
        <w:adjustRightInd w:val="0"/>
        <w:snapToGrid w:val="0"/>
        <w:spacing w:line="500" w:lineRule="exac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val="en-US" w:eastAsia="zh-CN"/>
        </w:rPr>
        <w:t xml:space="preserve">    </w:t>
      </w:r>
    </w:p>
    <w:p w14:paraId="6F9118D9">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06EC8752">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单位：元（人民币）</w:t>
      </w:r>
    </w:p>
    <w:tbl>
      <w:tblPr>
        <w:tblStyle w:val="1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25A1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7A9B1B9B">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14:paraId="2614E7E9">
            <w:pPr>
              <w:shd w:val="clear" w:color="auto" w:fill="auto"/>
              <w:rPr>
                <w:rFonts w:hint="eastAsia" w:ascii="仿宋" w:hAnsi="仿宋" w:eastAsia="仿宋" w:cs="仿宋"/>
                <w:color w:val="auto"/>
                <w:szCs w:val="21"/>
                <w:highlight w:val="none"/>
              </w:rPr>
            </w:pPr>
          </w:p>
        </w:tc>
      </w:tr>
      <w:tr w14:paraId="327B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19161155">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期</w:t>
            </w:r>
          </w:p>
        </w:tc>
        <w:tc>
          <w:tcPr>
            <w:tcW w:w="6185" w:type="dxa"/>
            <w:noWrap w:val="0"/>
            <w:vAlign w:val="center"/>
          </w:tcPr>
          <w:p w14:paraId="6AFACFA1">
            <w:pPr>
              <w:shd w:val="clear" w:color="auto" w:fill="auto"/>
              <w:jc w:val="center"/>
              <w:rPr>
                <w:rFonts w:hint="eastAsia" w:ascii="仿宋" w:hAnsi="仿宋" w:eastAsia="仿宋" w:cs="仿宋"/>
                <w:color w:val="auto"/>
                <w:szCs w:val="21"/>
                <w:highlight w:val="none"/>
              </w:rPr>
            </w:pPr>
          </w:p>
        </w:tc>
      </w:tr>
      <w:tr w14:paraId="3FA0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04B3C3AF">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51913392">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1124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3AE69DB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30F90DA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4386FE1A">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51EA4F2E">
            <w:pPr>
              <w:shd w:val="clear" w:color="auto" w:fill="auto"/>
              <w:jc w:val="center"/>
              <w:rPr>
                <w:rFonts w:hint="eastAsia" w:ascii="仿宋" w:hAnsi="仿宋" w:eastAsia="仿宋" w:cs="仿宋"/>
                <w:color w:val="auto"/>
                <w:szCs w:val="21"/>
                <w:highlight w:val="none"/>
              </w:rPr>
            </w:pPr>
          </w:p>
        </w:tc>
      </w:tr>
      <w:tr w14:paraId="1D60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2298F74B">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263FA33F">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2106E1D9">
            <w:pPr>
              <w:shd w:val="clear" w:color="auto" w:fill="auto"/>
              <w:jc w:val="center"/>
              <w:rPr>
                <w:rFonts w:hint="eastAsia" w:ascii="仿宋" w:hAnsi="仿宋" w:eastAsia="仿宋" w:cs="仿宋"/>
                <w:color w:val="auto"/>
                <w:szCs w:val="21"/>
                <w:highlight w:val="none"/>
              </w:rPr>
            </w:pPr>
          </w:p>
        </w:tc>
      </w:tr>
      <w:tr w14:paraId="43E8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2595" w:type="dxa"/>
            <w:gridSpan w:val="2"/>
            <w:noWrap w:val="0"/>
            <w:vAlign w:val="center"/>
          </w:tcPr>
          <w:p w14:paraId="4F7C3EC8">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合计（元）</w:t>
            </w:r>
          </w:p>
        </w:tc>
        <w:tc>
          <w:tcPr>
            <w:tcW w:w="6185" w:type="dxa"/>
            <w:noWrap w:val="0"/>
            <w:vAlign w:val="center"/>
          </w:tcPr>
          <w:p w14:paraId="5E91D6A3">
            <w:pPr>
              <w:shd w:val="clear" w:color="auto" w:fill="auto"/>
              <w:jc w:val="center"/>
              <w:rPr>
                <w:rFonts w:hint="eastAsia" w:ascii="仿宋" w:hAnsi="仿宋" w:eastAsia="仿宋" w:cs="仿宋"/>
                <w:color w:val="auto"/>
                <w:szCs w:val="21"/>
                <w:highlight w:val="none"/>
              </w:rPr>
            </w:pPr>
          </w:p>
        </w:tc>
      </w:tr>
    </w:tbl>
    <w:p w14:paraId="3EC13051">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62BEE043">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本项目为后唱标评审，请在商务文件中就上传本表</w:t>
      </w:r>
      <w:r>
        <w:rPr>
          <w:rFonts w:hint="eastAsia" w:ascii="仿宋" w:hAnsi="仿宋" w:eastAsia="仿宋" w:cs="仿宋"/>
          <w:b/>
          <w:bCs/>
          <w:color w:val="auto"/>
          <w:sz w:val="24"/>
          <w:highlight w:val="none"/>
        </w:rPr>
        <w:t>。</w:t>
      </w:r>
    </w:p>
    <w:p w14:paraId="500FAF60">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w:t>
      </w: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3067A87C">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27C41715">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14B41CCD">
      <w:pPr>
        <w:shd w:val="clear" w:color="auto" w:fill="auto"/>
        <w:spacing w:line="500" w:lineRule="exact"/>
        <w:ind w:firstLine="2916" w:firstLineChars="1200"/>
        <w:rPr>
          <w:rFonts w:hint="eastAsia" w:ascii="仿宋" w:hAnsi="仿宋" w:eastAsia="仿宋" w:cs="仿宋"/>
          <w:color w:val="auto"/>
          <w:szCs w:val="21"/>
          <w:highlight w:val="none"/>
        </w:rPr>
      </w:pPr>
    </w:p>
    <w:p w14:paraId="18A23606">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xml:space="preserve">（公章）     </w:t>
      </w:r>
      <w:r>
        <w:rPr>
          <w:rFonts w:hint="eastAsia" w:ascii="仿宋" w:hAnsi="仿宋" w:eastAsia="仿宋" w:cs="仿宋"/>
          <w:color w:val="auto"/>
          <w:szCs w:val="21"/>
          <w:highlight w:val="none"/>
        </w:rPr>
        <w:t xml:space="preserve">       </w:t>
      </w:r>
    </w:p>
    <w:p w14:paraId="62FBA313">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r>
        <w:rPr>
          <w:rFonts w:hint="eastAsia" w:ascii="仿宋" w:hAnsi="仿宋" w:eastAsia="仿宋" w:cs="仿宋"/>
          <w:color w:val="auto"/>
          <w:szCs w:val="21"/>
          <w:highlight w:val="none"/>
        </w:rPr>
        <w:t xml:space="preserve"> </w:t>
      </w:r>
    </w:p>
    <w:p w14:paraId="578F6519">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（签字）</w:t>
      </w:r>
      <w:r>
        <w:rPr>
          <w:rFonts w:hint="eastAsia" w:ascii="仿宋" w:hAnsi="仿宋" w:eastAsia="仿宋" w:cs="仿宋"/>
          <w:color w:val="auto"/>
          <w:szCs w:val="21"/>
          <w:highlight w:val="none"/>
        </w:rPr>
        <w:t xml:space="preserve">  </w:t>
      </w:r>
    </w:p>
    <w:p w14:paraId="7A39C377">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2222AFF3">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54AFE45">
      <w:pPr>
        <w:pStyle w:val="3"/>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2032A8C">
      <w:pPr>
        <w:pStyle w:val="31"/>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3、服务说明一览表</w:t>
      </w:r>
    </w:p>
    <w:p w14:paraId="0B07B145">
      <w:pPr>
        <w:pStyle w:val="9"/>
        <w:shd w:val="clear" w:color="auto" w:fill="auto"/>
        <w:spacing w:line="240" w:lineRule="atLeast"/>
        <w:rPr>
          <w:rFonts w:hint="eastAsia" w:ascii="仿宋" w:hAnsi="仿宋" w:eastAsia="仿宋" w:cs="仿宋"/>
          <w:color w:val="auto"/>
          <w:sz w:val="24"/>
          <w:highlight w:val="none"/>
        </w:rPr>
      </w:pPr>
    </w:p>
    <w:p w14:paraId="67FB5AF9">
      <w:pPr>
        <w:pStyle w:val="9"/>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14:paraId="6F0CE216">
      <w:pPr>
        <w:pStyle w:val="9"/>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14:paraId="5C9DD2E5">
      <w:pPr>
        <w:pStyle w:val="9"/>
        <w:shd w:val="clear" w:color="auto" w:fill="auto"/>
        <w:spacing w:line="240" w:lineRule="atLeast"/>
        <w:ind w:left="1164" w:leftChars="257" w:hanging="540"/>
        <w:rPr>
          <w:rFonts w:hint="eastAsia" w:ascii="仿宋" w:hAnsi="仿宋" w:eastAsia="仿宋" w:cs="仿宋"/>
          <w:color w:val="auto"/>
          <w:sz w:val="24"/>
          <w:highlight w:val="none"/>
        </w:rPr>
      </w:pPr>
    </w:p>
    <w:tbl>
      <w:tblPr>
        <w:tblStyle w:val="18"/>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83"/>
        <w:gridCol w:w="1138"/>
        <w:gridCol w:w="1275"/>
        <w:gridCol w:w="1198"/>
        <w:gridCol w:w="1198"/>
        <w:gridCol w:w="1218"/>
        <w:gridCol w:w="1160"/>
      </w:tblGrid>
      <w:tr w14:paraId="4C4E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209990B2">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83" w:type="dxa"/>
            <w:noWrap w:val="0"/>
            <w:vAlign w:val="top"/>
          </w:tcPr>
          <w:p w14:paraId="12A20BD6">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服务名称</w:t>
            </w:r>
          </w:p>
        </w:tc>
        <w:tc>
          <w:tcPr>
            <w:tcW w:w="1138" w:type="dxa"/>
            <w:noWrap w:val="0"/>
            <w:vAlign w:val="top"/>
          </w:tcPr>
          <w:p w14:paraId="725049C5">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规格</w:t>
            </w:r>
          </w:p>
        </w:tc>
        <w:tc>
          <w:tcPr>
            <w:tcW w:w="1275" w:type="dxa"/>
            <w:noWrap w:val="0"/>
            <w:vAlign w:val="top"/>
          </w:tcPr>
          <w:p w14:paraId="0379BD9D">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198" w:type="dxa"/>
            <w:noWrap w:val="0"/>
            <w:vAlign w:val="top"/>
          </w:tcPr>
          <w:p w14:paraId="0ACDAFC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单位</w:t>
            </w:r>
          </w:p>
        </w:tc>
        <w:tc>
          <w:tcPr>
            <w:tcW w:w="1198" w:type="dxa"/>
            <w:noWrap w:val="0"/>
            <w:vAlign w:val="top"/>
          </w:tcPr>
          <w:p w14:paraId="330D700D">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服务期</w:t>
            </w:r>
          </w:p>
        </w:tc>
        <w:tc>
          <w:tcPr>
            <w:tcW w:w="1218" w:type="dxa"/>
            <w:noWrap w:val="0"/>
            <w:vAlign w:val="top"/>
          </w:tcPr>
          <w:p w14:paraId="3DD657E4">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服务地点</w:t>
            </w:r>
          </w:p>
        </w:tc>
        <w:tc>
          <w:tcPr>
            <w:tcW w:w="1160" w:type="dxa"/>
            <w:noWrap w:val="0"/>
            <w:vAlign w:val="top"/>
          </w:tcPr>
          <w:p w14:paraId="0E892789">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6A7B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6AF6A7D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528F98D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ED665E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66153D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9174AD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4F63FC3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5C607DE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76714B6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6EC8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3829C2C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6A3D3C0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96FE2B4">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7F4EEDE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6F22C3B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24946F1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39A93F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1E7CED3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3170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22D607E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10936B2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054422F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5E05CEC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BD60A71">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CEF24DE">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8467644">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25EB67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0591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9D5B2A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271B166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48E2935E">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43A5CA0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9EA00C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54A5FC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4B2B42B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A20C42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23FD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0A804281">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65BAB13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76F09EE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04DCF4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1272BC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229EA5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6CA1103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8097E90">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403F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5CC4A26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74C857B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03298AB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4469B41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68AE4A4D">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16EDFE57">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6AE0269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76193C8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1E4C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003B5CA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11A54DA8">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637FC23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1296D45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8688DA2">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2225C425">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27E3C5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69086B33">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2D7B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10CF171B">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683" w:type="dxa"/>
            <w:noWrap w:val="0"/>
            <w:vAlign w:val="top"/>
          </w:tcPr>
          <w:p w14:paraId="2A2AA09A">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38" w:type="dxa"/>
            <w:noWrap w:val="0"/>
            <w:vAlign w:val="top"/>
          </w:tcPr>
          <w:p w14:paraId="1622BF6C">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75" w:type="dxa"/>
            <w:noWrap w:val="0"/>
            <w:vAlign w:val="top"/>
          </w:tcPr>
          <w:p w14:paraId="3031461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1CB11BA6">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32E19B8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4927257F">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6C33B6A9">
            <w:pPr>
              <w:pStyle w:val="9"/>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14:paraId="589ECF8B">
      <w:pPr>
        <w:pStyle w:val="9"/>
        <w:shd w:val="clear" w:color="auto" w:fill="auto"/>
        <w:spacing w:line="240" w:lineRule="atLeast"/>
        <w:ind w:left="1164" w:leftChars="257" w:hanging="540"/>
        <w:rPr>
          <w:rFonts w:hint="eastAsia" w:ascii="仿宋" w:hAnsi="仿宋" w:eastAsia="仿宋" w:cs="仿宋"/>
          <w:color w:val="auto"/>
          <w:sz w:val="24"/>
          <w:highlight w:val="none"/>
        </w:rPr>
      </w:pPr>
    </w:p>
    <w:p w14:paraId="5D345154">
      <w:pPr>
        <w:pStyle w:val="9"/>
        <w:shd w:val="clear" w:color="auto" w:fill="auto"/>
        <w:spacing w:line="240" w:lineRule="atLeast"/>
        <w:ind w:left="1348" w:leftChars="555" w:firstLine="1883" w:firstLineChars="775"/>
        <w:rPr>
          <w:rFonts w:hint="eastAsia" w:ascii="宋体" w:hAnsi="宋体" w:eastAsia="宋体" w:cs="宋体"/>
          <w:color w:val="auto"/>
          <w:sz w:val="24"/>
          <w:highlight w:val="none"/>
        </w:rPr>
      </w:pPr>
    </w:p>
    <w:p w14:paraId="5173DCE9">
      <w:pPr>
        <w:pStyle w:val="9"/>
        <w:shd w:val="clear" w:color="auto" w:fill="auto"/>
        <w:spacing w:line="240" w:lineRule="atLeast"/>
        <w:ind w:left="1348" w:leftChars="555" w:firstLine="1883" w:firstLineChars="775"/>
        <w:rPr>
          <w:rFonts w:hint="eastAsia" w:ascii="宋体" w:hAnsi="宋体" w:eastAsia="宋体" w:cs="宋体"/>
          <w:color w:val="auto"/>
          <w:sz w:val="24"/>
          <w:highlight w:val="none"/>
        </w:rPr>
      </w:pPr>
    </w:p>
    <w:p w14:paraId="08C91208">
      <w:pPr>
        <w:pStyle w:val="9"/>
        <w:shd w:val="clear" w:color="auto" w:fill="auto"/>
        <w:spacing w:line="360" w:lineRule="auto"/>
        <w:ind w:left="1348" w:leftChars="555" w:firstLine="1883" w:firstLineChars="7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none" w:color="auto"/>
          <w:lang w:eastAsia="zh-CN"/>
        </w:rPr>
        <w:t>（</w:t>
      </w:r>
      <w:r>
        <w:rPr>
          <w:rFonts w:hint="eastAsia" w:hAnsi="宋体" w:eastAsia="宋体" w:cs="宋体"/>
          <w:color w:val="auto"/>
          <w:sz w:val="24"/>
          <w:highlight w:val="none"/>
          <w:u w:val="none" w:color="auto"/>
          <w:lang w:val="en-US" w:eastAsia="zh-CN"/>
        </w:rPr>
        <w:t>盖</w:t>
      </w:r>
      <w:r>
        <w:rPr>
          <w:rFonts w:hint="eastAsia" w:hAnsi="宋体" w:cs="宋体"/>
          <w:color w:val="auto"/>
          <w:sz w:val="24"/>
        </w:rPr>
        <w:t>单位</w:t>
      </w:r>
      <w:r>
        <w:rPr>
          <w:rFonts w:hint="eastAsia" w:hAnsi="宋体" w:eastAsia="宋体" w:cs="宋体"/>
          <w:color w:val="auto"/>
          <w:sz w:val="24"/>
          <w:highlight w:val="none"/>
          <w:u w:val="none" w:color="auto"/>
          <w:lang w:val="en-US" w:eastAsia="zh-CN"/>
        </w:rPr>
        <w:t>章</w:t>
      </w:r>
      <w:r>
        <w:rPr>
          <w:rFonts w:hint="eastAsia" w:hAnsi="宋体" w:eastAsia="宋体" w:cs="宋体"/>
          <w:color w:val="auto"/>
          <w:sz w:val="24"/>
          <w:highlight w:val="none"/>
          <w:u w:val="none" w:color="auto"/>
          <w:lang w:eastAsia="zh-CN"/>
        </w:rPr>
        <w:t>）</w:t>
      </w:r>
    </w:p>
    <w:p w14:paraId="4BF81F44">
      <w:pPr>
        <w:pStyle w:val="9"/>
        <w:shd w:val="clear" w:color="auto" w:fill="auto"/>
        <w:tabs>
          <w:tab w:val="left" w:pos="5370"/>
        </w:tabs>
        <w:spacing w:line="360" w:lineRule="auto"/>
        <w:ind w:left="1348" w:leftChars="555" w:firstLine="1883" w:firstLineChars="775"/>
        <w:rPr>
          <w:rFonts w:hint="eastAsia" w:hAnsi="宋体" w:eastAsia="宋体" w:cs="宋体"/>
          <w:color w:val="auto"/>
          <w:sz w:val="24"/>
          <w:highlight w:val="none"/>
          <w:u w:val="none" w:color="auto"/>
          <w:lang w:val="en-US" w:eastAsia="zh-CN"/>
        </w:rPr>
      </w:pPr>
      <w:r>
        <w:rPr>
          <w:rFonts w:hint="eastAsia" w:ascii="宋体" w:hAnsi="宋体" w:eastAsia="宋体" w:cs="宋体"/>
          <w:color w:val="auto"/>
          <w:sz w:val="24"/>
          <w:highlight w:val="none"/>
        </w:rPr>
        <w:t>法定代表人:</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color="auto"/>
          <w:lang w:val="en-US" w:eastAsia="zh-CN"/>
        </w:rPr>
        <w:t>(签章)</w:t>
      </w:r>
    </w:p>
    <w:p w14:paraId="285804B6">
      <w:pPr>
        <w:pStyle w:val="9"/>
        <w:shd w:val="clear" w:color="auto" w:fill="auto"/>
        <w:spacing w:line="360" w:lineRule="auto"/>
        <w:ind w:left="1348" w:leftChars="555" w:firstLine="1883" w:firstLineChars="775"/>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授权代表：                   （签字）</w:t>
      </w:r>
    </w:p>
    <w:p w14:paraId="0DEFD35D">
      <w:pPr>
        <w:pStyle w:val="9"/>
        <w:shd w:val="clear" w:color="auto" w:fill="auto"/>
        <w:spacing w:line="240" w:lineRule="atLeast"/>
        <w:ind w:left="1164" w:leftChars="257" w:hanging="540"/>
        <w:rPr>
          <w:rFonts w:hint="eastAsia" w:ascii="宋体" w:hAnsi="宋体" w:eastAsia="宋体" w:cs="宋体"/>
          <w:color w:val="auto"/>
          <w:sz w:val="24"/>
          <w:highlight w:val="none"/>
        </w:rPr>
      </w:pPr>
    </w:p>
    <w:p w14:paraId="225BACAB">
      <w:pPr>
        <w:pStyle w:val="9"/>
        <w:shd w:val="clear" w:color="auto" w:fill="auto"/>
        <w:spacing w:line="240" w:lineRule="atLeast"/>
        <w:ind w:left="1164" w:leftChars="257" w:hanging="540"/>
        <w:rPr>
          <w:rFonts w:hint="eastAsia" w:ascii="宋体" w:hAnsi="宋体" w:eastAsia="宋体" w:cs="宋体"/>
          <w:color w:val="auto"/>
          <w:sz w:val="24"/>
          <w:highlight w:val="none"/>
        </w:rPr>
      </w:pPr>
    </w:p>
    <w:p w14:paraId="7112BDDF">
      <w:pPr>
        <w:pStyle w:val="9"/>
        <w:shd w:val="clear" w:color="auto" w:fill="auto"/>
        <w:spacing w:line="240" w:lineRule="atLeast"/>
        <w:ind w:left="1164" w:leftChars="257" w:hanging="540"/>
        <w:jc w:val="center"/>
        <w:rPr>
          <w:rFonts w:hint="eastAsia" w:ascii="宋体" w:hAnsi="宋体" w:eastAsia="宋体" w:cs="宋体"/>
          <w:color w:val="auto"/>
          <w:sz w:val="24"/>
          <w:highlight w:val="none"/>
        </w:rPr>
      </w:pPr>
    </w:p>
    <w:p w14:paraId="696F2CAA">
      <w:pPr>
        <w:pStyle w:val="9"/>
        <w:shd w:val="clear" w:color="auto" w:fill="auto"/>
        <w:spacing w:line="240" w:lineRule="atLeast"/>
        <w:ind w:left="1164" w:leftChars="257" w:hanging="540"/>
        <w:jc w:val="center"/>
        <w:rPr>
          <w:rFonts w:hint="eastAsia" w:ascii="宋体" w:hAnsi="宋体" w:eastAsia="宋体" w:cs="宋体"/>
          <w:color w:val="auto"/>
          <w:sz w:val="24"/>
          <w:highlight w:val="none"/>
        </w:rPr>
        <w:sectPr>
          <w:headerReference r:id="rId8" w:type="default"/>
          <w:footerReference r:id="rId9" w:type="default"/>
          <w:pgSz w:w="11905" w:h="16838"/>
          <w:pgMar w:top="1440" w:right="1797" w:bottom="1440" w:left="1797" w:header="850" w:footer="992" w:gutter="0"/>
          <w:pgNumType w:fmt="decimal"/>
          <w:cols w:space="720" w:num="1"/>
          <w:rtlGutter w:val="0"/>
          <w:docGrid w:type="linesAndChars" w:linePitch="325" w:charSpace="635"/>
        </w:sectPr>
      </w:pPr>
    </w:p>
    <w:p w14:paraId="15680BE4">
      <w:pPr>
        <w:pStyle w:val="31"/>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spacing w:val="0"/>
          <w:w w:val="100"/>
          <w:position w:val="0"/>
        </w:rPr>
      </w:pPr>
      <w:r>
        <w:rPr>
          <w:rFonts w:hint="eastAsia" w:ascii="仿宋" w:hAnsi="仿宋" w:eastAsia="仿宋" w:cs="仿宋"/>
          <w:b/>
          <w:bCs/>
          <w:color w:val="000000"/>
          <w:spacing w:val="0"/>
          <w:w w:val="100"/>
          <w:position w:val="0"/>
          <w:lang w:val="en-US" w:eastAsia="zh-CN"/>
        </w:rPr>
        <w:t>4</w:t>
      </w:r>
      <w:r>
        <w:rPr>
          <w:rFonts w:hint="eastAsia" w:ascii="仿宋" w:hAnsi="仿宋" w:eastAsia="仿宋" w:cs="仿宋"/>
          <w:b/>
          <w:bCs/>
          <w:color w:val="000000"/>
          <w:spacing w:val="0"/>
          <w:w w:val="100"/>
          <w:position w:val="0"/>
          <w:lang w:eastAsia="zh-CN"/>
        </w:rPr>
        <w:t>、</w:t>
      </w:r>
      <w:r>
        <w:rPr>
          <w:rFonts w:hint="eastAsia" w:ascii="仿宋" w:hAnsi="仿宋" w:eastAsia="仿宋" w:cs="仿宋"/>
          <w:b/>
          <w:bCs/>
          <w:color w:val="000000"/>
          <w:spacing w:val="0"/>
          <w:w w:val="100"/>
          <w:position w:val="0"/>
        </w:rPr>
        <w:t>投标报价明细表</w:t>
      </w:r>
    </w:p>
    <w:p w14:paraId="6BFD828C">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35F02A59">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0A80FC9A">
      <w:pPr>
        <w:pStyle w:val="9"/>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单位：</w:t>
      </w:r>
      <w:r>
        <w:rPr>
          <w:rFonts w:hint="eastAsia" w:ascii="仿宋" w:hAnsi="仿宋" w:eastAsia="仿宋" w:cs="仿宋"/>
          <w:color w:val="auto"/>
          <w:szCs w:val="21"/>
        </w:rPr>
        <w:t>元（人民币）</w:t>
      </w:r>
    </w:p>
    <w:tbl>
      <w:tblPr>
        <w:tblStyle w:val="18"/>
        <w:tblW w:w="79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1222"/>
        <w:gridCol w:w="751"/>
        <w:gridCol w:w="664"/>
        <w:gridCol w:w="664"/>
        <w:gridCol w:w="819"/>
      </w:tblGrid>
      <w:tr w14:paraId="1E4DA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6EC6B5D0">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69CC2654">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服务</w:t>
            </w:r>
            <w:r>
              <w:rPr>
                <w:rFonts w:hint="eastAsia" w:ascii="仿宋" w:hAnsi="仿宋" w:eastAsia="仿宋" w:cs="仿宋"/>
                <w:color w:val="auto"/>
                <w:szCs w:val="21"/>
              </w:rPr>
              <w:t>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0EC44FF1">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24C7BDA0">
            <w:pPr>
              <w:spacing w:line="500" w:lineRule="exact"/>
              <w:rPr>
                <w:rFonts w:hint="eastAsia" w:ascii="仿宋" w:hAnsi="仿宋" w:eastAsia="仿宋" w:cs="仿宋"/>
                <w:color w:val="auto"/>
                <w:szCs w:val="21"/>
              </w:rPr>
            </w:pPr>
            <w:r>
              <w:rPr>
                <w:rFonts w:hint="eastAsia" w:ascii="仿宋" w:hAnsi="仿宋" w:eastAsia="仿宋" w:cs="仿宋"/>
                <w:color w:val="auto"/>
                <w:szCs w:val="21"/>
                <w:lang w:val="en-US" w:eastAsia="zh-CN"/>
              </w:rPr>
              <w:t>服务</w:t>
            </w:r>
            <w:r>
              <w:rPr>
                <w:rFonts w:hint="eastAsia" w:ascii="仿宋" w:hAnsi="仿宋" w:eastAsia="仿宋" w:cs="仿宋"/>
                <w:color w:val="auto"/>
                <w:szCs w:val="21"/>
              </w:rPr>
              <w:t>时间</w:t>
            </w:r>
          </w:p>
        </w:tc>
        <w:tc>
          <w:tcPr>
            <w:tcW w:w="1222" w:type="dxa"/>
            <w:tcBorders>
              <w:top w:val="single" w:color="auto" w:sz="12" w:space="0"/>
              <w:left w:val="single" w:color="auto" w:sz="6" w:space="0"/>
              <w:bottom w:val="single" w:color="auto" w:sz="6" w:space="0"/>
              <w:right w:val="single" w:color="auto" w:sz="4" w:space="0"/>
            </w:tcBorders>
            <w:noWrap w:val="0"/>
            <w:vAlign w:val="center"/>
          </w:tcPr>
          <w:p w14:paraId="7B9E9EB9">
            <w:pPr>
              <w:spacing w:line="500" w:lineRule="exact"/>
              <w:rPr>
                <w:rFonts w:hint="eastAsia" w:ascii="仿宋" w:hAnsi="仿宋" w:eastAsia="仿宋" w:cs="仿宋"/>
                <w:color w:val="auto"/>
                <w:szCs w:val="21"/>
              </w:rPr>
            </w:pPr>
            <w:r>
              <w:rPr>
                <w:rFonts w:hint="eastAsia" w:ascii="仿宋" w:hAnsi="仿宋" w:eastAsia="仿宋" w:cs="仿宋"/>
                <w:color w:val="auto"/>
                <w:szCs w:val="21"/>
                <w:lang w:val="en-US" w:eastAsia="zh-CN"/>
              </w:rPr>
              <w:t>服务</w:t>
            </w:r>
            <w:r>
              <w:rPr>
                <w:rFonts w:hint="eastAsia" w:ascii="仿宋" w:hAnsi="仿宋" w:eastAsia="仿宋" w:cs="仿宋"/>
                <w:color w:val="auto"/>
                <w:szCs w:val="21"/>
              </w:rPr>
              <w:t>地点</w:t>
            </w:r>
          </w:p>
        </w:tc>
        <w:tc>
          <w:tcPr>
            <w:tcW w:w="751" w:type="dxa"/>
            <w:tcBorders>
              <w:top w:val="single" w:color="auto" w:sz="12" w:space="0"/>
              <w:left w:val="single" w:color="auto" w:sz="6" w:space="0"/>
              <w:bottom w:val="single" w:color="auto" w:sz="6" w:space="0"/>
              <w:right w:val="single" w:color="auto" w:sz="6" w:space="0"/>
            </w:tcBorders>
            <w:noWrap w:val="0"/>
            <w:vAlign w:val="center"/>
          </w:tcPr>
          <w:p w14:paraId="2D208F2A">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0AFD716E">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noWrap w:val="0"/>
            <w:vAlign w:val="center"/>
          </w:tcPr>
          <w:p w14:paraId="6A69D9F0">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noWrap w:val="0"/>
            <w:vAlign w:val="center"/>
          </w:tcPr>
          <w:p w14:paraId="0F0DDCDC">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总价</w:t>
            </w:r>
          </w:p>
        </w:tc>
      </w:tr>
      <w:tr w14:paraId="5F402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06DA819">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95020F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D64947">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9FED947">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1638454A">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2FE729BB">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1C0511A">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C3EB817">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2E1021EE">
            <w:pPr>
              <w:spacing w:line="500" w:lineRule="exact"/>
              <w:jc w:val="center"/>
              <w:rPr>
                <w:rFonts w:hint="eastAsia" w:ascii="仿宋" w:hAnsi="仿宋" w:eastAsia="仿宋" w:cs="仿宋"/>
                <w:color w:val="auto"/>
                <w:szCs w:val="21"/>
              </w:rPr>
            </w:pPr>
          </w:p>
        </w:tc>
      </w:tr>
      <w:tr w14:paraId="7F046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748D2185">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B134157">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E9F21F1">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5610461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5A3F751B">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840C4C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6660A3F">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5482B865">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42FEED16">
            <w:pPr>
              <w:spacing w:line="500" w:lineRule="exact"/>
              <w:jc w:val="center"/>
              <w:rPr>
                <w:rFonts w:hint="eastAsia" w:ascii="仿宋" w:hAnsi="仿宋" w:eastAsia="仿宋" w:cs="仿宋"/>
                <w:color w:val="auto"/>
                <w:szCs w:val="21"/>
              </w:rPr>
            </w:pPr>
          </w:p>
        </w:tc>
      </w:tr>
      <w:tr w14:paraId="27829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050378AE">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B688FFC">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522CECEB">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3196AC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3EB54308">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829231D">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1CDA5871">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35765AE">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3A0B9E76">
            <w:pPr>
              <w:spacing w:line="500" w:lineRule="exact"/>
              <w:jc w:val="center"/>
              <w:rPr>
                <w:rFonts w:hint="eastAsia" w:ascii="仿宋" w:hAnsi="仿宋" w:eastAsia="仿宋" w:cs="仿宋"/>
                <w:color w:val="auto"/>
                <w:szCs w:val="21"/>
              </w:rPr>
            </w:pPr>
          </w:p>
        </w:tc>
      </w:tr>
      <w:tr w14:paraId="08A4D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74E4C9F">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E21574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7B05069">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9696E4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3D240C4B">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7A7BF34C">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1F9D9D8">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564D3D0">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2BB03BA2">
            <w:pPr>
              <w:spacing w:line="500" w:lineRule="exact"/>
              <w:jc w:val="center"/>
              <w:rPr>
                <w:rFonts w:hint="eastAsia" w:ascii="仿宋" w:hAnsi="仿宋" w:eastAsia="仿宋" w:cs="仿宋"/>
                <w:color w:val="auto"/>
                <w:szCs w:val="21"/>
              </w:rPr>
            </w:pPr>
          </w:p>
        </w:tc>
      </w:tr>
      <w:tr w14:paraId="7CE4D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4892CD16">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6CD0B693">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62D7231">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2E1E7A1D">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77CF4AF6">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64906EF0">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2A97253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6015668">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5E5F6F6B">
            <w:pPr>
              <w:spacing w:line="500" w:lineRule="exact"/>
              <w:jc w:val="center"/>
              <w:rPr>
                <w:rFonts w:hint="eastAsia" w:ascii="仿宋" w:hAnsi="仿宋" w:eastAsia="仿宋" w:cs="仿宋"/>
                <w:color w:val="auto"/>
                <w:szCs w:val="21"/>
              </w:rPr>
            </w:pPr>
          </w:p>
        </w:tc>
      </w:tr>
      <w:tr w14:paraId="409E7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808B61B">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38FFADB">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9242E6E">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1D22D0BB">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237B9C76">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2D15AE19">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6649B5D3">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AF03799">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7F0646BB">
            <w:pPr>
              <w:spacing w:line="500" w:lineRule="exact"/>
              <w:jc w:val="center"/>
              <w:rPr>
                <w:rFonts w:hint="eastAsia" w:ascii="仿宋" w:hAnsi="仿宋" w:eastAsia="仿宋" w:cs="仿宋"/>
                <w:color w:val="auto"/>
                <w:szCs w:val="21"/>
              </w:rPr>
            </w:pPr>
          </w:p>
        </w:tc>
      </w:tr>
      <w:tr w14:paraId="4D069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41169D9">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0ECCC75">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821616F">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02F9F0A9">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6D07969F">
            <w:pPr>
              <w:spacing w:line="500" w:lineRule="exact"/>
              <w:jc w:val="center"/>
              <w:rPr>
                <w:rFonts w:hint="eastAsia"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noWrap w:val="0"/>
            <w:vAlign w:val="center"/>
          </w:tcPr>
          <w:p w14:paraId="00897BA3">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31E8B991">
            <w:pPr>
              <w:spacing w:line="500" w:lineRule="exact"/>
              <w:jc w:val="center"/>
              <w:rPr>
                <w:rFonts w:hint="eastAsia"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14:paraId="4F79CF42">
            <w:pPr>
              <w:spacing w:line="500" w:lineRule="exact"/>
              <w:jc w:val="center"/>
              <w:rPr>
                <w:rFonts w:hint="eastAsia"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noWrap w:val="0"/>
            <w:vAlign w:val="center"/>
          </w:tcPr>
          <w:p w14:paraId="08DDDAAA">
            <w:pPr>
              <w:spacing w:line="500" w:lineRule="exact"/>
              <w:jc w:val="center"/>
              <w:rPr>
                <w:rFonts w:hint="eastAsia" w:ascii="仿宋" w:hAnsi="仿宋" w:eastAsia="仿宋" w:cs="仿宋"/>
                <w:color w:val="auto"/>
                <w:szCs w:val="21"/>
              </w:rPr>
            </w:pPr>
          </w:p>
        </w:tc>
      </w:tr>
    </w:tbl>
    <w:p w14:paraId="7A008A59">
      <w:pPr>
        <w:pStyle w:val="35"/>
        <w:keepNext w:val="0"/>
        <w:keepLines w:val="0"/>
        <w:widowControl w:val="0"/>
        <w:shd w:val="clear" w:color="auto" w:fill="auto"/>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说明：</w:t>
      </w:r>
      <w:r>
        <w:rPr>
          <w:rFonts w:hint="eastAsia" w:ascii="仿宋" w:hAnsi="仿宋" w:eastAsia="仿宋" w:cs="仿宋"/>
          <w:color w:val="000000"/>
          <w:spacing w:val="0"/>
          <w:w w:val="100"/>
          <w:position w:val="0"/>
          <w:sz w:val="24"/>
          <w:szCs w:val="24"/>
          <w:lang w:val="en-US" w:eastAsia="en-US" w:bidi="en-US"/>
        </w:rPr>
        <w:t>1.</w:t>
      </w:r>
      <w:r>
        <w:rPr>
          <w:rFonts w:hint="eastAsia" w:ascii="仿宋" w:hAnsi="仿宋" w:eastAsia="仿宋" w:cs="仿宋"/>
          <w:color w:val="000000"/>
          <w:spacing w:val="0"/>
          <w:w w:val="100"/>
          <w:position w:val="0"/>
          <w:sz w:val="24"/>
          <w:szCs w:val="24"/>
        </w:rPr>
        <w:t>所有价格均用人民币</w:t>
      </w:r>
      <w:r>
        <w:rPr>
          <w:rFonts w:hint="eastAsia" w:ascii="仿宋" w:hAnsi="仿宋" w:eastAsia="仿宋" w:cs="仿宋"/>
          <w:color w:val="000000"/>
          <w:spacing w:val="0"/>
          <w:w w:val="100"/>
          <w:position w:val="0"/>
          <w:sz w:val="24"/>
          <w:szCs w:val="24"/>
          <w:lang w:val="en-US" w:eastAsia="zh-CN"/>
        </w:rPr>
        <w:t>计价</w:t>
      </w:r>
      <w:r>
        <w:rPr>
          <w:rFonts w:hint="eastAsia" w:ascii="仿宋" w:hAnsi="仿宋" w:eastAsia="仿宋" w:cs="仿宋"/>
          <w:color w:val="000000"/>
          <w:spacing w:val="0"/>
          <w:w w:val="100"/>
          <w:position w:val="0"/>
          <w:sz w:val="24"/>
          <w:szCs w:val="24"/>
        </w:rPr>
        <w:t>，单位为元。</w:t>
      </w:r>
    </w:p>
    <w:p w14:paraId="2FD07091">
      <w:pPr>
        <w:pStyle w:val="35"/>
        <w:keepNext w:val="0"/>
        <w:keepLines w:val="0"/>
        <w:widowControl w:val="0"/>
        <w:numPr>
          <w:ilvl w:val="0"/>
          <w:numId w:val="12"/>
        </w:numPr>
        <w:shd w:val="clear" w:color="auto" w:fill="auto"/>
        <w:tabs>
          <w:tab w:val="left" w:pos="378"/>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报价总计价格必须与《</w:t>
      </w:r>
      <w:r>
        <w:rPr>
          <w:rFonts w:hint="eastAsia" w:ascii="仿宋" w:hAnsi="仿宋" w:eastAsia="仿宋" w:cs="仿宋"/>
          <w:color w:val="000000"/>
          <w:spacing w:val="0"/>
          <w:w w:val="100"/>
          <w:position w:val="0"/>
          <w:sz w:val="24"/>
          <w:szCs w:val="24"/>
          <w:lang w:eastAsia="zh-CN"/>
        </w:rPr>
        <w:t>投标报价单</w:t>
      </w:r>
      <w:r>
        <w:rPr>
          <w:rFonts w:hint="eastAsia" w:ascii="仿宋" w:hAnsi="仿宋" w:eastAsia="仿宋" w:cs="仿宋"/>
          <w:color w:val="000000"/>
          <w:spacing w:val="0"/>
          <w:w w:val="100"/>
          <w:position w:val="0"/>
          <w:sz w:val="24"/>
          <w:szCs w:val="24"/>
        </w:rPr>
        <w:t>》报价一致。</w:t>
      </w:r>
    </w:p>
    <w:p w14:paraId="1EFBC560">
      <w:pPr>
        <w:pStyle w:val="35"/>
        <w:keepNext w:val="0"/>
        <w:keepLines w:val="0"/>
        <w:widowControl w:val="0"/>
        <w:numPr>
          <w:ilvl w:val="0"/>
          <w:numId w:val="12"/>
        </w:numPr>
        <w:shd w:val="clear" w:color="auto" w:fill="auto"/>
        <w:tabs>
          <w:tab w:val="left" w:pos="490"/>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如果不提供详细的分项报价表将被视为没有实质性</w:t>
      </w:r>
      <w:r>
        <w:rPr>
          <w:rFonts w:hint="eastAsia" w:ascii="仿宋" w:hAnsi="仿宋" w:eastAsia="仿宋" w:cs="仿宋"/>
          <w:color w:val="000000"/>
          <w:spacing w:val="0"/>
          <w:w w:val="100"/>
          <w:position w:val="0"/>
          <w:sz w:val="24"/>
          <w:szCs w:val="24"/>
          <w:lang w:eastAsia="zh-CN"/>
        </w:rPr>
        <w:t>投标文件</w:t>
      </w:r>
      <w:r>
        <w:rPr>
          <w:rFonts w:hint="eastAsia" w:ascii="仿宋" w:hAnsi="仿宋" w:eastAsia="仿宋" w:cs="仿宋"/>
          <w:color w:val="000000"/>
          <w:spacing w:val="0"/>
          <w:w w:val="100"/>
          <w:position w:val="0"/>
          <w:sz w:val="24"/>
          <w:szCs w:val="24"/>
        </w:rPr>
        <w:t>。</w:t>
      </w:r>
    </w:p>
    <w:p w14:paraId="290BA7DE">
      <w:pPr>
        <w:pStyle w:val="35"/>
        <w:keepNext w:val="0"/>
        <w:keepLines w:val="0"/>
        <w:widowControl w:val="0"/>
        <w:numPr>
          <w:ilvl w:val="0"/>
          <w:numId w:val="12"/>
        </w:numPr>
        <w:shd w:val="clear" w:color="auto" w:fill="auto"/>
        <w:tabs>
          <w:tab w:val="left" w:pos="493"/>
        </w:tabs>
        <w:bidi w:val="0"/>
        <w:spacing w:before="0" w:after="0" w:line="317" w:lineRule="exact"/>
        <w:ind w:left="176"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投标人必须按此表格式中的对应栏目内容填写，若需增加栏目，请在栏目</w:t>
      </w:r>
      <w:r>
        <w:rPr>
          <w:rFonts w:hint="eastAsia" w:ascii="仿宋" w:hAnsi="仿宋" w:eastAsia="仿宋" w:cs="仿宋"/>
          <w:color w:val="000000"/>
          <w:spacing w:val="0"/>
          <w:w w:val="100"/>
          <w:position w:val="0"/>
          <w:sz w:val="24"/>
          <w:szCs w:val="24"/>
          <w:lang w:val="zh-CN" w:eastAsia="zh-CN" w:bidi="zh-CN"/>
        </w:rPr>
        <w:t>“其</w:t>
      </w:r>
      <w:r>
        <w:rPr>
          <w:rFonts w:hint="eastAsia" w:ascii="仿宋" w:hAnsi="仿宋" w:eastAsia="仿宋" w:cs="仿宋"/>
          <w:color w:val="000000"/>
          <w:spacing w:val="0"/>
          <w:w w:val="100"/>
          <w:position w:val="0"/>
          <w:sz w:val="24"/>
          <w:szCs w:val="24"/>
        </w:rPr>
        <w:t>它”中填写，并作详细说明。</w:t>
      </w:r>
    </w:p>
    <w:p w14:paraId="0C16A942">
      <w:pPr>
        <w:pStyle w:val="35"/>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14:paraId="5B59DCD1">
      <w:pPr>
        <w:pStyle w:val="35"/>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spacing w:val="0"/>
          <w:w w:val="100"/>
          <w:position w:val="0"/>
          <w:sz w:val="20"/>
          <w:szCs w:val="20"/>
        </w:rPr>
      </w:pPr>
    </w:p>
    <w:p w14:paraId="2248A404">
      <w:pPr>
        <w:pStyle w:val="7"/>
        <w:numPr>
          <w:ilvl w:val="0"/>
          <w:numId w:val="0"/>
        </w:numPr>
        <w:tabs>
          <w:tab w:val="left" w:pos="8227"/>
        </w:tabs>
        <w:kinsoku w:val="0"/>
        <w:overflowPunct w:val="0"/>
        <w:spacing w:line="360" w:lineRule="auto"/>
        <w:ind w:right="118" w:rightChars="0" w:firstLine="4080" w:firstLineChars="1700"/>
        <w:jc w:val="both"/>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（盖单位章） </w:t>
      </w:r>
    </w:p>
    <w:p w14:paraId="7E3E1FC4">
      <w:pPr>
        <w:pStyle w:val="7"/>
        <w:numPr>
          <w:ilvl w:val="0"/>
          <w:numId w:val="0"/>
        </w:numPr>
        <w:tabs>
          <w:tab w:val="left" w:pos="8227"/>
        </w:tabs>
        <w:kinsoku w:val="0"/>
        <w:overflowPunct w:val="0"/>
        <w:spacing w:line="360" w:lineRule="auto"/>
        <w:ind w:right="118" w:rightChars="0" w:firstLine="4080" w:firstLineChars="1700"/>
        <w:jc w:val="both"/>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14:paraId="00076B01">
      <w:pPr>
        <w:pStyle w:val="7"/>
        <w:numPr>
          <w:ilvl w:val="0"/>
          <w:numId w:val="0"/>
        </w:numPr>
        <w:shd w:val="clear" w:color="auto" w:fill="auto"/>
        <w:tabs>
          <w:tab w:val="left" w:pos="8227"/>
        </w:tabs>
        <w:kinsoku w:val="0"/>
        <w:overflowPunct w:val="0"/>
        <w:spacing w:line="360" w:lineRule="auto"/>
        <w:ind w:right="118" w:rightChars="0" w:firstLine="4080" w:firstLineChars="1700"/>
        <w:jc w:val="both"/>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14:paraId="71E726D2">
      <w:pPr>
        <w:pStyle w:val="7"/>
        <w:numPr>
          <w:ilvl w:val="0"/>
          <w:numId w:val="0"/>
        </w:numPr>
        <w:tabs>
          <w:tab w:val="left" w:pos="5551"/>
          <w:tab w:val="left" w:pos="6511"/>
          <w:tab w:val="left" w:pos="7111"/>
          <w:tab w:val="left" w:pos="7711"/>
        </w:tabs>
        <w:kinsoku w:val="0"/>
        <w:overflowPunct w:val="0"/>
        <w:spacing w:before="46" w:line="360" w:lineRule="auto"/>
        <w:ind w:right="0" w:rightChars="0" w:firstLine="4800" w:firstLineChars="2000"/>
        <w:jc w:val="both"/>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14:paraId="19C48D2E">
      <w:pPr>
        <w:pStyle w:val="31"/>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000000"/>
          <w:spacing w:val="0"/>
          <w:w w:val="100"/>
          <w:position w:val="0"/>
          <w:lang w:val="en-US" w:eastAsia="zh-CN"/>
        </w:rPr>
      </w:pPr>
      <w:r>
        <w:rPr>
          <w:rFonts w:hint="eastAsia" w:ascii="仿宋" w:hAnsi="仿宋" w:eastAsia="仿宋" w:cs="仿宋"/>
          <w:b/>
          <w:bCs/>
          <w:color w:val="000000"/>
          <w:spacing w:val="0"/>
          <w:w w:val="100"/>
          <w:position w:val="0"/>
          <w:lang w:val="en-US" w:eastAsia="zh-CN"/>
        </w:rPr>
        <w:t>5、技术条款偏离表</w:t>
      </w:r>
    </w:p>
    <w:p w14:paraId="7D152813">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34DC350B">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05B22B19">
      <w:pPr>
        <w:pStyle w:val="31"/>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000000"/>
          <w:spacing w:val="0"/>
          <w:w w:val="100"/>
          <w:position w:val="0"/>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8"/>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14:paraId="31684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center"/>
          </w:tcPr>
          <w:p w14:paraId="4C5B3BC8">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1357" w:type="dxa"/>
            <w:noWrap w:val="0"/>
            <w:vAlign w:val="center"/>
          </w:tcPr>
          <w:p w14:paraId="2FF646DC">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服务</w:t>
            </w:r>
            <w:r>
              <w:rPr>
                <w:rFonts w:hint="eastAsia" w:ascii="仿宋" w:hAnsi="仿宋" w:eastAsia="仿宋" w:cs="仿宋"/>
                <w:bCs/>
                <w:sz w:val="24"/>
                <w:szCs w:val="24"/>
              </w:rPr>
              <w:t>名称</w:t>
            </w:r>
          </w:p>
        </w:tc>
        <w:tc>
          <w:tcPr>
            <w:tcW w:w="1326" w:type="dxa"/>
            <w:noWrap w:val="0"/>
            <w:vAlign w:val="center"/>
          </w:tcPr>
          <w:p w14:paraId="4A349C57">
            <w:pPr>
              <w:jc w:val="center"/>
              <w:rPr>
                <w:rFonts w:hint="eastAsia" w:ascii="仿宋" w:hAnsi="仿宋" w:eastAsia="仿宋" w:cs="仿宋"/>
                <w:bCs/>
                <w:sz w:val="24"/>
                <w:szCs w:val="24"/>
              </w:rPr>
            </w:pPr>
            <w:r>
              <w:rPr>
                <w:rFonts w:hint="eastAsia" w:ascii="仿宋" w:hAnsi="仿宋" w:eastAsia="仿宋" w:cs="仿宋"/>
                <w:bCs/>
                <w:sz w:val="24"/>
                <w:szCs w:val="24"/>
              </w:rPr>
              <w:t>招标文件要求规格</w:t>
            </w:r>
          </w:p>
        </w:tc>
        <w:tc>
          <w:tcPr>
            <w:tcW w:w="1326" w:type="dxa"/>
            <w:noWrap w:val="0"/>
            <w:vAlign w:val="center"/>
          </w:tcPr>
          <w:p w14:paraId="0DDACD5D">
            <w:pPr>
              <w:jc w:val="center"/>
              <w:rPr>
                <w:rFonts w:hint="eastAsia" w:ascii="仿宋" w:hAnsi="仿宋" w:eastAsia="仿宋" w:cs="仿宋"/>
                <w:bCs/>
                <w:sz w:val="24"/>
                <w:szCs w:val="24"/>
              </w:rPr>
            </w:pPr>
            <w:r>
              <w:rPr>
                <w:rFonts w:hint="eastAsia" w:ascii="仿宋" w:hAnsi="仿宋" w:eastAsia="仿宋" w:cs="仿宋"/>
                <w:bCs/>
                <w:sz w:val="24"/>
                <w:szCs w:val="24"/>
              </w:rPr>
              <w:t>投标规格</w:t>
            </w:r>
          </w:p>
        </w:tc>
        <w:tc>
          <w:tcPr>
            <w:tcW w:w="1327" w:type="dxa"/>
            <w:noWrap w:val="0"/>
            <w:vAlign w:val="center"/>
          </w:tcPr>
          <w:p w14:paraId="0928FB7E">
            <w:pPr>
              <w:jc w:val="center"/>
              <w:rPr>
                <w:rFonts w:hint="eastAsia" w:ascii="仿宋" w:hAnsi="仿宋" w:eastAsia="仿宋" w:cs="仿宋"/>
                <w:bCs/>
                <w:sz w:val="24"/>
                <w:szCs w:val="24"/>
              </w:rPr>
            </w:pPr>
            <w:r>
              <w:rPr>
                <w:rFonts w:hint="eastAsia" w:ascii="仿宋" w:hAnsi="仿宋" w:eastAsia="仿宋" w:cs="仿宋"/>
                <w:bCs/>
                <w:sz w:val="24"/>
                <w:szCs w:val="24"/>
              </w:rPr>
              <w:t>偏离</w:t>
            </w:r>
          </w:p>
        </w:tc>
        <w:tc>
          <w:tcPr>
            <w:tcW w:w="1327" w:type="dxa"/>
            <w:noWrap w:val="0"/>
            <w:vAlign w:val="center"/>
          </w:tcPr>
          <w:p w14:paraId="77E331EF">
            <w:pPr>
              <w:jc w:val="center"/>
              <w:rPr>
                <w:rFonts w:hint="eastAsia" w:ascii="仿宋" w:hAnsi="仿宋" w:eastAsia="仿宋" w:cs="仿宋"/>
                <w:bCs/>
                <w:sz w:val="24"/>
                <w:szCs w:val="24"/>
              </w:rPr>
            </w:pPr>
            <w:r>
              <w:rPr>
                <w:rFonts w:hint="eastAsia" w:ascii="仿宋" w:hAnsi="仿宋" w:eastAsia="仿宋" w:cs="仿宋"/>
                <w:bCs/>
                <w:sz w:val="24"/>
                <w:szCs w:val="24"/>
              </w:rPr>
              <w:t>说明</w:t>
            </w:r>
          </w:p>
        </w:tc>
      </w:tr>
      <w:tr w14:paraId="0AA37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03C7015F">
            <w:pPr>
              <w:jc w:val="center"/>
              <w:rPr>
                <w:rFonts w:hint="eastAsia" w:ascii="仿宋" w:hAnsi="仿宋" w:eastAsia="仿宋" w:cs="仿宋"/>
                <w:b/>
                <w:bCs/>
                <w:sz w:val="24"/>
                <w:szCs w:val="24"/>
              </w:rPr>
            </w:pPr>
          </w:p>
        </w:tc>
        <w:tc>
          <w:tcPr>
            <w:tcW w:w="1357" w:type="dxa"/>
            <w:noWrap w:val="0"/>
            <w:vAlign w:val="top"/>
          </w:tcPr>
          <w:p w14:paraId="3BC575E9">
            <w:pPr>
              <w:jc w:val="center"/>
              <w:rPr>
                <w:rFonts w:hint="eastAsia" w:ascii="仿宋" w:hAnsi="仿宋" w:eastAsia="仿宋" w:cs="仿宋"/>
                <w:b/>
                <w:bCs/>
                <w:sz w:val="24"/>
                <w:szCs w:val="24"/>
              </w:rPr>
            </w:pPr>
          </w:p>
        </w:tc>
        <w:tc>
          <w:tcPr>
            <w:tcW w:w="1326" w:type="dxa"/>
            <w:noWrap w:val="0"/>
            <w:vAlign w:val="top"/>
          </w:tcPr>
          <w:p w14:paraId="2DFCC045">
            <w:pPr>
              <w:jc w:val="center"/>
              <w:rPr>
                <w:rFonts w:hint="eastAsia" w:ascii="仿宋" w:hAnsi="仿宋" w:eastAsia="仿宋" w:cs="仿宋"/>
                <w:b/>
                <w:bCs/>
                <w:sz w:val="24"/>
                <w:szCs w:val="24"/>
              </w:rPr>
            </w:pPr>
          </w:p>
        </w:tc>
        <w:tc>
          <w:tcPr>
            <w:tcW w:w="1326" w:type="dxa"/>
            <w:noWrap w:val="0"/>
            <w:vAlign w:val="top"/>
          </w:tcPr>
          <w:p w14:paraId="5DA2E817">
            <w:pPr>
              <w:jc w:val="center"/>
              <w:rPr>
                <w:rFonts w:hint="eastAsia" w:ascii="仿宋" w:hAnsi="仿宋" w:eastAsia="仿宋" w:cs="仿宋"/>
                <w:b/>
                <w:bCs/>
                <w:sz w:val="24"/>
                <w:szCs w:val="24"/>
              </w:rPr>
            </w:pPr>
          </w:p>
        </w:tc>
        <w:tc>
          <w:tcPr>
            <w:tcW w:w="1327" w:type="dxa"/>
            <w:noWrap w:val="0"/>
            <w:vAlign w:val="top"/>
          </w:tcPr>
          <w:p w14:paraId="47560A22">
            <w:pPr>
              <w:jc w:val="center"/>
              <w:rPr>
                <w:rFonts w:hint="eastAsia" w:ascii="仿宋" w:hAnsi="仿宋" w:eastAsia="仿宋" w:cs="仿宋"/>
                <w:b/>
                <w:bCs/>
                <w:sz w:val="24"/>
                <w:szCs w:val="24"/>
              </w:rPr>
            </w:pPr>
            <w:r>
              <w:rPr>
                <w:rFonts w:hint="eastAsia" w:ascii="仿宋" w:hAnsi="仿宋" w:eastAsia="仿宋" w:cs="仿宋"/>
                <w:bCs/>
                <w:sz w:val="24"/>
                <w:szCs w:val="24"/>
                <w:lang w:val="en-US" w:eastAsia="zh-CN"/>
              </w:rPr>
              <w:t>如有偏离需提供证明材料，证明材料附后(并注明页码)</w:t>
            </w:r>
          </w:p>
        </w:tc>
        <w:tc>
          <w:tcPr>
            <w:tcW w:w="1327" w:type="dxa"/>
            <w:noWrap w:val="0"/>
            <w:vAlign w:val="top"/>
          </w:tcPr>
          <w:p w14:paraId="3BE008E6">
            <w:pPr>
              <w:jc w:val="center"/>
              <w:rPr>
                <w:rFonts w:hint="eastAsia" w:ascii="仿宋" w:hAnsi="仿宋" w:eastAsia="仿宋" w:cs="仿宋"/>
                <w:b/>
                <w:bCs/>
                <w:sz w:val="24"/>
                <w:szCs w:val="24"/>
              </w:rPr>
            </w:pPr>
          </w:p>
        </w:tc>
      </w:tr>
      <w:tr w14:paraId="4330C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5792F1DB">
            <w:pPr>
              <w:jc w:val="center"/>
              <w:rPr>
                <w:rFonts w:hint="eastAsia" w:ascii="仿宋" w:hAnsi="仿宋" w:eastAsia="仿宋" w:cs="仿宋"/>
                <w:b/>
                <w:bCs/>
                <w:sz w:val="24"/>
                <w:szCs w:val="24"/>
              </w:rPr>
            </w:pPr>
          </w:p>
        </w:tc>
        <w:tc>
          <w:tcPr>
            <w:tcW w:w="1357" w:type="dxa"/>
            <w:noWrap w:val="0"/>
            <w:vAlign w:val="top"/>
          </w:tcPr>
          <w:p w14:paraId="309EC3BE">
            <w:pPr>
              <w:jc w:val="center"/>
              <w:rPr>
                <w:rFonts w:hint="eastAsia" w:ascii="仿宋" w:hAnsi="仿宋" w:eastAsia="仿宋" w:cs="仿宋"/>
                <w:b/>
                <w:bCs/>
                <w:sz w:val="24"/>
                <w:szCs w:val="24"/>
              </w:rPr>
            </w:pPr>
          </w:p>
        </w:tc>
        <w:tc>
          <w:tcPr>
            <w:tcW w:w="1326" w:type="dxa"/>
            <w:noWrap w:val="0"/>
            <w:vAlign w:val="top"/>
          </w:tcPr>
          <w:p w14:paraId="7D3F0936">
            <w:pPr>
              <w:jc w:val="center"/>
              <w:rPr>
                <w:rFonts w:hint="eastAsia" w:ascii="仿宋" w:hAnsi="仿宋" w:eastAsia="仿宋" w:cs="仿宋"/>
                <w:b/>
                <w:bCs/>
                <w:sz w:val="24"/>
                <w:szCs w:val="24"/>
              </w:rPr>
            </w:pPr>
          </w:p>
        </w:tc>
        <w:tc>
          <w:tcPr>
            <w:tcW w:w="1326" w:type="dxa"/>
            <w:noWrap w:val="0"/>
            <w:vAlign w:val="top"/>
          </w:tcPr>
          <w:p w14:paraId="4F281F7E">
            <w:pPr>
              <w:jc w:val="center"/>
              <w:rPr>
                <w:rFonts w:hint="eastAsia" w:ascii="仿宋" w:hAnsi="仿宋" w:eastAsia="仿宋" w:cs="仿宋"/>
                <w:b/>
                <w:bCs/>
                <w:sz w:val="24"/>
                <w:szCs w:val="24"/>
              </w:rPr>
            </w:pPr>
          </w:p>
        </w:tc>
        <w:tc>
          <w:tcPr>
            <w:tcW w:w="1327" w:type="dxa"/>
            <w:noWrap w:val="0"/>
            <w:vAlign w:val="top"/>
          </w:tcPr>
          <w:p w14:paraId="38A68D75">
            <w:pPr>
              <w:jc w:val="center"/>
              <w:rPr>
                <w:rFonts w:hint="eastAsia" w:ascii="仿宋" w:hAnsi="仿宋" w:eastAsia="仿宋" w:cs="仿宋"/>
                <w:b/>
                <w:bCs/>
                <w:sz w:val="24"/>
                <w:szCs w:val="24"/>
              </w:rPr>
            </w:pPr>
          </w:p>
        </w:tc>
        <w:tc>
          <w:tcPr>
            <w:tcW w:w="1327" w:type="dxa"/>
            <w:noWrap w:val="0"/>
            <w:vAlign w:val="top"/>
          </w:tcPr>
          <w:p w14:paraId="09CD089F">
            <w:pPr>
              <w:jc w:val="center"/>
              <w:rPr>
                <w:rFonts w:hint="eastAsia" w:ascii="仿宋" w:hAnsi="仿宋" w:eastAsia="仿宋" w:cs="仿宋"/>
                <w:b/>
                <w:bCs/>
                <w:sz w:val="24"/>
                <w:szCs w:val="24"/>
              </w:rPr>
            </w:pPr>
          </w:p>
        </w:tc>
      </w:tr>
      <w:tr w14:paraId="1C78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3E04644C">
            <w:pPr>
              <w:jc w:val="center"/>
              <w:rPr>
                <w:rFonts w:hint="eastAsia" w:ascii="仿宋" w:hAnsi="仿宋" w:eastAsia="仿宋" w:cs="仿宋"/>
                <w:b/>
                <w:bCs/>
                <w:sz w:val="24"/>
                <w:szCs w:val="24"/>
              </w:rPr>
            </w:pPr>
          </w:p>
        </w:tc>
        <w:tc>
          <w:tcPr>
            <w:tcW w:w="1357" w:type="dxa"/>
            <w:noWrap w:val="0"/>
            <w:vAlign w:val="top"/>
          </w:tcPr>
          <w:p w14:paraId="7BAD794A">
            <w:pPr>
              <w:jc w:val="center"/>
              <w:rPr>
                <w:rFonts w:hint="eastAsia" w:ascii="仿宋" w:hAnsi="仿宋" w:eastAsia="仿宋" w:cs="仿宋"/>
                <w:b/>
                <w:bCs/>
                <w:sz w:val="24"/>
                <w:szCs w:val="24"/>
              </w:rPr>
            </w:pPr>
          </w:p>
        </w:tc>
        <w:tc>
          <w:tcPr>
            <w:tcW w:w="1326" w:type="dxa"/>
            <w:noWrap w:val="0"/>
            <w:vAlign w:val="top"/>
          </w:tcPr>
          <w:p w14:paraId="46DED0B2">
            <w:pPr>
              <w:jc w:val="center"/>
              <w:rPr>
                <w:rFonts w:hint="eastAsia" w:ascii="仿宋" w:hAnsi="仿宋" w:eastAsia="仿宋" w:cs="仿宋"/>
                <w:b/>
                <w:bCs/>
                <w:sz w:val="24"/>
                <w:szCs w:val="24"/>
              </w:rPr>
            </w:pPr>
          </w:p>
        </w:tc>
        <w:tc>
          <w:tcPr>
            <w:tcW w:w="1326" w:type="dxa"/>
            <w:noWrap w:val="0"/>
            <w:vAlign w:val="top"/>
          </w:tcPr>
          <w:p w14:paraId="7505B04E">
            <w:pPr>
              <w:jc w:val="center"/>
              <w:rPr>
                <w:rFonts w:hint="eastAsia" w:ascii="仿宋" w:hAnsi="仿宋" w:eastAsia="仿宋" w:cs="仿宋"/>
                <w:b/>
                <w:bCs/>
                <w:sz w:val="24"/>
                <w:szCs w:val="24"/>
              </w:rPr>
            </w:pPr>
          </w:p>
        </w:tc>
        <w:tc>
          <w:tcPr>
            <w:tcW w:w="1327" w:type="dxa"/>
            <w:noWrap w:val="0"/>
            <w:vAlign w:val="top"/>
          </w:tcPr>
          <w:p w14:paraId="7794D978">
            <w:pPr>
              <w:jc w:val="center"/>
              <w:rPr>
                <w:rFonts w:hint="eastAsia" w:ascii="仿宋" w:hAnsi="仿宋" w:eastAsia="仿宋" w:cs="仿宋"/>
                <w:b/>
                <w:bCs/>
                <w:sz w:val="24"/>
                <w:szCs w:val="24"/>
              </w:rPr>
            </w:pPr>
          </w:p>
        </w:tc>
        <w:tc>
          <w:tcPr>
            <w:tcW w:w="1327" w:type="dxa"/>
            <w:noWrap w:val="0"/>
            <w:vAlign w:val="top"/>
          </w:tcPr>
          <w:p w14:paraId="5EB74E4B">
            <w:pPr>
              <w:jc w:val="center"/>
              <w:rPr>
                <w:rFonts w:hint="eastAsia" w:ascii="仿宋" w:hAnsi="仿宋" w:eastAsia="仿宋" w:cs="仿宋"/>
                <w:b/>
                <w:bCs/>
                <w:sz w:val="24"/>
                <w:szCs w:val="24"/>
              </w:rPr>
            </w:pPr>
          </w:p>
        </w:tc>
      </w:tr>
      <w:tr w14:paraId="7B317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1EF6A375">
            <w:pPr>
              <w:jc w:val="center"/>
              <w:rPr>
                <w:rFonts w:hint="eastAsia" w:ascii="仿宋" w:hAnsi="仿宋" w:eastAsia="仿宋" w:cs="仿宋"/>
                <w:b/>
                <w:bCs/>
                <w:sz w:val="24"/>
                <w:szCs w:val="24"/>
              </w:rPr>
            </w:pPr>
          </w:p>
        </w:tc>
        <w:tc>
          <w:tcPr>
            <w:tcW w:w="1357" w:type="dxa"/>
            <w:noWrap w:val="0"/>
            <w:vAlign w:val="top"/>
          </w:tcPr>
          <w:p w14:paraId="538AAC7A">
            <w:pPr>
              <w:jc w:val="center"/>
              <w:rPr>
                <w:rFonts w:hint="eastAsia" w:ascii="仿宋" w:hAnsi="仿宋" w:eastAsia="仿宋" w:cs="仿宋"/>
                <w:b/>
                <w:bCs/>
                <w:sz w:val="24"/>
                <w:szCs w:val="24"/>
              </w:rPr>
            </w:pPr>
          </w:p>
        </w:tc>
        <w:tc>
          <w:tcPr>
            <w:tcW w:w="1326" w:type="dxa"/>
            <w:noWrap w:val="0"/>
            <w:vAlign w:val="top"/>
          </w:tcPr>
          <w:p w14:paraId="1BC57825">
            <w:pPr>
              <w:jc w:val="center"/>
              <w:rPr>
                <w:rFonts w:hint="eastAsia" w:ascii="仿宋" w:hAnsi="仿宋" w:eastAsia="仿宋" w:cs="仿宋"/>
                <w:b/>
                <w:bCs/>
                <w:sz w:val="24"/>
                <w:szCs w:val="24"/>
              </w:rPr>
            </w:pPr>
          </w:p>
        </w:tc>
        <w:tc>
          <w:tcPr>
            <w:tcW w:w="1326" w:type="dxa"/>
            <w:noWrap w:val="0"/>
            <w:vAlign w:val="top"/>
          </w:tcPr>
          <w:p w14:paraId="47E51A24">
            <w:pPr>
              <w:jc w:val="center"/>
              <w:rPr>
                <w:rFonts w:hint="eastAsia" w:ascii="仿宋" w:hAnsi="仿宋" w:eastAsia="仿宋" w:cs="仿宋"/>
                <w:b/>
                <w:bCs/>
                <w:sz w:val="24"/>
                <w:szCs w:val="24"/>
              </w:rPr>
            </w:pPr>
          </w:p>
        </w:tc>
        <w:tc>
          <w:tcPr>
            <w:tcW w:w="1327" w:type="dxa"/>
            <w:noWrap w:val="0"/>
            <w:vAlign w:val="top"/>
          </w:tcPr>
          <w:p w14:paraId="15D8D23E">
            <w:pPr>
              <w:jc w:val="center"/>
              <w:rPr>
                <w:rFonts w:hint="eastAsia" w:ascii="仿宋" w:hAnsi="仿宋" w:eastAsia="仿宋" w:cs="仿宋"/>
                <w:b/>
                <w:bCs/>
                <w:sz w:val="24"/>
                <w:szCs w:val="24"/>
              </w:rPr>
            </w:pPr>
          </w:p>
        </w:tc>
        <w:tc>
          <w:tcPr>
            <w:tcW w:w="1327" w:type="dxa"/>
            <w:noWrap w:val="0"/>
            <w:vAlign w:val="top"/>
          </w:tcPr>
          <w:p w14:paraId="4D6596CB">
            <w:pPr>
              <w:jc w:val="center"/>
              <w:rPr>
                <w:rFonts w:hint="eastAsia" w:ascii="仿宋" w:hAnsi="仿宋" w:eastAsia="仿宋" w:cs="仿宋"/>
                <w:b/>
                <w:bCs/>
                <w:sz w:val="24"/>
                <w:szCs w:val="24"/>
              </w:rPr>
            </w:pPr>
          </w:p>
        </w:tc>
      </w:tr>
      <w:tr w14:paraId="78894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413CFFCA">
            <w:pPr>
              <w:jc w:val="center"/>
              <w:rPr>
                <w:rFonts w:hint="eastAsia" w:ascii="仿宋" w:hAnsi="仿宋" w:eastAsia="仿宋" w:cs="仿宋"/>
                <w:b/>
                <w:bCs/>
                <w:sz w:val="24"/>
                <w:szCs w:val="24"/>
              </w:rPr>
            </w:pPr>
          </w:p>
        </w:tc>
        <w:tc>
          <w:tcPr>
            <w:tcW w:w="1357" w:type="dxa"/>
            <w:noWrap w:val="0"/>
            <w:vAlign w:val="top"/>
          </w:tcPr>
          <w:p w14:paraId="6CB887F8">
            <w:pPr>
              <w:jc w:val="center"/>
              <w:rPr>
                <w:rFonts w:hint="eastAsia" w:ascii="仿宋" w:hAnsi="仿宋" w:eastAsia="仿宋" w:cs="仿宋"/>
                <w:b/>
                <w:bCs/>
                <w:sz w:val="24"/>
                <w:szCs w:val="24"/>
              </w:rPr>
            </w:pPr>
          </w:p>
        </w:tc>
        <w:tc>
          <w:tcPr>
            <w:tcW w:w="1326" w:type="dxa"/>
            <w:noWrap w:val="0"/>
            <w:vAlign w:val="top"/>
          </w:tcPr>
          <w:p w14:paraId="0DE461BE">
            <w:pPr>
              <w:jc w:val="center"/>
              <w:rPr>
                <w:rFonts w:hint="eastAsia" w:ascii="仿宋" w:hAnsi="仿宋" w:eastAsia="仿宋" w:cs="仿宋"/>
                <w:b/>
                <w:bCs/>
                <w:sz w:val="24"/>
                <w:szCs w:val="24"/>
              </w:rPr>
            </w:pPr>
          </w:p>
        </w:tc>
        <w:tc>
          <w:tcPr>
            <w:tcW w:w="1326" w:type="dxa"/>
            <w:noWrap w:val="0"/>
            <w:vAlign w:val="top"/>
          </w:tcPr>
          <w:p w14:paraId="556D9352">
            <w:pPr>
              <w:jc w:val="center"/>
              <w:rPr>
                <w:rFonts w:hint="eastAsia" w:ascii="仿宋" w:hAnsi="仿宋" w:eastAsia="仿宋" w:cs="仿宋"/>
                <w:b/>
                <w:bCs/>
                <w:sz w:val="24"/>
                <w:szCs w:val="24"/>
              </w:rPr>
            </w:pPr>
          </w:p>
        </w:tc>
        <w:tc>
          <w:tcPr>
            <w:tcW w:w="1327" w:type="dxa"/>
            <w:noWrap w:val="0"/>
            <w:vAlign w:val="top"/>
          </w:tcPr>
          <w:p w14:paraId="7EC7B883">
            <w:pPr>
              <w:jc w:val="center"/>
              <w:rPr>
                <w:rFonts w:hint="eastAsia" w:ascii="仿宋" w:hAnsi="仿宋" w:eastAsia="仿宋" w:cs="仿宋"/>
                <w:b/>
                <w:bCs/>
                <w:sz w:val="24"/>
                <w:szCs w:val="24"/>
              </w:rPr>
            </w:pPr>
          </w:p>
        </w:tc>
        <w:tc>
          <w:tcPr>
            <w:tcW w:w="1327" w:type="dxa"/>
            <w:noWrap w:val="0"/>
            <w:vAlign w:val="top"/>
          </w:tcPr>
          <w:p w14:paraId="21294D42">
            <w:pPr>
              <w:jc w:val="center"/>
              <w:rPr>
                <w:rFonts w:hint="eastAsia" w:ascii="仿宋" w:hAnsi="仿宋" w:eastAsia="仿宋" w:cs="仿宋"/>
                <w:b/>
                <w:bCs/>
                <w:sz w:val="24"/>
                <w:szCs w:val="24"/>
              </w:rPr>
            </w:pPr>
          </w:p>
        </w:tc>
      </w:tr>
    </w:tbl>
    <w:p w14:paraId="5DEDAB83">
      <w:pPr>
        <w:spacing w:line="360" w:lineRule="auto"/>
        <w:ind w:firstLine="475" w:firstLineChars="198"/>
        <w:jc w:val="left"/>
        <w:rPr>
          <w:rFonts w:hint="eastAsia"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64CE8D10">
      <w:pPr>
        <w:pStyle w:val="9"/>
        <w:tabs>
          <w:tab w:val="left" w:pos="5580"/>
        </w:tabs>
        <w:spacing w:line="360" w:lineRule="auto"/>
        <w:ind w:firstLine="3120" w:firstLineChars="1300"/>
        <w:rPr>
          <w:rFonts w:hint="eastAsia" w:ascii="仿宋" w:hAnsi="仿宋" w:eastAsia="仿宋" w:cs="仿宋"/>
          <w:sz w:val="24"/>
        </w:rPr>
      </w:pPr>
    </w:p>
    <w:p w14:paraId="29924999">
      <w:pPr>
        <w:pStyle w:val="9"/>
        <w:tabs>
          <w:tab w:val="left" w:pos="5580"/>
        </w:tabs>
        <w:spacing w:line="360" w:lineRule="auto"/>
        <w:ind w:firstLine="3600" w:firstLineChars="1500"/>
        <w:rPr>
          <w:rFonts w:hint="eastAsia" w:ascii="仿宋" w:hAnsi="仿宋" w:eastAsia="仿宋" w:cs="仿宋"/>
          <w:sz w:val="24"/>
        </w:rPr>
      </w:pPr>
    </w:p>
    <w:p w14:paraId="217DCE16">
      <w:pPr>
        <w:pStyle w:val="9"/>
        <w:tabs>
          <w:tab w:val="left" w:pos="5580"/>
        </w:tabs>
        <w:spacing w:line="360" w:lineRule="auto"/>
        <w:ind w:firstLine="3600" w:firstLineChars="15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 xml:space="preserve">（盖单位章）                    </w:t>
      </w:r>
    </w:p>
    <w:p w14:paraId="52BE5ED5">
      <w:pPr>
        <w:pStyle w:val="9"/>
        <w:tabs>
          <w:tab w:val="left" w:pos="5580"/>
        </w:tabs>
        <w:spacing w:line="360" w:lineRule="auto"/>
        <w:ind w:firstLine="3600" w:firstLineChars="1500"/>
        <w:rPr>
          <w:rFonts w:hint="eastAsia" w:ascii="仿宋" w:hAnsi="仿宋" w:eastAsia="仿宋" w:cs="仿宋"/>
          <w:kern w:val="0"/>
          <w:sz w:val="24"/>
          <w:szCs w:val="24"/>
          <w:u w:val="none" w:color="auto"/>
          <w:lang w:val="en-US" w:eastAsia="zh-CN"/>
        </w:rPr>
      </w:pPr>
      <w:r>
        <w:rPr>
          <w:rFonts w:hint="eastAsia" w:ascii="仿宋" w:hAnsi="仿宋" w:eastAsia="仿宋" w:cs="仿宋"/>
          <w:sz w:val="24"/>
          <w:lang w:eastAsia="zh-CN"/>
        </w:rPr>
        <w:t>法定代表人</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color="auto"/>
          <w:lang w:val="en-US" w:eastAsia="zh-CN"/>
        </w:rPr>
        <w:t>（签章）</w:t>
      </w:r>
    </w:p>
    <w:p w14:paraId="2357E0E8">
      <w:pPr>
        <w:pStyle w:val="9"/>
        <w:tabs>
          <w:tab w:val="left" w:pos="5580"/>
        </w:tabs>
        <w:spacing w:line="360" w:lineRule="auto"/>
        <w:ind w:firstLine="3600" w:firstLineChars="1500"/>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u w:val="none" w:color="auto"/>
          <w:lang w:val="en-US" w:eastAsia="zh-CN"/>
        </w:rPr>
        <w:t>委托代理人：</w:t>
      </w:r>
      <w:r>
        <w:rPr>
          <w:rFonts w:hint="eastAsia" w:ascii="仿宋" w:hAnsi="仿宋" w:eastAsia="仿宋" w:cs="仿宋"/>
          <w:kern w:val="0"/>
          <w:sz w:val="24"/>
          <w:szCs w:val="24"/>
          <w:u w:val="single" w:color="auto"/>
          <w:lang w:val="en-US" w:eastAsia="zh-CN"/>
        </w:rPr>
        <w:t xml:space="preserve">             </w:t>
      </w:r>
      <w:r>
        <w:rPr>
          <w:rFonts w:hint="eastAsia" w:ascii="仿宋" w:hAnsi="仿宋" w:eastAsia="仿宋" w:cs="仿宋"/>
          <w:kern w:val="0"/>
          <w:sz w:val="24"/>
          <w:szCs w:val="24"/>
          <w:u w:val="none" w:color="auto"/>
          <w:lang w:val="en-US" w:eastAsia="zh-CN"/>
        </w:rPr>
        <w:t>（签字）</w:t>
      </w:r>
    </w:p>
    <w:p w14:paraId="3573738A">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5CC6E72">
      <w:pPr>
        <w:pStyle w:val="4"/>
        <w:rPr>
          <w:rFonts w:hint="eastAsia" w:ascii="仿宋" w:hAnsi="仿宋" w:eastAsia="仿宋" w:cs="仿宋"/>
          <w:b/>
          <w:bCs/>
          <w:sz w:val="36"/>
          <w:szCs w:val="36"/>
        </w:rPr>
      </w:pPr>
    </w:p>
    <w:p w14:paraId="58094679">
      <w:pPr>
        <w:rPr>
          <w:rFonts w:hint="eastAsia" w:ascii="仿宋" w:hAnsi="仿宋" w:eastAsia="仿宋" w:cs="仿宋"/>
        </w:rPr>
      </w:pPr>
    </w:p>
    <w:p w14:paraId="73CEAEF3">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52713CAE">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42E2A292">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75665007">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49CB6064">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456324AB">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0C060835">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lang w:eastAsia="zh-CN"/>
        </w:rPr>
      </w:pPr>
    </w:p>
    <w:p w14:paraId="0B3B926B">
      <w:pPr>
        <w:pStyle w:val="32"/>
        <w:keepNext w:val="0"/>
        <w:keepLines w:val="0"/>
        <w:widowControl w:val="0"/>
        <w:numPr>
          <w:ilvl w:val="0"/>
          <w:numId w:val="0"/>
        </w:numPr>
        <w:shd w:val="clear" w:color="auto" w:fill="auto"/>
        <w:bidi w:val="0"/>
        <w:spacing w:before="0" w:after="0" w:line="240" w:lineRule="auto"/>
        <w:ind w:leftChars="0" w:right="0" w:rightChars="0"/>
        <w:jc w:val="center"/>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b/>
          <w:bCs/>
          <w:color w:val="000000"/>
          <w:spacing w:val="0"/>
          <w:w w:val="100"/>
          <w:position w:val="0"/>
          <w:sz w:val="36"/>
          <w:szCs w:val="36"/>
          <w:lang w:val="en-US" w:eastAsia="zh-CN"/>
        </w:rPr>
        <w:t>6、</w:t>
      </w:r>
      <w:r>
        <w:rPr>
          <w:rFonts w:hint="eastAsia" w:ascii="仿宋" w:hAnsi="仿宋" w:eastAsia="仿宋" w:cs="仿宋"/>
          <w:b/>
          <w:bCs/>
          <w:color w:val="000000"/>
          <w:spacing w:val="0"/>
          <w:w w:val="100"/>
          <w:position w:val="0"/>
          <w:sz w:val="36"/>
          <w:szCs w:val="36"/>
          <w:lang w:eastAsia="zh-CN"/>
        </w:rPr>
        <w:t>商务条款偏离表</w:t>
      </w:r>
    </w:p>
    <w:p w14:paraId="7A9CF2E9">
      <w:pPr>
        <w:pStyle w:val="31"/>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73558C9D">
      <w:pPr>
        <w:pStyle w:val="31"/>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20FCEEDF">
      <w:pPr>
        <w:pStyle w:val="31"/>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1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1112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23355D6">
            <w:pPr>
              <w:rPr>
                <w:rFonts w:hint="eastAsia" w:ascii="仿宋" w:hAnsi="仿宋" w:eastAsia="仿宋" w:cs="仿宋"/>
                <w:spacing w:val="-1"/>
                <w:kern w:val="0"/>
                <w:sz w:val="24"/>
              </w:rPr>
            </w:pPr>
            <w:r>
              <w:rPr>
                <w:rFonts w:hint="eastAsia" w:ascii="仿宋" w:hAnsi="仿宋" w:eastAsia="仿宋" w:cs="仿宋"/>
                <w:spacing w:val="-1"/>
                <w:kern w:val="0"/>
                <w:sz w:val="24"/>
              </w:rPr>
              <w:t>序号</w:t>
            </w:r>
          </w:p>
        </w:tc>
        <w:tc>
          <w:tcPr>
            <w:tcW w:w="2154" w:type="dxa"/>
            <w:noWrap w:val="0"/>
            <w:vAlign w:val="top"/>
          </w:tcPr>
          <w:p w14:paraId="09829C14">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14:paraId="56527FF5">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14:paraId="7B2BCAEF">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14:paraId="77CC9EC3">
            <w:pPr>
              <w:pStyle w:val="9"/>
              <w:shd w:val="clear" w:color="auto" w:fill="auto"/>
              <w:spacing w:line="240" w:lineRule="atLeast"/>
              <w:ind w:left="0" w:leftChars="0" w:right="0" w:rightChars="0" w:firstLine="0" w:firstLineChars="0"/>
              <w:jc w:val="center"/>
              <w:rPr>
                <w:rFonts w:hint="eastAsia" w:ascii="仿宋" w:hAnsi="仿宋" w:eastAsia="仿宋" w:cs="仿宋"/>
                <w:spacing w:val="-1"/>
                <w:kern w:val="0"/>
                <w:sz w:val="24"/>
              </w:rPr>
            </w:pPr>
            <w:r>
              <w:rPr>
                <w:rFonts w:hint="eastAsia" w:ascii="仿宋" w:hAnsi="仿宋" w:eastAsia="仿宋" w:cs="仿宋"/>
                <w:color w:val="auto"/>
                <w:sz w:val="24"/>
                <w:highlight w:val="none"/>
                <w:lang w:val="en-US" w:eastAsia="zh-CN"/>
              </w:rPr>
              <w:t>说明</w:t>
            </w:r>
          </w:p>
        </w:tc>
      </w:tr>
      <w:tr w14:paraId="1E83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C2A9E80">
            <w:pPr>
              <w:rPr>
                <w:rFonts w:hint="eastAsia" w:ascii="仿宋" w:hAnsi="仿宋" w:eastAsia="仿宋" w:cs="仿宋"/>
                <w:spacing w:val="-1"/>
                <w:kern w:val="0"/>
                <w:sz w:val="24"/>
              </w:rPr>
            </w:pPr>
            <w:r>
              <w:rPr>
                <w:rFonts w:hint="eastAsia" w:ascii="仿宋" w:hAnsi="仿宋" w:eastAsia="仿宋" w:cs="仿宋"/>
                <w:spacing w:val="-1"/>
                <w:kern w:val="0"/>
                <w:sz w:val="24"/>
              </w:rPr>
              <w:t>1</w:t>
            </w:r>
          </w:p>
        </w:tc>
        <w:tc>
          <w:tcPr>
            <w:tcW w:w="2154" w:type="dxa"/>
            <w:noWrap w:val="0"/>
            <w:vAlign w:val="center"/>
          </w:tcPr>
          <w:p w14:paraId="6AD93A14">
            <w:pPr>
              <w:rPr>
                <w:rFonts w:hint="eastAsia" w:ascii="仿宋" w:hAnsi="仿宋" w:eastAsia="仿宋" w:cs="仿宋"/>
                <w:spacing w:val="-1"/>
                <w:kern w:val="0"/>
                <w:sz w:val="24"/>
              </w:rPr>
            </w:pPr>
          </w:p>
        </w:tc>
        <w:tc>
          <w:tcPr>
            <w:tcW w:w="2477" w:type="dxa"/>
            <w:noWrap w:val="0"/>
            <w:vAlign w:val="center"/>
          </w:tcPr>
          <w:p w14:paraId="2428C4C6">
            <w:pPr>
              <w:rPr>
                <w:rFonts w:hint="eastAsia" w:ascii="仿宋" w:hAnsi="仿宋" w:eastAsia="仿宋" w:cs="仿宋"/>
                <w:spacing w:val="-1"/>
                <w:kern w:val="0"/>
                <w:sz w:val="24"/>
              </w:rPr>
            </w:pPr>
          </w:p>
        </w:tc>
        <w:tc>
          <w:tcPr>
            <w:tcW w:w="2454" w:type="dxa"/>
            <w:noWrap w:val="0"/>
            <w:vAlign w:val="center"/>
          </w:tcPr>
          <w:p w14:paraId="3F6A5601">
            <w:pPr>
              <w:rPr>
                <w:rFonts w:hint="eastAsia" w:ascii="仿宋" w:hAnsi="仿宋" w:eastAsia="仿宋" w:cs="仿宋"/>
                <w:spacing w:val="-1"/>
                <w:kern w:val="0"/>
                <w:sz w:val="24"/>
              </w:rPr>
            </w:pPr>
          </w:p>
        </w:tc>
        <w:tc>
          <w:tcPr>
            <w:tcW w:w="1130" w:type="dxa"/>
            <w:noWrap w:val="0"/>
            <w:vAlign w:val="center"/>
          </w:tcPr>
          <w:p w14:paraId="54ACB58D">
            <w:pPr>
              <w:rPr>
                <w:rFonts w:hint="eastAsia" w:ascii="仿宋" w:hAnsi="仿宋" w:eastAsia="仿宋" w:cs="仿宋"/>
                <w:spacing w:val="-1"/>
                <w:kern w:val="0"/>
                <w:sz w:val="24"/>
              </w:rPr>
            </w:pPr>
          </w:p>
        </w:tc>
      </w:tr>
      <w:tr w14:paraId="685F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6102E8E">
            <w:pPr>
              <w:rPr>
                <w:rFonts w:hint="eastAsia" w:ascii="仿宋" w:hAnsi="仿宋" w:eastAsia="仿宋" w:cs="仿宋"/>
                <w:spacing w:val="-1"/>
                <w:kern w:val="0"/>
                <w:sz w:val="24"/>
              </w:rPr>
            </w:pPr>
            <w:r>
              <w:rPr>
                <w:rFonts w:hint="eastAsia" w:ascii="仿宋" w:hAnsi="仿宋" w:eastAsia="仿宋" w:cs="仿宋"/>
                <w:spacing w:val="-1"/>
                <w:kern w:val="0"/>
                <w:sz w:val="24"/>
              </w:rPr>
              <w:t>2</w:t>
            </w:r>
          </w:p>
        </w:tc>
        <w:tc>
          <w:tcPr>
            <w:tcW w:w="2154" w:type="dxa"/>
            <w:noWrap w:val="0"/>
            <w:vAlign w:val="center"/>
          </w:tcPr>
          <w:p w14:paraId="71697D4D">
            <w:pPr>
              <w:rPr>
                <w:rFonts w:hint="eastAsia" w:ascii="仿宋" w:hAnsi="仿宋" w:eastAsia="仿宋" w:cs="仿宋"/>
                <w:spacing w:val="-1"/>
                <w:kern w:val="0"/>
                <w:sz w:val="24"/>
              </w:rPr>
            </w:pPr>
          </w:p>
        </w:tc>
        <w:tc>
          <w:tcPr>
            <w:tcW w:w="2477" w:type="dxa"/>
            <w:noWrap w:val="0"/>
            <w:vAlign w:val="center"/>
          </w:tcPr>
          <w:p w14:paraId="60D5F907">
            <w:pPr>
              <w:rPr>
                <w:rFonts w:hint="eastAsia" w:ascii="仿宋" w:hAnsi="仿宋" w:eastAsia="仿宋" w:cs="仿宋"/>
                <w:spacing w:val="-1"/>
                <w:kern w:val="0"/>
                <w:sz w:val="24"/>
              </w:rPr>
            </w:pPr>
          </w:p>
        </w:tc>
        <w:tc>
          <w:tcPr>
            <w:tcW w:w="2454" w:type="dxa"/>
            <w:noWrap w:val="0"/>
            <w:vAlign w:val="center"/>
          </w:tcPr>
          <w:p w14:paraId="35301AFB">
            <w:pPr>
              <w:rPr>
                <w:rFonts w:hint="eastAsia" w:ascii="仿宋" w:hAnsi="仿宋" w:eastAsia="仿宋" w:cs="仿宋"/>
                <w:spacing w:val="-1"/>
                <w:kern w:val="0"/>
                <w:sz w:val="24"/>
              </w:rPr>
            </w:pPr>
          </w:p>
        </w:tc>
        <w:tc>
          <w:tcPr>
            <w:tcW w:w="1130" w:type="dxa"/>
            <w:noWrap w:val="0"/>
            <w:vAlign w:val="center"/>
          </w:tcPr>
          <w:p w14:paraId="45BA242B">
            <w:pPr>
              <w:rPr>
                <w:rFonts w:hint="eastAsia" w:ascii="仿宋" w:hAnsi="仿宋" w:eastAsia="仿宋" w:cs="仿宋"/>
                <w:spacing w:val="-1"/>
                <w:kern w:val="0"/>
                <w:sz w:val="24"/>
              </w:rPr>
            </w:pPr>
          </w:p>
        </w:tc>
      </w:tr>
      <w:tr w14:paraId="2B4D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3641816">
            <w:pPr>
              <w:rPr>
                <w:rFonts w:hint="eastAsia" w:ascii="仿宋" w:hAnsi="仿宋" w:eastAsia="仿宋" w:cs="仿宋"/>
                <w:spacing w:val="-1"/>
                <w:kern w:val="0"/>
                <w:sz w:val="24"/>
              </w:rPr>
            </w:pPr>
            <w:r>
              <w:rPr>
                <w:rFonts w:hint="eastAsia" w:ascii="仿宋" w:hAnsi="仿宋" w:eastAsia="仿宋" w:cs="仿宋"/>
                <w:spacing w:val="-1"/>
                <w:kern w:val="0"/>
                <w:sz w:val="24"/>
              </w:rPr>
              <w:t>3</w:t>
            </w:r>
          </w:p>
        </w:tc>
        <w:tc>
          <w:tcPr>
            <w:tcW w:w="2154" w:type="dxa"/>
            <w:noWrap w:val="0"/>
            <w:vAlign w:val="center"/>
          </w:tcPr>
          <w:p w14:paraId="7E594415">
            <w:pPr>
              <w:rPr>
                <w:rFonts w:hint="eastAsia" w:ascii="仿宋" w:hAnsi="仿宋" w:eastAsia="仿宋" w:cs="仿宋"/>
                <w:spacing w:val="-1"/>
                <w:kern w:val="0"/>
                <w:sz w:val="24"/>
              </w:rPr>
            </w:pPr>
          </w:p>
        </w:tc>
        <w:tc>
          <w:tcPr>
            <w:tcW w:w="2477" w:type="dxa"/>
            <w:noWrap w:val="0"/>
            <w:vAlign w:val="center"/>
          </w:tcPr>
          <w:p w14:paraId="60F61983">
            <w:pPr>
              <w:rPr>
                <w:rFonts w:hint="eastAsia" w:ascii="仿宋" w:hAnsi="仿宋" w:eastAsia="仿宋" w:cs="仿宋"/>
                <w:spacing w:val="-1"/>
                <w:kern w:val="0"/>
                <w:sz w:val="24"/>
              </w:rPr>
            </w:pPr>
          </w:p>
        </w:tc>
        <w:tc>
          <w:tcPr>
            <w:tcW w:w="2454" w:type="dxa"/>
            <w:noWrap w:val="0"/>
            <w:vAlign w:val="center"/>
          </w:tcPr>
          <w:p w14:paraId="59309476">
            <w:pPr>
              <w:rPr>
                <w:rFonts w:hint="eastAsia" w:ascii="仿宋" w:hAnsi="仿宋" w:eastAsia="仿宋" w:cs="仿宋"/>
                <w:spacing w:val="-1"/>
                <w:kern w:val="0"/>
                <w:sz w:val="24"/>
              </w:rPr>
            </w:pPr>
          </w:p>
        </w:tc>
        <w:tc>
          <w:tcPr>
            <w:tcW w:w="1130" w:type="dxa"/>
            <w:noWrap w:val="0"/>
            <w:vAlign w:val="center"/>
          </w:tcPr>
          <w:p w14:paraId="10F13EDC">
            <w:pPr>
              <w:rPr>
                <w:rFonts w:hint="eastAsia" w:ascii="仿宋" w:hAnsi="仿宋" w:eastAsia="仿宋" w:cs="仿宋"/>
                <w:spacing w:val="-1"/>
                <w:kern w:val="0"/>
                <w:sz w:val="24"/>
              </w:rPr>
            </w:pPr>
          </w:p>
        </w:tc>
      </w:tr>
      <w:tr w14:paraId="3A52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A2FA2B2">
            <w:pPr>
              <w:rPr>
                <w:rFonts w:hint="eastAsia" w:ascii="仿宋" w:hAnsi="仿宋" w:eastAsia="仿宋" w:cs="仿宋"/>
                <w:spacing w:val="-1"/>
                <w:kern w:val="0"/>
                <w:sz w:val="24"/>
              </w:rPr>
            </w:pPr>
            <w:r>
              <w:rPr>
                <w:rFonts w:hint="eastAsia" w:ascii="仿宋" w:hAnsi="仿宋" w:eastAsia="仿宋" w:cs="仿宋"/>
                <w:spacing w:val="-1"/>
                <w:kern w:val="0"/>
                <w:sz w:val="24"/>
              </w:rPr>
              <w:t>4</w:t>
            </w:r>
          </w:p>
        </w:tc>
        <w:tc>
          <w:tcPr>
            <w:tcW w:w="2154" w:type="dxa"/>
            <w:noWrap w:val="0"/>
            <w:vAlign w:val="center"/>
          </w:tcPr>
          <w:p w14:paraId="1F7814A2">
            <w:pPr>
              <w:rPr>
                <w:rFonts w:hint="eastAsia" w:ascii="仿宋" w:hAnsi="仿宋" w:eastAsia="仿宋" w:cs="仿宋"/>
                <w:spacing w:val="-1"/>
                <w:kern w:val="0"/>
                <w:sz w:val="24"/>
              </w:rPr>
            </w:pPr>
          </w:p>
        </w:tc>
        <w:tc>
          <w:tcPr>
            <w:tcW w:w="2477" w:type="dxa"/>
            <w:noWrap w:val="0"/>
            <w:vAlign w:val="center"/>
          </w:tcPr>
          <w:p w14:paraId="167C85AD">
            <w:pPr>
              <w:rPr>
                <w:rFonts w:hint="eastAsia" w:ascii="仿宋" w:hAnsi="仿宋" w:eastAsia="仿宋" w:cs="仿宋"/>
                <w:spacing w:val="-1"/>
                <w:kern w:val="0"/>
                <w:sz w:val="24"/>
              </w:rPr>
            </w:pPr>
          </w:p>
        </w:tc>
        <w:tc>
          <w:tcPr>
            <w:tcW w:w="2454" w:type="dxa"/>
            <w:noWrap w:val="0"/>
            <w:vAlign w:val="center"/>
          </w:tcPr>
          <w:p w14:paraId="467ADDB1">
            <w:pPr>
              <w:rPr>
                <w:rFonts w:hint="eastAsia" w:ascii="仿宋" w:hAnsi="仿宋" w:eastAsia="仿宋" w:cs="仿宋"/>
                <w:spacing w:val="-1"/>
                <w:kern w:val="0"/>
                <w:sz w:val="24"/>
              </w:rPr>
            </w:pPr>
          </w:p>
        </w:tc>
        <w:tc>
          <w:tcPr>
            <w:tcW w:w="1130" w:type="dxa"/>
            <w:noWrap w:val="0"/>
            <w:vAlign w:val="center"/>
          </w:tcPr>
          <w:p w14:paraId="4522E823">
            <w:pPr>
              <w:rPr>
                <w:rFonts w:hint="eastAsia" w:ascii="仿宋" w:hAnsi="仿宋" w:eastAsia="仿宋" w:cs="仿宋"/>
                <w:spacing w:val="-1"/>
                <w:kern w:val="0"/>
                <w:sz w:val="24"/>
              </w:rPr>
            </w:pPr>
          </w:p>
        </w:tc>
      </w:tr>
      <w:tr w14:paraId="2A22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FF6E327">
            <w:pPr>
              <w:rPr>
                <w:rFonts w:hint="eastAsia" w:ascii="仿宋" w:hAnsi="仿宋" w:eastAsia="仿宋" w:cs="仿宋"/>
                <w:spacing w:val="-1"/>
                <w:kern w:val="0"/>
                <w:sz w:val="24"/>
              </w:rPr>
            </w:pPr>
            <w:r>
              <w:rPr>
                <w:rFonts w:hint="eastAsia" w:ascii="仿宋" w:hAnsi="仿宋" w:eastAsia="仿宋" w:cs="仿宋"/>
                <w:spacing w:val="-1"/>
                <w:kern w:val="0"/>
                <w:sz w:val="24"/>
              </w:rPr>
              <w:t>5</w:t>
            </w:r>
          </w:p>
        </w:tc>
        <w:tc>
          <w:tcPr>
            <w:tcW w:w="2154" w:type="dxa"/>
            <w:noWrap w:val="0"/>
            <w:vAlign w:val="center"/>
          </w:tcPr>
          <w:p w14:paraId="58CC356C">
            <w:pPr>
              <w:rPr>
                <w:rFonts w:hint="eastAsia" w:ascii="仿宋" w:hAnsi="仿宋" w:eastAsia="仿宋" w:cs="仿宋"/>
                <w:spacing w:val="-1"/>
                <w:kern w:val="0"/>
                <w:sz w:val="24"/>
              </w:rPr>
            </w:pPr>
          </w:p>
        </w:tc>
        <w:tc>
          <w:tcPr>
            <w:tcW w:w="2477" w:type="dxa"/>
            <w:noWrap w:val="0"/>
            <w:vAlign w:val="center"/>
          </w:tcPr>
          <w:p w14:paraId="04EA8BB8">
            <w:pPr>
              <w:rPr>
                <w:rFonts w:hint="eastAsia" w:ascii="仿宋" w:hAnsi="仿宋" w:eastAsia="仿宋" w:cs="仿宋"/>
                <w:spacing w:val="-1"/>
                <w:kern w:val="0"/>
                <w:sz w:val="24"/>
              </w:rPr>
            </w:pPr>
          </w:p>
        </w:tc>
        <w:tc>
          <w:tcPr>
            <w:tcW w:w="2454" w:type="dxa"/>
            <w:noWrap w:val="0"/>
            <w:vAlign w:val="center"/>
          </w:tcPr>
          <w:p w14:paraId="0DEF6819">
            <w:pPr>
              <w:rPr>
                <w:rFonts w:hint="eastAsia" w:ascii="仿宋" w:hAnsi="仿宋" w:eastAsia="仿宋" w:cs="仿宋"/>
                <w:spacing w:val="-1"/>
                <w:kern w:val="0"/>
                <w:sz w:val="24"/>
              </w:rPr>
            </w:pPr>
          </w:p>
        </w:tc>
        <w:tc>
          <w:tcPr>
            <w:tcW w:w="1130" w:type="dxa"/>
            <w:noWrap w:val="0"/>
            <w:vAlign w:val="center"/>
          </w:tcPr>
          <w:p w14:paraId="3F627AA4">
            <w:pPr>
              <w:rPr>
                <w:rFonts w:hint="eastAsia" w:ascii="仿宋" w:hAnsi="仿宋" w:eastAsia="仿宋" w:cs="仿宋"/>
                <w:spacing w:val="-1"/>
                <w:kern w:val="0"/>
                <w:sz w:val="24"/>
              </w:rPr>
            </w:pPr>
          </w:p>
        </w:tc>
      </w:tr>
      <w:tr w14:paraId="46D8D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3A32EC1">
            <w:pPr>
              <w:rPr>
                <w:rFonts w:hint="eastAsia" w:ascii="仿宋" w:hAnsi="仿宋" w:eastAsia="仿宋" w:cs="仿宋"/>
                <w:spacing w:val="-1"/>
                <w:kern w:val="0"/>
                <w:sz w:val="24"/>
              </w:rPr>
            </w:pPr>
            <w:r>
              <w:rPr>
                <w:rFonts w:hint="eastAsia" w:ascii="仿宋" w:hAnsi="仿宋" w:eastAsia="仿宋" w:cs="仿宋"/>
                <w:spacing w:val="-1"/>
                <w:kern w:val="0"/>
                <w:sz w:val="24"/>
              </w:rPr>
              <w:t>6</w:t>
            </w:r>
          </w:p>
        </w:tc>
        <w:tc>
          <w:tcPr>
            <w:tcW w:w="2154" w:type="dxa"/>
            <w:noWrap w:val="0"/>
            <w:vAlign w:val="center"/>
          </w:tcPr>
          <w:p w14:paraId="36AB19D0">
            <w:pPr>
              <w:rPr>
                <w:rFonts w:hint="eastAsia" w:ascii="仿宋" w:hAnsi="仿宋" w:eastAsia="仿宋" w:cs="仿宋"/>
                <w:spacing w:val="-1"/>
                <w:kern w:val="0"/>
                <w:sz w:val="24"/>
              </w:rPr>
            </w:pPr>
          </w:p>
        </w:tc>
        <w:tc>
          <w:tcPr>
            <w:tcW w:w="2477" w:type="dxa"/>
            <w:noWrap w:val="0"/>
            <w:vAlign w:val="center"/>
          </w:tcPr>
          <w:p w14:paraId="2D51A6A3">
            <w:pPr>
              <w:rPr>
                <w:rFonts w:hint="eastAsia" w:ascii="仿宋" w:hAnsi="仿宋" w:eastAsia="仿宋" w:cs="仿宋"/>
                <w:spacing w:val="-1"/>
                <w:kern w:val="0"/>
                <w:sz w:val="24"/>
              </w:rPr>
            </w:pPr>
          </w:p>
        </w:tc>
        <w:tc>
          <w:tcPr>
            <w:tcW w:w="2454" w:type="dxa"/>
            <w:noWrap w:val="0"/>
            <w:vAlign w:val="center"/>
          </w:tcPr>
          <w:p w14:paraId="20D1CB6D">
            <w:pPr>
              <w:rPr>
                <w:rFonts w:hint="eastAsia" w:ascii="仿宋" w:hAnsi="仿宋" w:eastAsia="仿宋" w:cs="仿宋"/>
                <w:spacing w:val="-1"/>
                <w:kern w:val="0"/>
                <w:sz w:val="24"/>
              </w:rPr>
            </w:pPr>
          </w:p>
        </w:tc>
        <w:tc>
          <w:tcPr>
            <w:tcW w:w="1130" w:type="dxa"/>
            <w:noWrap w:val="0"/>
            <w:vAlign w:val="center"/>
          </w:tcPr>
          <w:p w14:paraId="7838F7CD">
            <w:pPr>
              <w:rPr>
                <w:rFonts w:hint="eastAsia" w:ascii="仿宋" w:hAnsi="仿宋" w:eastAsia="仿宋" w:cs="仿宋"/>
                <w:spacing w:val="-1"/>
                <w:kern w:val="0"/>
                <w:sz w:val="24"/>
              </w:rPr>
            </w:pPr>
          </w:p>
        </w:tc>
      </w:tr>
      <w:tr w14:paraId="50DB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E4D09FD">
            <w:pPr>
              <w:rPr>
                <w:rFonts w:hint="eastAsia" w:ascii="仿宋" w:hAnsi="仿宋" w:eastAsia="仿宋" w:cs="仿宋"/>
                <w:spacing w:val="-1"/>
                <w:kern w:val="0"/>
                <w:sz w:val="24"/>
              </w:rPr>
            </w:pPr>
            <w:r>
              <w:rPr>
                <w:rFonts w:hint="eastAsia" w:ascii="仿宋" w:hAnsi="仿宋" w:eastAsia="仿宋" w:cs="仿宋"/>
                <w:spacing w:val="-1"/>
                <w:kern w:val="0"/>
                <w:sz w:val="24"/>
              </w:rPr>
              <w:t>7</w:t>
            </w:r>
          </w:p>
        </w:tc>
        <w:tc>
          <w:tcPr>
            <w:tcW w:w="2154" w:type="dxa"/>
            <w:noWrap w:val="0"/>
            <w:vAlign w:val="center"/>
          </w:tcPr>
          <w:p w14:paraId="2EE57D71">
            <w:pPr>
              <w:rPr>
                <w:rFonts w:hint="eastAsia" w:ascii="仿宋" w:hAnsi="仿宋" w:eastAsia="仿宋" w:cs="仿宋"/>
                <w:spacing w:val="-1"/>
                <w:kern w:val="0"/>
                <w:sz w:val="24"/>
              </w:rPr>
            </w:pPr>
          </w:p>
        </w:tc>
        <w:tc>
          <w:tcPr>
            <w:tcW w:w="2477" w:type="dxa"/>
            <w:noWrap w:val="0"/>
            <w:vAlign w:val="center"/>
          </w:tcPr>
          <w:p w14:paraId="660A57B4">
            <w:pPr>
              <w:rPr>
                <w:rFonts w:hint="eastAsia" w:ascii="仿宋" w:hAnsi="仿宋" w:eastAsia="仿宋" w:cs="仿宋"/>
                <w:spacing w:val="-1"/>
                <w:kern w:val="0"/>
                <w:sz w:val="24"/>
              </w:rPr>
            </w:pPr>
          </w:p>
        </w:tc>
        <w:tc>
          <w:tcPr>
            <w:tcW w:w="2454" w:type="dxa"/>
            <w:noWrap w:val="0"/>
            <w:vAlign w:val="center"/>
          </w:tcPr>
          <w:p w14:paraId="6164340E">
            <w:pPr>
              <w:rPr>
                <w:rFonts w:hint="eastAsia" w:ascii="仿宋" w:hAnsi="仿宋" w:eastAsia="仿宋" w:cs="仿宋"/>
                <w:spacing w:val="-1"/>
                <w:kern w:val="0"/>
                <w:sz w:val="24"/>
              </w:rPr>
            </w:pPr>
          </w:p>
        </w:tc>
        <w:tc>
          <w:tcPr>
            <w:tcW w:w="1130" w:type="dxa"/>
            <w:noWrap w:val="0"/>
            <w:vAlign w:val="center"/>
          </w:tcPr>
          <w:p w14:paraId="34B4CDFF">
            <w:pPr>
              <w:rPr>
                <w:rFonts w:hint="eastAsia" w:ascii="仿宋" w:hAnsi="仿宋" w:eastAsia="仿宋" w:cs="仿宋"/>
                <w:spacing w:val="-1"/>
                <w:kern w:val="0"/>
                <w:sz w:val="24"/>
              </w:rPr>
            </w:pPr>
          </w:p>
        </w:tc>
      </w:tr>
      <w:tr w14:paraId="3DF6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14B021E">
            <w:pPr>
              <w:rPr>
                <w:rFonts w:hint="eastAsia" w:ascii="仿宋" w:hAnsi="仿宋" w:eastAsia="仿宋" w:cs="仿宋"/>
                <w:spacing w:val="-1"/>
                <w:kern w:val="0"/>
                <w:sz w:val="24"/>
              </w:rPr>
            </w:pPr>
            <w:r>
              <w:rPr>
                <w:rFonts w:hint="eastAsia" w:ascii="仿宋" w:hAnsi="仿宋" w:eastAsia="仿宋" w:cs="仿宋"/>
                <w:spacing w:val="-1"/>
                <w:kern w:val="0"/>
                <w:sz w:val="24"/>
              </w:rPr>
              <w:t>8</w:t>
            </w:r>
          </w:p>
        </w:tc>
        <w:tc>
          <w:tcPr>
            <w:tcW w:w="2154" w:type="dxa"/>
            <w:noWrap w:val="0"/>
            <w:vAlign w:val="center"/>
          </w:tcPr>
          <w:p w14:paraId="75DA7C0A">
            <w:pPr>
              <w:rPr>
                <w:rFonts w:hint="eastAsia" w:ascii="仿宋" w:hAnsi="仿宋" w:eastAsia="仿宋" w:cs="仿宋"/>
                <w:spacing w:val="-1"/>
                <w:kern w:val="0"/>
                <w:sz w:val="24"/>
              </w:rPr>
            </w:pPr>
          </w:p>
        </w:tc>
        <w:tc>
          <w:tcPr>
            <w:tcW w:w="2477" w:type="dxa"/>
            <w:noWrap w:val="0"/>
            <w:vAlign w:val="center"/>
          </w:tcPr>
          <w:p w14:paraId="339C83E6">
            <w:pPr>
              <w:rPr>
                <w:rFonts w:hint="eastAsia" w:ascii="仿宋" w:hAnsi="仿宋" w:eastAsia="仿宋" w:cs="仿宋"/>
                <w:spacing w:val="-1"/>
                <w:kern w:val="0"/>
                <w:sz w:val="24"/>
              </w:rPr>
            </w:pPr>
          </w:p>
        </w:tc>
        <w:tc>
          <w:tcPr>
            <w:tcW w:w="2454" w:type="dxa"/>
            <w:noWrap w:val="0"/>
            <w:vAlign w:val="center"/>
          </w:tcPr>
          <w:p w14:paraId="7218EC05">
            <w:pPr>
              <w:rPr>
                <w:rFonts w:hint="eastAsia" w:ascii="仿宋" w:hAnsi="仿宋" w:eastAsia="仿宋" w:cs="仿宋"/>
                <w:spacing w:val="-1"/>
                <w:kern w:val="0"/>
                <w:sz w:val="24"/>
              </w:rPr>
            </w:pPr>
          </w:p>
        </w:tc>
        <w:tc>
          <w:tcPr>
            <w:tcW w:w="1130" w:type="dxa"/>
            <w:noWrap w:val="0"/>
            <w:vAlign w:val="center"/>
          </w:tcPr>
          <w:p w14:paraId="01F40A37">
            <w:pPr>
              <w:rPr>
                <w:rFonts w:hint="eastAsia" w:ascii="仿宋" w:hAnsi="仿宋" w:eastAsia="仿宋" w:cs="仿宋"/>
                <w:spacing w:val="-1"/>
                <w:kern w:val="0"/>
                <w:sz w:val="24"/>
              </w:rPr>
            </w:pPr>
          </w:p>
        </w:tc>
      </w:tr>
      <w:tr w14:paraId="2714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CB0A2E8">
            <w:pPr>
              <w:rPr>
                <w:rFonts w:hint="eastAsia" w:ascii="仿宋" w:hAnsi="仿宋" w:eastAsia="仿宋" w:cs="仿宋"/>
                <w:spacing w:val="-1"/>
                <w:kern w:val="0"/>
                <w:sz w:val="24"/>
              </w:rPr>
            </w:pPr>
            <w:r>
              <w:rPr>
                <w:rFonts w:hint="eastAsia" w:ascii="仿宋" w:hAnsi="仿宋" w:eastAsia="仿宋" w:cs="仿宋"/>
                <w:spacing w:val="-1"/>
                <w:kern w:val="0"/>
                <w:sz w:val="24"/>
              </w:rPr>
              <w:t>9</w:t>
            </w:r>
          </w:p>
        </w:tc>
        <w:tc>
          <w:tcPr>
            <w:tcW w:w="2154" w:type="dxa"/>
            <w:noWrap w:val="0"/>
            <w:vAlign w:val="center"/>
          </w:tcPr>
          <w:p w14:paraId="6A4D841C">
            <w:pPr>
              <w:rPr>
                <w:rFonts w:hint="eastAsia" w:ascii="仿宋" w:hAnsi="仿宋" w:eastAsia="仿宋" w:cs="仿宋"/>
                <w:spacing w:val="-1"/>
                <w:kern w:val="0"/>
                <w:sz w:val="24"/>
              </w:rPr>
            </w:pPr>
          </w:p>
        </w:tc>
        <w:tc>
          <w:tcPr>
            <w:tcW w:w="2477" w:type="dxa"/>
            <w:noWrap w:val="0"/>
            <w:vAlign w:val="center"/>
          </w:tcPr>
          <w:p w14:paraId="150D7A5F">
            <w:pPr>
              <w:rPr>
                <w:rFonts w:hint="eastAsia" w:ascii="仿宋" w:hAnsi="仿宋" w:eastAsia="仿宋" w:cs="仿宋"/>
                <w:spacing w:val="-1"/>
                <w:kern w:val="0"/>
                <w:sz w:val="24"/>
              </w:rPr>
            </w:pPr>
          </w:p>
        </w:tc>
        <w:tc>
          <w:tcPr>
            <w:tcW w:w="2454" w:type="dxa"/>
            <w:noWrap w:val="0"/>
            <w:vAlign w:val="center"/>
          </w:tcPr>
          <w:p w14:paraId="10980215">
            <w:pPr>
              <w:rPr>
                <w:rFonts w:hint="eastAsia" w:ascii="仿宋" w:hAnsi="仿宋" w:eastAsia="仿宋" w:cs="仿宋"/>
                <w:spacing w:val="-1"/>
                <w:kern w:val="0"/>
                <w:sz w:val="24"/>
              </w:rPr>
            </w:pPr>
          </w:p>
        </w:tc>
        <w:tc>
          <w:tcPr>
            <w:tcW w:w="1130" w:type="dxa"/>
            <w:noWrap w:val="0"/>
            <w:vAlign w:val="center"/>
          </w:tcPr>
          <w:p w14:paraId="79598493">
            <w:pPr>
              <w:rPr>
                <w:rFonts w:hint="eastAsia" w:ascii="仿宋" w:hAnsi="仿宋" w:eastAsia="仿宋" w:cs="仿宋"/>
                <w:spacing w:val="-1"/>
                <w:kern w:val="0"/>
                <w:sz w:val="24"/>
              </w:rPr>
            </w:pPr>
          </w:p>
        </w:tc>
      </w:tr>
      <w:tr w14:paraId="01B7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0C9A48A">
            <w:pPr>
              <w:rPr>
                <w:rFonts w:hint="eastAsia" w:ascii="仿宋" w:hAnsi="仿宋" w:eastAsia="仿宋" w:cs="仿宋"/>
                <w:spacing w:val="-1"/>
                <w:kern w:val="0"/>
                <w:sz w:val="24"/>
              </w:rPr>
            </w:pPr>
            <w:r>
              <w:rPr>
                <w:rFonts w:hint="eastAsia" w:ascii="仿宋" w:hAnsi="仿宋" w:eastAsia="仿宋" w:cs="仿宋"/>
                <w:spacing w:val="-1"/>
                <w:kern w:val="0"/>
                <w:sz w:val="24"/>
              </w:rPr>
              <w:t>10</w:t>
            </w:r>
          </w:p>
        </w:tc>
        <w:tc>
          <w:tcPr>
            <w:tcW w:w="2154" w:type="dxa"/>
            <w:noWrap w:val="0"/>
            <w:vAlign w:val="center"/>
          </w:tcPr>
          <w:p w14:paraId="0E022315">
            <w:pPr>
              <w:rPr>
                <w:rFonts w:hint="eastAsia" w:ascii="仿宋" w:hAnsi="仿宋" w:eastAsia="仿宋" w:cs="仿宋"/>
                <w:spacing w:val="-1"/>
                <w:kern w:val="0"/>
                <w:sz w:val="24"/>
              </w:rPr>
            </w:pPr>
          </w:p>
        </w:tc>
        <w:tc>
          <w:tcPr>
            <w:tcW w:w="2477" w:type="dxa"/>
            <w:noWrap w:val="0"/>
            <w:vAlign w:val="center"/>
          </w:tcPr>
          <w:p w14:paraId="705C0555">
            <w:pPr>
              <w:rPr>
                <w:rFonts w:hint="eastAsia" w:ascii="仿宋" w:hAnsi="仿宋" w:eastAsia="仿宋" w:cs="仿宋"/>
                <w:spacing w:val="-1"/>
                <w:kern w:val="0"/>
                <w:sz w:val="24"/>
              </w:rPr>
            </w:pPr>
          </w:p>
        </w:tc>
        <w:tc>
          <w:tcPr>
            <w:tcW w:w="2454" w:type="dxa"/>
            <w:noWrap w:val="0"/>
            <w:vAlign w:val="center"/>
          </w:tcPr>
          <w:p w14:paraId="101AF7A3">
            <w:pPr>
              <w:rPr>
                <w:rFonts w:hint="eastAsia" w:ascii="仿宋" w:hAnsi="仿宋" w:eastAsia="仿宋" w:cs="仿宋"/>
                <w:spacing w:val="-1"/>
                <w:kern w:val="0"/>
                <w:sz w:val="24"/>
              </w:rPr>
            </w:pPr>
          </w:p>
        </w:tc>
        <w:tc>
          <w:tcPr>
            <w:tcW w:w="1130" w:type="dxa"/>
            <w:noWrap w:val="0"/>
            <w:vAlign w:val="center"/>
          </w:tcPr>
          <w:p w14:paraId="04876D77">
            <w:pPr>
              <w:rPr>
                <w:rFonts w:hint="eastAsia" w:ascii="仿宋" w:hAnsi="仿宋" w:eastAsia="仿宋" w:cs="仿宋"/>
                <w:spacing w:val="-1"/>
                <w:kern w:val="0"/>
                <w:sz w:val="24"/>
              </w:rPr>
            </w:pPr>
          </w:p>
        </w:tc>
      </w:tr>
      <w:tr w14:paraId="18FC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0F5F3F5">
            <w:pPr>
              <w:rPr>
                <w:rFonts w:hint="eastAsia" w:ascii="仿宋" w:hAnsi="仿宋" w:eastAsia="仿宋" w:cs="仿宋"/>
                <w:spacing w:val="-1"/>
                <w:kern w:val="0"/>
                <w:sz w:val="24"/>
              </w:rPr>
            </w:pPr>
            <w:r>
              <w:rPr>
                <w:rFonts w:hint="eastAsia" w:ascii="仿宋" w:hAnsi="仿宋" w:eastAsia="仿宋" w:cs="仿宋"/>
                <w:spacing w:val="-1"/>
                <w:kern w:val="0"/>
                <w:sz w:val="24"/>
              </w:rPr>
              <w:t>11</w:t>
            </w:r>
          </w:p>
        </w:tc>
        <w:tc>
          <w:tcPr>
            <w:tcW w:w="2154" w:type="dxa"/>
            <w:noWrap w:val="0"/>
            <w:vAlign w:val="center"/>
          </w:tcPr>
          <w:p w14:paraId="7B4C7402">
            <w:pPr>
              <w:rPr>
                <w:rFonts w:hint="eastAsia" w:ascii="仿宋" w:hAnsi="仿宋" w:eastAsia="仿宋" w:cs="仿宋"/>
                <w:spacing w:val="-1"/>
                <w:kern w:val="0"/>
                <w:sz w:val="24"/>
              </w:rPr>
            </w:pPr>
          </w:p>
        </w:tc>
        <w:tc>
          <w:tcPr>
            <w:tcW w:w="2477" w:type="dxa"/>
            <w:noWrap w:val="0"/>
            <w:vAlign w:val="center"/>
          </w:tcPr>
          <w:p w14:paraId="6E93D676">
            <w:pPr>
              <w:rPr>
                <w:rFonts w:hint="eastAsia" w:ascii="仿宋" w:hAnsi="仿宋" w:eastAsia="仿宋" w:cs="仿宋"/>
                <w:spacing w:val="-1"/>
                <w:kern w:val="0"/>
                <w:sz w:val="24"/>
              </w:rPr>
            </w:pPr>
          </w:p>
        </w:tc>
        <w:tc>
          <w:tcPr>
            <w:tcW w:w="2454" w:type="dxa"/>
            <w:noWrap w:val="0"/>
            <w:vAlign w:val="center"/>
          </w:tcPr>
          <w:p w14:paraId="5B220842">
            <w:pPr>
              <w:rPr>
                <w:rFonts w:hint="eastAsia" w:ascii="仿宋" w:hAnsi="仿宋" w:eastAsia="仿宋" w:cs="仿宋"/>
                <w:spacing w:val="-1"/>
                <w:kern w:val="0"/>
                <w:sz w:val="24"/>
              </w:rPr>
            </w:pPr>
          </w:p>
        </w:tc>
        <w:tc>
          <w:tcPr>
            <w:tcW w:w="1130" w:type="dxa"/>
            <w:noWrap w:val="0"/>
            <w:vAlign w:val="center"/>
          </w:tcPr>
          <w:p w14:paraId="365729B9">
            <w:pPr>
              <w:rPr>
                <w:rFonts w:hint="eastAsia" w:ascii="仿宋" w:hAnsi="仿宋" w:eastAsia="仿宋" w:cs="仿宋"/>
                <w:spacing w:val="-1"/>
                <w:kern w:val="0"/>
                <w:sz w:val="24"/>
              </w:rPr>
            </w:pPr>
          </w:p>
        </w:tc>
      </w:tr>
      <w:tr w14:paraId="5A67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1FF3FC6">
            <w:pPr>
              <w:rPr>
                <w:rFonts w:hint="eastAsia" w:ascii="仿宋" w:hAnsi="仿宋" w:eastAsia="仿宋" w:cs="仿宋"/>
                <w:spacing w:val="-1"/>
                <w:kern w:val="0"/>
                <w:sz w:val="24"/>
              </w:rPr>
            </w:pPr>
            <w:r>
              <w:rPr>
                <w:rFonts w:hint="eastAsia" w:ascii="仿宋" w:hAnsi="仿宋" w:eastAsia="仿宋" w:cs="仿宋"/>
                <w:spacing w:val="-1"/>
                <w:kern w:val="0"/>
                <w:sz w:val="24"/>
              </w:rPr>
              <w:t>12</w:t>
            </w:r>
          </w:p>
        </w:tc>
        <w:tc>
          <w:tcPr>
            <w:tcW w:w="2154" w:type="dxa"/>
            <w:noWrap w:val="0"/>
            <w:vAlign w:val="center"/>
          </w:tcPr>
          <w:p w14:paraId="2EE99D1E">
            <w:pPr>
              <w:rPr>
                <w:rFonts w:hint="eastAsia" w:ascii="仿宋" w:hAnsi="仿宋" w:eastAsia="仿宋" w:cs="仿宋"/>
                <w:spacing w:val="-1"/>
                <w:kern w:val="0"/>
                <w:sz w:val="24"/>
              </w:rPr>
            </w:pPr>
          </w:p>
        </w:tc>
        <w:tc>
          <w:tcPr>
            <w:tcW w:w="2477" w:type="dxa"/>
            <w:noWrap w:val="0"/>
            <w:vAlign w:val="center"/>
          </w:tcPr>
          <w:p w14:paraId="7E1F44A2">
            <w:pPr>
              <w:rPr>
                <w:rFonts w:hint="eastAsia" w:ascii="仿宋" w:hAnsi="仿宋" w:eastAsia="仿宋" w:cs="仿宋"/>
                <w:spacing w:val="-1"/>
                <w:kern w:val="0"/>
                <w:sz w:val="24"/>
              </w:rPr>
            </w:pPr>
          </w:p>
        </w:tc>
        <w:tc>
          <w:tcPr>
            <w:tcW w:w="2454" w:type="dxa"/>
            <w:noWrap w:val="0"/>
            <w:vAlign w:val="center"/>
          </w:tcPr>
          <w:p w14:paraId="5B65289D">
            <w:pPr>
              <w:rPr>
                <w:rFonts w:hint="eastAsia" w:ascii="仿宋" w:hAnsi="仿宋" w:eastAsia="仿宋" w:cs="仿宋"/>
                <w:spacing w:val="-1"/>
                <w:kern w:val="0"/>
                <w:sz w:val="24"/>
              </w:rPr>
            </w:pPr>
          </w:p>
        </w:tc>
        <w:tc>
          <w:tcPr>
            <w:tcW w:w="1130" w:type="dxa"/>
            <w:noWrap w:val="0"/>
            <w:vAlign w:val="center"/>
          </w:tcPr>
          <w:p w14:paraId="062B3313">
            <w:pPr>
              <w:rPr>
                <w:rFonts w:hint="eastAsia" w:ascii="仿宋" w:hAnsi="仿宋" w:eastAsia="仿宋" w:cs="仿宋"/>
                <w:spacing w:val="-1"/>
                <w:kern w:val="0"/>
                <w:sz w:val="24"/>
              </w:rPr>
            </w:pPr>
          </w:p>
        </w:tc>
      </w:tr>
      <w:tr w14:paraId="2E82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DF4827C">
            <w:pPr>
              <w:rPr>
                <w:rFonts w:hint="eastAsia" w:ascii="仿宋" w:hAnsi="仿宋" w:eastAsia="仿宋" w:cs="仿宋"/>
                <w:spacing w:val="-1"/>
                <w:kern w:val="0"/>
                <w:sz w:val="24"/>
              </w:rPr>
            </w:pPr>
            <w:r>
              <w:rPr>
                <w:rFonts w:hint="eastAsia" w:ascii="仿宋" w:hAnsi="仿宋" w:eastAsia="仿宋" w:cs="仿宋"/>
                <w:spacing w:val="-1"/>
                <w:kern w:val="0"/>
                <w:sz w:val="24"/>
              </w:rPr>
              <w:t>13</w:t>
            </w:r>
          </w:p>
        </w:tc>
        <w:tc>
          <w:tcPr>
            <w:tcW w:w="2154" w:type="dxa"/>
            <w:noWrap w:val="0"/>
            <w:vAlign w:val="center"/>
          </w:tcPr>
          <w:p w14:paraId="12AA2564">
            <w:pPr>
              <w:rPr>
                <w:rFonts w:hint="eastAsia" w:ascii="仿宋" w:hAnsi="仿宋" w:eastAsia="仿宋" w:cs="仿宋"/>
                <w:spacing w:val="-1"/>
                <w:kern w:val="0"/>
                <w:sz w:val="24"/>
              </w:rPr>
            </w:pPr>
          </w:p>
        </w:tc>
        <w:tc>
          <w:tcPr>
            <w:tcW w:w="2477" w:type="dxa"/>
            <w:noWrap w:val="0"/>
            <w:vAlign w:val="center"/>
          </w:tcPr>
          <w:p w14:paraId="22051DD8">
            <w:pPr>
              <w:rPr>
                <w:rFonts w:hint="eastAsia" w:ascii="仿宋" w:hAnsi="仿宋" w:eastAsia="仿宋" w:cs="仿宋"/>
                <w:spacing w:val="-1"/>
                <w:kern w:val="0"/>
                <w:sz w:val="24"/>
              </w:rPr>
            </w:pPr>
          </w:p>
        </w:tc>
        <w:tc>
          <w:tcPr>
            <w:tcW w:w="2454" w:type="dxa"/>
            <w:noWrap w:val="0"/>
            <w:vAlign w:val="center"/>
          </w:tcPr>
          <w:p w14:paraId="0F8EF44D">
            <w:pPr>
              <w:rPr>
                <w:rFonts w:hint="eastAsia" w:ascii="仿宋" w:hAnsi="仿宋" w:eastAsia="仿宋" w:cs="仿宋"/>
                <w:spacing w:val="-1"/>
                <w:kern w:val="0"/>
                <w:sz w:val="24"/>
              </w:rPr>
            </w:pPr>
          </w:p>
        </w:tc>
        <w:tc>
          <w:tcPr>
            <w:tcW w:w="1130" w:type="dxa"/>
            <w:noWrap w:val="0"/>
            <w:vAlign w:val="center"/>
          </w:tcPr>
          <w:p w14:paraId="316809FD">
            <w:pPr>
              <w:rPr>
                <w:rFonts w:hint="eastAsia" w:ascii="仿宋" w:hAnsi="仿宋" w:eastAsia="仿宋" w:cs="仿宋"/>
                <w:spacing w:val="-1"/>
                <w:kern w:val="0"/>
                <w:sz w:val="24"/>
              </w:rPr>
            </w:pPr>
          </w:p>
        </w:tc>
      </w:tr>
      <w:tr w14:paraId="5BD6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C94EB08">
            <w:pPr>
              <w:rPr>
                <w:rFonts w:hint="eastAsia" w:ascii="仿宋" w:hAnsi="仿宋" w:eastAsia="仿宋" w:cs="仿宋"/>
                <w:spacing w:val="-1"/>
                <w:kern w:val="0"/>
                <w:sz w:val="24"/>
              </w:rPr>
            </w:pPr>
            <w:r>
              <w:rPr>
                <w:rFonts w:hint="eastAsia" w:ascii="仿宋" w:hAnsi="仿宋" w:eastAsia="仿宋" w:cs="仿宋"/>
                <w:spacing w:val="-1"/>
                <w:kern w:val="0"/>
                <w:sz w:val="24"/>
              </w:rPr>
              <w:t>14</w:t>
            </w:r>
          </w:p>
        </w:tc>
        <w:tc>
          <w:tcPr>
            <w:tcW w:w="2154" w:type="dxa"/>
            <w:noWrap w:val="0"/>
            <w:vAlign w:val="center"/>
          </w:tcPr>
          <w:p w14:paraId="51ACDF70">
            <w:pPr>
              <w:rPr>
                <w:rFonts w:hint="eastAsia" w:ascii="仿宋" w:hAnsi="仿宋" w:eastAsia="仿宋" w:cs="仿宋"/>
                <w:spacing w:val="-1"/>
                <w:kern w:val="0"/>
                <w:sz w:val="24"/>
              </w:rPr>
            </w:pPr>
          </w:p>
        </w:tc>
        <w:tc>
          <w:tcPr>
            <w:tcW w:w="2477" w:type="dxa"/>
            <w:noWrap w:val="0"/>
            <w:vAlign w:val="center"/>
          </w:tcPr>
          <w:p w14:paraId="5D1BC3BC">
            <w:pPr>
              <w:rPr>
                <w:rFonts w:hint="eastAsia" w:ascii="仿宋" w:hAnsi="仿宋" w:eastAsia="仿宋" w:cs="仿宋"/>
                <w:spacing w:val="-1"/>
                <w:kern w:val="0"/>
                <w:sz w:val="24"/>
              </w:rPr>
            </w:pPr>
          </w:p>
        </w:tc>
        <w:tc>
          <w:tcPr>
            <w:tcW w:w="2454" w:type="dxa"/>
            <w:noWrap w:val="0"/>
            <w:vAlign w:val="center"/>
          </w:tcPr>
          <w:p w14:paraId="58784B86">
            <w:pPr>
              <w:rPr>
                <w:rFonts w:hint="eastAsia" w:ascii="仿宋" w:hAnsi="仿宋" w:eastAsia="仿宋" w:cs="仿宋"/>
                <w:spacing w:val="-1"/>
                <w:kern w:val="0"/>
                <w:sz w:val="24"/>
              </w:rPr>
            </w:pPr>
          </w:p>
        </w:tc>
        <w:tc>
          <w:tcPr>
            <w:tcW w:w="1130" w:type="dxa"/>
            <w:noWrap w:val="0"/>
            <w:vAlign w:val="center"/>
          </w:tcPr>
          <w:p w14:paraId="5AF67888">
            <w:pPr>
              <w:rPr>
                <w:rFonts w:hint="eastAsia" w:ascii="仿宋" w:hAnsi="仿宋" w:eastAsia="仿宋" w:cs="仿宋"/>
                <w:spacing w:val="-1"/>
                <w:kern w:val="0"/>
                <w:sz w:val="24"/>
              </w:rPr>
            </w:pPr>
          </w:p>
        </w:tc>
      </w:tr>
      <w:tr w14:paraId="21FB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AAA022A">
            <w:pPr>
              <w:rPr>
                <w:rFonts w:hint="eastAsia" w:ascii="仿宋" w:hAnsi="仿宋" w:eastAsia="仿宋" w:cs="仿宋"/>
                <w:spacing w:val="-1"/>
                <w:kern w:val="0"/>
                <w:sz w:val="24"/>
              </w:rPr>
            </w:pPr>
            <w:r>
              <w:rPr>
                <w:rFonts w:hint="eastAsia" w:ascii="仿宋" w:hAnsi="仿宋" w:eastAsia="仿宋" w:cs="仿宋"/>
                <w:spacing w:val="-1"/>
                <w:kern w:val="0"/>
                <w:sz w:val="24"/>
              </w:rPr>
              <w:t>15</w:t>
            </w:r>
          </w:p>
        </w:tc>
        <w:tc>
          <w:tcPr>
            <w:tcW w:w="2154" w:type="dxa"/>
            <w:noWrap w:val="0"/>
            <w:vAlign w:val="center"/>
          </w:tcPr>
          <w:p w14:paraId="1C056BB2">
            <w:pPr>
              <w:rPr>
                <w:rFonts w:hint="eastAsia" w:ascii="仿宋" w:hAnsi="仿宋" w:eastAsia="仿宋" w:cs="仿宋"/>
                <w:spacing w:val="-1"/>
                <w:kern w:val="0"/>
                <w:sz w:val="24"/>
              </w:rPr>
            </w:pPr>
          </w:p>
        </w:tc>
        <w:tc>
          <w:tcPr>
            <w:tcW w:w="2477" w:type="dxa"/>
            <w:noWrap w:val="0"/>
            <w:vAlign w:val="center"/>
          </w:tcPr>
          <w:p w14:paraId="58C86041">
            <w:pPr>
              <w:rPr>
                <w:rFonts w:hint="eastAsia" w:ascii="仿宋" w:hAnsi="仿宋" w:eastAsia="仿宋" w:cs="仿宋"/>
                <w:spacing w:val="-1"/>
                <w:kern w:val="0"/>
                <w:sz w:val="24"/>
              </w:rPr>
            </w:pPr>
          </w:p>
        </w:tc>
        <w:tc>
          <w:tcPr>
            <w:tcW w:w="2454" w:type="dxa"/>
            <w:noWrap w:val="0"/>
            <w:vAlign w:val="center"/>
          </w:tcPr>
          <w:p w14:paraId="6D56AA3B">
            <w:pPr>
              <w:rPr>
                <w:rFonts w:hint="eastAsia" w:ascii="仿宋" w:hAnsi="仿宋" w:eastAsia="仿宋" w:cs="仿宋"/>
                <w:spacing w:val="-1"/>
                <w:kern w:val="0"/>
                <w:sz w:val="24"/>
              </w:rPr>
            </w:pPr>
          </w:p>
        </w:tc>
        <w:tc>
          <w:tcPr>
            <w:tcW w:w="1130" w:type="dxa"/>
            <w:noWrap w:val="0"/>
            <w:vAlign w:val="center"/>
          </w:tcPr>
          <w:p w14:paraId="1D234964">
            <w:pPr>
              <w:rPr>
                <w:rFonts w:hint="eastAsia" w:ascii="仿宋" w:hAnsi="仿宋" w:eastAsia="仿宋" w:cs="仿宋"/>
                <w:spacing w:val="-1"/>
                <w:kern w:val="0"/>
                <w:sz w:val="24"/>
              </w:rPr>
            </w:pPr>
          </w:p>
        </w:tc>
      </w:tr>
    </w:tbl>
    <w:p w14:paraId="3023C5EE">
      <w:pPr>
        <w:rPr>
          <w:rFonts w:hint="eastAsia" w:ascii="仿宋" w:hAnsi="仿宋" w:eastAsia="仿宋" w:cs="仿宋"/>
          <w:spacing w:val="-1"/>
          <w:kern w:val="0"/>
          <w:sz w:val="24"/>
        </w:rPr>
      </w:pPr>
      <w:r>
        <w:rPr>
          <w:rFonts w:hint="eastAsia" w:ascii="仿宋" w:hAnsi="仿宋" w:eastAsia="仿宋" w:cs="仿宋"/>
          <w:spacing w:val="-1"/>
          <w:kern w:val="0"/>
          <w:sz w:val="24"/>
        </w:rPr>
        <w:t>注：请在“偏离说明”栏内扼要说明偏离情况，如无偏离则不需列明。</w:t>
      </w:r>
    </w:p>
    <w:p w14:paraId="0FEAC2E1">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14:paraId="4D777A40">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rPr>
      </w:pPr>
    </w:p>
    <w:p w14:paraId="1A7BF953">
      <w:pPr>
        <w:pStyle w:val="7"/>
        <w:numPr>
          <w:ilvl w:val="0"/>
          <w:numId w:val="0"/>
        </w:numPr>
        <w:tabs>
          <w:tab w:val="left" w:pos="8227"/>
        </w:tabs>
        <w:kinsoku w:val="0"/>
        <w:overflowPunct w:val="0"/>
        <w:spacing w:line="381" w:lineRule="auto"/>
        <w:ind w:left="1680" w:leftChars="0" w:right="118" w:rightChars="0"/>
        <w:rPr>
          <w:rFonts w:hint="eastAsia" w:ascii="仿宋" w:hAnsi="仿宋" w:eastAsia="仿宋" w:cs="仿宋"/>
          <w:sz w:val="24"/>
          <w:szCs w:val="24"/>
        </w:rPr>
      </w:pPr>
    </w:p>
    <w:p w14:paraId="3C568AFE">
      <w:pPr>
        <w:pStyle w:val="7"/>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（盖单位章）</w:t>
      </w:r>
      <w:r>
        <w:rPr>
          <w:rFonts w:hint="eastAsia" w:ascii="仿宋" w:hAnsi="仿宋" w:eastAsia="仿宋" w:cs="仿宋"/>
          <w:sz w:val="24"/>
          <w:szCs w:val="24"/>
        </w:rPr>
        <w:t xml:space="preserve"> </w:t>
      </w:r>
    </w:p>
    <w:p w14:paraId="3CA84DAD">
      <w:pPr>
        <w:pStyle w:val="7"/>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w w:val="95"/>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lang w:val="en-US" w:eastAsia="zh-CN"/>
        </w:rPr>
        <w:t xml:space="preserve">          </w:t>
      </w:r>
      <w:r>
        <w:rPr>
          <w:rFonts w:hint="eastAsia" w:ascii="仿宋" w:hAnsi="仿宋" w:eastAsia="仿宋" w:cs="仿宋"/>
          <w:w w:val="95"/>
          <w:sz w:val="24"/>
          <w:szCs w:val="24"/>
        </w:rPr>
        <w:t>（</w:t>
      </w:r>
      <w:r>
        <w:rPr>
          <w:rFonts w:hint="eastAsia" w:ascii="仿宋" w:hAnsi="仿宋" w:eastAsia="仿宋" w:cs="仿宋"/>
          <w:w w:val="95"/>
          <w:sz w:val="24"/>
          <w:szCs w:val="24"/>
          <w:lang w:eastAsia="zh-CN"/>
        </w:rPr>
        <w:t>签章</w:t>
      </w:r>
      <w:r>
        <w:rPr>
          <w:rFonts w:hint="eastAsia" w:ascii="仿宋" w:hAnsi="仿宋" w:eastAsia="仿宋" w:cs="仿宋"/>
          <w:w w:val="95"/>
          <w:sz w:val="24"/>
          <w:szCs w:val="24"/>
        </w:rPr>
        <w:t>）</w:t>
      </w:r>
    </w:p>
    <w:p w14:paraId="73D0A77C">
      <w:pPr>
        <w:pStyle w:val="7"/>
        <w:numPr>
          <w:ilvl w:val="0"/>
          <w:numId w:val="0"/>
        </w:numPr>
        <w:shd w:val="clear" w:color="auto" w:fill="auto"/>
        <w:tabs>
          <w:tab w:val="left" w:pos="8227"/>
        </w:tabs>
        <w:kinsoku w:val="0"/>
        <w:overflowPunct w:val="0"/>
        <w:spacing w:line="360" w:lineRule="auto"/>
        <w:ind w:left="1680" w:leftChars="0" w:right="118" w:rightChars="0" w:firstLine="2400" w:firstLineChars="1000"/>
        <w:rPr>
          <w:rFonts w:hint="eastAsia" w:ascii="仿宋" w:hAnsi="仿宋" w:eastAsia="仿宋" w:cs="仿宋"/>
          <w:sz w:val="24"/>
          <w:szCs w:val="24"/>
          <w:lang w:eastAsia="zh-CN"/>
        </w:rPr>
      </w:pPr>
      <w:r>
        <w:rPr>
          <w:rFonts w:hint="eastAsia" w:ascii="仿宋" w:hAnsi="仿宋" w:eastAsia="仿宋" w:cs="仿宋"/>
          <w:sz w:val="24"/>
          <w:szCs w:val="24"/>
        </w:rPr>
        <w:t>被授权人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（签</w:t>
      </w:r>
      <w:r>
        <w:rPr>
          <w:rFonts w:hint="eastAsia" w:ascii="仿宋" w:hAnsi="仿宋" w:eastAsia="仿宋" w:cs="仿宋"/>
          <w:sz w:val="24"/>
          <w:szCs w:val="24"/>
          <w:lang w:val="en-US" w:eastAsia="zh-CN"/>
        </w:rPr>
        <w:t>字</w:t>
      </w:r>
      <w:r>
        <w:rPr>
          <w:rFonts w:hint="eastAsia" w:ascii="仿宋" w:hAnsi="仿宋" w:eastAsia="仿宋" w:cs="仿宋"/>
          <w:sz w:val="24"/>
          <w:szCs w:val="24"/>
          <w:lang w:eastAsia="zh-CN"/>
        </w:rPr>
        <w:t>）</w:t>
      </w:r>
    </w:p>
    <w:p w14:paraId="121866B1">
      <w:pPr>
        <w:pStyle w:val="32"/>
        <w:keepNext w:val="0"/>
        <w:keepLines w:val="0"/>
        <w:widowControl w:val="0"/>
        <w:shd w:val="clear" w:color="auto" w:fill="auto"/>
        <w:bidi w:val="0"/>
        <w:spacing w:before="0" w:after="0" w:line="360" w:lineRule="auto"/>
        <w:ind w:left="0" w:right="0" w:firstLine="420"/>
        <w:jc w:val="center"/>
        <w:rPr>
          <w:rFonts w:hint="eastAsia" w:ascii="仿宋" w:hAnsi="仿宋" w:eastAsia="仿宋" w:cs="仿宋"/>
          <w:color w:val="000000"/>
          <w:spacing w:val="0"/>
          <w:w w:val="100"/>
          <w:position w:val="0"/>
          <w:sz w:val="36"/>
          <w:szCs w:val="36"/>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14:paraId="3ED43756">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0CC5A5AB">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7DC4C958">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5D174147">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7E8EFEF9">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30D068A8">
      <w:pPr>
        <w:pStyle w:val="32"/>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spacing w:val="0"/>
          <w:w w:val="100"/>
          <w:position w:val="0"/>
          <w:sz w:val="36"/>
          <w:szCs w:val="36"/>
        </w:rPr>
      </w:pPr>
    </w:p>
    <w:p w14:paraId="0F2E75CE">
      <w:pPr>
        <w:pStyle w:val="33"/>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000000"/>
          <w:spacing w:val="0"/>
          <w:w w:val="100"/>
          <w:position w:val="0"/>
          <w:sz w:val="21"/>
          <w:szCs w:val="21"/>
        </w:rPr>
      </w:pPr>
    </w:p>
    <w:p w14:paraId="3AEE69D6">
      <w:pPr>
        <w:pStyle w:val="32"/>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7、投标人基本情况表</w:t>
      </w:r>
    </w:p>
    <w:p w14:paraId="181FF4E3">
      <w:pPr>
        <w:pStyle w:val="7"/>
        <w:numPr>
          <w:ilvl w:val="0"/>
          <w:numId w:val="0"/>
        </w:numPr>
        <w:kinsoku w:val="0"/>
        <w:overflowPunct w:val="0"/>
        <w:spacing w:before="5"/>
        <w:ind w:leftChars="0" w:right="0" w:rightChars="0"/>
        <w:rPr>
          <w:rFonts w:hint="eastAsia" w:ascii="仿宋" w:hAnsi="仿宋" w:eastAsia="仿宋" w:cs="仿宋"/>
          <w:b/>
          <w:bCs/>
          <w:sz w:val="6"/>
          <w:szCs w:val="6"/>
        </w:rPr>
      </w:pP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62E3144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5B862214">
            <w:pPr>
              <w:pStyle w:val="36"/>
              <w:kinsoku w:val="0"/>
              <w:overflowPunct w:val="0"/>
              <w:spacing w:before="145"/>
              <w:ind w:left="137"/>
              <w:rPr>
                <w:rFonts w:hint="eastAsia"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A428E06">
            <w:pPr>
              <w:rPr>
                <w:rFonts w:hint="eastAsia" w:ascii="仿宋" w:hAnsi="仿宋" w:eastAsia="仿宋" w:cs="仿宋"/>
              </w:rPr>
            </w:pPr>
          </w:p>
        </w:tc>
      </w:tr>
      <w:tr w14:paraId="7FF6048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6261937">
            <w:pPr>
              <w:pStyle w:val="36"/>
              <w:kinsoku w:val="0"/>
              <w:overflowPunct w:val="0"/>
              <w:spacing w:before="145"/>
              <w:ind w:left="137"/>
              <w:rPr>
                <w:rFonts w:hint="eastAsia"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1B368F62">
            <w:pPr>
              <w:rPr>
                <w:rFonts w:hint="eastAsia" w:ascii="仿宋" w:hAnsi="仿宋" w:eastAsia="仿宋" w:cs="仿宋"/>
              </w:rPr>
            </w:pPr>
          </w:p>
        </w:tc>
      </w:tr>
      <w:tr w14:paraId="3D263CE5">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658F29F">
            <w:pPr>
              <w:pStyle w:val="36"/>
              <w:kinsoku w:val="0"/>
              <w:overflowPunct w:val="0"/>
              <w:spacing w:before="145"/>
              <w:ind w:left="137"/>
              <w:rPr>
                <w:rFonts w:hint="eastAsia"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481C5F0B">
            <w:pPr>
              <w:rPr>
                <w:rFonts w:hint="eastAsia"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0CF3E926">
            <w:pPr>
              <w:pStyle w:val="36"/>
              <w:kinsoku w:val="0"/>
              <w:overflowPunct w:val="0"/>
              <w:spacing w:before="145"/>
              <w:ind w:left="181"/>
              <w:rPr>
                <w:rFonts w:hint="eastAsia"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19F9FE2C">
            <w:pPr>
              <w:rPr>
                <w:rFonts w:hint="eastAsia" w:ascii="仿宋" w:hAnsi="仿宋" w:eastAsia="仿宋" w:cs="仿宋"/>
              </w:rPr>
            </w:pPr>
          </w:p>
        </w:tc>
      </w:tr>
      <w:tr w14:paraId="475446A5">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B3A9A28">
            <w:pPr>
              <w:pStyle w:val="36"/>
              <w:kinsoku w:val="0"/>
              <w:overflowPunct w:val="0"/>
              <w:spacing w:before="146"/>
              <w:ind w:left="137"/>
              <w:rPr>
                <w:rFonts w:hint="eastAsia"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086741B">
            <w:pPr>
              <w:rPr>
                <w:rFonts w:hint="eastAsia" w:ascii="仿宋" w:hAnsi="仿宋" w:eastAsia="仿宋" w:cs="仿宋"/>
              </w:rPr>
            </w:pPr>
          </w:p>
        </w:tc>
      </w:tr>
      <w:tr w14:paraId="655F333A">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489678D2">
            <w:pPr>
              <w:pStyle w:val="36"/>
              <w:kinsoku w:val="0"/>
              <w:overflowPunct w:val="0"/>
              <w:spacing w:before="141" w:line="312" w:lineRule="exact"/>
              <w:ind w:left="257" w:right="133" w:hanging="120"/>
              <w:rPr>
                <w:rFonts w:hint="eastAsia"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39401CA6">
            <w:pPr>
              <w:rPr>
                <w:rFonts w:hint="eastAsia"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1B043FDA">
            <w:pPr>
              <w:pStyle w:val="36"/>
              <w:kinsoku w:val="0"/>
              <w:overflowPunct w:val="0"/>
              <w:spacing w:before="4"/>
              <w:rPr>
                <w:rFonts w:hint="eastAsia" w:ascii="仿宋" w:hAnsi="仿宋" w:eastAsia="仿宋" w:cs="仿宋"/>
                <w:b/>
                <w:bCs/>
                <w:sz w:val="20"/>
                <w:szCs w:val="20"/>
              </w:rPr>
            </w:pPr>
          </w:p>
          <w:p w14:paraId="071DF2C9">
            <w:pPr>
              <w:pStyle w:val="36"/>
              <w:kinsoku w:val="0"/>
              <w:overflowPunct w:val="0"/>
              <w:ind w:left="366"/>
              <w:rPr>
                <w:rFonts w:hint="eastAsia"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65FEAC8D">
            <w:pPr>
              <w:rPr>
                <w:rFonts w:hint="eastAsia"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79D10612">
            <w:pPr>
              <w:pStyle w:val="36"/>
              <w:kinsoku w:val="0"/>
              <w:overflowPunct w:val="0"/>
              <w:spacing w:before="4"/>
              <w:rPr>
                <w:rFonts w:hint="eastAsia" w:ascii="仿宋" w:hAnsi="仿宋" w:eastAsia="仿宋" w:cs="仿宋"/>
                <w:b/>
                <w:bCs/>
                <w:sz w:val="20"/>
                <w:szCs w:val="20"/>
              </w:rPr>
            </w:pPr>
          </w:p>
          <w:p w14:paraId="593835C2">
            <w:pPr>
              <w:pStyle w:val="36"/>
              <w:kinsoku w:val="0"/>
              <w:overflowPunct w:val="0"/>
              <w:ind w:left="383"/>
              <w:rPr>
                <w:rFonts w:hint="eastAsia"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4AF62364">
            <w:pPr>
              <w:rPr>
                <w:rFonts w:hint="eastAsia" w:ascii="仿宋" w:hAnsi="仿宋" w:eastAsia="仿宋" w:cs="仿宋"/>
              </w:rPr>
            </w:pPr>
          </w:p>
        </w:tc>
      </w:tr>
      <w:tr w14:paraId="3EEB2D5C">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1E9A39CE">
            <w:pPr>
              <w:pStyle w:val="36"/>
              <w:kinsoku w:val="0"/>
              <w:overflowPunct w:val="0"/>
              <w:rPr>
                <w:rFonts w:hint="eastAsia" w:ascii="仿宋" w:hAnsi="仿宋" w:eastAsia="仿宋" w:cs="仿宋"/>
                <w:b/>
                <w:bCs/>
              </w:rPr>
            </w:pPr>
          </w:p>
          <w:p w14:paraId="6EEFABB4">
            <w:pPr>
              <w:pStyle w:val="36"/>
              <w:kinsoku w:val="0"/>
              <w:overflowPunct w:val="0"/>
              <w:rPr>
                <w:rFonts w:hint="eastAsia" w:ascii="仿宋" w:hAnsi="仿宋" w:eastAsia="仿宋" w:cs="仿宋"/>
                <w:b/>
                <w:bCs/>
              </w:rPr>
            </w:pPr>
          </w:p>
          <w:p w14:paraId="1F69A785">
            <w:pPr>
              <w:pStyle w:val="36"/>
              <w:kinsoku w:val="0"/>
              <w:overflowPunct w:val="0"/>
              <w:rPr>
                <w:rFonts w:hint="eastAsia" w:ascii="仿宋" w:hAnsi="仿宋" w:eastAsia="仿宋" w:cs="仿宋"/>
                <w:b/>
                <w:bCs/>
              </w:rPr>
            </w:pPr>
          </w:p>
          <w:p w14:paraId="28E3E506">
            <w:pPr>
              <w:pStyle w:val="36"/>
              <w:kinsoku w:val="0"/>
              <w:overflowPunct w:val="0"/>
              <w:spacing w:line="475" w:lineRule="auto"/>
              <w:ind w:left="497" w:right="493"/>
              <w:jc w:val="both"/>
              <w:rPr>
                <w:rFonts w:hint="eastAsia"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33D7CE0">
            <w:pPr>
              <w:pStyle w:val="36"/>
              <w:kinsoku w:val="0"/>
              <w:overflowPunct w:val="0"/>
              <w:spacing w:before="144"/>
              <w:ind w:left="236"/>
              <w:rPr>
                <w:rFonts w:hint="eastAsia"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7D1EDCC7">
            <w:pPr>
              <w:rPr>
                <w:rFonts w:hint="eastAsia"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14:paraId="313A89A5">
            <w:pPr>
              <w:pStyle w:val="36"/>
              <w:kinsoku w:val="0"/>
              <w:overflowPunct w:val="0"/>
              <w:spacing w:before="144"/>
              <w:ind w:left="118"/>
              <w:rPr>
                <w:rFonts w:hint="eastAsia" w:ascii="仿宋" w:hAnsi="仿宋" w:eastAsia="仿宋" w:cs="仿宋"/>
              </w:rPr>
            </w:pPr>
            <w:r>
              <w:rPr>
                <w:rFonts w:hint="eastAsia" w:ascii="仿宋" w:hAnsi="仿宋" w:eastAsia="仿宋" w:cs="仿宋"/>
              </w:rPr>
              <w:t>其中：</w:t>
            </w:r>
            <w:r>
              <w:rPr>
                <w:rFonts w:hint="eastAsia" w:ascii="仿宋" w:hAnsi="仿宋" w:eastAsia="仿宋" w:cs="仿宋"/>
                <w:lang w:eastAsia="zh-CN"/>
              </w:rPr>
              <w:t>有健康证</w:t>
            </w:r>
            <w:r>
              <w:rPr>
                <w:rFonts w:hint="eastAsia" w:ascii="仿宋" w:hAnsi="仿宋" w:eastAsia="仿宋" w:cs="仿宋"/>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2D5F846F">
            <w:pPr>
              <w:rPr>
                <w:rFonts w:hint="eastAsia" w:ascii="仿宋" w:hAnsi="仿宋" w:eastAsia="仿宋" w:cs="仿宋"/>
              </w:rPr>
            </w:pPr>
          </w:p>
        </w:tc>
      </w:tr>
      <w:tr w14:paraId="21BD16B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9DD00AA">
            <w:pPr>
              <w:rPr>
                <w:rFonts w:hint="eastAsia"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53E0ABA8">
            <w:pPr>
              <w:pStyle w:val="36"/>
              <w:kinsoku w:val="0"/>
              <w:overflowPunct w:val="0"/>
              <w:spacing w:before="145"/>
              <w:jc w:val="center"/>
              <w:rPr>
                <w:rFonts w:hint="eastAsia" w:ascii="仿宋" w:hAnsi="仿宋" w:eastAsia="仿宋" w:cs="仿宋"/>
              </w:rPr>
            </w:pPr>
            <w:r>
              <w:rPr>
                <w:rFonts w:hint="eastAsia" w:ascii="仿宋" w:hAnsi="仿宋" w:eastAsia="仿宋" w:cs="仿宋"/>
              </w:rPr>
              <w:t>单位负责人</w:t>
            </w:r>
          </w:p>
        </w:tc>
      </w:tr>
      <w:tr w14:paraId="018FBCD8">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F8835C2">
            <w:pPr>
              <w:pStyle w:val="36"/>
              <w:kinsoku w:val="0"/>
              <w:overflowPunct w:val="0"/>
              <w:spacing w:before="145"/>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76E1E7BC">
            <w:pPr>
              <w:pStyle w:val="36"/>
              <w:kinsoku w:val="0"/>
              <w:overflowPunct w:val="0"/>
              <w:spacing w:before="145"/>
              <w:ind w:left="416"/>
              <w:rPr>
                <w:rFonts w:hint="eastAsia"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7DCC923">
            <w:pPr>
              <w:pStyle w:val="36"/>
              <w:kinsoku w:val="0"/>
              <w:overflowPunct w:val="0"/>
              <w:spacing w:before="145"/>
              <w:ind w:left="452"/>
              <w:rPr>
                <w:rFonts w:hint="eastAsia"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36293E7C">
            <w:pPr>
              <w:pStyle w:val="36"/>
              <w:kinsoku w:val="0"/>
              <w:overflowPunct w:val="0"/>
              <w:spacing w:before="145"/>
              <w:ind w:left="450"/>
              <w:rPr>
                <w:rFonts w:hint="eastAsia"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DC466E2">
            <w:pPr>
              <w:pStyle w:val="36"/>
              <w:tabs>
                <w:tab w:val="left" w:pos="479"/>
              </w:tabs>
              <w:kinsoku w:val="0"/>
              <w:overflowPunct w:val="0"/>
              <w:spacing w:before="145"/>
              <w:ind w:right="1"/>
              <w:jc w:val="center"/>
              <w:rPr>
                <w:rFonts w:hint="eastAsia" w:ascii="仿宋" w:hAnsi="仿宋" w:eastAsia="仿宋" w:cs="仿宋"/>
                <w:lang w:eastAsia="zh-CN"/>
              </w:rPr>
            </w:pPr>
            <w:r>
              <w:rPr>
                <w:rFonts w:hint="eastAsia" w:ascii="仿宋" w:hAnsi="仿宋" w:eastAsia="仿宋" w:cs="仿宋"/>
                <w:lang w:eastAsia="zh-CN"/>
              </w:rPr>
              <w:t>电话</w:t>
            </w:r>
          </w:p>
        </w:tc>
      </w:tr>
      <w:tr w14:paraId="351B6A57">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1085014">
            <w:pPr>
              <w:pStyle w:val="36"/>
              <w:tabs>
                <w:tab w:val="left" w:pos="479"/>
              </w:tabs>
              <w:kinsoku w:val="0"/>
              <w:overflowPunct w:val="0"/>
              <w:spacing w:before="145"/>
              <w:ind w:right="1"/>
              <w:jc w:val="cente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F811E69">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2CDA806">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57FCA0A1">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6B4AB4B">
            <w:pPr>
              <w:rPr>
                <w:rFonts w:hint="eastAsia" w:ascii="仿宋" w:hAnsi="仿宋" w:eastAsia="仿宋" w:cs="仿宋"/>
              </w:rPr>
            </w:pPr>
          </w:p>
        </w:tc>
      </w:tr>
      <w:tr w14:paraId="5DDB5EC3">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ECF2AF4">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3F81B51">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24AB22C">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0C8040BA">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57FD67D">
            <w:pPr>
              <w:rPr>
                <w:rFonts w:hint="eastAsia" w:ascii="仿宋" w:hAnsi="仿宋" w:eastAsia="仿宋" w:cs="仿宋"/>
              </w:rPr>
            </w:pPr>
          </w:p>
        </w:tc>
      </w:tr>
      <w:tr w14:paraId="2FA670E6">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2E9DF18E">
            <w:pPr>
              <w:rPr>
                <w:rFonts w:hint="eastAsia"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18D310C">
            <w:pPr>
              <w:rPr>
                <w:rFonts w:hint="eastAsia"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6250E35">
            <w:pPr>
              <w:rPr>
                <w:rFonts w:hint="eastAsia"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85C899A">
            <w:pPr>
              <w:rPr>
                <w:rFonts w:hint="eastAsia"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5E712ACE">
            <w:pPr>
              <w:rPr>
                <w:rFonts w:hint="eastAsia" w:ascii="仿宋" w:hAnsi="仿宋" w:eastAsia="仿宋" w:cs="仿宋"/>
              </w:rPr>
            </w:pPr>
          </w:p>
        </w:tc>
      </w:tr>
      <w:tr w14:paraId="4AA35399">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33584F5">
            <w:pPr>
              <w:pStyle w:val="36"/>
              <w:kinsoku w:val="0"/>
              <w:overflowPunct w:val="0"/>
              <w:spacing w:line="240" w:lineRule="auto"/>
              <w:ind w:left="480" w:leftChars="200" w:right="493" w:firstLine="0" w:firstLineChars="0"/>
              <w:jc w:val="both"/>
              <w:rPr>
                <w:rFonts w:hint="eastAsia"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5BB1B93">
            <w:pPr>
              <w:rPr>
                <w:rFonts w:hint="eastAsia" w:ascii="仿宋" w:hAnsi="仿宋" w:eastAsia="仿宋" w:cs="仿宋"/>
              </w:rPr>
            </w:pPr>
          </w:p>
        </w:tc>
      </w:tr>
    </w:tbl>
    <w:p w14:paraId="56010150">
      <w:pPr>
        <w:shd w:val="clear" w:color="auto" w:fill="auto"/>
        <w:spacing w:line="240" w:lineRule="atLeast"/>
        <w:ind w:left="708" w:hanging="708" w:hangingChars="295"/>
        <w:jc w:val="both"/>
        <w:rPr>
          <w:rFonts w:hint="eastAsia" w:ascii="仿宋" w:hAnsi="仿宋" w:eastAsia="仿宋" w:cs="仿宋"/>
          <w:sz w:val="24"/>
          <w:szCs w:val="24"/>
        </w:rPr>
      </w:pPr>
      <w:r>
        <w:rPr>
          <w:rFonts w:hint="eastAsia" w:ascii="仿宋" w:hAnsi="仿宋" w:eastAsia="仿宋" w:cs="仿宋"/>
          <w:sz w:val="24"/>
          <w:szCs w:val="24"/>
          <w:lang w:eastAsia="zh-CN"/>
        </w:rPr>
        <w:t>注</w:t>
      </w:r>
      <w:r>
        <w:rPr>
          <w:rFonts w:hint="eastAsia" w:ascii="仿宋" w:hAnsi="仿宋" w:eastAsia="仿宋" w:cs="仿宋"/>
          <w:sz w:val="24"/>
          <w:szCs w:val="24"/>
        </w:rPr>
        <w:t>：</w:t>
      </w:r>
    </w:p>
    <w:p w14:paraId="657D03F2">
      <w:pPr>
        <w:pStyle w:val="7"/>
        <w:numPr>
          <w:ilvl w:val="0"/>
          <w:numId w:val="0"/>
        </w:numPr>
        <w:ind w:leftChars="0" w:right="0" w:rightChars="0"/>
        <w:rPr>
          <w:rFonts w:hint="default"/>
          <w:lang w:val="en-US" w:eastAsia="zh-CN"/>
        </w:rPr>
      </w:pPr>
    </w:p>
    <w:p w14:paraId="52F50019">
      <w:pPr>
        <w:rPr>
          <w:rFonts w:hint="default"/>
          <w:lang w:val="en-US" w:eastAsia="zh-CN"/>
        </w:rPr>
      </w:pPr>
    </w:p>
    <w:p w14:paraId="72E0AA8E">
      <w:pPr>
        <w:pStyle w:val="33"/>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FF0000"/>
          <w:sz w:val="24"/>
          <w:szCs w:val="24"/>
          <w:lang w:val="en-US" w:eastAsia="zh-CN"/>
        </w:rPr>
      </w:pPr>
    </w:p>
    <w:p w14:paraId="2D7FF542">
      <w:pPr>
        <w:shd w:val="clear" w:color="auto" w:fill="auto"/>
        <w:spacing w:line="240" w:lineRule="atLeast"/>
        <w:ind w:left="708" w:hanging="708" w:hangingChars="295"/>
        <w:jc w:val="center"/>
        <w:rPr>
          <w:rFonts w:hint="eastAsia" w:ascii="仿宋" w:hAnsi="仿宋" w:eastAsia="仿宋" w:cs="仿宋"/>
          <w:color w:val="000000" w:themeColor="text1"/>
          <w:sz w:val="24"/>
          <w:highlight w:val="none"/>
          <w14:textFill>
            <w14:solidFill>
              <w14:schemeClr w14:val="tx1"/>
            </w14:solidFill>
          </w14:textFill>
        </w:rPr>
      </w:pPr>
    </w:p>
    <w:p w14:paraId="13D70A6E">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14:textFill>
            <w14:solidFill>
              <w14:schemeClr w14:val="tx1"/>
            </w14:solidFill>
          </w14:textFill>
        </w:rPr>
      </w:pPr>
    </w:p>
    <w:p w14:paraId="639D1BE6">
      <w:pPr>
        <w:autoSpaceDE w:val="0"/>
        <w:autoSpaceDN w:val="0"/>
        <w:spacing w:line="640" w:lineRule="exact"/>
        <w:jc w:val="both"/>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 xml:space="preserve"> </w:t>
      </w:r>
    </w:p>
    <w:p w14:paraId="1BAC3562">
      <w:pPr>
        <w:pStyle w:val="7"/>
        <w:numPr>
          <w:ilvl w:val="0"/>
          <w:numId w:val="0"/>
        </w:numPr>
        <w:ind w:leftChars="0" w:right="0" w:rightChars="0"/>
        <w:rPr>
          <w:rFonts w:hint="eastAsia" w:ascii="仿宋" w:hAnsi="仿宋" w:eastAsia="仿宋" w:cs="仿宋"/>
          <w:b/>
          <w:bCs/>
          <w:color w:val="000000"/>
          <w:spacing w:val="0"/>
          <w:w w:val="100"/>
          <w:position w:val="0"/>
          <w:sz w:val="36"/>
          <w:szCs w:val="36"/>
          <w:lang w:val="en-US" w:eastAsia="zh-CN"/>
        </w:rPr>
      </w:pPr>
    </w:p>
    <w:p w14:paraId="01300220">
      <w:pPr>
        <w:rPr>
          <w:rFonts w:hint="eastAsia" w:ascii="仿宋" w:hAnsi="仿宋" w:eastAsia="仿宋" w:cs="仿宋"/>
          <w:b/>
          <w:bCs/>
          <w:color w:val="000000"/>
          <w:spacing w:val="0"/>
          <w:w w:val="100"/>
          <w:position w:val="0"/>
          <w:sz w:val="36"/>
          <w:szCs w:val="36"/>
          <w:lang w:val="en-US" w:eastAsia="zh-CN"/>
        </w:rPr>
      </w:pPr>
    </w:p>
    <w:p w14:paraId="1F5D59FF">
      <w:pPr>
        <w:rPr>
          <w:rFonts w:hint="eastAsia" w:ascii="仿宋" w:hAnsi="仿宋" w:eastAsia="仿宋" w:cs="仿宋"/>
          <w:b/>
          <w:bCs/>
          <w:color w:val="000000"/>
          <w:spacing w:val="0"/>
          <w:w w:val="100"/>
          <w:position w:val="0"/>
          <w:sz w:val="36"/>
          <w:szCs w:val="36"/>
          <w:lang w:val="en-US" w:eastAsia="zh-CN"/>
        </w:rPr>
      </w:pPr>
    </w:p>
    <w:p w14:paraId="314FF56C">
      <w:pPr>
        <w:rPr>
          <w:rFonts w:hint="eastAsia" w:ascii="仿宋" w:hAnsi="仿宋" w:eastAsia="仿宋" w:cs="仿宋"/>
          <w:b/>
          <w:bCs/>
          <w:color w:val="000000"/>
          <w:spacing w:val="0"/>
          <w:w w:val="100"/>
          <w:position w:val="0"/>
          <w:sz w:val="36"/>
          <w:szCs w:val="36"/>
          <w:lang w:val="en-US" w:eastAsia="zh-CN"/>
        </w:rPr>
      </w:pPr>
    </w:p>
    <w:p w14:paraId="0E48A2D8">
      <w:pPr>
        <w:rPr>
          <w:rFonts w:hint="eastAsia" w:ascii="仿宋" w:hAnsi="仿宋" w:eastAsia="仿宋" w:cs="仿宋"/>
          <w:b/>
          <w:bCs/>
          <w:color w:val="000000"/>
          <w:spacing w:val="0"/>
          <w:w w:val="100"/>
          <w:position w:val="0"/>
          <w:sz w:val="36"/>
          <w:szCs w:val="36"/>
          <w:lang w:val="en-US" w:eastAsia="zh-CN"/>
        </w:rPr>
      </w:pPr>
    </w:p>
    <w:p w14:paraId="2350BBE8">
      <w:pPr>
        <w:rPr>
          <w:rFonts w:hint="eastAsia" w:ascii="仿宋" w:hAnsi="仿宋" w:eastAsia="仿宋" w:cs="仿宋"/>
          <w:b/>
          <w:bCs/>
          <w:color w:val="000000"/>
          <w:spacing w:val="0"/>
          <w:w w:val="100"/>
          <w:position w:val="0"/>
          <w:sz w:val="36"/>
          <w:szCs w:val="36"/>
          <w:lang w:val="en-US" w:eastAsia="zh-CN"/>
        </w:rPr>
      </w:pPr>
    </w:p>
    <w:p w14:paraId="323D4AF7">
      <w:pPr>
        <w:pStyle w:val="7"/>
        <w:numPr>
          <w:ilvl w:val="0"/>
          <w:numId w:val="0"/>
        </w:numPr>
        <w:ind w:leftChars="0" w:right="0" w:rightChars="0"/>
        <w:rPr>
          <w:rFonts w:hint="eastAsia" w:ascii="仿宋" w:hAnsi="仿宋" w:eastAsia="仿宋" w:cs="仿宋"/>
          <w:b/>
          <w:bCs/>
          <w:color w:val="000000"/>
          <w:spacing w:val="0"/>
          <w:w w:val="100"/>
          <w:position w:val="0"/>
          <w:sz w:val="36"/>
          <w:szCs w:val="36"/>
          <w:lang w:val="en-US" w:eastAsia="zh-CN"/>
        </w:rPr>
      </w:pPr>
    </w:p>
    <w:p w14:paraId="18E703EF">
      <w:pPr>
        <w:rPr>
          <w:rFonts w:hint="eastAsia"/>
          <w:lang w:val="en-US" w:eastAsia="zh-CN"/>
        </w:rPr>
      </w:pPr>
    </w:p>
    <w:p w14:paraId="0FB96651">
      <w:pPr>
        <w:shd w:val="clear" w:color="auto" w:fill="auto"/>
        <w:tabs>
          <w:tab w:val="left" w:pos="3600"/>
        </w:tabs>
        <w:adjustRightInd w:val="0"/>
        <w:snapToGrid w:val="0"/>
        <w:spacing w:line="440" w:lineRule="exact"/>
        <w:jc w:val="both"/>
        <w:rPr>
          <w:rFonts w:hint="eastAsia" w:ascii="仿宋" w:hAnsi="仿宋" w:eastAsia="仿宋" w:cs="仿宋"/>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8、评分标准和细则中技术部分证明材料（格式自拟</w:t>
      </w:r>
      <w:r>
        <w:rPr>
          <w:rFonts w:hint="eastAsia" w:ascii="仿宋" w:hAnsi="仿宋" w:eastAsia="仿宋" w:cs="仿宋"/>
          <w:color w:val="000000"/>
          <w:spacing w:val="0"/>
          <w:w w:val="100"/>
          <w:position w:val="0"/>
          <w:sz w:val="36"/>
          <w:szCs w:val="36"/>
          <w:lang w:val="en-US" w:eastAsia="zh-CN"/>
        </w:rPr>
        <w:t>）</w:t>
      </w:r>
    </w:p>
    <w:p w14:paraId="6AF3BC5A">
      <w:pPr>
        <w:pStyle w:val="3"/>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14:paraId="72315014">
      <w:pPr>
        <w:widowControl/>
        <w:shd w:val="clear" w:color="auto" w:fill="auto"/>
        <w:spacing w:line="360" w:lineRule="auto"/>
        <w:ind w:left="0" w:leftChars="0" w:right="0" w:rightChars="0" w:firstLine="0" w:firstLineChars="0"/>
        <w:jc w:val="center"/>
        <w:textAlignment w:val="center"/>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pPr>
      <w:r>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t>说明：1.应提供评分标准和细则中技术部分要求的其他资格证明文件。</w:t>
      </w:r>
    </w:p>
    <w:p w14:paraId="74253D11">
      <w:pPr>
        <w:pStyle w:val="4"/>
        <w:shd w:val="clear" w:color="auto" w:fill="auto"/>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pPr>
      <w:r>
        <w:rPr>
          <w:rFonts w:hint="eastAsia" w:ascii="仿宋" w:hAnsi="仿宋" w:eastAsia="仿宋" w:cs="仿宋"/>
          <w:b w:val="0"/>
          <w:bCs w:val="0"/>
          <w:color w:val="auto"/>
          <w:spacing w:val="0"/>
          <w:w w:val="100"/>
          <w:position w:val="0"/>
          <w:sz w:val="24"/>
          <w:szCs w:val="20"/>
          <w:highlight w:val="none"/>
          <w:u w:val="none" w:color="000000"/>
          <w:shd w:val="clear" w:color="auto" w:fill="auto"/>
          <w:lang w:val="en-US" w:eastAsia="zh-CN" w:bidi="en-US"/>
        </w:rPr>
        <w:t xml:space="preserve">2.复印件上应加盖本单位章（自然人投标的无需盖章，需要签字）。   </w:t>
      </w:r>
    </w:p>
    <w:p w14:paraId="6BFF74C8">
      <w:pPr>
        <w:rPr>
          <w:rFonts w:hint="eastAsia" w:ascii="仿宋" w:hAnsi="仿宋" w:eastAsia="仿宋" w:cs="仿宋"/>
          <w:lang w:val="en-US" w:eastAsia="zh-CN"/>
        </w:rPr>
      </w:pPr>
    </w:p>
    <w:p w14:paraId="2DC99C0C">
      <w:pPr>
        <w:pStyle w:val="3"/>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14:paraId="7138D9D2">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14:paraId="64A1E752">
      <w:pPr>
        <w:pStyle w:val="7"/>
        <w:numPr>
          <w:ilvl w:val="0"/>
          <w:numId w:val="0"/>
        </w:numPr>
        <w:ind w:leftChars="0" w:right="0" w:rightChars="0"/>
        <w:rPr>
          <w:rFonts w:hint="eastAsia"/>
          <w:lang w:val="en-US" w:eastAsia="zh-CN"/>
        </w:rPr>
      </w:pPr>
    </w:p>
    <w:p w14:paraId="28FAD723">
      <w:pPr>
        <w:rPr>
          <w:rFonts w:hint="eastAsia" w:ascii="仿宋" w:hAnsi="仿宋" w:eastAsia="仿宋" w:cs="仿宋"/>
          <w:b/>
          <w:bCs/>
          <w:color w:val="000000"/>
          <w:spacing w:val="0"/>
          <w:w w:val="100"/>
          <w:position w:val="0"/>
          <w:sz w:val="36"/>
          <w:szCs w:val="36"/>
          <w:lang w:val="en-US" w:eastAsia="zh-CN"/>
        </w:rPr>
      </w:pPr>
    </w:p>
    <w:p w14:paraId="5881B2F5">
      <w:pPr>
        <w:pStyle w:val="7"/>
        <w:numPr>
          <w:ilvl w:val="0"/>
          <w:numId w:val="0"/>
        </w:numPr>
        <w:ind w:leftChars="0" w:right="0" w:rightChars="0"/>
        <w:rPr>
          <w:rFonts w:hint="eastAsia"/>
          <w:lang w:val="en-US" w:eastAsia="zh-CN"/>
        </w:rPr>
      </w:pPr>
    </w:p>
    <w:p w14:paraId="67F779D5">
      <w:pPr>
        <w:rPr>
          <w:rFonts w:hint="eastAsia" w:ascii="仿宋" w:hAnsi="仿宋" w:eastAsia="仿宋" w:cs="仿宋"/>
          <w:b/>
          <w:bCs/>
          <w:color w:val="000000"/>
          <w:spacing w:val="0"/>
          <w:w w:val="100"/>
          <w:position w:val="0"/>
          <w:sz w:val="36"/>
          <w:szCs w:val="36"/>
          <w:lang w:val="en-US" w:eastAsia="zh-CN"/>
        </w:rPr>
      </w:pPr>
    </w:p>
    <w:p w14:paraId="378AC048">
      <w:pPr>
        <w:pStyle w:val="7"/>
        <w:numPr>
          <w:ilvl w:val="0"/>
          <w:numId w:val="0"/>
        </w:numPr>
        <w:ind w:leftChars="0" w:right="0" w:rightChars="0"/>
        <w:rPr>
          <w:rFonts w:hint="eastAsia"/>
          <w:lang w:val="en-US" w:eastAsia="zh-CN"/>
        </w:rPr>
      </w:pPr>
    </w:p>
    <w:p w14:paraId="3927F787">
      <w:pPr>
        <w:rPr>
          <w:rFonts w:hint="eastAsia" w:ascii="仿宋" w:hAnsi="仿宋" w:eastAsia="仿宋" w:cs="仿宋"/>
          <w:b/>
          <w:bCs/>
          <w:color w:val="000000"/>
          <w:spacing w:val="0"/>
          <w:w w:val="100"/>
          <w:position w:val="0"/>
          <w:sz w:val="36"/>
          <w:szCs w:val="36"/>
          <w:lang w:val="en-US" w:eastAsia="zh-CN"/>
        </w:rPr>
      </w:pPr>
    </w:p>
    <w:p w14:paraId="4DB1A80A">
      <w:pPr>
        <w:pStyle w:val="7"/>
        <w:numPr>
          <w:ilvl w:val="0"/>
          <w:numId w:val="0"/>
        </w:numPr>
        <w:ind w:leftChars="0" w:right="0" w:rightChars="0"/>
        <w:rPr>
          <w:rFonts w:hint="eastAsia"/>
          <w:lang w:val="en-US" w:eastAsia="zh-CN"/>
        </w:rPr>
      </w:pPr>
    </w:p>
    <w:p w14:paraId="2B3C335D">
      <w:pPr>
        <w:rPr>
          <w:rFonts w:hint="eastAsia" w:ascii="仿宋" w:hAnsi="仿宋" w:eastAsia="仿宋" w:cs="仿宋"/>
          <w:b/>
          <w:bCs/>
          <w:color w:val="000000"/>
          <w:spacing w:val="0"/>
          <w:w w:val="100"/>
          <w:position w:val="0"/>
          <w:sz w:val="36"/>
          <w:szCs w:val="36"/>
          <w:lang w:val="en-US" w:eastAsia="zh-CN"/>
        </w:rPr>
      </w:pPr>
    </w:p>
    <w:p w14:paraId="726C6503">
      <w:pPr>
        <w:rPr>
          <w:rFonts w:hint="eastAsia" w:ascii="仿宋" w:hAnsi="仿宋" w:eastAsia="仿宋" w:cs="仿宋"/>
          <w:b/>
          <w:bCs/>
          <w:color w:val="000000"/>
          <w:spacing w:val="0"/>
          <w:w w:val="100"/>
          <w:position w:val="0"/>
          <w:sz w:val="36"/>
          <w:szCs w:val="36"/>
          <w:lang w:val="en-US" w:eastAsia="zh-CN"/>
        </w:rPr>
      </w:pPr>
    </w:p>
    <w:p w14:paraId="144F5B98">
      <w:pPr>
        <w:pStyle w:val="7"/>
        <w:numPr>
          <w:ilvl w:val="0"/>
          <w:numId w:val="0"/>
        </w:numPr>
        <w:ind w:leftChars="0" w:right="0" w:rightChars="0"/>
        <w:rPr>
          <w:rFonts w:hint="eastAsia"/>
          <w:lang w:val="en-US" w:eastAsia="zh-CN"/>
        </w:rPr>
      </w:pPr>
    </w:p>
    <w:p w14:paraId="4A113997">
      <w:pPr>
        <w:rPr>
          <w:rFonts w:hint="eastAsia" w:ascii="仿宋" w:hAnsi="仿宋" w:eastAsia="仿宋" w:cs="仿宋"/>
          <w:b/>
          <w:bCs/>
          <w:color w:val="000000"/>
          <w:spacing w:val="0"/>
          <w:w w:val="100"/>
          <w:position w:val="0"/>
          <w:sz w:val="36"/>
          <w:szCs w:val="36"/>
          <w:lang w:val="en-US" w:eastAsia="zh-CN"/>
        </w:rPr>
      </w:pPr>
    </w:p>
    <w:p w14:paraId="11B95A09">
      <w:pPr>
        <w:pStyle w:val="7"/>
        <w:numPr>
          <w:ilvl w:val="0"/>
          <w:numId w:val="0"/>
        </w:numPr>
        <w:ind w:leftChars="0" w:right="0" w:rightChars="0"/>
        <w:rPr>
          <w:rFonts w:hint="eastAsia"/>
          <w:lang w:val="en-US" w:eastAsia="zh-CN"/>
        </w:rPr>
      </w:pPr>
    </w:p>
    <w:p w14:paraId="6CEB6F12">
      <w:pPr>
        <w:rPr>
          <w:rFonts w:hint="eastAsia" w:ascii="仿宋" w:hAnsi="仿宋" w:eastAsia="仿宋" w:cs="仿宋"/>
          <w:b/>
          <w:bCs/>
          <w:color w:val="000000"/>
          <w:spacing w:val="0"/>
          <w:w w:val="100"/>
          <w:position w:val="0"/>
          <w:sz w:val="36"/>
          <w:szCs w:val="36"/>
          <w:lang w:val="en-US" w:eastAsia="zh-CN"/>
        </w:rPr>
      </w:pPr>
    </w:p>
    <w:p w14:paraId="32DC6C91">
      <w:pPr>
        <w:rPr>
          <w:rFonts w:hint="eastAsia" w:ascii="仿宋" w:hAnsi="仿宋" w:eastAsia="仿宋" w:cs="仿宋"/>
          <w:b/>
          <w:bCs/>
          <w:color w:val="000000"/>
          <w:spacing w:val="0"/>
          <w:w w:val="100"/>
          <w:position w:val="0"/>
          <w:sz w:val="36"/>
          <w:szCs w:val="36"/>
          <w:lang w:val="en-US" w:eastAsia="zh-CN"/>
        </w:rPr>
      </w:pPr>
    </w:p>
    <w:p w14:paraId="4B07E581">
      <w:pPr>
        <w:pStyle w:val="7"/>
        <w:numPr>
          <w:ilvl w:val="0"/>
          <w:numId w:val="0"/>
        </w:numPr>
        <w:ind w:leftChars="0" w:right="0" w:rightChars="0"/>
        <w:rPr>
          <w:rFonts w:hint="eastAsia"/>
          <w:lang w:val="en-US" w:eastAsia="zh-CN"/>
        </w:rPr>
      </w:pPr>
    </w:p>
    <w:p w14:paraId="36F94BB2">
      <w:pPr>
        <w:rPr>
          <w:rFonts w:hint="eastAsia" w:ascii="仿宋" w:hAnsi="仿宋" w:eastAsia="仿宋" w:cs="仿宋"/>
          <w:b/>
          <w:bCs/>
          <w:color w:val="000000"/>
          <w:spacing w:val="0"/>
          <w:w w:val="100"/>
          <w:position w:val="0"/>
          <w:sz w:val="36"/>
          <w:szCs w:val="36"/>
          <w:lang w:val="en-US" w:eastAsia="zh-CN"/>
        </w:rPr>
      </w:pPr>
    </w:p>
    <w:p w14:paraId="378F0D49">
      <w:pPr>
        <w:pStyle w:val="7"/>
        <w:numPr>
          <w:ilvl w:val="0"/>
          <w:numId w:val="0"/>
        </w:numPr>
        <w:ind w:leftChars="0" w:right="0" w:rightChars="0"/>
        <w:rPr>
          <w:rFonts w:hint="eastAsia"/>
          <w:lang w:val="en-US" w:eastAsia="zh-CN"/>
        </w:rPr>
      </w:pPr>
    </w:p>
    <w:p w14:paraId="035BD1A7">
      <w:pPr>
        <w:rPr>
          <w:rFonts w:hint="eastAsia"/>
          <w:lang w:val="en-US" w:eastAsia="zh-CN"/>
        </w:rPr>
      </w:pPr>
    </w:p>
    <w:p w14:paraId="52F27C49">
      <w:pPr>
        <w:rPr>
          <w:rFonts w:hint="eastAsia"/>
          <w:lang w:val="en-US" w:eastAsia="zh-CN"/>
        </w:rPr>
      </w:pPr>
    </w:p>
    <w:p w14:paraId="765CFA4E">
      <w:pPr>
        <w:rPr>
          <w:rFonts w:hint="eastAsia"/>
          <w:lang w:val="en-US" w:eastAsia="zh-CN"/>
        </w:rPr>
      </w:pPr>
    </w:p>
    <w:p w14:paraId="55BE8806">
      <w:pPr>
        <w:rPr>
          <w:rFonts w:hint="eastAsia"/>
          <w:lang w:val="en-US" w:eastAsia="zh-CN"/>
        </w:rPr>
      </w:pPr>
    </w:p>
    <w:p w14:paraId="3AB11D61">
      <w:pPr>
        <w:rPr>
          <w:rFonts w:hint="eastAsia"/>
          <w:lang w:val="en-US" w:eastAsia="zh-CN"/>
        </w:rPr>
      </w:pPr>
    </w:p>
    <w:p w14:paraId="34A80C94">
      <w:pPr>
        <w:rPr>
          <w:rFonts w:hint="eastAsia"/>
          <w:lang w:val="en-US" w:eastAsia="zh-CN"/>
        </w:rPr>
      </w:pPr>
    </w:p>
    <w:p w14:paraId="195B9D84">
      <w:pPr>
        <w:rPr>
          <w:rFonts w:hint="eastAsia"/>
          <w:lang w:val="en-US" w:eastAsia="zh-CN"/>
        </w:rPr>
      </w:pPr>
    </w:p>
    <w:p w14:paraId="2ECAAEC3">
      <w:pPr>
        <w:rPr>
          <w:rFonts w:hint="eastAsia"/>
          <w:lang w:val="en-US" w:eastAsia="zh-CN"/>
        </w:rPr>
      </w:pPr>
    </w:p>
    <w:p w14:paraId="456AB087">
      <w:pPr>
        <w:rPr>
          <w:rFonts w:hint="eastAsia"/>
          <w:lang w:val="en-US" w:eastAsia="zh-CN"/>
        </w:rPr>
      </w:pPr>
    </w:p>
    <w:p w14:paraId="6886FAC4">
      <w:pPr>
        <w:rPr>
          <w:rFonts w:hint="eastAsia"/>
          <w:lang w:val="en-US" w:eastAsia="zh-CN"/>
        </w:rPr>
      </w:pPr>
    </w:p>
    <w:p w14:paraId="1E4952F7">
      <w:pPr>
        <w:rPr>
          <w:rFonts w:hint="eastAsia"/>
          <w:lang w:val="en-US" w:eastAsia="zh-CN"/>
        </w:rPr>
      </w:pPr>
    </w:p>
    <w:p w14:paraId="0CAA4257">
      <w:pPr>
        <w:rPr>
          <w:rFonts w:hint="eastAsia"/>
          <w:lang w:val="en-US" w:eastAsia="zh-CN"/>
        </w:rPr>
      </w:pPr>
    </w:p>
    <w:p w14:paraId="69DA4B34">
      <w:pPr>
        <w:rPr>
          <w:rFonts w:hint="eastAsia"/>
          <w:lang w:val="en-US" w:eastAsia="zh-CN"/>
        </w:rPr>
      </w:pPr>
    </w:p>
    <w:p w14:paraId="11BC1FF2">
      <w:pPr>
        <w:rPr>
          <w:rFonts w:hint="eastAsia"/>
          <w:lang w:val="en-US" w:eastAsia="zh-CN"/>
        </w:rPr>
      </w:pPr>
    </w:p>
    <w:p w14:paraId="35332897">
      <w:pPr>
        <w:rPr>
          <w:rFonts w:hint="eastAsia"/>
          <w:lang w:val="en-US" w:eastAsia="zh-CN"/>
        </w:rPr>
      </w:pPr>
    </w:p>
    <w:p w14:paraId="7801460C">
      <w:pPr>
        <w:rPr>
          <w:rFonts w:hint="eastAsia"/>
          <w:lang w:val="en-US" w:eastAsia="zh-CN"/>
        </w:rPr>
      </w:pPr>
    </w:p>
    <w:p w14:paraId="73490CC5">
      <w:pPr>
        <w:rPr>
          <w:rFonts w:hint="eastAsia"/>
          <w:lang w:val="en-US" w:eastAsia="zh-CN"/>
        </w:rPr>
      </w:pPr>
    </w:p>
    <w:p w14:paraId="276199E2">
      <w:pPr>
        <w:rPr>
          <w:rFonts w:hint="eastAsia" w:ascii="仿宋" w:hAnsi="仿宋" w:eastAsia="仿宋" w:cs="仿宋"/>
          <w:b/>
          <w:bCs/>
          <w:color w:val="000000"/>
          <w:spacing w:val="0"/>
          <w:w w:val="100"/>
          <w:position w:val="0"/>
          <w:sz w:val="36"/>
          <w:szCs w:val="36"/>
          <w:lang w:val="en-US" w:eastAsia="zh-CN"/>
        </w:rPr>
      </w:pPr>
    </w:p>
    <w:p w14:paraId="433D58D7">
      <w:pPr>
        <w:pStyle w:val="7"/>
        <w:rPr>
          <w:rFonts w:hint="eastAsia"/>
          <w:lang w:val="en-US" w:eastAsia="zh-CN"/>
        </w:rPr>
      </w:pPr>
    </w:p>
    <w:p w14:paraId="744C35C8">
      <w:pPr>
        <w:pStyle w:val="7"/>
        <w:numPr>
          <w:ilvl w:val="0"/>
          <w:numId w:val="0"/>
        </w:numPr>
        <w:ind w:leftChars="0" w:right="0" w:rightChars="0"/>
        <w:rPr>
          <w:rFonts w:hint="eastAsia"/>
          <w:lang w:val="en-US" w:eastAsia="zh-CN"/>
        </w:rPr>
      </w:pPr>
    </w:p>
    <w:p w14:paraId="07AC07F3">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9、评分标准和细则中商务部分证明材料（格式自拟）</w:t>
      </w:r>
    </w:p>
    <w:p w14:paraId="7BD4A133">
      <w:pPr>
        <w:pStyle w:val="9"/>
        <w:shd w:val="clear" w:color="auto" w:fill="auto"/>
        <w:tabs>
          <w:tab w:val="left" w:pos="5580"/>
        </w:tabs>
        <w:spacing w:line="240" w:lineRule="atLeast"/>
        <w:rPr>
          <w:rFonts w:hint="eastAsia" w:ascii="仿宋" w:hAnsi="仿宋" w:eastAsia="仿宋" w:cs="仿宋"/>
          <w:color w:val="auto"/>
          <w:sz w:val="24"/>
          <w:highlight w:val="none"/>
        </w:rPr>
      </w:pPr>
    </w:p>
    <w:p w14:paraId="7CDDFAB0">
      <w:pPr>
        <w:widowControl/>
        <w:spacing w:line="360" w:lineRule="auto"/>
        <w:jc w:val="center"/>
        <w:textAlignment w:val="center"/>
        <w:rPr>
          <w:rFonts w:hint="eastAsia" w:ascii="宋体" w:hAnsi="宋体" w:eastAsia="宋体" w:cs="宋体"/>
          <w:color w:val="auto"/>
          <w:kern w:val="0"/>
          <w:sz w:val="24"/>
          <w:szCs w:val="20"/>
          <w:u w:val="none"/>
          <w:lang w:val="en-US" w:eastAsia="zh-CN" w:bidi="ar-SA"/>
        </w:rPr>
      </w:pPr>
      <w:r>
        <w:rPr>
          <w:rFonts w:hint="eastAsia" w:ascii="宋体" w:hAnsi="宋体" w:eastAsia="宋体" w:cs="宋体"/>
          <w:color w:val="auto"/>
          <w:kern w:val="0"/>
          <w:sz w:val="24"/>
          <w:szCs w:val="20"/>
          <w:u w:val="none"/>
          <w:lang w:val="en-US" w:eastAsia="zh-CN" w:bidi="ar-SA"/>
        </w:rPr>
        <w:t>说明：1.应提供评分标准和细则中企业商务部分要求的其他资格证明文件。</w:t>
      </w:r>
    </w:p>
    <w:p w14:paraId="0928F901">
      <w:pPr>
        <w:pStyle w:val="9"/>
        <w:tabs>
          <w:tab w:val="left" w:pos="5580"/>
        </w:tabs>
        <w:spacing w:line="240" w:lineRule="atLeast"/>
        <w:ind w:firstLine="1200" w:firstLineChars="500"/>
        <w:rPr>
          <w:rFonts w:hint="eastAsia" w:ascii="宋体" w:hAnsi="宋体" w:eastAsia="宋体" w:cs="宋体"/>
          <w:color w:val="auto"/>
          <w:kern w:val="0"/>
          <w:sz w:val="24"/>
          <w:szCs w:val="20"/>
          <w:u w:val="none"/>
          <w:lang w:val="en-US" w:eastAsia="zh-CN" w:bidi="ar-SA"/>
        </w:rPr>
      </w:pPr>
      <w:r>
        <w:rPr>
          <w:rFonts w:hint="eastAsia" w:ascii="宋体" w:hAnsi="宋体" w:eastAsia="宋体" w:cs="宋体"/>
          <w:color w:val="auto"/>
          <w:kern w:val="0"/>
          <w:sz w:val="24"/>
          <w:szCs w:val="20"/>
          <w:u w:val="none"/>
          <w:lang w:val="en-US" w:eastAsia="zh-CN" w:bidi="ar-SA"/>
        </w:rPr>
        <w:t>2.复印件上应加盖本单位章（自然人投标的无需盖章，需要签字）。</w:t>
      </w:r>
    </w:p>
    <w:p w14:paraId="16A83D65">
      <w:pPr>
        <w:pStyle w:val="9"/>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22D18FBA">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14:paraId="65A478D4">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73A2D8D0">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0725A79C">
      <w:pPr>
        <w:rPr>
          <w:rFonts w:hint="eastAsia" w:ascii="仿宋" w:hAnsi="仿宋" w:eastAsia="仿宋" w:cs="仿宋"/>
          <w:lang w:val="en-US" w:eastAsia="zh-CN"/>
        </w:rPr>
      </w:pPr>
    </w:p>
    <w:p w14:paraId="4DEDBD07">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6E3AB53B">
      <w:pPr>
        <w:pStyle w:val="3"/>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4568FE7D">
      <w:pPr>
        <w:pStyle w:val="5"/>
        <w:rPr>
          <w:rFonts w:hint="eastAsia" w:ascii="仿宋" w:hAnsi="仿宋" w:eastAsia="仿宋" w:cs="仿宋"/>
          <w:b/>
          <w:bCs/>
          <w:color w:val="auto"/>
          <w:sz w:val="24"/>
          <w:highlight w:val="none"/>
          <w:lang w:val="en-US" w:eastAsia="zh-CN"/>
        </w:rPr>
      </w:pPr>
    </w:p>
    <w:p w14:paraId="5AA0FF13">
      <w:pPr>
        <w:rPr>
          <w:rFonts w:hint="eastAsia" w:ascii="仿宋" w:hAnsi="仿宋" w:eastAsia="仿宋" w:cs="仿宋"/>
          <w:b/>
          <w:bCs/>
          <w:color w:val="auto"/>
          <w:sz w:val="24"/>
          <w:highlight w:val="none"/>
          <w:lang w:val="en-US" w:eastAsia="zh-CN"/>
        </w:rPr>
      </w:pPr>
    </w:p>
    <w:p w14:paraId="66032BE3">
      <w:pPr>
        <w:pStyle w:val="4"/>
        <w:rPr>
          <w:rFonts w:hint="eastAsia"/>
          <w:lang w:val="en-US" w:eastAsia="zh-CN"/>
        </w:rPr>
      </w:pPr>
    </w:p>
    <w:p w14:paraId="16608876">
      <w:pPr>
        <w:rPr>
          <w:rFonts w:hint="eastAsia"/>
          <w:lang w:val="en-US" w:eastAsia="zh-CN"/>
        </w:rPr>
      </w:pPr>
    </w:p>
    <w:p w14:paraId="7F98F2F3">
      <w:pPr>
        <w:pStyle w:val="7"/>
        <w:numPr>
          <w:ilvl w:val="0"/>
          <w:numId w:val="0"/>
        </w:numPr>
        <w:ind w:leftChars="0" w:right="0" w:rightChars="0"/>
        <w:rPr>
          <w:rFonts w:hint="eastAsia"/>
          <w:lang w:val="en-US" w:eastAsia="zh-CN"/>
        </w:rPr>
      </w:pPr>
    </w:p>
    <w:p w14:paraId="53114A6E">
      <w:pPr>
        <w:rPr>
          <w:rFonts w:hint="eastAsia"/>
          <w:lang w:val="en-US" w:eastAsia="zh-CN"/>
        </w:rPr>
      </w:pPr>
    </w:p>
    <w:p w14:paraId="78568827">
      <w:pPr>
        <w:pStyle w:val="7"/>
        <w:numPr>
          <w:ilvl w:val="0"/>
          <w:numId w:val="0"/>
        </w:numPr>
        <w:ind w:leftChars="0" w:right="0" w:rightChars="0"/>
        <w:rPr>
          <w:rFonts w:hint="eastAsia"/>
          <w:lang w:val="en-US" w:eastAsia="zh-CN"/>
        </w:rPr>
      </w:pPr>
    </w:p>
    <w:p w14:paraId="5FE15AFD">
      <w:pPr>
        <w:rPr>
          <w:rFonts w:hint="eastAsia"/>
          <w:lang w:val="en-US" w:eastAsia="zh-CN"/>
        </w:rPr>
      </w:pPr>
    </w:p>
    <w:p w14:paraId="46E659A4">
      <w:pPr>
        <w:pStyle w:val="7"/>
        <w:numPr>
          <w:ilvl w:val="0"/>
          <w:numId w:val="0"/>
        </w:numPr>
        <w:ind w:leftChars="0" w:right="0" w:rightChars="0"/>
        <w:rPr>
          <w:rFonts w:hint="eastAsia"/>
          <w:lang w:val="en-US" w:eastAsia="zh-CN"/>
        </w:rPr>
      </w:pPr>
    </w:p>
    <w:p w14:paraId="2813030F">
      <w:pPr>
        <w:rPr>
          <w:rFonts w:hint="eastAsia"/>
          <w:lang w:val="en-US" w:eastAsia="zh-CN"/>
        </w:rPr>
      </w:pPr>
    </w:p>
    <w:p w14:paraId="2D960264">
      <w:pPr>
        <w:pStyle w:val="7"/>
        <w:numPr>
          <w:ilvl w:val="0"/>
          <w:numId w:val="0"/>
        </w:numPr>
        <w:ind w:leftChars="0" w:right="0" w:rightChars="0"/>
        <w:rPr>
          <w:rFonts w:hint="eastAsia"/>
          <w:lang w:val="en-US" w:eastAsia="zh-CN"/>
        </w:rPr>
      </w:pPr>
    </w:p>
    <w:p w14:paraId="22BB6764">
      <w:pPr>
        <w:rPr>
          <w:rFonts w:hint="eastAsia"/>
          <w:lang w:val="en-US" w:eastAsia="zh-CN"/>
        </w:rPr>
      </w:pPr>
    </w:p>
    <w:p w14:paraId="20C51344">
      <w:pPr>
        <w:pStyle w:val="7"/>
        <w:numPr>
          <w:ilvl w:val="0"/>
          <w:numId w:val="0"/>
        </w:numPr>
        <w:ind w:leftChars="0" w:right="0" w:rightChars="0"/>
        <w:rPr>
          <w:rFonts w:hint="eastAsia"/>
          <w:lang w:val="en-US" w:eastAsia="zh-CN"/>
        </w:rPr>
      </w:pPr>
    </w:p>
    <w:p w14:paraId="36EA6601">
      <w:pPr>
        <w:rPr>
          <w:rFonts w:hint="eastAsia"/>
          <w:lang w:val="en-US" w:eastAsia="zh-CN"/>
        </w:rPr>
      </w:pPr>
    </w:p>
    <w:p w14:paraId="4D5CAE02">
      <w:pPr>
        <w:pStyle w:val="7"/>
        <w:numPr>
          <w:ilvl w:val="0"/>
          <w:numId w:val="0"/>
        </w:numPr>
        <w:ind w:leftChars="0" w:right="0" w:rightChars="0"/>
        <w:rPr>
          <w:rFonts w:hint="eastAsia"/>
          <w:lang w:val="en-US" w:eastAsia="zh-CN"/>
        </w:rPr>
      </w:pPr>
    </w:p>
    <w:p w14:paraId="4FAA6955">
      <w:pPr>
        <w:rPr>
          <w:rFonts w:hint="eastAsia"/>
          <w:lang w:val="en-US" w:eastAsia="zh-CN"/>
        </w:rPr>
      </w:pPr>
    </w:p>
    <w:p w14:paraId="6A3659B9">
      <w:pPr>
        <w:pStyle w:val="7"/>
        <w:numPr>
          <w:ilvl w:val="0"/>
          <w:numId w:val="0"/>
        </w:numPr>
        <w:ind w:leftChars="0" w:right="0" w:rightChars="0"/>
        <w:rPr>
          <w:rFonts w:hint="eastAsia"/>
          <w:lang w:val="en-US" w:eastAsia="zh-CN"/>
        </w:rPr>
      </w:pPr>
    </w:p>
    <w:p w14:paraId="7688C7C4">
      <w:pPr>
        <w:rPr>
          <w:rFonts w:hint="eastAsia"/>
          <w:lang w:val="en-US" w:eastAsia="zh-CN"/>
        </w:rPr>
      </w:pPr>
    </w:p>
    <w:p w14:paraId="5E0DB51C">
      <w:pPr>
        <w:pStyle w:val="7"/>
        <w:numPr>
          <w:ilvl w:val="0"/>
          <w:numId w:val="0"/>
        </w:numPr>
        <w:ind w:leftChars="0" w:right="0" w:rightChars="0"/>
        <w:rPr>
          <w:rFonts w:hint="eastAsia"/>
          <w:lang w:val="en-US" w:eastAsia="zh-CN"/>
        </w:rPr>
      </w:pPr>
    </w:p>
    <w:p w14:paraId="7999889A">
      <w:pPr>
        <w:rPr>
          <w:rFonts w:hint="eastAsia"/>
          <w:lang w:val="en-US" w:eastAsia="zh-CN"/>
        </w:rPr>
      </w:pPr>
    </w:p>
    <w:p w14:paraId="4765C5C9">
      <w:pPr>
        <w:pStyle w:val="7"/>
        <w:numPr>
          <w:ilvl w:val="0"/>
          <w:numId w:val="0"/>
        </w:numPr>
        <w:ind w:leftChars="0" w:right="0" w:rightChars="0"/>
        <w:rPr>
          <w:rFonts w:hint="eastAsia"/>
          <w:lang w:val="en-US" w:eastAsia="zh-CN"/>
        </w:rPr>
      </w:pPr>
    </w:p>
    <w:p w14:paraId="197A07CD">
      <w:pPr>
        <w:rPr>
          <w:rFonts w:hint="eastAsia"/>
          <w:lang w:val="en-US" w:eastAsia="zh-CN"/>
        </w:rPr>
      </w:pPr>
    </w:p>
    <w:p w14:paraId="59CDC28C">
      <w:pPr>
        <w:pStyle w:val="7"/>
        <w:numPr>
          <w:ilvl w:val="0"/>
          <w:numId w:val="0"/>
        </w:numPr>
        <w:ind w:leftChars="0" w:right="0" w:rightChars="0"/>
        <w:rPr>
          <w:rFonts w:hint="eastAsia"/>
          <w:lang w:val="en-US" w:eastAsia="zh-CN"/>
        </w:rPr>
      </w:pPr>
    </w:p>
    <w:p w14:paraId="7454F26F">
      <w:pPr>
        <w:rPr>
          <w:rFonts w:hint="eastAsia"/>
          <w:lang w:val="en-US" w:eastAsia="zh-CN"/>
        </w:rPr>
      </w:pPr>
    </w:p>
    <w:p w14:paraId="3D6232DC">
      <w:pPr>
        <w:pStyle w:val="7"/>
        <w:numPr>
          <w:ilvl w:val="0"/>
          <w:numId w:val="0"/>
        </w:numPr>
        <w:ind w:leftChars="0" w:right="0" w:rightChars="0"/>
        <w:rPr>
          <w:rFonts w:hint="eastAsia"/>
          <w:lang w:val="en-US" w:eastAsia="zh-CN"/>
        </w:rPr>
      </w:pPr>
    </w:p>
    <w:p w14:paraId="580069D0">
      <w:pPr>
        <w:rPr>
          <w:rFonts w:hint="eastAsia"/>
          <w:lang w:val="en-US" w:eastAsia="zh-CN"/>
        </w:rPr>
      </w:pPr>
    </w:p>
    <w:p w14:paraId="49B2F519">
      <w:pPr>
        <w:rPr>
          <w:rFonts w:hint="eastAsia"/>
          <w:lang w:val="en-US" w:eastAsia="zh-CN"/>
        </w:rPr>
      </w:pPr>
    </w:p>
    <w:p w14:paraId="379419EC">
      <w:pPr>
        <w:rPr>
          <w:rFonts w:hint="eastAsia"/>
          <w:lang w:val="en-US" w:eastAsia="zh-CN"/>
        </w:rPr>
      </w:pPr>
    </w:p>
    <w:p w14:paraId="5471F23E">
      <w:pPr>
        <w:rPr>
          <w:rFonts w:hint="eastAsia"/>
          <w:lang w:val="en-US" w:eastAsia="zh-CN"/>
        </w:rPr>
      </w:pPr>
    </w:p>
    <w:p w14:paraId="0381A300">
      <w:pPr>
        <w:rPr>
          <w:rFonts w:hint="eastAsia"/>
          <w:lang w:val="en-US" w:eastAsia="zh-CN"/>
        </w:rPr>
      </w:pPr>
    </w:p>
    <w:p w14:paraId="4D233A08">
      <w:pPr>
        <w:rPr>
          <w:rFonts w:hint="eastAsia"/>
          <w:lang w:val="en-US" w:eastAsia="zh-CN"/>
        </w:rPr>
      </w:pPr>
    </w:p>
    <w:p w14:paraId="5DFFEED0">
      <w:pPr>
        <w:rPr>
          <w:rFonts w:hint="eastAsia"/>
          <w:lang w:val="en-US" w:eastAsia="zh-CN"/>
        </w:rPr>
      </w:pPr>
    </w:p>
    <w:p w14:paraId="3546EF56">
      <w:pPr>
        <w:rPr>
          <w:rFonts w:hint="eastAsia"/>
          <w:lang w:val="en-US" w:eastAsia="zh-CN"/>
        </w:rPr>
      </w:pPr>
    </w:p>
    <w:p w14:paraId="3E17B95E">
      <w:pPr>
        <w:rPr>
          <w:rFonts w:hint="eastAsia"/>
          <w:lang w:val="en-US" w:eastAsia="zh-CN"/>
        </w:rPr>
      </w:pPr>
    </w:p>
    <w:p w14:paraId="256A6027">
      <w:pPr>
        <w:rPr>
          <w:rFonts w:hint="eastAsia"/>
          <w:lang w:val="en-US" w:eastAsia="zh-CN"/>
        </w:rPr>
      </w:pPr>
    </w:p>
    <w:p w14:paraId="29F277D2">
      <w:pPr>
        <w:pStyle w:val="7"/>
        <w:numPr>
          <w:ilvl w:val="0"/>
          <w:numId w:val="0"/>
        </w:numPr>
        <w:ind w:leftChars="0" w:right="0" w:rightChars="0"/>
        <w:rPr>
          <w:rFonts w:hint="eastAsia"/>
          <w:lang w:val="en-US" w:eastAsia="zh-CN"/>
        </w:rPr>
      </w:pPr>
    </w:p>
    <w:p w14:paraId="4DF7C1BD">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100"/>
          <w:position w:val="0"/>
          <w:sz w:val="36"/>
          <w:szCs w:val="36"/>
          <w:lang w:val="en-US" w:eastAsia="zh-CN"/>
        </w:rPr>
      </w:pPr>
    </w:p>
    <w:p w14:paraId="091B0C73">
      <w:pPr>
        <w:shd w:val="clear" w:color="auto" w:fill="auto"/>
        <w:tabs>
          <w:tab w:val="left" w:pos="3600"/>
        </w:tabs>
        <w:adjustRightInd w:val="0"/>
        <w:snapToGrid w:val="0"/>
        <w:spacing w:line="440" w:lineRule="exact"/>
        <w:jc w:val="center"/>
        <w:rPr>
          <w:rFonts w:hint="eastAsia" w:ascii="仿宋" w:hAnsi="仿宋" w:eastAsia="仿宋" w:cs="仿宋"/>
          <w:b/>
          <w:bCs/>
          <w:color w:val="000000"/>
          <w:spacing w:val="0"/>
          <w:w w:val="90"/>
          <w:position w:val="0"/>
          <w:sz w:val="36"/>
          <w:szCs w:val="36"/>
          <w:lang w:val="en-US" w:eastAsia="zh-CN"/>
        </w:rPr>
      </w:pPr>
      <w:r>
        <w:rPr>
          <w:rFonts w:hint="eastAsia" w:ascii="仿宋" w:hAnsi="仿宋" w:eastAsia="仿宋" w:cs="仿宋"/>
          <w:b/>
          <w:bCs/>
          <w:color w:val="000000"/>
          <w:spacing w:val="0"/>
          <w:w w:val="100"/>
          <w:position w:val="0"/>
          <w:sz w:val="36"/>
          <w:szCs w:val="36"/>
          <w:lang w:val="en-US" w:eastAsia="zh-CN"/>
        </w:rPr>
        <w:t>10、</w:t>
      </w:r>
      <w:r>
        <w:rPr>
          <w:rFonts w:hint="eastAsia" w:ascii="仿宋" w:hAnsi="仿宋" w:eastAsia="仿宋" w:cs="仿宋"/>
          <w:b/>
          <w:bCs/>
          <w:color w:val="000000"/>
          <w:spacing w:val="0"/>
          <w:w w:val="90"/>
          <w:position w:val="0"/>
          <w:sz w:val="36"/>
          <w:szCs w:val="36"/>
          <w:lang w:val="en-US" w:eastAsia="zh-CN"/>
        </w:rPr>
        <w:t>投标人认为有必要提供的其他证明材料（格式自拟）</w:t>
      </w:r>
    </w:p>
    <w:p w14:paraId="0503FA85">
      <w:pPr>
        <w:pStyle w:val="9"/>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84384D1">
      <w:pPr>
        <w:pStyle w:val="10"/>
        <w:rPr>
          <w:rFonts w:hint="eastAsia"/>
        </w:rPr>
      </w:pPr>
    </w:p>
    <w:p w14:paraId="15C6016C">
      <w:pPr>
        <w:pStyle w:val="9"/>
        <w:tabs>
          <w:tab w:val="left" w:pos="5580"/>
        </w:tabs>
        <w:spacing w:line="240" w:lineRule="atLeast"/>
        <w:ind w:firstLine="1200" w:firstLineChars="500"/>
        <w:rPr>
          <w:rFonts w:hint="eastAsia" w:hAnsi="宋体" w:cs="宋体"/>
          <w:color w:val="auto"/>
          <w:sz w:val="24"/>
        </w:rPr>
      </w:pPr>
      <w:r>
        <w:rPr>
          <w:rFonts w:hint="eastAsia" w:hAnsi="宋体" w:cs="宋体"/>
          <w:color w:val="auto"/>
          <w:sz w:val="24"/>
        </w:rPr>
        <w:t>说明：1.复印件上应加盖本单位章（自然人投标的无需盖章，需要签字）。</w:t>
      </w:r>
    </w:p>
    <w:p w14:paraId="049D6591">
      <w:pPr>
        <w:pStyle w:val="9"/>
        <w:tabs>
          <w:tab w:val="left" w:pos="5580"/>
        </w:tabs>
        <w:spacing w:line="240" w:lineRule="atLeast"/>
        <w:ind w:left="2189" w:leftChars="912"/>
        <w:rPr>
          <w:rFonts w:hint="eastAsia"/>
          <w:color w:val="auto"/>
        </w:rPr>
      </w:pPr>
      <w:r>
        <w:rPr>
          <w:rFonts w:hint="eastAsia" w:hAnsi="宋体" w:cs="宋体"/>
          <w:color w:val="auto"/>
          <w:sz w:val="24"/>
        </w:rPr>
        <w:t>2.（本项目不接受联合体）如果是联合体投标，联合体各方需提供的满足招标文件要求的其他资格证明文件。</w:t>
      </w:r>
    </w:p>
    <w:p w14:paraId="1B47741A">
      <w:pPr>
        <w:rPr>
          <w:rFonts w:hint="eastAsia"/>
        </w:rPr>
      </w:pPr>
    </w:p>
    <w:p w14:paraId="696768FB">
      <w:pPr>
        <w:pStyle w:val="26"/>
        <w:rPr>
          <w:rFonts w:hint="eastAsia"/>
        </w:rPr>
      </w:pPr>
    </w:p>
    <w:p w14:paraId="01BF060C">
      <w:pPr>
        <w:rPr>
          <w:rFonts w:hint="eastAsia"/>
        </w:rPr>
      </w:pPr>
    </w:p>
    <w:p w14:paraId="5069EB92">
      <w:pPr>
        <w:pStyle w:val="26"/>
        <w:rPr>
          <w:rFonts w:hint="eastAsia"/>
        </w:rPr>
      </w:pPr>
    </w:p>
    <w:p w14:paraId="4383814B">
      <w:pPr>
        <w:rPr>
          <w:rFonts w:hint="eastAsia"/>
        </w:rPr>
      </w:pPr>
    </w:p>
    <w:p w14:paraId="2DFD556E">
      <w:pPr>
        <w:keepNext/>
        <w:keepLines/>
        <w:pageBreakBefore/>
        <w:adjustRightInd w:val="0"/>
        <w:snapToGrid w:val="0"/>
        <w:spacing w:line="360" w:lineRule="auto"/>
        <w:jc w:val="center"/>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14:paraId="1B282239">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14:paraId="36C358A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14:paraId="51D893C2">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53F13EDA">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14:paraId="454F0203">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94" w:name="_Hlk71925120"/>
      <w:r>
        <w:rPr>
          <w:rFonts w:hint="eastAsia" w:ascii="仿宋" w:hAnsi="仿宋" w:eastAsia="仿宋" w:cs="仿宋"/>
          <w:color w:val="auto"/>
          <w:sz w:val="24"/>
          <w:szCs w:val="24"/>
        </w:rPr>
        <w:t>《关于印发中小企业划型标准规定的通知》（工信部联企业〔2011〕300 号</w:t>
      </w:r>
      <w:bookmarkEnd w:id="94"/>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14:paraId="4C43DF9E">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14:paraId="3CAF827C">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14:paraId="43E08150">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14:paraId="271B4291">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14:paraId="69C03E1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14:paraId="42FEECF6">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14:paraId="698E3FB1">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14:paraId="1E285C9D">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14:paraId="302E7212">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69FAECAB">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14:paraId="59CCF52C">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2592355A">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14:paraId="4DB8B03A">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14:paraId="569A4E16">
      <w:pPr>
        <w:rPr>
          <w:rFonts w:ascii="宋体" w:hAnsi="宋体" w:eastAsia="宋体"/>
          <w:b/>
          <w:color w:val="auto"/>
        </w:rPr>
      </w:pPr>
      <w:r>
        <w:rPr>
          <w:rFonts w:hint="eastAsia" w:ascii="宋体" w:hAnsi="宋体" w:eastAsia="宋体"/>
          <w:b/>
          <w:color w:val="auto"/>
          <w:lang w:val="en-US" w:eastAsia="zh-CN"/>
        </w:rPr>
        <w:t xml:space="preserve"> </w:t>
      </w:r>
      <w:r>
        <w:rPr>
          <w:rFonts w:hint="eastAsia" w:ascii="仿宋" w:hAnsi="仿宋" w:eastAsia="仿宋" w:cs="仿宋"/>
          <w:color w:val="auto"/>
          <w:sz w:val="24"/>
          <w:szCs w:val="24"/>
          <w:lang w:val="en-US" w:eastAsia="zh-CN"/>
        </w:rPr>
        <w:t xml:space="preserve">    (4)</w:t>
      </w:r>
      <w:r>
        <w:rPr>
          <w:rFonts w:hint="eastAsia" w:ascii="仿宋" w:hAnsi="仿宋" w:eastAsia="仿宋" w:cs="仿宋"/>
          <w:color w:val="auto"/>
          <w:sz w:val="24"/>
          <w:szCs w:val="24"/>
        </w:rPr>
        <w:t>《中小企业声明函》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如有</w:t>
      </w:r>
      <w:r>
        <w:rPr>
          <w:rFonts w:hint="eastAsia" w:ascii="仿宋" w:hAnsi="仿宋" w:eastAsia="仿宋" w:cs="仿宋"/>
          <w:color w:val="auto"/>
          <w:sz w:val="24"/>
          <w:szCs w:val="24"/>
          <w:lang w:eastAsia="zh-CN"/>
        </w:rPr>
        <w:t>）</w:t>
      </w:r>
      <w:r>
        <w:rPr>
          <w:rFonts w:ascii="宋体" w:hAnsi="宋体" w:eastAsia="宋体"/>
          <w:b/>
          <w:color w:val="auto"/>
        </w:rPr>
        <w:br w:type="page"/>
      </w:r>
    </w:p>
    <w:p w14:paraId="36F773F5">
      <w:pPr>
        <w:pStyle w:val="4"/>
        <w:jc w:val="center"/>
        <w:rPr>
          <w:rFonts w:hint="eastAsia" w:ascii="宋体" w:hAnsi="宋体" w:cs="宋体"/>
          <w:color w:val="auto"/>
          <w:sz w:val="24"/>
        </w:rPr>
      </w:pPr>
      <w:r>
        <w:rPr>
          <w:rFonts w:hint="eastAsia" w:ascii="宋体" w:hAnsi="宋体" w:eastAsia="宋体" w:cs="宋体"/>
          <w:b/>
          <w:bCs/>
          <w:color w:val="000000"/>
          <w:kern w:val="0"/>
          <w:sz w:val="28"/>
          <w:szCs w:val="28"/>
          <w:lang w:val="en-US" w:eastAsia="zh-CN" w:bidi="ar"/>
        </w:rPr>
        <w:t>1.</w:t>
      </w:r>
      <w:r>
        <w:rPr>
          <w:rFonts w:hint="eastAsia" w:ascii="宋体" w:hAnsi="宋体" w:cs="宋体"/>
          <w:color w:val="auto"/>
          <w:kern w:val="0"/>
          <w:sz w:val="24"/>
          <w:szCs w:val="20"/>
        </w:rPr>
        <w:t>中小企业声明函(服务)</w:t>
      </w:r>
    </w:p>
    <w:p w14:paraId="7BE16D79">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u w:val="none" w:color="000000"/>
        </w:rPr>
        <w:t>的</w:t>
      </w:r>
      <w:r>
        <w:rPr>
          <w:rFonts w:hint="eastAsia" w:ascii="宋体" w:hAnsi="宋体" w:cs="宋体"/>
          <w:szCs w:val="21"/>
          <w:u w:val="single"/>
        </w:rPr>
        <w:t>（项目名称）</w:t>
      </w:r>
      <w:r>
        <w:rPr>
          <w:rFonts w:hint="eastAsia" w:ascii="宋体" w:hAnsi="宋体" w:cs="宋体"/>
          <w:szCs w:val="21"/>
          <w:u w:val="none" w:color="000000"/>
        </w:rPr>
        <w:t xml:space="preserve">采购活动，服务全部由符合政策要求的中小企业。承接。相关企业 （含联合体中的中小企业、签订分包意向协议的中小企业） 的具体情况如下： </w:t>
      </w:r>
    </w:p>
    <w:p w14:paraId="606BC6B8">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 xml:space="preserve">1. </w:t>
      </w:r>
      <w:r>
        <w:rPr>
          <w:rFonts w:hint="eastAsia" w:ascii="宋体" w:hAnsi="宋体" w:cs="宋体"/>
          <w:szCs w:val="21"/>
          <w:u w:val="single"/>
        </w:rPr>
        <w:t>（标的名称）</w:t>
      </w:r>
      <w:r>
        <w:rPr>
          <w:rFonts w:hint="eastAsia" w:ascii="宋体" w:hAnsi="宋体" w:cs="宋体"/>
          <w:szCs w:val="21"/>
          <w:u w:val="none" w:color="000000"/>
        </w:rPr>
        <w:t xml:space="preserve"> ，属于</w:t>
      </w:r>
      <w:r>
        <w:rPr>
          <w:rFonts w:hint="eastAsia" w:ascii="宋体" w:hAnsi="宋体" w:cs="宋体"/>
          <w:szCs w:val="21"/>
          <w:u w:val="single"/>
        </w:rPr>
        <w:t xml:space="preserve">（采购文件中明确的所属行业） </w:t>
      </w:r>
      <w:r>
        <w:rPr>
          <w:rFonts w:hint="eastAsia" w:ascii="宋体" w:hAnsi="宋体" w:cs="宋体"/>
          <w:szCs w:val="21"/>
          <w:u w:val="none" w:color="000000"/>
        </w:rPr>
        <w:t>行业；承接企业为</w:t>
      </w:r>
      <w:r>
        <w:rPr>
          <w:rFonts w:hint="eastAsia" w:ascii="宋体" w:hAnsi="宋体" w:cs="宋体"/>
          <w:szCs w:val="21"/>
          <w:u w:val="single"/>
        </w:rPr>
        <w:t>（企业名称）</w:t>
      </w:r>
      <w:r>
        <w:rPr>
          <w:rFonts w:hint="eastAsia" w:ascii="宋体" w:hAnsi="宋体" w:cs="宋体"/>
          <w:szCs w:val="21"/>
          <w:u w:val="none" w:color="000000"/>
        </w:rPr>
        <w:t>，从业人员</w:t>
      </w:r>
      <w:r>
        <w:rPr>
          <w:rFonts w:hint="eastAsia" w:ascii="宋体" w:hAnsi="宋体" w:cs="宋体"/>
          <w:szCs w:val="21"/>
          <w:u w:val="single"/>
        </w:rPr>
        <w:t xml:space="preserve">     </w:t>
      </w:r>
      <w:r>
        <w:rPr>
          <w:rFonts w:hint="eastAsia" w:ascii="宋体" w:hAnsi="宋体" w:cs="宋体"/>
          <w:szCs w:val="21"/>
          <w:u w:val="none" w:color="000000"/>
        </w:rPr>
        <w:t>人，营业收入为</w:t>
      </w:r>
      <w:r>
        <w:rPr>
          <w:rFonts w:hint="eastAsia" w:ascii="宋体" w:hAnsi="宋体" w:cs="宋体"/>
          <w:szCs w:val="21"/>
          <w:u w:val="single"/>
        </w:rPr>
        <w:t xml:space="preserve">  </w:t>
      </w:r>
      <w:r>
        <w:rPr>
          <w:rFonts w:hint="eastAsia" w:ascii="宋体" w:hAnsi="宋体" w:cs="宋体"/>
          <w:szCs w:val="21"/>
          <w:u w:val="none" w:color="000000"/>
        </w:rPr>
        <w:t xml:space="preserve"> 万元，资产总额为</w:t>
      </w:r>
      <w:r>
        <w:rPr>
          <w:rFonts w:hint="eastAsia" w:ascii="宋体" w:hAnsi="宋体" w:cs="宋体"/>
          <w:szCs w:val="21"/>
          <w:u w:val="single"/>
        </w:rPr>
        <w:t xml:space="preserve">   </w:t>
      </w:r>
      <w:r>
        <w:rPr>
          <w:rFonts w:hint="eastAsia" w:ascii="宋体" w:hAnsi="宋体" w:cs="宋体"/>
          <w:szCs w:val="21"/>
          <w:u w:val="none" w:color="000000"/>
        </w:rPr>
        <w:t>万元，属于（</w:t>
      </w:r>
      <w:r>
        <w:rPr>
          <w:rFonts w:hint="eastAsia" w:ascii="宋体" w:hAnsi="宋体" w:cs="宋体"/>
          <w:szCs w:val="21"/>
          <w:u w:val="single"/>
        </w:rPr>
        <w:t>中型企业、小型企业、微型企业</w:t>
      </w:r>
      <w:r>
        <w:rPr>
          <w:rFonts w:hint="eastAsia" w:ascii="宋体" w:hAnsi="宋体" w:cs="宋体"/>
          <w:szCs w:val="21"/>
          <w:u w:val="none" w:color="000000"/>
        </w:rPr>
        <w:t xml:space="preserve">）； </w:t>
      </w:r>
    </w:p>
    <w:p w14:paraId="6CF2070C">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 xml:space="preserve">2. </w:t>
      </w:r>
      <w:r>
        <w:rPr>
          <w:rFonts w:hint="eastAsia" w:ascii="宋体" w:hAnsi="宋体" w:cs="宋体"/>
          <w:szCs w:val="21"/>
          <w:u w:val="single"/>
        </w:rPr>
        <w:t>（标的名称）</w:t>
      </w:r>
      <w:r>
        <w:rPr>
          <w:rFonts w:hint="eastAsia" w:ascii="宋体" w:hAnsi="宋体" w:cs="宋体"/>
          <w:szCs w:val="21"/>
          <w:u w:val="none" w:color="000000"/>
        </w:rPr>
        <w:t xml:space="preserve"> ，属于</w:t>
      </w:r>
      <w:r>
        <w:rPr>
          <w:rFonts w:hint="eastAsia" w:ascii="宋体" w:hAnsi="宋体" w:cs="宋体"/>
          <w:szCs w:val="21"/>
          <w:u w:val="single"/>
        </w:rPr>
        <w:t xml:space="preserve">（采购文件中明确的所属行业） </w:t>
      </w:r>
      <w:r>
        <w:rPr>
          <w:rFonts w:hint="eastAsia" w:ascii="宋体" w:hAnsi="宋体" w:cs="宋体"/>
          <w:szCs w:val="21"/>
          <w:u w:val="none" w:color="000000"/>
        </w:rPr>
        <w:t>行业；承接企业为</w:t>
      </w:r>
      <w:r>
        <w:rPr>
          <w:rFonts w:hint="eastAsia" w:ascii="宋体" w:hAnsi="宋体" w:cs="宋体"/>
          <w:szCs w:val="21"/>
          <w:u w:val="single"/>
        </w:rPr>
        <w:t>（企业名称）</w:t>
      </w:r>
      <w:r>
        <w:rPr>
          <w:rFonts w:hint="eastAsia" w:ascii="宋体" w:hAnsi="宋体" w:cs="宋体"/>
          <w:szCs w:val="21"/>
          <w:u w:val="none" w:color="000000"/>
        </w:rPr>
        <w:t>，从业人员</w:t>
      </w:r>
      <w:r>
        <w:rPr>
          <w:rFonts w:hint="eastAsia" w:ascii="宋体" w:hAnsi="宋体" w:cs="宋体"/>
          <w:szCs w:val="21"/>
          <w:u w:val="single"/>
        </w:rPr>
        <w:t xml:space="preserve">     </w:t>
      </w:r>
      <w:r>
        <w:rPr>
          <w:rFonts w:hint="eastAsia" w:ascii="宋体" w:hAnsi="宋体" w:cs="宋体"/>
          <w:szCs w:val="21"/>
          <w:u w:val="none" w:color="000000"/>
        </w:rPr>
        <w:t>人，营业收入为</w:t>
      </w:r>
      <w:r>
        <w:rPr>
          <w:rFonts w:hint="eastAsia" w:ascii="宋体" w:hAnsi="宋体" w:cs="宋体"/>
          <w:szCs w:val="21"/>
          <w:u w:val="single"/>
        </w:rPr>
        <w:t xml:space="preserve">  </w:t>
      </w:r>
      <w:r>
        <w:rPr>
          <w:rFonts w:hint="eastAsia" w:ascii="宋体" w:hAnsi="宋体" w:cs="宋体"/>
          <w:szCs w:val="21"/>
          <w:u w:val="none" w:color="000000"/>
        </w:rPr>
        <w:t xml:space="preserve"> 万元，资产总额为</w:t>
      </w:r>
      <w:r>
        <w:rPr>
          <w:rFonts w:hint="eastAsia" w:ascii="宋体" w:hAnsi="宋体" w:cs="宋体"/>
          <w:szCs w:val="21"/>
          <w:u w:val="single"/>
        </w:rPr>
        <w:t xml:space="preserve">   </w:t>
      </w:r>
      <w:r>
        <w:rPr>
          <w:rFonts w:hint="eastAsia" w:ascii="宋体" w:hAnsi="宋体" w:cs="宋体"/>
          <w:szCs w:val="21"/>
          <w:u w:val="none" w:color="000000"/>
        </w:rPr>
        <w:t>万元，属于（</w:t>
      </w:r>
      <w:r>
        <w:rPr>
          <w:rFonts w:hint="eastAsia" w:ascii="宋体" w:hAnsi="宋体" w:cs="宋体"/>
          <w:szCs w:val="21"/>
          <w:u w:val="single"/>
        </w:rPr>
        <w:t>中型企业、小型企业、微型企业</w:t>
      </w:r>
      <w:r>
        <w:rPr>
          <w:rFonts w:hint="eastAsia" w:ascii="宋体" w:hAnsi="宋体" w:cs="宋体"/>
          <w:szCs w:val="21"/>
          <w:u w:val="none" w:color="000000"/>
        </w:rPr>
        <w:t xml:space="preserve">）； </w:t>
      </w:r>
    </w:p>
    <w:p w14:paraId="5AB056CF">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w:t>
      </w:r>
    </w:p>
    <w:p w14:paraId="173CA1A8">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以上企业，不属于大企业的分支机构，不存在控股股东为大企业的情形，也不存在与大企业的负责人为同一人的情形。</w:t>
      </w:r>
    </w:p>
    <w:p w14:paraId="0A8EF939">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 xml:space="preserve">本企业对上述声明内容的真实性负责。如有虚假，将依法承担相应责任。 </w:t>
      </w:r>
    </w:p>
    <w:p w14:paraId="1C608491">
      <w:pPr>
        <w:widowControl/>
        <w:spacing w:before="100" w:beforeAutospacing="1" w:after="100" w:afterAutospacing="1" w:line="380" w:lineRule="exact"/>
        <w:ind w:firstLine="420"/>
        <w:jc w:val="left"/>
        <w:rPr>
          <w:rFonts w:hint="eastAsia" w:ascii="宋体" w:hAnsi="宋体" w:cs="宋体"/>
          <w:szCs w:val="21"/>
          <w:u w:val="none" w:color="000000"/>
        </w:rPr>
      </w:pPr>
      <w:r>
        <w:rPr>
          <w:rFonts w:hint="eastAsia" w:ascii="宋体" w:hAnsi="宋体" w:cs="宋体"/>
          <w:szCs w:val="21"/>
          <w:u w:val="none" w:color="000000"/>
        </w:rPr>
        <w:t xml:space="preserve">企业名称（盖章）：      </w:t>
      </w:r>
    </w:p>
    <w:p w14:paraId="705F6A92">
      <w:pPr>
        <w:widowControl/>
        <w:spacing w:before="100" w:beforeAutospacing="1" w:after="100" w:afterAutospacing="1" w:line="380" w:lineRule="exact"/>
        <w:ind w:firstLine="420"/>
        <w:jc w:val="left"/>
        <w:rPr>
          <w:rFonts w:hint="eastAsia" w:ascii="宋体" w:hAnsi="宋体" w:cs="宋体"/>
          <w:kern w:val="0"/>
          <w:szCs w:val="21"/>
          <w:u w:val="single"/>
        </w:rPr>
      </w:pPr>
      <w:r>
        <w:rPr>
          <w:rFonts w:hint="eastAsia" w:ascii="宋体" w:hAnsi="宋体" w:cs="宋体"/>
          <w:szCs w:val="21"/>
          <w:u w:val="none" w:color="000000"/>
        </w:rPr>
        <w:t xml:space="preserve">日 期：    </w:t>
      </w:r>
    </w:p>
    <w:p w14:paraId="6FC7A0DF">
      <w:pPr>
        <w:spacing w:before="27" w:line="229" w:lineRule="auto"/>
        <w:ind w:left="192" w:right="235" w:firstLine="604"/>
        <w:rPr>
          <w:rFonts w:ascii="宋体" w:hAnsi="宋体" w:cs="宋体"/>
          <w:spacing w:val="-2"/>
          <w:sz w:val="28"/>
          <w:szCs w:val="28"/>
        </w:rPr>
      </w:pPr>
    </w:p>
    <w:p w14:paraId="1D9B2DA7">
      <w:pPr>
        <w:spacing w:before="27" w:line="229" w:lineRule="auto"/>
        <w:ind w:left="192" w:right="235" w:firstLine="604"/>
        <w:rPr>
          <w:rFonts w:ascii="宋体" w:hAnsi="宋体" w:cs="宋体"/>
          <w:spacing w:val="-2"/>
          <w:sz w:val="28"/>
          <w:szCs w:val="28"/>
        </w:rPr>
      </w:pPr>
    </w:p>
    <w:p w14:paraId="76CD124F">
      <w:pPr>
        <w:spacing w:before="27" w:line="229" w:lineRule="auto"/>
        <w:ind w:left="192" w:right="235" w:firstLine="604"/>
        <w:rPr>
          <w:rFonts w:ascii="宋体" w:hAnsi="宋体" w:cs="宋体"/>
          <w:spacing w:val="-2"/>
          <w:sz w:val="28"/>
          <w:szCs w:val="28"/>
        </w:rPr>
      </w:pPr>
    </w:p>
    <w:p w14:paraId="3EF569EA">
      <w:pPr>
        <w:spacing w:before="27" w:line="229" w:lineRule="auto"/>
        <w:ind w:left="192" w:right="235" w:firstLine="604"/>
        <w:rPr>
          <w:rFonts w:ascii="宋体" w:hAnsi="宋体" w:cs="宋体"/>
          <w:spacing w:val="-2"/>
          <w:sz w:val="28"/>
          <w:szCs w:val="28"/>
        </w:rPr>
      </w:pPr>
    </w:p>
    <w:p w14:paraId="54EA9B1D">
      <w:pPr>
        <w:spacing w:before="27" w:line="229" w:lineRule="auto"/>
        <w:ind w:left="192" w:right="235" w:firstLine="604"/>
        <w:rPr>
          <w:rFonts w:ascii="宋体" w:hAnsi="宋体" w:cs="宋体"/>
          <w:spacing w:val="-2"/>
          <w:sz w:val="24"/>
        </w:rPr>
      </w:pPr>
      <w:r>
        <w:rPr>
          <w:rFonts w:ascii="宋体" w:hAnsi="宋体" w:cs="宋体"/>
          <w:spacing w:val="-2"/>
          <w:sz w:val="24"/>
        </w:rPr>
        <w:t>说明：1、填写前请认真阅读《工业和信息化部、国家统计局、国家发展和改革委员 会、财政部关于印发中小企业划型标准规定的通知》（工信部联企业[2011]300 号）和《政府采购促进中小企业发展管理办法》 （财库﹝2020﹞46 号）相关规定。</w:t>
      </w:r>
    </w:p>
    <w:p w14:paraId="0E35BB62">
      <w:pPr>
        <w:spacing w:before="27" w:line="229" w:lineRule="auto"/>
        <w:ind w:left="192" w:right="235" w:firstLine="604"/>
        <w:rPr>
          <w:rFonts w:ascii="宋体" w:hAnsi="宋体" w:cs="宋体"/>
          <w:spacing w:val="-2"/>
          <w:sz w:val="24"/>
        </w:rPr>
      </w:pPr>
      <w:r>
        <w:rPr>
          <w:rFonts w:ascii="宋体" w:hAnsi="宋体" w:cs="宋体"/>
          <w:spacing w:val="-2"/>
          <w:sz w:val="24"/>
        </w:rPr>
        <w:t>2、未按上述要求提供、填写的，评审时不予以考虑。</w:t>
      </w:r>
    </w:p>
    <w:p w14:paraId="5E7D8AC7">
      <w:pPr>
        <w:spacing w:before="27" w:line="229" w:lineRule="auto"/>
        <w:ind w:left="192" w:right="235" w:firstLine="604"/>
        <w:rPr>
          <w:rFonts w:hint="eastAsia" w:ascii="宋体" w:hAnsi="宋体" w:cs="宋体"/>
          <w:spacing w:val="-2"/>
          <w:sz w:val="24"/>
        </w:rPr>
        <w:sectPr>
          <w:footerReference r:id="rId10" w:type="default"/>
          <w:pgSz w:w="11906" w:h="16839"/>
          <w:pgMar w:top="400" w:right="978" w:bottom="953" w:left="1077" w:header="0" w:footer="788" w:gutter="0"/>
          <w:cols w:space="720" w:num="1"/>
        </w:sectPr>
      </w:pPr>
      <w:r>
        <w:rPr>
          <w:rFonts w:ascii="宋体" w:hAnsi="宋体" w:cs="宋体"/>
          <w:spacing w:val="-2"/>
          <w:sz w:val="24"/>
        </w:rPr>
        <w:t>3、从业人员、营业收入、资产总额填报上一年度数据，无上一年度数据的新成立企业可不填</w:t>
      </w:r>
    </w:p>
    <w:p w14:paraId="2542F9EB">
      <w:pPr>
        <w:pStyle w:val="45"/>
        <w:rPr>
          <w:rFonts w:hint="eastAsia" w:ascii="宋体" w:hAnsi="宋体" w:eastAsia="宋体" w:cs="宋体"/>
          <w:color w:val="auto"/>
          <w:sz w:val="24"/>
          <w:szCs w:val="24"/>
        </w:rPr>
      </w:pPr>
    </w:p>
    <w:p w14:paraId="6A67A166">
      <w:pPr>
        <w:pStyle w:val="3"/>
        <w:numPr>
          <w:ilvl w:val="0"/>
          <w:numId w:val="0"/>
        </w:numPr>
        <w:spacing w:line="240" w:lineRule="atLeast"/>
        <w:jc w:val="both"/>
        <w:rPr>
          <w:rFonts w:hint="eastAsia" w:ascii="宋体" w:hAnsi="宋体" w:cs="宋体"/>
          <w:b/>
          <w:bCs/>
        </w:rPr>
      </w:pPr>
      <w:bookmarkStart w:id="95" w:name="_Toc19284"/>
      <w:bookmarkStart w:id="96" w:name="_Toc23068"/>
      <w:bookmarkStart w:id="97" w:name="_Toc515647825"/>
      <w:bookmarkStart w:id="98" w:name="_Toc8010"/>
      <w:bookmarkStart w:id="99" w:name="OLE_LINK14"/>
      <w:bookmarkStart w:id="100" w:name="OLE_LINK13"/>
      <w:r>
        <w:rPr>
          <w:rFonts w:hint="eastAsia" w:ascii="宋体" w:hAnsi="宋体" w:eastAsia="宋体" w:cs="宋体"/>
          <w:b/>
          <w:bCs/>
          <w:lang w:val="en-US" w:eastAsia="zh-CN"/>
        </w:rPr>
        <w:t>2</w:t>
      </w:r>
      <w:r>
        <w:rPr>
          <w:rFonts w:hint="eastAsia" w:ascii="宋体" w:hAnsi="宋体" w:cs="宋体"/>
          <w:b/>
          <w:bCs/>
        </w:rPr>
        <w:t xml:space="preserve">  残疾人福利性单位声明函</w:t>
      </w:r>
      <w:bookmarkEnd w:id="95"/>
      <w:bookmarkEnd w:id="96"/>
      <w:bookmarkEnd w:id="97"/>
      <w:bookmarkEnd w:id="98"/>
    </w:p>
    <w:bookmarkEnd w:id="99"/>
    <w:bookmarkEnd w:id="100"/>
    <w:p w14:paraId="204B6DE6">
      <w:pPr>
        <w:spacing w:line="240" w:lineRule="atLeast"/>
        <w:ind w:left="1157" w:leftChars="257" w:hanging="540"/>
        <w:jc w:val="center"/>
        <w:rPr>
          <w:rFonts w:hint="eastAsia" w:ascii="宋体" w:hAnsi="宋体" w:cs="宋体"/>
          <w:kern w:val="0"/>
          <w:sz w:val="24"/>
          <w:szCs w:val="20"/>
        </w:rPr>
      </w:pPr>
    </w:p>
    <w:p w14:paraId="674688E4">
      <w:pPr>
        <w:spacing w:line="240" w:lineRule="atLeast"/>
        <w:ind w:firstLine="567"/>
        <w:rPr>
          <w:rFonts w:hint="eastAsia" w:ascii="宋体" w:hAnsi="宋体" w:cs="宋体"/>
          <w:kern w:val="0"/>
          <w:sz w:val="24"/>
          <w:szCs w:val="20"/>
        </w:rPr>
      </w:pPr>
      <w:r>
        <w:rPr>
          <w:rFonts w:hint="eastAsia" w:ascii="宋体" w:hAnsi="宋体" w:cs="宋体"/>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9009295">
      <w:pPr>
        <w:spacing w:line="240" w:lineRule="atLeast"/>
        <w:ind w:left="1157" w:leftChars="257" w:hanging="540"/>
        <w:rPr>
          <w:rFonts w:hint="eastAsia" w:ascii="宋体" w:hAnsi="宋体" w:cs="宋体"/>
          <w:kern w:val="0"/>
          <w:sz w:val="24"/>
          <w:szCs w:val="20"/>
        </w:rPr>
      </w:pPr>
      <w:r>
        <w:rPr>
          <w:rFonts w:hint="eastAsia" w:ascii="宋体" w:hAnsi="宋体" w:cs="宋体"/>
          <w:kern w:val="0"/>
          <w:sz w:val="24"/>
          <w:szCs w:val="20"/>
        </w:rPr>
        <w:t>本单位对上述声明的真实性负责。如有虚假，将依法承担相应责任。</w:t>
      </w:r>
    </w:p>
    <w:p w14:paraId="7CF27B2E">
      <w:pPr>
        <w:spacing w:line="240" w:lineRule="atLeast"/>
        <w:ind w:left="1157" w:leftChars="257" w:hanging="540"/>
        <w:jc w:val="center"/>
        <w:rPr>
          <w:rFonts w:hint="eastAsia" w:ascii="宋体" w:hAnsi="宋体" w:cs="宋体"/>
          <w:kern w:val="0"/>
          <w:sz w:val="24"/>
          <w:szCs w:val="20"/>
        </w:rPr>
      </w:pPr>
    </w:p>
    <w:p w14:paraId="110E65B6">
      <w:pPr>
        <w:spacing w:line="240" w:lineRule="atLeast"/>
        <w:ind w:left="1157" w:leftChars="257" w:hanging="540"/>
        <w:jc w:val="center"/>
        <w:rPr>
          <w:rFonts w:hint="eastAsia" w:ascii="宋体" w:hAnsi="宋体" w:cs="宋体"/>
          <w:kern w:val="0"/>
          <w:sz w:val="24"/>
          <w:szCs w:val="20"/>
        </w:rPr>
      </w:pPr>
    </w:p>
    <w:p w14:paraId="588249CE">
      <w:pPr>
        <w:spacing w:line="240" w:lineRule="atLeast"/>
        <w:ind w:left="1157" w:leftChars="257" w:hanging="540"/>
        <w:jc w:val="center"/>
        <w:rPr>
          <w:rFonts w:hint="eastAsia" w:ascii="宋体" w:hAnsi="宋体" w:cs="宋体"/>
          <w:kern w:val="0"/>
          <w:sz w:val="24"/>
          <w:szCs w:val="20"/>
        </w:rPr>
      </w:pPr>
      <w:r>
        <w:rPr>
          <w:rFonts w:hint="eastAsia" w:ascii="宋体" w:hAnsi="宋体" w:cs="宋体"/>
          <w:kern w:val="0"/>
          <w:sz w:val="24"/>
          <w:szCs w:val="20"/>
        </w:rPr>
        <w:t xml:space="preserve">              残疾人福利性单位名称（盖单位章）：______________</w:t>
      </w:r>
    </w:p>
    <w:p w14:paraId="6E26747B">
      <w:pPr>
        <w:spacing w:line="240" w:lineRule="atLeast"/>
        <w:ind w:left="1157" w:leftChars="257" w:hanging="540"/>
        <w:jc w:val="center"/>
        <w:rPr>
          <w:rFonts w:hint="eastAsia" w:ascii="宋体" w:hAnsi="宋体" w:cs="宋体"/>
          <w:kern w:val="0"/>
          <w:sz w:val="24"/>
          <w:szCs w:val="20"/>
        </w:rPr>
      </w:pPr>
      <w:r>
        <w:rPr>
          <w:rFonts w:hint="eastAsia" w:ascii="宋体" w:hAnsi="宋体" w:cs="宋体"/>
          <w:kern w:val="0"/>
          <w:sz w:val="24"/>
          <w:szCs w:val="20"/>
        </w:rPr>
        <w:t xml:space="preserve">  </w:t>
      </w:r>
      <w:r>
        <w:rPr>
          <w:rFonts w:hint="eastAsia" w:ascii="宋体" w:hAnsi="宋体" w:cs="宋体"/>
          <w:kern w:val="0"/>
          <w:sz w:val="24"/>
          <w:szCs w:val="20"/>
          <w:u w:val="single" w:color="FFFFFF"/>
        </w:rPr>
        <w:t xml:space="preserve">      </w:t>
      </w:r>
      <w:r>
        <w:rPr>
          <w:rFonts w:hint="eastAsia" w:ascii="宋体" w:hAnsi="宋体" w:cs="宋体"/>
          <w:kern w:val="0"/>
          <w:sz w:val="24"/>
          <w:szCs w:val="20"/>
          <w:u w:val="single" w:color="FFFFFF"/>
          <w:lang w:val="en-US" w:eastAsia="zh-CN"/>
        </w:rPr>
        <w:t xml:space="preserve"> </w:t>
      </w:r>
      <w:r>
        <w:rPr>
          <w:rFonts w:hint="eastAsia" w:ascii="宋体" w:hAnsi="宋体" w:cs="宋体"/>
          <w:kern w:val="0"/>
          <w:sz w:val="24"/>
          <w:szCs w:val="20"/>
          <w:u w:val="single" w:color="FFFFFF"/>
        </w:rPr>
        <w:t xml:space="preserve"> </w:t>
      </w:r>
      <w:r>
        <w:rPr>
          <w:rFonts w:hint="eastAsia" w:ascii="宋体" w:hAnsi="宋体" w:cs="宋体"/>
          <w:kern w:val="0"/>
          <w:sz w:val="24"/>
          <w:szCs w:val="20"/>
        </w:rPr>
        <w:t>日  期：____________</w:t>
      </w:r>
    </w:p>
    <w:p w14:paraId="5413A73B">
      <w:pPr>
        <w:spacing w:line="240" w:lineRule="atLeast"/>
        <w:ind w:left="1157" w:leftChars="257" w:hanging="540"/>
        <w:jc w:val="center"/>
        <w:rPr>
          <w:rFonts w:hint="eastAsia" w:ascii="宋体" w:hAnsi="宋体" w:cs="宋体"/>
          <w:b/>
          <w:kern w:val="0"/>
          <w:sz w:val="24"/>
          <w:szCs w:val="20"/>
        </w:rPr>
      </w:pPr>
    </w:p>
    <w:p w14:paraId="7C848D84">
      <w:pPr>
        <w:spacing w:line="240" w:lineRule="atLeast"/>
        <w:ind w:left="1157" w:leftChars="257" w:hanging="540"/>
        <w:jc w:val="center"/>
        <w:rPr>
          <w:rFonts w:hint="eastAsia" w:ascii="宋体" w:hAnsi="宋体" w:cs="宋体"/>
          <w:b/>
          <w:kern w:val="0"/>
          <w:sz w:val="24"/>
          <w:szCs w:val="20"/>
        </w:rPr>
      </w:pPr>
    </w:p>
    <w:p w14:paraId="2BF53329">
      <w:pPr>
        <w:pStyle w:val="3"/>
        <w:numPr>
          <w:ilvl w:val="0"/>
          <w:numId w:val="0"/>
        </w:numPr>
        <w:spacing w:line="240" w:lineRule="atLeast"/>
        <w:ind w:left="617" w:leftChars="257"/>
        <w:rPr>
          <w:rFonts w:hint="eastAsia" w:ascii="宋体" w:hAnsi="宋体" w:cs="宋体"/>
        </w:rPr>
      </w:pPr>
    </w:p>
    <w:p w14:paraId="725B2719">
      <w:pPr>
        <w:pStyle w:val="3"/>
        <w:numPr>
          <w:ilvl w:val="0"/>
          <w:numId w:val="0"/>
        </w:numPr>
        <w:spacing w:line="240" w:lineRule="atLeast"/>
        <w:ind w:left="617" w:leftChars="257"/>
        <w:jc w:val="center"/>
        <w:rPr>
          <w:rFonts w:hint="eastAsia" w:ascii="宋体" w:hAnsi="宋体" w:cs="宋体"/>
        </w:rPr>
      </w:pPr>
      <w:bookmarkStart w:id="101" w:name="_Toc6386"/>
    </w:p>
    <w:p w14:paraId="7C24C227">
      <w:pPr>
        <w:pStyle w:val="3"/>
        <w:numPr>
          <w:ilvl w:val="0"/>
          <w:numId w:val="0"/>
        </w:numPr>
        <w:spacing w:line="240" w:lineRule="atLeast"/>
        <w:ind w:left="617" w:leftChars="257"/>
        <w:jc w:val="center"/>
        <w:rPr>
          <w:rFonts w:hint="eastAsia" w:ascii="宋体" w:hAnsi="宋体" w:cs="宋体"/>
        </w:rPr>
      </w:pPr>
    </w:p>
    <w:p w14:paraId="1C0D22CD">
      <w:pPr>
        <w:pStyle w:val="3"/>
        <w:numPr>
          <w:ilvl w:val="0"/>
          <w:numId w:val="0"/>
        </w:numPr>
        <w:spacing w:line="240" w:lineRule="atLeast"/>
        <w:ind w:left="617" w:leftChars="257"/>
        <w:jc w:val="center"/>
        <w:rPr>
          <w:rFonts w:hint="eastAsia" w:ascii="宋体" w:hAnsi="宋体" w:cs="宋体"/>
        </w:rPr>
      </w:pPr>
    </w:p>
    <w:p w14:paraId="65447908">
      <w:pPr>
        <w:pStyle w:val="3"/>
        <w:numPr>
          <w:ilvl w:val="0"/>
          <w:numId w:val="0"/>
        </w:numPr>
        <w:spacing w:line="240" w:lineRule="atLeast"/>
        <w:ind w:left="617" w:leftChars="257"/>
        <w:jc w:val="center"/>
        <w:rPr>
          <w:rFonts w:hint="eastAsia" w:ascii="宋体" w:hAnsi="宋体" w:cs="宋体"/>
        </w:rPr>
      </w:pPr>
    </w:p>
    <w:p w14:paraId="2AF071D2">
      <w:pPr>
        <w:rPr>
          <w:rFonts w:hint="eastAsia" w:ascii="宋体" w:hAnsi="宋体" w:cs="宋体"/>
          <w:sz w:val="24"/>
        </w:rPr>
      </w:pPr>
    </w:p>
    <w:p w14:paraId="697105A8">
      <w:pPr>
        <w:pStyle w:val="24"/>
        <w:rPr>
          <w:rFonts w:hint="eastAsia" w:ascii="宋体" w:hAnsi="宋体" w:cs="宋体"/>
        </w:rPr>
      </w:pPr>
    </w:p>
    <w:p w14:paraId="392BDA40">
      <w:pPr>
        <w:pStyle w:val="24"/>
        <w:rPr>
          <w:rFonts w:hint="eastAsia" w:ascii="宋体" w:hAnsi="宋体" w:cs="宋体"/>
        </w:rPr>
      </w:pPr>
    </w:p>
    <w:p w14:paraId="09DC116D">
      <w:pPr>
        <w:pStyle w:val="24"/>
        <w:rPr>
          <w:rFonts w:hint="eastAsia" w:ascii="宋体" w:hAnsi="宋体" w:cs="宋体"/>
        </w:rPr>
      </w:pPr>
    </w:p>
    <w:p w14:paraId="6D0ABD16">
      <w:pPr>
        <w:pStyle w:val="24"/>
        <w:rPr>
          <w:rFonts w:hint="eastAsia" w:ascii="宋体" w:hAnsi="宋体" w:cs="宋体"/>
        </w:rPr>
      </w:pPr>
    </w:p>
    <w:p w14:paraId="70909039">
      <w:pPr>
        <w:pStyle w:val="24"/>
        <w:rPr>
          <w:rFonts w:hint="eastAsia" w:ascii="宋体" w:hAnsi="宋体" w:cs="宋体"/>
        </w:rPr>
      </w:pPr>
    </w:p>
    <w:p w14:paraId="0184054E">
      <w:pPr>
        <w:pStyle w:val="24"/>
        <w:rPr>
          <w:rFonts w:hint="eastAsia" w:ascii="宋体" w:hAnsi="宋体" w:cs="宋体"/>
        </w:rPr>
      </w:pPr>
    </w:p>
    <w:p w14:paraId="4F05F53B">
      <w:pPr>
        <w:pStyle w:val="24"/>
        <w:rPr>
          <w:rFonts w:hint="eastAsia" w:ascii="宋体" w:hAnsi="宋体" w:cs="宋体"/>
        </w:rPr>
      </w:pPr>
    </w:p>
    <w:p w14:paraId="59E88C05">
      <w:pPr>
        <w:pStyle w:val="24"/>
        <w:rPr>
          <w:rFonts w:hint="eastAsia" w:ascii="宋体" w:hAnsi="宋体" w:cs="宋体"/>
        </w:rPr>
      </w:pPr>
    </w:p>
    <w:p w14:paraId="2EA80A06">
      <w:pPr>
        <w:pStyle w:val="24"/>
        <w:rPr>
          <w:rFonts w:hint="eastAsia" w:ascii="宋体" w:hAnsi="宋体" w:cs="宋体"/>
        </w:rPr>
      </w:pPr>
    </w:p>
    <w:p w14:paraId="1B39E76D">
      <w:pPr>
        <w:pStyle w:val="24"/>
        <w:rPr>
          <w:rFonts w:hint="eastAsia" w:ascii="宋体" w:hAnsi="宋体" w:cs="宋体"/>
        </w:rPr>
      </w:pPr>
    </w:p>
    <w:p w14:paraId="01349095">
      <w:pPr>
        <w:pStyle w:val="24"/>
        <w:rPr>
          <w:rFonts w:hint="eastAsia" w:ascii="宋体" w:hAnsi="宋体" w:cs="宋体"/>
        </w:rPr>
      </w:pPr>
    </w:p>
    <w:p w14:paraId="12B26D63">
      <w:pPr>
        <w:pStyle w:val="24"/>
        <w:rPr>
          <w:rFonts w:hint="eastAsia" w:ascii="宋体" w:hAnsi="宋体" w:cs="宋体"/>
        </w:rPr>
      </w:pPr>
    </w:p>
    <w:p w14:paraId="770D6F46">
      <w:pPr>
        <w:pStyle w:val="24"/>
        <w:rPr>
          <w:rFonts w:hint="eastAsia" w:ascii="宋体" w:hAnsi="宋体" w:cs="宋体"/>
        </w:rPr>
      </w:pPr>
    </w:p>
    <w:p w14:paraId="5E955DF4">
      <w:pPr>
        <w:pStyle w:val="24"/>
        <w:rPr>
          <w:rFonts w:hint="eastAsia" w:ascii="宋体" w:hAnsi="宋体" w:cs="宋体"/>
        </w:rPr>
      </w:pPr>
    </w:p>
    <w:p w14:paraId="184DF17E">
      <w:pPr>
        <w:pStyle w:val="24"/>
        <w:rPr>
          <w:rFonts w:hint="eastAsia" w:ascii="宋体" w:hAnsi="宋体" w:cs="宋体"/>
        </w:rPr>
      </w:pPr>
    </w:p>
    <w:p w14:paraId="42C97787">
      <w:pPr>
        <w:pStyle w:val="24"/>
        <w:rPr>
          <w:rFonts w:hint="eastAsia" w:ascii="宋体" w:hAnsi="宋体" w:cs="宋体"/>
        </w:rPr>
      </w:pPr>
    </w:p>
    <w:p w14:paraId="2C8D3684">
      <w:pPr>
        <w:pStyle w:val="24"/>
        <w:rPr>
          <w:rFonts w:hint="eastAsia" w:ascii="宋体" w:hAnsi="宋体" w:cs="宋体"/>
        </w:rPr>
      </w:pPr>
    </w:p>
    <w:bookmarkEnd w:id="101"/>
    <w:p w14:paraId="3EE1A9DA">
      <w:pPr>
        <w:keepNext w:val="0"/>
        <w:keepLines w:val="0"/>
        <w:widowControl/>
        <w:shd w:val="clear"/>
        <w:kinsoku w:val="0"/>
        <w:autoSpaceDE w:val="0"/>
        <w:autoSpaceDN w:val="0"/>
        <w:bidi w:val="0"/>
        <w:adjustRightInd w:val="0"/>
        <w:snapToGrid w:val="0"/>
        <w:spacing w:before="106" w:after="0" w:line="223" w:lineRule="auto"/>
        <w:ind w:left="4053" w:right="0" w:firstLine="0"/>
        <w:textAlignment w:val="baseline"/>
        <w:rPr>
          <w:rFonts w:ascii="黑体" w:hAnsi="黑体" w:eastAsia="黑体" w:cs="黑体"/>
          <w:snapToGrid w:val="0"/>
          <w:spacing w:val="0"/>
          <w:w w:val="100"/>
          <w:kern w:val="0"/>
          <w:position w:val="0"/>
          <w:sz w:val="40"/>
          <w:szCs w:val="40"/>
          <w:shd w:val="clear"/>
          <w:lang w:bidi="ar-SA"/>
        </w:rPr>
      </w:pPr>
      <w:r>
        <w:rPr>
          <w:rFonts w:ascii="黑体" w:hAnsi="黑体" w:eastAsia="黑体" w:cs="黑体"/>
          <w:b/>
          <w:bCs/>
          <w:snapToGrid w:val="0"/>
          <w:spacing w:val="-8"/>
          <w:w w:val="100"/>
          <w:kern w:val="0"/>
          <w:position w:val="0"/>
          <w:sz w:val="40"/>
          <w:szCs w:val="40"/>
          <w:shd w:val="clear"/>
          <w:lang w:bidi="ar-SA"/>
        </w:rPr>
        <w:t>承诺书</w:t>
      </w:r>
    </w:p>
    <w:p w14:paraId="39036191">
      <w:pPr>
        <w:kinsoku w:val="0"/>
        <w:autoSpaceDE w:val="0"/>
        <w:autoSpaceDN w:val="0"/>
        <w:adjustRightInd w:val="0"/>
        <w:snapToGrid w:val="0"/>
        <w:spacing w:line="311" w:lineRule="auto"/>
        <w:jc w:val="left"/>
        <w:textAlignment w:val="baseline"/>
        <w:rPr>
          <w:rFonts w:ascii="Arial" w:hAnsi="Arial" w:eastAsia="Arial" w:cs="Arial"/>
          <w:snapToGrid w:val="0"/>
          <w:color w:val="000000"/>
          <w:kern w:val="0"/>
          <w:sz w:val="21"/>
          <w:szCs w:val="21"/>
          <w:lang w:val="en-US" w:eastAsia="en-US" w:bidi="ar-SA"/>
        </w:rPr>
      </w:pPr>
    </w:p>
    <w:p w14:paraId="08BFEFB0">
      <w:pPr>
        <w:keepNext w:val="0"/>
        <w:keepLines w:val="0"/>
        <w:widowControl/>
        <w:shd w:val="clear"/>
        <w:kinsoku w:val="0"/>
        <w:autoSpaceDE w:val="0"/>
        <w:autoSpaceDN w:val="0"/>
        <w:bidi w:val="0"/>
        <w:adjustRightInd w:val="0"/>
        <w:snapToGrid w:val="0"/>
        <w:spacing w:before="97" w:after="0" w:line="221" w:lineRule="auto"/>
        <w:ind w:left="0" w:right="0" w:firstLine="0"/>
        <w:textAlignment w:val="baseline"/>
        <w:rPr>
          <w:rFonts w:ascii="仿宋" w:hAnsi="仿宋" w:eastAsia="仿宋" w:cs="仿宋"/>
          <w:snapToGrid w:val="0"/>
          <w:spacing w:val="0"/>
          <w:w w:val="100"/>
          <w:kern w:val="0"/>
          <w:position w:val="0"/>
          <w:sz w:val="30"/>
          <w:szCs w:val="30"/>
          <w:shd w:val="clear"/>
          <w:lang w:bidi="ar-SA"/>
        </w:rPr>
      </w:pPr>
      <w:r>
        <w:rPr>
          <w:rFonts w:ascii="仿宋" w:hAnsi="仿宋" w:eastAsia="仿宋" w:cs="仿宋"/>
          <w:snapToGrid w:val="0"/>
          <w:spacing w:val="-2"/>
          <w:w w:val="100"/>
          <w:kern w:val="0"/>
          <w:position w:val="0"/>
          <w:sz w:val="30"/>
          <w:szCs w:val="30"/>
          <w:shd w:val="clear"/>
          <w:lang w:bidi="ar-SA"/>
        </w:rPr>
        <w:t>XXX（采购单位</w:t>
      </w:r>
      <w:r>
        <w:rPr>
          <w:rFonts w:ascii="仿宋" w:hAnsi="仿宋" w:eastAsia="仿宋" w:cs="仿宋"/>
          <w:snapToGrid w:val="0"/>
          <w:spacing w:val="3"/>
          <w:w w:val="100"/>
          <w:kern w:val="0"/>
          <w:position w:val="0"/>
          <w:sz w:val="30"/>
          <w:szCs w:val="30"/>
          <w:shd w:val="clear"/>
          <w:lang w:bidi="ar-SA"/>
        </w:rPr>
        <w:t>）：</w:t>
      </w:r>
    </w:p>
    <w:p w14:paraId="4A5CC978">
      <w:pPr>
        <w:keepNext w:val="0"/>
        <w:keepLines w:val="0"/>
        <w:widowControl/>
        <w:shd w:val="clear"/>
        <w:kinsoku w:val="0"/>
        <w:autoSpaceDE w:val="0"/>
        <w:autoSpaceDN w:val="0"/>
        <w:bidi w:val="0"/>
        <w:adjustRightInd w:val="0"/>
        <w:snapToGrid w:val="0"/>
        <w:spacing w:before="202" w:after="0" w:line="222" w:lineRule="auto"/>
        <w:ind w:left="623" w:right="0" w:firstLine="0"/>
        <w:textAlignment w:val="baseline"/>
        <w:rPr>
          <w:rFonts w:ascii="仿宋" w:hAnsi="仿宋" w:eastAsia="仿宋" w:cs="仿宋"/>
          <w:snapToGrid w:val="0"/>
          <w:spacing w:val="0"/>
          <w:w w:val="100"/>
          <w:kern w:val="0"/>
          <w:position w:val="0"/>
          <w:sz w:val="30"/>
          <w:szCs w:val="30"/>
          <w:shd w:val="clear"/>
          <w:lang w:bidi="ar-SA"/>
        </w:rPr>
      </w:pPr>
      <w:r>
        <w:rPr>
          <w:rFonts w:ascii="仿宋" w:hAnsi="仿宋" w:eastAsia="仿宋" w:cs="仿宋"/>
          <w:snapToGrid w:val="0"/>
          <w:spacing w:val="-4"/>
          <w:w w:val="100"/>
          <w:kern w:val="0"/>
          <w:position w:val="0"/>
          <w:sz w:val="30"/>
          <w:szCs w:val="30"/>
          <w:shd w:val="clear"/>
          <w:lang w:bidi="ar-SA"/>
        </w:rPr>
        <w:t>我公司积极参加</w:t>
      </w:r>
      <w:r>
        <w:rPr>
          <w:rFonts w:ascii="仿宋" w:hAnsi="仿宋" w:eastAsia="仿宋" w:cs="仿宋"/>
          <w:snapToGrid w:val="0"/>
          <w:spacing w:val="-135"/>
          <w:w w:val="100"/>
          <w:kern w:val="0"/>
          <w:position w:val="0"/>
          <w:sz w:val="30"/>
          <w:szCs w:val="30"/>
          <w:shd w:val="clear"/>
          <w:lang w:bidi="ar-SA"/>
        </w:rPr>
        <w:t xml:space="preserve"> </w:t>
      </w:r>
      <w:r>
        <w:rPr>
          <w:rFonts w:ascii="仿宋" w:hAnsi="仿宋" w:eastAsia="仿宋" w:cs="仿宋"/>
          <w:snapToGrid w:val="0"/>
          <w:spacing w:val="6"/>
          <w:w w:val="100"/>
          <w:kern w:val="0"/>
          <w:position w:val="0"/>
          <w:sz w:val="30"/>
          <w:szCs w:val="30"/>
          <w:u w:val="single" w:color="auto"/>
          <w:shd w:val="clear"/>
          <w:lang w:bidi="ar-SA"/>
        </w:rPr>
        <w:t xml:space="preserve">                      </w:t>
      </w:r>
      <w:r>
        <w:rPr>
          <w:rFonts w:ascii="仿宋" w:hAnsi="仿宋" w:eastAsia="仿宋" w:cs="仿宋"/>
          <w:snapToGrid w:val="0"/>
          <w:spacing w:val="-112"/>
          <w:w w:val="100"/>
          <w:kern w:val="0"/>
          <w:position w:val="0"/>
          <w:sz w:val="30"/>
          <w:szCs w:val="30"/>
          <w:shd w:val="clear"/>
          <w:lang w:bidi="ar-SA"/>
        </w:rPr>
        <w:t xml:space="preserve"> </w:t>
      </w:r>
      <w:r>
        <w:rPr>
          <w:rFonts w:ascii="仿宋" w:hAnsi="仿宋" w:eastAsia="仿宋" w:cs="仿宋"/>
          <w:snapToGrid w:val="0"/>
          <w:spacing w:val="-4"/>
          <w:w w:val="100"/>
          <w:kern w:val="0"/>
          <w:position w:val="0"/>
          <w:sz w:val="30"/>
          <w:szCs w:val="30"/>
          <w:shd w:val="clear"/>
          <w:lang w:bidi="ar-SA"/>
        </w:rPr>
        <w:t>项目投标，现将有关事</w:t>
      </w:r>
    </w:p>
    <w:p w14:paraId="14D853AC">
      <w:pPr>
        <w:keepNext w:val="0"/>
        <w:keepLines w:val="0"/>
        <w:widowControl/>
        <w:shd w:val="clear"/>
        <w:kinsoku w:val="0"/>
        <w:autoSpaceDE w:val="0"/>
        <w:autoSpaceDN w:val="0"/>
        <w:bidi w:val="0"/>
        <w:adjustRightInd w:val="0"/>
        <w:snapToGrid w:val="0"/>
        <w:spacing w:before="199" w:after="0" w:line="220" w:lineRule="auto"/>
        <w:ind w:left="14" w:right="0" w:firstLine="0"/>
        <w:textAlignment w:val="baseline"/>
        <w:rPr>
          <w:rFonts w:ascii="仿宋" w:hAnsi="仿宋" w:eastAsia="仿宋" w:cs="仿宋"/>
          <w:snapToGrid w:val="0"/>
          <w:spacing w:val="0"/>
          <w:w w:val="100"/>
          <w:kern w:val="0"/>
          <w:position w:val="0"/>
          <w:sz w:val="30"/>
          <w:szCs w:val="30"/>
          <w:shd w:val="clear"/>
          <w:lang w:bidi="ar-SA"/>
        </w:rPr>
      </w:pPr>
      <w:r>
        <w:rPr>
          <w:rFonts w:ascii="仿宋" w:hAnsi="仿宋" w:eastAsia="仿宋" w:cs="仿宋"/>
          <w:snapToGrid w:val="0"/>
          <w:spacing w:val="-2"/>
          <w:w w:val="100"/>
          <w:kern w:val="0"/>
          <w:position w:val="0"/>
          <w:sz w:val="30"/>
          <w:szCs w:val="30"/>
          <w:shd w:val="clear"/>
          <w:lang w:bidi="ar-SA"/>
        </w:rPr>
        <w:t>项向贵单位郑重承诺如下:</w:t>
      </w:r>
    </w:p>
    <w:p w14:paraId="3546CB69">
      <w:pPr>
        <w:keepNext w:val="0"/>
        <w:keepLines w:val="0"/>
        <w:widowControl/>
        <w:shd w:val="clear"/>
        <w:kinsoku w:val="0"/>
        <w:autoSpaceDE w:val="0"/>
        <w:autoSpaceDN w:val="0"/>
        <w:bidi w:val="0"/>
        <w:adjustRightInd w:val="0"/>
        <w:snapToGrid w:val="0"/>
        <w:spacing w:before="202" w:after="0" w:line="334" w:lineRule="auto"/>
        <w:ind w:left="18" w:right="76" w:firstLine="606"/>
        <w:textAlignment w:val="baseline"/>
        <w:rPr>
          <w:rFonts w:ascii="仿宋" w:hAnsi="仿宋" w:eastAsia="仿宋" w:cs="仿宋"/>
          <w:snapToGrid w:val="0"/>
          <w:spacing w:val="0"/>
          <w:w w:val="100"/>
          <w:kern w:val="0"/>
          <w:position w:val="0"/>
          <w:sz w:val="30"/>
          <w:szCs w:val="30"/>
          <w:shd w:val="clear"/>
          <w:lang w:bidi="ar-SA"/>
        </w:rPr>
      </w:pPr>
      <w:r>
        <w:rPr>
          <w:rFonts w:ascii="仿宋" w:hAnsi="仿宋" w:eastAsia="仿宋" w:cs="仿宋"/>
          <w:snapToGrid w:val="0"/>
          <w:spacing w:val="-1"/>
          <w:w w:val="100"/>
          <w:kern w:val="0"/>
          <w:position w:val="0"/>
          <w:sz w:val="30"/>
          <w:szCs w:val="30"/>
          <w:shd w:val="clear"/>
          <w:lang w:bidi="ar-SA"/>
        </w:rPr>
        <w:t>1.</w:t>
      </w:r>
      <w:r>
        <w:rPr>
          <w:rFonts w:ascii="仿宋" w:hAnsi="仿宋" w:eastAsia="仿宋" w:cs="仿宋"/>
          <w:b/>
          <w:bCs/>
          <w:snapToGrid w:val="0"/>
          <w:spacing w:val="-1"/>
          <w:w w:val="100"/>
          <w:kern w:val="0"/>
          <w:position w:val="0"/>
          <w:sz w:val="30"/>
          <w:szCs w:val="30"/>
          <w:shd w:val="clear"/>
          <w:lang w:bidi="ar-SA"/>
        </w:rPr>
        <w:t>不行贿：</w:t>
      </w:r>
      <w:r>
        <w:rPr>
          <w:rFonts w:ascii="仿宋" w:hAnsi="仿宋" w:eastAsia="仿宋" w:cs="仿宋"/>
          <w:snapToGrid w:val="0"/>
          <w:spacing w:val="-38"/>
          <w:w w:val="100"/>
          <w:kern w:val="0"/>
          <w:position w:val="0"/>
          <w:sz w:val="30"/>
          <w:szCs w:val="30"/>
          <w:shd w:val="clear"/>
          <w:lang w:bidi="ar-SA"/>
        </w:rPr>
        <w:t xml:space="preserve"> </w:t>
      </w:r>
      <w:r>
        <w:rPr>
          <w:rFonts w:ascii="仿宋" w:hAnsi="仿宋" w:eastAsia="仿宋" w:cs="仿宋"/>
          <w:snapToGrid w:val="0"/>
          <w:spacing w:val="-1"/>
          <w:w w:val="100"/>
          <w:kern w:val="0"/>
          <w:position w:val="0"/>
          <w:sz w:val="30"/>
          <w:szCs w:val="30"/>
          <w:shd w:val="clear"/>
          <w:lang w:bidi="ar-SA"/>
        </w:rPr>
        <w:t>在项目建设过程中，我们将严格遵守国家法律法规，</w:t>
      </w:r>
      <w:r>
        <w:rPr>
          <w:rFonts w:ascii="仿宋" w:hAnsi="仿宋" w:eastAsia="仿宋" w:cs="仿宋"/>
          <w:snapToGrid w:val="0"/>
          <w:spacing w:val="0"/>
          <w:w w:val="100"/>
          <w:kern w:val="0"/>
          <w:position w:val="0"/>
          <w:sz w:val="30"/>
          <w:szCs w:val="30"/>
          <w:shd w:val="clear"/>
          <w:lang w:bidi="ar-SA"/>
        </w:rPr>
        <w:t xml:space="preserve"> </w:t>
      </w:r>
      <w:r>
        <w:rPr>
          <w:rFonts w:ascii="仿宋" w:hAnsi="仿宋" w:eastAsia="仿宋" w:cs="仿宋"/>
          <w:snapToGrid w:val="0"/>
          <w:spacing w:val="-3"/>
          <w:w w:val="100"/>
          <w:kern w:val="0"/>
          <w:position w:val="0"/>
          <w:sz w:val="30"/>
          <w:szCs w:val="30"/>
          <w:shd w:val="clear"/>
          <w:lang w:bidi="ar-SA"/>
        </w:rPr>
        <w:t>坚决杜绝任何形式的行贿行为。我们将秉持公正、公平、公开的原则，</w:t>
      </w:r>
      <w:r>
        <w:rPr>
          <w:rFonts w:ascii="仿宋" w:hAnsi="仿宋" w:eastAsia="仿宋" w:cs="仿宋"/>
          <w:snapToGrid w:val="0"/>
          <w:spacing w:val="0"/>
          <w:w w:val="100"/>
          <w:kern w:val="0"/>
          <w:position w:val="0"/>
          <w:sz w:val="30"/>
          <w:szCs w:val="30"/>
          <w:shd w:val="clear"/>
          <w:lang w:bidi="ar-SA"/>
        </w:rPr>
        <w:t xml:space="preserve"> </w:t>
      </w:r>
      <w:r>
        <w:rPr>
          <w:rFonts w:ascii="仿宋" w:hAnsi="仿宋" w:eastAsia="仿宋" w:cs="仿宋"/>
          <w:snapToGrid w:val="0"/>
          <w:spacing w:val="-2"/>
          <w:w w:val="100"/>
          <w:kern w:val="0"/>
          <w:position w:val="0"/>
          <w:sz w:val="30"/>
          <w:szCs w:val="30"/>
          <w:shd w:val="clear"/>
          <w:lang w:bidi="ar-SA"/>
        </w:rPr>
        <w:t>与各方合作伙伴保持良好的合作关系。</w:t>
      </w:r>
    </w:p>
    <w:p w14:paraId="18B4E95B">
      <w:pPr>
        <w:keepNext w:val="0"/>
        <w:keepLines w:val="0"/>
        <w:widowControl/>
        <w:shd w:val="clear"/>
        <w:kinsoku w:val="0"/>
        <w:autoSpaceDE w:val="0"/>
        <w:autoSpaceDN w:val="0"/>
        <w:bidi w:val="0"/>
        <w:adjustRightInd w:val="0"/>
        <w:snapToGrid w:val="0"/>
        <w:spacing w:before="52" w:after="0" w:line="304" w:lineRule="auto"/>
        <w:ind w:left="14" w:right="67" w:firstLine="1041"/>
        <w:textAlignment w:val="baseline"/>
        <w:rPr>
          <w:rFonts w:ascii="仿宋" w:hAnsi="仿宋" w:eastAsia="仿宋" w:cs="仿宋"/>
          <w:snapToGrid w:val="0"/>
          <w:spacing w:val="0"/>
          <w:w w:val="100"/>
          <w:kern w:val="0"/>
          <w:position w:val="0"/>
          <w:sz w:val="30"/>
          <w:szCs w:val="30"/>
          <w:shd w:val="clear"/>
          <w:lang w:bidi="ar-SA"/>
        </w:rPr>
      </w:pPr>
      <w:r>
        <w:rPr>
          <w:rFonts w:ascii="仿宋" w:hAnsi="仿宋" w:eastAsia="仿宋" w:cs="仿宋"/>
          <w:snapToGrid w:val="0"/>
          <w:spacing w:val="-4"/>
          <w:w w:val="100"/>
          <w:kern w:val="0"/>
          <w:position w:val="0"/>
          <w:sz w:val="30"/>
          <w:szCs w:val="30"/>
          <w:shd w:val="clear"/>
          <w:lang w:bidi="ar-SA"/>
        </w:rPr>
        <w:t>2.</w:t>
      </w:r>
      <w:r>
        <w:rPr>
          <w:rFonts w:ascii="仿宋" w:hAnsi="仿宋" w:eastAsia="仿宋" w:cs="仿宋"/>
          <w:snapToGrid w:val="0"/>
          <w:spacing w:val="-28"/>
          <w:w w:val="100"/>
          <w:kern w:val="0"/>
          <w:position w:val="0"/>
          <w:sz w:val="30"/>
          <w:szCs w:val="30"/>
          <w:shd w:val="clear"/>
          <w:lang w:bidi="ar-SA"/>
        </w:rPr>
        <w:t xml:space="preserve"> </w:t>
      </w:r>
      <w:r>
        <w:rPr>
          <w:rFonts w:ascii="仿宋" w:hAnsi="仿宋" w:eastAsia="仿宋" w:cs="仿宋"/>
          <w:b/>
          <w:bCs/>
          <w:snapToGrid w:val="0"/>
          <w:spacing w:val="-4"/>
          <w:w w:val="100"/>
          <w:kern w:val="0"/>
          <w:position w:val="0"/>
          <w:sz w:val="30"/>
          <w:szCs w:val="30"/>
          <w:shd w:val="clear"/>
          <w:lang w:bidi="ar-SA"/>
        </w:rPr>
        <w:t>不出现“双拖欠</w:t>
      </w:r>
      <w:r>
        <w:rPr>
          <w:rFonts w:ascii="仿宋" w:hAnsi="仿宋" w:eastAsia="仿宋" w:cs="仿宋"/>
          <w:snapToGrid w:val="0"/>
          <w:spacing w:val="-110"/>
          <w:w w:val="100"/>
          <w:kern w:val="0"/>
          <w:position w:val="0"/>
          <w:sz w:val="30"/>
          <w:szCs w:val="30"/>
          <w:shd w:val="clear"/>
          <w:lang w:bidi="ar-SA"/>
        </w:rPr>
        <w:t xml:space="preserve"> </w:t>
      </w:r>
      <w:r>
        <w:rPr>
          <w:rFonts w:ascii="仿宋" w:hAnsi="仿宋" w:eastAsia="仿宋" w:cs="仿宋"/>
          <w:b/>
          <w:bCs/>
          <w:snapToGrid w:val="0"/>
          <w:spacing w:val="-4"/>
          <w:w w:val="100"/>
          <w:kern w:val="0"/>
          <w:position w:val="0"/>
          <w:sz w:val="30"/>
          <w:szCs w:val="30"/>
          <w:shd w:val="clear"/>
          <w:lang w:bidi="ar-SA"/>
        </w:rPr>
        <w:t>”：</w:t>
      </w:r>
      <w:r>
        <w:rPr>
          <w:rFonts w:ascii="仿宋" w:hAnsi="仿宋" w:eastAsia="仿宋" w:cs="仿宋"/>
          <w:snapToGrid w:val="0"/>
          <w:spacing w:val="-4"/>
          <w:w w:val="100"/>
          <w:kern w:val="0"/>
          <w:position w:val="0"/>
          <w:sz w:val="30"/>
          <w:szCs w:val="30"/>
          <w:shd w:val="clear"/>
          <w:lang w:bidi="ar-SA"/>
        </w:rPr>
        <w:t>我公司将建立健全的财务管理制度，确</w:t>
      </w:r>
      <w:r>
        <w:rPr>
          <w:rFonts w:ascii="仿宋" w:hAnsi="仿宋" w:eastAsia="仿宋" w:cs="仿宋"/>
          <w:snapToGrid w:val="0"/>
          <w:spacing w:val="0"/>
          <w:w w:val="100"/>
          <w:kern w:val="0"/>
          <w:position w:val="0"/>
          <w:sz w:val="30"/>
          <w:szCs w:val="30"/>
          <w:shd w:val="clear"/>
          <w:lang w:bidi="ar-SA"/>
        </w:rPr>
        <w:t xml:space="preserve"> </w:t>
      </w:r>
      <w:r>
        <w:rPr>
          <w:rFonts w:ascii="仿宋" w:hAnsi="仿宋" w:eastAsia="仿宋" w:cs="仿宋"/>
          <w:snapToGrid w:val="0"/>
          <w:spacing w:val="-1"/>
          <w:w w:val="100"/>
          <w:kern w:val="0"/>
          <w:position w:val="0"/>
          <w:sz w:val="30"/>
          <w:szCs w:val="30"/>
          <w:shd w:val="clear"/>
          <w:lang w:bidi="ar-SA"/>
        </w:rPr>
        <w:t>保资金的合理使用和及时支付，保证按照合同约定，按时足额支付工</w:t>
      </w:r>
      <w:r>
        <w:rPr>
          <w:rFonts w:ascii="仿宋" w:hAnsi="仿宋" w:eastAsia="仿宋" w:cs="仿宋"/>
          <w:snapToGrid w:val="0"/>
          <w:spacing w:val="3"/>
          <w:w w:val="100"/>
          <w:kern w:val="0"/>
          <w:position w:val="0"/>
          <w:sz w:val="30"/>
          <w:szCs w:val="30"/>
          <w:shd w:val="clear"/>
          <w:lang w:bidi="ar-SA"/>
        </w:rPr>
        <w:t xml:space="preserve">  </w:t>
      </w:r>
      <w:r>
        <w:rPr>
          <w:rFonts w:ascii="仿宋" w:hAnsi="仿宋" w:eastAsia="仿宋" w:cs="仿宋"/>
          <w:snapToGrid w:val="0"/>
          <w:spacing w:val="-1"/>
          <w:w w:val="100"/>
          <w:kern w:val="0"/>
          <w:position w:val="0"/>
          <w:sz w:val="30"/>
          <w:szCs w:val="30"/>
          <w:shd w:val="clear"/>
          <w:lang w:bidi="ar-SA"/>
        </w:rPr>
        <w:t>人工资和供应商款项，绝不出现拖欠工资和工程款的现象。</w:t>
      </w:r>
    </w:p>
    <w:p w14:paraId="36222B43">
      <w:pPr>
        <w:keepNext w:val="0"/>
        <w:keepLines w:val="0"/>
        <w:widowControl/>
        <w:shd w:val="clear"/>
        <w:kinsoku w:val="0"/>
        <w:autoSpaceDE w:val="0"/>
        <w:autoSpaceDN w:val="0"/>
        <w:bidi w:val="0"/>
        <w:adjustRightInd w:val="0"/>
        <w:snapToGrid w:val="0"/>
        <w:spacing w:before="194" w:after="0" w:line="304" w:lineRule="auto"/>
        <w:ind w:left="12" w:right="281" w:firstLine="1045"/>
        <w:textAlignment w:val="baseline"/>
        <w:rPr>
          <w:rFonts w:ascii="仿宋" w:hAnsi="仿宋" w:eastAsia="仿宋" w:cs="仿宋"/>
          <w:snapToGrid w:val="0"/>
          <w:spacing w:val="0"/>
          <w:w w:val="100"/>
          <w:kern w:val="0"/>
          <w:position w:val="0"/>
          <w:sz w:val="30"/>
          <w:szCs w:val="30"/>
          <w:shd w:val="clear"/>
          <w:lang w:bidi="ar-SA"/>
        </w:rPr>
      </w:pPr>
      <w:r>
        <w:rPr>
          <w:rFonts w:ascii="仿宋" w:hAnsi="仿宋" w:eastAsia="仿宋" w:cs="仿宋"/>
          <w:snapToGrid w:val="0"/>
          <w:spacing w:val="-4"/>
          <w:w w:val="100"/>
          <w:kern w:val="0"/>
          <w:position w:val="0"/>
          <w:sz w:val="30"/>
          <w:szCs w:val="30"/>
          <w:shd w:val="clear"/>
          <w:lang w:bidi="ar-SA"/>
        </w:rPr>
        <w:t>3.</w:t>
      </w:r>
      <w:r>
        <w:rPr>
          <w:rFonts w:ascii="仿宋" w:hAnsi="仿宋" w:eastAsia="仿宋" w:cs="仿宋"/>
          <w:snapToGrid w:val="0"/>
          <w:spacing w:val="-32"/>
          <w:w w:val="100"/>
          <w:kern w:val="0"/>
          <w:position w:val="0"/>
          <w:sz w:val="30"/>
          <w:szCs w:val="30"/>
          <w:shd w:val="clear"/>
          <w:lang w:bidi="ar-SA"/>
        </w:rPr>
        <w:t xml:space="preserve"> </w:t>
      </w:r>
      <w:r>
        <w:rPr>
          <w:rFonts w:ascii="仿宋" w:hAnsi="仿宋" w:eastAsia="仿宋" w:cs="仿宋"/>
          <w:b/>
          <w:bCs/>
          <w:snapToGrid w:val="0"/>
          <w:spacing w:val="-4"/>
          <w:w w:val="100"/>
          <w:kern w:val="0"/>
          <w:position w:val="0"/>
          <w:sz w:val="30"/>
          <w:szCs w:val="30"/>
          <w:shd w:val="clear"/>
          <w:lang w:bidi="ar-SA"/>
        </w:rPr>
        <w:t>不违法转包、非法分包：</w:t>
      </w:r>
      <w:r>
        <w:rPr>
          <w:rFonts w:ascii="仿宋" w:hAnsi="仿宋" w:eastAsia="仿宋" w:cs="仿宋"/>
          <w:snapToGrid w:val="0"/>
          <w:spacing w:val="-33"/>
          <w:w w:val="100"/>
          <w:kern w:val="0"/>
          <w:position w:val="0"/>
          <w:sz w:val="30"/>
          <w:szCs w:val="30"/>
          <w:shd w:val="clear"/>
          <w:lang w:bidi="ar-SA"/>
        </w:rPr>
        <w:t xml:space="preserve"> </w:t>
      </w:r>
      <w:r>
        <w:rPr>
          <w:rFonts w:ascii="仿宋" w:hAnsi="仿宋" w:eastAsia="仿宋" w:cs="仿宋"/>
          <w:snapToGrid w:val="0"/>
          <w:spacing w:val="-4"/>
          <w:w w:val="100"/>
          <w:kern w:val="0"/>
          <w:position w:val="0"/>
          <w:sz w:val="30"/>
          <w:szCs w:val="30"/>
          <w:shd w:val="clear"/>
          <w:lang w:bidi="ar-SA"/>
        </w:rPr>
        <w:t>我们将严格遵守合同约定，保证</w:t>
      </w:r>
      <w:r>
        <w:rPr>
          <w:rFonts w:ascii="仿宋" w:hAnsi="仿宋" w:eastAsia="仿宋" w:cs="仿宋"/>
          <w:snapToGrid w:val="0"/>
          <w:spacing w:val="0"/>
          <w:w w:val="100"/>
          <w:kern w:val="0"/>
          <w:position w:val="0"/>
          <w:sz w:val="30"/>
          <w:szCs w:val="30"/>
          <w:shd w:val="clear"/>
          <w:lang w:bidi="ar-SA"/>
        </w:rPr>
        <w:t xml:space="preserve"> </w:t>
      </w:r>
      <w:r>
        <w:rPr>
          <w:rFonts w:ascii="仿宋" w:hAnsi="仿宋" w:eastAsia="仿宋" w:cs="仿宋"/>
          <w:snapToGrid w:val="0"/>
          <w:spacing w:val="-1"/>
          <w:w w:val="100"/>
          <w:kern w:val="0"/>
          <w:position w:val="0"/>
          <w:sz w:val="30"/>
          <w:szCs w:val="30"/>
          <w:shd w:val="clear"/>
          <w:lang w:bidi="ar-SA"/>
        </w:rPr>
        <w:t>按照投标文件约定的班组成员进驻施工现场，绝不违法转包、非法分</w:t>
      </w:r>
      <w:r>
        <w:rPr>
          <w:rFonts w:ascii="仿宋" w:hAnsi="仿宋" w:eastAsia="仿宋" w:cs="仿宋"/>
          <w:snapToGrid w:val="0"/>
          <w:spacing w:val="9"/>
          <w:w w:val="100"/>
          <w:kern w:val="0"/>
          <w:position w:val="0"/>
          <w:sz w:val="30"/>
          <w:szCs w:val="30"/>
          <w:shd w:val="clear"/>
          <w:lang w:bidi="ar-SA"/>
        </w:rPr>
        <w:t xml:space="preserve"> </w:t>
      </w:r>
      <w:r>
        <w:rPr>
          <w:rFonts w:ascii="仿宋" w:hAnsi="仿宋" w:eastAsia="仿宋" w:cs="仿宋"/>
          <w:snapToGrid w:val="0"/>
          <w:spacing w:val="-2"/>
          <w:w w:val="100"/>
          <w:kern w:val="0"/>
          <w:position w:val="0"/>
          <w:sz w:val="30"/>
          <w:szCs w:val="30"/>
          <w:shd w:val="clear"/>
          <w:lang w:bidi="ar-SA"/>
        </w:rPr>
        <w:t>包，确保工程质量和进度。</w:t>
      </w:r>
    </w:p>
    <w:p w14:paraId="6868BA10">
      <w:pPr>
        <w:keepNext w:val="0"/>
        <w:keepLines w:val="0"/>
        <w:widowControl/>
        <w:shd w:val="clear"/>
        <w:kinsoku w:val="0"/>
        <w:autoSpaceDE w:val="0"/>
        <w:autoSpaceDN w:val="0"/>
        <w:bidi w:val="0"/>
        <w:adjustRightInd w:val="0"/>
        <w:snapToGrid w:val="0"/>
        <w:spacing w:before="202" w:after="0" w:line="314" w:lineRule="auto"/>
        <w:ind w:left="15" w:right="67" w:firstLine="1035"/>
        <w:textAlignment w:val="baseline"/>
        <w:rPr>
          <w:rFonts w:ascii="仿宋" w:hAnsi="仿宋" w:eastAsia="仿宋" w:cs="仿宋"/>
          <w:snapToGrid w:val="0"/>
          <w:spacing w:val="0"/>
          <w:w w:val="100"/>
          <w:kern w:val="0"/>
          <w:position w:val="0"/>
          <w:sz w:val="30"/>
          <w:szCs w:val="30"/>
          <w:shd w:val="clear"/>
          <w:lang w:bidi="ar-SA"/>
        </w:rPr>
      </w:pPr>
      <w:r>
        <w:rPr>
          <w:rFonts w:ascii="仿宋" w:hAnsi="仿宋" w:eastAsia="仿宋" w:cs="仿宋"/>
          <w:snapToGrid w:val="0"/>
          <w:spacing w:val="-3"/>
          <w:w w:val="100"/>
          <w:kern w:val="0"/>
          <w:position w:val="0"/>
          <w:sz w:val="30"/>
          <w:szCs w:val="30"/>
          <w:shd w:val="clear"/>
          <w:lang w:bidi="ar-SA"/>
        </w:rPr>
        <w:t xml:space="preserve">4. </w:t>
      </w:r>
      <w:r>
        <w:rPr>
          <w:rFonts w:ascii="仿宋" w:hAnsi="仿宋" w:eastAsia="仿宋" w:cs="仿宋"/>
          <w:b/>
          <w:bCs/>
          <w:snapToGrid w:val="0"/>
          <w:spacing w:val="-3"/>
          <w:w w:val="100"/>
          <w:kern w:val="0"/>
          <w:position w:val="0"/>
          <w:sz w:val="30"/>
          <w:szCs w:val="30"/>
          <w:shd w:val="clear"/>
          <w:lang w:bidi="ar-SA"/>
        </w:rPr>
        <w:t>良好工程建设信誉：</w:t>
      </w:r>
      <w:r>
        <w:rPr>
          <w:rFonts w:ascii="仿宋" w:hAnsi="仿宋" w:eastAsia="仿宋" w:cs="仿宋"/>
          <w:snapToGrid w:val="0"/>
          <w:spacing w:val="-3"/>
          <w:w w:val="100"/>
          <w:kern w:val="0"/>
          <w:position w:val="0"/>
          <w:sz w:val="30"/>
          <w:szCs w:val="30"/>
          <w:shd w:val="clear"/>
          <w:lang w:bidi="ar-SA"/>
        </w:rPr>
        <w:t>我们郑重承诺，在</w:t>
      </w:r>
      <w:r>
        <w:rPr>
          <w:rFonts w:ascii="仿宋" w:hAnsi="仿宋" w:eastAsia="仿宋" w:cs="仿宋"/>
          <w:snapToGrid w:val="0"/>
          <w:spacing w:val="-4"/>
          <w:w w:val="100"/>
          <w:kern w:val="0"/>
          <w:position w:val="0"/>
          <w:sz w:val="30"/>
          <w:szCs w:val="30"/>
          <w:shd w:val="clear"/>
          <w:lang w:bidi="ar-SA"/>
        </w:rPr>
        <w:t>本地区具有良好的工</w:t>
      </w:r>
      <w:r>
        <w:rPr>
          <w:rFonts w:ascii="仿宋" w:hAnsi="仿宋" w:eastAsia="仿宋" w:cs="仿宋"/>
          <w:snapToGrid w:val="0"/>
          <w:spacing w:val="0"/>
          <w:w w:val="100"/>
          <w:kern w:val="0"/>
          <w:position w:val="0"/>
          <w:sz w:val="30"/>
          <w:szCs w:val="30"/>
          <w:shd w:val="clear"/>
          <w:lang w:bidi="ar-SA"/>
        </w:rPr>
        <w:t xml:space="preserve"> </w:t>
      </w:r>
      <w:r>
        <w:rPr>
          <w:rFonts w:ascii="仿宋" w:hAnsi="仿宋" w:eastAsia="仿宋" w:cs="仿宋"/>
          <w:snapToGrid w:val="0"/>
          <w:spacing w:val="-1"/>
          <w:w w:val="100"/>
          <w:kern w:val="0"/>
          <w:position w:val="0"/>
          <w:sz w:val="30"/>
          <w:szCs w:val="30"/>
          <w:shd w:val="clear"/>
          <w:lang w:bidi="ar-SA"/>
        </w:rPr>
        <w:t>程建设信誉，承诺安全文明施工并提供高质量的工程建设。致力于建</w:t>
      </w:r>
      <w:r>
        <w:rPr>
          <w:rFonts w:ascii="仿宋" w:hAnsi="仿宋" w:eastAsia="仿宋" w:cs="仿宋"/>
          <w:snapToGrid w:val="0"/>
          <w:spacing w:val="3"/>
          <w:w w:val="100"/>
          <w:kern w:val="0"/>
          <w:position w:val="0"/>
          <w:sz w:val="30"/>
          <w:szCs w:val="30"/>
          <w:shd w:val="clear"/>
          <w:lang w:bidi="ar-SA"/>
        </w:rPr>
        <w:t xml:space="preserve">  </w:t>
      </w:r>
      <w:r>
        <w:rPr>
          <w:rFonts w:ascii="仿宋" w:hAnsi="仿宋" w:eastAsia="仿宋" w:cs="仿宋"/>
          <w:snapToGrid w:val="0"/>
          <w:spacing w:val="-1"/>
          <w:w w:val="100"/>
          <w:kern w:val="0"/>
          <w:position w:val="0"/>
          <w:sz w:val="30"/>
          <w:szCs w:val="30"/>
          <w:shd w:val="clear"/>
          <w:lang w:bidi="ar-SA"/>
        </w:rPr>
        <w:t>立良好的工程建设信誉，信守承诺，为地区经济建设和社会事业发展</w:t>
      </w:r>
      <w:r>
        <w:rPr>
          <w:rFonts w:ascii="仿宋" w:hAnsi="仿宋" w:eastAsia="仿宋" w:cs="仿宋"/>
          <w:snapToGrid w:val="0"/>
          <w:spacing w:val="3"/>
          <w:w w:val="100"/>
          <w:kern w:val="0"/>
          <w:position w:val="0"/>
          <w:sz w:val="30"/>
          <w:szCs w:val="30"/>
          <w:shd w:val="clear"/>
          <w:lang w:bidi="ar-SA"/>
        </w:rPr>
        <w:t xml:space="preserve">  </w:t>
      </w:r>
      <w:r>
        <w:rPr>
          <w:rFonts w:ascii="仿宋" w:hAnsi="仿宋" w:eastAsia="仿宋" w:cs="仿宋"/>
          <w:snapToGrid w:val="0"/>
          <w:spacing w:val="-5"/>
          <w:w w:val="100"/>
          <w:kern w:val="0"/>
          <w:position w:val="0"/>
          <w:sz w:val="30"/>
          <w:szCs w:val="30"/>
          <w:shd w:val="clear"/>
          <w:lang w:bidi="ar-SA"/>
        </w:rPr>
        <w:t>贡献力量。</w:t>
      </w:r>
    </w:p>
    <w:p w14:paraId="6C5CC9D7">
      <w:pPr>
        <w:keepNext w:val="0"/>
        <w:keepLines w:val="0"/>
        <w:widowControl/>
        <w:shd w:val="clear"/>
        <w:kinsoku w:val="0"/>
        <w:autoSpaceDE w:val="0"/>
        <w:autoSpaceDN w:val="0"/>
        <w:bidi w:val="0"/>
        <w:adjustRightInd w:val="0"/>
        <w:snapToGrid w:val="0"/>
        <w:spacing w:before="199" w:after="0" w:line="329" w:lineRule="auto"/>
        <w:ind w:left="15" w:right="161" w:firstLine="1048"/>
        <w:textAlignment w:val="baseline"/>
        <w:rPr>
          <w:rFonts w:ascii="仿宋" w:hAnsi="仿宋" w:eastAsia="仿宋" w:cs="仿宋"/>
          <w:snapToGrid w:val="0"/>
          <w:spacing w:val="0"/>
          <w:w w:val="100"/>
          <w:kern w:val="0"/>
          <w:position w:val="0"/>
          <w:sz w:val="30"/>
          <w:szCs w:val="30"/>
          <w:shd w:val="clear"/>
          <w:lang w:bidi="ar-SA"/>
        </w:rPr>
      </w:pPr>
      <w:r>
        <w:rPr>
          <w:rFonts w:ascii="仿宋" w:hAnsi="仿宋" w:eastAsia="仿宋" w:cs="仿宋"/>
          <w:snapToGrid w:val="0"/>
          <w:spacing w:val="-1"/>
          <w:w w:val="100"/>
          <w:kern w:val="0"/>
          <w:position w:val="0"/>
          <w:sz w:val="30"/>
          <w:szCs w:val="30"/>
          <w:shd w:val="clear"/>
          <w:lang w:bidi="ar-SA"/>
        </w:rPr>
        <w:t>如有违反上述承诺，我们愿意承担相应的法律责任和经济赔偿</w:t>
      </w:r>
      <w:r>
        <w:rPr>
          <w:rFonts w:ascii="仿宋" w:hAnsi="仿宋" w:eastAsia="仿宋" w:cs="仿宋"/>
          <w:snapToGrid w:val="0"/>
          <w:spacing w:val="3"/>
          <w:w w:val="100"/>
          <w:kern w:val="0"/>
          <w:position w:val="0"/>
          <w:sz w:val="30"/>
          <w:szCs w:val="30"/>
          <w:shd w:val="clear"/>
          <w:lang w:bidi="ar-SA"/>
        </w:rPr>
        <w:t xml:space="preserve"> </w:t>
      </w:r>
      <w:r>
        <w:rPr>
          <w:rFonts w:ascii="仿宋" w:hAnsi="仿宋" w:eastAsia="仿宋" w:cs="仿宋"/>
          <w:snapToGrid w:val="0"/>
          <w:spacing w:val="-1"/>
          <w:w w:val="100"/>
          <w:kern w:val="0"/>
          <w:position w:val="0"/>
          <w:sz w:val="30"/>
          <w:szCs w:val="30"/>
          <w:shd w:val="clear"/>
          <w:lang w:bidi="ar-SA"/>
        </w:rPr>
        <w:t>责任，同时，积极配合有关部门的调查和处理，接受社会监督。</w:t>
      </w:r>
    </w:p>
    <w:p w14:paraId="6FE5F3A6">
      <w:pPr>
        <w:keepNext w:val="0"/>
        <w:keepLines w:val="0"/>
        <w:widowControl/>
        <w:shd w:val="clear" w:color="auto" w:fill="auto"/>
        <w:kinsoku w:val="0"/>
        <w:autoSpaceDE w:val="0"/>
        <w:autoSpaceDN w:val="0"/>
        <w:bidi w:val="0"/>
        <w:adjustRightInd w:val="0"/>
        <w:snapToGrid w:val="0"/>
        <w:spacing w:before="199" w:after="0" w:line="329" w:lineRule="auto"/>
        <w:ind w:left="15" w:right="161" w:firstLine="1048"/>
        <w:textAlignment w:val="baseline"/>
        <w:rPr>
          <w:rFonts w:ascii="仿宋" w:hAnsi="仿宋" w:eastAsia="仿宋" w:cs="仿宋"/>
          <w:snapToGrid w:val="0"/>
          <w:spacing w:val="0"/>
          <w:w w:val="100"/>
          <w:kern w:val="0"/>
          <w:position w:val="0"/>
          <w:sz w:val="30"/>
          <w:szCs w:val="30"/>
          <w:shd w:val="clear"/>
          <w:lang w:bidi="ar-SA"/>
        </w:rPr>
      </w:pPr>
      <w:r>
        <w:rPr>
          <w:rFonts w:ascii="仿宋" w:hAnsi="仿宋" w:eastAsia="仿宋" w:cs="仿宋"/>
          <w:snapToGrid w:val="0"/>
          <w:spacing w:val="-1"/>
          <w:w w:val="100"/>
          <w:kern w:val="0"/>
          <w:position w:val="0"/>
          <w:sz w:val="30"/>
          <w:szCs w:val="30"/>
          <w:shd w:val="clear"/>
          <w:lang w:bidi="ar-SA"/>
        </w:rPr>
        <w:t>承诺单位：</w:t>
      </w:r>
      <w:r>
        <w:rPr>
          <w:rFonts w:hint="eastAsia" w:ascii="仿宋" w:hAnsi="仿宋" w:eastAsia="仿宋" w:cs="仿宋"/>
          <w:snapToGrid w:val="0"/>
          <w:spacing w:val="-1"/>
          <w:w w:val="100"/>
          <w:kern w:val="0"/>
          <w:position w:val="0"/>
          <w:sz w:val="30"/>
          <w:szCs w:val="30"/>
          <w:shd w:val="clear"/>
          <w:lang w:val="en-US" w:eastAsia="zh-CN" w:bidi="ar-SA"/>
        </w:rPr>
        <w:t xml:space="preserve">     </w:t>
      </w:r>
      <w:r>
        <w:rPr>
          <w:rFonts w:ascii="仿宋" w:hAnsi="仿宋" w:eastAsia="仿宋" w:cs="仿宋"/>
          <w:snapToGrid w:val="0"/>
          <w:spacing w:val="-5"/>
          <w:w w:val="100"/>
          <w:kern w:val="0"/>
          <w:position w:val="0"/>
          <w:sz w:val="30"/>
          <w:szCs w:val="30"/>
          <w:shd w:val="clear"/>
          <w:lang w:bidi="ar-SA"/>
        </w:rPr>
        <w:t>法定代表人：</w:t>
      </w:r>
    </w:p>
    <w:p w14:paraId="01FD619F">
      <w:pPr>
        <w:keepNext w:val="0"/>
        <w:keepLines w:val="0"/>
        <w:widowControl/>
        <w:shd w:val="clear"/>
        <w:kinsoku w:val="0"/>
        <w:autoSpaceDE w:val="0"/>
        <w:autoSpaceDN w:val="0"/>
        <w:bidi w:val="0"/>
        <w:adjustRightInd w:val="0"/>
        <w:snapToGrid w:val="0"/>
        <w:spacing w:before="44" w:after="0" w:line="223" w:lineRule="auto"/>
        <w:ind w:left="676" w:right="0" w:firstLine="488" w:firstLineChars="200"/>
        <w:textAlignment w:val="baseline"/>
        <w:rPr>
          <w:rFonts w:hint="eastAsia" w:ascii="宋体" w:hAnsi="宋体" w:cs="宋体"/>
          <w:color w:val="auto"/>
        </w:rPr>
      </w:pPr>
      <w:r>
        <w:rPr>
          <w:rFonts w:ascii="仿宋" w:hAnsi="仿宋" w:eastAsia="仿宋" w:cs="仿宋"/>
          <w:snapToGrid w:val="0"/>
          <w:spacing w:val="-28"/>
          <w:w w:val="100"/>
          <w:kern w:val="0"/>
          <w:position w:val="0"/>
          <w:sz w:val="30"/>
          <w:szCs w:val="30"/>
          <w:shd w:val="clear"/>
          <w:lang w:bidi="ar-SA"/>
        </w:rPr>
        <w:t>日期：</w:t>
      </w:r>
    </w:p>
    <w:p w14:paraId="3215BD37">
      <w:pPr>
        <w:rPr>
          <w:rFonts w:hint="eastAsia" w:ascii="宋体" w:hAnsi="宋体" w:cs="宋体"/>
        </w:rPr>
      </w:pPr>
    </w:p>
    <w:p w14:paraId="7DA88102">
      <w:pPr>
        <w:pStyle w:val="4"/>
        <w:rPr>
          <w:rFonts w:hint="eastAsia" w:ascii="宋体" w:hAnsi="宋体" w:cs="宋体"/>
          <w:color w:val="auto"/>
        </w:rPr>
      </w:pPr>
    </w:p>
    <w:p w14:paraId="25C5EC6F">
      <w:pPr>
        <w:rPr>
          <w:rFonts w:hint="eastAsia" w:ascii="宋体" w:hAnsi="宋体" w:cs="宋体"/>
        </w:rPr>
      </w:pPr>
    </w:p>
    <w:p w14:paraId="00FEF888">
      <w:pPr>
        <w:pStyle w:val="24"/>
        <w:rPr>
          <w:rFonts w:hint="eastAsia" w:ascii="宋体" w:hAnsi="宋体" w:cs="宋体"/>
        </w:rPr>
      </w:pPr>
    </w:p>
    <w:p w14:paraId="371F71F2">
      <w:pPr>
        <w:pStyle w:val="24"/>
        <w:rPr>
          <w:rFonts w:hint="eastAsia" w:ascii="宋体" w:hAnsi="宋体" w:cs="宋体"/>
        </w:rPr>
      </w:pPr>
    </w:p>
    <w:p w14:paraId="1FA117BB">
      <w:pPr>
        <w:pStyle w:val="24"/>
        <w:rPr>
          <w:rFonts w:hint="eastAsia" w:ascii="宋体" w:hAnsi="宋体" w:cs="宋体"/>
        </w:rPr>
      </w:pPr>
    </w:p>
    <w:p w14:paraId="78C4B811">
      <w:pPr>
        <w:pStyle w:val="24"/>
        <w:rPr>
          <w:rFonts w:hint="eastAsia" w:ascii="宋体" w:hAnsi="宋体" w:cs="宋体"/>
        </w:rPr>
      </w:pPr>
    </w:p>
    <w:p w14:paraId="3D08CA8E">
      <w:pPr>
        <w:pStyle w:val="24"/>
        <w:rPr>
          <w:rFonts w:hint="eastAsia" w:ascii="宋体" w:hAnsi="宋体" w:cs="宋体"/>
        </w:rPr>
      </w:pPr>
    </w:p>
    <w:p w14:paraId="01DE9C5D">
      <w:pPr>
        <w:pStyle w:val="24"/>
        <w:rPr>
          <w:rFonts w:hint="eastAsia" w:ascii="宋体" w:hAnsi="宋体" w:cs="宋体"/>
        </w:rPr>
      </w:pPr>
    </w:p>
    <w:p w14:paraId="37470A0E">
      <w:pPr>
        <w:pStyle w:val="24"/>
        <w:rPr>
          <w:rFonts w:hint="eastAsia" w:ascii="宋体" w:hAnsi="宋体" w:cs="宋体"/>
        </w:rPr>
      </w:pPr>
    </w:p>
    <w:p w14:paraId="6E23C795">
      <w:pPr>
        <w:pStyle w:val="24"/>
        <w:rPr>
          <w:rFonts w:hint="eastAsia" w:ascii="宋体" w:hAnsi="宋体" w:cs="宋体"/>
        </w:rPr>
      </w:pPr>
    </w:p>
    <w:p w14:paraId="315E75C0">
      <w:pPr>
        <w:pStyle w:val="24"/>
        <w:rPr>
          <w:rFonts w:hint="eastAsia" w:ascii="宋体" w:hAnsi="宋体" w:cs="宋体"/>
        </w:rPr>
      </w:pPr>
    </w:p>
    <w:p w14:paraId="28CA4B11">
      <w:pPr>
        <w:jc w:val="center"/>
        <w:rPr>
          <w:rFonts w:hint="eastAsia" w:ascii="仿宋" w:hAnsi="仿宋" w:eastAsia="仿宋" w:cs="仿宋"/>
          <w:b/>
          <w:bCs/>
          <w:color w:val="FF0000"/>
          <w:lang w:val="en-US" w:eastAsia="zh-CN"/>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D9DD">
    <w:pPr>
      <w:pStyle w:val="11"/>
      <w:ind w:right="360"/>
      <w:jc w:val="both"/>
      <w:rPr>
        <w:rFonts w:hint="eastAsia"/>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5BF9C">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0A25BF9C">
                    <w:pPr>
                      <w:pStyle w:val="11"/>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301E">
    <w:pPr>
      <w:pStyle w:val="11"/>
      <w:ind w:right="360"/>
      <w:jc w:val="both"/>
      <w:rPr>
        <w:rFonts w:hint="eastAsia"/>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5FAE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6C5FAEE">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EC348F">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14:paraId="02EC348F">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E179">
    <w:pPr>
      <w:pStyle w:val="11"/>
      <w:ind w:right="360"/>
      <w:jc w:val="both"/>
      <w:rPr>
        <w:rFonts w:hint="eastAsia"/>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C3A4D5">
                          <w:pPr>
                            <w:pStyle w:val="11"/>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14:paraId="2AC3A4D5">
                    <w:pPr>
                      <w:pStyle w:val="11"/>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5F01C0B4">
    <w:pPr>
      <w:pStyle w:val="11"/>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7C25C6D5">
    <w:pPr>
      <w:pStyle w:val="11"/>
      <w:ind w:right="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9EFC5">
    <w:pPr>
      <w:spacing w:line="169" w:lineRule="auto"/>
      <w:ind w:left="4787"/>
      <w:rPr>
        <w:rFonts w:ascii="Calibri" w:hAnsi="Calibri" w:eastAsia="Calibri" w:cs="Calibri"/>
        <w:sz w:val="18"/>
        <w:szCs w:val="18"/>
      </w:rPr>
    </w:pPr>
    <w:r>
      <w:rPr>
        <w:rFonts w:ascii="Calibri" w:hAnsi="Calibri" w:eastAsia="Calibri" w:cs="Calibri"/>
        <w:spacing w:val="-3"/>
        <w:sz w:val="18"/>
        <w:szCs w:val="18"/>
      </w:rPr>
      <w:t>42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24ECC">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328B6">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94328B6">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AEAE">
    <w:pPr>
      <w:pStyle w:val="12"/>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2E15A">
    <w:pPr>
      <w:pStyle w:val="12"/>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CE75F">
    <w:pPr>
      <w:pStyle w:val="12"/>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E9E64"/>
    <w:multiLevelType w:val="singleLevel"/>
    <w:tmpl w:val="9F0E9E64"/>
    <w:lvl w:ilvl="0" w:tentative="0">
      <w:start w:val="5"/>
      <w:numFmt w:val="chineseCounting"/>
      <w:suff w:val="nothing"/>
      <w:lvlText w:val="%1、"/>
      <w:lvlJc w:val="left"/>
      <w:rPr>
        <w:rFonts w:hint="eastAsia"/>
      </w:rPr>
    </w:lvl>
  </w:abstractNum>
  <w:abstractNum w:abstractNumId="1">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C4A18D6D"/>
    <w:multiLevelType w:val="singleLevel"/>
    <w:tmpl w:val="C4A18D6D"/>
    <w:lvl w:ilvl="0" w:tentative="0">
      <w:start w:val="2"/>
      <w:numFmt w:val="decimal"/>
      <w:suff w:val="nothing"/>
      <w:lvlText w:val="%1、"/>
      <w:lvlJc w:val="left"/>
    </w:lvl>
  </w:abstractNum>
  <w:abstractNum w:abstractNumId="3">
    <w:nsid w:val="C4B9C5ED"/>
    <w:multiLevelType w:val="singleLevel"/>
    <w:tmpl w:val="C4B9C5ED"/>
    <w:lvl w:ilvl="0" w:tentative="0">
      <w:start w:val="4"/>
      <w:numFmt w:val="chineseCounting"/>
      <w:suff w:val="space"/>
      <w:lvlText w:val="第%1部分"/>
      <w:lvlJc w:val="left"/>
      <w:rPr>
        <w:rFonts w:hint="eastAsia"/>
      </w:rPr>
    </w:lvl>
  </w:abstractNum>
  <w:abstractNum w:abstractNumId="4">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000000D"/>
    <w:multiLevelType w:val="multilevel"/>
    <w:tmpl w:val="0000000D"/>
    <w:lvl w:ilvl="0" w:tentative="0">
      <w:start w:val="1"/>
      <w:numFmt w:val="decimal"/>
      <w:pStyle w:val="7"/>
      <w:lvlText w:val="%1."/>
      <w:lvlJc w:val="left"/>
      <w:pPr>
        <w:tabs>
          <w:tab w:val="left" w:pos="780"/>
        </w:tabs>
        <w:ind w:left="103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27"/>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6">
    <w:nsid w:val="03EF8FC6"/>
    <w:multiLevelType w:val="singleLevel"/>
    <w:tmpl w:val="03EF8FC6"/>
    <w:lvl w:ilvl="0" w:tentative="0">
      <w:start w:val="1"/>
      <w:numFmt w:val="chineseCounting"/>
      <w:suff w:val="nothing"/>
      <w:lvlText w:val="%1、"/>
      <w:lvlJc w:val="left"/>
      <w:rPr>
        <w:rFonts w:hint="eastAsia"/>
      </w:rPr>
    </w:lvl>
  </w:abstractNum>
  <w:abstractNum w:abstractNumId="7">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24E409BB"/>
    <w:multiLevelType w:val="multilevel"/>
    <w:tmpl w:val="24E409BB"/>
    <w:lvl w:ilvl="0" w:tentative="0">
      <w:start w:val="1"/>
      <w:numFmt w:val="decimal"/>
      <w:pStyle w:val="4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F5B1F49"/>
    <w:multiLevelType w:val="singleLevel"/>
    <w:tmpl w:val="4F5B1F49"/>
    <w:lvl w:ilvl="0" w:tentative="0">
      <w:start w:val="3"/>
      <w:numFmt w:val="chineseCounting"/>
      <w:suff w:val="space"/>
      <w:lvlText w:val="第%1章"/>
      <w:lvlJc w:val="left"/>
      <w:rPr>
        <w:rFonts w:hint="eastAsia"/>
      </w:rPr>
    </w:lvl>
  </w:abstractNum>
  <w:abstractNum w:abstractNumId="10">
    <w:nsid w:val="55CD4C99"/>
    <w:multiLevelType w:val="singleLevel"/>
    <w:tmpl w:val="55CD4C99"/>
    <w:lvl w:ilvl="0" w:tentative="0">
      <w:start w:val="1"/>
      <w:numFmt w:val="chineseCounting"/>
      <w:suff w:val="nothing"/>
      <w:lvlText w:val="%1、"/>
      <w:lvlJc w:val="left"/>
    </w:lvl>
  </w:abstractNum>
  <w:abstractNum w:abstractNumId="1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8"/>
  </w:num>
  <w:num w:numId="3">
    <w:abstractNumId w:val="6"/>
  </w:num>
  <w:num w:numId="4">
    <w:abstractNumId w:val="0"/>
  </w:num>
  <w:num w:numId="5">
    <w:abstractNumId w:val="10"/>
  </w:num>
  <w:num w:numId="6">
    <w:abstractNumId w:val="7"/>
  </w:num>
  <w:num w:numId="7">
    <w:abstractNumId w:val="11"/>
  </w:num>
  <w:num w:numId="8">
    <w:abstractNumId w:val="3"/>
  </w:num>
  <w:num w:numId="9">
    <w:abstractNumId w:val="9"/>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ZmI3YTM0NjgzNmIxZmQ1ODg5OGZjOTllYWY2N2UifQ=="/>
  </w:docVars>
  <w:rsids>
    <w:rsidRoot w:val="430832B2"/>
    <w:rsid w:val="00036274"/>
    <w:rsid w:val="00292BAB"/>
    <w:rsid w:val="002B06D1"/>
    <w:rsid w:val="00441793"/>
    <w:rsid w:val="00661625"/>
    <w:rsid w:val="006C0C8C"/>
    <w:rsid w:val="007451B5"/>
    <w:rsid w:val="00AB35C0"/>
    <w:rsid w:val="00BA3803"/>
    <w:rsid w:val="00C85FF2"/>
    <w:rsid w:val="00F275F0"/>
    <w:rsid w:val="010351AA"/>
    <w:rsid w:val="01064C9A"/>
    <w:rsid w:val="0123584C"/>
    <w:rsid w:val="012D32ED"/>
    <w:rsid w:val="014D4D61"/>
    <w:rsid w:val="014F03EF"/>
    <w:rsid w:val="01B34E22"/>
    <w:rsid w:val="01B666C0"/>
    <w:rsid w:val="01DB6127"/>
    <w:rsid w:val="01E21263"/>
    <w:rsid w:val="01E44B68"/>
    <w:rsid w:val="01E52AC5"/>
    <w:rsid w:val="01F66ABD"/>
    <w:rsid w:val="02054F52"/>
    <w:rsid w:val="021E42F5"/>
    <w:rsid w:val="021F6ED0"/>
    <w:rsid w:val="023C3AF8"/>
    <w:rsid w:val="02403E71"/>
    <w:rsid w:val="025D6B3C"/>
    <w:rsid w:val="0273010D"/>
    <w:rsid w:val="02832A46"/>
    <w:rsid w:val="02B5111B"/>
    <w:rsid w:val="03031491"/>
    <w:rsid w:val="03120DC1"/>
    <w:rsid w:val="03140F5D"/>
    <w:rsid w:val="033C49A3"/>
    <w:rsid w:val="03465822"/>
    <w:rsid w:val="0361107C"/>
    <w:rsid w:val="03732843"/>
    <w:rsid w:val="03882EF1"/>
    <w:rsid w:val="03AA5DB1"/>
    <w:rsid w:val="03C54999"/>
    <w:rsid w:val="03CA6F85"/>
    <w:rsid w:val="03EA7B2B"/>
    <w:rsid w:val="042A106A"/>
    <w:rsid w:val="042E02EE"/>
    <w:rsid w:val="04421CBC"/>
    <w:rsid w:val="0461636B"/>
    <w:rsid w:val="04702B56"/>
    <w:rsid w:val="0475494B"/>
    <w:rsid w:val="048929AB"/>
    <w:rsid w:val="04B211D7"/>
    <w:rsid w:val="04BE6A04"/>
    <w:rsid w:val="04C14672"/>
    <w:rsid w:val="04C17CF8"/>
    <w:rsid w:val="04C82992"/>
    <w:rsid w:val="04CB0183"/>
    <w:rsid w:val="04DC4690"/>
    <w:rsid w:val="04F03C97"/>
    <w:rsid w:val="04F637CA"/>
    <w:rsid w:val="050D65F7"/>
    <w:rsid w:val="05232EBD"/>
    <w:rsid w:val="055A53F6"/>
    <w:rsid w:val="056621AB"/>
    <w:rsid w:val="05681A7F"/>
    <w:rsid w:val="056B1570"/>
    <w:rsid w:val="05734ABD"/>
    <w:rsid w:val="057B7A05"/>
    <w:rsid w:val="058645FB"/>
    <w:rsid w:val="05962A91"/>
    <w:rsid w:val="05CD222A"/>
    <w:rsid w:val="05CE725F"/>
    <w:rsid w:val="05EC1991"/>
    <w:rsid w:val="05FC3F93"/>
    <w:rsid w:val="06141E47"/>
    <w:rsid w:val="063B7194"/>
    <w:rsid w:val="069D7E4F"/>
    <w:rsid w:val="06C92CC5"/>
    <w:rsid w:val="06CB0127"/>
    <w:rsid w:val="06CF00B8"/>
    <w:rsid w:val="06CF1CA7"/>
    <w:rsid w:val="06DD1E44"/>
    <w:rsid w:val="06E60907"/>
    <w:rsid w:val="06F537E7"/>
    <w:rsid w:val="0708176C"/>
    <w:rsid w:val="07097292"/>
    <w:rsid w:val="071F777F"/>
    <w:rsid w:val="072D77EE"/>
    <w:rsid w:val="073A569E"/>
    <w:rsid w:val="07487DBA"/>
    <w:rsid w:val="0768220B"/>
    <w:rsid w:val="076A12ED"/>
    <w:rsid w:val="077361C1"/>
    <w:rsid w:val="077D6CBD"/>
    <w:rsid w:val="07B539CB"/>
    <w:rsid w:val="07B94814"/>
    <w:rsid w:val="07D4164E"/>
    <w:rsid w:val="07ED6EB8"/>
    <w:rsid w:val="08323FEC"/>
    <w:rsid w:val="08500C7D"/>
    <w:rsid w:val="085602B5"/>
    <w:rsid w:val="085D5AE7"/>
    <w:rsid w:val="086230FE"/>
    <w:rsid w:val="086B1627"/>
    <w:rsid w:val="08744BDF"/>
    <w:rsid w:val="08B446D3"/>
    <w:rsid w:val="08C01BD2"/>
    <w:rsid w:val="0902043D"/>
    <w:rsid w:val="09045F63"/>
    <w:rsid w:val="0912700D"/>
    <w:rsid w:val="091D420B"/>
    <w:rsid w:val="09231976"/>
    <w:rsid w:val="092B5EB4"/>
    <w:rsid w:val="093F2ABC"/>
    <w:rsid w:val="094E71DE"/>
    <w:rsid w:val="096A216E"/>
    <w:rsid w:val="09954C14"/>
    <w:rsid w:val="0A0F4BBF"/>
    <w:rsid w:val="0A161583"/>
    <w:rsid w:val="0A6D5774"/>
    <w:rsid w:val="0A757F73"/>
    <w:rsid w:val="0A78055D"/>
    <w:rsid w:val="0A8F3F52"/>
    <w:rsid w:val="0A982D0F"/>
    <w:rsid w:val="0AA338CD"/>
    <w:rsid w:val="0AEC1713"/>
    <w:rsid w:val="0AF3628F"/>
    <w:rsid w:val="0B213EE8"/>
    <w:rsid w:val="0B2662C4"/>
    <w:rsid w:val="0B2F3756"/>
    <w:rsid w:val="0B30303F"/>
    <w:rsid w:val="0B5502C1"/>
    <w:rsid w:val="0B7C6285"/>
    <w:rsid w:val="0B9E39F1"/>
    <w:rsid w:val="0BB377CC"/>
    <w:rsid w:val="0BC419DA"/>
    <w:rsid w:val="0BDC4F75"/>
    <w:rsid w:val="0BF16C73"/>
    <w:rsid w:val="0BF26C44"/>
    <w:rsid w:val="0C1D1D2F"/>
    <w:rsid w:val="0C41127C"/>
    <w:rsid w:val="0C550884"/>
    <w:rsid w:val="0C711B61"/>
    <w:rsid w:val="0C7B653C"/>
    <w:rsid w:val="0C8C4081"/>
    <w:rsid w:val="0C945170"/>
    <w:rsid w:val="0CBD4DA7"/>
    <w:rsid w:val="0CBF0B1F"/>
    <w:rsid w:val="0CC66073"/>
    <w:rsid w:val="0CC74020"/>
    <w:rsid w:val="0CD914B5"/>
    <w:rsid w:val="0CDA7707"/>
    <w:rsid w:val="0CF167FE"/>
    <w:rsid w:val="0CF87B8D"/>
    <w:rsid w:val="0D2A08E4"/>
    <w:rsid w:val="0D3F57BC"/>
    <w:rsid w:val="0D464482"/>
    <w:rsid w:val="0D5F1DE4"/>
    <w:rsid w:val="0D7B4BB0"/>
    <w:rsid w:val="0D9D470F"/>
    <w:rsid w:val="0DB41B10"/>
    <w:rsid w:val="0DB946A4"/>
    <w:rsid w:val="0DC12675"/>
    <w:rsid w:val="0DC20D46"/>
    <w:rsid w:val="0DE77F12"/>
    <w:rsid w:val="0DED16BC"/>
    <w:rsid w:val="0DFB6424"/>
    <w:rsid w:val="0E0367E9"/>
    <w:rsid w:val="0E122ED0"/>
    <w:rsid w:val="0E1F610A"/>
    <w:rsid w:val="0E335CF5"/>
    <w:rsid w:val="0E364E11"/>
    <w:rsid w:val="0E52151F"/>
    <w:rsid w:val="0E597477"/>
    <w:rsid w:val="0E5C414B"/>
    <w:rsid w:val="0E651252"/>
    <w:rsid w:val="0E6D0107"/>
    <w:rsid w:val="0E7C659C"/>
    <w:rsid w:val="0E8327C4"/>
    <w:rsid w:val="0EE20AF5"/>
    <w:rsid w:val="0EED3EB4"/>
    <w:rsid w:val="0EF34AB0"/>
    <w:rsid w:val="0F144A26"/>
    <w:rsid w:val="0F384BB8"/>
    <w:rsid w:val="0F3A74D1"/>
    <w:rsid w:val="0F453457"/>
    <w:rsid w:val="0F6C03BE"/>
    <w:rsid w:val="0F7560C5"/>
    <w:rsid w:val="0F783207"/>
    <w:rsid w:val="0F841BAC"/>
    <w:rsid w:val="0F8A6963"/>
    <w:rsid w:val="0F8E5DE4"/>
    <w:rsid w:val="0FAE176B"/>
    <w:rsid w:val="0FAF3947"/>
    <w:rsid w:val="0FB13ED8"/>
    <w:rsid w:val="0FB81855"/>
    <w:rsid w:val="0FC63F72"/>
    <w:rsid w:val="0FD056C0"/>
    <w:rsid w:val="0FD83CA6"/>
    <w:rsid w:val="0FEB1C2B"/>
    <w:rsid w:val="10392996"/>
    <w:rsid w:val="104135F9"/>
    <w:rsid w:val="10685029"/>
    <w:rsid w:val="10831E63"/>
    <w:rsid w:val="10862E2C"/>
    <w:rsid w:val="108E4EF3"/>
    <w:rsid w:val="108F6A5A"/>
    <w:rsid w:val="10AF4A06"/>
    <w:rsid w:val="11627CCB"/>
    <w:rsid w:val="119A7465"/>
    <w:rsid w:val="11AC2B71"/>
    <w:rsid w:val="11D87F8D"/>
    <w:rsid w:val="11DC7A7D"/>
    <w:rsid w:val="121A67F7"/>
    <w:rsid w:val="12282CC2"/>
    <w:rsid w:val="123B6A0E"/>
    <w:rsid w:val="126A32DB"/>
    <w:rsid w:val="128D6FC9"/>
    <w:rsid w:val="12A0093B"/>
    <w:rsid w:val="12A12B23"/>
    <w:rsid w:val="12A63F9E"/>
    <w:rsid w:val="12FC1CF7"/>
    <w:rsid w:val="130308CA"/>
    <w:rsid w:val="1312127D"/>
    <w:rsid w:val="13367661"/>
    <w:rsid w:val="13524724"/>
    <w:rsid w:val="136A730B"/>
    <w:rsid w:val="13725EDE"/>
    <w:rsid w:val="13750189"/>
    <w:rsid w:val="138F0B1F"/>
    <w:rsid w:val="13983D18"/>
    <w:rsid w:val="139B227B"/>
    <w:rsid w:val="13C94031"/>
    <w:rsid w:val="13DA7FEC"/>
    <w:rsid w:val="13F25918"/>
    <w:rsid w:val="140C2170"/>
    <w:rsid w:val="14237BE5"/>
    <w:rsid w:val="14587163"/>
    <w:rsid w:val="146C6567"/>
    <w:rsid w:val="147F2942"/>
    <w:rsid w:val="148A5D2C"/>
    <w:rsid w:val="148A7C64"/>
    <w:rsid w:val="14902DA1"/>
    <w:rsid w:val="149E0ABD"/>
    <w:rsid w:val="14BB0319"/>
    <w:rsid w:val="14C15ED1"/>
    <w:rsid w:val="14D47131"/>
    <w:rsid w:val="14EA425F"/>
    <w:rsid w:val="14FA7677"/>
    <w:rsid w:val="150712B5"/>
    <w:rsid w:val="1519076B"/>
    <w:rsid w:val="1525173B"/>
    <w:rsid w:val="153C6A85"/>
    <w:rsid w:val="154A1C7B"/>
    <w:rsid w:val="15785D0F"/>
    <w:rsid w:val="157F5F94"/>
    <w:rsid w:val="15C545A9"/>
    <w:rsid w:val="15E839EB"/>
    <w:rsid w:val="16077093"/>
    <w:rsid w:val="160E0624"/>
    <w:rsid w:val="160F3DE7"/>
    <w:rsid w:val="16117F11"/>
    <w:rsid w:val="163360DA"/>
    <w:rsid w:val="163A0EA2"/>
    <w:rsid w:val="163B59D5"/>
    <w:rsid w:val="164A7250"/>
    <w:rsid w:val="16596861"/>
    <w:rsid w:val="167B61DA"/>
    <w:rsid w:val="169F551D"/>
    <w:rsid w:val="16A91EF8"/>
    <w:rsid w:val="16D24FDB"/>
    <w:rsid w:val="16D64A56"/>
    <w:rsid w:val="16EA2C3C"/>
    <w:rsid w:val="16F47F84"/>
    <w:rsid w:val="16FC296F"/>
    <w:rsid w:val="17193F45"/>
    <w:rsid w:val="171F0B4E"/>
    <w:rsid w:val="17233A58"/>
    <w:rsid w:val="17294D2C"/>
    <w:rsid w:val="172C5003"/>
    <w:rsid w:val="1746570F"/>
    <w:rsid w:val="175C542D"/>
    <w:rsid w:val="178A0DEB"/>
    <w:rsid w:val="179761F4"/>
    <w:rsid w:val="17D11706"/>
    <w:rsid w:val="17D35235"/>
    <w:rsid w:val="17EA27C8"/>
    <w:rsid w:val="17EB3771"/>
    <w:rsid w:val="17EF6030"/>
    <w:rsid w:val="17FB2C27"/>
    <w:rsid w:val="17FD6E5C"/>
    <w:rsid w:val="18070717"/>
    <w:rsid w:val="18262788"/>
    <w:rsid w:val="182905D8"/>
    <w:rsid w:val="182E6B59"/>
    <w:rsid w:val="183E42D5"/>
    <w:rsid w:val="18502F73"/>
    <w:rsid w:val="187C3D68"/>
    <w:rsid w:val="1888270D"/>
    <w:rsid w:val="18B12486"/>
    <w:rsid w:val="18F674C7"/>
    <w:rsid w:val="18FE29CF"/>
    <w:rsid w:val="19102B0E"/>
    <w:rsid w:val="1910625E"/>
    <w:rsid w:val="19143794"/>
    <w:rsid w:val="19241D0A"/>
    <w:rsid w:val="19297320"/>
    <w:rsid w:val="193B3E75"/>
    <w:rsid w:val="193C52A5"/>
    <w:rsid w:val="193E101D"/>
    <w:rsid w:val="194E6C56"/>
    <w:rsid w:val="19791440"/>
    <w:rsid w:val="198729C4"/>
    <w:rsid w:val="198D3D53"/>
    <w:rsid w:val="1998697F"/>
    <w:rsid w:val="19AB65F7"/>
    <w:rsid w:val="19B80D30"/>
    <w:rsid w:val="19BD17EA"/>
    <w:rsid w:val="19C239FC"/>
    <w:rsid w:val="19D76D7C"/>
    <w:rsid w:val="19DE4AB3"/>
    <w:rsid w:val="19EF7E58"/>
    <w:rsid w:val="19F94F44"/>
    <w:rsid w:val="1A18361C"/>
    <w:rsid w:val="1A3F329F"/>
    <w:rsid w:val="1A5B4118"/>
    <w:rsid w:val="1A6A7BF0"/>
    <w:rsid w:val="1A733749"/>
    <w:rsid w:val="1A840CB2"/>
    <w:rsid w:val="1AA14F3E"/>
    <w:rsid w:val="1AAB7A4F"/>
    <w:rsid w:val="1AD339E7"/>
    <w:rsid w:val="1AD67034"/>
    <w:rsid w:val="1AE56025"/>
    <w:rsid w:val="1B46065D"/>
    <w:rsid w:val="1B473137"/>
    <w:rsid w:val="1B4A0A89"/>
    <w:rsid w:val="1B5A4CFE"/>
    <w:rsid w:val="1B5F5CD0"/>
    <w:rsid w:val="1B6D7998"/>
    <w:rsid w:val="1B701236"/>
    <w:rsid w:val="1B723200"/>
    <w:rsid w:val="1B822EBF"/>
    <w:rsid w:val="1B93587C"/>
    <w:rsid w:val="1B974A15"/>
    <w:rsid w:val="1BA92B24"/>
    <w:rsid w:val="1BB05AD7"/>
    <w:rsid w:val="1BC53330"/>
    <w:rsid w:val="1BE65325"/>
    <w:rsid w:val="1BFB4FA4"/>
    <w:rsid w:val="1C387FA6"/>
    <w:rsid w:val="1C3B1844"/>
    <w:rsid w:val="1C5835AA"/>
    <w:rsid w:val="1C752056"/>
    <w:rsid w:val="1C7D0F07"/>
    <w:rsid w:val="1C83378B"/>
    <w:rsid w:val="1C9A47BD"/>
    <w:rsid w:val="1CAE64BA"/>
    <w:rsid w:val="1CC7757C"/>
    <w:rsid w:val="1CCA0FFC"/>
    <w:rsid w:val="1CCF02AF"/>
    <w:rsid w:val="1D0E0D07"/>
    <w:rsid w:val="1D2A0508"/>
    <w:rsid w:val="1D42539A"/>
    <w:rsid w:val="1D971305"/>
    <w:rsid w:val="1DD957B9"/>
    <w:rsid w:val="1DDA224E"/>
    <w:rsid w:val="1E0565AE"/>
    <w:rsid w:val="1E1E31CB"/>
    <w:rsid w:val="1E29333F"/>
    <w:rsid w:val="1E2E3FC6"/>
    <w:rsid w:val="1E3649B9"/>
    <w:rsid w:val="1E6813A9"/>
    <w:rsid w:val="1E967206"/>
    <w:rsid w:val="1EAD1969"/>
    <w:rsid w:val="1ECE4F82"/>
    <w:rsid w:val="1EDB10BC"/>
    <w:rsid w:val="1EE14925"/>
    <w:rsid w:val="1EE5064C"/>
    <w:rsid w:val="1F232690"/>
    <w:rsid w:val="1F3C5FFF"/>
    <w:rsid w:val="1F536EA5"/>
    <w:rsid w:val="1F5B26D6"/>
    <w:rsid w:val="1F6007D8"/>
    <w:rsid w:val="1F79582C"/>
    <w:rsid w:val="1F881244"/>
    <w:rsid w:val="1FAD2A59"/>
    <w:rsid w:val="1FB05EDC"/>
    <w:rsid w:val="1FB2006F"/>
    <w:rsid w:val="1FB65DB1"/>
    <w:rsid w:val="1FD20711"/>
    <w:rsid w:val="1FDB5818"/>
    <w:rsid w:val="1FE30078"/>
    <w:rsid w:val="20192A20"/>
    <w:rsid w:val="20395EDD"/>
    <w:rsid w:val="205A4AEA"/>
    <w:rsid w:val="2070282A"/>
    <w:rsid w:val="20A35C0A"/>
    <w:rsid w:val="20AF0A2F"/>
    <w:rsid w:val="20BE47F2"/>
    <w:rsid w:val="20D77EB9"/>
    <w:rsid w:val="212F063E"/>
    <w:rsid w:val="213F1DD6"/>
    <w:rsid w:val="21466CC1"/>
    <w:rsid w:val="21505D92"/>
    <w:rsid w:val="217A2E0F"/>
    <w:rsid w:val="2181097D"/>
    <w:rsid w:val="218B6DCA"/>
    <w:rsid w:val="219F2875"/>
    <w:rsid w:val="21BE2CFB"/>
    <w:rsid w:val="21BF297D"/>
    <w:rsid w:val="21D0113C"/>
    <w:rsid w:val="21D0392E"/>
    <w:rsid w:val="21D30FDE"/>
    <w:rsid w:val="21DE339D"/>
    <w:rsid w:val="21E60015"/>
    <w:rsid w:val="21EC633C"/>
    <w:rsid w:val="21F04E7F"/>
    <w:rsid w:val="22121299"/>
    <w:rsid w:val="222F3BF9"/>
    <w:rsid w:val="223E208E"/>
    <w:rsid w:val="22592A24"/>
    <w:rsid w:val="22764811"/>
    <w:rsid w:val="22790AE7"/>
    <w:rsid w:val="22791318"/>
    <w:rsid w:val="22883309"/>
    <w:rsid w:val="22965E6B"/>
    <w:rsid w:val="22AB2374"/>
    <w:rsid w:val="22B65DA2"/>
    <w:rsid w:val="22BA291F"/>
    <w:rsid w:val="22F917C9"/>
    <w:rsid w:val="23241284"/>
    <w:rsid w:val="23271985"/>
    <w:rsid w:val="234A05BF"/>
    <w:rsid w:val="235558E1"/>
    <w:rsid w:val="236E69A3"/>
    <w:rsid w:val="23735D67"/>
    <w:rsid w:val="238561DE"/>
    <w:rsid w:val="23874BA3"/>
    <w:rsid w:val="239301B8"/>
    <w:rsid w:val="23CA5FCE"/>
    <w:rsid w:val="241C31FD"/>
    <w:rsid w:val="244250D8"/>
    <w:rsid w:val="247B5967"/>
    <w:rsid w:val="24816262"/>
    <w:rsid w:val="24A24B56"/>
    <w:rsid w:val="24A75DD1"/>
    <w:rsid w:val="24EE7D9B"/>
    <w:rsid w:val="24EF7670"/>
    <w:rsid w:val="24F44C86"/>
    <w:rsid w:val="25002F8D"/>
    <w:rsid w:val="25546BA5"/>
    <w:rsid w:val="25550156"/>
    <w:rsid w:val="257858B7"/>
    <w:rsid w:val="257B0F03"/>
    <w:rsid w:val="25987D07"/>
    <w:rsid w:val="25AD5F64"/>
    <w:rsid w:val="25FD0F99"/>
    <w:rsid w:val="26024DD2"/>
    <w:rsid w:val="260525BB"/>
    <w:rsid w:val="261C26E6"/>
    <w:rsid w:val="262477ED"/>
    <w:rsid w:val="262E41C8"/>
    <w:rsid w:val="26306CDC"/>
    <w:rsid w:val="263370CE"/>
    <w:rsid w:val="26612BE0"/>
    <w:rsid w:val="26797620"/>
    <w:rsid w:val="267D2FA7"/>
    <w:rsid w:val="26887D7C"/>
    <w:rsid w:val="26890B30"/>
    <w:rsid w:val="269229A8"/>
    <w:rsid w:val="26977FBF"/>
    <w:rsid w:val="26995AE5"/>
    <w:rsid w:val="26CA0917"/>
    <w:rsid w:val="26D37563"/>
    <w:rsid w:val="26FD42C6"/>
    <w:rsid w:val="27166749"/>
    <w:rsid w:val="272356CA"/>
    <w:rsid w:val="272A101D"/>
    <w:rsid w:val="274517C9"/>
    <w:rsid w:val="27974303"/>
    <w:rsid w:val="27A209C9"/>
    <w:rsid w:val="27AC35F6"/>
    <w:rsid w:val="27AE18D4"/>
    <w:rsid w:val="27B30E28"/>
    <w:rsid w:val="27C33FE8"/>
    <w:rsid w:val="27E96063"/>
    <w:rsid w:val="28242F36"/>
    <w:rsid w:val="283B62D5"/>
    <w:rsid w:val="283D072F"/>
    <w:rsid w:val="284F12A1"/>
    <w:rsid w:val="284F6DA3"/>
    <w:rsid w:val="285C7E68"/>
    <w:rsid w:val="286B44D3"/>
    <w:rsid w:val="28742CFD"/>
    <w:rsid w:val="28DC7F0B"/>
    <w:rsid w:val="28DD7494"/>
    <w:rsid w:val="291C049E"/>
    <w:rsid w:val="29233D8C"/>
    <w:rsid w:val="29254262"/>
    <w:rsid w:val="29422464"/>
    <w:rsid w:val="29600B3C"/>
    <w:rsid w:val="2995587E"/>
    <w:rsid w:val="299C6253"/>
    <w:rsid w:val="299E3412"/>
    <w:rsid w:val="29CA4159"/>
    <w:rsid w:val="29E76B67"/>
    <w:rsid w:val="2A063491"/>
    <w:rsid w:val="2A2953D2"/>
    <w:rsid w:val="2A575917"/>
    <w:rsid w:val="2A6F2C28"/>
    <w:rsid w:val="2A816FBC"/>
    <w:rsid w:val="2A822823"/>
    <w:rsid w:val="2A9C2048"/>
    <w:rsid w:val="2AAA6DA7"/>
    <w:rsid w:val="2AAF3B29"/>
    <w:rsid w:val="2AB303AA"/>
    <w:rsid w:val="2ADE61BC"/>
    <w:rsid w:val="2AF4778E"/>
    <w:rsid w:val="2AF552B4"/>
    <w:rsid w:val="2B073965"/>
    <w:rsid w:val="2B116525"/>
    <w:rsid w:val="2B1240B8"/>
    <w:rsid w:val="2B200583"/>
    <w:rsid w:val="2B365D20"/>
    <w:rsid w:val="2B5D5848"/>
    <w:rsid w:val="2B6E5FE2"/>
    <w:rsid w:val="2B762634"/>
    <w:rsid w:val="2B7A67A5"/>
    <w:rsid w:val="2B7D59D5"/>
    <w:rsid w:val="2B873310"/>
    <w:rsid w:val="2B8D373E"/>
    <w:rsid w:val="2BB530D5"/>
    <w:rsid w:val="2BD82C0B"/>
    <w:rsid w:val="2BF9798B"/>
    <w:rsid w:val="2C1005F7"/>
    <w:rsid w:val="2C332538"/>
    <w:rsid w:val="2C3343DB"/>
    <w:rsid w:val="2C3D33B6"/>
    <w:rsid w:val="2C754DAB"/>
    <w:rsid w:val="2C9F5E1F"/>
    <w:rsid w:val="2CC413E2"/>
    <w:rsid w:val="2CD84964"/>
    <w:rsid w:val="2CE101E6"/>
    <w:rsid w:val="2CE657FC"/>
    <w:rsid w:val="2D0B75F1"/>
    <w:rsid w:val="2D102879"/>
    <w:rsid w:val="2D127F2F"/>
    <w:rsid w:val="2D1B0C53"/>
    <w:rsid w:val="2D4744ED"/>
    <w:rsid w:val="2D4752A8"/>
    <w:rsid w:val="2D4F7A91"/>
    <w:rsid w:val="2D5E5392"/>
    <w:rsid w:val="2D6F134E"/>
    <w:rsid w:val="2D7C3A6A"/>
    <w:rsid w:val="2D8356F1"/>
    <w:rsid w:val="2D8F379E"/>
    <w:rsid w:val="2DA60AE7"/>
    <w:rsid w:val="2DC01BA9"/>
    <w:rsid w:val="2DD613CD"/>
    <w:rsid w:val="2DF1140A"/>
    <w:rsid w:val="2E1369CC"/>
    <w:rsid w:val="2E162111"/>
    <w:rsid w:val="2E1819E5"/>
    <w:rsid w:val="2E1920CF"/>
    <w:rsid w:val="2E1B0C2F"/>
    <w:rsid w:val="2E2760CC"/>
    <w:rsid w:val="2E444588"/>
    <w:rsid w:val="2E68392D"/>
    <w:rsid w:val="2E6D6449"/>
    <w:rsid w:val="2E764B34"/>
    <w:rsid w:val="2E7F7CB6"/>
    <w:rsid w:val="2E8F04E1"/>
    <w:rsid w:val="2EB931C8"/>
    <w:rsid w:val="2EBF6305"/>
    <w:rsid w:val="2EEF631B"/>
    <w:rsid w:val="2F070757"/>
    <w:rsid w:val="2F1E74CF"/>
    <w:rsid w:val="2F260132"/>
    <w:rsid w:val="2F2D7712"/>
    <w:rsid w:val="2F4938A6"/>
    <w:rsid w:val="2F827A5E"/>
    <w:rsid w:val="2F8D6403"/>
    <w:rsid w:val="2FA50B1C"/>
    <w:rsid w:val="2FDA31FA"/>
    <w:rsid w:val="2FE36023"/>
    <w:rsid w:val="30077F63"/>
    <w:rsid w:val="300D4E4E"/>
    <w:rsid w:val="30406FD1"/>
    <w:rsid w:val="304C1E1A"/>
    <w:rsid w:val="305A62E5"/>
    <w:rsid w:val="305C1374"/>
    <w:rsid w:val="30D245A8"/>
    <w:rsid w:val="30DF67EA"/>
    <w:rsid w:val="30F71D86"/>
    <w:rsid w:val="30FB781C"/>
    <w:rsid w:val="31592A40"/>
    <w:rsid w:val="315E30F3"/>
    <w:rsid w:val="31800A61"/>
    <w:rsid w:val="318F768C"/>
    <w:rsid w:val="31942EF0"/>
    <w:rsid w:val="31C54436"/>
    <w:rsid w:val="31D80638"/>
    <w:rsid w:val="322F4BE9"/>
    <w:rsid w:val="32386C49"/>
    <w:rsid w:val="32567A27"/>
    <w:rsid w:val="326E7E26"/>
    <w:rsid w:val="327D275F"/>
    <w:rsid w:val="328533C1"/>
    <w:rsid w:val="329655CE"/>
    <w:rsid w:val="329A6437"/>
    <w:rsid w:val="329B0E37"/>
    <w:rsid w:val="32C77C03"/>
    <w:rsid w:val="32D759FC"/>
    <w:rsid w:val="32DA05FC"/>
    <w:rsid w:val="32E36807"/>
    <w:rsid w:val="332711F0"/>
    <w:rsid w:val="332B3F69"/>
    <w:rsid w:val="33583585"/>
    <w:rsid w:val="335C76C1"/>
    <w:rsid w:val="33784CD4"/>
    <w:rsid w:val="33835B53"/>
    <w:rsid w:val="338F44F8"/>
    <w:rsid w:val="33904B48"/>
    <w:rsid w:val="33925D96"/>
    <w:rsid w:val="33AD2BD0"/>
    <w:rsid w:val="33CF2B46"/>
    <w:rsid w:val="33DC5E37"/>
    <w:rsid w:val="33E34843"/>
    <w:rsid w:val="340F5638"/>
    <w:rsid w:val="342310E4"/>
    <w:rsid w:val="344A597B"/>
    <w:rsid w:val="34533777"/>
    <w:rsid w:val="345D0530"/>
    <w:rsid w:val="3464452F"/>
    <w:rsid w:val="34766943"/>
    <w:rsid w:val="34767465"/>
    <w:rsid w:val="34AC63E7"/>
    <w:rsid w:val="34B54432"/>
    <w:rsid w:val="34BE1341"/>
    <w:rsid w:val="34C066CC"/>
    <w:rsid w:val="352E68BA"/>
    <w:rsid w:val="35427B0F"/>
    <w:rsid w:val="35470F7B"/>
    <w:rsid w:val="357E2A76"/>
    <w:rsid w:val="359B40E2"/>
    <w:rsid w:val="35E008FF"/>
    <w:rsid w:val="3601672A"/>
    <w:rsid w:val="361811BC"/>
    <w:rsid w:val="3619279E"/>
    <w:rsid w:val="361D1D1B"/>
    <w:rsid w:val="36462E68"/>
    <w:rsid w:val="36545584"/>
    <w:rsid w:val="36575075"/>
    <w:rsid w:val="365A038B"/>
    <w:rsid w:val="368C042F"/>
    <w:rsid w:val="36AA5E0A"/>
    <w:rsid w:val="36BC6B1F"/>
    <w:rsid w:val="36DD1A1E"/>
    <w:rsid w:val="370569BF"/>
    <w:rsid w:val="37144D14"/>
    <w:rsid w:val="37195C13"/>
    <w:rsid w:val="37206A37"/>
    <w:rsid w:val="3721531B"/>
    <w:rsid w:val="3727713D"/>
    <w:rsid w:val="374B2E2B"/>
    <w:rsid w:val="378A41D6"/>
    <w:rsid w:val="378B76CC"/>
    <w:rsid w:val="37C7079A"/>
    <w:rsid w:val="37C84F25"/>
    <w:rsid w:val="37CB5D1A"/>
    <w:rsid w:val="37D44BCF"/>
    <w:rsid w:val="37E42938"/>
    <w:rsid w:val="37F52D97"/>
    <w:rsid w:val="38083993"/>
    <w:rsid w:val="381019DB"/>
    <w:rsid w:val="38107BD1"/>
    <w:rsid w:val="38161069"/>
    <w:rsid w:val="38333B29"/>
    <w:rsid w:val="38651CCB"/>
    <w:rsid w:val="386A108F"/>
    <w:rsid w:val="386F1796"/>
    <w:rsid w:val="38714F0C"/>
    <w:rsid w:val="387C7014"/>
    <w:rsid w:val="388365F5"/>
    <w:rsid w:val="38962B9C"/>
    <w:rsid w:val="38B7004D"/>
    <w:rsid w:val="38BF6A16"/>
    <w:rsid w:val="38C56C0D"/>
    <w:rsid w:val="38CC03EE"/>
    <w:rsid w:val="39736E5A"/>
    <w:rsid w:val="39755F3E"/>
    <w:rsid w:val="39820A82"/>
    <w:rsid w:val="39A700C1"/>
    <w:rsid w:val="39B27192"/>
    <w:rsid w:val="39CE564E"/>
    <w:rsid w:val="39E25570"/>
    <w:rsid w:val="3A0D16C8"/>
    <w:rsid w:val="3A1273C6"/>
    <w:rsid w:val="3A440D43"/>
    <w:rsid w:val="3A502ACB"/>
    <w:rsid w:val="3A5E69D2"/>
    <w:rsid w:val="3A6D4D1F"/>
    <w:rsid w:val="3A7D7055"/>
    <w:rsid w:val="3A810912"/>
    <w:rsid w:val="3A836438"/>
    <w:rsid w:val="3AE06945"/>
    <w:rsid w:val="3B29564C"/>
    <w:rsid w:val="3B2A0FAA"/>
    <w:rsid w:val="3B2A2336"/>
    <w:rsid w:val="3B3911ED"/>
    <w:rsid w:val="3B5B73B5"/>
    <w:rsid w:val="3B75052D"/>
    <w:rsid w:val="3B862684"/>
    <w:rsid w:val="3BA42B0A"/>
    <w:rsid w:val="3BA45921"/>
    <w:rsid w:val="3BB84807"/>
    <w:rsid w:val="3BCE2E77"/>
    <w:rsid w:val="3BDA652C"/>
    <w:rsid w:val="3BF05D4F"/>
    <w:rsid w:val="3C0D58E1"/>
    <w:rsid w:val="3C0D6901"/>
    <w:rsid w:val="3C134EA5"/>
    <w:rsid w:val="3C145EE2"/>
    <w:rsid w:val="3C274470"/>
    <w:rsid w:val="3C447E49"/>
    <w:rsid w:val="3C65673D"/>
    <w:rsid w:val="3C686F62"/>
    <w:rsid w:val="3C77021F"/>
    <w:rsid w:val="3C8F40C0"/>
    <w:rsid w:val="3CA827C1"/>
    <w:rsid w:val="3CAD59EE"/>
    <w:rsid w:val="3CD236E9"/>
    <w:rsid w:val="3CE5162C"/>
    <w:rsid w:val="3CE56AED"/>
    <w:rsid w:val="3CEE3787"/>
    <w:rsid w:val="3CF47AC1"/>
    <w:rsid w:val="3D751F42"/>
    <w:rsid w:val="3D7A7FC6"/>
    <w:rsid w:val="3D9A1959"/>
    <w:rsid w:val="3DCC6348"/>
    <w:rsid w:val="3DD75419"/>
    <w:rsid w:val="3DE9514C"/>
    <w:rsid w:val="3DED1853"/>
    <w:rsid w:val="3DF8713D"/>
    <w:rsid w:val="3E083824"/>
    <w:rsid w:val="3E1F76D1"/>
    <w:rsid w:val="3E2241BA"/>
    <w:rsid w:val="3E6F5651"/>
    <w:rsid w:val="3E832799"/>
    <w:rsid w:val="3E8747FC"/>
    <w:rsid w:val="3E8F1850"/>
    <w:rsid w:val="3E970704"/>
    <w:rsid w:val="3ED03C16"/>
    <w:rsid w:val="3EDB5A73"/>
    <w:rsid w:val="3EF5367D"/>
    <w:rsid w:val="3F05037B"/>
    <w:rsid w:val="3F4D34B9"/>
    <w:rsid w:val="3F520ACF"/>
    <w:rsid w:val="3F532376"/>
    <w:rsid w:val="3F5465F5"/>
    <w:rsid w:val="3F5B3E28"/>
    <w:rsid w:val="3F6F1FDE"/>
    <w:rsid w:val="3F823162"/>
    <w:rsid w:val="3F875618"/>
    <w:rsid w:val="3FB31F29"/>
    <w:rsid w:val="3FB97870"/>
    <w:rsid w:val="3FDB5D2F"/>
    <w:rsid w:val="3FF103C4"/>
    <w:rsid w:val="4009055D"/>
    <w:rsid w:val="4024421A"/>
    <w:rsid w:val="40271F5C"/>
    <w:rsid w:val="40302BBE"/>
    <w:rsid w:val="404E74E8"/>
    <w:rsid w:val="407725F5"/>
    <w:rsid w:val="408E72C3"/>
    <w:rsid w:val="408E7BCF"/>
    <w:rsid w:val="40AF442B"/>
    <w:rsid w:val="40B26236"/>
    <w:rsid w:val="40C4275E"/>
    <w:rsid w:val="40CD48B1"/>
    <w:rsid w:val="40E85247"/>
    <w:rsid w:val="40ED6D01"/>
    <w:rsid w:val="40ED7391"/>
    <w:rsid w:val="40F260C6"/>
    <w:rsid w:val="40F523F9"/>
    <w:rsid w:val="40F57964"/>
    <w:rsid w:val="40FA02E0"/>
    <w:rsid w:val="41210759"/>
    <w:rsid w:val="412A6FD3"/>
    <w:rsid w:val="41306BEE"/>
    <w:rsid w:val="41681350"/>
    <w:rsid w:val="416F668A"/>
    <w:rsid w:val="41850CE8"/>
    <w:rsid w:val="41967399"/>
    <w:rsid w:val="41984EBF"/>
    <w:rsid w:val="419F6662"/>
    <w:rsid w:val="41A72D03"/>
    <w:rsid w:val="41BC55E0"/>
    <w:rsid w:val="41CB669E"/>
    <w:rsid w:val="41CC6917"/>
    <w:rsid w:val="41D324B8"/>
    <w:rsid w:val="41DB56F8"/>
    <w:rsid w:val="41F06FCC"/>
    <w:rsid w:val="42037EB0"/>
    <w:rsid w:val="420B7389"/>
    <w:rsid w:val="421A3B26"/>
    <w:rsid w:val="423563C7"/>
    <w:rsid w:val="42360234"/>
    <w:rsid w:val="42415557"/>
    <w:rsid w:val="426052B1"/>
    <w:rsid w:val="42611561"/>
    <w:rsid w:val="42721D88"/>
    <w:rsid w:val="427D61B0"/>
    <w:rsid w:val="427F375F"/>
    <w:rsid w:val="42975177"/>
    <w:rsid w:val="42A47894"/>
    <w:rsid w:val="42C57370"/>
    <w:rsid w:val="42F56158"/>
    <w:rsid w:val="430832B2"/>
    <w:rsid w:val="436065EB"/>
    <w:rsid w:val="438D20D6"/>
    <w:rsid w:val="43C26223"/>
    <w:rsid w:val="43D45F57"/>
    <w:rsid w:val="43E45962"/>
    <w:rsid w:val="44366C11"/>
    <w:rsid w:val="445769C9"/>
    <w:rsid w:val="446C618F"/>
    <w:rsid w:val="44740DA7"/>
    <w:rsid w:val="4476700E"/>
    <w:rsid w:val="44BD0016"/>
    <w:rsid w:val="44CB1108"/>
    <w:rsid w:val="44DF4BB3"/>
    <w:rsid w:val="44F85C75"/>
    <w:rsid w:val="44FA7C3F"/>
    <w:rsid w:val="44FE4B02"/>
    <w:rsid w:val="45216F7A"/>
    <w:rsid w:val="45292FA8"/>
    <w:rsid w:val="454815E5"/>
    <w:rsid w:val="454B1D45"/>
    <w:rsid w:val="455530C7"/>
    <w:rsid w:val="45592BB7"/>
    <w:rsid w:val="457B5ED9"/>
    <w:rsid w:val="457C2033"/>
    <w:rsid w:val="458B6AE9"/>
    <w:rsid w:val="45921C25"/>
    <w:rsid w:val="459B6D2C"/>
    <w:rsid w:val="459C2AA4"/>
    <w:rsid w:val="45AC6CD2"/>
    <w:rsid w:val="45E71F71"/>
    <w:rsid w:val="45FB77CB"/>
    <w:rsid w:val="46536AFC"/>
    <w:rsid w:val="46752E4C"/>
    <w:rsid w:val="46910F66"/>
    <w:rsid w:val="46A47E62"/>
    <w:rsid w:val="46A95479"/>
    <w:rsid w:val="46B727AA"/>
    <w:rsid w:val="46C04884"/>
    <w:rsid w:val="46CE7474"/>
    <w:rsid w:val="46F77B89"/>
    <w:rsid w:val="470152B5"/>
    <w:rsid w:val="47056620"/>
    <w:rsid w:val="470E1780"/>
    <w:rsid w:val="473946B4"/>
    <w:rsid w:val="473C5EFF"/>
    <w:rsid w:val="4743767B"/>
    <w:rsid w:val="4754074B"/>
    <w:rsid w:val="475A6773"/>
    <w:rsid w:val="477C392D"/>
    <w:rsid w:val="478973D8"/>
    <w:rsid w:val="47A3636C"/>
    <w:rsid w:val="47B52BB4"/>
    <w:rsid w:val="47C00975"/>
    <w:rsid w:val="47F210A1"/>
    <w:rsid w:val="484C6A03"/>
    <w:rsid w:val="48836699"/>
    <w:rsid w:val="48AF2AEE"/>
    <w:rsid w:val="48B23078"/>
    <w:rsid w:val="48C20A74"/>
    <w:rsid w:val="48D04F3E"/>
    <w:rsid w:val="48D32C81"/>
    <w:rsid w:val="48E46C3C"/>
    <w:rsid w:val="49025314"/>
    <w:rsid w:val="491164F6"/>
    <w:rsid w:val="494F67AB"/>
    <w:rsid w:val="49706721"/>
    <w:rsid w:val="49726A4B"/>
    <w:rsid w:val="49812259"/>
    <w:rsid w:val="49B52386"/>
    <w:rsid w:val="49DE368B"/>
    <w:rsid w:val="49E67287"/>
    <w:rsid w:val="49FE1F7F"/>
    <w:rsid w:val="4A003601"/>
    <w:rsid w:val="4A342D48"/>
    <w:rsid w:val="4A8402EB"/>
    <w:rsid w:val="4A8C1339"/>
    <w:rsid w:val="4A9521D5"/>
    <w:rsid w:val="4AAC5537"/>
    <w:rsid w:val="4ABB577A"/>
    <w:rsid w:val="4ADA167D"/>
    <w:rsid w:val="4AF33166"/>
    <w:rsid w:val="4B004857"/>
    <w:rsid w:val="4B2556C2"/>
    <w:rsid w:val="4B2E0642"/>
    <w:rsid w:val="4B7F0E9E"/>
    <w:rsid w:val="4B826F99"/>
    <w:rsid w:val="4B971FC5"/>
    <w:rsid w:val="4BAF1783"/>
    <w:rsid w:val="4BB73B85"/>
    <w:rsid w:val="4BBA4CD9"/>
    <w:rsid w:val="4BDE7972"/>
    <w:rsid w:val="4BE17F1F"/>
    <w:rsid w:val="4BF478AD"/>
    <w:rsid w:val="4C0B2731"/>
    <w:rsid w:val="4C101AF6"/>
    <w:rsid w:val="4C17384D"/>
    <w:rsid w:val="4C1B2975"/>
    <w:rsid w:val="4C1B3BA3"/>
    <w:rsid w:val="4C257A37"/>
    <w:rsid w:val="4C390F9A"/>
    <w:rsid w:val="4C39729F"/>
    <w:rsid w:val="4C455201"/>
    <w:rsid w:val="4C6F4A6E"/>
    <w:rsid w:val="4C8E33F6"/>
    <w:rsid w:val="4CA961D2"/>
    <w:rsid w:val="4CBD3A2C"/>
    <w:rsid w:val="4CC90623"/>
    <w:rsid w:val="4CCE79E7"/>
    <w:rsid w:val="4CEE1E37"/>
    <w:rsid w:val="4D084097"/>
    <w:rsid w:val="4D21045F"/>
    <w:rsid w:val="4D3F6B37"/>
    <w:rsid w:val="4D4872B8"/>
    <w:rsid w:val="4D714816"/>
    <w:rsid w:val="4D73058E"/>
    <w:rsid w:val="4D824513"/>
    <w:rsid w:val="4D896004"/>
    <w:rsid w:val="4D8F62D1"/>
    <w:rsid w:val="4DCD4142"/>
    <w:rsid w:val="4DE33966"/>
    <w:rsid w:val="4DF50B78"/>
    <w:rsid w:val="4DF72106"/>
    <w:rsid w:val="4E2A419F"/>
    <w:rsid w:val="4E6926D9"/>
    <w:rsid w:val="4E6938E7"/>
    <w:rsid w:val="4E701DC0"/>
    <w:rsid w:val="4E7B76FB"/>
    <w:rsid w:val="4E834801"/>
    <w:rsid w:val="4E917748"/>
    <w:rsid w:val="4E9B2B90"/>
    <w:rsid w:val="4EC07DCC"/>
    <w:rsid w:val="4ECC38F2"/>
    <w:rsid w:val="4EF92D15"/>
    <w:rsid w:val="4EFD0A57"/>
    <w:rsid w:val="4F006719"/>
    <w:rsid w:val="4F231B40"/>
    <w:rsid w:val="4F267703"/>
    <w:rsid w:val="4F2E489B"/>
    <w:rsid w:val="4F376C04"/>
    <w:rsid w:val="4F3F2E1E"/>
    <w:rsid w:val="4F4B17C3"/>
    <w:rsid w:val="4F5166AD"/>
    <w:rsid w:val="4F5D25FD"/>
    <w:rsid w:val="4F70419B"/>
    <w:rsid w:val="4F7D56F4"/>
    <w:rsid w:val="4FB41D44"/>
    <w:rsid w:val="4FDD0D75"/>
    <w:rsid w:val="4FE11F77"/>
    <w:rsid w:val="4FF359B6"/>
    <w:rsid w:val="501804F4"/>
    <w:rsid w:val="502A158D"/>
    <w:rsid w:val="50483F54"/>
    <w:rsid w:val="507B7E86"/>
    <w:rsid w:val="50804FC3"/>
    <w:rsid w:val="50850D04"/>
    <w:rsid w:val="50B64642"/>
    <w:rsid w:val="50B67110"/>
    <w:rsid w:val="50BF6E81"/>
    <w:rsid w:val="50CA73A0"/>
    <w:rsid w:val="50E517A3"/>
    <w:rsid w:val="50F86721"/>
    <w:rsid w:val="512027DB"/>
    <w:rsid w:val="512C1180"/>
    <w:rsid w:val="513F080C"/>
    <w:rsid w:val="51580435"/>
    <w:rsid w:val="515B2E61"/>
    <w:rsid w:val="515E7063"/>
    <w:rsid w:val="517E554E"/>
    <w:rsid w:val="51887260"/>
    <w:rsid w:val="519251CC"/>
    <w:rsid w:val="51AE16B6"/>
    <w:rsid w:val="51C31420"/>
    <w:rsid w:val="51C8534D"/>
    <w:rsid w:val="51F003FF"/>
    <w:rsid w:val="52120376"/>
    <w:rsid w:val="52157E66"/>
    <w:rsid w:val="522D3402"/>
    <w:rsid w:val="523C1897"/>
    <w:rsid w:val="523E560F"/>
    <w:rsid w:val="52432C25"/>
    <w:rsid w:val="524463EE"/>
    <w:rsid w:val="5255400A"/>
    <w:rsid w:val="52567531"/>
    <w:rsid w:val="52654DCD"/>
    <w:rsid w:val="52B7716F"/>
    <w:rsid w:val="52C446E2"/>
    <w:rsid w:val="52CA0C50"/>
    <w:rsid w:val="52D23FA9"/>
    <w:rsid w:val="52EF06B7"/>
    <w:rsid w:val="5306542C"/>
    <w:rsid w:val="530A0261"/>
    <w:rsid w:val="531E7B67"/>
    <w:rsid w:val="533662E6"/>
    <w:rsid w:val="53390376"/>
    <w:rsid w:val="535367A5"/>
    <w:rsid w:val="539762A0"/>
    <w:rsid w:val="53994B4A"/>
    <w:rsid w:val="53A1623C"/>
    <w:rsid w:val="53A92F5C"/>
    <w:rsid w:val="53B53431"/>
    <w:rsid w:val="53BA3236"/>
    <w:rsid w:val="53BD2563"/>
    <w:rsid w:val="53CC27A6"/>
    <w:rsid w:val="53D33B35"/>
    <w:rsid w:val="53E45D42"/>
    <w:rsid w:val="53E618AC"/>
    <w:rsid w:val="53E977FC"/>
    <w:rsid w:val="53EC2E48"/>
    <w:rsid w:val="541000A5"/>
    <w:rsid w:val="5435659E"/>
    <w:rsid w:val="544D0F50"/>
    <w:rsid w:val="545428EA"/>
    <w:rsid w:val="545B13B3"/>
    <w:rsid w:val="548968E9"/>
    <w:rsid w:val="548B08B3"/>
    <w:rsid w:val="54990008"/>
    <w:rsid w:val="54C55B73"/>
    <w:rsid w:val="54D438D0"/>
    <w:rsid w:val="553813F1"/>
    <w:rsid w:val="55386FFC"/>
    <w:rsid w:val="55572544"/>
    <w:rsid w:val="5560764A"/>
    <w:rsid w:val="55652EB2"/>
    <w:rsid w:val="556C6914"/>
    <w:rsid w:val="55895AFA"/>
    <w:rsid w:val="55A0213D"/>
    <w:rsid w:val="55D2387C"/>
    <w:rsid w:val="55DB13C7"/>
    <w:rsid w:val="55DC2777"/>
    <w:rsid w:val="55E63801"/>
    <w:rsid w:val="561E15E9"/>
    <w:rsid w:val="56332FB1"/>
    <w:rsid w:val="564162D0"/>
    <w:rsid w:val="56493792"/>
    <w:rsid w:val="566C2284"/>
    <w:rsid w:val="567B4A2A"/>
    <w:rsid w:val="569A39A8"/>
    <w:rsid w:val="56DC71A4"/>
    <w:rsid w:val="56E45F1E"/>
    <w:rsid w:val="56F50266"/>
    <w:rsid w:val="570412E1"/>
    <w:rsid w:val="57156660"/>
    <w:rsid w:val="573C5F32"/>
    <w:rsid w:val="57454D4A"/>
    <w:rsid w:val="57566F57"/>
    <w:rsid w:val="577059BB"/>
    <w:rsid w:val="579062E7"/>
    <w:rsid w:val="57932DC4"/>
    <w:rsid w:val="57B66C5A"/>
    <w:rsid w:val="57C40364"/>
    <w:rsid w:val="57D53B7B"/>
    <w:rsid w:val="57F30C49"/>
    <w:rsid w:val="582E1C82"/>
    <w:rsid w:val="585D3F0C"/>
    <w:rsid w:val="58690F0C"/>
    <w:rsid w:val="58957ECC"/>
    <w:rsid w:val="589B2D6B"/>
    <w:rsid w:val="58B74741"/>
    <w:rsid w:val="58D04AE7"/>
    <w:rsid w:val="58E30CBE"/>
    <w:rsid w:val="590B0730"/>
    <w:rsid w:val="59101387"/>
    <w:rsid w:val="59657925"/>
    <w:rsid w:val="596A4F3B"/>
    <w:rsid w:val="597933D0"/>
    <w:rsid w:val="598D4786"/>
    <w:rsid w:val="59934492"/>
    <w:rsid w:val="59975605"/>
    <w:rsid w:val="59BD150F"/>
    <w:rsid w:val="59E22D24"/>
    <w:rsid w:val="59EE1654"/>
    <w:rsid w:val="5A040EEC"/>
    <w:rsid w:val="5A04713E"/>
    <w:rsid w:val="5A2450EA"/>
    <w:rsid w:val="5A380B96"/>
    <w:rsid w:val="5A673229"/>
    <w:rsid w:val="5A9B1124"/>
    <w:rsid w:val="5AE0581C"/>
    <w:rsid w:val="5AF52F61"/>
    <w:rsid w:val="5AFF3461"/>
    <w:rsid w:val="5B341C7F"/>
    <w:rsid w:val="5B572E88"/>
    <w:rsid w:val="5B707FC9"/>
    <w:rsid w:val="5B791466"/>
    <w:rsid w:val="5B7C4AB2"/>
    <w:rsid w:val="5B8A5421"/>
    <w:rsid w:val="5B8C7CDD"/>
    <w:rsid w:val="5B91506F"/>
    <w:rsid w:val="5BC10366"/>
    <w:rsid w:val="5BE43388"/>
    <w:rsid w:val="5BE96C28"/>
    <w:rsid w:val="5BF3746A"/>
    <w:rsid w:val="5C0A47B4"/>
    <w:rsid w:val="5C0E36AA"/>
    <w:rsid w:val="5C292E8C"/>
    <w:rsid w:val="5C2A2CFF"/>
    <w:rsid w:val="5C5679F9"/>
    <w:rsid w:val="5C6C0FCA"/>
    <w:rsid w:val="5C734107"/>
    <w:rsid w:val="5C7E485A"/>
    <w:rsid w:val="5C835A39"/>
    <w:rsid w:val="5C904CB9"/>
    <w:rsid w:val="5CC40179"/>
    <w:rsid w:val="5CD53D28"/>
    <w:rsid w:val="5CD976EE"/>
    <w:rsid w:val="5CDD77D2"/>
    <w:rsid w:val="5CDF179C"/>
    <w:rsid w:val="5CE2303B"/>
    <w:rsid w:val="5CEB1EEF"/>
    <w:rsid w:val="5CF36FF6"/>
    <w:rsid w:val="5CFF1E3E"/>
    <w:rsid w:val="5D0E64BE"/>
    <w:rsid w:val="5D2366CB"/>
    <w:rsid w:val="5D2A6606"/>
    <w:rsid w:val="5D3331A6"/>
    <w:rsid w:val="5D3C274B"/>
    <w:rsid w:val="5D6C60DD"/>
    <w:rsid w:val="5D9500AD"/>
    <w:rsid w:val="5D9702C9"/>
    <w:rsid w:val="5D9E3405"/>
    <w:rsid w:val="5DAD53F7"/>
    <w:rsid w:val="5DB20C8E"/>
    <w:rsid w:val="5DB9023F"/>
    <w:rsid w:val="5DCC7F73"/>
    <w:rsid w:val="5DD60DF1"/>
    <w:rsid w:val="5DE27796"/>
    <w:rsid w:val="5E115525"/>
    <w:rsid w:val="5E135BA1"/>
    <w:rsid w:val="5E1D1079"/>
    <w:rsid w:val="5E4249F5"/>
    <w:rsid w:val="5E4B6700"/>
    <w:rsid w:val="5E5166CA"/>
    <w:rsid w:val="5E875C48"/>
    <w:rsid w:val="5EDA6373"/>
    <w:rsid w:val="5EE7776F"/>
    <w:rsid w:val="5F2D3E6A"/>
    <w:rsid w:val="5F2E2567"/>
    <w:rsid w:val="5F4973A1"/>
    <w:rsid w:val="5F557AF4"/>
    <w:rsid w:val="5FC15189"/>
    <w:rsid w:val="5FD050B7"/>
    <w:rsid w:val="5FD41360"/>
    <w:rsid w:val="5FFB4B3F"/>
    <w:rsid w:val="601F4136"/>
    <w:rsid w:val="603242D9"/>
    <w:rsid w:val="6051650D"/>
    <w:rsid w:val="60522285"/>
    <w:rsid w:val="608C1C3B"/>
    <w:rsid w:val="609337F4"/>
    <w:rsid w:val="60B01DEF"/>
    <w:rsid w:val="60B151FE"/>
    <w:rsid w:val="60CC2CF9"/>
    <w:rsid w:val="61112140"/>
    <w:rsid w:val="61500EBB"/>
    <w:rsid w:val="615F38A6"/>
    <w:rsid w:val="61730266"/>
    <w:rsid w:val="61785D1C"/>
    <w:rsid w:val="6182240A"/>
    <w:rsid w:val="61A92379"/>
    <w:rsid w:val="61CB6A21"/>
    <w:rsid w:val="61E42C28"/>
    <w:rsid w:val="61F061FA"/>
    <w:rsid w:val="622D4D58"/>
    <w:rsid w:val="625F6FAE"/>
    <w:rsid w:val="626B3D79"/>
    <w:rsid w:val="62726C0F"/>
    <w:rsid w:val="628C7CD0"/>
    <w:rsid w:val="62C236F2"/>
    <w:rsid w:val="62C531E2"/>
    <w:rsid w:val="62E82422"/>
    <w:rsid w:val="631101D6"/>
    <w:rsid w:val="63161C90"/>
    <w:rsid w:val="63275C4B"/>
    <w:rsid w:val="632C14B3"/>
    <w:rsid w:val="634A483E"/>
    <w:rsid w:val="63554566"/>
    <w:rsid w:val="63627A46"/>
    <w:rsid w:val="63917BE0"/>
    <w:rsid w:val="63952BB5"/>
    <w:rsid w:val="63A21B0F"/>
    <w:rsid w:val="63BA261B"/>
    <w:rsid w:val="63BF40D6"/>
    <w:rsid w:val="63F0428F"/>
    <w:rsid w:val="641F4B74"/>
    <w:rsid w:val="6429583D"/>
    <w:rsid w:val="642B45E0"/>
    <w:rsid w:val="64604EAC"/>
    <w:rsid w:val="64740A1C"/>
    <w:rsid w:val="647E6150"/>
    <w:rsid w:val="64915A72"/>
    <w:rsid w:val="64A21A2D"/>
    <w:rsid w:val="64B74DAD"/>
    <w:rsid w:val="64C01EB3"/>
    <w:rsid w:val="64E742EF"/>
    <w:rsid w:val="65297A59"/>
    <w:rsid w:val="653D52B2"/>
    <w:rsid w:val="65905D2A"/>
    <w:rsid w:val="65C35516"/>
    <w:rsid w:val="65DD08D2"/>
    <w:rsid w:val="661C699C"/>
    <w:rsid w:val="662D2386"/>
    <w:rsid w:val="66457796"/>
    <w:rsid w:val="66646B63"/>
    <w:rsid w:val="66680A54"/>
    <w:rsid w:val="66691180"/>
    <w:rsid w:val="66726157"/>
    <w:rsid w:val="668A4527"/>
    <w:rsid w:val="668F4651"/>
    <w:rsid w:val="66970B7E"/>
    <w:rsid w:val="66A5387A"/>
    <w:rsid w:val="66AD6467"/>
    <w:rsid w:val="66D659BE"/>
    <w:rsid w:val="66E63727"/>
    <w:rsid w:val="66EF19C1"/>
    <w:rsid w:val="67317098"/>
    <w:rsid w:val="673736F7"/>
    <w:rsid w:val="6747066A"/>
    <w:rsid w:val="67656B1B"/>
    <w:rsid w:val="676762BB"/>
    <w:rsid w:val="67A07D7A"/>
    <w:rsid w:val="67A5382C"/>
    <w:rsid w:val="67AE419D"/>
    <w:rsid w:val="67B22635"/>
    <w:rsid w:val="67EF2950"/>
    <w:rsid w:val="67F50D1F"/>
    <w:rsid w:val="67FF7197"/>
    <w:rsid w:val="683769EB"/>
    <w:rsid w:val="683937C4"/>
    <w:rsid w:val="683F7593"/>
    <w:rsid w:val="684479D5"/>
    <w:rsid w:val="68470119"/>
    <w:rsid w:val="6852376A"/>
    <w:rsid w:val="68531ADB"/>
    <w:rsid w:val="6864524C"/>
    <w:rsid w:val="68802085"/>
    <w:rsid w:val="68A35D74"/>
    <w:rsid w:val="68AD09A1"/>
    <w:rsid w:val="68E41A0F"/>
    <w:rsid w:val="68EC10AC"/>
    <w:rsid w:val="69054339"/>
    <w:rsid w:val="690A194F"/>
    <w:rsid w:val="690D16FE"/>
    <w:rsid w:val="690F33FA"/>
    <w:rsid w:val="691B77CE"/>
    <w:rsid w:val="69286279"/>
    <w:rsid w:val="69390486"/>
    <w:rsid w:val="695928D6"/>
    <w:rsid w:val="69855479"/>
    <w:rsid w:val="698C50B9"/>
    <w:rsid w:val="69D47128"/>
    <w:rsid w:val="69D63F27"/>
    <w:rsid w:val="69DC1F02"/>
    <w:rsid w:val="6A0A07B9"/>
    <w:rsid w:val="6A0C16F7"/>
    <w:rsid w:val="6A104B44"/>
    <w:rsid w:val="6A13098A"/>
    <w:rsid w:val="6A222CC8"/>
    <w:rsid w:val="6A2922A9"/>
    <w:rsid w:val="6A356EA0"/>
    <w:rsid w:val="6A7379C8"/>
    <w:rsid w:val="6A880C15"/>
    <w:rsid w:val="6AC81C04"/>
    <w:rsid w:val="6ADE7537"/>
    <w:rsid w:val="6AE10DD5"/>
    <w:rsid w:val="6AF74155"/>
    <w:rsid w:val="6AFF3E72"/>
    <w:rsid w:val="6B013226"/>
    <w:rsid w:val="6B19056F"/>
    <w:rsid w:val="6B1D45FA"/>
    <w:rsid w:val="6B221B0E"/>
    <w:rsid w:val="6B531523"/>
    <w:rsid w:val="6B574BF4"/>
    <w:rsid w:val="6B6061DA"/>
    <w:rsid w:val="6B844B8B"/>
    <w:rsid w:val="6B87197D"/>
    <w:rsid w:val="6BAA57BC"/>
    <w:rsid w:val="6BC202E6"/>
    <w:rsid w:val="6BD83A29"/>
    <w:rsid w:val="6BDC7881"/>
    <w:rsid w:val="6BFF1513"/>
    <w:rsid w:val="6C25714E"/>
    <w:rsid w:val="6C4C7320"/>
    <w:rsid w:val="6C661DFB"/>
    <w:rsid w:val="6C7543E1"/>
    <w:rsid w:val="6C7A7303"/>
    <w:rsid w:val="6C81017A"/>
    <w:rsid w:val="6C823EF2"/>
    <w:rsid w:val="6C862114"/>
    <w:rsid w:val="6C8B2DA7"/>
    <w:rsid w:val="6C963B87"/>
    <w:rsid w:val="6CA96079"/>
    <w:rsid w:val="6CAC1F8A"/>
    <w:rsid w:val="6CC60283"/>
    <w:rsid w:val="6CC81EA4"/>
    <w:rsid w:val="6CDF6314"/>
    <w:rsid w:val="6CFA617E"/>
    <w:rsid w:val="6D0524D7"/>
    <w:rsid w:val="6D056FFD"/>
    <w:rsid w:val="6D062D75"/>
    <w:rsid w:val="6D2B458A"/>
    <w:rsid w:val="6D37776E"/>
    <w:rsid w:val="6D6A50B2"/>
    <w:rsid w:val="6D747CDF"/>
    <w:rsid w:val="6D8C026B"/>
    <w:rsid w:val="6DD469CF"/>
    <w:rsid w:val="6E4E6782"/>
    <w:rsid w:val="6E557B10"/>
    <w:rsid w:val="6E5D6C7A"/>
    <w:rsid w:val="6E896EA8"/>
    <w:rsid w:val="6E8A4677"/>
    <w:rsid w:val="6E9310B7"/>
    <w:rsid w:val="6EA14455"/>
    <w:rsid w:val="6F0357BE"/>
    <w:rsid w:val="6F0D3F47"/>
    <w:rsid w:val="6F190B3E"/>
    <w:rsid w:val="6F530252"/>
    <w:rsid w:val="6F614293"/>
    <w:rsid w:val="6F881522"/>
    <w:rsid w:val="6F975F07"/>
    <w:rsid w:val="6FB01538"/>
    <w:rsid w:val="6FCB0599"/>
    <w:rsid w:val="6FFC5967"/>
    <w:rsid w:val="7016507D"/>
    <w:rsid w:val="701D640C"/>
    <w:rsid w:val="70366B8A"/>
    <w:rsid w:val="703674CE"/>
    <w:rsid w:val="704838FD"/>
    <w:rsid w:val="705A140E"/>
    <w:rsid w:val="70763D6E"/>
    <w:rsid w:val="709119F6"/>
    <w:rsid w:val="70925B12"/>
    <w:rsid w:val="709C26F0"/>
    <w:rsid w:val="70A408DB"/>
    <w:rsid w:val="70A64653"/>
    <w:rsid w:val="70A97482"/>
    <w:rsid w:val="70C1323B"/>
    <w:rsid w:val="71017ADB"/>
    <w:rsid w:val="710238C4"/>
    <w:rsid w:val="71105F71"/>
    <w:rsid w:val="711517D9"/>
    <w:rsid w:val="71360B72"/>
    <w:rsid w:val="713D769E"/>
    <w:rsid w:val="714425EE"/>
    <w:rsid w:val="715C2F64"/>
    <w:rsid w:val="71681909"/>
    <w:rsid w:val="717C53B4"/>
    <w:rsid w:val="718D75C1"/>
    <w:rsid w:val="719426FE"/>
    <w:rsid w:val="71AE02C6"/>
    <w:rsid w:val="71B132B0"/>
    <w:rsid w:val="71CF64C6"/>
    <w:rsid w:val="71E82A49"/>
    <w:rsid w:val="71F25676"/>
    <w:rsid w:val="71F72C8D"/>
    <w:rsid w:val="71F7318A"/>
    <w:rsid w:val="72036E88"/>
    <w:rsid w:val="720B63C0"/>
    <w:rsid w:val="721A3870"/>
    <w:rsid w:val="722C2936"/>
    <w:rsid w:val="723417A0"/>
    <w:rsid w:val="725D1970"/>
    <w:rsid w:val="72BA43E6"/>
    <w:rsid w:val="72C25048"/>
    <w:rsid w:val="72DA76F9"/>
    <w:rsid w:val="72DB435C"/>
    <w:rsid w:val="73265106"/>
    <w:rsid w:val="732F1C22"/>
    <w:rsid w:val="73505E3C"/>
    <w:rsid w:val="736512A7"/>
    <w:rsid w:val="736A17C6"/>
    <w:rsid w:val="737308E6"/>
    <w:rsid w:val="739641CD"/>
    <w:rsid w:val="73CA0659"/>
    <w:rsid w:val="73CD45CC"/>
    <w:rsid w:val="73CF2113"/>
    <w:rsid w:val="73D03795"/>
    <w:rsid w:val="73DE4104"/>
    <w:rsid w:val="73E01C2A"/>
    <w:rsid w:val="73E442FB"/>
    <w:rsid w:val="73F73418"/>
    <w:rsid w:val="740A4021"/>
    <w:rsid w:val="740F42BD"/>
    <w:rsid w:val="74130252"/>
    <w:rsid w:val="74141D46"/>
    <w:rsid w:val="741B501D"/>
    <w:rsid w:val="741B7106"/>
    <w:rsid w:val="746938ED"/>
    <w:rsid w:val="7472484C"/>
    <w:rsid w:val="747B5DF7"/>
    <w:rsid w:val="747F532B"/>
    <w:rsid w:val="749762D6"/>
    <w:rsid w:val="74EE4392"/>
    <w:rsid w:val="75081182"/>
    <w:rsid w:val="755F3023"/>
    <w:rsid w:val="75644ADD"/>
    <w:rsid w:val="759C1642"/>
    <w:rsid w:val="75AB1C93"/>
    <w:rsid w:val="75FE45EA"/>
    <w:rsid w:val="760F453B"/>
    <w:rsid w:val="761B163F"/>
    <w:rsid w:val="76285B0A"/>
    <w:rsid w:val="763E532E"/>
    <w:rsid w:val="764010A6"/>
    <w:rsid w:val="764467DA"/>
    <w:rsid w:val="767F1775"/>
    <w:rsid w:val="76810114"/>
    <w:rsid w:val="768A2321"/>
    <w:rsid w:val="768D3BBF"/>
    <w:rsid w:val="769C3384"/>
    <w:rsid w:val="76B965AB"/>
    <w:rsid w:val="76BE1FCB"/>
    <w:rsid w:val="76C1645A"/>
    <w:rsid w:val="76E41762"/>
    <w:rsid w:val="77156AC5"/>
    <w:rsid w:val="7717316E"/>
    <w:rsid w:val="77245C53"/>
    <w:rsid w:val="773534CC"/>
    <w:rsid w:val="773A78A3"/>
    <w:rsid w:val="773D7394"/>
    <w:rsid w:val="77440722"/>
    <w:rsid w:val="7758793E"/>
    <w:rsid w:val="775C3CBE"/>
    <w:rsid w:val="77603777"/>
    <w:rsid w:val="77860D3A"/>
    <w:rsid w:val="778C0D80"/>
    <w:rsid w:val="778D20C9"/>
    <w:rsid w:val="77901BB9"/>
    <w:rsid w:val="77A15B74"/>
    <w:rsid w:val="77AA1F24"/>
    <w:rsid w:val="77AD4519"/>
    <w:rsid w:val="77C7479C"/>
    <w:rsid w:val="77DF669D"/>
    <w:rsid w:val="78381D1A"/>
    <w:rsid w:val="78615304"/>
    <w:rsid w:val="78670B6C"/>
    <w:rsid w:val="787D038F"/>
    <w:rsid w:val="78857307"/>
    <w:rsid w:val="788D7EA7"/>
    <w:rsid w:val="788E3223"/>
    <w:rsid w:val="78BE2756"/>
    <w:rsid w:val="78BE4BF4"/>
    <w:rsid w:val="78E06AB0"/>
    <w:rsid w:val="78EA0495"/>
    <w:rsid w:val="78FD502C"/>
    <w:rsid w:val="79102FB2"/>
    <w:rsid w:val="7911009D"/>
    <w:rsid w:val="79270F6A"/>
    <w:rsid w:val="793C02BE"/>
    <w:rsid w:val="794C37FB"/>
    <w:rsid w:val="79515378"/>
    <w:rsid w:val="795B1D53"/>
    <w:rsid w:val="79752E15"/>
    <w:rsid w:val="798E0318"/>
    <w:rsid w:val="79F06609"/>
    <w:rsid w:val="79F50E8F"/>
    <w:rsid w:val="7A5B693B"/>
    <w:rsid w:val="7A6B77DD"/>
    <w:rsid w:val="7AD93877"/>
    <w:rsid w:val="7ADB139D"/>
    <w:rsid w:val="7AF20495"/>
    <w:rsid w:val="7B036FEB"/>
    <w:rsid w:val="7B122641"/>
    <w:rsid w:val="7B133AD1"/>
    <w:rsid w:val="7B1D19B6"/>
    <w:rsid w:val="7B304A74"/>
    <w:rsid w:val="7B4E1812"/>
    <w:rsid w:val="7B6273C9"/>
    <w:rsid w:val="7B7258DC"/>
    <w:rsid w:val="7B8F48CC"/>
    <w:rsid w:val="7BE40725"/>
    <w:rsid w:val="7BFC0690"/>
    <w:rsid w:val="7C0829B8"/>
    <w:rsid w:val="7C0B5CB2"/>
    <w:rsid w:val="7C120DEF"/>
    <w:rsid w:val="7C1745DC"/>
    <w:rsid w:val="7C182662"/>
    <w:rsid w:val="7C490589"/>
    <w:rsid w:val="7C4C5ED6"/>
    <w:rsid w:val="7C523B48"/>
    <w:rsid w:val="7C6F7FEF"/>
    <w:rsid w:val="7C7E46D6"/>
    <w:rsid w:val="7CA73C2D"/>
    <w:rsid w:val="7CA85BD2"/>
    <w:rsid w:val="7CBD657D"/>
    <w:rsid w:val="7CC540BD"/>
    <w:rsid w:val="7CCA3116"/>
    <w:rsid w:val="7CCD740C"/>
    <w:rsid w:val="7D060495"/>
    <w:rsid w:val="7D1B1F25"/>
    <w:rsid w:val="7D423759"/>
    <w:rsid w:val="7D5A370F"/>
    <w:rsid w:val="7D5B1C9B"/>
    <w:rsid w:val="7D695F1A"/>
    <w:rsid w:val="7DC12ACC"/>
    <w:rsid w:val="7DD30A52"/>
    <w:rsid w:val="7DD956AA"/>
    <w:rsid w:val="7DE93453"/>
    <w:rsid w:val="7DE95B7F"/>
    <w:rsid w:val="7E0E3838"/>
    <w:rsid w:val="7E176B90"/>
    <w:rsid w:val="7E260B81"/>
    <w:rsid w:val="7E2D5B39"/>
    <w:rsid w:val="7E475F28"/>
    <w:rsid w:val="7E517841"/>
    <w:rsid w:val="7E5971A9"/>
    <w:rsid w:val="7E76624F"/>
    <w:rsid w:val="7E8B290D"/>
    <w:rsid w:val="7E9278AE"/>
    <w:rsid w:val="7E97382D"/>
    <w:rsid w:val="7E9975A5"/>
    <w:rsid w:val="7E9E4BBC"/>
    <w:rsid w:val="7ED160D1"/>
    <w:rsid w:val="7EDE76AE"/>
    <w:rsid w:val="7EE30820"/>
    <w:rsid w:val="7EFC5B0D"/>
    <w:rsid w:val="7F0332B5"/>
    <w:rsid w:val="7F1103A8"/>
    <w:rsid w:val="7F1840BB"/>
    <w:rsid w:val="7F2647AD"/>
    <w:rsid w:val="7F2A1230"/>
    <w:rsid w:val="7F4C286A"/>
    <w:rsid w:val="7FC94F1F"/>
    <w:rsid w:val="7FD02A1D"/>
    <w:rsid w:val="7FE707E4"/>
    <w:rsid w:val="7FF023BA"/>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line="360" w:lineRule="auto"/>
      <w:jc w:val="center"/>
      <w:outlineLvl w:val="0"/>
    </w:pPr>
    <w:rPr>
      <w:b/>
      <w:bCs/>
      <w:kern w:val="44"/>
      <w:sz w:val="44"/>
      <w:szCs w:val="44"/>
    </w:rPr>
  </w:style>
  <w:style w:type="paragraph" w:styleId="3">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toa heading"/>
    <w:basedOn w:val="1"/>
    <w:next w:val="1"/>
    <w:qFormat/>
    <w:uiPriority w:val="0"/>
    <w:pPr>
      <w:spacing w:before="120"/>
    </w:pPr>
    <w:rPr>
      <w:rFonts w:ascii="Cambria" w:hAnsi="Cambria"/>
      <w:sz w:val="24"/>
      <w:szCs w:val="20"/>
    </w:rPr>
  </w:style>
  <w:style w:type="paragraph" w:styleId="7">
    <w:name w:val="Body Text"/>
    <w:basedOn w:val="1"/>
    <w:next w:val="1"/>
    <w:qFormat/>
    <w:uiPriority w:val="99"/>
    <w:pPr>
      <w:numPr>
        <w:ilvl w:val="0"/>
        <w:numId w:val="1"/>
      </w:numPr>
      <w:tabs>
        <w:tab w:val="clear" w:pos="780"/>
      </w:tabs>
      <w:ind w:left="0" w:firstLine="0"/>
    </w:pPr>
    <w:rPr>
      <w:rFonts w:ascii="黑体" w:eastAsia="黑体"/>
      <w:sz w:val="22"/>
    </w:rPr>
  </w:style>
  <w:style w:type="paragraph" w:styleId="8">
    <w:name w:val="Body Text Indent"/>
    <w:basedOn w:val="1"/>
    <w:next w:val="1"/>
    <w:qFormat/>
    <w:uiPriority w:val="0"/>
    <w:pPr>
      <w:spacing w:after="120"/>
      <w:ind w:left="200" w:leftChars="200"/>
    </w:pPr>
  </w:style>
  <w:style w:type="paragraph" w:styleId="9">
    <w:name w:val="Plain Text"/>
    <w:basedOn w:val="1"/>
    <w:next w:val="10"/>
    <w:qFormat/>
    <w:uiPriority w:val="0"/>
    <w:rPr>
      <w:rFonts w:ascii="宋体"/>
      <w:color w:val="000000"/>
      <w:szCs w:val="20"/>
      <w:u w:val="none" w:color="000000"/>
    </w:rPr>
  </w:style>
  <w:style w:type="paragraph" w:styleId="10">
    <w:name w:val="index 7"/>
    <w:basedOn w:val="1"/>
    <w:next w:val="1"/>
    <w:qFormat/>
    <w:uiPriority w:val="0"/>
    <w:pPr>
      <w:autoSpaceDE/>
      <w:autoSpaceDN/>
      <w:adjustRightInd/>
      <w:ind w:left="1200" w:leftChars="1200"/>
    </w:pPr>
    <w:rPr>
      <w:color w:val="auto"/>
      <w:kern w:val="2"/>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footnote text"/>
    <w:basedOn w:val="1"/>
    <w:semiHidden/>
    <w:unhideWhenUsed/>
    <w:qFormat/>
    <w:uiPriority w:val="99"/>
    <w:pPr>
      <w:snapToGrid w:val="0"/>
      <w:jc w:val="left"/>
    </w:pPr>
    <w:rPr>
      <w:sz w:val="18"/>
      <w:szCs w:val="18"/>
    </w:rPr>
  </w:style>
  <w:style w:type="paragraph" w:styleId="14">
    <w:name w:val="Body Text 2"/>
    <w:basedOn w:val="1"/>
    <w:qFormat/>
    <w:uiPriority w:val="0"/>
    <w:pPr>
      <w:tabs>
        <w:tab w:val="left" w:pos="0"/>
      </w:tabs>
      <w:spacing w:line="400" w:lineRule="atLeast"/>
    </w:pPr>
    <w:rPr>
      <w:rFonts w:ascii="Arial" w:hAnsi="Arial"/>
      <w:color w:val="000000"/>
    </w:rPr>
  </w:style>
  <w:style w:type="paragraph" w:styleId="15">
    <w:name w:val="Normal (Web)"/>
    <w:basedOn w:val="1"/>
    <w:next w:val="16"/>
    <w:qFormat/>
    <w:uiPriority w:val="99"/>
    <w:pPr>
      <w:widowControl/>
      <w:jc w:val="left"/>
    </w:pPr>
    <w:rPr>
      <w:rFonts w:ascii="宋体" w:hAnsi="宋体" w:eastAsia="宋体" w:cs="宋体"/>
      <w:kern w:val="0"/>
      <w:sz w:val="24"/>
      <w:szCs w:val="24"/>
    </w:rPr>
  </w:style>
  <w:style w:type="paragraph" w:customStyle="1" w:styleId="16">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7">
    <w:name w:val="Body Text First Indent 2"/>
    <w:basedOn w:val="8"/>
    <w:qFormat/>
    <w:uiPriority w:val="0"/>
    <w:pPr>
      <w:ind w:firstLine="420" w:firstLineChars="200"/>
    </w:pPr>
    <w:rPr>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qFormat/>
    <w:uiPriority w:val="99"/>
    <w:rPr>
      <w:color w:val="0000FF"/>
      <w:u w:val="single"/>
    </w:rPr>
  </w:style>
  <w:style w:type="character" w:styleId="23">
    <w:name w:val="footnote reference"/>
    <w:basedOn w:val="20"/>
    <w:semiHidden/>
    <w:unhideWhenUsed/>
    <w:qFormat/>
    <w:uiPriority w:val="99"/>
    <w:rPr>
      <w:vertAlign w:val="superscript"/>
    </w:rPr>
  </w:style>
  <w:style w:type="paragraph" w:customStyle="1" w:styleId="24">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5">
    <w:name w:val="_Style 2"/>
    <w:basedOn w:val="2"/>
    <w:next w:val="1"/>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customStyle="1" w:styleId="26">
    <w:name w:val="Heading3"/>
    <w:basedOn w:val="1"/>
    <w:next w:val="1"/>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27">
    <w:name w:val="标题 5（有编号）（绿盟科技）"/>
    <w:basedOn w:val="1"/>
    <w:next w:val="28"/>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9">
    <w:name w:val="文档正文"/>
    <w:basedOn w:val="5"/>
    <w:qFormat/>
    <w:uiPriority w:val="0"/>
    <w:pPr>
      <w:spacing w:line="360" w:lineRule="auto"/>
    </w:pPr>
    <w:rPr>
      <w:rFonts w:ascii="宋体" w:hAnsi="宋体"/>
      <w:b/>
      <w:bCs/>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Heading #2|1"/>
    <w:basedOn w:val="1"/>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2">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3">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4">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5">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3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37">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8">
    <w:name w:val="图例"/>
    <w:basedOn w:val="1"/>
    <w:qFormat/>
    <w:uiPriority w:val="0"/>
    <w:pPr>
      <w:spacing w:before="120" w:beforeLines="0" w:after="120" w:afterLines="0" w:line="360" w:lineRule="auto"/>
      <w:jc w:val="center"/>
    </w:pPr>
    <w:rPr>
      <w:rFonts w:eastAsia="仿宋_GB2312"/>
      <w:b/>
      <w:sz w:val="24"/>
    </w:rPr>
  </w:style>
  <w:style w:type="paragraph" w:customStyle="1" w:styleId="39">
    <w:name w:val="WPS Plain"/>
    <w:qFormat/>
    <w:uiPriority w:val="0"/>
    <w:rPr>
      <w:rFonts w:ascii="Times New Roman" w:hAnsi="Times New Roman" w:eastAsia="宋体" w:cs="Times New Roman"/>
      <w:lang w:val="en-US" w:eastAsia="zh-CN" w:bidi="ar-SA"/>
    </w:rPr>
  </w:style>
  <w:style w:type="paragraph" w:customStyle="1" w:styleId="40">
    <w:name w:val="样式 左侧:  0 厘米 悬挂缩进: 2.5 字符"/>
    <w:basedOn w:val="1"/>
    <w:qFormat/>
    <w:uiPriority w:val="0"/>
    <w:pPr>
      <w:ind w:left="525" w:hanging="525" w:hangingChars="250"/>
    </w:pPr>
    <w:rPr>
      <w:szCs w:val="20"/>
    </w:rPr>
  </w:style>
  <w:style w:type="character" w:customStyle="1" w:styleId="41">
    <w:name w:val="font11"/>
    <w:basedOn w:val="20"/>
    <w:qFormat/>
    <w:uiPriority w:val="0"/>
    <w:rPr>
      <w:rFonts w:ascii="Calibri" w:hAnsi="Calibri" w:cs="Calibri"/>
      <w:color w:val="000000"/>
      <w:sz w:val="20"/>
      <w:szCs w:val="20"/>
      <w:u w:val="none"/>
    </w:rPr>
  </w:style>
  <w:style w:type="paragraph" w:customStyle="1" w:styleId="4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43">
    <w:name w:val="表名称"/>
    <w:basedOn w:val="5"/>
    <w:qFormat/>
    <w:uiPriority w:val="0"/>
    <w:pPr>
      <w:numPr>
        <w:ilvl w:val="0"/>
        <w:numId w:val="2"/>
      </w:numPr>
      <w:ind w:firstLine="0" w:firstLineChars="0"/>
      <w:jc w:val="center"/>
    </w:pPr>
  </w:style>
  <w:style w:type="character" w:customStyle="1" w:styleId="44">
    <w:name w:val="font01"/>
    <w:basedOn w:val="20"/>
    <w:qFormat/>
    <w:uiPriority w:val="0"/>
    <w:rPr>
      <w:rFonts w:hint="eastAsia" w:ascii="宋体" w:hAnsi="宋体" w:eastAsia="宋体" w:cs="宋体"/>
      <w:color w:val="000000"/>
      <w:sz w:val="18"/>
      <w:szCs w:val="18"/>
      <w:u w:val="none"/>
    </w:rPr>
  </w:style>
  <w:style w:type="paragraph" w:customStyle="1" w:styleId="45">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22752</Words>
  <Characters>24415</Characters>
  <Lines>0</Lines>
  <Paragraphs>0</Paragraphs>
  <TotalTime>6</TotalTime>
  <ScaleCrop>false</ScaleCrop>
  <LinksUpToDate>false</LinksUpToDate>
  <CharactersWithSpaces>24960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阎魔爱</cp:lastModifiedBy>
  <cp:lastPrinted>2025-04-02T16:55:00Z</cp:lastPrinted>
  <dcterms:modified xsi:type="dcterms:W3CDTF">2025-07-10T02:36:30Z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DE40A8C974E7436A873F822AD665CD6B_13</vt:lpwstr>
  </property>
  <property fmtid="{D5CDD505-2E9C-101B-9397-08002B2CF9AE}" pid="4" name="KSOTemplateDocerSaveRecord">
    <vt:lpwstr>eyJoZGlkIjoiZTQ2MDJhNTc1ZDEzZGQ2MTM4MTIxZGFiZDEzZjA4NGMiLCJ1c2VySWQiOiI0MTc3MDg5NDAifQ==</vt:lpwstr>
  </property>
</Properties>
</file>