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b/>
          <w:color w:val="000000" w:themeColor="text1"/>
          <w:sz w:val="52"/>
          <w:szCs w:val="52"/>
          <w:highlight w:val="none"/>
          <w:lang w:val="en-US" w:eastAsia="zh-CN"/>
          <w14:textFill>
            <w14:solidFill>
              <w14:schemeClr w14:val="tx1"/>
            </w14:solidFill>
          </w14:textFill>
        </w:rPr>
        <w:t>沙雅县城区绿化苗木种植采购</w:t>
      </w:r>
    </w:p>
    <w:p>
      <w:pPr>
        <w:pStyle w:val="7"/>
        <w:rPr>
          <w:rFonts w:hint="eastAsia"/>
          <w:color w:val="000000" w:themeColor="text1"/>
          <w14:textFill>
            <w14:solidFill>
              <w14:schemeClr w14:val="tx1"/>
            </w14:solidFill>
          </w14:textFill>
        </w:rPr>
      </w:pPr>
    </w:p>
    <w:p>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spacing w:line="360" w:lineRule="auto"/>
        <w:jc w:val="center"/>
        <w:outlineLvl w:val="0"/>
        <w:rPr>
          <w:rFonts w:hint="eastAsia" w:ascii="宋体" w:hAnsi="宋体" w:cs="宋体"/>
          <w:b/>
          <w:color w:val="000000" w:themeColor="text1"/>
          <w:sz w:val="144"/>
          <w:szCs w:val="144"/>
          <w:highlight w:val="none"/>
          <w14:textFill>
            <w14:solidFill>
              <w14:schemeClr w14:val="tx1"/>
            </w14:solidFill>
          </w14:textFill>
        </w:rPr>
      </w:pPr>
      <w:r>
        <w:rPr>
          <w:rFonts w:hint="eastAsia" w:ascii="宋体" w:hAnsi="宋体" w:cs="宋体"/>
          <w:b/>
          <w:color w:val="000000" w:themeColor="text1"/>
          <w:sz w:val="144"/>
          <w:szCs w:val="144"/>
          <w:highlight w:val="none"/>
          <w14:textFill>
            <w14:solidFill>
              <w14:schemeClr w14:val="tx1"/>
            </w14:solidFill>
          </w14:textFill>
        </w:rPr>
        <w:t>招 标 文 件</w:t>
      </w:r>
    </w:p>
    <w:p>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pPr>
        <w:pStyle w:val="7"/>
        <w:rPr>
          <w:rFonts w:hint="eastAsia"/>
          <w:color w:val="000000" w:themeColor="text1"/>
          <w:highlight w:val="none"/>
          <w14:textFill>
            <w14:solidFill>
              <w14:schemeClr w14:val="tx1"/>
            </w14:solidFill>
          </w14:textFill>
        </w:rPr>
      </w:pPr>
    </w:p>
    <w:p>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ind w:firstLine="1285" w:firstLineChars="400"/>
        <w:outlineLvl w:val="0"/>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采 购 人：</w:t>
      </w:r>
      <w:r>
        <w:rPr>
          <w:rFonts w:hint="eastAsia" w:ascii="宋体" w:hAnsi="宋体" w:cs="宋体"/>
          <w:b/>
          <w:bCs/>
          <w:color w:val="000000" w:themeColor="text1"/>
          <w:sz w:val="32"/>
          <w:szCs w:val="32"/>
          <w:highlight w:val="none"/>
          <w:lang w:eastAsia="zh-CN"/>
          <w14:textFill>
            <w14:solidFill>
              <w14:schemeClr w14:val="tx1"/>
            </w14:solidFill>
          </w14:textFill>
        </w:rPr>
        <w:t>新疆沙雅县住房和城乡建设局</w:t>
      </w:r>
    </w:p>
    <w:p>
      <w:pPr>
        <w:adjustRightInd w:val="0"/>
        <w:snapToGrid w:val="0"/>
        <w:spacing w:line="360" w:lineRule="auto"/>
        <w:ind w:firstLine="1285" w:firstLineChars="400"/>
        <w:outlineLvl w:val="0"/>
        <w:rPr>
          <w:rFonts w:hint="eastAsia"/>
          <w:color w:val="000000" w:themeColor="text1"/>
          <w:lang w:val="en-US" w:eastAsia="zh-CN"/>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招标编号：</w:t>
      </w:r>
      <w:r>
        <w:rPr>
          <w:rFonts w:hint="eastAsia" w:ascii="宋体" w:hAnsi="宋体" w:cs="宋体"/>
          <w:b/>
          <w:bCs/>
          <w:color w:val="000000" w:themeColor="text1"/>
          <w:sz w:val="32"/>
          <w:szCs w:val="32"/>
          <w:highlight w:val="none"/>
          <w:lang w:eastAsia="zh-CN"/>
          <w14:textFill>
            <w14:solidFill>
              <w14:schemeClr w14:val="tx1"/>
            </w14:solidFill>
          </w14:textFill>
        </w:rPr>
        <w:t>XJDC-(2023)-CG009</w:t>
      </w:r>
    </w:p>
    <w:p>
      <w:pPr>
        <w:adjustRightInd w:val="0"/>
        <w:snapToGrid w:val="0"/>
        <w:spacing w:line="360" w:lineRule="auto"/>
        <w:ind w:firstLine="1285" w:firstLineChars="400"/>
        <w:outlineLvl w:val="0"/>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采购代理机构：</w:t>
      </w:r>
      <w:r>
        <w:rPr>
          <w:rFonts w:hint="eastAsia" w:ascii="宋体" w:hAnsi="宋体" w:cs="宋体"/>
          <w:b/>
          <w:bCs/>
          <w:color w:val="000000" w:themeColor="text1"/>
          <w:sz w:val="32"/>
          <w:szCs w:val="32"/>
          <w:highlight w:val="none"/>
          <w:lang w:eastAsia="zh-CN"/>
          <w14:textFill>
            <w14:solidFill>
              <w14:schemeClr w14:val="tx1"/>
            </w14:solidFill>
          </w14:textFill>
        </w:rPr>
        <w:t>新疆东晨项目管理有限公司</w:t>
      </w:r>
    </w:p>
    <w:p>
      <w:pPr>
        <w:adjustRightInd w:val="0"/>
        <w:snapToGrid w:val="0"/>
        <w:spacing w:line="360" w:lineRule="auto"/>
        <w:jc w:val="center"/>
        <w:rPr>
          <w:rFonts w:hint="eastAsia" w:ascii="宋体" w:hAnsi="宋体" w:cs="宋体"/>
          <w:b/>
          <w:bCs/>
          <w:color w:val="000000" w:themeColor="text1"/>
          <w:sz w:val="32"/>
          <w:szCs w:val="32"/>
          <w:highlight w:val="none"/>
          <w14:textFill>
            <w14:solidFill>
              <w14:schemeClr w14:val="tx1"/>
            </w14:solidFill>
          </w14:textFill>
        </w:rPr>
      </w:pPr>
    </w:p>
    <w:p>
      <w:pPr>
        <w:adjustRightInd w:val="0"/>
        <w:snapToGrid w:val="0"/>
        <w:spacing w:line="360" w:lineRule="auto"/>
        <w:jc w:val="center"/>
        <w:outlineLvl w:val="0"/>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二〇二</w:t>
      </w:r>
      <w:r>
        <w:rPr>
          <w:rFonts w:hint="eastAsia" w:ascii="宋体" w:hAnsi="宋体" w:cs="宋体"/>
          <w:b/>
          <w:bCs/>
          <w:color w:val="000000" w:themeColor="text1"/>
          <w:sz w:val="32"/>
          <w:szCs w:val="32"/>
          <w:highlight w:val="none"/>
          <w:lang w:eastAsia="zh-CN"/>
          <w14:textFill>
            <w14:solidFill>
              <w14:schemeClr w14:val="tx1"/>
            </w14:solidFill>
          </w14:textFill>
        </w:rPr>
        <w:t>三</w:t>
      </w:r>
      <w:r>
        <w:rPr>
          <w:rFonts w:hint="eastAsia" w:ascii="宋体" w:hAnsi="宋体" w:cs="宋体"/>
          <w:b/>
          <w:bCs/>
          <w:color w:val="000000" w:themeColor="text1"/>
          <w:sz w:val="32"/>
          <w:szCs w:val="32"/>
          <w:highlight w:val="none"/>
          <w14:textFill>
            <w14:solidFill>
              <w14:schemeClr w14:val="tx1"/>
            </w14:solidFill>
          </w14:textFill>
        </w:rPr>
        <w:t>年</w:t>
      </w:r>
      <w:r>
        <w:rPr>
          <w:rFonts w:hint="eastAsia" w:ascii="宋体" w:hAnsi="宋体" w:cs="宋体"/>
          <w:b/>
          <w:bCs/>
          <w:color w:val="000000" w:themeColor="text1"/>
          <w:sz w:val="32"/>
          <w:szCs w:val="32"/>
          <w:highlight w:val="none"/>
          <w:lang w:val="en-US" w:eastAsia="zh-CN"/>
          <w14:textFill>
            <w14:solidFill>
              <w14:schemeClr w14:val="tx1"/>
            </w14:solidFill>
          </w14:textFill>
        </w:rPr>
        <w:t>二</w:t>
      </w:r>
      <w:r>
        <w:rPr>
          <w:rFonts w:hint="eastAsia" w:ascii="宋体" w:hAnsi="宋体" w:cs="宋体"/>
          <w:b/>
          <w:bCs/>
          <w:color w:val="000000" w:themeColor="text1"/>
          <w:sz w:val="32"/>
          <w:szCs w:val="32"/>
          <w:highlight w:val="none"/>
          <w14:textFill>
            <w14:solidFill>
              <w14:schemeClr w14:val="tx1"/>
            </w14:solidFill>
          </w14:textFill>
        </w:rPr>
        <w:t>月</w:t>
      </w:r>
    </w:p>
    <w:p>
      <w:pPr>
        <w:pStyle w:val="12"/>
        <w:rPr>
          <w:rFonts w:hint="eastAsia" w:ascii="宋体" w:hAnsi="宋体" w:cs="宋体"/>
          <w:b/>
          <w:bCs/>
          <w:color w:val="000000" w:themeColor="text1"/>
          <w:sz w:val="32"/>
          <w:szCs w:val="32"/>
          <w:highlight w:val="none"/>
          <w14:textFill>
            <w14:solidFill>
              <w14:schemeClr w14:val="tx1"/>
            </w14:solidFill>
          </w14:textFill>
        </w:rPr>
      </w:pPr>
    </w:p>
    <w:p>
      <w:pPr>
        <w:pStyle w:val="12"/>
        <w:rPr>
          <w:rFonts w:hint="eastAsia" w:ascii="宋体" w:hAnsi="宋体" w:cs="宋体"/>
          <w:b/>
          <w:bCs/>
          <w:color w:val="000000" w:themeColor="text1"/>
          <w:sz w:val="32"/>
          <w:szCs w:val="32"/>
          <w:highlight w:val="none"/>
          <w14:textFill>
            <w14:solidFill>
              <w14:schemeClr w14:val="tx1"/>
            </w14:solidFill>
          </w14:textFill>
        </w:rPr>
      </w:pPr>
    </w:p>
    <w:p>
      <w:pPr>
        <w:pStyle w:val="12"/>
        <w:rPr>
          <w:rFonts w:hint="eastAsia" w:ascii="宋体" w:hAnsi="宋体" w:cs="宋体"/>
          <w:b/>
          <w:bCs/>
          <w:color w:val="000000" w:themeColor="text1"/>
          <w:sz w:val="32"/>
          <w:szCs w:val="32"/>
          <w:highlight w:val="none"/>
          <w14:textFill>
            <w14:solidFill>
              <w14:schemeClr w14:val="tx1"/>
            </w14:solidFill>
          </w14:textFill>
        </w:rPr>
      </w:pPr>
    </w:p>
    <w:p>
      <w:pPr>
        <w:widowControl/>
        <w:spacing w:line="700" w:lineRule="exact"/>
        <w:ind w:left="3630" w:hanging="3630" w:hangingChars="825"/>
        <w:jc w:val="center"/>
        <w:outlineLvl w:val="1"/>
        <w:rPr>
          <w:rFonts w:hint="eastAsia" w:ascii="宋体" w:hAnsi="宋体" w:cs="宋体"/>
          <w:bCs/>
          <w:color w:val="000000" w:themeColor="text1"/>
          <w:sz w:val="44"/>
          <w:szCs w:val="44"/>
          <w:highlight w:val="none"/>
          <w:lang w:eastAsia="zh-CN"/>
          <w14:textFill>
            <w14:solidFill>
              <w14:schemeClr w14:val="tx1"/>
            </w14:solidFill>
          </w14:textFill>
        </w:rPr>
      </w:pPr>
    </w:p>
    <w:p>
      <w:pPr>
        <w:widowControl/>
        <w:spacing w:line="700" w:lineRule="exact"/>
        <w:ind w:left="3630" w:hanging="3630" w:hangingChars="825"/>
        <w:jc w:val="center"/>
        <w:outlineLvl w:val="1"/>
        <w:rPr>
          <w:rFonts w:hint="eastAsia" w:ascii="宋体" w:hAnsi="宋体" w:cs="宋体"/>
          <w:bCs/>
          <w:color w:val="000000" w:themeColor="text1"/>
          <w:sz w:val="44"/>
          <w:szCs w:val="44"/>
          <w:highlight w:val="none"/>
          <w:lang w:eastAsia="zh-CN"/>
          <w14:textFill>
            <w14:solidFill>
              <w14:schemeClr w14:val="tx1"/>
            </w14:solidFill>
          </w14:textFill>
        </w:rPr>
      </w:pPr>
    </w:p>
    <w:p>
      <w:pPr>
        <w:widowControl/>
        <w:spacing w:line="700" w:lineRule="exact"/>
        <w:ind w:left="3630" w:hanging="3630" w:hangingChars="825"/>
        <w:jc w:val="center"/>
        <w:outlineLvl w:val="1"/>
        <w:rPr>
          <w:rFonts w:hint="eastAsia" w:ascii="宋体" w:hAnsi="宋体" w:cs="宋体"/>
          <w:bCs/>
          <w:color w:val="000000" w:themeColor="text1"/>
          <w:sz w:val="44"/>
          <w:szCs w:val="44"/>
          <w:highlight w:val="none"/>
          <w:lang w:eastAsia="zh-CN"/>
          <w14:textFill>
            <w14:solidFill>
              <w14:schemeClr w14:val="tx1"/>
            </w14:solidFill>
          </w14:textFill>
        </w:rPr>
      </w:pPr>
    </w:p>
    <w:p>
      <w:pPr>
        <w:widowControl/>
        <w:spacing w:line="700" w:lineRule="exact"/>
        <w:ind w:left="3630" w:hanging="3630" w:hangingChars="825"/>
        <w:jc w:val="center"/>
        <w:outlineLvl w:val="1"/>
        <w:rPr>
          <w:rFonts w:hint="eastAsia" w:ascii="宋体" w:hAnsi="宋体" w:cs="宋体"/>
          <w:bCs/>
          <w:color w:val="000000" w:themeColor="text1"/>
          <w:sz w:val="44"/>
          <w:szCs w:val="44"/>
          <w:highlight w:val="none"/>
          <w:lang w:eastAsia="zh-CN"/>
          <w14:textFill>
            <w14:solidFill>
              <w14:schemeClr w14:val="tx1"/>
            </w14:solidFill>
          </w14:textFill>
        </w:rPr>
      </w:pPr>
    </w:p>
    <w:p>
      <w:pPr>
        <w:widowControl/>
        <w:spacing w:line="700" w:lineRule="exact"/>
        <w:ind w:left="3630" w:hanging="3630" w:hangingChars="825"/>
        <w:jc w:val="center"/>
        <w:outlineLvl w:val="1"/>
        <w:rPr>
          <w:rFonts w:hint="eastAsia" w:ascii="宋体" w:hAnsi="宋体" w:cs="宋体"/>
          <w:bCs/>
          <w:color w:val="000000" w:themeColor="text1"/>
          <w:sz w:val="44"/>
          <w:szCs w:val="44"/>
          <w:highlight w:val="none"/>
          <w:lang w:eastAsia="zh-CN"/>
          <w14:textFill>
            <w14:solidFill>
              <w14:schemeClr w14:val="tx1"/>
            </w14:solidFill>
          </w14:textFill>
        </w:rPr>
      </w:pPr>
    </w:p>
    <w:p>
      <w:pPr>
        <w:widowControl/>
        <w:spacing w:line="700" w:lineRule="exact"/>
        <w:ind w:left="3630" w:hanging="3630" w:hangingChars="825"/>
        <w:jc w:val="center"/>
        <w:outlineLvl w:val="1"/>
        <w:rPr>
          <w:rFonts w:hint="eastAsia" w:ascii="宋体" w:hAnsi="宋体" w:cs="宋体"/>
          <w:bCs/>
          <w:color w:val="000000" w:themeColor="text1"/>
          <w:sz w:val="44"/>
          <w:szCs w:val="44"/>
          <w:highlight w:val="none"/>
          <w:lang w:eastAsia="zh-CN"/>
          <w14:textFill>
            <w14:solidFill>
              <w14:schemeClr w14:val="tx1"/>
            </w14:solidFill>
          </w14:textFill>
        </w:rPr>
      </w:pPr>
    </w:p>
    <w:p>
      <w:pPr>
        <w:widowControl/>
        <w:spacing w:line="700" w:lineRule="exact"/>
        <w:ind w:left="3630" w:hanging="3630" w:hangingChars="825"/>
        <w:jc w:val="center"/>
        <w:outlineLvl w:val="1"/>
        <w:rPr>
          <w:rFonts w:hint="eastAsia" w:ascii="宋体" w:hAnsi="宋体" w:cs="宋体"/>
          <w:bCs/>
          <w:color w:val="000000" w:themeColor="text1"/>
          <w:sz w:val="44"/>
          <w:szCs w:val="44"/>
          <w:highlight w:val="none"/>
          <w:lang w:eastAsia="zh-CN"/>
          <w14:textFill>
            <w14:solidFill>
              <w14:schemeClr w14:val="tx1"/>
            </w14:solidFill>
          </w14:textFill>
        </w:rPr>
      </w:pPr>
    </w:p>
    <w:p>
      <w:pPr>
        <w:widowControl/>
        <w:spacing w:line="700" w:lineRule="exact"/>
        <w:ind w:left="3630" w:hanging="3630" w:hangingChars="825"/>
        <w:jc w:val="center"/>
        <w:outlineLvl w:val="1"/>
        <w:rPr>
          <w:rFonts w:hint="eastAsia" w:ascii="宋体" w:hAnsi="宋体" w:cs="宋体"/>
          <w:bCs/>
          <w:color w:val="000000" w:themeColor="text1"/>
          <w:sz w:val="44"/>
          <w:szCs w:val="44"/>
          <w:highlight w:val="none"/>
          <w:lang w:eastAsia="zh-CN"/>
          <w14:textFill>
            <w14:solidFill>
              <w14:schemeClr w14:val="tx1"/>
            </w14:solidFill>
          </w14:textFill>
        </w:rPr>
      </w:pPr>
    </w:p>
    <w:p>
      <w:pPr>
        <w:widowControl/>
        <w:spacing w:line="700" w:lineRule="exact"/>
        <w:ind w:left="3630" w:hanging="3630" w:hangingChars="825"/>
        <w:jc w:val="center"/>
        <w:outlineLvl w:val="1"/>
        <w:rPr>
          <w:rFonts w:hint="eastAsia" w:ascii="宋体" w:hAnsi="宋体" w:cs="宋体"/>
          <w:bCs/>
          <w:color w:val="000000" w:themeColor="text1"/>
          <w:sz w:val="44"/>
          <w:szCs w:val="44"/>
          <w:highlight w:val="none"/>
          <w:lang w:eastAsia="zh-CN"/>
          <w14:textFill>
            <w14:solidFill>
              <w14:schemeClr w14:val="tx1"/>
            </w14:solidFill>
          </w14:textFill>
        </w:rPr>
      </w:pPr>
    </w:p>
    <w:p>
      <w:pPr>
        <w:widowControl/>
        <w:spacing w:line="700" w:lineRule="exact"/>
        <w:ind w:left="3630" w:hanging="3630" w:hangingChars="825"/>
        <w:jc w:val="center"/>
        <w:outlineLvl w:val="1"/>
        <w:rPr>
          <w:rFonts w:hint="eastAsia" w:ascii="宋体" w:hAnsi="宋体" w:cs="宋体"/>
          <w:bCs/>
          <w:color w:val="000000" w:themeColor="text1"/>
          <w:sz w:val="44"/>
          <w:szCs w:val="44"/>
          <w:highlight w:val="none"/>
          <w:lang w:eastAsia="zh-CN"/>
          <w14:textFill>
            <w14:solidFill>
              <w14:schemeClr w14:val="tx1"/>
            </w14:solidFill>
          </w14:textFill>
        </w:rPr>
      </w:pPr>
    </w:p>
    <w:p>
      <w:pPr>
        <w:widowControl/>
        <w:spacing w:line="700" w:lineRule="exact"/>
        <w:ind w:left="3630" w:hanging="3630" w:hangingChars="825"/>
        <w:jc w:val="center"/>
        <w:outlineLvl w:val="1"/>
        <w:rPr>
          <w:rFonts w:hint="eastAsia" w:ascii="宋体" w:hAnsi="宋体" w:cs="宋体"/>
          <w:bCs/>
          <w:color w:val="000000" w:themeColor="text1"/>
          <w:sz w:val="44"/>
          <w:szCs w:val="44"/>
          <w:highlight w:val="none"/>
          <w:lang w:eastAsia="zh-CN"/>
          <w14:textFill>
            <w14:solidFill>
              <w14:schemeClr w14:val="tx1"/>
            </w14:solidFill>
          </w14:textFill>
        </w:rPr>
      </w:pPr>
    </w:p>
    <w:p>
      <w:pPr>
        <w:widowControl/>
        <w:spacing w:line="700" w:lineRule="exact"/>
        <w:ind w:left="3630" w:hanging="3630" w:hangingChars="825"/>
        <w:jc w:val="center"/>
        <w:outlineLvl w:val="1"/>
        <w:rPr>
          <w:rFonts w:hint="eastAsia" w:ascii="宋体" w:hAnsi="宋体" w:cs="宋体"/>
          <w:bCs/>
          <w:color w:val="000000" w:themeColor="text1"/>
          <w:sz w:val="44"/>
          <w:szCs w:val="44"/>
          <w:highlight w:val="none"/>
          <w:lang w:eastAsia="zh-CN"/>
          <w14:textFill>
            <w14:solidFill>
              <w14:schemeClr w14:val="tx1"/>
            </w14:solidFill>
          </w14:textFill>
        </w:rPr>
      </w:pPr>
    </w:p>
    <w:p>
      <w:pPr>
        <w:widowControl/>
        <w:spacing w:line="700" w:lineRule="exact"/>
        <w:ind w:left="3630" w:hanging="3630" w:hangingChars="825"/>
        <w:jc w:val="center"/>
        <w:outlineLvl w:val="1"/>
        <w:rPr>
          <w:rFonts w:hint="eastAsia" w:ascii="宋体" w:hAnsi="宋体" w:cs="宋体"/>
          <w:bCs/>
          <w:color w:val="000000" w:themeColor="text1"/>
          <w:sz w:val="44"/>
          <w:szCs w:val="44"/>
          <w:highlight w:val="none"/>
          <w:lang w:eastAsia="zh-CN"/>
          <w14:textFill>
            <w14:solidFill>
              <w14:schemeClr w14:val="tx1"/>
            </w14:solidFill>
          </w14:textFill>
        </w:rPr>
      </w:pPr>
    </w:p>
    <w:p>
      <w:pPr>
        <w:widowControl/>
        <w:spacing w:line="700" w:lineRule="exact"/>
        <w:ind w:left="3630" w:hanging="3630" w:hangingChars="825"/>
        <w:jc w:val="center"/>
        <w:outlineLvl w:val="1"/>
        <w:rPr>
          <w:rFonts w:hint="eastAsia" w:ascii="宋体" w:hAnsi="宋体" w:cs="宋体"/>
          <w:bCs/>
          <w:color w:val="000000" w:themeColor="text1"/>
          <w:sz w:val="44"/>
          <w:szCs w:val="44"/>
          <w:highlight w:val="none"/>
          <w:lang w:eastAsia="zh-CN"/>
          <w14:textFill>
            <w14:solidFill>
              <w14:schemeClr w14:val="tx1"/>
            </w14:solidFill>
          </w14:textFill>
        </w:rPr>
      </w:pPr>
    </w:p>
    <w:p>
      <w:pPr>
        <w:widowControl/>
        <w:spacing w:line="700" w:lineRule="exact"/>
        <w:ind w:left="3630" w:hanging="3630" w:hangingChars="825"/>
        <w:jc w:val="center"/>
        <w:outlineLvl w:val="1"/>
        <w:rPr>
          <w:rFonts w:hint="eastAsia" w:ascii="宋体" w:hAnsi="宋体" w:cs="宋体"/>
          <w:bCs/>
          <w:color w:val="000000" w:themeColor="text1"/>
          <w:sz w:val="44"/>
          <w:szCs w:val="44"/>
          <w:highlight w:val="none"/>
          <w:lang w:eastAsia="zh-CN"/>
          <w14:textFill>
            <w14:solidFill>
              <w14:schemeClr w14:val="tx1"/>
            </w14:solidFill>
          </w14:textFill>
        </w:rPr>
      </w:pPr>
    </w:p>
    <w:p>
      <w:pPr>
        <w:widowControl/>
        <w:spacing w:line="700" w:lineRule="exact"/>
        <w:ind w:left="3630" w:hanging="3630" w:hangingChars="825"/>
        <w:jc w:val="center"/>
        <w:outlineLvl w:val="1"/>
        <w:rPr>
          <w:rFonts w:hint="eastAsia" w:ascii="宋体" w:hAnsi="宋体" w:cs="宋体"/>
          <w:bCs/>
          <w:color w:val="000000" w:themeColor="text1"/>
          <w:sz w:val="44"/>
          <w:szCs w:val="44"/>
          <w:highlight w:val="none"/>
          <w:lang w:eastAsia="zh-CN"/>
          <w14:textFill>
            <w14:solidFill>
              <w14:schemeClr w14:val="tx1"/>
            </w14:solidFill>
          </w14:textFill>
        </w:rPr>
      </w:pPr>
    </w:p>
    <w:p>
      <w:pPr>
        <w:widowControl/>
        <w:spacing w:line="700" w:lineRule="exact"/>
        <w:ind w:left="3630" w:hanging="3630" w:hangingChars="825"/>
        <w:jc w:val="center"/>
        <w:outlineLvl w:val="1"/>
        <w:rPr>
          <w:rFonts w:hint="eastAsia" w:ascii="宋体" w:hAnsi="宋体" w:cs="宋体"/>
          <w:bCs/>
          <w:color w:val="000000" w:themeColor="text1"/>
          <w:sz w:val="44"/>
          <w:szCs w:val="44"/>
          <w:highlight w:val="none"/>
          <w:lang w:eastAsia="zh-CN"/>
          <w14:textFill>
            <w14:solidFill>
              <w14:schemeClr w14:val="tx1"/>
            </w14:solidFill>
          </w14:textFill>
        </w:rPr>
      </w:pPr>
    </w:p>
    <w:p>
      <w:pPr>
        <w:widowControl/>
        <w:spacing w:line="700" w:lineRule="exact"/>
        <w:ind w:left="3630" w:hanging="3630" w:hangingChars="825"/>
        <w:jc w:val="center"/>
        <w:outlineLvl w:val="1"/>
        <w:rPr>
          <w:rFonts w:hint="eastAsia" w:ascii="宋体" w:hAnsi="宋体" w:cs="宋体"/>
          <w:bCs/>
          <w:color w:val="000000" w:themeColor="text1"/>
          <w:sz w:val="44"/>
          <w:szCs w:val="44"/>
          <w:highlight w:val="none"/>
          <w:lang w:eastAsia="zh-CN"/>
          <w14:textFill>
            <w14:solidFill>
              <w14:schemeClr w14:val="tx1"/>
            </w14:solidFill>
          </w14:textFill>
        </w:rPr>
      </w:pPr>
    </w:p>
    <w:p>
      <w:pPr>
        <w:widowControl/>
        <w:spacing w:line="700" w:lineRule="exact"/>
        <w:ind w:left="3630" w:hanging="3630" w:hangingChars="825"/>
        <w:jc w:val="center"/>
        <w:outlineLvl w:val="1"/>
        <w:rPr>
          <w:rFonts w:hint="eastAsia" w:ascii="宋体" w:hAnsi="宋体" w:cs="宋体"/>
          <w:bCs/>
          <w:color w:val="000000" w:themeColor="text1"/>
          <w:sz w:val="44"/>
          <w:szCs w:val="44"/>
          <w:highlight w:val="none"/>
          <w:lang w:eastAsia="zh-CN"/>
          <w14:textFill>
            <w14:solidFill>
              <w14:schemeClr w14:val="tx1"/>
            </w14:solidFill>
          </w14:textFill>
        </w:rPr>
      </w:pPr>
    </w:p>
    <w:p>
      <w:pPr>
        <w:widowControl/>
        <w:spacing w:line="700" w:lineRule="exact"/>
        <w:ind w:left="3630" w:hanging="3630" w:hangingChars="825"/>
        <w:jc w:val="center"/>
        <w:outlineLvl w:val="1"/>
        <w:rPr>
          <w:rFonts w:hint="eastAsia" w:ascii="宋体" w:hAnsi="宋体" w:cs="宋体"/>
          <w:bCs/>
          <w:color w:val="000000" w:themeColor="text1"/>
          <w:sz w:val="44"/>
          <w:szCs w:val="44"/>
          <w:highlight w:val="none"/>
          <w:lang w:eastAsia="zh-CN"/>
          <w14:textFill>
            <w14:solidFill>
              <w14:schemeClr w14:val="tx1"/>
            </w14:solidFill>
          </w14:textFill>
        </w:rPr>
      </w:pPr>
    </w:p>
    <w:p>
      <w:pPr>
        <w:widowControl/>
        <w:spacing w:line="700" w:lineRule="exact"/>
        <w:ind w:left="3630" w:hanging="3630" w:hangingChars="825"/>
        <w:jc w:val="center"/>
        <w:outlineLvl w:val="1"/>
        <w:rPr>
          <w:rFonts w:ascii="宋体" w:hAnsi="宋体" w:cs="宋体"/>
          <w:bCs/>
          <w:color w:val="000000" w:themeColor="text1"/>
          <w:sz w:val="44"/>
          <w:szCs w:val="44"/>
          <w:highlight w:val="none"/>
          <w14:textFill>
            <w14:solidFill>
              <w14:schemeClr w14:val="tx1"/>
            </w14:solidFill>
          </w14:textFill>
        </w:rPr>
      </w:pPr>
      <w:r>
        <w:rPr>
          <w:rFonts w:hint="eastAsia" w:ascii="宋体" w:hAnsi="宋体" w:cs="宋体"/>
          <w:bCs/>
          <w:color w:val="000000" w:themeColor="text1"/>
          <w:sz w:val="44"/>
          <w:szCs w:val="44"/>
          <w:highlight w:val="none"/>
          <w:lang w:eastAsia="zh-CN"/>
          <w14:textFill>
            <w14:solidFill>
              <w14:schemeClr w14:val="tx1"/>
            </w14:solidFill>
          </w14:textFill>
        </w:rPr>
        <w:t>招标</w:t>
      </w:r>
      <w:r>
        <w:rPr>
          <w:rFonts w:hint="eastAsia" w:ascii="宋体" w:hAnsi="宋体" w:cs="宋体"/>
          <w:bCs/>
          <w:color w:val="000000" w:themeColor="text1"/>
          <w:sz w:val="44"/>
          <w:szCs w:val="44"/>
          <w:highlight w:val="none"/>
          <w14:textFill>
            <w14:solidFill>
              <w14:schemeClr w14:val="tx1"/>
            </w14:solidFill>
          </w14:textFill>
        </w:rPr>
        <w:t>文件</w:t>
      </w:r>
    </w:p>
    <w:p>
      <w:pPr>
        <w:pStyle w:val="7"/>
        <w:rPr>
          <w:color w:val="000000" w:themeColor="text1"/>
          <w:highlight w:val="none"/>
          <w14:textFill>
            <w14:solidFill>
              <w14:schemeClr w14:val="tx1"/>
            </w14:solidFill>
          </w14:textFill>
        </w:rPr>
      </w:pPr>
    </w:p>
    <w:p>
      <w:pPr>
        <w:spacing w:line="360" w:lineRule="auto"/>
        <w:ind w:left="2357" w:leftChars="269" w:hanging="1792" w:hangingChars="640"/>
        <w:outlineLvl w:val="1"/>
        <w:rPr>
          <w:rFonts w:hint="eastAsia" w:ascii="宋体" w:hAnsi="宋体" w:eastAsia="宋体" w:cs="宋体"/>
          <w:bCs/>
          <w:color w:val="000000" w:themeColor="text1"/>
          <w:sz w:val="28"/>
          <w:szCs w:val="28"/>
          <w:highlight w:val="none"/>
          <w:lang w:val="en-US" w:eastAsia="zh-CN"/>
          <w14:textFill>
            <w14:solidFill>
              <w14:schemeClr w14:val="tx1"/>
            </w14:solidFill>
          </w14:textFill>
        </w:rPr>
      </w:pPr>
      <w:r>
        <w:rPr>
          <w:rFonts w:hint="eastAsia" w:ascii="宋体" w:hAnsi="宋体" w:cs="宋体"/>
          <w:bCs/>
          <w:color w:val="000000" w:themeColor="text1"/>
          <w:sz w:val="28"/>
          <w:szCs w:val="28"/>
          <w:highlight w:val="none"/>
          <w:lang w:eastAsia="zh-CN"/>
          <w14:textFill>
            <w14:solidFill>
              <w14:schemeClr w14:val="tx1"/>
            </w14:solidFill>
          </w14:textFill>
        </w:rPr>
        <w:t>项目</w:t>
      </w:r>
      <w:r>
        <w:rPr>
          <w:rFonts w:hint="eastAsia" w:ascii="宋体" w:hAnsi="宋体" w:cs="宋体"/>
          <w:bCs/>
          <w:color w:val="000000" w:themeColor="text1"/>
          <w:sz w:val="28"/>
          <w:szCs w:val="28"/>
          <w:highlight w:val="none"/>
          <w14:textFill>
            <w14:solidFill>
              <w14:schemeClr w14:val="tx1"/>
            </w14:solidFill>
          </w14:textFill>
        </w:rPr>
        <w:t>名称：</w:t>
      </w:r>
      <w:r>
        <w:rPr>
          <w:rFonts w:hint="eastAsia" w:ascii="宋体" w:hAnsi="宋体" w:cs="宋体"/>
          <w:color w:val="000000" w:themeColor="text1"/>
          <w:sz w:val="28"/>
          <w:szCs w:val="28"/>
          <w:highlight w:val="none"/>
          <w:lang w:eastAsia="zh-CN"/>
          <w14:textFill>
            <w14:solidFill>
              <w14:schemeClr w14:val="tx1"/>
            </w14:solidFill>
          </w14:textFill>
        </w:rPr>
        <w:t>沙雅县城区绿化苗木种植采购</w:t>
      </w:r>
    </w:p>
    <w:p>
      <w:pPr>
        <w:spacing w:line="600" w:lineRule="exact"/>
        <w:outlineLvl w:val="1"/>
        <w:rPr>
          <w:rFonts w:hint="eastAsia" w:ascii="宋体" w:hAnsi="宋体" w:eastAsia="宋体" w:cs="宋体"/>
          <w:bCs/>
          <w:color w:val="000000" w:themeColor="text1"/>
          <w:sz w:val="28"/>
          <w:szCs w:val="28"/>
          <w:highlight w:val="none"/>
          <w:lang w:eastAsia="zh-CN"/>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 xml:space="preserve">    招标人（公章）：</w:t>
      </w:r>
      <w:r>
        <w:rPr>
          <w:rFonts w:hint="eastAsia" w:ascii="宋体" w:hAnsi="宋体" w:cs="宋体"/>
          <w:bCs/>
          <w:color w:val="000000" w:themeColor="text1"/>
          <w:sz w:val="28"/>
          <w:szCs w:val="28"/>
          <w:highlight w:val="none"/>
          <w:lang w:eastAsia="zh-CN"/>
          <w14:textFill>
            <w14:solidFill>
              <w14:schemeClr w14:val="tx1"/>
            </w14:solidFill>
          </w14:textFill>
        </w:rPr>
        <w:t>新疆沙雅县住房和城乡建设局</w:t>
      </w:r>
    </w:p>
    <w:p>
      <w:pPr>
        <w:spacing w:line="600" w:lineRule="exact"/>
        <w:outlineLvl w:val="1"/>
        <w:rPr>
          <w:rFonts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 xml:space="preserve">    法定代表人（签章）： </w:t>
      </w:r>
    </w:p>
    <w:p>
      <w:pPr>
        <w:spacing w:line="600" w:lineRule="exact"/>
        <w:jc w:val="left"/>
        <w:outlineLvl w:val="1"/>
        <w:rPr>
          <w:rFonts w:hint="eastAsia" w:ascii="宋体" w:hAnsi="宋体" w:eastAsia="宋体" w:cs="宋体"/>
          <w:bCs/>
          <w:color w:val="000000" w:themeColor="text1"/>
          <w:sz w:val="28"/>
          <w:szCs w:val="28"/>
          <w:highlight w:val="none"/>
          <w:lang w:val="en-US" w:eastAsia="zh-CN"/>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 xml:space="preserve"> 联系人：</w:t>
      </w:r>
      <w:r>
        <w:rPr>
          <w:rFonts w:hint="eastAsia" w:ascii="宋体" w:hAnsi="宋体" w:cs="宋体"/>
          <w:bCs/>
          <w:color w:val="000000" w:themeColor="text1"/>
          <w:sz w:val="28"/>
          <w:szCs w:val="28"/>
          <w:highlight w:val="none"/>
          <w:lang w:val="en-US" w:eastAsia="zh-CN"/>
          <w14:textFill>
            <w14:solidFill>
              <w14:schemeClr w14:val="tx1"/>
            </w14:solidFill>
          </w14:textFill>
        </w:rPr>
        <w:t>刘颖</w:t>
      </w:r>
    </w:p>
    <w:p>
      <w:pPr>
        <w:spacing w:line="600" w:lineRule="exact"/>
        <w:ind w:firstLine="560" w:firstLineChars="200"/>
        <w:outlineLvl w:val="1"/>
        <w:rPr>
          <w:rFonts w:hint="default" w:ascii="宋体" w:hAnsi="宋体" w:eastAsia="宋体" w:cs="宋体"/>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联系电话：</w:t>
      </w:r>
      <w:r>
        <w:rPr>
          <w:rFonts w:hint="eastAsia" w:ascii="宋体" w:hAnsi="宋体" w:cs="宋体"/>
          <w:bCs/>
          <w:color w:val="000000" w:themeColor="text1"/>
          <w:sz w:val="28"/>
          <w:szCs w:val="28"/>
          <w:highlight w:val="none"/>
          <w:lang w:val="en-US" w:eastAsia="zh-CN"/>
          <w14:textFill>
            <w14:solidFill>
              <w14:schemeClr w14:val="tx1"/>
            </w14:solidFill>
          </w14:textFill>
        </w:rPr>
        <w:t>18799934429</w:t>
      </w:r>
    </w:p>
    <w:p>
      <w:pPr>
        <w:spacing w:line="600" w:lineRule="exact"/>
        <w:ind w:firstLine="560" w:firstLineChars="200"/>
        <w:outlineLvl w:val="1"/>
        <w:rPr>
          <w:rFonts w:hint="default" w:ascii="宋体" w:hAnsi="宋体" w:eastAsia="宋体" w:cs="宋体"/>
          <w:bCs/>
          <w:color w:val="000000" w:themeColor="text1"/>
          <w:sz w:val="28"/>
          <w:szCs w:val="28"/>
          <w:highlight w:val="none"/>
          <w:lang w:val="en-US"/>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  </w:t>
      </w:r>
    </w:p>
    <w:p>
      <w:pPr>
        <w:spacing w:line="480" w:lineRule="exact"/>
        <w:rPr>
          <w:rFonts w:ascii="宋体" w:hAnsi="宋体" w:cs="宋体"/>
          <w:bCs/>
          <w:color w:val="000000" w:themeColor="text1"/>
          <w:sz w:val="28"/>
          <w:szCs w:val="28"/>
          <w:highlight w:val="none"/>
          <w14:textFill>
            <w14:solidFill>
              <w14:schemeClr w14:val="tx1"/>
            </w14:solidFill>
          </w14:textFill>
        </w:rPr>
      </w:pPr>
    </w:p>
    <w:p>
      <w:pPr>
        <w:spacing w:line="480" w:lineRule="exact"/>
        <w:rPr>
          <w:rFonts w:ascii="宋体" w:hAnsi="宋体" w:cs="宋体"/>
          <w:bCs/>
          <w:color w:val="000000" w:themeColor="text1"/>
          <w:sz w:val="28"/>
          <w:szCs w:val="28"/>
          <w:highlight w:val="none"/>
          <w14:textFill>
            <w14:solidFill>
              <w14:schemeClr w14:val="tx1"/>
            </w14:solidFill>
          </w14:textFill>
        </w:rPr>
      </w:pPr>
    </w:p>
    <w:p>
      <w:pPr>
        <w:spacing w:line="480" w:lineRule="exact"/>
        <w:rPr>
          <w:rFonts w:ascii="宋体" w:hAnsi="宋体" w:cs="宋体"/>
          <w:bCs/>
          <w:color w:val="000000" w:themeColor="text1"/>
          <w:sz w:val="28"/>
          <w:szCs w:val="28"/>
          <w:highlight w:val="none"/>
          <w14:textFill>
            <w14:solidFill>
              <w14:schemeClr w14:val="tx1"/>
            </w14:solidFill>
          </w14:textFill>
        </w:rPr>
      </w:pPr>
    </w:p>
    <w:p>
      <w:pPr>
        <w:spacing w:line="480" w:lineRule="exact"/>
        <w:rPr>
          <w:rFonts w:ascii="宋体" w:hAnsi="宋体" w:cs="宋体"/>
          <w:bCs/>
          <w:color w:val="000000" w:themeColor="text1"/>
          <w:sz w:val="28"/>
          <w:szCs w:val="28"/>
          <w:highlight w:val="none"/>
          <w14:textFill>
            <w14:solidFill>
              <w14:schemeClr w14:val="tx1"/>
            </w14:solidFill>
          </w14:textFill>
        </w:rPr>
      </w:pPr>
    </w:p>
    <w:p>
      <w:pPr>
        <w:spacing w:line="600" w:lineRule="exact"/>
        <w:outlineLvl w:val="1"/>
        <w:rPr>
          <w:rFonts w:hint="eastAsia" w:ascii="宋体" w:hAnsi="宋体" w:eastAsia="宋体" w:cs="宋体"/>
          <w:bCs/>
          <w:color w:val="000000" w:themeColor="text1"/>
          <w:sz w:val="28"/>
          <w:szCs w:val="28"/>
          <w:highlight w:val="none"/>
          <w:lang w:eastAsia="zh-CN"/>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 xml:space="preserve">    招标代理机构（公章）：</w:t>
      </w:r>
      <w:r>
        <w:rPr>
          <w:rFonts w:hint="eastAsia" w:ascii="宋体" w:hAnsi="宋体" w:cs="宋体"/>
          <w:bCs/>
          <w:color w:val="000000" w:themeColor="text1"/>
          <w:sz w:val="28"/>
          <w:szCs w:val="28"/>
          <w:highlight w:val="none"/>
          <w:lang w:eastAsia="zh-CN"/>
          <w14:textFill>
            <w14:solidFill>
              <w14:schemeClr w14:val="tx1"/>
            </w14:solidFill>
          </w14:textFill>
        </w:rPr>
        <w:t>新疆东晨项目管理有限公司</w:t>
      </w:r>
    </w:p>
    <w:p>
      <w:pPr>
        <w:spacing w:line="600" w:lineRule="exact"/>
        <w:ind w:firstLine="560"/>
        <w:outlineLvl w:val="1"/>
        <w:rPr>
          <w:rFonts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法定代表人（签章）：</w:t>
      </w:r>
    </w:p>
    <w:p>
      <w:pPr>
        <w:spacing w:line="600" w:lineRule="exact"/>
        <w:outlineLvl w:val="1"/>
        <w:rPr>
          <w:rFonts w:hint="eastAsia" w:ascii="宋体" w:hAnsi="宋体" w:eastAsia="宋体" w:cs="宋体"/>
          <w:bCs/>
          <w:color w:val="000000" w:themeColor="text1"/>
          <w:sz w:val="28"/>
          <w:szCs w:val="28"/>
          <w:highlight w:val="none"/>
          <w:lang w:eastAsia="zh-CN"/>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 xml:space="preserve">    联系人：</w:t>
      </w:r>
      <w:r>
        <w:rPr>
          <w:rFonts w:hint="eastAsia" w:ascii="宋体" w:hAnsi="宋体" w:cs="宋体"/>
          <w:color w:val="000000" w:themeColor="text1"/>
          <w:sz w:val="28"/>
          <w:szCs w:val="28"/>
          <w:highlight w:val="none"/>
          <w:lang w:val="en-US" w:eastAsia="zh-CN"/>
          <w14:textFill>
            <w14:solidFill>
              <w14:schemeClr w14:val="tx1"/>
            </w14:solidFill>
          </w14:textFill>
        </w:rPr>
        <w:t>杨锦毅</w:t>
      </w:r>
    </w:p>
    <w:p>
      <w:pPr>
        <w:spacing w:line="600" w:lineRule="exact"/>
        <w:outlineLvl w:val="1"/>
        <w:rPr>
          <w:rFonts w:hint="default" w:ascii="宋体" w:hAnsi="宋体" w:eastAsia="宋体" w:cs="宋体"/>
          <w:bCs/>
          <w:color w:val="000000" w:themeColor="text1"/>
          <w:sz w:val="28"/>
          <w:szCs w:val="28"/>
          <w:highlight w:val="none"/>
          <w:lang w:val="en-US" w:eastAsia="zh-CN"/>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 xml:space="preserve">    联系电话：</w:t>
      </w:r>
      <w:r>
        <w:rPr>
          <w:rFonts w:hint="eastAsia" w:ascii="宋体" w:hAnsi="宋体" w:cs="宋体"/>
          <w:color w:val="000000" w:themeColor="text1"/>
          <w:sz w:val="28"/>
          <w:szCs w:val="28"/>
          <w:highlight w:val="none"/>
          <w:lang w:val="en-US" w:eastAsia="zh-CN"/>
          <w14:textFill>
            <w14:solidFill>
              <w14:schemeClr w14:val="tx1"/>
            </w14:solidFill>
          </w14:textFill>
        </w:rPr>
        <w:t>17699753914</w:t>
      </w:r>
    </w:p>
    <w:p>
      <w:pPr>
        <w:spacing w:line="600" w:lineRule="exact"/>
        <w:ind w:left="559" w:leftChars="266" w:firstLine="0" w:firstLineChars="0"/>
        <w:outlineLvl w:val="1"/>
        <w:rPr>
          <w:rFonts w:hint="default" w:ascii="宋体" w:hAnsi="宋体" w:eastAsia="宋体" w:cs="宋体"/>
          <w:bCs/>
          <w:color w:val="000000" w:themeColor="text1"/>
          <w:sz w:val="28"/>
          <w:szCs w:val="28"/>
          <w:highlight w:val="none"/>
          <w:lang w:val="en-US" w:eastAsia="zh-CN"/>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联系地址：</w:t>
      </w:r>
      <w:r>
        <w:rPr>
          <w:rFonts w:hint="eastAsia" w:ascii="宋体" w:hAnsi="宋体" w:cs="宋体"/>
          <w:bCs/>
          <w:color w:val="000000" w:themeColor="text1"/>
          <w:sz w:val="28"/>
          <w:szCs w:val="28"/>
          <w:highlight w:val="none"/>
          <w:lang w:eastAsia="zh-CN"/>
          <w14:textFill>
            <w14:solidFill>
              <w14:schemeClr w14:val="tx1"/>
            </w14:solidFill>
          </w14:textFill>
        </w:rPr>
        <w:t>新疆阿克苏地区阿克苏市栏杆街道迎宾社区北京路1号第一师电力公司1号高层住宅楼1单元202室</w:t>
      </w:r>
    </w:p>
    <w:p>
      <w:pPr>
        <w:spacing w:line="600" w:lineRule="exact"/>
        <w:rPr>
          <w:rFonts w:ascii="宋体" w:hAnsi="宋体" w:cs="宋体"/>
          <w:bCs/>
          <w:color w:val="000000" w:themeColor="text1"/>
          <w:sz w:val="28"/>
          <w:szCs w:val="28"/>
          <w:highlight w:val="none"/>
          <w14:textFill>
            <w14:solidFill>
              <w14:schemeClr w14:val="tx1"/>
            </w14:solidFill>
          </w14:textFill>
        </w:rPr>
      </w:pPr>
    </w:p>
    <w:p>
      <w:pPr>
        <w:spacing w:line="600" w:lineRule="exact"/>
        <w:rPr>
          <w:rFonts w:ascii="宋体" w:hAnsi="宋体" w:cs="宋体"/>
          <w:bCs/>
          <w:color w:val="000000" w:themeColor="text1"/>
          <w:sz w:val="28"/>
          <w:szCs w:val="28"/>
          <w:highlight w:val="none"/>
          <w14:textFill>
            <w14:solidFill>
              <w14:schemeClr w14:val="tx1"/>
            </w14:solidFill>
          </w14:textFill>
        </w:rPr>
      </w:pPr>
    </w:p>
    <w:p>
      <w:pPr>
        <w:spacing w:line="600" w:lineRule="exact"/>
        <w:ind w:firstLine="3920" w:firstLineChars="1400"/>
        <w:jc w:val="both"/>
        <w:rPr>
          <w:rFonts w:hint="default" w:ascii="宋体" w:hAnsi="宋体" w:eastAsia="宋体" w:cs="宋体"/>
          <w:bCs/>
          <w:color w:val="000000" w:themeColor="text1"/>
          <w:sz w:val="28"/>
          <w:szCs w:val="28"/>
          <w:highlight w:val="none"/>
          <w:lang w:val="en-US" w:eastAsia="zh-CN"/>
          <w14:textFill>
            <w14:solidFill>
              <w14:schemeClr w14:val="tx1"/>
            </w14:solidFill>
          </w14:textFill>
        </w:rPr>
      </w:pPr>
      <w:r>
        <w:rPr>
          <w:rFonts w:hint="eastAsia" w:ascii="宋体" w:hAnsi="宋体" w:cs="宋体"/>
          <w:bCs/>
          <w:color w:val="000000" w:themeColor="text1"/>
          <w:sz w:val="28"/>
          <w:szCs w:val="28"/>
          <w:highlight w:val="none"/>
          <w:lang w:val="en-US" w:eastAsia="zh-CN"/>
          <w14:textFill>
            <w14:solidFill>
              <w14:schemeClr w14:val="tx1"/>
            </w14:solidFill>
          </w14:textFill>
        </w:rPr>
        <w:t>二〇二三年二月</w:t>
      </w:r>
    </w:p>
    <w:p>
      <w:pPr>
        <w:pStyle w:val="11"/>
        <w:keepNext/>
        <w:pageBreakBefore/>
        <w:tabs>
          <w:tab w:val="right" w:leader="dot" w:pos="9354"/>
        </w:tabs>
        <w:spacing w:line="360" w:lineRule="auto"/>
        <w:jc w:val="center"/>
        <w:outlineLvl w:val="0"/>
        <w:rPr>
          <w:rFonts w:hint="eastAsia" w:ascii="宋体" w:hAnsi="宋体" w:cs="宋体"/>
          <w:b/>
          <w:bCs/>
          <w:color w:val="000000" w:themeColor="text1"/>
          <w:sz w:val="32"/>
          <w:szCs w:val="32"/>
          <w:highlight w:val="none"/>
          <w14:textFill>
            <w14:solidFill>
              <w14:schemeClr w14:val="tx1"/>
            </w14:solidFill>
          </w14:textFill>
        </w:rPr>
      </w:pPr>
    </w:p>
    <w:p>
      <w:pPr>
        <w:pStyle w:val="11"/>
        <w:keepNext/>
        <w:pageBreakBefore/>
        <w:tabs>
          <w:tab w:val="right" w:leader="dot" w:pos="9354"/>
        </w:tabs>
        <w:spacing w:line="360" w:lineRule="auto"/>
        <w:jc w:val="center"/>
        <w:outlineLvl w:val="0"/>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目录</w:t>
      </w:r>
    </w:p>
    <w:p>
      <w:pPr>
        <w:pStyle w:val="6"/>
        <w:spacing w:line="360" w:lineRule="auto"/>
        <w:rPr>
          <w:rFonts w:hint="eastAsia"/>
          <w:color w:val="000000" w:themeColor="text1"/>
          <w:highlight w:val="none"/>
          <w14:textFill>
            <w14:solidFill>
              <w14:schemeClr w14:val="tx1"/>
            </w14:solidFill>
          </w14:textFill>
        </w:rPr>
      </w:pPr>
    </w:p>
    <w:p>
      <w:pPr>
        <w:pStyle w:val="11"/>
        <w:tabs>
          <w:tab w:val="right" w:leader="dot" w:pos="9746"/>
        </w:tabs>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TOC \o "1-1" \h \u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_Toc13366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第一章 招标公告</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t>1</w:t>
      </w:r>
      <w:r>
        <w:rPr>
          <w:rFonts w:hint="eastAsia" w:ascii="宋体" w:hAnsi="宋体" w:cs="宋体"/>
          <w:color w:val="000000" w:themeColor="text1"/>
          <w:sz w:val="28"/>
          <w:szCs w:val="28"/>
          <w:highlight w:val="none"/>
          <w14:textFill>
            <w14:solidFill>
              <w14:schemeClr w14:val="tx1"/>
            </w14:solidFill>
          </w14:textFill>
        </w:rPr>
        <w:fldChar w:fldCharType="end"/>
      </w:r>
    </w:p>
    <w:p>
      <w:pPr>
        <w:pStyle w:val="11"/>
        <w:tabs>
          <w:tab w:val="right" w:leader="dot" w:pos="9746"/>
        </w:tabs>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_Toc5463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第二章 投标人须知</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_Toc5463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6</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pPr>
        <w:pStyle w:val="11"/>
        <w:tabs>
          <w:tab w:val="right" w:leader="dot" w:pos="9746"/>
        </w:tabs>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_Toc7110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第三章 合同条款</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_Toc7110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30</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pPr>
        <w:pStyle w:val="11"/>
        <w:tabs>
          <w:tab w:val="right" w:leader="dot" w:pos="9746"/>
        </w:tabs>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_Toc27253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bCs/>
          <w:color w:val="000000" w:themeColor="text1"/>
          <w:sz w:val="28"/>
          <w:szCs w:val="28"/>
          <w:highlight w:val="none"/>
          <w14:textFill>
            <w14:solidFill>
              <w14:schemeClr w14:val="tx1"/>
            </w14:solidFill>
          </w14:textFill>
        </w:rPr>
        <w:t>第四章 采购需求</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_Toc27253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37</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pPr>
        <w:pStyle w:val="11"/>
        <w:tabs>
          <w:tab w:val="right" w:leader="dot" w:pos="9746"/>
        </w:tabs>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_Toc31265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bCs/>
          <w:color w:val="000000" w:themeColor="text1"/>
          <w:sz w:val="28"/>
          <w:szCs w:val="28"/>
          <w:highlight w:val="none"/>
          <w14:textFill>
            <w14:solidFill>
              <w14:schemeClr w14:val="tx1"/>
            </w14:solidFill>
          </w14:textFill>
        </w:rPr>
        <w:t>第五章 投标文件格式</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_Toc31265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38</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end"/>
      </w:r>
    </w:p>
    <w:p>
      <w:pPr>
        <w:adjustRightInd w:val="0"/>
        <w:snapToGrid w:val="0"/>
        <w:spacing w:line="360" w:lineRule="auto"/>
        <w:rPr>
          <w:rFonts w:hint="eastAsia" w:ascii="宋体" w:hAnsi="宋体" w:cs="宋体"/>
          <w:b/>
          <w:color w:val="000000" w:themeColor="text1"/>
          <w:sz w:val="24"/>
          <w:highlight w:val="none"/>
          <w14:textFill>
            <w14:solidFill>
              <w14:schemeClr w14:val="tx1"/>
            </w14:solidFill>
          </w14:textFill>
        </w:rPr>
        <w:sectPr>
          <w:headerReference r:id="rId3" w:type="default"/>
          <w:footerReference r:id="rId4" w:type="default"/>
          <w:footerReference r:id="rId5" w:type="even"/>
          <w:pgSz w:w="11906" w:h="16838"/>
          <w:pgMar w:top="1440" w:right="1080" w:bottom="1440" w:left="1080" w:header="851" w:footer="992" w:gutter="0"/>
          <w:pgNumType w:start="0"/>
          <w:cols w:space="720" w:num="1"/>
          <w:formProt w:val="1"/>
          <w:titlePg/>
          <w:docGrid w:type="lines" w:linePitch="312" w:charSpace="0"/>
        </w:sectPr>
      </w:pPr>
    </w:p>
    <w:p>
      <w:pPr>
        <w:pStyle w:val="3"/>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0"/>
          <w:sz w:val="40"/>
          <w:szCs w:val="40"/>
          <w:highlight w:val="none"/>
          <w:shd w:val="clear" w:color="auto" w:fill="FFFFFF"/>
          <w14:textFill>
            <w14:solidFill>
              <w14:schemeClr w14:val="tx1"/>
            </w14:solidFill>
          </w14:textFill>
        </w:rPr>
      </w:pPr>
    </w:p>
    <w:p>
      <w:pPr>
        <w:pStyle w:val="3"/>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0"/>
          <w:sz w:val="40"/>
          <w:szCs w:val="40"/>
          <w:highlight w:val="none"/>
          <w:shd w:val="clear" w:color="auto" w:fill="FFFFFF"/>
          <w14:textFill>
            <w14:solidFill>
              <w14:schemeClr w14:val="tx1"/>
            </w14:solidFill>
          </w14:textFill>
        </w:rPr>
      </w:pPr>
    </w:p>
    <w:p>
      <w:pPr>
        <w:pStyle w:val="3"/>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0"/>
          <w:sz w:val="40"/>
          <w:szCs w:val="40"/>
          <w:highlight w:val="none"/>
          <w:shd w:val="clear" w:color="auto" w:fill="FFFFFF"/>
          <w14:textFill>
            <w14:solidFill>
              <w14:schemeClr w14:val="tx1"/>
            </w14:solidFill>
          </w14:textFill>
        </w:rPr>
      </w:pPr>
    </w:p>
    <w:p>
      <w:pPr>
        <w:pStyle w:val="3"/>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0"/>
          <w:sz w:val="40"/>
          <w:szCs w:val="40"/>
          <w:highlight w:val="none"/>
          <w:shd w:val="clear" w:color="auto" w:fill="FFFFFF"/>
          <w14:textFill>
            <w14:solidFill>
              <w14:schemeClr w14:val="tx1"/>
            </w14:solidFill>
          </w14:textFill>
        </w:rPr>
      </w:pPr>
    </w:p>
    <w:p>
      <w:pPr>
        <w:pStyle w:val="3"/>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0"/>
          <w:sz w:val="40"/>
          <w:szCs w:val="40"/>
          <w:highlight w:val="none"/>
          <w:shd w:val="clear" w:color="auto" w:fill="FFFFFF"/>
          <w14:textFill>
            <w14:solidFill>
              <w14:schemeClr w14:val="tx1"/>
            </w14:solidFill>
          </w14:textFill>
        </w:rPr>
      </w:pPr>
    </w:p>
    <w:p>
      <w:pPr>
        <w:pStyle w:val="3"/>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0"/>
          <w:sz w:val="40"/>
          <w:szCs w:val="40"/>
          <w:highlight w:val="none"/>
          <w:shd w:val="clear" w:color="auto" w:fill="FFFFFF"/>
          <w14:textFill>
            <w14:solidFill>
              <w14:schemeClr w14:val="tx1"/>
            </w14:solidFill>
          </w14:textFill>
        </w:rPr>
      </w:pPr>
    </w:p>
    <w:p>
      <w:pPr>
        <w:pStyle w:val="3"/>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0"/>
          <w:sz w:val="40"/>
          <w:szCs w:val="40"/>
          <w:highlight w:val="none"/>
          <w:shd w:val="clear" w:color="auto" w:fill="FFFFFF"/>
          <w14:textFill>
            <w14:solidFill>
              <w14:schemeClr w14:val="tx1"/>
            </w14:solidFill>
          </w14:textFill>
        </w:rPr>
      </w:pPr>
    </w:p>
    <w:p>
      <w:pPr>
        <w:pStyle w:val="3"/>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0"/>
          <w:sz w:val="40"/>
          <w:szCs w:val="40"/>
          <w:highlight w:val="none"/>
          <w:shd w:val="clear" w:color="auto" w:fill="FFFFFF"/>
          <w14:textFill>
            <w14:solidFill>
              <w14:schemeClr w14:val="tx1"/>
            </w14:solidFill>
          </w14:textFill>
        </w:rPr>
      </w:pPr>
    </w:p>
    <w:p>
      <w:pPr>
        <w:pStyle w:val="3"/>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0"/>
          <w:sz w:val="40"/>
          <w:szCs w:val="40"/>
          <w:highlight w:val="none"/>
          <w:shd w:val="clear" w:color="auto" w:fill="FFFFFF"/>
          <w14:textFill>
            <w14:solidFill>
              <w14:schemeClr w14:val="tx1"/>
            </w14:solidFill>
          </w14:textFill>
        </w:rPr>
      </w:pPr>
    </w:p>
    <w:p>
      <w:pPr>
        <w:pStyle w:val="3"/>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0"/>
          <w:sz w:val="40"/>
          <w:szCs w:val="40"/>
          <w:highlight w:val="none"/>
          <w:shd w:val="clear" w:color="auto" w:fill="FFFFFF"/>
          <w14:textFill>
            <w14:solidFill>
              <w14:schemeClr w14:val="tx1"/>
            </w14:solidFill>
          </w14:textFill>
        </w:rPr>
      </w:pPr>
    </w:p>
    <w:p>
      <w:pPr>
        <w:pStyle w:val="3"/>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0"/>
          <w:sz w:val="40"/>
          <w:szCs w:val="40"/>
          <w:highlight w:val="none"/>
          <w:shd w:val="clear" w:color="auto" w:fill="FFFFFF"/>
          <w14:textFill>
            <w14:solidFill>
              <w14:schemeClr w14:val="tx1"/>
            </w14:solidFill>
          </w14:textFill>
        </w:rPr>
      </w:pPr>
    </w:p>
    <w:p>
      <w:pPr>
        <w:pStyle w:val="3"/>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0"/>
          <w:sz w:val="40"/>
          <w:szCs w:val="40"/>
          <w:highlight w:val="none"/>
          <w:shd w:val="clear" w:color="auto" w:fill="FFFFFF"/>
          <w14:textFill>
            <w14:solidFill>
              <w14:schemeClr w14:val="tx1"/>
            </w14:solidFill>
          </w14:textFill>
        </w:rPr>
      </w:pPr>
    </w:p>
    <w:p>
      <w:pPr>
        <w:pStyle w:val="3"/>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0"/>
          <w:sz w:val="40"/>
          <w:szCs w:val="40"/>
          <w:highlight w:val="none"/>
          <w:shd w:val="clear" w:color="auto" w:fill="FFFFFF"/>
          <w14:textFill>
            <w14:solidFill>
              <w14:schemeClr w14:val="tx1"/>
            </w14:solidFill>
          </w14:textFill>
        </w:rPr>
      </w:pPr>
    </w:p>
    <w:p>
      <w:pPr>
        <w:pStyle w:val="3"/>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0"/>
          <w:sz w:val="40"/>
          <w:szCs w:val="40"/>
          <w:highlight w:val="none"/>
          <w:shd w:val="clear" w:color="auto" w:fill="FFFFFF"/>
          <w14:textFill>
            <w14:solidFill>
              <w14:schemeClr w14:val="tx1"/>
            </w14:solidFill>
          </w14:textFill>
        </w:rPr>
      </w:pPr>
    </w:p>
    <w:p>
      <w:pPr>
        <w:pStyle w:val="3"/>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0"/>
          <w:sz w:val="40"/>
          <w:szCs w:val="40"/>
          <w:highlight w:val="none"/>
          <w:shd w:val="clear" w:color="auto" w:fill="FFFFFF"/>
          <w14:textFill>
            <w14:solidFill>
              <w14:schemeClr w14:val="tx1"/>
            </w14:solidFill>
          </w14:textFill>
        </w:rPr>
      </w:pPr>
    </w:p>
    <w:p>
      <w:pPr>
        <w:pStyle w:val="3"/>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0"/>
          <w:sz w:val="40"/>
          <w:szCs w:val="40"/>
          <w:highlight w:val="none"/>
          <w:shd w:val="clear" w:color="auto" w:fill="FFFFFF"/>
          <w14:textFill>
            <w14:solidFill>
              <w14:schemeClr w14:val="tx1"/>
            </w14:solidFill>
          </w14:textFill>
        </w:rPr>
      </w:pPr>
    </w:p>
    <w:p>
      <w:pPr>
        <w:pStyle w:val="3"/>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0"/>
          <w:sz w:val="40"/>
          <w:szCs w:val="40"/>
          <w:highlight w:val="none"/>
          <w:shd w:val="clear" w:color="auto" w:fill="FFFFFF"/>
          <w14:textFill>
            <w14:solidFill>
              <w14:schemeClr w14:val="tx1"/>
            </w14:solidFill>
          </w14:textFill>
        </w:rPr>
      </w:pPr>
    </w:p>
    <w:p>
      <w:pPr>
        <w:pStyle w:val="3"/>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0"/>
          <w:sz w:val="40"/>
          <w:szCs w:val="40"/>
          <w:highlight w:val="none"/>
          <w:shd w:val="clear" w:color="auto" w:fill="FFFFFF"/>
          <w14:textFill>
            <w14:solidFill>
              <w14:schemeClr w14:val="tx1"/>
            </w14:solidFill>
          </w14:textFill>
        </w:rPr>
      </w:pPr>
    </w:p>
    <w:p>
      <w:pPr>
        <w:pStyle w:val="3"/>
        <w:keepNext/>
        <w:keepLines/>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color w:val="000000" w:themeColor="text1"/>
          <w:highlight w:val="none"/>
          <w14:textFill>
            <w14:solidFill>
              <w14:schemeClr w14:val="tx1"/>
            </w14:solidFill>
          </w14:textFill>
        </w:rPr>
      </w:pPr>
      <w:bookmarkStart w:id="0" w:name="_Toc9386"/>
      <w:r>
        <w:rPr>
          <w:rFonts w:hint="eastAsia" w:ascii="宋体" w:hAnsi="宋体" w:eastAsia="宋体" w:cs="宋体"/>
          <w:b/>
          <w:bCs/>
          <w:color w:val="000000" w:themeColor="text1"/>
          <w:kern w:val="0"/>
          <w:sz w:val="40"/>
          <w:szCs w:val="40"/>
          <w:highlight w:val="none"/>
          <w:shd w:val="clear" w:color="auto" w:fill="FFFFFF"/>
          <w:lang w:eastAsia="zh-CN"/>
          <w14:textFill>
            <w14:solidFill>
              <w14:schemeClr w14:val="tx1"/>
            </w14:solidFill>
          </w14:textFill>
        </w:rPr>
        <w:t>沙雅县城区绿化苗木种植采购</w:t>
      </w:r>
      <w:r>
        <w:rPr>
          <w:rFonts w:hint="eastAsia" w:ascii="宋体" w:hAnsi="宋体" w:eastAsia="宋体" w:cs="宋体"/>
          <w:b/>
          <w:bCs/>
          <w:color w:val="000000" w:themeColor="text1"/>
          <w:kern w:val="0"/>
          <w:sz w:val="40"/>
          <w:szCs w:val="40"/>
          <w:highlight w:val="none"/>
          <w:shd w:val="clear" w:color="auto" w:fill="FFFFFF"/>
          <w:lang w:val="en-US" w:eastAsia="zh-CN"/>
          <w14:textFill>
            <w14:solidFill>
              <w14:schemeClr w14:val="tx1"/>
            </w14:solidFill>
          </w14:textFill>
        </w:rPr>
        <w:t>公开</w:t>
      </w:r>
      <w:r>
        <w:rPr>
          <w:rFonts w:hint="eastAsia" w:ascii="宋体" w:hAnsi="宋体" w:eastAsia="宋体" w:cs="宋体"/>
          <w:b/>
          <w:bCs/>
          <w:color w:val="000000" w:themeColor="text1"/>
          <w:kern w:val="0"/>
          <w:sz w:val="40"/>
          <w:szCs w:val="40"/>
          <w:highlight w:val="none"/>
          <w:shd w:val="clear" w:color="auto" w:fill="FFFFFF"/>
          <w14:textFill>
            <w14:solidFill>
              <w14:schemeClr w14:val="tx1"/>
            </w14:solidFill>
          </w14:textFill>
        </w:rPr>
        <w:t>招标公告</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项目概况</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沙雅县城区绿化苗木种植采购</w:t>
      </w:r>
      <w:r>
        <w:rPr>
          <w:rFonts w:hint="eastAsia" w:ascii="宋体" w:hAnsi="宋体" w:eastAsia="宋体" w:cs="宋体"/>
          <w:color w:val="000000" w:themeColor="text1"/>
          <w:sz w:val="28"/>
          <w:szCs w:val="28"/>
          <w:highlight w:val="none"/>
          <w14:textFill>
            <w14:solidFill>
              <w14:schemeClr w14:val="tx1"/>
            </w14:solidFill>
          </w14:textFill>
        </w:rPr>
        <w:t>的潜在供应商应在新疆政府采购网获取采购文件，并于</w:t>
      </w:r>
      <w:r>
        <w:rPr>
          <w:rFonts w:hint="eastAsia" w:ascii="宋体" w:hAnsi="宋体" w:eastAsia="宋体" w:cs="宋体"/>
          <w:color w:val="000000" w:themeColor="text1"/>
          <w:sz w:val="28"/>
          <w:szCs w:val="28"/>
          <w:highlight w:val="none"/>
          <w:lang w:eastAsia="zh-CN"/>
          <w14:textFill>
            <w14:solidFill>
              <w14:schemeClr w14:val="tx1"/>
            </w14:solidFill>
          </w14:textFill>
        </w:rPr>
        <w:t>2023</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lang w:val="en-US" w:eastAsia="zh-CN"/>
          <w14:textFill>
            <w14:solidFill>
              <w14:schemeClr w14:val="tx1"/>
            </w14:solidFill>
          </w14:textFill>
        </w:rPr>
        <w:t>02</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lang w:val="en-US" w:eastAsia="zh-CN"/>
          <w14:textFill>
            <w14:solidFill>
              <w14:schemeClr w14:val="tx1"/>
            </w14:solidFill>
          </w14:textFill>
        </w:rPr>
        <w:t>24</w:t>
      </w:r>
      <w:r>
        <w:rPr>
          <w:rFonts w:hint="eastAsia" w:ascii="宋体" w:hAnsi="宋体" w:eastAsia="宋体" w:cs="宋体"/>
          <w:color w:val="000000" w:themeColor="text1"/>
          <w:sz w:val="28"/>
          <w:szCs w:val="28"/>
          <w:highlight w:val="none"/>
          <w14:textFill>
            <w14:solidFill>
              <w14:schemeClr w14:val="tx1"/>
            </w14:solidFill>
          </w14:textFill>
        </w:rPr>
        <w:t>日</w:t>
      </w:r>
      <w:r>
        <w:rPr>
          <w:rFonts w:hint="eastAsia" w:ascii="宋体" w:hAnsi="宋体" w:cs="宋体"/>
          <w:color w:val="000000" w:themeColor="text1"/>
          <w:sz w:val="28"/>
          <w:szCs w:val="28"/>
          <w:highlight w:val="none"/>
          <w:lang w:val="en-US" w:eastAsia="zh-CN"/>
          <w14:textFill>
            <w14:solidFill>
              <w14:schemeClr w14:val="tx1"/>
            </w14:solidFill>
          </w14:textFill>
        </w:rPr>
        <w:t>11</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lang w:val="en-US" w:eastAsia="zh-CN"/>
          <w14:textFill>
            <w14:solidFill>
              <w14:schemeClr w14:val="tx1"/>
            </w14:solidFill>
          </w14:textFill>
        </w:rPr>
        <w:t>0</w:t>
      </w:r>
      <w:r>
        <w:rPr>
          <w:rFonts w:hint="eastAsia" w:ascii="宋体" w:hAnsi="宋体" w:eastAsia="宋体" w:cs="宋体"/>
          <w:color w:val="000000" w:themeColor="text1"/>
          <w:sz w:val="28"/>
          <w:szCs w:val="28"/>
          <w:highlight w:val="none"/>
          <w14:textFill>
            <w14:solidFill>
              <w14:schemeClr w14:val="tx1"/>
            </w14:solidFill>
          </w14:textFill>
        </w:rPr>
        <w:t>0（北京时间）前提交响应文件。</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一、项目基本情况</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项目编号：</w:t>
      </w:r>
      <w:r>
        <w:rPr>
          <w:rFonts w:hint="eastAsia" w:ascii="宋体" w:hAnsi="宋体" w:cs="宋体"/>
          <w:color w:val="000000" w:themeColor="text1"/>
          <w:sz w:val="28"/>
          <w:szCs w:val="28"/>
          <w:highlight w:val="none"/>
          <w:lang w:eastAsia="zh-CN"/>
          <w14:textFill>
            <w14:solidFill>
              <w14:schemeClr w14:val="tx1"/>
            </w14:solidFill>
          </w14:textFill>
        </w:rPr>
        <w:t>XJDC-(2023)-CG009</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宋体" w:hAnsi="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项目名称：</w:t>
      </w:r>
      <w:r>
        <w:rPr>
          <w:rFonts w:hint="eastAsia" w:ascii="宋体" w:hAnsi="宋体" w:cs="宋体"/>
          <w:color w:val="000000" w:themeColor="text1"/>
          <w:sz w:val="28"/>
          <w:szCs w:val="28"/>
          <w:highlight w:val="none"/>
          <w:lang w:eastAsia="zh-CN"/>
          <w14:textFill>
            <w14:solidFill>
              <w14:schemeClr w14:val="tx1"/>
            </w14:solidFill>
          </w14:textFill>
        </w:rPr>
        <w:t>沙雅县城区绿化苗木种植采购</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采购方式：</w:t>
      </w:r>
      <w:r>
        <w:rPr>
          <w:rFonts w:hint="eastAsia" w:ascii="宋体" w:hAnsi="宋体" w:cs="宋体"/>
          <w:color w:val="000000" w:themeColor="text1"/>
          <w:sz w:val="28"/>
          <w:szCs w:val="28"/>
          <w:highlight w:val="none"/>
          <w:lang w:eastAsia="zh-CN"/>
          <w14:textFill>
            <w14:solidFill>
              <w14:schemeClr w14:val="tx1"/>
            </w14:solidFill>
          </w14:textFill>
        </w:rPr>
        <w:t>公开招标</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预算金额（元）：</w:t>
      </w:r>
      <w:r>
        <w:rPr>
          <w:rFonts w:hint="eastAsia" w:ascii="宋体" w:hAnsi="宋体" w:cs="宋体"/>
          <w:color w:val="000000" w:themeColor="text1"/>
          <w:sz w:val="28"/>
          <w:szCs w:val="28"/>
          <w:highlight w:val="none"/>
          <w:lang w:val="en-US" w:eastAsia="zh-CN"/>
          <w14:textFill>
            <w14:solidFill>
              <w14:schemeClr w14:val="tx1"/>
            </w14:solidFill>
          </w14:textFill>
        </w:rPr>
        <w:t>5347908.34</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最高限价（元）：</w:t>
      </w:r>
      <w:r>
        <w:rPr>
          <w:rFonts w:hint="eastAsia" w:ascii="宋体" w:hAnsi="宋体" w:cs="宋体"/>
          <w:color w:val="000000" w:themeColor="text1"/>
          <w:sz w:val="28"/>
          <w:szCs w:val="28"/>
          <w:highlight w:val="none"/>
          <w:lang w:val="en-US" w:eastAsia="zh-CN"/>
          <w14:textFill>
            <w14:solidFill>
              <w14:schemeClr w14:val="tx1"/>
            </w14:solidFill>
          </w14:textFill>
        </w:rPr>
        <w:t>5347908.34</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采购需求：</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标项名称:</w:t>
      </w:r>
      <w:r>
        <w:rPr>
          <w:rFonts w:hint="eastAsia" w:ascii="宋体" w:hAnsi="宋体" w:cs="宋体"/>
          <w:color w:val="000000" w:themeColor="text1"/>
          <w:sz w:val="28"/>
          <w:szCs w:val="28"/>
          <w:highlight w:val="none"/>
          <w:lang w:eastAsia="zh-CN"/>
          <w14:textFill>
            <w14:solidFill>
              <w14:schemeClr w14:val="tx1"/>
            </w14:solidFill>
          </w14:textFill>
        </w:rPr>
        <w:t>沙雅县城区绿化苗木种植采购</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数量:</w:t>
      </w:r>
      <w:r>
        <w:rPr>
          <w:rFonts w:hint="eastAsia" w:ascii="宋体" w:hAnsi="宋体" w:cs="宋体"/>
          <w:color w:val="000000" w:themeColor="text1"/>
          <w:sz w:val="28"/>
          <w:szCs w:val="28"/>
          <w:highlight w:val="none"/>
          <w:lang w:val="en-US" w:eastAsia="zh-CN"/>
          <w14:textFill>
            <w14:solidFill>
              <w14:schemeClr w14:val="tx1"/>
            </w14:solidFill>
          </w14:textFill>
        </w:rPr>
        <w:t>1</w:t>
      </w:r>
      <w:r>
        <w:rPr>
          <w:rFonts w:hint="eastAsia" w:ascii="宋体" w:hAnsi="宋体" w:eastAsia="宋体" w:cs="宋体"/>
          <w:color w:val="000000" w:themeColor="text1"/>
          <w:sz w:val="28"/>
          <w:szCs w:val="28"/>
          <w:highlight w:val="none"/>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预算金额（元）:</w:t>
      </w:r>
      <w:r>
        <w:rPr>
          <w:rFonts w:hint="eastAsia" w:ascii="宋体" w:hAnsi="宋体" w:cs="宋体"/>
          <w:color w:val="000000" w:themeColor="text1"/>
          <w:sz w:val="28"/>
          <w:szCs w:val="28"/>
          <w:highlight w:val="none"/>
          <w:lang w:val="en-US" w:eastAsia="zh-CN"/>
          <w14:textFill>
            <w14:solidFill>
              <w14:schemeClr w14:val="tx1"/>
            </w14:solidFill>
          </w14:textFill>
        </w:rPr>
        <w:t>5347908.34</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单位：</w:t>
      </w:r>
      <w:r>
        <w:rPr>
          <w:rFonts w:hint="eastAsia" w:ascii="宋体" w:hAnsi="宋体" w:cs="宋体"/>
          <w:color w:val="000000" w:themeColor="text1"/>
          <w:sz w:val="28"/>
          <w:szCs w:val="28"/>
          <w:highlight w:val="none"/>
          <w:lang w:val="en-US" w:eastAsia="zh-CN"/>
          <w14:textFill>
            <w14:solidFill>
              <w14:schemeClr w14:val="tx1"/>
            </w14:solidFill>
          </w14:textFill>
        </w:rPr>
        <w:t>批</w:t>
      </w:r>
      <w:r>
        <w:rPr>
          <w:rFonts w:hint="eastAsia" w:ascii="宋体" w:hAnsi="宋体" w:eastAsia="宋体" w:cs="宋体"/>
          <w:color w:val="000000" w:themeColor="text1"/>
          <w:sz w:val="28"/>
          <w:szCs w:val="28"/>
          <w:highlight w:val="none"/>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简要规格描述：</w:t>
      </w:r>
      <w:r>
        <w:rPr>
          <w:rFonts w:hint="eastAsia" w:ascii="宋体" w:hAnsi="宋体" w:cs="宋体"/>
          <w:bCs/>
          <w:color w:val="000000" w:themeColor="text1"/>
          <w:sz w:val="28"/>
          <w:szCs w:val="28"/>
          <w:lang w:val="en-US" w:eastAsia="zh-CN"/>
          <w14:textFill>
            <w14:solidFill>
              <w14:schemeClr w14:val="tx1"/>
            </w14:solidFill>
          </w14:textFill>
        </w:rPr>
        <w:t>详见采购清单</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合同履约期限：按照甲乙双方签订的合同日期执行</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本项目</w:t>
      </w:r>
      <w:r>
        <w:rPr>
          <w:rFonts w:hint="eastAsia" w:ascii="宋体" w:hAnsi="宋体" w:cs="宋体"/>
          <w:color w:val="000000" w:themeColor="text1"/>
          <w:sz w:val="28"/>
          <w:szCs w:val="28"/>
          <w:highlight w:val="none"/>
          <w:lang w:eastAsia="zh-CN"/>
          <w14:textFill>
            <w14:solidFill>
              <w14:schemeClr w14:val="tx1"/>
            </w14:solidFill>
          </w14:textFill>
        </w:rPr>
        <w:t>不</w:t>
      </w:r>
      <w:r>
        <w:rPr>
          <w:rFonts w:hint="eastAsia" w:ascii="宋体" w:hAnsi="宋体" w:eastAsia="宋体" w:cs="宋体"/>
          <w:color w:val="000000" w:themeColor="text1"/>
          <w:sz w:val="28"/>
          <w:szCs w:val="28"/>
          <w:highlight w:val="none"/>
          <w14:textFill>
            <w14:solidFill>
              <w14:schemeClr w14:val="tx1"/>
            </w14:solidFill>
          </w14:textFill>
        </w:rPr>
        <w:t>接受联合体投标。</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二、申请人的资格要求：</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1.满足《中华人民共和国政府采购法》第二十二条规定；</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（1）具有独立承担民事责任的能力的供应商；</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（2）具有良好的商业信誉和健全的财务会计制度；</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（3）具有履行合同所必需的设备和专业技术能力；</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（4）有依法缴纳税收和社会保障资金的良好记录；</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（5）参加本次采购活动前三年内，在经营活动中没有重大违法记录；</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（6）法律、行政法规规定的其他条件。</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2.落实政府采购政策需满足的资格要求：</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1</w:t>
      </w:r>
      <w:r>
        <w:rPr>
          <w:rFonts w:hint="eastAsia" w:ascii="宋体" w:hAnsi="宋体" w:eastAsia="宋体" w:cs="宋体"/>
          <w:color w:val="000000" w:themeColor="text1"/>
          <w:sz w:val="28"/>
          <w:szCs w:val="28"/>
          <w:highlight w:val="none"/>
          <w14:textFill>
            <w14:solidFill>
              <w14:schemeClr w14:val="tx1"/>
            </w14:solidFill>
          </w14:textFill>
        </w:rPr>
        <w:t>）财政部、国家发展改革委、生态环境部、市场监管总局《关于调整优化节能产品、环境标志产品政府采购执行机制的通知》（财库[2019]9号文）；</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2）财政部、生态环境部《关于印发环境标志产品政府采购品目清单的通知》（财库[2019]18号文）；</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3）财政部、发展改革委《关于印发节能产品政府采购品目清单的通知》（财库[2019]19号文）；</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4）市场监管总局《市场监管总局关于发布参与实施政府采购节能产品、环境标志产品认证机构名录的公告》（2019年第16号）；</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5）财政部、工业和信息化部《关于印发《政府采购促进中小企业</w:t>
      </w:r>
      <w:r>
        <w:rPr>
          <w:rFonts w:hint="eastAsia" w:ascii="宋体" w:hAnsi="宋体" w:eastAsia="宋体" w:cs="宋体"/>
          <w:color w:val="000000" w:themeColor="text1"/>
          <w:sz w:val="28"/>
          <w:szCs w:val="28"/>
          <w:highlight w:val="none"/>
          <w:lang w:eastAsia="zh-CN"/>
          <w14:textFill>
            <w14:solidFill>
              <w14:schemeClr w14:val="tx1"/>
            </w14:solidFill>
          </w14:textFill>
        </w:rPr>
        <w:t>发展管理</w:t>
      </w:r>
      <w:r>
        <w:rPr>
          <w:rFonts w:hint="eastAsia" w:ascii="宋体" w:hAnsi="宋体" w:eastAsia="宋体" w:cs="宋体"/>
          <w:color w:val="000000" w:themeColor="text1"/>
          <w:sz w:val="28"/>
          <w:szCs w:val="28"/>
          <w:highlight w:val="none"/>
          <w14:textFill>
            <w14:solidFill>
              <w14:schemeClr w14:val="tx1"/>
            </w14:solidFill>
          </w14:textFill>
        </w:rPr>
        <w:t>办法》（财库[20</w:t>
      </w:r>
      <w:r>
        <w:rPr>
          <w:rFonts w:hint="eastAsia" w:ascii="宋体" w:hAnsi="宋体" w:eastAsia="宋体" w:cs="宋体"/>
          <w:color w:val="000000" w:themeColor="text1"/>
          <w:sz w:val="28"/>
          <w:szCs w:val="28"/>
          <w:highlight w:val="none"/>
          <w:lang w:val="en-US" w:eastAsia="zh-CN"/>
          <w14:textFill>
            <w14:solidFill>
              <w14:schemeClr w14:val="tx1"/>
            </w14:solidFill>
          </w14:textFill>
        </w:rPr>
        <w:t>20</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46</w:t>
      </w:r>
      <w:r>
        <w:rPr>
          <w:rFonts w:hint="eastAsia" w:ascii="宋体" w:hAnsi="宋体" w:eastAsia="宋体" w:cs="宋体"/>
          <w:color w:val="000000" w:themeColor="text1"/>
          <w:sz w:val="28"/>
          <w:szCs w:val="28"/>
          <w:highlight w:val="none"/>
          <w14:textFill>
            <w14:solidFill>
              <w14:schemeClr w14:val="tx1"/>
            </w14:solidFill>
          </w14:textFill>
        </w:rPr>
        <w:t>号文）；</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6）财政部、民政部、中国残疾人联合会《关于促进残疾人就业政府采购政策的通知》（财库[2017]141号）</w:t>
      </w:r>
      <w:r>
        <w:rPr>
          <w:rFonts w:hint="eastAsia" w:ascii="宋体" w:hAnsi="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3.本项目的特定资格要求：</w:t>
      </w:r>
      <w:r>
        <w:rPr>
          <w:rFonts w:hint="eastAsia" w:ascii="宋体" w:hAnsi="宋体" w:cs="宋体"/>
          <w:color w:val="000000" w:themeColor="text1"/>
          <w:sz w:val="28"/>
          <w:szCs w:val="28"/>
          <w:highlight w:val="none"/>
          <w:lang w:eastAsia="zh-CN"/>
          <w14:textFill>
            <w14:solidFill>
              <w14:schemeClr w14:val="tx1"/>
            </w14:solidFill>
          </w14:textFill>
        </w:rPr>
        <w:t>无</w:t>
      </w:r>
      <w:r>
        <w:rPr>
          <w:rFonts w:hint="eastAsia" w:ascii="宋体" w:hAnsi="宋体" w:eastAsia="宋体" w:cs="宋体"/>
          <w:color w:val="000000" w:themeColor="text1"/>
          <w:sz w:val="28"/>
          <w:szCs w:val="28"/>
          <w:highlight w:val="none"/>
          <w14:textFill>
            <w14:solidFill>
              <w14:schemeClr w14:val="tx1"/>
            </w14:solidFill>
          </w14:textFill>
        </w:rPr>
        <w:t>；</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三、获取</w:t>
      </w:r>
      <w:r>
        <w:rPr>
          <w:rFonts w:hint="eastAsia" w:ascii="宋体" w:hAnsi="宋体" w:cs="宋体"/>
          <w:b/>
          <w:bCs/>
          <w:color w:val="000000" w:themeColor="text1"/>
          <w:sz w:val="28"/>
          <w:szCs w:val="28"/>
          <w:highlight w:val="none"/>
          <w:lang w:eastAsia="zh-CN"/>
          <w14:textFill>
            <w14:solidFill>
              <w14:schemeClr w14:val="tx1"/>
            </w14:solidFill>
          </w14:textFill>
        </w:rPr>
        <w:t>招标</w:t>
      </w:r>
      <w:r>
        <w:rPr>
          <w:rFonts w:hint="eastAsia" w:ascii="宋体" w:hAnsi="宋体" w:eastAsia="宋体" w:cs="宋体"/>
          <w:b/>
          <w:bCs/>
          <w:color w:val="000000" w:themeColor="text1"/>
          <w:sz w:val="28"/>
          <w:szCs w:val="28"/>
          <w:highlight w:val="none"/>
          <w14:textFill>
            <w14:solidFill>
              <w14:schemeClr w14:val="tx1"/>
            </w14:solidFill>
          </w14:textFill>
        </w:rPr>
        <w:t>文件</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时间：</w:t>
      </w:r>
      <w:r>
        <w:rPr>
          <w:rFonts w:hint="eastAsia" w:ascii="宋体" w:hAnsi="宋体" w:eastAsia="宋体" w:cs="宋体"/>
          <w:color w:val="000000" w:themeColor="text1"/>
          <w:sz w:val="28"/>
          <w:szCs w:val="28"/>
          <w:highlight w:val="none"/>
          <w:lang w:eastAsia="zh-CN"/>
          <w14:textFill>
            <w14:solidFill>
              <w14:schemeClr w14:val="tx1"/>
            </w14:solidFill>
          </w14:textFill>
        </w:rPr>
        <w:t>2023年</w:t>
      </w:r>
      <w:r>
        <w:rPr>
          <w:rFonts w:hint="eastAsia" w:ascii="宋体" w:hAnsi="宋体" w:cs="宋体"/>
          <w:color w:val="000000" w:themeColor="text1"/>
          <w:sz w:val="28"/>
          <w:szCs w:val="28"/>
          <w:highlight w:val="none"/>
          <w:lang w:val="en-US" w:eastAsia="zh-CN"/>
          <w14:textFill>
            <w14:solidFill>
              <w14:schemeClr w14:val="tx1"/>
            </w14:solidFill>
          </w14:textFill>
        </w:rPr>
        <w:t>02</w:t>
      </w:r>
      <w:r>
        <w:rPr>
          <w:rFonts w:hint="eastAsia" w:ascii="宋体" w:hAnsi="宋体" w:eastAsia="宋体" w:cs="宋体"/>
          <w:color w:val="000000" w:themeColor="text1"/>
          <w:sz w:val="28"/>
          <w:szCs w:val="28"/>
          <w:highlight w:val="none"/>
          <w:lang w:eastAsia="zh-CN"/>
          <w14:textFill>
            <w14:solidFill>
              <w14:schemeClr w14:val="tx1"/>
            </w14:solidFill>
          </w14:textFill>
        </w:rPr>
        <w:t>月</w:t>
      </w:r>
      <w:r>
        <w:rPr>
          <w:rFonts w:hint="eastAsia" w:ascii="宋体" w:hAnsi="宋体" w:eastAsia="宋体" w:cs="宋体"/>
          <w:color w:val="000000" w:themeColor="text1"/>
          <w:sz w:val="28"/>
          <w:szCs w:val="28"/>
          <w:highlight w:val="none"/>
          <w:lang w:val="en-US" w:eastAsia="zh-CN"/>
          <w14:textFill>
            <w14:solidFill>
              <w14:schemeClr w14:val="tx1"/>
            </w14:solidFill>
          </w14:textFill>
        </w:rPr>
        <w:t>0</w:t>
      </w:r>
      <w:r>
        <w:rPr>
          <w:rFonts w:hint="eastAsia" w:ascii="宋体" w:hAnsi="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lang w:eastAsia="zh-CN"/>
          <w14:textFill>
            <w14:solidFill>
              <w14:schemeClr w14:val="tx1"/>
            </w14:solidFill>
          </w14:textFill>
        </w:rPr>
        <w:t>日</w:t>
      </w:r>
      <w:r>
        <w:rPr>
          <w:rFonts w:hint="eastAsia" w:ascii="宋体" w:hAnsi="宋体" w:eastAsia="宋体" w:cs="宋体"/>
          <w:color w:val="000000" w:themeColor="text1"/>
          <w:sz w:val="28"/>
          <w:szCs w:val="28"/>
          <w:highlight w:val="none"/>
          <w14:textFill>
            <w14:solidFill>
              <w14:schemeClr w14:val="tx1"/>
            </w14:solidFill>
          </w14:textFill>
        </w:rPr>
        <w:t>至</w:t>
      </w:r>
      <w:r>
        <w:rPr>
          <w:rFonts w:hint="eastAsia" w:ascii="宋体" w:hAnsi="宋体" w:eastAsia="宋体" w:cs="宋体"/>
          <w:color w:val="000000" w:themeColor="text1"/>
          <w:sz w:val="28"/>
          <w:szCs w:val="28"/>
          <w:highlight w:val="none"/>
          <w:lang w:eastAsia="zh-CN"/>
          <w14:textFill>
            <w14:solidFill>
              <w14:schemeClr w14:val="tx1"/>
            </w14:solidFill>
          </w14:textFill>
        </w:rPr>
        <w:t>2023年</w:t>
      </w:r>
      <w:r>
        <w:rPr>
          <w:rFonts w:hint="eastAsia" w:ascii="宋体" w:hAnsi="宋体" w:cs="宋体"/>
          <w:color w:val="000000" w:themeColor="text1"/>
          <w:sz w:val="28"/>
          <w:szCs w:val="28"/>
          <w:highlight w:val="none"/>
          <w:lang w:val="en-US" w:eastAsia="zh-CN"/>
          <w14:textFill>
            <w14:solidFill>
              <w14:schemeClr w14:val="tx1"/>
            </w14:solidFill>
          </w14:textFill>
        </w:rPr>
        <w:t>02</w:t>
      </w:r>
      <w:r>
        <w:rPr>
          <w:rFonts w:hint="eastAsia" w:ascii="宋体" w:hAnsi="宋体" w:eastAsia="宋体" w:cs="宋体"/>
          <w:color w:val="000000" w:themeColor="text1"/>
          <w:sz w:val="28"/>
          <w:szCs w:val="28"/>
          <w:highlight w:val="none"/>
          <w:lang w:eastAsia="zh-CN"/>
          <w14:textFill>
            <w14:solidFill>
              <w14:schemeClr w14:val="tx1"/>
            </w14:solidFill>
          </w14:textFill>
        </w:rPr>
        <w:t>月</w:t>
      </w:r>
      <w:r>
        <w:rPr>
          <w:rFonts w:hint="eastAsia" w:ascii="宋体" w:hAnsi="宋体" w:eastAsia="宋体" w:cs="宋体"/>
          <w:color w:val="000000" w:themeColor="text1"/>
          <w:sz w:val="28"/>
          <w:szCs w:val="28"/>
          <w:highlight w:val="none"/>
          <w:lang w:val="en-US" w:eastAsia="zh-CN"/>
          <w14:textFill>
            <w14:solidFill>
              <w14:schemeClr w14:val="tx1"/>
            </w14:solidFill>
          </w14:textFill>
        </w:rPr>
        <w:t>0</w:t>
      </w:r>
      <w:r>
        <w:rPr>
          <w:rFonts w:hint="eastAsia" w:ascii="宋体" w:hAnsi="宋体" w:cs="宋体"/>
          <w:color w:val="000000" w:themeColor="text1"/>
          <w:sz w:val="28"/>
          <w:szCs w:val="28"/>
          <w:highlight w:val="none"/>
          <w:lang w:val="en-US" w:eastAsia="zh-CN"/>
          <w14:textFill>
            <w14:solidFill>
              <w14:schemeClr w14:val="tx1"/>
            </w14:solidFill>
          </w14:textFill>
        </w:rPr>
        <w:t>9</w:t>
      </w:r>
      <w:r>
        <w:rPr>
          <w:rFonts w:hint="eastAsia" w:ascii="宋体" w:hAnsi="宋体" w:eastAsia="宋体" w:cs="宋体"/>
          <w:color w:val="000000" w:themeColor="text1"/>
          <w:sz w:val="28"/>
          <w:szCs w:val="28"/>
          <w:highlight w:val="none"/>
          <w:lang w:eastAsia="zh-CN"/>
          <w14:textFill>
            <w14:solidFill>
              <w14:schemeClr w14:val="tx1"/>
            </w14:solidFill>
          </w14:textFill>
        </w:rPr>
        <w:t>日</w:t>
      </w:r>
      <w:r>
        <w:rPr>
          <w:rFonts w:hint="eastAsia" w:ascii="宋体" w:hAnsi="宋体" w:eastAsia="宋体" w:cs="宋体"/>
          <w:color w:val="000000" w:themeColor="text1"/>
          <w:sz w:val="28"/>
          <w:szCs w:val="28"/>
          <w:highlight w:val="none"/>
          <w14:textFill>
            <w14:solidFill>
              <w14:schemeClr w14:val="tx1"/>
            </w14:solidFill>
          </w14:textFill>
        </w:rPr>
        <w:t>，每天上午10:00至14:00，下午</w:t>
      </w:r>
      <w:r>
        <w:rPr>
          <w:rFonts w:hint="eastAsia" w:ascii="宋体" w:hAnsi="宋体" w:cs="宋体"/>
          <w:color w:val="000000" w:themeColor="text1"/>
          <w:sz w:val="28"/>
          <w:szCs w:val="28"/>
          <w:highlight w:val="none"/>
          <w:lang w:val="en-US" w:eastAsia="zh-CN"/>
          <w14:textFill>
            <w14:solidFill>
              <w14:schemeClr w14:val="tx1"/>
            </w14:solidFill>
          </w14:textFill>
        </w:rPr>
        <w:t>15</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t>0至</w:t>
      </w:r>
      <w:r>
        <w:rPr>
          <w:rFonts w:hint="eastAsia" w:ascii="宋体" w:hAnsi="宋体" w:eastAsia="宋体" w:cs="宋体"/>
          <w:color w:val="000000" w:themeColor="text1"/>
          <w:sz w:val="28"/>
          <w:szCs w:val="28"/>
          <w:highlight w:val="none"/>
          <w:lang w:val="en-US" w:eastAsia="zh-CN"/>
          <w14:textFill>
            <w14:solidFill>
              <w14:schemeClr w14:val="tx1"/>
            </w14:solidFill>
          </w14:textFill>
        </w:rPr>
        <w:t>19</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t>0（北京时间，法定节假日除外）</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地点：政采云平台</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方式：供应商登录政采云平台https://www.zcygov.cn/在线申请获取采购文件（进入“项目采购”应用，在获取采购文件菜单中选择项目，申请获取采购文件）</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四、提交投标文件截止时间、开标时间和地点</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lang w:val="en-US" w:eastAsia="zh-CN"/>
          <w14:textFill>
            <w14:solidFill>
              <w14:schemeClr w14:val="tx1"/>
            </w14:solidFill>
          </w14:textFill>
        </w:rPr>
        <w:t>提交投标文件截止时间：2023年</w:t>
      </w:r>
      <w:r>
        <w:rPr>
          <w:rFonts w:hint="eastAsia" w:ascii="宋体" w:hAnsi="宋体" w:cs="宋体"/>
          <w:color w:val="000000" w:themeColor="text1"/>
          <w:sz w:val="28"/>
          <w:szCs w:val="28"/>
          <w:highlight w:val="none"/>
          <w:lang w:val="en-US" w:eastAsia="zh-CN"/>
          <w14:textFill>
            <w14:solidFill>
              <w14:schemeClr w14:val="tx1"/>
            </w14:solidFill>
          </w14:textFill>
        </w:rPr>
        <w:t>02月24日</w:t>
      </w:r>
      <w:r>
        <w:rPr>
          <w:rFonts w:hint="eastAsia" w:ascii="宋体" w:hAnsi="宋体" w:eastAsia="宋体" w:cs="宋体"/>
          <w:color w:val="000000" w:themeColor="text1"/>
          <w:sz w:val="28"/>
          <w:szCs w:val="28"/>
          <w:highlight w:val="none"/>
          <w:lang w:val="en-US" w:eastAsia="zh-CN"/>
          <w14:textFill>
            <w14:solidFill>
              <w14:schemeClr w14:val="tx1"/>
            </w14:solidFill>
          </w14:textFill>
        </w:rPr>
        <w:t>1</w:t>
      </w:r>
      <w:r>
        <w:rPr>
          <w:rFonts w:hint="eastAsia" w:ascii="宋体" w:hAnsi="宋体" w:cs="宋体"/>
          <w:color w:val="000000" w:themeColor="text1"/>
          <w:sz w:val="28"/>
          <w:szCs w:val="28"/>
          <w:highlight w:val="none"/>
          <w:lang w:val="en-US" w:eastAsia="zh-CN"/>
          <w14:textFill>
            <w14:solidFill>
              <w14:schemeClr w14:val="tx1"/>
            </w14:solidFill>
          </w14:textFill>
        </w:rPr>
        <w:t>1</w:t>
      </w:r>
      <w:r>
        <w:rPr>
          <w:rFonts w:hint="eastAsia" w:ascii="宋体" w:hAnsi="宋体" w:eastAsia="宋体" w:cs="宋体"/>
          <w:color w:val="000000" w:themeColor="text1"/>
          <w:sz w:val="28"/>
          <w:szCs w:val="28"/>
          <w:highlight w:val="none"/>
          <w:lang w:val="en-US" w:eastAsia="zh-CN"/>
          <w14:textFill>
            <w14:solidFill>
              <w14:schemeClr w14:val="tx1"/>
            </w14:solidFill>
          </w14:textFill>
        </w:rPr>
        <w:t>:</w:t>
      </w:r>
      <w:r>
        <w:rPr>
          <w:rFonts w:hint="eastAsia" w:ascii="宋体" w:hAnsi="宋体" w:cs="宋体"/>
          <w:color w:val="000000" w:themeColor="text1"/>
          <w:sz w:val="28"/>
          <w:szCs w:val="28"/>
          <w:highlight w:val="none"/>
          <w:lang w:val="en-US" w:eastAsia="zh-CN"/>
          <w14:textFill>
            <w14:solidFill>
              <w14:schemeClr w14:val="tx1"/>
            </w14:solidFill>
          </w14:textFill>
        </w:rPr>
        <w:t>0</w:t>
      </w:r>
      <w:r>
        <w:rPr>
          <w:rFonts w:hint="eastAsia" w:ascii="宋体" w:hAnsi="宋体" w:eastAsia="宋体" w:cs="宋体"/>
          <w:color w:val="000000" w:themeColor="text1"/>
          <w:sz w:val="28"/>
          <w:szCs w:val="28"/>
          <w:highlight w:val="none"/>
          <w:lang w:val="en-US" w:eastAsia="zh-CN"/>
          <w14:textFill>
            <w14:solidFill>
              <w14:schemeClr w14:val="tx1"/>
            </w14:solidFill>
          </w14:textFill>
        </w:rPr>
        <w:t>0（北京时间）</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投标地点：政采云一站式政府采购云平台</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开标时间：2023年</w:t>
      </w:r>
      <w:r>
        <w:rPr>
          <w:rFonts w:hint="eastAsia" w:ascii="宋体" w:hAnsi="宋体" w:cs="宋体"/>
          <w:color w:val="000000" w:themeColor="text1"/>
          <w:sz w:val="28"/>
          <w:szCs w:val="28"/>
          <w:highlight w:val="none"/>
          <w:lang w:val="en-US" w:eastAsia="zh-CN"/>
          <w14:textFill>
            <w14:solidFill>
              <w14:schemeClr w14:val="tx1"/>
            </w14:solidFill>
          </w14:textFill>
        </w:rPr>
        <w:t>02月24日11</w:t>
      </w:r>
      <w:r>
        <w:rPr>
          <w:rFonts w:hint="eastAsia" w:ascii="宋体" w:hAnsi="宋体" w:eastAsia="宋体" w:cs="宋体"/>
          <w:color w:val="000000" w:themeColor="text1"/>
          <w:sz w:val="28"/>
          <w:szCs w:val="28"/>
          <w:highlight w:val="none"/>
          <w:lang w:val="en-US" w:eastAsia="zh-CN"/>
          <w14:textFill>
            <w14:solidFill>
              <w14:schemeClr w14:val="tx1"/>
            </w14:solidFill>
          </w14:textFill>
        </w:rPr>
        <w:t>:</w:t>
      </w:r>
      <w:r>
        <w:rPr>
          <w:rFonts w:hint="eastAsia" w:ascii="宋体" w:hAnsi="宋体" w:cs="宋体"/>
          <w:color w:val="000000" w:themeColor="text1"/>
          <w:sz w:val="28"/>
          <w:szCs w:val="28"/>
          <w:highlight w:val="none"/>
          <w:lang w:val="en-US" w:eastAsia="zh-CN"/>
          <w14:textFill>
            <w14:solidFill>
              <w14:schemeClr w14:val="tx1"/>
            </w14:solidFill>
          </w14:textFill>
        </w:rPr>
        <w:t>0</w:t>
      </w:r>
      <w:r>
        <w:rPr>
          <w:rFonts w:hint="eastAsia" w:ascii="宋体" w:hAnsi="宋体" w:eastAsia="宋体" w:cs="宋体"/>
          <w:color w:val="000000" w:themeColor="text1"/>
          <w:sz w:val="28"/>
          <w:szCs w:val="28"/>
          <w:highlight w:val="none"/>
          <w:lang w:val="en-US" w:eastAsia="zh-CN"/>
          <w14:textFill>
            <w14:solidFill>
              <w14:schemeClr w14:val="tx1"/>
            </w14:solidFill>
          </w14:textFill>
        </w:rPr>
        <w:t>0（北京时间）</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开标地点：政采云一站式政府采购云平台</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lang w:eastAsia="zh-CN"/>
          <w14:textFill>
            <w14:solidFill>
              <w14:schemeClr w14:val="tx1"/>
            </w14:solidFill>
          </w14:textFill>
        </w:rPr>
        <w:t>五</w:t>
      </w:r>
      <w:r>
        <w:rPr>
          <w:rFonts w:hint="eastAsia" w:ascii="宋体" w:hAnsi="宋体" w:eastAsia="宋体" w:cs="宋体"/>
          <w:b/>
          <w:bCs/>
          <w:color w:val="000000" w:themeColor="text1"/>
          <w:sz w:val="28"/>
          <w:szCs w:val="28"/>
          <w:highlight w:val="none"/>
          <w14:textFill>
            <w14:solidFill>
              <w14:schemeClr w14:val="tx1"/>
            </w14:solidFill>
          </w14:textFill>
        </w:rPr>
        <w:t>、公告期限</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自本公告发布之日起</w:t>
      </w:r>
      <w:r>
        <w:rPr>
          <w:rFonts w:hint="eastAsia" w:ascii="宋体" w:hAnsi="宋体" w:cs="宋体"/>
          <w:color w:val="000000" w:themeColor="text1"/>
          <w:sz w:val="28"/>
          <w:szCs w:val="28"/>
          <w:highlight w:val="none"/>
          <w:lang w:val="en-US" w:eastAsia="zh-CN"/>
          <w14:textFill>
            <w14:solidFill>
              <w14:schemeClr w14:val="tx1"/>
            </w14:solidFill>
          </w14:textFill>
        </w:rPr>
        <w:t>5</w:t>
      </w:r>
      <w:r>
        <w:rPr>
          <w:rFonts w:hint="eastAsia" w:ascii="宋体" w:hAnsi="宋体" w:eastAsia="宋体" w:cs="宋体"/>
          <w:color w:val="000000" w:themeColor="text1"/>
          <w:sz w:val="28"/>
          <w:szCs w:val="28"/>
          <w:highlight w:val="none"/>
          <w14:textFill>
            <w14:solidFill>
              <w14:schemeClr w14:val="tx1"/>
            </w14:solidFill>
          </w14:textFill>
        </w:rPr>
        <w:t>个工作日。</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lang w:eastAsia="zh-CN"/>
          <w14:textFill>
            <w14:solidFill>
              <w14:schemeClr w14:val="tx1"/>
            </w14:solidFill>
          </w14:textFill>
        </w:rPr>
        <w:t>六</w:t>
      </w:r>
      <w:r>
        <w:rPr>
          <w:rFonts w:hint="eastAsia" w:ascii="宋体" w:hAnsi="宋体" w:eastAsia="宋体" w:cs="宋体"/>
          <w:b/>
          <w:bCs/>
          <w:color w:val="000000" w:themeColor="text1"/>
          <w:sz w:val="28"/>
          <w:szCs w:val="28"/>
          <w:highlight w:val="none"/>
          <w14:textFill>
            <w14:solidFill>
              <w14:schemeClr w14:val="tx1"/>
            </w14:solidFill>
          </w14:textFill>
        </w:rPr>
        <w:t>、其他补充事宜</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000000" w:themeColor="text1"/>
          <w:sz w:val="28"/>
          <w:szCs w:val="28"/>
          <w:highlight w:val="none"/>
          <w:lang w:eastAsia="zh-CN"/>
          <w14:textFill>
            <w14:solidFill>
              <w14:schemeClr w14:val="tx1"/>
            </w14:solidFill>
          </w14:textFill>
        </w:rPr>
      </w:pPr>
      <w:r>
        <w:rPr>
          <w:rFonts w:hint="eastAsia" w:ascii="宋体" w:hAnsi="宋体" w:cs="宋体"/>
          <w:b w:val="0"/>
          <w:bCs w:val="0"/>
          <w:color w:val="000000" w:themeColor="text1"/>
          <w:sz w:val="28"/>
          <w:szCs w:val="28"/>
          <w:highlight w:val="none"/>
          <w:lang w:eastAsia="zh-CN"/>
          <w14:textFill>
            <w14:solidFill>
              <w14:schemeClr w14:val="tx1"/>
            </w14:solidFill>
          </w14:textFill>
        </w:rPr>
        <w:t>1、本项目实行电子招投标，供应商须登录政采云平台申请获取采购文件，并需要使用CA锁，登录政采云电子投标客户端制作竞标文件，若供应商参与投标,自行承担与投标有关的一切费用。</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000000" w:themeColor="text1"/>
          <w:sz w:val="28"/>
          <w:szCs w:val="28"/>
          <w:highlight w:val="none"/>
          <w:lang w:eastAsia="zh-CN"/>
          <w14:textFill>
            <w14:solidFill>
              <w14:schemeClr w14:val="tx1"/>
            </w14:solidFill>
          </w14:textFill>
        </w:rPr>
      </w:pPr>
      <w:r>
        <w:rPr>
          <w:rFonts w:hint="eastAsia" w:ascii="宋体" w:hAnsi="宋体" w:cs="宋体"/>
          <w:b w:val="0"/>
          <w:bCs w:val="0"/>
          <w:color w:val="000000" w:themeColor="text1"/>
          <w:sz w:val="28"/>
          <w:szCs w:val="28"/>
          <w:highlight w:val="none"/>
          <w:lang w:eastAsia="zh-CN"/>
          <w14:textFill>
            <w14:solidFill>
              <w14:schemeClr w14:val="tx1"/>
            </w14:solidFill>
          </w14:textFill>
        </w:rPr>
        <w:t>2、各供应商应在开标前确保是新疆维吾尔自治区政府采购网正式注册入库的供应商，并完成CA数字证书申领。因未注册入库、未办理CA数字证书等原因造成无法投标或投标失败等后果的由供应商自行承担。</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000000" w:themeColor="text1"/>
          <w:sz w:val="28"/>
          <w:szCs w:val="28"/>
          <w:highlight w:val="none"/>
          <w:lang w:eastAsia="zh-CN"/>
          <w14:textFill>
            <w14:solidFill>
              <w14:schemeClr w14:val="tx1"/>
            </w14:solidFill>
          </w14:textFill>
        </w:rPr>
      </w:pPr>
      <w:r>
        <w:rPr>
          <w:rFonts w:hint="eastAsia" w:ascii="宋体" w:hAnsi="宋体" w:cs="宋体"/>
          <w:b w:val="0"/>
          <w:bCs w:val="0"/>
          <w:color w:val="000000" w:themeColor="text1"/>
          <w:sz w:val="28"/>
          <w:szCs w:val="28"/>
          <w:highlight w:val="none"/>
          <w:lang w:eastAsia="zh-CN"/>
          <w14:textFill>
            <w14:solidFill>
              <w14:schemeClr w14:val="tx1"/>
            </w14:solidFill>
          </w14:textFill>
        </w:rPr>
        <w:t>3、供应商可前往新疆政府采购网（http://www.ccgp-xinjiang.gov.cn/）下载专区，下载政采云电子投标客户端，安装完成后，可通过账号密码或CA登录客户端进行竞标文件制作。在使用政采云电子投标客户端时，建议使用WIN7及以上操作系统。如有问题可拨打政采云客户服务热线400-881-7190进行咨询。</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000000" w:themeColor="text1"/>
          <w:sz w:val="28"/>
          <w:szCs w:val="28"/>
          <w:highlight w:val="none"/>
          <w:lang w:eastAsia="zh-CN"/>
          <w14:textFill>
            <w14:solidFill>
              <w14:schemeClr w14:val="tx1"/>
            </w14:solidFill>
          </w14:textFill>
        </w:rPr>
      </w:pPr>
      <w:r>
        <w:rPr>
          <w:rFonts w:hint="eastAsia" w:ascii="宋体" w:hAnsi="宋体" w:cs="宋体"/>
          <w:b w:val="0"/>
          <w:bCs w:val="0"/>
          <w:color w:val="000000" w:themeColor="text1"/>
          <w:sz w:val="28"/>
          <w:szCs w:val="28"/>
          <w:highlight w:val="none"/>
          <w:lang w:eastAsia="zh-CN"/>
          <w14:textFill>
            <w14:solidFill>
              <w14:schemeClr w14:val="tx1"/>
            </w14:solidFill>
          </w14:textFill>
        </w:rPr>
        <w:t>4、供应商在开标时须携带制作加密电子竞标文件所使用的CA锁，电脑须提前配置好浏览器（建议使用360浏览器或谷歌浏览器），以便开标时在线解密。</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000000" w:themeColor="text1"/>
          <w:sz w:val="28"/>
          <w:szCs w:val="28"/>
          <w:highlight w:val="none"/>
          <w:lang w:eastAsia="zh-CN"/>
          <w14:textFill>
            <w14:solidFill>
              <w14:schemeClr w14:val="tx1"/>
            </w14:solidFill>
          </w14:textFill>
        </w:rPr>
      </w:pPr>
      <w:r>
        <w:rPr>
          <w:rFonts w:hint="eastAsia" w:ascii="宋体" w:hAnsi="宋体" w:cs="宋体"/>
          <w:b w:val="0"/>
          <w:bCs w:val="0"/>
          <w:color w:val="000000" w:themeColor="text1"/>
          <w:sz w:val="28"/>
          <w:szCs w:val="28"/>
          <w:highlight w:val="none"/>
          <w:lang w:eastAsia="zh-CN"/>
          <w14:textFill>
            <w14:solidFill>
              <w14:schemeClr w14:val="tx1"/>
            </w14:solidFill>
          </w14:textFill>
        </w:rPr>
        <w:t>5、投标供应商应当在投标截止时间前，将生成的“电子加密竞标文件”上传递交至“政府采购云平台”，投标截止时间以后上传递交的竞标文件将被“政府采购云平台”拒收。  </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000000" w:themeColor="text1"/>
          <w:sz w:val="28"/>
          <w:szCs w:val="28"/>
          <w:highlight w:val="none"/>
          <w:lang w:eastAsia="zh-CN"/>
          <w14:textFill>
            <w14:solidFill>
              <w14:schemeClr w14:val="tx1"/>
            </w14:solidFill>
          </w14:textFill>
        </w:rPr>
      </w:pPr>
      <w:r>
        <w:rPr>
          <w:rFonts w:hint="eastAsia" w:ascii="宋体" w:hAnsi="宋体" w:cs="宋体"/>
          <w:b w:val="0"/>
          <w:bCs w:val="0"/>
          <w:color w:val="000000" w:themeColor="text1"/>
          <w:sz w:val="28"/>
          <w:szCs w:val="28"/>
          <w:highlight w:val="none"/>
          <w:lang w:eastAsia="zh-CN"/>
          <w14:textFill>
            <w14:solidFill>
              <w14:schemeClr w14:val="tx1"/>
            </w14:solidFill>
          </w14:textFill>
        </w:rPr>
        <w:t>特别提示：</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000000" w:themeColor="text1"/>
          <w:sz w:val="28"/>
          <w:szCs w:val="28"/>
          <w:highlight w:val="none"/>
          <w:lang w:eastAsia="zh-CN"/>
          <w14:textFill>
            <w14:solidFill>
              <w14:schemeClr w14:val="tx1"/>
            </w14:solidFill>
          </w14:textFill>
        </w:rPr>
      </w:pPr>
      <w:r>
        <w:rPr>
          <w:rFonts w:hint="eastAsia" w:ascii="宋体" w:hAnsi="宋体" w:cs="宋体"/>
          <w:b w:val="0"/>
          <w:bCs w:val="0"/>
          <w:color w:val="000000" w:themeColor="text1"/>
          <w:sz w:val="28"/>
          <w:szCs w:val="28"/>
          <w:highlight w:val="none"/>
          <w:lang w:eastAsia="zh-CN"/>
          <w14:textFill>
            <w14:solidFill>
              <w14:schemeClr w14:val="tx1"/>
            </w14:solidFill>
          </w14:textFill>
        </w:rPr>
        <w:t>1、超过200万元的货物和服务采购项目、超过400万元的工程采购项目中适宜由中小企业提供的，预留该部分采购项目预算总额的40%以上专门面向中小企业采购，其中预留给小微企业的比例不低于60%。</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000000" w:themeColor="text1"/>
          <w:sz w:val="28"/>
          <w:szCs w:val="28"/>
          <w:highlight w:val="none"/>
          <w:lang w:eastAsia="zh-CN"/>
          <w14:textFill>
            <w14:solidFill>
              <w14:schemeClr w14:val="tx1"/>
            </w14:solidFill>
          </w14:textFill>
        </w:rPr>
      </w:pPr>
      <w:r>
        <w:rPr>
          <w:rFonts w:hint="eastAsia" w:ascii="宋体" w:hAnsi="宋体" w:cs="宋体"/>
          <w:b w:val="0"/>
          <w:bCs w:val="0"/>
          <w:color w:val="000000" w:themeColor="text1"/>
          <w:sz w:val="28"/>
          <w:szCs w:val="28"/>
          <w:highlight w:val="none"/>
          <w:lang w:eastAsia="zh-CN"/>
          <w14:textFill>
            <w14:solidFill>
              <w14:schemeClr w14:val="tx1"/>
            </w14:solidFill>
          </w14:textFill>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000000" w:themeColor="text1"/>
          <w:sz w:val="28"/>
          <w:szCs w:val="28"/>
          <w:highlight w:val="none"/>
          <w:lang w:eastAsia="zh-CN"/>
          <w14:textFill>
            <w14:solidFill>
              <w14:schemeClr w14:val="tx1"/>
            </w14:solidFill>
          </w14:textFill>
        </w:rPr>
      </w:pPr>
      <w:r>
        <w:rPr>
          <w:rFonts w:hint="eastAsia" w:ascii="宋体" w:hAnsi="宋体" w:cs="宋体"/>
          <w:b w:val="0"/>
          <w:bCs w:val="0"/>
          <w:color w:val="000000" w:themeColor="text1"/>
          <w:sz w:val="28"/>
          <w:szCs w:val="28"/>
          <w:highlight w:val="none"/>
          <w:lang w:eastAsia="zh-CN"/>
          <w14:textFill>
            <w14:solidFill>
              <w14:schemeClr w14:val="tx1"/>
            </w14:solidFill>
          </w14:textFill>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eastAsia="zh-CN"/>
          <w14:textFill>
            <w14:solidFill>
              <w14:schemeClr w14:val="tx1"/>
            </w14:solidFill>
          </w14:textFill>
        </w:rPr>
        <w:t>七</w:t>
      </w:r>
      <w:r>
        <w:rPr>
          <w:rFonts w:hint="eastAsia" w:ascii="宋体" w:hAnsi="宋体" w:eastAsia="宋体" w:cs="宋体"/>
          <w:b/>
          <w:bCs/>
          <w:color w:val="000000" w:themeColor="text1"/>
          <w:sz w:val="28"/>
          <w:szCs w:val="28"/>
          <w:highlight w:val="none"/>
          <w14:textFill>
            <w14:solidFill>
              <w14:schemeClr w14:val="tx1"/>
            </w14:solidFill>
          </w14:textFill>
        </w:rPr>
        <w:t>、对本次采购提出询问，请按以下方式联系</w:t>
      </w:r>
      <w:r>
        <w:rPr>
          <w:rFonts w:hint="eastAsia" w:ascii="宋体" w:hAnsi="宋体" w:cs="宋体"/>
          <w:b/>
          <w:bCs/>
          <w:color w:val="000000" w:themeColor="text1"/>
          <w:sz w:val="28"/>
          <w:szCs w:val="28"/>
          <w:highlight w:val="none"/>
          <w:lang w:val="en-US" w:eastAsia="zh-CN"/>
          <w14:textFill>
            <w14:solidFill>
              <w14:schemeClr w14:val="tx1"/>
            </w14:solidFill>
          </w14:textFill>
        </w:rPr>
        <w:t xml:space="preserve"> </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1.采购人信息</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名 </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称：</w:t>
      </w:r>
      <w:r>
        <w:rPr>
          <w:rFonts w:hint="eastAsia" w:ascii="宋体" w:hAnsi="宋体" w:cs="宋体"/>
          <w:color w:val="000000" w:themeColor="text1"/>
          <w:sz w:val="28"/>
          <w:szCs w:val="28"/>
          <w:highlight w:val="none"/>
          <w:lang w:eastAsia="zh-CN"/>
          <w14:textFill>
            <w14:solidFill>
              <w14:schemeClr w14:val="tx1"/>
            </w14:solidFill>
          </w14:textFill>
        </w:rPr>
        <w:t>新疆沙雅县住房和城乡建设局</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地 </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址：新疆维吾尔自治区阿克苏地区沙雅县北京西路联合办公楼3号楼</w:t>
      </w:r>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联系方式：</w:t>
      </w:r>
      <w:r>
        <w:rPr>
          <w:rFonts w:hint="eastAsia" w:ascii="宋体" w:hAnsi="宋体" w:cs="宋体"/>
          <w:bCs/>
          <w:color w:val="000000" w:themeColor="text1"/>
          <w:sz w:val="28"/>
          <w:szCs w:val="28"/>
          <w:highlight w:val="none"/>
          <w:lang w:val="en-US" w:eastAsia="zh-CN"/>
          <w14:textFill>
            <w14:solidFill>
              <w14:schemeClr w14:val="tx1"/>
            </w14:solidFill>
          </w14:textFill>
        </w:rPr>
        <w:t>18799934429</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2.采购代理机构信息</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名 称：</w:t>
      </w:r>
      <w:r>
        <w:rPr>
          <w:rFonts w:hint="eastAsia" w:ascii="宋体" w:hAnsi="宋体" w:cs="宋体"/>
          <w:color w:val="000000" w:themeColor="text1"/>
          <w:sz w:val="28"/>
          <w:szCs w:val="28"/>
          <w:lang w:val="en-US" w:eastAsia="zh-CN"/>
          <w14:textFill>
            <w14:solidFill>
              <w14:schemeClr w14:val="tx1"/>
            </w14:solidFill>
          </w14:textFill>
        </w:rPr>
        <w:t>新疆东晨项目管理有限公司</w:t>
      </w:r>
      <w:r>
        <w:rPr>
          <w:rFonts w:hint="eastAsia" w:ascii="宋体" w:hAnsi="宋体" w:eastAsia="宋体" w:cs="宋体"/>
          <w:color w:val="000000" w:themeColor="text1"/>
          <w:sz w:val="28"/>
          <w:szCs w:val="28"/>
          <w:lang w:val="en-US" w:eastAsia="zh-CN"/>
          <w14:textFill>
            <w14:solidFill>
              <w14:schemeClr w14:val="tx1"/>
            </w14:solidFill>
          </w14:textFill>
        </w:rPr>
        <w:t> 　　　　　　　　　　　</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地 址：</w:t>
      </w:r>
      <w:r>
        <w:rPr>
          <w:rFonts w:hint="eastAsia" w:ascii="宋体" w:hAnsi="宋体" w:cs="宋体"/>
          <w:color w:val="000000" w:themeColor="text1"/>
          <w:sz w:val="28"/>
          <w:szCs w:val="28"/>
          <w:lang w:val="en-US" w:eastAsia="zh-CN"/>
          <w14:textFill>
            <w14:solidFill>
              <w14:schemeClr w14:val="tx1"/>
            </w14:solidFill>
          </w14:textFill>
        </w:rPr>
        <w:t>新疆阿克苏地区阿克苏市栏杆街道迎宾社区北京路1号第一师电力公司1号高层住宅楼1单元202室</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项目联系人：</w:t>
      </w:r>
      <w:r>
        <w:rPr>
          <w:rFonts w:hint="eastAsia" w:ascii="宋体" w:hAnsi="宋体" w:cs="宋体"/>
          <w:color w:val="000000" w:themeColor="text1"/>
          <w:sz w:val="28"/>
          <w:szCs w:val="28"/>
          <w:lang w:val="en-US" w:eastAsia="zh-CN"/>
          <w14:textFill>
            <w14:solidFill>
              <w14:schemeClr w14:val="tx1"/>
            </w14:solidFill>
          </w14:textFill>
        </w:rPr>
        <w:t>杨锦毅</w:t>
      </w:r>
    </w:p>
    <w:p>
      <w:pPr>
        <w:pageBreakBefore w:val="0"/>
        <w:widowControl w:val="0"/>
        <w:kinsoku/>
        <w:wordWrap/>
        <w:overflowPunct/>
        <w:topLinePunct w:val="0"/>
        <w:autoSpaceDE/>
        <w:autoSpaceDN/>
        <w:bidi w:val="0"/>
        <w:adjustRightInd/>
        <w:snapToGrid/>
        <w:spacing w:line="400" w:lineRule="exact"/>
        <w:ind w:firstLine="281" w:firstLineChars="100"/>
        <w:textAlignment w:val="auto"/>
        <w:rPr>
          <w:rFonts w:hint="default"/>
          <w:color w:val="000000" w:themeColor="text1"/>
          <w:lang w:val="en-US"/>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电　　  话：</w:t>
      </w:r>
      <w:r>
        <w:rPr>
          <w:rFonts w:hint="eastAsia" w:ascii="宋体" w:hAnsi="宋体" w:cs="宋体"/>
          <w:color w:val="000000" w:themeColor="text1"/>
          <w:sz w:val="28"/>
          <w:szCs w:val="28"/>
          <w:lang w:val="en-US" w:eastAsia="zh-CN"/>
          <w14:textFill>
            <w14:solidFill>
              <w14:schemeClr w14:val="tx1"/>
            </w14:solidFill>
          </w14:textFill>
        </w:rPr>
        <w:t>17699753914</w:t>
      </w:r>
    </w:p>
    <w:p>
      <w:pPr>
        <w:pageBreakBefore w:val="0"/>
        <w:widowControl w:val="0"/>
        <w:kinsoku/>
        <w:wordWrap/>
        <w:overflowPunct/>
        <w:topLinePunct w:val="0"/>
        <w:autoSpaceDE/>
        <w:autoSpaceDN/>
        <w:bidi w:val="0"/>
        <w:adjustRightInd/>
        <w:snapToGrid/>
        <w:spacing w:line="400" w:lineRule="exact"/>
        <w:ind w:firstLine="422" w:firstLineChars="200"/>
        <w:textAlignment w:val="auto"/>
        <w:rPr>
          <w:color w:val="000000" w:themeColor="text1"/>
          <w:highlight w:val="none"/>
          <w14:textFill>
            <w14:solidFill>
              <w14:schemeClr w14:val="tx1"/>
            </w14:solidFill>
          </w14:textFill>
        </w:rPr>
      </w:pPr>
    </w:p>
    <w:p>
      <w:pPr>
        <w:pStyle w:val="3"/>
        <w:keepLines w:val="0"/>
        <w:pageBreakBefore/>
        <w:numPr>
          <w:ilvl w:val="0"/>
          <w:numId w:val="1"/>
        </w:numPr>
        <w:adjustRightInd w:val="0"/>
        <w:snapToGrid w:val="0"/>
        <w:spacing w:before="120" w:after="120" w:line="360" w:lineRule="auto"/>
        <w:outlineLvl w:val="0"/>
        <w:rPr>
          <w:rFonts w:hint="eastAsia" w:ascii="宋体" w:hAnsi="宋体" w:eastAsia="宋体" w:cs="宋体"/>
          <w:b/>
          <w:bCs w:val="0"/>
          <w:color w:val="000000" w:themeColor="text1"/>
          <w:sz w:val="32"/>
          <w:szCs w:val="32"/>
          <w:highlight w:val="none"/>
          <w14:textFill>
            <w14:solidFill>
              <w14:schemeClr w14:val="tx1"/>
            </w14:solidFill>
          </w14:textFill>
        </w:rPr>
      </w:pPr>
      <w:r>
        <w:rPr>
          <w:rFonts w:hint="eastAsia" w:ascii="宋体" w:hAnsi="宋体" w:eastAsia="宋体" w:cs="宋体"/>
          <w:b/>
          <w:bCs w:val="0"/>
          <w:color w:val="000000" w:themeColor="text1"/>
          <w:sz w:val="32"/>
          <w:szCs w:val="32"/>
          <w:highlight w:val="none"/>
          <w14:textFill>
            <w14:solidFill>
              <w14:schemeClr w14:val="tx1"/>
            </w14:solidFill>
          </w14:textFill>
        </w:rPr>
        <w:t xml:space="preserve"> </w:t>
      </w:r>
      <w:bookmarkStart w:id="1" w:name="_Toc5463"/>
      <w:bookmarkStart w:id="2" w:name="_Toc10132"/>
      <w:bookmarkStart w:id="3" w:name="_Toc32321"/>
      <w:r>
        <w:rPr>
          <w:rFonts w:hint="eastAsia" w:ascii="宋体" w:hAnsi="宋体" w:eastAsia="宋体" w:cs="宋体"/>
          <w:b/>
          <w:bCs w:val="0"/>
          <w:color w:val="000000" w:themeColor="text1"/>
          <w:sz w:val="32"/>
          <w:szCs w:val="32"/>
          <w:highlight w:val="none"/>
          <w14:textFill>
            <w14:solidFill>
              <w14:schemeClr w14:val="tx1"/>
            </w14:solidFill>
          </w14:textFill>
        </w:rPr>
        <w:t>投标人须知</w:t>
      </w:r>
      <w:bookmarkEnd w:id="0"/>
      <w:bookmarkEnd w:id="1"/>
      <w:bookmarkEnd w:id="2"/>
      <w:bookmarkEnd w:id="3"/>
    </w:p>
    <w:p>
      <w:pPr>
        <w:pStyle w:val="4"/>
        <w:keepNext w:val="0"/>
        <w:keepLines w:val="0"/>
        <w:adjustRightInd w:val="0"/>
        <w:snapToGrid w:val="0"/>
        <w:spacing w:before="120" w:after="120" w:line="360" w:lineRule="auto"/>
        <w:jc w:val="center"/>
        <w:outlineLvl w:val="1"/>
        <w:rPr>
          <w:rFonts w:hint="eastAsia" w:ascii="宋体" w:hAnsi="宋体" w:eastAsia="宋体" w:cs="宋体"/>
          <w:bCs w:val="0"/>
          <w:color w:val="000000" w:themeColor="text1"/>
          <w:sz w:val="28"/>
          <w:szCs w:val="28"/>
          <w:highlight w:val="none"/>
          <w14:textFill>
            <w14:solidFill>
              <w14:schemeClr w14:val="tx1"/>
            </w14:solidFill>
          </w14:textFill>
        </w:rPr>
      </w:pPr>
      <w:bookmarkStart w:id="4" w:name="_Toc665"/>
      <w:bookmarkStart w:id="5" w:name="_Toc152045528"/>
      <w:bookmarkStart w:id="6" w:name="_Toc144974496"/>
      <w:bookmarkStart w:id="7" w:name="_Toc152042304"/>
      <w:bookmarkStart w:id="8" w:name="_Toc179632545"/>
      <w:bookmarkStart w:id="9" w:name="_Toc13641"/>
      <w:bookmarkStart w:id="10" w:name="_Toc25446"/>
      <w:r>
        <w:rPr>
          <w:rFonts w:hint="eastAsia" w:ascii="宋体" w:hAnsi="宋体" w:eastAsia="宋体" w:cs="宋体"/>
          <w:bCs w:val="0"/>
          <w:color w:val="000000" w:themeColor="text1"/>
          <w:sz w:val="28"/>
          <w:szCs w:val="28"/>
          <w:highlight w:val="none"/>
          <w14:textFill>
            <w14:solidFill>
              <w14:schemeClr w14:val="tx1"/>
            </w14:solidFill>
          </w14:textFill>
        </w:rPr>
        <w:t>投标人须知前附表</w:t>
      </w:r>
      <w:bookmarkEnd w:id="4"/>
      <w:bookmarkEnd w:id="5"/>
      <w:bookmarkEnd w:id="6"/>
      <w:bookmarkEnd w:id="7"/>
      <w:bookmarkEnd w:id="8"/>
      <w:bookmarkEnd w:id="9"/>
      <w:bookmarkEnd w:id="10"/>
    </w:p>
    <w:tbl>
      <w:tblPr>
        <w:tblStyle w:val="14"/>
        <w:tblpPr w:leftFromText="180" w:rightFromText="180" w:vertAnchor="text" w:horzAnchor="page" w:tblpXSpec="center" w:tblpY="73"/>
        <w:tblOverlap w:val="never"/>
        <w:tblW w:w="10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20"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bookmarkStart w:id="11" w:name="_Toc152045529"/>
            <w:bookmarkStart w:id="12" w:name="_Toc26931"/>
            <w:bookmarkStart w:id="13" w:name="_Toc21488"/>
            <w:bookmarkStart w:id="14" w:name="_Toc144974497"/>
            <w:bookmarkStart w:id="15" w:name="_Toc152042305"/>
            <w:bookmarkStart w:id="16" w:name="_Toc179632546"/>
            <w:bookmarkStart w:id="17" w:name="_Toc2427"/>
            <w:r>
              <w:rPr>
                <w:rFonts w:hint="eastAsia" w:ascii="宋体" w:hAnsi="宋体" w:cs="宋体"/>
                <w:color w:val="000000" w:themeColor="text1"/>
                <w:sz w:val="24"/>
                <w:highlight w:val="none"/>
                <w14:textFill>
                  <w14:solidFill>
                    <w14:schemeClr w14:val="tx1"/>
                  </w14:solidFill>
                </w14:textFill>
              </w:rPr>
              <w:t>序号</w:t>
            </w:r>
          </w:p>
        </w:tc>
        <w:tc>
          <w:tcPr>
            <w:tcW w:w="9303"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303" w:type="dxa"/>
            <w:noWrap w:val="0"/>
            <w:vAlign w:val="center"/>
          </w:tcPr>
          <w:p>
            <w:pPr>
              <w:spacing w:line="360" w:lineRule="auto"/>
              <w:rPr>
                <w:rFonts w:hint="eastAsia" w:ascii="宋体" w:hAnsi="宋体" w:eastAsia="Times New Roman"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沙雅县城区绿化苗木种植采购</w:t>
            </w:r>
          </w:p>
          <w:p>
            <w:pPr>
              <w:spacing w:line="360" w:lineRule="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招标文件编号：</w:t>
            </w:r>
            <w:r>
              <w:rPr>
                <w:rFonts w:hint="eastAsia" w:ascii="宋体" w:hAnsi="宋体" w:cs="宋体"/>
                <w:color w:val="000000" w:themeColor="text1"/>
                <w:sz w:val="24"/>
                <w:highlight w:val="none"/>
                <w:lang w:eastAsia="zh-CN"/>
                <w14:textFill>
                  <w14:solidFill>
                    <w14:schemeClr w14:val="tx1"/>
                  </w14:solidFill>
                </w14:textFill>
              </w:rPr>
              <w:t>XJDC-(2023)-CG009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9303" w:type="dxa"/>
            <w:noWrap w:val="0"/>
            <w:vAlign w:val="center"/>
          </w:tcPr>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采购代理机构：</w:t>
            </w:r>
            <w:r>
              <w:rPr>
                <w:rFonts w:hint="eastAsia" w:ascii="宋体" w:hAnsi="宋体" w:cs="宋体"/>
                <w:color w:val="000000" w:themeColor="text1"/>
                <w:sz w:val="24"/>
                <w:highlight w:val="none"/>
                <w:lang w:eastAsia="zh-CN"/>
                <w14:textFill>
                  <w14:solidFill>
                    <w14:schemeClr w14:val="tx1"/>
                  </w14:solidFill>
                </w14:textFill>
              </w:rPr>
              <w:t>新疆东晨项目管理有限公司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9303" w:type="dxa"/>
            <w:noWrap w:val="0"/>
            <w:vAlign w:val="center"/>
          </w:tcPr>
          <w:p>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服务内容：详见采购需求</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最高限价：</w:t>
            </w:r>
            <w:r>
              <w:rPr>
                <w:rFonts w:hint="eastAsia" w:ascii="宋体" w:hAnsi="宋体" w:cs="宋体"/>
                <w:color w:val="000000" w:themeColor="text1"/>
                <w:sz w:val="24"/>
                <w:highlight w:val="none"/>
                <w:lang w:val="en-US" w:eastAsia="zh-CN"/>
                <w14:textFill>
                  <w14:solidFill>
                    <w14:schemeClr w14:val="tx1"/>
                  </w14:solidFill>
                </w14:textFill>
              </w:rPr>
              <w:t>5347908.34元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9303" w:type="dxa"/>
            <w:noWrap w:val="0"/>
            <w:vAlign w:val="center"/>
          </w:tcPr>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服务</w:t>
            </w:r>
            <w:r>
              <w:rPr>
                <w:rFonts w:hint="eastAsia" w:ascii="宋体" w:hAnsi="宋体" w:cs="宋体"/>
                <w:color w:val="000000" w:themeColor="text1"/>
                <w:sz w:val="24"/>
                <w:highlight w:val="none"/>
                <w14:textFill>
                  <w14:solidFill>
                    <w14:schemeClr w14:val="tx1"/>
                  </w14:solidFill>
                </w14:textFill>
              </w:rPr>
              <w:t>期限：</w:t>
            </w:r>
            <w:r>
              <w:rPr>
                <w:rFonts w:hint="eastAsia" w:ascii="宋体" w:hAnsi="宋体" w:cs="宋体"/>
                <w:color w:val="000000" w:themeColor="text1"/>
                <w:sz w:val="24"/>
                <w:highlight w:val="none"/>
                <w:lang w:val="en-US" w:eastAsia="zh-CN"/>
                <w14:textFill>
                  <w14:solidFill>
                    <w14:schemeClr w14:val="tx1"/>
                  </w14:solidFill>
                </w14:textFill>
              </w:rPr>
              <w:t>中标后13天内供货。</w:t>
            </w: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服务</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lang w:eastAsia="zh-CN"/>
                <w14:textFill>
                  <w14:solidFill>
                    <w14:schemeClr w14:val="tx1"/>
                  </w14:solidFill>
                </w14:textFill>
              </w:rPr>
              <w:t>沙雅县</w:t>
            </w:r>
            <w:r>
              <w:rPr>
                <w:rFonts w:hint="eastAsia" w:ascii="宋体" w:hAnsi="宋体" w:cs="宋体"/>
                <w:color w:val="000000" w:themeColor="text1"/>
                <w:kern w:val="0"/>
                <w:sz w:val="24"/>
                <w:highlight w:val="none"/>
                <w:shd w:val="clear" w:color="auto" w:fill="FFFFFF"/>
                <w:lang w:eastAsia="zh-CN"/>
                <w14:textFill>
                  <w14:solidFill>
                    <w14:schemeClr w14:val="tx1"/>
                  </w14:solidFill>
                </w14:textFill>
              </w:rPr>
              <w:t>（</w:t>
            </w:r>
            <w:r>
              <w:rPr>
                <w:rFonts w:hint="eastAsia" w:ascii="宋体" w:hAnsi="宋体" w:cs="宋体"/>
                <w:color w:val="000000" w:themeColor="text1"/>
                <w:kern w:val="0"/>
                <w:sz w:val="24"/>
                <w:highlight w:val="none"/>
                <w:shd w:val="clear" w:color="auto" w:fill="FFFFFF"/>
                <w:lang w:val="en-US" w:eastAsia="zh-CN"/>
                <w14:textFill>
                  <w14:solidFill>
                    <w14:schemeClr w14:val="tx1"/>
                  </w14:solidFill>
                </w14:textFill>
              </w:rPr>
              <w:t>招标人指定地点</w:t>
            </w:r>
            <w:r>
              <w:rPr>
                <w:rFonts w:hint="eastAsia" w:ascii="宋体" w:hAnsi="宋体" w:cs="宋体"/>
                <w:color w:val="000000" w:themeColor="text1"/>
                <w:kern w:val="0"/>
                <w:sz w:val="24"/>
                <w:highlight w:val="none"/>
                <w:shd w:val="clear" w:color="auto" w:fill="FFFFFF"/>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20"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9303" w:type="dxa"/>
            <w:noWrap w:val="0"/>
            <w:vAlign w:val="center"/>
          </w:tcPr>
          <w:p>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投标人资格条件、能力和信誉：</w:t>
            </w:r>
          </w:p>
          <w:p>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资格条件：（一）符合《中华人民共和国政府采购法》第二十二条规定的条件，具备相应资质的投标人：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numPr>
                <w:ilvl w:val="0"/>
                <w:numId w:val="2"/>
              </w:numPr>
              <w:spacing w:line="360" w:lineRule="auto"/>
              <w:rPr>
                <w:rFonts w:hint="eastAsia"/>
                <w:color w:val="000000" w:themeColor="text1"/>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具备有效的营业执照原件；</w:t>
            </w:r>
          </w:p>
          <w:p>
            <w:pPr>
              <w:numPr>
                <w:ilvl w:val="0"/>
                <w:numId w:val="2"/>
              </w:numPr>
              <w:spacing w:line="360" w:lineRule="auto"/>
              <w:ind w:left="0" w:leftChars="0" w:firstLine="0" w:firstLineChars="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法人代表或其委托代理人应提供本人身份证原件，委托代理人还应提供《法人代表授权委托书》原件；</w:t>
            </w:r>
          </w:p>
          <w:p>
            <w:pPr>
              <w:numPr>
                <w:ilvl w:val="0"/>
                <w:numId w:val="2"/>
              </w:numPr>
              <w:spacing w:line="360" w:lineRule="auto"/>
              <w:ind w:left="0" w:leftChars="0" w:firstLine="0" w:firstLineChars="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近三年的财务审计报告（成立不足三年的提供成立至今的财务审计报告，成立不足一年的提供成立至今的财务报表，包含资产负债表、现金流量表、利润表）；近六个月（连续）的社保证明（需有相关人员的社保缴纳明细，退休人员需提供退休证明）和完税证明；</w:t>
            </w:r>
          </w:p>
          <w:p>
            <w:pPr>
              <w:numPr>
                <w:ilvl w:val="0"/>
                <w:numId w:val="2"/>
              </w:numPr>
              <w:spacing w:line="360" w:lineRule="auto"/>
              <w:ind w:left="0" w:leftChars="0" w:firstLine="0" w:firstLineChars="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供应商如在“信用中国”网站（www.creditchina.gov.cn）信用信息报告、国家企业信用信息公示报告、中国政府采购网被列入严重违法失信行为记录名单的（尚在处罚期内的），将拒绝其参加本次政府采购活动﹙投标人网上自行打印后加盖投标单位公章﹚。</w:t>
            </w:r>
          </w:p>
          <w:p>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（七）本项目不接受联合体投标。</w:t>
            </w:r>
          </w:p>
          <w:p>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财务要求：财务状况良好。</w:t>
            </w:r>
          </w:p>
          <w:p>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业绩要求：本项目不作强制要求。</w:t>
            </w:r>
          </w:p>
          <w:p>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信誉要求：良好，无不良行为记录。</w:t>
            </w:r>
          </w:p>
          <w:p>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其他要求：无</w:t>
            </w:r>
          </w:p>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质保期：本项目</w:t>
            </w:r>
            <w:r>
              <w:rPr>
                <w:rFonts w:hint="eastAsia" w:ascii="宋体" w:hAnsi="宋体" w:cs="宋体"/>
                <w:color w:val="000000" w:themeColor="text1"/>
                <w:sz w:val="24"/>
                <w:highlight w:val="none"/>
                <w:lang w:val="en-US" w:eastAsia="zh-CN"/>
                <w14:textFill>
                  <w14:solidFill>
                    <w14:schemeClr w14:val="tx1"/>
                  </w14:solidFill>
                </w14:textFill>
              </w:rPr>
              <w:t>不做要求</w:t>
            </w:r>
            <w:r>
              <w:rPr>
                <w:rFonts w:hint="eastAsia" w:ascii="宋体" w:hAnsi="宋体" w:eastAsia="宋体" w:cs="宋体"/>
                <w:color w:val="000000" w:themeColor="text1"/>
                <w:sz w:val="24"/>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20" w:type="dxa"/>
            <w:noWrap w:val="0"/>
            <w:vAlign w:val="center"/>
          </w:tcPr>
          <w:p>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p>
        </w:tc>
        <w:tc>
          <w:tcPr>
            <w:tcW w:w="9303" w:type="dxa"/>
            <w:noWrap w:val="0"/>
            <w:vAlign w:val="center"/>
          </w:tcPr>
          <w:p>
            <w:pPr>
              <w:shd w:val="clear" w:color="auto" w:fill="auto"/>
              <w:spacing w:line="360" w:lineRule="auto"/>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t>投标保证金：</w:t>
            </w:r>
          </w:p>
          <w:p>
            <w:pPr>
              <w:shd w:val="clear" w:color="auto" w:fill="auto"/>
              <w:spacing w:line="360" w:lineRule="auto"/>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t>投标保证金的递交时间：2023年</w:t>
            </w: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02月</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24</w:t>
            </w: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日1</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t>:</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0</w:t>
            </w:r>
            <w:r>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t>0 前</w:t>
            </w:r>
          </w:p>
          <w:p>
            <w:pPr>
              <w:shd w:val="clear" w:color="auto" w:fill="auto"/>
              <w:spacing w:line="360" w:lineRule="auto"/>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t>投标保证金的金额：</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10</w:t>
            </w: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0000.00</w:t>
            </w:r>
            <w:r>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t>元(</w:t>
            </w:r>
            <w:r>
              <w:rPr>
                <w:rFonts w:hint="eastAsia" w:ascii="宋体" w:hAnsi="宋体" w:cs="宋体"/>
                <w:color w:val="000000" w:themeColor="text1"/>
                <w:sz w:val="24"/>
                <w:highlight w:val="none"/>
                <w:shd w:val="clear" w:color="auto" w:fill="auto"/>
                <w:lang w:eastAsia="zh-CN"/>
                <w14:textFill>
                  <w14:solidFill>
                    <w14:schemeClr w14:val="tx1"/>
                  </w14:solidFill>
                </w14:textFill>
              </w:rPr>
              <w:t>壹拾</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万元整</w:t>
            </w:r>
            <w:r>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t>)</w:t>
            </w:r>
          </w:p>
          <w:p>
            <w:pPr>
              <w:shd w:val="clear" w:color="auto" w:fill="auto"/>
              <w:spacing w:line="360" w:lineRule="auto"/>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t>投标保证金的形式：投标保证金应当以支票、汇票、本票或者金融机构、担保机构出具的保函等非现金形式提交。（须标注项目名称、编号）</w:t>
            </w:r>
          </w:p>
          <w:p>
            <w:pPr>
              <w:shd w:val="clear" w:color="auto" w:fill="auto"/>
              <w:spacing w:line="360" w:lineRule="auto"/>
              <w:rPr>
                <w:rFonts w:hint="default" w:ascii="宋体" w:hAnsi="宋体" w:cs="宋体"/>
                <w:color w:val="000000" w:themeColor="text1"/>
                <w:sz w:val="24"/>
                <w:lang w:val="en-US" w:eastAsia="zh-CN"/>
                <w14:textFill>
                  <w14:solidFill>
                    <w14:schemeClr w14:val="tx1"/>
                  </w14:solidFill>
                </w14:textFill>
              </w:rPr>
            </w:pPr>
            <w:r>
              <w:rPr>
                <w:rFonts w:hint="default" w:ascii="宋体" w:hAnsi="宋体" w:cs="宋体"/>
                <w:color w:val="000000" w:themeColor="text1"/>
                <w:sz w:val="24"/>
                <w:lang w:val="en-US" w:eastAsia="zh-CN"/>
                <w14:textFill>
                  <w14:solidFill>
                    <w14:schemeClr w14:val="tx1"/>
                  </w14:solidFill>
                </w14:textFill>
              </w:rPr>
              <w:t>账户名称：</w:t>
            </w:r>
            <w:r>
              <w:rPr>
                <w:rFonts w:hint="eastAsia" w:ascii="宋体" w:hAnsi="宋体" w:cs="宋体"/>
                <w:color w:val="000000" w:themeColor="text1"/>
                <w:sz w:val="24"/>
                <w:lang w:val="en-US" w:eastAsia="zh-CN"/>
                <w14:textFill>
                  <w14:solidFill>
                    <w14:schemeClr w14:val="tx1"/>
                  </w14:solidFill>
                </w14:textFill>
              </w:rPr>
              <w:t>新疆东晨项目管理有限公司</w:t>
            </w:r>
          </w:p>
          <w:p>
            <w:pPr>
              <w:shd w:val="clear" w:color="auto" w:fill="auto"/>
              <w:spacing w:line="360" w:lineRule="auto"/>
              <w:rPr>
                <w:rFonts w:hint="default" w:ascii="宋体" w:hAnsi="宋体" w:cs="宋体"/>
                <w:color w:val="000000" w:themeColor="text1"/>
                <w:sz w:val="24"/>
                <w:lang w:val="en-US" w:eastAsia="zh-CN"/>
                <w14:textFill>
                  <w14:solidFill>
                    <w14:schemeClr w14:val="tx1"/>
                  </w14:solidFill>
                </w14:textFill>
              </w:rPr>
            </w:pPr>
            <w:r>
              <w:rPr>
                <w:rFonts w:hint="default" w:ascii="宋体" w:hAnsi="宋体" w:cs="宋体"/>
                <w:color w:val="000000" w:themeColor="text1"/>
                <w:sz w:val="24"/>
                <w:lang w:val="en-US" w:eastAsia="zh-CN"/>
                <w14:textFill>
                  <w14:solidFill>
                    <w14:schemeClr w14:val="tx1"/>
                  </w14:solidFill>
                </w14:textFill>
              </w:rPr>
              <w:t>开户行：</w:t>
            </w:r>
            <w:r>
              <w:rPr>
                <w:rFonts w:hint="eastAsia" w:ascii="宋体" w:hAnsi="宋体" w:cs="宋体"/>
                <w:color w:val="000000" w:themeColor="text1"/>
                <w:sz w:val="24"/>
                <w14:textFill>
                  <w14:solidFill>
                    <w14:schemeClr w14:val="tx1"/>
                  </w14:solidFill>
                </w14:textFill>
              </w:rPr>
              <w:t>交通银行股份有限公司阿克苏分行</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default" w:ascii="宋体" w:hAnsi="宋体" w:cs="宋体"/>
                <w:color w:val="000000" w:themeColor="text1"/>
                <w:sz w:val="24"/>
                <w:lang w:val="en-US" w:eastAsia="zh-CN"/>
                <w14:textFill>
                  <w14:solidFill>
                    <w14:schemeClr w14:val="tx1"/>
                  </w14:solidFill>
                </w14:textFill>
              </w:rPr>
              <w:t>账号：659659201013000171690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20"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9303" w:type="dxa"/>
            <w:noWrap w:val="0"/>
            <w:vAlign w:val="center"/>
          </w:tcPr>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投标文件有效期：60天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20"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9303" w:type="dxa"/>
            <w:noWrap w:val="0"/>
            <w:vAlign w:val="center"/>
          </w:tcPr>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投标截止时间：</w:t>
            </w:r>
            <w:r>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t>2023年</w:t>
            </w: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02月</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24</w:t>
            </w: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日1</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t>:</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0</w:t>
            </w:r>
            <w:r>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0"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9303" w:type="dxa"/>
            <w:noWrap w:val="0"/>
            <w:vAlign w:val="center"/>
          </w:tcPr>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投标文件递交地点：</w:t>
            </w:r>
            <w:r>
              <w:rPr>
                <w:rFonts w:hint="eastAsia" w:ascii="宋体" w:hAnsi="宋体" w:cs="宋体"/>
                <w:color w:val="000000" w:themeColor="text1"/>
                <w:sz w:val="24"/>
                <w:highlight w:val="none"/>
                <w:lang w:eastAsia="zh-CN"/>
                <w14:textFill>
                  <w14:solidFill>
                    <w14:schemeClr w14:val="tx1"/>
                  </w14:solidFill>
                </w14:textFill>
              </w:rPr>
              <w:t>政采云一站式政府采购云平台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20"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9303" w:type="dxa"/>
            <w:noWrap w:val="0"/>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开标日期：</w:t>
            </w:r>
            <w:r>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t>2023年</w:t>
            </w: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02月</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24</w:t>
            </w: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日1</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t>:</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0</w:t>
            </w:r>
            <w:r>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时</w:t>
            </w:r>
            <w:r>
              <w:rPr>
                <w:rFonts w:hint="eastAsia" w:ascii="宋体" w:hAnsi="宋体" w:eastAsia="宋体" w:cs="宋体"/>
                <w:color w:val="000000" w:themeColor="text1"/>
                <w:sz w:val="24"/>
                <w:highlight w:val="none"/>
                <w14:textFill>
                  <w14:solidFill>
                    <w14:schemeClr w14:val="tx1"/>
                  </w14:solidFill>
                </w14:textFill>
              </w:rPr>
              <w:t>（北京时间）</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开标地点：</w:t>
            </w:r>
            <w:r>
              <w:rPr>
                <w:rFonts w:hint="eastAsia" w:ascii="宋体" w:hAnsi="宋体" w:cs="宋体"/>
                <w:color w:val="000000" w:themeColor="text1"/>
                <w:sz w:val="24"/>
                <w:highlight w:val="none"/>
                <w:lang w:eastAsia="zh-CN"/>
                <w14:textFill>
                  <w14:solidFill>
                    <w14:schemeClr w14:val="tx1"/>
                  </w14:solidFill>
                </w14:textFill>
              </w:rPr>
              <w:t>政采云一站式政府采购云平台</w:t>
            </w:r>
          </w:p>
          <w:p>
            <w:pPr>
              <w:spacing w:line="360" w:lineRule="auto"/>
              <w:rPr>
                <w:rFonts w:hint="eastAsia"/>
                <w:color w:val="000000" w:themeColor="text1"/>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备注：供应商需要使用CA锁，登录政府采购云平台电子投标客户端制作投标文件，将生成的“JMBS格式电子加密投标文件”上传递交至“政府采购云平台”。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p>
        </w:tc>
        <w:tc>
          <w:tcPr>
            <w:tcW w:w="9303" w:type="dxa"/>
            <w:noWrap w:val="0"/>
            <w:vAlign w:val="center"/>
          </w:tcPr>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投标文件的要求：</w:t>
            </w:r>
          </w:p>
          <w:p>
            <w:pPr>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本项目实行电子招投标，供应商须登录政府采购云平台申请获取采购文件，并需要使用CA锁，在新疆政府采购网--下载专区下载--供应商客户端制作投标文件，并生成JMBS格式加密文件，在投标截止前上传至政府采购云平台。若供应商参与投标,自行承担与投标有关的一切费用。</w:t>
            </w:r>
          </w:p>
          <w:p>
            <w:pPr>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2、各供应商应在开标前确保是新疆维吾尔自治区政府采购网正式注册入库的供应商，并完成CA数字证书申领。因未注册入库、未办理CA数字证书等原因造成无法投标或投标失败等后果的由供应商自行承担。</w:t>
            </w:r>
          </w:p>
          <w:p>
            <w:pPr>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供应商可前往新疆政府采购网（http://www.ccgp-xinjiang.gov.cn/）下载专区，下载政府采购云平台电子投标客户端，安装完成后，可通过账号密码或CA登录客户端进行投标文件制作。在使用政府采购云平台电子投标客户端时，建议使用WIN7及以上操作系统。如有问题可拨打政府采购云平台客户服务热线400-881-7190进行咨询。</w:t>
            </w:r>
          </w:p>
          <w:p>
            <w:pPr>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4、供应商在开标时须携带制作加密电子投标文件所使用的CA锁，电脑须提前配置好浏览器（建议使用360浏览器或谷歌浏览器），以便开标时在线解密。</w:t>
            </w:r>
          </w:p>
          <w:p>
            <w:pPr>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5、投标供应商应当在投标截止时间前，将生成的“JMBS格式电子加密投标文件”上传递交至“政府采购云平台”，投标截止时间以后上传递交的投标文件将被“政府采购云平台”拒收。</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评标结束后，各投标单位须在一周内按招标文件要求将纸质版投标文件递交至招标代理处（所产生的的费用投标单位自理）。纸质版投标文件可通过加密电子版投标文件打印生成，应当与电子版投标文件一致。【1、份数要求：正本壹份、副本贰份，电子标壹份（U盘）。2、装订要求：投标文件商务技术部分装订成一册，投标文件的装订必须采用死页胶粘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2</w:t>
            </w:r>
          </w:p>
        </w:tc>
        <w:tc>
          <w:tcPr>
            <w:tcW w:w="9303" w:type="dxa"/>
            <w:noWrap w:val="0"/>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踏勘现场：不组织，投标人可自行踏勘现场。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3</w:t>
            </w:r>
          </w:p>
        </w:tc>
        <w:tc>
          <w:tcPr>
            <w:tcW w:w="9303" w:type="dxa"/>
            <w:noWrap w:val="0"/>
            <w:vAlign w:val="center"/>
          </w:tcPr>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评标委员会的组建：</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评标委员会由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5 </w:t>
            </w:r>
            <w:r>
              <w:rPr>
                <w:rFonts w:hint="eastAsia" w:ascii="宋体" w:hAnsi="宋体" w:cs="宋体"/>
                <w:color w:val="000000" w:themeColor="text1"/>
                <w:sz w:val="24"/>
                <w:highlight w:val="none"/>
                <w14:textFill>
                  <w14:solidFill>
                    <w14:schemeClr w14:val="tx1"/>
                  </w14:solidFill>
                </w14:textFill>
              </w:rPr>
              <w:t>人构成其中招标人代表</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0</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人（应当具备评标专家相应的或者类似的条件），专家</w:t>
            </w:r>
            <w:r>
              <w:rPr>
                <w:rFonts w:hint="eastAsia" w:ascii="宋体" w:hAnsi="宋体" w:cs="宋体"/>
                <w:color w:val="000000" w:themeColor="text1"/>
                <w:sz w:val="24"/>
                <w:highlight w:val="none"/>
                <w:u w:val="single"/>
                <w:lang w:val="en-US" w:eastAsia="zh-CN"/>
                <w14:textFill>
                  <w14:solidFill>
                    <w14:schemeClr w14:val="tx1"/>
                  </w14:solidFill>
                </w14:textFill>
              </w:rPr>
              <w:t xml:space="preserve"> 5 </w:t>
            </w:r>
            <w:r>
              <w:rPr>
                <w:rFonts w:hint="eastAsia" w:ascii="宋体" w:hAnsi="宋体" w:cs="宋体"/>
                <w:color w:val="000000" w:themeColor="text1"/>
                <w:sz w:val="24"/>
                <w:highlight w:val="none"/>
                <w14:textFill>
                  <w14:solidFill>
                    <w14:schemeClr w14:val="tx1"/>
                  </w14:solidFill>
                </w14:textFill>
              </w:rPr>
              <w:t>人；</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评标专家确定方式： 从政府采购专家库随机抽取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4</w:t>
            </w:r>
          </w:p>
        </w:tc>
        <w:tc>
          <w:tcPr>
            <w:tcW w:w="9303" w:type="dxa"/>
            <w:noWrap w:val="0"/>
            <w:vAlign w:val="center"/>
          </w:tcPr>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评标委员会推荐中标候选人的人数：3人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5</w:t>
            </w:r>
          </w:p>
        </w:tc>
        <w:tc>
          <w:tcPr>
            <w:tcW w:w="9303" w:type="dxa"/>
            <w:noWrap w:val="0"/>
            <w:vAlign w:val="center"/>
          </w:tcPr>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是否授权评标委员会确定中标人：否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6</w:t>
            </w:r>
          </w:p>
        </w:tc>
        <w:tc>
          <w:tcPr>
            <w:tcW w:w="9303" w:type="dxa"/>
            <w:noWrap w:val="0"/>
            <w:vAlign w:val="center"/>
          </w:tcPr>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中标公示及中标公告媒介：</w:t>
            </w:r>
            <w:r>
              <w:rPr>
                <w:rFonts w:hint="eastAsia" w:ascii="宋体" w:hAnsi="宋体" w:cs="宋体"/>
                <w:color w:val="000000" w:themeColor="text1"/>
                <w:sz w:val="24"/>
                <w:highlight w:val="none"/>
                <w:lang w:eastAsia="zh-CN"/>
                <w14:textFill>
                  <w14:solidFill>
                    <w14:schemeClr w14:val="tx1"/>
                  </w14:solidFill>
                </w14:textFill>
              </w:rPr>
              <w:t>新疆政府采购网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17</w:t>
            </w:r>
          </w:p>
        </w:tc>
        <w:tc>
          <w:tcPr>
            <w:tcW w:w="9303" w:type="dxa"/>
            <w:noWrap w:val="0"/>
            <w:vAlign w:val="center"/>
          </w:tcPr>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构成招标文件的其他资料：答疑、澄清、修改、补充文件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adjustRightInd w:val="0"/>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8</w:t>
            </w:r>
          </w:p>
        </w:tc>
        <w:tc>
          <w:tcPr>
            <w:tcW w:w="9303" w:type="dxa"/>
            <w:noWrap w:val="0"/>
            <w:vAlign w:val="center"/>
          </w:tcPr>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20" w:type="dxa"/>
            <w:noWrap w:val="0"/>
            <w:vAlign w:val="center"/>
          </w:tcPr>
          <w:p>
            <w:pPr>
              <w:adjustRightInd w:val="0"/>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19</w:t>
            </w:r>
          </w:p>
        </w:tc>
        <w:tc>
          <w:tcPr>
            <w:tcW w:w="9303" w:type="dxa"/>
            <w:noWrap w:val="0"/>
            <w:vAlign w:val="center"/>
          </w:tcPr>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场地使用费：投标人在提交投标文件时，需按交易场所的规定缴纳场地使用费。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20</w:t>
            </w:r>
          </w:p>
        </w:tc>
        <w:tc>
          <w:tcPr>
            <w:tcW w:w="9303" w:type="dxa"/>
            <w:noWrap w:val="0"/>
            <w:vAlign w:val="center"/>
          </w:tcPr>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投标人信用信息查询：</w:t>
            </w:r>
          </w:p>
          <w:p>
            <w:pPr>
              <w:numPr>
                <w:ilvl w:val="0"/>
                <w:numId w:val="3"/>
              </w:numPr>
              <w:adjustRightInd w:val="0"/>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查询渠道：</w:t>
            </w:r>
          </w:p>
          <w:p>
            <w:pPr>
              <w:adjustRightInd w:val="0"/>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国家企业信用信息公示系统（http://www.gsxt.gov.cn/index.html）</w:t>
            </w:r>
          </w:p>
          <w:p>
            <w:pPr>
              <w:adjustRightInd w:val="0"/>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信用中国（www.creditchina.gov.cn）</w:t>
            </w:r>
          </w:p>
          <w:p>
            <w:pPr>
              <w:adjustRightInd w:val="0"/>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天眼查（https://www.tianyancha.com/） </w:t>
            </w:r>
          </w:p>
          <w:p>
            <w:pPr>
              <w:adjustRightInd w:val="0"/>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中国政府采购网（http://www.ccgp.gov.cn/）</w:t>
            </w:r>
            <w:r>
              <w:rPr>
                <w:rFonts w:hint="eastAsia" w:ascii="宋体" w:hAnsi="宋体" w:cs="宋体"/>
                <w:color w:val="000000" w:themeColor="text1"/>
                <w:sz w:val="24"/>
                <w:highlight w:val="none"/>
                <w14:textFill>
                  <w14:solidFill>
                    <w14:schemeClr w14:val="tx1"/>
                  </w14:solidFill>
                </w14:textFill>
              </w:rPr>
              <w:t xml:space="preserve">          </w:t>
            </w:r>
          </w:p>
          <w:p>
            <w:pPr>
              <w:numPr>
                <w:ilvl w:val="0"/>
                <w:numId w:val="3"/>
              </w:num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信用信息查询记录和证据留存的方式：网页截图</w:t>
            </w:r>
          </w:p>
          <w:p>
            <w:pPr>
              <w:numPr>
                <w:ilvl w:val="0"/>
                <w:numId w:val="3"/>
              </w:num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信用信息的使用规则：经核查投标企业被列入失信被执行人、重大税收违法案件当事人名单、政府采购严重违法失信行为记录名单、经营异常名录等黑名单的将拒绝其投标。</w:t>
            </w:r>
            <w:r>
              <w:rPr>
                <w:rFonts w:hint="eastAsia" w:ascii="宋体" w:hAnsi="宋体" w:cs="宋体"/>
                <w:color w:val="000000" w:themeColor="text1"/>
                <w:sz w:val="24"/>
                <w:highlight w:val="none"/>
                <w:lang w:eastAsia="zh-CN"/>
                <w14:textFill>
                  <w14:solidFill>
                    <w14:schemeClr w14:val="tx1"/>
                  </w14:solidFill>
                </w14:textFill>
              </w:rPr>
              <w:t>（以</w:t>
            </w:r>
            <w:r>
              <w:rPr>
                <w:rFonts w:hint="eastAsia" w:ascii="宋体" w:hAnsi="宋体" w:cs="宋体"/>
                <w:color w:val="000000" w:themeColor="text1"/>
                <w:sz w:val="24"/>
                <w:highlight w:val="none"/>
                <w:lang w:val="en-US" w:eastAsia="zh-CN"/>
                <w14:textFill>
                  <w14:solidFill>
                    <w14:schemeClr w14:val="tx1"/>
                  </w14:solidFill>
                </w14:textFill>
              </w:rPr>
              <w:t>供应商在</w:t>
            </w:r>
            <w:r>
              <w:rPr>
                <w:rFonts w:hint="eastAsia" w:ascii="宋体" w:hAnsi="宋体" w:cs="宋体"/>
                <w:color w:val="000000" w:themeColor="text1"/>
                <w:sz w:val="24"/>
                <w:highlight w:val="none"/>
                <w:lang w:eastAsia="zh-CN"/>
                <w14:textFill>
                  <w14:solidFill>
                    <w14:schemeClr w14:val="tx1"/>
                  </w14:solidFill>
                </w14:textFill>
              </w:rPr>
              <w:t>投标截止日</w:t>
            </w:r>
            <w:r>
              <w:rPr>
                <w:rFonts w:hint="eastAsia" w:ascii="宋体" w:hAnsi="宋体" w:cs="宋体"/>
                <w:color w:val="000000" w:themeColor="text1"/>
                <w:sz w:val="24"/>
                <w:highlight w:val="none"/>
                <w:lang w:val="en-US" w:eastAsia="zh-CN"/>
                <w14:textFill>
                  <w14:solidFill>
                    <w14:schemeClr w14:val="tx1"/>
                  </w14:solidFill>
                </w14:textFill>
              </w:rPr>
              <w:t>期</w:t>
            </w:r>
            <w:r>
              <w:rPr>
                <w:rFonts w:hint="eastAsia" w:ascii="宋体" w:hAnsi="宋体" w:cs="宋体"/>
                <w:color w:val="000000" w:themeColor="text1"/>
                <w:sz w:val="24"/>
                <w:highlight w:val="none"/>
                <w:lang w:eastAsia="zh-CN"/>
                <w14:textFill>
                  <w14:solidFill>
                    <w14:schemeClr w14:val="tx1"/>
                  </w14:solidFill>
                </w14:textFill>
              </w:rPr>
              <w:t>前</w:t>
            </w:r>
            <w:r>
              <w:rPr>
                <w:rFonts w:hint="eastAsia" w:ascii="宋体" w:hAnsi="宋体" w:cs="宋体"/>
                <w:color w:val="000000" w:themeColor="text1"/>
                <w:sz w:val="24"/>
                <w:highlight w:val="none"/>
                <w:lang w:val="en-US" w:eastAsia="zh-CN"/>
                <w14:textFill>
                  <w14:solidFill>
                    <w14:schemeClr w14:val="tx1"/>
                  </w14:solidFill>
                </w14:textFill>
              </w:rPr>
              <w:t>的信用信息</w:t>
            </w:r>
            <w:r>
              <w:rPr>
                <w:rFonts w:hint="eastAsia" w:ascii="宋体" w:hAnsi="宋体" w:cs="宋体"/>
                <w:color w:val="000000" w:themeColor="text1"/>
                <w:sz w:val="24"/>
                <w:highlight w:val="none"/>
                <w:lang w:eastAsia="zh-CN"/>
                <w14:textFill>
                  <w14:solidFill>
                    <w14:schemeClr w14:val="tx1"/>
                  </w14:solidFill>
                </w14:textFill>
              </w:rPr>
              <w:t>查询结果为准，如相关失信记录已失效，投标人需提供相关证明资料）</w:t>
            </w:r>
            <w:r>
              <w:rPr>
                <w:rFonts w:hint="eastAsia" w:ascii="宋体" w:hAnsi="宋体" w:cs="宋体"/>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21</w:t>
            </w:r>
          </w:p>
        </w:tc>
        <w:tc>
          <w:tcPr>
            <w:tcW w:w="9303" w:type="dxa"/>
            <w:noWrap w:val="0"/>
            <w:vAlign w:val="center"/>
          </w:tcPr>
          <w:p>
            <w:pPr>
              <w:keepLines w:val="0"/>
              <w:widowControl w:val="0"/>
              <w:numPr>
                <w:ilvl w:val="0"/>
                <w:numId w:val="0"/>
              </w:numPr>
              <w:kinsoku/>
              <w:wordWrap/>
              <w:overflowPunct/>
              <w:bidi w:val="0"/>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1、政府采购强制采购：(1)标记*符号的节能产品；(2)其他。</w:t>
            </w:r>
          </w:p>
          <w:p>
            <w:pPr>
              <w:keepLines w:val="0"/>
              <w:widowControl w:val="0"/>
              <w:numPr>
                <w:ilvl w:val="0"/>
                <w:numId w:val="0"/>
              </w:numPr>
              <w:kinsoku/>
              <w:wordWrap/>
              <w:overflowPunct/>
              <w:bidi w:val="0"/>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采购《节能产品政府采购清单》内的产品。</w:t>
            </w:r>
          </w:p>
          <w:p>
            <w:pPr>
              <w:keepLines w:val="0"/>
              <w:widowControl w:val="0"/>
              <w:numPr>
                <w:ilvl w:val="0"/>
                <w:numId w:val="0"/>
              </w:numPr>
              <w:kinsoku/>
              <w:wordWrap/>
              <w:overflowPunct/>
              <w:bidi w:val="0"/>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2、政府采购优先采购：(1)非标记*符号的节能产品；(2)环境标志产品；</w:t>
            </w:r>
          </w:p>
          <w:p>
            <w:pPr>
              <w:keepLines w:val="0"/>
              <w:widowControl w:val="0"/>
              <w:numPr>
                <w:ilvl w:val="0"/>
                <w:numId w:val="0"/>
              </w:numPr>
              <w:kinsoku/>
              <w:wordWrap/>
              <w:overflowPunct/>
              <w:bidi w:val="0"/>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3、采购产品为《节能产品政府采购清单》内非标记*符号的节能产品及《环境标志产品政府采购清单》内的产品：</w:t>
            </w:r>
          </w:p>
          <w:p>
            <w:pPr>
              <w:numPr>
                <w:ilvl w:val="0"/>
                <w:numId w:val="0"/>
              </w:numPr>
              <w:adjustRightInd w:val="0"/>
              <w:snapToGrid w:val="0"/>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22</w:t>
            </w:r>
          </w:p>
        </w:tc>
        <w:tc>
          <w:tcPr>
            <w:tcW w:w="9303" w:type="dxa"/>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特别提示：</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1、超过200万元的货物和服务采购项目、超过400万元的工程采购项目中适宜由中小企业提供的，预留该部分采购项目预算总额的40%以上专门面向中小企业采购，其中预留给小微企业的比例不低于60%。</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numPr>
                <w:ilvl w:val="0"/>
                <w:numId w:val="0"/>
              </w:numPr>
              <w:adjustRightInd w:val="0"/>
              <w:snapToGrid w:val="0"/>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23</w:t>
            </w:r>
          </w:p>
        </w:tc>
        <w:tc>
          <w:tcPr>
            <w:tcW w:w="9303" w:type="dxa"/>
            <w:noWrap w:val="0"/>
            <w:vAlign w:val="center"/>
          </w:tcPr>
          <w:p>
            <w:pPr>
              <w:keepLines w:val="0"/>
              <w:widowControl w:val="0"/>
              <w:numPr>
                <w:ilvl w:val="0"/>
                <w:numId w:val="0"/>
              </w:numPr>
              <w:kinsoku/>
              <w:wordWrap/>
              <w:overflowPunct/>
              <w:bidi w:val="0"/>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政府采购支持中小企业融资：有融资需求的，可查询相关业务。</w:t>
            </w:r>
          </w:p>
          <w:p>
            <w:pPr>
              <w:numPr>
                <w:ilvl w:val="0"/>
                <w:numId w:val="0"/>
              </w:numPr>
              <w:adjustRightInd w:val="0"/>
              <w:snapToGrid w:val="0"/>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政府采购信用担保：有担保需求的，可查询相关业务。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24</w:t>
            </w:r>
          </w:p>
        </w:tc>
        <w:tc>
          <w:tcPr>
            <w:tcW w:w="9303" w:type="dxa"/>
            <w:noWrap w:val="0"/>
            <w:vAlign w:val="center"/>
          </w:tcPr>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1.4.3 投标人不得存在下列情形之一：</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（1）与招标人存在利害关系且可能影响招标公正性；</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（2）与本招标项目的其他投标人为同一个单位负责人；</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（3）与本招标项目的其他投标人存在控股、管理关系；</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（4）被依法暂停或者取消投标资格；</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（5）被责令停产停业、暂扣或者吊销许可证、暂扣或者吊销执照；</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（6）进入清算程序，或被宣告破产，或其他丧失履约能力的情形；</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（7）被工商行政管理机关在全国企业信用信息公示系统中列入严重违法失信企业名单；</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（8）被最高人民法院在“信用中国”网站（www.creditchina.gov.cn）或各级信用信息共享平台中列入失信被执行人名单；</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（9）在近三年内投标人或其法定代表人、拟委任的项目负责人有行贿犯罪行为的（以检察机关职务犯罪预防部门出具的查询结果为准）；</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（10）法律法规或投标人须知前附表规定的其他情形。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25</w:t>
            </w:r>
          </w:p>
        </w:tc>
        <w:tc>
          <w:tcPr>
            <w:tcW w:w="9303" w:type="dxa"/>
            <w:noWrap w:val="0"/>
            <w:vAlign w:val="center"/>
          </w:tcPr>
          <w:p>
            <w:pPr>
              <w:spacing w:line="360" w:lineRule="auto"/>
              <w:rPr>
                <w:rFonts w:hint="eastAsia"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低于成本价不正当竞争预防措施</w:t>
            </w:r>
            <w:r>
              <w:rPr>
                <w:rFonts w:hint="eastAsia" w:ascii="宋体" w:hAnsi="宋体" w:cs="宋体"/>
                <w:b/>
                <w:bCs/>
                <w:color w:val="000000" w:themeColor="text1"/>
                <w:sz w:val="24"/>
                <w:highlight w:val="none"/>
                <w14:textFill>
                  <w14:solidFill>
                    <w14:schemeClr w14:val="tx1"/>
                  </w14:solidFill>
                </w14:textFill>
              </w:rPr>
              <w:t>：</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根据“财政部87号令《政府采购货物服务招标投标管理办法》”第六十条之规定：评标委员会认为投标人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26</w:t>
            </w:r>
          </w:p>
        </w:tc>
        <w:tc>
          <w:tcPr>
            <w:tcW w:w="9303" w:type="dxa"/>
            <w:noWrap w:val="0"/>
            <w:vAlign w:val="center"/>
          </w:tcPr>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招标文件的澄清和质疑</w:t>
            </w:r>
          </w:p>
          <w:p>
            <w:pPr>
              <w:spacing w:line="360" w:lineRule="auto"/>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1、综合说明</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人对政府采购活动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投标人名称、地址及联系方式；质疑日期。质疑书的递交应当采取当面递交的形式。</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2、对招标文件的澄清和质疑</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人应尽早领取招标文件，若对招标文件有疑问需要澄清或质疑，须在开标7日前由澄清或质疑方的法定代表人或授权投标人（必须为法定代表人授权进行该项目投标的被授权人）以书面形式向招标人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在</w:t>
            </w:r>
            <w:r>
              <w:rPr>
                <w:rFonts w:hint="eastAsia" w:ascii="宋体" w:hAnsi="宋体" w:cs="宋体"/>
                <w:bCs/>
                <w:color w:val="000000" w:themeColor="text1"/>
                <w:sz w:val="24"/>
                <w:highlight w:val="none"/>
                <w:lang w:val="en-US" w:eastAsia="zh-CN"/>
                <w14:textFill>
                  <w14:solidFill>
                    <w14:schemeClr w14:val="tx1"/>
                  </w14:solidFill>
                </w14:textFill>
              </w:rPr>
              <w:t>(项目名称）</w:t>
            </w:r>
            <w:r>
              <w:rPr>
                <w:rFonts w:hint="eastAsia" w:ascii="宋体" w:hAnsi="宋体" w:cs="宋体"/>
                <w:bCs/>
                <w:color w:val="000000" w:themeColor="text1"/>
                <w:sz w:val="24"/>
                <w:highlight w:val="none"/>
                <w14:textFill>
                  <w14:solidFill>
                    <w14:schemeClr w14:val="tx1"/>
                  </w14:solidFill>
                </w14:textFill>
              </w:rPr>
              <w:t>澄清或质疑使用”字样，并由身份证持有人签字确认。上述资料均须加盖公章。</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招标人在投标截止日3天前根据澄清或质疑函的具体内容相应作出答复或不予答复，答复内容不得涉及商业秘密。作出答复的将以书面形式通知提出澄清或质疑的投标人和其他有关投标人，或在</w:t>
            </w:r>
            <w:r>
              <w:rPr>
                <w:rFonts w:hint="eastAsia" w:ascii="宋体" w:hAnsi="宋体" w:cs="宋体"/>
                <w:bCs/>
                <w:color w:val="000000" w:themeColor="text1"/>
                <w:sz w:val="24"/>
                <w:highlight w:val="none"/>
                <w:lang w:val="en-US" w:eastAsia="zh-CN"/>
                <w14:textFill>
                  <w14:solidFill>
                    <w14:schemeClr w14:val="tx1"/>
                  </w14:solidFill>
                </w14:textFill>
              </w:rPr>
              <w:t>新疆政府采购网</w:t>
            </w:r>
            <w:r>
              <w:rPr>
                <w:rFonts w:hint="eastAsia" w:ascii="宋体" w:hAnsi="宋体" w:cs="宋体"/>
                <w:bCs/>
                <w:color w:val="000000" w:themeColor="text1"/>
                <w:sz w:val="24"/>
                <w:highlight w:val="none"/>
                <w14:textFill>
                  <w14:solidFill>
                    <w14:schemeClr w14:val="tx1"/>
                  </w14:solidFill>
                </w14:textFill>
              </w:rPr>
              <w:t>上予以公布。递交质疑的投标人和其他有关投标人在被告知、收到上述公告、通知或答疑书后，应立即向招标人回函确认。未确认情况应当视为对质疑答复的知晓，也将视为对质疑答复内容接受的默认。对于未在投标文件中对修改内容做实质性响应的，对其产生的不利因素由未确认者自行承担。同时招标人可以酌情延长投标截止时间。</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3、对招标过程和拟中标结果的质疑</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投标人认为招标过程和拟中标结果使自己的权益受到损害的，可以在投标人于</w:t>
            </w:r>
            <w:r>
              <w:rPr>
                <w:rFonts w:hint="eastAsia" w:ascii="宋体" w:hAnsi="宋体" w:cs="宋体"/>
                <w:bCs/>
                <w:color w:val="000000" w:themeColor="text1"/>
                <w:sz w:val="24"/>
                <w:highlight w:val="none"/>
                <w:lang w:val="en-US" w:eastAsia="zh-CN"/>
                <w14:textFill>
                  <w14:solidFill>
                    <w14:schemeClr w14:val="tx1"/>
                  </w14:solidFill>
                </w14:textFill>
              </w:rPr>
              <w:t>新疆政府采购网</w:t>
            </w:r>
            <w:r>
              <w:rPr>
                <w:rFonts w:hint="eastAsia" w:ascii="宋体" w:hAnsi="宋体" w:cs="宋体"/>
                <w:bCs/>
                <w:color w:val="000000" w:themeColor="text1"/>
                <w:sz w:val="24"/>
                <w:highlight w:val="none"/>
                <w14:textFill>
                  <w14:solidFill>
                    <w14:schemeClr w14:val="tx1"/>
                  </w14:solidFill>
                </w14:textFill>
              </w:rPr>
              <w:t>发布拟中标结果之日起3个工作日内，由质疑方的法定代表人或授权投标人以书面形式向投标人递交质疑函（原件），并登记备案。质疑函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身份证复印件须正反面清晰、有效，并要求由该身份证持有人在复印件正反面非空白位置注明“该复印件用于在</w:t>
            </w:r>
            <w:r>
              <w:rPr>
                <w:rFonts w:hint="eastAsia" w:ascii="宋体" w:hAnsi="宋体" w:cs="宋体"/>
                <w:bCs/>
                <w:color w:val="000000" w:themeColor="text1"/>
                <w:sz w:val="24"/>
                <w:highlight w:val="none"/>
                <w:lang w:eastAsia="zh-CN"/>
                <w14:textFill>
                  <w14:solidFill>
                    <w14:schemeClr w14:val="tx1"/>
                  </w14:solidFill>
                </w14:textFill>
              </w:rPr>
              <w:t>（项目名称）</w:t>
            </w:r>
            <w:r>
              <w:rPr>
                <w:rFonts w:hint="eastAsia" w:ascii="宋体" w:hAnsi="宋体" w:cs="宋体"/>
                <w:bCs/>
                <w:color w:val="000000" w:themeColor="text1"/>
                <w:sz w:val="24"/>
                <w:highlight w:val="none"/>
                <w14:textFill>
                  <w14:solidFill>
                    <w14:schemeClr w14:val="tx1"/>
                  </w14:solidFill>
                </w14:textFill>
              </w:rPr>
              <w:t>”字样，并由身份证持有人签字确认。上述资料均须加盖公章。</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招标人应在受理投标人的书面质疑后，根据质疑函的具体内容及时向递交质疑函的投标人作出答复或不予答复，答复内容不得涉及商业秘密。作出答复的以书面形式通知递交质疑的投标人和其他有关投标人。递交质疑的投标人和其他有关投标人在被告知、收到上述公告、通知或答疑书后，应立即向招标人回函确认。未确认情况应当视为对质疑答复的知晓，也将视为对质疑答复内容接受的默认。</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4、澄清或质疑不予受理的情况，有下列情形之一的，属于无效质疑，被质疑人不予受理，由此产生的影响由投标人自行承担：</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(一)不是参与该政府采购项目活动供应商的;</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(二)被质疑人为采购人或政府采购代理机构之外的；</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(三)所有质疑事项超过质疑有效期的；</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(四)以具有法律效力的文书送达之外方式提出的；</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(五) 未按上述规定递交澄清或质疑函的；</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(六) 其它不符合受理条件的情形。</w:t>
            </w:r>
          </w:p>
          <w:p>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5、其他</w:t>
            </w:r>
          </w:p>
          <w:p>
            <w:pPr>
              <w:spacing w:line="360" w:lineRule="auto"/>
              <w:rPr>
                <w:rFonts w:hint="eastAsia" w:ascii="宋体" w:hAnsi="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澄清或质疑函递交地点：</w:t>
            </w:r>
            <w:r>
              <w:rPr>
                <w:rStyle w:val="17"/>
                <w:rFonts w:hint="eastAsia" w:ascii="宋体" w:hAnsi="宋体" w:cs="宋体"/>
                <w:b w:val="0"/>
                <w:bCs w:val="0"/>
                <w:i w:val="0"/>
                <w:caps w:val="0"/>
                <w:color w:val="000000" w:themeColor="text1"/>
                <w:spacing w:val="0"/>
                <w:sz w:val="24"/>
                <w:szCs w:val="24"/>
                <w:highlight w:val="none"/>
                <w:lang w:val="en-US" w:eastAsia="zh-CN"/>
                <w14:textFill>
                  <w14:solidFill>
                    <w14:schemeClr w14:val="tx1"/>
                  </w14:solidFill>
                </w14:textFill>
              </w:rPr>
              <w:t>新疆阿克苏地区阿克苏市栏杆街道迎宾社区北京路1号第一师电力公司1号高层住宅楼1单元202室</w:t>
            </w:r>
          </w:p>
          <w:p>
            <w:pPr>
              <w:spacing w:line="360" w:lineRule="auto"/>
              <w:rPr>
                <w:rFonts w:hint="default" w:ascii="宋体" w:hAnsi="宋体" w:cs="宋体"/>
                <w:bCs/>
                <w:color w:val="000000" w:themeColor="text1"/>
                <w:sz w:val="24"/>
                <w:highlight w:val="none"/>
                <w:lang w:val="en-US"/>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联系电话：</w:t>
            </w:r>
            <w:r>
              <w:rPr>
                <w:rFonts w:hint="eastAsia" w:ascii="宋体" w:hAnsi="宋体" w:cs="宋体"/>
                <w:bCs/>
                <w:color w:val="000000" w:themeColor="text1"/>
                <w:sz w:val="24"/>
                <w:highlight w:val="none"/>
                <w:lang w:val="en-US" w:eastAsia="zh-CN"/>
                <w14:textFill>
                  <w14:solidFill>
                    <w14:schemeClr w14:val="tx1"/>
                  </w14:solidFill>
                </w14:textFill>
              </w:rPr>
              <w:t>17699753914</w:t>
            </w:r>
          </w:p>
        </w:tc>
      </w:tr>
    </w:tbl>
    <w:p>
      <w:pPr>
        <w:spacing w:line="240" w:lineRule="auto"/>
        <w:jc w:val="left"/>
        <w:rPr>
          <w:rFonts w:ascii="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注：招标文件中若有和前附表不一致时以前附表为准。</w:t>
      </w:r>
    </w:p>
    <w:p>
      <w:pPr>
        <w:pStyle w:val="4"/>
        <w:keepNext w:val="0"/>
        <w:keepLines w:val="0"/>
        <w:adjustRightInd w:val="0"/>
        <w:snapToGrid w:val="0"/>
        <w:spacing w:before="120" w:after="120" w:line="360" w:lineRule="auto"/>
        <w:jc w:val="center"/>
        <w:outlineLvl w:val="1"/>
        <w:rPr>
          <w:rFonts w:hint="eastAsia" w:ascii="宋体" w:hAnsi="宋体" w:eastAsia="宋体" w:cs="宋体"/>
          <w:bCs w:val="0"/>
          <w:color w:val="000000" w:themeColor="text1"/>
          <w:sz w:val="28"/>
          <w:szCs w:val="28"/>
          <w:highlight w:val="none"/>
          <w14:textFill>
            <w14:solidFill>
              <w14:schemeClr w14:val="tx1"/>
            </w14:solidFill>
          </w14:textFill>
        </w:rPr>
      </w:pPr>
      <w:r>
        <w:rPr>
          <w:rFonts w:hint="eastAsia" w:ascii="宋体" w:hAnsi="宋体" w:eastAsia="宋体" w:cs="宋体"/>
          <w:bCs w:val="0"/>
          <w:color w:val="000000" w:themeColor="text1"/>
          <w:sz w:val="28"/>
          <w:szCs w:val="28"/>
          <w:highlight w:val="none"/>
          <w14:textFill>
            <w14:solidFill>
              <w14:schemeClr w14:val="tx1"/>
            </w14:solidFill>
          </w14:textFill>
        </w:rPr>
        <w:br w:type="page"/>
      </w:r>
      <w:bookmarkEnd w:id="11"/>
      <w:bookmarkEnd w:id="12"/>
      <w:bookmarkEnd w:id="13"/>
      <w:bookmarkEnd w:id="14"/>
      <w:bookmarkEnd w:id="15"/>
      <w:bookmarkEnd w:id="16"/>
      <w:bookmarkEnd w:id="17"/>
      <w:r>
        <w:rPr>
          <w:rFonts w:hint="eastAsia" w:ascii="宋体" w:hAnsi="宋体" w:eastAsia="宋体" w:cs="宋体"/>
          <w:bCs w:val="0"/>
          <w:color w:val="000000" w:themeColor="text1"/>
          <w:sz w:val="28"/>
          <w:szCs w:val="28"/>
          <w:highlight w:val="none"/>
          <w14:textFill>
            <w14:solidFill>
              <w14:schemeClr w14:val="tx1"/>
            </w14:solidFill>
          </w14:textFill>
        </w:rPr>
        <w:t>投标人须知正文部分</w:t>
      </w:r>
    </w:p>
    <w:p>
      <w:pPr>
        <w:pStyle w:val="19"/>
        <w:jc w:val="center"/>
        <w:rPr>
          <w:rFonts w:hint="eastAsia"/>
          <w:b/>
          <w:bCs/>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一、总则</w:t>
      </w:r>
    </w:p>
    <w:p>
      <w:pPr>
        <w:pStyle w:val="20"/>
        <w:keepLines w:val="0"/>
        <w:kinsoku/>
        <w:wordWrap/>
        <w:overflowPunct/>
        <w:bidi w:val="0"/>
        <w:spacing w:line="360" w:lineRule="auto"/>
        <w:ind w:firstLine="567"/>
        <w:jc w:val="both"/>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 合格的投标人</w:t>
      </w:r>
    </w:p>
    <w:p>
      <w:pPr>
        <w:pStyle w:val="20"/>
        <w:keepLines w:val="0"/>
        <w:kinsoku/>
        <w:wordWrap/>
        <w:overflowPunct/>
        <w:bidi w:val="0"/>
        <w:spacing w:line="360" w:lineRule="auto"/>
        <w:ind w:firstLine="567"/>
        <w:jc w:val="both"/>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1</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符合《中华人民共和国政府采购法》第二十二条规定的条件，具备独立承担民事责任能力的在中华人民共和国境内注册的、三年内无违法违规记录、近三年内无法律诉讼纠纷、有承担本次招标采购项目服务能力的及符合条件的法人或其他组织。</w:t>
      </w:r>
    </w:p>
    <w:p>
      <w:pPr>
        <w:pStyle w:val="20"/>
        <w:keepLines w:val="0"/>
        <w:kinsoku/>
        <w:wordWrap/>
        <w:overflowPunct/>
        <w:bidi w:val="0"/>
        <w:spacing w:line="360" w:lineRule="auto"/>
        <w:ind w:firstLine="567"/>
        <w:jc w:val="both"/>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2</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有效的营业执照；</w:t>
      </w:r>
    </w:p>
    <w:p>
      <w:pPr>
        <w:pStyle w:val="20"/>
        <w:keepLines w:val="0"/>
        <w:kinsoku/>
        <w:wordWrap/>
        <w:overflowPunct/>
        <w:bidi w:val="0"/>
        <w:spacing w:line="360" w:lineRule="auto"/>
        <w:ind w:firstLine="567"/>
        <w:jc w:val="both"/>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14:textFill>
            <w14:solidFill>
              <w14:schemeClr w14:val="tx1"/>
            </w14:solidFill>
          </w14:textFill>
        </w:rPr>
        <w:t xml:space="preserve"> 投标人在本次招标活动中，必须遵循《中华人民共和国招标投标法》</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《中华人民共和国招标投标法</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实施条例</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《政府采购货物和服务招标投标管理办法》（财政部</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87</w:t>
      </w:r>
      <w:r>
        <w:rPr>
          <w:rFonts w:hint="eastAsia" w:ascii="宋体" w:hAnsi="宋体" w:eastAsia="宋体" w:cs="宋体"/>
          <w:b w:val="0"/>
          <w:bCs/>
          <w:color w:val="000000" w:themeColor="text1"/>
          <w:sz w:val="24"/>
          <w:szCs w:val="24"/>
          <w:highlight w:val="none"/>
          <w14:textFill>
            <w14:solidFill>
              <w14:schemeClr w14:val="tx1"/>
            </w14:solidFill>
          </w14:textFill>
        </w:rPr>
        <w:t>号令）</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等相关法律法规</w:t>
      </w:r>
      <w:r>
        <w:rPr>
          <w:rFonts w:hint="eastAsia" w:ascii="宋体" w:hAnsi="宋体" w:eastAsia="宋体" w:cs="宋体"/>
          <w:b w:val="0"/>
          <w:bCs/>
          <w:color w:val="000000" w:themeColor="text1"/>
          <w:sz w:val="24"/>
          <w:szCs w:val="24"/>
          <w:highlight w:val="none"/>
          <w14:textFill>
            <w14:solidFill>
              <w14:schemeClr w14:val="tx1"/>
            </w14:solidFill>
          </w14:textFill>
        </w:rPr>
        <w:t>的规定。</w:t>
      </w:r>
    </w:p>
    <w:p>
      <w:pPr>
        <w:pStyle w:val="20"/>
        <w:spacing w:line="360" w:lineRule="auto"/>
        <w:ind w:left="563" w:leftChars="267" w:firstLine="2" w:firstLineChars="1"/>
        <w:jc w:val="both"/>
        <w:rPr>
          <w:rFonts w:hint="eastAsia" w:ascii="宋体" w:hAnsi="宋体" w:cs="宋体"/>
          <w:bCs/>
          <w:color w:val="000000" w:themeColor="text1"/>
          <w:szCs w:val="24"/>
          <w:lang w:val="en-US" w:eastAsia="zh-CN"/>
          <w14:textFill>
            <w14:solidFill>
              <w14:schemeClr w14:val="tx1"/>
            </w14:solidFill>
          </w14:textFill>
        </w:rPr>
      </w:pPr>
      <w:r>
        <w:rPr>
          <w:rFonts w:hint="eastAsia" w:ascii="宋体" w:hAnsi="宋体" w:cs="宋体"/>
          <w:bCs/>
          <w:color w:val="000000" w:themeColor="text1"/>
          <w:szCs w:val="24"/>
          <w:lang w:val="en-US" w:eastAsia="zh-CN"/>
          <w14:textFill>
            <w14:solidFill>
              <w14:schemeClr w14:val="tx1"/>
            </w14:solidFill>
          </w14:textFill>
        </w:rPr>
        <w:t>1.4投标人参加政府采购活动近三年内无违法违规记录和法律诉讼纠纷，须提供书面声明。</w:t>
      </w:r>
    </w:p>
    <w:p>
      <w:pPr>
        <w:pStyle w:val="20"/>
        <w:spacing w:line="360" w:lineRule="auto"/>
        <w:ind w:left="563" w:leftChars="267" w:firstLine="2" w:firstLineChars="1"/>
        <w:jc w:val="both"/>
        <w:rPr>
          <w:rFonts w:hint="eastAsia" w:ascii="宋体" w:hAnsi="宋体" w:cs="宋体"/>
          <w:bCs/>
          <w:color w:val="000000" w:themeColor="text1"/>
          <w:szCs w:val="24"/>
          <w:lang w:val="en-US" w:eastAsia="zh-CN"/>
          <w14:textFill>
            <w14:solidFill>
              <w14:schemeClr w14:val="tx1"/>
            </w14:solidFill>
          </w14:textFill>
        </w:rPr>
      </w:pPr>
      <w:r>
        <w:rPr>
          <w:rFonts w:hint="eastAsia" w:ascii="宋体" w:hAnsi="宋体" w:cs="宋体"/>
          <w:bCs/>
          <w:color w:val="000000" w:themeColor="text1"/>
          <w:szCs w:val="24"/>
          <w:lang w:val="en-US" w:eastAsia="zh-CN"/>
          <w14:textFill>
            <w14:solidFill>
              <w14:schemeClr w14:val="tx1"/>
            </w14:solidFill>
          </w14:textFill>
        </w:rPr>
        <w:t>1.5 为保证政府采购活动公平、公正、诚实信用，投标人提供的材料及技术参数应真实有效，须提供书面诚信投标承诺书。</w:t>
      </w:r>
    </w:p>
    <w:p>
      <w:pPr>
        <w:pStyle w:val="20"/>
        <w:spacing w:line="360" w:lineRule="auto"/>
        <w:ind w:firstLine="567"/>
        <w:jc w:val="both"/>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Cs w:val="24"/>
          <w:lang w:val="en-US" w:eastAsia="zh-CN"/>
          <w14:textFill>
            <w14:solidFill>
              <w14:schemeClr w14:val="tx1"/>
            </w14:solidFill>
          </w14:textFill>
        </w:rPr>
        <w:t>1.6 未保证本次招标活动公平竞争，杜绝任何形式的商业贿赂行为，投标文件内必须提供反商业贿赂承诺书。</w:t>
      </w:r>
    </w:p>
    <w:p>
      <w:pPr>
        <w:pStyle w:val="20"/>
        <w:keepLines w:val="0"/>
        <w:kinsoku/>
        <w:wordWrap/>
        <w:overflowPunct/>
        <w:bidi w:val="0"/>
        <w:spacing w:line="360" w:lineRule="auto"/>
        <w:ind w:left="563" w:leftChars="267" w:firstLine="2" w:firstLineChars="1"/>
        <w:jc w:val="both"/>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color w:val="000000" w:themeColor="text1"/>
          <w:sz w:val="24"/>
          <w:szCs w:val="24"/>
          <w:highlight w:val="none"/>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不符合</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以上</w:t>
      </w:r>
      <w:r>
        <w:rPr>
          <w:rFonts w:hint="eastAsia" w:ascii="宋体" w:hAnsi="宋体" w:eastAsia="宋体" w:cs="宋体"/>
          <w:b w:val="0"/>
          <w:bCs/>
          <w:color w:val="000000" w:themeColor="text1"/>
          <w:sz w:val="24"/>
          <w:szCs w:val="24"/>
          <w:highlight w:val="none"/>
          <w14:textFill>
            <w14:solidFill>
              <w14:schemeClr w14:val="tx1"/>
            </w14:solidFill>
          </w14:textFill>
        </w:rPr>
        <w:t>条款规定的投标人，其投标</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无效</w:t>
      </w:r>
      <w:r>
        <w:rPr>
          <w:rFonts w:hint="eastAsia" w:ascii="宋体" w:hAnsi="宋体" w:eastAsia="宋体" w:cs="宋体"/>
          <w:b w:val="0"/>
          <w:bCs/>
          <w:color w:val="000000" w:themeColor="text1"/>
          <w:sz w:val="24"/>
          <w:szCs w:val="24"/>
          <w:highlight w:val="none"/>
          <w14:textFill>
            <w14:solidFill>
              <w14:schemeClr w14:val="tx1"/>
            </w14:solidFill>
          </w14:textFill>
        </w:rPr>
        <w:t>。</w:t>
      </w:r>
    </w:p>
    <w:p>
      <w:pPr>
        <w:pStyle w:val="20"/>
        <w:keepLines w:val="0"/>
        <w:kinsoku/>
        <w:wordWrap/>
        <w:overflowPunct/>
        <w:bidi w:val="0"/>
        <w:spacing w:line="360" w:lineRule="auto"/>
        <w:ind w:left="563" w:leftChars="267" w:firstLine="2" w:firstLineChars="1"/>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定义</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2.1“采购代理机构”系指</w:t>
      </w:r>
      <w:r>
        <w:rPr>
          <w:rFonts w:hint="eastAsia" w:ascii="宋体" w:hAnsi="宋体" w:cs="宋体"/>
          <w:color w:val="000000" w:themeColor="text1"/>
          <w:sz w:val="24"/>
          <w:highlight w:val="none"/>
          <w:lang w:eastAsia="zh-CN"/>
          <w14:textFill>
            <w14:solidFill>
              <w14:schemeClr w14:val="tx1"/>
            </w14:solidFill>
          </w14:textFill>
        </w:rPr>
        <w:t>新疆东晨项目管理有限公司</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2.2“投标人”系指向采购代理机构提交投标文件的货物</w:t>
      </w:r>
      <w:r>
        <w:rPr>
          <w:rFonts w:hint="eastAsia" w:ascii="宋体" w:hAnsi="宋体" w:eastAsia="宋体" w:cs="宋体"/>
          <w:color w:val="000000" w:themeColor="text1"/>
          <w:sz w:val="24"/>
          <w:szCs w:val="24"/>
          <w:highlight w:val="none"/>
          <w:lang w:eastAsia="zh-CN"/>
          <w14:textFill>
            <w14:solidFill>
              <w14:schemeClr w14:val="tx1"/>
            </w14:solidFill>
          </w14:textFill>
        </w:rPr>
        <w:t>制造商或代理商</w:t>
      </w:r>
      <w:r>
        <w:rPr>
          <w:rFonts w:hint="eastAsia" w:ascii="宋体" w:hAnsi="宋体" w:eastAsia="宋体" w:cs="宋体"/>
          <w:color w:val="000000" w:themeColor="text1"/>
          <w:sz w:val="24"/>
          <w:szCs w:val="24"/>
          <w:highlight w:val="none"/>
          <w14:textFill>
            <w14:solidFill>
              <w14:schemeClr w14:val="tx1"/>
            </w14:solidFill>
          </w14:textFill>
        </w:rPr>
        <w:t>。</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2.3“货物”系指卖方按合同要求，须向买方提供的设计文件、货物、机械、材料、备品、手册及其他技术资料和材料。详见《政府采购品目分类目录》(财库[2013]189号)。</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2.4“服务”系指按合同规定卖方须承担的运输、装卸、安装调试、技术协助、培训和交付使用后保修期内应履行的义务及售后服务等其他类似的义务。</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2.5“卖方”系指提供合同货物和服务的经济实体。本次招标指中标人。</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2.6“买方”系指购买货物和服务的单位，即为本次招标的采购人。</w:t>
      </w:r>
    </w:p>
    <w:p>
      <w:pPr>
        <w:pStyle w:val="20"/>
        <w:keepLines w:val="0"/>
        <w:kinsoku/>
        <w:wordWrap/>
        <w:overflowPunct/>
        <w:bidi w:val="0"/>
        <w:spacing w:line="360" w:lineRule="auto"/>
        <w:ind w:firstLine="567"/>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2.7“节能产品”或者“环保产品”是指财政部发布</w:t>
      </w:r>
      <w:r>
        <w:rPr>
          <w:rFonts w:hint="eastAsia" w:ascii="宋体" w:hAnsi="宋体" w:eastAsia="宋体" w:cs="宋体"/>
          <w:color w:val="000000" w:themeColor="text1"/>
          <w:sz w:val="24"/>
          <w:szCs w:val="24"/>
          <w:highlight w:val="none"/>
          <w:lang w:eastAsia="zh-CN"/>
          <w14:textFill>
            <w14:solidFill>
              <w14:schemeClr w14:val="tx1"/>
            </w14:solidFill>
          </w14:textFill>
        </w:rPr>
        <w:t>最新一期</w:t>
      </w:r>
      <w:r>
        <w:rPr>
          <w:rFonts w:hint="eastAsia" w:ascii="宋体" w:hAnsi="宋体" w:eastAsia="宋体" w:cs="宋体"/>
          <w:color w:val="000000" w:themeColor="text1"/>
          <w:sz w:val="24"/>
          <w:szCs w:val="24"/>
          <w:highlight w:val="none"/>
          <w14:textFill>
            <w14:solidFill>
              <w14:schemeClr w14:val="tx1"/>
            </w14:solidFill>
          </w14:textFill>
        </w:rPr>
        <w:t>的《节能产品政府采购清单》或者《环境标志产品政府采购清单》的产品</w:t>
      </w:r>
      <w:r>
        <w:rPr>
          <w:rFonts w:hint="eastAsia" w:ascii="宋体" w:hAnsi="宋体" w:eastAsia="宋体" w:cs="宋体"/>
          <w:color w:val="000000" w:themeColor="text1"/>
          <w:sz w:val="24"/>
          <w:szCs w:val="24"/>
          <w:highlight w:val="none"/>
          <w:lang w:eastAsia="zh-CN"/>
          <w14:textFill>
            <w14:solidFill>
              <w14:schemeClr w14:val="tx1"/>
            </w14:solidFill>
          </w14:textFill>
        </w:rPr>
        <w:t>，可在中国政府采购网(www.ccgp.gov.cn)查询</w:t>
      </w:r>
      <w:r>
        <w:rPr>
          <w:rFonts w:hint="eastAsia" w:ascii="宋体" w:hAnsi="宋体" w:eastAsia="宋体" w:cs="宋体"/>
          <w:color w:val="000000" w:themeColor="text1"/>
          <w:sz w:val="24"/>
          <w:szCs w:val="24"/>
          <w:highlight w:val="none"/>
          <w14:textFill>
            <w14:solidFill>
              <w14:schemeClr w14:val="tx1"/>
            </w14:solidFill>
          </w14:textFill>
        </w:rPr>
        <w:t>。</w:t>
      </w:r>
    </w:p>
    <w:p>
      <w:pPr>
        <w:pStyle w:val="20"/>
        <w:keepLines w:val="0"/>
        <w:kinsoku/>
        <w:wordWrap/>
        <w:overflowPunct/>
        <w:bidi w:val="0"/>
        <w:spacing w:line="360" w:lineRule="auto"/>
        <w:ind w:firstLine="567"/>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2.8“进口产品”是指通过中国海关报关验放进入中国境内且产自关境外的产品，详见《关于政府采购进口产品管理有关问题的通知》(财库[2007]119号)</w:t>
      </w:r>
      <w:r>
        <w:rPr>
          <w:rFonts w:hint="eastAsia" w:ascii="宋体" w:hAnsi="宋体" w:eastAsia="宋体" w:cs="宋体"/>
          <w:color w:val="000000" w:themeColor="text1"/>
          <w:sz w:val="24"/>
          <w:szCs w:val="24"/>
          <w:highlight w:val="none"/>
          <w:lang w:eastAsia="zh-CN"/>
          <w14:textFill>
            <w14:solidFill>
              <w14:schemeClr w14:val="tx1"/>
            </w14:solidFill>
          </w14:textFill>
        </w:rPr>
        <w:t>及《关于政府采购进口产品管理有关问题的通知》（财办库（2008）248号）</w:t>
      </w:r>
      <w:r>
        <w:rPr>
          <w:rFonts w:hint="eastAsia" w:ascii="宋体" w:hAnsi="宋体" w:eastAsia="宋体" w:cs="宋体"/>
          <w:color w:val="000000" w:themeColor="text1"/>
          <w:sz w:val="24"/>
          <w:szCs w:val="24"/>
          <w:highlight w:val="none"/>
          <w14:textFill>
            <w14:solidFill>
              <w14:schemeClr w14:val="tx1"/>
            </w14:solidFill>
          </w14:textFill>
        </w:rPr>
        <w:t>。</w:t>
      </w:r>
    </w:p>
    <w:p>
      <w:pPr>
        <w:pStyle w:val="20"/>
        <w:keepLines w:val="0"/>
        <w:kinsoku/>
        <w:wordWrap/>
        <w:overflowPunct/>
        <w:bidi w:val="0"/>
        <w:spacing w:line="360" w:lineRule="auto"/>
        <w:ind w:firstLine="567"/>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2.9 “</w:t>
      </w:r>
      <w:r>
        <w:rPr>
          <w:rFonts w:hint="eastAsia" w:ascii="宋体" w:hAnsi="宋体" w:eastAsia="宋体" w:cs="宋体"/>
          <w:color w:val="000000" w:themeColor="text1"/>
          <w:sz w:val="24"/>
          <w:szCs w:val="24"/>
          <w:highlight w:val="none"/>
          <w14:textFill>
            <w14:solidFill>
              <w14:schemeClr w14:val="tx1"/>
            </w14:solidFill>
          </w14:textFill>
        </w:rPr>
        <w:t>语言文字</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招标投标文件使用的语言文字为中文。专用术语使用外文的，应附有中文注释。</w:t>
      </w:r>
    </w:p>
    <w:p>
      <w:pPr>
        <w:pStyle w:val="20"/>
        <w:keepLines w:val="0"/>
        <w:kinsoku/>
        <w:wordWrap/>
        <w:overflowPunct/>
        <w:bidi w:val="0"/>
        <w:spacing w:line="360" w:lineRule="auto"/>
        <w:ind w:firstLine="567"/>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2.10“</w:t>
      </w:r>
      <w:r>
        <w:rPr>
          <w:rFonts w:hint="eastAsia" w:ascii="宋体" w:hAnsi="宋体" w:eastAsia="宋体" w:cs="宋体"/>
          <w:color w:val="000000" w:themeColor="text1"/>
          <w:sz w:val="24"/>
          <w:szCs w:val="24"/>
          <w:highlight w:val="none"/>
          <w14:textFill>
            <w14:solidFill>
              <w14:schemeClr w14:val="tx1"/>
            </w14:solidFill>
          </w14:textFill>
        </w:rPr>
        <w:t>计量单位</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所有计量均采用中华人民共和国法定计量单位。</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其他要求</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 投标费用</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投标人应自行承担所有与本次招标投标有关的费用，而不论投标的结果如何。 </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 采购进口产品</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3.2.1 除</w:t>
      </w:r>
      <w:r>
        <w:rPr>
          <w:rFonts w:hint="eastAsia" w:ascii="宋体" w:hAnsi="宋体" w:eastAsia="宋体" w:cs="宋体"/>
          <w:color w:val="000000" w:themeColor="text1"/>
          <w:sz w:val="24"/>
          <w:szCs w:val="24"/>
          <w:highlight w:val="none"/>
          <w:lang w:eastAsia="zh-CN"/>
          <w14:textFill>
            <w14:solidFill>
              <w14:schemeClr w14:val="tx1"/>
            </w14:solidFill>
          </w14:textFill>
        </w:rPr>
        <w:t>投标人须知</w:t>
      </w:r>
      <w:r>
        <w:rPr>
          <w:rFonts w:hint="eastAsia" w:ascii="宋体" w:hAnsi="宋体" w:eastAsia="宋体" w:cs="宋体"/>
          <w:color w:val="000000" w:themeColor="text1"/>
          <w:sz w:val="24"/>
          <w:szCs w:val="24"/>
          <w:highlight w:val="none"/>
          <w14:textFill>
            <w14:solidFill>
              <w14:schemeClr w14:val="tx1"/>
            </w14:solidFill>
          </w14:textFill>
        </w:rPr>
        <w:t>前附表另有规定外，本项目拒绝进口产品参加招标采购活动。</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3.2.2 本章第4.1款规定同意购买进口产品的，本项目采购活动不限制满足招标文件要求的国内产品参与招标。</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3.3 政府采购政策支持 </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产品优惠累加优惠。财政部门关于政府采购强制采购、优先采购的政策规定可在中国政府采购网(www.ccgp.gov.cn)查询。本项目价格扣除比例见</w:t>
      </w:r>
      <w:r>
        <w:rPr>
          <w:rFonts w:hint="eastAsia" w:ascii="宋体" w:hAnsi="宋体" w:eastAsia="宋体" w:cs="宋体"/>
          <w:color w:val="000000" w:themeColor="text1"/>
          <w:sz w:val="24"/>
          <w:szCs w:val="24"/>
          <w:highlight w:val="none"/>
          <w:lang w:eastAsia="zh-CN"/>
          <w14:textFill>
            <w14:solidFill>
              <w14:schemeClr w14:val="tx1"/>
            </w14:solidFill>
          </w14:textFill>
        </w:rPr>
        <w:t>投标人须知</w:t>
      </w:r>
      <w:r>
        <w:rPr>
          <w:rFonts w:hint="eastAsia" w:ascii="宋体" w:hAnsi="宋体" w:eastAsia="宋体" w:cs="宋体"/>
          <w:color w:val="000000" w:themeColor="text1"/>
          <w:sz w:val="24"/>
          <w:szCs w:val="24"/>
          <w:highlight w:val="none"/>
          <w14:textFill>
            <w14:solidFill>
              <w14:schemeClr w14:val="tx1"/>
            </w14:solidFill>
          </w14:textFill>
        </w:rPr>
        <w:t>前附表。</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3.3.2 同一项目中部分产品属于优先采购政策的，评审时只对该部分产品的报价实行价格优惠。</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3.3.3 为推进政府采购诚信体系建设，供应商在签署相关承诺，提供相关信息前，应认真阅读财政部门相关政策规定。</w:t>
      </w:r>
    </w:p>
    <w:p>
      <w:pPr>
        <w:pStyle w:val="19"/>
        <w:jc w:val="center"/>
        <w:rPr>
          <w:rFonts w:hint="eastAsia"/>
          <w:b/>
          <w:bCs/>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二、招标文件</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招标文件</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 招标文件用以阐明所需货物和服务、招标投标程序和合同条款。包括：</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4.1.1 招标</w:t>
      </w:r>
      <w:r>
        <w:rPr>
          <w:rFonts w:hint="eastAsia" w:ascii="宋体" w:hAnsi="宋体" w:eastAsia="宋体" w:cs="宋体"/>
          <w:color w:val="000000" w:themeColor="text1"/>
          <w:sz w:val="24"/>
          <w:szCs w:val="24"/>
          <w:highlight w:val="none"/>
          <w:lang w:eastAsia="zh-CN"/>
          <w14:textFill>
            <w14:solidFill>
              <w14:schemeClr w14:val="tx1"/>
            </w14:solidFill>
          </w14:textFill>
        </w:rPr>
        <w:t>公告</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4.1.2 </w:t>
      </w:r>
      <w:r>
        <w:rPr>
          <w:rFonts w:hint="eastAsia" w:ascii="宋体" w:hAnsi="宋体" w:eastAsia="宋体" w:cs="宋体"/>
          <w:color w:val="000000" w:themeColor="text1"/>
          <w:sz w:val="24"/>
          <w:szCs w:val="24"/>
          <w:highlight w:val="none"/>
          <w:lang w:eastAsia="zh-CN"/>
          <w14:textFill>
            <w14:solidFill>
              <w14:schemeClr w14:val="tx1"/>
            </w14:solidFill>
          </w14:textFill>
        </w:rPr>
        <w:t>投标人须知</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合同</w:t>
      </w:r>
      <w:r>
        <w:rPr>
          <w:rFonts w:hint="eastAsia" w:ascii="宋体" w:hAnsi="宋体" w:eastAsia="宋体" w:cs="宋体"/>
          <w:color w:val="000000" w:themeColor="text1"/>
          <w:sz w:val="24"/>
          <w:szCs w:val="24"/>
          <w:highlight w:val="none"/>
          <w:lang w:eastAsia="zh-CN"/>
          <w14:textFill>
            <w14:solidFill>
              <w14:schemeClr w14:val="tx1"/>
            </w14:solidFill>
          </w14:textFill>
        </w:rPr>
        <w:t>条款及格式</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4.1.4 </w:t>
      </w:r>
      <w:r>
        <w:rPr>
          <w:rFonts w:hint="eastAsia" w:ascii="宋体" w:hAnsi="宋体" w:eastAsia="宋体" w:cs="宋体"/>
          <w:color w:val="000000" w:themeColor="text1"/>
          <w:sz w:val="24"/>
          <w:szCs w:val="24"/>
          <w:highlight w:val="none"/>
          <w:lang w:eastAsia="zh-CN"/>
          <w14:textFill>
            <w14:solidFill>
              <w14:schemeClr w14:val="tx1"/>
            </w14:solidFill>
          </w14:textFill>
        </w:rPr>
        <w:t>采购需求</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4.1.5 投标文件格式</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4.1.6 其他资料</w:t>
      </w:r>
    </w:p>
    <w:p>
      <w:pPr>
        <w:pStyle w:val="20"/>
        <w:keepLines w:val="0"/>
        <w:numPr>
          <w:ilvl w:val="0"/>
          <w:numId w:val="0"/>
        </w:numPr>
        <w:kinsoku/>
        <w:wordWrap/>
        <w:overflowPunct/>
        <w:bidi w:val="0"/>
        <w:spacing w:line="360" w:lineRule="auto"/>
        <w:ind w:firstLine="482" w:firstLineChars="200"/>
        <w:jc w:val="both"/>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4.2 投标人应认真阅读招标文件中所有的事项、格式、条款和规范等要求。如果没有按照招标文件要求提交全部资料或者投标文件没有对招标文件做出实质性响应，其投标将被拒绝。</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 招标文件的澄清和修改</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 招标人如需对已发出的招标文件进行必要澄清或者修改的，招标代理机构将在招标文件要求提交投标文件截止时间</w:t>
      </w: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14:textFill>
            <w14:solidFill>
              <w14:schemeClr w14:val="tx1"/>
            </w14:solidFill>
          </w14:textFill>
        </w:rPr>
        <w:t>日前，以书面形式通知所有</w:t>
      </w:r>
      <w:r>
        <w:rPr>
          <w:rFonts w:hint="eastAsia" w:ascii="宋体" w:hAnsi="宋体" w:eastAsia="宋体" w:cs="宋体"/>
          <w:color w:val="000000" w:themeColor="text1"/>
          <w:sz w:val="24"/>
          <w:szCs w:val="24"/>
          <w:highlight w:val="none"/>
          <w:lang w:eastAsia="zh-CN"/>
          <w14:textFill>
            <w14:solidFill>
              <w14:schemeClr w14:val="tx1"/>
            </w14:solidFill>
          </w14:textFill>
        </w:rPr>
        <w:t>获取</w:t>
      </w:r>
      <w:r>
        <w:rPr>
          <w:rFonts w:hint="eastAsia" w:ascii="宋体" w:hAnsi="宋体" w:eastAsia="宋体" w:cs="宋体"/>
          <w:color w:val="000000" w:themeColor="text1"/>
          <w:sz w:val="24"/>
          <w:szCs w:val="24"/>
          <w:highlight w:val="none"/>
          <w14:textFill>
            <w14:solidFill>
              <w14:schemeClr w14:val="tx1"/>
            </w14:solidFill>
          </w14:textFill>
        </w:rPr>
        <w:t>招标文件</w:t>
      </w:r>
      <w:r>
        <w:rPr>
          <w:rFonts w:hint="eastAsia" w:ascii="宋体" w:hAnsi="宋体" w:eastAsia="宋体" w:cs="宋体"/>
          <w:color w:val="000000" w:themeColor="text1"/>
          <w:sz w:val="24"/>
          <w:szCs w:val="24"/>
          <w:highlight w:val="none"/>
          <w:lang w:eastAsia="zh-CN"/>
          <w14:textFill>
            <w14:solidFill>
              <w14:schemeClr w14:val="tx1"/>
            </w14:solidFill>
          </w14:textFill>
        </w:rPr>
        <w:t>的投标人</w:t>
      </w:r>
      <w:r>
        <w:rPr>
          <w:rFonts w:hint="eastAsia" w:ascii="宋体" w:hAnsi="宋体" w:eastAsia="宋体" w:cs="宋体"/>
          <w:color w:val="000000" w:themeColor="text1"/>
          <w:sz w:val="24"/>
          <w:szCs w:val="24"/>
          <w:highlight w:val="none"/>
          <w14:textFill>
            <w14:solidFill>
              <w14:schemeClr w14:val="tx1"/>
            </w14:solidFill>
          </w14:textFill>
        </w:rPr>
        <w:t>。该澄清或者修改的内容为招标文件的组成部分。</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 延长开标时间</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招标人视采购具体情况如需延长投标截止时间和开标时间，招标代理机构将在招标文件要求提交投标文件的截止时间</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日前，将变更时间书面通知所有</w:t>
      </w:r>
      <w:r>
        <w:rPr>
          <w:rFonts w:hint="eastAsia" w:ascii="宋体" w:hAnsi="宋体" w:eastAsia="宋体" w:cs="宋体"/>
          <w:color w:val="000000" w:themeColor="text1"/>
          <w:sz w:val="24"/>
          <w:szCs w:val="24"/>
          <w:highlight w:val="none"/>
          <w:lang w:eastAsia="zh-CN"/>
          <w14:textFill>
            <w14:solidFill>
              <w14:schemeClr w14:val="tx1"/>
            </w14:solidFill>
          </w14:textFill>
        </w:rPr>
        <w:t>获取</w:t>
      </w:r>
      <w:r>
        <w:rPr>
          <w:rFonts w:hint="eastAsia" w:ascii="宋体" w:hAnsi="宋体" w:eastAsia="宋体" w:cs="宋体"/>
          <w:color w:val="000000" w:themeColor="text1"/>
          <w:sz w:val="24"/>
          <w:szCs w:val="24"/>
          <w:highlight w:val="none"/>
          <w14:textFill>
            <w14:solidFill>
              <w14:schemeClr w14:val="tx1"/>
            </w14:solidFill>
          </w14:textFill>
        </w:rPr>
        <w:t>招标文件</w:t>
      </w:r>
      <w:r>
        <w:rPr>
          <w:rFonts w:hint="eastAsia" w:ascii="宋体" w:hAnsi="宋体" w:eastAsia="宋体" w:cs="宋体"/>
          <w:color w:val="000000" w:themeColor="text1"/>
          <w:sz w:val="24"/>
          <w:szCs w:val="24"/>
          <w:highlight w:val="none"/>
          <w:lang w:eastAsia="zh-CN"/>
          <w14:textFill>
            <w14:solidFill>
              <w14:schemeClr w14:val="tx1"/>
            </w14:solidFill>
          </w14:textFill>
        </w:rPr>
        <w:t>的投标人</w:t>
      </w:r>
      <w:r>
        <w:rPr>
          <w:rFonts w:hint="eastAsia" w:ascii="宋体" w:hAnsi="宋体" w:eastAsia="宋体" w:cs="宋体"/>
          <w:color w:val="000000" w:themeColor="text1"/>
          <w:sz w:val="24"/>
          <w:szCs w:val="24"/>
          <w:highlight w:val="none"/>
          <w14:textFill>
            <w14:solidFill>
              <w14:schemeClr w14:val="tx1"/>
            </w14:solidFill>
          </w14:textFill>
        </w:rPr>
        <w:t>。</w:t>
      </w:r>
    </w:p>
    <w:p>
      <w:pPr>
        <w:pStyle w:val="19"/>
        <w:jc w:val="center"/>
        <w:rPr>
          <w:rFonts w:hint="eastAsia"/>
          <w:b/>
          <w:bCs/>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三、投标文件的编制</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 投标文件的编写</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7.1 投标人应仔细阅读招标文件,了解招标文件的要求，并在充分理解招标文件提出的货物技术规范、服务和商务条款后的基础上制作投标文件。</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 投标的语言及计量单位</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8.1 投标人的投标文件以及投标人与采购代理机构就有关招标活动的所有来往函电均应使用中文。如果投标文件或与投标有关的其它文件、信件及来往函电以其它语言书写的，投标人应将其译成中文。</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8.2 投标文件中所使用的计量单位除招标文件中有特殊规定外，一律使用法定计量单位。</w:t>
      </w:r>
    </w:p>
    <w:p>
      <w:pPr>
        <w:pStyle w:val="20"/>
        <w:spacing w:line="360" w:lineRule="auto"/>
        <w:ind w:firstLine="567"/>
        <w:jc w:val="both"/>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9. 投标文件构成</w:t>
      </w:r>
    </w:p>
    <w:p>
      <w:pPr>
        <w:pStyle w:val="20"/>
        <w:spacing w:line="360" w:lineRule="auto"/>
        <w:ind w:firstLine="567"/>
        <w:jc w:val="both"/>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9.1  投标人编写的投标文件应包含以下内容:</w:t>
      </w:r>
    </w:p>
    <w:p>
      <w:pPr>
        <w:pStyle w:val="20"/>
        <w:spacing w:line="360" w:lineRule="auto"/>
        <w:ind w:firstLine="567"/>
        <w:jc w:val="both"/>
        <w:outlineLvl w:val="2"/>
        <w:rPr>
          <w:rFonts w:hint="eastAsia" w:ascii="宋体" w:hAnsi="宋体" w:cs="宋体"/>
          <w:b/>
          <w:bCs/>
          <w:color w:val="000000" w:themeColor="text1"/>
          <w:szCs w:val="24"/>
          <w:highlight w:val="none"/>
          <w14:textFill>
            <w14:solidFill>
              <w14:schemeClr w14:val="tx1"/>
            </w14:solidFill>
          </w14:textFill>
        </w:rPr>
      </w:pPr>
      <w:r>
        <w:rPr>
          <w:rFonts w:hint="eastAsia" w:ascii="宋体" w:hAnsi="宋体" w:cs="宋体"/>
          <w:b/>
          <w:bCs/>
          <w:color w:val="000000" w:themeColor="text1"/>
          <w:szCs w:val="24"/>
          <w:highlight w:val="none"/>
          <w14:textFill>
            <w14:solidFill>
              <w14:schemeClr w14:val="tx1"/>
            </w14:solidFill>
          </w14:textFill>
        </w:rPr>
        <w:t>9.1.1 资格、资信证明文件(以下文件必须在有效期内)</w:t>
      </w:r>
    </w:p>
    <w:p>
      <w:pPr>
        <w:pStyle w:val="20"/>
        <w:spacing w:line="360" w:lineRule="auto"/>
        <w:ind w:firstLine="471" w:firstLineChars="196"/>
        <w:jc w:val="both"/>
        <w:rPr>
          <w:rFonts w:hint="eastAsia" w:ascii="宋体" w:hAnsi="宋体" w:cs="宋体"/>
          <w:b w:val="0"/>
          <w:bCs w:val="0"/>
          <w:color w:val="000000" w:themeColor="text1"/>
          <w:szCs w:val="24"/>
          <w:highlight w:val="none"/>
          <w14:textFill>
            <w14:solidFill>
              <w14:schemeClr w14:val="tx1"/>
            </w14:solidFill>
          </w14:textFill>
        </w:rPr>
      </w:pPr>
      <w:r>
        <w:rPr>
          <w:rFonts w:hint="eastAsia" w:ascii="宋体" w:hAnsi="宋体" w:cs="宋体"/>
          <w:b w:val="0"/>
          <w:bCs w:val="0"/>
          <w:color w:val="000000" w:themeColor="text1"/>
          <w:szCs w:val="24"/>
          <w:highlight w:val="none"/>
          <w14:textFill>
            <w14:solidFill>
              <w14:schemeClr w14:val="tx1"/>
            </w14:solidFill>
          </w14:textFill>
        </w:rPr>
        <w:t>(1) 企业营业执照</w:t>
      </w:r>
    </w:p>
    <w:p>
      <w:pPr>
        <w:pStyle w:val="20"/>
        <w:spacing w:line="360" w:lineRule="auto"/>
        <w:ind w:firstLine="482" w:firstLineChars="200"/>
        <w:jc w:val="both"/>
        <w:rPr>
          <w:rFonts w:hint="eastAsia" w:ascii="宋体" w:hAnsi="宋体" w:cs="宋体"/>
          <w:b w:val="0"/>
          <w:bCs w:val="0"/>
          <w:color w:val="000000" w:themeColor="text1"/>
          <w:szCs w:val="24"/>
          <w:highlight w:val="none"/>
          <w14:textFill>
            <w14:solidFill>
              <w14:schemeClr w14:val="tx1"/>
            </w14:solidFill>
          </w14:textFill>
        </w:rPr>
      </w:pPr>
      <w:r>
        <w:rPr>
          <w:rFonts w:hint="eastAsia" w:ascii="宋体" w:hAnsi="宋体" w:cs="宋体"/>
          <w:b w:val="0"/>
          <w:bCs w:val="0"/>
          <w:color w:val="000000" w:themeColor="text1"/>
          <w:szCs w:val="24"/>
          <w:highlight w:val="none"/>
          <w14:textFill>
            <w14:solidFill>
              <w14:schemeClr w14:val="tx1"/>
            </w14:solidFill>
          </w14:textFill>
        </w:rPr>
        <w:t>(2) 法定代表人身份证明或授权委托人身份证明及授权委托书</w:t>
      </w:r>
    </w:p>
    <w:p>
      <w:pPr>
        <w:pStyle w:val="20"/>
        <w:spacing w:line="360" w:lineRule="auto"/>
        <w:ind w:firstLine="482" w:firstLineChars="200"/>
        <w:jc w:val="both"/>
        <w:rPr>
          <w:rFonts w:hint="default" w:ascii="宋体" w:hAnsi="宋体" w:eastAsia="宋体" w:cs="宋体"/>
          <w:b w:val="0"/>
          <w:bCs w:val="0"/>
          <w:color w:val="000000" w:themeColor="text1"/>
          <w:szCs w:val="24"/>
          <w:highlight w:val="none"/>
          <w:lang w:val="en-US" w:eastAsia="zh-CN"/>
          <w14:textFill>
            <w14:solidFill>
              <w14:schemeClr w14:val="tx1"/>
            </w14:solidFill>
          </w14:textFill>
        </w:rPr>
      </w:pPr>
      <w:r>
        <w:rPr>
          <w:rFonts w:hint="eastAsia" w:ascii="宋体" w:hAnsi="宋体" w:cs="宋体"/>
          <w:b w:val="0"/>
          <w:bCs w:val="0"/>
          <w:color w:val="000000" w:themeColor="text1"/>
          <w:szCs w:val="24"/>
          <w:highlight w:val="none"/>
          <w14:textFill>
            <w14:solidFill>
              <w14:schemeClr w14:val="tx1"/>
            </w14:solidFill>
          </w14:textFill>
        </w:rPr>
        <w:t>(3) 投标保证金</w:t>
      </w:r>
      <w:r>
        <w:rPr>
          <w:rFonts w:hint="eastAsia" w:ascii="宋体" w:hAnsi="宋体" w:cs="宋体"/>
          <w:b w:val="0"/>
          <w:bCs w:val="0"/>
          <w:color w:val="000000" w:themeColor="text1"/>
          <w:szCs w:val="24"/>
          <w:highlight w:val="none"/>
          <w:lang w:val="en-US" w:eastAsia="zh-CN"/>
          <w14:textFill>
            <w14:solidFill>
              <w14:schemeClr w14:val="tx1"/>
            </w14:solidFill>
          </w14:textFill>
        </w:rPr>
        <w:t>缴纳凭证</w:t>
      </w:r>
    </w:p>
    <w:p>
      <w:pPr>
        <w:pStyle w:val="20"/>
        <w:spacing w:line="360" w:lineRule="auto"/>
        <w:ind w:firstLine="482" w:firstLineChars="200"/>
        <w:jc w:val="both"/>
        <w:rPr>
          <w:rFonts w:hint="eastAsia" w:ascii="宋体" w:hAnsi="宋体" w:cs="宋体"/>
          <w:b w:val="0"/>
          <w:bCs w:val="0"/>
          <w:color w:val="000000" w:themeColor="text1"/>
          <w:szCs w:val="24"/>
          <w:highlight w:val="none"/>
          <w14:textFill>
            <w14:solidFill>
              <w14:schemeClr w14:val="tx1"/>
            </w14:solidFill>
          </w14:textFill>
        </w:rPr>
      </w:pPr>
      <w:r>
        <w:rPr>
          <w:rFonts w:hint="eastAsia" w:ascii="宋体" w:hAnsi="宋体" w:cs="宋体"/>
          <w:b w:val="0"/>
          <w:bCs w:val="0"/>
          <w:color w:val="000000" w:themeColor="text1"/>
          <w:szCs w:val="24"/>
          <w:highlight w:val="none"/>
          <w14:textFill>
            <w14:solidFill>
              <w14:schemeClr w14:val="tx1"/>
            </w14:solidFill>
          </w14:textFill>
        </w:rPr>
        <w:t xml:space="preserve">(4) </w:t>
      </w:r>
      <w:r>
        <w:rPr>
          <w:rFonts w:hint="eastAsia" w:ascii="宋体" w:hAnsi="宋体" w:cs="宋体"/>
          <w:b w:val="0"/>
          <w:bCs w:val="0"/>
          <w:color w:val="000000" w:themeColor="text1"/>
          <w:spacing w:val="-3"/>
          <w:szCs w:val="24"/>
          <w:highlight w:val="none"/>
          <w14:textFill>
            <w14:solidFill>
              <w14:schemeClr w14:val="tx1"/>
            </w14:solidFill>
          </w14:textFill>
        </w:rPr>
        <w:t>投标人认为有必要提供的声明及文件资料（包括但不限于近三年的财务审计报告（成立不足三年的提供成立至今的财务审计报告，成立不足一年的提供成立至今的财务报表，包含资产负债表、现金流量表、利润表）</w:t>
      </w:r>
      <w:r>
        <w:rPr>
          <w:rFonts w:hint="eastAsia" w:ascii="宋体" w:hAnsi="宋体" w:cs="宋体"/>
          <w:b w:val="0"/>
          <w:bCs w:val="0"/>
          <w:color w:val="000000" w:themeColor="text1"/>
          <w:spacing w:val="-3"/>
          <w:szCs w:val="24"/>
          <w:highlight w:val="none"/>
          <w:lang w:eastAsia="zh-CN"/>
          <w14:textFill>
            <w14:solidFill>
              <w14:schemeClr w14:val="tx1"/>
            </w14:solidFill>
          </w14:textFill>
        </w:rPr>
        <w:t>、近六个月（连续）的</w:t>
      </w:r>
      <w:r>
        <w:rPr>
          <w:rFonts w:hint="eastAsia" w:ascii="宋体" w:hAnsi="宋体" w:cs="宋体"/>
          <w:b w:val="0"/>
          <w:bCs w:val="0"/>
          <w:color w:val="000000" w:themeColor="text1"/>
          <w:spacing w:val="-3"/>
          <w:szCs w:val="24"/>
          <w:highlight w:val="none"/>
          <w14:textFill>
            <w14:solidFill>
              <w14:schemeClr w14:val="tx1"/>
            </w14:solidFill>
          </w14:textFill>
        </w:rPr>
        <w:t>完税证明、</w:t>
      </w:r>
      <w:r>
        <w:rPr>
          <w:rFonts w:hint="eastAsia" w:ascii="宋体" w:hAnsi="宋体" w:cs="宋体"/>
          <w:b w:val="0"/>
          <w:bCs w:val="0"/>
          <w:color w:val="000000" w:themeColor="text1"/>
          <w:spacing w:val="-3"/>
          <w:szCs w:val="24"/>
          <w:highlight w:val="none"/>
          <w:lang w:eastAsia="zh-CN"/>
          <w14:textFill>
            <w14:solidFill>
              <w14:schemeClr w14:val="tx1"/>
            </w14:solidFill>
          </w14:textFill>
        </w:rPr>
        <w:t>近六个月（连续）</w:t>
      </w:r>
      <w:r>
        <w:rPr>
          <w:rFonts w:hint="eastAsia" w:ascii="宋体" w:hAnsi="宋体" w:cs="宋体"/>
          <w:b w:val="0"/>
          <w:bCs w:val="0"/>
          <w:color w:val="000000" w:themeColor="text1"/>
          <w:spacing w:val="-3"/>
          <w:szCs w:val="24"/>
          <w:highlight w:val="none"/>
          <w14:textFill>
            <w14:solidFill>
              <w14:schemeClr w14:val="tx1"/>
            </w14:solidFill>
          </w14:textFill>
        </w:rPr>
        <w:t>社保</w:t>
      </w:r>
      <w:r>
        <w:rPr>
          <w:rFonts w:hint="eastAsia" w:ascii="宋体" w:hAnsi="宋体" w:cs="宋体"/>
          <w:b w:val="0"/>
          <w:bCs w:val="0"/>
          <w:color w:val="000000" w:themeColor="text1"/>
          <w:spacing w:val="-3"/>
          <w:szCs w:val="24"/>
          <w:highlight w:val="none"/>
          <w:lang w:val="en-US" w:eastAsia="zh-CN"/>
          <w14:textFill>
            <w14:solidFill>
              <w14:schemeClr w14:val="tx1"/>
            </w14:solidFill>
          </w14:textFill>
        </w:rPr>
        <w:t>（需有相关人员的社保缴纳明细，退休人员需提供退休证明）</w:t>
      </w:r>
      <w:r>
        <w:rPr>
          <w:rFonts w:hint="eastAsia" w:ascii="宋体" w:hAnsi="宋体" w:cs="宋体"/>
          <w:b w:val="0"/>
          <w:bCs w:val="0"/>
          <w:color w:val="000000" w:themeColor="text1"/>
          <w:spacing w:val="-3"/>
          <w:szCs w:val="24"/>
          <w:highlight w:val="none"/>
          <w14:textFill>
            <w14:solidFill>
              <w14:schemeClr w14:val="tx1"/>
            </w14:solidFill>
          </w14:textFill>
        </w:rPr>
        <w:t>缴纳记录</w:t>
      </w:r>
      <w:r>
        <w:rPr>
          <w:rFonts w:hint="eastAsia" w:ascii="宋体" w:hAnsi="宋体" w:cs="宋体"/>
          <w:b w:val="0"/>
          <w:bCs w:val="0"/>
          <w:color w:val="000000" w:themeColor="text1"/>
          <w:spacing w:val="-3"/>
          <w:szCs w:val="24"/>
          <w:highlight w:val="none"/>
          <w:lang w:val="en-US" w:eastAsia="zh-CN"/>
          <w14:textFill>
            <w14:solidFill>
              <w14:schemeClr w14:val="tx1"/>
            </w14:solidFill>
          </w14:textFill>
        </w:rPr>
        <w:t>等</w:t>
      </w:r>
      <w:r>
        <w:rPr>
          <w:rFonts w:hint="eastAsia" w:ascii="宋体" w:hAnsi="宋体" w:cs="宋体"/>
          <w:b w:val="0"/>
          <w:bCs w:val="0"/>
          <w:color w:val="000000" w:themeColor="text1"/>
          <w:spacing w:val="-3"/>
          <w:szCs w:val="24"/>
          <w:highlight w:val="none"/>
          <w14:textFill>
            <w14:solidFill>
              <w14:schemeClr w14:val="tx1"/>
            </w14:solidFill>
          </w14:textFill>
        </w:rPr>
        <w:t>）</w:t>
      </w:r>
    </w:p>
    <w:p>
      <w:pPr>
        <w:pStyle w:val="20"/>
        <w:spacing w:line="360" w:lineRule="auto"/>
        <w:ind w:firstLine="567"/>
        <w:jc w:val="both"/>
        <w:outlineLvl w:val="2"/>
        <w:rPr>
          <w:rFonts w:hint="eastAsia" w:ascii="宋体" w:hAnsi="宋体" w:cs="宋体"/>
          <w:b w:val="0"/>
          <w:bCs w:val="0"/>
          <w:color w:val="000000" w:themeColor="text1"/>
          <w:szCs w:val="24"/>
          <w:highlight w:val="none"/>
          <w14:textFill>
            <w14:solidFill>
              <w14:schemeClr w14:val="tx1"/>
            </w14:solidFill>
          </w14:textFill>
        </w:rPr>
      </w:pPr>
      <w:r>
        <w:rPr>
          <w:rFonts w:hint="eastAsia" w:ascii="宋体" w:hAnsi="宋体" w:cs="宋体"/>
          <w:b w:val="0"/>
          <w:bCs w:val="0"/>
          <w:color w:val="000000" w:themeColor="text1"/>
          <w:szCs w:val="24"/>
          <w:highlight w:val="none"/>
          <w14:textFill>
            <w14:solidFill>
              <w14:schemeClr w14:val="tx1"/>
            </w14:solidFill>
          </w14:textFill>
        </w:rPr>
        <w:t>9.1.2 商务文件</w:t>
      </w:r>
    </w:p>
    <w:p>
      <w:pPr>
        <w:pStyle w:val="20"/>
        <w:spacing w:line="360" w:lineRule="auto"/>
        <w:ind w:firstLine="482" w:firstLineChars="200"/>
        <w:jc w:val="both"/>
        <w:rPr>
          <w:rFonts w:hint="eastAsia" w:ascii="宋体" w:hAnsi="宋体" w:cs="宋体"/>
          <w:b w:val="0"/>
          <w:bCs w:val="0"/>
          <w:color w:val="000000" w:themeColor="text1"/>
          <w:szCs w:val="24"/>
          <w:highlight w:val="none"/>
          <w14:textFill>
            <w14:solidFill>
              <w14:schemeClr w14:val="tx1"/>
            </w14:solidFill>
          </w14:textFill>
        </w:rPr>
      </w:pPr>
      <w:r>
        <w:rPr>
          <w:rFonts w:hint="eastAsia" w:ascii="宋体" w:hAnsi="宋体" w:cs="宋体"/>
          <w:b w:val="0"/>
          <w:bCs w:val="0"/>
          <w:color w:val="000000" w:themeColor="text1"/>
          <w:szCs w:val="24"/>
          <w:highlight w:val="none"/>
          <w14:textFill>
            <w14:solidFill>
              <w14:schemeClr w14:val="tx1"/>
            </w14:solidFill>
          </w14:textFill>
        </w:rPr>
        <w:t>(1) 投标函</w:t>
      </w:r>
    </w:p>
    <w:p>
      <w:pPr>
        <w:pStyle w:val="20"/>
        <w:spacing w:line="360" w:lineRule="auto"/>
        <w:ind w:firstLine="482" w:firstLineChars="200"/>
        <w:jc w:val="both"/>
        <w:rPr>
          <w:rFonts w:hint="eastAsia" w:ascii="宋体" w:hAnsi="宋体" w:cs="宋体"/>
          <w:b w:val="0"/>
          <w:bCs w:val="0"/>
          <w:color w:val="000000" w:themeColor="text1"/>
          <w:szCs w:val="24"/>
          <w:highlight w:val="none"/>
          <w14:textFill>
            <w14:solidFill>
              <w14:schemeClr w14:val="tx1"/>
            </w14:solidFill>
          </w14:textFill>
        </w:rPr>
      </w:pPr>
      <w:r>
        <w:rPr>
          <w:rFonts w:hint="eastAsia" w:ascii="宋体" w:hAnsi="宋体" w:cs="宋体"/>
          <w:b w:val="0"/>
          <w:bCs w:val="0"/>
          <w:color w:val="000000" w:themeColor="text1"/>
          <w:szCs w:val="24"/>
          <w:highlight w:val="none"/>
          <w14:textFill>
            <w14:solidFill>
              <w14:schemeClr w14:val="tx1"/>
            </w14:solidFill>
          </w14:textFill>
        </w:rPr>
        <w:t>(2) 开标一览表</w:t>
      </w:r>
    </w:p>
    <w:p>
      <w:pPr>
        <w:pStyle w:val="20"/>
        <w:spacing w:line="360" w:lineRule="auto"/>
        <w:ind w:firstLine="470" w:firstLineChars="200"/>
        <w:jc w:val="both"/>
        <w:rPr>
          <w:rFonts w:hint="eastAsia" w:ascii="宋体" w:hAnsi="宋体" w:cs="宋体"/>
          <w:b w:val="0"/>
          <w:bCs w:val="0"/>
          <w:color w:val="000000" w:themeColor="text1"/>
          <w:szCs w:val="24"/>
          <w:highlight w:val="none"/>
          <w14:textFill>
            <w14:solidFill>
              <w14:schemeClr w14:val="tx1"/>
            </w14:solidFill>
          </w14:textFill>
        </w:rPr>
      </w:pPr>
      <w:r>
        <w:rPr>
          <w:rFonts w:hint="eastAsia" w:ascii="宋体" w:hAnsi="宋体" w:cs="宋体"/>
          <w:b w:val="0"/>
          <w:bCs w:val="0"/>
          <w:color w:val="000000" w:themeColor="text1"/>
          <w:spacing w:val="-3"/>
          <w:szCs w:val="24"/>
          <w:highlight w:val="none"/>
          <w14:textFill>
            <w14:solidFill>
              <w14:schemeClr w14:val="tx1"/>
            </w14:solidFill>
          </w14:textFill>
        </w:rPr>
        <w:t>(</w:t>
      </w:r>
      <w:r>
        <w:rPr>
          <w:rFonts w:hint="eastAsia" w:ascii="宋体" w:hAnsi="宋体" w:cs="宋体"/>
          <w:b w:val="0"/>
          <w:bCs w:val="0"/>
          <w:color w:val="000000" w:themeColor="text1"/>
          <w:spacing w:val="-3"/>
          <w:szCs w:val="24"/>
          <w:highlight w:val="none"/>
          <w:lang w:val="en-US" w:eastAsia="zh-CN"/>
          <w14:textFill>
            <w14:solidFill>
              <w14:schemeClr w14:val="tx1"/>
            </w14:solidFill>
          </w14:textFill>
        </w:rPr>
        <w:t>3</w:t>
      </w:r>
      <w:r>
        <w:rPr>
          <w:rFonts w:hint="eastAsia" w:ascii="宋体" w:hAnsi="宋体" w:cs="宋体"/>
          <w:b w:val="0"/>
          <w:bCs w:val="0"/>
          <w:color w:val="000000" w:themeColor="text1"/>
          <w:spacing w:val="-3"/>
          <w:szCs w:val="24"/>
          <w:highlight w:val="none"/>
          <w14:textFill>
            <w14:solidFill>
              <w14:schemeClr w14:val="tx1"/>
            </w14:solidFill>
          </w14:textFill>
        </w:rPr>
        <w:t xml:space="preserve">) </w:t>
      </w:r>
      <w:r>
        <w:rPr>
          <w:rFonts w:hint="eastAsia" w:ascii="宋体" w:hAnsi="宋体" w:cs="宋体"/>
          <w:b w:val="0"/>
          <w:bCs w:val="0"/>
          <w:color w:val="000000" w:themeColor="text1"/>
          <w:szCs w:val="24"/>
          <w:highlight w:val="none"/>
          <w14:textFill>
            <w14:solidFill>
              <w14:schemeClr w14:val="tx1"/>
            </w14:solidFill>
          </w14:textFill>
        </w:rPr>
        <w:t>售后服务方案</w:t>
      </w:r>
    </w:p>
    <w:p>
      <w:pPr>
        <w:pStyle w:val="21"/>
        <w:spacing w:line="360" w:lineRule="auto"/>
        <w:ind w:firstLine="473"/>
        <w:rPr>
          <w:rFonts w:hint="eastAsia" w:ascii="宋体" w:hAnsi="宋体" w:eastAsia="宋体" w:cs="宋体"/>
          <w:b w:val="0"/>
          <w:bCs w:val="0"/>
          <w:color w:val="000000" w:themeColor="text1"/>
          <w:spacing w:val="-3"/>
          <w:sz w:val="24"/>
          <w:highlight w:val="none"/>
          <w14:textFill>
            <w14:solidFill>
              <w14:schemeClr w14:val="tx1"/>
            </w14:solidFill>
          </w14:textFill>
        </w:rPr>
      </w:pPr>
      <w:r>
        <w:rPr>
          <w:rFonts w:hint="eastAsia" w:ascii="宋体" w:hAnsi="宋体" w:eastAsia="宋体" w:cs="宋体"/>
          <w:b w:val="0"/>
          <w:bCs w:val="0"/>
          <w:color w:val="000000" w:themeColor="text1"/>
          <w:spacing w:val="-3"/>
          <w:sz w:val="24"/>
          <w:highlight w:val="none"/>
          <w14:textFill>
            <w14:solidFill>
              <w14:schemeClr w14:val="tx1"/>
            </w14:solidFill>
          </w14:textFill>
        </w:rPr>
        <w:t>(</w:t>
      </w:r>
      <w:r>
        <w:rPr>
          <w:rFonts w:hint="eastAsia" w:ascii="宋体" w:hAnsi="宋体" w:eastAsia="宋体" w:cs="宋体"/>
          <w:b w:val="0"/>
          <w:bCs w:val="0"/>
          <w:color w:val="000000" w:themeColor="text1"/>
          <w:spacing w:val="-3"/>
          <w:sz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spacing w:val="-3"/>
          <w:sz w:val="24"/>
          <w:highlight w:val="none"/>
          <w14:textFill>
            <w14:solidFill>
              <w14:schemeClr w14:val="tx1"/>
            </w14:solidFill>
          </w14:textFill>
        </w:rPr>
        <w:t xml:space="preserve">) </w:t>
      </w:r>
      <w:r>
        <w:rPr>
          <w:rFonts w:hint="eastAsia" w:ascii="宋体" w:hAnsi="宋体" w:eastAsia="宋体" w:cs="宋体"/>
          <w:b w:val="0"/>
          <w:bCs w:val="0"/>
          <w:color w:val="000000" w:themeColor="text1"/>
          <w:spacing w:val="-3"/>
          <w:sz w:val="24"/>
          <w:highlight w:val="none"/>
          <w:lang w:eastAsia="zh-CN"/>
          <w14:textFill>
            <w14:solidFill>
              <w14:schemeClr w14:val="tx1"/>
            </w14:solidFill>
          </w14:textFill>
        </w:rPr>
        <w:t>供应商“信用中国”</w:t>
      </w:r>
      <w:r>
        <w:rPr>
          <w:rFonts w:hint="eastAsia" w:ascii="宋体" w:hAnsi="宋体" w:eastAsia="宋体" w:cs="宋体"/>
          <w:b w:val="0"/>
          <w:bCs w:val="0"/>
          <w:color w:val="000000" w:themeColor="text1"/>
          <w:spacing w:val="-3"/>
          <w:sz w:val="24"/>
          <w:highlight w:val="none"/>
          <w:lang w:val="en-US" w:eastAsia="zh-CN"/>
          <w14:textFill>
            <w14:solidFill>
              <w14:schemeClr w14:val="tx1"/>
            </w14:solidFill>
          </w14:textFill>
        </w:rPr>
        <w:t>的信用信息报告和国家企业信用信息公示报告及中国政府采购网截图</w:t>
      </w:r>
    </w:p>
    <w:p>
      <w:pPr>
        <w:pStyle w:val="21"/>
        <w:spacing w:line="360" w:lineRule="auto"/>
        <w:ind w:firstLine="473"/>
        <w:rPr>
          <w:rFonts w:hint="eastAsia" w:ascii="宋体" w:hAnsi="宋体" w:eastAsia="宋体" w:cs="宋体"/>
          <w:b w:val="0"/>
          <w:bCs w:val="0"/>
          <w:color w:val="000000" w:themeColor="text1"/>
          <w:spacing w:val="-3"/>
          <w:sz w:val="24"/>
          <w:highlight w:val="none"/>
          <w14:textFill>
            <w14:solidFill>
              <w14:schemeClr w14:val="tx1"/>
            </w14:solidFill>
          </w14:textFill>
        </w:rPr>
      </w:pPr>
      <w:r>
        <w:rPr>
          <w:rFonts w:hint="eastAsia" w:ascii="宋体" w:hAnsi="宋体" w:eastAsia="宋体" w:cs="宋体"/>
          <w:b w:val="0"/>
          <w:bCs w:val="0"/>
          <w:color w:val="000000" w:themeColor="text1"/>
          <w:spacing w:val="-3"/>
          <w:sz w:val="24"/>
          <w:highlight w:val="none"/>
          <w14:textFill>
            <w14:solidFill>
              <w14:schemeClr w14:val="tx1"/>
            </w14:solidFill>
          </w14:textFill>
        </w:rPr>
        <w:t>(</w:t>
      </w:r>
      <w:r>
        <w:rPr>
          <w:rFonts w:hint="eastAsia" w:ascii="宋体" w:hAnsi="宋体" w:eastAsia="宋体" w:cs="宋体"/>
          <w:b w:val="0"/>
          <w:bCs w:val="0"/>
          <w:color w:val="000000" w:themeColor="text1"/>
          <w:spacing w:val="-3"/>
          <w:sz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spacing w:val="-3"/>
          <w:sz w:val="24"/>
          <w:highlight w:val="none"/>
          <w14:textFill>
            <w14:solidFill>
              <w14:schemeClr w14:val="tx1"/>
            </w14:solidFill>
          </w14:textFill>
        </w:rPr>
        <w:t>) 投标人认为有必要提供的声明及文件资料</w:t>
      </w:r>
    </w:p>
    <w:p>
      <w:pPr>
        <w:pStyle w:val="20"/>
        <w:spacing w:line="360" w:lineRule="auto"/>
        <w:ind w:firstLine="567"/>
        <w:jc w:val="both"/>
        <w:outlineLvl w:val="2"/>
        <w:rPr>
          <w:rFonts w:hint="eastAsia" w:ascii="宋体" w:hAnsi="宋体" w:cs="宋体"/>
          <w:b w:val="0"/>
          <w:bCs w:val="0"/>
          <w:color w:val="000000" w:themeColor="text1"/>
          <w:szCs w:val="24"/>
          <w:highlight w:val="none"/>
          <w14:textFill>
            <w14:solidFill>
              <w14:schemeClr w14:val="tx1"/>
            </w14:solidFill>
          </w14:textFill>
        </w:rPr>
      </w:pPr>
      <w:r>
        <w:rPr>
          <w:rFonts w:hint="eastAsia" w:ascii="宋体" w:hAnsi="宋体" w:cs="宋体"/>
          <w:b w:val="0"/>
          <w:bCs w:val="0"/>
          <w:color w:val="000000" w:themeColor="text1"/>
          <w:szCs w:val="24"/>
          <w:highlight w:val="none"/>
          <w14:textFill>
            <w14:solidFill>
              <w14:schemeClr w14:val="tx1"/>
            </w14:solidFill>
          </w14:textFill>
        </w:rPr>
        <w:t>9.1.3 技术文件</w:t>
      </w:r>
    </w:p>
    <w:p>
      <w:pPr>
        <w:pStyle w:val="20"/>
        <w:spacing w:line="360" w:lineRule="auto"/>
        <w:ind w:firstLine="482" w:firstLineChars="200"/>
        <w:jc w:val="both"/>
        <w:rPr>
          <w:rFonts w:hint="eastAsia" w:ascii="宋体" w:hAnsi="宋体" w:eastAsia="宋体" w:cs="宋体"/>
          <w:b w:val="0"/>
          <w:bCs w:val="0"/>
          <w:color w:val="000000" w:themeColor="text1"/>
          <w:szCs w:val="24"/>
          <w:highlight w:val="none"/>
          <w:lang w:eastAsia="zh-CN"/>
          <w14:textFill>
            <w14:solidFill>
              <w14:schemeClr w14:val="tx1"/>
            </w14:solidFill>
          </w14:textFill>
        </w:rPr>
      </w:pPr>
      <w:r>
        <w:rPr>
          <w:rFonts w:hint="eastAsia" w:ascii="宋体" w:hAnsi="宋体" w:cs="宋体"/>
          <w:b w:val="0"/>
          <w:bCs w:val="0"/>
          <w:color w:val="000000" w:themeColor="text1"/>
          <w:szCs w:val="24"/>
          <w:highlight w:val="none"/>
          <w14:textFill>
            <w14:solidFill>
              <w14:schemeClr w14:val="tx1"/>
            </w14:solidFill>
          </w14:textFill>
        </w:rPr>
        <w:t>(</w:t>
      </w:r>
      <w:r>
        <w:rPr>
          <w:rFonts w:hint="eastAsia" w:ascii="宋体" w:hAnsi="宋体" w:cs="宋体"/>
          <w:b w:val="0"/>
          <w:bCs w:val="0"/>
          <w:color w:val="000000" w:themeColor="text1"/>
          <w:szCs w:val="24"/>
          <w:highlight w:val="none"/>
          <w:lang w:val="en-US" w:eastAsia="zh-CN"/>
          <w14:textFill>
            <w14:solidFill>
              <w14:schemeClr w14:val="tx1"/>
            </w14:solidFill>
          </w14:textFill>
        </w:rPr>
        <w:t>1</w:t>
      </w:r>
      <w:r>
        <w:rPr>
          <w:rFonts w:hint="eastAsia" w:ascii="宋体" w:hAnsi="宋体" w:cs="宋体"/>
          <w:b w:val="0"/>
          <w:bCs w:val="0"/>
          <w:color w:val="000000" w:themeColor="text1"/>
          <w:szCs w:val="24"/>
          <w:highlight w:val="none"/>
          <w14:textFill>
            <w14:solidFill>
              <w14:schemeClr w14:val="tx1"/>
            </w14:solidFill>
          </w14:textFill>
        </w:rPr>
        <w:t xml:space="preserve">) </w:t>
      </w:r>
      <w:r>
        <w:rPr>
          <w:rFonts w:hint="eastAsia" w:ascii="宋体" w:hAnsi="宋体" w:cs="宋体"/>
          <w:b w:val="0"/>
          <w:bCs w:val="0"/>
          <w:color w:val="000000" w:themeColor="text1"/>
          <w:szCs w:val="24"/>
          <w:highlight w:val="none"/>
          <w:lang w:val="en-US" w:eastAsia="zh-CN"/>
          <w14:textFill>
            <w14:solidFill>
              <w14:schemeClr w14:val="tx1"/>
            </w14:solidFill>
          </w14:textFill>
        </w:rPr>
        <w:t>供货实施方案</w:t>
      </w:r>
    </w:p>
    <w:p>
      <w:pPr>
        <w:pStyle w:val="20"/>
        <w:spacing w:line="360" w:lineRule="auto"/>
        <w:ind w:firstLine="482" w:firstLineChars="200"/>
        <w:jc w:val="both"/>
        <w:rPr>
          <w:rFonts w:hint="eastAsia" w:ascii="宋体" w:hAnsi="宋体" w:eastAsia="宋体" w:cs="宋体"/>
          <w:b w:val="0"/>
          <w:bCs w:val="0"/>
          <w:color w:val="000000" w:themeColor="text1"/>
          <w:szCs w:val="24"/>
          <w:highlight w:val="none"/>
          <w:lang w:eastAsia="zh-CN"/>
          <w14:textFill>
            <w14:solidFill>
              <w14:schemeClr w14:val="tx1"/>
            </w14:solidFill>
          </w14:textFill>
        </w:rPr>
      </w:pPr>
      <w:r>
        <w:rPr>
          <w:rFonts w:hint="eastAsia" w:ascii="宋体" w:hAnsi="宋体" w:cs="宋体"/>
          <w:b w:val="0"/>
          <w:bCs w:val="0"/>
          <w:color w:val="000000" w:themeColor="text1"/>
          <w:szCs w:val="24"/>
          <w:highlight w:val="none"/>
          <w14:textFill>
            <w14:solidFill>
              <w14:schemeClr w14:val="tx1"/>
            </w14:solidFill>
          </w14:textFill>
        </w:rPr>
        <w:t>(</w:t>
      </w:r>
      <w:r>
        <w:rPr>
          <w:rFonts w:hint="eastAsia" w:ascii="宋体" w:hAnsi="宋体" w:cs="宋体"/>
          <w:b w:val="0"/>
          <w:bCs w:val="0"/>
          <w:color w:val="000000" w:themeColor="text1"/>
          <w:szCs w:val="24"/>
          <w:highlight w:val="none"/>
          <w:lang w:val="en-US" w:eastAsia="zh-CN"/>
          <w14:textFill>
            <w14:solidFill>
              <w14:schemeClr w14:val="tx1"/>
            </w14:solidFill>
          </w14:textFill>
        </w:rPr>
        <w:t>2</w:t>
      </w:r>
      <w:r>
        <w:rPr>
          <w:rFonts w:hint="eastAsia" w:ascii="宋体" w:hAnsi="宋体" w:cs="宋体"/>
          <w:b w:val="0"/>
          <w:bCs w:val="0"/>
          <w:color w:val="000000" w:themeColor="text1"/>
          <w:szCs w:val="24"/>
          <w:highlight w:val="none"/>
          <w14:textFill>
            <w14:solidFill>
              <w14:schemeClr w14:val="tx1"/>
            </w14:solidFill>
          </w14:textFill>
        </w:rPr>
        <w:t xml:space="preserve">) </w:t>
      </w:r>
      <w:r>
        <w:rPr>
          <w:rFonts w:hint="eastAsia" w:ascii="宋体" w:hAnsi="宋体" w:cs="宋体"/>
          <w:b w:val="0"/>
          <w:bCs w:val="0"/>
          <w:color w:val="000000" w:themeColor="text1"/>
          <w:szCs w:val="24"/>
          <w:highlight w:val="none"/>
          <w:lang w:eastAsia="zh-CN"/>
          <w14:textFill>
            <w14:solidFill>
              <w14:schemeClr w14:val="tx1"/>
            </w14:solidFill>
          </w14:textFill>
        </w:rPr>
        <w:t>货物的技术指标</w:t>
      </w:r>
    </w:p>
    <w:p>
      <w:pPr>
        <w:pStyle w:val="20"/>
        <w:spacing w:line="360" w:lineRule="auto"/>
        <w:ind w:firstLine="482" w:firstLineChars="200"/>
        <w:jc w:val="both"/>
        <w:rPr>
          <w:rFonts w:hint="eastAsia" w:ascii="宋体" w:hAnsi="宋体" w:cs="宋体"/>
          <w:b w:val="0"/>
          <w:bCs w:val="0"/>
          <w:color w:val="000000" w:themeColor="text1"/>
          <w:szCs w:val="24"/>
          <w:highlight w:val="none"/>
          <w14:textFill>
            <w14:solidFill>
              <w14:schemeClr w14:val="tx1"/>
            </w14:solidFill>
          </w14:textFill>
        </w:rPr>
      </w:pPr>
      <w:r>
        <w:rPr>
          <w:rFonts w:hint="eastAsia" w:ascii="宋体" w:hAnsi="宋体" w:cs="宋体"/>
          <w:b w:val="0"/>
          <w:bCs w:val="0"/>
          <w:color w:val="000000" w:themeColor="text1"/>
          <w:szCs w:val="24"/>
          <w:highlight w:val="none"/>
          <w14:textFill>
            <w14:solidFill>
              <w14:schemeClr w14:val="tx1"/>
            </w14:solidFill>
          </w14:textFill>
        </w:rPr>
        <w:t>(</w:t>
      </w:r>
      <w:r>
        <w:rPr>
          <w:rFonts w:hint="eastAsia" w:ascii="宋体" w:hAnsi="宋体" w:cs="宋体"/>
          <w:b w:val="0"/>
          <w:bCs w:val="0"/>
          <w:color w:val="000000" w:themeColor="text1"/>
          <w:szCs w:val="24"/>
          <w:highlight w:val="none"/>
          <w:lang w:val="en-US" w:eastAsia="zh-CN"/>
          <w14:textFill>
            <w14:solidFill>
              <w14:schemeClr w14:val="tx1"/>
            </w14:solidFill>
          </w14:textFill>
        </w:rPr>
        <w:t>3</w:t>
      </w:r>
      <w:r>
        <w:rPr>
          <w:rFonts w:hint="eastAsia" w:ascii="宋体" w:hAnsi="宋体" w:cs="宋体"/>
          <w:b w:val="0"/>
          <w:bCs w:val="0"/>
          <w:color w:val="000000" w:themeColor="text1"/>
          <w:szCs w:val="24"/>
          <w:highlight w:val="none"/>
          <w14:textFill>
            <w14:solidFill>
              <w14:schemeClr w14:val="tx1"/>
            </w14:solidFill>
          </w14:textFill>
        </w:rPr>
        <w:t>) 投标人认为有必要提供的声明及文件资料</w:t>
      </w:r>
    </w:p>
    <w:p>
      <w:pPr>
        <w:pStyle w:val="20"/>
        <w:spacing w:line="360" w:lineRule="auto"/>
        <w:ind w:firstLine="482" w:firstLineChars="200"/>
        <w:jc w:val="both"/>
        <w:outlineLvl w:val="2"/>
        <w:rPr>
          <w:rFonts w:hint="eastAsia" w:ascii="宋体" w:hAnsi="宋体" w:cs="宋体"/>
          <w:b w:val="0"/>
          <w:bCs w:val="0"/>
          <w:color w:val="000000" w:themeColor="text1"/>
          <w:szCs w:val="24"/>
          <w:highlight w:val="none"/>
          <w:lang w:val="en-US" w:eastAsia="zh-CN"/>
          <w14:textFill>
            <w14:solidFill>
              <w14:schemeClr w14:val="tx1"/>
            </w14:solidFill>
          </w14:textFill>
        </w:rPr>
      </w:pPr>
      <w:r>
        <w:rPr>
          <w:rFonts w:hint="eastAsia" w:ascii="宋体" w:hAnsi="宋体" w:cs="宋体"/>
          <w:b w:val="0"/>
          <w:bCs w:val="0"/>
          <w:color w:val="000000" w:themeColor="text1"/>
          <w:szCs w:val="24"/>
          <w:highlight w:val="none"/>
          <w:lang w:val="en-US" w:eastAsia="zh-CN"/>
          <w14:textFill>
            <w14:solidFill>
              <w14:schemeClr w14:val="tx1"/>
            </w14:solidFill>
          </w14:textFill>
        </w:rPr>
        <w:t>9.1.4 电子标书</w:t>
      </w:r>
    </w:p>
    <w:p>
      <w:pPr>
        <w:pStyle w:val="20"/>
        <w:spacing w:line="360" w:lineRule="auto"/>
        <w:ind w:firstLine="482" w:firstLineChars="200"/>
        <w:jc w:val="both"/>
        <w:outlineLvl w:val="2"/>
        <w:rPr>
          <w:rFonts w:hint="eastAsia" w:ascii="宋体" w:hAnsi="宋体" w:cs="宋体"/>
          <w:b w:val="0"/>
          <w:bCs w:val="0"/>
          <w:color w:val="000000" w:themeColor="text1"/>
          <w:szCs w:val="24"/>
          <w:highlight w:val="none"/>
          <w:lang w:val="en-US" w:eastAsia="zh-CN"/>
          <w14:textFill>
            <w14:solidFill>
              <w14:schemeClr w14:val="tx1"/>
            </w14:solidFill>
          </w14:textFill>
        </w:rPr>
      </w:pPr>
      <w:r>
        <w:rPr>
          <w:rFonts w:hint="eastAsia" w:ascii="宋体" w:hAnsi="宋体" w:cs="宋体"/>
          <w:b w:val="0"/>
          <w:bCs w:val="0"/>
          <w:color w:val="000000" w:themeColor="text1"/>
          <w:szCs w:val="24"/>
          <w:highlight w:val="none"/>
          <w:lang w:val="en-US" w:eastAsia="zh-CN"/>
          <w14:textFill>
            <w14:solidFill>
              <w14:schemeClr w14:val="tx1"/>
            </w14:solidFill>
          </w14:textFill>
        </w:rPr>
        <w:t>本项目实行电子招投标，供应商需要使用CA锁，在新疆政府采购网--下载专区下载--供应商客户端制作投标文件，并生成JMBS格式加密文件，在投标截止前上传至政府采购云平台。</w:t>
      </w:r>
    </w:p>
    <w:p>
      <w:pPr>
        <w:pStyle w:val="20"/>
        <w:keepLines w:val="0"/>
        <w:kinsoku/>
        <w:wordWrap/>
        <w:overflowPunct/>
        <w:bidi w:val="0"/>
        <w:spacing w:line="360" w:lineRule="auto"/>
        <w:ind w:firstLine="525"/>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Cs w:val="24"/>
          <w:highlight w:val="none"/>
          <w14:textFill>
            <w14:solidFill>
              <w14:schemeClr w14:val="tx1"/>
            </w14:solidFill>
          </w14:textFill>
        </w:rPr>
        <w:t>9.</w:t>
      </w:r>
      <w:r>
        <w:rPr>
          <w:rFonts w:hint="eastAsia" w:ascii="宋体" w:hAnsi="宋体" w:cs="宋体"/>
          <w:b w:val="0"/>
          <w:bCs w:val="0"/>
          <w:color w:val="000000" w:themeColor="text1"/>
          <w:szCs w:val="24"/>
          <w:highlight w:val="none"/>
          <w:lang w:val="en-US" w:eastAsia="zh-CN"/>
          <w14:textFill>
            <w14:solidFill>
              <w14:schemeClr w14:val="tx1"/>
            </w14:solidFill>
          </w14:textFill>
        </w:rPr>
        <w:t>2</w:t>
      </w:r>
      <w:r>
        <w:rPr>
          <w:rFonts w:hint="eastAsia" w:ascii="宋体" w:hAnsi="宋体" w:cs="宋体"/>
          <w:b w:val="0"/>
          <w:bCs w:val="0"/>
          <w:color w:val="000000" w:themeColor="text1"/>
          <w:szCs w:val="24"/>
          <w:highlight w:val="none"/>
          <w14:textFill>
            <w14:solidFill>
              <w14:schemeClr w14:val="tx1"/>
            </w14:solidFill>
          </w14:textFill>
        </w:rPr>
        <w:t>投标人在投标中违反国家有关法律法规的强制性规定的，其投标按未满足招标文件实质性要求处理。</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  投标书格式</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10.1  投标人应按招标文件提供的格式完整地填写所提供的货物、服务、数量及价格。</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  投标报价</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  投标人应按招标文件所附的《开标一览表》和《投标产品名称、数量、规格及报价明细表》中的项目，标明拟提供货物和服务的单价和总价。如单价和总价不符，以单价累计为准。</w:t>
      </w:r>
    </w:p>
    <w:p>
      <w:pPr>
        <w:pStyle w:val="20"/>
        <w:keepLines w:val="0"/>
        <w:kinsoku/>
        <w:wordWrap/>
        <w:overflowPunct/>
        <w:bidi w:val="0"/>
        <w:spacing w:line="360" w:lineRule="auto"/>
        <w:ind w:firstLine="567"/>
        <w:jc w:val="both"/>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11.2 本标针对每种货物只接受一个报价，不接受备选方案，但不拒绝优惠声明。</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11.3  投标人应按招标文件的要求对有关设计</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、货物及其配套服务的全部内容进行报价。投标报价应包括：</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11.3.1  外购、外协、配套件、原材料及功能设计生产制造、检验、油漆、包装、保险、利税、管理、运杂、安装调试、人员培训等费用。</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11.3.2  招标文件中特别要求的零</w:t>
      </w:r>
      <w:r>
        <w:rPr>
          <w:rFonts w:hint="eastAsia" w:ascii="宋体" w:hAnsi="宋体" w:eastAsia="宋体" w:cs="宋体"/>
          <w:color w:val="000000" w:themeColor="text1"/>
          <w:sz w:val="24"/>
          <w:szCs w:val="24"/>
          <w:highlight w:val="none"/>
          <w:lang w:eastAsia="zh-CN"/>
          <w14:textFill>
            <w14:solidFill>
              <w14:schemeClr w14:val="tx1"/>
            </w14:solidFill>
          </w14:textFill>
        </w:rPr>
        <w:t>件</w:t>
      </w:r>
      <w:r>
        <w:rPr>
          <w:rFonts w:hint="eastAsia" w:ascii="宋体" w:hAnsi="宋体" w:eastAsia="宋体" w:cs="宋体"/>
          <w:color w:val="000000" w:themeColor="text1"/>
          <w:sz w:val="24"/>
          <w:szCs w:val="24"/>
          <w:highlight w:val="none"/>
          <w14:textFill>
            <w14:solidFill>
              <w14:schemeClr w14:val="tx1"/>
            </w14:solidFill>
          </w14:textFill>
        </w:rPr>
        <w:t>、备</w:t>
      </w:r>
      <w:r>
        <w:rPr>
          <w:rFonts w:hint="eastAsia" w:ascii="宋体" w:hAnsi="宋体" w:eastAsia="宋体" w:cs="宋体"/>
          <w:color w:val="000000" w:themeColor="text1"/>
          <w:sz w:val="24"/>
          <w:szCs w:val="24"/>
          <w:highlight w:val="none"/>
          <w:lang w:eastAsia="zh-CN"/>
          <w14:textFill>
            <w14:solidFill>
              <w14:schemeClr w14:val="tx1"/>
            </w14:solidFill>
          </w14:textFill>
        </w:rPr>
        <w:t>品备</w:t>
      </w:r>
      <w:r>
        <w:rPr>
          <w:rFonts w:hint="eastAsia" w:ascii="宋体" w:hAnsi="宋体" w:eastAsia="宋体" w:cs="宋体"/>
          <w:color w:val="000000" w:themeColor="text1"/>
          <w:sz w:val="24"/>
          <w:szCs w:val="24"/>
          <w:highlight w:val="none"/>
          <w14:textFill>
            <w14:solidFill>
              <w14:schemeClr w14:val="tx1"/>
            </w14:solidFill>
          </w14:textFill>
        </w:rPr>
        <w:t>件</w:t>
      </w:r>
      <w:r>
        <w:rPr>
          <w:rFonts w:hint="eastAsia" w:ascii="宋体" w:hAnsi="宋体" w:eastAsia="宋体" w:cs="宋体"/>
          <w:color w:val="000000" w:themeColor="text1"/>
          <w:sz w:val="24"/>
          <w:szCs w:val="24"/>
          <w:highlight w:val="none"/>
          <w:lang w:eastAsia="zh-CN"/>
          <w14:textFill>
            <w14:solidFill>
              <w14:schemeClr w14:val="tx1"/>
            </w14:solidFill>
          </w14:textFill>
        </w:rPr>
        <w:t>等</w:t>
      </w:r>
      <w:r>
        <w:rPr>
          <w:rFonts w:hint="eastAsia" w:ascii="宋体" w:hAnsi="宋体" w:eastAsia="宋体" w:cs="宋体"/>
          <w:color w:val="000000" w:themeColor="text1"/>
          <w:sz w:val="24"/>
          <w:szCs w:val="24"/>
          <w:highlight w:val="none"/>
          <w14:textFill>
            <w14:solidFill>
              <w14:schemeClr w14:val="tx1"/>
            </w14:solidFill>
          </w14:textFill>
        </w:rPr>
        <w:t>费用。</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11.3.3  分项报价明细表中特别要求的安装、调试、运输及培训</w:t>
      </w:r>
      <w:r>
        <w:rPr>
          <w:rFonts w:hint="eastAsia" w:ascii="宋体" w:hAnsi="宋体" w:eastAsia="宋体" w:cs="宋体"/>
          <w:color w:val="000000" w:themeColor="text1"/>
          <w:sz w:val="24"/>
          <w:szCs w:val="24"/>
          <w:highlight w:val="none"/>
          <w:lang w:eastAsia="zh-CN"/>
          <w14:textFill>
            <w14:solidFill>
              <w14:schemeClr w14:val="tx1"/>
            </w14:solidFill>
          </w14:textFill>
        </w:rPr>
        <w:t>等</w:t>
      </w:r>
      <w:r>
        <w:rPr>
          <w:rFonts w:hint="eastAsia" w:ascii="宋体" w:hAnsi="宋体" w:eastAsia="宋体" w:cs="宋体"/>
          <w:color w:val="000000" w:themeColor="text1"/>
          <w:sz w:val="24"/>
          <w:szCs w:val="24"/>
          <w:highlight w:val="none"/>
          <w14:textFill>
            <w14:solidFill>
              <w14:schemeClr w14:val="tx1"/>
            </w14:solidFill>
          </w14:textFill>
        </w:rPr>
        <w:t>费用。</w:t>
      </w:r>
    </w:p>
    <w:p>
      <w:pPr>
        <w:pStyle w:val="20"/>
        <w:keepLines w:val="0"/>
        <w:kinsoku/>
        <w:wordWrap/>
        <w:overflowPunct/>
        <w:bidi w:val="0"/>
        <w:spacing w:line="360" w:lineRule="auto"/>
        <w:ind w:firstLine="567"/>
        <w:jc w:val="both"/>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12.   投标货币</w:t>
      </w:r>
    </w:p>
    <w:p>
      <w:pPr>
        <w:pStyle w:val="20"/>
        <w:keepLines w:val="0"/>
        <w:kinsoku/>
        <w:wordWrap/>
        <w:overflowPunct/>
        <w:bidi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 本次投标货币为人民币。</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  证明投标人合格和资格的文件</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 投标人应提交证明其有资格参加投标和一旦其投标被接受则有能力履行合同的文件，并作为其投标文件的一部分。</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13.2 投标人应填写并提交招标文件所要求的资格证明类文件。</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  证明货物的合格性和符合招标文件规定的文件</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14.1 投标人应提交招标文件要求的货物及其服务的合格性及符合招标文件规定的证明文件。证明文件可以是手册、图纸和资料</w:t>
      </w:r>
      <w:r>
        <w:rPr>
          <w:rFonts w:hint="eastAsia" w:ascii="宋体" w:hAnsi="宋体" w:eastAsia="宋体" w:cs="宋体"/>
          <w:color w:val="000000" w:themeColor="text1"/>
          <w:sz w:val="24"/>
          <w:szCs w:val="24"/>
          <w:highlight w:val="none"/>
          <w:lang w:eastAsia="zh-CN"/>
          <w14:textFill>
            <w14:solidFill>
              <w14:schemeClr w14:val="tx1"/>
            </w14:solidFill>
          </w14:textFill>
        </w:rPr>
        <w:t>等</w:t>
      </w:r>
      <w:r>
        <w:rPr>
          <w:rFonts w:hint="eastAsia" w:ascii="宋体" w:hAnsi="宋体" w:eastAsia="宋体" w:cs="宋体"/>
          <w:color w:val="000000" w:themeColor="text1"/>
          <w:sz w:val="24"/>
          <w:szCs w:val="24"/>
          <w:highlight w:val="none"/>
          <w14:textFill>
            <w14:solidFill>
              <w14:schemeClr w14:val="tx1"/>
            </w14:solidFill>
          </w14:textFill>
        </w:rPr>
        <w:t>，并作为投标文件的一部分。</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14.2 投标人应逐条阅读招标文件要求的技术规格条款要求，指出自己提供的货物和服务是否对招标文件做出实质性的响应，</w:t>
      </w:r>
      <w:r>
        <w:rPr>
          <w:rFonts w:hint="eastAsia" w:ascii="宋体" w:hAnsi="宋体" w:eastAsia="宋体" w:cs="宋体"/>
          <w:b/>
          <w:color w:val="000000" w:themeColor="text1"/>
          <w:sz w:val="24"/>
          <w:szCs w:val="24"/>
          <w:highlight w:val="none"/>
          <w14:textFill>
            <w14:solidFill>
              <w14:schemeClr w14:val="tx1"/>
            </w14:solidFill>
          </w14:textFill>
        </w:rPr>
        <w:t>并将不能响应之处在招标文件所附的“技术</w:t>
      </w:r>
      <w:r>
        <w:rPr>
          <w:rFonts w:hint="eastAsia" w:ascii="宋体" w:hAnsi="宋体" w:eastAsia="宋体" w:cs="宋体"/>
          <w:b/>
          <w:color w:val="000000" w:themeColor="text1"/>
          <w:sz w:val="24"/>
          <w:szCs w:val="24"/>
          <w:highlight w:val="none"/>
          <w:lang w:eastAsia="zh-CN"/>
          <w14:textFill>
            <w14:solidFill>
              <w14:schemeClr w14:val="tx1"/>
            </w14:solidFill>
          </w14:textFill>
        </w:rPr>
        <w:t>规格</w:t>
      </w:r>
      <w:r>
        <w:rPr>
          <w:rFonts w:hint="eastAsia" w:ascii="宋体" w:hAnsi="宋体" w:eastAsia="宋体" w:cs="宋体"/>
          <w:b/>
          <w:color w:val="000000" w:themeColor="text1"/>
          <w:sz w:val="24"/>
          <w:szCs w:val="24"/>
          <w:highlight w:val="none"/>
          <w14:textFill>
            <w14:solidFill>
              <w14:schemeClr w14:val="tx1"/>
            </w14:solidFill>
          </w14:textFill>
        </w:rPr>
        <w:t>偏离表”中一一列出。否则，将视为投标人同意、确认或接受招标文件的全部或相应部分的要求。</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14.3  证明货物的合格性和符合招标文件规定的文件应包括</w:t>
      </w:r>
      <w:r>
        <w:rPr>
          <w:rFonts w:hint="eastAsia" w:ascii="宋体" w:hAnsi="宋体" w:eastAsia="宋体" w:cs="宋体"/>
          <w:color w:val="000000" w:themeColor="text1"/>
          <w:sz w:val="24"/>
          <w:szCs w:val="24"/>
          <w:highlight w:val="none"/>
          <w:lang w:val="en-US" w:eastAsia="zh-CN"/>
          <w14:textFill>
            <w14:solidFill>
              <w14:schemeClr w14:val="tx1"/>
            </w14:solidFill>
          </w14:textFill>
        </w:rPr>
        <w:t>但不限于</w:t>
      </w:r>
      <w:r>
        <w:rPr>
          <w:rFonts w:hint="eastAsia" w:ascii="宋体" w:hAnsi="宋体" w:eastAsia="宋体" w:cs="宋体"/>
          <w:color w:val="000000" w:themeColor="text1"/>
          <w:sz w:val="24"/>
          <w:szCs w:val="24"/>
          <w:highlight w:val="none"/>
          <w14:textFill>
            <w14:solidFill>
              <w14:schemeClr w14:val="tx1"/>
            </w14:solidFill>
          </w14:textFill>
        </w:rPr>
        <w:t>下列内容：</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14.3.1  投标货物的试验</w:t>
      </w:r>
      <w:r>
        <w:rPr>
          <w:rFonts w:hint="eastAsia" w:ascii="宋体" w:hAnsi="宋体" w:eastAsia="宋体" w:cs="宋体"/>
          <w:color w:val="000000" w:themeColor="text1"/>
          <w:sz w:val="24"/>
          <w:szCs w:val="24"/>
          <w:highlight w:val="none"/>
          <w:lang w:eastAsia="zh-CN"/>
          <w14:textFill>
            <w14:solidFill>
              <w14:schemeClr w14:val="tx1"/>
            </w14:solidFill>
          </w14:textFill>
        </w:rPr>
        <w:t>检验</w:t>
      </w:r>
      <w:r>
        <w:rPr>
          <w:rFonts w:hint="eastAsia" w:ascii="宋体" w:hAnsi="宋体" w:eastAsia="宋体" w:cs="宋体"/>
          <w:color w:val="000000" w:themeColor="text1"/>
          <w:sz w:val="24"/>
          <w:szCs w:val="24"/>
          <w:highlight w:val="none"/>
          <w14:textFill>
            <w14:solidFill>
              <w14:schemeClr w14:val="tx1"/>
            </w14:solidFill>
          </w14:textFill>
        </w:rPr>
        <w:t>报告、鉴定证书（复印件）；</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14.3.</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 xml:space="preserve">  有关的产品样本、手册、图纸和资料；</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14.3.</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 xml:space="preserve">  投标人认为有必要提供的其它证明文件</w:t>
      </w:r>
      <w:r>
        <w:rPr>
          <w:rFonts w:hint="eastAsia" w:ascii="宋体" w:hAnsi="宋体" w:eastAsia="宋体" w:cs="宋体"/>
          <w:color w:val="000000" w:themeColor="text1"/>
          <w:sz w:val="24"/>
          <w:szCs w:val="24"/>
          <w:highlight w:val="none"/>
          <w:lang w:eastAsia="zh-CN"/>
          <w14:textFill>
            <w14:solidFill>
              <w14:schemeClr w14:val="tx1"/>
            </w14:solidFill>
          </w14:textFill>
        </w:rPr>
        <w:t>（如</w:t>
      </w:r>
      <w:r>
        <w:rPr>
          <w:rFonts w:hint="eastAsia" w:ascii="宋体" w:hAnsi="宋体" w:eastAsia="宋体" w:cs="宋体"/>
          <w:color w:val="000000" w:themeColor="text1"/>
          <w:sz w:val="24"/>
          <w:szCs w:val="24"/>
          <w:highlight w:val="none"/>
          <w14:textFill>
            <w14:solidFill>
              <w14:schemeClr w14:val="tx1"/>
            </w14:solidFill>
          </w14:textFill>
        </w:rPr>
        <w:t>荣获国优、部优、省优荣誉证书</w:t>
      </w:r>
      <w:r>
        <w:rPr>
          <w:rFonts w:hint="eastAsia" w:ascii="宋体" w:hAnsi="宋体" w:eastAsia="宋体" w:cs="宋体"/>
          <w:color w:val="000000" w:themeColor="text1"/>
          <w:sz w:val="24"/>
          <w:szCs w:val="24"/>
          <w:highlight w:val="none"/>
          <w:lang w:eastAsia="zh-CN"/>
          <w14:textFill>
            <w14:solidFill>
              <w14:schemeClr w14:val="tx1"/>
            </w14:solidFill>
          </w14:textFill>
        </w:rPr>
        <w:t>等其他资料）</w:t>
      </w:r>
      <w:r>
        <w:rPr>
          <w:rFonts w:hint="eastAsia" w:ascii="宋体" w:hAnsi="宋体" w:eastAsia="宋体" w:cs="宋体"/>
          <w:color w:val="000000" w:themeColor="text1"/>
          <w:sz w:val="24"/>
          <w:szCs w:val="24"/>
          <w:highlight w:val="none"/>
          <w14:textFill>
            <w14:solidFill>
              <w14:schemeClr w14:val="tx1"/>
            </w14:solidFill>
          </w14:textFill>
        </w:rPr>
        <w:t>；</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  投标文件的有效期</w:t>
      </w:r>
    </w:p>
    <w:p>
      <w:pPr>
        <w:pStyle w:val="20"/>
        <w:keepLines w:val="0"/>
        <w:kinsoku/>
        <w:wordWrap/>
        <w:overflowPunct/>
        <w:bidi w:val="0"/>
        <w:spacing w:line="360" w:lineRule="auto"/>
        <w:ind w:firstLine="567"/>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15.1  投标文件从实际开标之日起</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60</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天内有效。</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15.2  在特殊情况下, 在原投标有效期届满之前，采购代理机构可与投标单位协商延长投标文件的有效期，并经投标方确认。</w:t>
      </w:r>
    </w:p>
    <w:p>
      <w:pPr>
        <w:pStyle w:val="20"/>
        <w:keepLines w:val="0"/>
        <w:kinsoku/>
        <w:wordWrap/>
        <w:overflowPunct/>
        <w:bidi w:val="0"/>
        <w:spacing w:line="360" w:lineRule="auto"/>
        <w:ind w:firstLine="567"/>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15.3 投标人在投标有效期内撤销投标文件的，采购代理机构可以不退还投标保证金。</w:t>
      </w:r>
    </w:p>
    <w:p>
      <w:pPr>
        <w:pStyle w:val="20"/>
        <w:spacing w:line="360" w:lineRule="auto"/>
        <w:ind w:firstLine="567"/>
        <w:jc w:val="both"/>
        <w:rPr>
          <w:rFonts w:hint="eastAsia" w:ascii="宋体" w:hAnsi="宋体" w:eastAsia="宋体" w:cs="宋体"/>
          <w:color w:val="000000" w:themeColor="text1"/>
          <w:szCs w:val="24"/>
          <w:lang w:val="en-US" w:eastAsia="zh-CN"/>
          <w14:textFill>
            <w14:solidFill>
              <w14:schemeClr w14:val="tx1"/>
            </w14:solidFill>
          </w14:textFill>
        </w:rPr>
      </w:pPr>
      <w:r>
        <w:rPr>
          <w:rFonts w:hint="eastAsia" w:ascii="宋体" w:hAnsi="宋体" w:cs="宋体"/>
          <w:color w:val="000000" w:themeColor="text1"/>
          <w:szCs w:val="24"/>
          <w14:textFill>
            <w14:solidFill>
              <w14:schemeClr w14:val="tx1"/>
            </w14:solidFill>
          </w14:textFill>
        </w:rPr>
        <w:t>16.  投标文件的书写要求、标记要求、签署及份数</w:t>
      </w:r>
      <w:r>
        <w:rPr>
          <w:rFonts w:hint="eastAsia" w:ascii="宋体" w:hAnsi="宋体" w:cs="宋体"/>
          <w:color w:val="000000" w:themeColor="text1"/>
          <w:szCs w:val="24"/>
          <w:lang w:eastAsia="zh-CN"/>
          <w14:textFill>
            <w14:solidFill>
              <w14:schemeClr w14:val="tx1"/>
            </w14:solidFill>
          </w14:textFill>
        </w:rPr>
        <w:t>，</w:t>
      </w:r>
      <w:r>
        <w:rPr>
          <w:rFonts w:hint="eastAsia" w:ascii="宋体" w:hAnsi="宋体" w:cs="宋体"/>
          <w:color w:val="000000" w:themeColor="text1"/>
          <w:szCs w:val="24"/>
          <w:lang w:val="en-US" w:eastAsia="zh-CN"/>
          <w14:textFill>
            <w14:solidFill>
              <w14:schemeClr w14:val="tx1"/>
            </w14:solidFill>
          </w14:textFill>
        </w:rPr>
        <w:t>未按要求编制，</w:t>
      </w:r>
      <w:r>
        <w:rPr>
          <w:rFonts w:hint="eastAsia" w:ascii="宋体" w:hAnsi="宋体" w:cs="宋体"/>
          <w:color w:val="000000" w:themeColor="text1"/>
          <w:szCs w:val="24"/>
          <w14:textFill>
            <w14:solidFill>
              <w14:schemeClr w14:val="tx1"/>
            </w14:solidFill>
          </w14:textFill>
        </w:rPr>
        <w:t>投标文件将不能通过符合性检查，按重大偏离处理</w:t>
      </w:r>
      <w:r>
        <w:rPr>
          <w:rFonts w:hint="eastAsia" w:ascii="宋体" w:hAnsi="宋体" w:cs="宋体"/>
          <w:color w:val="000000" w:themeColor="text1"/>
          <w:szCs w:val="24"/>
          <w:lang w:eastAsia="zh-CN"/>
          <w14:textFill>
            <w14:solidFill>
              <w14:schemeClr w14:val="tx1"/>
            </w14:solidFill>
          </w14:textFill>
        </w:rPr>
        <w:t>。</w:t>
      </w:r>
    </w:p>
    <w:p>
      <w:pPr>
        <w:spacing w:line="360" w:lineRule="auto"/>
        <w:ind w:firstLine="56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  投标文件的书写应清楚工整，修改处应由法定代表人或投标人授权代表</w:t>
      </w:r>
      <w:r>
        <w:rPr>
          <w:rFonts w:hint="eastAsia" w:ascii="宋体" w:hAnsi="宋体" w:cs="宋体"/>
          <w:color w:val="000000" w:themeColor="text1"/>
          <w:sz w:val="24"/>
          <w:lang w:val="en-US" w:eastAsia="zh-CN"/>
          <w14:textFill>
            <w14:solidFill>
              <w14:schemeClr w14:val="tx1"/>
            </w14:solidFill>
          </w14:textFill>
        </w:rPr>
        <w:t>签章</w:t>
      </w:r>
      <w:r>
        <w:rPr>
          <w:rFonts w:hint="eastAsia" w:ascii="宋体" w:hAnsi="宋体" w:cs="宋体"/>
          <w:color w:val="000000" w:themeColor="text1"/>
          <w:sz w:val="24"/>
          <w14:textFill>
            <w14:solidFill>
              <w14:schemeClr w14:val="tx1"/>
            </w14:solidFill>
          </w14:textFill>
        </w:rPr>
        <w:t>。</w:t>
      </w:r>
    </w:p>
    <w:p>
      <w:pPr>
        <w:pStyle w:val="20"/>
        <w:spacing w:line="360" w:lineRule="auto"/>
        <w:ind w:firstLine="567"/>
        <w:jc w:val="both"/>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16.3  未实质性响应招标文件、或者关键字迹潦草、关键内容表达不清、或者未按要求填写</w:t>
      </w:r>
      <w:r>
        <w:rPr>
          <w:rFonts w:hint="eastAsia" w:ascii="宋体" w:hAnsi="宋体" w:cs="宋体"/>
          <w:color w:val="000000" w:themeColor="text1"/>
          <w:szCs w:val="24"/>
          <w:lang w:val="en-US" w:eastAsia="zh-CN"/>
          <w14:textFill>
            <w14:solidFill>
              <w14:schemeClr w14:val="tx1"/>
            </w14:solidFill>
          </w14:textFill>
        </w:rPr>
        <w:t>编制</w:t>
      </w:r>
      <w:r>
        <w:rPr>
          <w:rFonts w:hint="eastAsia" w:ascii="宋体" w:hAnsi="宋体" w:cs="宋体"/>
          <w:color w:val="000000" w:themeColor="text1"/>
          <w:szCs w:val="24"/>
          <w14:textFill>
            <w14:solidFill>
              <w14:schemeClr w14:val="tx1"/>
            </w14:solidFill>
          </w14:textFill>
        </w:rPr>
        <w:t>、或者可能导致非唯一理解的投标文件</w:t>
      </w:r>
      <w:r>
        <w:rPr>
          <w:rFonts w:hint="eastAsia" w:ascii="宋体" w:hAnsi="宋体" w:cs="宋体"/>
          <w:color w:val="000000" w:themeColor="text1"/>
          <w:szCs w:val="24"/>
          <w:lang w:val="en-US" w:eastAsia="zh-CN"/>
          <w14:textFill>
            <w14:solidFill>
              <w14:schemeClr w14:val="tx1"/>
            </w14:solidFill>
          </w14:textFill>
        </w:rPr>
        <w:t>将被拒绝</w:t>
      </w:r>
      <w:r>
        <w:rPr>
          <w:rFonts w:hint="eastAsia" w:ascii="宋体" w:hAnsi="宋体" w:cs="宋体"/>
          <w:color w:val="000000" w:themeColor="text1"/>
          <w:szCs w:val="24"/>
          <w14:textFill>
            <w14:solidFill>
              <w14:schemeClr w14:val="tx1"/>
            </w14:solidFill>
          </w14:textFill>
        </w:rPr>
        <w:t>。</w:t>
      </w:r>
    </w:p>
    <w:p>
      <w:pPr>
        <w:pStyle w:val="20"/>
        <w:spacing w:line="360" w:lineRule="auto"/>
        <w:ind w:firstLine="567"/>
        <w:jc w:val="both"/>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 xml:space="preserve">16.4  投标文件具有法律效力,若投标文件与采购清单要求不一致，其内容影响成交结果时，责任由供应商自行承担。 </w:t>
      </w:r>
    </w:p>
    <w:p>
      <w:pPr>
        <w:pStyle w:val="20"/>
        <w:spacing w:line="360" w:lineRule="auto"/>
        <w:ind w:firstLine="567"/>
        <w:jc w:val="both"/>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16.5 为了保证投标文件的合法性、安全性和完整性，</w:t>
      </w:r>
      <w:r>
        <w:rPr>
          <w:rFonts w:hint="eastAsia" w:ascii="宋体" w:hAnsi="宋体" w:cs="宋体"/>
          <w:color w:val="000000" w:themeColor="text1"/>
          <w:szCs w:val="24"/>
          <w:lang w:eastAsia="zh-CN"/>
          <w14:textFill>
            <w14:solidFill>
              <w14:schemeClr w14:val="tx1"/>
            </w14:solidFill>
          </w14:textFill>
        </w:rPr>
        <w:t>投标文件</w:t>
      </w:r>
      <w:r>
        <w:rPr>
          <w:rFonts w:hint="eastAsia" w:ascii="宋体" w:hAnsi="宋体" w:cs="宋体"/>
          <w:color w:val="000000" w:themeColor="text1"/>
          <w:szCs w:val="24"/>
          <w14:textFill>
            <w14:solidFill>
              <w14:schemeClr w14:val="tx1"/>
            </w14:solidFill>
          </w14:textFill>
        </w:rPr>
        <w:t>由供应商逐页</w:t>
      </w:r>
      <w:r>
        <w:rPr>
          <w:rFonts w:hint="eastAsia" w:ascii="宋体" w:hAnsi="宋体" w:cs="宋体"/>
          <w:color w:val="000000" w:themeColor="text1"/>
          <w:szCs w:val="24"/>
          <w:lang w:eastAsia="zh-CN"/>
          <w14:textFill>
            <w14:solidFill>
              <w14:schemeClr w14:val="tx1"/>
            </w14:solidFill>
          </w14:textFill>
        </w:rPr>
        <w:t>加盖单位公章</w:t>
      </w:r>
      <w:r>
        <w:rPr>
          <w:rFonts w:hint="eastAsia" w:ascii="宋体" w:hAnsi="宋体" w:cs="宋体"/>
          <w:color w:val="000000" w:themeColor="text1"/>
          <w:szCs w:val="24"/>
          <w14:textFill>
            <w14:solidFill>
              <w14:schemeClr w14:val="tx1"/>
            </w14:solidFill>
          </w14:textFill>
        </w:rPr>
        <w:t>。授权代表须将 “法人授权书”（原件）附在投标文件中。</w:t>
      </w:r>
    </w:p>
    <w:p>
      <w:pPr>
        <w:pStyle w:val="20"/>
        <w:spacing w:line="360" w:lineRule="auto"/>
        <w:ind w:firstLine="567"/>
        <w:jc w:val="both"/>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16.6 除供应商对错处做必要修改外，投标文件不得行间插字、涂改或增删。如有修改错漏处，必须由投标文件签署人签字或盖章。</w:t>
      </w:r>
    </w:p>
    <w:p>
      <w:pPr>
        <w:pStyle w:val="20"/>
        <w:spacing w:line="360" w:lineRule="auto"/>
        <w:ind w:firstLine="567"/>
        <w:jc w:val="both"/>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16.7  投标文件的份数：详见《投标人须知前附表》。</w:t>
      </w:r>
    </w:p>
    <w:p>
      <w:pPr>
        <w:pStyle w:val="20"/>
        <w:spacing w:line="360" w:lineRule="auto"/>
        <w:ind w:firstLine="567"/>
        <w:jc w:val="both"/>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16.8  投标人可根据投标货物的具体需要自行编制其它文件纳入投标书中。</w:t>
      </w:r>
    </w:p>
    <w:p>
      <w:pPr>
        <w:pStyle w:val="20"/>
        <w:spacing w:line="360" w:lineRule="auto"/>
        <w:ind w:firstLine="567"/>
        <w:jc w:val="both"/>
        <w:rPr>
          <w:rFonts w:hint="eastAsia"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 xml:space="preserve">16.9  </w:t>
      </w:r>
      <w:r>
        <w:rPr>
          <w:rFonts w:hint="eastAsia" w:ascii="宋体" w:hAnsi="宋体" w:cs="宋体"/>
          <w:bCs/>
          <w:color w:val="000000" w:themeColor="text1"/>
          <w:szCs w:val="24"/>
          <w:lang w:val="en-US" w:eastAsia="zh-CN"/>
          <w14:textFill>
            <w14:solidFill>
              <w14:schemeClr w14:val="tx1"/>
            </w14:solidFill>
          </w14:textFill>
        </w:rPr>
        <w:t>纸质版</w:t>
      </w:r>
      <w:r>
        <w:rPr>
          <w:rFonts w:hint="eastAsia" w:ascii="宋体" w:hAnsi="宋体" w:cs="宋体"/>
          <w:bCs/>
          <w:color w:val="000000" w:themeColor="text1"/>
          <w:szCs w:val="24"/>
          <w14:textFill>
            <w14:solidFill>
              <w14:schemeClr w14:val="tx1"/>
            </w14:solidFill>
          </w14:textFill>
        </w:rPr>
        <w:t>投标文件的装订必须采用死页胶粘本，不允许活页形式装订（非胶粘方式装订的投标书一律视同活页装订），活页方式装订视为投标无效。</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  投标保证金</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Style w:val="20"/>
        <w:keepLines w:val="0"/>
        <w:kinsoku/>
        <w:wordWrap/>
        <w:overflowPunct/>
        <w:bidi w:val="0"/>
        <w:spacing w:line="360" w:lineRule="auto"/>
        <w:ind w:firstLine="567"/>
        <w:jc w:val="both"/>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17.1  投标保证金金额：</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详见投标人须知前附表规定。</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  投标保证金用于保护本次招标免受投标人的违规、违约行为而引起的风险。</w:t>
      </w:r>
    </w:p>
    <w:p>
      <w:pPr>
        <w:pStyle w:val="20"/>
        <w:keepLines w:val="0"/>
        <w:kinsoku/>
        <w:wordWrap/>
        <w:overflowPunct/>
        <w:bidi w:val="0"/>
        <w:spacing w:line="360" w:lineRule="auto"/>
        <w:ind w:firstLine="567"/>
        <w:jc w:val="both"/>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17.3  投标保证金应用人民币，由投标人按第</w:t>
      </w:r>
      <w:r>
        <w:rPr>
          <w:rFonts w:hint="eastAsia" w:ascii="宋体" w:hAnsi="宋体" w:eastAsia="宋体" w:cs="宋体"/>
          <w:color w:val="000000" w:themeColor="text1"/>
          <w:sz w:val="24"/>
          <w:szCs w:val="24"/>
          <w:highlight w:val="none"/>
          <w:lang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章《</w:t>
      </w:r>
      <w:r>
        <w:rPr>
          <w:rFonts w:hint="eastAsia" w:ascii="宋体" w:hAnsi="宋体" w:eastAsia="宋体" w:cs="宋体"/>
          <w:color w:val="000000" w:themeColor="text1"/>
          <w:sz w:val="24"/>
          <w:szCs w:val="24"/>
          <w:highlight w:val="none"/>
          <w:lang w:eastAsia="zh-CN"/>
          <w14:textFill>
            <w14:solidFill>
              <w14:schemeClr w14:val="tx1"/>
            </w14:solidFill>
          </w14:textFill>
        </w:rPr>
        <w:t>投标人须知</w:t>
      </w:r>
      <w:r>
        <w:rPr>
          <w:rFonts w:hint="eastAsia" w:ascii="宋体" w:hAnsi="宋体" w:eastAsia="宋体" w:cs="宋体"/>
          <w:color w:val="000000" w:themeColor="text1"/>
          <w:sz w:val="24"/>
          <w:szCs w:val="24"/>
          <w:highlight w:val="none"/>
          <w14:textFill>
            <w14:solidFill>
              <w14:schemeClr w14:val="tx1"/>
            </w14:solidFill>
          </w14:textFill>
        </w:rPr>
        <w:t>》中明确的银行、帐号</w:t>
      </w:r>
      <w:r>
        <w:rPr>
          <w:rFonts w:hint="eastAsia" w:ascii="宋体" w:hAnsi="宋体" w:eastAsia="宋体" w:cs="宋体"/>
          <w:color w:val="000000" w:themeColor="text1"/>
          <w:sz w:val="24"/>
          <w:szCs w:val="24"/>
          <w:highlight w:val="none"/>
          <w:lang w:eastAsia="zh-CN"/>
          <w14:textFill>
            <w14:solidFill>
              <w14:schemeClr w14:val="tx1"/>
            </w14:solidFill>
          </w14:textFill>
        </w:rPr>
        <w:t>等信息</w:t>
      </w:r>
      <w:r>
        <w:rPr>
          <w:rFonts w:hint="eastAsia" w:ascii="宋体" w:hAnsi="宋体" w:eastAsia="宋体" w:cs="宋体"/>
          <w:color w:val="000000" w:themeColor="text1"/>
          <w:sz w:val="24"/>
          <w:szCs w:val="24"/>
          <w:highlight w:val="none"/>
          <w14:textFill>
            <w14:solidFill>
              <w14:schemeClr w14:val="tx1"/>
            </w14:solidFill>
          </w14:textFill>
        </w:rPr>
        <w:t>，于</w:t>
      </w:r>
      <w:r>
        <w:rPr>
          <w:rFonts w:hint="eastAsia" w:ascii="宋体" w:hAnsi="宋体" w:eastAsia="宋体" w:cs="宋体"/>
          <w:color w:val="000000" w:themeColor="text1"/>
          <w:sz w:val="24"/>
          <w:szCs w:val="24"/>
          <w:highlight w:val="none"/>
          <w:lang w:eastAsia="zh-CN"/>
          <w14:textFill>
            <w14:solidFill>
              <w14:schemeClr w14:val="tx1"/>
            </w14:solidFill>
          </w14:textFill>
        </w:rPr>
        <w:t>开标</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前缴纳</w:t>
      </w:r>
      <w:r>
        <w:rPr>
          <w:rFonts w:hint="eastAsia" w:ascii="宋体" w:hAnsi="宋体" w:eastAsia="宋体" w:cs="宋体"/>
          <w:b w:val="0"/>
          <w:bCs w:val="0"/>
          <w:color w:val="000000" w:themeColor="text1"/>
          <w:sz w:val="24"/>
          <w:szCs w:val="24"/>
          <w:highlight w:val="none"/>
          <w14:textFill>
            <w14:solidFill>
              <w14:schemeClr w14:val="tx1"/>
            </w14:solidFill>
          </w14:textFill>
        </w:rPr>
        <w:t>。对未按要求提交投标保证金的投标书，采购代理机构将视为不响应投标而予以拒绝。</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17.4 投标保证金应以</w:t>
      </w:r>
      <w:r>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t>以支票、汇票、本票或者金融机构、担保机构出具的保函等非现金形式提交</w:t>
      </w:r>
      <w:r>
        <w:rPr>
          <w:rFonts w:hint="eastAsia" w:ascii="宋体" w:hAnsi="宋体" w:eastAsia="宋体" w:cs="宋体"/>
          <w:color w:val="000000" w:themeColor="text1"/>
          <w:sz w:val="24"/>
          <w:szCs w:val="24"/>
          <w:highlight w:val="none"/>
          <w14:textFill>
            <w14:solidFill>
              <w14:schemeClr w14:val="tx1"/>
            </w14:solidFill>
          </w14:textFill>
        </w:rPr>
        <w:t>。投标保证金必须从各单位基本账户汇出。</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17.5  中标人的投标保证金自采购合同签定之日起5个工作日内</w:t>
      </w:r>
      <w:r>
        <w:rPr>
          <w:rFonts w:hint="eastAsia" w:ascii="宋体" w:hAnsi="宋体" w:eastAsia="宋体" w:cs="宋体"/>
          <w:color w:val="000000" w:themeColor="text1"/>
          <w:sz w:val="24"/>
          <w:szCs w:val="24"/>
          <w:highlight w:val="none"/>
          <w14:textFill>
            <w14:solidFill>
              <w14:schemeClr w14:val="tx1"/>
            </w14:solidFill>
          </w14:textFill>
        </w:rPr>
        <w:t>不计利息予以退还</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 xml:space="preserve">  未中标人的投标保证金，</w:t>
      </w:r>
      <w:r>
        <w:rPr>
          <w:rFonts w:hint="eastAsia" w:ascii="宋体" w:hAnsi="宋体" w:eastAsia="宋体" w:cs="宋体"/>
          <w:color w:val="000000" w:themeColor="text1"/>
          <w:sz w:val="24"/>
          <w:szCs w:val="24"/>
          <w:highlight w:val="none"/>
          <w:lang w:eastAsia="zh-CN"/>
          <w14:textFill>
            <w14:solidFill>
              <w14:schemeClr w14:val="tx1"/>
            </w14:solidFill>
          </w14:textFill>
        </w:rPr>
        <w:t>自中标通知书发出之日起</w:t>
      </w:r>
      <w:r>
        <w:rPr>
          <w:rFonts w:hint="eastAsia" w:ascii="宋体" w:hAnsi="宋体" w:eastAsia="宋体" w:cs="宋体"/>
          <w:color w:val="000000" w:themeColor="text1"/>
          <w:sz w:val="24"/>
          <w:szCs w:val="24"/>
          <w:highlight w:val="none"/>
          <w:lang w:val="en-US" w:eastAsia="zh-CN"/>
          <w14:textFill>
            <w14:solidFill>
              <w14:schemeClr w14:val="tx1"/>
            </w14:solidFill>
          </w14:textFill>
        </w:rPr>
        <w:t>5个工作日内</w:t>
      </w:r>
      <w:r>
        <w:rPr>
          <w:rFonts w:hint="eastAsia" w:ascii="宋体" w:hAnsi="宋体" w:eastAsia="宋体" w:cs="宋体"/>
          <w:color w:val="000000" w:themeColor="text1"/>
          <w:sz w:val="24"/>
          <w:szCs w:val="24"/>
          <w:highlight w:val="none"/>
          <w14:textFill>
            <w14:solidFill>
              <w14:schemeClr w14:val="tx1"/>
            </w14:solidFill>
          </w14:textFill>
        </w:rPr>
        <w:t>不计利息予以退还。</w:t>
      </w:r>
    </w:p>
    <w:p>
      <w:pPr>
        <w:pStyle w:val="20"/>
        <w:keepLines w:val="0"/>
        <w:kinsoku/>
        <w:wordWrap/>
        <w:overflowPunct/>
        <w:bidi w:val="0"/>
        <w:spacing w:line="360" w:lineRule="auto"/>
        <w:ind w:firstLine="567"/>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17.</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  发生以下情况</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中标人的</w:t>
      </w:r>
      <w:r>
        <w:rPr>
          <w:rFonts w:hint="eastAsia" w:ascii="宋体" w:hAnsi="宋体" w:eastAsia="宋体" w:cs="宋体"/>
          <w:b w:val="0"/>
          <w:bCs w:val="0"/>
          <w:color w:val="000000" w:themeColor="text1"/>
          <w:sz w:val="24"/>
          <w:szCs w:val="24"/>
          <w:highlight w:val="none"/>
          <w14:textFill>
            <w14:solidFill>
              <w14:schemeClr w14:val="tx1"/>
            </w14:solidFill>
          </w14:textFill>
        </w:rPr>
        <w:t>投标保证金可能被没收：</w:t>
      </w:r>
    </w:p>
    <w:p>
      <w:pPr>
        <w:pStyle w:val="21"/>
        <w:keepLines w:val="0"/>
        <w:kinsoku/>
        <w:wordWrap/>
        <w:overflowPunct/>
        <w:bidi w:val="0"/>
        <w:spacing w:line="360" w:lineRule="auto"/>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17.7.1 未</w:t>
      </w:r>
      <w:r>
        <w:rPr>
          <w:rFonts w:hint="eastAsia" w:ascii="宋体" w:hAnsi="宋体" w:eastAsia="宋体" w:cs="宋体"/>
          <w:b w:val="0"/>
          <w:bCs w:val="0"/>
          <w:color w:val="000000" w:themeColor="text1"/>
          <w:sz w:val="24"/>
          <w:szCs w:val="24"/>
          <w:highlight w:val="none"/>
          <w14:textFill>
            <w14:solidFill>
              <w14:schemeClr w14:val="tx1"/>
            </w14:solidFill>
          </w14:textFill>
        </w:rPr>
        <w:t>按2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val="0"/>
          <w:bCs w:val="0"/>
          <w:color w:val="000000" w:themeColor="text1"/>
          <w:sz w:val="24"/>
          <w:szCs w:val="24"/>
          <w:highlight w:val="none"/>
          <w14:textFill>
            <w14:solidFill>
              <w14:schemeClr w14:val="tx1"/>
            </w14:solidFill>
          </w14:textFill>
        </w:rPr>
        <w:t>条规定签定合同；</w:t>
      </w:r>
    </w:p>
    <w:p>
      <w:pPr>
        <w:pStyle w:val="21"/>
        <w:keepLines w:val="0"/>
        <w:kinsoku/>
        <w:wordWrap/>
        <w:overflowPunct/>
        <w:bidi w:val="0"/>
        <w:spacing w:line="360" w:lineRule="auto"/>
        <w:ind w:firstLine="56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17.7.2 未按</w:t>
      </w:r>
      <w:r>
        <w:rPr>
          <w:rFonts w:hint="eastAsia" w:ascii="宋体" w:hAnsi="宋体" w:eastAsia="宋体" w:cs="宋体"/>
          <w:b w:val="0"/>
          <w:bCs w:val="0"/>
          <w:color w:val="000000" w:themeColor="text1"/>
          <w:sz w:val="24"/>
          <w:szCs w:val="24"/>
          <w:highlight w:val="none"/>
          <w14:textFill>
            <w14:solidFill>
              <w14:schemeClr w14:val="tx1"/>
            </w14:solidFill>
          </w14:textFill>
        </w:rPr>
        <w:t>第31条有关缴纳中标服务费的规定；</w:t>
      </w:r>
    </w:p>
    <w:p>
      <w:pPr>
        <w:pStyle w:val="21"/>
        <w:keepLines w:val="0"/>
        <w:kinsoku/>
        <w:wordWrap/>
        <w:overflowPunct/>
        <w:bidi w:val="0"/>
        <w:spacing w:line="360" w:lineRule="auto"/>
        <w:ind w:firstLine="56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17.7.3 未</w:t>
      </w:r>
      <w:r>
        <w:rPr>
          <w:rFonts w:hint="eastAsia" w:ascii="宋体" w:hAnsi="宋体" w:eastAsia="宋体" w:cs="宋体"/>
          <w:b w:val="0"/>
          <w:bCs w:val="0"/>
          <w:color w:val="000000" w:themeColor="text1"/>
          <w:sz w:val="24"/>
          <w:szCs w:val="24"/>
          <w:highlight w:val="none"/>
          <w14:textFill>
            <w14:solidFill>
              <w14:schemeClr w14:val="tx1"/>
            </w14:solidFill>
          </w14:textFill>
        </w:rPr>
        <w:t>按招标文件要求提交合同履约保证金的。</w:t>
      </w:r>
    </w:p>
    <w:p>
      <w:pPr>
        <w:pStyle w:val="19"/>
        <w:jc w:val="center"/>
        <w:rPr>
          <w:rFonts w:hint="eastAsia"/>
          <w:b/>
          <w:bCs/>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四、投标文件的递交</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  投标文件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递交的格式</w:t>
      </w:r>
    </w:p>
    <w:p>
      <w:pPr>
        <w:pStyle w:val="20"/>
        <w:keepLines w:val="0"/>
        <w:kinsoku/>
        <w:wordWrap/>
        <w:overflowPunct/>
        <w:bidi w:val="0"/>
        <w:spacing w:line="360" w:lineRule="auto"/>
        <w:ind w:firstLine="567"/>
        <w:jc w:val="both"/>
        <w:textAlignment w:val="auto"/>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 xml:space="preserve">18.1 </w:t>
      </w:r>
      <w:r>
        <w:rPr>
          <w:rFonts w:hint="eastAsia" w:ascii="宋体" w:hAnsi="宋体" w:cs="宋体"/>
          <w:color w:val="000000" w:themeColor="text1"/>
          <w:szCs w:val="24"/>
          <w:highlight w:val="none"/>
          <w:lang w:val="en-US" w:eastAsia="zh-CN"/>
          <w14:textFill>
            <w14:solidFill>
              <w14:schemeClr w14:val="tx1"/>
            </w14:solidFill>
          </w14:textFill>
        </w:rPr>
        <w:t>投标供应商应当在投标截止时间前，将生成的“JMBS格式电子加密投标文件”上传递交至“政府采购云平台”，投标截止时间以后上传递交的投标文件将被“政府采购云平台”拒收。</w:t>
      </w:r>
    </w:p>
    <w:p>
      <w:pPr>
        <w:pStyle w:val="20"/>
        <w:spacing w:line="360" w:lineRule="auto"/>
        <w:ind w:firstLine="567"/>
        <w:jc w:val="both"/>
        <w:rPr>
          <w:rFonts w:hint="eastAsia"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18.2  </w:t>
      </w:r>
      <w:r>
        <w:rPr>
          <w:rFonts w:hint="eastAsia" w:ascii="宋体" w:hAnsi="宋体" w:eastAsia="宋体" w:cs="宋体"/>
          <w:color w:val="000000" w:themeColor="text1"/>
          <w:szCs w:val="24"/>
          <w:highlight w:val="none"/>
          <w:lang w:val="en-US" w:eastAsia="zh-CN"/>
          <w14:textFill>
            <w14:solidFill>
              <w14:schemeClr w14:val="tx1"/>
            </w14:solidFill>
          </w14:textFill>
        </w:rPr>
        <w:t>未按本须知要求投递投标文件，造成无法投标或投标失败等后果的由投标人自行承担。</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  投标文件递交的截止日期</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19.1  投标人必须在《投标人须知前附表》中规定的时间之前将投标文件送达到规定的地点。</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19.2  超过招标文件规定的投标截止时间送达的投标文件将不予接受。</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  投标文件的修改和撤销</w:t>
      </w:r>
    </w:p>
    <w:p>
      <w:pPr>
        <w:pStyle w:val="22"/>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20.1  投标人对其投标文件进行的修改或撤销应以书面形式并在招标文件规定的投标截止时间前送达采购代理机构手中。</w:t>
      </w:r>
    </w:p>
    <w:p>
      <w:pPr>
        <w:pStyle w:val="22"/>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20.2  投标人对投标文件的修改或撤销应按第18和19条规定进行准备、标注和递交。</w:t>
      </w:r>
    </w:p>
    <w:p>
      <w:pPr>
        <w:pStyle w:val="22"/>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20.3  投标截止时间以后，不允许对投标文件进行修改。</w:t>
      </w:r>
    </w:p>
    <w:p>
      <w:pPr>
        <w:pStyle w:val="22"/>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20.4  投标人不得在投标截止时间起至投标文件有效期满前撤销投标文件</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Style w:val="19"/>
        <w:jc w:val="center"/>
        <w:rPr>
          <w:rFonts w:hint="eastAsia"/>
          <w:b/>
          <w:bCs/>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五、开标</w:t>
      </w:r>
    </w:p>
    <w:p>
      <w:pPr>
        <w:pStyle w:val="22"/>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  开标</w:t>
      </w:r>
    </w:p>
    <w:p>
      <w:pPr>
        <w:pStyle w:val="20"/>
        <w:keepLines w:val="0"/>
        <w:kinsoku/>
        <w:wordWrap/>
        <w:overflowPunct/>
        <w:bidi w:val="0"/>
        <w:spacing w:line="360" w:lineRule="auto"/>
        <w:ind w:left="1" w:firstLine="484" w:firstLineChars="201"/>
        <w:jc w:val="both"/>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  除非采购代理机构另外书面通知，本标将按本招标文件《投标人须知前附表》中规定的时间和地点开标。</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21.2 </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开标时，招标人、监督部门、公证部门的工作人员将对开标会议到场监督。</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21.3 开标时，投标单位完成在线解密后，由工作人员开始唱标。</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 xml:space="preserve"> 开标时唱《开标一览表》的内容。如投标人对投标价格有说明或调整的，须与《开标一览表》附在一起，在唱标时一并唱出。</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 xml:space="preserve">  唱标完毕后，如果投标人对所唱《开标一览表》内容有异议，应当场立即提出。经现场监标人员确认，认为有必要重新唱标的，由唱标员重新唱标。</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 xml:space="preserve">  所有唱标均记录在案，并经监标人员或公证人员的签字，作为各投标人投标文件的组成部分。</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21.7  投标人代表对开标过程和开标记录有疑义，以及认为采购人、采购代理机构相关工作人员有需要回避的情形的，应当场提出询问或者回避申请。</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21.8  投标人未参加开标的，视同认可开标结果。</w:t>
      </w:r>
    </w:p>
    <w:p>
      <w:pPr>
        <w:pStyle w:val="19"/>
        <w:jc w:val="center"/>
        <w:rPr>
          <w:rFonts w:hint="eastAsia"/>
          <w:b/>
          <w:bCs/>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六、评标和定标</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 评标原则</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22.1  本标的评标遵循公平、公正、科学、择优的原则。</w:t>
      </w:r>
    </w:p>
    <w:p>
      <w:pPr>
        <w:pStyle w:val="20"/>
        <w:keepLines w:val="0"/>
        <w:kinsoku/>
        <w:wordWrap/>
        <w:overflowPunct/>
        <w:bidi w:val="0"/>
        <w:spacing w:line="360" w:lineRule="auto"/>
        <w:ind w:left="0" w:leftChars="0" w:firstLine="567"/>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  评标委员会将严格按照《中华人民共和国招标投标法》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《中华人民共和国招标投标法</w:t>
      </w:r>
      <w:r>
        <w:rPr>
          <w:rFonts w:hint="eastAsia" w:ascii="宋体" w:hAnsi="宋体" w:eastAsia="宋体" w:cs="宋体"/>
          <w:color w:val="000000" w:themeColor="text1"/>
          <w:sz w:val="24"/>
          <w:szCs w:val="24"/>
          <w:highlight w:val="none"/>
          <w:lang w:eastAsia="zh-CN"/>
          <w14:textFill>
            <w14:solidFill>
              <w14:schemeClr w14:val="tx1"/>
            </w14:solidFill>
          </w14:textFill>
        </w:rPr>
        <w:t>实施条例</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《政府采购货物和服务招标投标管理办法》（财政部</w:t>
      </w:r>
      <w:r>
        <w:rPr>
          <w:rFonts w:hint="eastAsia" w:ascii="宋体" w:hAnsi="宋体" w:eastAsia="宋体" w:cs="宋体"/>
          <w:color w:val="000000" w:themeColor="text1"/>
          <w:sz w:val="24"/>
          <w:szCs w:val="24"/>
          <w:highlight w:val="none"/>
          <w:lang w:val="en-US" w:eastAsia="zh-CN"/>
          <w14:textFill>
            <w14:solidFill>
              <w14:schemeClr w14:val="tx1"/>
            </w14:solidFill>
          </w14:textFill>
        </w:rPr>
        <w:t>87</w:t>
      </w:r>
      <w:r>
        <w:rPr>
          <w:rFonts w:hint="eastAsia" w:ascii="宋体" w:hAnsi="宋体" w:eastAsia="宋体" w:cs="宋体"/>
          <w:color w:val="000000" w:themeColor="text1"/>
          <w:sz w:val="24"/>
          <w:szCs w:val="24"/>
          <w:highlight w:val="none"/>
          <w14:textFill>
            <w14:solidFill>
              <w14:schemeClr w14:val="tx1"/>
            </w14:solidFill>
          </w14:textFill>
        </w:rPr>
        <w:t>号令）的规定</w:t>
      </w:r>
      <w:r>
        <w:rPr>
          <w:rFonts w:hint="eastAsia" w:ascii="宋体" w:hAnsi="宋体" w:eastAsia="宋体" w:cs="宋体"/>
          <w:color w:val="000000" w:themeColor="text1"/>
          <w:sz w:val="24"/>
          <w:szCs w:val="24"/>
          <w:highlight w:val="none"/>
          <w:lang w:eastAsia="zh-CN"/>
          <w14:textFill>
            <w14:solidFill>
              <w14:schemeClr w14:val="tx1"/>
            </w14:solidFill>
          </w14:textFill>
        </w:rPr>
        <w:t>及</w:t>
      </w:r>
      <w:r>
        <w:rPr>
          <w:rFonts w:hint="eastAsia" w:ascii="宋体" w:hAnsi="宋体" w:eastAsia="宋体" w:cs="宋体"/>
          <w:color w:val="000000" w:themeColor="text1"/>
          <w:sz w:val="24"/>
          <w:szCs w:val="24"/>
          <w:highlight w:val="none"/>
          <w14:textFill>
            <w14:solidFill>
              <w14:schemeClr w14:val="tx1"/>
            </w14:solidFill>
          </w14:textFill>
        </w:rPr>
        <w:t>相关法律法规的规定依法评标，维护招标投标各方当事人的合法权益。法律、法规、规章和省级以上财政部门涉及政府采购政策功能及其他规定，评标委员会应根据招标文件规定，优先推荐节能、环保产品，优先考虑中小企业。投标人符合规定，获得相应政府采购政策优惠的，应提供相关证明材料。</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22.3  不徇私情，不明招暗定。</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22.4  资格审查合格的投标人，均有同等机会参加竞争。</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22.5  评标人员不得私自泄露评标内容，不得进行旨在影响评标结果公正、公平的任何活动。</w:t>
      </w:r>
    </w:p>
    <w:p>
      <w:pPr>
        <w:pStyle w:val="20"/>
        <w:keepLines w:val="0"/>
        <w:kinsoku/>
        <w:wordWrap/>
        <w:overflowPunct/>
        <w:bidi w:val="0"/>
        <w:spacing w:line="360" w:lineRule="auto"/>
        <w:ind w:firstLine="567"/>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22.6  对于投标文件中含义不明确、同类问题表述不一致或者有明显文字和计算错误的内容，评标委员会应当以书面形式要求投标人作出必要的澄清、说明或者补正。</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  评标方法</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23.1  采购代理机构将根据有关法律法规的规定组建本次招标的评标委员会。评标委员会成员由本行业相关技术、经济等方面的专家组成。其中，技术、经济等方面的专家不少于成员总人数的三分之二。</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23.2  评标的依据为招标文件和投标文件。根据相关法律法规的规定，评标委员会不以任何外部证据作为其评标的依据或标准。</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23.3  评标过程将严格保密。开标后直到授予中标人合同止，凡是属于审查、澄清、评价和比较的有关评标资料以及授标建议等均不得向投标人或其他无关的人员透露。</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23.4  在评标的整个过程中，投标人所进行的旨在影响评标结果的活动，可能导致其投标被拒绝，或者被取消中标资格。</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23.5  本次招标采用综合评分法进行评标。评标分初步评审和详细评审两个阶段。</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23.5.1  初步评审分为资格性检查和符合性检查，只有通过初步评审的投标文件才可进入详细评审阶段。</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23.5.2  详细评审分为</w:t>
      </w:r>
      <w:r>
        <w:rPr>
          <w:rFonts w:hint="eastAsia" w:ascii="宋体" w:hAnsi="宋体" w:eastAsia="宋体" w:cs="宋体"/>
          <w:color w:val="000000" w:themeColor="text1"/>
          <w:sz w:val="24"/>
          <w:szCs w:val="24"/>
          <w:highlight w:val="none"/>
          <w:lang w:eastAsia="zh-CN"/>
          <w14:textFill>
            <w14:solidFill>
              <w14:schemeClr w14:val="tx1"/>
            </w14:solidFill>
          </w14:textFill>
        </w:rPr>
        <w:t>经济报价部分和技术标评审两</w:t>
      </w:r>
      <w:r>
        <w:rPr>
          <w:rFonts w:hint="eastAsia" w:ascii="宋体" w:hAnsi="宋体" w:eastAsia="宋体" w:cs="宋体"/>
          <w:color w:val="000000" w:themeColor="text1"/>
          <w:sz w:val="24"/>
          <w:szCs w:val="24"/>
          <w:highlight w:val="none"/>
          <w14:textFill>
            <w14:solidFill>
              <w14:schemeClr w14:val="tx1"/>
            </w14:solidFill>
          </w14:textFill>
        </w:rPr>
        <w:t>个部分。</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23.6  初步评审</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 资格性检查：依据法律法规和</w:t>
      </w:r>
      <w:r>
        <w:rPr>
          <w:rFonts w:hint="eastAsia" w:ascii="宋体" w:hAnsi="宋体" w:eastAsia="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的规定，对</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中的资格证明、投标保证金等进行审查，以确定投标人是否具备投标资格。</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 符合性检查：依据招标文件的规定，从投标文件的有效性、完整性和对招标文件的响应程度进行审查，以确定是否对招标文件的实质性要求作出响应，判定其内容是否真实可靠，是否满足招标文件的最基本的实质性要求，是否存在重大偏离。重大偏离系指投标文件的有效性、真实性、合同的供货范围、质量、性能和规格等内容在实质上与招标文件形成了重大的不一致，而这种不一致可能限制了买方的权力和投标人的义务，纠正或承认这些偏离将会对该投标人和其它投标人合理的竞争地位产生不公正的影响。与招标文件有重大偏离的投标文件将被拒绝。</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具体评审内容系指：</w:t>
      </w:r>
    </w:p>
    <w:p>
      <w:pPr>
        <w:adjustRightInd w:val="0"/>
        <w:snapToGrid w:val="0"/>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23.6.1  投标人满足本招标文件关于对合格投标人资格要求的规定；</w:t>
      </w:r>
    </w:p>
    <w:p>
      <w:pPr>
        <w:adjustRightInd w:val="0"/>
        <w:snapToGrid w:val="0"/>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23.6.2  投标文件组成完整，主要内容未能按招标文件规定的内容、格式填写；</w:t>
      </w:r>
    </w:p>
    <w:p>
      <w:pPr>
        <w:adjustRightInd w:val="0"/>
        <w:snapToGrid w:val="0"/>
        <w:spacing w:line="360" w:lineRule="auto"/>
        <w:ind w:firstLine="482"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23.6.3  投标人按照招标文件的要求提供投标保证金，所提供的投标保证金完整没有瑕疵；</w:t>
      </w:r>
    </w:p>
    <w:p>
      <w:pPr>
        <w:adjustRightInd w:val="0"/>
        <w:snapToGrid w:val="0"/>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23.6.</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 xml:space="preserve">  投标文件的有效期满足招标文件的规定；</w:t>
      </w:r>
    </w:p>
    <w:p>
      <w:pPr>
        <w:adjustRightInd w:val="0"/>
        <w:snapToGrid w:val="0"/>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23.6.</w:t>
      </w:r>
      <w:r>
        <w:rPr>
          <w:rFonts w:hint="eastAsia" w:ascii="宋体" w:hAnsi="宋体" w:cs="宋体"/>
          <w:color w:val="000000" w:themeColor="text1"/>
          <w:sz w:val="24"/>
          <w:lang w:val="en-US" w:eastAsia="zh-CN"/>
          <w14:textFill>
            <w14:solidFill>
              <w14:schemeClr w14:val="tx1"/>
            </w14:solidFill>
          </w14:textFill>
        </w:rPr>
        <w:t xml:space="preserve">5 </w:t>
      </w:r>
      <w:r>
        <w:rPr>
          <w:rFonts w:hint="eastAsia" w:ascii="宋体" w:hAnsi="宋体" w:cs="宋体"/>
          <w:color w:val="000000" w:themeColor="text1"/>
          <w:sz w:val="24"/>
          <w14:textFill>
            <w14:solidFill>
              <w14:schemeClr w14:val="tx1"/>
            </w14:solidFill>
          </w14:textFill>
        </w:rPr>
        <w:t xml:space="preserve"> 投标文件按照规定</w:t>
      </w:r>
      <w:r>
        <w:rPr>
          <w:rFonts w:hint="eastAsia" w:ascii="宋体" w:hAnsi="宋体" w:cs="宋体"/>
          <w:color w:val="000000" w:themeColor="text1"/>
          <w:sz w:val="24"/>
          <w:lang w:val="en-US" w:eastAsia="zh-CN"/>
          <w14:textFill>
            <w14:solidFill>
              <w14:schemeClr w14:val="tx1"/>
            </w14:solidFill>
          </w14:textFill>
        </w:rPr>
        <w:t>签章</w:t>
      </w:r>
      <w:r>
        <w:rPr>
          <w:rFonts w:hint="eastAsia" w:ascii="宋体" w:hAnsi="宋体" w:cs="宋体"/>
          <w:color w:val="000000" w:themeColor="text1"/>
          <w:sz w:val="24"/>
          <w14:textFill>
            <w14:solidFill>
              <w14:schemeClr w14:val="tx1"/>
            </w14:solidFill>
          </w14:textFill>
        </w:rPr>
        <w:t>的；</w:t>
      </w:r>
    </w:p>
    <w:p>
      <w:pPr>
        <w:adjustRightInd w:val="0"/>
        <w:snapToGrid w:val="0"/>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23.6.</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投标代表授权书由法定代表人签署；</w:t>
      </w:r>
    </w:p>
    <w:p>
      <w:pPr>
        <w:adjustRightInd w:val="0"/>
        <w:snapToGrid w:val="0"/>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23.6.</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 xml:space="preserve">  投标文件针对每一种</w:t>
      </w:r>
      <w:r>
        <w:rPr>
          <w:rFonts w:hint="eastAsia" w:ascii="宋体" w:hAnsi="宋体" w:cs="宋体"/>
          <w:color w:val="000000" w:themeColor="text1"/>
          <w:sz w:val="24"/>
          <w:lang w:val="en-US" w:eastAsia="zh-CN"/>
          <w14:textFill>
            <w14:solidFill>
              <w14:schemeClr w14:val="tx1"/>
            </w14:solidFill>
          </w14:textFill>
        </w:rPr>
        <w:t>货物只提出一个报价，未</w:t>
      </w:r>
      <w:r>
        <w:rPr>
          <w:rFonts w:hint="eastAsia" w:ascii="宋体" w:hAnsi="宋体" w:cs="宋体"/>
          <w:color w:val="000000" w:themeColor="text1"/>
          <w:sz w:val="24"/>
          <w14:textFill>
            <w14:solidFill>
              <w14:schemeClr w14:val="tx1"/>
            </w14:solidFill>
          </w14:textFill>
        </w:rPr>
        <w:t>出现了两个或两个以上的报价；</w:t>
      </w:r>
    </w:p>
    <w:p>
      <w:pPr>
        <w:adjustRightInd w:val="0"/>
        <w:snapToGrid w:val="0"/>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23.6.</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投标报价未超过最高限价；</w:t>
      </w:r>
    </w:p>
    <w:p>
      <w:pPr>
        <w:adjustRightInd w:val="0"/>
        <w:snapToGrid w:val="0"/>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23.6.</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 xml:space="preserve">  符合招标文件关于对招标技术</w:t>
      </w:r>
      <w:r>
        <w:rPr>
          <w:rFonts w:hint="eastAsia" w:ascii="宋体" w:hAnsi="宋体" w:cs="宋体"/>
          <w:color w:val="000000" w:themeColor="text1"/>
          <w:sz w:val="24"/>
          <w:lang w:val="en-US" w:eastAsia="zh-CN"/>
          <w14:textFill>
            <w14:solidFill>
              <w14:schemeClr w14:val="tx1"/>
            </w14:solidFill>
          </w14:textFill>
        </w:rPr>
        <w:t>服务</w:t>
      </w:r>
      <w:r>
        <w:rPr>
          <w:rFonts w:hint="eastAsia" w:ascii="宋体" w:hAnsi="宋体" w:cs="宋体"/>
          <w:color w:val="000000" w:themeColor="text1"/>
          <w:sz w:val="24"/>
          <w14:textFill>
            <w14:solidFill>
              <w14:schemeClr w14:val="tx1"/>
            </w14:solidFill>
          </w14:textFill>
        </w:rPr>
        <w:t>和标准的要求；按招标文件规定的格式填写，</w:t>
      </w:r>
      <w:r>
        <w:rPr>
          <w:rFonts w:hint="eastAsia" w:ascii="宋体" w:hAnsi="宋体" w:cs="宋体"/>
          <w:color w:val="000000" w:themeColor="text1"/>
          <w:sz w:val="24"/>
          <w:lang w:eastAsia="zh-CN"/>
          <w14:textFill>
            <w14:solidFill>
              <w14:schemeClr w14:val="tx1"/>
            </w14:solidFill>
          </w14:textFill>
        </w:rPr>
        <w:t>并无</w:t>
      </w:r>
      <w:r>
        <w:rPr>
          <w:rFonts w:hint="eastAsia" w:ascii="宋体" w:hAnsi="宋体" w:cs="宋体"/>
          <w:color w:val="000000" w:themeColor="text1"/>
          <w:sz w:val="24"/>
          <w14:textFill>
            <w14:solidFill>
              <w14:schemeClr w14:val="tx1"/>
            </w14:solidFill>
          </w14:textFill>
        </w:rPr>
        <w:t>内容不全或关键字迹模糊、无法辨认的；</w:t>
      </w:r>
    </w:p>
    <w:p>
      <w:pPr>
        <w:adjustRightInd w:val="0"/>
        <w:snapToGrid w:val="0"/>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23.6.</w:t>
      </w:r>
      <w:r>
        <w:rPr>
          <w:rFonts w:hint="eastAsia" w:ascii="宋体" w:hAnsi="宋体" w:cs="宋体"/>
          <w:color w:val="000000" w:themeColor="text1"/>
          <w:sz w:val="24"/>
          <w:lang w:val="en-US" w:eastAsia="zh-CN"/>
          <w14:textFill>
            <w14:solidFill>
              <w14:schemeClr w14:val="tx1"/>
            </w14:solidFill>
          </w14:textFill>
        </w:rPr>
        <w:t xml:space="preserve">10 </w:t>
      </w:r>
      <w:r>
        <w:rPr>
          <w:rFonts w:hint="eastAsia" w:ascii="宋体" w:hAnsi="宋体" w:cs="宋体"/>
          <w:color w:val="000000" w:themeColor="text1"/>
          <w:sz w:val="24"/>
          <w14:textFill>
            <w14:solidFill>
              <w14:schemeClr w14:val="tx1"/>
            </w14:solidFill>
          </w14:textFill>
        </w:rPr>
        <w:t xml:space="preserve"> 投标文件载明的</w:t>
      </w:r>
      <w:r>
        <w:rPr>
          <w:rFonts w:hint="eastAsia" w:ascii="宋体" w:hAnsi="宋体" w:cs="宋体"/>
          <w:color w:val="000000" w:themeColor="text1"/>
          <w:sz w:val="24"/>
          <w:lang w:val="en-US" w:eastAsia="zh-CN"/>
          <w14:textFill>
            <w14:solidFill>
              <w14:schemeClr w14:val="tx1"/>
            </w14:solidFill>
          </w14:textFill>
        </w:rPr>
        <w:t>货物</w:t>
      </w:r>
      <w:r>
        <w:rPr>
          <w:rFonts w:hint="eastAsia" w:ascii="宋体" w:hAnsi="宋体" w:cs="宋体"/>
          <w:color w:val="000000" w:themeColor="text1"/>
          <w:sz w:val="24"/>
          <w14:textFill>
            <w14:solidFill>
              <w14:schemeClr w14:val="tx1"/>
            </w14:solidFill>
          </w14:textFill>
        </w:rPr>
        <w:t>范围、检验标准和方法等符合招标文件的要求；</w:t>
      </w:r>
    </w:p>
    <w:p>
      <w:pPr>
        <w:adjustRightInd w:val="0"/>
        <w:snapToGrid w:val="0"/>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23.6.</w:t>
      </w:r>
      <w:r>
        <w:rPr>
          <w:rFonts w:hint="eastAsia" w:ascii="宋体" w:hAnsi="宋体" w:cs="宋体"/>
          <w:color w:val="000000" w:themeColor="text1"/>
          <w:sz w:val="24"/>
          <w:lang w:val="en-US" w:eastAsia="zh-CN"/>
          <w14:textFill>
            <w14:solidFill>
              <w14:schemeClr w14:val="tx1"/>
            </w14:solidFill>
          </w14:textFill>
        </w:rPr>
        <w:t>11  投标文件没有采购人不能接受的其他条件；</w:t>
      </w:r>
    </w:p>
    <w:p>
      <w:pPr>
        <w:keepLines w:val="0"/>
        <w:kinsoku/>
        <w:wordWrap/>
        <w:overflowPunct/>
        <w:bidi w:val="0"/>
        <w:adjustRightInd w:val="0"/>
        <w:snapToGrid w:val="0"/>
        <w:spacing w:line="360" w:lineRule="auto"/>
        <w:ind w:firstLine="482"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23.6.</w:t>
      </w:r>
      <w:r>
        <w:rPr>
          <w:rFonts w:hint="eastAsia" w:ascii="宋体" w:hAnsi="宋体" w:cs="宋体"/>
          <w:color w:val="000000" w:themeColor="text1"/>
          <w:sz w:val="24"/>
          <w:lang w:val="en-US" w:eastAsia="zh-CN"/>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符合招标文件中规定的其他实质性要求。</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23.7 对通过初步评审的投标文件，评标委员会将对其进行算术性修正。算术性修正是指对投标文件的报价明细进行校核，并对其算术上和运算上的差错给予修正。修正的原则如下：</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23.7.1  </w:t>
      </w:r>
      <w:r>
        <w:rPr>
          <w:rFonts w:hint="eastAsia" w:ascii="宋体" w:hAnsi="宋体" w:eastAsia="宋体" w:cs="宋体"/>
          <w:color w:val="000000" w:themeColor="text1"/>
          <w:sz w:val="24"/>
          <w:szCs w:val="24"/>
          <w:highlight w:val="none"/>
          <w14:textFill>
            <w14:solidFill>
              <w14:schemeClr w14:val="tx1"/>
            </w14:solidFill>
          </w14:textFill>
        </w:rPr>
        <w:t>大写金额和小写金额不一致的，以大写金额为准；</w:t>
      </w:r>
    </w:p>
    <w:p>
      <w:pPr>
        <w:keepLines w:val="0"/>
        <w:kinsoku/>
        <w:wordWrap/>
        <w:overflowPunct/>
        <w:bidi w:val="0"/>
        <w:adjustRightInd w:val="0"/>
        <w:snapToGrid w:val="0"/>
        <w:spacing w:line="360" w:lineRule="auto"/>
        <w:ind w:firstLine="482"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23.7.2  </w:t>
      </w:r>
      <w:r>
        <w:rPr>
          <w:rFonts w:hint="eastAsia" w:ascii="宋体" w:hAnsi="宋体" w:cs="宋体"/>
          <w:color w:val="000000" w:themeColor="text1"/>
          <w:sz w:val="24"/>
          <w14:textFill>
            <w14:solidFill>
              <w14:schemeClr w14:val="tx1"/>
            </w14:solidFill>
          </w14:textFill>
        </w:rPr>
        <w:t>单价金额小数点或者百分比有明显错位的，以总价为准，并修改单价；</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23.7.3  </w:t>
      </w:r>
      <w:r>
        <w:rPr>
          <w:rFonts w:hint="eastAsia" w:ascii="宋体" w:hAnsi="宋体" w:eastAsia="宋体" w:cs="宋体"/>
          <w:color w:val="000000" w:themeColor="text1"/>
          <w:sz w:val="24"/>
          <w:szCs w:val="24"/>
          <w:highlight w:val="none"/>
          <w14:textFill>
            <w14:solidFill>
              <w14:schemeClr w14:val="tx1"/>
            </w14:solidFill>
          </w14:textFill>
        </w:rPr>
        <w:t>总价金额与按单价汇总金额不一致的，以单价金额计算结果为准。</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23.7.4  </w:t>
      </w:r>
      <w:r>
        <w:rPr>
          <w:rFonts w:hint="eastAsia" w:ascii="宋体" w:hAnsi="宋体" w:eastAsia="宋体" w:cs="宋体"/>
          <w:color w:val="000000" w:themeColor="text1"/>
          <w:sz w:val="24"/>
          <w:szCs w:val="24"/>
          <w:highlight w:val="none"/>
          <w14:textFill>
            <w14:solidFill>
              <w14:schemeClr w14:val="tx1"/>
            </w14:solidFill>
          </w14:textFill>
        </w:rPr>
        <w:t>同时出现两种以上不一致的，按照前款规定的顺序修正。修正后的报价</w:t>
      </w:r>
      <w:r>
        <w:rPr>
          <w:rFonts w:hint="eastAsia" w:ascii="宋体" w:hAnsi="宋体" w:eastAsia="宋体" w:cs="宋体"/>
          <w:color w:val="000000" w:themeColor="text1"/>
          <w:sz w:val="24"/>
          <w:szCs w:val="24"/>
          <w:highlight w:val="none"/>
          <w:lang w:eastAsia="zh-CN"/>
          <w14:textFill>
            <w14:solidFill>
              <w14:schemeClr w14:val="tx1"/>
            </w14:solidFill>
          </w14:textFill>
        </w:rPr>
        <w:t>需经</w:t>
      </w:r>
      <w:r>
        <w:rPr>
          <w:rFonts w:hint="eastAsia" w:ascii="宋体" w:hAnsi="宋体" w:eastAsia="宋体" w:cs="宋体"/>
          <w:color w:val="000000" w:themeColor="text1"/>
          <w:sz w:val="24"/>
          <w:szCs w:val="24"/>
          <w:highlight w:val="none"/>
          <w14:textFill>
            <w14:solidFill>
              <w14:schemeClr w14:val="tx1"/>
            </w14:solidFill>
          </w14:textFill>
        </w:rPr>
        <w:t>投标人确认后产生约束力，投标人不确认的，其投标无效。</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23.7.</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 xml:space="preserve">  投标人的澄清、说明或者补正应当采用书面形式，并加盖公章，或者由法定代表人或其授权的代表签字。投标人的澄清、说明或者补正不得超出投标文件的范围或者改变投标文件的实质性内容。</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23.7.</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 xml:space="preserve">  对不同文字文本投标文件的解释发生异议的，以中文文本为准。</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23.7.</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 xml:space="preserve">  评标委员会将拒绝被定为实质上非响应性的投标，投标人不能通过修正或撤销不符之处而使其投标成为响应性投标。</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23.7.6  评标委员会将允许投标中有微小的不正规、不一致或不规则，而该微小之处不构成重大偏离。</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23.8  通过初步评审及算术性修正的投标文件将进入详细评审阶段。</w:t>
      </w:r>
    </w:p>
    <w:p>
      <w:pPr>
        <w:keepLines w:val="0"/>
        <w:kinsoku/>
        <w:wordWrap/>
        <w:overflowPunct/>
        <w:bidi w:val="0"/>
        <w:adjustRightInd w:val="0"/>
        <w:snapToGrid w:val="0"/>
        <w:spacing w:line="360"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23.8.1  详细评审中，评标委员会将采用综合评估法中的打分法，以投标文件能最大限度地满足招标文件中规定的各项评价标准为依据，独立地对各投标文件进行评审和打分。</w:t>
      </w:r>
    </w:p>
    <w:p>
      <w:pPr>
        <w:adjustRightInd w:val="0"/>
        <w:snapToGrid w:val="0"/>
        <w:spacing w:line="360" w:lineRule="auto"/>
        <w:ind w:firstLine="482"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23.8.2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评标委员会将对下述评审因素进行量化，并根据评委会每个成员对投标文件的评审和理解进行打分。</w:t>
      </w:r>
      <w:r>
        <w:rPr>
          <w:rFonts w:hint="eastAsia" w:ascii="宋体" w:hAnsi="宋体" w:eastAsia="宋体" w:cs="宋体"/>
          <w:color w:val="000000" w:themeColor="text1"/>
          <w:sz w:val="24"/>
          <w:szCs w:val="24"/>
          <w:highlight w:val="none"/>
          <w:lang w:eastAsia="zh-CN"/>
          <w14:textFill>
            <w14:solidFill>
              <w14:schemeClr w14:val="tx1"/>
            </w14:solidFill>
          </w14:textFill>
        </w:rPr>
        <w:t>经济报价权重占</w:t>
      </w: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，技术</w:t>
      </w:r>
      <w:r>
        <w:rPr>
          <w:rFonts w:hint="eastAsia" w:ascii="宋体" w:hAnsi="宋体" w:eastAsia="宋体" w:cs="宋体"/>
          <w:color w:val="000000" w:themeColor="text1"/>
          <w:sz w:val="24"/>
          <w:szCs w:val="24"/>
          <w:highlight w:val="none"/>
          <w:lang w:eastAsia="zh-CN"/>
          <w14:textFill>
            <w14:solidFill>
              <w14:schemeClr w14:val="tx1"/>
            </w14:solidFill>
          </w14:textFill>
        </w:rPr>
        <w:t>标</w:t>
      </w:r>
      <w:r>
        <w:rPr>
          <w:rFonts w:hint="eastAsia" w:ascii="宋体" w:hAnsi="宋体" w:eastAsia="宋体" w:cs="宋体"/>
          <w:color w:val="000000" w:themeColor="text1"/>
          <w:sz w:val="24"/>
          <w:szCs w:val="24"/>
          <w:highlight w:val="none"/>
          <w14:textFill>
            <w14:solidFill>
              <w14:schemeClr w14:val="tx1"/>
            </w14:solidFill>
          </w14:textFill>
        </w:rPr>
        <w:t>权重占</w:t>
      </w:r>
      <w:r>
        <w:rPr>
          <w:rFonts w:hint="eastAsia" w:ascii="宋体" w:hAnsi="宋体" w:eastAsia="宋体" w:cs="宋体"/>
          <w:color w:val="000000" w:themeColor="text1"/>
          <w:sz w:val="24"/>
          <w:szCs w:val="24"/>
          <w:highlight w:val="none"/>
          <w:lang w:val="en-US" w:eastAsia="zh-CN"/>
          <w14:textFill>
            <w14:solidFill>
              <w14:schemeClr w14:val="tx1"/>
            </w14:solidFill>
          </w14:textFill>
        </w:rPr>
        <w:t>70%</w:t>
      </w:r>
      <w:r>
        <w:rPr>
          <w:rFonts w:hint="eastAsia" w:ascii="宋体" w:hAnsi="宋体" w:eastAsia="宋体" w:cs="宋体"/>
          <w:color w:val="000000" w:themeColor="text1"/>
          <w:sz w:val="24"/>
          <w:szCs w:val="24"/>
          <w:highlight w:val="none"/>
          <w14:textFill>
            <w14:solidFill>
              <w14:schemeClr w14:val="tx1"/>
            </w14:solidFill>
          </w14:textFill>
        </w:rPr>
        <w:t>。投标人</w:t>
      </w:r>
      <w:r>
        <w:rPr>
          <w:rFonts w:hint="eastAsia" w:ascii="宋体" w:hAnsi="宋体" w:eastAsia="宋体" w:cs="宋体"/>
          <w:color w:val="000000" w:themeColor="text1"/>
          <w:sz w:val="24"/>
          <w:szCs w:val="24"/>
          <w:highlight w:val="none"/>
          <w:lang w:eastAsia="zh-CN"/>
          <w14:textFill>
            <w14:solidFill>
              <w14:schemeClr w14:val="tx1"/>
            </w14:solidFill>
          </w14:textFill>
        </w:rPr>
        <w:t>两</w:t>
      </w:r>
      <w:r>
        <w:rPr>
          <w:rFonts w:hint="eastAsia" w:ascii="宋体" w:hAnsi="宋体" w:eastAsia="宋体" w:cs="宋体"/>
          <w:color w:val="000000" w:themeColor="text1"/>
          <w:sz w:val="24"/>
          <w:szCs w:val="24"/>
          <w:highlight w:val="none"/>
          <w14:textFill>
            <w14:solidFill>
              <w14:schemeClr w14:val="tx1"/>
            </w14:solidFill>
          </w14:textFill>
        </w:rPr>
        <w:t>部分的分值相加，即为该投标人的</w:t>
      </w:r>
      <w:r>
        <w:rPr>
          <w:rFonts w:hint="eastAsia" w:ascii="宋体" w:hAnsi="宋体" w:eastAsia="宋体" w:cs="宋体"/>
          <w:color w:val="000000" w:themeColor="text1"/>
          <w:sz w:val="24"/>
          <w:szCs w:val="24"/>
          <w:highlight w:val="none"/>
          <w:lang w:eastAsia="zh-CN"/>
          <w14:textFill>
            <w14:solidFill>
              <w14:schemeClr w14:val="tx1"/>
            </w14:solidFill>
          </w14:textFill>
        </w:rPr>
        <w:t>评标总得分。</w:t>
      </w:r>
    </w:p>
    <w:p>
      <w:pPr>
        <w:pStyle w:val="23"/>
        <w:rPr>
          <w:rFonts w:hint="eastAsia" w:ascii="宋体" w:hAnsi="宋体" w:eastAsia="宋体" w:cs="宋体"/>
          <w:color w:val="000000" w:themeColor="text1"/>
          <w:sz w:val="24"/>
          <w:szCs w:val="24"/>
          <w:highlight w:val="none"/>
          <w:lang w:eastAsia="zh-CN"/>
          <w14:textFill>
            <w14:solidFill>
              <w14:schemeClr w14:val="tx1"/>
            </w14:solidFill>
          </w14:textFill>
        </w:rPr>
      </w:pPr>
    </w:p>
    <w:p>
      <w:pPr>
        <w:spacing w:line="360" w:lineRule="auto"/>
        <w:jc w:val="center"/>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r>
        <w:rPr>
          <w:rFonts w:hint="eastAsia" w:ascii="宋体" w:hAnsi="宋体" w:cs="宋体"/>
          <w:b/>
          <w:color w:val="000000" w:themeColor="text1"/>
          <w:sz w:val="24"/>
          <w:highlight w:val="none"/>
          <w14:textFill>
            <w14:solidFill>
              <w14:schemeClr w14:val="tx1"/>
            </w14:solidFill>
          </w14:textFill>
        </w:rPr>
        <w:t>初步评审标准</w:t>
      </w:r>
    </w:p>
    <w:tbl>
      <w:tblPr>
        <w:tblStyle w:val="14"/>
        <w:tblpPr w:leftFromText="180" w:rightFromText="180" w:vertAnchor="text" w:horzAnchor="page" w:tblpX="1104" w:tblpY="305"/>
        <w:tblOverlap w:val="never"/>
        <w:tblW w:w="10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562"/>
        <w:gridCol w:w="8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01" w:type="dxa"/>
            <w:vMerge w:val="restart"/>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初步评审</w:t>
            </w:r>
          </w:p>
        </w:tc>
        <w:tc>
          <w:tcPr>
            <w:tcW w:w="9545" w:type="dxa"/>
            <w:gridSpan w:val="2"/>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01" w:type="dxa"/>
            <w:vMerge w:val="continue"/>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p>
        </w:tc>
        <w:tc>
          <w:tcPr>
            <w:tcW w:w="562" w:type="dxa"/>
            <w:noWrap w:val="0"/>
            <w:vAlign w:val="center"/>
          </w:tcPr>
          <w:p>
            <w:pPr>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1</w:t>
            </w:r>
          </w:p>
        </w:tc>
        <w:tc>
          <w:tcPr>
            <w:tcW w:w="8983" w:type="dxa"/>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投标人满足本招标文件关于对合格投标人资格要求的规定；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01" w:type="dxa"/>
            <w:vMerge w:val="continue"/>
            <w:noWrap w:val="0"/>
            <w:vAlign w:val="top"/>
          </w:tcPr>
          <w:p>
            <w:pPr>
              <w:spacing w:line="360" w:lineRule="auto"/>
              <w:rPr>
                <w:rFonts w:hint="eastAsia" w:ascii="宋体" w:hAnsi="宋体" w:eastAsia="宋体" w:cs="宋体"/>
                <w:color w:val="000000" w:themeColor="text1"/>
                <w:sz w:val="24"/>
                <w:lang w:eastAsia="zh-CN"/>
                <w14:textFill>
                  <w14:solidFill>
                    <w14:schemeClr w14:val="tx1"/>
                  </w14:solidFill>
                </w14:textFill>
              </w:rPr>
            </w:pPr>
          </w:p>
        </w:tc>
        <w:tc>
          <w:tcPr>
            <w:tcW w:w="562" w:type="dxa"/>
            <w:noWrap w:val="0"/>
            <w:vAlign w:val="center"/>
          </w:tcPr>
          <w:p>
            <w:pPr>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2</w:t>
            </w:r>
          </w:p>
        </w:tc>
        <w:tc>
          <w:tcPr>
            <w:tcW w:w="8983" w:type="dxa"/>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投标文件组成完整，主要内容未能按招标文件规定的内容、格式填写；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Merge w:val="continue"/>
            <w:noWrap w:val="0"/>
            <w:vAlign w:val="top"/>
          </w:tcPr>
          <w:p>
            <w:pPr>
              <w:spacing w:line="360" w:lineRule="auto"/>
              <w:rPr>
                <w:rFonts w:hint="eastAsia" w:ascii="宋体" w:hAnsi="宋体" w:eastAsia="宋体" w:cs="宋体"/>
                <w:color w:val="000000" w:themeColor="text1"/>
                <w:sz w:val="24"/>
                <w:lang w:eastAsia="zh-CN"/>
                <w14:textFill>
                  <w14:solidFill>
                    <w14:schemeClr w14:val="tx1"/>
                  </w14:solidFill>
                </w14:textFill>
              </w:rPr>
            </w:pPr>
          </w:p>
        </w:tc>
        <w:tc>
          <w:tcPr>
            <w:tcW w:w="562" w:type="dxa"/>
            <w:noWrap w:val="0"/>
            <w:vAlign w:val="center"/>
          </w:tcPr>
          <w:p>
            <w:pPr>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w:t>
            </w:r>
          </w:p>
        </w:tc>
        <w:tc>
          <w:tcPr>
            <w:tcW w:w="8983" w:type="dxa"/>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投标人按照招标文件的要求提供投标保证金，所提供的投标保证金</w:t>
            </w:r>
            <w:r>
              <w:rPr>
                <w:rFonts w:hint="eastAsia" w:ascii="宋体" w:hAnsi="宋体" w:cs="宋体"/>
                <w:color w:val="000000" w:themeColor="text1"/>
                <w:sz w:val="24"/>
                <w:lang w:eastAsia="zh-CN"/>
                <w14:textFill>
                  <w14:solidFill>
                    <w14:schemeClr w14:val="tx1"/>
                  </w14:solidFill>
                </w14:textFill>
              </w:rPr>
              <w:t>完整没</w:t>
            </w:r>
            <w:r>
              <w:rPr>
                <w:rFonts w:hint="eastAsia" w:ascii="宋体" w:hAnsi="宋体" w:cs="宋体"/>
                <w:color w:val="000000" w:themeColor="text1"/>
                <w:sz w:val="24"/>
                <w14:textFill>
                  <w14:solidFill>
                    <w14:schemeClr w14:val="tx1"/>
                  </w14:solidFill>
                </w14:textFill>
              </w:rPr>
              <w:t>有瑕疵；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Merge w:val="continue"/>
            <w:noWrap w:val="0"/>
            <w:vAlign w:val="top"/>
          </w:tcPr>
          <w:p>
            <w:pPr>
              <w:spacing w:line="360" w:lineRule="auto"/>
              <w:rPr>
                <w:rFonts w:hint="eastAsia" w:ascii="宋体" w:hAnsi="宋体" w:eastAsia="宋体" w:cs="宋体"/>
                <w:color w:val="000000" w:themeColor="text1"/>
                <w:sz w:val="24"/>
                <w:lang w:eastAsia="zh-CN"/>
                <w14:textFill>
                  <w14:solidFill>
                    <w14:schemeClr w14:val="tx1"/>
                  </w14:solidFill>
                </w14:textFill>
              </w:rPr>
            </w:pPr>
          </w:p>
        </w:tc>
        <w:tc>
          <w:tcPr>
            <w:tcW w:w="562" w:type="dxa"/>
            <w:noWrap w:val="0"/>
            <w:vAlign w:val="center"/>
          </w:tcPr>
          <w:p>
            <w:pPr>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4</w:t>
            </w:r>
          </w:p>
        </w:tc>
        <w:tc>
          <w:tcPr>
            <w:tcW w:w="8983" w:type="dxa"/>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投标文件的有效期满足招标文件的规定；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01" w:type="dxa"/>
            <w:vMerge w:val="continue"/>
            <w:noWrap w:val="0"/>
            <w:vAlign w:val="top"/>
          </w:tcPr>
          <w:p>
            <w:pPr>
              <w:spacing w:line="360" w:lineRule="auto"/>
              <w:rPr>
                <w:rFonts w:hint="eastAsia" w:ascii="宋体" w:hAnsi="宋体" w:eastAsia="宋体" w:cs="宋体"/>
                <w:color w:val="000000" w:themeColor="text1"/>
                <w:sz w:val="24"/>
                <w:lang w:eastAsia="zh-CN"/>
                <w14:textFill>
                  <w14:solidFill>
                    <w14:schemeClr w14:val="tx1"/>
                  </w14:solidFill>
                </w14:textFill>
              </w:rPr>
            </w:pPr>
          </w:p>
        </w:tc>
        <w:tc>
          <w:tcPr>
            <w:tcW w:w="562" w:type="dxa"/>
            <w:noWrap w:val="0"/>
            <w:vAlign w:val="center"/>
          </w:tcPr>
          <w:p>
            <w:pPr>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5</w:t>
            </w:r>
          </w:p>
        </w:tc>
        <w:tc>
          <w:tcPr>
            <w:tcW w:w="8983" w:type="dxa"/>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投标文件按照规定</w:t>
            </w:r>
            <w:r>
              <w:rPr>
                <w:rFonts w:hint="eastAsia" w:ascii="宋体" w:hAnsi="宋体" w:cs="宋体"/>
                <w:color w:val="000000" w:themeColor="text1"/>
                <w:sz w:val="24"/>
                <w:lang w:val="en-US" w:eastAsia="zh-CN"/>
                <w14:textFill>
                  <w14:solidFill>
                    <w14:schemeClr w14:val="tx1"/>
                  </w14:solidFill>
                </w14:textFill>
              </w:rPr>
              <w:t>签章</w:t>
            </w:r>
            <w:r>
              <w:rPr>
                <w:rFonts w:hint="eastAsia" w:ascii="宋体" w:hAnsi="宋体" w:cs="宋体"/>
                <w:color w:val="000000" w:themeColor="text1"/>
                <w:sz w:val="24"/>
                <w14:textFill>
                  <w14:solidFill>
                    <w14:schemeClr w14:val="tx1"/>
                  </w14:solidFill>
                </w14:textFill>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01" w:type="dxa"/>
            <w:vMerge w:val="continue"/>
            <w:noWrap w:val="0"/>
            <w:vAlign w:val="top"/>
          </w:tcPr>
          <w:p>
            <w:pPr>
              <w:spacing w:line="360" w:lineRule="auto"/>
              <w:rPr>
                <w:rFonts w:hint="eastAsia" w:ascii="宋体" w:hAnsi="宋体" w:eastAsia="宋体" w:cs="宋体"/>
                <w:color w:val="000000" w:themeColor="text1"/>
                <w:sz w:val="24"/>
                <w:lang w:eastAsia="zh-CN"/>
                <w14:textFill>
                  <w14:solidFill>
                    <w14:schemeClr w14:val="tx1"/>
                  </w14:solidFill>
                </w14:textFill>
              </w:rPr>
            </w:pPr>
          </w:p>
        </w:tc>
        <w:tc>
          <w:tcPr>
            <w:tcW w:w="562" w:type="dxa"/>
            <w:noWrap w:val="0"/>
            <w:vAlign w:val="center"/>
          </w:tcPr>
          <w:p>
            <w:pPr>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6</w:t>
            </w:r>
          </w:p>
        </w:tc>
        <w:tc>
          <w:tcPr>
            <w:tcW w:w="8983" w:type="dxa"/>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投标代表授权书由法定代表人签署；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01" w:type="dxa"/>
            <w:vMerge w:val="continue"/>
            <w:noWrap w:val="0"/>
            <w:vAlign w:val="top"/>
          </w:tcPr>
          <w:p>
            <w:pPr>
              <w:spacing w:line="360" w:lineRule="auto"/>
              <w:rPr>
                <w:rFonts w:hint="eastAsia" w:ascii="宋体" w:hAnsi="宋体" w:eastAsia="宋体" w:cs="宋体"/>
                <w:color w:val="000000" w:themeColor="text1"/>
                <w:sz w:val="24"/>
                <w:lang w:eastAsia="zh-CN"/>
                <w14:textFill>
                  <w14:solidFill>
                    <w14:schemeClr w14:val="tx1"/>
                  </w14:solidFill>
                </w14:textFill>
              </w:rPr>
            </w:pPr>
          </w:p>
        </w:tc>
        <w:tc>
          <w:tcPr>
            <w:tcW w:w="562" w:type="dxa"/>
            <w:noWrap w:val="0"/>
            <w:vAlign w:val="center"/>
          </w:tcPr>
          <w:p>
            <w:pPr>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7</w:t>
            </w:r>
          </w:p>
        </w:tc>
        <w:tc>
          <w:tcPr>
            <w:tcW w:w="8983" w:type="dxa"/>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投标文件针对每一种</w:t>
            </w:r>
            <w:r>
              <w:rPr>
                <w:rFonts w:hint="eastAsia" w:ascii="宋体" w:hAnsi="宋体" w:cs="宋体"/>
                <w:color w:val="000000" w:themeColor="text1"/>
                <w:sz w:val="24"/>
                <w:lang w:val="en-US" w:eastAsia="zh-CN"/>
                <w14:textFill>
                  <w14:solidFill>
                    <w14:schemeClr w14:val="tx1"/>
                  </w14:solidFill>
                </w14:textFill>
              </w:rPr>
              <w:t>货物只提出一个报价，未</w:t>
            </w:r>
            <w:r>
              <w:rPr>
                <w:rFonts w:hint="eastAsia" w:ascii="宋体" w:hAnsi="宋体" w:cs="宋体"/>
                <w:color w:val="000000" w:themeColor="text1"/>
                <w:sz w:val="24"/>
                <w14:textFill>
                  <w14:solidFill>
                    <w14:schemeClr w14:val="tx1"/>
                  </w14:solidFill>
                </w14:textFill>
              </w:rPr>
              <w:t>出现了两个或两个以上的报价；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01" w:type="dxa"/>
            <w:vMerge w:val="continue"/>
            <w:noWrap w:val="0"/>
            <w:vAlign w:val="top"/>
          </w:tcPr>
          <w:p>
            <w:pPr>
              <w:spacing w:line="360" w:lineRule="auto"/>
              <w:rPr>
                <w:rFonts w:hint="eastAsia" w:ascii="宋体" w:hAnsi="宋体" w:eastAsia="宋体" w:cs="宋体"/>
                <w:color w:val="000000" w:themeColor="text1"/>
                <w:sz w:val="24"/>
                <w:lang w:eastAsia="zh-CN"/>
                <w14:textFill>
                  <w14:solidFill>
                    <w14:schemeClr w14:val="tx1"/>
                  </w14:solidFill>
                </w14:textFill>
              </w:rPr>
            </w:pPr>
          </w:p>
        </w:tc>
        <w:tc>
          <w:tcPr>
            <w:tcW w:w="562" w:type="dxa"/>
            <w:noWrap w:val="0"/>
            <w:vAlign w:val="center"/>
          </w:tcPr>
          <w:p>
            <w:pPr>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8</w:t>
            </w:r>
          </w:p>
        </w:tc>
        <w:tc>
          <w:tcPr>
            <w:tcW w:w="8983"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投标报价未超过最高限价；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01" w:type="dxa"/>
            <w:vMerge w:val="continue"/>
            <w:noWrap w:val="0"/>
            <w:vAlign w:val="top"/>
          </w:tcPr>
          <w:p>
            <w:pPr>
              <w:spacing w:line="360" w:lineRule="auto"/>
              <w:rPr>
                <w:rFonts w:hint="eastAsia" w:ascii="宋体" w:hAnsi="宋体" w:eastAsia="宋体" w:cs="宋体"/>
                <w:color w:val="000000" w:themeColor="text1"/>
                <w:sz w:val="24"/>
                <w:lang w:eastAsia="zh-CN"/>
                <w14:textFill>
                  <w14:solidFill>
                    <w14:schemeClr w14:val="tx1"/>
                  </w14:solidFill>
                </w14:textFill>
              </w:rPr>
            </w:pPr>
          </w:p>
        </w:tc>
        <w:tc>
          <w:tcPr>
            <w:tcW w:w="562" w:type="dxa"/>
            <w:noWrap w:val="0"/>
            <w:vAlign w:val="center"/>
          </w:tcPr>
          <w:p>
            <w:pPr>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9</w:t>
            </w:r>
          </w:p>
        </w:tc>
        <w:tc>
          <w:tcPr>
            <w:tcW w:w="8983" w:type="dxa"/>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符合招标文件关于对招标技术</w:t>
            </w:r>
            <w:r>
              <w:rPr>
                <w:rFonts w:hint="eastAsia" w:ascii="宋体" w:hAnsi="宋体" w:cs="宋体"/>
                <w:color w:val="000000" w:themeColor="text1"/>
                <w:sz w:val="24"/>
                <w:lang w:val="en-US" w:eastAsia="zh-CN"/>
                <w14:textFill>
                  <w14:solidFill>
                    <w14:schemeClr w14:val="tx1"/>
                  </w14:solidFill>
                </w14:textFill>
              </w:rPr>
              <w:t>服务</w:t>
            </w:r>
            <w:r>
              <w:rPr>
                <w:rFonts w:hint="eastAsia" w:ascii="宋体" w:hAnsi="宋体" w:cs="宋体"/>
                <w:color w:val="000000" w:themeColor="text1"/>
                <w:sz w:val="24"/>
                <w14:textFill>
                  <w14:solidFill>
                    <w14:schemeClr w14:val="tx1"/>
                  </w14:solidFill>
                </w14:textFill>
              </w:rPr>
              <w:t>和标准的要求；按招标文件规定的格式填写，</w:t>
            </w:r>
            <w:r>
              <w:rPr>
                <w:rFonts w:hint="eastAsia" w:ascii="宋体" w:hAnsi="宋体" w:cs="宋体"/>
                <w:color w:val="000000" w:themeColor="text1"/>
                <w:sz w:val="24"/>
                <w:lang w:eastAsia="zh-CN"/>
                <w14:textFill>
                  <w14:solidFill>
                    <w14:schemeClr w14:val="tx1"/>
                  </w14:solidFill>
                </w14:textFill>
              </w:rPr>
              <w:t>并无</w:t>
            </w:r>
            <w:r>
              <w:rPr>
                <w:rFonts w:hint="eastAsia" w:ascii="宋体" w:hAnsi="宋体" w:cs="宋体"/>
                <w:color w:val="000000" w:themeColor="text1"/>
                <w:sz w:val="24"/>
                <w14:textFill>
                  <w14:solidFill>
                    <w14:schemeClr w14:val="tx1"/>
                  </w14:solidFill>
                </w14:textFill>
              </w:rPr>
              <w:t>内容不全或关键字迹模糊、无法辨认的；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01" w:type="dxa"/>
            <w:vMerge w:val="continue"/>
            <w:noWrap w:val="0"/>
            <w:vAlign w:val="top"/>
          </w:tcPr>
          <w:p>
            <w:pPr>
              <w:spacing w:line="360" w:lineRule="auto"/>
              <w:rPr>
                <w:rFonts w:hint="eastAsia" w:ascii="宋体" w:hAnsi="宋体" w:eastAsia="宋体" w:cs="宋体"/>
                <w:color w:val="000000" w:themeColor="text1"/>
                <w:sz w:val="24"/>
                <w:lang w:eastAsia="zh-CN"/>
                <w14:textFill>
                  <w14:solidFill>
                    <w14:schemeClr w14:val="tx1"/>
                  </w14:solidFill>
                </w14:textFill>
              </w:rPr>
            </w:pPr>
          </w:p>
        </w:tc>
        <w:tc>
          <w:tcPr>
            <w:tcW w:w="562" w:type="dxa"/>
            <w:noWrap w:val="0"/>
            <w:vAlign w:val="center"/>
          </w:tcPr>
          <w:p>
            <w:pPr>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10</w:t>
            </w:r>
          </w:p>
        </w:tc>
        <w:tc>
          <w:tcPr>
            <w:tcW w:w="8983" w:type="dxa"/>
            <w:noWrap w:val="0"/>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投标文件载明的</w:t>
            </w:r>
            <w:r>
              <w:rPr>
                <w:rFonts w:hint="eastAsia" w:ascii="宋体" w:hAnsi="宋体" w:cs="宋体"/>
                <w:color w:val="000000" w:themeColor="text1"/>
                <w:sz w:val="24"/>
                <w:lang w:val="en-US" w:eastAsia="zh-CN"/>
                <w14:textFill>
                  <w14:solidFill>
                    <w14:schemeClr w14:val="tx1"/>
                  </w14:solidFill>
                </w14:textFill>
              </w:rPr>
              <w:t>货物</w:t>
            </w:r>
            <w:r>
              <w:rPr>
                <w:rFonts w:hint="eastAsia" w:ascii="宋体" w:hAnsi="宋体" w:cs="宋体"/>
                <w:color w:val="000000" w:themeColor="text1"/>
                <w:sz w:val="24"/>
                <w14:textFill>
                  <w14:solidFill>
                    <w14:schemeClr w14:val="tx1"/>
                  </w14:solidFill>
                </w14:textFill>
              </w:rPr>
              <w:t>范围、检验标准和方法等符合招标文件的要求；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01" w:type="dxa"/>
            <w:vMerge w:val="continue"/>
            <w:noWrap w:val="0"/>
            <w:vAlign w:val="top"/>
          </w:tcPr>
          <w:p>
            <w:pPr>
              <w:spacing w:line="360" w:lineRule="auto"/>
              <w:rPr>
                <w:rFonts w:hint="eastAsia" w:ascii="宋体" w:hAnsi="宋体" w:eastAsia="宋体" w:cs="宋体"/>
                <w:color w:val="000000" w:themeColor="text1"/>
                <w:sz w:val="24"/>
                <w:lang w:eastAsia="zh-CN"/>
                <w14:textFill>
                  <w14:solidFill>
                    <w14:schemeClr w14:val="tx1"/>
                  </w14:solidFill>
                </w14:textFill>
              </w:rPr>
            </w:pPr>
          </w:p>
        </w:tc>
        <w:tc>
          <w:tcPr>
            <w:tcW w:w="562" w:type="dxa"/>
            <w:noWrap w:val="0"/>
            <w:vAlign w:val="center"/>
          </w:tcPr>
          <w:p>
            <w:pPr>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11</w:t>
            </w:r>
          </w:p>
        </w:tc>
        <w:tc>
          <w:tcPr>
            <w:tcW w:w="8983" w:type="dxa"/>
            <w:noWrap w:val="0"/>
            <w:vAlign w:val="center"/>
          </w:tcPr>
          <w:p>
            <w:pPr>
              <w:pStyle w:val="13"/>
              <w:spacing w:before="0" w:beforeAutospacing="0" w:after="0" w:afterAutospacing="0"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cs="宋体"/>
                <w:color w:val="000000" w:themeColor="text1"/>
                <w14:textFill>
                  <w14:solidFill>
                    <w14:schemeClr w14:val="tx1"/>
                  </w14:solidFill>
                </w14:textFill>
              </w:rPr>
              <w:t>投标文件</w:t>
            </w:r>
            <w:r>
              <w:rPr>
                <w:rFonts w:hint="eastAsia" w:cs="宋体"/>
                <w:color w:val="000000" w:themeColor="text1"/>
                <w:lang w:eastAsia="zh-CN"/>
                <w14:textFill>
                  <w14:solidFill>
                    <w14:schemeClr w14:val="tx1"/>
                  </w14:solidFill>
                </w14:textFill>
              </w:rPr>
              <w:t>没</w:t>
            </w:r>
            <w:r>
              <w:rPr>
                <w:rFonts w:hint="eastAsia" w:cs="宋体"/>
                <w:color w:val="000000" w:themeColor="text1"/>
                <w14:textFill>
                  <w14:solidFill>
                    <w14:schemeClr w14:val="tx1"/>
                  </w14:solidFill>
                </w14:textFill>
              </w:rPr>
              <w:t>有采购人不能接受的其他条件；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01" w:type="dxa"/>
            <w:vMerge w:val="continue"/>
            <w:noWrap w:val="0"/>
            <w:vAlign w:val="top"/>
          </w:tcPr>
          <w:p>
            <w:pPr>
              <w:spacing w:line="360" w:lineRule="auto"/>
              <w:rPr>
                <w:rFonts w:hint="eastAsia" w:ascii="宋体" w:hAnsi="宋体" w:eastAsia="宋体" w:cs="宋体"/>
                <w:color w:val="000000" w:themeColor="text1"/>
                <w:sz w:val="24"/>
                <w:lang w:eastAsia="zh-CN"/>
                <w14:textFill>
                  <w14:solidFill>
                    <w14:schemeClr w14:val="tx1"/>
                  </w14:solidFill>
                </w14:textFill>
              </w:rPr>
            </w:pPr>
          </w:p>
        </w:tc>
        <w:tc>
          <w:tcPr>
            <w:tcW w:w="562" w:type="dxa"/>
            <w:noWrap w:val="0"/>
            <w:vAlign w:val="center"/>
          </w:tcPr>
          <w:p>
            <w:pPr>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12</w:t>
            </w:r>
          </w:p>
        </w:tc>
        <w:tc>
          <w:tcPr>
            <w:tcW w:w="8983" w:type="dxa"/>
            <w:noWrap w:val="0"/>
            <w:vAlign w:val="center"/>
          </w:tcPr>
          <w:p>
            <w:pPr>
              <w:pStyle w:val="13"/>
              <w:spacing w:before="0" w:beforeAutospacing="0" w:after="0" w:afterAutospacing="0"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cs="宋体"/>
                <w:color w:val="000000" w:themeColor="text1"/>
                <w14:textFill>
                  <w14:solidFill>
                    <w14:schemeClr w14:val="tx1"/>
                  </w14:solidFill>
                </w14:textFill>
              </w:rPr>
              <w:t>符合招标文件中规定的其他实质性要求。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146" w:type="dxa"/>
            <w:gridSpan w:val="3"/>
            <w:noWrap w:val="0"/>
            <w:vAlign w:val="center"/>
          </w:tcPr>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初步评审合格后方可进入详细评审阶段</w:t>
            </w:r>
          </w:p>
        </w:tc>
      </w:tr>
    </w:tbl>
    <w:p>
      <w:pPr>
        <w:spacing w:line="360" w:lineRule="auto"/>
        <w:rPr>
          <w:rFonts w:hint="eastAsia" w:ascii="宋体" w:hAnsi="宋体" w:cs="宋体"/>
          <w:b/>
          <w:bCs/>
          <w:color w:val="000000" w:themeColor="text1"/>
          <w:sz w:val="24"/>
          <w:highlight w:val="none"/>
          <w14:textFill>
            <w14:solidFill>
              <w14:schemeClr w14:val="tx1"/>
            </w14:solidFill>
          </w14:textFill>
        </w:rPr>
      </w:pPr>
    </w:p>
    <w:p>
      <w:pPr>
        <w:spacing w:line="360" w:lineRule="auto"/>
        <w:rPr>
          <w:rFonts w:hint="eastAsia" w:ascii="宋体" w:hAnsi="宋体" w:cs="宋体"/>
          <w:b/>
          <w:bCs/>
          <w:color w:val="000000" w:themeColor="text1"/>
          <w:sz w:val="24"/>
          <w:highlight w:val="none"/>
          <w14:textFill>
            <w14:solidFill>
              <w14:schemeClr w14:val="tx1"/>
            </w14:solidFill>
          </w14:textFill>
        </w:rPr>
      </w:pPr>
    </w:p>
    <w:p>
      <w:pPr>
        <w:spacing w:line="360" w:lineRule="auto"/>
        <w:rPr>
          <w:rFonts w:hint="eastAsia" w:ascii="宋体" w:hAnsi="宋体" w:cs="宋体"/>
          <w:b/>
          <w:bCs/>
          <w:color w:val="000000" w:themeColor="text1"/>
          <w:sz w:val="24"/>
          <w:highlight w:val="none"/>
          <w14:textFill>
            <w14:solidFill>
              <w14:schemeClr w14:val="tx1"/>
            </w14:solidFill>
          </w14:textFill>
        </w:rPr>
      </w:pPr>
    </w:p>
    <w:p>
      <w:pPr>
        <w:spacing w:line="360" w:lineRule="auto"/>
        <w:rPr>
          <w:rFonts w:hint="eastAsia" w:ascii="宋体" w:hAnsi="宋体" w:cs="宋体"/>
          <w:b/>
          <w:bCs/>
          <w:color w:val="000000" w:themeColor="text1"/>
          <w:sz w:val="24"/>
          <w:highlight w:val="none"/>
          <w14:textFill>
            <w14:solidFill>
              <w14:schemeClr w14:val="tx1"/>
            </w14:solidFill>
          </w14:textFill>
        </w:rPr>
      </w:pPr>
    </w:p>
    <w:p>
      <w:pPr>
        <w:spacing w:line="360" w:lineRule="auto"/>
        <w:rPr>
          <w:rFonts w:hint="eastAsia" w:ascii="宋体" w:hAnsi="宋体" w:cs="宋体"/>
          <w:b/>
          <w:bCs/>
          <w:color w:val="000000" w:themeColor="text1"/>
          <w:sz w:val="24"/>
          <w:highlight w:val="none"/>
          <w14:textFill>
            <w14:solidFill>
              <w14:schemeClr w14:val="tx1"/>
            </w14:solidFill>
          </w14:textFill>
        </w:rPr>
      </w:pPr>
    </w:p>
    <w:p>
      <w:pPr>
        <w:spacing w:line="360" w:lineRule="auto"/>
        <w:rPr>
          <w:rFonts w:hint="eastAsia" w:ascii="宋体" w:hAnsi="宋体" w:cs="宋体"/>
          <w:b/>
          <w:bCs/>
          <w:color w:val="000000" w:themeColor="text1"/>
          <w:sz w:val="24"/>
          <w:highlight w:val="none"/>
          <w14:textFill>
            <w14:solidFill>
              <w14:schemeClr w14:val="tx1"/>
            </w14:solidFill>
          </w14:textFill>
        </w:rPr>
      </w:pPr>
    </w:p>
    <w:p>
      <w:pPr>
        <w:pStyle w:val="7"/>
        <w:rPr>
          <w:rFonts w:hint="eastAsia" w:ascii="宋体" w:hAnsi="宋体" w:cs="宋体"/>
          <w:b/>
          <w:bCs/>
          <w:color w:val="000000" w:themeColor="text1"/>
          <w:sz w:val="24"/>
          <w:highlight w:val="none"/>
          <w14:textFill>
            <w14:solidFill>
              <w14:schemeClr w14:val="tx1"/>
            </w14:solidFill>
          </w14:textFill>
        </w:rPr>
      </w:pPr>
    </w:p>
    <w:p>
      <w:pPr>
        <w:spacing w:line="360" w:lineRule="auto"/>
        <w:rPr>
          <w:rFonts w:hint="eastAsia" w:ascii="宋体" w:hAnsi="宋体" w:cs="宋体"/>
          <w:b/>
          <w:bCs/>
          <w:color w:val="000000" w:themeColor="text1"/>
          <w:sz w:val="24"/>
          <w:highlight w:val="none"/>
          <w14:textFill>
            <w14:solidFill>
              <w14:schemeClr w14:val="tx1"/>
            </w14:solidFill>
          </w14:textFill>
        </w:rPr>
      </w:pPr>
    </w:p>
    <w:p>
      <w:pPr>
        <w:pStyle w:val="7"/>
        <w:rPr>
          <w:rFonts w:hint="eastAsia" w:ascii="宋体" w:hAnsi="宋体" w:cs="宋体"/>
          <w:b/>
          <w:bCs/>
          <w:color w:val="000000" w:themeColor="text1"/>
          <w:sz w:val="24"/>
          <w:highlight w:val="none"/>
          <w14:textFill>
            <w14:solidFill>
              <w14:schemeClr w14:val="tx1"/>
            </w14:solidFill>
          </w14:textFill>
        </w:rPr>
      </w:pPr>
    </w:p>
    <w:p>
      <w:pPr>
        <w:rPr>
          <w:rFonts w:hint="eastAsia" w:ascii="宋体" w:hAnsi="宋体" w:cs="宋体"/>
          <w:b/>
          <w:bCs/>
          <w:color w:val="000000" w:themeColor="text1"/>
          <w:sz w:val="24"/>
          <w:highlight w:val="none"/>
          <w14:textFill>
            <w14:solidFill>
              <w14:schemeClr w14:val="tx1"/>
            </w14:solidFill>
          </w14:textFill>
        </w:rPr>
      </w:pPr>
    </w:p>
    <w:p>
      <w:pPr>
        <w:pStyle w:val="7"/>
        <w:rPr>
          <w:rFonts w:hint="eastAsia"/>
          <w:color w:val="000000" w:themeColor="text1"/>
          <w14:textFill>
            <w14:solidFill>
              <w14:schemeClr w14:val="tx1"/>
            </w14:solidFill>
          </w14:textFill>
        </w:rPr>
      </w:pPr>
    </w:p>
    <w:p>
      <w:pPr>
        <w:spacing w:line="360" w:lineRule="auto"/>
        <w:jc w:val="center"/>
        <w:outlineLvl w:val="2"/>
        <w:rPr>
          <w:rFonts w:hint="eastAsia" w:ascii="宋体" w:hAnsi="宋体" w:cs="宋体"/>
          <w:b/>
          <w:bCs/>
          <w:color w:val="000000" w:themeColor="text1"/>
          <w:sz w:val="24"/>
          <w:highlight w:val="none"/>
          <w14:textFill>
            <w14:solidFill>
              <w14:schemeClr w14:val="tx1"/>
            </w14:solidFill>
          </w14:textFill>
        </w:rPr>
      </w:pPr>
    </w:p>
    <w:p>
      <w:pPr>
        <w:spacing w:line="360" w:lineRule="auto"/>
        <w:jc w:val="center"/>
        <w:outlineLvl w:val="2"/>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经济报价评分标准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9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01"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w:t>
            </w:r>
          </w:p>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济</w:t>
            </w:r>
          </w:p>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w:t>
            </w:r>
          </w:p>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价</w:t>
            </w:r>
          </w:p>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K1</w:t>
            </w:r>
          </w:p>
        </w:tc>
        <w:tc>
          <w:tcPr>
            <w:tcW w:w="9545" w:type="dxa"/>
            <w:noWrap w:val="0"/>
            <w:vAlign w:val="top"/>
          </w:tcPr>
          <w:p>
            <w:pPr>
              <w:pStyle w:val="24"/>
              <w:adjustRightInd w:val="0"/>
              <w:snapToGrid w:val="0"/>
              <w:spacing w:line="360" w:lineRule="auto"/>
              <w:ind w:firstLine="0" w:firstLineChars="0"/>
              <w:jc w:val="both"/>
              <w:rPr>
                <w:rFonts w:hint="eastAsia" w:ascii="宋体" w:hAnsi="宋体" w:eastAsia="宋体" w:cs="宋体"/>
                <w:bCs/>
                <w:color w:val="000000" w:themeColor="text1"/>
                <w:spacing w:val="-3"/>
                <w:sz w:val="24"/>
                <w:highlight w:val="none"/>
                <w14:textFill>
                  <w14:solidFill>
                    <w14:schemeClr w14:val="tx1"/>
                  </w14:solidFill>
                </w14:textFill>
              </w:rPr>
            </w:pPr>
            <w:r>
              <w:rPr>
                <w:rFonts w:hint="eastAsia" w:ascii="宋体" w:hAnsi="宋体" w:eastAsia="宋体" w:cs="宋体"/>
                <w:bCs/>
                <w:color w:val="000000" w:themeColor="text1"/>
                <w:spacing w:val="-3"/>
                <w:sz w:val="24"/>
                <w:highlight w:val="none"/>
                <w14:textFill>
                  <w14:solidFill>
                    <w14:schemeClr w14:val="tx1"/>
                  </w14:solidFill>
                </w14:textFill>
              </w:rPr>
              <w:t>经济报价得分计算：</w:t>
            </w:r>
          </w:p>
          <w:p>
            <w:pPr>
              <w:pStyle w:val="24"/>
              <w:adjustRightInd w:val="0"/>
              <w:snapToGrid w:val="0"/>
              <w:spacing w:line="360" w:lineRule="auto"/>
              <w:ind w:firstLine="471"/>
              <w:jc w:val="both"/>
              <w:rPr>
                <w:rFonts w:hint="eastAsia" w:ascii="宋体" w:hAnsi="宋体" w:eastAsia="宋体" w:cs="宋体"/>
                <w:b/>
                <w:color w:val="000000" w:themeColor="text1"/>
                <w:spacing w:val="-3"/>
                <w:sz w:val="24"/>
                <w:highlight w:val="none"/>
                <w14:textFill>
                  <w14:solidFill>
                    <w14:schemeClr w14:val="tx1"/>
                  </w14:solidFill>
                </w14:textFill>
              </w:rPr>
            </w:pPr>
            <w:r>
              <w:rPr>
                <w:rFonts w:hint="eastAsia" w:ascii="宋体" w:hAnsi="宋体" w:eastAsia="宋体" w:cs="宋体"/>
                <w:b w:val="0"/>
                <w:color w:val="000000" w:themeColor="text1"/>
                <w:spacing w:val="-3"/>
                <w:sz w:val="24"/>
                <w:highlight w:val="none"/>
                <w14:textFill>
                  <w14:solidFill>
                    <w14:schemeClr w14:val="tx1"/>
                  </w14:solidFill>
                </w14:textFill>
              </w:rPr>
              <w:t>（1）对于经济报价的评分，按以下方法进行：价格分采用低价优先法计算，即满足招标文件要求且投标价格最低的投标报价为评标基准价，其价格分为满分。其他投标人的价格分统一按照下列公式计算</w:t>
            </w:r>
            <w:r>
              <w:rPr>
                <w:rFonts w:hint="eastAsia" w:ascii="宋体" w:hAnsi="宋体" w:eastAsia="宋体" w:cs="宋体"/>
                <w:b w:val="0"/>
                <w:color w:val="000000" w:themeColor="text1"/>
                <w:spacing w:val="-3"/>
                <w:sz w:val="24"/>
                <w:highlight w:val="none"/>
                <w:lang w:eastAsia="zh-CN"/>
                <w14:textFill>
                  <w14:solidFill>
                    <w14:schemeClr w14:val="tx1"/>
                  </w14:solidFill>
                </w14:textFill>
              </w:rPr>
              <w:t>，</w:t>
            </w:r>
            <w:r>
              <w:rPr>
                <w:rFonts w:hint="eastAsia" w:ascii="宋体" w:hAnsi="宋体" w:eastAsia="宋体" w:cs="宋体"/>
                <w:b/>
                <w:color w:val="000000" w:themeColor="text1"/>
                <w:spacing w:val="-3"/>
                <w:sz w:val="24"/>
                <w:highlight w:val="none"/>
                <w:lang w:val="en-US" w:eastAsia="zh-CN"/>
                <w14:textFill>
                  <w14:solidFill>
                    <w14:schemeClr w14:val="tx1"/>
                  </w14:solidFill>
                </w14:textFill>
              </w:rPr>
              <w:t>因落实政府采购政策进行价格调整的，以调整后的价格计算评标基准价和投标报价。</w:t>
            </w:r>
          </w:p>
          <w:p>
            <w:pPr>
              <w:pStyle w:val="24"/>
              <w:adjustRightInd w:val="0"/>
              <w:snapToGrid w:val="0"/>
              <w:spacing w:line="360" w:lineRule="auto"/>
              <w:ind w:firstLine="471"/>
              <w:jc w:val="both"/>
              <w:rPr>
                <w:rFonts w:hint="eastAsia" w:ascii="宋体" w:hAnsi="宋体" w:eastAsia="宋体" w:cs="宋体"/>
                <w:b w:val="0"/>
                <w:color w:val="000000" w:themeColor="text1"/>
                <w:spacing w:val="-3"/>
                <w:sz w:val="24"/>
                <w:highlight w:val="none"/>
                <w14:textFill>
                  <w14:solidFill>
                    <w14:schemeClr w14:val="tx1"/>
                  </w14:solidFill>
                </w14:textFill>
              </w:rPr>
            </w:pPr>
            <w:r>
              <w:rPr>
                <w:rFonts w:hint="eastAsia" w:ascii="宋体" w:hAnsi="宋体" w:eastAsia="宋体" w:cs="宋体"/>
                <w:b w:val="0"/>
                <w:color w:val="000000" w:themeColor="text1"/>
                <w:spacing w:val="-3"/>
                <w:sz w:val="24"/>
                <w:highlight w:val="none"/>
                <w14:textFill>
                  <w14:solidFill>
                    <w14:schemeClr w14:val="tx1"/>
                  </w14:solidFill>
                </w14:textFill>
              </w:rPr>
              <w:t>投标报价得分=(评标基准价/投标报价)×</w:t>
            </w:r>
            <w:r>
              <w:rPr>
                <w:rFonts w:hint="eastAsia" w:ascii="宋体" w:hAnsi="宋体" w:eastAsia="宋体" w:cs="宋体"/>
                <w:b w:val="0"/>
                <w:color w:val="000000" w:themeColor="text1"/>
                <w:spacing w:val="-3"/>
                <w:sz w:val="24"/>
                <w:highlight w:val="none"/>
                <w:lang w:val="en-US" w:eastAsia="zh-CN"/>
                <w14:textFill>
                  <w14:solidFill>
                    <w14:schemeClr w14:val="tx1"/>
                  </w14:solidFill>
                </w14:textFill>
              </w:rPr>
              <w:t>3</w:t>
            </w:r>
            <w:r>
              <w:rPr>
                <w:rFonts w:hint="eastAsia" w:ascii="宋体" w:hAnsi="宋体" w:eastAsia="宋体" w:cs="宋体"/>
                <w:b w:val="0"/>
                <w:color w:val="000000" w:themeColor="text1"/>
                <w:spacing w:val="-3"/>
                <w:sz w:val="24"/>
                <w:highlight w:val="none"/>
                <w14:textFill>
                  <w14:solidFill>
                    <w14:schemeClr w14:val="tx1"/>
                  </w14:solidFill>
                </w14:textFill>
              </w:rPr>
              <w:t>0%×100</w:t>
            </w:r>
          </w:p>
          <w:p>
            <w:pPr>
              <w:pStyle w:val="24"/>
              <w:adjustRightInd w:val="0"/>
              <w:snapToGrid w:val="0"/>
              <w:spacing w:line="360" w:lineRule="auto"/>
              <w:ind w:firstLine="471"/>
              <w:jc w:val="both"/>
              <w:rPr>
                <w:rFonts w:hint="eastAsia" w:ascii="宋体" w:hAnsi="宋体" w:eastAsia="宋体" w:cs="宋体"/>
                <w:b w:val="0"/>
                <w:color w:val="000000" w:themeColor="text1"/>
                <w:spacing w:val="-3"/>
                <w:sz w:val="24"/>
                <w:highlight w:val="none"/>
                <w14:textFill>
                  <w14:solidFill>
                    <w14:schemeClr w14:val="tx1"/>
                  </w14:solidFill>
                </w14:textFill>
              </w:rPr>
            </w:pPr>
            <w:r>
              <w:rPr>
                <w:rFonts w:hint="eastAsia" w:ascii="宋体" w:hAnsi="宋体" w:eastAsia="宋体" w:cs="宋体"/>
                <w:b w:val="0"/>
                <w:color w:val="000000" w:themeColor="text1"/>
                <w:spacing w:val="-3"/>
                <w:sz w:val="24"/>
                <w:highlight w:val="none"/>
                <w14:textFill>
                  <w14:solidFill>
                    <w14:schemeClr w14:val="tx1"/>
                  </w14:solidFill>
                </w14:textFill>
              </w:rPr>
              <w:t>（2）</w:t>
            </w:r>
            <w:r>
              <w:rPr>
                <w:rFonts w:hint="eastAsia" w:ascii="宋体" w:hAnsi="宋体" w:eastAsia="宋体" w:cs="宋体"/>
                <w:bCs/>
                <w:color w:val="000000" w:themeColor="text1"/>
                <w:spacing w:val="-3"/>
                <w:sz w:val="24"/>
                <w:highlight w:val="none"/>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4"/>
              <w:keepLines w:val="0"/>
              <w:kinsoku/>
              <w:wordWrap/>
              <w:overflowPunct/>
              <w:bidi w:val="0"/>
              <w:spacing w:line="360" w:lineRule="auto"/>
              <w:ind w:left="0" w:leftChars="0"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节能、环境标志产品评审优惠内容及加分幅度：</w:t>
            </w:r>
          </w:p>
          <w:p>
            <w:pPr>
              <w:pStyle w:val="24"/>
              <w:keepNext w:val="0"/>
              <w:keepLines w:val="0"/>
              <w:pageBreakBefore w:val="0"/>
              <w:widowControl w:val="0"/>
              <w:kinsoku/>
              <w:wordWrap/>
              <w:overflowPunct/>
              <w:topLinePunct w:val="0"/>
              <w:autoSpaceDE/>
              <w:autoSpaceDN/>
              <w:bidi w:val="0"/>
              <w:spacing w:line="360" w:lineRule="auto"/>
              <w:ind w:left="0" w:leftChars="0" w:right="0" w:rightChars="0" w:firstLine="482" w:firstLineChars="200"/>
              <w:jc w:val="both"/>
              <w:textAlignment w:val="auto"/>
              <w:outlineLvl w:val="9"/>
              <w:rPr>
                <w:rFonts w:hint="eastAsia" w:ascii="宋体" w:hAnsi="宋体" w:eastAsia="宋体" w:cs="宋体"/>
                <w:b w:val="0"/>
                <w:color w:val="000000" w:themeColor="text1"/>
                <w:spacing w:val="-3"/>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根据《国务院办公厅关于建立政府强制采购节能产品制度的通知》（国办发[2007]51号）和财政部、发展改革委发布的《节能产品政府采购实施意见》（财库[2004]185号）以及《</w:t>
            </w:r>
            <w:r>
              <w:rPr>
                <w:rFonts w:hint="eastAsia" w:ascii="宋体" w:hAnsi="宋体" w:eastAsia="宋体" w:cs="宋体"/>
                <w:b w:val="0"/>
                <w:color w:val="000000" w:themeColor="text1"/>
                <w:spacing w:val="-3"/>
                <w:sz w:val="24"/>
                <w:szCs w:val="24"/>
                <w:highlight w:val="none"/>
                <w14:textFill>
                  <w14:solidFill>
                    <w14:schemeClr w14:val="tx1"/>
                  </w14:solidFill>
                </w14:textFill>
              </w:rPr>
              <w:t>财政部、发展改革委关于调整节能产品政府采购清单的通知》最新的规定，本次采购货物中属政府强制采购节能产品的，投标人所投产品必须是《节能产品政府采购清单》内产品，并提供清单内证明材料，否则投标无效。其他产品若属于“节能产品政府采购清单”内产品，在同等条件下，优先采购清单中的产品。</w:t>
            </w:r>
          </w:p>
          <w:p>
            <w:pPr>
              <w:pStyle w:val="2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宋体" w:hAnsi="宋体" w:eastAsia="宋体" w:cs="宋体"/>
                <w:b w:val="0"/>
                <w:color w:val="000000" w:themeColor="text1"/>
                <w:spacing w:val="-3"/>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pacing w:val="-3"/>
                <w:sz w:val="24"/>
                <w:szCs w:val="24"/>
                <w:highlight w:val="none"/>
                <w14:textFill>
                  <w14:solidFill>
                    <w14:schemeClr w14:val="tx1"/>
                  </w14:solidFill>
                </w14:textFill>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p>
            <w:pPr>
              <w:pStyle w:val="24"/>
              <w:keepLines w:val="0"/>
              <w:kinsoku/>
              <w:wordWrap/>
              <w:overflowPunct/>
              <w:bidi w:val="0"/>
              <w:adjustRightInd w:val="0"/>
              <w:snapToGrid w:val="0"/>
              <w:spacing w:line="360" w:lineRule="auto"/>
              <w:ind w:firstLine="550"/>
              <w:jc w:val="both"/>
              <w:textAlignment w:val="auto"/>
              <w:rPr>
                <w:rFonts w:hint="eastAsia" w:ascii="宋体" w:hAnsi="宋体" w:eastAsia="宋体" w:cs="宋体"/>
                <w:color w:val="000000" w:themeColor="text1"/>
                <w:spacing w:val="-3"/>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价格项加分：</w:t>
            </w:r>
          </w:p>
          <w:p>
            <w:pPr>
              <w:pStyle w:val="24"/>
              <w:keepLines w:val="0"/>
              <w:kinsoku/>
              <w:wordWrap/>
              <w:overflowPunct/>
              <w:bidi w:val="0"/>
              <w:adjustRightInd w:val="0"/>
              <w:snapToGrid w:val="0"/>
              <w:spacing w:line="360" w:lineRule="auto"/>
              <w:ind w:firstLine="548"/>
              <w:jc w:val="both"/>
              <w:textAlignment w:val="auto"/>
              <w:rPr>
                <w:rFonts w:hint="eastAsia" w:ascii="宋体" w:hAnsi="宋体" w:eastAsia="宋体" w:cs="宋体"/>
                <w:b w:val="0"/>
                <w:color w:val="000000" w:themeColor="text1"/>
                <w:spacing w:val="-3"/>
                <w:sz w:val="24"/>
                <w:szCs w:val="24"/>
                <w:highlight w:val="none"/>
                <w14:textFill>
                  <w14:solidFill>
                    <w14:schemeClr w14:val="tx1"/>
                  </w14:solidFill>
                </w14:textFill>
              </w:rPr>
            </w:pPr>
            <w:r>
              <w:rPr>
                <w:rFonts w:hint="eastAsia" w:ascii="宋体" w:hAnsi="宋体" w:eastAsia="宋体" w:cs="宋体"/>
                <w:b w:val="0"/>
                <w:color w:val="000000" w:themeColor="text1"/>
                <w:spacing w:val="-3"/>
                <w:sz w:val="24"/>
                <w:szCs w:val="24"/>
                <w:highlight w:val="none"/>
                <w14:textFill>
                  <w14:solidFill>
                    <w14:schemeClr w14:val="tx1"/>
                  </w14:solidFill>
                </w14:textFill>
              </w:rPr>
              <w:t>1、（节能清单部分产品的价格/投标报价）×3%×价格项满分值</w:t>
            </w:r>
          </w:p>
          <w:p>
            <w:pPr>
              <w:pStyle w:val="24"/>
              <w:keepLines w:val="0"/>
              <w:kinsoku/>
              <w:wordWrap/>
              <w:overflowPunct/>
              <w:bidi w:val="0"/>
              <w:adjustRightInd w:val="0"/>
              <w:snapToGrid w:val="0"/>
              <w:spacing w:line="360" w:lineRule="auto"/>
              <w:ind w:firstLine="548"/>
              <w:jc w:val="both"/>
              <w:textAlignment w:val="auto"/>
              <w:rPr>
                <w:rFonts w:hint="eastAsia" w:ascii="宋体" w:hAnsi="宋体" w:eastAsia="宋体" w:cs="宋体"/>
                <w:b w:val="0"/>
                <w:color w:val="000000" w:themeColor="text1"/>
                <w:spacing w:val="-3"/>
                <w:sz w:val="24"/>
                <w:szCs w:val="24"/>
                <w:highlight w:val="none"/>
                <w14:textFill>
                  <w14:solidFill>
                    <w14:schemeClr w14:val="tx1"/>
                  </w14:solidFill>
                </w14:textFill>
              </w:rPr>
            </w:pPr>
            <w:r>
              <w:rPr>
                <w:rFonts w:hint="eastAsia" w:ascii="宋体" w:hAnsi="宋体" w:eastAsia="宋体" w:cs="宋体"/>
                <w:b w:val="0"/>
                <w:color w:val="000000" w:themeColor="text1"/>
                <w:spacing w:val="-3"/>
                <w:sz w:val="24"/>
                <w:szCs w:val="24"/>
                <w:highlight w:val="none"/>
                <w14:textFill>
                  <w14:solidFill>
                    <w14:schemeClr w14:val="tx1"/>
                  </w14:solidFill>
                </w14:textFill>
              </w:rPr>
              <w:t>2、（环境清单部分产品的价格/投标报价）×3%×价格项满分值</w:t>
            </w:r>
          </w:p>
          <w:p>
            <w:pPr>
              <w:pStyle w:val="24"/>
              <w:keepLines w:val="0"/>
              <w:kinsoku/>
              <w:wordWrap/>
              <w:overflowPunct/>
              <w:bidi w:val="0"/>
              <w:adjustRightInd w:val="0"/>
              <w:snapToGrid w:val="0"/>
              <w:spacing w:line="360" w:lineRule="auto"/>
              <w:ind w:firstLine="550"/>
              <w:jc w:val="both"/>
              <w:textAlignment w:val="auto"/>
              <w:rPr>
                <w:rFonts w:hint="eastAsia" w:ascii="宋体" w:hAnsi="宋体" w:eastAsia="宋体" w:cs="宋体"/>
                <w:color w:val="000000" w:themeColor="text1"/>
                <w:spacing w:val="-3"/>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技术项加分：</w:t>
            </w:r>
          </w:p>
          <w:p>
            <w:pPr>
              <w:pStyle w:val="24"/>
              <w:keepLines w:val="0"/>
              <w:kinsoku/>
              <w:wordWrap/>
              <w:overflowPunct/>
              <w:bidi w:val="0"/>
              <w:adjustRightInd w:val="0"/>
              <w:snapToGrid w:val="0"/>
              <w:spacing w:line="360" w:lineRule="auto"/>
              <w:ind w:firstLine="548"/>
              <w:jc w:val="both"/>
              <w:textAlignment w:val="auto"/>
              <w:rPr>
                <w:rFonts w:hint="eastAsia" w:ascii="宋体" w:hAnsi="宋体" w:eastAsia="宋体" w:cs="宋体"/>
                <w:b w:val="0"/>
                <w:color w:val="000000" w:themeColor="text1"/>
                <w:spacing w:val="-3"/>
                <w:sz w:val="24"/>
                <w:szCs w:val="24"/>
                <w:highlight w:val="none"/>
                <w14:textFill>
                  <w14:solidFill>
                    <w14:schemeClr w14:val="tx1"/>
                  </w14:solidFill>
                </w14:textFill>
              </w:rPr>
            </w:pPr>
            <w:r>
              <w:rPr>
                <w:rFonts w:hint="eastAsia" w:ascii="宋体" w:hAnsi="宋体" w:eastAsia="宋体" w:cs="宋体"/>
                <w:b w:val="0"/>
                <w:color w:val="000000" w:themeColor="text1"/>
                <w:spacing w:val="-3"/>
                <w:sz w:val="24"/>
                <w:szCs w:val="24"/>
                <w:highlight w:val="none"/>
                <w14:textFill>
                  <w14:solidFill>
                    <w14:schemeClr w14:val="tx1"/>
                  </w14:solidFill>
                </w14:textFill>
              </w:rPr>
              <w:t>1、（节能清单部分产品的价格/投标报价）×3%×技术项满分值</w:t>
            </w:r>
          </w:p>
          <w:p>
            <w:pPr>
              <w:pStyle w:val="24"/>
              <w:keepLines w:val="0"/>
              <w:kinsoku/>
              <w:wordWrap/>
              <w:overflowPunct/>
              <w:bidi w:val="0"/>
              <w:adjustRightInd w:val="0"/>
              <w:snapToGrid w:val="0"/>
              <w:spacing w:line="360" w:lineRule="auto"/>
              <w:ind w:firstLine="548"/>
              <w:jc w:val="both"/>
              <w:textAlignment w:val="auto"/>
              <w:rPr>
                <w:rFonts w:hint="eastAsia" w:ascii="宋体" w:hAnsi="宋体" w:eastAsia="宋体" w:cs="宋体"/>
                <w:b w:val="0"/>
                <w:color w:val="000000" w:themeColor="text1"/>
                <w:spacing w:val="-3"/>
                <w:sz w:val="24"/>
                <w:szCs w:val="24"/>
                <w:highlight w:val="none"/>
                <w14:textFill>
                  <w14:solidFill>
                    <w14:schemeClr w14:val="tx1"/>
                  </w14:solidFill>
                </w14:textFill>
              </w:rPr>
            </w:pPr>
            <w:r>
              <w:rPr>
                <w:rFonts w:hint="eastAsia" w:ascii="宋体" w:hAnsi="宋体" w:eastAsia="宋体" w:cs="宋体"/>
                <w:b w:val="0"/>
                <w:color w:val="000000" w:themeColor="text1"/>
                <w:spacing w:val="-3"/>
                <w:sz w:val="24"/>
                <w:szCs w:val="24"/>
                <w:highlight w:val="none"/>
                <w14:textFill>
                  <w14:solidFill>
                    <w14:schemeClr w14:val="tx1"/>
                  </w14:solidFill>
                </w14:textFill>
              </w:rPr>
              <w:t>2、（环境清单部分产品的价格/投标报价）×3%×技术项满分值</w:t>
            </w:r>
          </w:p>
          <w:p>
            <w:pPr>
              <w:pStyle w:val="24"/>
              <w:keepLines w:val="0"/>
              <w:kinsoku/>
              <w:wordWrap/>
              <w:overflowPunct/>
              <w:bidi w:val="0"/>
              <w:adjustRightInd w:val="0"/>
              <w:snapToGrid w:val="0"/>
              <w:spacing w:line="360" w:lineRule="auto"/>
              <w:ind w:firstLine="548"/>
              <w:jc w:val="both"/>
              <w:textAlignment w:val="auto"/>
              <w:rPr>
                <w:rFonts w:hint="eastAsia" w:ascii="宋体" w:hAnsi="宋体" w:eastAsia="宋体" w:cs="宋体"/>
                <w:b w:val="0"/>
                <w:color w:val="000000" w:themeColor="text1"/>
                <w:spacing w:val="-3"/>
                <w:sz w:val="24"/>
                <w:szCs w:val="24"/>
                <w:highlight w:val="none"/>
                <w14:textFill>
                  <w14:solidFill>
                    <w14:schemeClr w14:val="tx1"/>
                  </w14:solidFill>
                </w14:textFill>
              </w:rPr>
            </w:pPr>
            <w:r>
              <w:rPr>
                <w:rFonts w:hint="eastAsia" w:ascii="宋体" w:hAnsi="宋体" w:eastAsia="宋体" w:cs="宋体"/>
                <w:b w:val="0"/>
                <w:color w:val="000000" w:themeColor="text1"/>
                <w:spacing w:val="-3"/>
                <w:sz w:val="24"/>
                <w:szCs w:val="24"/>
                <w:highlight w:val="none"/>
                <w14:textFill>
                  <w14:solidFill>
                    <w14:schemeClr w14:val="tx1"/>
                  </w14:solidFill>
                </w14:textFill>
              </w:rPr>
              <w:t>注：1、投标人须提供</w:t>
            </w:r>
            <w:r>
              <w:rPr>
                <w:rFonts w:hint="eastAsia" w:ascii="宋体" w:hAnsi="宋体" w:eastAsia="宋体" w:cs="宋体"/>
                <w:b w:val="0"/>
                <w:color w:val="000000" w:themeColor="text1"/>
                <w:spacing w:val="-3"/>
                <w:sz w:val="24"/>
                <w:szCs w:val="24"/>
                <w:highlight w:val="none"/>
                <w:lang w:val="en-US" w:eastAsia="zh-CN"/>
                <w14:textFill>
                  <w14:solidFill>
                    <w14:schemeClr w14:val="tx1"/>
                  </w14:solidFill>
                </w14:textFill>
              </w:rPr>
              <w:t>最新一</w:t>
            </w:r>
            <w:r>
              <w:rPr>
                <w:rFonts w:hint="eastAsia" w:ascii="宋体" w:hAnsi="宋体" w:eastAsia="宋体" w:cs="宋体"/>
                <w:b w:val="0"/>
                <w:color w:val="000000" w:themeColor="text1"/>
                <w:spacing w:val="-3"/>
                <w:sz w:val="24"/>
                <w:szCs w:val="24"/>
                <w:highlight w:val="none"/>
                <w14:textFill>
                  <w14:solidFill>
                    <w14:schemeClr w14:val="tx1"/>
                  </w14:solidFill>
                </w14:textFill>
              </w:rPr>
              <w:t>期《节能产品政府采购清单》关于投标产品当前页的打印件；</w:t>
            </w:r>
          </w:p>
          <w:p>
            <w:pPr>
              <w:pStyle w:val="24"/>
              <w:keepLines w:val="0"/>
              <w:kinsoku/>
              <w:wordWrap/>
              <w:overflowPunct/>
              <w:bidi w:val="0"/>
              <w:adjustRightInd w:val="0"/>
              <w:snapToGrid w:val="0"/>
              <w:spacing w:line="360" w:lineRule="auto"/>
              <w:ind w:firstLine="548"/>
              <w:jc w:val="both"/>
              <w:textAlignment w:val="auto"/>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color w:val="000000" w:themeColor="text1"/>
                <w:spacing w:val="-3"/>
                <w:sz w:val="24"/>
                <w:szCs w:val="24"/>
                <w:highlight w:val="none"/>
                <w14:textFill>
                  <w14:solidFill>
                    <w14:schemeClr w14:val="tx1"/>
                  </w14:solidFill>
                </w14:textFill>
              </w:rPr>
              <w:t>2、投标人提供</w:t>
            </w:r>
            <w:r>
              <w:rPr>
                <w:rFonts w:hint="eastAsia" w:ascii="宋体" w:hAnsi="宋体" w:eastAsia="宋体" w:cs="宋体"/>
                <w:b w:val="0"/>
                <w:color w:val="000000" w:themeColor="text1"/>
                <w:spacing w:val="-3"/>
                <w:sz w:val="24"/>
                <w:szCs w:val="24"/>
                <w:highlight w:val="none"/>
                <w:lang w:val="en-US" w:eastAsia="zh-CN"/>
                <w14:textFill>
                  <w14:solidFill>
                    <w14:schemeClr w14:val="tx1"/>
                  </w14:solidFill>
                </w14:textFill>
              </w:rPr>
              <w:t>最新一</w:t>
            </w:r>
            <w:r>
              <w:rPr>
                <w:rFonts w:hint="eastAsia" w:ascii="宋体" w:hAnsi="宋体" w:eastAsia="宋体" w:cs="宋体"/>
                <w:b w:val="0"/>
                <w:color w:val="000000" w:themeColor="text1"/>
                <w:spacing w:val="-3"/>
                <w:sz w:val="24"/>
                <w:szCs w:val="24"/>
                <w:highlight w:val="none"/>
                <w14:textFill>
                  <w14:solidFill>
                    <w14:schemeClr w14:val="tx1"/>
                  </w14:solidFill>
                </w14:textFill>
              </w:rPr>
              <w:t>期《环境标志产品政府采购清单》关于投标产品当前页的打印件；</w:t>
            </w:r>
          </w:p>
          <w:p>
            <w:pPr>
              <w:pStyle w:val="24"/>
              <w:spacing w:line="360" w:lineRule="auto"/>
              <w:ind w:firstLine="485"/>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最低报价不作为评标的唯一依据。采购人不承诺将合同授予报价最低的投标人。</w:t>
            </w:r>
          </w:p>
        </w:tc>
      </w:tr>
    </w:tbl>
    <w:p>
      <w:pPr>
        <w:spacing w:line="360" w:lineRule="auto"/>
        <w:jc w:val="center"/>
        <w:rPr>
          <w:rFonts w:hint="eastAsia" w:ascii="宋体" w:hAnsi="宋体" w:cs="宋体"/>
          <w:b/>
          <w:color w:val="000000" w:themeColor="text1"/>
          <w:sz w:val="24"/>
          <w:highlight w:val="none"/>
          <w14:textFill>
            <w14:solidFill>
              <w14:schemeClr w14:val="tx1"/>
            </w14:solidFill>
          </w14:textFill>
        </w:rPr>
      </w:pPr>
    </w:p>
    <w:p>
      <w:pPr>
        <w:spacing w:line="360" w:lineRule="auto"/>
        <w:jc w:val="center"/>
        <w:rPr>
          <w:rFonts w:hint="eastAsia" w:ascii="宋体" w:hAnsi="宋体" w:cs="宋体"/>
          <w:b/>
          <w:color w:val="000000" w:themeColor="text1"/>
          <w:sz w:val="24"/>
          <w:highlight w:val="none"/>
          <w14:textFill>
            <w14:solidFill>
              <w14:schemeClr w14:val="tx1"/>
            </w14:solidFill>
          </w14:textFill>
        </w:rPr>
      </w:pPr>
    </w:p>
    <w:p>
      <w:pPr>
        <w:spacing w:line="360" w:lineRule="auto"/>
        <w:rPr>
          <w:rFonts w:hint="eastAsia" w:ascii="宋体" w:hAnsi="宋体" w:cs="宋体"/>
          <w:b/>
          <w:color w:val="000000" w:themeColor="text1"/>
          <w:sz w:val="24"/>
          <w:highlight w:val="none"/>
          <w14:textFill>
            <w14:solidFill>
              <w14:schemeClr w14:val="tx1"/>
            </w14:solidFill>
          </w14:textFill>
        </w:rPr>
      </w:pPr>
    </w:p>
    <w:p>
      <w:pPr>
        <w:spacing w:line="360" w:lineRule="auto"/>
        <w:rPr>
          <w:rFonts w:hint="eastAsia" w:ascii="宋体" w:hAnsi="宋体" w:cs="宋体"/>
          <w:b/>
          <w:color w:val="000000" w:themeColor="text1"/>
          <w:sz w:val="24"/>
          <w:highlight w:val="none"/>
          <w14:textFill>
            <w14:solidFill>
              <w14:schemeClr w14:val="tx1"/>
            </w14:solidFill>
          </w14:textFill>
        </w:rPr>
      </w:pPr>
    </w:p>
    <w:p>
      <w:pPr>
        <w:spacing w:line="360" w:lineRule="auto"/>
        <w:rPr>
          <w:rFonts w:hint="eastAsia" w:ascii="宋体" w:hAnsi="宋体" w:cs="宋体"/>
          <w:b/>
          <w:color w:val="000000" w:themeColor="text1"/>
          <w:sz w:val="24"/>
          <w:highlight w:val="none"/>
          <w14:textFill>
            <w14:solidFill>
              <w14:schemeClr w14:val="tx1"/>
            </w14:solidFill>
          </w14:textFill>
        </w:rPr>
      </w:pPr>
    </w:p>
    <w:p>
      <w:pPr>
        <w:spacing w:line="360" w:lineRule="auto"/>
        <w:rPr>
          <w:rFonts w:hint="eastAsia" w:ascii="宋体" w:hAnsi="宋体" w:cs="宋体"/>
          <w:b/>
          <w:color w:val="000000" w:themeColor="text1"/>
          <w:sz w:val="24"/>
          <w:highlight w:val="none"/>
          <w14:textFill>
            <w14:solidFill>
              <w14:schemeClr w14:val="tx1"/>
            </w14:solidFill>
          </w14:textFill>
        </w:rPr>
      </w:pPr>
    </w:p>
    <w:p>
      <w:pPr>
        <w:spacing w:line="360" w:lineRule="auto"/>
        <w:rPr>
          <w:rFonts w:hint="eastAsia" w:ascii="宋体" w:hAnsi="宋体" w:cs="宋体"/>
          <w:b/>
          <w:color w:val="000000" w:themeColor="text1"/>
          <w:sz w:val="24"/>
          <w:highlight w:val="none"/>
          <w14:textFill>
            <w14:solidFill>
              <w14:schemeClr w14:val="tx1"/>
            </w14:solidFill>
          </w14:textFill>
        </w:rPr>
      </w:pPr>
    </w:p>
    <w:p>
      <w:pPr>
        <w:spacing w:line="360" w:lineRule="auto"/>
        <w:rPr>
          <w:rFonts w:hint="eastAsia" w:ascii="宋体" w:hAnsi="宋体" w:cs="宋体"/>
          <w:b/>
          <w:color w:val="000000" w:themeColor="text1"/>
          <w:sz w:val="24"/>
          <w:highlight w:val="none"/>
          <w14:textFill>
            <w14:solidFill>
              <w14:schemeClr w14:val="tx1"/>
            </w14:solidFill>
          </w14:textFill>
        </w:rPr>
      </w:pPr>
    </w:p>
    <w:p>
      <w:pPr>
        <w:spacing w:line="360" w:lineRule="auto"/>
        <w:rPr>
          <w:rFonts w:hint="eastAsia" w:ascii="宋体" w:hAnsi="宋体" w:cs="宋体"/>
          <w:b/>
          <w:color w:val="000000" w:themeColor="text1"/>
          <w:sz w:val="24"/>
          <w:highlight w:val="none"/>
          <w14:textFill>
            <w14:solidFill>
              <w14:schemeClr w14:val="tx1"/>
            </w14:solidFill>
          </w14:textFill>
        </w:rPr>
      </w:pPr>
    </w:p>
    <w:p>
      <w:pPr>
        <w:spacing w:line="360" w:lineRule="auto"/>
        <w:rPr>
          <w:rFonts w:hint="eastAsia" w:ascii="宋体" w:hAnsi="宋体" w:cs="宋体"/>
          <w:b/>
          <w:color w:val="000000" w:themeColor="text1"/>
          <w:sz w:val="24"/>
          <w:highlight w:val="none"/>
          <w14:textFill>
            <w14:solidFill>
              <w14:schemeClr w14:val="tx1"/>
            </w14:solidFill>
          </w14:textFill>
        </w:rPr>
      </w:pPr>
    </w:p>
    <w:p>
      <w:pPr>
        <w:spacing w:line="360" w:lineRule="auto"/>
        <w:rPr>
          <w:rFonts w:hint="eastAsia" w:ascii="宋体" w:hAnsi="宋体" w:cs="宋体"/>
          <w:b/>
          <w:color w:val="000000" w:themeColor="text1"/>
          <w:sz w:val="24"/>
          <w:highlight w:val="none"/>
          <w14:textFill>
            <w14:solidFill>
              <w14:schemeClr w14:val="tx1"/>
            </w14:solidFill>
          </w14:textFill>
        </w:rPr>
      </w:pPr>
    </w:p>
    <w:p>
      <w:pPr>
        <w:spacing w:line="360" w:lineRule="auto"/>
        <w:rPr>
          <w:rFonts w:hint="eastAsia" w:ascii="宋体" w:hAnsi="宋体" w:cs="宋体"/>
          <w:b/>
          <w:color w:val="000000" w:themeColor="text1"/>
          <w:sz w:val="24"/>
          <w:highlight w:val="none"/>
          <w14:textFill>
            <w14:solidFill>
              <w14:schemeClr w14:val="tx1"/>
            </w14:solidFill>
          </w14:textFill>
        </w:rPr>
      </w:pPr>
    </w:p>
    <w:p>
      <w:pPr>
        <w:spacing w:line="360" w:lineRule="auto"/>
        <w:rPr>
          <w:rFonts w:hint="eastAsia" w:ascii="宋体" w:hAnsi="宋体" w:cs="宋体"/>
          <w:b/>
          <w:color w:val="000000" w:themeColor="text1"/>
          <w:sz w:val="24"/>
          <w:highlight w:val="none"/>
          <w14:textFill>
            <w14:solidFill>
              <w14:schemeClr w14:val="tx1"/>
            </w14:solidFill>
          </w14:textFill>
        </w:rPr>
      </w:pPr>
    </w:p>
    <w:p>
      <w:pPr>
        <w:pStyle w:val="7"/>
        <w:rPr>
          <w:rFonts w:hint="eastAsia" w:ascii="宋体" w:hAnsi="宋体" w:cs="宋体"/>
          <w:b/>
          <w:color w:val="000000" w:themeColor="text1"/>
          <w:sz w:val="24"/>
          <w:highlight w:val="none"/>
          <w14:textFill>
            <w14:solidFill>
              <w14:schemeClr w14:val="tx1"/>
            </w14:solidFill>
          </w14:textFill>
        </w:rPr>
      </w:pPr>
    </w:p>
    <w:p>
      <w:pPr>
        <w:pStyle w:val="7"/>
        <w:rPr>
          <w:rFonts w:hint="eastAsia" w:ascii="宋体" w:hAnsi="宋体" w:cs="宋体"/>
          <w:b/>
          <w:color w:val="000000" w:themeColor="text1"/>
          <w:sz w:val="24"/>
          <w:highlight w:val="none"/>
          <w14:textFill>
            <w14:solidFill>
              <w14:schemeClr w14:val="tx1"/>
            </w14:solidFill>
          </w14:textFill>
        </w:rPr>
      </w:pPr>
    </w:p>
    <w:p>
      <w:pPr>
        <w:pStyle w:val="7"/>
        <w:rPr>
          <w:rFonts w:hint="eastAsia" w:ascii="宋体" w:hAnsi="宋体" w:cs="宋体"/>
          <w:b/>
          <w:color w:val="000000" w:themeColor="text1"/>
          <w:sz w:val="24"/>
          <w:highlight w:val="none"/>
          <w14:textFill>
            <w14:solidFill>
              <w14:schemeClr w14:val="tx1"/>
            </w14:solidFill>
          </w14:textFill>
        </w:rPr>
      </w:pPr>
    </w:p>
    <w:p>
      <w:pPr>
        <w:pStyle w:val="7"/>
        <w:rPr>
          <w:rFonts w:hint="eastAsia" w:ascii="宋体" w:hAnsi="宋体" w:cs="宋体"/>
          <w:b/>
          <w:color w:val="000000" w:themeColor="text1"/>
          <w:sz w:val="24"/>
          <w:highlight w:val="none"/>
          <w14:textFill>
            <w14:solidFill>
              <w14:schemeClr w14:val="tx1"/>
            </w14:solidFill>
          </w14:textFill>
        </w:rPr>
      </w:pPr>
    </w:p>
    <w:p>
      <w:pPr>
        <w:pStyle w:val="7"/>
        <w:rPr>
          <w:rFonts w:hint="eastAsia" w:ascii="宋体" w:hAnsi="宋体" w:cs="宋体"/>
          <w:b/>
          <w:color w:val="000000" w:themeColor="text1"/>
          <w:sz w:val="24"/>
          <w:highlight w:val="none"/>
          <w14:textFill>
            <w14:solidFill>
              <w14:schemeClr w14:val="tx1"/>
            </w14:solidFill>
          </w14:textFill>
        </w:rPr>
      </w:pPr>
    </w:p>
    <w:p>
      <w:pPr>
        <w:pStyle w:val="7"/>
        <w:rPr>
          <w:rFonts w:hint="eastAsia" w:ascii="宋体" w:hAnsi="宋体" w:cs="宋体"/>
          <w:b/>
          <w:color w:val="000000" w:themeColor="text1"/>
          <w:sz w:val="24"/>
          <w:highlight w:val="none"/>
          <w14:textFill>
            <w14:solidFill>
              <w14:schemeClr w14:val="tx1"/>
            </w14:solidFill>
          </w14:textFill>
        </w:rPr>
      </w:pPr>
    </w:p>
    <w:p>
      <w:pPr>
        <w:pStyle w:val="7"/>
        <w:rPr>
          <w:rFonts w:hint="eastAsia" w:ascii="宋体" w:hAnsi="宋体" w:cs="宋体"/>
          <w:b/>
          <w:color w:val="000000" w:themeColor="text1"/>
          <w:sz w:val="24"/>
          <w:highlight w:val="none"/>
          <w14:textFill>
            <w14:solidFill>
              <w14:schemeClr w14:val="tx1"/>
            </w14:solidFill>
          </w14:textFill>
        </w:rPr>
      </w:pPr>
    </w:p>
    <w:p>
      <w:pPr>
        <w:spacing w:line="460" w:lineRule="exact"/>
        <w:ind w:firstLine="722" w:firstLineChars="200"/>
        <w:jc w:val="center"/>
        <w:rPr>
          <w:rFonts w:hint="eastAsia" w:ascii="宋体" w:hAnsi="宋体" w:cs="宋体"/>
          <w:b/>
          <w:color w:val="000000" w:themeColor="text1"/>
          <w:sz w:val="36"/>
          <w:szCs w:val="36"/>
          <w:highlight w:val="none"/>
          <w14:textFill>
            <w14:solidFill>
              <w14:schemeClr w14:val="tx1"/>
            </w14:solidFill>
          </w14:textFill>
        </w:rPr>
      </w:pPr>
    </w:p>
    <w:p>
      <w:pPr>
        <w:spacing w:line="460" w:lineRule="exact"/>
        <w:ind w:firstLine="722" w:firstLineChars="200"/>
        <w:jc w:val="both"/>
        <w:rPr>
          <w:rFonts w:hint="eastAsia" w:ascii="宋体" w:hAnsi="宋体" w:cs="宋体"/>
          <w:b/>
          <w:color w:val="000000" w:themeColor="text1"/>
          <w:sz w:val="36"/>
          <w:szCs w:val="36"/>
          <w:highlight w:val="none"/>
          <w14:textFill>
            <w14:solidFill>
              <w14:schemeClr w14:val="tx1"/>
            </w14:solidFill>
          </w14:textFill>
        </w:rPr>
      </w:pPr>
    </w:p>
    <w:p>
      <w:pPr>
        <w:pStyle w:val="7"/>
        <w:rPr>
          <w:rFonts w:hint="eastAsia" w:ascii="宋体" w:hAnsi="宋体" w:cs="宋体"/>
          <w:b/>
          <w:color w:val="000000" w:themeColor="text1"/>
          <w:sz w:val="36"/>
          <w:szCs w:val="36"/>
          <w:highlight w:val="none"/>
          <w14:textFill>
            <w14:solidFill>
              <w14:schemeClr w14:val="tx1"/>
            </w14:solidFill>
          </w14:textFill>
        </w:rPr>
      </w:pPr>
    </w:p>
    <w:p>
      <w:pPr>
        <w:rPr>
          <w:rFonts w:hint="eastAsia" w:ascii="宋体" w:hAnsi="宋体" w:cs="宋体"/>
          <w:b/>
          <w:color w:val="000000" w:themeColor="text1"/>
          <w:sz w:val="36"/>
          <w:szCs w:val="36"/>
          <w:highlight w:val="none"/>
          <w14:textFill>
            <w14:solidFill>
              <w14:schemeClr w14:val="tx1"/>
            </w14:solidFill>
          </w14:textFill>
        </w:rPr>
      </w:pPr>
    </w:p>
    <w:p>
      <w:pPr>
        <w:pStyle w:val="7"/>
        <w:rPr>
          <w:rFonts w:hint="eastAsia"/>
          <w:color w:val="000000" w:themeColor="text1"/>
          <w14:textFill>
            <w14:solidFill>
              <w14:schemeClr w14:val="tx1"/>
            </w14:solidFill>
          </w14:textFill>
        </w:rPr>
      </w:pPr>
    </w:p>
    <w:p>
      <w:pPr>
        <w:spacing w:line="460" w:lineRule="exact"/>
        <w:ind w:firstLine="722" w:firstLineChars="200"/>
        <w:jc w:val="cente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技术标评分标准</w:t>
      </w:r>
    </w:p>
    <w:p>
      <w:pPr>
        <w:pStyle w:val="7"/>
        <w:rPr>
          <w:rFonts w:hint="eastAsia"/>
          <w:color w:val="000000" w:themeColor="text1"/>
          <w14:textFill>
            <w14:solidFill>
              <w14:schemeClr w14:val="tx1"/>
            </w14:solidFill>
          </w14:textFill>
        </w:rPr>
      </w:pPr>
    </w:p>
    <w:tbl>
      <w:tblPr>
        <w:tblStyle w:val="14"/>
        <w:tblW w:w="958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6"/>
        <w:gridCol w:w="1519"/>
        <w:gridCol w:w="1047"/>
        <w:gridCol w:w="62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2" w:hRule="atLeast"/>
          <w:jc w:val="center"/>
        </w:trPr>
        <w:tc>
          <w:tcPr>
            <w:tcW w:w="746" w:type="dxa"/>
            <w:noWrap w:val="0"/>
            <w:vAlign w:val="center"/>
          </w:tcPr>
          <w:p>
            <w:pPr>
              <w:pStyle w:val="25"/>
              <w:spacing w:before="0" w:after="0" w:line="460" w:lineRule="exact"/>
              <w:ind w:firstLine="0"/>
              <w:jc w:val="center"/>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序号</w:t>
            </w:r>
          </w:p>
        </w:tc>
        <w:tc>
          <w:tcPr>
            <w:tcW w:w="1519" w:type="dxa"/>
            <w:noWrap w:val="0"/>
            <w:vAlign w:val="center"/>
          </w:tcPr>
          <w:p>
            <w:pPr>
              <w:pStyle w:val="25"/>
              <w:spacing w:before="0" w:after="0" w:line="460" w:lineRule="exact"/>
              <w:ind w:firstLine="0"/>
              <w:jc w:val="center"/>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考核项目</w:t>
            </w:r>
          </w:p>
        </w:tc>
        <w:tc>
          <w:tcPr>
            <w:tcW w:w="1047" w:type="dxa"/>
            <w:noWrap w:val="0"/>
            <w:vAlign w:val="center"/>
          </w:tcPr>
          <w:p>
            <w:pPr>
              <w:pStyle w:val="25"/>
              <w:spacing w:before="0" w:after="0" w:line="460" w:lineRule="exact"/>
              <w:ind w:firstLine="0"/>
              <w:jc w:val="center"/>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分数</w:t>
            </w:r>
          </w:p>
        </w:tc>
        <w:tc>
          <w:tcPr>
            <w:tcW w:w="6274" w:type="dxa"/>
            <w:noWrap w:val="0"/>
            <w:vAlign w:val="center"/>
          </w:tcPr>
          <w:p>
            <w:pPr>
              <w:pStyle w:val="25"/>
              <w:spacing w:before="0" w:after="0" w:line="460" w:lineRule="exact"/>
              <w:ind w:firstLine="2486" w:firstLineChars="1032"/>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6" w:hRule="atLeast"/>
          <w:jc w:val="center"/>
        </w:trPr>
        <w:tc>
          <w:tcPr>
            <w:tcW w:w="9586" w:type="dxa"/>
            <w:gridSpan w:val="4"/>
            <w:tcBorders>
              <w:bottom w:val="single" w:color="auto" w:sz="4" w:space="0"/>
            </w:tcBorders>
            <w:noWrap w:val="0"/>
            <w:vAlign w:val="center"/>
          </w:tcPr>
          <w:p>
            <w:pPr>
              <w:pStyle w:val="25"/>
              <w:spacing w:line="460" w:lineRule="exact"/>
              <w:ind w:firstLineChars="200"/>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报价部分</w:t>
            </w:r>
            <w:r>
              <w:rPr>
                <w:rFonts w:hint="eastAsia" w:ascii="宋体" w:hAnsi="宋体" w:eastAsia="宋体" w:cs="宋体"/>
                <w:color w:val="000000" w:themeColor="text1"/>
                <w:szCs w:val="24"/>
                <w:highlight w:val="none"/>
                <w:lang w:val="en-US" w:eastAsia="zh-CN"/>
                <w14:textFill>
                  <w14:solidFill>
                    <w14:schemeClr w14:val="tx1"/>
                  </w14:solidFill>
                </w14:textFill>
              </w:rPr>
              <w:t>3</w:t>
            </w:r>
            <w:r>
              <w:rPr>
                <w:rFonts w:hint="eastAsia" w:ascii="宋体" w:hAnsi="宋体" w:eastAsia="宋体" w:cs="宋体"/>
                <w:color w:val="000000" w:themeColor="text1"/>
                <w:szCs w:val="24"/>
                <w:highlight w:val="none"/>
                <w14:textFill>
                  <w14:solidFill>
                    <w14:schemeClr w14:val="tx1"/>
                  </w14:solidFill>
                </w14:textFill>
              </w:rPr>
              <w:t>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72" w:hRule="atLeast"/>
          <w:jc w:val="center"/>
        </w:trPr>
        <w:tc>
          <w:tcPr>
            <w:tcW w:w="746" w:type="dxa"/>
            <w:tcBorders>
              <w:top w:val="single" w:color="auto" w:sz="4" w:space="0"/>
              <w:bottom w:val="single" w:color="auto" w:sz="4" w:space="0"/>
            </w:tcBorders>
            <w:noWrap w:val="0"/>
            <w:vAlign w:val="center"/>
          </w:tcPr>
          <w:p>
            <w:pPr>
              <w:pStyle w:val="25"/>
              <w:spacing w:line="460" w:lineRule="exact"/>
              <w:ind w:firstLine="241" w:firstLineChars="10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w:t>
            </w:r>
          </w:p>
        </w:tc>
        <w:tc>
          <w:tcPr>
            <w:tcW w:w="1519" w:type="dxa"/>
            <w:tcBorders>
              <w:top w:val="single" w:color="auto" w:sz="4" w:space="0"/>
              <w:bottom w:val="single" w:color="auto" w:sz="4" w:space="0"/>
            </w:tcBorders>
            <w:noWrap w:val="0"/>
            <w:vAlign w:val="center"/>
          </w:tcPr>
          <w:p>
            <w:pPr>
              <w:spacing w:line="46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报价</w:t>
            </w:r>
          </w:p>
        </w:tc>
        <w:tc>
          <w:tcPr>
            <w:tcW w:w="1047" w:type="dxa"/>
            <w:tcBorders>
              <w:top w:val="single" w:color="auto" w:sz="4" w:space="0"/>
              <w:bottom w:val="single" w:color="auto" w:sz="4" w:space="0"/>
            </w:tcBorders>
            <w:noWrap w:val="0"/>
            <w:vAlign w:val="center"/>
          </w:tcPr>
          <w:p>
            <w:pPr>
              <w:spacing w:line="46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0-30</w:t>
            </w:r>
            <w:r>
              <w:rPr>
                <w:rFonts w:hint="eastAsia" w:ascii="宋体" w:hAnsi="宋体" w:eastAsia="宋体" w:cs="宋体"/>
                <w:color w:val="000000" w:themeColor="text1"/>
                <w:sz w:val="24"/>
                <w:highlight w:val="none"/>
                <w14:textFill>
                  <w14:solidFill>
                    <w14:schemeClr w14:val="tx1"/>
                  </w14:solidFill>
                </w14:textFill>
              </w:rPr>
              <w:t>分</w:t>
            </w:r>
          </w:p>
        </w:tc>
        <w:tc>
          <w:tcPr>
            <w:tcW w:w="6274" w:type="dxa"/>
            <w:tcBorders>
              <w:top w:val="single" w:color="auto" w:sz="4" w:space="0"/>
              <w:bottom w:val="single" w:color="auto" w:sz="4" w:space="0"/>
            </w:tcBorders>
            <w:noWrap w:val="0"/>
            <w:vAlign w:val="top"/>
          </w:tcPr>
          <w:p>
            <w:pPr>
              <w:pStyle w:val="25"/>
              <w:spacing w:line="460" w:lineRule="exact"/>
              <w:ind w:firstLine="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综合评分法中的价格分统一采用低价优先法计算，即满足招标要求且投标价格最低的投标报价为评标基准价，其价格分为满分。其他投标人的价格分统一按照下列公式计算：投标报价得分=(评标基准价／投标报价)×价格权值×100</w:t>
            </w:r>
          </w:p>
          <w:p>
            <w:pPr>
              <w:pStyle w:val="25"/>
              <w:spacing w:line="460" w:lineRule="exact"/>
              <w:ind w:firstLine="0"/>
              <w:rPr>
                <w:rFonts w:hint="eastAsia" w:ascii="宋体" w:hAnsi="宋体" w:eastAsia="宋体" w:cs="宋体"/>
                <w:color w:val="000000" w:themeColor="text1"/>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6" w:hRule="atLeast"/>
          <w:jc w:val="center"/>
        </w:trPr>
        <w:tc>
          <w:tcPr>
            <w:tcW w:w="9586" w:type="dxa"/>
            <w:gridSpan w:val="4"/>
            <w:tcBorders>
              <w:top w:val="single" w:color="auto" w:sz="4" w:space="0"/>
              <w:bottom w:val="single" w:color="auto" w:sz="4" w:space="0"/>
            </w:tcBorders>
            <w:noWrap w:val="0"/>
            <w:vAlign w:val="center"/>
          </w:tcPr>
          <w:p>
            <w:pPr>
              <w:pStyle w:val="25"/>
              <w:spacing w:line="460" w:lineRule="exact"/>
              <w:ind w:firstLineChars="200"/>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技术部分</w:t>
            </w:r>
            <w:r>
              <w:rPr>
                <w:rFonts w:hint="eastAsia" w:ascii="宋体" w:hAnsi="宋体" w:eastAsia="宋体" w:cs="宋体"/>
                <w:color w:val="000000" w:themeColor="text1"/>
                <w:szCs w:val="24"/>
                <w:highlight w:val="none"/>
                <w:lang w:val="en-US" w:eastAsia="zh-CN"/>
                <w14:textFill>
                  <w14:solidFill>
                    <w14:schemeClr w14:val="tx1"/>
                  </w14:solidFill>
                </w14:textFill>
              </w:rPr>
              <w:t>7</w:t>
            </w:r>
            <w:r>
              <w:rPr>
                <w:rFonts w:hint="eastAsia" w:ascii="宋体" w:hAnsi="宋体" w:eastAsia="宋体" w:cs="宋体"/>
                <w:color w:val="000000" w:themeColor="text1"/>
                <w:szCs w:val="24"/>
                <w:highlight w:val="none"/>
                <w14:textFill>
                  <w14:solidFill>
                    <w14:schemeClr w14:val="tx1"/>
                  </w14:solidFill>
                </w14:textFill>
              </w:rPr>
              <w:t>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746" w:type="dxa"/>
            <w:vMerge w:val="restart"/>
            <w:tcBorders>
              <w:top w:val="single" w:color="auto" w:sz="4" w:space="0"/>
            </w:tcBorders>
            <w:noWrap w:val="0"/>
            <w:vAlign w:val="center"/>
          </w:tcPr>
          <w:p>
            <w:pPr>
              <w:pStyle w:val="25"/>
              <w:spacing w:line="460" w:lineRule="exact"/>
              <w:ind w:firstLine="0" w:firstLineChars="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w:t>
            </w:r>
          </w:p>
        </w:tc>
        <w:tc>
          <w:tcPr>
            <w:tcW w:w="1519" w:type="dxa"/>
            <w:vMerge w:val="restart"/>
            <w:tcBorders>
              <w:top w:val="single" w:color="auto" w:sz="4" w:space="0"/>
            </w:tcBorders>
            <w:noWrap w:val="0"/>
            <w:vAlign w:val="center"/>
          </w:tcPr>
          <w:p>
            <w:pPr>
              <w:spacing w:line="460" w:lineRule="exact"/>
              <w:ind w:firstLine="28"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质量管理与保证措施（15分）</w:t>
            </w:r>
          </w:p>
        </w:tc>
        <w:tc>
          <w:tcPr>
            <w:tcW w:w="1047" w:type="dxa"/>
            <w:tcBorders>
              <w:top w:val="single" w:color="auto" w:sz="4" w:space="0"/>
              <w:bottom w:val="single" w:color="auto" w:sz="4" w:space="0"/>
            </w:tcBorders>
            <w:noWrap w:val="0"/>
            <w:vAlign w:val="center"/>
          </w:tcPr>
          <w:p>
            <w:pPr>
              <w:pStyle w:val="25"/>
              <w:spacing w:before="0" w:after="0" w:line="240" w:lineRule="auto"/>
              <w:ind w:left="0" w:leftChars="0" w:firstLine="0" w:firstLineChars="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w:t>
            </w:r>
          </w:p>
        </w:tc>
        <w:tc>
          <w:tcPr>
            <w:tcW w:w="6274" w:type="dxa"/>
            <w:tcBorders>
              <w:top w:val="single" w:color="auto" w:sz="4" w:space="0"/>
              <w:bottom w:val="single" w:color="auto" w:sz="4" w:space="0"/>
            </w:tcBorders>
            <w:noWrap w:val="0"/>
            <w:vAlign w:val="center"/>
          </w:tcPr>
          <w:p>
            <w:pPr>
              <w:pStyle w:val="26"/>
              <w:spacing w:line="354" w:lineRule="exact"/>
              <w:ind w:left="101" w:left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有完善的质量保证体系，能保证苗木质量的得5分；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746" w:type="dxa"/>
            <w:vMerge w:val="continue"/>
            <w:noWrap w:val="0"/>
            <w:vAlign w:val="center"/>
          </w:tcPr>
          <w:p>
            <w:pPr>
              <w:pStyle w:val="25"/>
              <w:spacing w:line="460" w:lineRule="exact"/>
              <w:ind w:firstLine="0" w:firstLineChars="0"/>
              <w:jc w:val="center"/>
              <w:rPr>
                <w:rFonts w:hint="default" w:ascii="宋体" w:hAnsi="宋体" w:eastAsia="宋体" w:cs="宋体"/>
                <w:color w:val="000000" w:themeColor="text1"/>
                <w:szCs w:val="24"/>
                <w:highlight w:val="none"/>
                <w:lang w:val="en-US" w:eastAsia="zh-CN"/>
                <w14:textFill>
                  <w14:solidFill>
                    <w14:schemeClr w14:val="tx1"/>
                  </w14:solidFill>
                </w14:textFill>
              </w:rPr>
            </w:pPr>
          </w:p>
        </w:tc>
        <w:tc>
          <w:tcPr>
            <w:tcW w:w="1519" w:type="dxa"/>
            <w:vMerge w:val="continue"/>
            <w:noWrap w:val="0"/>
            <w:vAlign w:val="center"/>
          </w:tcPr>
          <w:p>
            <w:pPr>
              <w:spacing w:line="460" w:lineRule="exact"/>
              <w:ind w:firstLine="28" w:firstLineChars="0"/>
              <w:jc w:val="center"/>
              <w:rPr>
                <w:rFonts w:hint="eastAsia" w:ascii="宋体" w:hAnsi="宋体" w:cs="宋体"/>
                <w:color w:val="000000" w:themeColor="text1"/>
                <w:sz w:val="24"/>
                <w14:textFill>
                  <w14:solidFill>
                    <w14:schemeClr w14:val="tx1"/>
                  </w14:solidFill>
                </w14:textFill>
              </w:rPr>
            </w:pPr>
          </w:p>
        </w:tc>
        <w:tc>
          <w:tcPr>
            <w:tcW w:w="1047" w:type="dxa"/>
            <w:tcBorders>
              <w:top w:val="single" w:color="auto" w:sz="4" w:space="0"/>
              <w:bottom w:val="single" w:color="auto" w:sz="4" w:space="0"/>
            </w:tcBorders>
            <w:noWrap w:val="0"/>
            <w:vAlign w:val="center"/>
          </w:tcPr>
          <w:p>
            <w:pPr>
              <w:pStyle w:val="25"/>
              <w:spacing w:before="0" w:after="0" w:line="240" w:lineRule="auto"/>
              <w:ind w:left="0" w:leftChars="0"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w:t>
            </w:r>
          </w:p>
        </w:tc>
        <w:tc>
          <w:tcPr>
            <w:tcW w:w="6274" w:type="dxa"/>
            <w:tcBorders>
              <w:top w:val="single" w:color="auto" w:sz="4" w:space="0"/>
              <w:bottom w:val="single" w:color="auto" w:sz="4" w:space="0"/>
            </w:tcBorders>
            <w:noWrap w:val="0"/>
            <w:vAlign w:val="center"/>
          </w:tcPr>
          <w:p>
            <w:pPr>
              <w:pStyle w:val="26"/>
              <w:spacing w:line="354" w:lineRule="exact"/>
              <w:ind w:left="101" w:leftChars="0"/>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有季节管理措施方案、假日养护管理措施、对特殊紧急或突发情况以及其他预见的情况的处理措施的得5 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86" w:hRule="atLeast"/>
          <w:jc w:val="center"/>
        </w:trPr>
        <w:tc>
          <w:tcPr>
            <w:tcW w:w="746" w:type="dxa"/>
            <w:vMerge w:val="continue"/>
            <w:tcBorders>
              <w:bottom w:val="single" w:color="auto" w:sz="4" w:space="0"/>
            </w:tcBorders>
            <w:noWrap w:val="0"/>
            <w:vAlign w:val="center"/>
          </w:tcPr>
          <w:p>
            <w:pPr>
              <w:pStyle w:val="25"/>
              <w:spacing w:line="460" w:lineRule="exact"/>
              <w:ind w:firstLine="0" w:firstLineChars="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519" w:type="dxa"/>
            <w:vMerge w:val="continue"/>
            <w:tcBorders>
              <w:bottom w:val="single" w:color="auto" w:sz="4" w:space="0"/>
            </w:tcBorders>
            <w:noWrap w:val="0"/>
            <w:vAlign w:val="center"/>
          </w:tcPr>
          <w:p>
            <w:pPr>
              <w:pStyle w:val="25"/>
              <w:spacing w:line="460" w:lineRule="exact"/>
              <w:ind w:firstLine="0" w:firstLineChars="0"/>
              <w:jc w:val="center"/>
              <w:rPr>
                <w:rFonts w:hint="eastAsia" w:ascii="宋体" w:hAnsi="宋体" w:cs="宋体"/>
                <w:color w:val="000000" w:themeColor="text1"/>
                <w:kern w:val="2"/>
                <w:sz w:val="24"/>
                <w:szCs w:val="24"/>
                <w:lang w:val="en-US" w:eastAsia="zh-CN" w:bidi="ar-SA"/>
                <w14:textFill>
                  <w14:solidFill>
                    <w14:schemeClr w14:val="tx1"/>
                  </w14:solidFill>
                </w14:textFill>
              </w:rPr>
            </w:pPr>
          </w:p>
        </w:tc>
        <w:tc>
          <w:tcPr>
            <w:tcW w:w="1047" w:type="dxa"/>
            <w:tcBorders>
              <w:top w:val="single" w:color="auto" w:sz="4" w:space="0"/>
              <w:bottom w:val="single" w:color="auto" w:sz="4" w:space="0"/>
            </w:tcBorders>
            <w:noWrap w:val="0"/>
            <w:vAlign w:val="center"/>
          </w:tcPr>
          <w:p>
            <w:pPr>
              <w:pStyle w:val="25"/>
              <w:spacing w:before="0" w:after="0" w:line="240" w:lineRule="auto"/>
              <w:ind w:left="0" w:leftChars="0"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w:t>
            </w:r>
          </w:p>
        </w:tc>
        <w:tc>
          <w:tcPr>
            <w:tcW w:w="6274" w:type="dxa"/>
            <w:tcBorders>
              <w:top w:val="single" w:color="auto" w:sz="4" w:space="0"/>
              <w:bottom w:val="single" w:color="auto" w:sz="4" w:space="0"/>
            </w:tcBorders>
            <w:noWrap w:val="0"/>
            <w:vAlign w:val="center"/>
          </w:tcPr>
          <w:p>
            <w:pPr>
              <w:pStyle w:val="26"/>
              <w:spacing w:line="354" w:lineRule="exact"/>
              <w:ind w:left="101" w:left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提供本项目具体有效的质量保证措施并按照本项目的特点制定出质量控制措施的得5分。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7" w:hRule="atLeast"/>
          <w:jc w:val="center"/>
        </w:trPr>
        <w:tc>
          <w:tcPr>
            <w:tcW w:w="746" w:type="dxa"/>
            <w:tcBorders>
              <w:top w:val="single" w:color="auto" w:sz="4" w:space="0"/>
            </w:tcBorders>
            <w:noWrap w:val="0"/>
            <w:vAlign w:val="center"/>
          </w:tcPr>
          <w:p>
            <w:pPr>
              <w:pStyle w:val="25"/>
              <w:spacing w:line="460" w:lineRule="exact"/>
              <w:ind w:firstLine="0" w:firstLineChars="0"/>
              <w:jc w:val="center"/>
              <w:rPr>
                <w:rFonts w:hint="default"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cs="宋体"/>
                <w:color w:val="000000" w:themeColor="text1"/>
                <w:szCs w:val="24"/>
                <w:highlight w:val="none"/>
                <w:lang w:val="en-US" w:eastAsia="zh-CN"/>
                <w14:textFill>
                  <w14:solidFill>
                    <w14:schemeClr w14:val="tx1"/>
                  </w14:solidFill>
                </w14:textFill>
              </w:rPr>
              <w:t>2</w:t>
            </w:r>
          </w:p>
        </w:tc>
        <w:tc>
          <w:tcPr>
            <w:tcW w:w="1519" w:type="dxa"/>
            <w:tcBorders>
              <w:top w:val="single" w:color="auto" w:sz="4" w:space="0"/>
            </w:tcBorders>
            <w:noWrap w:val="0"/>
            <w:vAlign w:val="center"/>
          </w:tcPr>
          <w:p>
            <w:pPr>
              <w:pStyle w:val="25"/>
              <w:spacing w:line="460" w:lineRule="exact"/>
              <w:ind w:firstLine="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花卉苗木采购流程及其质量保证措施 </w:t>
            </w:r>
          </w:p>
        </w:tc>
        <w:tc>
          <w:tcPr>
            <w:tcW w:w="1047" w:type="dxa"/>
            <w:tcBorders>
              <w:top w:val="single" w:color="auto" w:sz="4" w:space="0"/>
            </w:tcBorders>
            <w:noWrap w:val="0"/>
            <w:vAlign w:val="center"/>
          </w:tcPr>
          <w:p>
            <w:pPr>
              <w:pStyle w:val="25"/>
              <w:spacing w:line="460" w:lineRule="exact"/>
              <w:ind w:firstLine="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25</w:t>
            </w:r>
          </w:p>
        </w:tc>
        <w:tc>
          <w:tcPr>
            <w:tcW w:w="6274" w:type="dxa"/>
            <w:tcBorders>
              <w:top w:val="single" w:color="auto" w:sz="4" w:space="0"/>
            </w:tcBorders>
            <w:noWrap w:val="0"/>
            <w:vAlign w:val="center"/>
          </w:tcPr>
          <w:p>
            <w:pPr>
              <w:pStyle w:val="25"/>
              <w:spacing w:line="460" w:lineRule="exact"/>
              <w:ind w:firstLine="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花卉苗木采购全过程（包括号苗、包装、运输与装卸、验收等）流程及其质量保证措施合理可行性高、内容详细，积极响应采购人需求的得</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21</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25</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分； </w:t>
            </w:r>
          </w:p>
          <w:p>
            <w:pPr>
              <w:pStyle w:val="25"/>
              <w:spacing w:line="460" w:lineRule="exact"/>
              <w:ind w:firstLine="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花卉苗木采购全过程（包括号苗、包装、运输与装卸、验收等）流程及其质量保证措施具有可行性，内容完整，响应采购人需求的得</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11</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分； </w:t>
            </w:r>
          </w:p>
          <w:p>
            <w:pPr>
              <w:pStyle w:val="25"/>
              <w:spacing w:line="460" w:lineRule="exact"/>
              <w:ind w:firstLine="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花卉苗木采购全过程（包括号苗、包装、运输与装卸、验收等）流程及其质量保证措施可行低，内容不完整，基本满足采购人需求的得1-</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分； </w:t>
            </w:r>
            <w:bookmarkStart w:id="46" w:name="_GoBack"/>
            <w:bookmarkEnd w:id="46"/>
          </w:p>
          <w:p>
            <w:pPr>
              <w:pStyle w:val="25"/>
              <w:spacing w:line="460" w:lineRule="exact"/>
              <w:ind w:firstLine="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无相关描述或其它情况不得分。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atLeast"/>
          <w:jc w:val="center"/>
        </w:trPr>
        <w:tc>
          <w:tcPr>
            <w:tcW w:w="746" w:type="dxa"/>
            <w:tcBorders>
              <w:top w:val="single" w:color="auto" w:sz="4" w:space="0"/>
            </w:tcBorders>
            <w:noWrap w:val="0"/>
            <w:vAlign w:val="center"/>
          </w:tcPr>
          <w:p>
            <w:pPr>
              <w:pStyle w:val="25"/>
              <w:spacing w:line="460" w:lineRule="exact"/>
              <w:ind w:firstLine="0" w:firstLineChars="0"/>
              <w:jc w:val="center"/>
              <w:rPr>
                <w:rFonts w:hint="default"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cs="宋体"/>
                <w:color w:val="000000" w:themeColor="text1"/>
                <w:szCs w:val="24"/>
                <w:highlight w:val="none"/>
                <w:lang w:val="en-US" w:eastAsia="zh-CN"/>
                <w14:textFill>
                  <w14:solidFill>
                    <w14:schemeClr w14:val="tx1"/>
                  </w14:solidFill>
                </w14:textFill>
              </w:rPr>
              <w:t>3</w:t>
            </w:r>
          </w:p>
        </w:tc>
        <w:tc>
          <w:tcPr>
            <w:tcW w:w="1519" w:type="dxa"/>
            <w:tcBorders>
              <w:top w:val="single" w:color="auto" w:sz="4" w:space="0"/>
            </w:tcBorders>
            <w:noWrap w:val="0"/>
            <w:vAlign w:val="center"/>
          </w:tcPr>
          <w:p>
            <w:pPr>
              <w:pStyle w:val="25"/>
              <w:spacing w:line="460" w:lineRule="exact"/>
              <w:ind w:firstLine="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组织管理方案及其保证措施</w:t>
            </w:r>
          </w:p>
        </w:tc>
        <w:tc>
          <w:tcPr>
            <w:tcW w:w="1047" w:type="dxa"/>
            <w:tcBorders>
              <w:top w:val="single" w:color="auto" w:sz="4" w:space="0"/>
            </w:tcBorders>
            <w:noWrap w:val="0"/>
            <w:vAlign w:val="center"/>
          </w:tcPr>
          <w:p>
            <w:pPr>
              <w:pStyle w:val="25"/>
              <w:spacing w:line="460" w:lineRule="exact"/>
              <w:ind w:firstLine="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10</w:t>
            </w:r>
          </w:p>
        </w:tc>
        <w:tc>
          <w:tcPr>
            <w:tcW w:w="6274" w:type="dxa"/>
            <w:tcBorders>
              <w:top w:val="single" w:color="auto" w:sz="4" w:space="0"/>
            </w:tcBorders>
            <w:noWrap w:val="0"/>
            <w:vAlign w:val="center"/>
          </w:tcPr>
          <w:p>
            <w:pPr>
              <w:pStyle w:val="25"/>
              <w:spacing w:line="460" w:lineRule="exact"/>
              <w:ind w:firstLine="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1.组织管理方案（含管理组织结构图、人员培训计划等）及其保证措施合理可行、内容详细，具有保证服务队伍稳定性的措施且依法成立工会组织的得10分；</w:t>
            </w:r>
          </w:p>
          <w:p>
            <w:pPr>
              <w:pStyle w:val="25"/>
              <w:spacing w:line="460" w:lineRule="exact"/>
              <w:ind w:firstLine="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2.组织管理方案（含管理组织结构图、人员培训计划等）及其保证措施可行，具有保证服务队伍稳定性的措施的得6分；</w:t>
            </w:r>
          </w:p>
          <w:p>
            <w:pPr>
              <w:pStyle w:val="25"/>
              <w:spacing w:line="460" w:lineRule="exact"/>
              <w:ind w:firstLine="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3.有组织管理方案（含管理组织结构图、人员培训计划等）及其保证措施，但内容可行性差或存在漏项的得3分；</w:t>
            </w:r>
          </w:p>
          <w:p>
            <w:pPr>
              <w:pStyle w:val="25"/>
              <w:spacing w:line="460" w:lineRule="exact"/>
              <w:ind w:firstLine="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无相关描述或其它情况不得分。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atLeast"/>
          <w:jc w:val="center"/>
        </w:trPr>
        <w:tc>
          <w:tcPr>
            <w:tcW w:w="746" w:type="dxa"/>
            <w:tcBorders>
              <w:top w:val="single" w:color="auto" w:sz="4" w:space="0"/>
            </w:tcBorders>
            <w:noWrap w:val="0"/>
            <w:vAlign w:val="center"/>
          </w:tcPr>
          <w:p>
            <w:pPr>
              <w:pStyle w:val="25"/>
              <w:spacing w:line="460" w:lineRule="exact"/>
              <w:ind w:firstLine="0" w:firstLineChars="0"/>
              <w:jc w:val="center"/>
              <w:rPr>
                <w:rFonts w:hint="default"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cs="宋体"/>
                <w:color w:val="000000" w:themeColor="text1"/>
                <w:szCs w:val="24"/>
                <w:highlight w:val="none"/>
                <w:lang w:val="en-US" w:eastAsia="zh-CN"/>
                <w14:textFill>
                  <w14:solidFill>
                    <w14:schemeClr w14:val="tx1"/>
                  </w14:solidFill>
                </w14:textFill>
              </w:rPr>
              <w:t>4</w:t>
            </w:r>
          </w:p>
        </w:tc>
        <w:tc>
          <w:tcPr>
            <w:tcW w:w="1519" w:type="dxa"/>
            <w:tcBorders>
              <w:top w:val="single" w:color="auto" w:sz="4" w:space="0"/>
            </w:tcBorders>
            <w:noWrap w:val="0"/>
            <w:vAlign w:val="center"/>
          </w:tcPr>
          <w:p>
            <w:pPr>
              <w:pStyle w:val="25"/>
              <w:spacing w:line="460" w:lineRule="exact"/>
              <w:ind w:firstLine="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安全防护制度及应急保障措施)</w:t>
            </w:r>
          </w:p>
        </w:tc>
        <w:tc>
          <w:tcPr>
            <w:tcW w:w="1047" w:type="dxa"/>
            <w:tcBorders>
              <w:top w:val="single" w:color="auto" w:sz="4" w:space="0"/>
            </w:tcBorders>
            <w:noWrap w:val="0"/>
            <w:vAlign w:val="center"/>
          </w:tcPr>
          <w:p>
            <w:pPr>
              <w:pStyle w:val="25"/>
              <w:spacing w:line="460" w:lineRule="exact"/>
              <w:ind w:firstLine="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10</w:t>
            </w:r>
          </w:p>
        </w:tc>
        <w:tc>
          <w:tcPr>
            <w:tcW w:w="6274" w:type="dxa"/>
            <w:tcBorders>
              <w:top w:val="single" w:color="auto" w:sz="4" w:space="0"/>
            </w:tcBorders>
            <w:noWrap w:val="0"/>
            <w:vAlign w:val="center"/>
          </w:tcPr>
          <w:p>
            <w:pPr>
              <w:pStyle w:val="25"/>
              <w:spacing w:line="460" w:lineRule="exact"/>
              <w:ind w:firstLine="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1.根据采购人需求制定安全防护制度和应急保障措施，内容详细、合理可行高的得7-10分；</w:t>
            </w:r>
          </w:p>
          <w:p>
            <w:pPr>
              <w:pStyle w:val="25"/>
              <w:spacing w:line="460" w:lineRule="exact"/>
              <w:ind w:firstLine="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2.根据采购人需求制定安全防护制度和应急保障措施，内容基本合理可行的得4-6分；</w:t>
            </w:r>
          </w:p>
          <w:p>
            <w:pPr>
              <w:pStyle w:val="25"/>
              <w:spacing w:line="460" w:lineRule="exact"/>
              <w:ind w:firstLine="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3.有安全防护制度和应急保障措施，但内容有漏项或可行性差的得0-3分；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atLeast"/>
          <w:jc w:val="center"/>
        </w:trPr>
        <w:tc>
          <w:tcPr>
            <w:tcW w:w="746" w:type="dxa"/>
            <w:vMerge w:val="restart"/>
            <w:tcBorders>
              <w:top w:val="single" w:color="auto" w:sz="4" w:space="0"/>
            </w:tcBorders>
            <w:noWrap w:val="0"/>
            <w:vAlign w:val="center"/>
          </w:tcPr>
          <w:p>
            <w:pPr>
              <w:pStyle w:val="25"/>
              <w:spacing w:line="460" w:lineRule="exact"/>
              <w:ind w:firstLine="0" w:firstLineChars="0"/>
              <w:jc w:val="center"/>
              <w:rPr>
                <w:rFonts w:hint="default" w:ascii="宋体" w:hAnsi="宋体" w:eastAsia="宋体" w:cs="宋体"/>
                <w:color w:val="000000" w:themeColor="text1"/>
                <w:szCs w:val="24"/>
                <w:highlight w:val="none"/>
                <w:lang w:val="en-US" w:eastAsia="zh-CN"/>
                <w14:textFill>
                  <w14:solidFill>
                    <w14:schemeClr w14:val="tx1"/>
                  </w14:solidFill>
                </w14:textFill>
              </w:rPr>
            </w:pPr>
          </w:p>
          <w:p>
            <w:pPr>
              <w:pStyle w:val="25"/>
              <w:spacing w:line="460" w:lineRule="exact"/>
              <w:ind w:firstLine="0" w:firstLineChars="0"/>
              <w:jc w:val="center"/>
              <w:rPr>
                <w:rFonts w:hint="default"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cs="宋体"/>
                <w:color w:val="000000" w:themeColor="text1"/>
                <w:szCs w:val="24"/>
                <w:highlight w:val="none"/>
                <w:lang w:val="en-US" w:eastAsia="zh-CN"/>
                <w14:textFill>
                  <w14:solidFill>
                    <w14:schemeClr w14:val="tx1"/>
                  </w14:solidFill>
                </w14:textFill>
              </w:rPr>
              <w:t>5</w:t>
            </w:r>
          </w:p>
          <w:p>
            <w:pPr>
              <w:pStyle w:val="25"/>
              <w:spacing w:line="460" w:lineRule="exact"/>
              <w:ind w:firstLine="0" w:firstLineChars="0"/>
              <w:jc w:val="center"/>
              <w:rPr>
                <w:rFonts w:hint="eastAsia" w:ascii="宋体" w:hAnsi="宋体" w:eastAsia="宋体" w:cs="宋体"/>
                <w:color w:val="000000" w:themeColor="text1"/>
                <w:szCs w:val="24"/>
                <w:highlight w:val="none"/>
                <w:lang w:val="en-US" w:eastAsia="zh-CN"/>
                <w14:textFill>
                  <w14:solidFill>
                    <w14:schemeClr w14:val="tx1"/>
                  </w14:solidFill>
                </w14:textFill>
              </w:rPr>
            </w:pPr>
          </w:p>
        </w:tc>
        <w:tc>
          <w:tcPr>
            <w:tcW w:w="1519" w:type="dxa"/>
            <w:vMerge w:val="restart"/>
            <w:tcBorders>
              <w:top w:val="single" w:color="auto" w:sz="4" w:space="0"/>
            </w:tcBorders>
            <w:noWrap w:val="0"/>
            <w:vAlign w:val="center"/>
          </w:tcPr>
          <w:p>
            <w:pPr>
              <w:pStyle w:val="25"/>
              <w:spacing w:line="460" w:lineRule="exact"/>
              <w:ind w:firstLine="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质量</w:t>
            </w:r>
          </w:p>
        </w:tc>
        <w:tc>
          <w:tcPr>
            <w:tcW w:w="1047" w:type="dxa"/>
            <w:vMerge w:val="restart"/>
            <w:tcBorders>
              <w:top w:val="single" w:color="auto" w:sz="4" w:space="0"/>
            </w:tcBorders>
            <w:noWrap w:val="0"/>
            <w:vAlign w:val="center"/>
          </w:tcPr>
          <w:p>
            <w:pPr>
              <w:pStyle w:val="25"/>
              <w:spacing w:line="460" w:lineRule="exact"/>
              <w:ind w:firstLine="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10</w:t>
            </w:r>
          </w:p>
        </w:tc>
        <w:tc>
          <w:tcPr>
            <w:tcW w:w="6274" w:type="dxa"/>
            <w:tcBorders>
              <w:top w:val="single" w:color="auto" w:sz="4" w:space="0"/>
            </w:tcBorders>
            <w:noWrap w:val="0"/>
            <w:vAlign w:val="center"/>
          </w:tcPr>
          <w:p>
            <w:pPr>
              <w:pStyle w:val="25"/>
              <w:spacing w:line="460" w:lineRule="exact"/>
              <w:ind w:firstLine="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要求根系发达而完整，有较多的侧根和须根，根系无劈裂，具有完整健壮的顶芽的得5分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atLeast"/>
          <w:jc w:val="center"/>
        </w:trPr>
        <w:tc>
          <w:tcPr>
            <w:tcW w:w="746" w:type="dxa"/>
            <w:vMerge w:val="continue"/>
            <w:noWrap w:val="0"/>
            <w:vAlign w:val="center"/>
          </w:tcPr>
          <w:p>
            <w:pPr>
              <w:pStyle w:val="25"/>
              <w:spacing w:line="460" w:lineRule="exact"/>
              <w:ind w:firstLine="0" w:firstLineChars="0"/>
              <w:jc w:val="center"/>
              <w:rPr>
                <w:rFonts w:hint="eastAsia" w:ascii="宋体" w:hAnsi="宋体" w:eastAsia="宋体" w:cs="宋体"/>
                <w:color w:val="000000" w:themeColor="text1"/>
                <w:szCs w:val="24"/>
                <w:highlight w:val="none"/>
                <w:lang w:val="en-US" w:eastAsia="zh-CN"/>
                <w14:textFill>
                  <w14:solidFill>
                    <w14:schemeClr w14:val="tx1"/>
                  </w14:solidFill>
                </w14:textFill>
              </w:rPr>
            </w:pPr>
          </w:p>
        </w:tc>
        <w:tc>
          <w:tcPr>
            <w:tcW w:w="1519" w:type="dxa"/>
            <w:vMerge w:val="continue"/>
            <w:noWrap w:val="0"/>
            <w:vAlign w:val="center"/>
          </w:tcPr>
          <w:p>
            <w:pPr>
              <w:pStyle w:val="25"/>
              <w:spacing w:line="460" w:lineRule="exact"/>
              <w:ind w:firstLine="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047" w:type="dxa"/>
            <w:vMerge w:val="continue"/>
            <w:noWrap w:val="0"/>
            <w:vAlign w:val="center"/>
          </w:tcPr>
          <w:p>
            <w:pPr>
              <w:pStyle w:val="25"/>
              <w:spacing w:line="460" w:lineRule="exact"/>
              <w:ind w:firstLine="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6274" w:type="dxa"/>
            <w:tcBorders>
              <w:top w:val="single" w:color="auto" w:sz="4" w:space="0"/>
            </w:tcBorders>
            <w:noWrap w:val="0"/>
            <w:vAlign w:val="center"/>
          </w:tcPr>
          <w:p>
            <w:pPr>
              <w:pStyle w:val="25"/>
              <w:spacing w:line="460" w:lineRule="exact"/>
              <w:ind w:firstLine="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苗木无机械损伤无病虫害，不失水，有旺盛的生命力，苗木健壮苗干通直圆满，规格要求一致，枝条茁壮，组织充实，木质化程度高的得5分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7" w:hRule="atLeast"/>
          <w:jc w:val="center"/>
        </w:trPr>
        <w:tc>
          <w:tcPr>
            <w:tcW w:w="2265" w:type="dxa"/>
            <w:gridSpan w:val="2"/>
            <w:tcBorders>
              <w:top w:val="single" w:color="auto" w:sz="4" w:space="0"/>
              <w:bottom w:val="single" w:color="auto" w:sz="4" w:space="0"/>
            </w:tcBorders>
            <w:noWrap w:val="0"/>
            <w:vAlign w:val="center"/>
          </w:tcPr>
          <w:p>
            <w:pPr>
              <w:pStyle w:val="25"/>
              <w:spacing w:line="460" w:lineRule="exact"/>
              <w:ind w:firstLine="0" w:firstLineChars="0"/>
              <w:jc w:val="center"/>
              <w:rPr>
                <w:rFonts w:hint="eastAsia" w:ascii="宋体" w:hAnsi="宋体" w:eastAsia="宋体" w:cs="宋体"/>
                <w:color w:val="000000" w:themeColor="text1"/>
                <w:szCs w:val="24"/>
                <w:highlight w:val="none"/>
                <w:lang w:eastAsia="zh-CN"/>
                <w14:textFill>
                  <w14:solidFill>
                    <w14:schemeClr w14:val="tx1"/>
                  </w14:solidFill>
                </w14:textFill>
              </w:rPr>
            </w:pPr>
            <w:r>
              <w:rPr>
                <w:rFonts w:hint="eastAsia" w:ascii="宋体" w:hAnsi="宋体" w:eastAsia="宋体" w:cs="宋体"/>
                <w:color w:val="000000" w:themeColor="text1"/>
                <w:szCs w:val="24"/>
                <w:highlight w:val="none"/>
                <w:lang w:eastAsia="zh-CN"/>
                <w14:textFill>
                  <w14:solidFill>
                    <w14:schemeClr w14:val="tx1"/>
                  </w14:solidFill>
                </w14:textFill>
              </w:rPr>
              <w:t>合计</w:t>
            </w:r>
          </w:p>
        </w:tc>
        <w:tc>
          <w:tcPr>
            <w:tcW w:w="1047" w:type="dxa"/>
            <w:tcBorders>
              <w:top w:val="single" w:color="auto" w:sz="4" w:space="0"/>
              <w:bottom w:val="single" w:color="auto" w:sz="4" w:space="0"/>
            </w:tcBorders>
            <w:noWrap w:val="0"/>
            <w:vAlign w:val="center"/>
          </w:tcPr>
          <w:p>
            <w:pPr>
              <w:pStyle w:val="25"/>
              <w:tabs>
                <w:tab w:val="center" w:pos="415"/>
              </w:tabs>
              <w:spacing w:line="460" w:lineRule="exact"/>
              <w:ind w:firstLine="0" w:firstLineChars="0"/>
              <w:jc w:val="center"/>
              <w:rPr>
                <w:rFonts w:hint="default"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70分</w:t>
            </w:r>
          </w:p>
        </w:tc>
        <w:tc>
          <w:tcPr>
            <w:tcW w:w="6274" w:type="dxa"/>
            <w:tcBorders>
              <w:top w:val="single" w:color="auto" w:sz="4" w:space="0"/>
              <w:bottom w:val="single" w:color="auto" w:sz="4" w:space="0"/>
            </w:tcBorders>
            <w:noWrap w:val="0"/>
            <w:vAlign w:val="center"/>
          </w:tcPr>
          <w:p>
            <w:pPr>
              <w:pStyle w:val="25"/>
              <w:spacing w:line="460" w:lineRule="exact"/>
              <w:ind w:firstLine="0" w:firstLineChars="0"/>
              <w:jc w:val="left"/>
              <w:rPr>
                <w:rFonts w:hint="eastAsia" w:ascii="宋体" w:hAnsi="宋体" w:eastAsia="宋体" w:cs="宋体"/>
                <w:color w:val="000000" w:themeColor="text1"/>
                <w:szCs w:val="24"/>
                <w:highlight w:val="none"/>
                <w14:textFill>
                  <w14:solidFill>
                    <w14:schemeClr w14:val="tx1"/>
                  </w14:solidFill>
                </w14:textFill>
              </w:rPr>
            </w:pPr>
          </w:p>
        </w:tc>
      </w:tr>
    </w:tbl>
    <w:p>
      <w:pPr>
        <w:pStyle w:val="24"/>
        <w:spacing w:line="360" w:lineRule="auto"/>
        <w:ind w:left="0" w:leftChars="0" w:firstLine="0" w:firstLineChars="0"/>
        <w:jc w:val="left"/>
        <w:rPr>
          <w:rFonts w:hint="eastAsia" w:ascii="宋体" w:hAnsi="宋体" w:eastAsia="宋体" w:cs="宋体"/>
          <w:b w:val="0"/>
          <w:color w:val="000000" w:themeColor="text1"/>
          <w:sz w:val="24"/>
          <w:highlight w:val="none"/>
          <w14:textFill>
            <w14:solidFill>
              <w14:schemeClr w14:val="tx1"/>
            </w14:solidFill>
          </w14:textFill>
        </w:rPr>
      </w:pPr>
    </w:p>
    <w:p>
      <w:pPr>
        <w:pStyle w:val="24"/>
        <w:spacing w:line="360" w:lineRule="auto"/>
        <w:ind w:firstLine="483"/>
        <w:jc w:val="both"/>
        <w:rPr>
          <w:rFonts w:hint="eastAsia" w:ascii="宋体" w:hAnsi="宋体" w:eastAsia="宋体" w:cs="宋体"/>
          <w:b w:val="0"/>
          <w:color w:val="000000" w:themeColor="text1"/>
          <w:sz w:val="24"/>
          <w:highlight w:val="none"/>
          <w14:textFill>
            <w14:solidFill>
              <w14:schemeClr w14:val="tx1"/>
            </w14:solidFill>
          </w14:textFill>
        </w:rPr>
      </w:pPr>
      <w:bookmarkStart w:id="18" w:name="_Toc152042554"/>
      <w:bookmarkStart w:id="19" w:name="_Toc30045"/>
      <w:bookmarkStart w:id="20" w:name="_Toc27253"/>
      <w:bookmarkStart w:id="21" w:name="_Toc4547"/>
      <w:bookmarkStart w:id="22" w:name="_Toc5648"/>
      <w:bookmarkStart w:id="23" w:name="_Toc179632789"/>
      <w:bookmarkStart w:id="24" w:name="_Toc144974834"/>
      <w:bookmarkStart w:id="25" w:name="_Toc152045772"/>
      <w:r>
        <w:rPr>
          <w:rFonts w:hint="eastAsia" w:ascii="宋体" w:hAnsi="宋体" w:eastAsia="宋体" w:cs="宋体"/>
          <w:b w:val="0"/>
          <w:color w:val="000000" w:themeColor="text1"/>
          <w:sz w:val="24"/>
          <w:highlight w:val="none"/>
          <w14:textFill>
            <w14:solidFill>
              <w14:schemeClr w14:val="tx1"/>
            </w14:solidFill>
          </w14:textFill>
        </w:rPr>
        <w:t>23.8.3  各评标委员会成员对每个投标人的经济报价和技术标的打分合计即为该投标人的评标总得分。</w:t>
      </w:r>
    </w:p>
    <w:p>
      <w:pPr>
        <w:pStyle w:val="24"/>
        <w:spacing w:line="360" w:lineRule="auto"/>
        <w:ind w:firstLine="483"/>
        <w:jc w:val="both"/>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color w:val="000000" w:themeColor="text1"/>
          <w:sz w:val="24"/>
          <w:highlight w:val="none"/>
          <w14:textFill>
            <w14:solidFill>
              <w14:schemeClr w14:val="tx1"/>
            </w14:solidFill>
          </w14:textFill>
        </w:rPr>
        <w:t>计算公式为：总评标得分=F1+F2</w:t>
      </w:r>
    </w:p>
    <w:p>
      <w:pPr>
        <w:pStyle w:val="24"/>
        <w:spacing w:line="360" w:lineRule="auto"/>
        <w:ind w:firstLine="483"/>
        <w:jc w:val="both"/>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color w:val="000000" w:themeColor="text1"/>
          <w:sz w:val="24"/>
          <w:highlight w:val="none"/>
          <w14:textFill>
            <w14:solidFill>
              <w14:schemeClr w14:val="tx1"/>
            </w14:solidFill>
          </w14:textFill>
        </w:rPr>
        <w:t>其中：F1、F2分别为经济报价、技术标得分</w:t>
      </w:r>
    </w:p>
    <w:p>
      <w:pPr>
        <w:pStyle w:val="24"/>
        <w:spacing w:line="360" w:lineRule="auto"/>
        <w:ind w:firstLine="483"/>
        <w:jc w:val="both"/>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color w:val="000000" w:themeColor="text1"/>
          <w:sz w:val="24"/>
          <w:highlight w:val="none"/>
          <w14:textFill>
            <w14:solidFill>
              <w14:schemeClr w14:val="tx1"/>
            </w14:solidFill>
          </w14:textFill>
        </w:rPr>
        <w:t>23.8.4 评标报告签署前，经复核发现存在以下情形之一的：分值汇总计算错误的；分项评分超出评分标准范围的；评标委员会成员对客观评审因素评分不一致的；经评标委员会认定评分畸高、畸低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24"/>
        <w:spacing w:line="360" w:lineRule="auto"/>
        <w:ind w:firstLine="483"/>
        <w:jc w:val="both"/>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color w:val="000000" w:themeColor="text1"/>
          <w:sz w:val="24"/>
          <w:highlight w:val="none"/>
          <w14:textFill>
            <w14:solidFill>
              <w14:schemeClr w14:val="tx1"/>
            </w14:solidFill>
          </w14:textFill>
        </w:rPr>
        <w:t>23.8.5 评标委员会将按投标人得分顺序由高到低依次排名，得分相同的，按投标报价由低到高顺序排列。得分及报价相同的，按技术指标优劣顺序排列。得分最高的前一名至前三名投标人将成为中标候选人。</w:t>
      </w:r>
    </w:p>
    <w:p>
      <w:pPr>
        <w:pStyle w:val="24"/>
        <w:spacing w:line="360" w:lineRule="auto"/>
        <w:ind w:firstLine="483"/>
        <w:jc w:val="both"/>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color w:val="000000" w:themeColor="text1"/>
          <w:sz w:val="24"/>
          <w:highlight w:val="none"/>
          <w14:textFill>
            <w14:solidFill>
              <w14:schemeClr w14:val="tx1"/>
            </w14:solidFill>
          </w14:textFill>
        </w:rPr>
        <w:t>23.8.6 评标委员会成员对需要共同认定的事项存在争议的，应当按照少数服从多数的原则作出结论。持不同意见的评标委员会成员应当在评标报告上签署不同意见及理由，否则视为同意评标报告。</w:t>
      </w:r>
    </w:p>
    <w:p>
      <w:pPr>
        <w:pStyle w:val="20"/>
        <w:spacing w:line="360" w:lineRule="auto"/>
        <w:ind w:firstLine="482" w:firstLineChars="200"/>
        <w:jc w:val="both"/>
        <w:rPr>
          <w:rFonts w:hint="eastAsia"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24. 投标文件的澄清</w:t>
      </w:r>
    </w:p>
    <w:p>
      <w:pPr>
        <w:pStyle w:val="20"/>
        <w:spacing w:line="360" w:lineRule="auto"/>
        <w:ind w:firstLine="482" w:firstLineChars="200"/>
        <w:jc w:val="both"/>
        <w:rPr>
          <w:rFonts w:hint="eastAsia"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24.1  评标委员会在评标过程中有权随时请投标人就投标文件中含混之处加以澄清或答疑。</w:t>
      </w:r>
    </w:p>
    <w:p>
      <w:pPr>
        <w:pStyle w:val="20"/>
        <w:spacing w:line="360" w:lineRule="auto"/>
        <w:ind w:firstLine="482" w:firstLineChars="200"/>
        <w:jc w:val="both"/>
        <w:rPr>
          <w:rFonts w:hint="eastAsia"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 xml:space="preserve">24.2  </w:t>
      </w:r>
      <w:r>
        <w:rPr>
          <w:rFonts w:hint="eastAsia" w:ascii="宋体" w:hAnsi="宋体" w:cs="宋体"/>
          <w:color w:val="000000" w:themeColor="text1"/>
          <w:szCs w:val="24"/>
          <w:highlight w:val="none"/>
          <w14:textFill>
            <w14:solidFill>
              <w14:schemeClr w14:val="tx1"/>
            </w14:solidFill>
          </w14:textFill>
        </w:rPr>
        <w:t>投标人的澄清、说明或者补正应当采用书面形式，并加盖公章，或者由法定代表人或其授权的代表签字。</w:t>
      </w:r>
    </w:p>
    <w:p>
      <w:pPr>
        <w:pStyle w:val="20"/>
        <w:spacing w:line="360" w:lineRule="auto"/>
        <w:ind w:firstLine="482" w:firstLineChars="200"/>
        <w:jc w:val="both"/>
        <w:rPr>
          <w:rFonts w:hint="eastAsia"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 xml:space="preserve">24.3  </w:t>
      </w:r>
      <w:r>
        <w:rPr>
          <w:rFonts w:hint="eastAsia" w:ascii="宋体" w:hAnsi="宋体" w:cs="宋体"/>
          <w:color w:val="000000" w:themeColor="text1"/>
          <w:szCs w:val="24"/>
          <w:highlight w:val="none"/>
          <w14:textFill>
            <w14:solidFill>
              <w14:schemeClr w14:val="tx1"/>
            </w14:solidFill>
          </w14:textFill>
        </w:rPr>
        <w:t>投标人的澄清、说明或者补正不得超出投标文件的范围或者改变投标文件的实质性内容。</w:t>
      </w:r>
    </w:p>
    <w:p>
      <w:pPr>
        <w:pStyle w:val="20"/>
        <w:spacing w:line="360" w:lineRule="auto"/>
        <w:ind w:firstLine="482" w:firstLineChars="200"/>
        <w:jc w:val="both"/>
        <w:rPr>
          <w:rFonts w:hint="eastAsia"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24.4  投标人的澄清文件是投标文件的组成部分，并取代投标文件中被澄清的部分。</w:t>
      </w:r>
    </w:p>
    <w:p>
      <w:pPr>
        <w:pStyle w:val="20"/>
        <w:spacing w:line="360" w:lineRule="auto"/>
        <w:ind w:firstLine="482" w:firstLineChars="200"/>
        <w:jc w:val="both"/>
        <w:rPr>
          <w:rFonts w:hint="eastAsia"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25. 中标人的确定</w:t>
      </w:r>
    </w:p>
    <w:p>
      <w:pPr>
        <w:pStyle w:val="20"/>
        <w:spacing w:line="360" w:lineRule="auto"/>
        <w:ind w:firstLine="482" w:firstLineChars="200"/>
        <w:jc w:val="both"/>
        <w:rPr>
          <w:rFonts w:hint="eastAsia"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25.1  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pStyle w:val="20"/>
        <w:spacing w:line="360" w:lineRule="auto"/>
        <w:ind w:firstLine="482" w:firstLineChars="200"/>
        <w:jc w:val="both"/>
        <w:rPr>
          <w:rFonts w:hint="eastAsia"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25.2  采购人在收到评标报告5个工作日内未按评标报告推荐的中标候选人顺序确定中标人，又不能说明合法理由的，视同按评标报告推荐的顺序确定排名第一的中标候选人为中标人。</w:t>
      </w:r>
    </w:p>
    <w:p>
      <w:pPr>
        <w:pStyle w:val="20"/>
        <w:spacing w:line="360" w:lineRule="auto"/>
        <w:ind w:firstLine="482" w:firstLineChars="200"/>
        <w:jc w:val="both"/>
        <w:rPr>
          <w:rFonts w:hint="eastAsia"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25.3  评标委员会按照招标文件的评标办法负责向采购人推荐中标候选人。评标委员会有权推荐一家或一至三家投标人为中标候选人、或者拒绝所有的投标人的投标。评标委员会成员无义务向投标人做出有关对评标的任何解释工作。</w:t>
      </w:r>
    </w:p>
    <w:p>
      <w:pPr>
        <w:pStyle w:val="20"/>
        <w:spacing w:line="360" w:lineRule="auto"/>
        <w:ind w:firstLine="482" w:firstLineChars="200"/>
        <w:jc w:val="both"/>
        <w:rPr>
          <w:rFonts w:hint="eastAsia" w:ascii="宋体" w:hAnsi="宋体" w:cs="宋体"/>
          <w:bCs/>
          <w:color w:val="000000" w:themeColor="text1"/>
          <w:szCs w:val="24"/>
          <w:highlight w:val="none"/>
          <w14:textFill>
            <w14:solidFill>
              <w14:schemeClr w14:val="tx1"/>
            </w14:solidFill>
          </w14:textFill>
        </w:rPr>
      </w:pPr>
      <w:r>
        <w:rPr>
          <w:rFonts w:hint="eastAsia" w:ascii="宋体" w:hAnsi="宋体" w:cs="宋体"/>
          <w:bCs/>
          <w:color w:val="000000" w:themeColor="text1"/>
          <w:szCs w:val="24"/>
          <w:highlight w:val="none"/>
          <w14:textFill>
            <w14:solidFill>
              <w14:schemeClr w14:val="tx1"/>
            </w14:solidFill>
          </w14:textFill>
        </w:rPr>
        <w:t>25.4  中标供应商拒绝与采购人签订合同的，采购人可以按照评审报告推荐的中标人名单排序，确定下一候选人为中标人，也可以重新开展政府采购活动。</w:t>
      </w:r>
    </w:p>
    <w:p>
      <w:pPr>
        <w:pStyle w:val="20"/>
        <w:spacing w:line="360" w:lineRule="auto"/>
        <w:ind w:firstLine="482" w:firstLineChars="200"/>
        <w:jc w:val="both"/>
        <w:rPr>
          <w:rFonts w:hint="eastAsia"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26.  中标通知</w:t>
      </w:r>
    </w:p>
    <w:p>
      <w:pPr>
        <w:pStyle w:val="20"/>
        <w:spacing w:line="360" w:lineRule="auto"/>
        <w:ind w:firstLine="482" w:firstLineChars="200"/>
        <w:jc w:val="both"/>
        <w:rPr>
          <w:rFonts w:hint="eastAsia"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26.1 在公告中标结果的同时，采购人或者采购代理机构向中标人发出中标通知书。</w:t>
      </w:r>
    </w:p>
    <w:p>
      <w:pPr>
        <w:pStyle w:val="20"/>
        <w:spacing w:line="360" w:lineRule="auto"/>
        <w:ind w:firstLine="482" w:firstLineChars="200"/>
        <w:jc w:val="both"/>
        <w:rPr>
          <w:rFonts w:hint="eastAsia"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 xml:space="preserve">26.2 </w:t>
      </w:r>
      <w:r>
        <w:rPr>
          <w:rFonts w:hint="eastAsia" w:ascii="宋体" w:hAnsi="宋体" w:cs="宋体"/>
          <w:color w:val="000000" w:themeColor="text1"/>
          <w:szCs w:val="24"/>
          <w:highlight w:val="none"/>
          <w14:textFill>
            <w14:solidFill>
              <w14:schemeClr w14:val="tx1"/>
            </w14:solidFill>
          </w14:textFill>
        </w:rPr>
        <w:t>对于所有投标人的投标文件均</w:t>
      </w:r>
      <w:r>
        <w:rPr>
          <w:rFonts w:hint="eastAsia" w:ascii="宋体" w:hAnsi="宋体" w:cs="宋体"/>
          <w:color w:val="000000" w:themeColor="text1"/>
          <w:szCs w:val="24"/>
          <w:highlight w:val="none"/>
          <w:shd w:val="clear" w:color="auto" w:fill="FFFFFF"/>
          <w14:textFill>
            <w14:solidFill>
              <w14:schemeClr w14:val="tx1"/>
            </w14:solidFill>
          </w14:textFill>
        </w:rPr>
        <w:t>不予以退还，但对其承担保密责任。</w:t>
      </w:r>
    </w:p>
    <w:p>
      <w:pPr>
        <w:pStyle w:val="20"/>
        <w:spacing w:line="360" w:lineRule="auto"/>
        <w:ind w:firstLine="482" w:firstLineChars="200"/>
        <w:jc w:val="both"/>
        <w:rPr>
          <w:rFonts w:hint="eastAsia"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27. 拒绝某些或所有投标的权力。</w:t>
      </w:r>
    </w:p>
    <w:p>
      <w:pPr>
        <w:pStyle w:val="20"/>
        <w:spacing w:line="360" w:lineRule="auto"/>
        <w:ind w:firstLine="482" w:firstLineChars="200"/>
        <w:jc w:val="both"/>
        <w:rPr>
          <w:rFonts w:hint="eastAsia"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27.1 采购人或采购代理机构有权在《中标通知书》发放之前的任何时候拒绝任何有不正当行为或扰乱正常招标工作的投标人，由此对相关投标人造成的损失不负责任。</w:t>
      </w:r>
    </w:p>
    <w:p>
      <w:pPr>
        <w:pStyle w:val="19"/>
        <w:jc w:val="center"/>
        <w:outlineLvl w:val="1"/>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七、授予合同</w:t>
      </w:r>
    </w:p>
    <w:p>
      <w:pPr>
        <w:pStyle w:val="20"/>
        <w:spacing w:line="360" w:lineRule="auto"/>
        <w:ind w:firstLine="482" w:firstLineChars="200"/>
        <w:jc w:val="both"/>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28.  签订合同</w:t>
      </w:r>
    </w:p>
    <w:p>
      <w:pPr>
        <w:pStyle w:val="20"/>
        <w:spacing w:line="360" w:lineRule="auto"/>
        <w:ind w:firstLine="482" w:firstLineChars="200"/>
        <w:jc w:val="both"/>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28.1  中标人收到《中标通知书》后，须按有关规定与采购人签定经济合同。合同的签订一般在《中标通知书》发出后30天内进行，但采购人事先约定的情况除外。</w:t>
      </w:r>
    </w:p>
    <w:p>
      <w:pPr>
        <w:pStyle w:val="20"/>
        <w:spacing w:line="360" w:lineRule="auto"/>
        <w:ind w:firstLine="482" w:firstLineChars="200"/>
        <w:jc w:val="both"/>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28.2  合同签订后，中标人应按合同的规定履行合同，未按规定履约的，采购人有权取消合同，并且不退还中标人的投标保证金。</w:t>
      </w:r>
    </w:p>
    <w:p>
      <w:pPr>
        <w:pStyle w:val="20"/>
        <w:spacing w:line="360" w:lineRule="auto"/>
        <w:ind w:firstLine="482" w:firstLineChars="200"/>
        <w:jc w:val="both"/>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28.3  中标合同不得转让或分包。如需对合同的非主体部分进行转让或分包，投标人必须在投标文件中予以说明，并需经采购人同意。否则，采购人有权取消中标人的中标资格。</w:t>
      </w:r>
    </w:p>
    <w:p>
      <w:pPr>
        <w:pStyle w:val="20"/>
        <w:spacing w:line="360" w:lineRule="auto"/>
        <w:ind w:firstLine="482" w:firstLineChars="200"/>
        <w:jc w:val="both"/>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28.4  如中标人未按有关规定与采购人签订合同或提交合同履约保证金的，采购人可以选择其他中标候选人为中标人，并组织中标人和采购人签订经济合同。</w:t>
      </w:r>
    </w:p>
    <w:p>
      <w:pPr>
        <w:pStyle w:val="20"/>
        <w:spacing w:line="360" w:lineRule="auto"/>
        <w:ind w:firstLine="482" w:firstLineChars="200"/>
        <w:jc w:val="both"/>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28.5  合同履约保证金的形式为银行保函，另有约定的，按照约定条件执行。</w:t>
      </w:r>
    </w:p>
    <w:p>
      <w:pPr>
        <w:pStyle w:val="20"/>
        <w:spacing w:line="360" w:lineRule="auto"/>
        <w:ind w:firstLine="482" w:firstLineChars="200"/>
        <w:jc w:val="both"/>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29.  合同的组成</w:t>
      </w:r>
    </w:p>
    <w:p>
      <w:pPr>
        <w:pStyle w:val="20"/>
        <w:spacing w:line="360" w:lineRule="auto"/>
        <w:ind w:firstLine="482" w:firstLineChars="200"/>
        <w:jc w:val="both"/>
        <w:outlineLvl w:val="2"/>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29.1  下列文件均为经济合同不可分割的组成部分：</w:t>
      </w:r>
    </w:p>
    <w:p>
      <w:pPr>
        <w:pStyle w:val="20"/>
        <w:spacing w:line="360" w:lineRule="auto"/>
        <w:ind w:firstLine="482" w:firstLineChars="200"/>
        <w:jc w:val="both"/>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29.1.1  招标文件及其附件、澄清文件；</w:t>
      </w:r>
    </w:p>
    <w:p>
      <w:pPr>
        <w:pStyle w:val="20"/>
        <w:spacing w:line="360" w:lineRule="auto"/>
        <w:ind w:firstLine="482" w:firstLineChars="200"/>
        <w:jc w:val="both"/>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 xml:space="preserve">29.1.2  中标的投标文件及其他附件； </w:t>
      </w:r>
    </w:p>
    <w:p>
      <w:pPr>
        <w:pStyle w:val="20"/>
        <w:spacing w:line="360" w:lineRule="auto"/>
        <w:ind w:firstLine="482" w:firstLineChars="200"/>
        <w:jc w:val="both"/>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29.1.3  经确认的答疑记录；</w:t>
      </w:r>
    </w:p>
    <w:p>
      <w:pPr>
        <w:pStyle w:val="20"/>
        <w:spacing w:line="360" w:lineRule="auto"/>
        <w:ind w:firstLine="482" w:firstLineChars="200"/>
        <w:jc w:val="both"/>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29.1.4  中标通知书。</w:t>
      </w:r>
    </w:p>
    <w:p>
      <w:pPr>
        <w:pStyle w:val="19"/>
        <w:jc w:val="center"/>
        <w:outlineLvl w:val="1"/>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八、买方授标时更改采购货物数量的权利</w:t>
      </w:r>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30. 买方在授予合同时有权按“投标人须知前附表”第12项约定的内容对“货物需求表”中规定的货物数量和服务予以局部增加或减少，但不得对单价或其它实质性内容做任何改变，对增减的数量按同类型中标产品价结算货款。</w:t>
      </w:r>
    </w:p>
    <w:p>
      <w:pPr>
        <w:pStyle w:val="19"/>
        <w:jc w:val="center"/>
        <w:outlineLvl w:val="1"/>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九、其他事项</w:t>
      </w:r>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  中标服务费</w:t>
      </w:r>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31.1 中标人应按本招标文件的规定，在《中标通知书》核发时至核发后3天内，向采购代理机构支付中标服务费。</w:t>
      </w:r>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bookmarkStart w:id="26" w:name="_Toc19074"/>
      <w:bookmarkStart w:id="27" w:name="_Toc14033"/>
      <w:r>
        <w:rPr>
          <w:rFonts w:hint="eastAsia" w:ascii="宋体" w:hAnsi="宋体" w:eastAsia="宋体" w:cs="宋体"/>
          <w:color w:val="000000" w:themeColor="text1"/>
          <w:sz w:val="24"/>
          <w:highlight w:val="none"/>
          <w14:textFill>
            <w14:solidFill>
              <w14:schemeClr w14:val="tx1"/>
            </w14:solidFill>
          </w14:textFill>
        </w:rPr>
        <w:t>31.2 中标服务费的计算基数是中标人投标报价的总金额，即中标通知书中载明的中标金额</w:t>
      </w:r>
      <w:bookmarkEnd w:id="26"/>
      <w:bookmarkEnd w:id="27"/>
      <w:r>
        <w:rPr>
          <w:rFonts w:hint="eastAsia" w:ascii="宋体" w:hAnsi="宋体" w:eastAsia="宋体" w:cs="宋体"/>
          <w:color w:val="000000" w:themeColor="text1"/>
          <w:sz w:val="24"/>
          <w:highlight w:val="none"/>
          <w14:textFill>
            <w14:solidFill>
              <w14:schemeClr w14:val="tx1"/>
            </w14:solidFill>
          </w14:textFill>
        </w:rPr>
        <w:t>。</w:t>
      </w:r>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bookmarkStart w:id="28" w:name="_Toc12711"/>
      <w:r>
        <w:rPr>
          <w:rFonts w:hint="eastAsia" w:ascii="宋体" w:hAnsi="宋体" w:eastAsia="宋体" w:cs="宋体"/>
          <w:color w:val="000000" w:themeColor="text1"/>
          <w:sz w:val="24"/>
          <w:highlight w:val="none"/>
          <w14:textFill>
            <w14:solidFill>
              <w14:schemeClr w14:val="tx1"/>
            </w14:solidFill>
          </w14:textFill>
        </w:rPr>
        <w:t>32. 参与本次招标的投标企业必须有商务、技术人员对评标委员会提出的商务、技术问题进行答疑。</w:t>
      </w:r>
      <w:bookmarkEnd w:id="28"/>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 有下列情形之一的，视为投标人串通投标，其投标无效：</w:t>
      </w:r>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33.1  不同投标人的投标文件由同一单位或者个人编制；</w:t>
      </w:r>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33.2  不同投标人委托同一单位或者个人办理投标事宜；</w:t>
      </w:r>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33.3  不同投标人的投标文件载明的项目管理成员或者联系人员为同一人；</w:t>
      </w:r>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33.4  不同投标人的投标文件异常一致或者投标报价呈规律性差异；</w:t>
      </w:r>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33.5  不同投标人的投标文件相互混装；</w:t>
      </w:r>
    </w:p>
    <w:p>
      <w:pPr>
        <w:pStyle w:val="21"/>
        <w:spacing w:line="360" w:lineRule="auto"/>
        <w:ind w:firstLine="483"/>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33.6  不同投标人的投标保证金从同一单位或者个人的账户转出。</w:t>
      </w:r>
      <w:bookmarkStart w:id="29" w:name="_Toc14852"/>
      <w:bookmarkStart w:id="30" w:name="_Toc29020"/>
      <w:bookmarkStart w:id="31" w:name="_Toc179632627"/>
      <w:bookmarkStart w:id="32" w:name="_Toc470"/>
      <w:bookmarkStart w:id="33" w:name="_Toc144974577"/>
      <w:bookmarkStart w:id="34" w:name="_Toc152045609"/>
      <w:bookmarkStart w:id="35" w:name="_Toc152042387"/>
      <w:bookmarkStart w:id="36" w:name="_Toc7110"/>
    </w:p>
    <w:p>
      <w:pPr>
        <w:pStyle w:val="7"/>
        <w:rPr>
          <w:rFonts w:hint="eastAsia" w:ascii="宋体" w:hAnsi="宋体" w:eastAsia="宋体" w:cs="宋体"/>
          <w:b/>
          <w:bCs/>
          <w:color w:val="000000" w:themeColor="text1"/>
          <w:sz w:val="24"/>
          <w:szCs w:val="24"/>
          <w:highlight w:val="none"/>
          <w14:textFill>
            <w14:solidFill>
              <w14:schemeClr w14:val="tx1"/>
            </w14:solidFill>
          </w14:textFill>
        </w:rPr>
      </w:pPr>
    </w:p>
    <w:p>
      <w:pPr>
        <w:rPr>
          <w:rFonts w:hint="eastAsia" w:ascii="宋体" w:hAnsi="宋体" w:eastAsia="宋体" w:cs="宋体"/>
          <w:b/>
          <w:bCs/>
          <w:color w:val="000000" w:themeColor="text1"/>
          <w:sz w:val="24"/>
          <w:szCs w:val="24"/>
          <w:highlight w:val="none"/>
          <w14:textFill>
            <w14:solidFill>
              <w14:schemeClr w14:val="tx1"/>
            </w14:solidFill>
          </w14:textFill>
        </w:rPr>
      </w:pPr>
    </w:p>
    <w:p>
      <w:pPr>
        <w:pStyle w:val="7"/>
        <w:rPr>
          <w:rFonts w:hint="eastAsia" w:ascii="宋体" w:hAnsi="宋体" w:eastAsia="宋体" w:cs="宋体"/>
          <w:b/>
          <w:bCs/>
          <w:color w:val="000000" w:themeColor="text1"/>
          <w:sz w:val="24"/>
          <w:szCs w:val="24"/>
          <w:highlight w:val="none"/>
          <w14:textFill>
            <w14:solidFill>
              <w14:schemeClr w14:val="tx1"/>
            </w14:solidFill>
          </w14:textFill>
        </w:rPr>
      </w:pPr>
    </w:p>
    <w:p>
      <w:pPr>
        <w:rPr>
          <w:rFonts w:hint="eastAsia" w:ascii="宋体" w:hAnsi="宋体" w:eastAsia="宋体" w:cs="宋体"/>
          <w:b/>
          <w:bCs/>
          <w:color w:val="000000" w:themeColor="text1"/>
          <w:sz w:val="24"/>
          <w:szCs w:val="24"/>
          <w:highlight w:val="none"/>
          <w14:textFill>
            <w14:solidFill>
              <w14:schemeClr w14:val="tx1"/>
            </w14:solidFill>
          </w14:textFill>
        </w:rPr>
      </w:pPr>
    </w:p>
    <w:p>
      <w:pPr>
        <w:pStyle w:val="7"/>
        <w:rPr>
          <w:rFonts w:hint="eastAsia" w:ascii="宋体" w:hAnsi="宋体" w:eastAsia="宋体" w:cs="宋体"/>
          <w:b/>
          <w:bCs/>
          <w:color w:val="000000" w:themeColor="text1"/>
          <w:sz w:val="24"/>
          <w:szCs w:val="24"/>
          <w:highlight w:val="none"/>
          <w14:textFill>
            <w14:solidFill>
              <w14:schemeClr w14:val="tx1"/>
            </w14:solidFill>
          </w14:textFill>
        </w:rPr>
      </w:pPr>
    </w:p>
    <w:p>
      <w:pPr>
        <w:rPr>
          <w:rFonts w:hint="eastAsia" w:ascii="宋体" w:hAnsi="宋体" w:eastAsia="宋体" w:cs="宋体"/>
          <w:b/>
          <w:bCs/>
          <w:color w:val="000000" w:themeColor="text1"/>
          <w:sz w:val="24"/>
          <w:szCs w:val="24"/>
          <w:highlight w:val="none"/>
          <w14:textFill>
            <w14:solidFill>
              <w14:schemeClr w14:val="tx1"/>
            </w14:solidFill>
          </w14:textFill>
        </w:rPr>
      </w:pPr>
    </w:p>
    <w:p>
      <w:pPr>
        <w:pStyle w:val="7"/>
        <w:rPr>
          <w:rFonts w:hint="eastAsia" w:ascii="宋体" w:hAnsi="宋体" w:eastAsia="宋体" w:cs="宋体"/>
          <w:b/>
          <w:bCs/>
          <w:color w:val="000000" w:themeColor="text1"/>
          <w:sz w:val="24"/>
          <w:szCs w:val="24"/>
          <w:highlight w:val="none"/>
          <w14:textFill>
            <w14:solidFill>
              <w14:schemeClr w14:val="tx1"/>
            </w14:solidFill>
          </w14:textFill>
        </w:rPr>
      </w:pPr>
    </w:p>
    <w:p>
      <w:pPr>
        <w:rPr>
          <w:rFonts w:hint="eastAsia" w:ascii="宋体" w:hAnsi="宋体" w:eastAsia="宋体" w:cs="宋体"/>
          <w:b/>
          <w:bCs/>
          <w:color w:val="000000" w:themeColor="text1"/>
          <w:sz w:val="24"/>
          <w:szCs w:val="24"/>
          <w:highlight w:val="none"/>
          <w14:textFill>
            <w14:solidFill>
              <w14:schemeClr w14:val="tx1"/>
            </w14:solidFill>
          </w14:textFill>
        </w:rPr>
      </w:pPr>
    </w:p>
    <w:p>
      <w:pPr>
        <w:pStyle w:val="7"/>
        <w:rPr>
          <w:rFonts w:hint="eastAsia" w:ascii="宋体" w:hAnsi="宋体" w:eastAsia="宋体" w:cs="宋体"/>
          <w:b/>
          <w:bCs/>
          <w:color w:val="000000" w:themeColor="text1"/>
          <w:sz w:val="24"/>
          <w:szCs w:val="24"/>
          <w:highlight w:val="none"/>
          <w14:textFill>
            <w14:solidFill>
              <w14:schemeClr w14:val="tx1"/>
            </w14:solidFill>
          </w14:textFill>
        </w:rPr>
      </w:pPr>
    </w:p>
    <w:p>
      <w:pPr>
        <w:pStyle w:val="7"/>
        <w:rPr>
          <w:rFonts w:hint="eastAsia"/>
          <w:color w:val="000000" w:themeColor="text1"/>
          <w14:textFill>
            <w14:solidFill>
              <w14:schemeClr w14:val="tx1"/>
            </w14:solidFill>
          </w14:textFill>
        </w:rPr>
      </w:pPr>
    </w:p>
    <w:p>
      <w:pPr>
        <w:pStyle w:val="3"/>
        <w:keepNext w:val="0"/>
        <w:keepLines w:val="0"/>
        <w:adjustRightInd w:val="0"/>
        <w:snapToGrid w:val="0"/>
        <w:spacing w:before="120" w:after="120" w:line="360" w:lineRule="auto"/>
        <w:jc w:val="center"/>
        <w:outlineLvl w:val="0"/>
        <w:rPr>
          <w:rFonts w:hint="eastAsia" w:ascii="宋体" w:hAnsi="宋体" w:eastAsia="宋体" w:cs="宋体"/>
          <w:b/>
          <w:bCs w:val="0"/>
          <w:color w:val="000000" w:themeColor="text1"/>
          <w:sz w:val="24"/>
          <w:szCs w:val="24"/>
          <w:highlight w:val="none"/>
          <w14:textFill>
            <w14:solidFill>
              <w14:schemeClr w14:val="tx1"/>
            </w14:solidFill>
          </w14:textFill>
        </w:rPr>
      </w:pPr>
    </w:p>
    <w:p>
      <w:pPr>
        <w:pStyle w:val="3"/>
        <w:keepNext w:val="0"/>
        <w:keepLines w:val="0"/>
        <w:adjustRightInd w:val="0"/>
        <w:snapToGrid w:val="0"/>
        <w:spacing w:before="120" w:after="120" w:line="360" w:lineRule="auto"/>
        <w:jc w:val="center"/>
        <w:outlineLvl w:val="0"/>
        <w:rPr>
          <w:rFonts w:hint="eastAsia" w:ascii="宋体" w:hAnsi="宋体" w:eastAsia="宋体" w:cs="宋体"/>
          <w:b/>
          <w:bCs w:val="0"/>
          <w:color w:val="000000" w:themeColor="text1"/>
          <w:sz w:val="24"/>
          <w:szCs w:val="24"/>
          <w:highlight w:val="none"/>
          <w14:textFill>
            <w14:solidFill>
              <w14:schemeClr w14:val="tx1"/>
            </w14:solidFill>
          </w14:textFill>
        </w:rPr>
      </w:pPr>
    </w:p>
    <w:p>
      <w:pPr>
        <w:pStyle w:val="3"/>
        <w:keepNext w:val="0"/>
        <w:keepLines w:val="0"/>
        <w:adjustRightInd w:val="0"/>
        <w:snapToGrid w:val="0"/>
        <w:spacing w:before="120" w:after="120" w:line="360" w:lineRule="auto"/>
        <w:jc w:val="center"/>
        <w:outlineLvl w:val="0"/>
        <w:rPr>
          <w:rFonts w:hint="eastAsia" w:ascii="宋体" w:hAnsi="宋体" w:eastAsia="宋体" w:cs="宋体"/>
          <w:b/>
          <w:bCs w:val="0"/>
          <w:color w:val="000000" w:themeColor="text1"/>
          <w:sz w:val="24"/>
          <w:szCs w:val="24"/>
          <w:highlight w:val="none"/>
          <w14:textFill>
            <w14:solidFill>
              <w14:schemeClr w14:val="tx1"/>
            </w14:solidFill>
          </w14:textFill>
        </w:rPr>
      </w:pPr>
    </w:p>
    <w:p>
      <w:pPr>
        <w:pStyle w:val="3"/>
        <w:keepNext w:val="0"/>
        <w:keepLines w:val="0"/>
        <w:adjustRightInd w:val="0"/>
        <w:snapToGrid w:val="0"/>
        <w:spacing w:before="120" w:after="120" w:line="360" w:lineRule="auto"/>
        <w:jc w:val="both"/>
        <w:outlineLvl w:val="0"/>
        <w:rPr>
          <w:rFonts w:hint="eastAsia" w:ascii="宋体" w:hAnsi="宋体" w:eastAsia="宋体" w:cs="宋体"/>
          <w:b/>
          <w:bCs w:val="0"/>
          <w:color w:val="000000" w:themeColor="text1"/>
          <w:sz w:val="24"/>
          <w:szCs w:val="24"/>
          <w:highlight w:val="none"/>
          <w14:textFill>
            <w14:solidFill>
              <w14:schemeClr w14:val="tx1"/>
            </w14:solidFill>
          </w14:textFill>
        </w:rPr>
      </w:pPr>
    </w:p>
    <w:p>
      <w:pPr>
        <w:pStyle w:val="3"/>
        <w:keepNext w:val="0"/>
        <w:keepLines w:val="0"/>
        <w:adjustRightInd w:val="0"/>
        <w:snapToGrid w:val="0"/>
        <w:spacing w:before="120" w:after="120" w:line="360" w:lineRule="auto"/>
        <w:jc w:val="center"/>
        <w:outlineLvl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第三章 合同条款</w:t>
      </w:r>
      <w:bookmarkEnd w:id="29"/>
      <w:bookmarkEnd w:id="30"/>
      <w:bookmarkEnd w:id="31"/>
      <w:bookmarkEnd w:id="32"/>
      <w:bookmarkEnd w:id="33"/>
      <w:bookmarkEnd w:id="34"/>
      <w:bookmarkEnd w:id="35"/>
      <w:bookmarkEnd w:id="36"/>
      <w:bookmarkStart w:id="37" w:name="_Toc152045767"/>
      <w:bookmarkStart w:id="38" w:name="_Toc144974826"/>
      <w:bookmarkStart w:id="39" w:name="_Toc152042546"/>
      <w:bookmarkStart w:id="40" w:name="_Toc179632785"/>
      <w:r>
        <w:rPr>
          <w:rFonts w:hint="eastAsia" w:ascii="宋体" w:hAnsi="宋体" w:eastAsia="宋体" w:cs="宋体"/>
          <w:b/>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仅供参考</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w:t>
      </w:r>
    </w:p>
    <w:bookmarkEnd w:id="37"/>
    <w:bookmarkEnd w:id="38"/>
    <w:bookmarkEnd w:id="39"/>
    <w:bookmarkEnd w:id="40"/>
    <w:p>
      <w:pPr>
        <w:numPr>
          <w:ilvl w:val="0"/>
          <w:numId w:val="4"/>
        </w:num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定义</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本合同下列术语应解释为：</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 “合同”系指买卖双方签署的、合同格式中载明的买卖双方所达成的协议,包括所有的附件、附录和上述文件所提到的构成合同的所有文件。</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 “合同价”系指根据合同规定卖方在正确地完全履行合同义务后买方应支付给卖方的价格。</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 “货物” 系指卖方根据合同规定须向买方提供的一切材料、设备、机械、仪表、备件、工具或其它材料。</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 “服务”系指根据合同规定卖方承担与供货有关的辅助服务，比如运输、保险、以及其它的伴随服务，比如安装、调试、提供技术援助、培训和合同中规定卖方应承担的其它义务。</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 “买方”系指前附表中所述购买货物和服务的单位。</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 “卖方”系指前附表中所述提供货物和服务的公司或实体。</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 “项目现场”系指合同条款前附表中指明的地点。</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 “天”指日历天数。</w:t>
      </w:r>
    </w:p>
    <w:p>
      <w:pPr>
        <w:numPr>
          <w:ilvl w:val="0"/>
          <w:numId w:val="4"/>
        </w:num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来源地</w:t>
      </w:r>
    </w:p>
    <w:p>
      <w:pPr>
        <w:spacing w:line="360" w:lineRule="auto"/>
        <w:ind w:firstLine="482" w:firstLineChars="200"/>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2.1本条所述的“来源地”系指货物生产地或提供服务的来源地。</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3.技术规格</w:t>
      </w:r>
    </w:p>
    <w:p>
      <w:pPr>
        <w:spacing w:line="360" w:lineRule="auto"/>
        <w:ind w:firstLine="482" w:firstLineChars="200"/>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3.1交付的货物的技术规格应与招标文件规定的技术规格相一致。</w:t>
      </w:r>
    </w:p>
    <w:p>
      <w:pPr>
        <w:spacing w:line="360" w:lineRule="auto"/>
        <w:ind w:firstLine="482" w:firstLineChars="200"/>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3.2除技术规格另有规定外,计量单位应该使用公制。</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4.专利权</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4.1卖方应保证买方在使用该货物或其任何一部分免受第三方提出侵犯其专利权、商标权或工业设计权的起诉。</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5.包装要求</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5.1除合同另有规定外，卖方提供的全部货物均应按标准保护措施进行包装，这类包装应适应于远距离运输、防潮、防震、防锈和防野蛮装卸，以确保货物安全无损运抵指定现场。</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5.2货物包装应附一份详细包装单和质量证书。</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6.包装标志</w:t>
      </w:r>
    </w:p>
    <w:p>
      <w:pPr>
        <w:spacing w:line="360" w:lineRule="auto"/>
        <w:ind w:firstLine="482" w:firstLineChars="200"/>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6.1卖方应在每一包装用不褪色的、以醒目的中文字样做出下列标记:</w:t>
      </w:r>
    </w:p>
    <w:p>
      <w:pPr>
        <w:spacing w:line="360" w:lineRule="auto"/>
        <w:ind w:firstLine="482"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1、货物名称、品目号和规格：</w:t>
      </w:r>
    </w:p>
    <w:p>
      <w:pPr>
        <w:spacing w:line="360" w:lineRule="auto"/>
        <w:ind w:firstLine="482"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2、毛重/净重：</w:t>
      </w:r>
    </w:p>
    <w:p>
      <w:pPr>
        <w:spacing w:line="360" w:lineRule="auto"/>
        <w:ind w:firstLine="482"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3、生产日期</w:t>
      </w:r>
    </w:p>
    <w:p>
      <w:pPr>
        <w:spacing w:line="360" w:lineRule="auto"/>
        <w:ind w:firstLine="482"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4、行业规定的其它标识</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7.装运条件</w:t>
      </w:r>
    </w:p>
    <w:p>
      <w:pPr>
        <w:spacing w:line="360" w:lineRule="auto"/>
        <w:ind w:firstLine="482" w:firstLineChars="200"/>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7.2如果是从国内供应的货物：</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7.2.1卖方应负责内陆运输； </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7.2.2货物到达买方目的地，经验收合格，买方签字认可后的日期为交货日期。</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8.装运通知</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8.2如果是从国内供应的货物，买方提前十四天制定需求计划给卖方:</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8.2.1卖方应在合同规定的装运日期之前七(7)天内以电报或电传或传真形式将合同号、货物名称、数量和到货日期通知买方。同时，卖方应用挂号信把详细的货物清单一式两份，包括合同号、货物名称、规格、数量、待运日期和货物在运输、储存中的特殊要求和注意事项等通知买方。</w:t>
      </w:r>
    </w:p>
    <w:p>
      <w:pPr>
        <w:spacing w:line="360" w:lineRule="auto"/>
        <w:ind w:firstLine="51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8.2.2卖方应在货物装完后24小时之内以电报或电传或传真形式将合同号、货物名称、数量、发票金额、运输工具名称及启运日期通知买方。</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9.付款</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9.1本合同以人民币付款。</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9.2卖方应按照双方签订的合同规定交货。交货后卖方应把下列单据提交给买方，买方按合同规定审核后付款。</w:t>
      </w:r>
    </w:p>
    <w:p>
      <w:pPr>
        <w:numPr>
          <w:ilvl w:val="0"/>
          <w:numId w:val="5"/>
        </w:numPr>
        <w:tabs>
          <w:tab w:val="clear" w:pos="360"/>
        </w:tabs>
        <w:spacing w:line="360" w:lineRule="auto"/>
        <w:ind w:left="0" w:firstLine="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1.发票；</w:t>
      </w:r>
    </w:p>
    <w:p>
      <w:pPr>
        <w:numPr>
          <w:ilvl w:val="0"/>
          <w:numId w:val="5"/>
        </w:numPr>
        <w:tabs>
          <w:tab w:val="clear" w:pos="360"/>
        </w:tabs>
        <w:spacing w:line="360" w:lineRule="auto"/>
        <w:ind w:left="0" w:firstLine="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2.装车单；</w:t>
      </w:r>
    </w:p>
    <w:p>
      <w:pPr>
        <w:numPr>
          <w:ilvl w:val="0"/>
          <w:numId w:val="5"/>
        </w:numPr>
        <w:tabs>
          <w:tab w:val="clear" w:pos="360"/>
        </w:tabs>
        <w:spacing w:line="360" w:lineRule="auto"/>
        <w:ind w:left="0" w:firstLine="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3.出具的质量检验证书和数量证明书；以及国家省级以上质量监督部门对本货物的质量检验证书；</w:t>
      </w:r>
    </w:p>
    <w:p>
      <w:pPr>
        <w:numPr>
          <w:ilvl w:val="0"/>
          <w:numId w:val="5"/>
        </w:numPr>
        <w:tabs>
          <w:tab w:val="clear" w:pos="360"/>
        </w:tabs>
        <w:spacing w:line="360" w:lineRule="auto"/>
        <w:ind w:left="0" w:firstLine="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4.验收证书。</w:t>
      </w:r>
    </w:p>
    <w:p>
      <w:pPr>
        <w:numPr>
          <w:ilvl w:val="0"/>
          <w:numId w:val="5"/>
        </w:numPr>
        <w:tabs>
          <w:tab w:val="clear" w:pos="360"/>
        </w:tabs>
        <w:spacing w:line="360" w:lineRule="auto"/>
        <w:ind w:left="0" w:firstLine="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5.买方验收签证</w:t>
      </w:r>
    </w:p>
    <w:p>
      <w:pPr>
        <w:numPr>
          <w:ilvl w:val="0"/>
          <w:numId w:val="5"/>
        </w:numPr>
        <w:tabs>
          <w:tab w:val="clear" w:pos="360"/>
        </w:tabs>
        <w:spacing w:line="360" w:lineRule="auto"/>
        <w:ind w:left="0" w:firstLine="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9.3卖方应在每批货物到达买方目的地后，经验收数量与卖方提供的数量证明书一致后四十八（48）小时内将上述9.2条要求的单据给买方。</w:t>
      </w:r>
    </w:p>
    <w:p>
      <w:pPr>
        <w:spacing w:line="360" w:lineRule="auto"/>
        <w:ind w:firstLine="482" w:firstLineChars="200"/>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9.4付款方式：</w:t>
      </w:r>
      <w:r>
        <w:rPr>
          <w:rFonts w:hint="eastAsia" w:ascii="宋体" w:hAnsi="宋体" w:cs="宋体"/>
          <w:b/>
          <w:bCs/>
          <w:color w:val="000000" w:themeColor="text1"/>
          <w:sz w:val="24"/>
          <w:highlight w:val="none"/>
          <w:lang w:val="en-US" w:eastAsia="zh-CN"/>
          <w14:textFill>
            <w14:solidFill>
              <w14:schemeClr w14:val="tx1"/>
            </w14:solidFill>
          </w14:textFill>
        </w:rPr>
        <w:t>签订合同时与采购人约定。</w:t>
      </w:r>
    </w:p>
    <w:p>
      <w:pPr>
        <w:spacing w:line="360" w:lineRule="auto"/>
        <w:ind w:firstLine="482" w:firstLineChars="200"/>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10. 质量保证</w:t>
      </w:r>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10.1 质量要求、技术标准及卖方对质量负责的条件期限。</w:t>
      </w:r>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10.2 卖方应严格按照设备制造国家标准和行业标准进行制造。出厂前卖方的质量检验部门应按照产品原产地国家制定的各项规定进行产品质量检验，检验合格后出具质量证明书后，方能出厂。</w:t>
      </w:r>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10.3 卖方对货物制造质量负责，在买方按照使用维护说明书的规定正确的安装维护及存放的情况下，卖方应保证所供设备自正式投入运行之日起36个月内无故障，如确因设计和制造质量不良而发生损坏或并非因维护操作不当导致不能正常使用，卖方应按国务院发布的《工业产品质量责任条例》在接到买方通知之日起1日内派人抵达设备使用现场处理，并承担相应的经济责任。</w:t>
      </w:r>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10.4卖方应对所供应设备的外协、外购件质量负责，其负责期限和责任范围等同于1.2条款的约定。卖方在交货时应提供外购件的使用维护说明书及证明文件。</w:t>
      </w:r>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10.5卖方单位所提供产品的技术应是最新的,并且已有运行2年以上的成功经验,并附有证明文件。</w:t>
      </w:r>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10.6 运输方式、交货地点及到达项目现场费用负担</w:t>
      </w:r>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10.7 运输方式由卖方决定、由卖方办理，运杂费用由卖方承担，产品包装应符合国家有关要求。</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11．技术培训要求</w:t>
      </w:r>
    </w:p>
    <w:p>
      <w:pPr>
        <w:spacing w:line="360" w:lineRule="auto"/>
        <w:ind w:firstLine="482"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11.1设备从到厂开始，希望调试人员在安装调试的全过程中对我单位保全及操作工培训。</w:t>
      </w:r>
    </w:p>
    <w:p>
      <w:pPr>
        <w:spacing w:line="360" w:lineRule="auto"/>
        <w:ind w:firstLine="482"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11.2设备安装调试完毕后，对我单位相关人员进行系统培训。</w:t>
      </w:r>
    </w:p>
    <w:p>
      <w:pPr>
        <w:spacing w:line="360" w:lineRule="auto"/>
        <w:ind w:firstLine="482"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11.3操作人员能够熟练掌握操作方法。</w:t>
      </w:r>
    </w:p>
    <w:p>
      <w:pPr>
        <w:spacing w:line="360" w:lineRule="auto"/>
        <w:ind w:firstLine="482"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11.4保全对设备有很好的认识，能够自行维修设备的一般故障，出现特殊故障时，保全能够通过电话沟通维修设备。</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12. 售后服务</w:t>
      </w:r>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12.1在货物到达使用单位后，接到买方通知后，应在1天内派工程技术人员到达现场，在买方技术人员在场的情况下开箱清点货物，组织安装调试，并承担由此发生的一切费用，安装时间不长于7天。</w:t>
      </w:r>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12.2设备安装后双方按国际和国家标准及本章第3条款的要求进行质量验收。卖方应向买方提供详细的验收标准、验收手册，免费提供验收所需的仪器，买方在验收合格后将仪器归还卖方。</w:t>
      </w:r>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12.3 在设备交付使用后，卖方应对保修期及其以后终身服务作出承诺，并具有切实可行的服务措施。卖方在疆应有常设或指派的法定售后服务机构，备品备件库（进口产品除外），安装维修人员应是卖方派出的具有一定专业技术水平的人员。</w:t>
      </w:r>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12.4 对配套设备中的产品必须提供有关资料及售后服务承诺。</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 备品备件</w:t>
      </w:r>
    </w:p>
    <w:p>
      <w:pPr>
        <w:pStyle w:val="21"/>
        <w:spacing w:line="360" w:lineRule="auto"/>
        <w:ind w:firstLine="483"/>
        <w:outlineLvl w:val="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13.1 应保证终身提供该设备的所有维修零备件。</w:t>
      </w:r>
    </w:p>
    <w:p>
      <w:pPr>
        <w:pStyle w:val="21"/>
        <w:spacing w:line="360" w:lineRule="auto"/>
        <w:ind w:firstLine="483"/>
        <w:outlineLvl w:val="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13.2 卖方须提供备件的名称、价格及有效期，保证供货期等。</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14．保修</w:t>
      </w:r>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14.1 本次招标采购的产品，要求质保期一年。质保期即自安装验收合格正式运行之日算起，至少12个月内无故障安全运行（如出现质量问题，卖方在保修期内免费更换部件及维修）。如果由于卖方责任致使系统不能验收，此保修期顺延。</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15.检验</w:t>
      </w:r>
    </w:p>
    <w:p>
      <w:pPr>
        <w:spacing w:line="360" w:lineRule="auto"/>
        <w:ind w:firstLine="51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在交货前，卖方应对货物的质量、规格、性能、数量和重量等进行详细而全面的检验，并出具一份证明货物符合合同规定的检验证书，检验证书是付款时所需文件的组成部分，但不能作为有关质量、规格、数量或重量的最终检验。卖方的检验结果应附在检验证书后面。</w:t>
      </w:r>
    </w:p>
    <w:p>
      <w:pPr>
        <w:spacing w:line="360" w:lineRule="auto"/>
        <w:ind w:firstLine="51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15.2货物运抵买方目的地后，买方对货物的质量、规格、数量和重量进行检验，并出具检验证书。费用由卖方承担。</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16.卖方履约延误</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16.1卖方应按照“货物需求一览表及技术规格要求”中买方规定的时间表交货和提供服务。</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16.2如卖方无正当理由而拖延交货，将受到以下制裁：没收履约保证金，加收误期赔偿或违约终止合同。</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在履行合同过程中，如果卖方可能遇到妨碍按时交货和提供服务的情况时，应及时以书面形式将拖延的事实，可能拖延的期限和理由通知买方。买方在收到卖方通知后，应尽快对情况进行评价，并确定是否通过修改合同，酌情延长交货时间。</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17.误期赔偿</w:t>
      </w:r>
    </w:p>
    <w:p>
      <w:pPr>
        <w:spacing w:line="360" w:lineRule="auto"/>
        <w:ind w:firstLine="51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17.1除合同第17条规定外，如果卖方没有按照合同规定的时间交货和提供服务，买方应从货款中扣除误期赔偿费而不影响合同项下的其他补救方法，赔偿费按每周迟交货物交货价或未提供服务费用的</w:t>
      </w:r>
      <w:r>
        <w:rPr>
          <w:rFonts w:hint="eastAsia" w:ascii="宋体" w:hAnsi="宋体" w:cs="宋体"/>
          <w:b/>
          <w:bCs/>
          <w:color w:val="000000" w:themeColor="text1"/>
          <w:sz w:val="24"/>
          <w:highlight w:val="none"/>
          <w14:textFill>
            <w14:solidFill>
              <w14:schemeClr w14:val="tx1"/>
            </w14:solidFill>
          </w14:textFill>
        </w:rPr>
        <w:t>千分之二（2‰）</w:t>
      </w:r>
      <w:r>
        <w:rPr>
          <w:rFonts w:hint="eastAsia" w:ascii="宋体" w:hAnsi="宋体" w:cs="宋体"/>
          <w:color w:val="000000" w:themeColor="text1"/>
          <w:sz w:val="24"/>
          <w:highlight w:val="none"/>
          <w14:textFill>
            <w14:solidFill>
              <w14:schemeClr w14:val="tx1"/>
            </w14:solidFill>
          </w14:textFill>
        </w:rPr>
        <w:t>计收,直至交货或提供服务为止。但误期赔偿费的最高限额不超过误期货物总价或服务合同价的百分之五（5%）。一周按七（7）天计算，不足七（7）天按一周计算。一旦达到误期赔偿的最高限额，买方可考虑终止合同。</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18.不可抗力</w:t>
      </w:r>
    </w:p>
    <w:p>
      <w:pPr>
        <w:spacing w:line="360" w:lineRule="auto"/>
        <w:ind w:firstLine="51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18.1如果卖方因不可抗力而导致合同实施延误或不能履行合同义务的话，买方不应没收履约保证金，卖方也不应该承担误期赔偿或终止合同的责任。</w:t>
      </w:r>
    </w:p>
    <w:p>
      <w:pPr>
        <w:spacing w:line="360" w:lineRule="auto"/>
        <w:ind w:firstLine="51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18.2本条所述的“不可抗力”系指那些卖方无法控制，不可预见的事件，但不包括卖方的违约或疏忽。这些事件包括：战争、严重火灾、洪水、台风、地震以及其它经双方商定的事件。</w:t>
      </w:r>
    </w:p>
    <w:p>
      <w:pPr>
        <w:spacing w:line="360" w:lineRule="auto"/>
        <w:ind w:firstLine="51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持续超过一百二十六（126）天，双方应通过友好协商在合理的时间内达成进一步履行合同的协议。</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19.税费</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15.1卖方报价应包括货物送达买方目的地以前的所有税费。既与本合同有关的一切税费均应由卖方负担。</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20.价格调整</w:t>
      </w:r>
    </w:p>
    <w:p>
      <w:pPr>
        <w:spacing w:line="360" w:lineRule="auto"/>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20.1  物价波动引起的价格调整</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本工程工期较短，投标人应自行考虑项目实施过程中材料的价格波动。招标人对物价波动引起的价格不予调整</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21．履约保证金</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21.1卖方应在收到中标通告书后七（7）天内，应按“投标人须知前附表”的要求向买方提供履约保证金。履约保证金的有效期到工程通过初步验收后28天时为止。</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21.2卖方提供的履约保证金应按招标文件所附的格式或买方可接受的其他格式提供，与此有关的费用均由卖方负担。</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21.3如果卖方未能履行合同规定的任何义务，买方有权从履约保证金中得到补偿。</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22.争端的解决</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买卖双方通过友好协商，解决在执行本合同中所发生的或与本合同有关的一切争端。如从协商开始二十八（28）天内仍不能解决，双方应将争端提交阿克苏地区行业主管部门寻求可能解决的办法。如果提交行业主管部门后二十八（28）天内仍得不到解决，则应提请仲裁。</w:t>
      </w:r>
    </w:p>
    <w:p>
      <w:pPr>
        <w:spacing w:line="360" w:lineRule="auto"/>
        <w:ind w:firstLine="361"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22.2仲裁应按照双方商定的仲裁委员会根据其仲裁程序进行仲裁；</w:t>
      </w:r>
    </w:p>
    <w:p>
      <w:pPr>
        <w:spacing w:line="360" w:lineRule="auto"/>
        <w:ind w:firstLine="361"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22.3仲裁裁决应为最终裁决，对双方均具有约束力。</w:t>
      </w:r>
    </w:p>
    <w:p>
      <w:pPr>
        <w:spacing w:line="360" w:lineRule="auto"/>
        <w:ind w:firstLine="361"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22.4仲裁费除仲裁机关另有裁决外均应由败诉方负担。</w:t>
      </w:r>
    </w:p>
    <w:p>
      <w:pPr>
        <w:spacing w:line="360" w:lineRule="auto"/>
        <w:ind w:firstLine="361"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22.5在仲裁期间，除正在进行仲裁的部分外，本合同的其它部分应继续执行。</w:t>
      </w:r>
    </w:p>
    <w:p>
      <w:pPr>
        <w:spacing w:line="360" w:lineRule="auto"/>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23.违约终止合同</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23.1在买方对卖方违约而采取的任何补救措施对工程都受影响的情况下，买方可向卖方发出书面通知书，提出终止部分或全部合同。</w:t>
      </w:r>
    </w:p>
    <w:p>
      <w:pPr>
        <w:spacing w:line="360" w:lineRule="auto"/>
        <w:ind w:firstLine="482" w:firstLineChars="200"/>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1、如果卖方未能在合同规定的期限或买方同意延长的期限内提供部分或全部货物；</w:t>
      </w:r>
    </w:p>
    <w:p>
      <w:pPr>
        <w:spacing w:line="360" w:lineRule="auto"/>
        <w:ind w:firstLine="482" w:firstLineChars="200"/>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2、如果卖方未能履行合同规定的其它任何义务。</w:t>
      </w:r>
    </w:p>
    <w:p>
      <w:pPr>
        <w:spacing w:line="360" w:lineRule="auto"/>
        <w:outlineLvl w:val="1"/>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24.转让和分包</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24.1除买方事先书面同意外，卖方不得部分转让或全部转让其应履行的合同义务。</w:t>
      </w:r>
    </w:p>
    <w:p>
      <w:pPr>
        <w:spacing w:line="360" w:lineRule="auto"/>
        <w:outlineLvl w:val="1"/>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25.适用法律</w:t>
      </w:r>
    </w:p>
    <w:p>
      <w:pPr>
        <w:spacing w:line="360" w:lineRule="auto"/>
        <w:ind w:firstLine="510"/>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24.1本合同应按照中华人民共和国的现行法律进行解释。</w:t>
      </w:r>
    </w:p>
    <w:p>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25.合同生效</w:t>
      </w:r>
    </w:p>
    <w:p>
      <w:pPr>
        <w:spacing w:line="360" w:lineRule="auto"/>
        <w:ind w:firstLine="51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25</w:t>
      </w:r>
      <w:r>
        <w:rPr>
          <w:rFonts w:hint="eastAsia" w:ascii="宋体" w:hAnsi="宋体" w:cs="宋体"/>
          <w:color w:val="000000" w:themeColor="text1"/>
          <w:sz w:val="24"/>
          <w:highlight w:val="none"/>
          <w14:textFill>
            <w14:solidFill>
              <w14:schemeClr w14:val="tx1"/>
            </w14:solidFill>
          </w14:textFill>
        </w:rPr>
        <w:t>.1本合同应在双方签字和买方收到卖方提供的履约保证金后生效。</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26.主导语言</w:t>
      </w:r>
    </w:p>
    <w:p>
      <w:pPr>
        <w:spacing w:line="360" w:lineRule="auto"/>
        <w:ind w:firstLine="51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26.1本合同一式四份，以中文书写，买方执三份，卖方执一份。</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27.合同修改</w:t>
      </w:r>
    </w:p>
    <w:p>
      <w:pPr>
        <w:adjustRightInd w:val="0"/>
        <w:snapToGrid w:val="0"/>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27.1除了双方签署书面修改协议，并成为本合同不可分割的一部分的情况之外，本合同的条件不得有任何变化或修改。</w:t>
      </w:r>
    </w:p>
    <w:p>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28. 其它事项</w:t>
      </w:r>
    </w:p>
    <w:p>
      <w:pPr>
        <w:pStyle w:val="21"/>
        <w:spacing w:line="360" w:lineRule="auto"/>
        <w:ind w:firstLine="4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28.1 本合同所确定的价格为最终价格,已包含包装费、运杂费、保险费、卖方的现场验收、安装调试费、现场服务费等各项费用。</w:t>
      </w:r>
    </w:p>
    <w:p>
      <w:pPr>
        <w:spacing w:line="360" w:lineRule="auto"/>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 xml:space="preserve">29.  </w:t>
      </w:r>
      <w:r>
        <w:rPr>
          <w:rFonts w:hint="eastAsia" w:ascii="宋体" w:hAnsi="宋体" w:cs="宋体"/>
          <w:b/>
          <w:bCs/>
          <w:color w:val="000000" w:themeColor="text1"/>
          <w:sz w:val="24"/>
          <w:highlight w:val="none"/>
          <w14:textFill>
            <w14:solidFill>
              <w14:schemeClr w14:val="tx1"/>
            </w14:solidFill>
          </w14:textFill>
        </w:rPr>
        <w:t>其它要求</w:t>
      </w:r>
      <w:r>
        <w:rPr>
          <w:rFonts w:hint="eastAsia" w:ascii="宋体" w:hAnsi="宋体" w:cs="宋体"/>
          <w:b/>
          <w:bCs/>
          <w:color w:val="000000" w:themeColor="text1"/>
          <w:kern w:val="0"/>
          <w:sz w:val="24"/>
          <w:highlight w:val="none"/>
          <w14:textFill>
            <w14:solidFill>
              <w14:schemeClr w14:val="tx1"/>
            </w14:solidFill>
          </w14:textFill>
        </w:rPr>
        <w:t xml:space="preserve">  </w:t>
      </w:r>
    </w:p>
    <w:p>
      <w:pPr>
        <w:spacing w:line="360" w:lineRule="auto"/>
        <w:ind w:firstLine="482" w:firstLineChars="200"/>
        <w:rPr>
          <w:rFonts w:hint="eastAsia" w:ascii="宋体" w:hAnsi="宋体" w:cs="宋体"/>
          <w:b/>
          <w:bCs/>
          <w:color w:val="000000" w:themeColor="text1"/>
          <w:sz w:val="32"/>
          <w:szCs w:val="32"/>
          <w:highlight w:val="none"/>
          <w14:textFill>
            <w14:solidFill>
              <w14:schemeClr w14:val="tx1"/>
            </w14:solidFill>
          </w14:textFill>
        </w:rPr>
        <w:sectPr>
          <w:footerReference r:id="rId7" w:type="first"/>
          <w:footerReference r:id="rId6" w:type="default"/>
          <w:pgSz w:w="11849" w:h="16781"/>
          <w:pgMar w:top="1440" w:right="1080" w:bottom="1440" w:left="1080" w:header="851" w:footer="850" w:gutter="0"/>
          <w:cols w:space="720" w:num="1"/>
          <w:titlePg/>
          <w:docGrid w:type="linesAndChars" w:linePitch="320" w:charSpace="269"/>
        </w:sectPr>
      </w:pPr>
      <w:r>
        <w:rPr>
          <w:rFonts w:hint="eastAsia" w:ascii="宋体" w:hAnsi="宋体" w:cs="宋体"/>
          <w:color w:val="000000" w:themeColor="text1"/>
          <w:kern w:val="0"/>
          <w:sz w:val="24"/>
          <w:highlight w:val="none"/>
          <w14:textFill>
            <w14:solidFill>
              <w14:schemeClr w14:val="tx1"/>
            </w14:solidFill>
          </w14:textFill>
        </w:rPr>
        <w:t xml:space="preserve"> 质保期内，如有损坏，请按照合同规定及时派人到场</w:t>
      </w:r>
      <w:r>
        <w:rPr>
          <w:rFonts w:hint="eastAsia" w:ascii="宋体" w:hAnsi="宋体" w:cs="宋体"/>
          <w:color w:val="000000" w:themeColor="text1"/>
          <w:kern w:val="0"/>
          <w:sz w:val="24"/>
          <w:highlight w:val="none"/>
          <w:lang w:eastAsia="zh-CN"/>
          <w14:textFill>
            <w14:solidFill>
              <w14:schemeClr w14:val="tx1"/>
            </w14:solidFill>
          </w14:textFill>
        </w:rPr>
        <w:t>修缮</w:t>
      </w:r>
      <w:r>
        <w:rPr>
          <w:rFonts w:hint="eastAsia" w:ascii="宋体" w:hAnsi="宋体" w:cs="宋体"/>
          <w:color w:val="000000" w:themeColor="text1"/>
          <w:kern w:val="0"/>
          <w:sz w:val="24"/>
          <w:highlight w:val="none"/>
          <w14:textFill>
            <w14:solidFill>
              <w14:schemeClr w14:val="tx1"/>
            </w14:solidFill>
          </w14:textFill>
        </w:rPr>
        <w:t>。</w:t>
      </w:r>
    </w:p>
    <w:p>
      <w:pPr>
        <w:pStyle w:val="23"/>
        <w:numPr>
          <w:ilvl w:val="0"/>
          <w:numId w:val="6"/>
        </w:numPr>
        <w:jc w:val="center"/>
        <w:rPr>
          <w:rFonts w:hint="eastAsia"/>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采购需求</w:t>
      </w:r>
    </w:p>
    <w:p>
      <w:pPr>
        <w:pStyle w:val="23"/>
        <w:numPr>
          <w:ilvl w:val="0"/>
          <w:numId w:val="0"/>
        </w:numPr>
        <w:jc w:val="both"/>
        <w:rPr>
          <w:rFonts w:hint="eastAsia"/>
          <w:b/>
          <w:bCs/>
          <w:color w:val="000000" w:themeColor="text1"/>
          <w:sz w:val="32"/>
          <w:szCs w:val="32"/>
          <w:highlight w:val="none"/>
          <w14:textFill>
            <w14:solidFill>
              <w14:schemeClr w14:val="tx1"/>
            </w14:solidFill>
          </w14:textFill>
        </w:rPr>
      </w:pPr>
    </w:p>
    <w:bookmarkEnd w:id="18"/>
    <w:bookmarkEnd w:id="19"/>
    <w:bookmarkEnd w:id="20"/>
    <w:bookmarkEnd w:id="21"/>
    <w:bookmarkEnd w:id="22"/>
    <w:bookmarkEnd w:id="23"/>
    <w:bookmarkEnd w:id="24"/>
    <w:bookmarkEnd w:id="25"/>
    <w:tbl>
      <w:tblPr>
        <w:tblStyle w:val="14"/>
        <w:tblW w:w="10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900"/>
        <w:gridCol w:w="2791"/>
        <w:gridCol w:w="1611"/>
        <w:gridCol w:w="1107"/>
        <w:gridCol w:w="1107"/>
        <w:gridCol w:w="1127"/>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588" w:type="dxa"/>
            <w:noWrap w:val="0"/>
            <w:vAlign w:val="center"/>
          </w:tcPr>
          <w:p>
            <w:pPr>
              <w:rPr>
                <w:rFonts w:hint="eastAsia" w:ascii="仿宋" w:hAnsi="仿宋" w:eastAsia="仿宋" w:cs="仿宋"/>
                <w:color w:val="000000" w:themeColor="text1"/>
                <w:sz w:val="30"/>
                <w:szCs w:val="30"/>
                <w14:textFill>
                  <w14:solidFill>
                    <w14:schemeClr w14:val="tx1"/>
                  </w14:solidFill>
                </w14:textFill>
              </w:rPr>
            </w:pPr>
            <w:bookmarkStart w:id="41" w:name="_Toc16742"/>
            <w:bookmarkStart w:id="42" w:name="_Toc3191"/>
            <w:bookmarkStart w:id="43" w:name="_Toc5416"/>
            <w:bookmarkStart w:id="44" w:name="_Toc179632806"/>
            <w:bookmarkStart w:id="45" w:name="_Toc31265"/>
            <w:r>
              <w:rPr>
                <w:rFonts w:hint="eastAsia" w:ascii="仿宋" w:hAnsi="仿宋" w:eastAsia="仿宋" w:cs="仿宋"/>
                <w:color w:val="000000" w:themeColor="text1"/>
                <w:sz w:val="30"/>
                <w:szCs w:val="30"/>
                <w14:textFill>
                  <w14:solidFill>
                    <w14:schemeClr w14:val="tx1"/>
                  </w14:solidFill>
                </w14:textFill>
              </w:rPr>
              <w:t>序号</w:t>
            </w:r>
          </w:p>
        </w:tc>
        <w:tc>
          <w:tcPr>
            <w:tcW w:w="900" w:type="dxa"/>
            <w:noWrap w:val="0"/>
            <w:vAlign w:val="center"/>
          </w:tcPr>
          <w:p>
            <w:pPr>
              <w:jc w:val="center"/>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名称</w:t>
            </w:r>
          </w:p>
        </w:tc>
        <w:tc>
          <w:tcPr>
            <w:tcW w:w="2791" w:type="dxa"/>
            <w:noWrap w:val="0"/>
            <w:vAlign w:val="center"/>
          </w:tcPr>
          <w:p>
            <w:pPr>
              <w:jc w:val="center"/>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规格</w:t>
            </w:r>
          </w:p>
        </w:tc>
        <w:tc>
          <w:tcPr>
            <w:tcW w:w="1611" w:type="dxa"/>
            <w:noWrap w:val="0"/>
            <w:vAlign w:val="center"/>
          </w:tcPr>
          <w:p>
            <w:pPr>
              <w:jc w:val="center"/>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数量</w:t>
            </w:r>
          </w:p>
        </w:tc>
        <w:tc>
          <w:tcPr>
            <w:tcW w:w="1107" w:type="dxa"/>
            <w:noWrap w:val="0"/>
            <w:vAlign w:val="center"/>
          </w:tcPr>
          <w:p>
            <w:pPr>
              <w:jc w:val="center"/>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单位</w:t>
            </w:r>
          </w:p>
        </w:tc>
        <w:tc>
          <w:tcPr>
            <w:tcW w:w="1107" w:type="dxa"/>
            <w:noWrap w:val="0"/>
            <w:vAlign w:val="center"/>
          </w:tcPr>
          <w:p>
            <w:pPr>
              <w:jc w:val="center"/>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单价</w:t>
            </w:r>
          </w:p>
          <w:p>
            <w:pPr>
              <w:jc w:val="center"/>
              <w:rPr>
                <w:rFonts w:hint="eastAsia"/>
                <w:color w:val="000000" w:themeColor="text1"/>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（元）</w:t>
            </w:r>
          </w:p>
        </w:tc>
        <w:tc>
          <w:tcPr>
            <w:tcW w:w="1127" w:type="dxa"/>
            <w:noWrap w:val="0"/>
            <w:vAlign w:val="center"/>
          </w:tcPr>
          <w:p>
            <w:pPr>
              <w:jc w:val="center"/>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总价</w:t>
            </w:r>
          </w:p>
          <w:p>
            <w:pPr>
              <w:jc w:val="center"/>
              <w:rPr>
                <w:rFonts w:hint="eastAsia"/>
                <w:color w:val="000000" w:themeColor="text1"/>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（元）</w:t>
            </w:r>
          </w:p>
        </w:tc>
        <w:tc>
          <w:tcPr>
            <w:tcW w:w="1127" w:type="dxa"/>
            <w:noWrap w:val="0"/>
            <w:vAlign w:val="center"/>
          </w:tcPr>
          <w:p>
            <w:pPr>
              <w:jc w:val="center"/>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88" w:type="dxa"/>
            <w:noWrap w:val="0"/>
            <w:vAlign w:val="center"/>
          </w:tcPr>
          <w:p>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w:t>
            </w:r>
          </w:p>
        </w:tc>
        <w:tc>
          <w:tcPr>
            <w:tcW w:w="900" w:type="dxa"/>
            <w:noWrap w:val="0"/>
            <w:vAlign w:val="center"/>
          </w:tcPr>
          <w:p>
            <w:pPr>
              <w:jc w:val="center"/>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矮牵牛</w:t>
            </w:r>
          </w:p>
        </w:tc>
        <w:tc>
          <w:tcPr>
            <w:tcW w:w="2791" w:type="dxa"/>
            <w:noWrap w:val="0"/>
            <w:vAlign w:val="center"/>
          </w:tcPr>
          <w:p>
            <w:pPr>
              <w:jc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5月龄</w:t>
            </w:r>
          </w:p>
        </w:tc>
        <w:tc>
          <w:tcPr>
            <w:tcW w:w="1611" w:type="dxa"/>
            <w:noWrap w:val="0"/>
            <w:vAlign w:val="center"/>
          </w:tcPr>
          <w:p>
            <w:pPr>
              <w:jc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300000</w:t>
            </w:r>
          </w:p>
        </w:tc>
        <w:tc>
          <w:tcPr>
            <w:tcW w:w="1107" w:type="dxa"/>
            <w:noWrap w:val="0"/>
            <w:vAlign w:val="center"/>
          </w:tcPr>
          <w:p>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株</w:t>
            </w:r>
          </w:p>
        </w:tc>
        <w:tc>
          <w:tcPr>
            <w:tcW w:w="1107" w:type="dxa"/>
            <w:noWrap w:val="0"/>
            <w:vAlign w:val="center"/>
          </w:tcPr>
          <w:p>
            <w:pPr>
              <w:jc w:val="center"/>
              <w:rPr>
                <w:rFonts w:ascii="仿宋" w:hAnsi="仿宋" w:eastAsia="仿宋" w:cs="仿宋"/>
                <w:color w:val="000000" w:themeColor="text1"/>
                <w:sz w:val="22"/>
                <w:szCs w:val="22"/>
                <w14:textFill>
                  <w14:solidFill>
                    <w14:schemeClr w14:val="tx1"/>
                  </w14:solidFill>
                </w14:textFill>
              </w:rPr>
            </w:pPr>
          </w:p>
        </w:tc>
        <w:tc>
          <w:tcPr>
            <w:tcW w:w="1127" w:type="dxa"/>
            <w:noWrap w:val="0"/>
            <w:vAlign w:val="center"/>
          </w:tcPr>
          <w:p>
            <w:pPr>
              <w:jc w:val="center"/>
              <w:rPr>
                <w:rFonts w:hint="eastAsia" w:ascii="仿宋" w:hAnsi="仿宋" w:eastAsia="仿宋" w:cs="仿宋"/>
                <w:color w:val="000000" w:themeColor="text1"/>
                <w:sz w:val="22"/>
                <w:szCs w:val="22"/>
                <w14:textFill>
                  <w14:solidFill>
                    <w14:schemeClr w14:val="tx1"/>
                  </w14:solidFill>
                </w14:textFill>
              </w:rPr>
            </w:pPr>
          </w:p>
        </w:tc>
        <w:tc>
          <w:tcPr>
            <w:tcW w:w="1127" w:type="dxa"/>
            <w:noWrap w:val="0"/>
            <w:vAlign w:val="center"/>
          </w:tcPr>
          <w:p>
            <w:pPr>
              <w:jc w:val="center"/>
              <w:rPr>
                <w:rFonts w:hint="eastAsia" w:ascii="仿宋" w:hAnsi="仿宋" w:eastAsia="仿宋" w:cs="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88" w:type="dxa"/>
            <w:noWrap w:val="0"/>
            <w:vAlign w:val="center"/>
          </w:tcPr>
          <w:p>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w:t>
            </w:r>
          </w:p>
        </w:tc>
        <w:tc>
          <w:tcPr>
            <w:tcW w:w="900" w:type="dxa"/>
            <w:noWrap w:val="0"/>
            <w:vAlign w:val="center"/>
          </w:tcPr>
          <w:p>
            <w:pPr>
              <w:jc w:val="center"/>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孔雀草</w:t>
            </w:r>
          </w:p>
        </w:tc>
        <w:tc>
          <w:tcPr>
            <w:tcW w:w="2791" w:type="dxa"/>
            <w:noWrap w:val="0"/>
            <w:vAlign w:val="center"/>
          </w:tcPr>
          <w:p>
            <w:pPr>
              <w:jc w:val="center"/>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5月龄</w:t>
            </w:r>
          </w:p>
        </w:tc>
        <w:tc>
          <w:tcPr>
            <w:tcW w:w="1611" w:type="dxa"/>
            <w:noWrap w:val="0"/>
            <w:vAlign w:val="center"/>
          </w:tcPr>
          <w:p>
            <w:pPr>
              <w:jc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348000</w:t>
            </w:r>
          </w:p>
        </w:tc>
        <w:tc>
          <w:tcPr>
            <w:tcW w:w="1107" w:type="dxa"/>
            <w:noWrap w:val="0"/>
            <w:vAlign w:val="center"/>
          </w:tcPr>
          <w:p>
            <w:pPr>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株</w:t>
            </w:r>
          </w:p>
        </w:tc>
        <w:tc>
          <w:tcPr>
            <w:tcW w:w="1107" w:type="dxa"/>
            <w:noWrap w:val="0"/>
            <w:vAlign w:val="center"/>
          </w:tcPr>
          <w:p>
            <w:pPr>
              <w:rPr>
                <w:rFonts w:ascii="仿宋" w:hAnsi="仿宋" w:eastAsia="仿宋" w:cs="仿宋"/>
                <w:color w:val="000000" w:themeColor="text1"/>
                <w:sz w:val="22"/>
                <w:szCs w:val="22"/>
                <w14:textFill>
                  <w14:solidFill>
                    <w14:schemeClr w14:val="tx1"/>
                  </w14:solidFill>
                </w14:textFill>
              </w:rPr>
            </w:pPr>
          </w:p>
        </w:tc>
        <w:tc>
          <w:tcPr>
            <w:tcW w:w="1127" w:type="dxa"/>
            <w:noWrap w:val="0"/>
            <w:vAlign w:val="center"/>
          </w:tcPr>
          <w:p>
            <w:pPr>
              <w:jc w:val="center"/>
              <w:rPr>
                <w:rFonts w:hint="eastAsia" w:ascii="仿宋" w:hAnsi="仿宋" w:eastAsia="仿宋" w:cs="仿宋"/>
                <w:color w:val="000000" w:themeColor="text1"/>
                <w:sz w:val="22"/>
                <w:szCs w:val="22"/>
                <w14:textFill>
                  <w14:solidFill>
                    <w14:schemeClr w14:val="tx1"/>
                  </w14:solidFill>
                </w14:textFill>
              </w:rPr>
            </w:pPr>
          </w:p>
        </w:tc>
        <w:tc>
          <w:tcPr>
            <w:tcW w:w="1127" w:type="dxa"/>
            <w:noWrap w:val="0"/>
            <w:vAlign w:val="center"/>
          </w:tcPr>
          <w:p>
            <w:pPr>
              <w:jc w:val="center"/>
              <w:rPr>
                <w:rFonts w:hint="eastAsia" w:ascii="仿宋" w:hAnsi="仿宋" w:eastAsia="仿宋" w:cs="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88" w:type="dxa"/>
            <w:noWrap w:val="0"/>
            <w:vAlign w:val="center"/>
          </w:tcPr>
          <w:p>
            <w:pPr>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3</w:t>
            </w:r>
          </w:p>
        </w:tc>
        <w:tc>
          <w:tcPr>
            <w:tcW w:w="900" w:type="dxa"/>
            <w:noWrap w:val="0"/>
            <w:vAlign w:val="center"/>
          </w:tcPr>
          <w:p>
            <w:pPr>
              <w:jc w:val="center"/>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鸡冠花</w:t>
            </w:r>
          </w:p>
        </w:tc>
        <w:tc>
          <w:tcPr>
            <w:tcW w:w="2791" w:type="dxa"/>
            <w:noWrap w:val="0"/>
            <w:vAlign w:val="center"/>
          </w:tcPr>
          <w:p>
            <w:pPr>
              <w:jc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≥25cm（高）</w:t>
            </w:r>
          </w:p>
        </w:tc>
        <w:tc>
          <w:tcPr>
            <w:tcW w:w="1611" w:type="dxa"/>
            <w:noWrap w:val="0"/>
            <w:vAlign w:val="center"/>
          </w:tcPr>
          <w:p>
            <w:pPr>
              <w:jc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200000</w:t>
            </w:r>
          </w:p>
        </w:tc>
        <w:tc>
          <w:tcPr>
            <w:tcW w:w="1107" w:type="dxa"/>
            <w:noWrap w:val="0"/>
            <w:vAlign w:val="center"/>
          </w:tcPr>
          <w:p>
            <w:pPr>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株</w:t>
            </w:r>
          </w:p>
        </w:tc>
        <w:tc>
          <w:tcPr>
            <w:tcW w:w="1107" w:type="dxa"/>
            <w:noWrap w:val="0"/>
            <w:vAlign w:val="center"/>
          </w:tcPr>
          <w:p>
            <w:pPr>
              <w:rPr>
                <w:rFonts w:ascii="仿宋" w:hAnsi="仿宋" w:eastAsia="仿宋" w:cs="仿宋"/>
                <w:color w:val="000000" w:themeColor="text1"/>
                <w:sz w:val="22"/>
                <w:szCs w:val="22"/>
                <w14:textFill>
                  <w14:solidFill>
                    <w14:schemeClr w14:val="tx1"/>
                  </w14:solidFill>
                </w14:textFill>
              </w:rPr>
            </w:pPr>
          </w:p>
        </w:tc>
        <w:tc>
          <w:tcPr>
            <w:tcW w:w="1127" w:type="dxa"/>
            <w:noWrap w:val="0"/>
            <w:vAlign w:val="center"/>
          </w:tcPr>
          <w:p>
            <w:pPr>
              <w:jc w:val="center"/>
              <w:rPr>
                <w:rFonts w:hint="eastAsia" w:ascii="仿宋" w:hAnsi="仿宋" w:eastAsia="仿宋" w:cs="仿宋"/>
                <w:color w:val="000000" w:themeColor="text1"/>
                <w:sz w:val="22"/>
                <w:szCs w:val="22"/>
                <w14:textFill>
                  <w14:solidFill>
                    <w14:schemeClr w14:val="tx1"/>
                  </w14:solidFill>
                </w14:textFill>
              </w:rPr>
            </w:pPr>
          </w:p>
        </w:tc>
        <w:tc>
          <w:tcPr>
            <w:tcW w:w="1127" w:type="dxa"/>
            <w:noWrap w:val="0"/>
            <w:vAlign w:val="center"/>
          </w:tcPr>
          <w:p>
            <w:pPr>
              <w:jc w:val="center"/>
              <w:rPr>
                <w:rFonts w:hint="eastAsia" w:ascii="仿宋" w:hAnsi="仿宋" w:eastAsia="仿宋" w:cs="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88" w:type="dxa"/>
            <w:noWrap w:val="0"/>
            <w:vAlign w:val="center"/>
          </w:tcPr>
          <w:p>
            <w:pPr>
              <w:jc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4</w:t>
            </w:r>
          </w:p>
        </w:tc>
        <w:tc>
          <w:tcPr>
            <w:tcW w:w="900" w:type="dxa"/>
            <w:noWrap w:val="0"/>
            <w:vAlign w:val="center"/>
          </w:tcPr>
          <w:p>
            <w:pPr>
              <w:jc w:val="center"/>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雏菊</w:t>
            </w:r>
          </w:p>
        </w:tc>
        <w:tc>
          <w:tcPr>
            <w:tcW w:w="2791" w:type="dxa"/>
            <w:noWrap w:val="0"/>
            <w:vAlign w:val="center"/>
          </w:tcPr>
          <w:p>
            <w:pPr>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≥20cm（高）</w:t>
            </w:r>
          </w:p>
        </w:tc>
        <w:tc>
          <w:tcPr>
            <w:tcW w:w="1611" w:type="dxa"/>
            <w:noWrap w:val="0"/>
            <w:vAlign w:val="center"/>
          </w:tcPr>
          <w:p>
            <w:pPr>
              <w:jc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6500</w:t>
            </w:r>
          </w:p>
        </w:tc>
        <w:tc>
          <w:tcPr>
            <w:tcW w:w="1107" w:type="dxa"/>
            <w:noWrap w:val="0"/>
            <w:vAlign w:val="center"/>
          </w:tcPr>
          <w:p>
            <w:pPr>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株</w:t>
            </w:r>
          </w:p>
        </w:tc>
        <w:tc>
          <w:tcPr>
            <w:tcW w:w="1107" w:type="dxa"/>
            <w:noWrap w:val="0"/>
            <w:vAlign w:val="center"/>
          </w:tcPr>
          <w:p>
            <w:pPr>
              <w:rPr>
                <w:rFonts w:ascii="仿宋" w:hAnsi="仿宋" w:eastAsia="仿宋" w:cs="仿宋"/>
                <w:color w:val="000000" w:themeColor="text1"/>
                <w:sz w:val="22"/>
                <w:szCs w:val="22"/>
                <w14:textFill>
                  <w14:solidFill>
                    <w14:schemeClr w14:val="tx1"/>
                  </w14:solidFill>
                </w14:textFill>
              </w:rPr>
            </w:pPr>
          </w:p>
        </w:tc>
        <w:tc>
          <w:tcPr>
            <w:tcW w:w="1127" w:type="dxa"/>
            <w:noWrap w:val="0"/>
            <w:vAlign w:val="center"/>
          </w:tcPr>
          <w:p>
            <w:pPr>
              <w:jc w:val="center"/>
              <w:rPr>
                <w:rFonts w:hint="eastAsia" w:ascii="仿宋" w:hAnsi="仿宋" w:eastAsia="仿宋" w:cs="仿宋"/>
                <w:color w:val="000000" w:themeColor="text1"/>
                <w:sz w:val="22"/>
                <w:szCs w:val="22"/>
                <w14:textFill>
                  <w14:solidFill>
                    <w14:schemeClr w14:val="tx1"/>
                  </w14:solidFill>
                </w14:textFill>
              </w:rPr>
            </w:pPr>
          </w:p>
        </w:tc>
        <w:tc>
          <w:tcPr>
            <w:tcW w:w="1127" w:type="dxa"/>
            <w:noWrap w:val="0"/>
            <w:vAlign w:val="center"/>
          </w:tcPr>
          <w:p>
            <w:pPr>
              <w:jc w:val="center"/>
              <w:rPr>
                <w:rFonts w:hint="eastAsia" w:ascii="仿宋" w:hAnsi="仿宋" w:eastAsia="仿宋" w:cs="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88" w:type="dxa"/>
            <w:noWrap w:val="0"/>
            <w:vAlign w:val="center"/>
          </w:tcPr>
          <w:p>
            <w:pPr>
              <w:jc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5</w:t>
            </w:r>
          </w:p>
        </w:tc>
        <w:tc>
          <w:tcPr>
            <w:tcW w:w="900" w:type="dxa"/>
            <w:noWrap w:val="0"/>
            <w:vAlign w:val="center"/>
          </w:tcPr>
          <w:p>
            <w:pPr>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蔻菊</w:t>
            </w:r>
          </w:p>
        </w:tc>
        <w:tc>
          <w:tcPr>
            <w:tcW w:w="2791" w:type="dxa"/>
            <w:noWrap w:val="0"/>
            <w:vAlign w:val="center"/>
          </w:tcPr>
          <w:p>
            <w:pPr>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≥20cm（高）</w:t>
            </w:r>
          </w:p>
        </w:tc>
        <w:tc>
          <w:tcPr>
            <w:tcW w:w="1611" w:type="dxa"/>
            <w:noWrap w:val="0"/>
            <w:vAlign w:val="center"/>
          </w:tcPr>
          <w:p>
            <w:pPr>
              <w:jc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6500</w:t>
            </w:r>
          </w:p>
        </w:tc>
        <w:tc>
          <w:tcPr>
            <w:tcW w:w="1107" w:type="dxa"/>
            <w:noWrap w:val="0"/>
            <w:vAlign w:val="center"/>
          </w:tcPr>
          <w:p>
            <w:pPr>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株</w:t>
            </w:r>
          </w:p>
        </w:tc>
        <w:tc>
          <w:tcPr>
            <w:tcW w:w="1107" w:type="dxa"/>
            <w:noWrap w:val="0"/>
            <w:vAlign w:val="center"/>
          </w:tcPr>
          <w:p>
            <w:pPr>
              <w:rPr>
                <w:rFonts w:ascii="仿宋" w:hAnsi="仿宋" w:eastAsia="仿宋" w:cs="仿宋"/>
                <w:color w:val="000000" w:themeColor="text1"/>
                <w:sz w:val="22"/>
                <w:szCs w:val="22"/>
                <w14:textFill>
                  <w14:solidFill>
                    <w14:schemeClr w14:val="tx1"/>
                  </w14:solidFill>
                </w14:textFill>
              </w:rPr>
            </w:pPr>
          </w:p>
        </w:tc>
        <w:tc>
          <w:tcPr>
            <w:tcW w:w="1127" w:type="dxa"/>
            <w:noWrap w:val="0"/>
            <w:vAlign w:val="center"/>
          </w:tcPr>
          <w:p>
            <w:pPr>
              <w:jc w:val="center"/>
              <w:rPr>
                <w:rFonts w:hint="eastAsia" w:ascii="仿宋" w:hAnsi="仿宋" w:eastAsia="仿宋" w:cs="仿宋"/>
                <w:color w:val="000000" w:themeColor="text1"/>
                <w:sz w:val="22"/>
                <w:szCs w:val="22"/>
                <w14:textFill>
                  <w14:solidFill>
                    <w14:schemeClr w14:val="tx1"/>
                  </w14:solidFill>
                </w14:textFill>
              </w:rPr>
            </w:pPr>
          </w:p>
        </w:tc>
        <w:tc>
          <w:tcPr>
            <w:tcW w:w="1127" w:type="dxa"/>
            <w:noWrap w:val="0"/>
            <w:vAlign w:val="center"/>
          </w:tcPr>
          <w:p>
            <w:pPr>
              <w:jc w:val="center"/>
              <w:rPr>
                <w:rFonts w:hint="eastAsia" w:ascii="仿宋" w:hAnsi="仿宋" w:eastAsia="仿宋" w:cs="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88" w:type="dxa"/>
            <w:noWrap w:val="0"/>
            <w:vAlign w:val="center"/>
          </w:tcPr>
          <w:p>
            <w:pPr>
              <w:jc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6</w:t>
            </w:r>
          </w:p>
        </w:tc>
        <w:tc>
          <w:tcPr>
            <w:tcW w:w="900" w:type="dxa"/>
            <w:noWrap w:val="0"/>
            <w:vAlign w:val="center"/>
          </w:tcPr>
          <w:p>
            <w:pPr>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三角梅</w:t>
            </w:r>
          </w:p>
        </w:tc>
        <w:tc>
          <w:tcPr>
            <w:tcW w:w="2791" w:type="dxa"/>
            <w:noWrap w:val="0"/>
            <w:vAlign w:val="center"/>
          </w:tcPr>
          <w:p>
            <w:pPr>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≥35cm（高）</w:t>
            </w:r>
          </w:p>
        </w:tc>
        <w:tc>
          <w:tcPr>
            <w:tcW w:w="1611" w:type="dxa"/>
            <w:noWrap w:val="0"/>
            <w:vAlign w:val="center"/>
          </w:tcPr>
          <w:p>
            <w:pPr>
              <w:jc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6750</w:t>
            </w:r>
          </w:p>
        </w:tc>
        <w:tc>
          <w:tcPr>
            <w:tcW w:w="1107" w:type="dxa"/>
            <w:noWrap w:val="0"/>
            <w:vAlign w:val="center"/>
          </w:tcPr>
          <w:p>
            <w:pPr>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株</w:t>
            </w:r>
          </w:p>
        </w:tc>
        <w:tc>
          <w:tcPr>
            <w:tcW w:w="1107" w:type="dxa"/>
            <w:noWrap w:val="0"/>
            <w:vAlign w:val="center"/>
          </w:tcPr>
          <w:p>
            <w:pPr>
              <w:rPr>
                <w:rFonts w:ascii="仿宋" w:hAnsi="仿宋" w:eastAsia="仿宋" w:cs="仿宋"/>
                <w:color w:val="000000" w:themeColor="text1"/>
                <w:sz w:val="22"/>
                <w:szCs w:val="22"/>
                <w14:textFill>
                  <w14:solidFill>
                    <w14:schemeClr w14:val="tx1"/>
                  </w14:solidFill>
                </w14:textFill>
              </w:rPr>
            </w:pPr>
          </w:p>
        </w:tc>
        <w:tc>
          <w:tcPr>
            <w:tcW w:w="1127" w:type="dxa"/>
            <w:noWrap w:val="0"/>
            <w:vAlign w:val="center"/>
          </w:tcPr>
          <w:p>
            <w:pPr>
              <w:jc w:val="center"/>
              <w:rPr>
                <w:rFonts w:hint="eastAsia" w:ascii="仿宋" w:hAnsi="仿宋" w:eastAsia="仿宋" w:cs="仿宋"/>
                <w:color w:val="000000" w:themeColor="text1"/>
                <w:sz w:val="22"/>
                <w:szCs w:val="22"/>
                <w14:textFill>
                  <w14:solidFill>
                    <w14:schemeClr w14:val="tx1"/>
                  </w14:solidFill>
                </w14:textFill>
              </w:rPr>
            </w:pPr>
          </w:p>
        </w:tc>
        <w:tc>
          <w:tcPr>
            <w:tcW w:w="1127" w:type="dxa"/>
            <w:noWrap w:val="0"/>
            <w:vAlign w:val="center"/>
          </w:tcPr>
          <w:p>
            <w:pPr>
              <w:jc w:val="center"/>
              <w:rPr>
                <w:rFonts w:hint="eastAsia" w:ascii="仿宋" w:hAnsi="仿宋" w:eastAsia="仿宋" w:cs="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88" w:type="dxa"/>
            <w:noWrap w:val="0"/>
            <w:vAlign w:val="center"/>
          </w:tcPr>
          <w:p>
            <w:pPr>
              <w:jc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7</w:t>
            </w:r>
          </w:p>
        </w:tc>
        <w:tc>
          <w:tcPr>
            <w:tcW w:w="900" w:type="dxa"/>
            <w:noWrap w:val="0"/>
            <w:vAlign w:val="center"/>
          </w:tcPr>
          <w:p>
            <w:pPr>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绿植草皮</w:t>
            </w:r>
          </w:p>
        </w:tc>
        <w:tc>
          <w:tcPr>
            <w:tcW w:w="2791" w:type="dxa"/>
            <w:noWrap w:val="0"/>
            <w:vAlign w:val="center"/>
          </w:tcPr>
          <w:p>
            <w:pPr>
              <w:jc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100*100cm</w:t>
            </w:r>
          </w:p>
        </w:tc>
        <w:tc>
          <w:tcPr>
            <w:tcW w:w="1611" w:type="dxa"/>
            <w:noWrap w:val="0"/>
            <w:vAlign w:val="center"/>
          </w:tcPr>
          <w:p>
            <w:pPr>
              <w:jc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4000</w:t>
            </w:r>
          </w:p>
        </w:tc>
        <w:tc>
          <w:tcPr>
            <w:tcW w:w="1107" w:type="dxa"/>
            <w:noWrap w:val="0"/>
            <w:vAlign w:val="center"/>
          </w:tcPr>
          <w:p>
            <w:pPr>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w:t>
            </w:r>
          </w:p>
        </w:tc>
        <w:tc>
          <w:tcPr>
            <w:tcW w:w="1107" w:type="dxa"/>
            <w:noWrap w:val="0"/>
            <w:vAlign w:val="center"/>
          </w:tcPr>
          <w:p>
            <w:pPr>
              <w:rPr>
                <w:rFonts w:ascii="仿宋" w:hAnsi="仿宋" w:eastAsia="仿宋" w:cs="仿宋"/>
                <w:color w:val="000000" w:themeColor="text1"/>
                <w:sz w:val="22"/>
                <w:szCs w:val="22"/>
                <w14:textFill>
                  <w14:solidFill>
                    <w14:schemeClr w14:val="tx1"/>
                  </w14:solidFill>
                </w14:textFill>
              </w:rPr>
            </w:pPr>
          </w:p>
        </w:tc>
        <w:tc>
          <w:tcPr>
            <w:tcW w:w="1127" w:type="dxa"/>
            <w:noWrap w:val="0"/>
            <w:vAlign w:val="center"/>
          </w:tcPr>
          <w:p>
            <w:pPr>
              <w:jc w:val="center"/>
              <w:rPr>
                <w:rFonts w:hint="eastAsia" w:ascii="仿宋" w:hAnsi="仿宋" w:eastAsia="仿宋" w:cs="仿宋"/>
                <w:color w:val="000000" w:themeColor="text1"/>
                <w:sz w:val="22"/>
                <w:szCs w:val="22"/>
                <w14:textFill>
                  <w14:solidFill>
                    <w14:schemeClr w14:val="tx1"/>
                  </w14:solidFill>
                </w14:textFill>
              </w:rPr>
            </w:pPr>
          </w:p>
        </w:tc>
        <w:tc>
          <w:tcPr>
            <w:tcW w:w="1127" w:type="dxa"/>
            <w:noWrap w:val="0"/>
            <w:vAlign w:val="center"/>
          </w:tcPr>
          <w:p>
            <w:pPr>
              <w:jc w:val="center"/>
              <w:rPr>
                <w:rFonts w:hint="eastAsia" w:ascii="仿宋" w:hAnsi="仿宋" w:eastAsia="仿宋" w:cs="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88" w:type="dxa"/>
            <w:noWrap w:val="0"/>
            <w:vAlign w:val="center"/>
          </w:tcPr>
          <w:p>
            <w:pPr>
              <w:jc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8</w:t>
            </w:r>
          </w:p>
        </w:tc>
        <w:tc>
          <w:tcPr>
            <w:tcW w:w="900" w:type="dxa"/>
            <w:noWrap w:val="0"/>
            <w:vAlign w:val="center"/>
          </w:tcPr>
          <w:p>
            <w:pPr>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花架子</w:t>
            </w:r>
          </w:p>
        </w:tc>
        <w:tc>
          <w:tcPr>
            <w:tcW w:w="2791" w:type="dxa"/>
            <w:noWrap w:val="0"/>
            <w:vAlign w:val="center"/>
          </w:tcPr>
          <w:p>
            <w:pPr>
              <w:jc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共74个单体长3-7m</w:t>
            </w:r>
          </w:p>
        </w:tc>
        <w:tc>
          <w:tcPr>
            <w:tcW w:w="1611" w:type="dxa"/>
            <w:noWrap w:val="0"/>
            <w:vAlign w:val="center"/>
          </w:tcPr>
          <w:p>
            <w:pPr>
              <w:jc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34</w:t>
            </w:r>
          </w:p>
        </w:tc>
        <w:tc>
          <w:tcPr>
            <w:tcW w:w="1107" w:type="dxa"/>
            <w:noWrap w:val="0"/>
            <w:vAlign w:val="center"/>
          </w:tcPr>
          <w:p>
            <w:pPr>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组</w:t>
            </w:r>
          </w:p>
        </w:tc>
        <w:tc>
          <w:tcPr>
            <w:tcW w:w="1107" w:type="dxa"/>
            <w:noWrap w:val="0"/>
            <w:vAlign w:val="center"/>
          </w:tcPr>
          <w:p>
            <w:pPr>
              <w:rPr>
                <w:rFonts w:ascii="仿宋" w:hAnsi="仿宋" w:eastAsia="仿宋" w:cs="仿宋"/>
                <w:color w:val="000000" w:themeColor="text1"/>
                <w:sz w:val="22"/>
                <w:szCs w:val="22"/>
                <w14:textFill>
                  <w14:solidFill>
                    <w14:schemeClr w14:val="tx1"/>
                  </w14:solidFill>
                </w14:textFill>
              </w:rPr>
            </w:pPr>
          </w:p>
        </w:tc>
        <w:tc>
          <w:tcPr>
            <w:tcW w:w="1127" w:type="dxa"/>
            <w:noWrap w:val="0"/>
            <w:vAlign w:val="center"/>
          </w:tcPr>
          <w:p>
            <w:pPr>
              <w:jc w:val="center"/>
              <w:rPr>
                <w:rFonts w:hint="eastAsia" w:ascii="仿宋" w:hAnsi="仿宋" w:eastAsia="仿宋" w:cs="仿宋"/>
                <w:color w:val="000000" w:themeColor="text1"/>
                <w:sz w:val="22"/>
                <w:szCs w:val="22"/>
                <w14:textFill>
                  <w14:solidFill>
                    <w14:schemeClr w14:val="tx1"/>
                  </w14:solidFill>
                </w14:textFill>
              </w:rPr>
            </w:pPr>
          </w:p>
        </w:tc>
        <w:tc>
          <w:tcPr>
            <w:tcW w:w="1127" w:type="dxa"/>
            <w:noWrap w:val="0"/>
            <w:vAlign w:val="center"/>
          </w:tcPr>
          <w:p>
            <w:pPr>
              <w:jc w:val="center"/>
              <w:rPr>
                <w:rFonts w:hint="eastAsia" w:ascii="仿宋" w:hAnsi="仿宋" w:eastAsia="仿宋" w:cs="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88" w:type="dxa"/>
            <w:noWrap w:val="0"/>
            <w:vAlign w:val="center"/>
          </w:tcPr>
          <w:p>
            <w:pPr>
              <w:jc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9</w:t>
            </w:r>
          </w:p>
        </w:tc>
        <w:tc>
          <w:tcPr>
            <w:tcW w:w="900" w:type="dxa"/>
            <w:noWrap w:val="0"/>
            <w:vAlign w:val="center"/>
          </w:tcPr>
          <w:p>
            <w:pPr>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主题花架</w:t>
            </w:r>
          </w:p>
        </w:tc>
        <w:tc>
          <w:tcPr>
            <w:tcW w:w="2791" w:type="dxa"/>
            <w:noWrap w:val="0"/>
            <w:vAlign w:val="center"/>
          </w:tcPr>
          <w:p>
            <w:pPr>
              <w:jc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长5-10m</w:t>
            </w:r>
          </w:p>
        </w:tc>
        <w:tc>
          <w:tcPr>
            <w:tcW w:w="1611" w:type="dxa"/>
            <w:noWrap w:val="0"/>
            <w:vAlign w:val="center"/>
          </w:tcPr>
          <w:p>
            <w:pPr>
              <w:jc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4</w:t>
            </w:r>
          </w:p>
        </w:tc>
        <w:tc>
          <w:tcPr>
            <w:tcW w:w="1107" w:type="dxa"/>
            <w:noWrap w:val="0"/>
            <w:vAlign w:val="center"/>
          </w:tcPr>
          <w:p>
            <w:pPr>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套</w:t>
            </w:r>
          </w:p>
        </w:tc>
        <w:tc>
          <w:tcPr>
            <w:tcW w:w="1107" w:type="dxa"/>
            <w:noWrap w:val="0"/>
            <w:vAlign w:val="center"/>
          </w:tcPr>
          <w:p>
            <w:pPr>
              <w:rPr>
                <w:rFonts w:ascii="仿宋" w:hAnsi="仿宋" w:eastAsia="仿宋" w:cs="仿宋"/>
                <w:color w:val="000000" w:themeColor="text1"/>
                <w:sz w:val="22"/>
                <w:szCs w:val="22"/>
                <w14:textFill>
                  <w14:solidFill>
                    <w14:schemeClr w14:val="tx1"/>
                  </w14:solidFill>
                </w14:textFill>
              </w:rPr>
            </w:pPr>
          </w:p>
        </w:tc>
        <w:tc>
          <w:tcPr>
            <w:tcW w:w="1127" w:type="dxa"/>
            <w:noWrap w:val="0"/>
            <w:vAlign w:val="center"/>
          </w:tcPr>
          <w:p>
            <w:pPr>
              <w:jc w:val="center"/>
              <w:rPr>
                <w:rFonts w:hint="eastAsia" w:ascii="仿宋" w:hAnsi="仿宋" w:eastAsia="仿宋" w:cs="仿宋"/>
                <w:color w:val="000000" w:themeColor="text1"/>
                <w:sz w:val="22"/>
                <w:szCs w:val="22"/>
                <w14:textFill>
                  <w14:solidFill>
                    <w14:schemeClr w14:val="tx1"/>
                  </w14:solidFill>
                </w14:textFill>
              </w:rPr>
            </w:pPr>
          </w:p>
        </w:tc>
        <w:tc>
          <w:tcPr>
            <w:tcW w:w="1127" w:type="dxa"/>
            <w:noWrap w:val="0"/>
            <w:vAlign w:val="center"/>
          </w:tcPr>
          <w:p>
            <w:pPr>
              <w:jc w:val="center"/>
              <w:rPr>
                <w:rFonts w:hint="eastAsia" w:ascii="仿宋" w:hAnsi="仿宋" w:eastAsia="仿宋" w:cs="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88" w:type="dxa"/>
            <w:noWrap w:val="0"/>
            <w:vAlign w:val="center"/>
          </w:tcPr>
          <w:p>
            <w:pPr>
              <w:jc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10</w:t>
            </w:r>
          </w:p>
        </w:tc>
        <w:tc>
          <w:tcPr>
            <w:tcW w:w="900" w:type="dxa"/>
            <w:noWrap w:val="0"/>
            <w:vAlign w:val="center"/>
          </w:tcPr>
          <w:p>
            <w:pPr>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红掌</w:t>
            </w:r>
          </w:p>
        </w:tc>
        <w:tc>
          <w:tcPr>
            <w:tcW w:w="2791" w:type="dxa"/>
            <w:noWrap w:val="0"/>
            <w:vAlign w:val="center"/>
          </w:tcPr>
          <w:p>
            <w:pPr>
              <w:jc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≥350mm</w:t>
            </w:r>
          </w:p>
        </w:tc>
        <w:tc>
          <w:tcPr>
            <w:tcW w:w="1611" w:type="dxa"/>
            <w:noWrap w:val="0"/>
            <w:vAlign w:val="center"/>
          </w:tcPr>
          <w:p>
            <w:pPr>
              <w:jc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3000</w:t>
            </w:r>
          </w:p>
        </w:tc>
        <w:tc>
          <w:tcPr>
            <w:tcW w:w="1107" w:type="dxa"/>
            <w:noWrap w:val="0"/>
            <w:vAlign w:val="center"/>
          </w:tcPr>
          <w:p>
            <w:pPr>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株</w:t>
            </w:r>
          </w:p>
        </w:tc>
        <w:tc>
          <w:tcPr>
            <w:tcW w:w="1107" w:type="dxa"/>
            <w:noWrap w:val="0"/>
            <w:vAlign w:val="center"/>
          </w:tcPr>
          <w:p>
            <w:pPr>
              <w:rPr>
                <w:rFonts w:ascii="仿宋" w:hAnsi="仿宋" w:eastAsia="仿宋" w:cs="仿宋"/>
                <w:color w:val="000000" w:themeColor="text1"/>
                <w:sz w:val="22"/>
                <w:szCs w:val="22"/>
                <w14:textFill>
                  <w14:solidFill>
                    <w14:schemeClr w14:val="tx1"/>
                  </w14:solidFill>
                </w14:textFill>
              </w:rPr>
            </w:pPr>
          </w:p>
        </w:tc>
        <w:tc>
          <w:tcPr>
            <w:tcW w:w="1127" w:type="dxa"/>
            <w:noWrap w:val="0"/>
            <w:vAlign w:val="center"/>
          </w:tcPr>
          <w:p>
            <w:pPr>
              <w:jc w:val="center"/>
              <w:rPr>
                <w:rFonts w:hint="eastAsia" w:ascii="仿宋" w:hAnsi="仿宋" w:eastAsia="仿宋" w:cs="仿宋"/>
                <w:color w:val="000000" w:themeColor="text1"/>
                <w:sz w:val="22"/>
                <w:szCs w:val="22"/>
                <w14:textFill>
                  <w14:solidFill>
                    <w14:schemeClr w14:val="tx1"/>
                  </w14:solidFill>
                </w14:textFill>
              </w:rPr>
            </w:pPr>
          </w:p>
        </w:tc>
        <w:tc>
          <w:tcPr>
            <w:tcW w:w="1127" w:type="dxa"/>
            <w:noWrap w:val="0"/>
            <w:vAlign w:val="center"/>
          </w:tcPr>
          <w:p>
            <w:pPr>
              <w:jc w:val="center"/>
              <w:rPr>
                <w:rFonts w:hint="eastAsia" w:ascii="仿宋" w:hAnsi="仿宋" w:eastAsia="仿宋" w:cs="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88" w:type="dxa"/>
            <w:noWrap w:val="0"/>
            <w:vAlign w:val="center"/>
          </w:tcPr>
          <w:p>
            <w:pPr>
              <w:jc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11</w:t>
            </w:r>
          </w:p>
        </w:tc>
        <w:tc>
          <w:tcPr>
            <w:tcW w:w="900" w:type="dxa"/>
            <w:noWrap w:val="0"/>
            <w:vAlign w:val="center"/>
          </w:tcPr>
          <w:p>
            <w:pPr>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种植土</w:t>
            </w:r>
          </w:p>
        </w:tc>
        <w:tc>
          <w:tcPr>
            <w:tcW w:w="2791" w:type="dxa"/>
            <w:noWrap w:val="0"/>
            <w:vAlign w:val="center"/>
          </w:tcPr>
          <w:p>
            <w:pPr>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清废、换填</w:t>
            </w:r>
          </w:p>
        </w:tc>
        <w:tc>
          <w:tcPr>
            <w:tcW w:w="1611" w:type="dxa"/>
            <w:noWrap w:val="0"/>
            <w:vAlign w:val="center"/>
          </w:tcPr>
          <w:p>
            <w:pPr>
              <w:jc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5000</w:t>
            </w:r>
          </w:p>
        </w:tc>
        <w:tc>
          <w:tcPr>
            <w:tcW w:w="1107" w:type="dxa"/>
            <w:noWrap w:val="0"/>
            <w:vAlign w:val="center"/>
          </w:tcPr>
          <w:p>
            <w:pPr>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w:t>
            </w:r>
          </w:p>
        </w:tc>
        <w:tc>
          <w:tcPr>
            <w:tcW w:w="1107" w:type="dxa"/>
            <w:noWrap w:val="0"/>
            <w:vAlign w:val="center"/>
          </w:tcPr>
          <w:p>
            <w:pPr>
              <w:rPr>
                <w:rFonts w:ascii="仿宋" w:hAnsi="仿宋" w:eastAsia="仿宋" w:cs="仿宋"/>
                <w:color w:val="000000" w:themeColor="text1"/>
                <w:sz w:val="22"/>
                <w:szCs w:val="22"/>
                <w14:textFill>
                  <w14:solidFill>
                    <w14:schemeClr w14:val="tx1"/>
                  </w14:solidFill>
                </w14:textFill>
              </w:rPr>
            </w:pPr>
          </w:p>
        </w:tc>
        <w:tc>
          <w:tcPr>
            <w:tcW w:w="1127" w:type="dxa"/>
            <w:noWrap w:val="0"/>
            <w:vAlign w:val="center"/>
          </w:tcPr>
          <w:p>
            <w:pPr>
              <w:jc w:val="center"/>
              <w:rPr>
                <w:rFonts w:hint="eastAsia" w:ascii="仿宋" w:hAnsi="仿宋" w:eastAsia="仿宋" w:cs="仿宋"/>
                <w:color w:val="000000" w:themeColor="text1"/>
                <w:sz w:val="22"/>
                <w:szCs w:val="22"/>
                <w14:textFill>
                  <w14:solidFill>
                    <w14:schemeClr w14:val="tx1"/>
                  </w14:solidFill>
                </w14:textFill>
              </w:rPr>
            </w:pPr>
          </w:p>
        </w:tc>
        <w:tc>
          <w:tcPr>
            <w:tcW w:w="1127" w:type="dxa"/>
            <w:noWrap w:val="0"/>
            <w:vAlign w:val="center"/>
          </w:tcPr>
          <w:p>
            <w:pPr>
              <w:jc w:val="center"/>
              <w:rPr>
                <w:rFonts w:hint="eastAsia" w:ascii="仿宋" w:hAnsi="仿宋" w:eastAsia="仿宋" w:cs="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88" w:type="dxa"/>
            <w:noWrap w:val="0"/>
            <w:vAlign w:val="center"/>
          </w:tcPr>
          <w:p>
            <w:pPr>
              <w:jc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12</w:t>
            </w:r>
          </w:p>
        </w:tc>
        <w:tc>
          <w:tcPr>
            <w:tcW w:w="900" w:type="dxa"/>
            <w:noWrap w:val="0"/>
            <w:vAlign w:val="center"/>
          </w:tcPr>
          <w:p>
            <w:pPr>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假花</w:t>
            </w:r>
          </w:p>
        </w:tc>
        <w:tc>
          <w:tcPr>
            <w:tcW w:w="2791" w:type="dxa"/>
            <w:noWrap w:val="0"/>
            <w:vAlign w:val="center"/>
          </w:tcPr>
          <w:p>
            <w:pPr>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40cm(高）</w:t>
            </w:r>
          </w:p>
        </w:tc>
        <w:tc>
          <w:tcPr>
            <w:tcW w:w="1611" w:type="dxa"/>
            <w:noWrap w:val="0"/>
            <w:vAlign w:val="center"/>
          </w:tcPr>
          <w:p>
            <w:pPr>
              <w:jc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2500</w:t>
            </w:r>
          </w:p>
        </w:tc>
        <w:tc>
          <w:tcPr>
            <w:tcW w:w="1107" w:type="dxa"/>
            <w:noWrap w:val="0"/>
            <w:vAlign w:val="center"/>
          </w:tcPr>
          <w:p>
            <w:pPr>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支</w:t>
            </w:r>
          </w:p>
        </w:tc>
        <w:tc>
          <w:tcPr>
            <w:tcW w:w="1107" w:type="dxa"/>
            <w:noWrap w:val="0"/>
            <w:vAlign w:val="center"/>
          </w:tcPr>
          <w:p>
            <w:pPr>
              <w:rPr>
                <w:rFonts w:ascii="仿宋" w:hAnsi="仿宋" w:eastAsia="仿宋" w:cs="仿宋"/>
                <w:color w:val="000000" w:themeColor="text1"/>
                <w:sz w:val="22"/>
                <w:szCs w:val="22"/>
                <w14:textFill>
                  <w14:solidFill>
                    <w14:schemeClr w14:val="tx1"/>
                  </w14:solidFill>
                </w14:textFill>
              </w:rPr>
            </w:pPr>
          </w:p>
        </w:tc>
        <w:tc>
          <w:tcPr>
            <w:tcW w:w="1127" w:type="dxa"/>
            <w:noWrap w:val="0"/>
            <w:vAlign w:val="center"/>
          </w:tcPr>
          <w:p>
            <w:pPr>
              <w:jc w:val="center"/>
              <w:rPr>
                <w:rFonts w:hint="eastAsia" w:ascii="仿宋" w:hAnsi="仿宋" w:eastAsia="仿宋" w:cs="仿宋"/>
                <w:color w:val="000000" w:themeColor="text1"/>
                <w:sz w:val="22"/>
                <w:szCs w:val="22"/>
                <w14:textFill>
                  <w14:solidFill>
                    <w14:schemeClr w14:val="tx1"/>
                  </w14:solidFill>
                </w14:textFill>
              </w:rPr>
            </w:pPr>
          </w:p>
        </w:tc>
        <w:tc>
          <w:tcPr>
            <w:tcW w:w="1127" w:type="dxa"/>
            <w:noWrap w:val="0"/>
            <w:vAlign w:val="center"/>
          </w:tcPr>
          <w:p>
            <w:pPr>
              <w:jc w:val="center"/>
              <w:rPr>
                <w:rFonts w:hint="eastAsia" w:ascii="仿宋" w:hAnsi="仿宋" w:eastAsia="仿宋" w:cs="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88" w:type="dxa"/>
            <w:noWrap w:val="0"/>
            <w:vAlign w:val="center"/>
          </w:tcPr>
          <w:p>
            <w:pPr>
              <w:jc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13</w:t>
            </w:r>
          </w:p>
        </w:tc>
        <w:tc>
          <w:tcPr>
            <w:tcW w:w="900" w:type="dxa"/>
            <w:noWrap w:val="0"/>
            <w:vAlign w:val="center"/>
          </w:tcPr>
          <w:p>
            <w:pPr>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国庆菊</w:t>
            </w:r>
          </w:p>
        </w:tc>
        <w:tc>
          <w:tcPr>
            <w:tcW w:w="2791" w:type="dxa"/>
            <w:noWrap w:val="0"/>
            <w:vAlign w:val="center"/>
          </w:tcPr>
          <w:p>
            <w:pPr>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≥25cm（高）</w:t>
            </w:r>
          </w:p>
        </w:tc>
        <w:tc>
          <w:tcPr>
            <w:tcW w:w="1611" w:type="dxa"/>
            <w:noWrap w:val="0"/>
            <w:vAlign w:val="center"/>
          </w:tcPr>
          <w:p>
            <w:pPr>
              <w:jc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3203</w:t>
            </w:r>
          </w:p>
        </w:tc>
        <w:tc>
          <w:tcPr>
            <w:tcW w:w="1107" w:type="dxa"/>
            <w:noWrap w:val="0"/>
            <w:vAlign w:val="center"/>
          </w:tcPr>
          <w:p>
            <w:pPr>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株</w:t>
            </w:r>
          </w:p>
        </w:tc>
        <w:tc>
          <w:tcPr>
            <w:tcW w:w="1107" w:type="dxa"/>
            <w:noWrap w:val="0"/>
            <w:vAlign w:val="center"/>
          </w:tcPr>
          <w:p>
            <w:pPr>
              <w:rPr>
                <w:rFonts w:ascii="仿宋" w:hAnsi="仿宋" w:eastAsia="仿宋" w:cs="仿宋"/>
                <w:color w:val="000000" w:themeColor="text1"/>
                <w:sz w:val="22"/>
                <w:szCs w:val="22"/>
                <w14:textFill>
                  <w14:solidFill>
                    <w14:schemeClr w14:val="tx1"/>
                  </w14:solidFill>
                </w14:textFill>
              </w:rPr>
            </w:pPr>
          </w:p>
        </w:tc>
        <w:tc>
          <w:tcPr>
            <w:tcW w:w="1127" w:type="dxa"/>
            <w:noWrap w:val="0"/>
            <w:vAlign w:val="center"/>
          </w:tcPr>
          <w:p>
            <w:pPr>
              <w:jc w:val="center"/>
              <w:rPr>
                <w:rFonts w:hint="eastAsia" w:ascii="仿宋" w:hAnsi="仿宋" w:eastAsia="仿宋" w:cs="仿宋"/>
                <w:color w:val="000000" w:themeColor="text1"/>
                <w:sz w:val="22"/>
                <w:szCs w:val="22"/>
                <w14:textFill>
                  <w14:solidFill>
                    <w14:schemeClr w14:val="tx1"/>
                  </w14:solidFill>
                </w14:textFill>
              </w:rPr>
            </w:pPr>
          </w:p>
        </w:tc>
        <w:tc>
          <w:tcPr>
            <w:tcW w:w="1127" w:type="dxa"/>
            <w:noWrap w:val="0"/>
            <w:vAlign w:val="center"/>
          </w:tcPr>
          <w:p>
            <w:pPr>
              <w:jc w:val="center"/>
              <w:rPr>
                <w:rFonts w:hint="eastAsia" w:ascii="仿宋" w:hAnsi="仿宋" w:eastAsia="仿宋" w:cs="仿宋"/>
                <w:color w:val="000000" w:themeColor="text1"/>
                <w:sz w:val="22"/>
                <w:szCs w:val="22"/>
                <w14:textFill>
                  <w14:solidFill>
                    <w14:schemeClr w14:val="tx1"/>
                  </w14:solidFill>
                </w14:textFill>
              </w:rPr>
            </w:pPr>
          </w:p>
        </w:tc>
      </w:tr>
    </w:tbl>
    <w:p>
      <w:pPr>
        <w:tabs>
          <w:tab w:val="left" w:pos="3780"/>
        </w:tabs>
        <w:topLinePunct/>
        <w:adjustRightInd w:val="0"/>
        <w:snapToGrid w:val="0"/>
        <w:spacing w:line="360" w:lineRule="auto"/>
        <w:jc w:val="both"/>
        <w:outlineLvl w:val="0"/>
        <w:rPr>
          <w:rFonts w:hint="eastAsia" w:ascii="宋体" w:hAnsi="宋体" w:cs="宋体"/>
          <w:b/>
          <w:bCs/>
          <w:color w:val="000000" w:themeColor="text1"/>
          <w:sz w:val="24"/>
          <w:highlight w:val="none"/>
          <w:lang w:eastAsia="zh-CN"/>
          <w14:textFill>
            <w14:solidFill>
              <w14:schemeClr w14:val="tx1"/>
            </w14:solidFill>
          </w14:textFill>
        </w:rPr>
      </w:pPr>
    </w:p>
    <w:p>
      <w:pP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p>
    <w:p>
      <w:pPr>
        <w:numPr>
          <w:ilvl w:val="0"/>
          <w:numId w:val="6"/>
        </w:numPr>
        <w:tabs>
          <w:tab w:val="left" w:pos="3780"/>
        </w:tabs>
        <w:topLinePunct/>
        <w:adjustRightInd w:val="0"/>
        <w:snapToGrid w:val="0"/>
        <w:spacing w:line="360" w:lineRule="auto"/>
        <w:ind w:left="0" w:leftChars="0" w:firstLine="0" w:firstLineChars="0"/>
        <w:jc w:val="center"/>
        <w:outlineLvl w:val="0"/>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投标文件格式</w:t>
      </w:r>
      <w:bookmarkEnd w:id="41"/>
      <w:bookmarkEnd w:id="42"/>
      <w:bookmarkEnd w:id="43"/>
      <w:bookmarkEnd w:id="44"/>
      <w:bookmarkEnd w:id="45"/>
    </w:p>
    <w:p>
      <w:pPr>
        <w:pStyle w:val="7"/>
        <w:numPr>
          <w:ilvl w:val="0"/>
          <w:numId w:val="0"/>
        </w:numPr>
        <w:ind w:leftChars="0"/>
        <w:rPr>
          <w:rFonts w:hint="eastAsia"/>
          <w:color w:val="000000" w:themeColor="text1"/>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p>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（项目名称）</w:t>
      </w: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  标  文  件</w:t>
      </w: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（盖单位章）</w:t>
      </w:r>
    </w:p>
    <w:p>
      <w:pPr>
        <w:adjustRightInd w:val="0"/>
        <w:snapToGrid w:val="0"/>
        <w:spacing w:line="360" w:lineRule="auto"/>
        <w:jc w:val="center"/>
        <w:rPr>
          <w:rFonts w:hint="eastAsia" w:ascii="宋体" w:hAnsi="宋体" w:cs="宋体"/>
          <w:color w:val="000000" w:themeColor="text1"/>
          <w:sz w:val="24"/>
          <w:highlight w:val="none"/>
          <w:u w:val="single"/>
          <w14:textFill>
            <w14:solidFill>
              <w14:schemeClr w14:val="tx1"/>
            </w14:solidFill>
          </w14:textFill>
        </w:rPr>
      </w:pPr>
    </w:p>
    <w:p>
      <w:pPr>
        <w:adjustRightInd w:val="0"/>
        <w:snapToGrid w:val="0"/>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法定代表人或其委托代理人：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（签章）</w:t>
      </w:r>
    </w:p>
    <w:p>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adjustRightInd w:val="0"/>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目录</w:t>
      </w:r>
    </w:p>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投标人自行编制</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b/>
          <w:color w:val="000000" w:themeColor="text1"/>
          <w:sz w:val="24"/>
          <w:highlight w:val="none"/>
          <w14:textFill>
            <w14:solidFill>
              <w14:schemeClr w14:val="tx1"/>
            </w14:solidFill>
          </w14:textFill>
        </w:rPr>
        <w:t>1、投标函及投标报价表</w:t>
      </w:r>
    </w:p>
    <w:p>
      <w:pPr>
        <w:spacing w:line="360" w:lineRule="auto"/>
        <w:jc w:val="center"/>
        <w:outlineLvl w:val="1"/>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 标 函</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（招标人名称）：</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我们收到你们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号招标文件，经认真研究，我们决定参加投标。</w:t>
      </w:r>
    </w:p>
    <w:p>
      <w:pPr>
        <w:spacing w:line="360" w:lineRule="auto"/>
        <w:ind w:firstLine="567"/>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⒈按照招标文件中的一切要求，提供招标货物、安装及技术服务投标总价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元（用阿拉伯数字书写）人民币，明细见投标产品名称数量报价表。</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⒉如果我们的投标书被接受，我们将履行招标文件中规定的每一项要求，按期、按质、按量完成交货和完工任务。</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⒊我们同意按招标文件的规定，本投标书的有效期为开标后</w:t>
      </w:r>
      <w:r>
        <w:rPr>
          <w:rFonts w:hint="eastAsia" w:ascii="宋体" w:hAnsi="宋体" w:cs="宋体"/>
          <w:color w:val="000000" w:themeColor="text1"/>
          <w:sz w:val="24"/>
          <w:highlight w:val="none"/>
          <w:u w:val="single"/>
          <w14:textFill>
            <w14:solidFill>
              <w14:schemeClr w14:val="tx1"/>
            </w14:solidFill>
          </w14:textFill>
        </w:rPr>
        <w:t>60</w:t>
      </w:r>
      <w:r>
        <w:rPr>
          <w:rFonts w:hint="eastAsia" w:ascii="宋体" w:hAnsi="宋体" w:cs="宋体"/>
          <w:color w:val="000000" w:themeColor="text1"/>
          <w:sz w:val="24"/>
          <w:highlight w:val="none"/>
          <w14:textFill>
            <w14:solidFill>
              <w14:schemeClr w14:val="tx1"/>
            </w14:solidFill>
          </w14:textFill>
        </w:rPr>
        <w:t xml:space="preserve"> 天。</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⒋我们愿意提供采购人在招标文件中要求的所有资料。</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⒌我们认为你们有选择或拒绝任何投标者中标的权力。我们理解，最低报价不是中标的唯一条件。</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⒍我们愿按合同法履行自己的全部责任。</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⒎我方愿意遵守国家有关规定及招标文件中规定的收费标准，承付中标服务费。</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⒏该项投标在开标后的全过程中保持有效，不作任何更改和变动。</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⒐我们同意按招标文件规定，交纳</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元的投标保证金。并同意在确定最终中标人、发出中标通知书之后5个工作日内退还我公司的投标保证金。（如因特殊原因，在投标有效期之后确定中标人，本承诺依然有效。）</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.所有有关本标书的函电，请按下列地址联系：</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       位：</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       话：</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 政 编 码：</w:t>
      </w:r>
    </w:p>
    <w:p>
      <w:pPr>
        <w:spacing w:line="360" w:lineRule="auto"/>
        <w:ind w:firstLine="56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  系  人：</w:t>
      </w:r>
    </w:p>
    <w:p>
      <w:pPr>
        <w:spacing w:line="360" w:lineRule="auto"/>
        <w:ind w:firstLine="43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（公章）</w:t>
      </w:r>
    </w:p>
    <w:p>
      <w:pPr>
        <w:spacing w:line="360" w:lineRule="auto"/>
        <w:ind w:firstLine="3133" w:firstLineChars="13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法定代表人或其委托代理人：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（签章）</w:t>
      </w:r>
    </w:p>
    <w:p>
      <w:pPr>
        <w:spacing w:line="360" w:lineRule="auto"/>
        <w:jc w:val="righ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日 </w:t>
      </w:r>
    </w:p>
    <w:p>
      <w:pPr>
        <w:pStyle w:val="23"/>
        <w:rPr>
          <w:rFonts w:hint="eastAsia" w:ascii="宋体" w:hAnsi="宋体" w:cs="宋体"/>
          <w:bCs/>
          <w:color w:val="000000" w:themeColor="text1"/>
          <w:sz w:val="24"/>
          <w:highlight w:val="none"/>
          <w14:textFill>
            <w14:solidFill>
              <w14:schemeClr w14:val="tx1"/>
            </w14:solidFill>
          </w14:textFill>
        </w:rPr>
      </w:pPr>
    </w:p>
    <w:p>
      <w:pPr>
        <w:spacing w:line="360" w:lineRule="auto"/>
        <w:jc w:val="center"/>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（二）、法定代表人身份证明</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单位性质：</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成立时间：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日</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经营期限：</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    名：</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性别：</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职务：</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（投标人名称）的法定代表人。</w:t>
      </w:r>
    </w:p>
    <w:p>
      <w:pPr>
        <w:spacing w:line="360" w:lineRule="auto"/>
        <w:ind w:firstLine="964"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特此证明。</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注：后附法定代表人身份证复印件</w:t>
      </w:r>
    </w:p>
    <w:p>
      <w:pPr>
        <w:spacing w:line="360" w:lineRule="auto"/>
        <w:rPr>
          <w:rFonts w:hint="eastAsia" w:ascii="宋体" w:hAnsi="宋体" w:cs="宋体"/>
          <w:color w:val="000000" w:themeColor="text1"/>
          <w:sz w:val="24"/>
          <w:highlight w:val="none"/>
          <w14:textFill>
            <w14:solidFill>
              <w14:schemeClr w14:val="tx1"/>
            </w14:solidFill>
          </w14:textFill>
        </w:rPr>
      </w:pPr>
    </w:p>
    <w:p>
      <w:pPr>
        <w:spacing w:line="360" w:lineRule="auto"/>
        <w:rPr>
          <w:rFonts w:hint="eastAsia" w:ascii="宋体" w:hAnsi="宋体" w:cs="宋体"/>
          <w:color w:val="000000" w:themeColor="text1"/>
          <w:sz w:val="24"/>
          <w:highlight w:val="none"/>
          <w14:textFill>
            <w14:solidFill>
              <w14:schemeClr w14:val="tx1"/>
            </w14:solidFill>
          </w14:textFill>
        </w:rPr>
      </w:pP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投标人：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（盖单位章）</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法定代表或委托代理人：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（签章）</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日 </w:t>
      </w:r>
    </w:p>
    <w:p>
      <w:pPr>
        <w:pStyle w:val="23"/>
        <w:rPr>
          <w:rFonts w:hint="eastAsia" w:ascii="宋体" w:hAnsi="宋体" w:cs="宋体"/>
          <w:color w:val="000000" w:themeColor="text1"/>
          <w:sz w:val="24"/>
          <w:highlight w:val="none"/>
          <w14:textFill>
            <w14:solidFill>
              <w14:schemeClr w14:val="tx1"/>
            </w14:solidFill>
          </w14:textFill>
        </w:rPr>
      </w:pPr>
    </w:p>
    <w:p>
      <w:pPr>
        <w:pStyle w:val="23"/>
        <w:rPr>
          <w:rFonts w:hint="eastAsia" w:ascii="宋体" w:hAnsi="宋体" w:cs="宋体"/>
          <w:color w:val="000000" w:themeColor="text1"/>
          <w:sz w:val="24"/>
          <w:highlight w:val="none"/>
          <w14:textFill>
            <w14:solidFill>
              <w14:schemeClr w14:val="tx1"/>
            </w14:solidFill>
          </w14:textFill>
        </w:rPr>
      </w:pPr>
    </w:p>
    <w:p>
      <w:pPr>
        <w:pStyle w:val="23"/>
        <w:rPr>
          <w:rFonts w:hint="eastAsia" w:ascii="宋体" w:hAnsi="宋体" w:cs="宋体"/>
          <w:color w:val="000000" w:themeColor="text1"/>
          <w:sz w:val="24"/>
          <w:highlight w:val="none"/>
          <w14:textFill>
            <w14:solidFill>
              <w14:schemeClr w14:val="tx1"/>
            </w14:solidFill>
          </w14:textFill>
        </w:rPr>
      </w:pPr>
    </w:p>
    <w:p>
      <w:pPr>
        <w:pStyle w:val="23"/>
        <w:rPr>
          <w:rFonts w:hint="eastAsia" w:ascii="宋体" w:hAnsi="宋体" w:cs="宋体"/>
          <w:color w:val="000000" w:themeColor="text1"/>
          <w:sz w:val="24"/>
          <w:highlight w:val="none"/>
          <w14:textFill>
            <w14:solidFill>
              <w14:schemeClr w14:val="tx1"/>
            </w14:solidFill>
          </w14:textFill>
        </w:rPr>
      </w:pPr>
    </w:p>
    <w:p>
      <w:pPr>
        <w:pStyle w:val="23"/>
        <w:rPr>
          <w:rFonts w:hint="eastAsia" w:ascii="宋体" w:hAnsi="宋体" w:cs="宋体"/>
          <w:color w:val="000000" w:themeColor="text1"/>
          <w:sz w:val="24"/>
          <w:highlight w:val="none"/>
          <w14:textFill>
            <w14:solidFill>
              <w14:schemeClr w14:val="tx1"/>
            </w14:solidFill>
          </w14:textFill>
        </w:rPr>
      </w:pPr>
    </w:p>
    <w:p>
      <w:pPr>
        <w:pStyle w:val="23"/>
        <w:rPr>
          <w:rFonts w:hint="eastAsia" w:ascii="宋体" w:hAnsi="宋体" w:cs="宋体"/>
          <w:color w:val="000000" w:themeColor="text1"/>
          <w:sz w:val="24"/>
          <w:highlight w:val="none"/>
          <w14:textFill>
            <w14:solidFill>
              <w14:schemeClr w14:val="tx1"/>
            </w14:solidFill>
          </w14:textFill>
        </w:rPr>
      </w:pPr>
    </w:p>
    <w:p>
      <w:pPr>
        <w:pStyle w:val="23"/>
        <w:rPr>
          <w:rFonts w:hint="eastAsia" w:ascii="宋体" w:hAnsi="宋体" w:cs="宋体"/>
          <w:color w:val="000000" w:themeColor="text1"/>
          <w:sz w:val="24"/>
          <w:highlight w:val="none"/>
          <w14:textFill>
            <w14:solidFill>
              <w14:schemeClr w14:val="tx1"/>
            </w14:solidFill>
          </w14:textFill>
        </w:rPr>
      </w:pPr>
    </w:p>
    <w:p>
      <w:pPr>
        <w:pStyle w:val="23"/>
        <w:rPr>
          <w:rFonts w:hint="eastAsia" w:ascii="宋体" w:hAnsi="宋体" w:cs="宋体"/>
          <w:color w:val="000000" w:themeColor="text1"/>
          <w:sz w:val="24"/>
          <w:highlight w:val="none"/>
          <w14:textFill>
            <w14:solidFill>
              <w14:schemeClr w14:val="tx1"/>
            </w14:solidFill>
          </w14:textFill>
        </w:rPr>
      </w:pPr>
    </w:p>
    <w:p>
      <w:pPr>
        <w:pStyle w:val="23"/>
        <w:rPr>
          <w:rFonts w:hint="eastAsia" w:ascii="宋体" w:hAnsi="宋体" w:cs="宋体"/>
          <w:color w:val="000000" w:themeColor="text1"/>
          <w:sz w:val="24"/>
          <w:highlight w:val="none"/>
          <w14:textFill>
            <w14:solidFill>
              <w14:schemeClr w14:val="tx1"/>
            </w14:solidFill>
          </w14:textFill>
        </w:rPr>
      </w:pPr>
    </w:p>
    <w:p>
      <w:pPr>
        <w:pStyle w:val="23"/>
        <w:rPr>
          <w:rFonts w:hint="eastAsia" w:ascii="宋体" w:hAnsi="宋体" w:cs="宋体"/>
          <w:color w:val="000000" w:themeColor="text1"/>
          <w:sz w:val="24"/>
          <w:highlight w:val="none"/>
          <w14:textFill>
            <w14:solidFill>
              <w14:schemeClr w14:val="tx1"/>
            </w14:solidFill>
          </w14:textFill>
        </w:rPr>
      </w:pPr>
    </w:p>
    <w:p>
      <w:pPr>
        <w:pStyle w:val="23"/>
        <w:rPr>
          <w:rFonts w:hint="eastAsia" w:ascii="宋体" w:hAnsi="宋体" w:cs="宋体"/>
          <w:color w:val="000000" w:themeColor="text1"/>
          <w:sz w:val="24"/>
          <w:highlight w:val="none"/>
          <w14:textFill>
            <w14:solidFill>
              <w14:schemeClr w14:val="tx1"/>
            </w14:solidFill>
          </w14:textFill>
        </w:rPr>
      </w:pPr>
    </w:p>
    <w:p>
      <w:pPr>
        <w:pStyle w:val="23"/>
        <w:rPr>
          <w:rFonts w:hint="eastAsia" w:ascii="宋体" w:hAnsi="宋体" w:cs="宋体"/>
          <w:color w:val="000000" w:themeColor="text1"/>
          <w:sz w:val="24"/>
          <w:highlight w:val="none"/>
          <w14:textFill>
            <w14:solidFill>
              <w14:schemeClr w14:val="tx1"/>
            </w14:solidFill>
          </w14:textFill>
        </w:rPr>
      </w:pPr>
    </w:p>
    <w:p>
      <w:pPr>
        <w:pStyle w:val="23"/>
        <w:rPr>
          <w:rFonts w:hint="eastAsia" w:ascii="宋体" w:hAnsi="宋体" w:cs="宋体"/>
          <w:color w:val="000000" w:themeColor="text1"/>
          <w:sz w:val="24"/>
          <w:highlight w:val="none"/>
          <w14:textFill>
            <w14:solidFill>
              <w14:schemeClr w14:val="tx1"/>
            </w14:solidFill>
          </w14:textFill>
        </w:rPr>
      </w:pPr>
    </w:p>
    <w:p>
      <w:pPr>
        <w:pStyle w:val="23"/>
        <w:rPr>
          <w:rFonts w:hint="eastAsia" w:ascii="宋体" w:hAnsi="宋体" w:cs="宋体"/>
          <w:color w:val="000000" w:themeColor="text1"/>
          <w:sz w:val="24"/>
          <w:highlight w:val="none"/>
          <w14:textFill>
            <w14:solidFill>
              <w14:schemeClr w14:val="tx1"/>
            </w14:solidFill>
          </w14:textFill>
        </w:rPr>
      </w:pPr>
    </w:p>
    <w:p>
      <w:pPr>
        <w:pStyle w:val="23"/>
        <w:rPr>
          <w:rFonts w:hint="eastAsia" w:ascii="宋体" w:hAnsi="宋体" w:cs="宋体"/>
          <w:color w:val="000000" w:themeColor="text1"/>
          <w:sz w:val="24"/>
          <w:highlight w:val="none"/>
          <w14:textFill>
            <w14:solidFill>
              <w14:schemeClr w14:val="tx1"/>
            </w14:solidFill>
          </w14:textFill>
        </w:rPr>
      </w:pPr>
    </w:p>
    <w:p>
      <w:pPr>
        <w:pStyle w:val="23"/>
        <w:rPr>
          <w:rFonts w:hint="eastAsia" w:ascii="宋体" w:hAnsi="宋体" w:cs="宋体"/>
          <w:color w:val="000000" w:themeColor="text1"/>
          <w:sz w:val="24"/>
          <w:highlight w:val="none"/>
          <w14:textFill>
            <w14:solidFill>
              <w14:schemeClr w14:val="tx1"/>
            </w14:solidFill>
          </w14:textFill>
        </w:rPr>
      </w:pPr>
    </w:p>
    <w:p>
      <w:pPr>
        <w:spacing w:line="360" w:lineRule="auto"/>
        <w:rPr>
          <w:rFonts w:hint="eastAsia" w:ascii="宋体" w:hAnsi="宋体" w:cs="宋体"/>
          <w:color w:val="000000" w:themeColor="text1"/>
          <w:sz w:val="24"/>
          <w:highlight w:val="none"/>
          <w14:textFill>
            <w14:solidFill>
              <w14:schemeClr w14:val="tx1"/>
            </w14:solidFill>
          </w14:textFill>
        </w:rPr>
      </w:pPr>
    </w:p>
    <w:p>
      <w:pPr>
        <w:spacing w:line="360" w:lineRule="auto"/>
        <w:jc w:val="center"/>
        <w:outlineLvl w:val="1"/>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（三）、法定代表人的授权委托书</w:t>
      </w:r>
    </w:p>
    <w:p>
      <w:pPr>
        <w:spacing w:line="360" w:lineRule="auto"/>
        <w:rPr>
          <w:rFonts w:hint="eastAsia" w:ascii="宋体" w:hAnsi="宋体" w:cs="宋体"/>
          <w:color w:val="000000" w:themeColor="text1"/>
          <w:sz w:val="24"/>
          <w:highlight w:val="none"/>
          <w14:textFill>
            <w14:solidFill>
              <w14:schemeClr w14:val="tx1"/>
            </w14:solidFill>
          </w14:textFill>
        </w:rPr>
      </w:pPr>
    </w:p>
    <w:p>
      <w:pPr>
        <w:topLinePunct/>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（姓名）系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（投标人名称）的法定代表人，现委托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（姓名）为我方代理人。代理人根据授权，以我方名义签署、澄清、说明、补正、递交、撤回、修改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标段投标文件、签订合同和处理有关事宜，其法律后果由我方承担。</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委托期限：</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代理人无转委托权。</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附：法定代表人身份证明、委托代理人身份证复印件</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（盖单位章）</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（签字）</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身份证号码：</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（签字） </w:t>
      </w:r>
    </w:p>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身份证号码：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pPr>
        <w:spacing w:line="360" w:lineRule="auto"/>
        <w:jc w:val="center"/>
        <w:rPr>
          <w:rFonts w:hint="eastAsia" w:ascii="宋体" w:hAnsi="宋体" w:cs="宋体"/>
          <w:b/>
          <w:color w:val="000000" w:themeColor="text1"/>
          <w:sz w:val="24"/>
          <w:highlight w:val="none"/>
          <w14:textFill>
            <w14:solidFill>
              <w14:schemeClr w14:val="tx1"/>
            </w14:solidFill>
          </w14:textFill>
        </w:rPr>
      </w:pPr>
    </w:p>
    <w:p>
      <w:pPr>
        <w:spacing w:line="360" w:lineRule="auto"/>
        <w:jc w:val="left"/>
        <w:outlineLvl w:val="1"/>
        <w:rPr>
          <w:rFonts w:hint="eastAsia" w:ascii="宋体" w:hAnsi="宋体" w:cs="宋体"/>
          <w:b/>
          <w:color w:val="000000" w:themeColor="text1"/>
          <w:sz w:val="24"/>
          <w:highlight w:val="none"/>
          <w14:textFill>
            <w14:solidFill>
              <w14:schemeClr w14:val="tx1"/>
            </w14:solidFill>
          </w14:textFill>
        </w:rPr>
      </w:pPr>
    </w:p>
    <w:p>
      <w:pPr>
        <w:spacing w:line="360" w:lineRule="auto"/>
        <w:jc w:val="left"/>
        <w:outlineLvl w:val="1"/>
        <w:rPr>
          <w:rFonts w:hint="eastAsia" w:ascii="宋体" w:hAnsi="宋体" w:cs="宋体"/>
          <w:b/>
          <w:color w:val="000000" w:themeColor="text1"/>
          <w:sz w:val="24"/>
          <w:highlight w:val="none"/>
          <w14:textFill>
            <w14:solidFill>
              <w14:schemeClr w14:val="tx1"/>
            </w14:solidFill>
          </w14:textFill>
        </w:rPr>
      </w:pPr>
    </w:p>
    <w:p>
      <w:pPr>
        <w:spacing w:line="360" w:lineRule="auto"/>
        <w:jc w:val="left"/>
        <w:outlineLvl w:val="1"/>
        <w:rPr>
          <w:rFonts w:hint="eastAsia" w:ascii="宋体" w:hAnsi="宋体" w:cs="宋体"/>
          <w:b/>
          <w:color w:val="000000" w:themeColor="text1"/>
          <w:sz w:val="24"/>
          <w:highlight w:val="none"/>
          <w14:textFill>
            <w14:solidFill>
              <w14:schemeClr w14:val="tx1"/>
            </w14:solidFill>
          </w14:textFill>
        </w:rPr>
      </w:pPr>
    </w:p>
    <w:p>
      <w:pPr>
        <w:spacing w:line="360" w:lineRule="auto"/>
        <w:jc w:val="left"/>
        <w:outlineLvl w:val="1"/>
        <w:rPr>
          <w:rFonts w:hint="eastAsia" w:ascii="宋体" w:hAnsi="宋体" w:cs="宋体"/>
          <w:b/>
          <w:color w:val="000000" w:themeColor="text1"/>
          <w:sz w:val="24"/>
          <w:highlight w:val="none"/>
          <w14:textFill>
            <w14:solidFill>
              <w14:schemeClr w14:val="tx1"/>
            </w14:solidFill>
          </w14:textFill>
        </w:rPr>
      </w:pPr>
    </w:p>
    <w:p>
      <w:pPr>
        <w:spacing w:line="360" w:lineRule="auto"/>
        <w:jc w:val="left"/>
        <w:outlineLvl w:val="1"/>
        <w:rPr>
          <w:rFonts w:hint="eastAsia" w:ascii="宋体" w:hAnsi="宋体" w:cs="宋体"/>
          <w:b/>
          <w:color w:val="000000" w:themeColor="text1"/>
          <w:sz w:val="24"/>
          <w:highlight w:val="none"/>
          <w14:textFill>
            <w14:solidFill>
              <w14:schemeClr w14:val="tx1"/>
            </w14:solidFill>
          </w14:textFill>
        </w:rPr>
      </w:pPr>
    </w:p>
    <w:p>
      <w:pPr>
        <w:spacing w:line="360" w:lineRule="auto"/>
        <w:jc w:val="left"/>
        <w:outlineLvl w:val="1"/>
        <w:rPr>
          <w:rFonts w:hint="eastAsia" w:ascii="宋体" w:hAnsi="宋体" w:cs="宋体"/>
          <w:b/>
          <w:color w:val="000000" w:themeColor="text1"/>
          <w:sz w:val="24"/>
          <w:highlight w:val="none"/>
          <w14:textFill>
            <w14:solidFill>
              <w14:schemeClr w14:val="tx1"/>
            </w14:solidFill>
          </w14:textFill>
        </w:rPr>
      </w:pPr>
    </w:p>
    <w:p>
      <w:pPr>
        <w:spacing w:line="360" w:lineRule="auto"/>
        <w:jc w:val="left"/>
        <w:outlineLvl w:val="1"/>
        <w:rPr>
          <w:rFonts w:hint="eastAsia" w:ascii="宋体" w:hAnsi="宋体" w:cs="宋体"/>
          <w:b/>
          <w:color w:val="000000" w:themeColor="text1"/>
          <w:sz w:val="24"/>
          <w:highlight w:val="none"/>
          <w14:textFill>
            <w14:solidFill>
              <w14:schemeClr w14:val="tx1"/>
            </w14:solidFill>
          </w14:textFill>
        </w:rPr>
      </w:pPr>
    </w:p>
    <w:p>
      <w:pPr>
        <w:spacing w:line="360" w:lineRule="auto"/>
        <w:jc w:val="left"/>
        <w:outlineLvl w:val="1"/>
        <w:rPr>
          <w:rFonts w:hint="eastAsia" w:ascii="宋体" w:hAnsi="宋体" w:cs="宋体"/>
          <w:b/>
          <w:color w:val="000000" w:themeColor="text1"/>
          <w:sz w:val="24"/>
          <w:highlight w:val="none"/>
          <w14:textFill>
            <w14:solidFill>
              <w14:schemeClr w14:val="tx1"/>
            </w14:solidFill>
          </w14:textFill>
        </w:rPr>
      </w:pPr>
    </w:p>
    <w:p>
      <w:pPr>
        <w:spacing w:line="360" w:lineRule="auto"/>
        <w:jc w:val="left"/>
        <w:outlineLvl w:val="1"/>
        <w:rPr>
          <w:rFonts w:hint="eastAsia" w:ascii="宋体" w:hAnsi="宋体" w:cs="宋体"/>
          <w:b/>
          <w:color w:val="000000" w:themeColor="text1"/>
          <w:sz w:val="24"/>
          <w:highlight w:val="none"/>
          <w14:textFill>
            <w14:solidFill>
              <w14:schemeClr w14:val="tx1"/>
            </w14:solidFill>
          </w14:textFill>
        </w:rPr>
      </w:pPr>
    </w:p>
    <w:p>
      <w:pPr>
        <w:spacing w:line="360" w:lineRule="auto"/>
        <w:jc w:val="left"/>
        <w:outlineLvl w:val="1"/>
        <w:rPr>
          <w:rFonts w:hint="eastAsia" w:ascii="宋体" w:hAnsi="宋体" w:cs="宋体"/>
          <w:b/>
          <w:color w:val="000000" w:themeColor="text1"/>
          <w:sz w:val="24"/>
          <w:highlight w:val="none"/>
          <w14:textFill>
            <w14:solidFill>
              <w14:schemeClr w14:val="tx1"/>
            </w14:solidFill>
          </w14:textFill>
        </w:rPr>
      </w:pPr>
    </w:p>
    <w:p>
      <w:pPr>
        <w:spacing w:line="360" w:lineRule="auto"/>
        <w:jc w:val="left"/>
        <w:outlineLvl w:val="1"/>
        <w:rPr>
          <w:rFonts w:hint="eastAsia" w:ascii="宋体" w:hAnsi="宋体" w:cs="宋体"/>
          <w:b/>
          <w:color w:val="000000" w:themeColor="text1"/>
          <w:sz w:val="24"/>
          <w:highlight w:val="none"/>
          <w14:textFill>
            <w14:solidFill>
              <w14:schemeClr w14:val="tx1"/>
            </w14:solidFill>
          </w14:textFill>
        </w:rPr>
      </w:pPr>
    </w:p>
    <w:p>
      <w:pPr>
        <w:spacing w:line="360" w:lineRule="auto"/>
        <w:jc w:val="center"/>
        <w:outlineLvl w:val="1"/>
        <w:rPr>
          <w:rFonts w:hint="eastAsia" w:ascii="宋体" w:hAnsi="宋体" w:eastAsia="宋体" w:cs="宋体"/>
          <w:b/>
          <w:color w:val="000000" w:themeColor="text1"/>
          <w:sz w:val="24"/>
          <w:highlight w:val="none"/>
          <w:lang w:eastAsia="zh-CN"/>
          <w14:textFill>
            <w14:solidFill>
              <w14:schemeClr w14:val="tx1"/>
            </w14:solidFill>
          </w14:textFill>
        </w:rPr>
        <w:sectPr>
          <w:footerReference r:id="rId9" w:type="first"/>
          <w:footerReference r:id="rId8" w:type="default"/>
          <w:pgSz w:w="11849" w:h="16781"/>
          <w:pgMar w:top="1440" w:right="1080" w:bottom="1440" w:left="1080" w:header="851" w:footer="850" w:gutter="0"/>
          <w:cols w:space="720" w:num="1"/>
          <w:formProt w:val="1"/>
          <w:titlePg/>
          <w:docGrid w:type="linesAndChars" w:linePitch="320" w:charSpace="269"/>
        </w:sectPr>
      </w:pPr>
      <w:r>
        <w:rPr>
          <w:rFonts w:hint="eastAsia" w:ascii="宋体" w:hAnsi="宋体" w:cs="宋体"/>
          <w:b/>
          <w:color w:val="000000" w:themeColor="text1"/>
          <w:sz w:val="24"/>
          <w:highlight w:val="none"/>
          <w14:textFill>
            <w14:solidFill>
              <w14:schemeClr w14:val="tx1"/>
            </w14:solidFill>
          </w14:textFill>
        </w:rPr>
        <w:t>（四）、投标保证金</w:t>
      </w:r>
      <w:r>
        <w:rPr>
          <w:rFonts w:hint="eastAsia" w:ascii="宋体" w:hAnsi="宋体" w:cs="宋体"/>
          <w:b/>
          <w:color w:val="000000" w:themeColor="text1"/>
          <w:sz w:val="24"/>
          <w:highlight w:val="none"/>
          <w:lang w:eastAsia="zh-CN"/>
          <w14:textFill>
            <w14:solidFill>
              <w14:schemeClr w14:val="tx1"/>
            </w14:solidFill>
          </w14:textFill>
        </w:rPr>
        <w:t>（应附开户信息、投标保证金打款凭证）</w:t>
      </w:r>
    </w:p>
    <w:p>
      <w:pPr>
        <w:tabs>
          <w:tab w:val="center" w:pos="7115"/>
          <w:tab w:val="right" w:pos="14230"/>
        </w:tabs>
        <w:spacing w:line="360" w:lineRule="auto"/>
        <w:jc w:val="center"/>
        <w:outlineLvl w:val="1"/>
        <w:rPr>
          <w:rFonts w:hint="eastAsia" w:ascii="仿宋_GB2312" w:hAnsi="Dotum" w:eastAsia="仿宋_GB2312"/>
          <w:b/>
          <w:color w:val="000000" w:themeColor="text1"/>
          <w:sz w:val="28"/>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(五)开标一览表</w:t>
      </w:r>
      <w:r>
        <w:rPr>
          <w:rFonts w:hint="eastAsia" w:ascii="仿宋_GB2312" w:hAnsi="Dotum" w:eastAsia="仿宋_GB2312"/>
          <w:b/>
          <w:color w:val="000000" w:themeColor="text1"/>
          <w:sz w:val="28"/>
          <w:highlight w:val="none"/>
          <w14:textFill>
            <w14:solidFill>
              <w14:schemeClr w14:val="tx1"/>
            </w14:solidFill>
          </w14:textFill>
        </w:rPr>
        <w:t xml:space="preserve">  </w:t>
      </w:r>
      <w:r>
        <w:rPr>
          <w:rFonts w:hint="eastAsia" w:ascii="仿宋_GB2312" w:hAnsi="Dotum" w:eastAsia="仿宋_GB2312"/>
          <w:color w:val="000000" w:themeColor="text1"/>
          <w:sz w:val="28"/>
          <w:highlight w:val="none"/>
          <w14:textFill>
            <w14:solidFill>
              <w14:schemeClr w14:val="tx1"/>
            </w14:solidFill>
          </w14:textFill>
        </w:rPr>
        <w:t xml:space="preserve">                                                                            </w:t>
      </w:r>
    </w:p>
    <w:p>
      <w:pPr>
        <w:spacing w:line="360" w:lineRule="auto"/>
        <w:ind w:left="121" w:hanging="120" w:hangingChars="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项目名称：                                             </w:t>
      </w:r>
    </w:p>
    <w:p>
      <w:pPr>
        <w:spacing w:line="360" w:lineRule="auto"/>
        <w:ind w:left="121" w:hanging="120" w:hangingChars="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p>
    <w:tbl>
      <w:tblPr>
        <w:tblStyle w:val="14"/>
        <w:tblW w:w="14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95"/>
        <w:gridCol w:w="4426"/>
        <w:gridCol w:w="2799"/>
        <w:gridCol w:w="4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27" w:hRule="exact"/>
          <w:jc w:val="center"/>
        </w:trPr>
        <w:tc>
          <w:tcPr>
            <w:tcW w:w="3195" w:type="dxa"/>
            <w:tcBorders>
              <w:bottom w:val="single" w:color="auto" w:sz="4" w:space="0"/>
            </w:tcBorders>
            <w:noWrap w:val="0"/>
            <w:vAlign w:val="center"/>
          </w:tcPr>
          <w:p>
            <w:pP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项目名称</w:t>
            </w:r>
          </w:p>
        </w:tc>
        <w:tc>
          <w:tcPr>
            <w:tcW w:w="4426" w:type="dxa"/>
            <w:tcBorders>
              <w:bottom w:val="single" w:color="auto" w:sz="4" w:space="0"/>
            </w:tcBorders>
            <w:noWrap w:val="0"/>
            <w:vAlign w:val="center"/>
          </w:tcPr>
          <w:p>
            <w:pP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投标报价</w:t>
            </w:r>
          </w:p>
        </w:tc>
        <w:tc>
          <w:tcPr>
            <w:tcW w:w="2799" w:type="dxa"/>
            <w:tcBorders>
              <w:bottom w:val="single" w:color="auto" w:sz="4" w:space="0"/>
            </w:tcBorders>
            <w:noWrap w:val="0"/>
            <w:vAlign w:val="center"/>
          </w:tcPr>
          <w:p>
            <w:pP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供货时间</w:t>
            </w:r>
          </w:p>
        </w:tc>
        <w:tc>
          <w:tcPr>
            <w:tcW w:w="4237" w:type="dxa"/>
            <w:tcBorders>
              <w:bottom w:val="single" w:color="auto" w:sz="4"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77" w:hRule="atLeast"/>
          <w:jc w:val="center"/>
        </w:trPr>
        <w:tc>
          <w:tcPr>
            <w:tcW w:w="3195" w:type="dxa"/>
            <w:tcBorders>
              <w:bottom w:val="single" w:color="auto" w:sz="4" w:space="0"/>
            </w:tcBorders>
            <w:noWrap w:val="0"/>
            <w:vAlign w:val="center"/>
          </w:tcPr>
          <w:p>
            <w:pPr>
              <w:pStyle w:val="21"/>
              <w:spacing w:line="360" w:lineRule="auto"/>
              <w:ind w:firstLine="0" w:firstLineChars="0"/>
              <w:jc w:val="center"/>
              <w:rPr>
                <w:rFonts w:hint="eastAsia" w:ascii="宋体" w:hAnsi="宋体" w:eastAsia="宋体" w:cs="宋体"/>
                <w:color w:val="000000" w:themeColor="text1"/>
                <w:sz w:val="24"/>
                <w:highlight w:val="none"/>
                <w14:textFill>
                  <w14:solidFill>
                    <w14:schemeClr w14:val="tx1"/>
                  </w14:solidFill>
                </w14:textFill>
              </w:rPr>
            </w:pPr>
          </w:p>
        </w:tc>
        <w:tc>
          <w:tcPr>
            <w:tcW w:w="4426" w:type="dxa"/>
            <w:tcBorders>
              <w:bottom w:val="single" w:color="auto" w:sz="4"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2799" w:type="dxa"/>
            <w:tcBorders>
              <w:bottom w:val="single" w:color="auto" w:sz="4"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237" w:type="dxa"/>
            <w:tcBorders>
              <w:bottom w:val="single" w:color="auto" w:sz="4"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9" w:hRule="exact"/>
          <w:jc w:val="center"/>
        </w:trPr>
        <w:tc>
          <w:tcPr>
            <w:tcW w:w="3195" w:type="dxa"/>
            <w:vMerge w:val="restart"/>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投标总报价</w:t>
            </w:r>
          </w:p>
        </w:tc>
        <w:tc>
          <w:tcPr>
            <w:tcW w:w="11462" w:type="dxa"/>
            <w:gridSpan w:val="3"/>
            <w:noWrap w:val="0"/>
            <w:vAlign w:val="center"/>
          </w:tcPr>
          <w:p>
            <w:pPr>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9" w:hRule="exact"/>
          <w:jc w:val="center"/>
        </w:trPr>
        <w:tc>
          <w:tcPr>
            <w:tcW w:w="3195" w:type="dxa"/>
            <w:vMerge w:val="continue"/>
            <w:tcBorders>
              <w:bottom w:val="single" w:color="auto" w:sz="4"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1462" w:type="dxa"/>
            <w:gridSpan w:val="3"/>
            <w:tcBorders>
              <w:bottom w:val="single" w:color="auto" w:sz="4" w:space="0"/>
            </w:tcBorders>
            <w:noWrap w:val="0"/>
            <w:vAlign w:val="center"/>
          </w:tcPr>
          <w:p>
            <w:pPr>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(大写)</w:t>
            </w:r>
          </w:p>
        </w:tc>
      </w:tr>
    </w:tbl>
    <w:p>
      <w:pPr>
        <w:spacing w:line="360" w:lineRule="auto"/>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投标人：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（盖单位章）</w:t>
      </w:r>
    </w:p>
    <w:p>
      <w:pPr>
        <w:spacing w:line="360" w:lineRule="auto"/>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法定代表或委托代理人：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（签章）</w:t>
      </w:r>
    </w:p>
    <w:p>
      <w:pPr>
        <w:spacing w:line="360" w:lineRule="auto"/>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日 </w:t>
      </w:r>
    </w:p>
    <w:p>
      <w:pPr>
        <w:spacing w:line="360" w:lineRule="auto"/>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注：在开标一览表中，按第二章投标人须知11.2条款的规定不允许出现两种报价，否则其投标将被拒绝。</w:t>
      </w:r>
    </w:p>
    <w:p>
      <w:pPr>
        <w:spacing w:line="360" w:lineRule="auto"/>
        <w:ind w:left="564"/>
        <w:rPr>
          <w:rFonts w:hint="eastAsia" w:ascii="宋体" w:hAnsi="宋体" w:cs="宋体"/>
          <w:b/>
          <w:color w:val="000000" w:themeColor="text1"/>
          <w:sz w:val="24"/>
          <w:highlight w:val="none"/>
          <w14:textFill>
            <w14:solidFill>
              <w14:schemeClr w14:val="tx1"/>
            </w14:solidFill>
          </w14:textFill>
        </w:rPr>
      </w:pPr>
    </w:p>
    <w:p>
      <w:pPr>
        <w:pStyle w:val="24"/>
        <w:spacing w:line="360" w:lineRule="auto"/>
        <w:ind w:left="0" w:leftChars="0" w:firstLine="0" w:firstLineChars="0"/>
        <w:jc w:val="both"/>
        <w:outlineLvl w:val="1"/>
        <w:rPr>
          <w:rFonts w:hint="eastAsia" w:ascii="宋体" w:hAnsi="宋体" w:eastAsia="宋体" w:cs="宋体"/>
          <w:color w:val="000000" w:themeColor="text1"/>
          <w:sz w:val="24"/>
          <w14:textFill>
            <w14:solidFill>
              <w14:schemeClr w14:val="tx1"/>
            </w14:solidFill>
          </w14:textFill>
        </w:rPr>
      </w:pPr>
    </w:p>
    <w:p>
      <w:pPr>
        <w:spacing w:line="360" w:lineRule="auto"/>
        <w:jc w:val="left"/>
        <w:outlineLvl w:val="1"/>
        <w:rPr>
          <w:rFonts w:hint="eastAsia" w:ascii="宋体" w:hAnsi="宋体" w:cs="宋体"/>
          <w:b/>
          <w:color w:val="000000" w:themeColor="text1"/>
          <w:sz w:val="24"/>
          <w:highlight w:val="none"/>
          <w14:textFill>
            <w14:solidFill>
              <w14:schemeClr w14:val="tx1"/>
            </w14:solidFill>
          </w14:textFill>
        </w:rPr>
        <w:sectPr>
          <w:pgSz w:w="16781" w:h="11849" w:orient="landscape"/>
          <w:pgMar w:top="1080" w:right="1440" w:bottom="1080" w:left="1440" w:header="851" w:footer="850" w:gutter="0"/>
          <w:cols w:space="720" w:num="1"/>
          <w:formProt w:val="1"/>
          <w:titlePg/>
          <w:docGrid w:type="linesAndChars" w:linePitch="320" w:charSpace="269"/>
        </w:sectPr>
      </w:pPr>
    </w:p>
    <w:p>
      <w:pPr>
        <w:spacing w:line="360" w:lineRule="auto"/>
        <w:ind w:firstLine="3754" w:firstLineChars="1558"/>
        <w:jc w:val="left"/>
        <w:outlineLvl w:val="1"/>
        <w:rPr>
          <w:rFonts w:hint="eastAsia" w:ascii="宋体" w:hAnsi="宋体" w:cs="宋体"/>
          <w:b/>
          <w:color w:val="000000" w:themeColor="text1"/>
          <w:sz w:val="24"/>
          <w:highlight w:val="none"/>
          <w14:textFill>
            <w14:solidFill>
              <w14:schemeClr w14:val="tx1"/>
            </w14:solidFill>
          </w14:textFill>
        </w:rPr>
      </w:pPr>
    </w:p>
    <w:p>
      <w:pPr>
        <w:spacing w:line="360" w:lineRule="auto"/>
        <w:ind w:firstLine="3754" w:firstLineChars="1558"/>
        <w:jc w:val="left"/>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六</w:t>
      </w:r>
      <w:r>
        <w:rPr>
          <w:rFonts w:hint="eastAsia" w:ascii="宋体" w:hAnsi="宋体" w:cs="宋体"/>
          <w:b/>
          <w:color w:val="000000" w:themeColor="text1"/>
          <w:sz w:val="24"/>
          <w:highlight w:val="none"/>
          <w14:textFill>
            <w14:solidFill>
              <w14:schemeClr w14:val="tx1"/>
            </w14:solidFill>
          </w14:textFill>
        </w:rPr>
        <w:t>）、技术性能参数</w:t>
      </w:r>
    </w:p>
    <w:p>
      <w:pPr>
        <w:spacing w:line="360" w:lineRule="auto"/>
        <w:ind w:firstLine="241" w:firstLineChars="100"/>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应针对采购的</w:t>
      </w:r>
      <w:r>
        <w:rPr>
          <w:rFonts w:hint="eastAsia" w:ascii="宋体" w:hAnsi="宋体" w:cs="宋体"/>
          <w:b/>
          <w:color w:val="000000" w:themeColor="text1"/>
          <w:sz w:val="24"/>
          <w:highlight w:val="none"/>
          <w14:textFill>
            <w14:solidFill>
              <w14:schemeClr w14:val="tx1"/>
            </w14:solidFill>
          </w14:textFill>
        </w:rPr>
        <w:t>货物需求一览表及技术规格要求</w:t>
      </w:r>
      <w:r>
        <w:rPr>
          <w:rFonts w:hint="eastAsia" w:ascii="宋体" w:hAnsi="宋体" w:cs="宋体"/>
          <w:color w:val="000000" w:themeColor="text1"/>
          <w:sz w:val="24"/>
          <w:highlight w:val="none"/>
          <w14:textFill>
            <w14:solidFill>
              <w14:schemeClr w14:val="tx1"/>
            </w14:solidFill>
          </w14:textFill>
        </w:rPr>
        <w:t>进行详细的论述</w:t>
      </w: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pStyle w:val="7"/>
        <w:rPr>
          <w:rFonts w:hint="eastAsia" w:ascii="宋体" w:hAnsi="宋体" w:cs="宋体"/>
          <w:b/>
          <w:color w:val="000000" w:themeColor="text1"/>
          <w:kern w:val="0"/>
          <w:sz w:val="24"/>
          <w:highlight w:val="none"/>
          <w14:textFill>
            <w14:solidFill>
              <w14:schemeClr w14:val="tx1"/>
            </w14:solidFill>
          </w14:textFill>
        </w:rPr>
      </w:pPr>
    </w:p>
    <w:p>
      <w:pPr>
        <w:rPr>
          <w:rFonts w:hint="eastAsia"/>
          <w:color w:val="000000" w:themeColor="text1"/>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p>
    <w:p>
      <w:pPr>
        <w:pStyle w:val="7"/>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7"/>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7"/>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7"/>
        <w:rPr>
          <w:rFonts w:hint="eastAsia"/>
          <w:color w:val="000000" w:themeColor="text1"/>
          <w14:textFill>
            <w14:solidFill>
              <w14:schemeClr w14:val="tx1"/>
            </w14:solidFill>
          </w14:textFill>
        </w:rPr>
        <w:sectPr>
          <w:pgSz w:w="11849" w:h="16781"/>
          <w:pgMar w:top="1440" w:right="1080" w:bottom="1440" w:left="1080" w:header="851" w:footer="850" w:gutter="0"/>
          <w:cols w:space="720" w:num="1"/>
          <w:formProt w:val="1"/>
          <w:titlePg/>
          <w:docGrid w:type="linesAndChars" w:linePitch="320" w:charSpace="269"/>
        </w:sectPr>
      </w:pPr>
    </w:p>
    <w:p>
      <w:pPr>
        <w:pStyle w:val="8"/>
        <w:ind w:right="-553"/>
        <w:jc w:val="center"/>
        <w:outlineLvl w:val="1"/>
        <w:rPr>
          <w:rFonts w:hint="eastAsia" w:hAnsi="宋体" w:cs="宋体"/>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技 术 规 格 偏 离 表</w:t>
      </w:r>
    </w:p>
    <w:p>
      <w:pPr>
        <w:spacing w:line="360" w:lineRule="auto"/>
        <w:ind w:hanging="23"/>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项目编号：                                                    </w:t>
      </w:r>
    </w:p>
    <w:tbl>
      <w:tblPr>
        <w:tblStyle w:val="14"/>
        <w:tblW w:w="0" w:type="auto"/>
        <w:jc w:val="center"/>
        <w:tblLayout w:type="fixed"/>
        <w:tblCellMar>
          <w:top w:w="0" w:type="dxa"/>
          <w:left w:w="108" w:type="dxa"/>
          <w:bottom w:w="0" w:type="dxa"/>
          <w:right w:w="108" w:type="dxa"/>
        </w:tblCellMar>
      </w:tblPr>
      <w:tblGrid>
        <w:gridCol w:w="918"/>
        <w:gridCol w:w="3762"/>
        <w:gridCol w:w="4500"/>
        <w:gridCol w:w="4860"/>
      </w:tblGrid>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招标规格</w:t>
            </w:r>
          </w:p>
        </w:tc>
        <w:tc>
          <w:tcPr>
            <w:tcW w:w="45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投标规格</w:t>
            </w:r>
          </w:p>
        </w:tc>
        <w:tc>
          <w:tcPr>
            <w:tcW w:w="48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   注</w:t>
            </w: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5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8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5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8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5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8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5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8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5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8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5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8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5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8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5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8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5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48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bl>
    <w:p>
      <w:pPr>
        <w:spacing w:line="360" w:lineRule="auto"/>
        <w:ind w:firstLine="9520"/>
        <w:rPr>
          <w:rFonts w:hint="eastAsia" w:ascii="宋体" w:hAnsi="宋体" w:cs="宋体"/>
          <w:color w:val="000000" w:themeColor="text1"/>
          <w:kern w:val="0"/>
          <w:sz w:val="24"/>
          <w:highlight w:val="none"/>
          <w14:textFill>
            <w14:solidFill>
              <w14:schemeClr w14:val="tx1"/>
            </w14:solidFill>
          </w14:textFill>
        </w:rPr>
      </w:pPr>
    </w:p>
    <w:p>
      <w:pPr>
        <w:spacing w:line="360" w:lineRule="auto"/>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（盖单位章）</w:t>
      </w:r>
    </w:p>
    <w:p>
      <w:pPr>
        <w:spacing w:line="360" w:lineRule="auto"/>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法定代表或委托代理人：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（签章）</w:t>
      </w:r>
    </w:p>
    <w:p>
      <w:pPr>
        <w:spacing w:line="360" w:lineRule="auto"/>
        <w:jc w:val="right"/>
        <w:rPr>
          <w:rFonts w:hint="eastAsia"/>
          <w:color w:val="000000" w:themeColor="text1"/>
          <w14:textFill>
            <w14:solidFill>
              <w14:schemeClr w14:val="tx1"/>
            </w14:solidFill>
          </w14:textFill>
        </w:rPr>
        <w:sectPr>
          <w:pgSz w:w="16781" w:h="11849" w:orient="landscape"/>
          <w:pgMar w:top="1080" w:right="1440" w:bottom="1080" w:left="1440" w:header="851" w:footer="850" w:gutter="0"/>
          <w:cols w:space="720" w:num="1"/>
          <w:formProt w:val="1"/>
          <w:titlePg/>
          <w:docGrid w:type="linesAndChars" w:linePitch="320" w:charSpace="269"/>
        </w:sect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w:t>
      </w:r>
    </w:p>
    <w:p>
      <w:pPr>
        <w:spacing w:line="360" w:lineRule="auto"/>
        <w:outlineLvl w:val="1"/>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w:t>
      </w:r>
      <w:r>
        <w:rPr>
          <w:rFonts w:hint="eastAsia" w:ascii="宋体" w:hAnsi="宋体" w:cs="宋体"/>
          <w:b/>
          <w:color w:val="000000" w:themeColor="text1"/>
          <w:kern w:val="0"/>
          <w:sz w:val="24"/>
          <w:highlight w:val="none"/>
          <w:lang w:val="en-US" w:eastAsia="zh-CN"/>
          <w14:textFill>
            <w14:solidFill>
              <w14:schemeClr w14:val="tx1"/>
            </w14:solidFill>
          </w14:textFill>
        </w:rPr>
        <w:t>七</w:t>
      </w:r>
      <w:r>
        <w:rPr>
          <w:rFonts w:hint="eastAsia" w:ascii="宋体" w:hAnsi="宋体" w:cs="宋体"/>
          <w:b/>
          <w:color w:val="000000" w:themeColor="text1"/>
          <w:kern w:val="0"/>
          <w:sz w:val="24"/>
          <w:highlight w:val="none"/>
          <w14:textFill>
            <w14:solidFill>
              <w14:schemeClr w14:val="tx1"/>
            </w14:solidFill>
          </w14:textFill>
        </w:rPr>
        <w:t>）、资格审查资料</w:t>
      </w:r>
    </w:p>
    <w:p>
      <w:pPr>
        <w:autoSpaceDE w:val="0"/>
        <w:autoSpaceDN w:val="0"/>
        <w:adjustRightInd w:val="0"/>
        <w:spacing w:line="360" w:lineRule="auto"/>
        <w:jc w:val="center"/>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（１）投标人基本情况表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1009"/>
        <w:gridCol w:w="283"/>
        <w:gridCol w:w="1078"/>
        <w:gridCol w:w="906"/>
        <w:gridCol w:w="537"/>
        <w:gridCol w:w="1402"/>
        <w:gridCol w:w="294"/>
        <w:gridCol w:w="798"/>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71"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p>
        </w:tc>
        <w:tc>
          <w:tcPr>
            <w:tcW w:w="7900" w:type="dxa"/>
            <w:gridSpan w:val="9"/>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71"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注册地址</w:t>
            </w:r>
          </w:p>
        </w:tc>
        <w:tc>
          <w:tcPr>
            <w:tcW w:w="3813" w:type="dxa"/>
            <w:gridSpan w:val="5"/>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402"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w:t>
            </w:r>
          </w:p>
        </w:tc>
        <w:tc>
          <w:tcPr>
            <w:tcW w:w="2685" w:type="dxa"/>
            <w:gridSpan w:val="3"/>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71" w:type="dxa"/>
            <w:vMerge w:val="restart"/>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联系方式</w:t>
            </w:r>
          </w:p>
        </w:tc>
        <w:tc>
          <w:tcPr>
            <w:tcW w:w="1292"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2521" w:type="dxa"/>
            <w:gridSpan w:val="3"/>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402"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  话</w:t>
            </w:r>
          </w:p>
        </w:tc>
        <w:tc>
          <w:tcPr>
            <w:tcW w:w="2685" w:type="dxa"/>
            <w:gridSpan w:val="3"/>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671" w:type="dxa"/>
            <w:vMerge w:val="continue"/>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292"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w:t>
            </w:r>
          </w:p>
        </w:tc>
        <w:tc>
          <w:tcPr>
            <w:tcW w:w="2521" w:type="dxa"/>
            <w:gridSpan w:val="3"/>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402"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网  址</w:t>
            </w:r>
          </w:p>
        </w:tc>
        <w:tc>
          <w:tcPr>
            <w:tcW w:w="2685" w:type="dxa"/>
            <w:gridSpan w:val="3"/>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组织结构</w:t>
            </w:r>
          </w:p>
        </w:tc>
        <w:tc>
          <w:tcPr>
            <w:tcW w:w="7900" w:type="dxa"/>
            <w:gridSpan w:val="9"/>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w:t>
            </w:r>
          </w:p>
        </w:tc>
        <w:tc>
          <w:tcPr>
            <w:tcW w:w="1009"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p>
        </w:tc>
        <w:tc>
          <w:tcPr>
            <w:tcW w:w="1361"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443"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技术职称</w:t>
            </w:r>
          </w:p>
        </w:tc>
        <w:tc>
          <w:tcPr>
            <w:tcW w:w="1696"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798"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tc>
        <w:tc>
          <w:tcPr>
            <w:tcW w:w="1593"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技术负责人</w:t>
            </w:r>
          </w:p>
        </w:tc>
        <w:tc>
          <w:tcPr>
            <w:tcW w:w="1009"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p>
        </w:tc>
        <w:tc>
          <w:tcPr>
            <w:tcW w:w="1361"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443"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技术职称</w:t>
            </w:r>
          </w:p>
        </w:tc>
        <w:tc>
          <w:tcPr>
            <w:tcW w:w="1696"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798"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tc>
        <w:tc>
          <w:tcPr>
            <w:tcW w:w="1593"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成立时间</w:t>
            </w:r>
          </w:p>
        </w:tc>
        <w:tc>
          <w:tcPr>
            <w:tcW w:w="2370" w:type="dxa"/>
            <w:gridSpan w:val="3"/>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5530" w:type="dxa"/>
            <w:gridSpan w:val="6"/>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企业资质等级</w:t>
            </w:r>
          </w:p>
        </w:tc>
        <w:tc>
          <w:tcPr>
            <w:tcW w:w="1009"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361"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906" w:type="dxa"/>
            <w:vMerge w:val="restart"/>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其中</w:t>
            </w:r>
          </w:p>
        </w:tc>
        <w:tc>
          <w:tcPr>
            <w:tcW w:w="2233" w:type="dxa"/>
            <w:gridSpan w:val="3"/>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w:t>
            </w:r>
          </w:p>
        </w:tc>
        <w:tc>
          <w:tcPr>
            <w:tcW w:w="2391"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营业执照号</w:t>
            </w:r>
          </w:p>
        </w:tc>
        <w:tc>
          <w:tcPr>
            <w:tcW w:w="1009"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361"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906" w:type="dxa"/>
            <w:vMerge w:val="continue"/>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2233" w:type="dxa"/>
            <w:gridSpan w:val="3"/>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高级职称人员</w:t>
            </w:r>
          </w:p>
        </w:tc>
        <w:tc>
          <w:tcPr>
            <w:tcW w:w="2391"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注册资金</w:t>
            </w:r>
          </w:p>
        </w:tc>
        <w:tc>
          <w:tcPr>
            <w:tcW w:w="1009"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361"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906" w:type="dxa"/>
            <w:vMerge w:val="continue"/>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2233" w:type="dxa"/>
            <w:gridSpan w:val="3"/>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中级职称人员</w:t>
            </w:r>
          </w:p>
        </w:tc>
        <w:tc>
          <w:tcPr>
            <w:tcW w:w="2391"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671"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w:t>
            </w:r>
          </w:p>
        </w:tc>
        <w:tc>
          <w:tcPr>
            <w:tcW w:w="1009"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361"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906" w:type="dxa"/>
            <w:vMerge w:val="continue"/>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2233" w:type="dxa"/>
            <w:gridSpan w:val="3"/>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初级职称人员</w:t>
            </w:r>
          </w:p>
        </w:tc>
        <w:tc>
          <w:tcPr>
            <w:tcW w:w="2391"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671"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账号</w:t>
            </w:r>
          </w:p>
        </w:tc>
        <w:tc>
          <w:tcPr>
            <w:tcW w:w="1009"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361"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906" w:type="dxa"/>
            <w:vMerge w:val="continue"/>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2233" w:type="dxa"/>
            <w:gridSpan w:val="3"/>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  工</w:t>
            </w:r>
          </w:p>
        </w:tc>
        <w:tc>
          <w:tcPr>
            <w:tcW w:w="2391" w:type="dxa"/>
            <w:gridSpan w:val="2"/>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1"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经营范围</w:t>
            </w:r>
          </w:p>
        </w:tc>
        <w:tc>
          <w:tcPr>
            <w:tcW w:w="7900" w:type="dxa"/>
            <w:gridSpan w:val="9"/>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c>
          <w:tcPr>
            <w:tcW w:w="7900" w:type="dxa"/>
            <w:gridSpan w:val="9"/>
            <w:noWrap w:val="0"/>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p>
        </w:tc>
      </w:tr>
    </w:tbl>
    <w:p>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备注：本表后应附企业法人营业执照及其年检合格的证明材料等材料的复印件。</w:t>
      </w:r>
    </w:p>
    <w:p>
      <w:pPr>
        <w:spacing w:line="360" w:lineRule="auto"/>
        <w:rPr>
          <w:rFonts w:hint="eastAsia" w:ascii="宋体" w:hAnsi="宋体" w:cs="宋体"/>
          <w:color w:val="000000" w:themeColor="text1"/>
          <w:sz w:val="24"/>
          <w:highlight w:val="none"/>
          <w14:textFill>
            <w14:solidFill>
              <w14:schemeClr w14:val="tx1"/>
            </w14:solidFill>
          </w14:textFill>
        </w:rPr>
      </w:pPr>
    </w:p>
    <w:p>
      <w:pPr>
        <w:spacing w:before="160" w:beforeLines="50" w:after="160" w:afterLines="50" w:line="360" w:lineRule="auto"/>
        <w:jc w:val="both"/>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（2）企业其他信誉情况表</w:t>
      </w:r>
    </w:p>
    <w:p>
      <w:pPr>
        <w:spacing w:line="360" w:lineRule="auto"/>
        <w:ind w:left="724" w:hanging="723" w:hanging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1）近三年企业不良行为记录情况</w:t>
      </w:r>
    </w:p>
    <w:p>
      <w:pPr>
        <w:spacing w:line="360" w:lineRule="auto"/>
        <w:ind w:left="724" w:hanging="723" w:hanging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2）在供货以及近年已完成供货合同履行情况</w:t>
      </w:r>
    </w:p>
    <w:p>
      <w:pPr>
        <w:spacing w:line="360" w:lineRule="auto"/>
        <w:ind w:left="724" w:hanging="723" w:hanging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3）其  他</w:t>
      </w:r>
    </w:p>
    <w:p>
      <w:pPr>
        <w:spacing w:line="360" w:lineRule="auto"/>
        <w:ind w:left="724" w:hanging="723" w:hangingChars="300"/>
        <w:rPr>
          <w:rFonts w:hint="eastAsia" w:ascii="宋体" w:hAnsi="宋体" w:cs="宋体"/>
          <w:color w:val="000000" w:themeColor="text1"/>
          <w:sz w:val="24"/>
          <w:highlight w:val="none"/>
          <w14:textFill>
            <w14:solidFill>
              <w14:schemeClr w14:val="tx1"/>
            </w14:solidFill>
          </w14:textFill>
        </w:rPr>
      </w:pPr>
    </w:p>
    <w:p>
      <w:pPr>
        <w:pStyle w:val="7"/>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numPr>
          <w:ilvl w:val="0"/>
          <w:numId w:val="0"/>
        </w:numPr>
        <w:autoSpaceDE w:val="0"/>
        <w:autoSpaceDN w:val="0"/>
        <w:adjustRightInd w:val="0"/>
        <w:snapToGrid w:val="0"/>
        <w:spacing w:line="360" w:lineRule="auto"/>
        <w:jc w:val="center"/>
        <w:outlineLvl w:val="1"/>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lang w:val="en-US" w:eastAsia="zh-CN"/>
          <w14:textFill>
            <w14:solidFill>
              <w14:schemeClr w14:val="tx1"/>
            </w14:solidFill>
          </w14:textFill>
        </w:rPr>
        <w:t>八</w:t>
      </w:r>
      <w:r>
        <w:rPr>
          <w:rFonts w:hint="eastAsia" w:ascii="宋体" w:hAnsi="宋体" w:cs="宋体"/>
          <w:b/>
          <w:color w:val="000000" w:themeColor="text1"/>
          <w:kern w:val="0"/>
          <w:sz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、其他材料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b/>
          <w:color w:val="000000" w:themeColor="text1"/>
          <w:kern w:val="0"/>
          <w:sz w:val="24"/>
          <w:lang w:val="en-US" w:eastAsia="zh-CN"/>
          <w14:textFill>
            <w14:solidFill>
              <w14:schemeClr w14:val="tx1"/>
            </w14:solidFill>
          </w14:textFill>
        </w:rPr>
      </w:pPr>
      <w:r>
        <w:rPr>
          <w:rFonts w:hint="eastAsia" w:ascii="宋体" w:hAnsi="宋体" w:cs="宋体"/>
          <w:b/>
          <w:bCs/>
          <w:color w:val="000000" w:themeColor="text1"/>
          <w:kern w:val="0"/>
          <w:sz w:val="28"/>
          <w:szCs w:val="18"/>
          <w:lang w:val="en-US" w:eastAsia="zh-CN" w:bidi="ar-SA"/>
          <w14:textFill>
            <w14:solidFill>
              <w14:schemeClr w14:val="tx1"/>
            </w14:solidFill>
          </w14:textFill>
        </w:rPr>
        <w:t>（</w:t>
      </w:r>
      <w:r>
        <w:rPr>
          <w:rFonts w:hint="eastAsia" w:ascii="宋体" w:hAnsi="宋体" w:eastAsia="宋体" w:cs="宋体"/>
          <w:b/>
          <w:color w:val="000000" w:themeColor="text1"/>
          <w:kern w:val="0"/>
          <w:sz w:val="24"/>
          <w:lang w:val="en-US" w:eastAsia="zh-CN"/>
          <w14:textFill>
            <w14:solidFill>
              <w14:schemeClr w14:val="tx1"/>
            </w14:solidFill>
          </w14:textFill>
        </w:rPr>
        <w:t>提供近三年的财务审计报告（成立不足三年的提供成立至今的财务审计报告，成立不足一年的提供成立至今的财务报表，包含资产负债表、现金流量表、利润表及财务状况总说明）；近六个月（连续）的社保证明（需有相关人员的社保缴纳明细，退休人员需提供退休证明）和完税证明；“信用中国”网站和国家企业信用公示报告、中国政府采购网未列入失信被执行人、重大税收违法案件当事人名单、政府采购严重违法失信行为记录名单的（尚在处罚期内的）、经营异常名录的的查询结果的截图。）</w:t>
      </w:r>
    </w:p>
    <w:p>
      <w:pPr>
        <w:autoSpaceDE w:val="0"/>
        <w:autoSpaceDN w:val="0"/>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p>
    <w:p>
      <w:pPr>
        <w:pStyle w:val="7"/>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7"/>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7"/>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7"/>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7"/>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7"/>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7"/>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7"/>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7"/>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7"/>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7"/>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7"/>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7"/>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7"/>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7"/>
        <w:rPr>
          <w:rFonts w:hint="eastAsia" w:ascii="宋体" w:hAnsi="宋体" w:cs="宋体"/>
          <w:color w:val="000000" w:themeColor="text1"/>
          <w:sz w:val="24"/>
          <w:highlight w:val="none"/>
          <w14:textFill>
            <w14:solidFill>
              <w14:schemeClr w14:val="tx1"/>
            </w14:solidFill>
          </w14:textFill>
        </w:rPr>
      </w:pPr>
    </w:p>
    <w:p>
      <w:pPr>
        <w:rPr>
          <w:rFonts w:hint="eastAsia" w:ascii="宋体" w:hAnsi="宋体" w:cs="宋体"/>
          <w:color w:val="000000" w:themeColor="text1"/>
          <w:sz w:val="24"/>
          <w:highlight w:val="none"/>
          <w14:textFill>
            <w14:solidFill>
              <w14:schemeClr w14:val="tx1"/>
            </w14:solidFill>
          </w14:textFill>
        </w:rPr>
      </w:pPr>
    </w:p>
    <w:p>
      <w:pPr>
        <w:pStyle w:val="7"/>
        <w:rPr>
          <w:rFonts w:hint="eastAsia" w:ascii="宋体" w:hAnsi="宋体" w:cs="宋体"/>
          <w:color w:val="000000" w:themeColor="text1"/>
          <w:sz w:val="24"/>
          <w:highlight w:val="none"/>
          <w14:textFill>
            <w14:solidFill>
              <w14:schemeClr w14:val="tx1"/>
            </w14:solidFill>
          </w14:textFill>
        </w:rPr>
      </w:pPr>
    </w:p>
    <w:p>
      <w:pPr>
        <w:keepNext w:val="0"/>
        <w:keepLines w:val="0"/>
        <w:widowControl/>
        <w:suppressLineNumbers w:val="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kern w:val="0"/>
          <w:sz w:val="36"/>
          <w:szCs w:val="36"/>
          <w:lang w:val="en-US" w:eastAsia="zh-CN" w:bidi="ar"/>
          <w14:textFill>
            <w14:solidFill>
              <w14:schemeClr w14:val="tx1"/>
            </w14:solidFill>
          </w14:textFill>
        </w:rPr>
        <w:t>中小企业声明函</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本公司（联合</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体）郑重声明，根据《政府采购促进中小企业发展管理办法》（财库﹝2020﹞46号）的规定，本公司（联合体）参加</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（单位名称）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的</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（项目名称）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 xml:space="preserve">采购活动，提供的货物全部由符合政策要求的中小企业制造。相关企业（含联合体中的中小企业、签订分包意向协议的中小企业）的具体情况如下：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（标的名称）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，属于</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（采购文件中明确的所属行业）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行业；制造商为</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（企业名称）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，从业人员</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人，营业收入为</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万元，资产总额为</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万元</w:t>
      </w:r>
      <w:r>
        <w:rPr>
          <w:rFonts w:hint="eastAsia" w:ascii="宋体" w:hAnsi="宋体" w:eastAsia="宋体" w:cs="宋体"/>
          <w:i w:val="0"/>
          <w:iCs w:val="0"/>
          <w:color w:val="000000" w:themeColor="text1"/>
          <w:kern w:val="0"/>
          <w:sz w:val="24"/>
          <w:szCs w:val="24"/>
          <w:vertAlign w:val="superscript"/>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，属于</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（中型企业、小型企业、微型企业）</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 xml:space="preserve">；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40" w:lineRule="exact"/>
        <w:ind w:left="0" w:leftChars="0" w:firstLine="482" w:firstLineChars="200"/>
        <w:jc w:val="left"/>
        <w:textAlignment w:val="auto"/>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（标的名称）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，属于</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（采购文件中明确的所属行业）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行业；制造商为</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（企业名称）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，从业人员</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人，营业收入为</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万元，资产总额为</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万元</w:t>
      </w:r>
      <w:r>
        <w:rPr>
          <w:rFonts w:hint="eastAsia" w:ascii="宋体" w:hAnsi="宋体" w:eastAsia="宋体" w:cs="宋体"/>
          <w:i w:val="0"/>
          <w:iCs w:val="0"/>
          <w:color w:val="000000" w:themeColor="text1"/>
          <w:kern w:val="0"/>
          <w:sz w:val="24"/>
          <w:szCs w:val="24"/>
          <w:vertAlign w:val="superscript"/>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，属于</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（中型企业、小型企业、微型企业）</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200"/>
        <w:jc w:val="left"/>
        <w:textAlignment w:val="auto"/>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以上企业，不属于大企业的分支机构，不存在控股股东为大企业的情形，也不存在与大企业的负责人为同一人的情形。</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0" w:firstLineChars="2000"/>
        <w:jc w:val="left"/>
        <w:textAlignment w:val="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 xml:space="preserve">企业名称（盖章）：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0" w:firstLineChars="2000"/>
        <w:jc w:val="left"/>
        <w:textAlignment w:val="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 xml:space="preserve">日 期： </w:t>
      </w:r>
    </w:p>
    <w:p>
      <w:pPr>
        <w:rPr>
          <w:rFonts w:hint="eastAsia" w:ascii="宋体" w:hAnsi="宋体" w:eastAsia="宋体" w:cs="宋体"/>
          <w:color w:val="000000" w:themeColor="text1"/>
          <w14:textFill>
            <w14:solidFill>
              <w14:schemeClr w14:val="tx1"/>
            </w14:solidFill>
          </w14:textFill>
        </w:rPr>
      </w:pPr>
    </w:p>
    <w:p>
      <w:pPr>
        <w:tabs>
          <w:tab w:val="left" w:pos="5805"/>
        </w:tabs>
        <w:spacing w:line="450" w:lineRule="atLeast"/>
        <w:ind w:left="500" w:hanging="422" w:hangingChars="200"/>
        <w:rPr>
          <w:rFonts w:hint="eastAsia" w:ascii="宋体" w:hAnsi="宋体" w:eastAsia="宋体" w:cs="宋体"/>
          <w:i w:val="0"/>
          <w:iCs w:val="0"/>
          <w:color w:val="000000" w:themeColor="text1"/>
          <w:szCs w:val="21"/>
          <w:highlight w:val="none"/>
          <w14:textFill>
            <w14:solidFill>
              <w14:schemeClr w14:val="tx1"/>
            </w14:solidFill>
          </w14:textFill>
        </w:rPr>
      </w:pPr>
    </w:p>
    <w:p>
      <w:pPr>
        <w:pStyle w:val="7"/>
        <w:rPr>
          <w:rFonts w:hint="eastAsia" w:ascii="宋体" w:hAnsi="宋体" w:cs="宋体"/>
          <w:color w:val="000000" w:themeColor="text1"/>
          <w:sz w:val="24"/>
          <w:highlight w:val="none"/>
          <w14:textFill>
            <w14:solidFill>
              <w14:schemeClr w14:val="tx1"/>
            </w14:solidFill>
          </w14:textFill>
        </w:rPr>
      </w:pPr>
    </w:p>
    <w:p>
      <w:pPr>
        <w:pStyle w:val="7"/>
        <w:rPr>
          <w:rFonts w:hint="eastAsia"/>
          <w:color w:val="000000" w:themeColor="text1"/>
          <w14:textFill>
            <w14:solidFill>
              <w14:schemeClr w14:val="tx1"/>
            </w14:solidFill>
          </w14:textFill>
        </w:rPr>
      </w:pPr>
    </w:p>
    <w:p>
      <w:pPr>
        <w:rPr>
          <w:color w:val="000000" w:themeColor="text1"/>
          <w14:textFill>
            <w14:solidFill>
              <w14:schemeClr w14:val="tx1"/>
            </w14:solidFill>
          </w14:textFill>
        </w:rPr>
      </w:pPr>
    </w:p>
    <w:sectPr>
      <w:pgSz w:w="11849" w:h="16781"/>
      <w:pgMar w:top="1440" w:right="1080" w:bottom="1440" w:left="1080" w:header="851" w:footer="850" w:gutter="0"/>
      <w:cols w:space="720" w:num="1"/>
      <w:formProt w:val="1"/>
      <w:titlePg/>
      <w:docGrid w:type="linesAndChars" w:linePitch="320" w:charSpace="2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otum">
    <w:panose1 w:val="020B0600000101010101"/>
    <w:charset w:val="81"/>
    <w:family w:val="swiss"/>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fldChar w:fldCharType="begin"/>
    </w:r>
    <w:r>
      <w:rPr>
        <w:rStyle w:val="18"/>
      </w:rPr>
      <w:instrText xml:space="preserve">PAGE  </w:instrText>
    </w:r>
    <w:r>
      <w:fldChar w:fldCharType="separate"/>
    </w:r>
    <w:r>
      <w:rPr>
        <w:rStyle w:val="18"/>
      </w:rPr>
      <w:t>27</w: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ZKMrXAQAAsQ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VOyyMsw4yROU+/JiuN+nInu&#10;XXdGngMuREst7j8l+oNFvdPuLEZYjP1iHH1Qhx5bXufq4N8eIzaXe04VJljkmhycZGY9b11alb/9&#10;nPX4p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2GSjK1wEAALEDAAAOAAAAAAAAAAEA&#10;IAAAACIBAABkcnMvZTJvRG9jLnhtbFBLBQYAAAAABgAGAFkBAABrBQAAAAA=&#10;">
              <v:fill on="f" focussize="0,0"/>
              <v:stroke on="f" weight="1.25pt"/>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oeptLX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YcjL3N38B8OEYfLM6cOIyxyTQ6+ZGY9bV1alad+&#10;rnr80z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KHqbS1wEAALEDAAAOAAAAAAAAAAEA&#10;IAAAACIBAABkcnMvZTJvRG9jLnhtbFBLBQYAAAAABgAGAFkBAABrBQAAAAA=&#10;">
              <v:fill on="f" focussize="0,0"/>
              <v:stroke on="f" weight="1.25pt"/>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pPr>
      <w:pStyle w:val="9"/>
      <w:ind w:right="360"/>
      <w:jc w:val="cente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XB+/zSAQAAowMAAA4AAABkcnMvZTJvRG9jLnhtbK1TzY7TMBC+&#10;I/EOlu80aVc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cH7/NIBAACjAwAADgAAAAAAAAABACAAAAAi&#10;AQAAZHJzL2Uyb0RvYy54bWxQSwUGAAAAAAYABgBZAQAAZgUAAAAA&#10;">
              <v:fill on="f" focussize="0,0"/>
              <v:stroke on="f" weight="1.25pt"/>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xfV+LSAQAAowMAAA4AAABkcnMvZTJvRG9jLnhtbK1TzY7TMBC+&#10;I/EOlu80abU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F9X4tIBAACjAwAADgAAAAAAAAABACAAAAAi&#10;AQAAZHJzL2Uyb0RvYy54bWxQSwUGAAAAAAYABgBZAQAAZgUAAAAA&#10;">
              <v:fill on="f" focussize="0,0"/>
              <v:stroke on="f" weight="1.25pt"/>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pPr>
      <w:pStyle w:val="9"/>
      <w:ind w:right="360"/>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7CBEAC"/>
    <w:multiLevelType w:val="singleLevel"/>
    <w:tmpl w:val="E17CBEAC"/>
    <w:lvl w:ilvl="0" w:tentative="0">
      <w:start w:val="1"/>
      <w:numFmt w:val="decimal"/>
      <w:suff w:val="space"/>
      <w:lvlText w:val="%1."/>
      <w:lvlJc w:val="left"/>
    </w:lvl>
  </w:abstractNum>
  <w:abstractNum w:abstractNumId="1">
    <w:nsid w:val="ED7C9321"/>
    <w:multiLevelType w:val="singleLevel"/>
    <w:tmpl w:val="ED7C9321"/>
    <w:lvl w:ilvl="0" w:tentative="0">
      <w:start w:val="4"/>
      <w:numFmt w:val="chineseCounting"/>
      <w:suff w:val="space"/>
      <w:lvlText w:val="第%1章"/>
      <w:lvlJc w:val="left"/>
      <w:rPr>
        <w:rFonts w:hint="eastAsia"/>
      </w:rPr>
    </w:lvl>
  </w:abstractNum>
  <w:abstractNum w:abstractNumId="2">
    <w:nsid w:val="0000000D"/>
    <w:multiLevelType w:val="multilevel"/>
    <w:tmpl w:val="0000000D"/>
    <w:lvl w:ilvl="0" w:tentative="0">
      <w:start w:val="1"/>
      <w:numFmt w:val="decimal"/>
      <w:lvlText w:val="%1."/>
      <w:lvlJc w:val="left"/>
      <w:pPr>
        <w:tabs>
          <w:tab w:val="left" w:pos="300"/>
        </w:tabs>
        <w:ind w:left="300" w:hanging="300"/>
      </w:pPr>
      <w:rPr>
        <w:rFonts w:hint="eastAsia"/>
      </w:rPr>
    </w:lvl>
    <w:lvl w:ilvl="1" w:tentative="0">
      <w:start w:val="1"/>
      <w:numFmt w:val="decimal"/>
      <w:isLgl/>
      <w:lvlText w:val="%1.%2._x0003_._x0004_._x0005_._x0006_._x0007_._x0008_."/>
      <w:lvlJc w:val="left"/>
      <w:pPr>
        <w:tabs>
          <w:tab w:val="left" w:pos="3900"/>
        </w:tabs>
        <w:ind w:left="3900" w:hanging="3600"/>
      </w:pPr>
      <w:rPr>
        <w:rFonts w:hint="eastAsia"/>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decimal"/>
      <w:isLgl/>
      <w:lvlText w:val="%1.%2.%4.%5.%6.%7.%8.%9."/>
      <w:lvlJc w:val="left"/>
      <w:pPr>
        <w:tabs>
          <w:tab w:val="left" w:pos="5280"/>
        </w:tabs>
        <w:ind w:left="5280" w:hanging="2880"/>
      </w:pPr>
      <w:rPr>
        <w:rFonts w:hint="eastAsia"/>
      </w:rPr>
    </w:lvl>
  </w:abstractNum>
  <w:abstractNum w:abstractNumId="3">
    <w:nsid w:val="00000013"/>
    <w:multiLevelType w:val="multilevel"/>
    <w:tmpl w:val="00000013"/>
    <w:lvl w:ilvl="0" w:tentative="0">
      <w:start w:val="8"/>
      <w:numFmt w:val="decimal"/>
      <w:lvlText w:val=""/>
      <w:lvlJc w:val="left"/>
      <w:pPr>
        <w:tabs>
          <w:tab w:val="left" w:pos="360"/>
        </w:tabs>
        <w:ind w:left="360" w:hanging="360"/>
      </w:pPr>
      <w:rPr>
        <w:rFonts w:hint="default" w:ascii="Times New Roman"/>
      </w:rPr>
    </w:lvl>
    <w:lvl w:ilvl="1" w:tentative="0">
      <w:start w:val="1"/>
      <w:numFmt w:val="decimal"/>
      <w:isLgl/>
      <w:lvlText w:val="%1.%2._x0003_._x0004_._x0005_._x0006_._x0007_._x0008_."/>
      <w:lvlJc w:val="left"/>
      <w:pPr>
        <w:tabs>
          <w:tab w:val="left" w:pos="3900"/>
        </w:tabs>
        <w:ind w:left="3900" w:hanging="3600"/>
      </w:pPr>
      <w:rPr>
        <w:rFonts w:hint="eastAsia"/>
      </w:r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1"/>
      <w:numFmt w:val="decimal"/>
      <w:isLgl/>
      <w:lvlText w:val="%1.%2.%4.%5.%6.%7.%8.%9."/>
      <w:lvlJc w:val="left"/>
      <w:pPr>
        <w:tabs>
          <w:tab w:val="left" w:pos="5280"/>
        </w:tabs>
        <w:ind w:left="5280" w:hanging="2880"/>
      </w:pPr>
      <w:rPr>
        <w:rFonts w:hint="eastAsia"/>
      </w:rPr>
    </w:lvl>
  </w:abstractNum>
  <w:abstractNum w:abstractNumId="4">
    <w:nsid w:val="00E8B9D2"/>
    <w:multiLevelType w:val="singleLevel"/>
    <w:tmpl w:val="00E8B9D2"/>
    <w:lvl w:ilvl="0" w:tentative="0">
      <w:start w:val="1"/>
      <w:numFmt w:val="chineseCounting"/>
      <w:suff w:val="space"/>
      <w:lvlText w:val="第%1章"/>
      <w:lvlJc w:val="left"/>
      <w:rPr>
        <w:rFonts w:hint="eastAsia"/>
      </w:rPr>
    </w:lvl>
  </w:abstractNum>
  <w:abstractNum w:abstractNumId="5">
    <w:nsid w:val="421C77E4"/>
    <w:multiLevelType w:val="singleLevel"/>
    <w:tmpl w:val="421C77E4"/>
    <w:lvl w:ilvl="0" w:tentative="0">
      <w:start w:val="2"/>
      <w:numFmt w:val="chineseCounting"/>
      <w:suff w:val="nothing"/>
      <w:lvlText w:val="（%1）"/>
      <w:lvlJc w:val="left"/>
      <w:rPr>
        <w:rFonts w:hint="eastAsia"/>
      </w:rPr>
    </w:lvl>
  </w:abstractNum>
  <w:abstractNum w:abstractNumId="6">
    <w:nsid w:val="59E084C5"/>
    <w:multiLevelType w:val="singleLevel"/>
    <w:tmpl w:val="59E084C5"/>
    <w:lvl w:ilvl="0" w:tentative="0">
      <w:start w:val="1"/>
      <w:numFmt w:val="decimal"/>
      <w:suff w:val="nothing"/>
      <w:lvlText w:val="（%1）"/>
      <w:lvlJc w:val="left"/>
    </w:lvl>
  </w:abstractNum>
  <w:num w:numId="1">
    <w:abstractNumId w:val="4"/>
  </w:num>
  <w:num w:numId="2">
    <w:abstractNumId w:val="5"/>
  </w:num>
  <w:num w:numId="3">
    <w:abstractNumId w:val="6"/>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dit="readOnly" w:enforcement="1" w:cryptProviderType="rsaFull" w:cryptAlgorithmClass="hash" w:cryptAlgorithmType="typeAny" w:cryptAlgorithmSid="4" w:cryptSpinCount="0" w:hash="0KyH8Ze48NjZCemrxsl/F691JWI=" w:salt="TED1223qR+hsjBb/kBARO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iYzkxNjY5NDY3MTdjN2Y0YTdlYWQ5YjY5YzIyNDAifQ=="/>
  </w:docVars>
  <w:rsids>
    <w:rsidRoot w:val="00FB322F"/>
    <w:rsid w:val="00FB322F"/>
    <w:rsid w:val="0555553E"/>
    <w:rsid w:val="08D9091A"/>
    <w:rsid w:val="0D7A124C"/>
    <w:rsid w:val="14201051"/>
    <w:rsid w:val="19570026"/>
    <w:rsid w:val="1981642E"/>
    <w:rsid w:val="2A122468"/>
    <w:rsid w:val="2D1E1B59"/>
    <w:rsid w:val="33F23FC7"/>
    <w:rsid w:val="3A6F6608"/>
    <w:rsid w:val="3F355C70"/>
    <w:rsid w:val="58E80082"/>
    <w:rsid w:val="5B353327"/>
    <w:rsid w:val="71D95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480" w:lineRule="auto"/>
      <w:jc w:val="center"/>
      <w:outlineLvl w:val="0"/>
    </w:pPr>
    <w:rPr>
      <w:rFonts w:eastAsia="黑体"/>
      <w:bCs/>
      <w:kern w:val="44"/>
      <w:sz w:val="36"/>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00" w:beforeLines="0" w:beforeAutospacing="1" w:after="100" w:afterLines="0" w:afterAutospacing="1" w:line="360" w:lineRule="auto"/>
      <w:ind w:firstLine="482"/>
    </w:pPr>
    <w:rPr>
      <w:rFonts w:ascii="Arial" w:hAnsi="Arial"/>
      <w:sz w:val="24"/>
      <w:szCs w:val="20"/>
    </w:rPr>
  </w:style>
  <w:style w:type="paragraph" w:styleId="6">
    <w:name w:val="table of authorities"/>
    <w:basedOn w:val="1"/>
    <w:next w:val="1"/>
    <w:qFormat/>
    <w:uiPriority w:val="0"/>
    <w:pPr>
      <w:ind w:left="420" w:leftChars="200"/>
    </w:pPr>
    <w:rPr>
      <w:sz w:val="28"/>
      <w:szCs w:val="20"/>
    </w:rPr>
  </w:style>
  <w:style w:type="paragraph" w:styleId="7">
    <w:name w:val="Body Text"/>
    <w:basedOn w:val="1"/>
    <w:next w:val="1"/>
    <w:qFormat/>
    <w:uiPriority w:val="0"/>
    <w:rPr>
      <w:rFonts w:eastAsia="黑体"/>
      <w:sz w:val="36"/>
    </w:rPr>
  </w:style>
  <w:style w:type="paragraph" w:styleId="8">
    <w:name w:val="Plain Text"/>
    <w:basedOn w:val="1"/>
    <w:next w:val="9"/>
    <w:qFormat/>
    <w:uiPriority w:val="0"/>
    <w:rPr>
      <w:rFonts w:ascii="宋体" w:hAnsi="Courier New" w:eastAsia="宋体"/>
      <w:kern w:val="2"/>
      <w:sz w:val="21"/>
      <w:lang w:val="en-US" w:eastAsia="zh-CN" w:bidi="ar-SA"/>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6"/>
    <w:qFormat/>
    <w:uiPriority w:val="0"/>
  </w:style>
  <w:style w:type="paragraph" w:styleId="12">
    <w:name w:val="footnote text"/>
    <w:basedOn w:val="1"/>
    <w:unhideWhenUsed/>
    <w:qFormat/>
    <w:uiPriority w:val="99"/>
    <w:pPr>
      <w:snapToGrid w:val="0"/>
      <w:jc w:val="left"/>
    </w:pPr>
    <w:rPr>
      <w:sz w:val="18"/>
    </w:rPr>
  </w:style>
  <w:style w:type="paragraph" w:styleId="13">
    <w:name w:val="Normal (Web)"/>
    <w:basedOn w:val="1"/>
    <w:next w:val="10"/>
    <w:qFormat/>
    <w:uiPriority w:val="0"/>
    <w:pPr>
      <w:widowControl/>
      <w:spacing w:before="100" w:beforeAutospacing="1" w:after="100" w:afterAutospacing="1"/>
      <w:jc w:val="left"/>
    </w:pPr>
    <w:rPr>
      <w:rFonts w:ascii="宋体" w:hAnsi="宋体"/>
      <w:color w:val="000000"/>
      <w:kern w:val="0"/>
      <w:sz w:val="24"/>
    </w:rPr>
  </w:style>
  <w:style w:type="table" w:styleId="15">
    <w:name w:val="Table Grid"/>
    <w:basedOn w:val="1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page number"/>
    <w:basedOn w:val="16"/>
    <w:qFormat/>
    <w:uiPriority w:val="0"/>
  </w:style>
  <w:style w:type="paragraph" w:customStyle="1" w:styleId="19">
    <w:name w:val="样式 标题 3 + (中文) 黑体 小四 非加粗 段前: 7.8 磅 段后: 0 磅 行距: 固定值 20 磅"/>
    <w:basedOn w:val="5"/>
    <w:qFormat/>
    <w:uiPriority w:val="0"/>
    <w:pPr>
      <w:spacing w:before="120" w:after="120" w:line="400" w:lineRule="exact"/>
    </w:pPr>
    <w:rPr>
      <w:rFonts w:ascii="Times New Roman" w:hAnsi="Times New Roman" w:eastAsia="宋体"/>
      <w:b w:val="0"/>
      <w:bCs w:val="0"/>
      <w:sz w:val="24"/>
      <w:szCs w:val="20"/>
    </w:rPr>
  </w:style>
  <w:style w:type="paragraph" w:customStyle="1" w:styleId="20">
    <w:name w:val="Default Tex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customStyle="1" w:styleId="21">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22">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25">
    <w:name w:val="样式 样式 样式 左侧:  2 字符1 + 首行缩进:  2 字符1 + 首行缩进:  2 字符"/>
    <w:basedOn w:val="1"/>
    <w:qFormat/>
    <w:uiPriority w:val="0"/>
    <w:pPr>
      <w:widowControl/>
      <w:spacing w:before="60" w:after="120" w:line="440" w:lineRule="atLeast"/>
      <w:ind w:firstLine="480"/>
    </w:pPr>
    <w:rPr>
      <w:sz w:val="24"/>
      <w:szCs w:val="20"/>
    </w:rPr>
  </w:style>
  <w:style w:type="paragraph" w:customStyle="1" w:styleId="26">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24819</Words>
  <Characters>26675</Characters>
  <Lines>0</Lines>
  <Paragraphs>0</Paragraphs>
  <TotalTime>10</TotalTime>
  <ScaleCrop>false</ScaleCrop>
  <LinksUpToDate>false</LinksUpToDate>
  <CharactersWithSpaces>28755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2023-02-01T10:03:00Z</dcterms:created>
  <dc:creator> 十二</dc:creator>
  <cp:lastModifiedBy>WPS_1612423605</cp:lastModifiedBy>
  <dcterms:modified xsi:type="dcterms:W3CDTF">2023-02-02T10:38:15Z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159F2B2A199C42B9AB2F2876AA91185D</vt:lpwstr>
  </property>
</Properties>
</file>