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eastAsia" w:ascii="宋体"/>
          <w:b/>
          <w:color w:val="000000" w:themeColor="text1"/>
          <w:sz w:val="52"/>
          <w:szCs w:val="52"/>
          <w:highlight w:val="none"/>
          <w:lang w:val="en-US" w:eastAsia="zh-CN"/>
          <w14:textFill>
            <w14:solidFill>
              <w14:schemeClr w14:val="tx1"/>
            </w14:solidFill>
          </w14:textFill>
        </w:rPr>
      </w:pPr>
      <w:r>
        <w:rPr>
          <w:rFonts w:hint="eastAsia" w:ascii="宋体"/>
          <w:b/>
          <w:color w:val="000000" w:themeColor="text1"/>
          <w:sz w:val="52"/>
          <w:szCs w:val="52"/>
          <w:highlight w:val="none"/>
          <w:lang w:val="en-US" w:eastAsia="zh-CN"/>
          <w14:textFill>
            <w14:solidFill>
              <w14:schemeClr w14:val="tx1"/>
            </w14:solidFill>
          </w14:textFill>
        </w:rPr>
        <w:t>沙雅县古勒巴格镇乡村振兴示范镇创建</w:t>
      </w:r>
    </w:p>
    <w:p>
      <w:pPr>
        <w:pStyle w:val="8"/>
        <w:jc w:val="center"/>
        <w:rPr>
          <w:rFonts w:hint="eastAsia"/>
          <w:color w:val="000000" w:themeColor="text1"/>
          <w14:textFill>
            <w14:solidFill>
              <w14:schemeClr w14:val="tx1"/>
            </w14:solidFill>
          </w14:textFill>
        </w:rPr>
      </w:pPr>
      <w:r>
        <w:rPr>
          <w:rFonts w:hint="eastAsia" w:ascii="宋体"/>
          <w:b/>
          <w:color w:val="000000" w:themeColor="text1"/>
          <w:sz w:val="52"/>
          <w:szCs w:val="52"/>
          <w:highlight w:val="none"/>
          <w:lang w:val="en-US" w:eastAsia="zh-CN"/>
          <w14:textFill>
            <w14:solidFill>
              <w14:schemeClr w14:val="tx1"/>
            </w14:solidFill>
          </w14:textFill>
        </w:rPr>
        <w:t>项目-采购项目</w:t>
      </w: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pStyle w:val="7"/>
        <w:rPr>
          <w:rFonts w:hint="eastAsia"/>
          <w:color w:val="000000" w:themeColor="text1"/>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spacing w:line="360" w:lineRule="auto"/>
        <w:jc w:val="center"/>
        <w:outlineLvl w:val="0"/>
        <w:rPr>
          <w:rFonts w:hint="eastAsia" w:ascii="宋体" w:hAnsi="宋体" w:cs="宋体"/>
          <w:b/>
          <w:color w:val="000000" w:themeColor="text1"/>
          <w:sz w:val="96"/>
          <w:szCs w:val="96"/>
          <w:highlight w:val="none"/>
          <w14:textFill>
            <w14:solidFill>
              <w14:schemeClr w14:val="tx1"/>
            </w14:solidFill>
          </w14:textFill>
        </w:rPr>
      </w:pPr>
      <w:r>
        <w:rPr>
          <w:rFonts w:hint="eastAsia" w:ascii="宋体" w:hAnsi="宋体" w:cs="宋体"/>
          <w:b/>
          <w:color w:val="000000" w:themeColor="text1"/>
          <w:sz w:val="96"/>
          <w:szCs w:val="96"/>
          <w:highlight w:val="none"/>
          <w14:textFill>
            <w14:solidFill>
              <w14:schemeClr w14:val="tx1"/>
            </w14:solidFill>
          </w14:textFill>
        </w:rPr>
        <w:t>招 标 文 件</w:t>
      </w: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pStyle w:val="7"/>
        <w:ind w:left="0" w:leftChars="0" w:firstLine="0" w:firstLineChars="0"/>
        <w:rPr>
          <w:rFonts w:hint="eastAsia"/>
          <w:color w:val="000000" w:themeColor="text1"/>
          <w14:textFill>
            <w14:solidFill>
              <w14:schemeClr w14:val="tx1"/>
            </w14:solidFill>
          </w14:textFill>
        </w:rPr>
      </w:pPr>
    </w:p>
    <w:p>
      <w:pPr>
        <w:pStyle w:val="8"/>
        <w:rPr>
          <w:rFonts w:hint="eastAsia"/>
          <w:color w:val="000000" w:themeColor="text1"/>
          <w:highlight w:val="none"/>
          <w14:textFill>
            <w14:solidFill>
              <w14:schemeClr w14:val="tx1"/>
            </w14:solidFill>
          </w14:textFill>
        </w:rPr>
      </w:pP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ind w:firstLine="1285" w:firstLineChars="400"/>
        <w:outlineLvl w:val="0"/>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采 购 人：</w:t>
      </w:r>
      <w:r>
        <w:rPr>
          <w:rFonts w:hint="eastAsia" w:ascii="宋体" w:hAnsi="宋体" w:cs="宋体"/>
          <w:b/>
          <w:bCs/>
          <w:color w:val="000000" w:themeColor="text1"/>
          <w:sz w:val="32"/>
          <w:szCs w:val="32"/>
          <w:highlight w:val="none"/>
          <w:lang w:eastAsia="zh-CN"/>
          <w14:textFill>
            <w14:solidFill>
              <w14:schemeClr w14:val="tx1"/>
            </w14:solidFill>
          </w14:textFill>
        </w:rPr>
        <w:t>沙雅县古勒巴格镇人民政府</w:t>
      </w:r>
    </w:p>
    <w:p>
      <w:pPr>
        <w:adjustRightInd w:val="0"/>
        <w:snapToGrid w:val="0"/>
        <w:spacing w:line="360" w:lineRule="auto"/>
        <w:ind w:firstLine="1285" w:firstLineChars="400"/>
        <w:outlineLvl w:val="0"/>
        <w:rPr>
          <w:rFonts w:hint="default"/>
          <w:color w:val="000000" w:themeColor="text1"/>
          <w:lang w:val="en-US" w:eastAsia="zh-CN"/>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招标编号：</w:t>
      </w:r>
      <w:r>
        <w:rPr>
          <w:rFonts w:hint="eastAsia" w:ascii="宋体" w:hAnsi="宋体" w:cs="宋体"/>
          <w:b/>
          <w:bCs/>
          <w:color w:val="000000" w:themeColor="text1"/>
          <w:sz w:val="32"/>
          <w:szCs w:val="32"/>
          <w:highlight w:val="none"/>
          <w:lang w:eastAsia="zh-CN"/>
          <w14:textFill>
            <w14:solidFill>
              <w14:schemeClr w14:val="tx1"/>
            </w14:solidFill>
          </w14:textFill>
        </w:rPr>
        <w:t>XJFL-(2023)-CG014</w:t>
      </w:r>
    </w:p>
    <w:p>
      <w:pPr>
        <w:adjustRightInd w:val="0"/>
        <w:snapToGrid w:val="0"/>
        <w:spacing w:line="360" w:lineRule="auto"/>
        <w:ind w:firstLine="1285" w:firstLineChars="400"/>
        <w:outlineLvl w:val="0"/>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采购代理机构：</w:t>
      </w:r>
      <w:r>
        <w:rPr>
          <w:rFonts w:hint="eastAsia" w:ascii="宋体" w:hAnsi="宋体" w:cs="宋体"/>
          <w:b/>
          <w:bCs/>
          <w:color w:val="000000" w:themeColor="text1"/>
          <w:sz w:val="32"/>
          <w:szCs w:val="32"/>
          <w:highlight w:val="none"/>
          <w:lang w:val="en-US" w:eastAsia="zh-CN"/>
          <w14:textFill>
            <w14:solidFill>
              <w14:schemeClr w14:val="tx1"/>
            </w14:solidFill>
          </w14:textFill>
        </w:rPr>
        <w:t>新疆峰澜工程项目管理有限公司</w:t>
      </w:r>
    </w:p>
    <w:p>
      <w:pPr>
        <w:adjustRightInd w:val="0"/>
        <w:snapToGrid w:val="0"/>
        <w:spacing w:line="360" w:lineRule="auto"/>
        <w:jc w:val="center"/>
        <w:rPr>
          <w:rFonts w:hint="eastAsia" w:ascii="宋体" w:hAnsi="宋体" w:cs="宋体"/>
          <w:b/>
          <w:bCs/>
          <w:color w:val="000000" w:themeColor="text1"/>
          <w:sz w:val="32"/>
          <w:szCs w:val="32"/>
          <w:highlight w:val="none"/>
          <w14:textFill>
            <w14:solidFill>
              <w14:schemeClr w14:val="tx1"/>
            </w14:solidFill>
          </w14:textFill>
        </w:rPr>
      </w:pPr>
    </w:p>
    <w:p>
      <w:pPr>
        <w:adjustRightInd w:val="0"/>
        <w:snapToGrid w:val="0"/>
        <w:spacing w:line="360" w:lineRule="auto"/>
        <w:jc w:val="center"/>
        <w:outlineLvl w:val="0"/>
        <w:rPr>
          <w:rFonts w:hint="eastAsia" w:ascii="宋体" w:hAnsi="宋体" w:cs="宋体"/>
          <w:bCs/>
          <w:color w:val="000000" w:themeColor="text1"/>
          <w:sz w:val="44"/>
          <w:szCs w:val="44"/>
          <w:highlight w:val="none"/>
          <w:lang w:eastAsia="zh-CN"/>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二〇二</w:t>
      </w:r>
      <w:r>
        <w:rPr>
          <w:rFonts w:hint="eastAsia" w:ascii="宋体" w:hAnsi="宋体" w:cs="宋体"/>
          <w:b/>
          <w:bCs/>
          <w:color w:val="000000" w:themeColor="text1"/>
          <w:sz w:val="32"/>
          <w:szCs w:val="32"/>
          <w:highlight w:val="none"/>
          <w:lang w:eastAsia="zh-CN"/>
          <w14:textFill>
            <w14:solidFill>
              <w14:schemeClr w14:val="tx1"/>
            </w14:solidFill>
          </w14:textFill>
        </w:rPr>
        <w:t>三</w:t>
      </w:r>
      <w:r>
        <w:rPr>
          <w:rFonts w:hint="eastAsia" w:ascii="宋体" w:hAnsi="宋体" w:cs="宋体"/>
          <w:b/>
          <w:bCs/>
          <w:color w:val="000000" w:themeColor="text1"/>
          <w:sz w:val="32"/>
          <w:szCs w:val="32"/>
          <w:highlight w:val="none"/>
          <w14:textFill>
            <w14:solidFill>
              <w14:schemeClr w14:val="tx1"/>
            </w14:solidFill>
          </w14:textFill>
        </w:rPr>
        <w:t>年</w:t>
      </w:r>
      <w:r>
        <w:rPr>
          <w:rFonts w:hint="eastAsia" w:ascii="宋体" w:hAnsi="宋体" w:cs="宋体"/>
          <w:b/>
          <w:bCs/>
          <w:color w:val="000000" w:themeColor="text1"/>
          <w:sz w:val="32"/>
          <w:szCs w:val="32"/>
          <w:highlight w:val="none"/>
          <w:lang w:val="en-US" w:eastAsia="zh-CN"/>
          <w14:textFill>
            <w14:solidFill>
              <w14:schemeClr w14:val="tx1"/>
            </w14:solidFill>
          </w14:textFill>
        </w:rPr>
        <w:t>三</w:t>
      </w:r>
      <w:r>
        <w:rPr>
          <w:rFonts w:hint="eastAsia" w:ascii="宋体" w:hAnsi="宋体" w:cs="宋体"/>
          <w:b/>
          <w:bCs/>
          <w:color w:val="000000" w:themeColor="text1"/>
          <w:sz w:val="32"/>
          <w:szCs w:val="32"/>
          <w:highlight w:val="none"/>
          <w14:textFill>
            <w14:solidFill>
              <w14:schemeClr w14:val="tx1"/>
            </w14:solidFill>
          </w14:textFill>
        </w:rPr>
        <w:t>月</w:t>
      </w:r>
    </w:p>
    <w:p>
      <w:pPr>
        <w:rPr>
          <w:rFonts w:hint="eastAsia"/>
          <w:color w:val="000000" w:themeColor="text1"/>
          <w:lang w:eastAsia="zh-CN"/>
          <w14:textFill>
            <w14:solidFill>
              <w14:schemeClr w14:val="tx1"/>
            </w14:solidFill>
          </w14:textFill>
        </w:rPr>
      </w:pPr>
    </w:p>
    <w:p>
      <w:pPr>
        <w:pStyle w:val="2"/>
        <w:rPr>
          <w:rFonts w:hint="eastAsia"/>
          <w:lang w:eastAsia="zh-CN"/>
        </w:rPr>
      </w:pPr>
    </w:p>
    <w:p>
      <w:pPr>
        <w:widowControl/>
        <w:spacing w:line="700" w:lineRule="exact"/>
        <w:ind w:left="3630" w:hanging="3630" w:hangingChars="825"/>
        <w:jc w:val="center"/>
        <w:outlineLvl w:val="1"/>
        <w:rPr>
          <w:rFonts w:ascii="宋体" w:hAnsi="宋体" w:cs="宋体"/>
          <w:bCs/>
          <w:color w:val="000000" w:themeColor="text1"/>
          <w:sz w:val="44"/>
          <w:szCs w:val="44"/>
          <w:highlight w:val="none"/>
          <w14:textFill>
            <w14:solidFill>
              <w14:schemeClr w14:val="tx1"/>
            </w14:solidFill>
          </w14:textFill>
        </w:rPr>
      </w:pPr>
      <w:r>
        <w:rPr>
          <w:rFonts w:hint="eastAsia" w:ascii="宋体" w:hAnsi="宋体" w:cs="宋体"/>
          <w:bCs/>
          <w:color w:val="000000" w:themeColor="text1"/>
          <w:sz w:val="44"/>
          <w:szCs w:val="44"/>
          <w:highlight w:val="none"/>
          <w:lang w:eastAsia="zh-CN"/>
          <w14:textFill>
            <w14:solidFill>
              <w14:schemeClr w14:val="tx1"/>
            </w14:solidFill>
          </w14:textFill>
        </w:rPr>
        <w:t>招标</w:t>
      </w:r>
      <w:r>
        <w:rPr>
          <w:rFonts w:hint="eastAsia" w:ascii="宋体" w:hAnsi="宋体" w:cs="宋体"/>
          <w:bCs/>
          <w:color w:val="000000" w:themeColor="text1"/>
          <w:sz w:val="44"/>
          <w:szCs w:val="44"/>
          <w:highlight w:val="none"/>
          <w14:textFill>
            <w14:solidFill>
              <w14:schemeClr w14:val="tx1"/>
            </w14:solidFill>
          </w14:textFill>
        </w:rPr>
        <w:t>文件</w:t>
      </w:r>
    </w:p>
    <w:p>
      <w:pPr>
        <w:pStyle w:val="8"/>
        <w:rPr>
          <w:color w:val="000000" w:themeColor="text1"/>
          <w:highlight w:val="none"/>
          <w14:textFill>
            <w14:solidFill>
              <w14:schemeClr w14:val="tx1"/>
            </w14:solidFill>
          </w14:textFill>
        </w:rPr>
      </w:pPr>
    </w:p>
    <w:p>
      <w:pPr>
        <w:spacing w:line="360" w:lineRule="auto"/>
        <w:ind w:left="2357" w:leftChars="269" w:hanging="1792" w:hangingChars="640"/>
        <w:outlineLvl w:val="1"/>
        <w:rPr>
          <w:rFonts w:hint="eastAsia" w:ascii="宋体" w:hAnsi="宋体" w:eastAsia="宋体" w:cs="宋体"/>
          <w:bCs/>
          <w:color w:val="000000" w:themeColor="text1"/>
          <w:sz w:val="28"/>
          <w:szCs w:val="28"/>
          <w:highlight w:val="none"/>
          <w:lang w:val="en-US" w:eastAsia="zh-CN"/>
          <w14:textFill>
            <w14:solidFill>
              <w14:schemeClr w14:val="tx1"/>
            </w14:solidFill>
          </w14:textFill>
        </w:rPr>
      </w:pPr>
      <w:r>
        <w:rPr>
          <w:rFonts w:hint="eastAsia" w:ascii="宋体" w:hAnsi="宋体" w:cs="宋体"/>
          <w:bCs/>
          <w:color w:val="000000" w:themeColor="text1"/>
          <w:sz w:val="28"/>
          <w:szCs w:val="28"/>
          <w:highlight w:val="none"/>
          <w:lang w:eastAsia="zh-CN"/>
          <w14:textFill>
            <w14:solidFill>
              <w14:schemeClr w14:val="tx1"/>
            </w14:solidFill>
          </w14:textFill>
        </w:rPr>
        <w:t>项目</w:t>
      </w:r>
      <w:r>
        <w:rPr>
          <w:rFonts w:hint="eastAsia" w:ascii="宋体" w:hAnsi="宋体" w:cs="宋体"/>
          <w:bCs/>
          <w:color w:val="000000" w:themeColor="text1"/>
          <w:sz w:val="28"/>
          <w:szCs w:val="28"/>
          <w:highlight w:val="none"/>
          <w14:textFill>
            <w14:solidFill>
              <w14:schemeClr w14:val="tx1"/>
            </w14:solidFill>
          </w14:textFill>
        </w:rPr>
        <w:t>名称：</w:t>
      </w:r>
      <w:r>
        <w:rPr>
          <w:rFonts w:hint="eastAsia" w:ascii="宋体" w:hAnsi="宋体" w:cs="宋体"/>
          <w:bCs/>
          <w:color w:val="000000" w:themeColor="text1"/>
          <w:sz w:val="28"/>
          <w:szCs w:val="28"/>
          <w:highlight w:val="none"/>
          <w:lang w:val="en-US" w:eastAsia="zh-CN"/>
          <w14:textFill>
            <w14:solidFill>
              <w14:schemeClr w14:val="tx1"/>
            </w14:solidFill>
          </w14:textFill>
        </w:rPr>
        <w:t>沙雅县古勒巴格镇乡村振兴示范镇创建项目-采购项目</w:t>
      </w:r>
    </w:p>
    <w:p>
      <w:pPr>
        <w:spacing w:line="600" w:lineRule="exact"/>
        <w:ind w:firstLine="560"/>
        <w:outlineLvl w:val="1"/>
        <w:rPr>
          <w:rFonts w:hint="eastAsia" w:ascii="宋体" w:hAnsi="宋体" w:cs="宋体"/>
          <w:bCs/>
          <w:color w:val="000000" w:themeColor="text1"/>
          <w:sz w:val="28"/>
          <w:szCs w:val="28"/>
          <w:highlight w:val="none"/>
          <w:lang w:val="en-US" w:eastAsia="zh-CN"/>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招标人（公章）：</w:t>
      </w:r>
      <w:r>
        <w:rPr>
          <w:rFonts w:hint="eastAsia" w:ascii="宋体" w:hAnsi="宋体" w:cs="宋体"/>
          <w:bCs/>
          <w:color w:val="000000" w:themeColor="text1"/>
          <w:sz w:val="28"/>
          <w:szCs w:val="28"/>
          <w:highlight w:val="none"/>
          <w:lang w:val="en-US" w:eastAsia="zh-CN"/>
          <w14:textFill>
            <w14:solidFill>
              <w14:schemeClr w14:val="tx1"/>
            </w14:solidFill>
          </w14:textFill>
        </w:rPr>
        <w:t xml:space="preserve"> </w:t>
      </w:r>
    </w:p>
    <w:p>
      <w:pPr>
        <w:spacing w:line="600" w:lineRule="exact"/>
        <w:ind w:firstLine="560"/>
        <w:outlineLvl w:val="1"/>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 xml:space="preserve">法定代表人（签章）： </w:t>
      </w:r>
    </w:p>
    <w:p>
      <w:pPr>
        <w:spacing w:line="600" w:lineRule="exact"/>
        <w:jc w:val="left"/>
        <w:outlineLvl w:val="1"/>
        <w:rPr>
          <w:rFonts w:hint="eastAsia" w:ascii="宋体" w:hAnsi="宋体" w:eastAsia="宋体" w:cs="宋体"/>
          <w:bCs/>
          <w:color w:val="000000" w:themeColor="text1"/>
          <w:sz w:val="28"/>
          <w:szCs w:val="28"/>
          <w:highlight w:val="none"/>
          <w:lang w:val="en-US" w:eastAsia="zh-CN"/>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 xml:space="preserve"> 联系人：</w:t>
      </w:r>
      <w:r>
        <w:rPr>
          <w:rFonts w:hint="eastAsia" w:ascii="宋体" w:hAnsi="宋体" w:cs="宋体"/>
          <w:bCs/>
          <w:color w:val="000000" w:themeColor="text1"/>
          <w:sz w:val="28"/>
          <w:szCs w:val="28"/>
          <w:highlight w:val="none"/>
          <w:lang w:val="en-US" w:eastAsia="zh-CN"/>
          <w14:textFill>
            <w14:solidFill>
              <w14:schemeClr w14:val="tx1"/>
            </w14:solidFill>
          </w14:textFill>
        </w:rPr>
        <w:t>黄玉鹏</w:t>
      </w:r>
    </w:p>
    <w:p>
      <w:pPr>
        <w:spacing w:line="600" w:lineRule="exact"/>
        <w:ind w:firstLine="560" w:firstLineChars="200"/>
        <w:outlineLvl w:val="1"/>
        <w:rPr>
          <w:rFonts w:hint="default" w:ascii="宋体" w:hAnsi="宋体" w:eastAsia="宋体" w:cs="宋体"/>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联系电话：</w:t>
      </w:r>
      <w:r>
        <w:rPr>
          <w:rFonts w:hint="eastAsia" w:ascii="宋体" w:hAnsi="宋体" w:cs="宋体"/>
          <w:bCs/>
          <w:color w:val="000000" w:themeColor="text1"/>
          <w:sz w:val="28"/>
          <w:szCs w:val="28"/>
          <w:highlight w:val="none"/>
          <w:lang w:val="en-US" w:eastAsia="zh-CN"/>
          <w14:textFill>
            <w14:solidFill>
              <w14:schemeClr w14:val="tx1"/>
            </w14:solidFill>
          </w14:textFill>
        </w:rPr>
        <w:t>15276486356</w:t>
      </w:r>
    </w:p>
    <w:p>
      <w:pPr>
        <w:spacing w:line="600" w:lineRule="exact"/>
        <w:ind w:firstLine="560" w:firstLineChars="200"/>
        <w:outlineLvl w:val="1"/>
        <w:rPr>
          <w:rFonts w:hint="default" w:ascii="宋体" w:hAnsi="宋体" w:eastAsia="宋体" w:cs="宋体"/>
          <w:bCs/>
          <w:color w:val="000000" w:themeColor="text1"/>
          <w:sz w:val="28"/>
          <w:szCs w:val="28"/>
          <w:highlight w:val="none"/>
          <w:lang w:val="en-US"/>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  </w:t>
      </w:r>
    </w:p>
    <w:p>
      <w:pPr>
        <w:spacing w:line="480" w:lineRule="exact"/>
        <w:rPr>
          <w:rFonts w:ascii="宋体" w:hAnsi="宋体" w:cs="宋体"/>
          <w:bCs/>
          <w:color w:val="000000" w:themeColor="text1"/>
          <w:sz w:val="28"/>
          <w:szCs w:val="28"/>
          <w:highlight w:val="none"/>
          <w14:textFill>
            <w14:solidFill>
              <w14:schemeClr w14:val="tx1"/>
            </w14:solidFill>
          </w14:textFill>
        </w:rPr>
      </w:pPr>
    </w:p>
    <w:p>
      <w:pPr>
        <w:spacing w:line="480" w:lineRule="exact"/>
        <w:rPr>
          <w:rFonts w:ascii="宋体" w:hAnsi="宋体" w:cs="宋体"/>
          <w:bCs/>
          <w:color w:val="000000" w:themeColor="text1"/>
          <w:sz w:val="28"/>
          <w:szCs w:val="28"/>
          <w:highlight w:val="none"/>
          <w14:textFill>
            <w14:solidFill>
              <w14:schemeClr w14:val="tx1"/>
            </w14:solidFill>
          </w14:textFill>
        </w:rPr>
      </w:pPr>
    </w:p>
    <w:p>
      <w:pPr>
        <w:spacing w:line="600" w:lineRule="exact"/>
        <w:outlineLvl w:val="1"/>
        <w:rPr>
          <w:rFonts w:hint="eastAsia" w:ascii="宋体" w:hAnsi="宋体" w:eastAsia="宋体" w:cs="宋体"/>
          <w:bCs/>
          <w:color w:val="auto"/>
          <w:sz w:val="28"/>
          <w:szCs w:val="28"/>
          <w:highlight w:val="none"/>
          <w:lang w:eastAsia="zh-CN"/>
        </w:rPr>
      </w:pPr>
      <w:r>
        <w:rPr>
          <w:rFonts w:hint="eastAsia" w:ascii="宋体" w:hAnsi="宋体" w:cs="宋体"/>
          <w:bCs/>
          <w:color w:val="000000" w:themeColor="text1"/>
          <w:sz w:val="28"/>
          <w:szCs w:val="28"/>
          <w:highlight w:val="none"/>
          <w14:textFill>
            <w14:solidFill>
              <w14:schemeClr w14:val="tx1"/>
            </w14:solidFill>
          </w14:textFill>
        </w:rPr>
        <w:t xml:space="preserve">   </w:t>
      </w:r>
      <w:r>
        <w:rPr>
          <w:rFonts w:hint="eastAsia" w:ascii="宋体" w:hAnsi="宋体" w:eastAsia="宋体" w:cs="宋体"/>
          <w:bCs/>
          <w:color w:val="auto"/>
          <w:sz w:val="28"/>
          <w:szCs w:val="28"/>
          <w:highlight w:val="none"/>
        </w:rPr>
        <w:t xml:space="preserve"> 招标代理机构（公章）：</w:t>
      </w:r>
      <w:r>
        <w:rPr>
          <w:rFonts w:hint="eastAsia" w:ascii="宋体" w:hAnsi="宋体" w:eastAsia="宋体" w:cs="宋体"/>
          <w:color w:val="auto"/>
          <w:sz w:val="28"/>
          <w:szCs w:val="28"/>
          <w:lang w:val="en-US" w:eastAsia="zh-CN"/>
        </w:rPr>
        <w:t>新疆峰澜工程项目管理有限公司</w:t>
      </w:r>
    </w:p>
    <w:p>
      <w:pPr>
        <w:spacing w:line="600" w:lineRule="exact"/>
        <w:ind w:firstLine="560"/>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法定代表人（签章）：</w:t>
      </w:r>
    </w:p>
    <w:p>
      <w:pPr>
        <w:spacing w:line="600" w:lineRule="exact"/>
        <w:ind w:firstLine="560"/>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bCs/>
          <w:color w:val="auto"/>
          <w:sz w:val="28"/>
          <w:szCs w:val="28"/>
          <w:highlight w:val="none"/>
        </w:rPr>
        <w:t>联系人：</w:t>
      </w:r>
      <w:r>
        <w:rPr>
          <w:rFonts w:hint="eastAsia" w:ascii="宋体" w:hAnsi="宋体" w:eastAsia="宋体" w:cs="宋体"/>
          <w:color w:val="auto"/>
          <w:sz w:val="28"/>
          <w:szCs w:val="28"/>
          <w:highlight w:val="none"/>
          <w:lang w:val="en-US" w:eastAsia="zh-CN"/>
        </w:rPr>
        <w:t>王霖</w:t>
      </w:r>
    </w:p>
    <w:p>
      <w:pPr>
        <w:spacing w:line="600" w:lineRule="exact"/>
        <w:ind w:firstLine="560"/>
        <w:outlineLvl w:val="1"/>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联系电话：</w:t>
      </w:r>
      <w:r>
        <w:rPr>
          <w:rFonts w:hint="eastAsia" w:ascii="宋体" w:hAnsi="宋体" w:eastAsia="宋体" w:cs="宋体"/>
          <w:bCs/>
          <w:color w:val="auto"/>
          <w:sz w:val="28"/>
          <w:szCs w:val="28"/>
          <w:highlight w:val="none"/>
          <w:lang w:val="en-US" w:eastAsia="zh-CN"/>
        </w:rPr>
        <w:t>13239031323</w:t>
      </w:r>
    </w:p>
    <w:p>
      <w:pPr>
        <w:spacing w:line="600" w:lineRule="exact"/>
        <w:ind w:left="559" w:leftChars="266" w:firstLine="0" w:firstLineChars="0"/>
        <w:outlineLvl w:val="1"/>
        <w:rPr>
          <w:rFonts w:hint="eastAsia" w:ascii="宋体" w:hAnsi="宋体" w:eastAsia="宋体" w:cs="宋体"/>
          <w:color w:val="auto"/>
          <w:sz w:val="28"/>
          <w:szCs w:val="28"/>
          <w:lang w:val="en-US" w:eastAsia="zh-CN"/>
        </w:rPr>
      </w:pPr>
      <w:r>
        <w:rPr>
          <w:rFonts w:hint="eastAsia" w:ascii="宋体" w:hAnsi="宋体" w:eastAsia="宋体" w:cs="宋体"/>
          <w:bCs/>
          <w:color w:val="auto"/>
          <w:sz w:val="28"/>
          <w:szCs w:val="28"/>
          <w:highlight w:val="none"/>
        </w:rPr>
        <w:t>联系地址：</w:t>
      </w:r>
      <w:r>
        <w:rPr>
          <w:rFonts w:hint="eastAsia" w:ascii="宋体" w:hAnsi="宋体" w:eastAsia="宋体" w:cs="宋体"/>
          <w:color w:val="auto"/>
          <w:sz w:val="28"/>
          <w:szCs w:val="28"/>
          <w:lang w:val="en-US" w:eastAsia="zh-CN"/>
        </w:rPr>
        <w:t>新疆阿克苏地区阿克苏市多浪片区管委会巴格莞社区江南商贸城B区22栋201号</w:t>
      </w:r>
    </w:p>
    <w:p>
      <w:pPr>
        <w:spacing w:line="600" w:lineRule="exact"/>
        <w:ind w:left="559" w:leftChars="266" w:firstLine="0" w:firstLineChars="0"/>
        <w:outlineLvl w:val="1"/>
        <w:rPr>
          <w:rFonts w:hint="eastAsia" w:ascii="宋体" w:hAnsi="宋体" w:eastAsia="宋体" w:cs="宋体"/>
          <w:bCs/>
          <w:color w:val="auto"/>
          <w:sz w:val="28"/>
          <w:szCs w:val="28"/>
          <w:highlight w:val="none"/>
          <w:lang w:val="en-US" w:eastAsia="zh-CN"/>
        </w:rPr>
      </w:pPr>
    </w:p>
    <w:p>
      <w:pPr>
        <w:spacing w:line="600" w:lineRule="exact"/>
        <w:ind w:left="559" w:leftChars="266" w:firstLine="0" w:firstLineChars="0"/>
        <w:outlineLvl w:val="1"/>
        <w:rPr>
          <w:rFonts w:hint="eastAsia" w:ascii="宋体" w:hAnsi="宋体" w:eastAsia="宋体" w:cs="宋体"/>
          <w:bCs/>
          <w:color w:val="auto"/>
          <w:sz w:val="28"/>
          <w:szCs w:val="28"/>
          <w:highlight w:val="none"/>
          <w:lang w:val="en-US" w:eastAsia="zh-CN"/>
        </w:rPr>
      </w:pPr>
    </w:p>
    <w:p>
      <w:pPr>
        <w:spacing w:line="600" w:lineRule="exact"/>
        <w:jc w:val="center"/>
        <w:outlineLvl w:val="1"/>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二〇二三年三月</w:t>
      </w:r>
    </w:p>
    <w:p>
      <w:pPr>
        <w:spacing w:line="600" w:lineRule="exact"/>
        <w:ind w:firstLine="3920" w:firstLineChars="1400"/>
        <w:jc w:val="both"/>
        <w:rPr>
          <w:rFonts w:hint="default" w:ascii="宋体" w:hAnsi="宋体" w:eastAsia="宋体" w:cs="宋体"/>
          <w:bCs/>
          <w:color w:val="000000" w:themeColor="text1"/>
          <w:sz w:val="28"/>
          <w:szCs w:val="28"/>
          <w:highlight w:val="none"/>
          <w:lang w:val="en-US" w:eastAsia="zh-CN"/>
          <w14:textFill>
            <w14:solidFill>
              <w14:schemeClr w14:val="tx1"/>
            </w14:solidFill>
          </w14:textFill>
        </w:rPr>
      </w:pPr>
    </w:p>
    <w:p>
      <w:pPr>
        <w:pStyle w:val="12"/>
        <w:keepNext/>
        <w:pageBreakBefore/>
        <w:tabs>
          <w:tab w:val="right" w:leader="dot" w:pos="9354"/>
        </w:tabs>
        <w:spacing w:line="360" w:lineRule="auto"/>
        <w:jc w:val="center"/>
        <w:outlineLvl w:val="0"/>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目录</w:t>
      </w:r>
    </w:p>
    <w:p>
      <w:pPr>
        <w:pStyle w:val="6"/>
        <w:spacing w:line="360" w:lineRule="auto"/>
        <w:rPr>
          <w:rFonts w:hint="eastAsia"/>
          <w:color w:val="000000" w:themeColor="text1"/>
          <w:highlight w:val="none"/>
          <w14:textFill>
            <w14:solidFill>
              <w14:schemeClr w14:val="tx1"/>
            </w14:solidFill>
          </w14:textFill>
        </w:rPr>
      </w:pPr>
    </w:p>
    <w:p>
      <w:pPr>
        <w:pStyle w:val="12"/>
        <w:tabs>
          <w:tab w:val="right" w:leader="dot" w:pos="9746"/>
        </w:tabs>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TOC \o "1-1" \h \u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_Toc13366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第一章 招标公告</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lang w:val="en-US" w:eastAsia="zh-CN"/>
          <w14:textFill>
            <w14:solidFill>
              <w14:schemeClr w14:val="tx1"/>
            </w14:solidFill>
          </w14:textFill>
        </w:rPr>
        <w:t>3</w:t>
      </w:r>
      <w:r>
        <w:rPr>
          <w:rFonts w:hint="eastAsia" w:ascii="宋体" w:hAnsi="宋体" w:cs="宋体"/>
          <w:color w:val="000000" w:themeColor="text1"/>
          <w:sz w:val="28"/>
          <w:szCs w:val="28"/>
          <w:highlight w:val="none"/>
          <w14:textFill>
            <w14:solidFill>
              <w14:schemeClr w14:val="tx1"/>
            </w14:solidFill>
          </w14:textFill>
        </w:rPr>
        <w:fldChar w:fldCharType="end"/>
      </w:r>
    </w:p>
    <w:p>
      <w:pPr>
        <w:pStyle w:val="12"/>
        <w:tabs>
          <w:tab w:val="right" w:leader="dot" w:pos="9746"/>
        </w:tabs>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_Toc5463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第二章 投标人须知</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_Toc5463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6</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pPr>
        <w:pStyle w:val="12"/>
        <w:tabs>
          <w:tab w:val="right" w:leader="dot" w:pos="9746"/>
        </w:tabs>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_Toc7110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第三章 合同条款</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_Toc7110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33</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pPr>
        <w:pStyle w:val="12"/>
        <w:tabs>
          <w:tab w:val="right" w:leader="dot" w:pos="9746"/>
        </w:tabs>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_Toc27253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bCs/>
          <w:color w:val="000000" w:themeColor="text1"/>
          <w:sz w:val="28"/>
          <w:szCs w:val="28"/>
          <w:highlight w:val="none"/>
          <w14:textFill>
            <w14:solidFill>
              <w14:schemeClr w14:val="tx1"/>
            </w14:solidFill>
          </w14:textFill>
        </w:rPr>
        <w:t>第四章 采购需求</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lang w:val="en-US" w:eastAsia="zh-CN"/>
          <w14:textFill>
            <w14:solidFill>
              <w14:schemeClr w14:val="tx1"/>
            </w14:solidFill>
          </w14:textFill>
        </w:rPr>
        <w:t>4</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lang w:val="en-US" w:eastAsia="zh-CN"/>
          <w14:textFill>
            <w14:solidFill>
              <w14:schemeClr w14:val="tx1"/>
            </w14:solidFill>
          </w14:textFill>
        </w:rPr>
        <w:t>0</w:t>
      </w:r>
    </w:p>
    <w:p>
      <w:pPr>
        <w:pStyle w:val="12"/>
        <w:tabs>
          <w:tab w:val="right" w:leader="dot" w:pos="9746"/>
        </w:tabs>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_Toc31265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bCs/>
          <w:color w:val="000000" w:themeColor="text1"/>
          <w:sz w:val="28"/>
          <w:szCs w:val="28"/>
          <w:highlight w:val="none"/>
          <w14:textFill>
            <w14:solidFill>
              <w14:schemeClr w14:val="tx1"/>
            </w14:solidFill>
          </w14:textFill>
        </w:rPr>
        <w:t>第五章 投标文件格式</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_Toc31265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40</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pPr>
        <w:spacing w:line="360" w:lineRule="auto"/>
        <w:rPr>
          <w:rFonts w:hint="eastAsia" w:ascii="宋体" w:hAnsi="宋体" w:cs="宋体"/>
          <w:b/>
          <w:color w:val="000000" w:themeColor="text1"/>
          <w:sz w:val="24"/>
          <w:highlight w:val="none"/>
          <w14:textFill>
            <w14:solidFill>
              <w14:schemeClr w14:val="tx1"/>
            </w14:solidFill>
          </w14:textFill>
        </w:rPr>
        <w:sectPr>
          <w:headerReference r:id="rId3" w:type="default"/>
          <w:footerReference r:id="rId4" w:type="default"/>
          <w:footerReference r:id="rId5" w:type="even"/>
          <w:pgSz w:w="11906" w:h="16838"/>
          <w:pgMar w:top="1440" w:right="1080" w:bottom="1440" w:left="1080" w:header="851" w:footer="992" w:gutter="0"/>
          <w:pgNumType w:start="0"/>
          <w:cols w:space="720" w:num="1"/>
          <w:formProt w:val="1"/>
          <w:titlePg/>
          <w:docGrid w:type="lines" w:linePitch="312" w:charSpace="0"/>
        </w:sectPr>
      </w:pPr>
      <w:r>
        <w:rPr>
          <w:rFonts w:hint="eastAsia" w:ascii="宋体" w:hAnsi="宋体" w:cs="宋体"/>
          <w:color w:val="000000" w:themeColor="text1"/>
          <w:sz w:val="28"/>
          <w:szCs w:val="28"/>
          <w:highlight w:val="none"/>
          <w14:textFill>
            <w14:solidFill>
              <w14:schemeClr w14:val="tx1"/>
            </w14:solidFill>
          </w14:textFill>
        </w:rPr>
        <w:fldChar w:fldCharType="end"/>
      </w:r>
    </w:p>
    <w:p>
      <w:pPr>
        <w:pStyle w:val="3"/>
        <w:keepNext/>
        <w:keepLines/>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color w:val="000000" w:themeColor="text1"/>
          <w:highlight w:val="none"/>
          <w14:textFill>
            <w14:solidFill>
              <w14:schemeClr w14:val="tx1"/>
            </w14:solidFill>
          </w14:textFill>
        </w:rPr>
      </w:pPr>
      <w:bookmarkStart w:id="0" w:name="_Toc9386"/>
      <w:r>
        <w:rPr>
          <w:rFonts w:hint="eastAsia" w:ascii="宋体" w:hAnsi="宋体" w:eastAsia="宋体" w:cs="宋体"/>
          <w:b/>
          <w:bCs/>
          <w:color w:val="000000" w:themeColor="text1"/>
          <w:kern w:val="0"/>
          <w:sz w:val="40"/>
          <w:szCs w:val="40"/>
          <w:highlight w:val="none"/>
          <w:shd w:val="clear" w:color="auto" w:fill="FFFFFF"/>
          <w:lang w:val="en-US" w:eastAsia="zh-CN"/>
          <w14:textFill>
            <w14:solidFill>
              <w14:schemeClr w14:val="tx1"/>
            </w14:solidFill>
          </w14:textFill>
        </w:rPr>
        <w:t>沙雅县古勒巴格镇乡村振兴示范镇创建项目-采购项目公开</w:t>
      </w:r>
      <w:r>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t>招标公告</w:t>
      </w:r>
    </w:p>
    <w:p>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项目概况</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沙雅县古勒巴格镇乡村振兴示范镇创建项目-采购项目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的潜在供应商应在新疆政府采购网获取采购文件，并于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2023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0（北京时间）前提交响应文件。</w:t>
      </w:r>
    </w:p>
    <w:p>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一、项目基本情况</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XJFL-(2023)-CG014</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沙雅县古勒巴格镇乡村振兴示范镇创建项目-采购项目</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采购方式：</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公开招标</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预算金额（元）：</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8170000.00</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最高限价（元）：</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8170000.00</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采购需求：</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详见采购清单</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标项名称:</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沙雅县古勒巴格镇乡村振兴示范镇创建项目-采购项目</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数量:</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预算金额（元）:</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8170000.00</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单位：</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简要规格描述：</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详见采购清单</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合同履约期限：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30日</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不</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接受联合体投标。</w:t>
      </w:r>
    </w:p>
    <w:p>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二、申请人的资格要求：</w:t>
      </w:r>
    </w:p>
    <w:p>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1.满足《中华人民共和国政府采购法》第二十二条规定；</w:t>
      </w:r>
    </w:p>
    <w:p>
      <w:pPr>
        <w:pageBreakBefore w:val="0"/>
        <w:widowControl w:val="0"/>
        <w:kinsoku/>
        <w:wordWrap/>
        <w:overflowPunct/>
        <w:topLinePunct w:val="0"/>
        <w:autoSpaceDE/>
        <w:autoSpaceDN/>
        <w:bidi w:val="0"/>
        <w:adjustRightInd/>
        <w:snapToGrid/>
        <w:spacing w:line="400" w:lineRule="exact"/>
        <w:ind w:firstLine="241" w:firstLineChars="1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（1）具有独立承担民事责任的能力的供应商；</w:t>
      </w:r>
    </w:p>
    <w:p>
      <w:pPr>
        <w:pageBreakBefore w:val="0"/>
        <w:widowControl w:val="0"/>
        <w:kinsoku/>
        <w:wordWrap/>
        <w:overflowPunct/>
        <w:topLinePunct w:val="0"/>
        <w:autoSpaceDE/>
        <w:autoSpaceDN/>
        <w:bidi w:val="0"/>
        <w:adjustRightInd/>
        <w:snapToGrid/>
        <w:spacing w:line="400" w:lineRule="exact"/>
        <w:ind w:firstLine="241" w:firstLineChars="1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（2）具有良好的商业信誉和健全的财务会计制度；</w:t>
      </w:r>
    </w:p>
    <w:p>
      <w:pPr>
        <w:pageBreakBefore w:val="0"/>
        <w:widowControl w:val="0"/>
        <w:kinsoku/>
        <w:wordWrap/>
        <w:overflowPunct/>
        <w:topLinePunct w:val="0"/>
        <w:autoSpaceDE/>
        <w:autoSpaceDN/>
        <w:bidi w:val="0"/>
        <w:adjustRightInd/>
        <w:snapToGrid/>
        <w:spacing w:line="400" w:lineRule="exact"/>
        <w:ind w:firstLine="241" w:firstLineChars="1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（3）具有履行合同所必需的设备和专业技术能力；</w:t>
      </w:r>
    </w:p>
    <w:p>
      <w:pPr>
        <w:pageBreakBefore w:val="0"/>
        <w:widowControl w:val="0"/>
        <w:kinsoku/>
        <w:wordWrap/>
        <w:overflowPunct/>
        <w:topLinePunct w:val="0"/>
        <w:autoSpaceDE/>
        <w:autoSpaceDN/>
        <w:bidi w:val="0"/>
        <w:adjustRightInd/>
        <w:snapToGrid/>
        <w:spacing w:line="400" w:lineRule="exact"/>
        <w:ind w:firstLine="241" w:firstLineChars="1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（4）有依法缴纳税收和社会保障资金的良好记录；</w:t>
      </w:r>
    </w:p>
    <w:p>
      <w:pPr>
        <w:pageBreakBefore w:val="0"/>
        <w:widowControl w:val="0"/>
        <w:kinsoku/>
        <w:wordWrap/>
        <w:overflowPunct/>
        <w:topLinePunct w:val="0"/>
        <w:autoSpaceDE/>
        <w:autoSpaceDN/>
        <w:bidi w:val="0"/>
        <w:adjustRightInd/>
        <w:snapToGrid/>
        <w:spacing w:line="400" w:lineRule="exact"/>
        <w:ind w:firstLine="241" w:firstLineChars="1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（5）参加本次采购活动前三年内，在经营活动中没有重大违法记录；</w:t>
      </w:r>
    </w:p>
    <w:p>
      <w:pPr>
        <w:pageBreakBefore w:val="0"/>
        <w:widowControl w:val="0"/>
        <w:kinsoku/>
        <w:wordWrap/>
        <w:overflowPunct/>
        <w:topLinePunct w:val="0"/>
        <w:autoSpaceDE/>
        <w:autoSpaceDN/>
        <w:bidi w:val="0"/>
        <w:adjustRightInd/>
        <w:snapToGrid/>
        <w:spacing w:line="400" w:lineRule="exact"/>
        <w:ind w:firstLine="241" w:firstLineChars="1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（6）法律、行政法规规定的其他条件。</w:t>
      </w:r>
    </w:p>
    <w:p>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2.落实政府采购政策需满足的资格要求：</w:t>
      </w:r>
    </w:p>
    <w:p>
      <w:pPr>
        <w:pageBreakBefore w:val="0"/>
        <w:widowControl w:val="0"/>
        <w:kinsoku/>
        <w:wordWrap/>
        <w:overflowPunct/>
        <w:topLinePunct w:val="0"/>
        <w:autoSpaceDE/>
        <w:autoSpaceDN/>
        <w:bidi w:val="0"/>
        <w:adjustRightInd/>
        <w:snapToGrid/>
        <w:spacing w:line="400" w:lineRule="exact"/>
        <w:ind w:firstLine="241" w:firstLineChars="1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）财政部、国家发展改革委、生态环境部、市场监管总局《关于调整优化节能产品、环境标志产品政府采购执行机制的通知》（财库[2019]9号文）；</w:t>
      </w:r>
    </w:p>
    <w:p>
      <w:pPr>
        <w:pageBreakBefore w:val="0"/>
        <w:widowControl w:val="0"/>
        <w:kinsoku/>
        <w:wordWrap/>
        <w:overflowPunct/>
        <w:topLinePunct w:val="0"/>
        <w:autoSpaceDE/>
        <w:autoSpaceDN/>
        <w:bidi w:val="0"/>
        <w:adjustRightInd/>
        <w:snapToGrid/>
        <w:spacing w:line="400" w:lineRule="exact"/>
        <w:ind w:firstLine="241" w:firstLineChars="1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2）财政部、生态环境部《关于印发环境标志产品政府采购品目清单的通知》（财库[2019]18号文）；</w:t>
      </w:r>
    </w:p>
    <w:p>
      <w:pPr>
        <w:pageBreakBefore w:val="0"/>
        <w:widowControl w:val="0"/>
        <w:kinsoku/>
        <w:wordWrap/>
        <w:overflowPunct/>
        <w:topLinePunct w:val="0"/>
        <w:autoSpaceDE/>
        <w:autoSpaceDN/>
        <w:bidi w:val="0"/>
        <w:adjustRightInd/>
        <w:snapToGrid/>
        <w:spacing w:line="400" w:lineRule="exact"/>
        <w:ind w:firstLine="241" w:firstLineChars="1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3）财政部、发展改革委《关于印发节能产品政府采购品目清单的通知》（财库[2019]19号文）；</w:t>
      </w:r>
    </w:p>
    <w:p>
      <w:pPr>
        <w:pageBreakBefore w:val="0"/>
        <w:widowControl w:val="0"/>
        <w:kinsoku/>
        <w:wordWrap/>
        <w:overflowPunct/>
        <w:topLinePunct w:val="0"/>
        <w:autoSpaceDE/>
        <w:autoSpaceDN/>
        <w:bidi w:val="0"/>
        <w:adjustRightInd/>
        <w:snapToGrid/>
        <w:spacing w:line="400" w:lineRule="exact"/>
        <w:ind w:firstLine="241" w:firstLineChars="1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4）市场监管总局《市场监管总局关于发布参与实施政府采购节能产品、环境标志产品认证机构名录的公告》（2019年第16号）；</w:t>
      </w:r>
    </w:p>
    <w:p>
      <w:pPr>
        <w:pageBreakBefore w:val="0"/>
        <w:widowControl w:val="0"/>
        <w:kinsoku/>
        <w:wordWrap/>
        <w:overflowPunct/>
        <w:topLinePunct w:val="0"/>
        <w:autoSpaceDE/>
        <w:autoSpaceDN/>
        <w:bidi w:val="0"/>
        <w:adjustRightInd/>
        <w:snapToGrid/>
        <w:spacing w:line="400" w:lineRule="exact"/>
        <w:ind w:firstLine="241" w:firstLineChars="1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5）财政部、工业和信息化部《关于印发《政府采购促进中小企业</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发展管理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办法》（财库[20</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号文）；</w:t>
      </w:r>
    </w:p>
    <w:p>
      <w:pPr>
        <w:pageBreakBefore w:val="0"/>
        <w:widowControl w:val="0"/>
        <w:kinsoku/>
        <w:wordWrap/>
        <w:overflowPunct/>
        <w:topLinePunct w:val="0"/>
        <w:autoSpaceDE/>
        <w:autoSpaceDN/>
        <w:bidi w:val="0"/>
        <w:adjustRightInd/>
        <w:snapToGrid/>
        <w:spacing w:line="400" w:lineRule="exact"/>
        <w:ind w:firstLine="241" w:firstLineChars="1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6）财政部、民政部、中国残疾人联合会《关于促进残疾人就业政府采购政策的通知》（财库[2017]141号）</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w:t>
      </w:r>
    </w:p>
    <w:p>
      <w:pPr>
        <w:pageBreakBefore w:val="0"/>
        <w:widowControl w:val="0"/>
        <w:kinsoku/>
        <w:wordWrap/>
        <w:overflowPunct/>
        <w:topLinePunct w:val="0"/>
        <w:autoSpaceDE/>
        <w:autoSpaceDN/>
        <w:bidi w:val="0"/>
        <w:adjustRightInd/>
        <w:snapToGrid/>
        <w:spacing w:line="400" w:lineRule="exact"/>
        <w:ind w:firstLine="241" w:firstLineChars="1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3.本项目的特定资格要求：</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三、获取</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招标</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文件</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时间：</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2023年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03</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08</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至</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2023年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03</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，每天上午10:00至14:00，下午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0至</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0（北京时间，法定节假日除外）</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地点：政采云平台</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方式：供应商登录政采云平台https://www.zcygov.cn/在线申请获取采购文件（进入“项目采购”应用，在获取采购文件菜单中选择项目，申请获取采购文件）</w:t>
      </w:r>
    </w:p>
    <w:p>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四、提交投标文件截止时间、开标时间和地点</w:t>
      </w:r>
    </w:p>
    <w:p>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提交投标文件截止时间：2023年03月28日16:30（北京时间）</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投标地点：政采云一站式政府采购云平台</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开标时间：2023年03月28日16:30（北京时间）</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开标地点：政采云一站式政府采购云平台</w:t>
      </w:r>
    </w:p>
    <w:p>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五</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、公告期限</w:t>
      </w:r>
    </w:p>
    <w:p>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自本公告发布之日起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个工作日。</w:t>
      </w:r>
    </w:p>
    <w:p>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、其他补充事宜</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1、本项目实行电子招投标，供应商须登录政采云平台申请获取采购文件，并需要使用CA锁，登录政采云电子投标客户端制作竞标文件，若供应商参与投标,自行承担与投标有关的一切费用。</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2、各供应商应在开标前确保是新疆维吾尔自治区政府采购网正式注册入库的供应商，并完成CA数字证书申领。因未注册入库、未办理CA数字证书等原因造成无法投标或投标失败等后果的由供应商自行承担。</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3、供应商可前往新疆政府采购网（http://www.ccgp-xinjiang.gov.cn/）下载专区，下载政采云电子投标客户端，安装完成后，可通过账号密码或CA登录客户端进行竞标文件制作。在使用政采云电子投标客户端时，建议使用WIN7及以上操作系统。如有问题可拨打政采云客户服务热线400-881-7190进行咨询。</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4、供应商在开标时须携带制作加密电子竞标文件所使用的CA锁，电脑须提前配置好浏览器（建议使用360浏览器或谷歌浏览器），以便开标时在线解密。</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5、投标供应商应当在投标截止时间前，将生成的“电子加密竞标文件”上传递交至“政府采购云平台”，投标截止时间以后上传递交的竞标文件将被“政府采购云平台”拒收。  </w:t>
      </w:r>
    </w:p>
    <w:p>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特别提示：</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1、超过200万元的货物和服务采购项目、超过400万元的工程采购项目中适宜由中小企业提供的，预留该部分采购项目预算总额的40%以上专门面向中小企业采购，其中预留给小微企业的比例不低于60%。</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、对本次采购提出询问，请按以下方式联系</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400" w:lineRule="exact"/>
        <w:ind w:firstLine="241" w:firstLineChars="1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1.采购人信息</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名    称：</w:t>
      </w:r>
      <w:r>
        <w:rPr>
          <w:rFonts w:hint="eastAsia" w:asciiTheme="minorEastAsia" w:hAnsiTheme="minorEastAsia" w:eastAsiaTheme="minorEastAsia" w:cstheme="minorEastAsia"/>
          <w:bCs/>
          <w:color w:val="auto"/>
          <w:sz w:val="24"/>
          <w:szCs w:val="24"/>
          <w:highlight w:val="none"/>
        </w:rPr>
        <w:t>沙雅县古勒巴格镇人民政府</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址：沙雅县</w:t>
      </w:r>
      <w:r>
        <w:rPr>
          <w:rFonts w:hint="eastAsia" w:asciiTheme="minorEastAsia" w:hAnsiTheme="minorEastAsia" w:eastAsiaTheme="minorEastAsia" w:cstheme="minorEastAsia"/>
          <w:bCs/>
          <w:color w:val="auto"/>
          <w:sz w:val="24"/>
          <w:szCs w:val="24"/>
          <w:highlight w:val="none"/>
        </w:rPr>
        <w:t>古勒巴格镇</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联系方式：15276486356</w:t>
      </w:r>
    </w:p>
    <w:p>
      <w:pPr>
        <w:pageBreakBefore w:val="0"/>
        <w:widowControl w:val="0"/>
        <w:kinsoku/>
        <w:wordWrap/>
        <w:overflowPunct/>
        <w:topLinePunct w:val="0"/>
        <w:autoSpaceDE/>
        <w:autoSpaceDN/>
        <w:bidi w:val="0"/>
        <w:adjustRightInd/>
        <w:snapToGrid/>
        <w:spacing w:line="400" w:lineRule="exact"/>
        <w:ind w:firstLine="241" w:firstLineChars="1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2.采购代理机构信息</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名    称：新疆峰澜工程项目管理有限公司 </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地    址：新疆阿克苏地区阿克苏市多浪片区管委会巴格莞社区江南商贸城B区22栋201号  </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联系方式：13239031323</w:t>
      </w:r>
    </w:p>
    <w:p>
      <w:pPr>
        <w:pageBreakBefore w:val="0"/>
        <w:widowControl w:val="0"/>
        <w:kinsoku/>
        <w:wordWrap/>
        <w:overflowPunct/>
        <w:topLinePunct w:val="0"/>
        <w:autoSpaceDE/>
        <w:autoSpaceDN/>
        <w:bidi w:val="0"/>
        <w:adjustRightInd/>
        <w:snapToGrid/>
        <w:spacing w:line="400" w:lineRule="exact"/>
        <w:ind w:firstLine="241" w:firstLineChars="1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3.项目联系方式</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项目联系人：王霖  </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auto"/>
          <w:sz w:val="24"/>
          <w:szCs w:val="24"/>
          <w:highlight w:val="none"/>
          <w:lang w:val="en-US" w:eastAsia="zh-CN"/>
        </w:rPr>
        <w:t>电      话：13239031323</w:t>
      </w:r>
    </w:p>
    <w:p>
      <w:pPr>
        <w:pStyle w:val="3"/>
        <w:keepLines w:val="0"/>
        <w:pageBreakBefore/>
        <w:numPr>
          <w:ilvl w:val="0"/>
          <w:numId w:val="1"/>
        </w:numPr>
        <w:adjustRightInd w:val="0"/>
        <w:snapToGrid w:val="0"/>
        <w:spacing w:before="120" w:after="120" w:line="360" w:lineRule="auto"/>
        <w:outlineLvl w:val="0"/>
        <w:rPr>
          <w:rFonts w:hint="eastAsia" w:ascii="宋体" w:hAnsi="宋体" w:eastAsia="宋体" w:cs="宋体"/>
          <w:b/>
          <w:bCs w:val="0"/>
          <w:color w:val="000000" w:themeColor="text1"/>
          <w:sz w:val="32"/>
          <w:szCs w:val="32"/>
          <w:highlight w:val="none"/>
          <w14:textFill>
            <w14:solidFill>
              <w14:schemeClr w14:val="tx1"/>
            </w14:solidFill>
          </w14:textFill>
        </w:rPr>
      </w:pPr>
      <w:r>
        <w:rPr>
          <w:rFonts w:hint="eastAsia" w:ascii="宋体" w:hAnsi="宋体" w:eastAsia="宋体" w:cs="宋体"/>
          <w:b/>
          <w:bCs w:val="0"/>
          <w:color w:val="000000" w:themeColor="text1"/>
          <w:sz w:val="32"/>
          <w:szCs w:val="32"/>
          <w:highlight w:val="none"/>
          <w14:textFill>
            <w14:solidFill>
              <w14:schemeClr w14:val="tx1"/>
            </w14:solidFill>
          </w14:textFill>
        </w:rPr>
        <w:t xml:space="preserve"> </w:t>
      </w:r>
      <w:bookmarkStart w:id="1" w:name="_Toc5463"/>
      <w:bookmarkStart w:id="2" w:name="_Toc10132"/>
      <w:bookmarkStart w:id="3" w:name="_Toc32321"/>
      <w:r>
        <w:rPr>
          <w:rFonts w:hint="eastAsia" w:ascii="宋体" w:hAnsi="宋体" w:eastAsia="宋体" w:cs="宋体"/>
          <w:b/>
          <w:bCs w:val="0"/>
          <w:color w:val="000000" w:themeColor="text1"/>
          <w:sz w:val="32"/>
          <w:szCs w:val="32"/>
          <w:highlight w:val="none"/>
          <w14:textFill>
            <w14:solidFill>
              <w14:schemeClr w14:val="tx1"/>
            </w14:solidFill>
          </w14:textFill>
        </w:rPr>
        <w:t>投标人须知</w:t>
      </w:r>
      <w:bookmarkEnd w:id="0"/>
      <w:bookmarkEnd w:id="1"/>
      <w:bookmarkEnd w:id="2"/>
      <w:bookmarkEnd w:id="3"/>
    </w:p>
    <w:p>
      <w:pPr>
        <w:pStyle w:val="4"/>
        <w:keepNext w:val="0"/>
        <w:keepLines w:val="0"/>
        <w:adjustRightInd w:val="0"/>
        <w:snapToGrid w:val="0"/>
        <w:spacing w:before="120" w:after="120" w:line="360" w:lineRule="auto"/>
        <w:jc w:val="center"/>
        <w:outlineLvl w:val="1"/>
        <w:rPr>
          <w:rFonts w:hint="eastAsia" w:ascii="宋体" w:hAnsi="宋体" w:eastAsia="宋体" w:cs="宋体"/>
          <w:bCs w:val="0"/>
          <w:color w:val="000000" w:themeColor="text1"/>
          <w:sz w:val="28"/>
          <w:szCs w:val="28"/>
          <w:highlight w:val="none"/>
          <w14:textFill>
            <w14:solidFill>
              <w14:schemeClr w14:val="tx1"/>
            </w14:solidFill>
          </w14:textFill>
        </w:rPr>
      </w:pPr>
      <w:bookmarkStart w:id="4" w:name="_Toc152042304"/>
      <w:bookmarkStart w:id="5" w:name="_Toc25446"/>
      <w:bookmarkStart w:id="6" w:name="_Toc179632545"/>
      <w:bookmarkStart w:id="7" w:name="_Toc13641"/>
      <w:bookmarkStart w:id="8" w:name="_Toc144974496"/>
      <w:bookmarkStart w:id="9" w:name="_Toc152045528"/>
      <w:bookmarkStart w:id="10" w:name="_Toc665"/>
      <w:r>
        <w:rPr>
          <w:rFonts w:hint="eastAsia" w:ascii="宋体" w:hAnsi="宋体" w:eastAsia="宋体" w:cs="宋体"/>
          <w:bCs w:val="0"/>
          <w:color w:val="000000" w:themeColor="text1"/>
          <w:sz w:val="28"/>
          <w:szCs w:val="28"/>
          <w:highlight w:val="none"/>
          <w14:textFill>
            <w14:solidFill>
              <w14:schemeClr w14:val="tx1"/>
            </w14:solidFill>
          </w14:textFill>
        </w:rPr>
        <w:t>投标人须知前附表</w:t>
      </w:r>
      <w:bookmarkEnd w:id="4"/>
      <w:bookmarkEnd w:id="5"/>
      <w:bookmarkEnd w:id="6"/>
      <w:bookmarkEnd w:id="7"/>
      <w:bookmarkEnd w:id="8"/>
      <w:bookmarkEnd w:id="9"/>
      <w:bookmarkEnd w:id="10"/>
    </w:p>
    <w:tbl>
      <w:tblPr>
        <w:tblStyle w:val="15"/>
        <w:tblpPr w:leftFromText="180" w:rightFromText="180" w:vertAnchor="text" w:horzAnchor="page" w:tblpXSpec="center" w:tblpY="73"/>
        <w:tblOverlap w:val="never"/>
        <w:tblW w:w="10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20"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bookmarkStart w:id="11" w:name="_Toc152042305"/>
            <w:bookmarkStart w:id="12" w:name="_Toc2427"/>
            <w:bookmarkStart w:id="13" w:name="_Toc21488"/>
            <w:bookmarkStart w:id="14" w:name="_Toc144974497"/>
            <w:bookmarkStart w:id="15" w:name="_Toc152045529"/>
            <w:bookmarkStart w:id="16" w:name="_Toc179632546"/>
            <w:bookmarkStart w:id="17" w:name="_Toc26931"/>
            <w:r>
              <w:rPr>
                <w:rFonts w:hint="eastAsia" w:ascii="宋体" w:hAnsi="宋体" w:cs="宋体"/>
                <w:color w:val="000000" w:themeColor="text1"/>
                <w:sz w:val="24"/>
                <w:highlight w:val="none"/>
                <w14:textFill>
                  <w14:solidFill>
                    <w14:schemeClr w14:val="tx1"/>
                  </w14:solidFill>
                </w14:textFill>
              </w:rPr>
              <w:t>序号</w:t>
            </w:r>
          </w:p>
        </w:tc>
        <w:tc>
          <w:tcPr>
            <w:tcW w:w="9303"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303" w:type="dxa"/>
            <w:noWrap w:val="0"/>
            <w:vAlign w:val="center"/>
          </w:tcPr>
          <w:p>
            <w:pPr>
              <w:spacing w:line="360" w:lineRule="auto"/>
              <w:rPr>
                <w:rFonts w:hint="eastAsia" w:ascii="宋体" w:hAnsi="宋体" w:eastAsia="Times New Roman"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val="en-US" w:eastAsia="zh-CN"/>
                <w14:textFill>
                  <w14:solidFill>
                    <w14:schemeClr w14:val="tx1"/>
                  </w14:solidFill>
                </w14:textFill>
              </w:rPr>
              <w:t>沙雅县古勒巴格镇乡村振兴示范镇创建项目-采购项目</w:t>
            </w:r>
          </w:p>
          <w:p>
            <w:pPr>
              <w:spacing w:line="360" w:lineRule="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招标文件编号：</w:t>
            </w:r>
            <w:r>
              <w:rPr>
                <w:rFonts w:hint="eastAsia" w:ascii="宋体" w:hAnsi="宋体" w:cs="宋体"/>
                <w:color w:val="000000" w:themeColor="text1"/>
                <w:sz w:val="24"/>
                <w:highlight w:val="none"/>
                <w:lang w:eastAsia="zh-CN"/>
                <w14:textFill>
                  <w14:solidFill>
                    <w14:schemeClr w14:val="tx1"/>
                  </w14:solidFill>
                </w14:textFill>
              </w:rPr>
              <w:t>XJFL-(2023)-CG014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303" w:type="dxa"/>
            <w:noWrap w:val="0"/>
            <w:vAlign w:val="center"/>
          </w:tcPr>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采购代理机构：</w:t>
            </w:r>
            <w:r>
              <w:rPr>
                <w:rFonts w:hint="eastAsia" w:ascii="宋体" w:hAnsi="宋体" w:cs="宋体"/>
                <w:color w:val="000000" w:themeColor="text1"/>
                <w:sz w:val="24"/>
                <w:highlight w:val="none"/>
                <w:lang w:val="en-US" w:eastAsia="zh-CN"/>
                <w14:textFill>
                  <w14:solidFill>
                    <w14:schemeClr w14:val="tx1"/>
                  </w14:solidFill>
                </w14:textFill>
              </w:rPr>
              <w:t>新疆峰澜工程项目管理有限公司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9303" w:type="dxa"/>
            <w:noWrap w:val="0"/>
            <w:vAlign w:val="center"/>
          </w:tcPr>
          <w:p>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供货</w:t>
            </w:r>
            <w:r>
              <w:rPr>
                <w:rFonts w:hint="eastAsia" w:ascii="宋体" w:hAnsi="宋体" w:eastAsia="宋体" w:cs="宋体"/>
                <w:color w:val="000000" w:themeColor="text1"/>
                <w:sz w:val="24"/>
                <w:szCs w:val="24"/>
                <w:lang w:val="en-US" w:eastAsia="zh-CN"/>
                <w14:textFill>
                  <w14:solidFill>
                    <w14:schemeClr w14:val="tx1"/>
                  </w14:solidFill>
                </w14:textFill>
              </w:rPr>
              <w:t>内容：详见采购需求</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最高限价：</w:t>
            </w:r>
            <w:r>
              <w:rPr>
                <w:rFonts w:hint="eastAsia" w:ascii="宋体" w:hAnsi="宋体" w:cs="宋体"/>
                <w:color w:val="000000" w:themeColor="text1"/>
                <w:sz w:val="24"/>
                <w:highlight w:val="none"/>
                <w:lang w:val="en-US" w:eastAsia="zh-CN"/>
                <w14:textFill>
                  <w14:solidFill>
                    <w14:schemeClr w14:val="tx1"/>
                  </w14:solidFill>
                </w14:textFill>
              </w:rPr>
              <w:t>8170000.00元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9303" w:type="dxa"/>
            <w:noWrap w:val="0"/>
            <w:vAlign w:val="center"/>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供货</w:t>
            </w:r>
            <w:r>
              <w:rPr>
                <w:rFonts w:hint="eastAsia" w:ascii="宋体" w:hAnsi="宋体" w:cs="宋体"/>
                <w:color w:val="000000" w:themeColor="text1"/>
                <w:sz w:val="24"/>
                <w:highlight w:val="none"/>
                <w14:textFill>
                  <w14:solidFill>
                    <w14:schemeClr w14:val="tx1"/>
                  </w14:solidFill>
                </w14:textFill>
              </w:rPr>
              <w:t>期限：</w:t>
            </w:r>
            <w:r>
              <w:rPr>
                <w:rFonts w:hint="eastAsia" w:ascii="宋体" w:hAnsi="宋体" w:cs="宋体"/>
                <w:color w:val="000000" w:themeColor="text1"/>
                <w:sz w:val="24"/>
                <w:highlight w:val="none"/>
                <w:lang w:val="en-US" w:eastAsia="zh-CN"/>
                <w14:textFill>
                  <w14:solidFill>
                    <w14:schemeClr w14:val="tx1"/>
                  </w14:solidFill>
                </w14:textFill>
              </w:rPr>
              <w:t>30日</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供货</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lang w:eastAsia="zh-CN"/>
                <w14:textFill>
                  <w14:solidFill>
                    <w14:schemeClr w14:val="tx1"/>
                  </w14:solidFill>
                </w14:textFill>
              </w:rPr>
              <w:t>沙雅县</w:t>
            </w:r>
            <w:r>
              <w:rPr>
                <w:rFonts w:hint="eastAsia" w:ascii="宋体" w:hAnsi="宋体" w:cs="宋体"/>
                <w:color w:val="000000" w:themeColor="text1"/>
                <w:kern w:val="0"/>
                <w:sz w:val="24"/>
                <w:highlight w:val="none"/>
                <w:shd w:val="clear" w:color="auto" w:fill="FFFFFF"/>
                <w:lang w:eastAsia="zh-CN"/>
                <w14:textFill>
                  <w14:solidFill>
                    <w14:schemeClr w14:val="tx1"/>
                  </w14:solidFill>
                </w14:textFill>
              </w:rPr>
              <w:t>（</w:t>
            </w:r>
            <w:r>
              <w:rPr>
                <w:rFonts w:hint="eastAsia" w:ascii="宋体" w:hAnsi="宋体" w:cs="宋体"/>
                <w:color w:val="000000" w:themeColor="text1"/>
                <w:kern w:val="0"/>
                <w:sz w:val="24"/>
                <w:highlight w:val="none"/>
                <w:shd w:val="clear" w:color="auto" w:fill="FFFFFF"/>
                <w:lang w:val="en-US" w:eastAsia="zh-CN"/>
                <w14:textFill>
                  <w14:solidFill>
                    <w14:schemeClr w14:val="tx1"/>
                  </w14:solidFill>
                </w14:textFill>
              </w:rPr>
              <w:t>招标人指定地点</w:t>
            </w:r>
            <w:r>
              <w:rPr>
                <w:rFonts w:hint="eastAsia" w:ascii="宋体" w:hAnsi="宋体" w:cs="宋体"/>
                <w:color w:val="000000" w:themeColor="text1"/>
                <w:kern w:val="0"/>
                <w:sz w:val="24"/>
                <w:highlight w:val="none"/>
                <w:shd w:val="clear" w:color="auto" w:fill="FFFFFF"/>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20"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9303" w:type="dxa"/>
            <w:noWrap w:val="0"/>
            <w:vAlign w:val="center"/>
          </w:tcPr>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投标人资格条件、能力和信誉：</w:t>
            </w:r>
          </w:p>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资格条件：</w:t>
            </w:r>
          </w:p>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一）符合《中华人民共和国政府采购法》第二十二条规定的条件，具备相应资质的投标人：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numPr>
                <w:ilvl w:val="0"/>
                <w:numId w:val="0"/>
              </w:numPr>
              <w:spacing w:line="360" w:lineRule="auto"/>
              <w:rPr>
                <w:rFonts w:hint="eastAsia"/>
                <w:color w:val="000000" w:themeColor="text1"/>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（二）</w:t>
            </w:r>
            <w:r>
              <w:rPr>
                <w:rFonts w:hint="eastAsia" w:ascii="宋体" w:hAnsi="宋体" w:eastAsia="宋体" w:cs="宋体"/>
                <w:color w:val="000000" w:themeColor="text1"/>
                <w:sz w:val="24"/>
                <w:highlight w:val="none"/>
                <w:lang w:val="en-US" w:eastAsia="zh-CN"/>
                <w14:textFill>
                  <w14:solidFill>
                    <w14:schemeClr w14:val="tx1"/>
                  </w14:solidFill>
                </w14:textFill>
              </w:rPr>
              <w:t>具备有效的营业执照原件；</w:t>
            </w:r>
          </w:p>
          <w:p>
            <w:pPr>
              <w:numPr>
                <w:ilvl w:val="0"/>
                <w:numId w:val="0"/>
              </w:numPr>
              <w:spacing w:line="360" w:lineRule="auto"/>
              <w:ind w:leftChars="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（三）</w:t>
            </w:r>
            <w:r>
              <w:rPr>
                <w:rFonts w:hint="eastAsia" w:ascii="宋体" w:hAnsi="宋体" w:eastAsia="宋体" w:cs="宋体"/>
                <w:color w:val="000000" w:themeColor="text1"/>
                <w:sz w:val="24"/>
                <w:highlight w:val="none"/>
                <w:lang w:val="en-US" w:eastAsia="zh-CN"/>
                <w14:textFill>
                  <w14:solidFill>
                    <w14:schemeClr w14:val="tx1"/>
                  </w14:solidFill>
                </w14:textFill>
              </w:rPr>
              <w:t>法人代表或其委托代理人应提供本人身份证原件，委托代理人还应提供《法人代表授权委托书》原件；</w:t>
            </w:r>
          </w:p>
          <w:p>
            <w:pPr>
              <w:numPr>
                <w:ilvl w:val="0"/>
                <w:numId w:val="0"/>
              </w:numPr>
              <w:spacing w:line="360" w:lineRule="auto"/>
              <w:ind w:leftChars="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（四）</w:t>
            </w:r>
            <w:r>
              <w:rPr>
                <w:rFonts w:hint="eastAsia" w:ascii="宋体" w:hAnsi="宋体" w:eastAsia="宋体" w:cs="宋体"/>
                <w:color w:val="000000" w:themeColor="text1"/>
                <w:sz w:val="24"/>
                <w:highlight w:val="none"/>
                <w:lang w:val="en-US" w:eastAsia="zh-CN"/>
                <w14:textFill>
                  <w14:solidFill>
                    <w14:schemeClr w14:val="tx1"/>
                  </w14:solidFill>
                </w14:textFill>
              </w:rPr>
              <w:t>近三年的财务审计报告（成立不足三年的提供成立至今的财务审计报告，成立不足一年的提供成立至今的财务报表，包含资产负债表、现金流量表、利润表）；近六个月（连续）的社保证明（需有相关人员的社保缴纳明细，退休人员需提供退休证明）和近六个月（连续）的完税证明；</w:t>
            </w:r>
          </w:p>
          <w:p>
            <w:pPr>
              <w:numPr>
                <w:ilvl w:val="0"/>
                <w:numId w:val="0"/>
              </w:numPr>
              <w:spacing w:line="360" w:lineRule="auto"/>
              <w:ind w:leftChars="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（五）</w:t>
            </w:r>
            <w:r>
              <w:rPr>
                <w:rFonts w:hint="eastAsia" w:ascii="宋体" w:hAnsi="宋体" w:eastAsia="宋体" w:cs="宋体"/>
                <w:color w:val="000000" w:themeColor="text1"/>
                <w:sz w:val="24"/>
                <w:highlight w:val="none"/>
                <w:lang w:val="en-US" w:eastAsia="zh-CN"/>
                <w14:textFill>
                  <w14:solidFill>
                    <w14:schemeClr w14:val="tx1"/>
                  </w14:solidFill>
                </w14:textFill>
              </w:rPr>
              <w:t>供应商如在“信用中国”网站（www.creditchina.gov.cn）信用信息报告、国家企业信用信息公示报告、中国政府采购网被列入严重违法失信行为记录名单的（尚在处罚期内的），将拒绝其参加本次政府采购活动﹙投标人网上自行打印后加盖投标单位公章﹚。</w:t>
            </w:r>
          </w:p>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六</w:t>
            </w:r>
            <w:r>
              <w:rPr>
                <w:rFonts w:hint="eastAsia" w:ascii="宋体" w:hAnsi="宋体" w:eastAsia="宋体" w:cs="宋体"/>
                <w:color w:val="000000" w:themeColor="text1"/>
                <w:sz w:val="24"/>
                <w:highlight w:val="none"/>
                <w:lang w:val="en-US" w:eastAsia="zh-CN"/>
                <w14:textFill>
                  <w14:solidFill>
                    <w14:schemeClr w14:val="tx1"/>
                  </w14:solidFill>
                </w14:textFill>
              </w:rPr>
              <w:t>）本项目不接受联合体投标。</w:t>
            </w:r>
          </w:p>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财务要求：财务状况良好。</w:t>
            </w:r>
          </w:p>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业绩要求：本项目不作强制要求。</w:t>
            </w:r>
          </w:p>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信誉要求：良好，无不良行为记录。</w:t>
            </w:r>
          </w:p>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其他要求：无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20" w:type="dxa"/>
            <w:noWrap w:val="0"/>
            <w:vAlign w:val="center"/>
          </w:tcPr>
          <w:p>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p>
        </w:tc>
        <w:tc>
          <w:tcPr>
            <w:tcW w:w="9303" w:type="dxa"/>
            <w:noWrap w:val="0"/>
            <w:vAlign w:val="center"/>
          </w:tcPr>
          <w:p>
            <w:pPr>
              <w:shd w:val="clear" w:color="auto" w:fill="auto"/>
              <w:spacing w:line="360" w:lineRule="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投标保证金：</w:t>
            </w:r>
          </w:p>
          <w:p>
            <w:pPr>
              <w:spacing w:line="360" w:lineRule="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（1）投标保证金金额：120000元（大写：壹拾贰万元整）</w:t>
            </w:r>
          </w:p>
          <w:p>
            <w:pPr>
              <w:spacing w:line="360" w:lineRule="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（2）投标保证金的形式：投标保证金应当以支票、汇票、本票或者金融机构、担保机构出具的保函等非现金形式提交。</w:t>
            </w:r>
          </w:p>
          <w:p>
            <w:pPr>
              <w:spacing w:line="360" w:lineRule="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账户名称：新疆峰澜工程项目管理有限公司</w:t>
            </w:r>
          </w:p>
          <w:p>
            <w:pPr>
              <w:spacing w:line="360" w:lineRule="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开户行：新疆阿克苏农村商业银行股份有限公司英阿瓦提路支行</w:t>
            </w:r>
          </w:p>
          <w:p>
            <w:pPr>
              <w:spacing w:line="360" w:lineRule="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账号：852130212010112465798</w:t>
            </w:r>
          </w:p>
          <w:p>
            <w:pPr>
              <w:spacing w:line="360" w:lineRule="auto"/>
              <w:rPr>
                <w:rFonts w:hint="eastAsia"/>
                <w:color w:val="000000" w:themeColor="text1"/>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（3）投标保证金必须在2023年03月28日16:30前到账。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20"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9303" w:type="dxa"/>
            <w:noWrap w:val="0"/>
            <w:vAlign w:val="center"/>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投标文件有效期：60天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20"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9303" w:type="dxa"/>
            <w:noWrap w:val="0"/>
            <w:vAlign w:val="center"/>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投标截止时间：</w:t>
            </w: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2023年</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0</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月</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28</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日1</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6</w:t>
            </w: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 xml:space="preserve">0时 </w:t>
            </w:r>
            <w:r>
              <w:rPr>
                <w:rFonts w:hint="eastAsia" w:ascii="宋体" w:hAnsi="宋体" w:cs="宋体"/>
                <w:color w:val="000000" w:themeColor="text1"/>
                <w:sz w:val="24"/>
                <w:highlight w:val="none"/>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0"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9303" w:type="dxa"/>
            <w:noWrap w:val="0"/>
            <w:vAlign w:val="center"/>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投标文件递交地点：</w:t>
            </w:r>
            <w:r>
              <w:rPr>
                <w:rFonts w:hint="eastAsia" w:ascii="宋体" w:hAnsi="宋体" w:cs="宋体"/>
                <w:color w:val="000000" w:themeColor="text1"/>
                <w:sz w:val="24"/>
                <w:highlight w:val="none"/>
                <w:lang w:eastAsia="zh-CN"/>
                <w14:textFill>
                  <w14:solidFill>
                    <w14:schemeClr w14:val="tx1"/>
                  </w14:solidFill>
                </w14:textFill>
              </w:rPr>
              <w:t>政采云一站式政府采购云平台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0"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9303" w:type="dxa"/>
            <w:noWrap w:val="0"/>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开标日期：</w:t>
            </w: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2023年</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0</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月</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28</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日1</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6</w:t>
            </w: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 xml:space="preserve">0时 </w:t>
            </w:r>
            <w:r>
              <w:rPr>
                <w:rFonts w:hint="eastAsia" w:ascii="宋体" w:hAnsi="宋体" w:eastAsia="宋体" w:cs="宋体"/>
                <w:color w:val="000000" w:themeColor="text1"/>
                <w:sz w:val="24"/>
                <w:highlight w:val="none"/>
                <w14:textFill>
                  <w14:solidFill>
                    <w14:schemeClr w14:val="tx1"/>
                  </w14:solidFill>
                </w14:textFill>
              </w:rPr>
              <w:t>（北京时间）</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开标地点：</w:t>
            </w:r>
            <w:r>
              <w:rPr>
                <w:rFonts w:hint="eastAsia" w:ascii="宋体" w:hAnsi="宋体" w:cs="宋体"/>
                <w:color w:val="000000" w:themeColor="text1"/>
                <w:sz w:val="24"/>
                <w:highlight w:val="none"/>
                <w:lang w:eastAsia="zh-CN"/>
                <w14:textFill>
                  <w14:solidFill>
                    <w14:schemeClr w14:val="tx1"/>
                  </w14:solidFill>
                </w14:textFill>
              </w:rPr>
              <w:t>政采云一站式政府采购云平台</w:t>
            </w:r>
          </w:p>
          <w:p>
            <w:pPr>
              <w:spacing w:line="360" w:lineRule="auto"/>
              <w:rPr>
                <w:rFonts w:hint="eastAsia"/>
                <w:color w:val="000000" w:themeColor="text1"/>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备注：供应商需要使用CA锁，登录政府采购云平台电子投标客户端制作投标文件，将生成的“JMBS格式电子加密投标文件”上传递交至“政府采购云平台”。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p>
        </w:tc>
        <w:tc>
          <w:tcPr>
            <w:tcW w:w="9303" w:type="dxa"/>
            <w:noWrap w:val="0"/>
            <w:vAlign w:val="center"/>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投标文件的要求：</w:t>
            </w:r>
          </w:p>
          <w:p>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本项目实行电子招投标，供应商须登录政府采购云平台申请获取采购文件，并需要使用CA锁，在新疆政府采购网--下载专区下载--供应商客户端制作投标文件，并生成JMBS格式加密文件，在投标截止前上传至政府采购云平台。若供应商参与投标,自行承担与投标有关的一切费用。</w:t>
            </w:r>
          </w:p>
          <w:p>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2、各供应商应在开标前确保是新疆维吾尔自治区政府采购网正式注册入库的供应商，并完成CA数字证书申领。因未注册入库、未办理CA数字证书等原因造成无法投标或投标失败等后果的由供应商自行承担。</w:t>
            </w:r>
          </w:p>
          <w:p>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供应商可前往新疆政府采购网（http://www.ccgp-xinjiang.gov.cn/）下载专区，下载政府采购云平台电子投标客户端，安装完成后，可通过账号密码或CA登录客户端进行投标文件制作。在使用政府采购云平台电子投标客户端时，建议使用WIN7及以上操作系统。如有问题可拨打政府采购云平台客户服务热线400-881-7190进行咨询。</w:t>
            </w:r>
          </w:p>
          <w:p>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4、供应商在开标时须携带制作加密电子投标文件所使用的CA锁，电脑须提前配置好浏览器（建议使用360浏览器或谷歌浏览器），以便开标时在线解密。</w:t>
            </w:r>
          </w:p>
          <w:p>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5、投标供应商应当在投标截止时间前，将生成的“JMBS格式电子加密投标文件”上传递交至“政府采购云平台”，投标截止时间以后上传递交的投标文件将被“政府采购云平台”拒收。</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评标结束后，各投标单位须在一周内按招标文件要求将纸质版投标文件递交至招标代理处（所产生的的费用投标单位自理）。纸质版投标文件可通过加密电子版投标文件打印生成，应当与电子版投标文件一致。【1、份数要求：正本壹份、副本贰份，电子标壹份（U盘）。2、装订要求：投标文件商务技术部分装订成一册，投标文件的装订必须采用死页胶粘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2</w:t>
            </w:r>
          </w:p>
        </w:tc>
        <w:tc>
          <w:tcPr>
            <w:tcW w:w="9303" w:type="dxa"/>
            <w:noWrap w:val="0"/>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踏勘现场：不组织，投标人可自行踏勘现场。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3</w:t>
            </w:r>
          </w:p>
        </w:tc>
        <w:tc>
          <w:tcPr>
            <w:tcW w:w="9303" w:type="dxa"/>
            <w:noWrap w:val="0"/>
            <w:vAlign w:val="center"/>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评标委员会的组建：</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评标委员会由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5 </w:t>
            </w:r>
            <w:r>
              <w:rPr>
                <w:rFonts w:hint="eastAsia" w:ascii="宋体" w:hAnsi="宋体" w:cs="宋体"/>
                <w:color w:val="000000" w:themeColor="text1"/>
                <w:sz w:val="24"/>
                <w:highlight w:val="none"/>
                <w14:textFill>
                  <w14:solidFill>
                    <w14:schemeClr w14:val="tx1"/>
                  </w14:solidFill>
                </w14:textFill>
              </w:rPr>
              <w:t>人构成其中招标人代表</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0</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人（应当具备评标专家相应的或者类似的条件），专家</w:t>
            </w:r>
            <w:r>
              <w:rPr>
                <w:rFonts w:hint="eastAsia" w:ascii="宋体" w:hAnsi="宋体" w:cs="宋体"/>
                <w:color w:val="000000" w:themeColor="text1"/>
                <w:sz w:val="24"/>
                <w:highlight w:val="none"/>
                <w:u w:val="single"/>
                <w:lang w:val="en-US" w:eastAsia="zh-CN"/>
                <w14:textFill>
                  <w14:solidFill>
                    <w14:schemeClr w14:val="tx1"/>
                  </w14:solidFill>
                </w14:textFill>
              </w:rPr>
              <w:t xml:space="preserve"> 5 </w:t>
            </w:r>
            <w:r>
              <w:rPr>
                <w:rFonts w:hint="eastAsia" w:ascii="宋体" w:hAnsi="宋体" w:cs="宋体"/>
                <w:color w:val="000000" w:themeColor="text1"/>
                <w:sz w:val="24"/>
                <w:highlight w:val="none"/>
                <w14:textFill>
                  <w14:solidFill>
                    <w14:schemeClr w14:val="tx1"/>
                  </w14:solidFill>
                </w14:textFill>
              </w:rPr>
              <w:t>人；</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评标专家确定方式： 从政府采购专家库随机抽取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4</w:t>
            </w:r>
          </w:p>
        </w:tc>
        <w:tc>
          <w:tcPr>
            <w:tcW w:w="9303" w:type="dxa"/>
            <w:noWrap w:val="0"/>
            <w:vAlign w:val="center"/>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评标委员会推荐中标候选人的人数：3人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5</w:t>
            </w:r>
          </w:p>
        </w:tc>
        <w:tc>
          <w:tcPr>
            <w:tcW w:w="9303" w:type="dxa"/>
            <w:noWrap w:val="0"/>
            <w:vAlign w:val="center"/>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是否授权评标委员会确定中标人：否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6</w:t>
            </w:r>
          </w:p>
        </w:tc>
        <w:tc>
          <w:tcPr>
            <w:tcW w:w="9303" w:type="dxa"/>
            <w:noWrap w:val="0"/>
            <w:vAlign w:val="center"/>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中标公示及中标公告媒介：</w:t>
            </w:r>
            <w:r>
              <w:rPr>
                <w:rFonts w:hint="eastAsia" w:ascii="宋体" w:hAnsi="宋体" w:cs="宋体"/>
                <w:color w:val="000000" w:themeColor="text1"/>
                <w:sz w:val="24"/>
                <w:highlight w:val="none"/>
                <w:lang w:eastAsia="zh-CN"/>
                <w14:textFill>
                  <w14:solidFill>
                    <w14:schemeClr w14:val="tx1"/>
                  </w14:solidFill>
                </w14:textFill>
              </w:rPr>
              <w:t>新疆政府采购网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17</w:t>
            </w:r>
          </w:p>
        </w:tc>
        <w:tc>
          <w:tcPr>
            <w:tcW w:w="9303" w:type="dxa"/>
            <w:noWrap w:val="0"/>
            <w:vAlign w:val="center"/>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构成招标文件的其他资料：答疑、澄清、修改、补充文件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8</w:t>
            </w:r>
          </w:p>
        </w:tc>
        <w:tc>
          <w:tcPr>
            <w:tcW w:w="9303" w:type="dxa"/>
            <w:noWrap w:val="0"/>
            <w:vAlign w:val="center"/>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adjustRightInd w:val="0"/>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19</w:t>
            </w:r>
          </w:p>
        </w:tc>
        <w:tc>
          <w:tcPr>
            <w:tcW w:w="9303" w:type="dxa"/>
            <w:noWrap w:val="0"/>
            <w:vAlign w:val="center"/>
          </w:tcPr>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履约担保的形式：供应商应当以支票、汇票、本票或者金融机构、担保机构出具的保函等非现金形式提交</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履约保证金额：</w:t>
            </w:r>
            <w:r>
              <w:rPr>
                <w:rFonts w:hint="eastAsia" w:ascii="宋体" w:hAnsi="宋体" w:cs="宋体"/>
                <w:color w:val="auto"/>
                <w:sz w:val="24"/>
                <w:highlight w:val="none"/>
                <w:lang w:val="en-US" w:eastAsia="zh-CN"/>
              </w:rPr>
              <w:t>50000元（大写：伍万元整）</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履约担保的退还：合同验收后或阶段性验收后退还。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0" w:type="dxa"/>
            <w:noWrap w:val="0"/>
            <w:vAlign w:val="center"/>
          </w:tcPr>
          <w:p>
            <w:pPr>
              <w:adjustRightInd w:val="0"/>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20</w:t>
            </w:r>
          </w:p>
        </w:tc>
        <w:tc>
          <w:tcPr>
            <w:tcW w:w="9303" w:type="dxa"/>
            <w:noWrap w:val="0"/>
            <w:vAlign w:val="center"/>
          </w:tcPr>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场地使用费：投标人在提交投标文件时，需按交易场所的规定缴纳场地使用费。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21</w:t>
            </w:r>
          </w:p>
        </w:tc>
        <w:tc>
          <w:tcPr>
            <w:tcW w:w="9303" w:type="dxa"/>
            <w:noWrap w:val="0"/>
            <w:vAlign w:val="center"/>
          </w:tcPr>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投标人信用信息查询：</w:t>
            </w:r>
          </w:p>
          <w:p>
            <w:pPr>
              <w:numPr>
                <w:ilvl w:val="0"/>
                <w:numId w:val="2"/>
              </w:numPr>
              <w:adjustRightInd w:val="0"/>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查询渠道：</w:t>
            </w:r>
          </w:p>
          <w:p>
            <w:pPr>
              <w:adjustRightInd w:val="0"/>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国家企业信用信息公示系统（http://www.gsxt.gov.cn/index.html）</w:t>
            </w:r>
          </w:p>
          <w:p>
            <w:pPr>
              <w:adjustRightInd w:val="0"/>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信用中国（www.creditchina.gov.cn）</w:t>
            </w:r>
          </w:p>
          <w:p>
            <w:pPr>
              <w:adjustRightInd w:val="0"/>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天眼查（https://www.tianyancha.com/） </w:t>
            </w:r>
          </w:p>
          <w:p>
            <w:pPr>
              <w:adjustRightInd w:val="0"/>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中国政府采购网（http://www.ccgp.gov.cn/）</w:t>
            </w:r>
            <w:r>
              <w:rPr>
                <w:rFonts w:hint="eastAsia" w:ascii="宋体" w:hAnsi="宋体" w:cs="宋体"/>
                <w:color w:val="000000" w:themeColor="text1"/>
                <w:sz w:val="24"/>
                <w:highlight w:val="none"/>
                <w14:textFill>
                  <w14:solidFill>
                    <w14:schemeClr w14:val="tx1"/>
                  </w14:solidFill>
                </w14:textFill>
              </w:rPr>
              <w:t xml:space="preserve">          </w:t>
            </w:r>
          </w:p>
          <w:p>
            <w:pPr>
              <w:numPr>
                <w:ilvl w:val="0"/>
                <w:numId w:val="2"/>
              </w:num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信用信息查询记录和证据留存的方式：网页截图</w:t>
            </w:r>
          </w:p>
          <w:p>
            <w:pPr>
              <w:numPr>
                <w:ilvl w:val="0"/>
                <w:numId w:val="2"/>
              </w:num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信用信息的使用规则：经核查投标企业被列入失信被执行人、重大税收违法案件当事人名单、政府采购严重违法失信行为记录名单、经营异常名录等黑名单的将拒绝其投标。</w:t>
            </w:r>
            <w:r>
              <w:rPr>
                <w:rFonts w:hint="eastAsia" w:ascii="宋体" w:hAnsi="宋体" w:cs="宋体"/>
                <w:color w:val="000000" w:themeColor="text1"/>
                <w:sz w:val="24"/>
                <w:highlight w:val="none"/>
                <w:lang w:eastAsia="zh-CN"/>
                <w14:textFill>
                  <w14:solidFill>
                    <w14:schemeClr w14:val="tx1"/>
                  </w14:solidFill>
                </w14:textFill>
              </w:rPr>
              <w:t>（以</w:t>
            </w:r>
            <w:r>
              <w:rPr>
                <w:rFonts w:hint="eastAsia" w:ascii="宋体" w:hAnsi="宋体" w:cs="宋体"/>
                <w:color w:val="000000" w:themeColor="text1"/>
                <w:sz w:val="24"/>
                <w:highlight w:val="none"/>
                <w:lang w:val="en-US" w:eastAsia="zh-CN"/>
                <w14:textFill>
                  <w14:solidFill>
                    <w14:schemeClr w14:val="tx1"/>
                  </w14:solidFill>
                </w14:textFill>
              </w:rPr>
              <w:t>供应商在</w:t>
            </w:r>
            <w:r>
              <w:rPr>
                <w:rFonts w:hint="eastAsia" w:ascii="宋体" w:hAnsi="宋体" w:cs="宋体"/>
                <w:color w:val="000000" w:themeColor="text1"/>
                <w:sz w:val="24"/>
                <w:highlight w:val="none"/>
                <w:lang w:eastAsia="zh-CN"/>
                <w14:textFill>
                  <w14:solidFill>
                    <w14:schemeClr w14:val="tx1"/>
                  </w14:solidFill>
                </w14:textFill>
              </w:rPr>
              <w:t>投标截止日</w:t>
            </w:r>
            <w:r>
              <w:rPr>
                <w:rFonts w:hint="eastAsia" w:ascii="宋体" w:hAnsi="宋体" w:cs="宋体"/>
                <w:color w:val="000000" w:themeColor="text1"/>
                <w:sz w:val="24"/>
                <w:highlight w:val="none"/>
                <w:lang w:val="en-US" w:eastAsia="zh-CN"/>
                <w14:textFill>
                  <w14:solidFill>
                    <w14:schemeClr w14:val="tx1"/>
                  </w14:solidFill>
                </w14:textFill>
              </w:rPr>
              <w:t>期</w:t>
            </w:r>
            <w:r>
              <w:rPr>
                <w:rFonts w:hint="eastAsia" w:ascii="宋体" w:hAnsi="宋体" w:cs="宋体"/>
                <w:color w:val="000000" w:themeColor="text1"/>
                <w:sz w:val="24"/>
                <w:highlight w:val="none"/>
                <w:lang w:eastAsia="zh-CN"/>
                <w14:textFill>
                  <w14:solidFill>
                    <w14:schemeClr w14:val="tx1"/>
                  </w14:solidFill>
                </w14:textFill>
              </w:rPr>
              <w:t>前</w:t>
            </w:r>
            <w:r>
              <w:rPr>
                <w:rFonts w:hint="eastAsia" w:ascii="宋体" w:hAnsi="宋体" w:cs="宋体"/>
                <w:color w:val="000000" w:themeColor="text1"/>
                <w:sz w:val="24"/>
                <w:highlight w:val="none"/>
                <w:lang w:val="en-US" w:eastAsia="zh-CN"/>
                <w14:textFill>
                  <w14:solidFill>
                    <w14:schemeClr w14:val="tx1"/>
                  </w14:solidFill>
                </w14:textFill>
              </w:rPr>
              <w:t>的信用信息</w:t>
            </w:r>
            <w:r>
              <w:rPr>
                <w:rFonts w:hint="eastAsia" w:ascii="宋体" w:hAnsi="宋体" w:cs="宋体"/>
                <w:color w:val="000000" w:themeColor="text1"/>
                <w:sz w:val="24"/>
                <w:highlight w:val="none"/>
                <w:lang w:eastAsia="zh-CN"/>
                <w14:textFill>
                  <w14:solidFill>
                    <w14:schemeClr w14:val="tx1"/>
                  </w14:solidFill>
                </w14:textFill>
              </w:rPr>
              <w:t>查询结果为准，如相关失信记录已失效，投标人需提供相关证明资料）</w:t>
            </w:r>
            <w:r>
              <w:rPr>
                <w:rFonts w:hint="eastAsia" w:ascii="宋体" w:hAnsi="宋体" w:cs="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22</w:t>
            </w:r>
          </w:p>
        </w:tc>
        <w:tc>
          <w:tcPr>
            <w:tcW w:w="9303" w:type="dxa"/>
            <w:noWrap w:val="0"/>
            <w:vAlign w:val="center"/>
          </w:tcPr>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1、政府采购强制采购：(1)标记*符号的节能产品；(2)其他。</w:t>
            </w:r>
          </w:p>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采购《节能产品政府采购清单》内的产品。</w:t>
            </w:r>
          </w:p>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2、政府采购优先采购：(1)非标记*符号的节能产品；(2)环境标志产品；</w:t>
            </w:r>
          </w:p>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3、采购产品为《节能产品政府采购清单》内非标记*符号的节能产品及《环境标志产品政府采购清单》内的产品：</w:t>
            </w:r>
          </w:p>
          <w:p>
            <w:pPr>
              <w:numPr>
                <w:ilvl w:val="0"/>
                <w:numId w:val="0"/>
              </w:numPr>
              <w:adjustRightInd w:val="0"/>
              <w:snapToGrid w:val="0"/>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23</w:t>
            </w:r>
          </w:p>
        </w:tc>
        <w:tc>
          <w:tcPr>
            <w:tcW w:w="9303" w:type="dxa"/>
            <w:noWrap w:val="0"/>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特别提示：</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1、超过200万元的货物和服务采购项目、超过400万元的工程采购项目中适宜由中小企业提供的，预留该部分采购项目预算总额的40%以上专门面向中小企业采购，其中预留给小微企业的比例不低于60%。</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numPr>
                <w:ilvl w:val="0"/>
                <w:numId w:val="0"/>
              </w:numPr>
              <w:adjustRightInd w:val="0"/>
              <w:snapToGrid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24</w:t>
            </w:r>
          </w:p>
        </w:tc>
        <w:tc>
          <w:tcPr>
            <w:tcW w:w="9303" w:type="dxa"/>
            <w:noWrap w:val="0"/>
            <w:vAlign w:val="center"/>
          </w:tcPr>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政府采购支持中小企业融资：有融资需求的，可查询相关业务。</w:t>
            </w:r>
          </w:p>
          <w:p>
            <w:pPr>
              <w:numPr>
                <w:ilvl w:val="0"/>
                <w:numId w:val="0"/>
              </w:numPr>
              <w:adjustRightInd w:val="0"/>
              <w:snapToGrid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政府采购信用担保：有担保需求的，可查询相关业务。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25</w:t>
            </w:r>
          </w:p>
        </w:tc>
        <w:tc>
          <w:tcPr>
            <w:tcW w:w="9303" w:type="dxa"/>
            <w:noWrap w:val="0"/>
            <w:vAlign w:val="center"/>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 投标人不得存在下列情形之一：</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（1）与招标人存在利害关系且可能影响招标公正性；</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（2）与本招标项目的其他投标人为同一个单位负责人；</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（3）与本招标项目的其他投标人存在控股、管理关系；</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（4）被依法暂停或者取消投标资格；</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（5）被责令停产停业、暂扣或者吊销许可证、暂扣或者吊销执照；</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（6）进入清算程序，或被宣告破产，或其他丧失履约能力的情形；</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（7）被工商行政管理机关在全国企业信用信息公示系统中列入严重违法失信企业名单；</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（8）被最高人民法院在“信用中国”网站（www.creditchina.gov.cn）或各级信用信息共享平台中列入失信被执行人名单；</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（9）在近三年内投标人或其法定代表人、拟委任的项目负责人有行贿犯罪行为的（以检察机关职务犯罪预防部门出具的查询结果为准）；</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（10）法律法规或投标人须知前附表规定的其他情形。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26</w:t>
            </w:r>
          </w:p>
        </w:tc>
        <w:tc>
          <w:tcPr>
            <w:tcW w:w="9303" w:type="dxa"/>
            <w:noWrap w:val="0"/>
            <w:vAlign w:val="center"/>
          </w:tcPr>
          <w:p>
            <w:pPr>
              <w:spacing w:line="360" w:lineRule="auto"/>
              <w:rPr>
                <w:rFonts w:hint="eastAsia"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低于成本价不正当竞争预防措施</w:t>
            </w:r>
            <w:r>
              <w:rPr>
                <w:rFonts w:hint="eastAsia" w:ascii="宋体" w:hAnsi="宋体" w:cs="宋体"/>
                <w:b/>
                <w:bCs/>
                <w:color w:val="000000" w:themeColor="text1"/>
                <w:sz w:val="24"/>
                <w:highlight w:val="none"/>
                <w14:textFill>
                  <w14:solidFill>
                    <w14:schemeClr w14:val="tx1"/>
                  </w14:solidFill>
                </w14:textFill>
              </w:rPr>
              <w:t>：</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财政部87号令《政府采购货物服务招标投标管理办法》”第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27</w:t>
            </w:r>
          </w:p>
        </w:tc>
        <w:tc>
          <w:tcPr>
            <w:tcW w:w="9303" w:type="dxa"/>
            <w:noWrap w:val="0"/>
            <w:vAlign w:val="center"/>
          </w:tcPr>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招标文件的澄清和质疑</w:t>
            </w:r>
          </w:p>
          <w:p>
            <w:pPr>
              <w:spacing w:line="360" w:lineRule="auto"/>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1、综合说明</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2、对招标文件的澄清和质疑</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应尽早领取招标文件，若对招标文件有疑问需要澄清或质疑，须在开标7日前由澄清或质疑方的法定代表人或授权投标人（必须为法定代表人授权进行该项目投标的被授权人）以书面形式向招标人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宋体" w:hAnsi="宋体" w:cs="宋体"/>
                <w:bCs/>
                <w:color w:val="000000" w:themeColor="text1"/>
                <w:sz w:val="24"/>
                <w:highlight w:val="none"/>
                <w:lang w:val="en-US" w:eastAsia="zh-CN"/>
                <w14:textFill>
                  <w14:solidFill>
                    <w14:schemeClr w14:val="tx1"/>
                  </w14:solidFill>
                </w14:textFill>
              </w:rPr>
              <w:t>(项目名称）</w:t>
            </w:r>
            <w:r>
              <w:rPr>
                <w:rFonts w:hint="eastAsia" w:ascii="宋体" w:hAnsi="宋体" w:cs="宋体"/>
                <w:bCs/>
                <w:color w:val="000000" w:themeColor="text1"/>
                <w:sz w:val="24"/>
                <w:highlight w:val="none"/>
                <w14:textFill>
                  <w14:solidFill>
                    <w14:schemeClr w14:val="tx1"/>
                  </w14:solidFill>
                </w14:textFill>
              </w:rPr>
              <w:t>澄清或质疑使用”字样，并由身份证持有人签字确认。上述资料均须加盖公章。</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招标人在投标截止日3天前根据澄清或质疑函的具体内容相应作出答复或不予答复，答复内容不得涉及商业秘密。作出答复的将以书面形式通知提出澄清或质疑的投标人和其他有关投标人，或在</w:t>
            </w:r>
            <w:r>
              <w:rPr>
                <w:rFonts w:hint="eastAsia" w:ascii="宋体" w:hAnsi="宋体" w:cs="宋体"/>
                <w:bCs/>
                <w:color w:val="000000" w:themeColor="text1"/>
                <w:sz w:val="24"/>
                <w:highlight w:val="none"/>
                <w:lang w:val="en-US" w:eastAsia="zh-CN"/>
                <w14:textFill>
                  <w14:solidFill>
                    <w14:schemeClr w14:val="tx1"/>
                  </w14:solidFill>
                </w14:textFill>
              </w:rPr>
              <w:t>新疆政府采购网</w:t>
            </w:r>
            <w:r>
              <w:rPr>
                <w:rFonts w:hint="eastAsia" w:ascii="宋体" w:hAnsi="宋体" w:cs="宋体"/>
                <w:bCs/>
                <w:color w:val="000000" w:themeColor="text1"/>
                <w:sz w:val="24"/>
                <w:highlight w:val="none"/>
                <w14:textFill>
                  <w14:solidFill>
                    <w14:schemeClr w14:val="tx1"/>
                  </w14:solidFill>
                </w14:textFill>
              </w:rPr>
              <w:t>上予以公布。递交质疑的投标人和其他有关投标人在被告知、收到上述公告、通知或答疑书后，应立即向招标人回函确认。未确认情况应当视为对质疑答复的知晓，也将视为对质疑答复内容接受的默认。对于未在投标文件中对修改内容做实质性响应的，对其产生的不利因素由未确认者自行承担。同时招标人可以酌情延长投标截止时间。</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3、对招标过程和拟中标结果的质疑</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投标人认为招标过程和拟中标结果使自己的权益受到损害的，可以在投标人于</w:t>
            </w:r>
            <w:r>
              <w:rPr>
                <w:rFonts w:hint="eastAsia" w:ascii="宋体" w:hAnsi="宋体" w:cs="宋体"/>
                <w:bCs/>
                <w:color w:val="000000" w:themeColor="text1"/>
                <w:sz w:val="24"/>
                <w:highlight w:val="none"/>
                <w:lang w:val="en-US" w:eastAsia="zh-CN"/>
                <w14:textFill>
                  <w14:solidFill>
                    <w14:schemeClr w14:val="tx1"/>
                  </w14:solidFill>
                </w14:textFill>
              </w:rPr>
              <w:t>新疆政府采购网</w:t>
            </w:r>
            <w:r>
              <w:rPr>
                <w:rFonts w:hint="eastAsia" w:ascii="宋体" w:hAnsi="宋体" w:cs="宋体"/>
                <w:bCs/>
                <w:color w:val="000000" w:themeColor="text1"/>
                <w:sz w:val="24"/>
                <w:highlight w:val="none"/>
                <w14:textFill>
                  <w14:solidFill>
                    <w14:schemeClr w14:val="tx1"/>
                  </w14:solidFill>
                </w14:textFill>
              </w:rPr>
              <w:t>发布拟中标结果之日起3个工作日内，由质疑方的法定代表人或授权投标人以书面形式向投标人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宋体" w:hAnsi="宋体" w:cs="宋体"/>
                <w:bCs/>
                <w:color w:val="000000" w:themeColor="text1"/>
                <w:sz w:val="24"/>
                <w:highlight w:val="none"/>
                <w:lang w:eastAsia="zh-CN"/>
                <w14:textFill>
                  <w14:solidFill>
                    <w14:schemeClr w14:val="tx1"/>
                  </w14:solidFill>
                </w14:textFill>
              </w:rPr>
              <w:t>（项目名称）</w:t>
            </w:r>
            <w:r>
              <w:rPr>
                <w:rFonts w:hint="eastAsia" w:ascii="宋体" w:hAnsi="宋体" w:cs="宋体"/>
                <w:bCs/>
                <w:color w:val="000000" w:themeColor="text1"/>
                <w:sz w:val="24"/>
                <w:highlight w:val="none"/>
                <w14:textFill>
                  <w14:solidFill>
                    <w14:schemeClr w14:val="tx1"/>
                  </w14:solidFill>
                </w14:textFill>
              </w:rPr>
              <w:t>”字样，并由身份证持有人签字确认。上述资料均须加盖公章。</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招标人应在受理投标人的书面质疑后，根据质疑函的具体内容及时向递交质疑函的投标人作出答复或不予答复，答复内容不得涉及商业秘密。作出答复的以书面形式通知递交质疑的投标人和其他有关投标人。递交质疑的投标人和其他有关投标人在被告知、收到上述公告、通知或答疑书后，应立即向招标人回函确认。未确认情况应当视为对质疑答复的知晓，也将视为对质疑答复内容接受的默认。</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4、澄清或质疑不予受理的情况，有下列情形之一的，属于无效质疑，被质疑人不予受理，由此产生的影响由投标人自行承担：</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(一)不是参与该政府采购项目活动供应商的;</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(二)被质疑人为采购人或政府采购代理机构之外的；</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(三)所有质疑事项超过质疑有效期的；</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(四)以具有法律效力的文书送达之外方式提出的；</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(五) 未按上述规定递交澄清或质疑函的；</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(六) 其它不符合受理条件的情形。</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5、其他</w:t>
            </w:r>
          </w:p>
          <w:p>
            <w:pPr>
              <w:spacing w:line="360" w:lineRule="auto"/>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澄清或质疑函递交地点：</w:t>
            </w:r>
            <w:r>
              <w:rPr>
                <w:rFonts w:hint="eastAsia" w:ascii="宋体" w:hAnsi="宋体" w:cs="宋体"/>
                <w:bCs/>
                <w:color w:val="000000" w:themeColor="text1"/>
                <w:sz w:val="24"/>
                <w:highlight w:val="none"/>
                <w:lang w:val="en-US" w:eastAsia="zh-CN"/>
                <w14:textFill>
                  <w14:solidFill>
                    <w14:schemeClr w14:val="tx1"/>
                  </w14:solidFill>
                </w14:textFill>
              </w:rPr>
              <w:t>新疆阿克苏地区阿克苏市多浪片区管委会巴格莞社区江南商贸城B区22栋201号</w:t>
            </w:r>
          </w:p>
          <w:p>
            <w:pPr>
              <w:spacing w:line="360" w:lineRule="auto"/>
              <w:rPr>
                <w:rFonts w:hint="default" w:ascii="宋体" w:hAnsi="宋体" w:cs="宋体"/>
                <w:bCs/>
                <w:color w:val="000000" w:themeColor="text1"/>
                <w:sz w:val="24"/>
                <w:highlight w:val="none"/>
                <w:lang w:val="en-US"/>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联系电话：13239031323</w:t>
            </w:r>
          </w:p>
        </w:tc>
      </w:tr>
    </w:tbl>
    <w:p>
      <w:pPr>
        <w:spacing w:line="240" w:lineRule="auto"/>
        <w:jc w:val="left"/>
        <w:rPr>
          <w:rFonts w:ascii="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注：招标文件中若有和前附表不一致时以前附表为准。</w:t>
      </w:r>
    </w:p>
    <w:p>
      <w:pPr>
        <w:pStyle w:val="4"/>
        <w:keepNext w:val="0"/>
        <w:keepLines w:val="0"/>
        <w:adjustRightInd w:val="0"/>
        <w:snapToGrid w:val="0"/>
        <w:spacing w:before="120" w:after="120" w:line="360" w:lineRule="auto"/>
        <w:jc w:val="center"/>
        <w:outlineLvl w:val="1"/>
        <w:rPr>
          <w:rFonts w:hint="eastAsia" w:ascii="宋体" w:hAnsi="宋体" w:eastAsia="宋体" w:cs="宋体"/>
          <w:bCs w:val="0"/>
          <w:color w:val="000000" w:themeColor="text1"/>
          <w:sz w:val="28"/>
          <w:szCs w:val="28"/>
          <w:highlight w:val="none"/>
          <w14:textFill>
            <w14:solidFill>
              <w14:schemeClr w14:val="tx1"/>
            </w14:solidFill>
          </w14:textFill>
        </w:rPr>
      </w:pPr>
      <w:r>
        <w:rPr>
          <w:rFonts w:hint="eastAsia" w:ascii="宋体" w:hAnsi="宋体" w:eastAsia="宋体" w:cs="宋体"/>
          <w:bCs w:val="0"/>
          <w:color w:val="000000" w:themeColor="text1"/>
          <w:sz w:val="28"/>
          <w:szCs w:val="28"/>
          <w:highlight w:val="none"/>
          <w14:textFill>
            <w14:solidFill>
              <w14:schemeClr w14:val="tx1"/>
            </w14:solidFill>
          </w14:textFill>
        </w:rPr>
        <w:br w:type="page"/>
      </w:r>
      <w:bookmarkEnd w:id="11"/>
      <w:bookmarkEnd w:id="12"/>
      <w:bookmarkEnd w:id="13"/>
      <w:bookmarkEnd w:id="14"/>
      <w:bookmarkEnd w:id="15"/>
      <w:bookmarkEnd w:id="16"/>
      <w:bookmarkEnd w:id="17"/>
      <w:r>
        <w:rPr>
          <w:rFonts w:hint="eastAsia" w:ascii="宋体" w:hAnsi="宋体" w:eastAsia="宋体" w:cs="宋体"/>
          <w:bCs w:val="0"/>
          <w:color w:val="000000" w:themeColor="text1"/>
          <w:sz w:val="28"/>
          <w:szCs w:val="28"/>
          <w:highlight w:val="none"/>
          <w14:textFill>
            <w14:solidFill>
              <w14:schemeClr w14:val="tx1"/>
            </w14:solidFill>
          </w14:textFill>
        </w:rPr>
        <w:t>投标人须知正文部分</w:t>
      </w:r>
    </w:p>
    <w:p>
      <w:pPr>
        <w:pStyle w:val="20"/>
        <w:jc w:val="center"/>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一、总则</w:t>
      </w:r>
    </w:p>
    <w:p>
      <w:pPr>
        <w:pStyle w:val="21"/>
        <w:keepLines w:val="0"/>
        <w:kinsoku/>
        <w:wordWrap/>
        <w:overflowPunct/>
        <w:bidi w:val="0"/>
        <w:spacing w:line="360" w:lineRule="auto"/>
        <w:ind w:firstLine="567"/>
        <w:jc w:val="both"/>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 合格的投标人</w:t>
      </w:r>
    </w:p>
    <w:p>
      <w:pPr>
        <w:pStyle w:val="21"/>
        <w:keepLines w:val="0"/>
        <w:kinsoku/>
        <w:wordWrap/>
        <w:overflowPunct/>
        <w:bidi w:val="0"/>
        <w:spacing w:line="360" w:lineRule="auto"/>
        <w:ind w:firstLine="567"/>
        <w:jc w:val="both"/>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符合《中华人民共和国政府采购法》第二十二条规定的条件，具备独立承担民事责任能力的在中华人民共和国境内注册的、三年内无违法违规记录、近三年内无法律诉讼纠纷、有承担本次招标采购项目服务能力的及符合条件的法人或其他组织。</w:t>
      </w:r>
    </w:p>
    <w:p>
      <w:pPr>
        <w:pStyle w:val="21"/>
        <w:keepLines w:val="0"/>
        <w:kinsoku/>
        <w:wordWrap/>
        <w:overflowPunct/>
        <w:bidi w:val="0"/>
        <w:spacing w:line="360" w:lineRule="auto"/>
        <w:ind w:firstLine="567"/>
        <w:jc w:val="both"/>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有效的营业执照；</w:t>
      </w:r>
    </w:p>
    <w:p>
      <w:pPr>
        <w:pStyle w:val="21"/>
        <w:keepLines w:val="0"/>
        <w:kinsoku/>
        <w:wordWrap/>
        <w:overflowPunct/>
        <w:bidi w:val="0"/>
        <w:spacing w:line="360" w:lineRule="auto"/>
        <w:ind w:firstLine="567"/>
        <w:jc w:val="both"/>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 xml:space="preserve"> 投标人在本次招标活动中，必须遵循《中华人民共和国招标投标法》</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《中华人民共和国招标投标法</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实施条例</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《政府采购货物和服务招标投标管理办法》（财政部</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87</w:t>
      </w:r>
      <w:r>
        <w:rPr>
          <w:rFonts w:hint="eastAsia" w:ascii="宋体" w:hAnsi="宋体" w:eastAsia="宋体" w:cs="宋体"/>
          <w:b w:val="0"/>
          <w:bCs/>
          <w:color w:val="000000" w:themeColor="text1"/>
          <w:sz w:val="24"/>
          <w:szCs w:val="24"/>
          <w:highlight w:val="none"/>
          <w14:textFill>
            <w14:solidFill>
              <w14:schemeClr w14:val="tx1"/>
            </w14:solidFill>
          </w14:textFill>
        </w:rPr>
        <w:t>号令）</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等相关法律法规</w:t>
      </w:r>
      <w:r>
        <w:rPr>
          <w:rFonts w:hint="eastAsia" w:ascii="宋体" w:hAnsi="宋体" w:eastAsia="宋体" w:cs="宋体"/>
          <w:b w:val="0"/>
          <w:bCs/>
          <w:color w:val="000000" w:themeColor="text1"/>
          <w:sz w:val="24"/>
          <w:szCs w:val="24"/>
          <w:highlight w:val="none"/>
          <w14:textFill>
            <w14:solidFill>
              <w14:schemeClr w14:val="tx1"/>
            </w14:solidFill>
          </w14:textFill>
        </w:rPr>
        <w:t>的规定。</w:t>
      </w:r>
    </w:p>
    <w:p>
      <w:pPr>
        <w:pStyle w:val="21"/>
        <w:spacing w:line="360" w:lineRule="auto"/>
        <w:ind w:left="563" w:leftChars="267" w:firstLine="2" w:firstLineChars="1"/>
        <w:jc w:val="both"/>
        <w:rPr>
          <w:rFonts w:hint="eastAsia" w:ascii="宋体" w:hAnsi="宋体" w:cs="宋体"/>
          <w:bCs/>
          <w:color w:val="000000" w:themeColor="text1"/>
          <w:szCs w:val="24"/>
          <w:lang w:val="en-US" w:eastAsia="zh-CN"/>
          <w14:textFill>
            <w14:solidFill>
              <w14:schemeClr w14:val="tx1"/>
            </w14:solidFill>
          </w14:textFill>
        </w:rPr>
      </w:pPr>
      <w:r>
        <w:rPr>
          <w:rFonts w:hint="eastAsia" w:ascii="宋体" w:hAnsi="宋体" w:cs="宋体"/>
          <w:bCs/>
          <w:color w:val="000000" w:themeColor="text1"/>
          <w:szCs w:val="24"/>
          <w:lang w:val="en-US" w:eastAsia="zh-CN"/>
          <w14:textFill>
            <w14:solidFill>
              <w14:schemeClr w14:val="tx1"/>
            </w14:solidFill>
          </w14:textFill>
        </w:rPr>
        <w:t>1.4投标人参加政府采购活动近三年内无违法违规记录和法律诉讼纠纷，须提供书面声明。</w:t>
      </w:r>
    </w:p>
    <w:p>
      <w:pPr>
        <w:pStyle w:val="21"/>
        <w:spacing w:line="360" w:lineRule="auto"/>
        <w:ind w:left="563" w:leftChars="267" w:firstLine="2" w:firstLineChars="1"/>
        <w:jc w:val="both"/>
        <w:rPr>
          <w:rFonts w:hint="eastAsia" w:ascii="宋体" w:hAnsi="宋体" w:cs="宋体"/>
          <w:bCs/>
          <w:color w:val="000000" w:themeColor="text1"/>
          <w:szCs w:val="24"/>
          <w:lang w:val="en-US" w:eastAsia="zh-CN"/>
          <w14:textFill>
            <w14:solidFill>
              <w14:schemeClr w14:val="tx1"/>
            </w14:solidFill>
          </w14:textFill>
        </w:rPr>
      </w:pPr>
      <w:r>
        <w:rPr>
          <w:rFonts w:hint="eastAsia" w:ascii="宋体" w:hAnsi="宋体" w:cs="宋体"/>
          <w:bCs/>
          <w:color w:val="000000" w:themeColor="text1"/>
          <w:szCs w:val="24"/>
          <w:lang w:val="en-US" w:eastAsia="zh-CN"/>
          <w14:textFill>
            <w14:solidFill>
              <w14:schemeClr w14:val="tx1"/>
            </w14:solidFill>
          </w14:textFill>
        </w:rPr>
        <w:t>1.5 为保证政府采购活动公平、公正、诚实信用，投标人提供的材料及技术参数应真实有效，须提供书面诚信投标承诺书。</w:t>
      </w:r>
    </w:p>
    <w:p>
      <w:pPr>
        <w:pStyle w:val="21"/>
        <w:spacing w:line="360" w:lineRule="auto"/>
        <w:ind w:firstLine="567"/>
        <w:jc w:val="both"/>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Cs w:val="24"/>
          <w:lang w:val="en-US" w:eastAsia="zh-CN"/>
          <w14:textFill>
            <w14:solidFill>
              <w14:schemeClr w14:val="tx1"/>
            </w14:solidFill>
          </w14:textFill>
        </w:rPr>
        <w:t>1.6 未保证本次招标活动公平竞争，杜绝任何形式的商业贿赂行为，投标文件内必须提供反商业贿赂承诺书。</w:t>
      </w:r>
    </w:p>
    <w:p>
      <w:pPr>
        <w:pStyle w:val="21"/>
        <w:keepLines w:val="0"/>
        <w:kinsoku/>
        <w:wordWrap/>
        <w:overflowPunct/>
        <w:bidi w:val="0"/>
        <w:spacing w:line="360" w:lineRule="auto"/>
        <w:ind w:left="563" w:leftChars="267" w:firstLine="2" w:firstLineChars="1"/>
        <w:jc w:val="both"/>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sz w:val="24"/>
          <w:szCs w:val="24"/>
          <w:highlight w:val="none"/>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不符合</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以上</w:t>
      </w:r>
      <w:r>
        <w:rPr>
          <w:rFonts w:hint="eastAsia" w:ascii="宋体" w:hAnsi="宋体" w:eastAsia="宋体" w:cs="宋体"/>
          <w:b w:val="0"/>
          <w:bCs/>
          <w:color w:val="000000" w:themeColor="text1"/>
          <w:sz w:val="24"/>
          <w:szCs w:val="24"/>
          <w:highlight w:val="none"/>
          <w14:textFill>
            <w14:solidFill>
              <w14:schemeClr w14:val="tx1"/>
            </w14:solidFill>
          </w14:textFill>
        </w:rPr>
        <w:t>条款规定的投标人，其投标</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无效</w:t>
      </w:r>
      <w:r>
        <w:rPr>
          <w:rFonts w:hint="eastAsia" w:ascii="宋体" w:hAnsi="宋体" w:eastAsia="宋体" w:cs="宋体"/>
          <w:b w:val="0"/>
          <w:bCs/>
          <w:color w:val="000000" w:themeColor="text1"/>
          <w:sz w:val="24"/>
          <w:szCs w:val="24"/>
          <w:highlight w:val="none"/>
          <w14:textFill>
            <w14:solidFill>
              <w14:schemeClr w14:val="tx1"/>
            </w14:solidFill>
          </w14:textFill>
        </w:rPr>
        <w:t>。</w:t>
      </w:r>
    </w:p>
    <w:p>
      <w:pPr>
        <w:pStyle w:val="21"/>
        <w:keepLines w:val="0"/>
        <w:kinsoku/>
        <w:wordWrap/>
        <w:overflowPunct/>
        <w:bidi w:val="0"/>
        <w:spacing w:line="360" w:lineRule="auto"/>
        <w:ind w:left="563" w:leftChars="267" w:firstLine="2" w:firstLineChars="1"/>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定义</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2.1“采购代理机构”系指</w:t>
      </w:r>
      <w:r>
        <w:rPr>
          <w:rFonts w:hint="eastAsia" w:ascii="宋体" w:hAnsi="宋体" w:cs="宋体"/>
          <w:color w:val="auto"/>
          <w:sz w:val="24"/>
          <w:highlight w:val="none"/>
          <w:lang w:eastAsia="zh-CN"/>
        </w:rPr>
        <w:t>新疆峰澜工程项目管理有限公司</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2.2“投标人”系指向采购代理机构提交投标文件的货物</w:t>
      </w:r>
      <w:r>
        <w:rPr>
          <w:rFonts w:hint="eastAsia" w:ascii="宋体" w:hAnsi="宋体" w:eastAsia="宋体" w:cs="宋体"/>
          <w:color w:val="000000" w:themeColor="text1"/>
          <w:sz w:val="24"/>
          <w:szCs w:val="24"/>
          <w:highlight w:val="none"/>
          <w:lang w:eastAsia="zh-CN"/>
          <w14:textFill>
            <w14:solidFill>
              <w14:schemeClr w14:val="tx1"/>
            </w14:solidFill>
          </w14:textFill>
        </w:rPr>
        <w:t>制造商或代理商</w:t>
      </w:r>
      <w:r>
        <w:rPr>
          <w:rFonts w:hint="eastAsia" w:ascii="宋体" w:hAnsi="宋体" w:eastAsia="宋体" w:cs="宋体"/>
          <w:color w:val="000000" w:themeColor="text1"/>
          <w:sz w:val="24"/>
          <w:szCs w:val="24"/>
          <w:highlight w:val="none"/>
          <w14:textFill>
            <w14:solidFill>
              <w14:schemeClr w14:val="tx1"/>
            </w14:solidFill>
          </w14:textFill>
        </w:rPr>
        <w:t>。</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2.3“货物”系指卖方按合同要求，须向买方提供的设计文件、货物、机械、材料、备品、手册及其他技术资料和材料。详见《政府采购品目分类目录》(财库[2013]189号)。</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2.4“服务”系指按合同规定卖方须承担的运输、装卸、安装调试、技术协助、培训和交付使用后保修期内应履行的义务及售后服务等其他类似的义务。</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2.5“卖方”系指提供合同货物和服务的经济实体。本次招标指中标人。</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2.6“买方”系指购买货物和服务的单位，即为本次招标的采购人。</w:t>
      </w:r>
    </w:p>
    <w:p>
      <w:pPr>
        <w:pStyle w:val="21"/>
        <w:keepLines w:val="0"/>
        <w:kinsoku/>
        <w:wordWrap/>
        <w:overflowPunct/>
        <w:bidi w:val="0"/>
        <w:spacing w:line="360" w:lineRule="auto"/>
        <w:ind w:firstLine="567"/>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2.7“节能产品”或者“环保产品”是指财政部发布</w:t>
      </w:r>
      <w:r>
        <w:rPr>
          <w:rFonts w:hint="eastAsia" w:ascii="宋体" w:hAnsi="宋体" w:eastAsia="宋体" w:cs="宋体"/>
          <w:color w:val="000000" w:themeColor="text1"/>
          <w:sz w:val="24"/>
          <w:szCs w:val="24"/>
          <w:highlight w:val="none"/>
          <w:lang w:eastAsia="zh-CN"/>
          <w14:textFill>
            <w14:solidFill>
              <w14:schemeClr w14:val="tx1"/>
            </w14:solidFill>
          </w14:textFill>
        </w:rPr>
        <w:t>最新一期</w:t>
      </w:r>
      <w:r>
        <w:rPr>
          <w:rFonts w:hint="eastAsia" w:ascii="宋体" w:hAnsi="宋体" w:eastAsia="宋体" w:cs="宋体"/>
          <w:color w:val="000000" w:themeColor="text1"/>
          <w:sz w:val="24"/>
          <w:szCs w:val="24"/>
          <w:highlight w:val="none"/>
          <w14:textFill>
            <w14:solidFill>
              <w14:schemeClr w14:val="tx1"/>
            </w14:solidFill>
          </w14:textFill>
        </w:rPr>
        <w:t>的《节能产品政府采购清单》或者《环境标志产品政府采购清单》的产品</w:t>
      </w:r>
      <w:r>
        <w:rPr>
          <w:rFonts w:hint="eastAsia" w:ascii="宋体" w:hAnsi="宋体" w:eastAsia="宋体" w:cs="宋体"/>
          <w:color w:val="000000" w:themeColor="text1"/>
          <w:sz w:val="24"/>
          <w:szCs w:val="24"/>
          <w:highlight w:val="none"/>
          <w:lang w:eastAsia="zh-CN"/>
          <w14:textFill>
            <w14:solidFill>
              <w14:schemeClr w14:val="tx1"/>
            </w14:solidFill>
          </w14:textFill>
        </w:rPr>
        <w:t>，可在中国政府采购网(www.ccgp.gov.cn)查询</w:t>
      </w:r>
      <w:r>
        <w:rPr>
          <w:rFonts w:hint="eastAsia" w:ascii="宋体" w:hAnsi="宋体" w:eastAsia="宋体" w:cs="宋体"/>
          <w:color w:val="000000" w:themeColor="text1"/>
          <w:sz w:val="24"/>
          <w:szCs w:val="24"/>
          <w:highlight w:val="none"/>
          <w14:textFill>
            <w14:solidFill>
              <w14:schemeClr w14:val="tx1"/>
            </w14:solidFill>
          </w14:textFill>
        </w:rPr>
        <w:t>。</w:t>
      </w:r>
    </w:p>
    <w:p>
      <w:pPr>
        <w:pStyle w:val="21"/>
        <w:keepLines w:val="0"/>
        <w:kinsoku/>
        <w:wordWrap/>
        <w:overflowPunct/>
        <w:bidi w:val="0"/>
        <w:spacing w:line="360" w:lineRule="auto"/>
        <w:ind w:firstLine="567"/>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2.8“进口产品”是指通过中国海关报关验放进入中国境内且产自关境外的产品，详见《关于政府采购进口产品管理有关问题的通知》(财库[2007]119号)</w:t>
      </w:r>
      <w:r>
        <w:rPr>
          <w:rFonts w:hint="eastAsia" w:ascii="宋体" w:hAnsi="宋体" w:eastAsia="宋体" w:cs="宋体"/>
          <w:color w:val="000000" w:themeColor="text1"/>
          <w:sz w:val="24"/>
          <w:szCs w:val="24"/>
          <w:highlight w:val="none"/>
          <w:lang w:eastAsia="zh-CN"/>
          <w14:textFill>
            <w14:solidFill>
              <w14:schemeClr w14:val="tx1"/>
            </w14:solidFill>
          </w14:textFill>
        </w:rPr>
        <w:t>及《关于政府采购进口产品管理有关问题的通知》（财办库（2008）248号）</w:t>
      </w:r>
      <w:r>
        <w:rPr>
          <w:rFonts w:hint="eastAsia" w:ascii="宋体" w:hAnsi="宋体" w:eastAsia="宋体" w:cs="宋体"/>
          <w:color w:val="000000" w:themeColor="text1"/>
          <w:sz w:val="24"/>
          <w:szCs w:val="24"/>
          <w:highlight w:val="none"/>
          <w14:textFill>
            <w14:solidFill>
              <w14:schemeClr w14:val="tx1"/>
            </w14:solidFill>
          </w14:textFill>
        </w:rPr>
        <w:t>。</w:t>
      </w:r>
    </w:p>
    <w:p>
      <w:pPr>
        <w:pStyle w:val="21"/>
        <w:keepLines w:val="0"/>
        <w:kinsoku/>
        <w:wordWrap/>
        <w:overflowPunct/>
        <w:bidi w:val="0"/>
        <w:spacing w:line="360" w:lineRule="auto"/>
        <w:ind w:firstLine="567"/>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2.9 “</w:t>
      </w:r>
      <w:r>
        <w:rPr>
          <w:rFonts w:hint="eastAsia" w:ascii="宋体" w:hAnsi="宋体" w:eastAsia="宋体" w:cs="宋体"/>
          <w:color w:val="000000" w:themeColor="text1"/>
          <w:sz w:val="24"/>
          <w:szCs w:val="24"/>
          <w:highlight w:val="none"/>
          <w14:textFill>
            <w14:solidFill>
              <w14:schemeClr w14:val="tx1"/>
            </w14:solidFill>
          </w14:textFill>
        </w:rPr>
        <w:t>语言文字</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招标投标文件使用的语言文字为中文。专用术语使用外文的，应附有中文注释。</w:t>
      </w:r>
    </w:p>
    <w:p>
      <w:pPr>
        <w:pStyle w:val="21"/>
        <w:keepLines w:val="0"/>
        <w:kinsoku/>
        <w:wordWrap/>
        <w:overflowPunct/>
        <w:bidi w:val="0"/>
        <w:spacing w:line="360" w:lineRule="auto"/>
        <w:ind w:firstLine="567"/>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2.10“</w:t>
      </w:r>
      <w:r>
        <w:rPr>
          <w:rFonts w:hint="eastAsia" w:ascii="宋体" w:hAnsi="宋体" w:eastAsia="宋体" w:cs="宋体"/>
          <w:color w:val="000000" w:themeColor="text1"/>
          <w:sz w:val="24"/>
          <w:szCs w:val="24"/>
          <w:highlight w:val="none"/>
          <w14:textFill>
            <w14:solidFill>
              <w14:schemeClr w14:val="tx1"/>
            </w14:solidFill>
          </w14:textFill>
        </w:rPr>
        <w:t>计量单位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所有计量均采用中华人民共和国法定计量单位。</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其他要求</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 投标费用</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投标人应自行承担所有与本次招标投标有关的费用，而不论投标的结果如何。 </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 采购进口产品</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3.2.1 除</w:t>
      </w:r>
      <w:r>
        <w:rPr>
          <w:rFonts w:hint="eastAsia" w:ascii="宋体" w:hAnsi="宋体" w:eastAsia="宋体" w:cs="宋体"/>
          <w:color w:val="000000" w:themeColor="text1"/>
          <w:sz w:val="24"/>
          <w:szCs w:val="24"/>
          <w:highlight w:val="none"/>
          <w:lang w:eastAsia="zh-CN"/>
          <w14:textFill>
            <w14:solidFill>
              <w14:schemeClr w14:val="tx1"/>
            </w14:solidFill>
          </w14:textFill>
        </w:rPr>
        <w:t>投标人须知</w:t>
      </w:r>
      <w:r>
        <w:rPr>
          <w:rFonts w:hint="eastAsia" w:ascii="宋体" w:hAnsi="宋体" w:eastAsia="宋体" w:cs="宋体"/>
          <w:color w:val="000000" w:themeColor="text1"/>
          <w:sz w:val="24"/>
          <w:szCs w:val="24"/>
          <w:highlight w:val="none"/>
          <w14:textFill>
            <w14:solidFill>
              <w14:schemeClr w14:val="tx1"/>
            </w14:solidFill>
          </w14:textFill>
        </w:rPr>
        <w:t>前附表另有规定外，本项目拒绝进口产品参加招标采购活动。</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3.2.2 本章第4.1款规定同意购买进口产品的，本项目采购活动不限制满足招标文件要求的国内产品参与招标。</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3.3 政府采购政策支持 </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产品优惠累加优惠。财政部门关于政府采购强制采购、优先采购的政策规定可在中国政府采购网(www.ccgp.gov.cn)查询。本项目价格扣除比例见</w:t>
      </w:r>
      <w:r>
        <w:rPr>
          <w:rFonts w:hint="eastAsia" w:ascii="宋体" w:hAnsi="宋体" w:eastAsia="宋体" w:cs="宋体"/>
          <w:color w:val="000000" w:themeColor="text1"/>
          <w:sz w:val="24"/>
          <w:szCs w:val="24"/>
          <w:highlight w:val="none"/>
          <w:lang w:eastAsia="zh-CN"/>
          <w14:textFill>
            <w14:solidFill>
              <w14:schemeClr w14:val="tx1"/>
            </w14:solidFill>
          </w14:textFill>
        </w:rPr>
        <w:t>投标人须知</w:t>
      </w:r>
      <w:r>
        <w:rPr>
          <w:rFonts w:hint="eastAsia" w:ascii="宋体" w:hAnsi="宋体" w:eastAsia="宋体" w:cs="宋体"/>
          <w:color w:val="000000" w:themeColor="text1"/>
          <w:sz w:val="24"/>
          <w:szCs w:val="24"/>
          <w:highlight w:val="none"/>
          <w14:textFill>
            <w14:solidFill>
              <w14:schemeClr w14:val="tx1"/>
            </w14:solidFill>
          </w14:textFill>
        </w:rPr>
        <w:t>前附表。</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3.3.2 同一项目中部分产品属于优先采购政策的，评审时只对该部分产品的报价实行价格优惠。</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3.3.3 为推进政府采购诚信体系建设，供应商在签署相关承诺，提供相关信息前，应认真阅读财政部门相关政策规定。</w:t>
      </w:r>
    </w:p>
    <w:p>
      <w:pPr>
        <w:pStyle w:val="20"/>
        <w:jc w:val="center"/>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二、招标文件</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招标文件</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 招标文件用以阐明所需货物和服务、招标投标程序和合同条款。包括：</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4.1.1 招标</w:t>
      </w:r>
      <w:r>
        <w:rPr>
          <w:rFonts w:hint="eastAsia" w:ascii="宋体" w:hAnsi="宋体" w:eastAsia="宋体" w:cs="宋体"/>
          <w:color w:val="000000" w:themeColor="text1"/>
          <w:sz w:val="24"/>
          <w:szCs w:val="24"/>
          <w:highlight w:val="none"/>
          <w:lang w:eastAsia="zh-CN"/>
          <w14:textFill>
            <w14:solidFill>
              <w14:schemeClr w14:val="tx1"/>
            </w14:solidFill>
          </w14:textFill>
        </w:rPr>
        <w:t>公告</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4.1.2 </w:t>
      </w:r>
      <w:r>
        <w:rPr>
          <w:rFonts w:hint="eastAsia" w:ascii="宋体" w:hAnsi="宋体" w:eastAsia="宋体" w:cs="宋体"/>
          <w:color w:val="000000" w:themeColor="text1"/>
          <w:sz w:val="24"/>
          <w:szCs w:val="24"/>
          <w:highlight w:val="none"/>
          <w:lang w:eastAsia="zh-CN"/>
          <w14:textFill>
            <w14:solidFill>
              <w14:schemeClr w14:val="tx1"/>
            </w14:solidFill>
          </w14:textFill>
        </w:rPr>
        <w:t>投标人须知</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合同</w:t>
      </w:r>
      <w:r>
        <w:rPr>
          <w:rFonts w:hint="eastAsia" w:ascii="宋体" w:hAnsi="宋体" w:eastAsia="宋体" w:cs="宋体"/>
          <w:color w:val="000000" w:themeColor="text1"/>
          <w:sz w:val="24"/>
          <w:szCs w:val="24"/>
          <w:highlight w:val="none"/>
          <w:lang w:eastAsia="zh-CN"/>
          <w14:textFill>
            <w14:solidFill>
              <w14:schemeClr w14:val="tx1"/>
            </w14:solidFill>
          </w14:textFill>
        </w:rPr>
        <w:t>条款及格式</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4.1.4 </w:t>
      </w:r>
      <w:r>
        <w:rPr>
          <w:rFonts w:hint="eastAsia" w:ascii="宋体" w:hAnsi="宋体" w:eastAsia="宋体" w:cs="宋体"/>
          <w:color w:val="000000" w:themeColor="text1"/>
          <w:sz w:val="24"/>
          <w:szCs w:val="24"/>
          <w:highlight w:val="none"/>
          <w:lang w:eastAsia="zh-CN"/>
          <w14:textFill>
            <w14:solidFill>
              <w14:schemeClr w14:val="tx1"/>
            </w14:solidFill>
          </w14:textFill>
        </w:rPr>
        <w:t>采购需求</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4.1.5 投标文件格式</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4.1.6 其他资料</w:t>
      </w:r>
    </w:p>
    <w:p>
      <w:pPr>
        <w:pStyle w:val="21"/>
        <w:keepLines w:val="0"/>
        <w:numPr>
          <w:ilvl w:val="0"/>
          <w:numId w:val="0"/>
        </w:numPr>
        <w:kinsoku/>
        <w:wordWrap/>
        <w:overflowPunct/>
        <w:bidi w:val="0"/>
        <w:spacing w:line="360" w:lineRule="auto"/>
        <w:ind w:firstLine="482" w:firstLineChars="200"/>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4.2 投标人应认真阅读招标文件中所有的事项、格式、条款和规范等要求。如果没有按照招标文件要求提交全部资料或者投标文件没有对招标文件做出实质性响应，其投标将被拒绝。</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 招标文件的澄清和修改</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 招标人如需对已发出的招标文件进行必要澄清或者修改的，招标代理机构将在招标文件要求提交投标文件截止时间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日前，以书面形式通知所有</w:t>
      </w:r>
      <w:r>
        <w:rPr>
          <w:rFonts w:hint="eastAsia" w:ascii="宋体" w:hAnsi="宋体" w:eastAsia="宋体" w:cs="宋体"/>
          <w:color w:val="000000" w:themeColor="text1"/>
          <w:sz w:val="24"/>
          <w:szCs w:val="24"/>
          <w:highlight w:val="none"/>
          <w:lang w:eastAsia="zh-CN"/>
          <w14:textFill>
            <w14:solidFill>
              <w14:schemeClr w14:val="tx1"/>
            </w14:solidFill>
          </w14:textFill>
        </w:rPr>
        <w:t>获取</w:t>
      </w:r>
      <w:r>
        <w:rPr>
          <w:rFonts w:hint="eastAsia" w:ascii="宋体" w:hAnsi="宋体" w:eastAsia="宋体" w:cs="宋体"/>
          <w:color w:val="000000" w:themeColor="text1"/>
          <w:sz w:val="24"/>
          <w:szCs w:val="24"/>
          <w:highlight w:val="none"/>
          <w14:textFill>
            <w14:solidFill>
              <w14:schemeClr w14:val="tx1"/>
            </w14:solidFill>
          </w14:textFill>
        </w:rPr>
        <w:t>招标文件</w:t>
      </w:r>
      <w:r>
        <w:rPr>
          <w:rFonts w:hint="eastAsia" w:ascii="宋体" w:hAnsi="宋体" w:eastAsia="宋体" w:cs="宋体"/>
          <w:color w:val="000000" w:themeColor="text1"/>
          <w:sz w:val="24"/>
          <w:szCs w:val="24"/>
          <w:highlight w:val="none"/>
          <w:lang w:eastAsia="zh-CN"/>
          <w14:textFill>
            <w14:solidFill>
              <w14:schemeClr w14:val="tx1"/>
            </w14:solidFill>
          </w14:textFill>
        </w:rPr>
        <w:t>的投标人</w:t>
      </w:r>
      <w:r>
        <w:rPr>
          <w:rFonts w:hint="eastAsia" w:ascii="宋体" w:hAnsi="宋体" w:eastAsia="宋体" w:cs="宋体"/>
          <w:color w:val="000000" w:themeColor="text1"/>
          <w:sz w:val="24"/>
          <w:szCs w:val="24"/>
          <w:highlight w:val="none"/>
          <w14:textFill>
            <w14:solidFill>
              <w14:schemeClr w14:val="tx1"/>
            </w14:solidFill>
          </w14:textFill>
        </w:rPr>
        <w:t>。该澄清或者修改的内容为招标文件的组成部分。</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延长开标时间</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招标人视采购具体情况如需延长投标截止时间和开标时间，招标代理机构将在招标文件要求提交投标文件的截止时间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日前，将变更时间书面通知所有</w:t>
      </w:r>
      <w:r>
        <w:rPr>
          <w:rFonts w:hint="eastAsia" w:ascii="宋体" w:hAnsi="宋体" w:eastAsia="宋体" w:cs="宋体"/>
          <w:color w:val="000000" w:themeColor="text1"/>
          <w:sz w:val="24"/>
          <w:szCs w:val="24"/>
          <w:highlight w:val="none"/>
          <w:lang w:eastAsia="zh-CN"/>
          <w14:textFill>
            <w14:solidFill>
              <w14:schemeClr w14:val="tx1"/>
            </w14:solidFill>
          </w14:textFill>
        </w:rPr>
        <w:t>获取</w:t>
      </w:r>
      <w:r>
        <w:rPr>
          <w:rFonts w:hint="eastAsia" w:ascii="宋体" w:hAnsi="宋体" w:eastAsia="宋体" w:cs="宋体"/>
          <w:color w:val="000000" w:themeColor="text1"/>
          <w:sz w:val="24"/>
          <w:szCs w:val="24"/>
          <w:highlight w:val="none"/>
          <w14:textFill>
            <w14:solidFill>
              <w14:schemeClr w14:val="tx1"/>
            </w14:solidFill>
          </w14:textFill>
        </w:rPr>
        <w:t>招标文件</w:t>
      </w:r>
      <w:r>
        <w:rPr>
          <w:rFonts w:hint="eastAsia" w:ascii="宋体" w:hAnsi="宋体" w:eastAsia="宋体" w:cs="宋体"/>
          <w:color w:val="000000" w:themeColor="text1"/>
          <w:sz w:val="24"/>
          <w:szCs w:val="24"/>
          <w:highlight w:val="none"/>
          <w:lang w:eastAsia="zh-CN"/>
          <w14:textFill>
            <w14:solidFill>
              <w14:schemeClr w14:val="tx1"/>
            </w14:solidFill>
          </w14:textFill>
        </w:rPr>
        <w:t>的投标人</w:t>
      </w:r>
      <w:r>
        <w:rPr>
          <w:rFonts w:hint="eastAsia" w:ascii="宋体" w:hAnsi="宋体" w:eastAsia="宋体" w:cs="宋体"/>
          <w:color w:val="000000" w:themeColor="text1"/>
          <w:sz w:val="24"/>
          <w:szCs w:val="24"/>
          <w:highlight w:val="none"/>
          <w14:textFill>
            <w14:solidFill>
              <w14:schemeClr w14:val="tx1"/>
            </w14:solidFill>
          </w14:textFill>
        </w:rPr>
        <w:t>。</w:t>
      </w:r>
    </w:p>
    <w:p>
      <w:pPr>
        <w:pStyle w:val="20"/>
        <w:jc w:val="center"/>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三、投标文件的编制</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 投标文件的编写</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7.1 投标人应仔细阅读招标文件,了解招标文件的要求，并在充分理解招标文件提出的货物技术规范、服务和商务条款后的基础上制作投标文件。</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 投标的语言及计量单位</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8.1 投标人的投标文件以及投标人与采购代理机构就有关招标活动的所有来往函电均应使用中文。如果投标文件或与投标有关的其它文件、信件及来往函电以其它语言书写的，投标人应将其译成中文。</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8.2 投标文件中所使用的计量单位除招标文件中有特殊规定外，一律使用法定计量单位。</w:t>
      </w:r>
    </w:p>
    <w:p>
      <w:pPr>
        <w:pStyle w:val="21"/>
        <w:spacing w:line="360" w:lineRule="auto"/>
        <w:ind w:firstLine="567"/>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9. 投标文件构成</w:t>
      </w:r>
    </w:p>
    <w:p>
      <w:pPr>
        <w:pStyle w:val="21"/>
        <w:spacing w:line="360" w:lineRule="auto"/>
        <w:ind w:firstLine="567"/>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9.1  投标人编写的投标文件应包含以下内容:</w:t>
      </w:r>
    </w:p>
    <w:p>
      <w:pPr>
        <w:pStyle w:val="21"/>
        <w:spacing w:line="360" w:lineRule="auto"/>
        <w:ind w:firstLine="567"/>
        <w:jc w:val="both"/>
        <w:outlineLvl w:val="2"/>
        <w:rPr>
          <w:rFonts w:hint="eastAsia" w:ascii="宋体" w:hAnsi="宋体" w:cs="宋体"/>
          <w:b/>
          <w:bCs/>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9.1.1 资格、资信证明文件(以下文件必须在有效期内)</w:t>
      </w:r>
    </w:p>
    <w:p>
      <w:pPr>
        <w:pStyle w:val="21"/>
        <w:spacing w:line="360" w:lineRule="auto"/>
        <w:ind w:firstLine="471" w:firstLineChars="196"/>
        <w:jc w:val="both"/>
        <w:rPr>
          <w:rFonts w:hint="eastAsia" w:ascii="宋体" w:hAnsi="宋体" w:cs="宋体"/>
          <w:b w:val="0"/>
          <w:bCs w:val="0"/>
          <w:color w:val="000000" w:themeColor="text1"/>
          <w:szCs w:val="24"/>
          <w:highlight w:val="none"/>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(1) 企业营业执照</w:t>
      </w:r>
    </w:p>
    <w:p>
      <w:pPr>
        <w:pStyle w:val="21"/>
        <w:spacing w:line="360" w:lineRule="auto"/>
        <w:ind w:firstLine="482" w:firstLineChars="200"/>
        <w:jc w:val="both"/>
        <w:rPr>
          <w:rFonts w:hint="eastAsia" w:ascii="宋体" w:hAnsi="宋体" w:cs="宋体"/>
          <w:b w:val="0"/>
          <w:bCs w:val="0"/>
          <w:color w:val="000000" w:themeColor="text1"/>
          <w:szCs w:val="24"/>
          <w:highlight w:val="none"/>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(2) 法定代表人身份证明或授权委托人身份证明及授权委托书</w:t>
      </w:r>
    </w:p>
    <w:p>
      <w:pPr>
        <w:pStyle w:val="21"/>
        <w:spacing w:line="360" w:lineRule="auto"/>
        <w:ind w:firstLine="482" w:firstLineChars="200"/>
        <w:jc w:val="both"/>
        <w:rPr>
          <w:rFonts w:hint="default" w:ascii="宋体" w:hAnsi="宋体" w:eastAsia="宋体" w:cs="宋体"/>
          <w:b w:val="0"/>
          <w:bCs w:val="0"/>
          <w:color w:val="000000" w:themeColor="text1"/>
          <w:szCs w:val="24"/>
          <w:highlight w:val="none"/>
          <w:lang w:val="en-US" w:eastAsia="zh-CN"/>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(3) 投标保证金</w:t>
      </w:r>
      <w:r>
        <w:rPr>
          <w:rFonts w:hint="eastAsia" w:ascii="宋体" w:hAnsi="宋体" w:cs="宋体"/>
          <w:b w:val="0"/>
          <w:bCs w:val="0"/>
          <w:color w:val="000000" w:themeColor="text1"/>
          <w:szCs w:val="24"/>
          <w:highlight w:val="none"/>
          <w:lang w:val="en-US" w:eastAsia="zh-CN"/>
          <w14:textFill>
            <w14:solidFill>
              <w14:schemeClr w14:val="tx1"/>
            </w14:solidFill>
          </w14:textFill>
        </w:rPr>
        <w:t>缴纳凭证</w:t>
      </w:r>
    </w:p>
    <w:p>
      <w:pPr>
        <w:pStyle w:val="21"/>
        <w:spacing w:line="360" w:lineRule="auto"/>
        <w:ind w:firstLine="482" w:firstLineChars="200"/>
        <w:jc w:val="both"/>
        <w:rPr>
          <w:rFonts w:hint="eastAsia" w:ascii="宋体" w:hAnsi="宋体" w:cs="宋体"/>
          <w:b w:val="0"/>
          <w:bCs w:val="0"/>
          <w:color w:val="000000" w:themeColor="text1"/>
          <w:szCs w:val="24"/>
          <w:highlight w:val="none"/>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 xml:space="preserve">(4) </w:t>
      </w:r>
      <w:r>
        <w:rPr>
          <w:rFonts w:hint="eastAsia" w:ascii="宋体" w:hAnsi="宋体" w:cs="宋体"/>
          <w:b w:val="0"/>
          <w:bCs w:val="0"/>
          <w:color w:val="000000" w:themeColor="text1"/>
          <w:spacing w:val="-3"/>
          <w:szCs w:val="24"/>
          <w:highlight w:val="none"/>
          <w14:textFill>
            <w14:solidFill>
              <w14:schemeClr w14:val="tx1"/>
            </w14:solidFill>
          </w14:textFill>
        </w:rPr>
        <w:t>投标人认为有必要提供的声明及文件资料（包括但不限于近三年的财务审计报告（成立不足三年的提供成立至今的财务审计报告，成立不足一年的提供成立至今的财务报表，包含资产负债表、现金流量表、利润表）</w:t>
      </w:r>
      <w:r>
        <w:rPr>
          <w:rFonts w:hint="eastAsia" w:ascii="宋体" w:hAnsi="宋体" w:cs="宋体"/>
          <w:b w:val="0"/>
          <w:bCs w:val="0"/>
          <w:color w:val="000000" w:themeColor="text1"/>
          <w:spacing w:val="-3"/>
          <w:szCs w:val="24"/>
          <w:highlight w:val="none"/>
          <w:lang w:eastAsia="zh-CN"/>
          <w14:textFill>
            <w14:solidFill>
              <w14:schemeClr w14:val="tx1"/>
            </w14:solidFill>
          </w14:textFill>
        </w:rPr>
        <w:t>、近六个月（连续）的</w:t>
      </w:r>
      <w:r>
        <w:rPr>
          <w:rFonts w:hint="eastAsia" w:ascii="宋体" w:hAnsi="宋体" w:cs="宋体"/>
          <w:b w:val="0"/>
          <w:bCs w:val="0"/>
          <w:color w:val="000000" w:themeColor="text1"/>
          <w:spacing w:val="-3"/>
          <w:szCs w:val="24"/>
          <w:highlight w:val="none"/>
          <w14:textFill>
            <w14:solidFill>
              <w14:schemeClr w14:val="tx1"/>
            </w14:solidFill>
          </w14:textFill>
        </w:rPr>
        <w:t>完税证明、</w:t>
      </w:r>
      <w:r>
        <w:rPr>
          <w:rFonts w:hint="eastAsia" w:ascii="宋体" w:hAnsi="宋体" w:cs="宋体"/>
          <w:b w:val="0"/>
          <w:bCs w:val="0"/>
          <w:color w:val="000000" w:themeColor="text1"/>
          <w:spacing w:val="-3"/>
          <w:szCs w:val="24"/>
          <w:highlight w:val="none"/>
          <w:lang w:eastAsia="zh-CN"/>
          <w14:textFill>
            <w14:solidFill>
              <w14:schemeClr w14:val="tx1"/>
            </w14:solidFill>
          </w14:textFill>
        </w:rPr>
        <w:t>近六个月（连续）</w:t>
      </w:r>
      <w:r>
        <w:rPr>
          <w:rFonts w:hint="eastAsia" w:ascii="宋体" w:hAnsi="宋体" w:cs="宋体"/>
          <w:b w:val="0"/>
          <w:bCs w:val="0"/>
          <w:color w:val="000000" w:themeColor="text1"/>
          <w:spacing w:val="-3"/>
          <w:szCs w:val="24"/>
          <w:highlight w:val="none"/>
          <w14:textFill>
            <w14:solidFill>
              <w14:schemeClr w14:val="tx1"/>
            </w14:solidFill>
          </w14:textFill>
        </w:rPr>
        <w:t>社保</w:t>
      </w:r>
      <w:r>
        <w:rPr>
          <w:rFonts w:hint="eastAsia" w:ascii="宋体" w:hAnsi="宋体" w:cs="宋体"/>
          <w:b w:val="0"/>
          <w:bCs w:val="0"/>
          <w:color w:val="000000" w:themeColor="text1"/>
          <w:spacing w:val="-3"/>
          <w:szCs w:val="24"/>
          <w:highlight w:val="none"/>
          <w:lang w:val="en-US" w:eastAsia="zh-CN"/>
          <w14:textFill>
            <w14:solidFill>
              <w14:schemeClr w14:val="tx1"/>
            </w14:solidFill>
          </w14:textFill>
        </w:rPr>
        <w:t>（需有相关人员的社保缴纳明细，退休人员需提供退休证明）</w:t>
      </w:r>
      <w:r>
        <w:rPr>
          <w:rFonts w:hint="eastAsia" w:ascii="宋体" w:hAnsi="宋体" w:cs="宋体"/>
          <w:b w:val="0"/>
          <w:bCs w:val="0"/>
          <w:color w:val="000000" w:themeColor="text1"/>
          <w:spacing w:val="-3"/>
          <w:szCs w:val="24"/>
          <w:highlight w:val="none"/>
          <w14:textFill>
            <w14:solidFill>
              <w14:schemeClr w14:val="tx1"/>
            </w14:solidFill>
          </w14:textFill>
        </w:rPr>
        <w:t>缴纳记录</w:t>
      </w:r>
      <w:r>
        <w:rPr>
          <w:rFonts w:hint="eastAsia" w:ascii="宋体" w:hAnsi="宋体" w:cs="宋体"/>
          <w:b w:val="0"/>
          <w:bCs w:val="0"/>
          <w:color w:val="000000" w:themeColor="text1"/>
          <w:spacing w:val="-3"/>
          <w:szCs w:val="24"/>
          <w:highlight w:val="none"/>
          <w:lang w:val="en-US" w:eastAsia="zh-CN"/>
          <w14:textFill>
            <w14:solidFill>
              <w14:schemeClr w14:val="tx1"/>
            </w14:solidFill>
          </w14:textFill>
        </w:rPr>
        <w:t>等</w:t>
      </w:r>
      <w:r>
        <w:rPr>
          <w:rFonts w:hint="eastAsia" w:ascii="宋体" w:hAnsi="宋体" w:cs="宋体"/>
          <w:b w:val="0"/>
          <w:bCs w:val="0"/>
          <w:color w:val="000000" w:themeColor="text1"/>
          <w:spacing w:val="-3"/>
          <w:szCs w:val="24"/>
          <w:highlight w:val="none"/>
          <w14:textFill>
            <w14:solidFill>
              <w14:schemeClr w14:val="tx1"/>
            </w14:solidFill>
          </w14:textFill>
        </w:rPr>
        <w:t>）</w:t>
      </w:r>
    </w:p>
    <w:p>
      <w:pPr>
        <w:pStyle w:val="21"/>
        <w:spacing w:line="360" w:lineRule="auto"/>
        <w:ind w:firstLine="567"/>
        <w:jc w:val="both"/>
        <w:outlineLvl w:val="2"/>
        <w:rPr>
          <w:rFonts w:hint="eastAsia" w:ascii="宋体" w:hAnsi="宋体" w:cs="宋体"/>
          <w:b w:val="0"/>
          <w:bCs w:val="0"/>
          <w:color w:val="000000" w:themeColor="text1"/>
          <w:szCs w:val="24"/>
          <w:highlight w:val="none"/>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9.1.2 商务文件</w:t>
      </w:r>
    </w:p>
    <w:p>
      <w:pPr>
        <w:pStyle w:val="21"/>
        <w:spacing w:line="360" w:lineRule="auto"/>
        <w:ind w:firstLine="482" w:firstLineChars="200"/>
        <w:jc w:val="both"/>
        <w:rPr>
          <w:rFonts w:hint="eastAsia" w:ascii="宋体" w:hAnsi="宋体" w:cs="宋体"/>
          <w:b w:val="0"/>
          <w:bCs w:val="0"/>
          <w:color w:val="000000" w:themeColor="text1"/>
          <w:szCs w:val="24"/>
          <w:highlight w:val="none"/>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(1) 投标函</w:t>
      </w:r>
    </w:p>
    <w:p>
      <w:pPr>
        <w:pStyle w:val="21"/>
        <w:spacing w:line="360" w:lineRule="auto"/>
        <w:ind w:firstLine="482" w:firstLineChars="200"/>
        <w:jc w:val="both"/>
        <w:rPr>
          <w:rFonts w:hint="eastAsia" w:ascii="宋体" w:hAnsi="宋体" w:cs="宋体"/>
          <w:b w:val="0"/>
          <w:bCs w:val="0"/>
          <w:color w:val="000000" w:themeColor="text1"/>
          <w:szCs w:val="24"/>
          <w:highlight w:val="none"/>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(2) 开标一览表</w:t>
      </w:r>
    </w:p>
    <w:p>
      <w:pPr>
        <w:pStyle w:val="21"/>
        <w:spacing w:line="360" w:lineRule="auto"/>
        <w:ind w:firstLine="470" w:firstLineChars="200"/>
        <w:jc w:val="both"/>
        <w:rPr>
          <w:rFonts w:hint="eastAsia" w:ascii="宋体" w:hAnsi="宋体" w:cs="宋体"/>
          <w:b w:val="0"/>
          <w:bCs w:val="0"/>
          <w:color w:val="000000" w:themeColor="text1"/>
          <w:szCs w:val="24"/>
          <w:highlight w:val="none"/>
          <w14:textFill>
            <w14:solidFill>
              <w14:schemeClr w14:val="tx1"/>
            </w14:solidFill>
          </w14:textFill>
        </w:rPr>
      </w:pPr>
      <w:r>
        <w:rPr>
          <w:rFonts w:hint="eastAsia" w:ascii="宋体" w:hAnsi="宋体" w:cs="宋体"/>
          <w:b w:val="0"/>
          <w:bCs w:val="0"/>
          <w:color w:val="000000" w:themeColor="text1"/>
          <w:spacing w:val="-3"/>
          <w:szCs w:val="24"/>
          <w:highlight w:val="none"/>
          <w14:textFill>
            <w14:solidFill>
              <w14:schemeClr w14:val="tx1"/>
            </w14:solidFill>
          </w14:textFill>
        </w:rPr>
        <w:t>(</w:t>
      </w:r>
      <w:r>
        <w:rPr>
          <w:rFonts w:hint="eastAsia" w:ascii="宋体" w:hAnsi="宋体" w:cs="宋体"/>
          <w:b w:val="0"/>
          <w:bCs w:val="0"/>
          <w:color w:val="000000" w:themeColor="text1"/>
          <w:spacing w:val="-3"/>
          <w:szCs w:val="24"/>
          <w:highlight w:val="none"/>
          <w:lang w:val="en-US" w:eastAsia="zh-CN"/>
          <w14:textFill>
            <w14:solidFill>
              <w14:schemeClr w14:val="tx1"/>
            </w14:solidFill>
          </w14:textFill>
        </w:rPr>
        <w:t>3</w:t>
      </w:r>
      <w:r>
        <w:rPr>
          <w:rFonts w:hint="eastAsia" w:ascii="宋体" w:hAnsi="宋体" w:cs="宋体"/>
          <w:b w:val="0"/>
          <w:bCs w:val="0"/>
          <w:color w:val="000000" w:themeColor="text1"/>
          <w:spacing w:val="-3"/>
          <w:szCs w:val="24"/>
          <w:highlight w:val="none"/>
          <w14:textFill>
            <w14:solidFill>
              <w14:schemeClr w14:val="tx1"/>
            </w14:solidFill>
          </w14:textFill>
        </w:rPr>
        <w:t xml:space="preserve">) </w:t>
      </w:r>
      <w:r>
        <w:rPr>
          <w:rFonts w:hint="eastAsia" w:ascii="宋体" w:hAnsi="宋体" w:cs="宋体"/>
          <w:b w:val="0"/>
          <w:bCs w:val="0"/>
          <w:color w:val="000000" w:themeColor="text1"/>
          <w:szCs w:val="24"/>
          <w:highlight w:val="none"/>
          <w14:textFill>
            <w14:solidFill>
              <w14:schemeClr w14:val="tx1"/>
            </w14:solidFill>
          </w14:textFill>
        </w:rPr>
        <w:t>售后服务方案</w:t>
      </w:r>
    </w:p>
    <w:p>
      <w:pPr>
        <w:pStyle w:val="22"/>
        <w:spacing w:line="360" w:lineRule="auto"/>
        <w:ind w:firstLine="473"/>
        <w:rPr>
          <w:rFonts w:hint="eastAsia" w:ascii="宋体" w:hAnsi="宋体" w:eastAsia="宋体" w:cs="宋体"/>
          <w:b w:val="0"/>
          <w:bCs w:val="0"/>
          <w:color w:val="000000" w:themeColor="text1"/>
          <w:spacing w:val="-3"/>
          <w:sz w:val="24"/>
          <w:highlight w:val="none"/>
          <w14:textFill>
            <w14:solidFill>
              <w14:schemeClr w14:val="tx1"/>
            </w14:solidFill>
          </w14:textFill>
        </w:rPr>
      </w:pPr>
      <w:r>
        <w:rPr>
          <w:rFonts w:hint="eastAsia" w:ascii="宋体" w:hAnsi="宋体" w:eastAsia="宋体" w:cs="宋体"/>
          <w:b w:val="0"/>
          <w:bCs w:val="0"/>
          <w:color w:val="000000" w:themeColor="text1"/>
          <w:spacing w:val="-3"/>
          <w:sz w:val="24"/>
          <w:highlight w:val="none"/>
          <w14:textFill>
            <w14:solidFill>
              <w14:schemeClr w14:val="tx1"/>
            </w14:solidFill>
          </w14:textFill>
        </w:rPr>
        <w:t>(</w:t>
      </w:r>
      <w:r>
        <w:rPr>
          <w:rFonts w:hint="eastAsia" w:ascii="宋体" w:hAnsi="宋体" w:eastAsia="宋体" w:cs="宋体"/>
          <w:b w:val="0"/>
          <w:bCs w:val="0"/>
          <w:color w:val="000000" w:themeColor="text1"/>
          <w:spacing w:val="-3"/>
          <w:sz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pacing w:val="-3"/>
          <w:sz w:val="24"/>
          <w:highlight w:val="none"/>
          <w14:textFill>
            <w14:solidFill>
              <w14:schemeClr w14:val="tx1"/>
            </w14:solidFill>
          </w14:textFill>
        </w:rPr>
        <w:t xml:space="preserve">) </w:t>
      </w:r>
      <w:r>
        <w:rPr>
          <w:rFonts w:hint="eastAsia" w:ascii="宋体" w:hAnsi="宋体" w:eastAsia="宋体" w:cs="宋体"/>
          <w:b w:val="0"/>
          <w:bCs w:val="0"/>
          <w:color w:val="000000" w:themeColor="text1"/>
          <w:spacing w:val="-3"/>
          <w:sz w:val="24"/>
          <w:highlight w:val="none"/>
          <w:lang w:eastAsia="zh-CN"/>
          <w14:textFill>
            <w14:solidFill>
              <w14:schemeClr w14:val="tx1"/>
            </w14:solidFill>
          </w14:textFill>
        </w:rPr>
        <w:t>供应商“信用中国”</w:t>
      </w:r>
      <w:r>
        <w:rPr>
          <w:rFonts w:hint="eastAsia" w:ascii="宋体" w:hAnsi="宋体" w:eastAsia="宋体" w:cs="宋体"/>
          <w:b w:val="0"/>
          <w:bCs w:val="0"/>
          <w:color w:val="000000" w:themeColor="text1"/>
          <w:spacing w:val="-3"/>
          <w:sz w:val="24"/>
          <w:highlight w:val="none"/>
          <w:lang w:val="en-US" w:eastAsia="zh-CN"/>
          <w14:textFill>
            <w14:solidFill>
              <w14:schemeClr w14:val="tx1"/>
            </w14:solidFill>
          </w14:textFill>
        </w:rPr>
        <w:t>的信用信息报告和国家企业信用信息公示报告及中国政府采购网截图</w:t>
      </w:r>
    </w:p>
    <w:p>
      <w:pPr>
        <w:pStyle w:val="22"/>
        <w:spacing w:line="360" w:lineRule="auto"/>
        <w:ind w:firstLine="473"/>
        <w:rPr>
          <w:rFonts w:hint="eastAsia" w:ascii="宋体" w:hAnsi="宋体" w:eastAsia="宋体" w:cs="宋体"/>
          <w:b w:val="0"/>
          <w:bCs w:val="0"/>
          <w:color w:val="000000" w:themeColor="text1"/>
          <w:spacing w:val="-3"/>
          <w:sz w:val="24"/>
          <w:highlight w:val="none"/>
          <w14:textFill>
            <w14:solidFill>
              <w14:schemeClr w14:val="tx1"/>
            </w14:solidFill>
          </w14:textFill>
        </w:rPr>
      </w:pPr>
      <w:r>
        <w:rPr>
          <w:rFonts w:hint="eastAsia" w:ascii="宋体" w:hAnsi="宋体" w:eastAsia="宋体" w:cs="宋体"/>
          <w:b w:val="0"/>
          <w:bCs w:val="0"/>
          <w:color w:val="000000" w:themeColor="text1"/>
          <w:spacing w:val="-3"/>
          <w:sz w:val="24"/>
          <w:highlight w:val="none"/>
          <w14:textFill>
            <w14:solidFill>
              <w14:schemeClr w14:val="tx1"/>
            </w14:solidFill>
          </w14:textFill>
        </w:rPr>
        <w:t>(</w:t>
      </w:r>
      <w:r>
        <w:rPr>
          <w:rFonts w:hint="eastAsia" w:ascii="宋体" w:hAnsi="宋体" w:eastAsia="宋体" w:cs="宋体"/>
          <w:b w:val="0"/>
          <w:bCs w:val="0"/>
          <w:color w:val="000000" w:themeColor="text1"/>
          <w:spacing w:val="-3"/>
          <w:sz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pacing w:val="-3"/>
          <w:sz w:val="24"/>
          <w:highlight w:val="none"/>
          <w14:textFill>
            <w14:solidFill>
              <w14:schemeClr w14:val="tx1"/>
            </w14:solidFill>
          </w14:textFill>
        </w:rPr>
        <w:t>) 投标人认为有必要提供的声明及文件资料</w:t>
      </w:r>
    </w:p>
    <w:p>
      <w:pPr>
        <w:pStyle w:val="21"/>
        <w:spacing w:line="360" w:lineRule="auto"/>
        <w:ind w:firstLine="567"/>
        <w:jc w:val="both"/>
        <w:outlineLvl w:val="2"/>
        <w:rPr>
          <w:rFonts w:hint="eastAsia" w:ascii="宋体" w:hAnsi="宋体" w:cs="宋体"/>
          <w:b w:val="0"/>
          <w:bCs w:val="0"/>
          <w:color w:val="000000" w:themeColor="text1"/>
          <w:szCs w:val="24"/>
          <w:highlight w:val="none"/>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9.1.3 技术文件</w:t>
      </w:r>
    </w:p>
    <w:p>
      <w:pPr>
        <w:pStyle w:val="21"/>
        <w:spacing w:line="360" w:lineRule="auto"/>
        <w:ind w:firstLine="482" w:firstLineChars="200"/>
        <w:jc w:val="both"/>
        <w:rPr>
          <w:rFonts w:hint="eastAsia" w:ascii="宋体" w:hAnsi="宋体" w:eastAsia="宋体" w:cs="宋体"/>
          <w:b w:val="0"/>
          <w:bCs w:val="0"/>
          <w:color w:val="000000" w:themeColor="text1"/>
          <w:szCs w:val="24"/>
          <w:highlight w:val="none"/>
          <w:lang w:eastAsia="zh-CN"/>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w:t>
      </w:r>
      <w:r>
        <w:rPr>
          <w:rFonts w:hint="eastAsia" w:ascii="宋体" w:hAnsi="宋体" w:cs="宋体"/>
          <w:b w:val="0"/>
          <w:bCs w:val="0"/>
          <w:color w:val="000000" w:themeColor="text1"/>
          <w:szCs w:val="24"/>
          <w:highlight w:val="none"/>
          <w:lang w:val="en-US" w:eastAsia="zh-CN"/>
          <w14:textFill>
            <w14:solidFill>
              <w14:schemeClr w14:val="tx1"/>
            </w14:solidFill>
          </w14:textFill>
        </w:rPr>
        <w:t>1</w:t>
      </w:r>
      <w:r>
        <w:rPr>
          <w:rFonts w:hint="eastAsia" w:ascii="宋体" w:hAnsi="宋体" w:cs="宋体"/>
          <w:b w:val="0"/>
          <w:bCs w:val="0"/>
          <w:color w:val="000000" w:themeColor="text1"/>
          <w:szCs w:val="24"/>
          <w:highlight w:val="none"/>
          <w14:textFill>
            <w14:solidFill>
              <w14:schemeClr w14:val="tx1"/>
            </w14:solidFill>
          </w14:textFill>
        </w:rPr>
        <w:t xml:space="preserve">) </w:t>
      </w:r>
      <w:r>
        <w:rPr>
          <w:rFonts w:hint="eastAsia" w:ascii="宋体" w:hAnsi="宋体" w:cs="宋体"/>
          <w:b w:val="0"/>
          <w:bCs w:val="0"/>
          <w:color w:val="000000" w:themeColor="text1"/>
          <w:szCs w:val="24"/>
          <w:highlight w:val="none"/>
          <w:lang w:val="en-US" w:eastAsia="zh-CN"/>
          <w14:textFill>
            <w14:solidFill>
              <w14:schemeClr w14:val="tx1"/>
            </w14:solidFill>
          </w14:textFill>
        </w:rPr>
        <w:t>供货实施方案</w:t>
      </w:r>
    </w:p>
    <w:p>
      <w:pPr>
        <w:pStyle w:val="21"/>
        <w:spacing w:line="360" w:lineRule="auto"/>
        <w:ind w:firstLine="482" w:firstLineChars="200"/>
        <w:jc w:val="both"/>
        <w:rPr>
          <w:rFonts w:hint="eastAsia" w:ascii="宋体" w:hAnsi="宋体" w:eastAsia="宋体" w:cs="宋体"/>
          <w:b w:val="0"/>
          <w:bCs w:val="0"/>
          <w:color w:val="000000" w:themeColor="text1"/>
          <w:szCs w:val="24"/>
          <w:highlight w:val="none"/>
          <w:lang w:eastAsia="zh-CN"/>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w:t>
      </w:r>
      <w:r>
        <w:rPr>
          <w:rFonts w:hint="eastAsia" w:ascii="宋体" w:hAnsi="宋体" w:cs="宋体"/>
          <w:b w:val="0"/>
          <w:bCs w:val="0"/>
          <w:color w:val="000000" w:themeColor="text1"/>
          <w:szCs w:val="24"/>
          <w:highlight w:val="none"/>
          <w:lang w:val="en-US" w:eastAsia="zh-CN"/>
          <w14:textFill>
            <w14:solidFill>
              <w14:schemeClr w14:val="tx1"/>
            </w14:solidFill>
          </w14:textFill>
        </w:rPr>
        <w:t>2</w:t>
      </w:r>
      <w:r>
        <w:rPr>
          <w:rFonts w:hint="eastAsia" w:ascii="宋体" w:hAnsi="宋体" w:cs="宋体"/>
          <w:b w:val="0"/>
          <w:bCs w:val="0"/>
          <w:color w:val="000000" w:themeColor="text1"/>
          <w:szCs w:val="24"/>
          <w:highlight w:val="none"/>
          <w14:textFill>
            <w14:solidFill>
              <w14:schemeClr w14:val="tx1"/>
            </w14:solidFill>
          </w14:textFill>
        </w:rPr>
        <w:t xml:space="preserve">) </w:t>
      </w:r>
      <w:r>
        <w:rPr>
          <w:rFonts w:hint="eastAsia" w:ascii="宋体" w:hAnsi="宋体" w:cs="宋体"/>
          <w:b w:val="0"/>
          <w:bCs w:val="0"/>
          <w:color w:val="000000" w:themeColor="text1"/>
          <w:szCs w:val="24"/>
          <w:highlight w:val="none"/>
          <w:lang w:eastAsia="zh-CN"/>
          <w14:textFill>
            <w14:solidFill>
              <w14:schemeClr w14:val="tx1"/>
            </w14:solidFill>
          </w14:textFill>
        </w:rPr>
        <w:t>货物的技术指标</w:t>
      </w:r>
    </w:p>
    <w:p>
      <w:pPr>
        <w:pStyle w:val="21"/>
        <w:spacing w:line="360" w:lineRule="auto"/>
        <w:ind w:firstLine="482" w:firstLineChars="200"/>
        <w:jc w:val="both"/>
        <w:rPr>
          <w:rFonts w:hint="eastAsia" w:ascii="宋体" w:hAnsi="宋体" w:cs="宋体"/>
          <w:b w:val="0"/>
          <w:bCs w:val="0"/>
          <w:color w:val="000000" w:themeColor="text1"/>
          <w:szCs w:val="24"/>
          <w:highlight w:val="none"/>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w:t>
      </w:r>
      <w:r>
        <w:rPr>
          <w:rFonts w:hint="eastAsia" w:ascii="宋体" w:hAnsi="宋体" w:cs="宋体"/>
          <w:b w:val="0"/>
          <w:bCs w:val="0"/>
          <w:color w:val="000000" w:themeColor="text1"/>
          <w:szCs w:val="24"/>
          <w:highlight w:val="none"/>
          <w:lang w:val="en-US" w:eastAsia="zh-CN"/>
          <w14:textFill>
            <w14:solidFill>
              <w14:schemeClr w14:val="tx1"/>
            </w14:solidFill>
          </w14:textFill>
        </w:rPr>
        <w:t>3</w:t>
      </w:r>
      <w:r>
        <w:rPr>
          <w:rFonts w:hint="eastAsia" w:ascii="宋体" w:hAnsi="宋体" w:cs="宋体"/>
          <w:b w:val="0"/>
          <w:bCs w:val="0"/>
          <w:color w:val="000000" w:themeColor="text1"/>
          <w:szCs w:val="24"/>
          <w:highlight w:val="none"/>
          <w14:textFill>
            <w14:solidFill>
              <w14:schemeClr w14:val="tx1"/>
            </w14:solidFill>
          </w14:textFill>
        </w:rPr>
        <w:t>) 投标人认为有必要提供的声明及文件资料</w:t>
      </w:r>
    </w:p>
    <w:p>
      <w:pPr>
        <w:pStyle w:val="21"/>
        <w:spacing w:line="360" w:lineRule="auto"/>
        <w:ind w:firstLine="482" w:firstLineChars="200"/>
        <w:jc w:val="both"/>
        <w:outlineLvl w:val="2"/>
        <w:rPr>
          <w:rFonts w:hint="eastAsia" w:ascii="宋体" w:hAnsi="宋体" w:cs="宋体"/>
          <w:b w:val="0"/>
          <w:bCs w:val="0"/>
          <w:color w:val="000000" w:themeColor="text1"/>
          <w:szCs w:val="24"/>
          <w:highlight w:val="none"/>
          <w:lang w:val="en-US" w:eastAsia="zh-CN"/>
          <w14:textFill>
            <w14:solidFill>
              <w14:schemeClr w14:val="tx1"/>
            </w14:solidFill>
          </w14:textFill>
        </w:rPr>
      </w:pPr>
      <w:r>
        <w:rPr>
          <w:rFonts w:hint="eastAsia" w:ascii="宋体" w:hAnsi="宋体" w:cs="宋体"/>
          <w:b w:val="0"/>
          <w:bCs w:val="0"/>
          <w:color w:val="000000" w:themeColor="text1"/>
          <w:szCs w:val="24"/>
          <w:highlight w:val="none"/>
          <w:lang w:val="en-US" w:eastAsia="zh-CN"/>
          <w14:textFill>
            <w14:solidFill>
              <w14:schemeClr w14:val="tx1"/>
            </w14:solidFill>
          </w14:textFill>
        </w:rPr>
        <w:t>9.1.4 电子标书</w:t>
      </w:r>
    </w:p>
    <w:p>
      <w:pPr>
        <w:pStyle w:val="21"/>
        <w:spacing w:line="360" w:lineRule="auto"/>
        <w:ind w:firstLine="482" w:firstLineChars="200"/>
        <w:jc w:val="both"/>
        <w:outlineLvl w:val="2"/>
        <w:rPr>
          <w:rFonts w:hint="eastAsia" w:ascii="宋体" w:hAnsi="宋体" w:cs="宋体"/>
          <w:b w:val="0"/>
          <w:bCs w:val="0"/>
          <w:color w:val="000000" w:themeColor="text1"/>
          <w:szCs w:val="24"/>
          <w:highlight w:val="none"/>
          <w:lang w:val="en-US" w:eastAsia="zh-CN"/>
          <w14:textFill>
            <w14:solidFill>
              <w14:schemeClr w14:val="tx1"/>
            </w14:solidFill>
          </w14:textFill>
        </w:rPr>
      </w:pPr>
      <w:r>
        <w:rPr>
          <w:rFonts w:hint="eastAsia" w:ascii="宋体" w:hAnsi="宋体" w:cs="宋体"/>
          <w:b w:val="0"/>
          <w:bCs w:val="0"/>
          <w:color w:val="000000" w:themeColor="text1"/>
          <w:szCs w:val="24"/>
          <w:highlight w:val="none"/>
          <w:lang w:val="en-US" w:eastAsia="zh-CN"/>
          <w14:textFill>
            <w14:solidFill>
              <w14:schemeClr w14:val="tx1"/>
            </w14:solidFill>
          </w14:textFill>
        </w:rPr>
        <w:t>本项目实行电子招投标，供应商需要使用CA锁，在新疆政府采购网--下载专区下载--供应商客户端制作投标文件，并生成JMBS格式加密文件，在投标截止前上传至政府采购云平台。</w:t>
      </w:r>
    </w:p>
    <w:p>
      <w:pPr>
        <w:pStyle w:val="21"/>
        <w:keepLines w:val="0"/>
        <w:kinsoku/>
        <w:wordWrap/>
        <w:overflowPunct/>
        <w:bidi w:val="0"/>
        <w:spacing w:line="360" w:lineRule="auto"/>
        <w:ind w:firstLine="525"/>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9.</w:t>
      </w:r>
      <w:r>
        <w:rPr>
          <w:rFonts w:hint="eastAsia" w:ascii="宋体" w:hAnsi="宋体" w:cs="宋体"/>
          <w:b w:val="0"/>
          <w:bCs w:val="0"/>
          <w:color w:val="000000" w:themeColor="text1"/>
          <w:szCs w:val="24"/>
          <w:highlight w:val="none"/>
          <w:lang w:val="en-US" w:eastAsia="zh-CN"/>
          <w14:textFill>
            <w14:solidFill>
              <w14:schemeClr w14:val="tx1"/>
            </w14:solidFill>
          </w14:textFill>
        </w:rPr>
        <w:t>2</w:t>
      </w:r>
      <w:r>
        <w:rPr>
          <w:rFonts w:hint="eastAsia" w:ascii="宋体" w:hAnsi="宋体" w:cs="宋体"/>
          <w:b w:val="0"/>
          <w:bCs w:val="0"/>
          <w:color w:val="000000" w:themeColor="text1"/>
          <w:szCs w:val="24"/>
          <w:highlight w:val="none"/>
          <w14:textFill>
            <w14:solidFill>
              <w14:schemeClr w14:val="tx1"/>
            </w14:solidFill>
          </w14:textFill>
        </w:rPr>
        <w:t>投标人在投标中违反国家有关法律法规的强制性规定的，其投标按未满足招标文件实质性要求处理。</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  投标书格式</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  投标人应按招标文件提供的格式完整地填写所提供的货物、服务、数量及价格。</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  投标报价</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  投标人应按招标文件所附的《开标一览表》和《投标产品名称、数量、规格及报价明细表》中的项目，标明拟提供货物和服务的单价和总价。如单价和总价不符，以单价累计为准。</w:t>
      </w:r>
    </w:p>
    <w:p>
      <w:pPr>
        <w:pStyle w:val="21"/>
        <w:keepLines w:val="0"/>
        <w:kinsoku/>
        <w:wordWrap/>
        <w:overflowPunct/>
        <w:bidi w:val="0"/>
        <w:spacing w:line="360" w:lineRule="auto"/>
        <w:ind w:firstLine="567"/>
        <w:jc w:val="both"/>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11.2 本标针对每种货物只接受一个报价，不接受备选方案，但不拒绝优惠声明。</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  投标人应按招标文件的要求对有关设计</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、货物及其配套服务的全部内容进行报价。投标报价应包括：</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11.3.1  外购、外协、配套件、原材料及功能设计生产制造、检验、油漆、包装、保险、利税、管理、运杂、安装调试、人员培训等费用。</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11.3.2  招标文件中特别要求的零</w:t>
      </w:r>
      <w:r>
        <w:rPr>
          <w:rFonts w:hint="eastAsia" w:ascii="宋体" w:hAnsi="宋体" w:eastAsia="宋体" w:cs="宋体"/>
          <w:color w:val="000000" w:themeColor="text1"/>
          <w:sz w:val="24"/>
          <w:szCs w:val="24"/>
          <w:highlight w:val="none"/>
          <w:lang w:eastAsia="zh-CN"/>
          <w14:textFill>
            <w14:solidFill>
              <w14:schemeClr w14:val="tx1"/>
            </w14:solidFill>
          </w14:textFill>
        </w:rPr>
        <w:t>件</w:t>
      </w:r>
      <w:r>
        <w:rPr>
          <w:rFonts w:hint="eastAsia" w:ascii="宋体" w:hAnsi="宋体" w:eastAsia="宋体" w:cs="宋体"/>
          <w:color w:val="000000" w:themeColor="text1"/>
          <w:sz w:val="24"/>
          <w:szCs w:val="24"/>
          <w:highlight w:val="none"/>
          <w14:textFill>
            <w14:solidFill>
              <w14:schemeClr w14:val="tx1"/>
            </w14:solidFill>
          </w14:textFill>
        </w:rPr>
        <w:t>、备</w:t>
      </w:r>
      <w:r>
        <w:rPr>
          <w:rFonts w:hint="eastAsia" w:ascii="宋体" w:hAnsi="宋体" w:eastAsia="宋体" w:cs="宋体"/>
          <w:color w:val="000000" w:themeColor="text1"/>
          <w:sz w:val="24"/>
          <w:szCs w:val="24"/>
          <w:highlight w:val="none"/>
          <w:lang w:eastAsia="zh-CN"/>
          <w14:textFill>
            <w14:solidFill>
              <w14:schemeClr w14:val="tx1"/>
            </w14:solidFill>
          </w14:textFill>
        </w:rPr>
        <w:t>品备</w:t>
      </w:r>
      <w:r>
        <w:rPr>
          <w:rFonts w:hint="eastAsia" w:ascii="宋体" w:hAnsi="宋体" w:eastAsia="宋体" w:cs="宋体"/>
          <w:color w:val="000000" w:themeColor="text1"/>
          <w:sz w:val="24"/>
          <w:szCs w:val="24"/>
          <w:highlight w:val="none"/>
          <w14:textFill>
            <w14:solidFill>
              <w14:schemeClr w14:val="tx1"/>
            </w14:solidFill>
          </w14:textFill>
        </w:rPr>
        <w:t>件</w:t>
      </w:r>
      <w:r>
        <w:rPr>
          <w:rFonts w:hint="eastAsia" w:ascii="宋体" w:hAnsi="宋体" w:eastAsia="宋体" w:cs="宋体"/>
          <w:color w:val="000000" w:themeColor="text1"/>
          <w:sz w:val="24"/>
          <w:szCs w:val="24"/>
          <w:highlight w:val="none"/>
          <w:lang w:eastAsia="zh-CN"/>
          <w14:textFill>
            <w14:solidFill>
              <w14:schemeClr w14:val="tx1"/>
            </w14:solidFill>
          </w14:textFill>
        </w:rPr>
        <w:t>等</w:t>
      </w:r>
      <w:r>
        <w:rPr>
          <w:rFonts w:hint="eastAsia" w:ascii="宋体" w:hAnsi="宋体" w:eastAsia="宋体" w:cs="宋体"/>
          <w:color w:val="000000" w:themeColor="text1"/>
          <w:sz w:val="24"/>
          <w:szCs w:val="24"/>
          <w:highlight w:val="none"/>
          <w14:textFill>
            <w14:solidFill>
              <w14:schemeClr w14:val="tx1"/>
            </w14:solidFill>
          </w14:textFill>
        </w:rPr>
        <w:t>费用。</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11.3.3  分项报价明细表中特别要求的安装、调试、运输及培训</w:t>
      </w:r>
      <w:r>
        <w:rPr>
          <w:rFonts w:hint="eastAsia" w:ascii="宋体" w:hAnsi="宋体" w:eastAsia="宋体" w:cs="宋体"/>
          <w:color w:val="000000" w:themeColor="text1"/>
          <w:sz w:val="24"/>
          <w:szCs w:val="24"/>
          <w:highlight w:val="none"/>
          <w:lang w:eastAsia="zh-CN"/>
          <w14:textFill>
            <w14:solidFill>
              <w14:schemeClr w14:val="tx1"/>
            </w14:solidFill>
          </w14:textFill>
        </w:rPr>
        <w:t>等</w:t>
      </w:r>
      <w:r>
        <w:rPr>
          <w:rFonts w:hint="eastAsia" w:ascii="宋体" w:hAnsi="宋体" w:eastAsia="宋体" w:cs="宋体"/>
          <w:color w:val="000000" w:themeColor="text1"/>
          <w:sz w:val="24"/>
          <w:szCs w:val="24"/>
          <w:highlight w:val="none"/>
          <w14:textFill>
            <w14:solidFill>
              <w14:schemeClr w14:val="tx1"/>
            </w14:solidFill>
          </w14:textFill>
        </w:rPr>
        <w:t>费用。</w:t>
      </w:r>
    </w:p>
    <w:p>
      <w:pPr>
        <w:pStyle w:val="21"/>
        <w:keepLines w:val="0"/>
        <w:kinsoku/>
        <w:wordWrap/>
        <w:overflowPunct/>
        <w:bidi w:val="0"/>
        <w:spacing w:line="360" w:lineRule="auto"/>
        <w:ind w:firstLine="567"/>
        <w:jc w:val="both"/>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12.   投标货币</w:t>
      </w:r>
    </w:p>
    <w:p>
      <w:pPr>
        <w:pStyle w:val="21"/>
        <w:keepLines w:val="0"/>
        <w:kinsoku/>
        <w:wordWrap/>
        <w:overflowPunct/>
        <w:bidi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 本次投标货币为人民币。</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  证明投标人合格和资格的文件</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 投标人应提交证明其有资格参加投标和一旦其投标被接受则有能力履行合同的文件，并作为其投标文件的一部分。</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 投标人应填写并提交招标文件所要求的资格证明类文件。</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  证明货物的合格性和符合招标文件规定的文件</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 投标人应提交招标文件要求的货物及其服务的合格性及符合招标文件规定的证明文件。证明文件可以是手册、图纸和资料</w:t>
      </w:r>
      <w:r>
        <w:rPr>
          <w:rFonts w:hint="eastAsia" w:ascii="宋体" w:hAnsi="宋体" w:eastAsia="宋体" w:cs="宋体"/>
          <w:color w:val="000000" w:themeColor="text1"/>
          <w:sz w:val="24"/>
          <w:szCs w:val="24"/>
          <w:highlight w:val="none"/>
          <w:lang w:eastAsia="zh-CN"/>
          <w14:textFill>
            <w14:solidFill>
              <w14:schemeClr w14:val="tx1"/>
            </w14:solidFill>
          </w14:textFill>
        </w:rPr>
        <w:t>等</w:t>
      </w:r>
      <w:r>
        <w:rPr>
          <w:rFonts w:hint="eastAsia" w:ascii="宋体" w:hAnsi="宋体" w:eastAsia="宋体" w:cs="宋体"/>
          <w:color w:val="000000" w:themeColor="text1"/>
          <w:sz w:val="24"/>
          <w:szCs w:val="24"/>
          <w:highlight w:val="none"/>
          <w14:textFill>
            <w14:solidFill>
              <w14:schemeClr w14:val="tx1"/>
            </w14:solidFill>
          </w14:textFill>
        </w:rPr>
        <w:t>，并作为投标文件的一部分。</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 投标人应逐条阅读招标文件要求的技术规格条款要求，指出自己提供的货物和服务是否对招标文件做出实质性的响应，</w:t>
      </w:r>
      <w:r>
        <w:rPr>
          <w:rFonts w:hint="eastAsia" w:ascii="宋体" w:hAnsi="宋体" w:eastAsia="宋体" w:cs="宋体"/>
          <w:b/>
          <w:color w:val="000000" w:themeColor="text1"/>
          <w:sz w:val="24"/>
          <w:szCs w:val="24"/>
          <w:highlight w:val="none"/>
          <w14:textFill>
            <w14:solidFill>
              <w14:schemeClr w14:val="tx1"/>
            </w14:solidFill>
          </w14:textFill>
        </w:rPr>
        <w:t>并将不能响应之处在招标文件所附的“技术</w:t>
      </w:r>
      <w:r>
        <w:rPr>
          <w:rFonts w:hint="eastAsia" w:ascii="宋体" w:hAnsi="宋体" w:eastAsia="宋体" w:cs="宋体"/>
          <w:b/>
          <w:color w:val="000000" w:themeColor="text1"/>
          <w:sz w:val="24"/>
          <w:szCs w:val="24"/>
          <w:highlight w:val="none"/>
          <w:lang w:eastAsia="zh-CN"/>
          <w14:textFill>
            <w14:solidFill>
              <w14:schemeClr w14:val="tx1"/>
            </w14:solidFill>
          </w14:textFill>
        </w:rPr>
        <w:t>规格</w:t>
      </w:r>
      <w:r>
        <w:rPr>
          <w:rFonts w:hint="eastAsia" w:ascii="宋体" w:hAnsi="宋体" w:eastAsia="宋体" w:cs="宋体"/>
          <w:b/>
          <w:color w:val="000000" w:themeColor="text1"/>
          <w:sz w:val="24"/>
          <w:szCs w:val="24"/>
          <w:highlight w:val="none"/>
          <w14:textFill>
            <w14:solidFill>
              <w14:schemeClr w14:val="tx1"/>
            </w14:solidFill>
          </w14:textFill>
        </w:rPr>
        <w:t>偏离表”中一一列出。否则，将视为投标人同意、确认或接受招标文件的全部或相应部分的要求。</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14.3  证明货物的合格性和符合招标文件规定的文件应包括</w:t>
      </w:r>
      <w:r>
        <w:rPr>
          <w:rFonts w:hint="eastAsia" w:ascii="宋体" w:hAnsi="宋体" w:eastAsia="宋体" w:cs="宋体"/>
          <w:color w:val="000000" w:themeColor="text1"/>
          <w:sz w:val="24"/>
          <w:szCs w:val="24"/>
          <w:highlight w:val="none"/>
          <w:lang w:val="en-US" w:eastAsia="zh-CN"/>
          <w14:textFill>
            <w14:solidFill>
              <w14:schemeClr w14:val="tx1"/>
            </w14:solidFill>
          </w14:textFill>
        </w:rPr>
        <w:t>但不限于</w:t>
      </w:r>
      <w:r>
        <w:rPr>
          <w:rFonts w:hint="eastAsia" w:ascii="宋体" w:hAnsi="宋体" w:eastAsia="宋体" w:cs="宋体"/>
          <w:color w:val="000000" w:themeColor="text1"/>
          <w:sz w:val="24"/>
          <w:szCs w:val="24"/>
          <w:highlight w:val="none"/>
          <w14:textFill>
            <w14:solidFill>
              <w14:schemeClr w14:val="tx1"/>
            </w14:solidFill>
          </w14:textFill>
        </w:rPr>
        <w:t>下列内容：</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14.3.1  投标货物的试验</w:t>
      </w:r>
      <w:r>
        <w:rPr>
          <w:rFonts w:hint="eastAsia" w:ascii="宋体" w:hAnsi="宋体" w:eastAsia="宋体" w:cs="宋体"/>
          <w:color w:val="000000" w:themeColor="text1"/>
          <w:sz w:val="24"/>
          <w:szCs w:val="24"/>
          <w:highlight w:val="none"/>
          <w:lang w:eastAsia="zh-CN"/>
          <w14:textFill>
            <w14:solidFill>
              <w14:schemeClr w14:val="tx1"/>
            </w14:solidFill>
          </w14:textFill>
        </w:rPr>
        <w:t>检验</w:t>
      </w:r>
      <w:r>
        <w:rPr>
          <w:rFonts w:hint="eastAsia" w:ascii="宋体" w:hAnsi="宋体" w:eastAsia="宋体" w:cs="宋体"/>
          <w:color w:val="000000" w:themeColor="text1"/>
          <w:sz w:val="24"/>
          <w:szCs w:val="24"/>
          <w:highlight w:val="none"/>
          <w14:textFill>
            <w14:solidFill>
              <w14:schemeClr w14:val="tx1"/>
            </w14:solidFill>
          </w14:textFill>
        </w:rPr>
        <w:t>报告、鉴定证书（复印件）；</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14.3.</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 xml:space="preserve">  有关的产品样本、手册、图纸和资料；</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14.3.</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  投标人认为有必要提供的其它证明文件</w:t>
      </w:r>
      <w:r>
        <w:rPr>
          <w:rFonts w:hint="eastAsia" w:ascii="宋体" w:hAnsi="宋体" w:eastAsia="宋体" w:cs="宋体"/>
          <w:color w:val="000000" w:themeColor="text1"/>
          <w:sz w:val="24"/>
          <w:szCs w:val="24"/>
          <w:highlight w:val="none"/>
          <w:lang w:eastAsia="zh-CN"/>
          <w14:textFill>
            <w14:solidFill>
              <w14:schemeClr w14:val="tx1"/>
            </w14:solidFill>
          </w14:textFill>
        </w:rPr>
        <w:t>（如</w:t>
      </w:r>
      <w:r>
        <w:rPr>
          <w:rFonts w:hint="eastAsia" w:ascii="宋体" w:hAnsi="宋体" w:eastAsia="宋体" w:cs="宋体"/>
          <w:color w:val="000000" w:themeColor="text1"/>
          <w:sz w:val="24"/>
          <w:szCs w:val="24"/>
          <w:highlight w:val="none"/>
          <w14:textFill>
            <w14:solidFill>
              <w14:schemeClr w14:val="tx1"/>
            </w14:solidFill>
          </w14:textFill>
        </w:rPr>
        <w:t>荣获国优、部优、省优荣誉证书</w:t>
      </w:r>
      <w:r>
        <w:rPr>
          <w:rFonts w:hint="eastAsia" w:ascii="宋体" w:hAnsi="宋体" w:eastAsia="宋体" w:cs="宋体"/>
          <w:color w:val="000000" w:themeColor="text1"/>
          <w:sz w:val="24"/>
          <w:szCs w:val="24"/>
          <w:highlight w:val="none"/>
          <w:lang w:eastAsia="zh-CN"/>
          <w14:textFill>
            <w14:solidFill>
              <w14:schemeClr w14:val="tx1"/>
            </w14:solidFill>
          </w14:textFill>
        </w:rPr>
        <w:t>等其他资料）</w:t>
      </w:r>
      <w:r>
        <w:rPr>
          <w:rFonts w:hint="eastAsia" w:ascii="宋体" w:hAnsi="宋体" w:eastAsia="宋体" w:cs="宋体"/>
          <w:color w:val="000000" w:themeColor="text1"/>
          <w:sz w:val="24"/>
          <w:szCs w:val="24"/>
          <w:highlight w:val="none"/>
          <w14:textFill>
            <w14:solidFill>
              <w14:schemeClr w14:val="tx1"/>
            </w14:solidFill>
          </w14:textFill>
        </w:rPr>
        <w:t>；</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  投标文件的有效期</w:t>
      </w:r>
    </w:p>
    <w:p>
      <w:pPr>
        <w:pStyle w:val="21"/>
        <w:keepLines w:val="0"/>
        <w:kinsoku/>
        <w:wordWrap/>
        <w:overflowPunct/>
        <w:bidi w:val="0"/>
        <w:spacing w:line="360" w:lineRule="auto"/>
        <w:ind w:firstLine="567"/>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15.1  投标文件从实际开标之日起</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60</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天内有效。</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  在特殊情况下, 在原投标有效期届满之前，采购代理机构可与投标单位协商延长投标文件的有效期，并经投标方确认。</w:t>
      </w:r>
    </w:p>
    <w:p>
      <w:pPr>
        <w:pStyle w:val="21"/>
        <w:keepLines w:val="0"/>
        <w:kinsoku/>
        <w:wordWrap/>
        <w:overflowPunct/>
        <w:bidi w:val="0"/>
        <w:spacing w:line="360" w:lineRule="auto"/>
        <w:ind w:firstLine="567"/>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15.3 投标人在投标有效期内撤销投标文件的，采购代理机构可以不退还投标保证金。</w:t>
      </w:r>
    </w:p>
    <w:p>
      <w:pPr>
        <w:pStyle w:val="21"/>
        <w:spacing w:line="360" w:lineRule="auto"/>
        <w:ind w:firstLine="567"/>
        <w:jc w:val="both"/>
        <w:rPr>
          <w:rFonts w:hint="eastAsia" w:ascii="宋体" w:hAnsi="宋体" w:eastAsia="宋体" w:cs="宋体"/>
          <w:color w:val="000000" w:themeColor="text1"/>
          <w:szCs w:val="24"/>
          <w:lang w:val="en-US" w:eastAsia="zh-CN"/>
          <w14:textFill>
            <w14:solidFill>
              <w14:schemeClr w14:val="tx1"/>
            </w14:solidFill>
          </w14:textFill>
        </w:rPr>
      </w:pPr>
      <w:r>
        <w:rPr>
          <w:rFonts w:hint="eastAsia" w:ascii="宋体" w:hAnsi="宋体" w:cs="宋体"/>
          <w:color w:val="000000" w:themeColor="text1"/>
          <w:szCs w:val="24"/>
          <w14:textFill>
            <w14:solidFill>
              <w14:schemeClr w14:val="tx1"/>
            </w14:solidFill>
          </w14:textFill>
        </w:rPr>
        <w:t>16.  投标文件的书写要求、标记要求、签署及份数</w:t>
      </w:r>
      <w:r>
        <w:rPr>
          <w:rFonts w:hint="eastAsia" w:ascii="宋体" w:hAnsi="宋体" w:cs="宋体"/>
          <w:color w:val="000000" w:themeColor="text1"/>
          <w:szCs w:val="24"/>
          <w:lang w:eastAsia="zh-CN"/>
          <w14:textFill>
            <w14:solidFill>
              <w14:schemeClr w14:val="tx1"/>
            </w14:solidFill>
          </w14:textFill>
        </w:rPr>
        <w:t>，</w:t>
      </w:r>
      <w:r>
        <w:rPr>
          <w:rFonts w:hint="eastAsia" w:ascii="宋体" w:hAnsi="宋体" w:cs="宋体"/>
          <w:color w:val="000000" w:themeColor="text1"/>
          <w:szCs w:val="24"/>
          <w:lang w:val="en-US" w:eastAsia="zh-CN"/>
          <w14:textFill>
            <w14:solidFill>
              <w14:schemeClr w14:val="tx1"/>
            </w14:solidFill>
          </w14:textFill>
        </w:rPr>
        <w:t>未按要求编制，</w:t>
      </w:r>
      <w:r>
        <w:rPr>
          <w:rFonts w:hint="eastAsia" w:ascii="宋体" w:hAnsi="宋体" w:cs="宋体"/>
          <w:color w:val="000000" w:themeColor="text1"/>
          <w:szCs w:val="24"/>
          <w14:textFill>
            <w14:solidFill>
              <w14:schemeClr w14:val="tx1"/>
            </w14:solidFill>
          </w14:textFill>
        </w:rPr>
        <w:t>投标文件将不能通过符合性检查，按重大偏离处理</w:t>
      </w:r>
      <w:r>
        <w:rPr>
          <w:rFonts w:hint="eastAsia" w:ascii="宋体" w:hAnsi="宋体" w:cs="宋体"/>
          <w:color w:val="000000" w:themeColor="text1"/>
          <w:szCs w:val="24"/>
          <w:lang w:eastAsia="zh-CN"/>
          <w14:textFill>
            <w14:solidFill>
              <w14:schemeClr w14:val="tx1"/>
            </w14:solidFill>
          </w14:textFill>
        </w:rPr>
        <w:t>。</w:t>
      </w:r>
    </w:p>
    <w:p>
      <w:pPr>
        <w:spacing w:line="360" w:lineRule="auto"/>
        <w:ind w:firstLine="56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  投标文件的书写应清楚工整，修改处应由法定代表人或投标人授权代表</w:t>
      </w:r>
      <w:r>
        <w:rPr>
          <w:rFonts w:hint="eastAsia" w:ascii="宋体" w:hAnsi="宋体" w:cs="宋体"/>
          <w:color w:val="000000" w:themeColor="text1"/>
          <w:sz w:val="24"/>
          <w:lang w:val="en-US" w:eastAsia="zh-CN"/>
          <w14:textFill>
            <w14:solidFill>
              <w14:schemeClr w14:val="tx1"/>
            </w14:solidFill>
          </w14:textFill>
        </w:rPr>
        <w:t>签章</w:t>
      </w:r>
      <w:r>
        <w:rPr>
          <w:rFonts w:hint="eastAsia" w:ascii="宋体" w:hAnsi="宋体" w:cs="宋体"/>
          <w:color w:val="000000" w:themeColor="text1"/>
          <w:sz w:val="24"/>
          <w14:textFill>
            <w14:solidFill>
              <w14:schemeClr w14:val="tx1"/>
            </w14:solidFill>
          </w14:textFill>
        </w:rPr>
        <w:t>。</w:t>
      </w:r>
    </w:p>
    <w:p>
      <w:pPr>
        <w:pStyle w:val="21"/>
        <w:spacing w:line="360" w:lineRule="auto"/>
        <w:ind w:firstLine="567"/>
        <w:jc w:val="both"/>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16.3  未实质性响应招标文件、或者关键字迹潦草、关键内容表达不清、或者未按要求填写</w:t>
      </w:r>
      <w:r>
        <w:rPr>
          <w:rFonts w:hint="eastAsia" w:ascii="宋体" w:hAnsi="宋体" w:cs="宋体"/>
          <w:color w:val="000000" w:themeColor="text1"/>
          <w:szCs w:val="24"/>
          <w:lang w:val="en-US" w:eastAsia="zh-CN"/>
          <w14:textFill>
            <w14:solidFill>
              <w14:schemeClr w14:val="tx1"/>
            </w14:solidFill>
          </w14:textFill>
        </w:rPr>
        <w:t>编制</w:t>
      </w:r>
      <w:r>
        <w:rPr>
          <w:rFonts w:hint="eastAsia" w:ascii="宋体" w:hAnsi="宋体" w:cs="宋体"/>
          <w:color w:val="000000" w:themeColor="text1"/>
          <w:szCs w:val="24"/>
          <w14:textFill>
            <w14:solidFill>
              <w14:schemeClr w14:val="tx1"/>
            </w14:solidFill>
          </w14:textFill>
        </w:rPr>
        <w:t>、或者可能导致非唯一理解的投标文件</w:t>
      </w:r>
      <w:r>
        <w:rPr>
          <w:rFonts w:hint="eastAsia" w:ascii="宋体" w:hAnsi="宋体" w:cs="宋体"/>
          <w:color w:val="000000" w:themeColor="text1"/>
          <w:szCs w:val="24"/>
          <w:lang w:val="en-US" w:eastAsia="zh-CN"/>
          <w14:textFill>
            <w14:solidFill>
              <w14:schemeClr w14:val="tx1"/>
            </w14:solidFill>
          </w14:textFill>
        </w:rPr>
        <w:t>将被拒绝</w:t>
      </w:r>
      <w:r>
        <w:rPr>
          <w:rFonts w:hint="eastAsia" w:ascii="宋体" w:hAnsi="宋体" w:cs="宋体"/>
          <w:color w:val="000000" w:themeColor="text1"/>
          <w:szCs w:val="24"/>
          <w14:textFill>
            <w14:solidFill>
              <w14:schemeClr w14:val="tx1"/>
            </w14:solidFill>
          </w14:textFill>
        </w:rPr>
        <w:t>。</w:t>
      </w:r>
    </w:p>
    <w:p>
      <w:pPr>
        <w:pStyle w:val="21"/>
        <w:spacing w:line="360" w:lineRule="auto"/>
        <w:ind w:firstLine="567"/>
        <w:jc w:val="both"/>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16.4  投标文件具有法律效力,若投标文件与采购清单要求不一致，其内容影响成交结果时，责任由供应商自行承担。 </w:t>
      </w:r>
    </w:p>
    <w:p>
      <w:pPr>
        <w:pStyle w:val="21"/>
        <w:spacing w:line="360" w:lineRule="auto"/>
        <w:ind w:firstLine="567"/>
        <w:jc w:val="both"/>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16.5 为了保证投标文件的合法性、安全性和完整性，</w:t>
      </w:r>
      <w:r>
        <w:rPr>
          <w:rFonts w:hint="eastAsia" w:ascii="宋体" w:hAnsi="宋体" w:cs="宋体"/>
          <w:color w:val="000000" w:themeColor="text1"/>
          <w:szCs w:val="24"/>
          <w:lang w:eastAsia="zh-CN"/>
          <w14:textFill>
            <w14:solidFill>
              <w14:schemeClr w14:val="tx1"/>
            </w14:solidFill>
          </w14:textFill>
        </w:rPr>
        <w:t>投标文件</w:t>
      </w:r>
      <w:r>
        <w:rPr>
          <w:rFonts w:hint="eastAsia" w:ascii="宋体" w:hAnsi="宋体" w:cs="宋体"/>
          <w:color w:val="000000" w:themeColor="text1"/>
          <w:szCs w:val="24"/>
          <w14:textFill>
            <w14:solidFill>
              <w14:schemeClr w14:val="tx1"/>
            </w14:solidFill>
          </w14:textFill>
        </w:rPr>
        <w:t>由供应商逐页</w:t>
      </w:r>
      <w:r>
        <w:rPr>
          <w:rFonts w:hint="eastAsia" w:ascii="宋体" w:hAnsi="宋体" w:cs="宋体"/>
          <w:color w:val="000000" w:themeColor="text1"/>
          <w:szCs w:val="24"/>
          <w:lang w:eastAsia="zh-CN"/>
          <w14:textFill>
            <w14:solidFill>
              <w14:schemeClr w14:val="tx1"/>
            </w14:solidFill>
          </w14:textFill>
        </w:rPr>
        <w:t>加盖单位公章</w:t>
      </w:r>
      <w:r>
        <w:rPr>
          <w:rFonts w:hint="eastAsia" w:ascii="宋体" w:hAnsi="宋体" w:cs="宋体"/>
          <w:color w:val="000000" w:themeColor="text1"/>
          <w:szCs w:val="24"/>
          <w14:textFill>
            <w14:solidFill>
              <w14:schemeClr w14:val="tx1"/>
            </w14:solidFill>
          </w14:textFill>
        </w:rPr>
        <w:t>。授权代表须将 “法人授权书”（原件）附在投标文件中。</w:t>
      </w:r>
    </w:p>
    <w:p>
      <w:pPr>
        <w:pStyle w:val="21"/>
        <w:spacing w:line="360" w:lineRule="auto"/>
        <w:ind w:firstLine="567"/>
        <w:jc w:val="both"/>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16.6 除供应商对错处做必要修改外，投标文件不得行间插字、涂改或增删。如有修改错漏处，必须由投标文件签署人签字或盖章。</w:t>
      </w:r>
    </w:p>
    <w:p>
      <w:pPr>
        <w:pStyle w:val="21"/>
        <w:spacing w:line="360" w:lineRule="auto"/>
        <w:ind w:firstLine="567"/>
        <w:jc w:val="both"/>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16.7  投标文件的份数：详见《投标人须知前附表》。</w:t>
      </w:r>
    </w:p>
    <w:p>
      <w:pPr>
        <w:pStyle w:val="21"/>
        <w:spacing w:line="360" w:lineRule="auto"/>
        <w:ind w:firstLine="567"/>
        <w:jc w:val="both"/>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16.8  投标人可根据投标货物的具体需要自行编制其它文件纳入投标书中。</w:t>
      </w:r>
    </w:p>
    <w:p>
      <w:pPr>
        <w:pStyle w:val="21"/>
        <w:spacing w:line="360" w:lineRule="auto"/>
        <w:ind w:firstLine="567"/>
        <w:jc w:val="both"/>
        <w:rPr>
          <w:rFonts w:hint="eastAsia"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 xml:space="preserve">16.9  </w:t>
      </w:r>
      <w:r>
        <w:rPr>
          <w:rFonts w:hint="eastAsia" w:ascii="宋体" w:hAnsi="宋体" w:cs="宋体"/>
          <w:bCs/>
          <w:color w:val="000000" w:themeColor="text1"/>
          <w:szCs w:val="24"/>
          <w:lang w:val="en-US" w:eastAsia="zh-CN"/>
          <w14:textFill>
            <w14:solidFill>
              <w14:schemeClr w14:val="tx1"/>
            </w14:solidFill>
          </w14:textFill>
        </w:rPr>
        <w:t>纸质版</w:t>
      </w:r>
      <w:r>
        <w:rPr>
          <w:rFonts w:hint="eastAsia" w:ascii="宋体" w:hAnsi="宋体" w:cs="宋体"/>
          <w:bCs/>
          <w:color w:val="000000" w:themeColor="text1"/>
          <w:szCs w:val="24"/>
          <w14:textFill>
            <w14:solidFill>
              <w14:schemeClr w14:val="tx1"/>
            </w14:solidFill>
          </w14:textFill>
        </w:rPr>
        <w:t>投标文件的装订必须采用死页胶粘本，不允许活页形式装订（非胶粘方式装订的投标书一律视同活页装订），活页方式装订视为投标无效。</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  投标保证金</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21"/>
        <w:keepLines w:val="0"/>
        <w:kinsoku/>
        <w:wordWrap/>
        <w:overflowPunct/>
        <w:bidi w:val="0"/>
        <w:spacing w:line="360" w:lineRule="auto"/>
        <w:ind w:firstLine="567"/>
        <w:jc w:val="both"/>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17.1  投标保证金金额：</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详见投标人须知前附表规定。</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  投标保证金用于保护本次招标免受投标人的违规、违约行为而引起的风险。</w:t>
      </w:r>
    </w:p>
    <w:p>
      <w:pPr>
        <w:pStyle w:val="21"/>
        <w:keepLines w:val="0"/>
        <w:kinsoku/>
        <w:wordWrap/>
        <w:overflowPunct/>
        <w:bidi w:val="0"/>
        <w:spacing w:line="360" w:lineRule="auto"/>
        <w:ind w:firstLine="567"/>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  投标保证金应用人民币，由投标人按第</w:t>
      </w:r>
      <w:r>
        <w:rPr>
          <w:rFonts w:hint="eastAsia" w:ascii="宋体" w:hAnsi="宋体" w:eastAsia="宋体" w:cs="宋体"/>
          <w:color w:val="000000" w:themeColor="text1"/>
          <w:sz w:val="24"/>
          <w:szCs w:val="24"/>
          <w:highlight w:val="none"/>
          <w:lang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章《</w:t>
      </w:r>
      <w:r>
        <w:rPr>
          <w:rFonts w:hint="eastAsia" w:ascii="宋体" w:hAnsi="宋体" w:eastAsia="宋体" w:cs="宋体"/>
          <w:color w:val="000000" w:themeColor="text1"/>
          <w:sz w:val="24"/>
          <w:szCs w:val="24"/>
          <w:highlight w:val="none"/>
          <w:lang w:eastAsia="zh-CN"/>
          <w14:textFill>
            <w14:solidFill>
              <w14:schemeClr w14:val="tx1"/>
            </w14:solidFill>
          </w14:textFill>
        </w:rPr>
        <w:t>投标人须知</w:t>
      </w:r>
      <w:r>
        <w:rPr>
          <w:rFonts w:hint="eastAsia" w:ascii="宋体" w:hAnsi="宋体" w:eastAsia="宋体" w:cs="宋体"/>
          <w:color w:val="000000" w:themeColor="text1"/>
          <w:sz w:val="24"/>
          <w:szCs w:val="24"/>
          <w:highlight w:val="none"/>
          <w14:textFill>
            <w14:solidFill>
              <w14:schemeClr w14:val="tx1"/>
            </w14:solidFill>
          </w14:textFill>
        </w:rPr>
        <w:t>》中明确的银行、帐号</w:t>
      </w:r>
      <w:r>
        <w:rPr>
          <w:rFonts w:hint="eastAsia" w:ascii="宋体" w:hAnsi="宋体" w:eastAsia="宋体" w:cs="宋体"/>
          <w:color w:val="000000" w:themeColor="text1"/>
          <w:sz w:val="24"/>
          <w:szCs w:val="24"/>
          <w:highlight w:val="none"/>
          <w:lang w:eastAsia="zh-CN"/>
          <w14:textFill>
            <w14:solidFill>
              <w14:schemeClr w14:val="tx1"/>
            </w14:solidFill>
          </w14:textFill>
        </w:rPr>
        <w:t>等信息</w:t>
      </w:r>
      <w:r>
        <w:rPr>
          <w:rFonts w:hint="eastAsia" w:ascii="宋体" w:hAnsi="宋体" w:eastAsia="宋体" w:cs="宋体"/>
          <w:color w:val="000000" w:themeColor="text1"/>
          <w:sz w:val="24"/>
          <w:szCs w:val="24"/>
          <w:highlight w:val="none"/>
          <w14:textFill>
            <w14:solidFill>
              <w14:schemeClr w14:val="tx1"/>
            </w14:solidFill>
          </w14:textFill>
        </w:rPr>
        <w:t>，于</w:t>
      </w:r>
      <w:r>
        <w:rPr>
          <w:rFonts w:hint="eastAsia" w:ascii="宋体" w:hAnsi="宋体" w:eastAsia="宋体" w:cs="宋体"/>
          <w:color w:val="000000" w:themeColor="text1"/>
          <w:sz w:val="24"/>
          <w:szCs w:val="24"/>
          <w:highlight w:val="none"/>
          <w:lang w:eastAsia="zh-CN"/>
          <w14:textFill>
            <w14:solidFill>
              <w14:schemeClr w14:val="tx1"/>
            </w14:solidFill>
          </w14:textFill>
        </w:rPr>
        <w:t>开标</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前缴纳</w:t>
      </w:r>
      <w:r>
        <w:rPr>
          <w:rFonts w:hint="eastAsia" w:ascii="宋体" w:hAnsi="宋体" w:eastAsia="宋体" w:cs="宋体"/>
          <w:b w:val="0"/>
          <w:bCs w:val="0"/>
          <w:color w:val="000000" w:themeColor="text1"/>
          <w:sz w:val="24"/>
          <w:szCs w:val="24"/>
          <w:highlight w:val="none"/>
          <w14:textFill>
            <w14:solidFill>
              <w14:schemeClr w14:val="tx1"/>
            </w14:solidFill>
          </w14:textFill>
        </w:rPr>
        <w:t>。对未按要求提交投标保证金的投标书，采购代理机构将视为不响应投标而予以拒绝。</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17.4 投标保证金应以</w:t>
      </w: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以支票、汇票、本票或者金融机构、担保机构出具的保函等非现金形式提交</w:t>
      </w:r>
      <w:r>
        <w:rPr>
          <w:rFonts w:hint="eastAsia" w:ascii="宋体" w:hAnsi="宋体" w:eastAsia="宋体" w:cs="宋体"/>
          <w:color w:val="000000" w:themeColor="text1"/>
          <w:sz w:val="24"/>
          <w:szCs w:val="24"/>
          <w:highlight w:val="none"/>
          <w14:textFill>
            <w14:solidFill>
              <w14:schemeClr w14:val="tx1"/>
            </w14:solidFill>
          </w14:textFill>
        </w:rPr>
        <w:t>。投标保证金必须从各单位基本账户汇出。</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17.5  中标人的投标保证金自采购合同签定之日起5个工作日内</w:t>
      </w:r>
      <w:r>
        <w:rPr>
          <w:rFonts w:hint="eastAsia" w:ascii="宋体" w:hAnsi="宋体" w:eastAsia="宋体" w:cs="宋体"/>
          <w:color w:val="000000" w:themeColor="text1"/>
          <w:sz w:val="24"/>
          <w:szCs w:val="24"/>
          <w:highlight w:val="none"/>
          <w14:textFill>
            <w14:solidFill>
              <w14:schemeClr w14:val="tx1"/>
            </w14:solidFill>
          </w14:textFill>
        </w:rPr>
        <w:t>不计利息予以退还</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 xml:space="preserve">  未中标人的投标保证金，</w:t>
      </w:r>
      <w:r>
        <w:rPr>
          <w:rFonts w:hint="eastAsia" w:ascii="宋体" w:hAnsi="宋体" w:eastAsia="宋体" w:cs="宋体"/>
          <w:color w:val="000000" w:themeColor="text1"/>
          <w:sz w:val="24"/>
          <w:szCs w:val="24"/>
          <w:highlight w:val="none"/>
          <w:lang w:eastAsia="zh-CN"/>
          <w14:textFill>
            <w14:solidFill>
              <w14:schemeClr w14:val="tx1"/>
            </w14:solidFill>
          </w14:textFill>
        </w:rPr>
        <w:t>自中标通知书发出之日起</w:t>
      </w:r>
      <w:r>
        <w:rPr>
          <w:rFonts w:hint="eastAsia" w:ascii="宋体" w:hAnsi="宋体" w:eastAsia="宋体" w:cs="宋体"/>
          <w:color w:val="000000" w:themeColor="text1"/>
          <w:sz w:val="24"/>
          <w:szCs w:val="24"/>
          <w:highlight w:val="none"/>
          <w:lang w:val="en-US" w:eastAsia="zh-CN"/>
          <w14:textFill>
            <w14:solidFill>
              <w14:schemeClr w14:val="tx1"/>
            </w14:solidFill>
          </w14:textFill>
        </w:rPr>
        <w:t>5个工作日内</w:t>
      </w:r>
      <w:r>
        <w:rPr>
          <w:rFonts w:hint="eastAsia" w:ascii="宋体" w:hAnsi="宋体" w:eastAsia="宋体" w:cs="宋体"/>
          <w:color w:val="000000" w:themeColor="text1"/>
          <w:sz w:val="24"/>
          <w:szCs w:val="24"/>
          <w:highlight w:val="none"/>
          <w14:textFill>
            <w14:solidFill>
              <w14:schemeClr w14:val="tx1"/>
            </w14:solidFill>
          </w14:textFill>
        </w:rPr>
        <w:t>不计利息予以退还。</w:t>
      </w:r>
    </w:p>
    <w:p>
      <w:pPr>
        <w:pStyle w:val="21"/>
        <w:keepLines w:val="0"/>
        <w:kinsoku/>
        <w:wordWrap/>
        <w:overflowPunct/>
        <w:bidi w:val="0"/>
        <w:spacing w:line="360" w:lineRule="auto"/>
        <w:ind w:firstLine="567"/>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17.</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发生以下情况</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中标人的</w:t>
      </w:r>
      <w:r>
        <w:rPr>
          <w:rFonts w:hint="eastAsia" w:ascii="宋体" w:hAnsi="宋体" w:eastAsia="宋体" w:cs="宋体"/>
          <w:b w:val="0"/>
          <w:bCs w:val="0"/>
          <w:color w:val="000000" w:themeColor="text1"/>
          <w:sz w:val="24"/>
          <w:szCs w:val="24"/>
          <w:highlight w:val="none"/>
          <w14:textFill>
            <w14:solidFill>
              <w14:schemeClr w14:val="tx1"/>
            </w14:solidFill>
          </w14:textFill>
        </w:rPr>
        <w:t>投标保证金可能被没收：</w:t>
      </w:r>
    </w:p>
    <w:p>
      <w:pPr>
        <w:pStyle w:val="22"/>
        <w:keepLines w:val="0"/>
        <w:kinsoku/>
        <w:wordWrap/>
        <w:overflowPunct/>
        <w:bidi w:val="0"/>
        <w:spacing w:line="360" w:lineRule="auto"/>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17.7.1 未</w:t>
      </w:r>
      <w:r>
        <w:rPr>
          <w:rFonts w:hint="eastAsia" w:ascii="宋体" w:hAnsi="宋体" w:eastAsia="宋体" w:cs="宋体"/>
          <w:b w:val="0"/>
          <w:bCs w:val="0"/>
          <w:color w:val="000000" w:themeColor="text1"/>
          <w:sz w:val="24"/>
          <w:szCs w:val="24"/>
          <w:highlight w:val="none"/>
          <w14:textFill>
            <w14:solidFill>
              <w14:schemeClr w14:val="tx1"/>
            </w14:solidFill>
          </w14:textFill>
        </w:rPr>
        <w:t>按2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4"/>
          <w:szCs w:val="24"/>
          <w:highlight w:val="none"/>
          <w14:textFill>
            <w14:solidFill>
              <w14:schemeClr w14:val="tx1"/>
            </w14:solidFill>
          </w14:textFill>
        </w:rPr>
        <w:t>条规定签定合同；</w:t>
      </w:r>
    </w:p>
    <w:p>
      <w:pPr>
        <w:pStyle w:val="22"/>
        <w:keepLines w:val="0"/>
        <w:kinsoku/>
        <w:wordWrap/>
        <w:overflowPunct/>
        <w:bidi w:val="0"/>
        <w:spacing w:line="360" w:lineRule="auto"/>
        <w:ind w:firstLine="56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17.7.2 未按</w:t>
      </w:r>
      <w:r>
        <w:rPr>
          <w:rFonts w:hint="eastAsia" w:ascii="宋体" w:hAnsi="宋体" w:eastAsia="宋体" w:cs="宋体"/>
          <w:b w:val="0"/>
          <w:bCs w:val="0"/>
          <w:color w:val="000000" w:themeColor="text1"/>
          <w:sz w:val="24"/>
          <w:szCs w:val="24"/>
          <w:highlight w:val="none"/>
          <w14:textFill>
            <w14:solidFill>
              <w14:schemeClr w14:val="tx1"/>
            </w14:solidFill>
          </w14:textFill>
        </w:rPr>
        <w:t>第31条有关缴纳中标服务费的规定；</w:t>
      </w:r>
    </w:p>
    <w:p>
      <w:pPr>
        <w:pStyle w:val="22"/>
        <w:keepLines w:val="0"/>
        <w:kinsoku/>
        <w:wordWrap/>
        <w:overflowPunct/>
        <w:bidi w:val="0"/>
        <w:spacing w:line="360" w:lineRule="auto"/>
        <w:ind w:firstLine="56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17.7.3 未</w:t>
      </w:r>
      <w:r>
        <w:rPr>
          <w:rFonts w:hint="eastAsia" w:ascii="宋体" w:hAnsi="宋体" w:eastAsia="宋体" w:cs="宋体"/>
          <w:b w:val="0"/>
          <w:bCs w:val="0"/>
          <w:color w:val="000000" w:themeColor="text1"/>
          <w:sz w:val="24"/>
          <w:szCs w:val="24"/>
          <w:highlight w:val="none"/>
          <w14:textFill>
            <w14:solidFill>
              <w14:schemeClr w14:val="tx1"/>
            </w14:solidFill>
          </w14:textFill>
        </w:rPr>
        <w:t>按招标文件要求提交合同履约保证金的。</w:t>
      </w:r>
    </w:p>
    <w:p>
      <w:pPr>
        <w:pStyle w:val="20"/>
        <w:jc w:val="center"/>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四、投标文件的递交</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  投标文件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递交的格式</w:t>
      </w:r>
    </w:p>
    <w:p>
      <w:pPr>
        <w:pStyle w:val="21"/>
        <w:keepLines w:val="0"/>
        <w:kinsoku/>
        <w:wordWrap/>
        <w:overflowPunct/>
        <w:bidi w:val="0"/>
        <w:spacing w:line="360" w:lineRule="auto"/>
        <w:ind w:firstLine="567"/>
        <w:jc w:val="both"/>
        <w:textAlignment w:val="auto"/>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 xml:space="preserve">18.1 </w:t>
      </w:r>
      <w:r>
        <w:rPr>
          <w:rFonts w:hint="eastAsia" w:ascii="宋体" w:hAnsi="宋体" w:cs="宋体"/>
          <w:color w:val="000000" w:themeColor="text1"/>
          <w:szCs w:val="24"/>
          <w:highlight w:val="none"/>
          <w:lang w:val="en-US" w:eastAsia="zh-CN"/>
          <w14:textFill>
            <w14:solidFill>
              <w14:schemeClr w14:val="tx1"/>
            </w14:solidFill>
          </w14:textFill>
        </w:rPr>
        <w:t>投标供应商应当在投标截止时间前，将生成的“JMBS格式电子加密投标文件”上传递交至“政府采购云平台”，投标截止时间以后上传递交的投标文件将被“政府采购云平台”拒收。</w:t>
      </w:r>
    </w:p>
    <w:p>
      <w:pPr>
        <w:pStyle w:val="21"/>
        <w:spacing w:line="360" w:lineRule="auto"/>
        <w:ind w:firstLine="567"/>
        <w:jc w:val="both"/>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18.2  </w:t>
      </w:r>
      <w:r>
        <w:rPr>
          <w:rFonts w:hint="eastAsia" w:ascii="宋体" w:hAnsi="宋体" w:eastAsia="宋体" w:cs="宋体"/>
          <w:color w:val="000000" w:themeColor="text1"/>
          <w:szCs w:val="24"/>
          <w:highlight w:val="none"/>
          <w:lang w:val="en-US" w:eastAsia="zh-CN"/>
          <w14:textFill>
            <w14:solidFill>
              <w14:schemeClr w14:val="tx1"/>
            </w14:solidFill>
          </w14:textFill>
        </w:rPr>
        <w:t>未按本须知要求投递投标文件，造成无法投标或投标失败等后果的由投标人自行承担。</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  投标文件递交的截止日期</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19.1  投标人必须在《投标人须知前附表》中规定的时间之前将投标文件送达到规定的地点。</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19.2  超过招标文件规定的投标截止时间送达的投标文件将不予接受。</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  投标文件的修改和撤销</w:t>
      </w:r>
    </w:p>
    <w:p>
      <w:pPr>
        <w:pStyle w:val="23"/>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  投标人对其投标文件进行的修改或撤销应以书面形式并在招标文件规定的投标截止时间前送达采购代理机构手中。</w:t>
      </w:r>
    </w:p>
    <w:p>
      <w:pPr>
        <w:pStyle w:val="23"/>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20.2  投标人对投标文件的修改或撤销应按第18和19条规定进行准备、标注和递交。</w:t>
      </w:r>
    </w:p>
    <w:p>
      <w:pPr>
        <w:pStyle w:val="23"/>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20.3  投标截止时间以后，不允许对投标文件进行修改。</w:t>
      </w:r>
    </w:p>
    <w:p>
      <w:pPr>
        <w:pStyle w:val="23"/>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20.4  投标人不得在投标截止时间起至投标文件有效期满前撤销投标文件</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20"/>
        <w:jc w:val="center"/>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五、开标</w:t>
      </w:r>
    </w:p>
    <w:p>
      <w:pPr>
        <w:pStyle w:val="23"/>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  开标</w:t>
      </w:r>
    </w:p>
    <w:p>
      <w:pPr>
        <w:pStyle w:val="21"/>
        <w:keepLines w:val="0"/>
        <w:kinsoku/>
        <w:wordWrap/>
        <w:overflowPunct/>
        <w:bidi w:val="0"/>
        <w:spacing w:line="360" w:lineRule="auto"/>
        <w:ind w:left="1" w:firstLine="484" w:firstLineChars="201"/>
        <w:jc w:val="both"/>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  除非采购代理机构另外书面通知，本标将按本招标文件《投标人须知前附表》中规定的时间和地点开标。</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21.2 </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开标时，招标人、监督部门、公证部门的工作人员将对开标会议到场监督。</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21.3 开标时，投标单位完成在线解密后，由工作人员开始唱标。</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 xml:space="preserve"> 开标时唱《开标一览表》的内容。如投标人对投标价格有说明或调整的，须与《开标一览表》附在一起，在唱标时一并唱出。</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  唱标完毕后，如果投标人对所唱《开标一览表》内容有异议，应当场立即提出。经现场监标人员确认，认为有必要重新唱标的，由唱标员重新唱标。</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 xml:space="preserve">  所有唱标均记录在案，并经监标人员或公证人员的签字，作为各投标人投标文件的组成部分。</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21.7  投标人代表对开标过程和开标记录有疑义，以及认为采购人、采购代理机构相关工作人员有需要回避的情形的，应当场提出询问或者回避申请。</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21.8  投标人未参加开标的，视同认可开标结果。</w:t>
      </w:r>
    </w:p>
    <w:p>
      <w:pPr>
        <w:pStyle w:val="20"/>
        <w:jc w:val="center"/>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六、评标和定标</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 评标原则</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  本标的评标遵循公平、公正、科学、择优的原则。</w:t>
      </w:r>
    </w:p>
    <w:p>
      <w:pPr>
        <w:pStyle w:val="21"/>
        <w:keepLines w:val="0"/>
        <w:kinsoku/>
        <w:wordWrap/>
        <w:overflowPunct/>
        <w:bidi w:val="0"/>
        <w:spacing w:line="360" w:lineRule="auto"/>
        <w:ind w:left="0" w:leftChars="0" w:firstLine="567"/>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  评标委员会将严格按照《中华人民共和国招标投标法》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《中华人民共和国招标投标法</w:t>
      </w:r>
      <w:r>
        <w:rPr>
          <w:rFonts w:hint="eastAsia" w:ascii="宋体" w:hAnsi="宋体" w:eastAsia="宋体" w:cs="宋体"/>
          <w:color w:val="000000" w:themeColor="text1"/>
          <w:sz w:val="24"/>
          <w:szCs w:val="24"/>
          <w:highlight w:val="none"/>
          <w:lang w:eastAsia="zh-CN"/>
          <w14:textFill>
            <w14:solidFill>
              <w14:schemeClr w14:val="tx1"/>
            </w14:solidFill>
          </w14:textFill>
        </w:rPr>
        <w:t>实施条例</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《政府采购货物和服务招标投标管理办法》（财政部</w:t>
      </w:r>
      <w:r>
        <w:rPr>
          <w:rFonts w:hint="eastAsia" w:ascii="宋体" w:hAnsi="宋体" w:eastAsia="宋体" w:cs="宋体"/>
          <w:color w:val="000000" w:themeColor="text1"/>
          <w:sz w:val="24"/>
          <w:szCs w:val="24"/>
          <w:highlight w:val="none"/>
          <w:lang w:val="en-US" w:eastAsia="zh-CN"/>
          <w14:textFill>
            <w14:solidFill>
              <w14:schemeClr w14:val="tx1"/>
            </w14:solidFill>
          </w14:textFill>
        </w:rPr>
        <w:t>87</w:t>
      </w:r>
      <w:r>
        <w:rPr>
          <w:rFonts w:hint="eastAsia" w:ascii="宋体" w:hAnsi="宋体" w:eastAsia="宋体" w:cs="宋体"/>
          <w:color w:val="000000" w:themeColor="text1"/>
          <w:sz w:val="24"/>
          <w:szCs w:val="24"/>
          <w:highlight w:val="none"/>
          <w14:textFill>
            <w14:solidFill>
              <w14:schemeClr w14:val="tx1"/>
            </w14:solidFill>
          </w14:textFill>
        </w:rPr>
        <w:t>号令）的规定</w:t>
      </w:r>
      <w:r>
        <w:rPr>
          <w:rFonts w:hint="eastAsia" w:ascii="宋体" w:hAnsi="宋体" w:eastAsia="宋体" w:cs="宋体"/>
          <w:color w:val="000000" w:themeColor="text1"/>
          <w:sz w:val="24"/>
          <w:szCs w:val="24"/>
          <w:highlight w:val="none"/>
          <w:lang w:eastAsia="zh-CN"/>
          <w14:textFill>
            <w14:solidFill>
              <w14:schemeClr w14:val="tx1"/>
            </w14:solidFill>
          </w14:textFill>
        </w:rPr>
        <w:t>及</w:t>
      </w:r>
      <w:r>
        <w:rPr>
          <w:rFonts w:hint="eastAsia" w:ascii="宋体" w:hAnsi="宋体" w:eastAsia="宋体" w:cs="宋体"/>
          <w:color w:val="000000" w:themeColor="text1"/>
          <w:sz w:val="24"/>
          <w:szCs w:val="24"/>
          <w:highlight w:val="none"/>
          <w14:textFill>
            <w14:solidFill>
              <w14:schemeClr w14:val="tx1"/>
            </w14:solidFill>
          </w14:textFill>
        </w:rPr>
        <w:t>相关法律法规的规定依法评标，维护招标投标各方当事人的合法权益。法律、法规、规章和省级以上财政部门涉及政府采购政策功能及其他规定，评标委员会应根据招标文件规定，优先推荐节能、环保产品，优先考虑中小企业。投标人符合规定，获得相应政府采购政策优惠的，应提供相关证明材料。</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22.3  不徇私情，不明招暗定。</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  资格审查合格的投标人，均有同等机会参加竞争。</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22.5  评标人员不得私自泄露评标内容，不得进行旨在影响评标结果公正、公平的任何活动。</w:t>
      </w:r>
    </w:p>
    <w:p>
      <w:pPr>
        <w:pStyle w:val="21"/>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22.6  对于投标文件中含义不明确、同类问题表述不一致或者有明显文字和计算错误的内容，评标委员会应当以书面形式要求投标人作出必要的澄清、说明或者补正。</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  评标方法</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23.1  采购代理机构将根据有关法律法规的规定组建本次招标的评标委员会。评标委员会成员由本行业相关技术、经济等方面的专家组成。其中，技术、经济等方面的专家不少于成员总人数的三分之二。</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23.2  评标的依据为招标文件和投标文件。根据相关法律法规的规定，评标委员会不以任何外部证据作为其评标的依据或标准。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23.3  评标过程将严格保密。开标后直到授予中标人合同止，凡是属于审查、澄清、评价和比较的有关评标资料以及授标建议等均不得向投标人或其他无关的人员透露。</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23.4  在评标的整个过程中，投标人所进行的旨在影响评标结果的活动，可能导致其投标被拒绝，或者被取消中标资格。</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23.5  本次招标采用综合评分法进行评标。评标分初步评审和详细评审两个阶段。</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23.5.1  初步评审分为资格性检查和符合性检查，只有通过初步评审的投标文件才可进入详细评审阶段。</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23.5.2  详细评审分为</w:t>
      </w:r>
      <w:r>
        <w:rPr>
          <w:rFonts w:hint="eastAsia" w:ascii="宋体" w:hAnsi="宋体" w:eastAsia="宋体" w:cs="宋体"/>
          <w:color w:val="000000" w:themeColor="text1"/>
          <w:sz w:val="24"/>
          <w:szCs w:val="24"/>
          <w:highlight w:val="none"/>
          <w:lang w:eastAsia="zh-CN"/>
          <w14:textFill>
            <w14:solidFill>
              <w14:schemeClr w14:val="tx1"/>
            </w14:solidFill>
          </w14:textFill>
        </w:rPr>
        <w:t>经济报价部分和技术标评审两</w:t>
      </w:r>
      <w:r>
        <w:rPr>
          <w:rFonts w:hint="eastAsia" w:ascii="宋体" w:hAnsi="宋体" w:eastAsia="宋体" w:cs="宋体"/>
          <w:color w:val="000000" w:themeColor="text1"/>
          <w:sz w:val="24"/>
          <w:szCs w:val="24"/>
          <w:highlight w:val="none"/>
          <w14:textFill>
            <w14:solidFill>
              <w14:schemeClr w14:val="tx1"/>
            </w14:solidFill>
          </w14:textFill>
        </w:rPr>
        <w:t>个部分。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23.6  初步评审</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 资格性检查：依据法律法规和</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的规定，对</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中的资格证明、投标保证金等进行审查，以确定投标人是否具备投标资格。</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 符合性检查：依据招标文件的规定，从投标文件的有效性、完整性和对招标文件的响应程度进行审查，以确定是否对招标文件的实质性要求作出响应，判定其内容是否真实可靠，是否满足招标文件的最基本的实质性要求，是否存在重大偏离。重大偏离系指投标文件的有效性、真实性、合同的供货范围、质量、性能和规格等内容在实质上与招标文件形成了重大的不一致，而这种不一致可能限制了买方的权力和投标人的义务，纠正或承认这些偏离将会对该投标人和其它投标人合理的竞争地位产生不公正的影响。与招标文件有重大偏离的投标文件将被拒绝。</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具体评审内容系指：</w:t>
      </w:r>
    </w:p>
    <w:p>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23.6.1  投标人满足本招标文件关于对合格投标人资格要求的规定；</w:t>
      </w:r>
    </w:p>
    <w:p>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23.6.2  投标文件组成完整，主要内容未能按招标文件规定的内容、格式填写；</w:t>
      </w:r>
    </w:p>
    <w:p>
      <w:pPr>
        <w:adjustRightInd w:val="0"/>
        <w:snapToGrid w:val="0"/>
        <w:spacing w:line="360" w:lineRule="auto"/>
        <w:ind w:firstLine="482"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23.6.3  投标人按照招标文件的要求提供投标保证金，所提供的投标保证金完整没有瑕疵；</w:t>
      </w:r>
    </w:p>
    <w:p>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 xml:space="preserve">  投标文件的有效期满足招标文件的规定；</w:t>
      </w:r>
    </w:p>
    <w:p>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w:t>
      </w:r>
      <w:r>
        <w:rPr>
          <w:rFonts w:hint="eastAsia" w:ascii="宋体" w:hAnsi="宋体" w:cs="宋体"/>
          <w:color w:val="000000" w:themeColor="text1"/>
          <w:sz w:val="24"/>
          <w:lang w:val="en-US" w:eastAsia="zh-CN"/>
          <w14:textFill>
            <w14:solidFill>
              <w14:schemeClr w14:val="tx1"/>
            </w14:solidFill>
          </w14:textFill>
        </w:rPr>
        <w:t xml:space="preserve">5 </w:t>
      </w:r>
      <w:r>
        <w:rPr>
          <w:rFonts w:hint="eastAsia" w:ascii="宋体" w:hAnsi="宋体" w:cs="宋体"/>
          <w:color w:val="000000" w:themeColor="text1"/>
          <w:sz w:val="24"/>
          <w14:textFill>
            <w14:solidFill>
              <w14:schemeClr w14:val="tx1"/>
            </w14:solidFill>
          </w14:textFill>
        </w:rPr>
        <w:t xml:space="preserve"> 投标文件按照规定</w:t>
      </w:r>
      <w:r>
        <w:rPr>
          <w:rFonts w:hint="eastAsia" w:ascii="宋体" w:hAnsi="宋体" w:cs="宋体"/>
          <w:color w:val="000000" w:themeColor="text1"/>
          <w:sz w:val="24"/>
          <w:lang w:val="en-US" w:eastAsia="zh-CN"/>
          <w14:textFill>
            <w14:solidFill>
              <w14:schemeClr w14:val="tx1"/>
            </w14:solidFill>
          </w14:textFill>
        </w:rPr>
        <w:t>签章</w:t>
      </w:r>
      <w:r>
        <w:rPr>
          <w:rFonts w:hint="eastAsia" w:ascii="宋体" w:hAnsi="宋体" w:cs="宋体"/>
          <w:color w:val="000000" w:themeColor="text1"/>
          <w:sz w:val="24"/>
          <w14:textFill>
            <w14:solidFill>
              <w14:schemeClr w14:val="tx1"/>
            </w14:solidFill>
          </w14:textFill>
        </w:rPr>
        <w:t>的；</w:t>
      </w:r>
    </w:p>
    <w:p>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投标代表授权书由法定代表人签署；</w:t>
      </w:r>
    </w:p>
    <w:p>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 xml:space="preserve">  投标文件针对每一种</w:t>
      </w:r>
      <w:r>
        <w:rPr>
          <w:rFonts w:hint="eastAsia" w:ascii="宋体" w:hAnsi="宋体" w:cs="宋体"/>
          <w:color w:val="000000" w:themeColor="text1"/>
          <w:sz w:val="24"/>
          <w:lang w:val="en-US" w:eastAsia="zh-CN"/>
          <w14:textFill>
            <w14:solidFill>
              <w14:schemeClr w14:val="tx1"/>
            </w14:solidFill>
          </w14:textFill>
        </w:rPr>
        <w:t>货物只提出一个报价，未</w:t>
      </w:r>
      <w:r>
        <w:rPr>
          <w:rFonts w:hint="eastAsia" w:ascii="宋体" w:hAnsi="宋体" w:cs="宋体"/>
          <w:color w:val="000000" w:themeColor="text1"/>
          <w:sz w:val="24"/>
          <w14:textFill>
            <w14:solidFill>
              <w14:schemeClr w14:val="tx1"/>
            </w14:solidFill>
          </w14:textFill>
        </w:rPr>
        <w:t>出现了两个或两个以上的报价；</w:t>
      </w:r>
    </w:p>
    <w:p>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投标报价未超过最高限价；</w:t>
      </w:r>
    </w:p>
    <w:p>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 xml:space="preserve">  符合招标文件关于对招标技术</w:t>
      </w:r>
      <w:r>
        <w:rPr>
          <w:rFonts w:hint="eastAsia" w:ascii="宋体" w:hAnsi="宋体" w:cs="宋体"/>
          <w:color w:val="000000" w:themeColor="text1"/>
          <w:sz w:val="24"/>
          <w:lang w:val="en-US" w:eastAsia="zh-CN"/>
          <w14:textFill>
            <w14:solidFill>
              <w14:schemeClr w14:val="tx1"/>
            </w14:solidFill>
          </w14:textFill>
        </w:rPr>
        <w:t>服务</w:t>
      </w:r>
      <w:r>
        <w:rPr>
          <w:rFonts w:hint="eastAsia" w:ascii="宋体" w:hAnsi="宋体" w:cs="宋体"/>
          <w:color w:val="000000" w:themeColor="text1"/>
          <w:sz w:val="24"/>
          <w14:textFill>
            <w14:solidFill>
              <w14:schemeClr w14:val="tx1"/>
            </w14:solidFill>
          </w14:textFill>
        </w:rPr>
        <w:t>和标准的要求；按招标文件规定的格式填写，</w:t>
      </w:r>
      <w:r>
        <w:rPr>
          <w:rFonts w:hint="eastAsia" w:ascii="宋体" w:hAnsi="宋体" w:cs="宋体"/>
          <w:color w:val="000000" w:themeColor="text1"/>
          <w:sz w:val="24"/>
          <w:lang w:eastAsia="zh-CN"/>
          <w14:textFill>
            <w14:solidFill>
              <w14:schemeClr w14:val="tx1"/>
            </w14:solidFill>
          </w14:textFill>
        </w:rPr>
        <w:t>并无</w:t>
      </w:r>
      <w:r>
        <w:rPr>
          <w:rFonts w:hint="eastAsia" w:ascii="宋体" w:hAnsi="宋体" w:cs="宋体"/>
          <w:color w:val="000000" w:themeColor="text1"/>
          <w:sz w:val="24"/>
          <w14:textFill>
            <w14:solidFill>
              <w14:schemeClr w14:val="tx1"/>
            </w14:solidFill>
          </w14:textFill>
        </w:rPr>
        <w:t>内容不全或关键字迹模糊、无法辨认的；</w:t>
      </w:r>
    </w:p>
    <w:p>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w:t>
      </w:r>
      <w:r>
        <w:rPr>
          <w:rFonts w:hint="eastAsia" w:ascii="宋体" w:hAnsi="宋体" w:cs="宋体"/>
          <w:color w:val="000000" w:themeColor="text1"/>
          <w:sz w:val="24"/>
          <w:lang w:val="en-US" w:eastAsia="zh-CN"/>
          <w14:textFill>
            <w14:solidFill>
              <w14:schemeClr w14:val="tx1"/>
            </w14:solidFill>
          </w14:textFill>
        </w:rPr>
        <w:t xml:space="preserve">10 </w:t>
      </w:r>
      <w:r>
        <w:rPr>
          <w:rFonts w:hint="eastAsia" w:ascii="宋体" w:hAnsi="宋体" w:cs="宋体"/>
          <w:color w:val="000000" w:themeColor="text1"/>
          <w:sz w:val="24"/>
          <w14:textFill>
            <w14:solidFill>
              <w14:schemeClr w14:val="tx1"/>
            </w14:solidFill>
          </w14:textFill>
        </w:rPr>
        <w:t xml:space="preserve"> 投标文件载明的</w:t>
      </w:r>
      <w:r>
        <w:rPr>
          <w:rFonts w:hint="eastAsia" w:ascii="宋体" w:hAnsi="宋体" w:cs="宋体"/>
          <w:color w:val="000000" w:themeColor="text1"/>
          <w:sz w:val="24"/>
          <w:lang w:val="en-US" w:eastAsia="zh-CN"/>
          <w14:textFill>
            <w14:solidFill>
              <w14:schemeClr w14:val="tx1"/>
            </w14:solidFill>
          </w14:textFill>
        </w:rPr>
        <w:t>货物</w:t>
      </w:r>
      <w:r>
        <w:rPr>
          <w:rFonts w:hint="eastAsia" w:ascii="宋体" w:hAnsi="宋体" w:cs="宋体"/>
          <w:color w:val="000000" w:themeColor="text1"/>
          <w:sz w:val="24"/>
          <w14:textFill>
            <w14:solidFill>
              <w14:schemeClr w14:val="tx1"/>
            </w14:solidFill>
          </w14:textFill>
        </w:rPr>
        <w:t>范围、检验标准和方法等符合招标文件的要求；</w:t>
      </w:r>
    </w:p>
    <w:p>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w:t>
      </w:r>
      <w:r>
        <w:rPr>
          <w:rFonts w:hint="eastAsia" w:ascii="宋体" w:hAnsi="宋体" w:cs="宋体"/>
          <w:color w:val="000000" w:themeColor="text1"/>
          <w:sz w:val="24"/>
          <w:lang w:val="en-US" w:eastAsia="zh-CN"/>
          <w14:textFill>
            <w14:solidFill>
              <w14:schemeClr w14:val="tx1"/>
            </w14:solidFill>
          </w14:textFill>
        </w:rPr>
        <w:t>11  投标文件没有采购人不能接受的其他条件；</w:t>
      </w:r>
    </w:p>
    <w:p>
      <w:pPr>
        <w:keepLines w:val="0"/>
        <w:kinsoku/>
        <w:wordWrap/>
        <w:overflowPunct/>
        <w:bidi w:val="0"/>
        <w:adjustRightInd w:val="0"/>
        <w:snapToGrid w:val="0"/>
        <w:spacing w:line="360" w:lineRule="auto"/>
        <w:ind w:firstLine="482"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w:t>
      </w: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符合招标文件中规定的其他实质性要求。</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23.7 对通过初步评审的投标文件，评标委员会将对其进行算术性修正。算术性修正是指对投标文件的报价明细进行校核，并对其算术上和运算上的差错给予修正。修正的原则如下：</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23.7.1  </w:t>
      </w:r>
      <w:r>
        <w:rPr>
          <w:rFonts w:hint="eastAsia" w:ascii="宋体" w:hAnsi="宋体" w:eastAsia="宋体" w:cs="宋体"/>
          <w:color w:val="000000" w:themeColor="text1"/>
          <w:sz w:val="24"/>
          <w:szCs w:val="24"/>
          <w:highlight w:val="none"/>
          <w14:textFill>
            <w14:solidFill>
              <w14:schemeClr w14:val="tx1"/>
            </w14:solidFill>
          </w14:textFill>
        </w:rPr>
        <w:t>大写金额和小写金额不一致的，以大写金额为准；</w:t>
      </w:r>
    </w:p>
    <w:p>
      <w:pPr>
        <w:keepLines w:val="0"/>
        <w:kinsoku/>
        <w:wordWrap/>
        <w:overflowPunct/>
        <w:bidi w:val="0"/>
        <w:adjustRightInd w:val="0"/>
        <w:snapToGrid w:val="0"/>
        <w:spacing w:line="360" w:lineRule="auto"/>
        <w:ind w:firstLine="482"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23.7.2  </w:t>
      </w:r>
      <w:r>
        <w:rPr>
          <w:rFonts w:hint="eastAsia" w:ascii="宋体" w:hAnsi="宋体" w:cs="宋体"/>
          <w:color w:val="000000" w:themeColor="text1"/>
          <w:sz w:val="24"/>
          <w14:textFill>
            <w14:solidFill>
              <w14:schemeClr w14:val="tx1"/>
            </w14:solidFill>
          </w14:textFill>
        </w:rPr>
        <w:t>单价金额小数点或者百分比有明显错位的，以总价为准，并修改单价；</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23.7.3  </w:t>
      </w:r>
      <w:r>
        <w:rPr>
          <w:rFonts w:hint="eastAsia" w:ascii="宋体" w:hAnsi="宋体" w:eastAsia="宋体" w:cs="宋体"/>
          <w:color w:val="000000" w:themeColor="text1"/>
          <w:sz w:val="24"/>
          <w:szCs w:val="24"/>
          <w:highlight w:val="none"/>
          <w14:textFill>
            <w14:solidFill>
              <w14:schemeClr w14:val="tx1"/>
            </w14:solidFill>
          </w14:textFill>
        </w:rPr>
        <w:t>总价金额与按单价汇总金额不一致的，以单价金额计算结果为准。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23.7.4  </w:t>
      </w:r>
      <w:r>
        <w:rPr>
          <w:rFonts w:hint="eastAsia" w:ascii="宋体" w:hAnsi="宋体" w:eastAsia="宋体" w:cs="宋体"/>
          <w:color w:val="000000" w:themeColor="text1"/>
          <w:sz w:val="24"/>
          <w:szCs w:val="24"/>
          <w:highlight w:val="none"/>
          <w14:textFill>
            <w14:solidFill>
              <w14:schemeClr w14:val="tx1"/>
            </w14:solidFill>
          </w14:textFill>
        </w:rPr>
        <w:t>同时出现两种以上不一致的，按照前款规定的顺序修正。修正后的报价</w:t>
      </w:r>
      <w:r>
        <w:rPr>
          <w:rFonts w:hint="eastAsia" w:ascii="宋体" w:hAnsi="宋体" w:eastAsia="宋体" w:cs="宋体"/>
          <w:color w:val="000000" w:themeColor="text1"/>
          <w:sz w:val="24"/>
          <w:szCs w:val="24"/>
          <w:highlight w:val="none"/>
          <w:lang w:eastAsia="zh-CN"/>
          <w14:textFill>
            <w14:solidFill>
              <w14:schemeClr w14:val="tx1"/>
            </w14:solidFill>
          </w14:textFill>
        </w:rPr>
        <w:t>需经</w:t>
      </w:r>
      <w:r>
        <w:rPr>
          <w:rFonts w:hint="eastAsia" w:ascii="宋体" w:hAnsi="宋体" w:eastAsia="宋体" w:cs="宋体"/>
          <w:color w:val="000000" w:themeColor="text1"/>
          <w:sz w:val="24"/>
          <w:szCs w:val="24"/>
          <w:highlight w:val="none"/>
          <w14:textFill>
            <w14:solidFill>
              <w14:schemeClr w14:val="tx1"/>
            </w14:solidFill>
          </w14:textFill>
        </w:rPr>
        <w:t>投标人确认后产生约束力，投标人不确认的，其投标无效。</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23.7.</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  投标人的澄清、说明或者补正应当采用书面形式，并加盖公章，或者由法定代表人或其授权的代表签字。投标人的澄清、说明或者补正不得超出投标文件的范围或者改变投标文件的实质性内容。</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23.7.</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 xml:space="preserve">  对不同文字文本投标文件的解释发生异议的，以中文文本为准。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23.7.</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 xml:space="preserve">  评标委员会将拒绝被定为实质上非响应性的投标，投标人不能通过修正或撤销不符之处而使其投标成为响应性投标。</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23.7.6  评标委员会将允许投标中有微小的不正规、不一致或不规则，而该微小之处不构成重大偏离。</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23.8  通过初步评审及算术性修正的投标文件将进入详细评审阶段。</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23.8.1  详细评审中，评标委员会将采用综合评估法中的打分法，以投标文件能最大限度地满足招标文件中规定的各项评价标准为依据，独立地对各投标文件进行评审和打分。</w:t>
      </w:r>
    </w:p>
    <w:p>
      <w:pPr>
        <w:adjustRightInd w:val="0"/>
        <w:snapToGrid w:val="0"/>
        <w:spacing w:line="360" w:lineRule="auto"/>
        <w:ind w:firstLine="482"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23.8.2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评标委员会将对下述评审因素进行量化，并根据评委会每个成员对投标文件的评审和理解进行打分。</w:t>
      </w:r>
      <w:r>
        <w:rPr>
          <w:rFonts w:hint="eastAsia" w:ascii="宋体" w:hAnsi="宋体" w:eastAsia="宋体" w:cs="宋体"/>
          <w:color w:val="000000" w:themeColor="text1"/>
          <w:sz w:val="24"/>
          <w:szCs w:val="24"/>
          <w:highlight w:val="none"/>
          <w:lang w:eastAsia="zh-CN"/>
          <w14:textFill>
            <w14:solidFill>
              <w14:schemeClr w14:val="tx1"/>
            </w14:solidFill>
          </w14:textFill>
        </w:rPr>
        <w:t>经济报价权重占</w:t>
      </w: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，技术</w:t>
      </w:r>
      <w:r>
        <w:rPr>
          <w:rFonts w:hint="eastAsia" w:ascii="宋体" w:hAnsi="宋体" w:eastAsia="宋体" w:cs="宋体"/>
          <w:color w:val="000000" w:themeColor="text1"/>
          <w:sz w:val="24"/>
          <w:szCs w:val="24"/>
          <w:highlight w:val="none"/>
          <w:lang w:eastAsia="zh-CN"/>
          <w14:textFill>
            <w14:solidFill>
              <w14:schemeClr w14:val="tx1"/>
            </w14:solidFill>
          </w14:textFill>
        </w:rPr>
        <w:t>标</w:t>
      </w:r>
      <w:r>
        <w:rPr>
          <w:rFonts w:hint="eastAsia" w:ascii="宋体" w:hAnsi="宋体" w:eastAsia="宋体" w:cs="宋体"/>
          <w:color w:val="000000" w:themeColor="text1"/>
          <w:sz w:val="24"/>
          <w:szCs w:val="24"/>
          <w:highlight w:val="none"/>
          <w14:textFill>
            <w14:solidFill>
              <w14:schemeClr w14:val="tx1"/>
            </w14:solidFill>
          </w14:textFill>
        </w:rPr>
        <w:t>权重占</w:t>
      </w:r>
      <w:r>
        <w:rPr>
          <w:rFonts w:hint="eastAsia" w:ascii="宋体" w:hAnsi="宋体" w:eastAsia="宋体" w:cs="宋体"/>
          <w:color w:val="000000" w:themeColor="text1"/>
          <w:sz w:val="24"/>
          <w:szCs w:val="24"/>
          <w:highlight w:val="none"/>
          <w:lang w:val="en-US" w:eastAsia="zh-CN"/>
          <w14:textFill>
            <w14:solidFill>
              <w14:schemeClr w14:val="tx1"/>
            </w14:solidFill>
          </w14:textFill>
        </w:rPr>
        <w:t>70%</w:t>
      </w: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lang w:eastAsia="zh-CN"/>
          <w14:textFill>
            <w14:solidFill>
              <w14:schemeClr w14:val="tx1"/>
            </w14:solidFill>
          </w14:textFill>
        </w:rPr>
        <w:t>两</w:t>
      </w:r>
      <w:r>
        <w:rPr>
          <w:rFonts w:hint="eastAsia" w:ascii="宋体" w:hAnsi="宋体" w:eastAsia="宋体" w:cs="宋体"/>
          <w:color w:val="000000" w:themeColor="text1"/>
          <w:sz w:val="24"/>
          <w:szCs w:val="24"/>
          <w:highlight w:val="none"/>
          <w14:textFill>
            <w14:solidFill>
              <w14:schemeClr w14:val="tx1"/>
            </w14:solidFill>
          </w14:textFill>
        </w:rPr>
        <w:t>部分的分值相加，即为该投标人的</w:t>
      </w:r>
      <w:r>
        <w:rPr>
          <w:rFonts w:hint="eastAsia" w:ascii="宋体" w:hAnsi="宋体" w:eastAsia="宋体" w:cs="宋体"/>
          <w:color w:val="000000" w:themeColor="text1"/>
          <w:sz w:val="24"/>
          <w:szCs w:val="24"/>
          <w:highlight w:val="none"/>
          <w:lang w:eastAsia="zh-CN"/>
          <w14:textFill>
            <w14:solidFill>
              <w14:schemeClr w14:val="tx1"/>
            </w14:solidFill>
          </w14:textFill>
        </w:rPr>
        <w:t>评标总得分。</w:t>
      </w:r>
    </w:p>
    <w:p>
      <w:pPr>
        <w:pStyle w:val="2"/>
        <w:rPr>
          <w:rFonts w:hint="eastAsia" w:ascii="宋体" w:hAnsi="宋体" w:eastAsia="宋体" w:cs="宋体"/>
          <w:color w:val="000000" w:themeColor="text1"/>
          <w:sz w:val="24"/>
          <w:szCs w:val="24"/>
          <w:highlight w:val="none"/>
          <w:lang w:eastAsia="zh-CN"/>
          <w14:textFill>
            <w14:solidFill>
              <w14:schemeClr w14:val="tx1"/>
            </w14:solidFill>
          </w14:textFill>
        </w:rPr>
      </w:pPr>
    </w:p>
    <w:p>
      <w:pPr>
        <w:spacing w:line="360" w:lineRule="auto"/>
        <w:jc w:val="center"/>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初步评审标准</w:t>
      </w:r>
    </w:p>
    <w:tbl>
      <w:tblPr>
        <w:tblStyle w:val="15"/>
        <w:tblpPr w:leftFromText="180" w:rightFromText="180" w:vertAnchor="text" w:horzAnchor="page" w:tblpX="1104" w:tblpY="305"/>
        <w:tblOverlap w:val="never"/>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562"/>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01" w:type="dxa"/>
            <w:vMerge w:val="restart"/>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初步评审</w:t>
            </w:r>
          </w:p>
        </w:tc>
        <w:tc>
          <w:tcPr>
            <w:tcW w:w="9362" w:type="dxa"/>
            <w:gridSpan w:val="2"/>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01" w:type="dxa"/>
            <w:vMerge w:val="continue"/>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1</w:t>
            </w:r>
          </w:p>
        </w:tc>
        <w:tc>
          <w:tcPr>
            <w:tcW w:w="8800"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投标人满足本招标文件关于对合格投标人资格要求的规定；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w:t>
            </w:r>
          </w:p>
        </w:tc>
        <w:tc>
          <w:tcPr>
            <w:tcW w:w="8800"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投标文件组成完整，主要内容未能按招标文件规定的内容、格式填写；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w:t>
            </w:r>
          </w:p>
        </w:tc>
        <w:tc>
          <w:tcPr>
            <w:tcW w:w="8800"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投标人按照招标文件的要求提供投标保证金，所提供的投标保证金</w:t>
            </w:r>
            <w:r>
              <w:rPr>
                <w:rFonts w:hint="eastAsia" w:ascii="宋体" w:hAnsi="宋体" w:cs="宋体"/>
                <w:color w:val="000000" w:themeColor="text1"/>
                <w:sz w:val="24"/>
                <w:lang w:eastAsia="zh-CN"/>
                <w14:textFill>
                  <w14:solidFill>
                    <w14:schemeClr w14:val="tx1"/>
                  </w14:solidFill>
                </w14:textFill>
              </w:rPr>
              <w:t>完整没</w:t>
            </w:r>
            <w:r>
              <w:rPr>
                <w:rFonts w:hint="eastAsia" w:ascii="宋体" w:hAnsi="宋体" w:cs="宋体"/>
                <w:color w:val="000000" w:themeColor="text1"/>
                <w:sz w:val="24"/>
                <w14:textFill>
                  <w14:solidFill>
                    <w14:schemeClr w14:val="tx1"/>
                  </w14:solidFill>
                </w14:textFill>
              </w:rPr>
              <w:t>有瑕疵；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w:t>
            </w:r>
          </w:p>
        </w:tc>
        <w:tc>
          <w:tcPr>
            <w:tcW w:w="8800"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投标文件的有效期满足招标文件的规定；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5</w:t>
            </w:r>
          </w:p>
        </w:tc>
        <w:tc>
          <w:tcPr>
            <w:tcW w:w="8800"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投标文件按照规定</w:t>
            </w:r>
            <w:r>
              <w:rPr>
                <w:rFonts w:hint="eastAsia" w:ascii="宋体" w:hAnsi="宋体" w:cs="宋体"/>
                <w:color w:val="000000" w:themeColor="text1"/>
                <w:sz w:val="24"/>
                <w:lang w:val="en-US" w:eastAsia="zh-CN"/>
                <w14:textFill>
                  <w14:solidFill>
                    <w14:schemeClr w14:val="tx1"/>
                  </w14:solidFill>
                </w14:textFill>
              </w:rPr>
              <w:t>签章</w:t>
            </w:r>
            <w:r>
              <w:rPr>
                <w:rFonts w:hint="eastAsia" w:ascii="宋体" w:hAnsi="宋体" w:cs="宋体"/>
                <w:color w:val="000000" w:themeColor="text1"/>
                <w:sz w:val="24"/>
                <w14:textFill>
                  <w14:solidFill>
                    <w14:schemeClr w14:val="tx1"/>
                  </w14:solidFill>
                </w14:textFill>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6</w:t>
            </w:r>
          </w:p>
        </w:tc>
        <w:tc>
          <w:tcPr>
            <w:tcW w:w="8800"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投标代表授权书由法定代表人签署；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7</w:t>
            </w:r>
          </w:p>
        </w:tc>
        <w:tc>
          <w:tcPr>
            <w:tcW w:w="8800"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投标文件针对每一种</w:t>
            </w:r>
            <w:r>
              <w:rPr>
                <w:rFonts w:hint="eastAsia" w:ascii="宋体" w:hAnsi="宋体" w:cs="宋体"/>
                <w:color w:val="000000" w:themeColor="text1"/>
                <w:sz w:val="24"/>
                <w:lang w:val="en-US" w:eastAsia="zh-CN"/>
                <w14:textFill>
                  <w14:solidFill>
                    <w14:schemeClr w14:val="tx1"/>
                  </w14:solidFill>
                </w14:textFill>
              </w:rPr>
              <w:t>货物只提出一个报价，未</w:t>
            </w:r>
            <w:r>
              <w:rPr>
                <w:rFonts w:hint="eastAsia" w:ascii="宋体" w:hAnsi="宋体" w:cs="宋体"/>
                <w:color w:val="000000" w:themeColor="text1"/>
                <w:sz w:val="24"/>
                <w14:textFill>
                  <w14:solidFill>
                    <w14:schemeClr w14:val="tx1"/>
                  </w14:solidFill>
                </w14:textFill>
              </w:rPr>
              <w:t>出现了两个或两个以上的报价；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8</w:t>
            </w:r>
          </w:p>
        </w:tc>
        <w:tc>
          <w:tcPr>
            <w:tcW w:w="8800"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投标报价未超过最高限价；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9</w:t>
            </w:r>
          </w:p>
        </w:tc>
        <w:tc>
          <w:tcPr>
            <w:tcW w:w="8800"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符合招标文件关于对招标技术</w:t>
            </w:r>
            <w:r>
              <w:rPr>
                <w:rFonts w:hint="eastAsia" w:ascii="宋体" w:hAnsi="宋体" w:cs="宋体"/>
                <w:color w:val="000000" w:themeColor="text1"/>
                <w:sz w:val="24"/>
                <w:lang w:val="en-US" w:eastAsia="zh-CN"/>
                <w14:textFill>
                  <w14:solidFill>
                    <w14:schemeClr w14:val="tx1"/>
                  </w14:solidFill>
                </w14:textFill>
              </w:rPr>
              <w:t>服务</w:t>
            </w:r>
            <w:r>
              <w:rPr>
                <w:rFonts w:hint="eastAsia" w:ascii="宋体" w:hAnsi="宋体" w:cs="宋体"/>
                <w:color w:val="000000" w:themeColor="text1"/>
                <w:sz w:val="24"/>
                <w14:textFill>
                  <w14:solidFill>
                    <w14:schemeClr w14:val="tx1"/>
                  </w14:solidFill>
                </w14:textFill>
              </w:rPr>
              <w:t>和标准的要求；按招标文件规定的格式填写，</w:t>
            </w:r>
            <w:r>
              <w:rPr>
                <w:rFonts w:hint="eastAsia" w:ascii="宋体" w:hAnsi="宋体" w:cs="宋体"/>
                <w:color w:val="000000" w:themeColor="text1"/>
                <w:sz w:val="24"/>
                <w:lang w:eastAsia="zh-CN"/>
                <w14:textFill>
                  <w14:solidFill>
                    <w14:schemeClr w14:val="tx1"/>
                  </w14:solidFill>
                </w14:textFill>
              </w:rPr>
              <w:t>并无</w:t>
            </w:r>
            <w:r>
              <w:rPr>
                <w:rFonts w:hint="eastAsia" w:ascii="宋体" w:hAnsi="宋体" w:cs="宋体"/>
                <w:color w:val="000000" w:themeColor="text1"/>
                <w:sz w:val="24"/>
                <w14:textFill>
                  <w14:solidFill>
                    <w14:schemeClr w14:val="tx1"/>
                  </w14:solidFill>
                </w14:textFill>
              </w:rPr>
              <w:t>内容不全或关键字迹模糊、无法辨认的；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10</w:t>
            </w:r>
          </w:p>
        </w:tc>
        <w:tc>
          <w:tcPr>
            <w:tcW w:w="8800"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投标文件载明的</w:t>
            </w:r>
            <w:r>
              <w:rPr>
                <w:rFonts w:hint="eastAsia" w:ascii="宋体" w:hAnsi="宋体" w:cs="宋体"/>
                <w:color w:val="000000" w:themeColor="text1"/>
                <w:sz w:val="24"/>
                <w:lang w:val="en-US" w:eastAsia="zh-CN"/>
                <w14:textFill>
                  <w14:solidFill>
                    <w14:schemeClr w14:val="tx1"/>
                  </w14:solidFill>
                </w14:textFill>
              </w:rPr>
              <w:t>货物</w:t>
            </w:r>
            <w:r>
              <w:rPr>
                <w:rFonts w:hint="eastAsia" w:ascii="宋体" w:hAnsi="宋体" w:cs="宋体"/>
                <w:color w:val="000000" w:themeColor="text1"/>
                <w:sz w:val="24"/>
                <w14:textFill>
                  <w14:solidFill>
                    <w14:schemeClr w14:val="tx1"/>
                  </w14:solidFill>
                </w14:textFill>
              </w:rPr>
              <w:t>范围、检验标准和方法等符合招标文件的要求；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11</w:t>
            </w:r>
          </w:p>
        </w:tc>
        <w:tc>
          <w:tcPr>
            <w:tcW w:w="8800" w:type="dxa"/>
            <w:noWrap w:val="0"/>
            <w:vAlign w:val="center"/>
          </w:tcPr>
          <w:p>
            <w:pPr>
              <w:pStyle w:val="14"/>
              <w:spacing w:before="0" w:beforeAutospacing="0" w:after="0" w:afterAutospacing="0"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cs="宋体"/>
                <w:color w:val="000000" w:themeColor="text1"/>
                <w14:textFill>
                  <w14:solidFill>
                    <w14:schemeClr w14:val="tx1"/>
                  </w14:solidFill>
                </w14:textFill>
              </w:rPr>
              <w:t>投标文件</w:t>
            </w:r>
            <w:r>
              <w:rPr>
                <w:rFonts w:hint="eastAsia" w:cs="宋体"/>
                <w:color w:val="000000" w:themeColor="text1"/>
                <w:lang w:eastAsia="zh-CN"/>
                <w14:textFill>
                  <w14:solidFill>
                    <w14:schemeClr w14:val="tx1"/>
                  </w14:solidFill>
                </w14:textFill>
              </w:rPr>
              <w:t>没</w:t>
            </w:r>
            <w:r>
              <w:rPr>
                <w:rFonts w:hint="eastAsia" w:cs="宋体"/>
                <w:color w:val="000000" w:themeColor="text1"/>
                <w14:textFill>
                  <w14:solidFill>
                    <w14:schemeClr w14:val="tx1"/>
                  </w14:solidFill>
                </w14:textFill>
              </w:rPr>
              <w:t>有采购人不能接受的其他条件；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12</w:t>
            </w:r>
          </w:p>
        </w:tc>
        <w:tc>
          <w:tcPr>
            <w:tcW w:w="8800" w:type="dxa"/>
            <w:noWrap w:val="0"/>
            <w:vAlign w:val="center"/>
          </w:tcPr>
          <w:p>
            <w:pPr>
              <w:pStyle w:val="14"/>
              <w:spacing w:before="0" w:beforeAutospacing="0" w:after="0" w:afterAutospacing="0"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cs="宋体"/>
                <w:color w:val="000000" w:themeColor="text1"/>
                <w14:textFill>
                  <w14:solidFill>
                    <w14:schemeClr w14:val="tx1"/>
                  </w14:solidFill>
                </w14:textFill>
              </w:rPr>
              <w:t>符合招标文件中规定的其他实质性要求。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63" w:type="dxa"/>
            <w:gridSpan w:val="3"/>
            <w:noWrap w:val="0"/>
            <w:vAlign w:val="center"/>
          </w:tcPr>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初步评审合格后方可进入详细评审阶段</w:t>
            </w:r>
          </w:p>
        </w:tc>
      </w:tr>
    </w:tbl>
    <w:p>
      <w:pPr>
        <w:spacing w:line="360" w:lineRule="auto"/>
        <w:rPr>
          <w:rFonts w:hint="eastAsia" w:ascii="宋体" w:hAnsi="宋体" w:cs="宋体"/>
          <w:b/>
          <w:bCs/>
          <w:color w:val="000000" w:themeColor="text1"/>
          <w:sz w:val="24"/>
          <w:highlight w:val="none"/>
          <w14:textFill>
            <w14:solidFill>
              <w14:schemeClr w14:val="tx1"/>
            </w14:solidFill>
          </w14:textFill>
        </w:rPr>
      </w:pPr>
    </w:p>
    <w:p>
      <w:pPr>
        <w:spacing w:line="360" w:lineRule="auto"/>
        <w:rPr>
          <w:rFonts w:hint="eastAsia" w:ascii="宋体" w:hAnsi="宋体" w:cs="宋体"/>
          <w:b/>
          <w:bCs/>
          <w:color w:val="000000" w:themeColor="text1"/>
          <w:sz w:val="24"/>
          <w:highlight w:val="none"/>
          <w14:textFill>
            <w14:solidFill>
              <w14:schemeClr w14:val="tx1"/>
            </w14:solidFill>
          </w14:textFill>
        </w:rPr>
      </w:pPr>
    </w:p>
    <w:p>
      <w:pPr>
        <w:spacing w:line="360" w:lineRule="auto"/>
        <w:rPr>
          <w:rFonts w:hint="eastAsia" w:ascii="宋体" w:hAnsi="宋体" w:cs="宋体"/>
          <w:b/>
          <w:bCs/>
          <w:color w:val="000000" w:themeColor="text1"/>
          <w:sz w:val="24"/>
          <w:highlight w:val="none"/>
          <w14:textFill>
            <w14:solidFill>
              <w14:schemeClr w14:val="tx1"/>
            </w14:solidFill>
          </w14:textFill>
        </w:rPr>
      </w:pPr>
    </w:p>
    <w:p>
      <w:pPr>
        <w:spacing w:line="360" w:lineRule="auto"/>
        <w:rPr>
          <w:rFonts w:hint="eastAsia" w:ascii="宋体" w:hAnsi="宋体" w:cs="宋体"/>
          <w:b/>
          <w:bCs/>
          <w:color w:val="000000" w:themeColor="text1"/>
          <w:sz w:val="24"/>
          <w:highlight w:val="none"/>
          <w14:textFill>
            <w14:solidFill>
              <w14:schemeClr w14:val="tx1"/>
            </w14:solidFill>
          </w14:textFill>
        </w:rPr>
      </w:pPr>
    </w:p>
    <w:p>
      <w:pPr>
        <w:spacing w:line="360" w:lineRule="auto"/>
        <w:rPr>
          <w:rFonts w:hint="eastAsia" w:ascii="宋体" w:hAnsi="宋体" w:cs="宋体"/>
          <w:b/>
          <w:bCs/>
          <w:color w:val="000000" w:themeColor="text1"/>
          <w:sz w:val="24"/>
          <w:highlight w:val="none"/>
          <w14:textFill>
            <w14:solidFill>
              <w14:schemeClr w14:val="tx1"/>
            </w14:solidFill>
          </w14:textFill>
        </w:rPr>
      </w:pPr>
    </w:p>
    <w:p>
      <w:pPr>
        <w:spacing w:line="360" w:lineRule="auto"/>
        <w:rPr>
          <w:rFonts w:hint="eastAsia" w:ascii="宋体" w:hAnsi="宋体" w:cs="宋体"/>
          <w:b/>
          <w:bCs/>
          <w:color w:val="000000" w:themeColor="text1"/>
          <w:sz w:val="24"/>
          <w:highlight w:val="none"/>
          <w14:textFill>
            <w14:solidFill>
              <w14:schemeClr w14:val="tx1"/>
            </w14:solidFill>
          </w14:textFill>
        </w:rPr>
      </w:pPr>
    </w:p>
    <w:p>
      <w:pPr>
        <w:pStyle w:val="8"/>
        <w:rPr>
          <w:rFonts w:hint="eastAsia" w:ascii="宋体" w:hAnsi="宋体" w:cs="宋体"/>
          <w:b/>
          <w:bCs/>
          <w:color w:val="000000" w:themeColor="text1"/>
          <w:sz w:val="24"/>
          <w:highlight w:val="none"/>
          <w14:textFill>
            <w14:solidFill>
              <w14:schemeClr w14:val="tx1"/>
            </w14:solidFill>
          </w14:textFill>
        </w:rPr>
      </w:pPr>
    </w:p>
    <w:p>
      <w:pPr>
        <w:spacing w:line="360" w:lineRule="auto"/>
        <w:rPr>
          <w:rFonts w:hint="eastAsia" w:ascii="宋体" w:hAnsi="宋体" w:cs="宋体"/>
          <w:b/>
          <w:bCs/>
          <w:color w:val="000000" w:themeColor="text1"/>
          <w:sz w:val="24"/>
          <w:highlight w:val="none"/>
          <w14:textFill>
            <w14:solidFill>
              <w14:schemeClr w14:val="tx1"/>
            </w14:solidFill>
          </w14:textFill>
        </w:rPr>
      </w:pPr>
    </w:p>
    <w:p>
      <w:pPr>
        <w:pStyle w:val="8"/>
        <w:rPr>
          <w:rFonts w:hint="eastAsia" w:ascii="宋体" w:hAnsi="宋体" w:cs="宋体"/>
          <w:b/>
          <w:bCs/>
          <w:color w:val="000000" w:themeColor="text1"/>
          <w:sz w:val="24"/>
          <w:highlight w:val="none"/>
          <w14:textFill>
            <w14:solidFill>
              <w14:schemeClr w14:val="tx1"/>
            </w14:solidFill>
          </w14:textFill>
        </w:rPr>
      </w:pPr>
    </w:p>
    <w:p>
      <w:pPr>
        <w:rPr>
          <w:rFonts w:hint="eastAsia" w:ascii="宋体" w:hAnsi="宋体" w:cs="宋体"/>
          <w:b/>
          <w:bCs/>
          <w:color w:val="000000" w:themeColor="text1"/>
          <w:sz w:val="24"/>
          <w:highlight w:val="none"/>
          <w14:textFill>
            <w14:solidFill>
              <w14:schemeClr w14:val="tx1"/>
            </w14:solidFill>
          </w14:textFill>
        </w:rPr>
      </w:pPr>
    </w:p>
    <w:p>
      <w:pPr>
        <w:pStyle w:val="8"/>
        <w:rPr>
          <w:rFonts w:hint="eastAsia"/>
          <w:color w:val="000000" w:themeColor="text1"/>
          <w14:textFill>
            <w14:solidFill>
              <w14:schemeClr w14:val="tx1"/>
            </w14:solidFill>
          </w14:textFill>
        </w:rPr>
      </w:pPr>
    </w:p>
    <w:p>
      <w:pPr>
        <w:spacing w:line="360" w:lineRule="auto"/>
        <w:jc w:val="center"/>
        <w:outlineLvl w:val="2"/>
        <w:rPr>
          <w:rFonts w:hint="eastAsia" w:ascii="宋体" w:hAnsi="宋体" w:cs="宋体"/>
          <w:b/>
          <w:bCs/>
          <w:color w:val="000000" w:themeColor="text1"/>
          <w:sz w:val="24"/>
          <w:highlight w:val="none"/>
          <w14:textFill>
            <w14:solidFill>
              <w14:schemeClr w14:val="tx1"/>
            </w14:solidFill>
          </w14:textFill>
        </w:rPr>
      </w:pPr>
    </w:p>
    <w:p>
      <w:pPr>
        <w:spacing w:line="360" w:lineRule="auto"/>
        <w:jc w:val="center"/>
        <w:outlineLvl w:val="2"/>
        <w:rPr>
          <w:rFonts w:hint="eastAsia" w:ascii="宋体" w:hAnsi="宋体" w:cs="宋体"/>
          <w:b/>
          <w:bCs/>
          <w:color w:val="000000" w:themeColor="text1"/>
          <w:sz w:val="24"/>
          <w:highlight w:val="none"/>
          <w14:textFill>
            <w14:solidFill>
              <w14:schemeClr w14:val="tx1"/>
            </w14:solidFill>
          </w14:textFill>
        </w:rPr>
      </w:pPr>
    </w:p>
    <w:p>
      <w:pPr>
        <w:spacing w:line="360" w:lineRule="auto"/>
        <w:jc w:val="center"/>
        <w:outlineLvl w:val="2"/>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经济报价评分标准</w:t>
      </w:r>
    </w:p>
    <w:tbl>
      <w:tblPr>
        <w:tblStyle w:val="15"/>
        <w:tblW w:w="10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9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01" w:type="dxa"/>
            <w:noWrap w:val="0"/>
            <w:vAlign w:val="center"/>
          </w:tcPr>
          <w:p>
            <w:pPr>
              <w:spacing w:line="360" w:lineRule="auto"/>
              <w:jc w:val="center"/>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经</w:t>
            </w:r>
          </w:p>
          <w:p>
            <w:pPr>
              <w:spacing w:line="360" w:lineRule="auto"/>
              <w:jc w:val="center"/>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济</w:t>
            </w:r>
          </w:p>
          <w:p>
            <w:pPr>
              <w:spacing w:line="360" w:lineRule="auto"/>
              <w:jc w:val="center"/>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报</w:t>
            </w:r>
          </w:p>
          <w:p>
            <w:pPr>
              <w:spacing w:line="360" w:lineRule="auto"/>
              <w:jc w:val="center"/>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价</w:t>
            </w:r>
          </w:p>
          <w:p>
            <w:pPr>
              <w:spacing w:line="360" w:lineRule="auto"/>
              <w:jc w:val="center"/>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K1</w:t>
            </w:r>
          </w:p>
        </w:tc>
        <w:tc>
          <w:tcPr>
            <w:tcW w:w="9545" w:type="dxa"/>
            <w:noWrap w:val="0"/>
            <w:vAlign w:val="top"/>
          </w:tcPr>
          <w:p>
            <w:pPr>
              <w:pStyle w:val="24"/>
              <w:spacing w:line="360" w:lineRule="auto"/>
              <w:ind w:firstLine="485"/>
              <w:jc w:val="both"/>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经济报价得分计算：</w:t>
            </w:r>
          </w:p>
          <w:p>
            <w:pPr>
              <w:pStyle w:val="24"/>
              <w:spacing w:line="360" w:lineRule="auto"/>
              <w:ind w:firstLine="485"/>
              <w:jc w:val="both"/>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（1）对于经济报价的评分，按以下方法进行：价格分采用低价优先法计算，即满足</w:t>
            </w:r>
            <w:r>
              <w:rPr>
                <w:rFonts w:hint="eastAsia" w:ascii="宋体" w:hAnsi="宋体" w:eastAsia="宋体" w:cs="宋体"/>
                <w:b w:val="0"/>
                <w:bCs w:val="0"/>
                <w:color w:val="000000" w:themeColor="text1"/>
                <w:sz w:val="24"/>
                <w:highlight w:val="none"/>
                <w:lang w:eastAsia="zh-CN"/>
                <w14:textFill>
                  <w14:solidFill>
                    <w14:schemeClr w14:val="tx1"/>
                  </w14:solidFill>
                </w14:textFill>
              </w:rPr>
              <w:t>竞争性磋商文件</w:t>
            </w:r>
            <w:r>
              <w:rPr>
                <w:rFonts w:hint="eastAsia" w:ascii="宋体" w:hAnsi="宋体" w:eastAsia="宋体" w:cs="宋体"/>
                <w:b w:val="0"/>
                <w:bCs w:val="0"/>
                <w:color w:val="000000" w:themeColor="text1"/>
                <w:sz w:val="24"/>
                <w:highlight w:val="none"/>
                <w14:textFill>
                  <w14:solidFill>
                    <w14:schemeClr w14:val="tx1"/>
                  </w14:solidFill>
                </w14:textFill>
              </w:rPr>
              <w:t>要求且投标价格最低的投标报价为评标基准价，其价格分为满分。其他投标人的价格分统一按照下列公式计算</w:t>
            </w:r>
            <w:r>
              <w:rPr>
                <w:rFonts w:hint="eastAsia" w:ascii="宋体" w:hAnsi="宋体" w:eastAsia="宋体" w:cs="宋体"/>
                <w:b w:val="0"/>
                <w:bCs w:val="0"/>
                <w:color w:val="000000" w:themeColor="text1"/>
                <w:sz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因落实政府采购政策进行价格调整的，以调整后的价格计算评标基准价和投标报价。</w:t>
            </w:r>
          </w:p>
          <w:p>
            <w:pPr>
              <w:pStyle w:val="24"/>
              <w:spacing w:line="360" w:lineRule="auto"/>
              <w:ind w:firstLine="485"/>
              <w:jc w:val="both"/>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投标报价得分=(评标基准价/投标报价)×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highlight w:val="none"/>
                <w14:textFill>
                  <w14:solidFill>
                    <w14:schemeClr w14:val="tx1"/>
                  </w14:solidFill>
                </w14:textFill>
              </w:rPr>
              <w:t>0%×100</w:t>
            </w:r>
          </w:p>
          <w:p>
            <w:pPr>
              <w:pStyle w:val="24"/>
              <w:spacing w:line="360" w:lineRule="auto"/>
              <w:ind w:firstLine="485"/>
              <w:jc w:val="both"/>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4"/>
              <w:spacing w:line="360" w:lineRule="auto"/>
              <w:ind w:firstLine="485"/>
              <w:jc w:val="both"/>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小微企业价格扣除评审：对于非专门面向中小企业的项目，对小型和微型企业产品价格给予10%的扣除，用扣除后的价格参与价格分的评审。需同时满足以下两个条件的给予价格扣除：</w:t>
            </w:r>
          </w:p>
          <w:p>
            <w:pPr>
              <w:pStyle w:val="24"/>
              <w:spacing w:line="360" w:lineRule="auto"/>
              <w:ind w:firstLine="485"/>
              <w:jc w:val="both"/>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1.《中小型企业声明函》</w:t>
            </w:r>
          </w:p>
          <w:p>
            <w:pPr>
              <w:pStyle w:val="24"/>
              <w:spacing w:line="360" w:lineRule="auto"/>
              <w:ind w:firstLine="485"/>
              <w:jc w:val="both"/>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2.提供投标人工商行政登记所在管理部门出具的小微企业证明文件；</w:t>
            </w:r>
          </w:p>
          <w:p>
            <w:pPr>
              <w:pStyle w:val="24"/>
              <w:spacing w:line="360" w:lineRule="auto"/>
              <w:ind w:firstLine="485"/>
              <w:jc w:val="both"/>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节能、环境标志产品评审优惠内容及加分幅度：</w:t>
            </w:r>
          </w:p>
          <w:p>
            <w:pPr>
              <w:pStyle w:val="24"/>
              <w:spacing w:line="360" w:lineRule="auto"/>
              <w:ind w:firstLine="485"/>
              <w:jc w:val="both"/>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highlight w:val="none"/>
                <w14:textFill>
                  <w14:solidFill>
                    <w14:schemeClr w14:val="tx1"/>
                  </w14:solidFill>
                </w14:textFill>
              </w:rPr>
              <w:t>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本次采购货物中属政府强制采购节能产品的，投标人所投产品必须是《节能产品政府采购清单》内产品，并提供清单内证明材料，否则投标无效。其他产品若属于“节能产品政府采购清单”内产品，在同等条件下，优先采购清单中的产品。</w:t>
            </w:r>
          </w:p>
          <w:p>
            <w:pPr>
              <w:pStyle w:val="24"/>
              <w:spacing w:line="360" w:lineRule="auto"/>
              <w:ind w:firstLine="485"/>
              <w:jc w:val="both"/>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highlight w:val="none"/>
                <w14:textFill>
                  <w14:solidFill>
                    <w14:schemeClr w14:val="tx1"/>
                  </w14:solidFill>
                </w14:textFill>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pPr>
              <w:pStyle w:val="24"/>
              <w:spacing w:line="360" w:lineRule="auto"/>
              <w:ind w:firstLine="485"/>
              <w:jc w:val="both"/>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价格项加分：</w:t>
            </w:r>
          </w:p>
          <w:p>
            <w:pPr>
              <w:pStyle w:val="24"/>
              <w:spacing w:line="360" w:lineRule="auto"/>
              <w:ind w:firstLine="485"/>
              <w:jc w:val="both"/>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1、（节能清单部分产品的价格/投标报价）×3%×价格项满分值</w:t>
            </w:r>
          </w:p>
          <w:p>
            <w:pPr>
              <w:pStyle w:val="24"/>
              <w:spacing w:line="360" w:lineRule="auto"/>
              <w:ind w:firstLine="485"/>
              <w:jc w:val="both"/>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2、（环境清单部分产品的价格/投标报价）×3%×价格项满分值</w:t>
            </w:r>
          </w:p>
          <w:p>
            <w:pPr>
              <w:pStyle w:val="24"/>
              <w:spacing w:line="360" w:lineRule="auto"/>
              <w:ind w:firstLine="485"/>
              <w:jc w:val="both"/>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技术项加分：</w:t>
            </w:r>
          </w:p>
          <w:p>
            <w:pPr>
              <w:pStyle w:val="24"/>
              <w:spacing w:line="360" w:lineRule="auto"/>
              <w:ind w:firstLine="485"/>
              <w:jc w:val="both"/>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1、（节能清单部分产品的价格/投标报价）×3%×技术项满分值</w:t>
            </w:r>
          </w:p>
          <w:p>
            <w:pPr>
              <w:pStyle w:val="24"/>
              <w:spacing w:line="360" w:lineRule="auto"/>
              <w:ind w:firstLine="485"/>
              <w:jc w:val="both"/>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2、（环境清单部分产品的价格/投标报价）×3%×技术项满分值</w:t>
            </w:r>
          </w:p>
          <w:p>
            <w:pPr>
              <w:pStyle w:val="24"/>
              <w:spacing w:line="360" w:lineRule="auto"/>
              <w:ind w:firstLine="485"/>
              <w:jc w:val="both"/>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注：1、投标人须提供</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最新一</w:t>
            </w:r>
            <w:r>
              <w:rPr>
                <w:rFonts w:hint="eastAsia" w:ascii="宋体" w:hAnsi="宋体" w:eastAsia="宋体" w:cs="宋体"/>
                <w:b w:val="0"/>
                <w:bCs w:val="0"/>
                <w:color w:val="000000" w:themeColor="text1"/>
                <w:sz w:val="24"/>
                <w:highlight w:val="none"/>
                <w14:textFill>
                  <w14:solidFill>
                    <w14:schemeClr w14:val="tx1"/>
                  </w14:solidFill>
                </w14:textFill>
              </w:rPr>
              <w:t>期《节能产品政府采购清单》关于投标产品当前页的打印件；</w:t>
            </w:r>
          </w:p>
          <w:p>
            <w:pPr>
              <w:pStyle w:val="24"/>
              <w:spacing w:line="360" w:lineRule="auto"/>
              <w:ind w:firstLine="485"/>
              <w:jc w:val="both"/>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2、投标人提供</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最新一</w:t>
            </w:r>
            <w:r>
              <w:rPr>
                <w:rFonts w:hint="eastAsia" w:ascii="宋体" w:hAnsi="宋体" w:eastAsia="宋体" w:cs="宋体"/>
                <w:b w:val="0"/>
                <w:bCs w:val="0"/>
                <w:color w:val="000000" w:themeColor="text1"/>
                <w:sz w:val="24"/>
                <w:highlight w:val="none"/>
                <w14:textFill>
                  <w14:solidFill>
                    <w14:schemeClr w14:val="tx1"/>
                  </w14:solidFill>
                </w14:textFill>
              </w:rPr>
              <w:t>期《环境标志产品政府采购清单》关于投标产品当前页的打印件；</w:t>
            </w:r>
          </w:p>
          <w:p>
            <w:pPr>
              <w:pStyle w:val="24"/>
              <w:spacing w:line="360" w:lineRule="auto"/>
              <w:ind w:firstLine="485"/>
              <w:jc w:val="both"/>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最低报价不作为评标的唯一依据。采购人不承诺将合同授予报价最低的投标人。</w:t>
            </w:r>
          </w:p>
        </w:tc>
      </w:tr>
    </w:tbl>
    <w:p>
      <w:pPr>
        <w:spacing w:line="360" w:lineRule="auto"/>
        <w:jc w:val="center"/>
        <w:rPr>
          <w:rFonts w:hint="eastAsia" w:ascii="宋体" w:hAnsi="宋体" w:cs="宋体"/>
          <w:b/>
          <w:color w:val="000000" w:themeColor="text1"/>
          <w:sz w:val="24"/>
          <w:highlight w:val="none"/>
          <w14:textFill>
            <w14:solidFill>
              <w14:schemeClr w14:val="tx1"/>
            </w14:solidFill>
          </w14:textFill>
        </w:rPr>
      </w:pPr>
    </w:p>
    <w:p>
      <w:pPr>
        <w:pStyle w:val="8"/>
        <w:rPr>
          <w:rFonts w:hint="eastAsia"/>
          <w:color w:val="000000" w:themeColor="text1"/>
          <w14:textFill>
            <w14:solidFill>
              <w14:schemeClr w14:val="tx1"/>
            </w14:solidFill>
          </w14:textFill>
        </w:rPr>
      </w:pPr>
    </w:p>
    <w:p>
      <w:pPr>
        <w:spacing w:line="460" w:lineRule="exact"/>
        <w:ind w:firstLine="722" w:firstLineChars="200"/>
        <w:jc w:val="center"/>
        <w:rPr>
          <w:rFonts w:hint="eastAsia" w:ascii="宋体" w:hAnsi="宋体" w:cs="宋体"/>
          <w:b/>
          <w:color w:val="000000" w:themeColor="text1"/>
          <w:sz w:val="36"/>
          <w:szCs w:val="36"/>
          <w:highlight w:val="none"/>
          <w14:textFill>
            <w14:solidFill>
              <w14:schemeClr w14:val="tx1"/>
            </w14:solidFill>
          </w14:textFill>
        </w:rPr>
      </w:pPr>
    </w:p>
    <w:p>
      <w:pPr>
        <w:spacing w:line="460" w:lineRule="exact"/>
        <w:ind w:firstLine="722" w:firstLineChars="200"/>
        <w:jc w:val="center"/>
        <w:rPr>
          <w:rFonts w:hint="eastAsia" w:ascii="宋体" w:hAnsi="宋体" w:cs="宋体"/>
          <w:b/>
          <w:color w:val="000000" w:themeColor="text1"/>
          <w:sz w:val="36"/>
          <w:szCs w:val="36"/>
          <w:highlight w:val="none"/>
          <w14:textFill>
            <w14:solidFill>
              <w14:schemeClr w14:val="tx1"/>
            </w14:solidFill>
          </w14:textFill>
        </w:rPr>
      </w:pPr>
    </w:p>
    <w:p>
      <w:pPr>
        <w:spacing w:line="460" w:lineRule="exact"/>
        <w:ind w:firstLine="722" w:firstLineChars="200"/>
        <w:jc w:val="center"/>
        <w:rPr>
          <w:rFonts w:hint="eastAsia" w:ascii="宋体" w:hAnsi="宋体" w:cs="宋体"/>
          <w:b/>
          <w:color w:val="000000" w:themeColor="text1"/>
          <w:sz w:val="36"/>
          <w:szCs w:val="36"/>
          <w:highlight w:val="none"/>
          <w14:textFill>
            <w14:solidFill>
              <w14:schemeClr w14:val="tx1"/>
            </w14:solidFill>
          </w14:textFill>
        </w:rPr>
      </w:pPr>
    </w:p>
    <w:p>
      <w:pPr>
        <w:spacing w:line="460" w:lineRule="exact"/>
        <w:ind w:firstLine="722" w:firstLineChars="200"/>
        <w:jc w:val="center"/>
        <w:rPr>
          <w:rFonts w:hint="eastAsia" w:ascii="宋体" w:hAnsi="宋体" w:cs="宋体"/>
          <w:b/>
          <w:color w:val="000000" w:themeColor="text1"/>
          <w:sz w:val="36"/>
          <w:szCs w:val="36"/>
          <w:highlight w:val="none"/>
          <w14:textFill>
            <w14:solidFill>
              <w14:schemeClr w14:val="tx1"/>
            </w14:solidFill>
          </w14:textFill>
        </w:rPr>
      </w:pPr>
    </w:p>
    <w:p>
      <w:pPr>
        <w:spacing w:line="460" w:lineRule="exact"/>
        <w:ind w:firstLine="722" w:firstLineChars="200"/>
        <w:jc w:val="center"/>
        <w:rPr>
          <w:rFonts w:hint="eastAsia" w:ascii="宋体" w:hAnsi="宋体" w:cs="宋体"/>
          <w:b/>
          <w:color w:val="000000" w:themeColor="text1"/>
          <w:sz w:val="36"/>
          <w:szCs w:val="36"/>
          <w:highlight w:val="none"/>
          <w14:textFill>
            <w14:solidFill>
              <w14:schemeClr w14:val="tx1"/>
            </w14:solidFill>
          </w14:textFill>
        </w:rPr>
      </w:pPr>
    </w:p>
    <w:p>
      <w:pPr>
        <w:spacing w:line="460" w:lineRule="exact"/>
        <w:ind w:firstLine="722" w:firstLineChars="200"/>
        <w:jc w:val="center"/>
        <w:rPr>
          <w:rFonts w:hint="eastAsia" w:ascii="宋体" w:hAnsi="宋体" w:cs="宋体"/>
          <w:b/>
          <w:color w:val="000000" w:themeColor="text1"/>
          <w:sz w:val="36"/>
          <w:szCs w:val="36"/>
          <w:highlight w:val="none"/>
          <w14:textFill>
            <w14:solidFill>
              <w14:schemeClr w14:val="tx1"/>
            </w14:solidFill>
          </w14:textFill>
        </w:rPr>
      </w:pPr>
    </w:p>
    <w:p>
      <w:pPr>
        <w:spacing w:line="460" w:lineRule="exact"/>
        <w:ind w:firstLine="722" w:firstLineChars="200"/>
        <w:jc w:val="center"/>
        <w:rPr>
          <w:rFonts w:hint="eastAsia" w:ascii="宋体" w:hAnsi="宋体" w:cs="宋体"/>
          <w:b/>
          <w:color w:val="000000" w:themeColor="text1"/>
          <w:sz w:val="36"/>
          <w:szCs w:val="36"/>
          <w:highlight w:val="none"/>
          <w14:textFill>
            <w14:solidFill>
              <w14:schemeClr w14:val="tx1"/>
            </w14:solidFill>
          </w14:textFill>
        </w:rPr>
      </w:pPr>
    </w:p>
    <w:p>
      <w:pPr>
        <w:spacing w:line="460" w:lineRule="exact"/>
        <w:ind w:firstLine="722" w:firstLineChars="200"/>
        <w:jc w:val="center"/>
        <w:rPr>
          <w:rFonts w:hint="eastAsia" w:ascii="宋体" w:hAnsi="宋体" w:cs="宋体"/>
          <w:b/>
          <w:color w:val="000000" w:themeColor="text1"/>
          <w:sz w:val="36"/>
          <w:szCs w:val="36"/>
          <w:highlight w:val="none"/>
          <w14:textFill>
            <w14:solidFill>
              <w14:schemeClr w14:val="tx1"/>
            </w14:solidFill>
          </w14:textFill>
        </w:rPr>
      </w:pPr>
    </w:p>
    <w:p>
      <w:pPr>
        <w:spacing w:line="460" w:lineRule="exact"/>
        <w:ind w:firstLine="722" w:firstLineChars="200"/>
        <w:jc w:val="center"/>
        <w:rPr>
          <w:rFonts w:hint="eastAsia" w:ascii="宋体" w:hAnsi="宋体" w:cs="宋体"/>
          <w:b/>
          <w:color w:val="000000" w:themeColor="text1"/>
          <w:sz w:val="36"/>
          <w:szCs w:val="36"/>
          <w:highlight w:val="none"/>
          <w14:textFill>
            <w14:solidFill>
              <w14:schemeClr w14:val="tx1"/>
            </w14:solidFill>
          </w14:textFill>
        </w:rPr>
      </w:pPr>
    </w:p>
    <w:p>
      <w:pPr>
        <w:spacing w:line="460" w:lineRule="exact"/>
        <w:ind w:firstLine="722" w:firstLineChars="200"/>
        <w:jc w:val="center"/>
        <w:rPr>
          <w:rFonts w:hint="eastAsia" w:ascii="宋体" w:hAnsi="宋体" w:cs="宋体"/>
          <w:b/>
          <w:color w:val="000000" w:themeColor="text1"/>
          <w:sz w:val="36"/>
          <w:szCs w:val="36"/>
          <w:highlight w:val="none"/>
          <w14:textFill>
            <w14:solidFill>
              <w14:schemeClr w14:val="tx1"/>
            </w14:solidFill>
          </w14:textFill>
        </w:rPr>
      </w:pPr>
    </w:p>
    <w:p>
      <w:pPr>
        <w:spacing w:line="460" w:lineRule="exact"/>
        <w:ind w:firstLine="722" w:firstLineChars="200"/>
        <w:jc w:val="center"/>
        <w:rPr>
          <w:rFonts w:hint="eastAsia" w:ascii="宋体" w:hAnsi="宋体" w:cs="宋体"/>
          <w:b/>
          <w:color w:val="000000" w:themeColor="text1"/>
          <w:sz w:val="36"/>
          <w:szCs w:val="36"/>
          <w:highlight w:val="none"/>
          <w14:textFill>
            <w14:solidFill>
              <w14:schemeClr w14:val="tx1"/>
            </w14:solidFill>
          </w14:textFill>
        </w:rPr>
      </w:pPr>
    </w:p>
    <w:p>
      <w:pPr>
        <w:spacing w:line="460" w:lineRule="exact"/>
        <w:ind w:firstLine="722" w:firstLineChars="200"/>
        <w:jc w:val="center"/>
        <w:rPr>
          <w:rFonts w:hint="eastAsia" w:ascii="宋体" w:hAnsi="宋体" w:cs="宋体"/>
          <w:b/>
          <w:color w:val="000000" w:themeColor="text1"/>
          <w:sz w:val="36"/>
          <w:szCs w:val="36"/>
          <w:highlight w:val="none"/>
          <w14:textFill>
            <w14:solidFill>
              <w14:schemeClr w14:val="tx1"/>
            </w14:solidFill>
          </w14:textFill>
        </w:rPr>
      </w:pPr>
    </w:p>
    <w:p>
      <w:pPr>
        <w:spacing w:line="460" w:lineRule="exact"/>
        <w:ind w:firstLine="722" w:firstLineChars="200"/>
        <w:jc w:val="center"/>
        <w:rPr>
          <w:rFonts w:hint="eastAsia" w:ascii="宋体" w:hAnsi="宋体" w:cs="宋体"/>
          <w:b/>
          <w:color w:val="000000" w:themeColor="text1"/>
          <w:sz w:val="36"/>
          <w:szCs w:val="36"/>
          <w:highlight w:val="none"/>
          <w14:textFill>
            <w14:solidFill>
              <w14:schemeClr w14:val="tx1"/>
            </w14:solidFill>
          </w14:textFill>
        </w:rPr>
      </w:pPr>
    </w:p>
    <w:p>
      <w:pPr>
        <w:spacing w:line="460" w:lineRule="exact"/>
        <w:ind w:firstLine="722" w:firstLineChars="200"/>
        <w:jc w:val="center"/>
        <w:rPr>
          <w:rFonts w:hint="eastAsia" w:ascii="宋体" w:hAnsi="宋体" w:cs="宋体"/>
          <w:b/>
          <w:color w:val="000000" w:themeColor="text1"/>
          <w:sz w:val="36"/>
          <w:szCs w:val="36"/>
          <w:highlight w:val="none"/>
          <w14:textFill>
            <w14:solidFill>
              <w14:schemeClr w14:val="tx1"/>
            </w14:solidFill>
          </w14:textFill>
        </w:rPr>
      </w:pPr>
    </w:p>
    <w:p>
      <w:pPr>
        <w:spacing w:line="460" w:lineRule="exact"/>
        <w:ind w:firstLine="722" w:firstLineChars="200"/>
        <w:jc w:val="center"/>
        <w:rPr>
          <w:rFonts w:hint="eastAsia" w:ascii="宋体" w:hAnsi="宋体" w:cs="宋体"/>
          <w:b/>
          <w:color w:val="000000" w:themeColor="text1"/>
          <w:sz w:val="36"/>
          <w:szCs w:val="36"/>
          <w:highlight w:val="none"/>
          <w14:textFill>
            <w14:solidFill>
              <w14:schemeClr w14:val="tx1"/>
            </w14:solidFill>
          </w14:textFill>
        </w:rPr>
      </w:pPr>
    </w:p>
    <w:p>
      <w:pPr>
        <w:spacing w:line="460" w:lineRule="exact"/>
        <w:ind w:firstLine="722" w:firstLineChars="200"/>
        <w:jc w:val="center"/>
        <w:rPr>
          <w:rFonts w:hint="eastAsia" w:ascii="宋体" w:hAnsi="宋体" w:cs="宋体"/>
          <w:b/>
          <w:color w:val="000000" w:themeColor="text1"/>
          <w:sz w:val="36"/>
          <w:szCs w:val="36"/>
          <w:highlight w:val="none"/>
          <w14:textFill>
            <w14:solidFill>
              <w14:schemeClr w14:val="tx1"/>
            </w14:solidFill>
          </w14:textFill>
        </w:rPr>
      </w:pPr>
    </w:p>
    <w:p>
      <w:pPr>
        <w:spacing w:line="460" w:lineRule="exact"/>
        <w:ind w:firstLine="722" w:firstLineChars="200"/>
        <w:jc w:val="center"/>
        <w:rPr>
          <w:rFonts w:hint="eastAsia" w:ascii="宋体" w:hAnsi="宋体" w:cs="宋体"/>
          <w:b/>
          <w:color w:val="000000" w:themeColor="text1"/>
          <w:sz w:val="36"/>
          <w:szCs w:val="36"/>
          <w:highlight w:val="none"/>
          <w14:textFill>
            <w14:solidFill>
              <w14:schemeClr w14:val="tx1"/>
            </w14:solidFill>
          </w14:textFill>
        </w:rPr>
      </w:pPr>
    </w:p>
    <w:p>
      <w:pPr>
        <w:spacing w:line="460" w:lineRule="exact"/>
        <w:ind w:firstLine="722" w:firstLineChars="200"/>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技术标评分标准</w:t>
      </w:r>
    </w:p>
    <w:p>
      <w:pPr>
        <w:pStyle w:val="8"/>
        <w:rPr>
          <w:rFonts w:hint="eastAsia"/>
          <w:color w:val="000000" w:themeColor="text1"/>
          <w14:textFill>
            <w14:solidFill>
              <w14:schemeClr w14:val="tx1"/>
            </w14:solidFill>
          </w14:textFill>
        </w:rPr>
      </w:pPr>
    </w:p>
    <w:tbl>
      <w:tblPr>
        <w:tblStyle w:val="15"/>
        <w:tblW w:w="94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379"/>
        <w:gridCol w:w="1187"/>
        <w:gridCol w:w="61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2" w:hRule="atLeast"/>
          <w:jc w:val="center"/>
        </w:trPr>
        <w:tc>
          <w:tcPr>
            <w:tcW w:w="746" w:type="dxa"/>
            <w:noWrap w:val="0"/>
            <w:vAlign w:val="center"/>
          </w:tcPr>
          <w:p>
            <w:pPr>
              <w:pStyle w:val="25"/>
              <w:spacing w:before="0" w:after="0" w:line="460" w:lineRule="exact"/>
              <w:ind w:firstLine="0" w:firstLineChars="0"/>
              <w:jc w:val="center"/>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序号</w:t>
            </w:r>
          </w:p>
        </w:tc>
        <w:tc>
          <w:tcPr>
            <w:tcW w:w="1379" w:type="dxa"/>
            <w:noWrap w:val="0"/>
            <w:vAlign w:val="center"/>
          </w:tcPr>
          <w:p>
            <w:pPr>
              <w:pStyle w:val="25"/>
              <w:spacing w:before="0" w:after="0" w:line="460" w:lineRule="exact"/>
              <w:ind w:firstLine="0" w:firstLineChars="0"/>
              <w:jc w:val="center"/>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考核项目</w:t>
            </w:r>
          </w:p>
        </w:tc>
        <w:tc>
          <w:tcPr>
            <w:tcW w:w="1187" w:type="dxa"/>
            <w:noWrap w:val="0"/>
            <w:vAlign w:val="center"/>
          </w:tcPr>
          <w:p>
            <w:pPr>
              <w:pStyle w:val="25"/>
              <w:spacing w:before="0" w:after="0" w:line="460" w:lineRule="exact"/>
              <w:ind w:firstLine="0" w:firstLineChars="0"/>
              <w:jc w:val="center"/>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分数</w:t>
            </w:r>
          </w:p>
        </w:tc>
        <w:tc>
          <w:tcPr>
            <w:tcW w:w="6160" w:type="dxa"/>
            <w:noWrap w:val="0"/>
            <w:vAlign w:val="center"/>
          </w:tcPr>
          <w:p>
            <w:pPr>
              <w:pStyle w:val="25"/>
              <w:spacing w:before="0" w:after="0" w:line="460" w:lineRule="exact"/>
              <w:ind w:firstLine="2486" w:firstLineChars="1032"/>
              <w:jc w:val="both"/>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6" w:hRule="atLeast"/>
          <w:jc w:val="center"/>
        </w:trPr>
        <w:tc>
          <w:tcPr>
            <w:tcW w:w="9472" w:type="dxa"/>
            <w:gridSpan w:val="4"/>
            <w:tcBorders>
              <w:bottom w:val="single" w:color="auto" w:sz="4" w:space="0"/>
            </w:tcBorders>
            <w:noWrap w:val="0"/>
            <w:vAlign w:val="center"/>
          </w:tcPr>
          <w:p>
            <w:pPr>
              <w:pStyle w:val="25"/>
              <w:spacing w:line="460" w:lineRule="exact"/>
              <w:ind w:firstLine="482" w:firstLineChars="200"/>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报价部分</w:t>
            </w:r>
            <w:r>
              <w:rPr>
                <w:rFonts w:hint="eastAsia" w:ascii="宋体" w:hAnsi="宋体" w:eastAsia="宋体" w:cs="宋体"/>
                <w:color w:val="000000" w:themeColor="text1"/>
                <w:szCs w:val="24"/>
                <w:highlight w:val="none"/>
                <w:lang w:val="en-US" w:eastAsia="zh-CN"/>
                <w14:textFill>
                  <w14:solidFill>
                    <w14:schemeClr w14:val="tx1"/>
                  </w14:solidFill>
                </w14:textFill>
              </w:rPr>
              <w:t>3</w:t>
            </w:r>
            <w:r>
              <w:rPr>
                <w:rFonts w:hint="eastAsia" w:ascii="宋体" w:hAnsi="宋体" w:eastAsia="宋体" w:cs="宋体"/>
                <w:color w:val="000000" w:themeColor="text1"/>
                <w:szCs w:val="24"/>
                <w:highlight w:val="none"/>
                <w14:textFill>
                  <w14:solidFill>
                    <w14:schemeClr w14:val="tx1"/>
                  </w14:solidFill>
                </w14:textFill>
              </w:rPr>
              <w:t>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72" w:hRule="atLeast"/>
          <w:jc w:val="center"/>
        </w:trPr>
        <w:tc>
          <w:tcPr>
            <w:tcW w:w="746" w:type="dxa"/>
            <w:tcBorders>
              <w:top w:val="single" w:color="auto" w:sz="4" w:space="0"/>
              <w:bottom w:val="single" w:color="auto" w:sz="4" w:space="0"/>
            </w:tcBorders>
            <w:noWrap w:val="0"/>
            <w:vAlign w:val="center"/>
          </w:tcPr>
          <w:p>
            <w:pPr>
              <w:pStyle w:val="25"/>
              <w:spacing w:line="460" w:lineRule="exact"/>
              <w:ind w:firstLine="241" w:firstLineChars="10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w:t>
            </w:r>
          </w:p>
        </w:tc>
        <w:tc>
          <w:tcPr>
            <w:tcW w:w="1379" w:type="dxa"/>
            <w:tcBorders>
              <w:top w:val="single" w:color="auto" w:sz="4" w:space="0"/>
              <w:bottom w:val="single" w:color="auto" w:sz="4" w:space="0"/>
            </w:tcBorders>
            <w:noWrap w:val="0"/>
            <w:vAlign w:val="center"/>
          </w:tcPr>
          <w:p>
            <w:pPr>
              <w:spacing w:line="46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报价</w:t>
            </w:r>
          </w:p>
        </w:tc>
        <w:tc>
          <w:tcPr>
            <w:tcW w:w="1187" w:type="dxa"/>
            <w:tcBorders>
              <w:top w:val="single" w:color="auto" w:sz="4" w:space="0"/>
              <w:bottom w:val="single" w:color="auto" w:sz="4" w:space="0"/>
            </w:tcBorders>
            <w:noWrap w:val="0"/>
            <w:vAlign w:val="center"/>
          </w:tcPr>
          <w:p>
            <w:pPr>
              <w:spacing w:line="46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0-30</w:t>
            </w:r>
            <w:r>
              <w:rPr>
                <w:rFonts w:hint="eastAsia" w:ascii="宋体" w:hAnsi="宋体" w:eastAsia="宋体" w:cs="宋体"/>
                <w:color w:val="000000" w:themeColor="text1"/>
                <w:sz w:val="24"/>
                <w:highlight w:val="none"/>
                <w14:textFill>
                  <w14:solidFill>
                    <w14:schemeClr w14:val="tx1"/>
                  </w14:solidFill>
                </w14:textFill>
              </w:rPr>
              <w:t>分</w:t>
            </w:r>
          </w:p>
        </w:tc>
        <w:tc>
          <w:tcPr>
            <w:tcW w:w="6160" w:type="dxa"/>
            <w:tcBorders>
              <w:top w:val="single" w:color="auto" w:sz="4" w:space="0"/>
              <w:bottom w:val="single" w:color="auto" w:sz="4" w:space="0"/>
            </w:tcBorders>
            <w:noWrap w:val="0"/>
            <w:vAlign w:val="top"/>
          </w:tcPr>
          <w:p>
            <w:pPr>
              <w:pStyle w:val="25"/>
              <w:spacing w:line="460" w:lineRule="exact"/>
              <w:ind w:firstLine="0" w:firstLineChars="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综合评分法中的价格分统一采用低价优先法计算，即满足招标要求且投标价格最低的投标报价为评标基准价，其价格分为满分。其他投标人的价格分统一按照下列公式计算：投标报价得分=(评标基准价／投标报价)×价格权值×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6" w:hRule="atLeast"/>
          <w:jc w:val="center"/>
        </w:trPr>
        <w:tc>
          <w:tcPr>
            <w:tcW w:w="9472" w:type="dxa"/>
            <w:gridSpan w:val="4"/>
            <w:tcBorders>
              <w:top w:val="single" w:color="auto" w:sz="4" w:space="0"/>
              <w:bottom w:val="single" w:color="auto" w:sz="4" w:space="0"/>
            </w:tcBorders>
            <w:noWrap w:val="0"/>
            <w:vAlign w:val="center"/>
          </w:tcPr>
          <w:p>
            <w:pPr>
              <w:pStyle w:val="25"/>
              <w:spacing w:line="460" w:lineRule="exact"/>
              <w:ind w:firstLine="482" w:firstLineChars="200"/>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技术部分</w:t>
            </w:r>
            <w:r>
              <w:rPr>
                <w:rFonts w:hint="eastAsia" w:ascii="宋体" w:hAnsi="宋体" w:eastAsia="宋体" w:cs="宋体"/>
                <w:color w:val="000000" w:themeColor="text1"/>
                <w:szCs w:val="24"/>
                <w:highlight w:val="none"/>
                <w:lang w:val="en-US" w:eastAsia="zh-CN"/>
                <w14:textFill>
                  <w14:solidFill>
                    <w14:schemeClr w14:val="tx1"/>
                  </w14:solidFill>
                </w14:textFill>
              </w:rPr>
              <w:t>7</w:t>
            </w:r>
            <w:r>
              <w:rPr>
                <w:rFonts w:hint="eastAsia" w:ascii="宋体" w:hAnsi="宋体" w:eastAsia="宋体" w:cs="宋体"/>
                <w:color w:val="000000" w:themeColor="text1"/>
                <w:szCs w:val="24"/>
                <w:highlight w:val="none"/>
                <w14:textFill>
                  <w14:solidFill>
                    <w14:schemeClr w14:val="tx1"/>
                  </w14:solidFill>
                </w14:textFill>
              </w:rPr>
              <w:t>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746" w:type="dxa"/>
            <w:vMerge w:val="restart"/>
            <w:tcBorders>
              <w:top w:val="single" w:color="auto" w:sz="4" w:space="0"/>
            </w:tcBorders>
            <w:noWrap w:val="0"/>
            <w:vAlign w:val="center"/>
          </w:tcPr>
          <w:p>
            <w:pPr>
              <w:pStyle w:val="25"/>
              <w:spacing w:line="460" w:lineRule="exact"/>
              <w:ind w:firstLine="0" w:firstLineChars="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2</w:t>
            </w:r>
          </w:p>
        </w:tc>
        <w:tc>
          <w:tcPr>
            <w:tcW w:w="1379" w:type="dxa"/>
            <w:vMerge w:val="restart"/>
            <w:tcBorders>
              <w:top w:val="single" w:color="auto" w:sz="4" w:space="0"/>
            </w:tcBorders>
            <w:noWrap w:val="0"/>
            <w:vAlign w:val="center"/>
          </w:tcPr>
          <w:p>
            <w:pPr>
              <w:spacing w:line="460" w:lineRule="exact"/>
              <w:ind w:firstLine="28"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供货实施方案</w:t>
            </w:r>
          </w:p>
        </w:tc>
        <w:tc>
          <w:tcPr>
            <w:tcW w:w="1187" w:type="dxa"/>
            <w:vMerge w:val="restart"/>
            <w:tcBorders>
              <w:top w:val="single" w:color="auto" w:sz="4" w:space="0"/>
              <w:bottom w:val="single" w:color="auto" w:sz="4" w:space="0"/>
            </w:tcBorders>
            <w:noWrap w:val="0"/>
            <w:vAlign w:val="center"/>
          </w:tcPr>
          <w:p>
            <w:pPr>
              <w:pStyle w:val="24"/>
              <w:widowControl/>
              <w:spacing w:line="440" w:lineRule="exact"/>
              <w:ind w:firstLine="0" w:firstLineChars="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0-15</w:t>
            </w:r>
          </w:p>
        </w:tc>
        <w:tc>
          <w:tcPr>
            <w:tcW w:w="6160" w:type="dxa"/>
            <w:tcBorders>
              <w:top w:val="single" w:color="auto" w:sz="4" w:space="0"/>
              <w:bottom w:val="single" w:color="auto" w:sz="4" w:space="0"/>
            </w:tcBorders>
            <w:noWrap w:val="0"/>
            <w:vAlign w:val="center"/>
          </w:tcPr>
          <w:p>
            <w:pPr>
              <w:pStyle w:val="25"/>
              <w:spacing w:line="460" w:lineRule="exact"/>
              <w:ind w:firstLine="0"/>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根据供应商所提供项目实施方案中的人力资源安排、供货进度及质量保障措施及承诺、应急预案、组织验收流程及资料整理等（包含但不限于）内容。</w:t>
            </w:r>
          </w:p>
          <w:p>
            <w:pPr>
              <w:pStyle w:val="25"/>
              <w:spacing w:line="460" w:lineRule="exact"/>
              <w:ind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1、项目实施方案中有具体的供货保障的人力资源安排方案，配备齐全、搭配合理且内容完善具有针对性，内容叙述条理清晰符合项目特点及需求的得</w:t>
            </w:r>
            <w:r>
              <w:rPr>
                <w:rFonts w:hint="eastAsia" w:ascii="宋体" w:hAnsi="宋体" w:cs="宋体"/>
                <w:color w:val="000000" w:themeColor="text1"/>
                <w:szCs w:val="24"/>
                <w:highlight w:val="none"/>
                <w:lang w:val="en-US" w:eastAsia="zh-CN"/>
                <w14:textFill>
                  <w14:solidFill>
                    <w14:schemeClr w14:val="tx1"/>
                  </w14:solidFill>
                </w14:textFill>
              </w:rPr>
              <w:t>3-5</w:t>
            </w:r>
            <w:r>
              <w:rPr>
                <w:rFonts w:hint="eastAsia" w:ascii="宋体" w:hAnsi="宋体" w:eastAsia="宋体" w:cs="宋体"/>
                <w:color w:val="000000" w:themeColor="text1"/>
                <w:szCs w:val="24"/>
                <w:highlight w:val="none"/>
                <w:lang w:val="en-US" w:eastAsia="zh-CN"/>
                <w14:textFill>
                  <w14:solidFill>
                    <w14:schemeClr w14:val="tx1"/>
                  </w14:solidFill>
                </w14:textFill>
              </w:rPr>
              <w:t>分；有供货保障 的人力资源安排方案，但内容简单条理混乱，无具体针对性，未根据项目具体内容编制供货保障的人力资源安排方案的得</w:t>
            </w:r>
            <w:r>
              <w:rPr>
                <w:rFonts w:hint="eastAsia" w:ascii="宋体" w:hAnsi="宋体" w:cs="宋体"/>
                <w:color w:val="000000" w:themeColor="text1"/>
                <w:szCs w:val="24"/>
                <w:highlight w:val="none"/>
                <w:lang w:val="en-US" w:eastAsia="zh-CN"/>
                <w14:textFill>
                  <w14:solidFill>
                    <w14:schemeClr w14:val="tx1"/>
                  </w14:solidFill>
                </w14:textFill>
              </w:rPr>
              <w:t>1-2</w:t>
            </w:r>
            <w:r>
              <w:rPr>
                <w:rFonts w:hint="eastAsia" w:ascii="宋体" w:hAnsi="宋体" w:eastAsia="宋体" w:cs="宋体"/>
                <w:color w:val="000000" w:themeColor="text1"/>
                <w:szCs w:val="24"/>
                <w:highlight w:val="none"/>
                <w:lang w:val="en-US" w:eastAsia="zh-CN"/>
                <w14:textFill>
                  <w14:solidFill>
                    <w14:schemeClr w14:val="tx1"/>
                  </w14:solidFill>
                </w14:textFill>
              </w:rPr>
              <w:t xml:space="preserve">分；未提供或明显套用其他项目内容不得分。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746" w:type="dxa"/>
            <w:vMerge w:val="continue"/>
            <w:noWrap w:val="0"/>
            <w:vAlign w:val="center"/>
          </w:tcPr>
          <w:p>
            <w:pPr>
              <w:pStyle w:val="25"/>
              <w:spacing w:line="460" w:lineRule="exact"/>
              <w:ind w:firstLine="0" w:firstLineChars="0"/>
              <w:jc w:val="center"/>
              <w:rPr>
                <w:rFonts w:hint="default" w:ascii="宋体" w:hAnsi="宋体" w:eastAsia="宋体" w:cs="宋体"/>
                <w:color w:val="000000" w:themeColor="text1"/>
                <w:szCs w:val="24"/>
                <w:highlight w:val="none"/>
                <w:lang w:val="en-US" w:eastAsia="zh-CN"/>
                <w14:textFill>
                  <w14:solidFill>
                    <w14:schemeClr w14:val="tx1"/>
                  </w14:solidFill>
                </w14:textFill>
              </w:rPr>
            </w:pPr>
          </w:p>
        </w:tc>
        <w:tc>
          <w:tcPr>
            <w:tcW w:w="1379" w:type="dxa"/>
            <w:vMerge w:val="continue"/>
            <w:noWrap w:val="0"/>
            <w:vAlign w:val="center"/>
          </w:tcPr>
          <w:p>
            <w:pPr>
              <w:spacing w:line="460" w:lineRule="exact"/>
              <w:ind w:firstLine="28" w:firstLineChars="0"/>
              <w:jc w:val="center"/>
              <w:rPr>
                <w:rFonts w:hint="eastAsia" w:ascii="宋体" w:hAnsi="宋体" w:cs="宋体"/>
                <w:color w:val="000000" w:themeColor="text1"/>
                <w:sz w:val="24"/>
                <w14:textFill>
                  <w14:solidFill>
                    <w14:schemeClr w14:val="tx1"/>
                  </w14:solidFill>
                </w14:textFill>
              </w:rPr>
            </w:pPr>
          </w:p>
        </w:tc>
        <w:tc>
          <w:tcPr>
            <w:tcW w:w="1187" w:type="dxa"/>
            <w:vMerge w:val="continue"/>
            <w:tcBorders>
              <w:top w:val="single" w:color="auto" w:sz="4" w:space="0"/>
              <w:bottom w:val="single" w:color="auto" w:sz="4" w:space="0"/>
            </w:tcBorders>
            <w:noWrap w:val="0"/>
            <w:vAlign w:val="center"/>
          </w:tcPr>
          <w:p>
            <w:pPr>
              <w:pStyle w:val="24"/>
              <w:widowControl/>
              <w:spacing w:line="440" w:lineRule="exact"/>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6160" w:type="dxa"/>
            <w:tcBorders>
              <w:top w:val="single" w:color="auto" w:sz="4" w:space="0"/>
              <w:bottom w:val="single" w:color="auto" w:sz="4" w:space="0"/>
            </w:tcBorders>
            <w:noWrap w:val="0"/>
            <w:vAlign w:val="center"/>
          </w:tcPr>
          <w:p>
            <w:pPr>
              <w:pStyle w:val="25"/>
              <w:spacing w:line="460" w:lineRule="exact"/>
              <w:ind w:firstLine="0" w:firstLineChars="0"/>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2、项目实施方案中有供货进度及质量保障措施及承诺，内容具体完善，具有针对性，叙述条理清晰符合项目特点及需求的得</w:t>
            </w:r>
            <w:r>
              <w:rPr>
                <w:rFonts w:hint="eastAsia" w:ascii="宋体" w:hAnsi="宋体" w:cs="宋体"/>
                <w:color w:val="000000" w:themeColor="text1"/>
                <w:szCs w:val="24"/>
                <w:highlight w:val="none"/>
                <w:lang w:val="en-US" w:eastAsia="zh-CN"/>
                <w14:textFill>
                  <w14:solidFill>
                    <w14:schemeClr w14:val="tx1"/>
                  </w14:solidFill>
                </w14:textFill>
              </w:rPr>
              <w:t>3-5</w:t>
            </w:r>
            <w:r>
              <w:rPr>
                <w:rFonts w:hint="eastAsia" w:ascii="宋体" w:hAnsi="宋体" w:eastAsia="宋体" w:cs="宋体"/>
                <w:color w:val="000000" w:themeColor="text1"/>
                <w:szCs w:val="24"/>
                <w:highlight w:val="none"/>
                <w:lang w:val="en-US" w:eastAsia="zh-CN"/>
                <w14:textFill>
                  <w14:solidFill>
                    <w14:schemeClr w14:val="tx1"/>
                  </w14:solidFill>
                </w14:textFill>
              </w:rPr>
              <w:t xml:space="preserve">分；有供货进度及质量保障措施及承诺，但内容简单，只有框架性承诺无具体实质性响应内容，无具体针对性的得 </w:t>
            </w:r>
            <w:r>
              <w:rPr>
                <w:rFonts w:hint="eastAsia" w:ascii="宋体" w:hAnsi="宋体" w:cs="宋体"/>
                <w:color w:val="000000" w:themeColor="text1"/>
                <w:szCs w:val="24"/>
                <w:highlight w:val="none"/>
                <w:lang w:val="en-US" w:eastAsia="zh-CN"/>
                <w14:textFill>
                  <w14:solidFill>
                    <w14:schemeClr w14:val="tx1"/>
                  </w14:solidFill>
                </w14:textFill>
              </w:rPr>
              <w:t>1-2</w:t>
            </w:r>
            <w:r>
              <w:rPr>
                <w:rFonts w:hint="eastAsia" w:ascii="宋体" w:hAnsi="宋体" w:eastAsia="宋体" w:cs="宋体"/>
                <w:color w:val="000000" w:themeColor="text1"/>
                <w:szCs w:val="24"/>
                <w:highlight w:val="none"/>
                <w:lang w:val="en-US" w:eastAsia="zh-CN"/>
                <w14:textFill>
                  <w14:solidFill>
                    <w14:schemeClr w14:val="tx1"/>
                  </w14:solidFill>
                </w14:textFill>
              </w:rPr>
              <w:t>分；未提供或明显套用其他项目内容不得分。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86" w:hRule="atLeast"/>
          <w:jc w:val="center"/>
        </w:trPr>
        <w:tc>
          <w:tcPr>
            <w:tcW w:w="746" w:type="dxa"/>
            <w:vMerge w:val="continue"/>
            <w:tcBorders>
              <w:bottom w:val="single" w:color="auto" w:sz="4" w:space="0"/>
            </w:tcBorders>
            <w:noWrap w:val="0"/>
            <w:vAlign w:val="center"/>
          </w:tcPr>
          <w:p>
            <w:pPr>
              <w:pStyle w:val="25"/>
              <w:spacing w:line="460" w:lineRule="exact"/>
              <w:ind w:firstLine="0" w:firstLineChars="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379" w:type="dxa"/>
            <w:vMerge w:val="continue"/>
            <w:tcBorders>
              <w:bottom w:val="single" w:color="auto" w:sz="4" w:space="0"/>
            </w:tcBorders>
            <w:noWrap w:val="0"/>
            <w:vAlign w:val="center"/>
          </w:tcPr>
          <w:p>
            <w:pPr>
              <w:spacing w:line="460" w:lineRule="exact"/>
              <w:ind w:firstLine="28" w:firstLineChars="0"/>
              <w:jc w:val="center"/>
              <w:rPr>
                <w:rFonts w:hint="eastAsia" w:ascii="宋体" w:hAnsi="宋体" w:cs="宋体"/>
                <w:color w:val="000000" w:themeColor="text1"/>
                <w:kern w:val="2"/>
                <w:sz w:val="24"/>
                <w:szCs w:val="24"/>
                <w:lang w:val="en-US" w:eastAsia="zh-CN" w:bidi="ar-SA"/>
                <w14:textFill>
                  <w14:solidFill>
                    <w14:schemeClr w14:val="tx1"/>
                  </w14:solidFill>
                </w14:textFill>
              </w:rPr>
            </w:pPr>
          </w:p>
        </w:tc>
        <w:tc>
          <w:tcPr>
            <w:tcW w:w="1187" w:type="dxa"/>
            <w:vMerge w:val="continue"/>
            <w:tcBorders>
              <w:top w:val="single" w:color="auto" w:sz="4" w:space="0"/>
              <w:bottom w:val="single" w:color="auto" w:sz="4" w:space="0"/>
            </w:tcBorders>
            <w:noWrap w:val="0"/>
            <w:vAlign w:val="center"/>
          </w:tcPr>
          <w:p>
            <w:pPr>
              <w:pStyle w:val="24"/>
              <w:widowControl/>
              <w:spacing w:line="440" w:lineRule="exact"/>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6160" w:type="dxa"/>
            <w:tcBorders>
              <w:top w:val="single" w:color="auto" w:sz="4" w:space="0"/>
              <w:bottom w:val="single" w:color="auto" w:sz="4" w:space="0"/>
            </w:tcBorders>
            <w:noWrap w:val="0"/>
            <w:vAlign w:val="center"/>
          </w:tcPr>
          <w:p>
            <w:pPr>
              <w:pStyle w:val="25"/>
              <w:spacing w:line="460" w:lineRule="exact"/>
              <w:ind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3、项目实施方案中有应急预案，内容具体，覆盖完善，承诺内容具有针对性，叙述条理清晰符合项目特点及需求的得</w:t>
            </w:r>
            <w:r>
              <w:rPr>
                <w:rFonts w:hint="eastAsia" w:ascii="宋体" w:hAnsi="宋体" w:cs="宋体"/>
                <w:color w:val="000000" w:themeColor="text1"/>
                <w:szCs w:val="24"/>
                <w:highlight w:val="none"/>
                <w:lang w:val="en-US" w:eastAsia="zh-CN"/>
                <w14:textFill>
                  <w14:solidFill>
                    <w14:schemeClr w14:val="tx1"/>
                  </w14:solidFill>
                </w14:textFill>
              </w:rPr>
              <w:t>3-5</w:t>
            </w:r>
            <w:r>
              <w:rPr>
                <w:rFonts w:hint="eastAsia" w:ascii="宋体" w:hAnsi="宋体" w:eastAsia="宋体" w:cs="宋体"/>
                <w:color w:val="000000" w:themeColor="text1"/>
                <w:szCs w:val="24"/>
                <w:highlight w:val="none"/>
                <w:lang w:val="en-US" w:eastAsia="zh-CN"/>
                <w14:textFill>
                  <w14:solidFill>
                    <w14:schemeClr w14:val="tx1"/>
                  </w14:solidFill>
                </w14:textFill>
              </w:rPr>
              <w:t>分；有应急预案，预案内容简单覆盖不完善，承诺内容简单条理混乱，只有框架性承诺无具体实质性响应内容，无具体针对性的得</w:t>
            </w:r>
            <w:r>
              <w:rPr>
                <w:rFonts w:hint="eastAsia" w:ascii="宋体" w:hAnsi="宋体" w:cs="宋体"/>
                <w:color w:val="000000" w:themeColor="text1"/>
                <w:szCs w:val="24"/>
                <w:highlight w:val="none"/>
                <w:lang w:val="en-US" w:eastAsia="zh-CN"/>
                <w14:textFill>
                  <w14:solidFill>
                    <w14:schemeClr w14:val="tx1"/>
                  </w14:solidFill>
                </w14:textFill>
              </w:rPr>
              <w:t>1-2</w:t>
            </w:r>
            <w:r>
              <w:rPr>
                <w:rFonts w:hint="eastAsia" w:ascii="宋体" w:hAnsi="宋体" w:eastAsia="宋体" w:cs="宋体"/>
                <w:color w:val="000000" w:themeColor="text1"/>
                <w:szCs w:val="24"/>
                <w:highlight w:val="none"/>
                <w:lang w:val="en-US" w:eastAsia="zh-CN"/>
                <w14:textFill>
                  <w14:solidFill>
                    <w14:schemeClr w14:val="tx1"/>
                  </w14:solidFill>
                </w14:textFill>
              </w:rPr>
              <w:t>分；未提供或明显套用其他项目内容不得分。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atLeast"/>
          <w:jc w:val="center"/>
        </w:trPr>
        <w:tc>
          <w:tcPr>
            <w:tcW w:w="746" w:type="dxa"/>
            <w:tcBorders>
              <w:top w:val="single" w:color="auto" w:sz="4" w:space="0"/>
            </w:tcBorders>
            <w:noWrap w:val="0"/>
            <w:vAlign w:val="center"/>
          </w:tcPr>
          <w:p>
            <w:pPr>
              <w:pStyle w:val="25"/>
              <w:spacing w:line="460" w:lineRule="exact"/>
              <w:ind w:firstLine="0" w:firstLineChars="0"/>
              <w:jc w:val="center"/>
              <w:rPr>
                <w:rFonts w:hint="default"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3</w:t>
            </w:r>
          </w:p>
        </w:tc>
        <w:tc>
          <w:tcPr>
            <w:tcW w:w="1379" w:type="dxa"/>
            <w:tcBorders>
              <w:top w:val="single" w:color="auto" w:sz="4" w:space="0"/>
            </w:tcBorders>
            <w:noWrap w:val="0"/>
            <w:vAlign w:val="center"/>
          </w:tcPr>
          <w:p>
            <w:pPr>
              <w:spacing w:line="460" w:lineRule="exact"/>
              <w:ind w:firstLine="28"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投标货物的性能及技术指标</w:t>
            </w:r>
          </w:p>
        </w:tc>
        <w:tc>
          <w:tcPr>
            <w:tcW w:w="1187" w:type="dxa"/>
            <w:tcBorders>
              <w:top w:val="single" w:color="auto" w:sz="4" w:space="0"/>
            </w:tcBorders>
            <w:noWrap w:val="0"/>
            <w:vAlign w:val="center"/>
          </w:tcPr>
          <w:p>
            <w:pPr>
              <w:pStyle w:val="24"/>
              <w:widowControl/>
              <w:spacing w:line="440" w:lineRule="exact"/>
              <w:ind w:firstLine="0" w:firstLineChars="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0-</w:t>
            </w:r>
            <w:r>
              <w:rPr>
                <w:rFonts w:hint="eastAsia" w:ascii="宋体" w:hAnsi="宋体" w:eastAsia="宋体" w:cs="宋体"/>
                <w:b w:val="0"/>
                <w:color w:val="000000" w:themeColor="text1"/>
                <w:sz w:val="24"/>
                <w:lang w:val="en-US" w:eastAsia="zh-CN"/>
                <w14:textFill>
                  <w14:solidFill>
                    <w14:schemeClr w14:val="tx1"/>
                  </w14:solidFill>
                </w14:textFill>
              </w:rPr>
              <w:t>20</w:t>
            </w:r>
            <w:r>
              <w:rPr>
                <w:rFonts w:hint="eastAsia" w:ascii="宋体" w:hAnsi="宋体" w:eastAsia="宋体" w:cs="宋体"/>
                <w:b w:val="0"/>
                <w:color w:val="000000" w:themeColor="text1"/>
                <w:sz w:val="24"/>
                <w14:textFill>
                  <w14:solidFill>
                    <w14:schemeClr w14:val="tx1"/>
                  </w14:solidFill>
                </w14:textFill>
              </w:rPr>
              <w:t>分</w:t>
            </w:r>
          </w:p>
        </w:tc>
        <w:tc>
          <w:tcPr>
            <w:tcW w:w="6160" w:type="dxa"/>
            <w:tcBorders>
              <w:top w:val="single" w:color="auto" w:sz="4" w:space="0"/>
            </w:tcBorders>
            <w:noWrap w:val="0"/>
            <w:vAlign w:val="center"/>
          </w:tcPr>
          <w:p>
            <w:pPr>
              <w:pStyle w:val="25"/>
              <w:spacing w:line="460" w:lineRule="exact"/>
              <w:ind w:firstLine="0" w:firstLineChars="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根据投标人提供的物品性能质量、技术指标和系统功能要求进行评定，所投产品全部响应指标得</w:t>
            </w:r>
            <w:r>
              <w:rPr>
                <w:rFonts w:hint="eastAsia" w:ascii="宋体" w:hAnsi="宋体" w:cs="宋体"/>
                <w:color w:val="000000" w:themeColor="text1"/>
                <w:kern w:val="2"/>
                <w:sz w:val="24"/>
                <w:szCs w:val="24"/>
                <w:lang w:val="en-US" w:eastAsia="zh-CN" w:bidi="ar-SA"/>
                <w14:textFill>
                  <w14:solidFill>
                    <w14:schemeClr w14:val="tx1"/>
                  </w14:solidFill>
                </w14:textFill>
              </w:rPr>
              <w:t>0-15</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分；如有一项参数优于招标文件要求的</w:t>
            </w:r>
            <w:r>
              <w:rPr>
                <w:rFonts w:hint="eastAsia" w:ascii="宋体" w:hAnsi="宋体" w:cs="宋体"/>
                <w:color w:val="000000" w:themeColor="text1"/>
                <w:kern w:val="2"/>
                <w:sz w:val="24"/>
                <w:szCs w:val="24"/>
                <w:lang w:val="en-US" w:eastAsia="zh-CN" w:bidi="ar-SA"/>
                <w14:textFill>
                  <w14:solidFill>
                    <w14:schemeClr w14:val="tx1"/>
                  </w14:solidFill>
                </w14:textFill>
              </w:rPr>
              <w:t>得1</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w:t>
            </w:r>
            <w:r>
              <w:rPr>
                <w:rFonts w:hint="eastAsia" w:ascii="宋体" w:hAnsi="宋体" w:cs="宋体"/>
                <w:color w:val="000000" w:themeColor="text1"/>
                <w:kern w:val="2"/>
                <w:sz w:val="24"/>
                <w:szCs w:val="24"/>
                <w:lang w:val="en-US" w:eastAsia="zh-CN" w:bidi="ar-SA"/>
                <w14:textFill>
                  <w14:solidFill>
                    <w14:schemeClr w14:val="tx1"/>
                  </w14:solidFill>
                </w14:textFill>
              </w:rPr>
              <w:t>最高得5分。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atLeast"/>
          <w:jc w:val="center"/>
        </w:trPr>
        <w:tc>
          <w:tcPr>
            <w:tcW w:w="746" w:type="dxa"/>
            <w:vMerge w:val="restart"/>
            <w:tcBorders>
              <w:top w:val="single" w:color="auto" w:sz="4" w:space="0"/>
            </w:tcBorders>
            <w:noWrap w:val="0"/>
            <w:vAlign w:val="center"/>
          </w:tcPr>
          <w:p>
            <w:pPr>
              <w:pStyle w:val="25"/>
              <w:spacing w:line="460" w:lineRule="exact"/>
              <w:ind w:firstLine="0" w:firstLineChars="0"/>
              <w:jc w:val="center"/>
              <w:rPr>
                <w:rFonts w:hint="default"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w:t>
            </w:r>
          </w:p>
        </w:tc>
        <w:tc>
          <w:tcPr>
            <w:tcW w:w="1379" w:type="dxa"/>
            <w:vMerge w:val="restart"/>
            <w:tcBorders>
              <w:top w:val="single" w:color="auto" w:sz="4" w:space="0"/>
            </w:tcBorders>
            <w:noWrap w:val="0"/>
            <w:vAlign w:val="center"/>
          </w:tcPr>
          <w:p>
            <w:pPr>
              <w:pStyle w:val="25"/>
              <w:spacing w:line="460" w:lineRule="exact"/>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售后服务承诺 </w:t>
            </w:r>
          </w:p>
        </w:tc>
        <w:tc>
          <w:tcPr>
            <w:tcW w:w="1187" w:type="dxa"/>
            <w:vMerge w:val="restart"/>
            <w:tcBorders>
              <w:top w:val="single" w:color="auto" w:sz="4" w:space="0"/>
            </w:tcBorders>
            <w:noWrap w:val="0"/>
            <w:vAlign w:val="center"/>
          </w:tcPr>
          <w:p>
            <w:pPr>
              <w:pStyle w:val="25"/>
              <w:spacing w:line="460" w:lineRule="exact"/>
              <w:ind w:firstLine="0" w:firstLineChars="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Cs w:val="24"/>
                <w14:textFill>
                  <w14:solidFill>
                    <w14:schemeClr w14:val="tx1"/>
                  </w14:solidFill>
                </w14:textFill>
              </w:rPr>
              <w:t>0-</w:t>
            </w:r>
            <w:r>
              <w:rPr>
                <w:rFonts w:hint="eastAsia" w:ascii="宋体" w:hAnsi="宋体" w:cs="宋体"/>
                <w:color w:val="000000" w:themeColor="text1"/>
                <w:szCs w:val="24"/>
                <w:lang w:val="en-US" w:eastAsia="zh-CN"/>
                <w14:textFill>
                  <w14:solidFill>
                    <w14:schemeClr w14:val="tx1"/>
                  </w14:solidFill>
                </w14:textFill>
              </w:rPr>
              <w:t>15</w:t>
            </w:r>
            <w:r>
              <w:rPr>
                <w:rFonts w:hint="eastAsia" w:ascii="宋体" w:hAnsi="宋体" w:cs="宋体"/>
                <w:color w:val="000000" w:themeColor="text1"/>
                <w:szCs w:val="24"/>
                <w14:textFill>
                  <w14:solidFill>
                    <w14:schemeClr w14:val="tx1"/>
                  </w14:solidFill>
                </w14:textFill>
              </w:rPr>
              <w:t>分</w:t>
            </w:r>
          </w:p>
        </w:tc>
        <w:tc>
          <w:tcPr>
            <w:tcW w:w="6160" w:type="dxa"/>
            <w:tcBorders>
              <w:top w:val="single" w:color="auto" w:sz="4" w:space="0"/>
            </w:tcBorders>
            <w:noWrap w:val="0"/>
            <w:vAlign w:val="center"/>
          </w:tcPr>
          <w:p>
            <w:pPr>
              <w:pStyle w:val="25"/>
              <w:spacing w:line="460" w:lineRule="exact"/>
              <w:ind w:firstLine="0" w:firstLineChars="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根据供应商针对本项目的售后服务方案及承诺、售后服务体系和故障快速解决方案及流程、售后服务沟通渠道及沟通团队等（包含但不限于）内容。 </w:t>
            </w:r>
          </w:p>
          <w:p>
            <w:pPr>
              <w:pStyle w:val="25"/>
              <w:spacing w:line="460" w:lineRule="exact"/>
              <w:ind w:firstLine="0" w:firstLineChars="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1、有售后服务方案及承诺、售后服务体系和故障快速解决方案</w:t>
            </w:r>
            <w:r>
              <w:rPr>
                <w:rFonts w:hint="eastAsia" w:ascii="宋体" w:hAnsi="宋体" w:cs="宋体"/>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内容详细</w:t>
            </w:r>
            <w:r>
              <w:rPr>
                <w:rFonts w:hint="eastAsia" w:ascii="宋体" w:hAnsi="宋体" w:cs="宋体"/>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完整、合理有效、可行性高、内容叙述条理清晰符合项目特点及需求、</w:t>
            </w:r>
            <w:r>
              <w:rPr>
                <w:rFonts w:hint="eastAsia" w:ascii="宋体" w:hAnsi="宋体" w:cs="宋体"/>
                <w:color w:val="000000" w:themeColor="text1"/>
                <w:kern w:val="2"/>
                <w:sz w:val="24"/>
                <w:szCs w:val="24"/>
                <w:lang w:val="en-US" w:eastAsia="zh-CN" w:bidi="ar-SA"/>
                <w14:textFill>
                  <w14:solidFill>
                    <w14:schemeClr w14:val="tx1"/>
                  </w14:solidFill>
                </w14:textFill>
              </w:rPr>
              <w:t>提供</w:t>
            </w:r>
            <w:r>
              <w:rPr>
                <w:rFonts w:hint="eastAsia" w:ascii="宋体" w:hAnsi="宋体" w:eastAsia="宋体" w:cs="宋体"/>
                <w:color w:val="000000" w:themeColor="text1"/>
                <w:kern w:val="2"/>
                <w:sz w:val="24"/>
                <w:szCs w:val="24"/>
                <w:lang w:val="en-US" w:eastAsia="zh-CN" w:bidi="ar-SA"/>
                <w14:textFill>
                  <w14:solidFill>
                    <w14:schemeClr w14:val="tx1"/>
                  </w14:solidFill>
                </w14:textFill>
              </w:rPr>
              <w:t>人员调配</w:t>
            </w:r>
            <w:r>
              <w:rPr>
                <w:rFonts w:hint="eastAsia" w:ascii="宋体" w:hAnsi="宋体" w:cs="宋体"/>
                <w:color w:val="000000" w:themeColor="text1"/>
                <w:kern w:val="2"/>
                <w:sz w:val="24"/>
                <w:szCs w:val="24"/>
                <w:lang w:val="en-US" w:eastAsia="zh-CN" w:bidi="ar-SA"/>
                <w14:textFill>
                  <w14:solidFill>
                    <w14:schemeClr w14:val="tx1"/>
                  </w14:solidFill>
                </w14:textFill>
              </w:rPr>
              <w:t>4-5</w:t>
            </w:r>
            <w:r>
              <w:rPr>
                <w:rFonts w:hint="eastAsia" w:ascii="宋体" w:hAnsi="宋体" w:eastAsia="宋体" w:cs="宋体"/>
                <w:color w:val="000000" w:themeColor="text1"/>
                <w:kern w:val="2"/>
                <w:sz w:val="24"/>
                <w:szCs w:val="24"/>
                <w:lang w:val="en-US" w:eastAsia="zh-CN" w:bidi="ar-SA"/>
                <w14:textFill>
                  <w14:solidFill>
                    <w14:schemeClr w14:val="tx1"/>
                  </w14:solidFill>
                </w14:textFill>
              </w:rPr>
              <w:t>人得5</w:t>
            </w:r>
            <w:r>
              <w:rPr>
                <w:rFonts w:hint="eastAsia" w:ascii="宋体" w:hAnsi="宋体" w:cs="宋体"/>
                <w:color w:val="000000" w:themeColor="text1"/>
                <w:kern w:val="2"/>
                <w:sz w:val="24"/>
                <w:szCs w:val="24"/>
                <w:lang w:val="en-US" w:eastAsia="zh-CN" w:bidi="ar-SA"/>
                <w14:textFill>
                  <w14:solidFill>
                    <w14:schemeClr w14:val="tx1"/>
                  </w14:solidFill>
                </w14:textFill>
              </w:rPr>
              <w:t>-8</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分；有售后服务方案及承诺，但内容粗略，缺乏针对性、可行性低、人员调配</w:t>
            </w:r>
            <w:r>
              <w:rPr>
                <w:rFonts w:hint="eastAsia" w:ascii="宋体" w:hAnsi="宋体" w:cs="宋体"/>
                <w:color w:val="000000" w:themeColor="text1"/>
                <w:kern w:val="2"/>
                <w:sz w:val="24"/>
                <w:szCs w:val="24"/>
                <w:lang w:val="en-US" w:eastAsia="zh-CN" w:bidi="ar-SA"/>
                <w14:textFill>
                  <w14:solidFill>
                    <w14:schemeClr w14:val="tx1"/>
                  </w14:solidFill>
                </w14:textFill>
              </w:rPr>
              <w:t>1-3人</w:t>
            </w:r>
            <w:r>
              <w:rPr>
                <w:rFonts w:hint="eastAsia" w:ascii="宋体" w:hAnsi="宋体" w:eastAsia="宋体" w:cs="宋体"/>
                <w:color w:val="000000" w:themeColor="text1"/>
                <w:kern w:val="2"/>
                <w:sz w:val="24"/>
                <w:szCs w:val="24"/>
                <w:lang w:val="en-US" w:eastAsia="zh-CN" w:bidi="ar-SA"/>
                <w14:textFill>
                  <w14:solidFill>
                    <w14:schemeClr w14:val="tx1"/>
                  </w14:solidFill>
                </w14:textFill>
              </w:rPr>
              <w:t>得</w:t>
            </w:r>
            <w:r>
              <w:rPr>
                <w:rFonts w:hint="eastAsia" w:ascii="宋体" w:hAnsi="宋体" w:cs="宋体"/>
                <w:color w:val="000000" w:themeColor="text1"/>
                <w:kern w:val="2"/>
                <w:sz w:val="24"/>
                <w:szCs w:val="24"/>
                <w:lang w:val="en-US" w:eastAsia="zh-CN" w:bidi="ar-SA"/>
                <w14:textFill>
                  <w14:solidFill>
                    <w14:schemeClr w14:val="tx1"/>
                  </w14:solidFill>
                </w14:textFill>
              </w:rPr>
              <w:t>1-4</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分；未提供或明显套用其他项目内容不得分。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atLeast"/>
          <w:jc w:val="center"/>
        </w:trPr>
        <w:tc>
          <w:tcPr>
            <w:tcW w:w="746" w:type="dxa"/>
            <w:vMerge w:val="continue"/>
            <w:tcBorders>
              <w:top w:val="single" w:color="auto" w:sz="4" w:space="0"/>
            </w:tcBorders>
            <w:noWrap w:val="0"/>
            <w:vAlign w:val="center"/>
          </w:tcPr>
          <w:p>
            <w:pPr>
              <w:pStyle w:val="25"/>
              <w:spacing w:line="460" w:lineRule="exact"/>
              <w:ind w:firstLine="0" w:firstLineChars="0"/>
              <w:jc w:val="center"/>
              <w:rPr>
                <w:rFonts w:hint="eastAsia" w:ascii="宋体" w:hAnsi="宋体" w:eastAsia="宋体" w:cs="宋体"/>
                <w:color w:val="000000" w:themeColor="text1"/>
                <w:szCs w:val="24"/>
                <w:highlight w:val="none"/>
                <w:lang w:val="en-US" w:eastAsia="zh-CN"/>
                <w14:textFill>
                  <w14:solidFill>
                    <w14:schemeClr w14:val="tx1"/>
                  </w14:solidFill>
                </w14:textFill>
              </w:rPr>
            </w:pPr>
          </w:p>
        </w:tc>
        <w:tc>
          <w:tcPr>
            <w:tcW w:w="1379" w:type="dxa"/>
            <w:vMerge w:val="continue"/>
            <w:tcBorders>
              <w:top w:val="single" w:color="auto" w:sz="4" w:space="0"/>
            </w:tcBorders>
            <w:noWrap w:val="0"/>
            <w:vAlign w:val="center"/>
          </w:tcPr>
          <w:p>
            <w:pPr>
              <w:pStyle w:val="25"/>
              <w:spacing w:line="460" w:lineRule="exact"/>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187" w:type="dxa"/>
            <w:vMerge w:val="continue"/>
            <w:tcBorders>
              <w:top w:val="single" w:color="auto" w:sz="4" w:space="0"/>
            </w:tcBorders>
            <w:noWrap w:val="0"/>
            <w:vAlign w:val="center"/>
          </w:tcPr>
          <w:p>
            <w:pPr>
              <w:pStyle w:val="25"/>
              <w:spacing w:line="460" w:lineRule="exact"/>
              <w:ind w:firstLine="0" w:firstLineChars="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6160" w:type="dxa"/>
            <w:tcBorders>
              <w:top w:val="single" w:color="auto" w:sz="4" w:space="0"/>
            </w:tcBorders>
            <w:noWrap w:val="0"/>
            <w:vAlign w:val="center"/>
          </w:tcPr>
          <w:p>
            <w:pPr>
              <w:pStyle w:val="25"/>
              <w:spacing w:line="460" w:lineRule="exact"/>
              <w:ind w:firstLine="0" w:firstLineChars="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有完整的故障快速解决方案及流程、售后服务沟通渠道及沟通团队,与项目有关的其他注意事项内容，内容详细、完整、合理有效、可行性高、内容叙述条理清晰符合项目特点及需求、能够贴合项目特点快速解决预想故障的得</w:t>
            </w:r>
            <w:r>
              <w:rPr>
                <w:rFonts w:hint="eastAsia" w:ascii="宋体" w:hAnsi="宋体" w:cs="宋体"/>
                <w:color w:val="000000" w:themeColor="text1"/>
                <w:kern w:val="2"/>
                <w:sz w:val="24"/>
                <w:szCs w:val="24"/>
                <w:lang w:val="en-US" w:eastAsia="zh-CN" w:bidi="ar-SA"/>
                <w14:textFill>
                  <w14:solidFill>
                    <w14:schemeClr w14:val="tx1"/>
                  </w14:solidFill>
                </w14:textFill>
              </w:rPr>
              <w:t xml:space="preserve">5-7 </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分；有故障快速解决方案及流程、售后服务沟通渠道及沟通团队等内容，但内容粗略，缺乏针对性、可行性低、无法快速解决预想故障的得</w:t>
            </w:r>
            <w:r>
              <w:rPr>
                <w:rFonts w:hint="eastAsia" w:ascii="宋体" w:hAnsi="宋体" w:cs="宋体"/>
                <w:color w:val="000000" w:themeColor="text1"/>
                <w:kern w:val="2"/>
                <w:sz w:val="24"/>
                <w:szCs w:val="24"/>
                <w:lang w:val="en-US" w:eastAsia="zh-CN" w:bidi="ar-SA"/>
                <w14:textFill>
                  <w14:solidFill>
                    <w14:schemeClr w14:val="tx1"/>
                  </w14:solidFill>
                </w14:textFill>
              </w:rPr>
              <w:t>1-4</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分，未提供或明显套用其他项目内容不得分。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atLeast"/>
          <w:jc w:val="center"/>
        </w:trPr>
        <w:tc>
          <w:tcPr>
            <w:tcW w:w="746" w:type="dxa"/>
            <w:noWrap w:val="0"/>
            <w:vAlign w:val="center"/>
          </w:tcPr>
          <w:p>
            <w:pPr>
              <w:pStyle w:val="25"/>
              <w:spacing w:line="460" w:lineRule="exact"/>
              <w:ind w:firstLine="0" w:firstLineChars="0"/>
              <w:jc w:val="center"/>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cs="宋体"/>
                <w:color w:val="000000" w:themeColor="text1"/>
                <w:szCs w:val="24"/>
                <w:highlight w:val="none"/>
                <w:lang w:val="en-US" w:eastAsia="zh-CN"/>
                <w14:textFill>
                  <w14:solidFill>
                    <w14:schemeClr w14:val="tx1"/>
                  </w14:solidFill>
                </w14:textFill>
              </w:rPr>
              <w:t>5</w:t>
            </w:r>
          </w:p>
        </w:tc>
        <w:tc>
          <w:tcPr>
            <w:tcW w:w="1379" w:type="dxa"/>
            <w:noWrap w:val="0"/>
            <w:vAlign w:val="center"/>
          </w:tcPr>
          <w:p>
            <w:pPr>
              <w:pStyle w:val="25"/>
              <w:spacing w:line="460" w:lineRule="exact"/>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零配件供应的可靠性</w:t>
            </w:r>
          </w:p>
        </w:tc>
        <w:tc>
          <w:tcPr>
            <w:tcW w:w="1187" w:type="dxa"/>
            <w:noWrap w:val="0"/>
            <w:vAlign w:val="center"/>
          </w:tcPr>
          <w:p>
            <w:pPr>
              <w:pStyle w:val="25"/>
              <w:spacing w:line="460" w:lineRule="exact"/>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Cs w:val="24"/>
                <w14:textFill>
                  <w14:solidFill>
                    <w14:schemeClr w14:val="tx1"/>
                  </w14:solidFill>
                </w14:textFill>
              </w:rPr>
              <w:t>0</w:t>
            </w:r>
            <w:r>
              <w:rPr>
                <w:rFonts w:hint="eastAsia" w:ascii="宋体" w:hAnsi="宋体" w:cs="宋体"/>
                <w:color w:val="000000" w:themeColor="text1"/>
                <w:szCs w:val="24"/>
                <w:lang w:val="en-US" w:eastAsia="zh-CN"/>
                <w14:textFill>
                  <w14:solidFill>
                    <w14:schemeClr w14:val="tx1"/>
                  </w14:solidFill>
                </w14:textFill>
              </w:rPr>
              <w:t>-10</w:t>
            </w:r>
            <w:r>
              <w:rPr>
                <w:rFonts w:hint="eastAsia" w:ascii="宋体" w:hAnsi="宋体" w:cs="宋体"/>
                <w:color w:val="000000" w:themeColor="text1"/>
                <w:szCs w:val="24"/>
                <w14:textFill>
                  <w14:solidFill>
                    <w14:schemeClr w14:val="tx1"/>
                  </w14:solidFill>
                </w14:textFill>
              </w:rPr>
              <w:t>分</w:t>
            </w:r>
          </w:p>
        </w:tc>
        <w:tc>
          <w:tcPr>
            <w:tcW w:w="6160" w:type="dxa"/>
            <w:tcBorders>
              <w:top w:val="single" w:color="auto" w:sz="4" w:space="0"/>
            </w:tcBorders>
            <w:noWrap w:val="0"/>
            <w:vAlign w:val="center"/>
          </w:tcPr>
          <w:p>
            <w:pPr>
              <w:pStyle w:val="25"/>
              <w:spacing w:line="460" w:lineRule="exact"/>
              <w:ind w:firstLine="0" w:firstLineChars="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有优质的零配件供应方案，有固定的零配件储存库</w:t>
            </w:r>
            <w:r>
              <w:rPr>
                <w:rFonts w:hint="eastAsia" w:ascii="宋体" w:hAnsi="宋体" w:cs="宋体"/>
                <w:color w:val="000000" w:themeColor="text1"/>
                <w:kern w:val="2"/>
                <w:sz w:val="24"/>
                <w:szCs w:val="24"/>
                <w:lang w:val="en-US" w:eastAsia="zh-CN" w:bidi="ar-SA"/>
                <w14:textFill>
                  <w14:solidFill>
                    <w14:schemeClr w14:val="tx1"/>
                  </w14:solidFill>
                </w14:textFill>
              </w:rPr>
              <w:t>，提供库存清单，库存数量充足，</w:t>
            </w:r>
            <w:r>
              <w:rPr>
                <w:rFonts w:hint="eastAsia" w:ascii="宋体" w:hAnsi="宋体" w:eastAsia="宋体" w:cs="宋体"/>
                <w:color w:val="000000" w:themeColor="text1"/>
                <w:kern w:val="2"/>
                <w:sz w:val="24"/>
                <w:szCs w:val="24"/>
                <w:lang w:val="en-US" w:eastAsia="zh-CN" w:bidi="ar-SA"/>
                <w14:textFill>
                  <w14:solidFill>
                    <w14:schemeClr w14:val="tx1"/>
                  </w14:solidFill>
                </w14:textFill>
              </w:rPr>
              <w:t>能够在</w:t>
            </w:r>
            <w:r>
              <w:rPr>
                <w:rFonts w:hint="eastAsia" w:ascii="宋体" w:hAnsi="宋体" w:cs="宋体"/>
                <w:color w:val="000000" w:themeColor="text1"/>
                <w:kern w:val="2"/>
                <w:sz w:val="24"/>
                <w:szCs w:val="24"/>
                <w:lang w:val="en-US" w:eastAsia="zh-CN" w:bidi="ar-SA"/>
                <w14:textFill>
                  <w14:solidFill>
                    <w14:schemeClr w14:val="tx1"/>
                  </w14:solidFill>
                </w14:textFill>
              </w:rPr>
              <w:t>12</w:t>
            </w:r>
            <w:r>
              <w:rPr>
                <w:rFonts w:hint="eastAsia" w:ascii="宋体" w:hAnsi="宋体" w:eastAsia="宋体" w:cs="宋体"/>
                <w:color w:val="000000" w:themeColor="text1"/>
                <w:kern w:val="2"/>
                <w:sz w:val="24"/>
                <w:szCs w:val="24"/>
                <w:lang w:val="en-US" w:eastAsia="zh-CN" w:bidi="ar-SA"/>
                <w14:textFill>
                  <w14:solidFill>
                    <w14:schemeClr w14:val="tx1"/>
                  </w14:solidFill>
                </w14:textFill>
              </w:rPr>
              <w:t>小时之内供应配货的得</w:t>
            </w:r>
            <w:r>
              <w:rPr>
                <w:rFonts w:hint="eastAsia" w:ascii="宋体" w:hAnsi="宋体" w:cs="宋体"/>
                <w:color w:val="000000" w:themeColor="text1"/>
                <w:kern w:val="2"/>
                <w:sz w:val="24"/>
                <w:szCs w:val="24"/>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kern w:val="2"/>
                <w:sz w:val="24"/>
                <w:szCs w:val="24"/>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w:t>
            </w:r>
          </w:p>
          <w:p>
            <w:pPr>
              <w:pStyle w:val="25"/>
              <w:spacing w:line="460" w:lineRule="exact"/>
              <w:ind w:firstLine="0" w:firstLineChars="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有零配件供应方案，零配件储存库较远</w:t>
            </w:r>
            <w:r>
              <w:rPr>
                <w:rFonts w:hint="eastAsia" w:ascii="宋体" w:hAnsi="宋体" w:cs="宋体"/>
                <w:color w:val="000000" w:themeColor="text1"/>
                <w:kern w:val="2"/>
                <w:sz w:val="24"/>
                <w:szCs w:val="24"/>
                <w:lang w:val="en-US" w:eastAsia="zh-CN" w:bidi="ar-SA"/>
                <w14:textFill>
                  <w14:solidFill>
                    <w14:schemeClr w14:val="tx1"/>
                  </w14:solidFill>
                </w14:textFill>
              </w:rPr>
              <w:t>，提供库存清单，有库存数量，</w:t>
            </w:r>
            <w:r>
              <w:rPr>
                <w:rFonts w:hint="eastAsia" w:ascii="宋体" w:hAnsi="宋体" w:eastAsia="宋体" w:cs="宋体"/>
                <w:color w:val="000000" w:themeColor="text1"/>
                <w:kern w:val="2"/>
                <w:sz w:val="24"/>
                <w:szCs w:val="24"/>
                <w:lang w:val="en-US" w:eastAsia="zh-CN" w:bidi="ar-SA"/>
                <w14:textFill>
                  <w14:solidFill>
                    <w14:schemeClr w14:val="tx1"/>
                  </w14:solidFill>
                </w14:textFill>
              </w:rPr>
              <w:t>在24小时之内供应配货的的得</w:t>
            </w:r>
            <w:r>
              <w:rPr>
                <w:rFonts w:hint="eastAsia" w:ascii="宋体" w:hAnsi="宋体" w:cs="宋体"/>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w:t>
            </w:r>
          </w:p>
          <w:p>
            <w:pPr>
              <w:pStyle w:val="25"/>
              <w:spacing w:line="460" w:lineRule="exact"/>
              <w:ind w:firstLine="0" w:firstLineChars="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没有完整的零配件供应方案,无库存配件，不能及时供应</w:t>
            </w:r>
          </w:p>
          <w:p>
            <w:pPr>
              <w:pStyle w:val="25"/>
              <w:spacing w:line="460" w:lineRule="exact"/>
              <w:ind w:firstLine="0" w:firstLineChars="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配货的得0分。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7" w:hRule="atLeast"/>
          <w:jc w:val="center"/>
        </w:trPr>
        <w:tc>
          <w:tcPr>
            <w:tcW w:w="746" w:type="dxa"/>
            <w:tcBorders>
              <w:top w:val="single" w:color="auto" w:sz="4" w:space="0"/>
              <w:bottom w:val="single" w:color="auto" w:sz="4" w:space="0"/>
            </w:tcBorders>
            <w:noWrap w:val="0"/>
            <w:vAlign w:val="center"/>
          </w:tcPr>
          <w:p>
            <w:pPr>
              <w:pStyle w:val="25"/>
              <w:spacing w:line="460" w:lineRule="exact"/>
              <w:ind w:firstLine="0" w:firstLineChars="0"/>
              <w:jc w:val="center"/>
              <w:rPr>
                <w:rFonts w:hint="eastAsia"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cs="宋体"/>
                <w:color w:val="000000" w:themeColor="text1"/>
                <w:szCs w:val="24"/>
                <w:highlight w:val="none"/>
                <w:lang w:val="en-US" w:eastAsia="zh-CN"/>
                <w14:textFill>
                  <w14:solidFill>
                    <w14:schemeClr w14:val="tx1"/>
                  </w14:solidFill>
                </w14:textFill>
              </w:rPr>
              <w:t>6</w:t>
            </w:r>
          </w:p>
        </w:tc>
        <w:tc>
          <w:tcPr>
            <w:tcW w:w="1379" w:type="dxa"/>
            <w:tcBorders>
              <w:top w:val="single" w:color="auto" w:sz="4" w:space="0"/>
              <w:bottom w:val="single" w:color="auto" w:sz="4" w:space="0"/>
            </w:tcBorders>
            <w:noWrap w:val="0"/>
            <w:vAlign w:val="center"/>
          </w:tcPr>
          <w:p>
            <w:pPr>
              <w:pStyle w:val="25"/>
              <w:spacing w:line="460" w:lineRule="exact"/>
              <w:ind w:firstLine="0" w:firstLineChars="0"/>
              <w:jc w:val="center"/>
              <w:rPr>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安装调试方案</w:t>
            </w:r>
          </w:p>
        </w:tc>
        <w:tc>
          <w:tcPr>
            <w:tcW w:w="1187" w:type="dxa"/>
            <w:tcBorders>
              <w:top w:val="single" w:color="auto" w:sz="4" w:space="0"/>
              <w:bottom w:val="single" w:color="auto" w:sz="4" w:space="0"/>
            </w:tcBorders>
            <w:noWrap w:val="0"/>
            <w:vAlign w:val="center"/>
          </w:tcPr>
          <w:p>
            <w:pPr>
              <w:pStyle w:val="25"/>
              <w:spacing w:line="460" w:lineRule="exact"/>
              <w:ind w:firstLine="0" w:firstLineChars="0"/>
              <w:jc w:val="center"/>
              <w:rPr>
                <w:rFonts w:hint="default"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cs="宋体"/>
                <w:color w:val="000000" w:themeColor="text1"/>
                <w:szCs w:val="24"/>
                <w14:textFill>
                  <w14:solidFill>
                    <w14:schemeClr w14:val="tx1"/>
                  </w14:solidFill>
                </w14:textFill>
              </w:rPr>
              <w:t>0-</w:t>
            </w:r>
            <w:r>
              <w:rPr>
                <w:rFonts w:hint="eastAsia" w:ascii="宋体" w:hAnsi="宋体" w:cs="宋体"/>
                <w:color w:val="000000" w:themeColor="text1"/>
                <w:szCs w:val="24"/>
                <w:lang w:val="en-US" w:eastAsia="zh-CN"/>
                <w14:textFill>
                  <w14:solidFill>
                    <w14:schemeClr w14:val="tx1"/>
                  </w14:solidFill>
                </w14:textFill>
              </w:rPr>
              <w:t>10</w:t>
            </w:r>
            <w:r>
              <w:rPr>
                <w:rFonts w:hint="eastAsia" w:ascii="宋体" w:hAnsi="宋体" w:cs="宋体"/>
                <w:color w:val="000000" w:themeColor="text1"/>
                <w:szCs w:val="24"/>
                <w14:textFill>
                  <w14:solidFill>
                    <w14:schemeClr w14:val="tx1"/>
                  </w14:solidFill>
                </w14:textFill>
              </w:rPr>
              <w:t>分</w:t>
            </w:r>
          </w:p>
        </w:tc>
        <w:tc>
          <w:tcPr>
            <w:tcW w:w="6160" w:type="dxa"/>
            <w:tcBorders>
              <w:top w:val="single" w:color="auto" w:sz="4" w:space="0"/>
              <w:bottom w:val="single" w:color="auto" w:sz="4" w:space="0"/>
            </w:tcBorders>
            <w:noWrap w:val="0"/>
            <w:vAlign w:val="center"/>
          </w:tcPr>
          <w:p>
            <w:pPr>
              <w:pStyle w:val="25"/>
              <w:spacing w:line="460" w:lineRule="exact"/>
              <w:ind w:firstLine="0" w:firstLineChars="0"/>
              <w:jc w:val="both"/>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安装调试方案明确具体，方案完善的完全满足安装调试要</w:t>
            </w:r>
          </w:p>
          <w:p>
            <w:pPr>
              <w:pStyle w:val="25"/>
              <w:spacing w:line="460" w:lineRule="exact"/>
              <w:ind w:firstLine="0" w:firstLineChars="0"/>
              <w:jc w:val="both"/>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求的，安装调试方案符合项目需求切合实际，有具体的安</w:t>
            </w:r>
          </w:p>
          <w:p>
            <w:pPr>
              <w:pStyle w:val="25"/>
              <w:spacing w:line="460" w:lineRule="exact"/>
              <w:ind w:firstLine="0" w:firstLineChars="0"/>
              <w:jc w:val="both"/>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装调试流程，有合理可行的安全保证措施，安装调试人员</w:t>
            </w:r>
          </w:p>
          <w:p>
            <w:pPr>
              <w:pStyle w:val="25"/>
              <w:spacing w:line="460" w:lineRule="exact"/>
              <w:ind w:firstLine="0" w:firstLineChars="0"/>
              <w:jc w:val="both"/>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cs="宋体"/>
                <w:color w:val="000000" w:themeColor="text1"/>
                <w:szCs w:val="24"/>
                <w14:textFill>
                  <w14:solidFill>
                    <w14:schemeClr w14:val="tx1"/>
                  </w14:solidFill>
                </w14:textFill>
              </w:rPr>
              <w:t>和调试设备配备合理充足得7-10分</w:t>
            </w:r>
            <w:r>
              <w:rPr>
                <w:rFonts w:hint="eastAsia" w:ascii="宋体" w:hAnsi="宋体" w:cs="宋体"/>
                <w:color w:val="000000" w:themeColor="text1"/>
                <w:szCs w:val="24"/>
                <w:lang w:eastAsia="zh-CN"/>
                <w14:textFill>
                  <w14:solidFill>
                    <w14:schemeClr w14:val="tx1"/>
                  </w14:solidFill>
                </w14:textFill>
              </w:rPr>
              <w:t>；</w:t>
            </w:r>
            <w:bookmarkStart w:id="46" w:name="_GoBack"/>
            <w:bookmarkEnd w:id="46"/>
          </w:p>
          <w:p>
            <w:pPr>
              <w:pStyle w:val="25"/>
              <w:spacing w:line="460" w:lineRule="exact"/>
              <w:ind w:firstLine="0" w:firstLineChars="0"/>
              <w:jc w:val="both"/>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安装调试方案基本符合项目需求切合实际，无具体的安装</w:t>
            </w:r>
          </w:p>
          <w:p>
            <w:pPr>
              <w:pStyle w:val="25"/>
              <w:spacing w:line="460" w:lineRule="exact"/>
              <w:ind w:firstLine="0" w:firstLineChars="0"/>
              <w:jc w:val="both"/>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调试流程,无安全保证措施,安装调试人员和调试设备配</w:t>
            </w:r>
          </w:p>
          <w:p>
            <w:pPr>
              <w:pStyle w:val="25"/>
              <w:spacing w:line="460" w:lineRule="exact"/>
              <w:ind w:firstLine="0" w:firstLineChars="0"/>
              <w:jc w:val="both"/>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cs="宋体"/>
                <w:color w:val="000000" w:themeColor="text1"/>
                <w:szCs w:val="24"/>
                <w14:textFill>
                  <w14:solidFill>
                    <w14:schemeClr w14:val="tx1"/>
                  </w14:solidFill>
                </w14:textFill>
              </w:rPr>
              <w:t>备较少基本满足安装调试要求的得3-</w:t>
            </w:r>
            <w:r>
              <w:rPr>
                <w:rFonts w:hint="eastAsia" w:ascii="宋体" w:hAnsi="宋体" w:cs="宋体"/>
                <w:color w:val="000000" w:themeColor="text1"/>
                <w:szCs w:val="24"/>
                <w:lang w:val="en-US" w:eastAsia="zh-CN"/>
                <w14:textFill>
                  <w14:solidFill>
                    <w14:schemeClr w14:val="tx1"/>
                  </w14:solidFill>
                </w14:textFill>
              </w:rPr>
              <w:t>6</w:t>
            </w:r>
            <w:r>
              <w:rPr>
                <w:rFonts w:hint="eastAsia" w:ascii="宋体" w:hAnsi="宋体" w:cs="宋体"/>
                <w:color w:val="000000" w:themeColor="text1"/>
                <w:szCs w:val="24"/>
                <w14:textFill>
                  <w14:solidFill>
                    <w14:schemeClr w14:val="tx1"/>
                  </w14:solidFill>
                </w14:textFill>
              </w:rPr>
              <w:t>分</w:t>
            </w:r>
            <w:r>
              <w:rPr>
                <w:rFonts w:hint="eastAsia" w:ascii="宋体" w:hAnsi="宋体" w:cs="宋体"/>
                <w:color w:val="000000" w:themeColor="text1"/>
                <w:szCs w:val="24"/>
                <w:lang w:eastAsia="zh-CN"/>
                <w14:textFill>
                  <w14:solidFill>
                    <w14:schemeClr w14:val="tx1"/>
                  </w14:solidFill>
                </w14:textFill>
              </w:rPr>
              <w:t>；</w:t>
            </w:r>
          </w:p>
          <w:p>
            <w:pPr>
              <w:pStyle w:val="25"/>
              <w:spacing w:line="460" w:lineRule="exact"/>
              <w:ind w:firstLine="0" w:firstLineChars="0"/>
              <w:jc w:val="both"/>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安装调试方案不切合项目实际情况，有明显缺陷，不满足</w:t>
            </w:r>
          </w:p>
          <w:p>
            <w:pPr>
              <w:pStyle w:val="25"/>
              <w:spacing w:line="460" w:lineRule="exact"/>
              <w:ind w:firstLine="0" w:firstLineChars="0"/>
              <w:jc w:val="both"/>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14:textFill>
                  <w14:solidFill>
                    <w14:schemeClr w14:val="tx1"/>
                  </w14:solidFill>
                </w14:textFill>
              </w:rPr>
              <w:t>安装调试要求的得0-</w:t>
            </w:r>
            <w:r>
              <w:rPr>
                <w:rFonts w:hint="eastAsia" w:ascii="宋体" w:hAnsi="宋体" w:cs="宋体"/>
                <w:color w:val="000000" w:themeColor="text1"/>
                <w:szCs w:val="24"/>
                <w:lang w:val="en-US" w:eastAsia="zh-CN"/>
                <w14:textFill>
                  <w14:solidFill>
                    <w14:schemeClr w14:val="tx1"/>
                  </w14:solidFill>
                </w14:textFill>
              </w:rPr>
              <w:t>2</w:t>
            </w:r>
            <w:r>
              <w:rPr>
                <w:rFonts w:hint="eastAsia" w:ascii="宋体" w:hAnsi="宋体" w:cs="宋体"/>
                <w:color w:val="000000" w:themeColor="text1"/>
                <w:szCs w:val="24"/>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7" w:hRule="atLeast"/>
          <w:jc w:val="center"/>
        </w:trPr>
        <w:tc>
          <w:tcPr>
            <w:tcW w:w="2125" w:type="dxa"/>
            <w:gridSpan w:val="2"/>
            <w:tcBorders>
              <w:top w:val="single" w:color="auto" w:sz="4" w:space="0"/>
              <w:bottom w:val="single" w:color="auto" w:sz="4" w:space="0"/>
            </w:tcBorders>
            <w:noWrap w:val="0"/>
            <w:vAlign w:val="center"/>
          </w:tcPr>
          <w:p>
            <w:pPr>
              <w:pStyle w:val="25"/>
              <w:spacing w:line="460" w:lineRule="exact"/>
              <w:ind w:firstLine="0" w:firstLineChars="0"/>
              <w:jc w:val="center"/>
              <w:rPr>
                <w:rFonts w:hint="eastAsia"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eastAsia="宋体" w:cs="宋体"/>
                <w:color w:val="000000" w:themeColor="text1"/>
                <w:szCs w:val="24"/>
                <w:highlight w:val="none"/>
                <w:lang w:eastAsia="zh-CN"/>
                <w14:textFill>
                  <w14:solidFill>
                    <w14:schemeClr w14:val="tx1"/>
                  </w14:solidFill>
                </w14:textFill>
              </w:rPr>
              <w:t>合计</w:t>
            </w:r>
          </w:p>
        </w:tc>
        <w:tc>
          <w:tcPr>
            <w:tcW w:w="1187" w:type="dxa"/>
            <w:tcBorders>
              <w:top w:val="single" w:color="auto" w:sz="4" w:space="0"/>
              <w:bottom w:val="single" w:color="auto" w:sz="4" w:space="0"/>
            </w:tcBorders>
            <w:noWrap w:val="0"/>
            <w:vAlign w:val="center"/>
          </w:tcPr>
          <w:p>
            <w:pPr>
              <w:pStyle w:val="25"/>
              <w:tabs>
                <w:tab w:val="center" w:pos="415"/>
              </w:tabs>
              <w:spacing w:line="460" w:lineRule="exact"/>
              <w:ind w:firstLine="0" w:firstLineChars="0"/>
              <w:jc w:val="center"/>
              <w:rPr>
                <w:rFonts w:hint="default"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70分</w:t>
            </w:r>
          </w:p>
        </w:tc>
        <w:tc>
          <w:tcPr>
            <w:tcW w:w="6160" w:type="dxa"/>
            <w:tcBorders>
              <w:top w:val="single" w:color="auto" w:sz="4" w:space="0"/>
              <w:bottom w:val="single" w:color="auto" w:sz="4" w:space="0"/>
            </w:tcBorders>
            <w:noWrap w:val="0"/>
            <w:vAlign w:val="center"/>
          </w:tcPr>
          <w:p>
            <w:pPr>
              <w:pStyle w:val="25"/>
              <w:spacing w:line="460" w:lineRule="exact"/>
              <w:ind w:firstLine="0" w:firstLineChars="0"/>
              <w:jc w:val="left"/>
              <w:rPr>
                <w:rFonts w:hint="eastAsia" w:ascii="宋体" w:hAnsi="宋体" w:eastAsia="宋体" w:cs="宋体"/>
                <w:color w:val="000000" w:themeColor="text1"/>
                <w:szCs w:val="24"/>
                <w:highlight w:val="none"/>
                <w14:textFill>
                  <w14:solidFill>
                    <w14:schemeClr w14:val="tx1"/>
                  </w14:solidFill>
                </w14:textFill>
              </w:rPr>
            </w:pPr>
          </w:p>
        </w:tc>
      </w:tr>
    </w:tbl>
    <w:p>
      <w:pPr>
        <w:pStyle w:val="24"/>
        <w:spacing w:line="360" w:lineRule="auto"/>
        <w:ind w:left="0" w:leftChars="0" w:firstLine="0" w:firstLineChars="0"/>
        <w:jc w:val="left"/>
        <w:rPr>
          <w:rFonts w:hint="eastAsia" w:ascii="宋体" w:hAnsi="宋体" w:eastAsia="宋体" w:cs="宋体"/>
          <w:b w:val="0"/>
          <w:color w:val="000000" w:themeColor="text1"/>
          <w:sz w:val="24"/>
          <w:highlight w:val="none"/>
          <w14:textFill>
            <w14:solidFill>
              <w14:schemeClr w14:val="tx1"/>
            </w14:solidFill>
          </w14:textFill>
        </w:rPr>
      </w:pPr>
    </w:p>
    <w:p>
      <w:pPr>
        <w:pStyle w:val="24"/>
        <w:spacing w:line="360" w:lineRule="auto"/>
        <w:ind w:firstLine="483"/>
        <w:jc w:val="both"/>
        <w:rPr>
          <w:rFonts w:hint="eastAsia" w:ascii="宋体" w:hAnsi="宋体" w:eastAsia="宋体" w:cs="宋体"/>
          <w:b w:val="0"/>
          <w:color w:val="000000" w:themeColor="text1"/>
          <w:sz w:val="24"/>
          <w:highlight w:val="none"/>
          <w14:textFill>
            <w14:solidFill>
              <w14:schemeClr w14:val="tx1"/>
            </w14:solidFill>
          </w14:textFill>
        </w:rPr>
      </w:pPr>
      <w:bookmarkStart w:id="18" w:name="_Toc27253"/>
      <w:bookmarkStart w:id="19" w:name="_Toc179632789"/>
      <w:bookmarkStart w:id="20" w:name="_Toc152045772"/>
      <w:bookmarkStart w:id="21" w:name="_Toc5648"/>
      <w:bookmarkStart w:id="22" w:name="_Toc30045"/>
      <w:bookmarkStart w:id="23" w:name="_Toc152042554"/>
      <w:bookmarkStart w:id="24" w:name="_Toc4547"/>
      <w:bookmarkStart w:id="25" w:name="_Toc144974834"/>
      <w:r>
        <w:rPr>
          <w:rFonts w:hint="eastAsia" w:ascii="宋体" w:hAnsi="宋体" w:eastAsia="宋体" w:cs="宋体"/>
          <w:b w:val="0"/>
          <w:color w:val="000000" w:themeColor="text1"/>
          <w:sz w:val="24"/>
          <w:highlight w:val="none"/>
          <w14:textFill>
            <w14:solidFill>
              <w14:schemeClr w14:val="tx1"/>
            </w14:solidFill>
          </w14:textFill>
        </w:rPr>
        <w:t>23.8.3  各评标委员会成员对每个投标人的经济报价和技术标的打分合计即为该投标人的评标总得分。</w:t>
      </w:r>
    </w:p>
    <w:p>
      <w:pPr>
        <w:pStyle w:val="24"/>
        <w:spacing w:line="360" w:lineRule="auto"/>
        <w:ind w:firstLine="483"/>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计算公式为：总评标得分=F1+F2</w:t>
      </w:r>
    </w:p>
    <w:p>
      <w:pPr>
        <w:pStyle w:val="24"/>
        <w:spacing w:line="360" w:lineRule="auto"/>
        <w:ind w:firstLine="483"/>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其中：F1、F2分别为经济报价、技术标得分</w:t>
      </w:r>
    </w:p>
    <w:p>
      <w:pPr>
        <w:pStyle w:val="24"/>
        <w:spacing w:line="360" w:lineRule="auto"/>
        <w:ind w:firstLine="483"/>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23.8.4 评标报告签署前，经复核发现存在以下情形之一的：分值汇总计算错误的；分项评分超出评分标准范围的；评标委员会成员对客观评审因素评分不一致的；经评标委员会认定评分畸高、畸低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24"/>
        <w:spacing w:line="360" w:lineRule="auto"/>
        <w:ind w:firstLine="483"/>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23.8.5 评标委员会将按投标人得分顺序由高到低依次排名，得分相同的，按投标报价由低到高顺序排列。得分及报价相同的，按技术指标优劣顺序排列。得分最高的前一名至前三名投标人将成为中标候选人。</w:t>
      </w:r>
    </w:p>
    <w:p>
      <w:pPr>
        <w:pStyle w:val="24"/>
        <w:spacing w:line="360" w:lineRule="auto"/>
        <w:ind w:firstLine="483"/>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23.8.6 评标委员会成员对需要共同认定的事项存在争议的，应当按照少数服从多数的原则作出结论。持不同意见的评标委员会成员应当在评标报告上签署不同意见及理由，否则视为同意评标报告。</w:t>
      </w:r>
    </w:p>
    <w:p>
      <w:pPr>
        <w:pStyle w:val="21"/>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24. 投标文件的澄清</w:t>
      </w:r>
    </w:p>
    <w:p>
      <w:pPr>
        <w:pStyle w:val="21"/>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24.1  评标委员会在评标过程中有权随时请投标人就投标文件中含混之处加以澄清或答疑。</w:t>
      </w:r>
    </w:p>
    <w:p>
      <w:pPr>
        <w:pStyle w:val="21"/>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 xml:space="preserve">24.2  </w:t>
      </w:r>
      <w:r>
        <w:rPr>
          <w:rFonts w:hint="eastAsia" w:ascii="宋体" w:hAnsi="宋体" w:cs="宋体"/>
          <w:color w:val="000000" w:themeColor="text1"/>
          <w:szCs w:val="24"/>
          <w:highlight w:val="none"/>
          <w14:textFill>
            <w14:solidFill>
              <w14:schemeClr w14:val="tx1"/>
            </w14:solidFill>
          </w14:textFill>
        </w:rPr>
        <w:t>投标人的澄清、说明或者补正应当采用书面形式，并加盖公章，或者由法定代表人或其授权的代表签字。</w:t>
      </w:r>
    </w:p>
    <w:p>
      <w:pPr>
        <w:pStyle w:val="21"/>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 xml:space="preserve">24.3  </w:t>
      </w:r>
      <w:r>
        <w:rPr>
          <w:rFonts w:hint="eastAsia" w:ascii="宋体" w:hAnsi="宋体" w:cs="宋体"/>
          <w:color w:val="000000" w:themeColor="text1"/>
          <w:szCs w:val="24"/>
          <w:highlight w:val="none"/>
          <w14:textFill>
            <w14:solidFill>
              <w14:schemeClr w14:val="tx1"/>
            </w14:solidFill>
          </w14:textFill>
        </w:rPr>
        <w:t>投标人的澄清、说明或者补正不得超出投标文件的范围或者改变投标文件的实质性内容。</w:t>
      </w:r>
    </w:p>
    <w:p>
      <w:pPr>
        <w:pStyle w:val="21"/>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24.4  投标人的澄清文件是投标文件的组成部分，并取代投标文件中被澄清的部分。</w:t>
      </w:r>
    </w:p>
    <w:p>
      <w:pPr>
        <w:pStyle w:val="21"/>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25. 中标人的确定</w:t>
      </w:r>
    </w:p>
    <w:p>
      <w:pPr>
        <w:pStyle w:val="21"/>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25.1  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21"/>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25.2  采购人在收到评标报告5个工作日内未按评标报告推荐的中标候选人顺序确定中标人，又不能说明合法理由的，视同按评标报告推荐的顺序确定排名第一的中标候选人为中标人。</w:t>
      </w:r>
    </w:p>
    <w:p>
      <w:pPr>
        <w:pStyle w:val="21"/>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25.3  评标委员会按照招标文件的评标办法负责向采购人推荐中标候选人。评标委员会有权推荐一家或一至三家投标人为中标候选人、或者拒绝所有的投标人的投标。评标委员会成员无义务向投标人做出有关对评标的任何解释工作。</w:t>
      </w:r>
    </w:p>
    <w:p>
      <w:pPr>
        <w:pStyle w:val="21"/>
        <w:spacing w:line="360" w:lineRule="auto"/>
        <w:ind w:firstLine="482" w:firstLineChars="200"/>
        <w:jc w:val="both"/>
        <w:rPr>
          <w:rFonts w:hint="eastAsia" w:ascii="宋体" w:hAnsi="宋体" w:cs="宋体"/>
          <w:bCs/>
          <w:color w:val="000000" w:themeColor="text1"/>
          <w:szCs w:val="24"/>
          <w:highlight w:val="none"/>
          <w14:textFill>
            <w14:solidFill>
              <w14:schemeClr w14:val="tx1"/>
            </w14:solidFill>
          </w14:textFill>
        </w:rPr>
      </w:pPr>
      <w:r>
        <w:rPr>
          <w:rFonts w:hint="eastAsia" w:ascii="宋体" w:hAnsi="宋体" w:cs="宋体"/>
          <w:bCs/>
          <w:color w:val="000000" w:themeColor="text1"/>
          <w:szCs w:val="24"/>
          <w:highlight w:val="none"/>
          <w14:textFill>
            <w14:solidFill>
              <w14:schemeClr w14:val="tx1"/>
            </w14:solidFill>
          </w14:textFill>
        </w:rPr>
        <w:t>25.4  中标供应商拒绝与采购人签订合同的，采购人可以按照评审报告推荐的中标人名单排序，确定下一候选人为中标人，也可以重新开展政府采购活动。</w:t>
      </w:r>
    </w:p>
    <w:p>
      <w:pPr>
        <w:pStyle w:val="21"/>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26.  中标通知</w:t>
      </w:r>
    </w:p>
    <w:p>
      <w:pPr>
        <w:pStyle w:val="21"/>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26.1 在公告中标结果的同时，采购人或者采购代理机构向中标人发出中标通知书。</w:t>
      </w:r>
    </w:p>
    <w:p>
      <w:pPr>
        <w:pStyle w:val="21"/>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 xml:space="preserve">26.2 </w:t>
      </w:r>
      <w:r>
        <w:rPr>
          <w:rFonts w:hint="eastAsia" w:ascii="宋体" w:hAnsi="宋体" w:cs="宋体"/>
          <w:color w:val="000000" w:themeColor="text1"/>
          <w:szCs w:val="24"/>
          <w:highlight w:val="none"/>
          <w14:textFill>
            <w14:solidFill>
              <w14:schemeClr w14:val="tx1"/>
            </w14:solidFill>
          </w14:textFill>
        </w:rPr>
        <w:t>对于所有投标人的投标文件均</w:t>
      </w:r>
      <w:r>
        <w:rPr>
          <w:rFonts w:hint="eastAsia" w:ascii="宋体" w:hAnsi="宋体" w:cs="宋体"/>
          <w:color w:val="000000" w:themeColor="text1"/>
          <w:szCs w:val="24"/>
          <w:highlight w:val="none"/>
          <w:shd w:val="clear" w:color="auto" w:fill="FFFFFF"/>
          <w14:textFill>
            <w14:solidFill>
              <w14:schemeClr w14:val="tx1"/>
            </w14:solidFill>
          </w14:textFill>
        </w:rPr>
        <w:t>不予以退还，但对其承担保密责任。</w:t>
      </w:r>
    </w:p>
    <w:p>
      <w:pPr>
        <w:pStyle w:val="21"/>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27. 拒绝某些或所有投标的权力。</w:t>
      </w:r>
    </w:p>
    <w:p>
      <w:pPr>
        <w:pStyle w:val="21"/>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27.1 采购人或采购代理机构有权在《中标通知书》发放之前的任何时候拒绝任何有不正当行为或扰乱正常招标工作的投标人，由此对相关投标人造成的损失不负责任。</w:t>
      </w:r>
    </w:p>
    <w:p>
      <w:pPr>
        <w:pStyle w:val="20"/>
        <w:jc w:val="center"/>
        <w:outlineLvl w:val="1"/>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七、授予合同</w:t>
      </w:r>
    </w:p>
    <w:p>
      <w:pPr>
        <w:pStyle w:val="21"/>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28.  签订合同</w:t>
      </w:r>
    </w:p>
    <w:p>
      <w:pPr>
        <w:pStyle w:val="21"/>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28.1  中标人收到《中标通知书》后，须按有关规定与采购人签定经济合同。合同的签订一般在《中标通知书》发出后30天内进行，但采购人事先约定的情况除外。</w:t>
      </w:r>
    </w:p>
    <w:p>
      <w:pPr>
        <w:pStyle w:val="21"/>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28.2  合同签订后，中标人应按合同的规定履行合同，未按规定履约的，采购人有权取消合同，并且不退还中标人的投标保证金。</w:t>
      </w:r>
    </w:p>
    <w:p>
      <w:pPr>
        <w:pStyle w:val="21"/>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28.3  中标合同不得转让或分包。如需对合同的非主体部分进行转让或分包，投标人必须在投标文件中予以说明，并需经采购人同意。否则，采购人有权取消中标人的中标资格。</w:t>
      </w:r>
    </w:p>
    <w:p>
      <w:pPr>
        <w:pStyle w:val="21"/>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28.4  如中标人未按有关规定与采购人签订合同或提交合同履约保证金的，采购人可以选择其他中标候选人为中标人，并组织中标人和采购人签订经济合同。</w:t>
      </w:r>
    </w:p>
    <w:p>
      <w:pPr>
        <w:pStyle w:val="21"/>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28.5  合同履约保证金的形式为银行保函，另有约定的，按照约定条件执行。</w:t>
      </w:r>
    </w:p>
    <w:p>
      <w:pPr>
        <w:pStyle w:val="21"/>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29.  合同的组成</w:t>
      </w:r>
    </w:p>
    <w:p>
      <w:pPr>
        <w:pStyle w:val="21"/>
        <w:spacing w:line="360" w:lineRule="auto"/>
        <w:ind w:firstLine="482" w:firstLineChars="200"/>
        <w:jc w:val="both"/>
        <w:outlineLvl w:val="2"/>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29.1  下列文件均为经济合同不可分割的组成部分：</w:t>
      </w:r>
    </w:p>
    <w:p>
      <w:pPr>
        <w:pStyle w:val="21"/>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29.1.1  招标文件及其附件、澄清文件；</w:t>
      </w:r>
    </w:p>
    <w:p>
      <w:pPr>
        <w:pStyle w:val="21"/>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 xml:space="preserve">29.1.2  中标的投标文件及其他附件； </w:t>
      </w:r>
    </w:p>
    <w:p>
      <w:pPr>
        <w:pStyle w:val="21"/>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29.1.3  经确认的答疑记录；</w:t>
      </w:r>
    </w:p>
    <w:p>
      <w:pPr>
        <w:pStyle w:val="21"/>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29.1.4  中标通知书。</w:t>
      </w:r>
    </w:p>
    <w:p>
      <w:pPr>
        <w:pStyle w:val="20"/>
        <w:jc w:val="center"/>
        <w:outlineLvl w:val="1"/>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八、买方授标时更改采购货物数量的权利</w:t>
      </w:r>
    </w:p>
    <w:p>
      <w:pPr>
        <w:pStyle w:val="22"/>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30. 买方在授予合同时有权按“投标人须知前附表”第12项约定的内容对“货物需求表”中规定的货物数量和服务予以局部增加或减少，但不得对单价或其它实质性内容做任何改变，对增减的数量按同类型中标产品价结算货款。</w:t>
      </w:r>
    </w:p>
    <w:p>
      <w:pPr>
        <w:pStyle w:val="20"/>
        <w:jc w:val="center"/>
        <w:outlineLvl w:val="1"/>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九、其他事项</w:t>
      </w:r>
    </w:p>
    <w:p>
      <w:pPr>
        <w:pStyle w:val="22"/>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  中标服务费</w:t>
      </w:r>
    </w:p>
    <w:p>
      <w:pPr>
        <w:pStyle w:val="22"/>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31.1 中标人应按本招标文件的规定，在《中标通知书》核发时至核发后3天内，向采购代理机构支付中标服务费。</w:t>
      </w:r>
    </w:p>
    <w:p>
      <w:pPr>
        <w:pStyle w:val="22"/>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bookmarkStart w:id="26" w:name="_Toc19074"/>
      <w:bookmarkStart w:id="27" w:name="_Toc14033"/>
      <w:r>
        <w:rPr>
          <w:rFonts w:hint="eastAsia" w:ascii="宋体" w:hAnsi="宋体" w:eastAsia="宋体" w:cs="宋体"/>
          <w:color w:val="000000" w:themeColor="text1"/>
          <w:sz w:val="24"/>
          <w:highlight w:val="none"/>
          <w14:textFill>
            <w14:solidFill>
              <w14:schemeClr w14:val="tx1"/>
            </w14:solidFill>
          </w14:textFill>
        </w:rPr>
        <w:t>31.2 中标服务费的计算基数是中标人投标报价的总金额，即中标通知书中载明的中标金额</w:t>
      </w:r>
      <w:bookmarkEnd w:id="26"/>
      <w:bookmarkEnd w:id="27"/>
      <w:r>
        <w:rPr>
          <w:rFonts w:hint="eastAsia" w:ascii="宋体" w:hAnsi="宋体" w:eastAsia="宋体" w:cs="宋体"/>
          <w:color w:val="000000" w:themeColor="text1"/>
          <w:sz w:val="24"/>
          <w:highlight w:val="none"/>
          <w14:textFill>
            <w14:solidFill>
              <w14:schemeClr w14:val="tx1"/>
            </w14:solidFill>
          </w14:textFill>
        </w:rPr>
        <w:t>。</w:t>
      </w:r>
    </w:p>
    <w:p>
      <w:pPr>
        <w:pStyle w:val="22"/>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bookmarkStart w:id="28" w:name="_Toc12711"/>
      <w:r>
        <w:rPr>
          <w:rFonts w:hint="eastAsia" w:ascii="宋体" w:hAnsi="宋体" w:eastAsia="宋体" w:cs="宋体"/>
          <w:color w:val="000000" w:themeColor="text1"/>
          <w:sz w:val="24"/>
          <w:highlight w:val="none"/>
          <w14:textFill>
            <w14:solidFill>
              <w14:schemeClr w14:val="tx1"/>
            </w14:solidFill>
          </w14:textFill>
        </w:rPr>
        <w:t>32. 参与本次招标的投标企业必须有商务、技术人员对评标委员会提出的商务、技术问题进行答疑。</w:t>
      </w:r>
      <w:bookmarkEnd w:id="28"/>
    </w:p>
    <w:p>
      <w:pPr>
        <w:pStyle w:val="22"/>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 有下列情形之一的，视为投标人串通投标，其投标无效：</w:t>
      </w:r>
    </w:p>
    <w:p>
      <w:pPr>
        <w:pStyle w:val="22"/>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33.1  不同投标人的投标文件由同一单位或者个人编制；</w:t>
      </w:r>
    </w:p>
    <w:p>
      <w:pPr>
        <w:pStyle w:val="22"/>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33.2  不同投标人委托同一单位或者个人办理投标事宜；</w:t>
      </w:r>
    </w:p>
    <w:p>
      <w:pPr>
        <w:pStyle w:val="22"/>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33.3  不同投标人的投标文件载明的项目管理成员或者联系人员为同一人；</w:t>
      </w:r>
    </w:p>
    <w:p>
      <w:pPr>
        <w:pStyle w:val="22"/>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33.4  不同投标人的投标文件异常一致或者投标报价呈规律性差异；</w:t>
      </w:r>
    </w:p>
    <w:p>
      <w:pPr>
        <w:pStyle w:val="22"/>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33.5  不同投标人的投标文件相互混装；</w:t>
      </w:r>
    </w:p>
    <w:p>
      <w:pPr>
        <w:pStyle w:val="22"/>
        <w:spacing w:line="360" w:lineRule="auto"/>
        <w:ind w:firstLine="483"/>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33.6  不同投标人的投标保证金从同一单位或者个人的账户转出。</w:t>
      </w:r>
      <w:bookmarkStart w:id="29" w:name="_Toc14852"/>
      <w:bookmarkStart w:id="30" w:name="_Toc179632627"/>
      <w:bookmarkStart w:id="31" w:name="_Toc7110"/>
      <w:bookmarkStart w:id="32" w:name="_Toc470"/>
      <w:bookmarkStart w:id="33" w:name="_Toc152042387"/>
      <w:bookmarkStart w:id="34" w:name="_Toc29020"/>
      <w:bookmarkStart w:id="35" w:name="_Toc144974577"/>
      <w:bookmarkStart w:id="36" w:name="_Toc152045609"/>
    </w:p>
    <w:p>
      <w:pPr>
        <w:pStyle w:val="8"/>
        <w:rPr>
          <w:rFonts w:hint="eastAsia" w:ascii="宋体" w:hAnsi="宋体" w:eastAsia="宋体" w:cs="宋体"/>
          <w:b/>
          <w:bCs/>
          <w:color w:val="000000" w:themeColor="text1"/>
          <w:sz w:val="24"/>
          <w:szCs w:val="24"/>
          <w:highlight w:val="none"/>
          <w14:textFill>
            <w14:solidFill>
              <w14:schemeClr w14:val="tx1"/>
            </w14:solidFill>
          </w14:textFill>
        </w:rPr>
      </w:pPr>
    </w:p>
    <w:p>
      <w:pPr>
        <w:rPr>
          <w:rFonts w:hint="eastAsia" w:ascii="宋体" w:hAnsi="宋体" w:eastAsia="宋体" w:cs="宋体"/>
          <w:b/>
          <w:bCs/>
          <w:color w:val="000000" w:themeColor="text1"/>
          <w:sz w:val="24"/>
          <w:szCs w:val="24"/>
          <w:highlight w:val="none"/>
          <w14:textFill>
            <w14:solidFill>
              <w14:schemeClr w14:val="tx1"/>
            </w14:solidFill>
          </w14:textFill>
        </w:rPr>
      </w:pPr>
    </w:p>
    <w:p>
      <w:pPr>
        <w:pStyle w:val="8"/>
        <w:rPr>
          <w:rFonts w:hint="eastAsia" w:ascii="宋体" w:hAnsi="宋体" w:eastAsia="宋体" w:cs="宋体"/>
          <w:b/>
          <w:bCs/>
          <w:color w:val="000000" w:themeColor="text1"/>
          <w:sz w:val="24"/>
          <w:szCs w:val="24"/>
          <w:highlight w:val="none"/>
          <w14:textFill>
            <w14:solidFill>
              <w14:schemeClr w14:val="tx1"/>
            </w14:solidFill>
          </w14:textFill>
        </w:rPr>
      </w:pPr>
    </w:p>
    <w:p>
      <w:pPr>
        <w:rPr>
          <w:rFonts w:hint="eastAsia" w:ascii="宋体" w:hAnsi="宋体" w:eastAsia="宋体" w:cs="宋体"/>
          <w:b/>
          <w:bCs/>
          <w:color w:val="000000" w:themeColor="text1"/>
          <w:sz w:val="24"/>
          <w:szCs w:val="24"/>
          <w:highlight w:val="none"/>
          <w14:textFill>
            <w14:solidFill>
              <w14:schemeClr w14:val="tx1"/>
            </w14:solidFill>
          </w14:textFill>
        </w:rPr>
      </w:pPr>
    </w:p>
    <w:p>
      <w:pPr>
        <w:pStyle w:val="8"/>
        <w:rPr>
          <w:rFonts w:hint="eastAsia" w:ascii="宋体" w:hAnsi="宋体" w:eastAsia="宋体" w:cs="宋体"/>
          <w:b/>
          <w:bCs/>
          <w:color w:val="000000" w:themeColor="text1"/>
          <w:sz w:val="24"/>
          <w:szCs w:val="24"/>
          <w:highlight w:val="none"/>
          <w14:textFill>
            <w14:solidFill>
              <w14:schemeClr w14:val="tx1"/>
            </w14:solidFill>
          </w14:textFill>
        </w:rPr>
      </w:pPr>
    </w:p>
    <w:p>
      <w:pPr>
        <w:rPr>
          <w:rFonts w:hint="eastAsia" w:ascii="宋体" w:hAnsi="宋体" w:eastAsia="宋体" w:cs="宋体"/>
          <w:b/>
          <w:bCs/>
          <w:color w:val="000000" w:themeColor="text1"/>
          <w:sz w:val="24"/>
          <w:szCs w:val="24"/>
          <w:highlight w:val="none"/>
          <w14:textFill>
            <w14:solidFill>
              <w14:schemeClr w14:val="tx1"/>
            </w14:solidFill>
          </w14:textFill>
        </w:rPr>
      </w:pPr>
    </w:p>
    <w:p>
      <w:pPr>
        <w:pStyle w:val="8"/>
        <w:rPr>
          <w:rFonts w:hint="eastAsia" w:ascii="宋体" w:hAnsi="宋体" w:eastAsia="宋体" w:cs="宋体"/>
          <w:b/>
          <w:bCs/>
          <w:color w:val="000000" w:themeColor="text1"/>
          <w:sz w:val="24"/>
          <w:szCs w:val="24"/>
          <w:highlight w:val="none"/>
          <w14:textFill>
            <w14:solidFill>
              <w14:schemeClr w14:val="tx1"/>
            </w14:solidFill>
          </w14:textFill>
        </w:rPr>
      </w:pPr>
    </w:p>
    <w:p>
      <w:pPr>
        <w:rPr>
          <w:rFonts w:hint="eastAsia" w:ascii="宋体" w:hAnsi="宋体" w:eastAsia="宋体" w:cs="宋体"/>
          <w:b/>
          <w:bCs/>
          <w:color w:val="000000" w:themeColor="text1"/>
          <w:sz w:val="24"/>
          <w:szCs w:val="24"/>
          <w:highlight w:val="none"/>
          <w14:textFill>
            <w14:solidFill>
              <w14:schemeClr w14:val="tx1"/>
            </w14:solidFill>
          </w14:textFill>
        </w:rPr>
      </w:pPr>
    </w:p>
    <w:p>
      <w:pPr>
        <w:pStyle w:val="8"/>
        <w:rPr>
          <w:rFonts w:hint="eastAsia" w:ascii="宋体" w:hAnsi="宋体" w:eastAsia="宋体" w:cs="宋体"/>
          <w:b/>
          <w:bCs/>
          <w:color w:val="000000" w:themeColor="text1"/>
          <w:sz w:val="24"/>
          <w:szCs w:val="24"/>
          <w:highlight w:val="none"/>
          <w14:textFill>
            <w14:solidFill>
              <w14:schemeClr w14:val="tx1"/>
            </w14:solidFill>
          </w14:textFill>
        </w:rPr>
      </w:pPr>
    </w:p>
    <w:p>
      <w:pPr>
        <w:pStyle w:val="8"/>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3"/>
        <w:keepNext w:val="0"/>
        <w:keepLines w:val="0"/>
        <w:adjustRightInd w:val="0"/>
        <w:snapToGrid w:val="0"/>
        <w:spacing w:before="120" w:after="120" w:line="360" w:lineRule="auto"/>
        <w:jc w:val="center"/>
        <w:outlineLvl w:val="0"/>
        <w:rPr>
          <w:rFonts w:hint="eastAsia" w:ascii="宋体" w:hAnsi="宋体" w:eastAsia="宋体" w:cs="宋体"/>
          <w:b/>
          <w:bCs w:val="0"/>
          <w:color w:val="000000" w:themeColor="text1"/>
          <w:sz w:val="24"/>
          <w:szCs w:val="24"/>
          <w:highlight w:val="none"/>
          <w14:textFill>
            <w14:solidFill>
              <w14:schemeClr w14:val="tx1"/>
            </w14:solidFill>
          </w14:textFill>
        </w:rPr>
      </w:pPr>
    </w:p>
    <w:p>
      <w:pPr>
        <w:pStyle w:val="3"/>
        <w:keepNext w:val="0"/>
        <w:keepLines w:val="0"/>
        <w:adjustRightInd w:val="0"/>
        <w:snapToGrid w:val="0"/>
        <w:spacing w:before="120" w:after="120" w:line="360" w:lineRule="auto"/>
        <w:jc w:val="center"/>
        <w:outlineLvl w:val="0"/>
        <w:rPr>
          <w:rFonts w:hint="eastAsia" w:ascii="宋体" w:hAnsi="宋体" w:eastAsia="宋体" w:cs="宋体"/>
          <w:b/>
          <w:bCs w:val="0"/>
          <w:color w:val="000000" w:themeColor="text1"/>
          <w:sz w:val="24"/>
          <w:szCs w:val="24"/>
          <w:highlight w:val="none"/>
          <w14:textFill>
            <w14:solidFill>
              <w14:schemeClr w14:val="tx1"/>
            </w14:solidFill>
          </w14:textFill>
        </w:rPr>
      </w:pPr>
    </w:p>
    <w:p>
      <w:pPr>
        <w:pStyle w:val="3"/>
        <w:keepNext w:val="0"/>
        <w:keepLines w:val="0"/>
        <w:adjustRightInd w:val="0"/>
        <w:snapToGrid w:val="0"/>
        <w:spacing w:before="120" w:after="120" w:line="360" w:lineRule="auto"/>
        <w:jc w:val="both"/>
        <w:outlineLvl w:val="0"/>
        <w:rPr>
          <w:rFonts w:hint="eastAsia" w:ascii="宋体" w:hAnsi="宋体" w:eastAsia="宋体" w:cs="宋体"/>
          <w:b/>
          <w:bCs w:val="0"/>
          <w:color w:val="000000" w:themeColor="text1"/>
          <w:sz w:val="24"/>
          <w:szCs w:val="24"/>
          <w:highlight w:val="none"/>
          <w14:textFill>
            <w14:solidFill>
              <w14:schemeClr w14:val="tx1"/>
            </w14:solidFill>
          </w14:textFill>
        </w:rPr>
      </w:pPr>
    </w:p>
    <w:p>
      <w:pPr>
        <w:pStyle w:val="3"/>
        <w:keepNext w:val="0"/>
        <w:keepLines w:val="0"/>
        <w:adjustRightInd w:val="0"/>
        <w:snapToGrid w:val="0"/>
        <w:spacing w:before="120" w:after="120" w:line="360" w:lineRule="auto"/>
        <w:jc w:val="center"/>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第三章 合同条款</w:t>
      </w:r>
      <w:bookmarkEnd w:id="29"/>
      <w:bookmarkEnd w:id="30"/>
      <w:bookmarkEnd w:id="31"/>
      <w:bookmarkEnd w:id="32"/>
      <w:bookmarkEnd w:id="33"/>
      <w:bookmarkEnd w:id="34"/>
      <w:bookmarkEnd w:id="35"/>
      <w:bookmarkEnd w:id="36"/>
      <w:bookmarkStart w:id="37" w:name="_Toc152045767"/>
      <w:bookmarkStart w:id="38" w:name="_Toc179632785"/>
      <w:bookmarkStart w:id="39" w:name="_Toc152042546"/>
      <w:bookmarkStart w:id="40" w:name="_Toc144974826"/>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仅供参考</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p>
    <w:bookmarkEnd w:id="37"/>
    <w:bookmarkEnd w:id="38"/>
    <w:bookmarkEnd w:id="39"/>
    <w:bookmarkEnd w:id="40"/>
    <w:p>
      <w:pPr>
        <w:numPr>
          <w:ilvl w:val="0"/>
          <w:numId w:val="3"/>
        </w:num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定义</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本合同下列术语应解释为：</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“合同”系指买卖双方签署的、合同格式中载明的买卖双方所达成的协议,包括所有的附件、附录和上述文件所提到的构成合同的所有文件。</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 “合同价”系指根据合同规定卖方在正确地完全履行合同义务后买方应支付给卖方的价格。</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 “货物” 系指卖方根据合同规定须向买方提供的一切材料、设备、机械、仪表、备件、工具或其它材料。</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 “服务”系指根据合同规定卖方承担与供货有关的辅助服务，比如运输、保险、以及其它的伴随服务，比如安装、调试、提供技术援助、培训和合同中规定卖方应承担的其它义务。</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 “买方”系指前附表中所述购买货物和服务的单位。</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 “卖方”系指前附表中所述提供货物和服务的公司或实体。</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 “项目现场”系指合同条款前附表中指明的地点。</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 “天”指日历天数。</w:t>
      </w:r>
    </w:p>
    <w:p>
      <w:pPr>
        <w:numPr>
          <w:ilvl w:val="0"/>
          <w:numId w:val="3"/>
        </w:num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来源地</w:t>
      </w:r>
    </w:p>
    <w:p>
      <w:pPr>
        <w:spacing w:line="360" w:lineRule="auto"/>
        <w:ind w:firstLine="482" w:firstLineChars="20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2.1本条所述的“来源地”系指货物生产地或提供服务的来源地。</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3.技术规格</w:t>
      </w:r>
    </w:p>
    <w:p>
      <w:pPr>
        <w:spacing w:line="360" w:lineRule="auto"/>
        <w:ind w:firstLine="482" w:firstLineChars="20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3.1交付的货物的技术规格应与招标文件规定的技术规格相一致。</w:t>
      </w:r>
    </w:p>
    <w:p>
      <w:pPr>
        <w:spacing w:line="360" w:lineRule="auto"/>
        <w:ind w:firstLine="482" w:firstLineChars="20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3.2除技术规格另有规定外,计量单位应该使用公制。</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4.专利权</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4.1卖方应保证买方在使用该货物或其任何一部分免受第三方提出侵犯其专利权、商标权或工业设计权的起诉。</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5.包装要求</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5.1除合同另有规定外，卖方提供的全部货物均应按标准保护措施进行包装，这类包装应适应于远距离运输、防潮、防震、防锈和防野蛮装卸，以确保货物安全无损运抵指定现场。</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5.2货物包装应附一份详细包装单和质量证书。</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6.包装标志</w:t>
      </w:r>
    </w:p>
    <w:p>
      <w:pPr>
        <w:spacing w:line="360" w:lineRule="auto"/>
        <w:ind w:firstLine="482" w:firstLineChars="20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6.1卖方应在每一包装用不褪色的、以醒目的中文字样做出下列标记:</w:t>
      </w:r>
    </w:p>
    <w:p>
      <w:pPr>
        <w:spacing w:line="360" w:lineRule="auto"/>
        <w:ind w:firstLine="482"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1、货物名称、品目号和规格：</w:t>
      </w:r>
    </w:p>
    <w:p>
      <w:pPr>
        <w:spacing w:line="360" w:lineRule="auto"/>
        <w:ind w:firstLine="482"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2、毛重/净重：</w:t>
      </w:r>
    </w:p>
    <w:p>
      <w:pPr>
        <w:spacing w:line="360" w:lineRule="auto"/>
        <w:ind w:firstLine="482"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3、生产日期</w:t>
      </w:r>
    </w:p>
    <w:p>
      <w:pPr>
        <w:spacing w:line="360" w:lineRule="auto"/>
        <w:ind w:firstLine="482"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4、行业规定的其它标识</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7.装运条件</w:t>
      </w:r>
    </w:p>
    <w:p>
      <w:pPr>
        <w:spacing w:line="360" w:lineRule="auto"/>
        <w:ind w:firstLine="482" w:firstLineChars="20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7.2如果是从国内供应的货物：</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7.2.1卖方应负责内陆运输；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7.2.2货物到达买方目的地，经验收合格，买方签字认可后的日期为交货日期。</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8.装运通知</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8.2如果是从国内供应的货物，买方提前十四天制定需求计划给卖方:</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8.2.1卖方应在合同规定的装运日期之前七(7)天内以电报或电传或传真形式将合同号、货物名称、数量和到货日期通知买方。同时，卖方应用挂号信把详细的货物清单一式两份，包括合同号、货物名称、规格、数量、待运日期和货物在运输、储存中的特殊要求和注意事项等通知买方。</w:t>
      </w:r>
    </w:p>
    <w:p>
      <w:pPr>
        <w:spacing w:line="360" w:lineRule="auto"/>
        <w:ind w:firstLine="51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8.2.2卖方应在货物装完后24小时之内以电报或电传或传真形式将合同号、货物名称、数量、发票金额、运输工具名称及启运日期通知买方。</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9.付款</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9.1本合同以人民币付款。</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9.2卖方应按照双方签订的合同规定交货。交货后卖方应把下列单据提交给买方，买方按合同规定审核后付款。</w:t>
      </w:r>
    </w:p>
    <w:p>
      <w:pPr>
        <w:numPr>
          <w:ilvl w:val="0"/>
          <w:numId w:val="4"/>
        </w:numPr>
        <w:tabs>
          <w:tab w:val="clear" w:pos="360"/>
        </w:tabs>
        <w:spacing w:line="360" w:lineRule="auto"/>
        <w:ind w:left="0" w:firstLine="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1.发票；</w:t>
      </w:r>
    </w:p>
    <w:p>
      <w:pPr>
        <w:numPr>
          <w:ilvl w:val="0"/>
          <w:numId w:val="4"/>
        </w:numPr>
        <w:tabs>
          <w:tab w:val="clear" w:pos="360"/>
        </w:tabs>
        <w:spacing w:line="360" w:lineRule="auto"/>
        <w:ind w:left="0" w:firstLine="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2.装车单；</w:t>
      </w:r>
    </w:p>
    <w:p>
      <w:pPr>
        <w:numPr>
          <w:ilvl w:val="0"/>
          <w:numId w:val="4"/>
        </w:numPr>
        <w:tabs>
          <w:tab w:val="clear" w:pos="360"/>
        </w:tabs>
        <w:spacing w:line="360" w:lineRule="auto"/>
        <w:ind w:left="0" w:firstLine="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3.出具的质量检验证书和数量证明书；以及国家省级以上质量监督部门对本货物的质量检验证书；</w:t>
      </w:r>
    </w:p>
    <w:p>
      <w:pPr>
        <w:numPr>
          <w:ilvl w:val="0"/>
          <w:numId w:val="4"/>
        </w:numPr>
        <w:tabs>
          <w:tab w:val="clear" w:pos="360"/>
        </w:tabs>
        <w:spacing w:line="360" w:lineRule="auto"/>
        <w:ind w:left="0" w:firstLine="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4.验收证书。</w:t>
      </w:r>
    </w:p>
    <w:p>
      <w:pPr>
        <w:numPr>
          <w:ilvl w:val="0"/>
          <w:numId w:val="4"/>
        </w:numPr>
        <w:tabs>
          <w:tab w:val="clear" w:pos="360"/>
        </w:tabs>
        <w:spacing w:line="360" w:lineRule="auto"/>
        <w:ind w:left="0" w:firstLine="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5.买方验收签证</w:t>
      </w:r>
    </w:p>
    <w:p>
      <w:pPr>
        <w:numPr>
          <w:ilvl w:val="0"/>
          <w:numId w:val="4"/>
        </w:numPr>
        <w:tabs>
          <w:tab w:val="clear" w:pos="360"/>
        </w:tabs>
        <w:spacing w:line="360" w:lineRule="auto"/>
        <w:ind w:left="0" w:firstLine="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9.3卖方应在每批货物到达买方目的地后，经验收数量与卖方提供的数量证明书一致后四十八（48）小时内将上述9.2条要求的单据给买方。</w:t>
      </w:r>
    </w:p>
    <w:p>
      <w:pPr>
        <w:spacing w:line="360" w:lineRule="auto"/>
        <w:ind w:firstLine="482" w:firstLineChars="200"/>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9.4付款方式：</w:t>
      </w:r>
      <w:r>
        <w:rPr>
          <w:rFonts w:hint="eastAsia" w:ascii="宋体" w:hAnsi="宋体" w:cs="宋体"/>
          <w:b/>
          <w:bCs/>
          <w:color w:val="000000" w:themeColor="text1"/>
          <w:sz w:val="24"/>
          <w:highlight w:val="none"/>
          <w:lang w:val="en-US" w:eastAsia="zh-CN"/>
          <w14:textFill>
            <w14:solidFill>
              <w14:schemeClr w14:val="tx1"/>
            </w14:solidFill>
          </w14:textFill>
        </w:rPr>
        <w:t>签订合同时与采购人约定。</w:t>
      </w:r>
    </w:p>
    <w:p>
      <w:pPr>
        <w:spacing w:line="360" w:lineRule="auto"/>
        <w:ind w:firstLine="482" w:firstLineChars="200"/>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10. 质量保证</w:t>
      </w:r>
    </w:p>
    <w:p>
      <w:pPr>
        <w:pStyle w:val="22"/>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10.1 质量要求、技术标准及卖方对质量负责的条件期限。</w:t>
      </w:r>
    </w:p>
    <w:p>
      <w:pPr>
        <w:pStyle w:val="22"/>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10.2 卖方应严格按照设备制造国家标准和行业标准进行制造。出厂前卖方的质量检验部门应按照产品原产地国家制定的各项规定进行产品质量检验，检验合格后出具质量证明书后，方能出厂。</w:t>
      </w:r>
    </w:p>
    <w:p>
      <w:pPr>
        <w:pStyle w:val="22"/>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10.3 卖方对货物制造质量负责，在买方按照使用维护说明书的规定正确的安装维护及存放的情况下，卖方应保证所供设备自正式投入运行之日起36个月内无故障，如确因设计和制造质量不良而发生损坏或并非因维护操作不当导致不能正常使用，卖方应按国务院发布的《工业产品质量责任条例》在接到买方通知之日起1日内派人抵达设备使用现场处理，并承担相应的经济责任。</w:t>
      </w:r>
    </w:p>
    <w:p>
      <w:pPr>
        <w:pStyle w:val="22"/>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10.4卖方应对所供应设备的外协、外购件质量负责，其负责期限和责任范围等同于1.2条款的约定。卖方在交货时应提供外购件的使用维护说明书及证明文件。</w:t>
      </w:r>
    </w:p>
    <w:p>
      <w:pPr>
        <w:pStyle w:val="22"/>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10.5卖方单位所提供产品的技术应是最新的,并且已有运行2年以上的成功经验,并附有证明文件。</w:t>
      </w:r>
    </w:p>
    <w:p>
      <w:pPr>
        <w:pStyle w:val="22"/>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10.6 运输方式、交货地点及到达项目现场费用负担</w:t>
      </w:r>
    </w:p>
    <w:p>
      <w:pPr>
        <w:pStyle w:val="22"/>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10.7 运输方式由卖方决定、由卖方办理，运杂费用由卖方承担，产品包装应符合国家有关要求。</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11．技术培训要求</w:t>
      </w:r>
    </w:p>
    <w:p>
      <w:pPr>
        <w:spacing w:line="360" w:lineRule="auto"/>
        <w:ind w:firstLine="482"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11.1设备从到厂开始，希望调试人员在安装调试的全过程中对我单位保全及操作工培训。</w:t>
      </w:r>
    </w:p>
    <w:p>
      <w:pPr>
        <w:spacing w:line="360" w:lineRule="auto"/>
        <w:ind w:firstLine="482"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11.2设备安装调试完毕后，对我单位相关人员进行系统培训。</w:t>
      </w:r>
    </w:p>
    <w:p>
      <w:pPr>
        <w:spacing w:line="360" w:lineRule="auto"/>
        <w:ind w:firstLine="482"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11.3操作人员能够熟练掌握操作方法。</w:t>
      </w:r>
    </w:p>
    <w:p>
      <w:pPr>
        <w:spacing w:line="360" w:lineRule="auto"/>
        <w:ind w:firstLine="482"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11.4保全对设备有很好的认识，能够自行维修设备的一般故障，出现特殊故障时，保全能够通过电话沟通维修设备。</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12. 售后服务</w:t>
      </w:r>
    </w:p>
    <w:p>
      <w:pPr>
        <w:pStyle w:val="22"/>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12.1在货物到达使用单位后，接到买方通知后，应在1天内派工程技术人员到达现场，在买方技术人员在场的情况下开箱清点货物，组织安装调试，并承担由此发生的一切费用，安装时间不长于7天。</w:t>
      </w:r>
    </w:p>
    <w:p>
      <w:pPr>
        <w:pStyle w:val="22"/>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12.2设备安装后双方按国际和国家标准及本章第3条款的要求进行质量验收。卖方应向买方提供详细的验收标准、验收手册，免费提供验收所需的仪器，买方在验收合格后将仪器归还卖方。</w:t>
      </w:r>
    </w:p>
    <w:p>
      <w:pPr>
        <w:pStyle w:val="22"/>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12.3 在设备交付使用后，卖方应对保修期及其以后终身服务作出承诺，并具有切实可行的服务措施。卖方在疆应有常设或指派的法定售后服务机构，备品备件库（进口产品除外），安装维修人员应是卖方派出的具有一定专业技术水平的人员。</w:t>
      </w:r>
    </w:p>
    <w:p>
      <w:pPr>
        <w:pStyle w:val="22"/>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 对配套设备中的产品必须提供有关资料及售后服务承诺。</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 备品备件</w:t>
      </w:r>
    </w:p>
    <w:p>
      <w:pPr>
        <w:pStyle w:val="22"/>
        <w:spacing w:line="360" w:lineRule="auto"/>
        <w:ind w:firstLine="483"/>
        <w:outlineLvl w:val="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13.1 应保证终身提供该设备的所有维修零备件。</w:t>
      </w:r>
    </w:p>
    <w:p>
      <w:pPr>
        <w:pStyle w:val="22"/>
        <w:spacing w:line="360" w:lineRule="auto"/>
        <w:ind w:firstLine="483"/>
        <w:outlineLvl w:val="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13.2 卖方须提供备件的名称、价格及有效期，保证供货期等。</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14．保修</w:t>
      </w:r>
    </w:p>
    <w:p>
      <w:pPr>
        <w:pStyle w:val="22"/>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14.1 本次招标采购的产品，要求质保期一年。质保期即自安装验收合格正式运行之日算起，至少12个月内无故障安全运行（如出现质量问题，卖方在保修期内免费更换部件及维修）。如果由于卖方责任致使系统不能验收，此保修期顺延。</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15.检验</w:t>
      </w:r>
    </w:p>
    <w:p>
      <w:pPr>
        <w:spacing w:line="360" w:lineRule="auto"/>
        <w:ind w:firstLine="51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在交货前，卖方应对货物的质量、规格、性能、数量和重量等进行详细而全面的检验，并出具一份证明货物符合合同规定的检验证书，检验证书是付款时所需文件的组成部分，但不能作为有关质量、规格、数量或重量的最终检验。卖方的检验结果应附在检验证书后面。</w:t>
      </w:r>
    </w:p>
    <w:p>
      <w:pPr>
        <w:spacing w:line="360" w:lineRule="auto"/>
        <w:ind w:firstLine="51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15.2货物运抵买方目的地后，买方对货物的质量、规格、数量和重量进行检验，并出具检验证书。费用由卖方承担。</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16.卖方履约延误</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16.1卖方应按照“货物需求一览表及技术规格要求”中买方规定的时间表交货和提供服务。</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16.2如卖方无正当理由而拖延交货，将受到以下制裁：没收履约保证金，加收误期赔偿或违约终止合同。</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在履行合同过程中，如果卖方可能遇到妨碍按时交货和提供服务的情况时，应及时以书面形式将拖延的事实，可能拖延的期限和理由通知买方。买方在收到卖方通知后，应尽快对情况进行评价，并确定是否通过修改合同，酌情延长交货时间。</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17.误期赔偿</w:t>
      </w:r>
    </w:p>
    <w:p>
      <w:pPr>
        <w:spacing w:line="360" w:lineRule="auto"/>
        <w:ind w:firstLine="51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17.1除合同第17条规定外，如果卖方没有按照合同规定的时间交货和提供服务，买方应从货款中扣除误期赔偿费而不影响合同项下的其他补救方法，赔偿费按每周迟交货物交货价或未提供服务费用的</w:t>
      </w:r>
      <w:r>
        <w:rPr>
          <w:rFonts w:hint="eastAsia" w:ascii="宋体" w:hAnsi="宋体" w:cs="宋体"/>
          <w:b/>
          <w:bCs/>
          <w:color w:val="000000" w:themeColor="text1"/>
          <w:sz w:val="24"/>
          <w:highlight w:val="none"/>
          <w14:textFill>
            <w14:solidFill>
              <w14:schemeClr w14:val="tx1"/>
            </w14:solidFill>
          </w14:textFill>
        </w:rPr>
        <w:t>千分之二（2‰）</w:t>
      </w:r>
      <w:r>
        <w:rPr>
          <w:rFonts w:hint="eastAsia" w:ascii="宋体" w:hAnsi="宋体" w:cs="宋体"/>
          <w:color w:val="000000" w:themeColor="text1"/>
          <w:sz w:val="24"/>
          <w:highlight w:val="none"/>
          <w14:textFill>
            <w14:solidFill>
              <w14:schemeClr w14:val="tx1"/>
            </w14:solidFill>
          </w14:textFill>
        </w:rPr>
        <w:t>计收,直至交货或提供服务为止。但误期赔偿费的最高限额不超过误期货物总价或服务合同价的百分之五（5%）。一周按七（7）天计算，不足七（7）天按一周计算。一旦达到误期赔偿的最高限额，买方可考虑终止合同。</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18.不可抗力</w:t>
      </w:r>
    </w:p>
    <w:p>
      <w:pPr>
        <w:spacing w:line="360" w:lineRule="auto"/>
        <w:ind w:firstLine="51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18.1如果卖方因不可抗力而导致合同实施延误或不能履行合同义务的话，买方不应没收履约保证金，卖方也不应该承担误期赔偿或终止合同的责任。</w:t>
      </w:r>
    </w:p>
    <w:p>
      <w:pPr>
        <w:spacing w:line="360" w:lineRule="auto"/>
        <w:ind w:firstLine="51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18.2本条所述的“不可抗力”系指那些卖方无法控制，不可预见的事件，但不包括卖方的违约或疏忽。这些事件包括：战争、严重火灾、洪水、台风、地震以及其它经双方商定的事件。</w:t>
      </w:r>
    </w:p>
    <w:p>
      <w:pPr>
        <w:spacing w:line="360" w:lineRule="auto"/>
        <w:ind w:firstLine="51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持续超过一百二十六（126）天，双方应通过友好协商在合理的时间内达成进一步履行合同的协议。</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19.税费</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15.1卖方报价应包括货物送达买方目的地以前的所有税费。既与本合同有关的一切税费均应由卖方负担。</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20.价格调整</w:t>
      </w:r>
    </w:p>
    <w:p>
      <w:pPr>
        <w:spacing w:line="360" w:lineRule="auto"/>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  物价波动引起的价格调整</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本工程工期较短，投标人应自行考虑项目实施过程中材料的价格波动。招标人对物价波动引起的价格不予调整</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21．履约保证金</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21.1卖方应在收到中标通告书后七（7）天内，应按“投标人须知前附表”的要求向买方提供履约保证金。履约保证金的有效期到工程通过初步验收后28天时为止。</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21.2卖方提供的履约保证金应按招标文件所附的格式或买方可接受的其他格式提供，与此有关的费用均由卖方负担。</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21.3如果卖方未能履行合同规定的任何义务，买方有权从履约保证金中得到补偿。</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22.争端的解决</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买卖双方通过友好协商，解决在执行本合同中所发生的或与本合同有关的一切争端。如从协商开始二十八（28）天内仍不能解决，双方应将争端提交阿克苏地区行业主管部门寻求可能解决的办法。如果提交行业主管部门后二十八（28）天内仍得不到解决，则应提请仲裁。</w:t>
      </w:r>
    </w:p>
    <w:p>
      <w:pPr>
        <w:spacing w:line="360" w:lineRule="auto"/>
        <w:ind w:firstLine="361"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22.2仲裁应按照双方商定的仲裁委员会根据其仲裁程序进行仲裁；</w:t>
      </w:r>
    </w:p>
    <w:p>
      <w:pPr>
        <w:spacing w:line="360" w:lineRule="auto"/>
        <w:ind w:firstLine="361"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22.3仲裁裁决应为最终裁决，对双方均具有约束力。</w:t>
      </w:r>
    </w:p>
    <w:p>
      <w:pPr>
        <w:spacing w:line="360" w:lineRule="auto"/>
        <w:ind w:firstLine="361"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22.4仲裁费除仲裁机关另有裁决外均应由败诉方负担。</w:t>
      </w:r>
    </w:p>
    <w:p>
      <w:pPr>
        <w:spacing w:line="360" w:lineRule="auto"/>
        <w:ind w:firstLine="361"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22.5在仲裁期间，除正在进行仲裁的部分外，本合同的其它部分应继续执行。</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23.违约终止合同</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23.1在买方对卖方违约而采取的任何补救措施对工程都受影响的情况下，买方可向卖方发出书面通知书，提出终止部分或全部合同。</w:t>
      </w:r>
    </w:p>
    <w:p>
      <w:pPr>
        <w:spacing w:line="360" w:lineRule="auto"/>
        <w:ind w:firstLine="482" w:firstLineChars="20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1、如果卖方未能在合同规定的期限或买方同意延长的期限内提供部分或全部货物；</w:t>
      </w:r>
    </w:p>
    <w:p>
      <w:pPr>
        <w:spacing w:line="360" w:lineRule="auto"/>
        <w:ind w:firstLine="482" w:firstLineChars="20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2、如果卖方未能履行合同规定的其它任何义务。</w:t>
      </w:r>
    </w:p>
    <w:p>
      <w:pPr>
        <w:spacing w:line="360" w:lineRule="auto"/>
        <w:outlineLvl w:val="1"/>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24.转让和分包</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24.1除买方事先书面同意外，卖方不得部分转让或全部转让其应履行的合同义务。</w:t>
      </w:r>
    </w:p>
    <w:p>
      <w:pPr>
        <w:spacing w:line="360" w:lineRule="auto"/>
        <w:outlineLvl w:val="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25.适用法律</w:t>
      </w:r>
    </w:p>
    <w:p>
      <w:pPr>
        <w:spacing w:line="360" w:lineRule="auto"/>
        <w:ind w:firstLine="51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24.1本合同应按照中华人民共和国的现行法律进行解释。</w:t>
      </w:r>
    </w:p>
    <w:p>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25.合同生效</w:t>
      </w:r>
    </w:p>
    <w:p>
      <w:pPr>
        <w:spacing w:line="360" w:lineRule="auto"/>
        <w:ind w:firstLine="51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.1本合同应在双方签字和买方收到卖方提供的履约保证金后生效。</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26.主导语言</w:t>
      </w:r>
    </w:p>
    <w:p>
      <w:pPr>
        <w:spacing w:line="360" w:lineRule="auto"/>
        <w:ind w:firstLine="51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26.1本合同一式四份，以中文书写，买方执三份，卖方执一份。</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27.合同修改</w:t>
      </w:r>
    </w:p>
    <w:p>
      <w:pPr>
        <w:adjustRightInd w:val="0"/>
        <w:snapToGrid w:val="0"/>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27.1除了双方签署书面修改协议，并成为本合同不可分割的一部分的情况之外，本合同的条件不得有任何变化或修改。</w:t>
      </w:r>
    </w:p>
    <w:p>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28. 其它事项</w:t>
      </w:r>
    </w:p>
    <w:p>
      <w:pPr>
        <w:pStyle w:val="22"/>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28.1 本合同所确定的价格为最终价格,已包含包装费、运杂费、保险费、卖方的现场验收、安装调试费、现场服务费等各项费用。</w:t>
      </w:r>
    </w:p>
    <w:p>
      <w:pPr>
        <w:spacing w:line="360" w:lineRule="auto"/>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 xml:space="preserve">29.  </w:t>
      </w:r>
      <w:r>
        <w:rPr>
          <w:rFonts w:hint="eastAsia" w:ascii="宋体" w:hAnsi="宋体" w:cs="宋体"/>
          <w:b/>
          <w:bCs/>
          <w:color w:val="000000" w:themeColor="text1"/>
          <w:sz w:val="24"/>
          <w:highlight w:val="none"/>
          <w14:textFill>
            <w14:solidFill>
              <w14:schemeClr w14:val="tx1"/>
            </w14:solidFill>
          </w14:textFill>
        </w:rPr>
        <w:t>其它要求</w:t>
      </w:r>
      <w:r>
        <w:rPr>
          <w:rFonts w:hint="eastAsia" w:ascii="宋体" w:hAnsi="宋体" w:cs="宋体"/>
          <w:b/>
          <w:bCs/>
          <w:color w:val="000000" w:themeColor="text1"/>
          <w:kern w:val="0"/>
          <w:sz w:val="24"/>
          <w:highlight w:val="none"/>
          <w14:textFill>
            <w14:solidFill>
              <w14:schemeClr w14:val="tx1"/>
            </w14:solidFill>
          </w14:textFill>
        </w:rPr>
        <w:t xml:space="preserve">  </w:t>
      </w:r>
    </w:p>
    <w:p>
      <w:pPr>
        <w:spacing w:line="360" w:lineRule="auto"/>
        <w:ind w:firstLine="482" w:firstLineChars="200"/>
        <w:rPr>
          <w:rFonts w:hint="eastAsia" w:ascii="宋体" w:hAnsi="宋体" w:cs="宋体"/>
          <w:b/>
          <w:bCs/>
          <w:color w:val="000000" w:themeColor="text1"/>
          <w:sz w:val="32"/>
          <w:szCs w:val="32"/>
          <w:highlight w:val="none"/>
          <w14:textFill>
            <w14:solidFill>
              <w14:schemeClr w14:val="tx1"/>
            </w14:solidFill>
          </w14:textFill>
        </w:rPr>
        <w:sectPr>
          <w:footerReference r:id="rId7" w:type="first"/>
          <w:footerReference r:id="rId6" w:type="default"/>
          <w:pgSz w:w="11849" w:h="16781"/>
          <w:pgMar w:top="1327" w:right="1080" w:bottom="1327" w:left="1080" w:header="851" w:footer="850" w:gutter="0"/>
          <w:cols w:space="720" w:num="1"/>
          <w:titlePg/>
          <w:docGrid w:type="linesAndChars" w:linePitch="320" w:charSpace="269"/>
        </w:sectPr>
      </w:pPr>
      <w:r>
        <w:rPr>
          <w:rFonts w:hint="eastAsia" w:ascii="宋体" w:hAnsi="宋体" w:cs="宋体"/>
          <w:color w:val="000000" w:themeColor="text1"/>
          <w:kern w:val="0"/>
          <w:sz w:val="24"/>
          <w:highlight w:val="none"/>
          <w14:textFill>
            <w14:solidFill>
              <w14:schemeClr w14:val="tx1"/>
            </w14:solidFill>
          </w14:textFill>
        </w:rPr>
        <w:t xml:space="preserve"> 质保期内，如有损坏，请按照合同规定及时派人到场</w:t>
      </w:r>
      <w:r>
        <w:rPr>
          <w:rFonts w:hint="eastAsia" w:ascii="宋体" w:hAnsi="宋体" w:cs="宋体"/>
          <w:color w:val="000000" w:themeColor="text1"/>
          <w:kern w:val="0"/>
          <w:sz w:val="24"/>
          <w:highlight w:val="none"/>
          <w:lang w:eastAsia="zh-CN"/>
          <w14:textFill>
            <w14:solidFill>
              <w14:schemeClr w14:val="tx1"/>
            </w14:solidFill>
          </w14:textFill>
        </w:rPr>
        <w:t>修缮</w:t>
      </w:r>
      <w:r>
        <w:rPr>
          <w:rFonts w:hint="eastAsia" w:ascii="宋体" w:hAnsi="宋体" w:cs="宋体"/>
          <w:color w:val="000000" w:themeColor="text1"/>
          <w:kern w:val="0"/>
          <w:sz w:val="24"/>
          <w:highlight w:val="none"/>
          <w14:textFill>
            <w14:solidFill>
              <w14:schemeClr w14:val="tx1"/>
            </w14:solidFill>
          </w14:textFill>
        </w:rPr>
        <w:t>。</w:t>
      </w:r>
    </w:p>
    <w:p>
      <w:pPr>
        <w:pStyle w:val="2"/>
        <w:numPr>
          <w:ilvl w:val="0"/>
          <w:numId w:val="5"/>
        </w:numPr>
        <w:jc w:val="center"/>
        <w:rPr>
          <w:rFonts w:hint="eastAsia"/>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采购需求</w:t>
      </w:r>
    </w:p>
    <w:bookmarkEnd w:id="18"/>
    <w:bookmarkEnd w:id="19"/>
    <w:bookmarkEnd w:id="20"/>
    <w:bookmarkEnd w:id="21"/>
    <w:bookmarkEnd w:id="22"/>
    <w:bookmarkEnd w:id="23"/>
    <w:bookmarkEnd w:id="24"/>
    <w:bookmarkEnd w:id="25"/>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1"/>
        <w:gridCol w:w="918"/>
        <w:gridCol w:w="4847"/>
        <w:gridCol w:w="675"/>
        <w:gridCol w:w="716"/>
        <w:gridCol w:w="601"/>
        <w:gridCol w:w="675"/>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gridSpan w:val="8"/>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bookmarkStart w:id="41" w:name="_Toc179632806"/>
            <w:bookmarkStart w:id="42" w:name="_Toc16742"/>
            <w:bookmarkStart w:id="43" w:name="_Toc31265"/>
            <w:bookmarkStart w:id="44" w:name="_Toc5416"/>
            <w:bookmarkStart w:id="45" w:name="_Toc3191"/>
            <w:r>
              <w:rPr>
                <w:rFonts w:hint="eastAsia" w:ascii="宋体" w:hAnsi="宋体" w:eastAsia="宋体" w:cs="宋体"/>
                <w:b/>
                <w:bCs/>
                <w:i w:val="0"/>
                <w:iCs w:val="0"/>
                <w:color w:val="000000"/>
                <w:kern w:val="0"/>
                <w:sz w:val="28"/>
                <w:szCs w:val="28"/>
                <w:u w:val="none"/>
                <w:lang w:val="en-US" w:eastAsia="zh-CN" w:bidi="ar"/>
              </w:rPr>
              <w:t>沙雅县古勒巴格镇乡村振兴示范镇创建项目-采购项目 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项号</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技术参数要求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总价/万元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融蜜池</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1、用途：蜂蜜化晶，增加流动性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2、单次6个桶（50L）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3、水浴加热0-100℃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4、内尺寸：1.2*1.0*0.6m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5、外尺寸：1.26*1.06*0.65m，70kg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6、加热功率：380V/18KW</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输送泵</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1、用途：抽取蜂蜜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2、流量:3t/h；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3、电源：380V/1.5KW；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4、进口直径：38mm；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5、出口直径：38mm；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6、扬程：30m；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7、阀体材质：304不锈钢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蜂蜜浓缩机</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380V/9KW（加热）+0.75KW(搅拌)；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电源2（浓缩）：380V/9KW（加热）+2.2KW(真空泵)；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罐体容量：100L（预热罐）/120L（浓缩罐）；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材质（物料接触）：304不锈钢；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壁厚：内3mm，外3mm；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过滤级别：120-200目；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加热形式：水浴加热；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耗水量：3t/h；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供水温度：≤30℃；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工作压力：≥0.08MPa；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工作物料温度：≤55℃；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卫生级储罐</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1、用途：周转蜂蜜或者当天灌装前临时暂存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2、电源：380V/1.5KW；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3、罐体容量：1000L；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4、材质（物料接触）：304不锈钢；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5、特殊说明：设备含有空气过滤器避免蜂蜜损坏，罐体内有蜂蜜时保持搅拌运行避免蜂蜜结晶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半自动灌装机</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1.HM-5X半自动灌装机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2、插头需自选（澳标/英标/欧标/美标）,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3.设备尺寸：47*33*29cm，装上立杆高度47cm，称重盘有效尺寸：21*15cm，灌装高度：0-23cm可调；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4.灌装蜂蜜种类：适用于43波美度以下，环境温度高于15℃各种非结晶液态蜂蜜灌装；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5.灌装重量范围：适用于100-5000克各种蜂蜜瓶；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贴标机</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1、半自动圆瓶贴标机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2、电源：220/120W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3、效率：25-50次/分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4、料卷：内径≥75，外径≤250mm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5、标签规格：宽10-120mm,长10-80mm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6、适用瓶宽：10-120mm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铝箔封口机</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1、铝箔封口机（电磁感应）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2、电源：220v 4kw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3、封口速度 0-150瓶/分钟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4、最大电流 15A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5、感应频率 60-80Khz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6、适用瓶盖直径：0-100mm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7、适用瓶子高度：0-300mm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8、冷却系统：水冷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自动喷码机</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1、打印行数：1-2行；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2、字高：3-12mm；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3、电源：220V/50HZ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4、带支架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输送带</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1、整体框架材质为304不锈钢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2、输送带采用模块带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3、可移动拆卸式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4、外形尺寸5000*250*800mm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不锈钢管件及配件</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设备连接使用，由不锈钢直径32圆管厚度2mm，不锈钢32快速接头，不锈钢阀门等组成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滚杠喷淋提升机</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1、设备尺寸：2600*1200*1300mm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2、电机功率：0.75KW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3、输入电压：380v50hz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4、网带宽度：800mm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5、设备材质：食品接触部分为304不锈钢，其余架体材质不锈钢201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鼓泡清洗机</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1、设备尺寸：4200*1300*1400mm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2、设备功率：5.25KW（380V 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3、输送电机0.75KW，输送速度变频调节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4、设备材质：槽体及内部采用304不锈钢材料制作，其余201不锈钢。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5、网带规格：宽度800mm304不锈钢螺旋网带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毛刷抛光清洗机</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1、设备尺寸：4600*1300*1400mm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2、架体：采用不锈钢板冷弯成型。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3、毛滚：采用采用800mm软毛刷。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4、立柱采用50*50 工业方管焊接而成。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5、设备功率3kw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6、毛滚上方带循环喷淋装置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风干提升机</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1、设备尺寸：2600*1300*1700mm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2、架体：采用不锈钢板冷弯成型。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3、网带：采用宽度1200mm网带。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4、立柱采用50*50不锈钢工业方管焊接而成。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5、吹干风机采用4台轴流风机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6、传动电机采用变频调速，总功率1.75kw。</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全自动烘干机</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1、设备尺寸 ：1200*3000*3200mm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2、输送网带尺寸：带宽1800mm网带层数：5层。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3、设备架体：采用镀锌方管焊制，规格80×40×3mm方管，内板采用不锈钢板SUS304冷弯成型。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4、外包装：采用厚1.2mm不锈钢板冷弯成型，内部填充保温材料硅酸铝，并进行密封处理以防湿气外漏。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5、传动：采用双级变频减速机，电机功率2.2Kw。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6、风机：采用离心式风机4KW共4台。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7、加热方式：电加热，电热管功率144KW</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降温冷却机</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1、设备尺寸：2000*900*1400mm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2、架体：采用不锈钢板冷弯成型。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3、网带：采用宽度1200mm网带。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4、立柱采用50*50不锈钢工业方管焊接而成。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5、吹干风机采用4台轴流风机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6、传动电机采用变频调速，总功率1.75kw</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色选机</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1、设备尺寸：7300*2700*1600mm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2、设备总功率6.8KW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3、产量每小时2T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4、整机采用碳钢制作，不锈钢内衬板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空压机</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变频螺杆气泵总功率7.5KW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储气罐及空气干燥机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空气净化装置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脱皮上料机</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1、设备尺寸：4米×0.5米×1.</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2、护板采用厚度为1.5mm不锈钢板制作。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3、支架采用50×50×1.5mm不锈钢方管，底部配有万向调节栓输送采用皮带传动。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4、配有动力为0.75KW无级调速器一台并配有不锈钢防护罩。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脱皮机</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1、设备尺寸：1.26</w:t>
            </w:r>
            <w:r>
              <w:rPr>
                <w:rFonts w:hint="eastAsia" w:ascii="宋体" w:hAnsi="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0.8m</w:t>
            </w:r>
            <w:r>
              <w:rPr>
                <w:rFonts w:hint="eastAsia" w:ascii="宋体" w:hAnsi="宋体" w:eastAsia="宋体" w:cs="宋体"/>
                <w:i w:val="0"/>
                <w:iCs w:val="0"/>
                <w:color w:val="000000"/>
                <w:kern w:val="0"/>
                <w:sz w:val="20"/>
                <w:szCs w:val="20"/>
                <w:u w:val="none"/>
                <w:lang w:val="en-US" w:eastAsia="zh-CN" w:bidi="ar"/>
              </w:rPr>
              <w:t>×1.18</w:t>
            </w:r>
            <w:r>
              <w:rPr>
                <w:rFonts w:hint="eastAsia" w:ascii="宋体" w:hAnsi="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2、链板20块、链板材质碳钢、半球为不锈材304材质，刀圆盘4组、每组80个刀，材质为精钢；刀架4组、每组22片、材质碳钢、刀片为不锈钢304材质，出料链条总长4米、材质碳钢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3、电机为两台电机，1.5KW、0.55KW各一台。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青皮回收输送机</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1、设备尺寸：4000×1000×1200mm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2、护板采用厚度为1.5mm不锈钢板制作。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3、支架采用50×50×1.5mm不锈钢方管，底部配有万向调节栓。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4、输送采用皮带传动。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5、电动机概功率为0.75KW无级调速器一台，并配有不锈钢防护罩。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光果输送机</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1、设备尺寸：3000×800×1100mm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2、传动功率：0.75kw，无极调速；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3、底部配有调节螺栓；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4、设备采用不锈钢材料，稳定高效；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5、护板采用厚度≥1.5mm不锈钢板制作；支架采用50×50×1.5mm不锈钢方管；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毛刷清洗机</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1、设备尺寸：1800×1450×1200mm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2、毛辊采用进口尼龙丝制作。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3、毛辊支架护板采用优质碳钢。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4、支撑为50×50×1.5mm碳钢方管。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5、配有2.2KW无级调速器一台。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6、整机除电机、支架及相关部件外均采用碳钢材质制造。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核桃烘干机</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1、设备尺寸：4100×2600×2800mm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2、烘干池选用材料：1.4mm厚40mmx40mm镀锌钢管、1.35mm厚镀锌铁皮焊接组成。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3、电加热散热器功率：18KW。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4、风机型号：直径600mm、功率；2.2KW。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5、配电箱温控箱,：温控表、250空开、160接触器组成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空壳机</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提升部分：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1、设备尺寸：2500×1400×2150mm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2、护板采用厚度为1.5mm不锈钢板制作。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3、支架采用50×50×1.5mm不锈钢方管，底部配有万向调节栓。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4、输送采用皮带传动。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5、配有动力为0.55KW无级调速器一台并配有不锈钢防护罩。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风选部分：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6、配有5.5kw大功率风机，中间设有可调节式风挡 ，可随时调节风力大小。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7、整机除电机、支架及相关部件外均采用不锈钢材质制造。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核桃分级机</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1、设备尺寸：4200×1350×2450mm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2、护板采用厚度为1.5mm不锈钢板制作。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3、支架采用50×50×1.5mm不锈钢方管，底部配有万向调节栓。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4、输送皮带配有刮料板，便于提升。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5、配有动力为0.75KW无级调速器一台并配有不锈钢防护罩。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分级部分：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6、采用ф6mm不锈钢直条制作，全部数控冲孔，两头采用不锈钢法兰。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7、支架为50×50×1.5mm不锈钢方管，底部配有万向调节栓。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8、接料板及落料斗均为1.5mm不锈钢。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9、电动机为2.2KW摆线针轮减速机并配有不锈钢防护罩。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10、该设备可将核桃均匀分成大中小三个级别。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11、整机除电机及相关部件外均采用不锈钢材质制造。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提升机</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设备尺寸：</w:t>
            </w:r>
            <w:r>
              <w:rPr>
                <w:rFonts w:hint="eastAsia" w:ascii="宋体" w:hAnsi="宋体" w:cs="宋体"/>
                <w:i w:val="0"/>
                <w:iCs w:val="0"/>
                <w:color w:val="000000"/>
                <w:kern w:val="0"/>
                <w:sz w:val="20"/>
                <w:szCs w:val="20"/>
                <w:u w:val="none"/>
                <w:lang w:val="en-US" w:eastAsia="zh-CN" w:bidi="ar"/>
              </w:rPr>
              <w:t>2500</w:t>
            </w:r>
            <w:r>
              <w:rPr>
                <w:rFonts w:hint="eastAsia" w:ascii="宋体" w:hAnsi="宋体" w:eastAsia="宋体" w:cs="宋体"/>
                <w:i w:val="0"/>
                <w:iCs w:val="0"/>
                <w:color w:val="000000"/>
                <w:kern w:val="0"/>
                <w:sz w:val="20"/>
                <w:szCs w:val="20"/>
                <w:u w:val="none"/>
                <w:lang w:val="en-US" w:eastAsia="zh-CN" w:bidi="ar"/>
              </w:rPr>
              <w:t>*600*</w:t>
            </w:r>
            <w:r>
              <w:rPr>
                <w:rFonts w:hint="eastAsia" w:ascii="宋体" w:hAnsi="宋体" w:cs="宋体"/>
                <w:i w:val="0"/>
                <w:iCs w:val="0"/>
                <w:color w:val="000000"/>
                <w:kern w:val="0"/>
                <w:sz w:val="20"/>
                <w:szCs w:val="20"/>
                <w:u w:val="none"/>
                <w:lang w:val="en-US" w:eastAsia="zh-CN" w:bidi="ar"/>
              </w:rPr>
              <w:t>1600</w:t>
            </w:r>
            <w:r>
              <w:rPr>
                <w:rFonts w:hint="eastAsia" w:ascii="宋体" w:hAnsi="宋体" w:eastAsia="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护板采用厚度1.5mm不锈钢板材冷弯制作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支架采用50×50×1.5mm不锈钢方管，底部配有万向调节栓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配有动力为0.75KW无级调速器一台并配有不锈钢防护罩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百日草花种子</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种子发芽率需达到90%以上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万寿菊花种子</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种子发芽率需达到90%以上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向日葵花种子</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种子发芽率需达到90%以上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葫芦籽种子</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种子发芽率需达到90%以上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红提葡萄苗</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1.高50cm</w:t>
            </w:r>
            <w:r>
              <w:rPr>
                <w:rFonts w:hint="eastAsia" w:ascii="宋体" w:hAnsi="宋体" w:cs="宋体"/>
                <w:i w:val="0"/>
                <w:iCs w:val="0"/>
                <w:color w:val="000000"/>
                <w:kern w:val="0"/>
                <w:sz w:val="20"/>
                <w:szCs w:val="20"/>
                <w:u w:val="none"/>
                <w:lang w:val="en-US" w:eastAsia="zh-CN" w:bidi="ar"/>
              </w:rPr>
              <w:t>-80cm</w:t>
            </w:r>
            <w:r>
              <w:rPr>
                <w:rFonts w:hint="eastAsia" w:ascii="宋体" w:hAnsi="宋体" w:eastAsia="宋体" w:cs="宋体"/>
                <w:i w:val="0"/>
                <w:iCs w:val="0"/>
                <w:color w:val="000000"/>
                <w:kern w:val="0"/>
                <w:sz w:val="20"/>
                <w:szCs w:val="20"/>
                <w:u w:val="none"/>
                <w:lang w:val="en-US" w:eastAsia="zh-CN" w:bidi="ar"/>
              </w:rPr>
              <w:t>，地径</w:t>
            </w:r>
            <w:r>
              <w:rPr>
                <w:rFonts w:hint="eastAsia" w:ascii="宋体" w:hAnsi="宋体" w:cs="宋体"/>
                <w:i w:val="0"/>
                <w:iCs w:val="0"/>
                <w:color w:val="000000"/>
                <w:kern w:val="0"/>
                <w:sz w:val="20"/>
                <w:szCs w:val="20"/>
                <w:u w:val="none"/>
                <w:lang w:val="en-US" w:eastAsia="zh-CN" w:bidi="ar"/>
              </w:rPr>
              <w:t>0.8cm-</w:t>
            </w:r>
            <w:r>
              <w:rPr>
                <w:rFonts w:hint="eastAsia" w:ascii="宋体" w:hAnsi="宋体" w:eastAsia="宋体" w:cs="宋体"/>
                <w:i w:val="0"/>
                <w:iCs w:val="0"/>
                <w:color w:val="000000"/>
                <w:kern w:val="0"/>
                <w:sz w:val="20"/>
                <w:szCs w:val="20"/>
                <w:u w:val="none"/>
                <w:lang w:val="en-US" w:eastAsia="zh-CN" w:bidi="ar"/>
              </w:rPr>
              <w:t>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2.需在根部打泥浆，修建枝叶后保鲜膜包裹根部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月季苗</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1.株高15cm-20cm，地径</w:t>
            </w:r>
            <w:r>
              <w:rPr>
                <w:rFonts w:hint="eastAsia" w:ascii="宋体" w:hAnsi="宋体" w:cs="宋体"/>
                <w:i w:val="0"/>
                <w:iCs w:val="0"/>
                <w:color w:val="000000"/>
                <w:kern w:val="0"/>
                <w:sz w:val="20"/>
                <w:szCs w:val="20"/>
                <w:u w:val="none"/>
                <w:lang w:val="en-US" w:eastAsia="zh-CN" w:bidi="ar"/>
              </w:rPr>
              <w:t>0.8cm-</w:t>
            </w:r>
            <w:r>
              <w:rPr>
                <w:rFonts w:hint="eastAsia" w:ascii="宋体" w:hAnsi="宋体" w:eastAsia="宋体" w:cs="宋体"/>
                <w:i w:val="0"/>
                <w:iCs w:val="0"/>
                <w:color w:val="000000"/>
                <w:kern w:val="0"/>
                <w:sz w:val="20"/>
                <w:szCs w:val="20"/>
                <w:u w:val="none"/>
                <w:lang w:val="en-US" w:eastAsia="zh-CN" w:bidi="ar"/>
              </w:rPr>
              <w:t>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2.根系必须完整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红叶碧桃</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1.根系带土球4cm</w:t>
            </w:r>
            <w:r>
              <w:rPr>
                <w:rFonts w:hint="eastAsia" w:ascii="宋体" w:hAnsi="宋体" w:cs="宋体"/>
                <w:i w:val="0"/>
                <w:iCs w:val="0"/>
                <w:color w:val="000000"/>
                <w:kern w:val="0"/>
                <w:sz w:val="20"/>
                <w:szCs w:val="20"/>
                <w:u w:val="none"/>
                <w:lang w:val="en-US" w:eastAsia="zh-CN" w:bidi="ar"/>
              </w:rPr>
              <w:t>-5cm</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2.高度1.5m-1.6m去冠，地径4cm</w:t>
            </w:r>
            <w:r>
              <w:rPr>
                <w:rFonts w:hint="eastAsia" w:ascii="宋体" w:hAnsi="宋体" w:cs="宋体"/>
                <w:i w:val="0"/>
                <w:iCs w:val="0"/>
                <w:color w:val="000000"/>
                <w:kern w:val="0"/>
                <w:sz w:val="20"/>
                <w:szCs w:val="20"/>
                <w:u w:val="none"/>
                <w:lang w:val="en-US" w:eastAsia="zh-CN" w:bidi="ar"/>
              </w:rPr>
              <w:t>-5cm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北美海棠</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1.根系带土球4cm</w:t>
            </w:r>
            <w:r>
              <w:rPr>
                <w:rFonts w:hint="eastAsia" w:ascii="宋体" w:hAnsi="宋体" w:cs="宋体"/>
                <w:i w:val="0"/>
                <w:iCs w:val="0"/>
                <w:color w:val="000000"/>
                <w:kern w:val="0"/>
                <w:sz w:val="20"/>
                <w:szCs w:val="20"/>
                <w:u w:val="none"/>
                <w:lang w:val="en-US" w:eastAsia="zh-CN" w:bidi="ar"/>
              </w:rPr>
              <w:t>-5cm</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2.高度1.5m-1.6m去冠，地径4cm</w:t>
            </w:r>
            <w:r>
              <w:rPr>
                <w:rFonts w:hint="eastAsia" w:ascii="宋体" w:hAnsi="宋体" w:cs="宋体"/>
                <w:i w:val="0"/>
                <w:iCs w:val="0"/>
                <w:color w:val="000000"/>
                <w:kern w:val="0"/>
                <w:sz w:val="20"/>
                <w:szCs w:val="20"/>
                <w:u w:val="none"/>
                <w:lang w:val="en-US" w:eastAsia="zh-CN" w:bidi="ar"/>
              </w:rPr>
              <w:t>-5cm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1.根系带土球</w:t>
            </w:r>
            <w:r>
              <w:rPr>
                <w:rFonts w:hint="eastAsia" w:ascii="宋体" w:hAnsi="宋体" w:cs="宋体"/>
                <w:i w:val="0"/>
                <w:iCs w:val="0"/>
                <w:color w:val="000000"/>
                <w:kern w:val="0"/>
                <w:sz w:val="20"/>
                <w:szCs w:val="20"/>
                <w:u w:val="none"/>
                <w:lang w:val="en-US" w:eastAsia="zh-CN" w:bidi="ar"/>
              </w:rPr>
              <w:t>40cm-</w:t>
            </w:r>
            <w:r>
              <w:rPr>
                <w:rFonts w:hint="eastAsia" w:ascii="宋体" w:hAnsi="宋体" w:eastAsia="宋体" w:cs="宋体"/>
                <w:i w:val="0"/>
                <w:iCs w:val="0"/>
                <w:color w:val="000000"/>
                <w:kern w:val="0"/>
                <w:sz w:val="20"/>
                <w:szCs w:val="20"/>
                <w:u w:val="none"/>
                <w:lang w:val="en-US" w:eastAsia="zh-CN" w:bidi="ar"/>
              </w:rPr>
              <w:t>50cm,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2.高度2.7m-2.8m去杆，胸径8cm-10cm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变压器</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干式变压器、容量：160KVA，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1.规格：30-2500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2.额定电压：10-0.4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 xml:space="preserve">.额定容量：160kva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.负载耗损：1380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 xml:space="preserve">.阻抗电压：4%                            </w:t>
            </w:r>
            <w:r>
              <w:rPr>
                <w:rFonts w:hint="eastAsia" w:ascii="宋体" w:hAnsi="宋体" w:eastAsia="宋体" w:cs="宋体"/>
                <w:i w:val="0"/>
                <w:iCs w:val="0"/>
                <w:color w:val="000000"/>
                <w:kern w:val="0"/>
                <w:sz w:val="20"/>
                <w:szCs w:val="20"/>
                <w:u w:val="none"/>
                <w:lang w:val="en-US" w:eastAsia="zh-CN" w:bidi="ar"/>
              </w:rPr>
              <w:br w:type="textWrapping"/>
            </w:r>
            <w:r>
              <w:rPr>
                <w:rStyle w:val="28"/>
                <w:rFonts w:hint="eastAsia"/>
                <w:color w:val="auto"/>
                <w:lang w:val="en-US" w:eastAsia="zh-CN" w:bidi="ar"/>
              </w:rPr>
              <w:t>6</w:t>
            </w:r>
            <w:r>
              <w:rPr>
                <w:rStyle w:val="29"/>
                <w:lang w:val="en-US" w:eastAsia="zh-CN" w:bidi="ar"/>
              </w:rPr>
              <w:t>.质保期限：2年</w:t>
            </w:r>
            <w:r>
              <w:rPr>
                <w:rStyle w:val="29"/>
                <w:lang w:val="en-US" w:eastAsia="zh-CN" w:bidi="ar"/>
              </w:rPr>
              <w:br w:type="textWrapping"/>
            </w:r>
            <w:r>
              <w:rPr>
                <w:rStyle w:val="29"/>
                <w:rFonts w:hint="eastAsia"/>
                <w:lang w:val="en-US" w:eastAsia="zh-CN" w:bidi="ar"/>
              </w:rPr>
              <w:t>7</w:t>
            </w:r>
            <w:r>
              <w:rPr>
                <w:rStyle w:val="29"/>
                <w:lang w:val="en-US" w:eastAsia="zh-CN" w:bidi="ar"/>
              </w:rPr>
              <w:t xml:space="preserve">.含运费、安装、税费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双联杆路灯</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1.12米路灯杆主杆采用80*120方管，壁厚3.0，主灯臂长1.6米，副灯臂长1.2米，灯箱尺寸300*300*1200，法兰尺寸380*380*20。配Led模组压铸铝壳灯头200瓦和150瓦，电源东陵驱动，色温6000K，灯臂参数：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①臂长L=1m  灯具安装仰角：10°。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2.挑臂采用60管，钢板厚度为2.5mm。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3.挑臂内外表面均需热镀锌处理后喷防紫外线塑层装饰，要求表面光洁圆滑，无针孔蜂窝、无流挂、无剥落现象。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2.灯头LED200W灯头LED150WLED灯具参数：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①.截光型，灯具采用 LED模组，单驱动电源，灯具外壳采用高强度合金灯身，表面要求光洁圆滑、无针孔蜂窝。灯具需密封部位必须使用耐高温、抗老化的硅胶防护圈。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②防护等级：IP68。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③.整灯光效：120Lm/w。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④.色温：3500K-6500K。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⑤显色指数Ra≥70。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⑥功率因数：0.95。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⑦光源平均寿命：50000h。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⑧工作电压：AC 220V 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⑨.质保期限：5年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⑩.含运费、安装、税费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太阳能灯拆旧翻新</w:t>
            </w:r>
          </w:p>
        </w:tc>
        <w:tc>
          <w:tcPr>
            <w:tcW w:w="4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1、单臂路灯：拆除（含基础）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2、单臂路灯：翻新、预埋件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3、太阳能路灯灯头：含路灯灯头LED</w:t>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0W及电路配件3</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V太阳板、光控系统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nil"/>
              <w:right w:val="nil"/>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gridSpan w:val="7"/>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以上所购设备质保2年，两年之内因机器自生故障，中标方负责免费维修、跟换，如人为原因及易损件除外，两年之后机器设备出现故障，支付相关人员配件及成本费用。</w:t>
            </w:r>
          </w:p>
        </w:tc>
        <w:tc>
          <w:tcPr>
            <w:tcW w:w="0" w:type="auto"/>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r>
    </w:tbl>
    <w:p>
      <w:pPr>
        <w:tabs>
          <w:tab w:val="left" w:pos="3780"/>
        </w:tabs>
        <w:topLinePunct/>
        <w:adjustRightInd w:val="0"/>
        <w:snapToGrid w:val="0"/>
        <w:spacing w:line="360" w:lineRule="auto"/>
        <w:jc w:val="both"/>
        <w:outlineLvl w:val="0"/>
        <w:rPr>
          <w:rFonts w:hint="eastAsia" w:ascii="宋体" w:hAnsi="宋体" w:cs="宋体"/>
          <w:b/>
          <w:bCs/>
          <w:color w:val="000000" w:themeColor="text1"/>
          <w:sz w:val="24"/>
          <w:highlight w:val="none"/>
          <w:lang w:eastAsia="zh-CN"/>
          <w14:textFill>
            <w14:solidFill>
              <w14:schemeClr w14:val="tx1"/>
            </w14:solidFill>
          </w14:textFill>
        </w:rPr>
      </w:pPr>
    </w:p>
    <w:p>
      <w:pPr>
        <w:rPr>
          <w:rFonts w:hint="eastAsia" w:ascii="宋体" w:hAnsi="宋体" w:cs="宋体"/>
          <w:b/>
          <w:bCs/>
          <w:color w:val="000000" w:themeColor="text1"/>
          <w:sz w:val="32"/>
          <w:szCs w:val="32"/>
          <w:highlight w:val="none"/>
          <w14:textFill>
            <w14:solidFill>
              <w14:schemeClr w14:val="tx1"/>
            </w14:solidFill>
          </w14:textFill>
        </w:rPr>
      </w:pPr>
    </w:p>
    <w:p>
      <w:pPr>
        <w:pStyle w:val="2"/>
        <w:rPr>
          <w:rFonts w:hint="eastAsia" w:ascii="宋体" w:hAnsi="宋体" w:cs="宋体"/>
          <w:b/>
          <w:bCs/>
          <w:color w:val="000000" w:themeColor="text1"/>
          <w:sz w:val="32"/>
          <w:szCs w:val="32"/>
          <w:highlight w:val="none"/>
          <w14:textFill>
            <w14:solidFill>
              <w14:schemeClr w14:val="tx1"/>
            </w14:solidFill>
          </w14:textFill>
        </w:rPr>
      </w:pPr>
    </w:p>
    <w:p>
      <w:pPr>
        <w:pStyle w:val="2"/>
        <w:rPr>
          <w:rFonts w:hint="eastAsia" w:ascii="宋体" w:hAnsi="宋体" w:cs="宋体"/>
          <w:b/>
          <w:bCs/>
          <w:color w:val="000000" w:themeColor="text1"/>
          <w:sz w:val="32"/>
          <w:szCs w:val="32"/>
          <w:highlight w:val="none"/>
          <w14:textFill>
            <w14:solidFill>
              <w14:schemeClr w14:val="tx1"/>
            </w14:solidFill>
          </w14:textFill>
        </w:rPr>
      </w:pPr>
    </w:p>
    <w:p>
      <w:pPr>
        <w:pStyle w:val="2"/>
        <w:rPr>
          <w:rFonts w:hint="eastAsia" w:ascii="宋体" w:hAnsi="宋体" w:cs="宋体"/>
          <w:b/>
          <w:bCs/>
          <w:color w:val="000000" w:themeColor="text1"/>
          <w:sz w:val="32"/>
          <w:szCs w:val="32"/>
          <w:highlight w:val="none"/>
          <w14:textFill>
            <w14:solidFill>
              <w14:schemeClr w14:val="tx1"/>
            </w14:solidFill>
          </w14:textFill>
        </w:rPr>
      </w:pPr>
    </w:p>
    <w:p>
      <w:pPr>
        <w:numPr>
          <w:ilvl w:val="0"/>
          <w:numId w:val="5"/>
        </w:numPr>
        <w:tabs>
          <w:tab w:val="left" w:pos="3780"/>
        </w:tabs>
        <w:topLinePunct/>
        <w:adjustRightInd w:val="0"/>
        <w:snapToGrid w:val="0"/>
        <w:spacing w:line="360" w:lineRule="auto"/>
        <w:ind w:left="0" w:leftChars="0" w:firstLine="0" w:firstLineChars="0"/>
        <w:jc w:val="center"/>
        <w:outlineLvl w:val="0"/>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投标文件格式</w:t>
      </w:r>
      <w:bookmarkEnd w:id="41"/>
      <w:bookmarkEnd w:id="42"/>
      <w:bookmarkEnd w:id="43"/>
      <w:bookmarkEnd w:id="44"/>
      <w:bookmarkEnd w:id="45"/>
    </w:p>
    <w:p>
      <w:pPr>
        <w:pStyle w:val="8"/>
        <w:numPr>
          <w:ilvl w:val="0"/>
          <w:numId w:val="0"/>
        </w:numPr>
        <w:ind w:leftChars="0"/>
        <w:rPr>
          <w:rFonts w:hint="eastAsia"/>
          <w:color w:val="000000" w:themeColor="text1"/>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（项目名称）</w:t>
      </w: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  标  文  件</w:t>
      </w: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（盖单位章）</w:t>
      </w:r>
    </w:p>
    <w:p>
      <w:pPr>
        <w:adjustRightInd w:val="0"/>
        <w:snapToGrid w:val="0"/>
        <w:spacing w:line="360" w:lineRule="auto"/>
        <w:jc w:val="center"/>
        <w:rPr>
          <w:rFonts w:hint="eastAsia" w:ascii="宋体" w:hAnsi="宋体" w:cs="宋体"/>
          <w:color w:val="000000" w:themeColor="text1"/>
          <w:sz w:val="24"/>
          <w:highlight w:val="none"/>
          <w:u w:val="single"/>
          <w14:textFill>
            <w14:solidFill>
              <w14:schemeClr w14:val="tx1"/>
            </w14:solidFill>
          </w14:textFill>
        </w:rPr>
      </w:pPr>
    </w:p>
    <w:p>
      <w:pPr>
        <w:adjustRightInd w:val="0"/>
        <w:snapToGrid w:val="0"/>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法定代表人或其委托代理人：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（签章）</w:t>
      </w: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目录</w:t>
      </w:r>
    </w:p>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投标人自行编制</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1、投标函及投标报价表</w:t>
      </w:r>
    </w:p>
    <w:p>
      <w:pPr>
        <w:spacing w:line="360" w:lineRule="auto"/>
        <w:jc w:val="center"/>
        <w:outlineLvl w:val="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 标 函</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（招标人名称）：</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我们收到你们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号招标文件，经认真研究，我们决定参加投标。</w:t>
      </w:r>
    </w:p>
    <w:p>
      <w:pPr>
        <w:spacing w:line="360" w:lineRule="auto"/>
        <w:ind w:firstLine="567"/>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⒈按照招标文件中的一切要求，提供招标货物、安装及技术服务投标总价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元（用阿拉伯数字书写）人民币，明细见投标产品名称数量报价表。</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⒉如果我们的投标书被接受，我们将履行招标文件中规定的每一项要求，按期、按质、按量完成交货和完工任务。</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⒊我们同意按招标文件的规定，本投标书的有效期为开标后</w:t>
      </w:r>
      <w:r>
        <w:rPr>
          <w:rFonts w:hint="eastAsia" w:ascii="宋体" w:hAnsi="宋体" w:cs="宋体"/>
          <w:color w:val="000000" w:themeColor="text1"/>
          <w:sz w:val="24"/>
          <w:highlight w:val="none"/>
          <w:u w:val="single"/>
          <w14:textFill>
            <w14:solidFill>
              <w14:schemeClr w14:val="tx1"/>
            </w14:solidFill>
          </w14:textFill>
        </w:rPr>
        <w:t>60</w:t>
      </w:r>
      <w:r>
        <w:rPr>
          <w:rFonts w:hint="eastAsia" w:ascii="宋体" w:hAnsi="宋体" w:cs="宋体"/>
          <w:color w:val="000000" w:themeColor="text1"/>
          <w:sz w:val="24"/>
          <w:highlight w:val="none"/>
          <w14:textFill>
            <w14:solidFill>
              <w14:schemeClr w14:val="tx1"/>
            </w14:solidFill>
          </w14:textFill>
        </w:rPr>
        <w:t xml:space="preserve"> 天。</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⒋我们愿意提供采购人在招标文件中要求的所有资料。</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⒌我们认为你们有选择或拒绝任何投标者中标的权力。我们理解，最低报价不是中标的唯一条件。</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⒍我们愿按合同法履行自己的全部责任。</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⒎我方愿意遵守国家有关规定及招标文件中规定的收费标准，承付中标服务费。</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⒏该项投标在开标后的全过程中保持有效，不作任何更改和变动。</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⒐我们同意按招标文件规定，交纳</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元的投标保证金。并同意在确定最终中标人、发出中标通知书之后5个工作日内退还我公司的投标保证金。（如因特殊原因，在投标有效期之后确定中标人，本承诺依然有效。）</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.所有有关本标书的函电，请按下列地址联系：</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       位：</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 政 编 码：</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  系  人：</w:t>
      </w:r>
    </w:p>
    <w:p>
      <w:pPr>
        <w:spacing w:line="360" w:lineRule="auto"/>
        <w:ind w:firstLine="43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（公章）</w:t>
      </w:r>
    </w:p>
    <w:p>
      <w:pPr>
        <w:spacing w:line="360" w:lineRule="auto"/>
        <w:ind w:firstLine="3133" w:firstLineChars="13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法定代表人或其委托代理人：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（签章）</w:t>
      </w:r>
    </w:p>
    <w:p>
      <w:pPr>
        <w:spacing w:line="360" w:lineRule="auto"/>
        <w:jc w:val="righ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日 </w:t>
      </w:r>
    </w:p>
    <w:p>
      <w:pPr>
        <w:pStyle w:val="2"/>
        <w:rPr>
          <w:rFonts w:hint="eastAsia" w:ascii="宋体" w:hAnsi="宋体" w:cs="宋体"/>
          <w:bCs/>
          <w:color w:val="000000" w:themeColor="text1"/>
          <w:sz w:val="24"/>
          <w:highlight w:val="none"/>
          <w14:textFill>
            <w14:solidFill>
              <w14:schemeClr w14:val="tx1"/>
            </w14:solidFill>
          </w14:textFill>
        </w:rPr>
      </w:pPr>
    </w:p>
    <w:p>
      <w:pPr>
        <w:spacing w:line="360" w:lineRule="auto"/>
        <w:jc w:val="center"/>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（二）、法定代表人身份证明</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单位性质：</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成立时间：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日</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经营期限：</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    名：</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性别：</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职务：</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（投标人名称）的法定代表人。</w:t>
      </w:r>
    </w:p>
    <w:p>
      <w:pPr>
        <w:spacing w:line="360" w:lineRule="auto"/>
        <w:ind w:firstLine="964"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特此证明。</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注：后附法定代表人身份证复印件</w:t>
      </w:r>
    </w:p>
    <w:p>
      <w:pPr>
        <w:spacing w:line="360" w:lineRule="auto"/>
        <w:rPr>
          <w:rFonts w:hint="eastAsia" w:ascii="宋体" w:hAnsi="宋体" w:cs="宋体"/>
          <w:color w:val="000000" w:themeColor="text1"/>
          <w:sz w:val="24"/>
          <w:highlight w:val="none"/>
          <w14:textFill>
            <w14:solidFill>
              <w14:schemeClr w14:val="tx1"/>
            </w14:solidFill>
          </w14:textFill>
        </w:rPr>
      </w:pPr>
    </w:p>
    <w:p>
      <w:pPr>
        <w:spacing w:line="360" w:lineRule="auto"/>
        <w:rPr>
          <w:rFonts w:hint="eastAsia" w:ascii="宋体" w:hAnsi="宋体" w:cs="宋体"/>
          <w:color w:val="000000" w:themeColor="text1"/>
          <w:sz w:val="24"/>
          <w:highlight w:val="none"/>
          <w14:textFill>
            <w14:solidFill>
              <w14:schemeClr w14:val="tx1"/>
            </w14:solidFill>
          </w14:textFill>
        </w:rPr>
      </w:pP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投标人：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（盖单位章）</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法定代表或委托代理人：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（签章）</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日 </w:t>
      </w:r>
    </w:p>
    <w:p>
      <w:pPr>
        <w:pStyle w:val="2"/>
        <w:rPr>
          <w:rFonts w:hint="eastAsia" w:ascii="宋体" w:hAnsi="宋体" w:cs="宋体"/>
          <w:color w:val="000000" w:themeColor="text1"/>
          <w:sz w:val="24"/>
          <w:highlight w:val="none"/>
          <w14:textFill>
            <w14:solidFill>
              <w14:schemeClr w14:val="tx1"/>
            </w14:solidFill>
          </w14:textFill>
        </w:rPr>
      </w:pPr>
    </w:p>
    <w:p>
      <w:pPr>
        <w:pStyle w:val="2"/>
        <w:rPr>
          <w:rFonts w:hint="eastAsia" w:ascii="宋体" w:hAnsi="宋体" w:cs="宋体"/>
          <w:color w:val="000000" w:themeColor="text1"/>
          <w:sz w:val="24"/>
          <w:highlight w:val="none"/>
          <w14:textFill>
            <w14:solidFill>
              <w14:schemeClr w14:val="tx1"/>
            </w14:solidFill>
          </w14:textFill>
        </w:rPr>
      </w:pPr>
    </w:p>
    <w:p>
      <w:pPr>
        <w:pStyle w:val="2"/>
        <w:rPr>
          <w:rFonts w:hint="eastAsia" w:ascii="宋体" w:hAnsi="宋体" w:cs="宋体"/>
          <w:color w:val="000000" w:themeColor="text1"/>
          <w:sz w:val="24"/>
          <w:highlight w:val="none"/>
          <w14:textFill>
            <w14:solidFill>
              <w14:schemeClr w14:val="tx1"/>
            </w14:solidFill>
          </w14:textFill>
        </w:rPr>
      </w:pPr>
    </w:p>
    <w:p>
      <w:pPr>
        <w:pStyle w:val="2"/>
        <w:rPr>
          <w:rFonts w:hint="eastAsia" w:ascii="宋体" w:hAnsi="宋体" w:cs="宋体"/>
          <w:color w:val="000000" w:themeColor="text1"/>
          <w:sz w:val="24"/>
          <w:highlight w:val="none"/>
          <w14:textFill>
            <w14:solidFill>
              <w14:schemeClr w14:val="tx1"/>
            </w14:solidFill>
          </w14:textFill>
        </w:rPr>
      </w:pPr>
    </w:p>
    <w:p>
      <w:pPr>
        <w:pStyle w:val="2"/>
        <w:rPr>
          <w:rFonts w:hint="eastAsia" w:ascii="宋体" w:hAnsi="宋体" w:cs="宋体"/>
          <w:color w:val="000000" w:themeColor="text1"/>
          <w:sz w:val="24"/>
          <w:highlight w:val="none"/>
          <w14:textFill>
            <w14:solidFill>
              <w14:schemeClr w14:val="tx1"/>
            </w14:solidFill>
          </w14:textFill>
        </w:rPr>
      </w:pPr>
    </w:p>
    <w:p>
      <w:pPr>
        <w:pStyle w:val="2"/>
        <w:rPr>
          <w:rFonts w:hint="eastAsia" w:ascii="宋体" w:hAnsi="宋体" w:cs="宋体"/>
          <w:color w:val="000000" w:themeColor="text1"/>
          <w:sz w:val="24"/>
          <w:highlight w:val="none"/>
          <w14:textFill>
            <w14:solidFill>
              <w14:schemeClr w14:val="tx1"/>
            </w14:solidFill>
          </w14:textFill>
        </w:rPr>
      </w:pPr>
    </w:p>
    <w:p>
      <w:pPr>
        <w:pStyle w:val="2"/>
        <w:rPr>
          <w:rFonts w:hint="eastAsia" w:ascii="宋体" w:hAnsi="宋体" w:cs="宋体"/>
          <w:color w:val="000000" w:themeColor="text1"/>
          <w:sz w:val="24"/>
          <w:highlight w:val="none"/>
          <w14:textFill>
            <w14:solidFill>
              <w14:schemeClr w14:val="tx1"/>
            </w14:solidFill>
          </w14:textFill>
        </w:rPr>
      </w:pPr>
    </w:p>
    <w:p>
      <w:pPr>
        <w:pStyle w:val="2"/>
        <w:rPr>
          <w:rFonts w:hint="eastAsia" w:ascii="宋体" w:hAnsi="宋体" w:cs="宋体"/>
          <w:color w:val="000000" w:themeColor="text1"/>
          <w:sz w:val="24"/>
          <w:highlight w:val="none"/>
          <w14:textFill>
            <w14:solidFill>
              <w14:schemeClr w14:val="tx1"/>
            </w14:solidFill>
          </w14:textFill>
        </w:rPr>
      </w:pPr>
    </w:p>
    <w:p>
      <w:pPr>
        <w:pStyle w:val="2"/>
        <w:rPr>
          <w:rFonts w:hint="eastAsia" w:ascii="宋体" w:hAnsi="宋体" w:cs="宋体"/>
          <w:color w:val="000000" w:themeColor="text1"/>
          <w:sz w:val="24"/>
          <w:highlight w:val="none"/>
          <w14:textFill>
            <w14:solidFill>
              <w14:schemeClr w14:val="tx1"/>
            </w14:solidFill>
          </w14:textFill>
        </w:rPr>
      </w:pPr>
    </w:p>
    <w:p>
      <w:pPr>
        <w:pStyle w:val="2"/>
        <w:rPr>
          <w:rFonts w:hint="eastAsia" w:ascii="宋体" w:hAnsi="宋体" w:cs="宋体"/>
          <w:color w:val="000000" w:themeColor="text1"/>
          <w:sz w:val="24"/>
          <w:highlight w:val="none"/>
          <w14:textFill>
            <w14:solidFill>
              <w14:schemeClr w14:val="tx1"/>
            </w14:solidFill>
          </w14:textFill>
        </w:rPr>
      </w:pPr>
    </w:p>
    <w:p>
      <w:pPr>
        <w:pStyle w:val="2"/>
        <w:rPr>
          <w:rFonts w:hint="eastAsia" w:ascii="宋体" w:hAnsi="宋体" w:cs="宋体"/>
          <w:color w:val="000000" w:themeColor="text1"/>
          <w:sz w:val="24"/>
          <w:highlight w:val="none"/>
          <w14:textFill>
            <w14:solidFill>
              <w14:schemeClr w14:val="tx1"/>
            </w14:solidFill>
          </w14:textFill>
        </w:rPr>
      </w:pPr>
    </w:p>
    <w:p>
      <w:pPr>
        <w:pStyle w:val="2"/>
        <w:rPr>
          <w:rFonts w:hint="eastAsia" w:ascii="宋体" w:hAnsi="宋体" w:cs="宋体"/>
          <w:color w:val="000000" w:themeColor="text1"/>
          <w:sz w:val="24"/>
          <w:highlight w:val="none"/>
          <w14:textFill>
            <w14:solidFill>
              <w14:schemeClr w14:val="tx1"/>
            </w14:solidFill>
          </w14:textFill>
        </w:rPr>
      </w:pPr>
    </w:p>
    <w:p>
      <w:pPr>
        <w:pStyle w:val="2"/>
        <w:rPr>
          <w:rFonts w:hint="eastAsia" w:ascii="宋体" w:hAnsi="宋体" w:cs="宋体"/>
          <w:color w:val="000000" w:themeColor="text1"/>
          <w:sz w:val="24"/>
          <w:highlight w:val="none"/>
          <w14:textFill>
            <w14:solidFill>
              <w14:schemeClr w14:val="tx1"/>
            </w14:solidFill>
          </w14:textFill>
        </w:rPr>
      </w:pPr>
    </w:p>
    <w:p>
      <w:pPr>
        <w:pStyle w:val="2"/>
        <w:rPr>
          <w:rFonts w:hint="eastAsia" w:ascii="宋体" w:hAnsi="宋体" w:cs="宋体"/>
          <w:color w:val="000000" w:themeColor="text1"/>
          <w:sz w:val="24"/>
          <w:highlight w:val="none"/>
          <w14:textFill>
            <w14:solidFill>
              <w14:schemeClr w14:val="tx1"/>
            </w14:solidFill>
          </w14:textFill>
        </w:rPr>
      </w:pPr>
    </w:p>
    <w:p>
      <w:pPr>
        <w:pStyle w:val="2"/>
        <w:rPr>
          <w:rFonts w:hint="eastAsia" w:ascii="宋体" w:hAnsi="宋体" w:cs="宋体"/>
          <w:color w:val="000000" w:themeColor="text1"/>
          <w:sz w:val="24"/>
          <w:highlight w:val="none"/>
          <w14:textFill>
            <w14:solidFill>
              <w14:schemeClr w14:val="tx1"/>
            </w14:solidFill>
          </w14:textFill>
        </w:rPr>
      </w:pPr>
    </w:p>
    <w:p>
      <w:pPr>
        <w:pStyle w:val="2"/>
        <w:rPr>
          <w:rFonts w:hint="eastAsia" w:ascii="宋体" w:hAnsi="宋体" w:cs="宋体"/>
          <w:color w:val="000000" w:themeColor="text1"/>
          <w:sz w:val="24"/>
          <w:highlight w:val="none"/>
          <w14:textFill>
            <w14:solidFill>
              <w14:schemeClr w14:val="tx1"/>
            </w14:solidFill>
          </w14:textFill>
        </w:rPr>
      </w:pPr>
    </w:p>
    <w:p>
      <w:pPr>
        <w:spacing w:line="360" w:lineRule="auto"/>
        <w:rPr>
          <w:rFonts w:hint="eastAsia" w:ascii="宋体" w:hAnsi="宋体" w:cs="宋体"/>
          <w:color w:val="000000" w:themeColor="text1"/>
          <w:sz w:val="24"/>
          <w:highlight w:val="none"/>
          <w14:textFill>
            <w14:solidFill>
              <w14:schemeClr w14:val="tx1"/>
            </w14:solidFill>
          </w14:textFill>
        </w:rPr>
      </w:pPr>
    </w:p>
    <w:p>
      <w:pPr>
        <w:spacing w:line="360" w:lineRule="auto"/>
        <w:jc w:val="center"/>
        <w:outlineLvl w:val="1"/>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（三）、法定代表人的授权委托书</w:t>
      </w:r>
    </w:p>
    <w:p>
      <w:pPr>
        <w:spacing w:line="360" w:lineRule="auto"/>
        <w:rPr>
          <w:rFonts w:hint="eastAsia" w:ascii="宋体" w:hAnsi="宋体" w:cs="宋体"/>
          <w:color w:val="000000" w:themeColor="text1"/>
          <w:sz w:val="24"/>
          <w:highlight w:val="none"/>
          <w14:textFill>
            <w14:solidFill>
              <w14:schemeClr w14:val="tx1"/>
            </w14:solidFill>
          </w14:textFill>
        </w:rPr>
      </w:pPr>
    </w:p>
    <w:p>
      <w:pPr>
        <w:topLinePunct/>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（投标人名称）的法定代表人，现委托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（姓名）为我方代理人。代理人根据授权，以我方名义签署、澄清、说明、补正、递交、撤回、修改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标段投标文件、签订合同和处理有关事宜，其法律后果由我方承担。</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委托期限：</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代理人无转委托权。</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附：法定代表人身份证明、委托代理人身份证复印件</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（盖单位章）</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（签字）</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身份证号码：</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（签字）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身份证号码：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spacing w:line="360" w:lineRule="auto"/>
        <w:jc w:val="center"/>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center"/>
        <w:outlineLvl w:val="1"/>
        <w:rPr>
          <w:rFonts w:hint="eastAsia" w:ascii="宋体" w:hAnsi="宋体" w:eastAsia="宋体" w:cs="宋体"/>
          <w:b/>
          <w:color w:val="000000" w:themeColor="text1"/>
          <w:sz w:val="24"/>
          <w:highlight w:val="none"/>
          <w:lang w:eastAsia="zh-CN"/>
          <w14:textFill>
            <w14:solidFill>
              <w14:schemeClr w14:val="tx1"/>
            </w14:solidFill>
          </w14:textFill>
        </w:rPr>
        <w:sectPr>
          <w:footerReference r:id="rId9" w:type="first"/>
          <w:footerReference r:id="rId8" w:type="default"/>
          <w:pgSz w:w="11849" w:h="16781"/>
          <w:pgMar w:top="1440" w:right="1080" w:bottom="1440" w:left="1080" w:header="851" w:footer="850" w:gutter="0"/>
          <w:cols w:space="720" w:num="1"/>
          <w:formProt w:val="1"/>
          <w:titlePg/>
          <w:docGrid w:type="linesAndChars" w:linePitch="320" w:charSpace="269"/>
        </w:sectPr>
      </w:pPr>
      <w:r>
        <w:rPr>
          <w:rFonts w:hint="eastAsia" w:ascii="宋体" w:hAnsi="宋体" w:cs="宋体"/>
          <w:b/>
          <w:color w:val="000000" w:themeColor="text1"/>
          <w:sz w:val="24"/>
          <w:highlight w:val="none"/>
          <w14:textFill>
            <w14:solidFill>
              <w14:schemeClr w14:val="tx1"/>
            </w14:solidFill>
          </w14:textFill>
        </w:rPr>
        <w:t>（四）、投标保证金</w:t>
      </w:r>
      <w:r>
        <w:rPr>
          <w:rFonts w:hint="eastAsia" w:ascii="宋体" w:hAnsi="宋体" w:cs="宋体"/>
          <w:b/>
          <w:color w:val="000000" w:themeColor="text1"/>
          <w:sz w:val="24"/>
          <w:highlight w:val="none"/>
          <w:lang w:eastAsia="zh-CN"/>
          <w14:textFill>
            <w14:solidFill>
              <w14:schemeClr w14:val="tx1"/>
            </w14:solidFill>
          </w14:textFill>
        </w:rPr>
        <w:t>（应附开户信息、投标保证金凭证）</w:t>
      </w:r>
    </w:p>
    <w:p>
      <w:pPr>
        <w:tabs>
          <w:tab w:val="center" w:pos="7115"/>
          <w:tab w:val="right" w:pos="14230"/>
        </w:tabs>
        <w:spacing w:line="360" w:lineRule="auto"/>
        <w:jc w:val="center"/>
        <w:outlineLvl w:val="1"/>
        <w:rPr>
          <w:rFonts w:hint="eastAsia" w:ascii="仿宋_GB2312" w:hAnsi="Dotum" w:eastAsia="仿宋_GB2312"/>
          <w:b/>
          <w:color w:val="000000" w:themeColor="text1"/>
          <w:sz w:val="28"/>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(五)开标一览表</w:t>
      </w:r>
      <w:r>
        <w:rPr>
          <w:rFonts w:hint="eastAsia" w:ascii="仿宋_GB2312" w:hAnsi="Dotum" w:eastAsia="仿宋_GB2312"/>
          <w:b/>
          <w:color w:val="000000" w:themeColor="text1"/>
          <w:sz w:val="28"/>
          <w:highlight w:val="none"/>
          <w14:textFill>
            <w14:solidFill>
              <w14:schemeClr w14:val="tx1"/>
            </w14:solidFill>
          </w14:textFill>
        </w:rPr>
        <w:t xml:space="preserve">  </w:t>
      </w:r>
      <w:r>
        <w:rPr>
          <w:rFonts w:hint="eastAsia" w:ascii="仿宋_GB2312" w:hAnsi="Dotum" w:eastAsia="仿宋_GB2312"/>
          <w:color w:val="000000" w:themeColor="text1"/>
          <w:sz w:val="28"/>
          <w:highlight w:val="none"/>
          <w14:textFill>
            <w14:solidFill>
              <w14:schemeClr w14:val="tx1"/>
            </w14:solidFill>
          </w14:textFill>
        </w:rPr>
        <w:t xml:space="preserve">                                                                            </w:t>
      </w:r>
    </w:p>
    <w:p>
      <w:pPr>
        <w:spacing w:line="360" w:lineRule="auto"/>
        <w:ind w:left="121" w:hanging="120" w:hangingChars="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项目名称：                                             </w:t>
      </w:r>
    </w:p>
    <w:p>
      <w:pPr>
        <w:spacing w:line="360" w:lineRule="auto"/>
        <w:ind w:left="121" w:hanging="120" w:hangingChars="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p>
    <w:tbl>
      <w:tblPr>
        <w:tblStyle w:val="15"/>
        <w:tblW w:w="14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95"/>
        <w:gridCol w:w="4426"/>
        <w:gridCol w:w="2799"/>
        <w:gridCol w:w="4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27" w:hRule="exact"/>
          <w:jc w:val="center"/>
        </w:trPr>
        <w:tc>
          <w:tcPr>
            <w:tcW w:w="3195" w:type="dxa"/>
            <w:tcBorders>
              <w:bottom w:val="single" w:color="auto" w:sz="4" w:space="0"/>
            </w:tcBorders>
            <w:noWrap w:val="0"/>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项目名称</w:t>
            </w:r>
          </w:p>
        </w:tc>
        <w:tc>
          <w:tcPr>
            <w:tcW w:w="4426" w:type="dxa"/>
            <w:tcBorders>
              <w:bottom w:val="single" w:color="auto" w:sz="4" w:space="0"/>
            </w:tcBorders>
            <w:noWrap w:val="0"/>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投标报价（元）</w:t>
            </w:r>
          </w:p>
        </w:tc>
        <w:tc>
          <w:tcPr>
            <w:tcW w:w="2799" w:type="dxa"/>
            <w:tcBorders>
              <w:bottom w:val="single" w:color="auto" w:sz="4" w:space="0"/>
            </w:tcBorders>
            <w:noWrap w:val="0"/>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供货时间</w:t>
            </w:r>
          </w:p>
        </w:tc>
        <w:tc>
          <w:tcPr>
            <w:tcW w:w="4237" w:type="dxa"/>
            <w:tcBorders>
              <w:bottom w:val="single" w:color="auto" w:sz="4"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77" w:hRule="atLeast"/>
          <w:jc w:val="center"/>
        </w:trPr>
        <w:tc>
          <w:tcPr>
            <w:tcW w:w="3195" w:type="dxa"/>
            <w:tcBorders>
              <w:bottom w:val="single" w:color="auto" w:sz="4" w:space="0"/>
            </w:tcBorders>
            <w:noWrap w:val="0"/>
            <w:vAlign w:val="center"/>
          </w:tcPr>
          <w:p>
            <w:pPr>
              <w:pStyle w:val="22"/>
              <w:spacing w:line="360" w:lineRule="auto"/>
              <w:ind w:firstLine="0" w:firstLineChars="0"/>
              <w:jc w:val="center"/>
              <w:rPr>
                <w:rFonts w:hint="eastAsia" w:ascii="宋体" w:hAnsi="宋体" w:eastAsia="宋体" w:cs="宋体"/>
                <w:color w:val="000000" w:themeColor="text1"/>
                <w:sz w:val="24"/>
                <w:highlight w:val="none"/>
                <w14:textFill>
                  <w14:solidFill>
                    <w14:schemeClr w14:val="tx1"/>
                  </w14:solidFill>
                </w14:textFill>
              </w:rPr>
            </w:pPr>
          </w:p>
        </w:tc>
        <w:tc>
          <w:tcPr>
            <w:tcW w:w="4426" w:type="dxa"/>
            <w:tcBorders>
              <w:bottom w:val="single" w:color="auto" w:sz="4" w:space="0"/>
            </w:tcBorders>
            <w:noWrap w:val="0"/>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p>
        </w:tc>
        <w:tc>
          <w:tcPr>
            <w:tcW w:w="2799" w:type="dxa"/>
            <w:tcBorders>
              <w:bottom w:val="single" w:color="auto" w:sz="4"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237" w:type="dxa"/>
            <w:tcBorders>
              <w:bottom w:val="single" w:color="auto" w:sz="4"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9" w:hRule="exact"/>
          <w:jc w:val="center"/>
        </w:trPr>
        <w:tc>
          <w:tcPr>
            <w:tcW w:w="3195" w:type="dxa"/>
            <w:vMerge w:val="restart"/>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投标总报价</w:t>
            </w:r>
          </w:p>
        </w:tc>
        <w:tc>
          <w:tcPr>
            <w:tcW w:w="11462" w:type="dxa"/>
            <w:gridSpan w:val="3"/>
            <w:noWrap w:val="0"/>
            <w:vAlign w:val="center"/>
          </w:tcPr>
          <w:p>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9" w:hRule="exact"/>
          <w:jc w:val="center"/>
        </w:trPr>
        <w:tc>
          <w:tcPr>
            <w:tcW w:w="3195" w:type="dxa"/>
            <w:vMerge w:val="continue"/>
            <w:tcBorders>
              <w:bottom w:val="single" w:color="auto" w:sz="4"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1462" w:type="dxa"/>
            <w:gridSpan w:val="3"/>
            <w:tcBorders>
              <w:bottom w:val="single" w:color="auto" w:sz="4" w:space="0"/>
            </w:tcBorders>
            <w:noWrap w:val="0"/>
            <w:vAlign w:val="center"/>
          </w:tcPr>
          <w:p>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w:t>
            </w:r>
          </w:p>
        </w:tc>
      </w:tr>
    </w:tbl>
    <w:p>
      <w:pPr>
        <w:spacing w:line="360" w:lineRule="auto"/>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投标人：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（盖单位章）</w:t>
      </w:r>
    </w:p>
    <w:p>
      <w:pPr>
        <w:spacing w:line="360" w:lineRule="auto"/>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法定代表或委托代理人：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（签章）</w:t>
      </w:r>
    </w:p>
    <w:p>
      <w:pPr>
        <w:spacing w:line="360" w:lineRule="auto"/>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日 </w:t>
      </w:r>
    </w:p>
    <w:p>
      <w:pPr>
        <w:spacing w:line="360" w:lineRule="auto"/>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注：在开标一览表中，按第二章投标人须知11.2条款的规定不允许出现两种报价，否则其投标将被拒绝。</w:t>
      </w:r>
    </w:p>
    <w:p>
      <w:pPr>
        <w:spacing w:line="360" w:lineRule="auto"/>
        <w:ind w:left="564"/>
        <w:rPr>
          <w:rFonts w:hint="eastAsia" w:ascii="宋体" w:hAnsi="宋体" w:cs="宋体"/>
          <w:b/>
          <w:color w:val="000000" w:themeColor="text1"/>
          <w:sz w:val="24"/>
          <w:highlight w:val="none"/>
          <w14:textFill>
            <w14:solidFill>
              <w14:schemeClr w14:val="tx1"/>
            </w14:solidFill>
          </w14:textFill>
        </w:rPr>
      </w:pPr>
    </w:p>
    <w:p>
      <w:pPr>
        <w:pStyle w:val="24"/>
        <w:spacing w:line="360" w:lineRule="auto"/>
        <w:ind w:left="0" w:leftChars="0" w:firstLine="0" w:firstLineChars="0"/>
        <w:jc w:val="both"/>
        <w:outlineLvl w:val="1"/>
        <w:rPr>
          <w:rFonts w:hint="eastAsia" w:ascii="宋体" w:hAnsi="宋体" w:eastAsia="宋体" w:cs="宋体"/>
          <w:color w:val="000000" w:themeColor="text1"/>
          <w:sz w:val="24"/>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sectPr>
          <w:pgSz w:w="16781" w:h="11849" w:orient="landscape"/>
          <w:pgMar w:top="1080" w:right="1440" w:bottom="1080" w:left="1440" w:header="851" w:footer="850" w:gutter="0"/>
          <w:cols w:space="720" w:num="1"/>
          <w:formProt w:val="1"/>
          <w:titlePg/>
          <w:docGrid w:type="linesAndChars" w:linePitch="320" w:charSpace="269"/>
        </w:sectPr>
      </w:pPr>
    </w:p>
    <w:p>
      <w:pPr>
        <w:spacing w:line="360" w:lineRule="auto"/>
        <w:ind w:firstLine="3754" w:firstLineChars="1558"/>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ind w:firstLine="3754" w:firstLineChars="1558"/>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六</w:t>
      </w:r>
      <w:r>
        <w:rPr>
          <w:rFonts w:hint="eastAsia" w:ascii="宋体" w:hAnsi="宋体" w:cs="宋体"/>
          <w:b/>
          <w:color w:val="000000" w:themeColor="text1"/>
          <w:sz w:val="24"/>
          <w:highlight w:val="none"/>
          <w14:textFill>
            <w14:solidFill>
              <w14:schemeClr w14:val="tx1"/>
            </w14:solidFill>
          </w14:textFill>
        </w:rPr>
        <w:t>）、技术性能参数</w:t>
      </w:r>
    </w:p>
    <w:p>
      <w:pPr>
        <w:spacing w:line="360" w:lineRule="auto"/>
        <w:ind w:firstLine="241" w:firstLineChars="10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应针对采购的</w:t>
      </w:r>
      <w:r>
        <w:rPr>
          <w:rFonts w:hint="eastAsia" w:ascii="宋体" w:hAnsi="宋体" w:cs="宋体"/>
          <w:b/>
          <w:color w:val="000000" w:themeColor="text1"/>
          <w:sz w:val="24"/>
          <w:highlight w:val="none"/>
          <w14:textFill>
            <w14:solidFill>
              <w14:schemeClr w14:val="tx1"/>
            </w14:solidFill>
          </w14:textFill>
        </w:rPr>
        <w:t>货物需求一览表及技术规格要求</w:t>
      </w:r>
      <w:r>
        <w:rPr>
          <w:rFonts w:hint="eastAsia" w:ascii="宋体" w:hAnsi="宋体" w:cs="宋体"/>
          <w:color w:val="000000" w:themeColor="text1"/>
          <w:sz w:val="24"/>
          <w:highlight w:val="none"/>
          <w14:textFill>
            <w14:solidFill>
              <w14:schemeClr w14:val="tx1"/>
            </w14:solidFill>
          </w14:textFill>
        </w:rPr>
        <w:t>进行详细的论述</w:t>
      </w: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pStyle w:val="8"/>
        <w:rPr>
          <w:rFonts w:hint="eastAsia" w:ascii="宋体" w:hAnsi="宋体" w:cs="宋体"/>
          <w:b/>
          <w:color w:val="000000" w:themeColor="text1"/>
          <w:kern w:val="0"/>
          <w:sz w:val="24"/>
          <w:highlight w:val="none"/>
          <w14:textFill>
            <w14:solidFill>
              <w14:schemeClr w14:val="tx1"/>
            </w14:solidFill>
          </w14:textFill>
        </w:rPr>
      </w:pPr>
    </w:p>
    <w:p>
      <w:pPr>
        <w:rPr>
          <w:rFonts w:hint="eastAsia"/>
          <w:color w:val="000000" w:themeColor="text1"/>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pStyle w:val="8"/>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8"/>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8"/>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8"/>
        <w:rPr>
          <w:rFonts w:hint="eastAsia"/>
          <w:color w:val="000000" w:themeColor="text1"/>
          <w14:textFill>
            <w14:solidFill>
              <w14:schemeClr w14:val="tx1"/>
            </w14:solidFill>
          </w14:textFill>
        </w:rPr>
        <w:sectPr>
          <w:pgSz w:w="11849" w:h="16781"/>
          <w:pgMar w:top="1440" w:right="1080" w:bottom="1440" w:left="1080" w:header="851" w:footer="850" w:gutter="0"/>
          <w:cols w:space="720" w:num="1"/>
          <w:formProt w:val="1"/>
          <w:titlePg/>
          <w:docGrid w:type="linesAndChars" w:linePitch="320" w:charSpace="269"/>
        </w:sectPr>
      </w:pPr>
    </w:p>
    <w:p>
      <w:pPr>
        <w:pStyle w:val="9"/>
        <w:ind w:right="-553"/>
        <w:jc w:val="center"/>
        <w:outlineLvl w:val="1"/>
        <w:rPr>
          <w:rFonts w:hint="eastAsia" w:hAnsi="宋体" w:cs="宋体"/>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技 术 规 格 偏 离 表</w:t>
      </w:r>
    </w:p>
    <w:p>
      <w:pPr>
        <w:spacing w:line="360" w:lineRule="auto"/>
        <w:ind w:hanging="23"/>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项目编号：                                                    </w:t>
      </w:r>
    </w:p>
    <w:tbl>
      <w:tblPr>
        <w:tblStyle w:val="15"/>
        <w:tblW w:w="14040" w:type="dxa"/>
        <w:jc w:val="center"/>
        <w:tblLayout w:type="fixed"/>
        <w:tblCellMar>
          <w:top w:w="0" w:type="dxa"/>
          <w:left w:w="108" w:type="dxa"/>
          <w:bottom w:w="0" w:type="dxa"/>
          <w:right w:w="108" w:type="dxa"/>
        </w:tblCellMar>
      </w:tblPr>
      <w:tblGrid>
        <w:gridCol w:w="918"/>
        <w:gridCol w:w="3762"/>
        <w:gridCol w:w="4500"/>
        <w:gridCol w:w="4860"/>
      </w:tblGrid>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招标规格</w:t>
            </w: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投标规格</w:t>
            </w: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   注</w:t>
            </w: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bl>
    <w:p>
      <w:pPr>
        <w:spacing w:line="360" w:lineRule="auto"/>
        <w:ind w:firstLine="9520"/>
        <w:rPr>
          <w:rFonts w:hint="eastAsia" w:ascii="宋体" w:hAnsi="宋体" w:cs="宋体"/>
          <w:color w:val="000000" w:themeColor="text1"/>
          <w:kern w:val="0"/>
          <w:sz w:val="24"/>
          <w:highlight w:val="none"/>
          <w14:textFill>
            <w14:solidFill>
              <w14:schemeClr w14:val="tx1"/>
            </w14:solidFill>
          </w14:textFill>
        </w:rPr>
      </w:pPr>
    </w:p>
    <w:p>
      <w:pPr>
        <w:spacing w:line="360" w:lineRule="auto"/>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（盖单位章）</w:t>
      </w:r>
    </w:p>
    <w:p>
      <w:pPr>
        <w:spacing w:line="360" w:lineRule="auto"/>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法定代表或委托代理人：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（签章）</w:t>
      </w:r>
    </w:p>
    <w:p>
      <w:pPr>
        <w:spacing w:line="360" w:lineRule="auto"/>
        <w:jc w:val="right"/>
        <w:rPr>
          <w:rFonts w:hint="eastAsia"/>
          <w:color w:val="000000" w:themeColor="text1"/>
          <w14:textFill>
            <w14:solidFill>
              <w14:schemeClr w14:val="tx1"/>
            </w14:solidFill>
          </w14:textFill>
        </w:rPr>
        <w:sectPr>
          <w:pgSz w:w="16781" w:h="11849" w:orient="landscape"/>
          <w:pgMar w:top="1080" w:right="1440" w:bottom="1080" w:left="1440" w:header="851" w:footer="850" w:gutter="0"/>
          <w:cols w:space="720" w:num="1"/>
          <w:formProt w:val="1"/>
          <w:titlePg/>
          <w:docGrid w:type="linesAndChars" w:linePitch="320" w:charSpace="269"/>
        </w:sect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w:t>
      </w:r>
      <w:r>
        <w:rPr>
          <w:rFonts w:hint="eastAsia" w:ascii="宋体" w:hAnsi="宋体" w:cs="宋体"/>
          <w:b/>
          <w:color w:val="000000" w:themeColor="text1"/>
          <w:kern w:val="0"/>
          <w:sz w:val="24"/>
          <w:highlight w:val="none"/>
          <w:lang w:val="en-US" w:eastAsia="zh-CN"/>
          <w14:textFill>
            <w14:solidFill>
              <w14:schemeClr w14:val="tx1"/>
            </w14:solidFill>
          </w14:textFill>
        </w:rPr>
        <w:t>七</w:t>
      </w:r>
      <w:r>
        <w:rPr>
          <w:rFonts w:hint="eastAsia" w:ascii="宋体" w:hAnsi="宋体" w:cs="宋体"/>
          <w:b/>
          <w:color w:val="000000" w:themeColor="text1"/>
          <w:kern w:val="0"/>
          <w:sz w:val="24"/>
          <w:highlight w:val="none"/>
          <w14:textFill>
            <w14:solidFill>
              <w14:schemeClr w14:val="tx1"/>
            </w14:solidFill>
          </w14:textFill>
        </w:rPr>
        <w:t>）、资格审查资料</w:t>
      </w:r>
    </w:p>
    <w:p>
      <w:pPr>
        <w:autoSpaceDE w:val="0"/>
        <w:autoSpaceDN w:val="0"/>
        <w:adjustRightInd w:val="0"/>
        <w:spacing w:line="360" w:lineRule="auto"/>
        <w:jc w:val="center"/>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（１）投标人基本情况表</w:t>
      </w:r>
    </w:p>
    <w:tbl>
      <w:tblPr>
        <w:tblStyle w:val="15"/>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009"/>
        <w:gridCol w:w="283"/>
        <w:gridCol w:w="1078"/>
        <w:gridCol w:w="906"/>
        <w:gridCol w:w="537"/>
        <w:gridCol w:w="1402"/>
        <w:gridCol w:w="294"/>
        <w:gridCol w:w="798"/>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p>
        </w:tc>
        <w:tc>
          <w:tcPr>
            <w:tcW w:w="7900" w:type="dxa"/>
            <w:gridSpan w:val="9"/>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注册地址</w:t>
            </w:r>
          </w:p>
        </w:tc>
        <w:tc>
          <w:tcPr>
            <w:tcW w:w="3813" w:type="dxa"/>
            <w:gridSpan w:val="5"/>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402"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tc>
        <w:tc>
          <w:tcPr>
            <w:tcW w:w="2685"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1" w:type="dxa"/>
            <w:vMerge w:val="restart"/>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联系方式</w:t>
            </w:r>
          </w:p>
        </w:tc>
        <w:tc>
          <w:tcPr>
            <w:tcW w:w="1292"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2521"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402"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w:t>
            </w:r>
          </w:p>
        </w:tc>
        <w:tc>
          <w:tcPr>
            <w:tcW w:w="2685"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671" w:type="dxa"/>
            <w:vMerge w:val="continue"/>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292"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p>
        </w:tc>
        <w:tc>
          <w:tcPr>
            <w:tcW w:w="2521"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402"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网  址</w:t>
            </w:r>
          </w:p>
        </w:tc>
        <w:tc>
          <w:tcPr>
            <w:tcW w:w="2685"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组织结构</w:t>
            </w:r>
          </w:p>
        </w:tc>
        <w:tc>
          <w:tcPr>
            <w:tcW w:w="7900" w:type="dxa"/>
            <w:gridSpan w:val="9"/>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p>
        </w:tc>
        <w:tc>
          <w:tcPr>
            <w:tcW w:w="1009"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136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443"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技术职称</w:t>
            </w:r>
          </w:p>
        </w:tc>
        <w:tc>
          <w:tcPr>
            <w:tcW w:w="1696"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798"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tc>
        <w:tc>
          <w:tcPr>
            <w:tcW w:w="1593"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技术负责人</w:t>
            </w:r>
          </w:p>
        </w:tc>
        <w:tc>
          <w:tcPr>
            <w:tcW w:w="1009"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136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443"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技术职称</w:t>
            </w:r>
          </w:p>
        </w:tc>
        <w:tc>
          <w:tcPr>
            <w:tcW w:w="1696"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798"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tc>
        <w:tc>
          <w:tcPr>
            <w:tcW w:w="1593"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成立时间</w:t>
            </w:r>
          </w:p>
        </w:tc>
        <w:tc>
          <w:tcPr>
            <w:tcW w:w="2370"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5530" w:type="dxa"/>
            <w:gridSpan w:val="6"/>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企业资质等级</w:t>
            </w:r>
          </w:p>
        </w:tc>
        <w:tc>
          <w:tcPr>
            <w:tcW w:w="1009"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36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06" w:type="dxa"/>
            <w:vMerge w:val="restart"/>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其中</w:t>
            </w:r>
          </w:p>
        </w:tc>
        <w:tc>
          <w:tcPr>
            <w:tcW w:w="2233"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w:t>
            </w:r>
          </w:p>
        </w:tc>
        <w:tc>
          <w:tcPr>
            <w:tcW w:w="239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营业执照号</w:t>
            </w:r>
          </w:p>
        </w:tc>
        <w:tc>
          <w:tcPr>
            <w:tcW w:w="1009"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36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06" w:type="dxa"/>
            <w:vMerge w:val="continue"/>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233"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高级职称人员</w:t>
            </w:r>
          </w:p>
        </w:tc>
        <w:tc>
          <w:tcPr>
            <w:tcW w:w="239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注册资金</w:t>
            </w:r>
          </w:p>
        </w:tc>
        <w:tc>
          <w:tcPr>
            <w:tcW w:w="1009"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36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06" w:type="dxa"/>
            <w:vMerge w:val="continue"/>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233"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中级职称人员</w:t>
            </w:r>
          </w:p>
        </w:tc>
        <w:tc>
          <w:tcPr>
            <w:tcW w:w="239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p>
        </w:tc>
        <w:tc>
          <w:tcPr>
            <w:tcW w:w="1009"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36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06" w:type="dxa"/>
            <w:vMerge w:val="continue"/>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233"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初级职称人员</w:t>
            </w:r>
          </w:p>
        </w:tc>
        <w:tc>
          <w:tcPr>
            <w:tcW w:w="239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账号</w:t>
            </w:r>
          </w:p>
        </w:tc>
        <w:tc>
          <w:tcPr>
            <w:tcW w:w="1009"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36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06" w:type="dxa"/>
            <w:vMerge w:val="continue"/>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233"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  工</w:t>
            </w:r>
          </w:p>
        </w:tc>
        <w:tc>
          <w:tcPr>
            <w:tcW w:w="239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经营范围</w:t>
            </w:r>
          </w:p>
        </w:tc>
        <w:tc>
          <w:tcPr>
            <w:tcW w:w="7900" w:type="dxa"/>
            <w:gridSpan w:val="9"/>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c>
          <w:tcPr>
            <w:tcW w:w="7900" w:type="dxa"/>
            <w:gridSpan w:val="9"/>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bl>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备注：本表后应附企业法人营业执照及其年检合格的证明材料等材料的复印件。</w:t>
      </w:r>
    </w:p>
    <w:p>
      <w:pPr>
        <w:spacing w:line="360" w:lineRule="auto"/>
        <w:rPr>
          <w:rFonts w:hint="eastAsia" w:ascii="宋体" w:hAnsi="宋体" w:cs="宋体"/>
          <w:color w:val="000000" w:themeColor="text1"/>
          <w:sz w:val="24"/>
          <w:highlight w:val="none"/>
          <w14:textFill>
            <w14:solidFill>
              <w14:schemeClr w14:val="tx1"/>
            </w14:solidFill>
          </w14:textFill>
        </w:rPr>
      </w:pPr>
    </w:p>
    <w:p>
      <w:pPr>
        <w:spacing w:before="160" w:beforeLines="50" w:after="160" w:afterLines="50" w:line="360" w:lineRule="auto"/>
        <w:jc w:val="both"/>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（2）企业其他信誉情况表</w:t>
      </w:r>
    </w:p>
    <w:p>
      <w:pPr>
        <w:spacing w:line="360" w:lineRule="auto"/>
        <w:ind w:left="724" w:hanging="723" w:hanging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1）近三年企业不良行为记录情况</w:t>
      </w:r>
    </w:p>
    <w:p>
      <w:pPr>
        <w:spacing w:line="360" w:lineRule="auto"/>
        <w:ind w:left="724" w:hanging="723" w:hanging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2）在供货以及近年已完成供货合同履行情况</w:t>
      </w:r>
    </w:p>
    <w:p>
      <w:pPr>
        <w:spacing w:line="360" w:lineRule="auto"/>
        <w:ind w:left="724" w:hanging="723" w:hanging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3）其  他</w:t>
      </w:r>
    </w:p>
    <w:p>
      <w:pPr>
        <w:spacing w:line="360" w:lineRule="auto"/>
        <w:ind w:left="724" w:hanging="723" w:hangingChars="300"/>
        <w:rPr>
          <w:rFonts w:hint="eastAsia" w:ascii="宋体" w:hAnsi="宋体" w:cs="宋体"/>
          <w:color w:val="000000" w:themeColor="text1"/>
          <w:sz w:val="24"/>
          <w:highlight w:val="none"/>
          <w14:textFill>
            <w14:solidFill>
              <w14:schemeClr w14:val="tx1"/>
            </w14:solidFill>
          </w14:textFill>
        </w:rPr>
      </w:pPr>
    </w:p>
    <w:p>
      <w:pPr>
        <w:pStyle w:val="8"/>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numPr>
          <w:ilvl w:val="0"/>
          <w:numId w:val="0"/>
        </w:numPr>
        <w:autoSpaceDE w:val="0"/>
        <w:autoSpaceDN w:val="0"/>
        <w:adjustRightInd w:val="0"/>
        <w:snapToGrid w:val="0"/>
        <w:spacing w:line="360" w:lineRule="auto"/>
        <w:jc w:val="center"/>
        <w:outlineLvl w:val="1"/>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en-US" w:eastAsia="zh-CN"/>
          <w14:textFill>
            <w14:solidFill>
              <w14:schemeClr w14:val="tx1"/>
            </w14:solidFill>
          </w14:textFill>
        </w:rPr>
        <w:t>八</w:t>
      </w:r>
      <w:r>
        <w:rPr>
          <w:rFonts w:hint="eastAsia" w:ascii="宋体" w:hAnsi="宋体" w:cs="宋体"/>
          <w:b/>
          <w:color w:val="000000" w:themeColor="text1"/>
          <w:kern w:val="0"/>
          <w:sz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、其他材料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b/>
          <w:color w:val="000000" w:themeColor="text1"/>
          <w:kern w:val="0"/>
          <w:sz w:val="24"/>
          <w:lang w:val="en-US" w:eastAsia="zh-CN"/>
          <w14:textFill>
            <w14:solidFill>
              <w14:schemeClr w14:val="tx1"/>
            </w14:solidFill>
          </w14:textFill>
        </w:rPr>
      </w:pPr>
      <w:r>
        <w:rPr>
          <w:rFonts w:hint="eastAsia" w:ascii="宋体" w:hAnsi="宋体" w:cs="宋体"/>
          <w:b/>
          <w:bCs/>
          <w:color w:val="000000" w:themeColor="text1"/>
          <w:kern w:val="0"/>
          <w:sz w:val="28"/>
          <w:szCs w:val="18"/>
          <w:lang w:val="en-US" w:eastAsia="zh-CN" w:bidi="ar-SA"/>
          <w14:textFill>
            <w14:solidFill>
              <w14:schemeClr w14:val="tx1"/>
            </w14:solidFill>
          </w14:textFill>
        </w:rPr>
        <w:t>（</w:t>
      </w:r>
      <w:r>
        <w:rPr>
          <w:rFonts w:hint="eastAsia" w:ascii="宋体" w:hAnsi="宋体" w:eastAsia="宋体" w:cs="宋体"/>
          <w:b/>
          <w:color w:val="000000" w:themeColor="text1"/>
          <w:kern w:val="0"/>
          <w:sz w:val="24"/>
          <w:lang w:val="en-US" w:eastAsia="zh-CN"/>
          <w14:textFill>
            <w14:solidFill>
              <w14:schemeClr w14:val="tx1"/>
            </w14:solidFill>
          </w14:textFill>
        </w:rPr>
        <w:t>提供近三年的财务审计报告（成立不足三年的提供成立至今的财务审计报告，成立不足一年的提供成立至今的财务报表，包含资产负债表、现金流量表、利润表及财务状况总说明）；近六个月（连续）的社保证明（需有相关人员的社保缴纳明细，退休人员需提供退休证明）和近六个月（连续）的完税证明；“信用中国”网站和国家企业信用公示报告、中国政府采购网未列入失信被执行人、重大税收违法案件当事人名单、政府采购严重违法失信行为记录名单的（尚在处罚期内的）、经营异常名录的的查询结果的截图。）</w:t>
      </w:r>
    </w:p>
    <w:p>
      <w:pPr>
        <w:autoSpaceDE w:val="0"/>
        <w:autoSpaceDN w:val="0"/>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pStyle w:val="8"/>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8"/>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8"/>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8"/>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8"/>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8"/>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8"/>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8"/>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8"/>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8"/>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8"/>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8"/>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8"/>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8"/>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8"/>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8"/>
        <w:rPr>
          <w:rFonts w:hint="eastAsia" w:ascii="宋体" w:hAnsi="宋体" w:cs="宋体"/>
          <w:color w:val="000000" w:themeColor="text1"/>
          <w:sz w:val="24"/>
          <w:highlight w:val="none"/>
          <w14:textFill>
            <w14:solidFill>
              <w14:schemeClr w14:val="tx1"/>
            </w14:solidFill>
          </w14:textFill>
        </w:rPr>
      </w:pPr>
    </w:p>
    <w:p>
      <w:pPr>
        <w:keepNext w:val="0"/>
        <w:keepLines w:val="0"/>
        <w:widowControl/>
        <w:suppressLineNumbers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kern w:val="0"/>
          <w:sz w:val="36"/>
          <w:szCs w:val="36"/>
          <w:lang w:val="en-US" w:eastAsia="zh-CN" w:bidi="ar"/>
          <w14:textFill>
            <w14:solidFill>
              <w14:schemeClr w14:val="tx1"/>
            </w14:solidFill>
          </w14:textFill>
        </w:rPr>
        <w:t>中小企业声明函</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本公司（联合</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体）郑重声明，根据《政府采购促进中小企业发展管理办法》（财库﹝2020﹞46号）的规定，本公司（联合体）参加</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（单位名称）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的</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（项目名称）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 xml:space="preserve">采购活动，提供的货物全部由符合政策要求的中小企业制造。相关企业（含联合体中的中小企业、签订分包意向协议的中小企业）的具体情况如下：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（标的名称）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，属于</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（采购文件中明确的所属行业）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行业；制造商为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（企业名称）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，从业人员</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人，营业收入为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万元，资产总额为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万元</w:t>
      </w:r>
      <w:r>
        <w:rPr>
          <w:rFonts w:hint="eastAsia" w:ascii="宋体" w:hAnsi="宋体" w:eastAsia="宋体" w:cs="宋体"/>
          <w:i w:val="0"/>
          <w:iCs w:val="0"/>
          <w:color w:val="000000" w:themeColor="text1"/>
          <w:kern w:val="0"/>
          <w:sz w:val="24"/>
          <w:szCs w:val="24"/>
          <w:vertAlign w:val="superscript"/>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，属于</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（中型企业、小型企业、微型企业）</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 xml:space="preserve">；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（标的名称）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，属于</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（采购文件中明确的所属行业）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行业；制造商为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（企业名称）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，从业人员</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人，营业收入为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万元，资产总额为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万元</w:t>
      </w:r>
      <w:r>
        <w:rPr>
          <w:rFonts w:hint="eastAsia" w:ascii="宋体" w:hAnsi="宋体" w:eastAsia="宋体" w:cs="宋体"/>
          <w:i w:val="0"/>
          <w:iCs w:val="0"/>
          <w:color w:val="000000" w:themeColor="text1"/>
          <w:kern w:val="0"/>
          <w:sz w:val="24"/>
          <w:szCs w:val="24"/>
          <w:vertAlign w:val="superscript"/>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，属于</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（中型企业、小型企业、微型企业）</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200"/>
        <w:jc w:val="left"/>
        <w:textAlignment w:val="auto"/>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0" w:firstLineChars="2000"/>
        <w:jc w:val="left"/>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0" w:firstLineChars="2000"/>
        <w:jc w:val="left"/>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 xml:space="preserve">日 期： </w:t>
      </w:r>
    </w:p>
    <w:p>
      <w:pPr>
        <w:rPr>
          <w:rFonts w:hint="eastAsia" w:ascii="宋体" w:hAnsi="宋体" w:eastAsia="宋体" w:cs="宋体"/>
          <w:color w:val="000000" w:themeColor="text1"/>
          <w14:textFill>
            <w14:solidFill>
              <w14:schemeClr w14:val="tx1"/>
            </w14:solidFill>
          </w14:textFill>
        </w:rPr>
      </w:pPr>
    </w:p>
    <w:p>
      <w:pPr>
        <w:tabs>
          <w:tab w:val="left" w:pos="5805"/>
        </w:tabs>
        <w:spacing w:line="450" w:lineRule="atLeast"/>
        <w:ind w:left="500" w:hanging="422" w:hangingChars="200"/>
        <w:rPr>
          <w:rFonts w:hint="eastAsia" w:ascii="宋体" w:hAnsi="宋体" w:eastAsia="宋体" w:cs="宋体"/>
          <w:i w:val="0"/>
          <w:iCs w:val="0"/>
          <w:color w:val="000000" w:themeColor="text1"/>
          <w:szCs w:val="21"/>
          <w:highlight w:val="none"/>
          <w14:textFill>
            <w14:solidFill>
              <w14:schemeClr w14:val="tx1"/>
            </w14:solidFill>
          </w14:textFill>
        </w:rPr>
      </w:pPr>
    </w:p>
    <w:p>
      <w:pPr>
        <w:pStyle w:val="8"/>
        <w:rPr>
          <w:rFonts w:hint="eastAsia" w:ascii="宋体" w:hAnsi="宋体" w:cs="宋体"/>
          <w:color w:val="000000" w:themeColor="text1"/>
          <w:sz w:val="24"/>
          <w:highlight w:val="none"/>
          <w14:textFill>
            <w14:solidFill>
              <w14:schemeClr w14:val="tx1"/>
            </w14:solidFill>
          </w14:textFill>
        </w:rPr>
      </w:pPr>
    </w:p>
    <w:p>
      <w:pPr>
        <w:pStyle w:val="8"/>
        <w:rPr>
          <w:rFonts w:hint="eastAsia"/>
          <w:color w:val="000000" w:themeColor="text1"/>
          <w14:textFill>
            <w14:solidFill>
              <w14:schemeClr w14:val="tx1"/>
            </w14:solidFill>
          </w14:textFill>
        </w:rPr>
      </w:pPr>
    </w:p>
    <w:p>
      <w:pPr>
        <w:rPr>
          <w:color w:val="000000" w:themeColor="text1"/>
          <w14:textFill>
            <w14:solidFill>
              <w14:schemeClr w14:val="tx1"/>
            </w14:solidFill>
          </w14:textFill>
        </w:rPr>
      </w:pPr>
    </w:p>
    <w:sectPr>
      <w:pgSz w:w="11849" w:h="16781"/>
      <w:pgMar w:top="1440" w:right="1080" w:bottom="1440" w:left="1080" w:header="851" w:footer="850" w:gutter="0"/>
      <w:cols w:space="720" w:num="1"/>
      <w:formProt w:val="1"/>
      <w:titlePg/>
      <w:docGrid w:type="linesAndChars" w:linePitch="320" w:charSpace="2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otum">
    <w:panose1 w:val="020B0600000101010101"/>
    <w:charset w:val="81"/>
    <w:family w:val="swiss"/>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27</w: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eptLX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YcjL3N38B8OEYfLM6cOIyxyTQ6+ZGY9bV1alad+&#10;rnr80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KHqbS1wEAALEDAAAOAAAAAAAAAAEA&#10;IAAAACIBAABkcnMvZTJvRG9jLnhtbFBLBQYAAAAABgAGAFkBAABrBQAAAAA=&#10;">
              <v:fill on="f" focussize="0,0"/>
              <v:stroke on="f" weight="1.25pt"/>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10"/>
      <w:ind w:right="360"/>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B+/zSAQAAow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cH7/NIBAACjAwAADgAAAAAAAAABACAAAAAi&#10;AQAAZHJzL2Uyb0RvYy54bWxQSwUGAAAAAAYABgBZAQAAZgUAAAAA&#10;">
              <v:fill on="f" focussize="0,0"/>
              <v:stroke on="f" weight="1.25pt"/>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xfV+LSAQAAowMAAA4AAABkcnMvZTJvRG9jLnhtbK1TzY7TMBC+&#10;I/EOlu80abU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F9X4tIBAACjAwAADgAAAAAAAAABACAAAAAi&#10;AQAAZHJzL2Uyb0RvYy54bWxQSwUGAAAAAAYABgBZAQAAZgUAAAAA&#10;">
              <v:fill on="f" focussize="0,0"/>
              <v:stroke on="f" weight="1.25pt"/>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10"/>
      <w:ind w:right="360"/>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7CBEAC"/>
    <w:multiLevelType w:val="singleLevel"/>
    <w:tmpl w:val="E17CBEAC"/>
    <w:lvl w:ilvl="0" w:tentative="0">
      <w:start w:val="1"/>
      <w:numFmt w:val="decimal"/>
      <w:suff w:val="space"/>
      <w:lvlText w:val="%1."/>
      <w:lvlJc w:val="left"/>
    </w:lvl>
  </w:abstractNum>
  <w:abstractNum w:abstractNumId="1">
    <w:nsid w:val="ED7C9321"/>
    <w:multiLevelType w:val="singleLevel"/>
    <w:tmpl w:val="ED7C9321"/>
    <w:lvl w:ilvl="0" w:tentative="0">
      <w:start w:val="4"/>
      <w:numFmt w:val="chineseCounting"/>
      <w:suff w:val="space"/>
      <w:lvlText w:val="第%1章"/>
      <w:lvlJc w:val="left"/>
      <w:rPr>
        <w:rFonts w:hint="eastAsia"/>
      </w:rPr>
    </w:lvl>
  </w:abstractNum>
  <w:abstractNum w:abstractNumId="2">
    <w:nsid w:val="0000000D"/>
    <w:multiLevelType w:val="multilevel"/>
    <w:tmpl w:val="0000000D"/>
    <w:lvl w:ilvl="0" w:tentative="0">
      <w:start w:val="1"/>
      <w:numFmt w:val="decimal"/>
      <w:lvlText w:val="%1."/>
      <w:lvlJc w:val="left"/>
      <w:pPr>
        <w:tabs>
          <w:tab w:val="left" w:pos="300"/>
        </w:tabs>
        <w:ind w:left="300" w:hanging="300"/>
      </w:pPr>
      <w:rPr>
        <w:rFonts w:hint="eastAsia"/>
      </w:rPr>
    </w:lvl>
    <w:lvl w:ilvl="1" w:tentative="0">
      <w:start w:val="1"/>
      <w:numFmt w:val="decimal"/>
      <w:isLgl/>
      <w:lvlText w:val="%1.%2._x0003_._x0004_._x0005_._x0006_._x0007_._x0008_."/>
      <w:lvlJc w:val="left"/>
      <w:pPr>
        <w:tabs>
          <w:tab w:val="left" w:pos="3900"/>
        </w:tabs>
        <w:ind w:left="3900" w:hanging="3600"/>
      </w:pPr>
      <w:rPr>
        <w:rFonts w:hint="eastAsia"/>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decimal"/>
      <w:isLgl/>
      <w:lvlText w:val="%1.%2.%4.%5.%6.%7.%8.%9."/>
      <w:lvlJc w:val="left"/>
      <w:pPr>
        <w:tabs>
          <w:tab w:val="left" w:pos="5280"/>
        </w:tabs>
        <w:ind w:left="5280" w:hanging="2880"/>
      </w:pPr>
      <w:rPr>
        <w:rFonts w:hint="eastAsia"/>
      </w:rPr>
    </w:lvl>
  </w:abstractNum>
  <w:abstractNum w:abstractNumId="3">
    <w:nsid w:val="00000013"/>
    <w:multiLevelType w:val="multilevel"/>
    <w:tmpl w:val="00000013"/>
    <w:lvl w:ilvl="0" w:tentative="0">
      <w:start w:val="8"/>
      <w:numFmt w:val="decimal"/>
      <w:lvlText w:val=""/>
      <w:lvlJc w:val="left"/>
      <w:pPr>
        <w:tabs>
          <w:tab w:val="left" w:pos="360"/>
        </w:tabs>
        <w:ind w:left="360" w:hanging="360"/>
      </w:pPr>
      <w:rPr>
        <w:rFonts w:hint="default" w:ascii="Times New Roman"/>
      </w:rPr>
    </w:lvl>
    <w:lvl w:ilvl="1" w:tentative="0">
      <w:start w:val="1"/>
      <w:numFmt w:val="decimal"/>
      <w:isLgl/>
      <w:lvlText w:val="%1.%2._x0003_._x0004_._x0005_._x0006_._x0007_._x0008_."/>
      <w:lvlJc w:val="left"/>
      <w:pPr>
        <w:tabs>
          <w:tab w:val="left" w:pos="3900"/>
        </w:tabs>
        <w:ind w:left="3900" w:hanging="3600"/>
      </w:pPr>
      <w:rPr>
        <w:rFonts w:hint="eastAsia"/>
      </w:r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1"/>
      <w:numFmt w:val="decimal"/>
      <w:isLgl/>
      <w:lvlText w:val="%1.%2.%4.%5.%6.%7.%8.%9."/>
      <w:lvlJc w:val="left"/>
      <w:pPr>
        <w:tabs>
          <w:tab w:val="left" w:pos="5280"/>
        </w:tabs>
        <w:ind w:left="5280" w:hanging="2880"/>
      </w:pPr>
      <w:rPr>
        <w:rFonts w:hint="eastAsia"/>
      </w:rPr>
    </w:lvl>
  </w:abstractNum>
  <w:abstractNum w:abstractNumId="4">
    <w:nsid w:val="00E8B9D2"/>
    <w:multiLevelType w:val="singleLevel"/>
    <w:tmpl w:val="00E8B9D2"/>
    <w:lvl w:ilvl="0" w:tentative="0">
      <w:start w:val="1"/>
      <w:numFmt w:val="chineseCounting"/>
      <w:suff w:val="space"/>
      <w:lvlText w:val="第%1章"/>
      <w:lvlJc w:val="left"/>
      <w:rPr>
        <w:rFonts w:hint="eastAsia"/>
      </w:rPr>
    </w:lvl>
  </w:abstractNum>
  <w:abstractNum w:abstractNumId="5">
    <w:nsid w:val="59E084C5"/>
    <w:multiLevelType w:val="singleLevel"/>
    <w:tmpl w:val="59E084C5"/>
    <w:lvl w:ilvl="0" w:tentative="0">
      <w:start w:val="1"/>
      <w:numFmt w:val="decimal"/>
      <w:suff w:val="nothing"/>
      <w:lvlText w:val="（%1）"/>
      <w:lvlJc w:val="left"/>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dit="readOnly" w:enforcement="1" w:cryptProviderType="rsaFull" w:cryptAlgorithmClass="hash" w:cryptAlgorithmType="typeAny" w:cryptAlgorithmSid="4" w:cryptSpinCount="0" w:hash="9w8l9TKPs5AH9ky/jdweh8El3ZM=" w:salt="EADa4m3i53j36tOpYEwVt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OGQzNzhlMmU5Nzk2ZTdmMTNhZDkyYjI3ODYwZjQifQ=="/>
  </w:docVars>
  <w:rsids>
    <w:rsidRoot w:val="00FB322F"/>
    <w:rsid w:val="00683A8D"/>
    <w:rsid w:val="00FB322F"/>
    <w:rsid w:val="021C51E4"/>
    <w:rsid w:val="021D33B1"/>
    <w:rsid w:val="04E470A0"/>
    <w:rsid w:val="05F01366"/>
    <w:rsid w:val="05FC4133"/>
    <w:rsid w:val="0A9E05DE"/>
    <w:rsid w:val="0B174144"/>
    <w:rsid w:val="0B9B0792"/>
    <w:rsid w:val="0D7A124C"/>
    <w:rsid w:val="0E4E1048"/>
    <w:rsid w:val="0FDB55E1"/>
    <w:rsid w:val="106F460A"/>
    <w:rsid w:val="13CF471A"/>
    <w:rsid w:val="14201051"/>
    <w:rsid w:val="143D1571"/>
    <w:rsid w:val="14F607C8"/>
    <w:rsid w:val="1981642E"/>
    <w:rsid w:val="1C0933A8"/>
    <w:rsid w:val="2235706E"/>
    <w:rsid w:val="238F04F9"/>
    <w:rsid w:val="24E92E6D"/>
    <w:rsid w:val="25583FC6"/>
    <w:rsid w:val="26DC6D2E"/>
    <w:rsid w:val="27326C2E"/>
    <w:rsid w:val="2A122468"/>
    <w:rsid w:val="2AB0680B"/>
    <w:rsid w:val="2B022A53"/>
    <w:rsid w:val="2EC35DF5"/>
    <w:rsid w:val="2FB26BA9"/>
    <w:rsid w:val="30230646"/>
    <w:rsid w:val="317920F6"/>
    <w:rsid w:val="33F23FC7"/>
    <w:rsid w:val="38714E78"/>
    <w:rsid w:val="38A73D0C"/>
    <w:rsid w:val="3A6F6608"/>
    <w:rsid w:val="3C366AC0"/>
    <w:rsid w:val="3F355C70"/>
    <w:rsid w:val="40371C98"/>
    <w:rsid w:val="421273B8"/>
    <w:rsid w:val="42774755"/>
    <w:rsid w:val="43D92C4E"/>
    <w:rsid w:val="458E5786"/>
    <w:rsid w:val="46B74669"/>
    <w:rsid w:val="486A07F9"/>
    <w:rsid w:val="49784B12"/>
    <w:rsid w:val="4A631591"/>
    <w:rsid w:val="4C4D68A6"/>
    <w:rsid w:val="4C807C01"/>
    <w:rsid w:val="4CCE58CF"/>
    <w:rsid w:val="4E300CA5"/>
    <w:rsid w:val="512C4AEF"/>
    <w:rsid w:val="5162517B"/>
    <w:rsid w:val="517E64C8"/>
    <w:rsid w:val="53AD7C53"/>
    <w:rsid w:val="58E80082"/>
    <w:rsid w:val="5A2E142D"/>
    <w:rsid w:val="5AB34E95"/>
    <w:rsid w:val="5B353327"/>
    <w:rsid w:val="5B455FE5"/>
    <w:rsid w:val="5B862E31"/>
    <w:rsid w:val="5D78609D"/>
    <w:rsid w:val="5DCF1B85"/>
    <w:rsid w:val="5F5D2C09"/>
    <w:rsid w:val="60415813"/>
    <w:rsid w:val="60AD674E"/>
    <w:rsid w:val="60E431E3"/>
    <w:rsid w:val="619D6B05"/>
    <w:rsid w:val="628A3F58"/>
    <w:rsid w:val="64CF659A"/>
    <w:rsid w:val="66A355E9"/>
    <w:rsid w:val="66F231DA"/>
    <w:rsid w:val="68F0088D"/>
    <w:rsid w:val="6A3E0C40"/>
    <w:rsid w:val="700F3B19"/>
    <w:rsid w:val="71D95A2A"/>
    <w:rsid w:val="72727BBC"/>
    <w:rsid w:val="738A5467"/>
    <w:rsid w:val="78591D16"/>
    <w:rsid w:val="79E5262F"/>
    <w:rsid w:val="7F49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480" w:lineRule="auto"/>
      <w:jc w:val="center"/>
      <w:outlineLvl w:val="0"/>
    </w:pPr>
    <w:rPr>
      <w:rFonts w:eastAsia="黑体"/>
      <w:bCs/>
      <w:kern w:val="44"/>
      <w:sz w:val="36"/>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table of authorities"/>
    <w:basedOn w:val="1"/>
    <w:next w:val="1"/>
    <w:qFormat/>
    <w:uiPriority w:val="0"/>
    <w:pPr>
      <w:ind w:left="420" w:leftChars="200"/>
    </w:pPr>
    <w:rPr>
      <w:sz w:val="28"/>
      <w:szCs w:val="20"/>
    </w:rPr>
  </w:style>
  <w:style w:type="paragraph" w:styleId="7">
    <w:name w:val="Normal Indent"/>
    <w:basedOn w:val="1"/>
    <w:next w:val="1"/>
    <w:qFormat/>
    <w:uiPriority w:val="0"/>
    <w:pPr>
      <w:spacing w:before="100" w:beforeLines="0" w:beforeAutospacing="1" w:after="100" w:afterLines="0" w:afterAutospacing="1" w:line="360" w:lineRule="auto"/>
      <w:ind w:firstLine="482"/>
    </w:pPr>
    <w:rPr>
      <w:rFonts w:ascii="Arial" w:hAnsi="Arial"/>
      <w:sz w:val="24"/>
      <w:szCs w:val="20"/>
    </w:rPr>
  </w:style>
  <w:style w:type="paragraph" w:styleId="8">
    <w:name w:val="Body Text"/>
    <w:basedOn w:val="1"/>
    <w:next w:val="1"/>
    <w:qFormat/>
    <w:uiPriority w:val="0"/>
    <w:rPr>
      <w:rFonts w:eastAsia="黑体"/>
      <w:sz w:val="36"/>
    </w:rPr>
  </w:style>
  <w:style w:type="paragraph" w:styleId="9">
    <w:name w:val="Plain Text"/>
    <w:basedOn w:val="1"/>
    <w:next w:val="10"/>
    <w:qFormat/>
    <w:uiPriority w:val="0"/>
    <w:rPr>
      <w:rFonts w:ascii="宋体" w:hAnsi="Courier New" w:eastAsia="宋体"/>
      <w:kern w:val="2"/>
      <w:sz w:val="21"/>
      <w:lang w:val="en-US" w:eastAsia="zh-CN" w:bidi="ar-SA"/>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6"/>
    <w:qFormat/>
    <w:uiPriority w:val="0"/>
  </w:style>
  <w:style w:type="paragraph" w:styleId="13">
    <w:name w:val="footnote text"/>
    <w:basedOn w:val="1"/>
    <w:unhideWhenUsed/>
    <w:qFormat/>
    <w:uiPriority w:val="99"/>
    <w:pPr>
      <w:snapToGrid w:val="0"/>
      <w:jc w:val="left"/>
    </w:pPr>
    <w:rPr>
      <w:sz w:val="18"/>
    </w:rPr>
  </w:style>
  <w:style w:type="paragraph" w:styleId="14">
    <w:name w:val="Normal (Web)"/>
    <w:basedOn w:val="1"/>
    <w:next w:val="11"/>
    <w:qFormat/>
    <w:uiPriority w:val="0"/>
    <w:pPr>
      <w:widowControl/>
      <w:spacing w:before="100" w:beforeAutospacing="1" w:after="100" w:afterAutospacing="1"/>
      <w:jc w:val="left"/>
    </w:pPr>
    <w:rPr>
      <w:rFonts w:ascii="宋体" w:hAnsi="宋体"/>
      <w:color w:val="000000"/>
      <w:kern w:val="0"/>
      <w:sz w:val="24"/>
    </w:r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style>
  <w:style w:type="paragraph" w:customStyle="1" w:styleId="20">
    <w:name w:val="样式 标题 3 + (中文) 黑体 小四 非加粗 段前: 7.8 磅 段后: 0 磅 行距: 固定值 20 磅"/>
    <w:basedOn w:val="5"/>
    <w:qFormat/>
    <w:uiPriority w:val="0"/>
    <w:pPr>
      <w:spacing w:before="120" w:after="120" w:line="400" w:lineRule="exact"/>
    </w:pPr>
    <w:rPr>
      <w:rFonts w:ascii="Times New Roman" w:hAnsi="Times New Roman" w:eastAsia="宋体"/>
      <w:b w:val="0"/>
      <w:bCs w:val="0"/>
      <w:sz w:val="24"/>
      <w:szCs w:val="20"/>
    </w:rPr>
  </w:style>
  <w:style w:type="paragraph" w:customStyle="1" w:styleId="21">
    <w:name w:val="Default Tex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22">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23">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24">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25">
    <w:name w:val="样式 样式 样式 左侧:  2 字符1 + 首行缩进:  2 字符1 + 首行缩进:  2 字符"/>
    <w:basedOn w:val="1"/>
    <w:qFormat/>
    <w:uiPriority w:val="0"/>
    <w:pPr>
      <w:widowControl/>
      <w:spacing w:before="60" w:after="120" w:line="440" w:lineRule="atLeast"/>
      <w:ind w:firstLine="480"/>
    </w:pPr>
    <w:rPr>
      <w:sz w:val="24"/>
      <w:szCs w:val="20"/>
    </w:rPr>
  </w:style>
  <w:style w:type="paragraph" w:customStyle="1" w:styleId="26">
    <w:name w:val="Table Paragraph"/>
    <w:basedOn w:val="1"/>
    <w:qFormat/>
    <w:uiPriority w:val="1"/>
    <w:rPr>
      <w:rFonts w:ascii="宋体" w:hAnsi="宋体" w:eastAsia="宋体" w:cs="宋体"/>
    </w:rPr>
  </w:style>
  <w:style w:type="table" w:customStyle="1" w:styleId="27">
    <w:name w:val="Table Normal"/>
    <w:semiHidden/>
    <w:unhideWhenUsed/>
    <w:qFormat/>
    <w:uiPriority w:val="0"/>
    <w:tblPr>
      <w:tblCellMar>
        <w:top w:w="0" w:type="dxa"/>
        <w:left w:w="0" w:type="dxa"/>
        <w:bottom w:w="0" w:type="dxa"/>
        <w:right w:w="0" w:type="dxa"/>
      </w:tblCellMar>
    </w:tblPr>
  </w:style>
  <w:style w:type="character" w:customStyle="1" w:styleId="28">
    <w:name w:val="font61"/>
    <w:basedOn w:val="17"/>
    <w:qFormat/>
    <w:uiPriority w:val="0"/>
    <w:rPr>
      <w:rFonts w:hint="eastAsia" w:ascii="宋体" w:hAnsi="宋体" w:eastAsia="宋体" w:cs="宋体"/>
      <w:color w:val="FF0000"/>
      <w:sz w:val="20"/>
      <w:szCs w:val="20"/>
      <w:u w:val="none"/>
    </w:rPr>
  </w:style>
  <w:style w:type="character" w:customStyle="1" w:styleId="29">
    <w:name w:val="font41"/>
    <w:basedOn w:val="1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28833</Words>
  <Characters>31742</Characters>
  <Lines>0</Lines>
  <Paragraphs>0</Paragraphs>
  <TotalTime>53</TotalTime>
  <ScaleCrop>false</ScaleCrop>
  <LinksUpToDate>false</LinksUpToDate>
  <CharactersWithSpaces>34018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2023-02-01T10:03:00Z</dcterms:created>
  <dc:creator> 十二</dc:creator>
  <cp:lastModifiedBy> 十二</cp:lastModifiedBy>
  <dcterms:modified xsi:type="dcterms:W3CDTF">2023-03-07T04:20:39Z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CF9670C282434582A4F1711092AD108F</vt:lpwstr>
  </property>
</Properties>
</file>